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A270" w14:textId="0FCF8658" w:rsidR="00B44D60" w:rsidRDefault="00B44D60" w:rsidP="00B44D60">
      <w:pPr>
        <w:pStyle w:val="zSoquijdatRepertorie"/>
      </w:pPr>
      <w:r w:rsidRPr="00C14675">
        <w:t>English translation of the j</w:t>
      </w:r>
      <w:r>
        <w:t>udgment of the Court</w:t>
      </w:r>
    </w:p>
    <w:tbl>
      <w:tblPr>
        <w:tblW w:w="9270" w:type="dxa"/>
        <w:tblInd w:w="8" w:type="dxa"/>
        <w:tblLayout w:type="fixed"/>
        <w:tblCellMar>
          <w:left w:w="0" w:type="dxa"/>
          <w:right w:w="0" w:type="dxa"/>
        </w:tblCellMar>
        <w:tblLook w:val="0000" w:firstRow="0" w:lastRow="0" w:firstColumn="0" w:lastColumn="0" w:noHBand="0" w:noVBand="0"/>
      </w:tblPr>
      <w:tblGrid>
        <w:gridCol w:w="1030"/>
        <w:gridCol w:w="50"/>
        <w:gridCol w:w="330"/>
        <w:gridCol w:w="2190"/>
        <w:gridCol w:w="3480"/>
        <w:gridCol w:w="2190"/>
      </w:tblGrid>
      <w:tr w:rsidR="00B44D60" w14:paraId="513F6AF2" w14:textId="77777777">
        <w:trPr>
          <w:trHeight w:val="284"/>
        </w:trPr>
        <w:tc>
          <w:tcPr>
            <w:tcW w:w="7080" w:type="dxa"/>
            <w:gridSpan w:val="5"/>
          </w:tcPr>
          <w:p w14:paraId="249D2DCE" w14:textId="6982C65B" w:rsidR="00B44D60" w:rsidRPr="00C14675" w:rsidRDefault="00B44D60" w:rsidP="00B44D60">
            <w:pPr>
              <w:pStyle w:val="zSoquijdatRepertorie"/>
            </w:pPr>
            <w:r>
              <w:rPr>
                <w:rFonts w:cs="Arial"/>
              </w:rPr>
              <w:t>R. c. Gagnon</w:t>
            </w:r>
          </w:p>
        </w:tc>
        <w:tc>
          <w:tcPr>
            <w:tcW w:w="2190" w:type="dxa"/>
          </w:tcPr>
          <w:p w14:paraId="3CF2FF78" w14:textId="59007F5A" w:rsidR="00B44D60" w:rsidRPr="00C14675" w:rsidRDefault="00B44D60" w:rsidP="00B44D60">
            <w:pPr>
              <w:pStyle w:val="zSoquijdatRefNeutre"/>
              <w:jc w:val="right"/>
            </w:pPr>
            <w:r w:rsidRPr="00E23B33">
              <w:rPr>
                <w:rFonts w:cs="Arial"/>
              </w:rPr>
              <w:t>2026 QCCA 583</w:t>
            </w:r>
          </w:p>
        </w:tc>
      </w:tr>
      <w:tr w:rsidR="006B3E24" w14:paraId="78E29AB4" w14:textId="77777777">
        <w:trPr>
          <w:trHeight w:val="247"/>
        </w:trPr>
        <w:tc>
          <w:tcPr>
            <w:tcW w:w="9270" w:type="dxa"/>
            <w:gridSpan w:val="6"/>
          </w:tcPr>
          <w:p w14:paraId="08F6A347" w14:textId="77777777" w:rsidR="006B3E24" w:rsidRDefault="008773C4">
            <w:pPr>
              <w:pStyle w:val="zSoquijlblCour"/>
            </w:pPr>
            <w:r>
              <w:t>COURT OF APPEAL</w:t>
            </w:r>
          </w:p>
        </w:tc>
      </w:tr>
      <w:tr w:rsidR="006B3E24" w14:paraId="02E2DBE7" w14:textId="77777777" w:rsidTr="00B62EAA">
        <w:trPr>
          <w:trHeight w:val="349"/>
        </w:trPr>
        <w:tc>
          <w:tcPr>
            <w:tcW w:w="9270" w:type="dxa"/>
            <w:gridSpan w:val="6"/>
          </w:tcPr>
          <w:p w14:paraId="2855E946" w14:textId="77777777" w:rsidR="006B3E24" w:rsidRDefault="006B3E24">
            <w:pPr>
              <w:pStyle w:val="zSoquijdatDivision"/>
            </w:pPr>
          </w:p>
        </w:tc>
      </w:tr>
      <w:tr w:rsidR="006B3E24" w14:paraId="27F3DF4A" w14:textId="77777777">
        <w:tc>
          <w:tcPr>
            <w:tcW w:w="9270" w:type="dxa"/>
            <w:gridSpan w:val="6"/>
          </w:tcPr>
          <w:p w14:paraId="541AEC9B" w14:textId="77777777" w:rsidR="006B3E24" w:rsidRDefault="008773C4">
            <w:pPr>
              <w:pStyle w:val="zSoquijlblPays"/>
            </w:pPr>
            <w:r>
              <w:t>CANADA</w:t>
            </w:r>
          </w:p>
        </w:tc>
      </w:tr>
      <w:tr w:rsidR="006B3E24" w14:paraId="464B0EEC" w14:textId="77777777">
        <w:tc>
          <w:tcPr>
            <w:tcW w:w="9270" w:type="dxa"/>
            <w:gridSpan w:val="6"/>
          </w:tcPr>
          <w:p w14:paraId="51C9D05B" w14:textId="77777777" w:rsidR="006B3E24" w:rsidRDefault="008773C4">
            <w:pPr>
              <w:pStyle w:val="zSoquijlblProvince"/>
            </w:pPr>
            <w:r>
              <w:t>PROVINCE OF QUEBEC</w:t>
            </w:r>
          </w:p>
        </w:tc>
      </w:tr>
      <w:tr w:rsidR="006B3E24" w14:paraId="08811770" w14:textId="77777777" w:rsidTr="00152C9C">
        <w:tc>
          <w:tcPr>
            <w:tcW w:w="1410" w:type="dxa"/>
            <w:gridSpan w:val="3"/>
          </w:tcPr>
          <w:p w14:paraId="488841BC" w14:textId="3C8324D5" w:rsidR="00AA28C9" w:rsidRDefault="00FB505A" w:rsidP="00AA28C9">
            <w:pPr>
              <w:pStyle w:val="zSoquijdatGreffe"/>
            </w:pPr>
            <w:bookmarkStart w:id="0" w:name="NomGreffe"/>
            <w:r>
              <w:t>MONTREAL</w:t>
            </w:r>
            <w:bookmarkEnd w:id="0"/>
          </w:p>
          <w:p w14:paraId="2E4EA682" w14:textId="77777777" w:rsidR="006B3E24" w:rsidRDefault="006B3E24">
            <w:pPr>
              <w:pStyle w:val="zSoquijlblGreffe"/>
            </w:pPr>
          </w:p>
        </w:tc>
        <w:tc>
          <w:tcPr>
            <w:tcW w:w="7860" w:type="dxa"/>
            <w:gridSpan w:val="3"/>
          </w:tcPr>
          <w:p w14:paraId="1A56A192" w14:textId="77777777" w:rsidR="006B3E24" w:rsidRDefault="00AA28C9" w:rsidP="00AA28C9">
            <w:pPr>
              <w:pStyle w:val="zSoquijdatGreffe"/>
            </w:pPr>
            <w:r w:rsidRPr="00AA28C9">
              <w:t>SEAT</w:t>
            </w:r>
          </w:p>
        </w:tc>
      </w:tr>
      <w:tr w:rsidR="006B3E24" w14:paraId="7ABA7332" w14:textId="77777777">
        <w:tc>
          <w:tcPr>
            <w:tcW w:w="1030" w:type="dxa"/>
          </w:tcPr>
          <w:p w14:paraId="5B6CDC68" w14:textId="77777777" w:rsidR="006B3E24" w:rsidRDefault="008773C4">
            <w:pPr>
              <w:pStyle w:val="zSoquijlblNoDossier"/>
            </w:pPr>
            <w:r>
              <w:t>No:</w:t>
            </w:r>
          </w:p>
        </w:tc>
        <w:tc>
          <w:tcPr>
            <w:tcW w:w="8240" w:type="dxa"/>
            <w:gridSpan w:val="5"/>
          </w:tcPr>
          <w:p w14:paraId="7A506EE0" w14:textId="4D228D8C" w:rsidR="006B3E24" w:rsidRDefault="00FB505A">
            <w:pPr>
              <w:pStyle w:val="zSoquijdatNoDossier"/>
            </w:pPr>
            <w:bookmarkStart w:id="1" w:name="NoDossier"/>
            <w:r>
              <w:t>500-10-700102-245</w:t>
            </w:r>
            <w:bookmarkEnd w:id="1"/>
          </w:p>
        </w:tc>
      </w:tr>
      <w:tr w:rsidR="00FB505A" w14:paraId="2C767F63" w14:textId="77777777">
        <w:tc>
          <w:tcPr>
            <w:tcW w:w="9270" w:type="dxa"/>
            <w:gridSpan w:val="6"/>
          </w:tcPr>
          <w:p w14:paraId="5A4BE3FE" w14:textId="5F5AEB32" w:rsidR="00FB505A" w:rsidRDefault="00FB505A" w:rsidP="00FB505A">
            <w:pPr>
              <w:pStyle w:val="zSoquijdatNoDossierAnt"/>
            </w:pPr>
            <w:r>
              <w:t>(765-01-035011-192, SÉQ. 002)</w:t>
            </w:r>
          </w:p>
        </w:tc>
      </w:tr>
      <w:tr w:rsidR="006B3E24" w14:paraId="48FFA1C3" w14:textId="77777777">
        <w:tc>
          <w:tcPr>
            <w:tcW w:w="9270" w:type="dxa"/>
            <w:gridSpan w:val="6"/>
          </w:tcPr>
          <w:p w14:paraId="5DE22DB0" w14:textId="77777777" w:rsidR="006B3E24" w:rsidRDefault="006B3E24"/>
        </w:tc>
      </w:tr>
      <w:tr w:rsidR="006B3E24" w14:paraId="4F7A3A0A" w14:textId="77777777">
        <w:tc>
          <w:tcPr>
            <w:tcW w:w="1030" w:type="dxa"/>
          </w:tcPr>
          <w:p w14:paraId="11ED941A" w14:textId="77777777" w:rsidR="006B3E24" w:rsidRDefault="008773C4">
            <w:pPr>
              <w:pStyle w:val="zSoquijlblDateJugement"/>
            </w:pPr>
            <w:r>
              <w:t>DATE:</w:t>
            </w:r>
          </w:p>
        </w:tc>
        <w:tc>
          <w:tcPr>
            <w:tcW w:w="8240" w:type="dxa"/>
            <w:gridSpan w:val="5"/>
          </w:tcPr>
          <w:p w14:paraId="62577040" w14:textId="2FAC6A38" w:rsidR="006B3E24" w:rsidRDefault="00F021AC">
            <w:pPr>
              <w:pStyle w:val="zSoquijdatDateJugement"/>
            </w:pPr>
            <w:r>
              <w:t>April 29, 2026</w:t>
            </w:r>
          </w:p>
        </w:tc>
      </w:tr>
      <w:tr w:rsidR="006B3E24" w14:paraId="7BE74085" w14:textId="77777777">
        <w:tc>
          <w:tcPr>
            <w:tcW w:w="9270" w:type="dxa"/>
            <w:gridSpan w:val="6"/>
            <w:tcBorders>
              <w:bottom w:val="single" w:sz="8" w:space="0" w:color="auto"/>
            </w:tcBorders>
          </w:tcPr>
          <w:p w14:paraId="1F1175F7" w14:textId="77777777" w:rsidR="006B3E24" w:rsidRDefault="006B3E24"/>
        </w:tc>
      </w:tr>
      <w:tr w:rsidR="006B3E24" w14:paraId="1BF1B96E" w14:textId="77777777">
        <w:tc>
          <w:tcPr>
            <w:tcW w:w="9270" w:type="dxa"/>
            <w:gridSpan w:val="6"/>
            <w:tcBorders>
              <w:top w:val="single" w:sz="8" w:space="0" w:color="auto"/>
            </w:tcBorders>
          </w:tcPr>
          <w:p w14:paraId="71A32C91" w14:textId="77777777" w:rsidR="006B3E24" w:rsidRDefault="006B3E24"/>
        </w:tc>
      </w:tr>
      <w:tr w:rsidR="006B3E24" w14:paraId="0F45562E" w14:textId="77777777">
        <w:tc>
          <w:tcPr>
            <w:tcW w:w="1080" w:type="dxa"/>
            <w:gridSpan w:val="2"/>
          </w:tcPr>
          <w:p w14:paraId="23636317" w14:textId="77777777" w:rsidR="006B3E24" w:rsidRDefault="008773C4">
            <w:pPr>
              <w:pStyle w:val="zSoquijlblJuge"/>
            </w:pPr>
            <w:bookmarkStart w:id="2" w:name="Coram"/>
            <w:r>
              <w:t>CORAM:</w:t>
            </w:r>
            <w:bookmarkEnd w:id="2"/>
          </w:p>
        </w:tc>
        <w:tc>
          <w:tcPr>
            <w:tcW w:w="2520" w:type="dxa"/>
            <w:gridSpan w:val="2"/>
          </w:tcPr>
          <w:p w14:paraId="36DD30B0" w14:textId="77777777" w:rsidR="006B3E24" w:rsidRDefault="008773C4">
            <w:pPr>
              <w:pStyle w:val="zSoquijdatQteJuge"/>
            </w:pPr>
            <w:bookmarkStart w:id="3" w:name="Honorables"/>
            <w:r>
              <w:t>THE HONOURABLE</w:t>
            </w:r>
            <w:bookmarkEnd w:id="3"/>
          </w:p>
        </w:tc>
        <w:tc>
          <w:tcPr>
            <w:tcW w:w="5670" w:type="dxa"/>
            <w:gridSpan w:val="2"/>
          </w:tcPr>
          <w:p w14:paraId="5EA1A6C7" w14:textId="1221615A" w:rsidR="006B3E24" w:rsidRDefault="00FB505A">
            <w:pPr>
              <w:pStyle w:val="zSoquijdatJuge"/>
              <w:rPr>
                <w:lang w:val="fr-FR"/>
              </w:rPr>
            </w:pPr>
            <w:bookmarkStart w:id="4" w:name="NomJuge1"/>
            <w:r w:rsidRPr="00FB505A">
              <w:rPr>
                <w:lang w:val="fr-CA"/>
              </w:rPr>
              <w:t>YVES-MARIE MORISSETTE, J.A.</w:t>
            </w:r>
            <w:bookmarkEnd w:id="4"/>
          </w:p>
          <w:p w14:paraId="7A880E22" w14:textId="16FBFD7C" w:rsidR="006B3E24" w:rsidRPr="00FB505A" w:rsidRDefault="00FB505A">
            <w:pPr>
              <w:pStyle w:val="zSoquijdatJuge"/>
            </w:pPr>
            <w:bookmarkStart w:id="5" w:name="NomJuge2"/>
            <w:r>
              <w:t>PATRICK HEALY, J.A.</w:t>
            </w:r>
            <w:bookmarkEnd w:id="5"/>
          </w:p>
          <w:p w14:paraId="53FF96B4" w14:textId="76CA4591" w:rsidR="00447B9B" w:rsidRPr="00447B9B" w:rsidRDefault="00FB505A" w:rsidP="00FB505A">
            <w:pPr>
              <w:pStyle w:val="zSoquijdatJuge"/>
            </w:pPr>
            <w:bookmarkStart w:id="6" w:name="_Hlt520513784"/>
            <w:bookmarkStart w:id="7" w:name="NomJuge3"/>
            <w:bookmarkEnd w:id="6"/>
            <w:r>
              <w:t>LORI RENÉE WEITZMAN, J.A.</w:t>
            </w:r>
            <w:bookmarkEnd w:id="7"/>
          </w:p>
        </w:tc>
      </w:tr>
      <w:tr w:rsidR="006B3E24" w14:paraId="30662FFC" w14:textId="77777777">
        <w:tc>
          <w:tcPr>
            <w:tcW w:w="9270" w:type="dxa"/>
            <w:gridSpan w:val="6"/>
            <w:tcBorders>
              <w:bottom w:val="single" w:sz="8" w:space="0" w:color="auto"/>
            </w:tcBorders>
          </w:tcPr>
          <w:p w14:paraId="7207CD91" w14:textId="77777777" w:rsidR="006B3E24" w:rsidRDefault="006B3E24">
            <w:pPr>
              <w:rPr>
                <w:lang w:val="de-DE"/>
              </w:rPr>
            </w:pPr>
          </w:p>
        </w:tc>
      </w:tr>
      <w:tr w:rsidR="006B3E24" w14:paraId="7DF4C316" w14:textId="77777777">
        <w:tc>
          <w:tcPr>
            <w:tcW w:w="9270" w:type="dxa"/>
            <w:gridSpan w:val="6"/>
          </w:tcPr>
          <w:p w14:paraId="5B4B9735" w14:textId="77777777" w:rsidR="006B3E24" w:rsidRDefault="006B3E24">
            <w:pPr>
              <w:pStyle w:val="zSoquijlblTitrePartie"/>
              <w:rPr>
                <w:lang w:val="de-DE"/>
              </w:rPr>
            </w:pPr>
          </w:p>
        </w:tc>
      </w:tr>
      <w:tr w:rsidR="006B3E24" w14:paraId="71E4C17A" w14:textId="77777777">
        <w:tc>
          <w:tcPr>
            <w:tcW w:w="9270" w:type="dxa"/>
            <w:gridSpan w:val="6"/>
          </w:tcPr>
          <w:p w14:paraId="31ED2658" w14:textId="1B826589" w:rsidR="006B3E24" w:rsidRDefault="00FB505A">
            <w:pPr>
              <w:pStyle w:val="zSoquijdatNomPartieDem"/>
              <w:rPr>
                <w:lang w:val="de-DE"/>
              </w:rPr>
            </w:pPr>
            <w:r>
              <w:t>HIS MAJESTY THE KING</w:t>
            </w:r>
          </w:p>
        </w:tc>
      </w:tr>
      <w:tr w:rsidR="006B3E24" w14:paraId="664F8DFB" w14:textId="77777777">
        <w:tc>
          <w:tcPr>
            <w:tcW w:w="9270" w:type="dxa"/>
            <w:gridSpan w:val="6"/>
          </w:tcPr>
          <w:p w14:paraId="6FDF5868" w14:textId="4838C81E" w:rsidR="006B3E24" w:rsidRDefault="00FB505A">
            <w:pPr>
              <w:pStyle w:val="zSoquijdatQtePartieDem"/>
              <w:rPr>
                <w:lang w:val="de-DE"/>
              </w:rPr>
            </w:pPr>
            <w:r>
              <w:t>APPELLANT – Prosecutor</w:t>
            </w:r>
          </w:p>
        </w:tc>
      </w:tr>
      <w:tr w:rsidR="006B3E24" w14:paraId="4124F39B" w14:textId="77777777">
        <w:tc>
          <w:tcPr>
            <w:tcW w:w="9270" w:type="dxa"/>
            <w:gridSpan w:val="6"/>
          </w:tcPr>
          <w:p w14:paraId="1506CE4C" w14:textId="0F4D2A54" w:rsidR="006B3E24" w:rsidRDefault="00E8293B">
            <w:pPr>
              <w:pStyle w:val="zSoquijlblLienParties"/>
            </w:pPr>
            <w:r>
              <w:t>and</w:t>
            </w:r>
          </w:p>
        </w:tc>
      </w:tr>
      <w:tr w:rsidR="006B3E24" w14:paraId="0A33EDA3" w14:textId="77777777">
        <w:tc>
          <w:tcPr>
            <w:tcW w:w="9270" w:type="dxa"/>
            <w:gridSpan w:val="6"/>
          </w:tcPr>
          <w:p w14:paraId="41A24B6A" w14:textId="77777777" w:rsidR="006B3E24" w:rsidRDefault="006B3E24"/>
        </w:tc>
      </w:tr>
      <w:tr w:rsidR="006B3E24" w14:paraId="2946E8C3" w14:textId="77777777">
        <w:tc>
          <w:tcPr>
            <w:tcW w:w="9270" w:type="dxa"/>
            <w:gridSpan w:val="6"/>
          </w:tcPr>
          <w:p w14:paraId="05304EAD" w14:textId="182A8F6F" w:rsidR="006B3E24" w:rsidRDefault="00FB505A">
            <w:pPr>
              <w:pStyle w:val="zSoquijdatNomPartieDef"/>
            </w:pPr>
            <w:r>
              <w:t>ATTORNEY GENERAL OF QUEBEC</w:t>
            </w:r>
          </w:p>
        </w:tc>
      </w:tr>
      <w:tr w:rsidR="006B3E24" w14:paraId="118B5CD6" w14:textId="77777777">
        <w:tc>
          <w:tcPr>
            <w:tcW w:w="9270" w:type="dxa"/>
            <w:gridSpan w:val="6"/>
          </w:tcPr>
          <w:p w14:paraId="205C573C" w14:textId="6AD1F53C" w:rsidR="006B3E24" w:rsidRDefault="00FB505A">
            <w:pPr>
              <w:pStyle w:val="zSoquijdatQtePartieDef"/>
            </w:pPr>
            <w:r>
              <w:t>A</w:t>
            </w:r>
            <w:r w:rsidR="00A4076B">
              <w:t>PPELLANT</w:t>
            </w:r>
            <w:r>
              <w:t xml:space="preserve"> – Impleaded party</w:t>
            </w:r>
          </w:p>
        </w:tc>
      </w:tr>
      <w:tr w:rsidR="00FB505A" w14:paraId="2C71DE74" w14:textId="77777777">
        <w:tc>
          <w:tcPr>
            <w:tcW w:w="9270" w:type="dxa"/>
            <w:gridSpan w:val="6"/>
          </w:tcPr>
          <w:p w14:paraId="78B0A9E0" w14:textId="1F958BB6" w:rsidR="00FB505A" w:rsidRDefault="00E8293B" w:rsidP="00FB505A">
            <w:pPr>
              <w:pStyle w:val="zSoquijlblLienParties"/>
            </w:pPr>
            <w:r>
              <w:t>v.</w:t>
            </w:r>
          </w:p>
        </w:tc>
      </w:tr>
      <w:tr w:rsidR="00FB505A" w14:paraId="34EF5958" w14:textId="77777777">
        <w:tc>
          <w:tcPr>
            <w:tcW w:w="9270" w:type="dxa"/>
            <w:gridSpan w:val="6"/>
          </w:tcPr>
          <w:p w14:paraId="5D0F7459" w14:textId="77777777" w:rsidR="00FB505A" w:rsidRDefault="00FB505A" w:rsidP="00FB505A"/>
        </w:tc>
      </w:tr>
      <w:tr w:rsidR="00FB505A" w14:paraId="756C5248" w14:textId="77777777">
        <w:tc>
          <w:tcPr>
            <w:tcW w:w="9270" w:type="dxa"/>
            <w:gridSpan w:val="6"/>
          </w:tcPr>
          <w:p w14:paraId="4E6E3822" w14:textId="1FEEB47D" w:rsidR="00FB505A" w:rsidRDefault="00FB505A" w:rsidP="00FB505A">
            <w:pPr>
              <w:pStyle w:val="zSoquijdatNomPartieDef"/>
            </w:pPr>
            <w:r>
              <w:t>ISABELLE GAGNON</w:t>
            </w:r>
          </w:p>
        </w:tc>
      </w:tr>
      <w:tr w:rsidR="00FB505A" w14:paraId="3AB603BE" w14:textId="77777777">
        <w:tc>
          <w:tcPr>
            <w:tcW w:w="9270" w:type="dxa"/>
            <w:gridSpan w:val="6"/>
          </w:tcPr>
          <w:p w14:paraId="2B641CEA" w14:textId="35F04FC7" w:rsidR="00FB505A" w:rsidRPr="00FB505A" w:rsidRDefault="00FB505A" w:rsidP="00FB505A">
            <w:pPr>
              <w:pStyle w:val="zSoquijdatQtePartieDef"/>
            </w:pPr>
            <w:r>
              <w:t>RESPONDENT – Accused</w:t>
            </w:r>
          </w:p>
        </w:tc>
      </w:tr>
      <w:tr w:rsidR="006B3E24" w14:paraId="6C8687AB" w14:textId="77777777">
        <w:tc>
          <w:tcPr>
            <w:tcW w:w="9270" w:type="dxa"/>
            <w:gridSpan w:val="6"/>
          </w:tcPr>
          <w:p w14:paraId="2A752E86" w14:textId="77777777" w:rsidR="006B3E24" w:rsidRDefault="006B3E24"/>
        </w:tc>
      </w:tr>
      <w:tr w:rsidR="006B3E24" w14:paraId="7357AA77" w14:textId="77777777">
        <w:tc>
          <w:tcPr>
            <w:tcW w:w="9270" w:type="dxa"/>
            <w:gridSpan w:val="6"/>
            <w:tcBorders>
              <w:top w:val="single" w:sz="8" w:space="0" w:color="auto"/>
            </w:tcBorders>
          </w:tcPr>
          <w:p w14:paraId="000FA5C8" w14:textId="77777777" w:rsidR="006B3E24" w:rsidRDefault="006B3E24">
            <w:bookmarkStart w:id="8" w:name="Arret"/>
          </w:p>
        </w:tc>
      </w:tr>
      <w:tr w:rsidR="006B3E24" w14:paraId="27F4B4E5" w14:textId="77777777">
        <w:tc>
          <w:tcPr>
            <w:tcW w:w="9270" w:type="dxa"/>
            <w:gridSpan w:val="6"/>
          </w:tcPr>
          <w:p w14:paraId="05339C02" w14:textId="32EFCB13" w:rsidR="006B3E24" w:rsidRDefault="00FB505A">
            <w:pPr>
              <w:pStyle w:val="zSoquijlblTypeDocument"/>
            </w:pPr>
            <w:bookmarkStart w:id="9" w:name="TitreDocument"/>
            <w:r>
              <w:t>JUDGMENT</w:t>
            </w:r>
            <w:bookmarkEnd w:id="9"/>
          </w:p>
        </w:tc>
      </w:tr>
      <w:tr w:rsidR="006B3E24" w14:paraId="4EC62105" w14:textId="77777777">
        <w:tc>
          <w:tcPr>
            <w:tcW w:w="9270" w:type="dxa"/>
            <w:gridSpan w:val="6"/>
            <w:tcBorders>
              <w:bottom w:val="single" w:sz="8" w:space="0" w:color="auto"/>
            </w:tcBorders>
          </w:tcPr>
          <w:p w14:paraId="71CC898F" w14:textId="77777777" w:rsidR="006B3E24" w:rsidRDefault="006B3E24"/>
        </w:tc>
      </w:tr>
      <w:tr w:rsidR="006B3E24" w14:paraId="31C247D4" w14:textId="77777777">
        <w:tc>
          <w:tcPr>
            <w:tcW w:w="9270" w:type="dxa"/>
            <w:gridSpan w:val="6"/>
            <w:tcBorders>
              <w:top w:val="single" w:sz="8" w:space="0" w:color="auto"/>
            </w:tcBorders>
          </w:tcPr>
          <w:p w14:paraId="21ED9037" w14:textId="77777777" w:rsidR="006B3E24" w:rsidRDefault="006B3E24"/>
        </w:tc>
      </w:tr>
    </w:tbl>
    <w:p w14:paraId="409C9B93" w14:textId="77777777" w:rsidR="00354B0D" w:rsidRDefault="00354B0D" w:rsidP="00F021AC">
      <w:pPr>
        <w:pStyle w:val="Paragraphe"/>
        <w:spacing w:before="0" w:line="240" w:lineRule="auto"/>
        <w:rPr>
          <w:rFonts w:cs="Arial"/>
          <w:szCs w:val="24"/>
        </w:rPr>
      </w:pPr>
      <w:r w:rsidRPr="006101B0">
        <w:rPr>
          <w:rFonts w:cs="Arial"/>
          <w:szCs w:val="24"/>
        </w:rPr>
        <w:t>This is an appeal against the declaration of the Court of Quebec that the mandatory minimum sentences prescribed for making, distributing and possessing child pornography are inoperable under section 12 of the Charter and an appeal against the intermittent sentences imposed by the Court of Quebec following findings of guilt.</w:t>
      </w:r>
    </w:p>
    <w:p w14:paraId="763D95E1" w14:textId="77777777" w:rsidR="00354B0D" w:rsidRDefault="00354B0D" w:rsidP="00B62EAA">
      <w:pPr>
        <w:pStyle w:val="Paragraphe"/>
        <w:spacing w:line="240" w:lineRule="auto"/>
      </w:pPr>
      <w:r w:rsidRPr="006101B0">
        <w:t xml:space="preserve">For the reasons of Healy J.A., with which Morissette and Weitzman JJ.A. agree, </w:t>
      </w:r>
      <w:r w:rsidRPr="006101B0">
        <w:rPr>
          <w:b/>
          <w:bCs/>
        </w:rPr>
        <w:t>THE COURT</w:t>
      </w:r>
      <w:r w:rsidRPr="006101B0">
        <w:t>:</w:t>
      </w:r>
    </w:p>
    <w:p w14:paraId="7985D1C8" w14:textId="678136E2" w:rsidR="005A7E5A" w:rsidRPr="005A7E5A" w:rsidRDefault="005A7E5A" w:rsidP="00B62EAA">
      <w:pPr>
        <w:pStyle w:val="Paragraphe"/>
        <w:spacing w:line="240" w:lineRule="auto"/>
        <w:rPr>
          <w:rFonts w:cs="Arial"/>
          <w:szCs w:val="24"/>
        </w:rPr>
      </w:pPr>
      <w:r w:rsidRPr="00F55D99">
        <w:rPr>
          <w:rFonts w:cs="Arial"/>
          <w:b/>
          <w:bCs/>
          <w:szCs w:val="24"/>
        </w:rPr>
        <w:t>DISMISS</w:t>
      </w:r>
      <w:r>
        <w:rPr>
          <w:rFonts w:cs="Arial"/>
          <w:b/>
          <w:bCs/>
          <w:szCs w:val="24"/>
        </w:rPr>
        <w:t>ES</w:t>
      </w:r>
      <w:r w:rsidRPr="00377607">
        <w:rPr>
          <w:rFonts w:cs="Arial"/>
          <w:szCs w:val="24"/>
        </w:rPr>
        <w:t xml:space="preserve"> the appeal against the declaration of inoperability of the mandatory minimum sentences for making, distributing and possessing child </w:t>
      </w:r>
      <w:proofErr w:type="gramStart"/>
      <w:r w:rsidRPr="00377607">
        <w:rPr>
          <w:rFonts w:cs="Arial"/>
          <w:szCs w:val="24"/>
        </w:rPr>
        <w:t>pornography;</w:t>
      </w:r>
      <w:proofErr w:type="gramEnd"/>
    </w:p>
    <w:p w14:paraId="188B0AD6" w14:textId="77777777" w:rsidR="00354B0D" w:rsidRPr="006101B0" w:rsidRDefault="00354B0D" w:rsidP="00B62EAA">
      <w:pPr>
        <w:pStyle w:val="Paragraphe"/>
        <w:spacing w:line="240" w:lineRule="auto"/>
      </w:pPr>
      <w:r w:rsidRPr="006101B0">
        <w:rPr>
          <w:b/>
          <w:bCs/>
        </w:rPr>
        <w:t>DECLARES</w:t>
      </w:r>
      <w:r w:rsidRPr="006101B0">
        <w:t xml:space="preserve"> invalid the mandatory minimum sentences for making and distributing child </w:t>
      </w:r>
      <w:proofErr w:type="gramStart"/>
      <w:r w:rsidRPr="006101B0">
        <w:t>pornography;</w:t>
      </w:r>
      <w:proofErr w:type="gramEnd"/>
    </w:p>
    <w:p w14:paraId="19363698" w14:textId="35D066F9" w:rsidR="00354B0D" w:rsidRDefault="00354B0D" w:rsidP="00B62EAA">
      <w:pPr>
        <w:pStyle w:val="Paragraphe"/>
        <w:spacing w:line="240" w:lineRule="auto"/>
      </w:pPr>
      <w:r w:rsidRPr="006101B0">
        <w:rPr>
          <w:b/>
          <w:bCs/>
        </w:rPr>
        <w:lastRenderedPageBreak/>
        <w:t>ALLOWS</w:t>
      </w:r>
      <w:r w:rsidRPr="006101B0">
        <w:t xml:space="preserve"> the appeal against the concurrent intermittent sentence</w:t>
      </w:r>
      <w:r w:rsidR="00D033F1">
        <w:t>s</w:t>
      </w:r>
      <w:r w:rsidRPr="006101B0">
        <w:t xml:space="preserve"> of three months imposed by the Court of </w:t>
      </w:r>
      <w:proofErr w:type="gramStart"/>
      <w:r w:rsidRPr="006101B0">
        <w:t>Quebec;</w:t>
      </w:r>
      <w:proofErr w:type="gramEnd"/>
    </w:p>
    <w:p w14:paraId="7C252859" w14:textId="6FB84B2B" w:rsidR="000C6050" w:rsidRPr="006101B0" w:rsidRDefault="000C6050" w:rsidP="00B62EAA">
      <w:pPr>
        <w:pStyle w:val="Paragraphe"/>
        <w:spacing w:line="240" w:lineRule="auto"/>
      </w:pPr>
      <w:r>
        <w:rPr>
          <w:b/>
          <w:bCs/>
        </w:rPr>
        <w:t>QUASHES</w:t>
      </w:r>
      <w:r>
        <w:t xml:space="preserve"> the concurrent intermittent sentences of three months imposed by the Cour of </w:t>
      </w:r>
      <w:proofErr w:type="gramStart"/>
      <w:r>
        <w:t>Quebec;</w:t>
      </w:r>
      <w:proofErr w:type="gramEnd"/>
    </w:p>
    <w:p w14:paraId="49C5B5BD" w14:textId="77777777" w:rsidR="00354B0D" w:rsidRPr="006101B0" w:rsidRDefault="00354B0D" w:rsidP="00B62EAA">
      <w:pPr>
        <w:pStyle w:val="Paragraphe"/>
        <w:spacing w:line="240" w:lineRule="auto"/>
      </w:pPr>
      <w:r w:rsidRPr="006101B0">
        <w:rPr>
          <w:b/>
          <w:bCs/>
        </w:rPr>
        <w:t>SUBSTITUTES</w:t>
      </w:r>
      <w:r w:rsidRPr="006101B0">
        <w:t xml:space="preserve"> concurrent conditional sentences of 12 months on the counts of making and distributing child pornography, and nine months on the count of possessing child pornography, which </w:t>
      </w:r>
      <w:proofErr w:type="gramStart"/>
      <w:r w:rsidRPr="006101B0">
        <w:t>take into account</w:t>
      </w:r>
      <w:proofErr w:type="gramEnd"/>
      <w:r w:rsidRPr="006101B0">
        <w:t xml:space="preserve"> the time already served under the sentences imposed by the Court of Quebec, and subject to the following conditions:</w:t>
      </w:r>
    </w:p>
    <w:p w14:paraId="43451DB4" w14:textId="77777777" w:rsidR="00354B0D" w:rsidRPr="006101B0" w:rsidRDefault="00354B0D" w:rsidP="00B62EAA">
      <w:pPr>
        <w:pStyle w:val="Paragraphe"/>
        <w:numPr>
          <w:ilvl w:val="0"/>
          <w:numId w:val="19"/>
        </w:numPr>
        <w:spacing w:after="100" w:line="240" w:lineRule="auto"/>
        <w:ind w:left="1151" w:hanging="357"/>
        <w:rPr>
          <w:rFonts w:cs="Arial"/>
          <w:szCs w:val="24"/>
        </w:rPr>
      </w:pPr>
      <w:r w:rsidRPr="006101B0">
        <w:rPr>
          <w:rFonts w:cs="Arial"/>
          <w:b/>
          <w:bCs/>
          <w:szCs w:val="24"/>
        </w:rPr>
        <w:t>BE</w:t>
      </w:r>
      <w:r w:rsidRPr="006101B0">
        <w:rPr>
          <w:rFonts w:cs="Arial"/>
          <w:szCs w:val="24"/>
        </w:rPr>
        <w:t xml:space="preserve"> physically present at all times in her place of residence or that of her children for the first nine months, with the following exceptions that include reasonable time for </w:t>
      </w:r>
      <w:proofErr w:type="gramStart"/>
      <w:r w:rsidRPr="006101B0">
        <w:rPr>
          <w:rFonts w:cs="Arial"/>
          <w:szCs w:val="24"/>
        </w:rPr>
        <w:t>transportation;</w:t>
      </w:r>
      <w:proofErr w:type="gramEnd"/>
    </w:p>
    <w:p w14:paraId="4D91575C" w14:textId="77777777" w:rsidR="00354B0D" w:rsidRPr="006101B0" w:rsidRDefault="00354B0D" w:rsidP="00B62EAA">
      <w:pPr>
        <w:pStyle w:val="Paragraphe"/>
        <w:numPr>
          <w:ilvl w:val="0"/>
          <w:numId w:val="19"/>
        </w:numPr>
        <w:spacing w:after="100" w:line="240" w:lineRule="auto"/>
        <w:ind w:left="1151" w:hanging="357"/>
        <w:rPr>
          <w:rFonts w:cs="Arial"/>
          <w:szCs w:val="24"/>
        </w:rPr>
      </w:pPr>
      <w:r w:rsidRPr="006101B0">
        <w:rPr>
          <w:rFonts w:cs="Arial"/>
          <w:b/>
          <w:bCs/>
          <w:szCs w:val="24"/>
        </w:rPr>
        <w:t xml:space="preserve">BE </w:t>
      </w:r>
      <w:r w:rsidRPr="006101B0">
        <w:rPr>
          <w:rFonts w:cs="Arial"/>
          <w:szCs w:val="24"/>
        </w:rPr>
        <w:t xml:space="preserve">physically present at all times in your place of residence or that of your children for the remaining three months at all times between 20 h and </w:t>
      </w:r>
      <w:proofErr w:type="gramStart"/>
      <w:r w:rsidRPr="006101B0">
        <w:rPr>
          <w:rFonts w:cs="Arial"/>
          <w:szCs w:val="24"/>
        </w:rPr>
        <w:t>06 h;</w:t>
      </w:r>
      <w:proofErr w:type="gramEnd"/>
    </w:p>
    <w:p w14:paraId="5BD13D83" w14:textId="77777777" w:rsidR="00354B0D" w:rsidRPr="006101B0" w:rsidRDefault="00354B0D" w:rsidP="00B62EAA">
      <w:pPr>
        <w:pStyle w:val="Paragraphe"/>
        <w:numPr>
          <w:ilvl w:val="0"/>
          <w:numId w:val="19"/>
        </w:numPr>
        <w:spacing w:after="100" w:line="240" w:lineRule="auto"/>
        <w:ind w:left="1151" w:hanging="357"/>
        <w:rPr>
          <w:rFonts w:cs="Arial"/>
          <w:szCs w:val="24"/>
        </w:rPr>
      </w:pPr>
      <w:r w:rsidRPr="006101B0">
        <w:rPr>
          <w:rFonts w:cs="Arial"/>
          <w:b/>
          <w:bCs/>
          <w:szCs w:val="24"/>
        </w:rPr>
        <w:t>EXCEPT</w:t>
      </w:r>
      <w:r w:rsidRPr="006101B0">
        <w:rPr>
          <w:rFonts w:cs="Arial"/>
          <w:szCs w:val="24"/>
        </w:rPr>
        <w:t xml:space="preserve"> as otherwise authorised by a responsible probation </w:t>
      </w:r>
      <w:proofErr w:type="gramStart"/>
      <w:r w:rsidRPr="006101B0">
        <w:rPr>
          <w:rFonts w:cs="Arial"/>
          <w:szCs w:val="24"/>
        </w:rPr>
        <w:t>officer;</w:t>
      </w:r>
      <w:proofErr w:type="gramEnd"/>
    </w:p>
    <w:p w14:paraId="0531A34F" w14:textId="77777777" w:rsidR="00354B0D" w:rsidRPr="006101B0" w:rsidRDefault="00354B0D" w:rsidP="00B62EAA">
      <w:pPr>
        <w:pStyle w:val="Paragraphe"/>
        <w:numPr>
          <w:ilvl w:val="0"/>
          <w:numId w:val="19"/>
        </w:numPr>
        <w:spacing w:after="100" w:line="240" w:lineRule="auto"/>
        <w:ind w:left="1151" w:hanging="357"/>
        <w:rPr>
          <w:rFonts w:cs="Arial"/>
          <w:szCs w:val="24"/>
        </w:rPr>
      </w:pPr>
      <w:r w:rsidRPr="006101B0">
        <w:rPr>
          <w:rFonts w:cs="Arial"/>
          <w:b/>
          <w:bCs/>
          <w:szCs w:val="24"/>
        </w:rPr>
        <w:t>HAVE</w:t>
      </w:r>
      <w:r w:rsidRPr="006101B0">
        <w:rPr>
          <w:rFonts w:cs="Arial"/>
          <w:szCs w:val="24"/>
        </w:rPr>
        <w:t xml:space="preserve"> in her physical possession a copy of the present conditions at all times when not inside her place of </w:t>
      </w:r>
      <w:proofErr w:type="gramStart"/>
      <w:r w:rsidRPr="006101B0">
        <w:rPr>
          <w:rFonts w:cs="Arial"/>
          <w:szCs w:val="24"/>
        </w:rPr>
        <w:t>residence;</w:t>
      </w:r>
      <w:proofErr w:type="gramEnd"/>
    </w:p>
    <w:p w14:paraId="5C52C392" w14:textId="77777777" w:rsidR="00354B0D" w:rsidRPr="006101B0" w:rsidRDefault="00354B0D" w:rsidP="00B62EAA">
      <w:pPr>
        <w:pStyle w:val="Paragraphe"/>
        <w:numPr>
          <w:ilvl w:val="0"/>
          <w:numId w:val="19"/>
        </w:numPr>
        <w:spacing w:after="100" w:line="240" w:lineRule="auto"/>
        <w:ind w:left="1151" w:hanging="357"/>
        <w:rPr>
          <w:rFonts w:cs="Arial"/>
          <w:szCs w:val="24"/>
        </w:rPr>
      </w:pPr>
      <w:r w:rsidRPr="006101B0">
        <w:rPr>
          <w:rFonts w:cs="Arial"/>
          <w:b/>
          <w:bCs/>
          <w:szCs w:val="24"/>
        </w:rPr>
        <w:t xml:space="preserve">COMPLY </w:t>
      </w:r>
      <w:r w:rsidRPr="006101B0">
        <w:rPr>
          <w:rFonts w:cs="Arial"/>
          <w:szCs w:val="24"/>
        </w:rPr>
        <w:t xml:space="preserve">with all instructions of a responsible probation </w:t>
      </w:r>
      <w:proofErr w:type="gramStart"/>
      <w:r w:rsidRPr="006101B0">
        <w:rPr>
          <w:rFonts w:cs="Arial"/>
          <w:szCs w:val="24"/>
        </w:rPr>
        <w:t>officer;</w:t>
      </w:r>
      <w:proofErr w:type="gramEnd"/>
    </w:p>
    <w:p w14:paraId="2C633F32" w14:textId="37764CCA" w:rsidR="00354B0D" w:rsidRPr="00354B0D" w:rsidRDefault="00354B0D" w:rsidP="00B62EAA">
      <w:pPr>
        <w:pStyle w:val="Paragraphe"/>
        <w:numPr>
          <w:ilvl w:val="0"/>
          <w:numId w:val="19"/>
        </w:numPr>
        <w:spacing w:after="100" w:line="240" w:lineRule="auto"/>
        <w:ind w:left="1151" w:hanging="357"/>
        <w:rPr>
          <w:rFonts w:cs="Arial"/>
          <w:szCs w:val="24"/>
        </w:rPr>
      </w:pPr>
      <w:r w:rsidRPr="006101B0">
        <w:rPr>
          <w:rFonts w:cs="Arial"/>
          <w:b/>
          <w:bCs/>
          <w:szCs w:val="24"/>
        </w:rPr>
        <w:t xml:space="preserve">REPORT </w:t>
      </w:r>
      <w:r w:rsidRPr="006101B0">
        <w:rPr>
          <w:rFonts w:cs="Arial"/>
          <w:szCs w:val="24"/>
        </w:rPr>
        <w:t xml:space="preserve">to a responsible probation officer within 72 hours of this </w:t>
      </w:r>
      <w:proofErr w:type="gramStart"/>
      <w:r w:rsidRPr="006101B0">
        <w:rPr>
          <w:rFonts w:cs="Arial"/>
          <w:szCs w:val="24"/>
        </w:rPr>
        <w:t>judgment</w:t>
      </w:r>
      <w:r w:rsidR="00E8293B">
        <w:rPr>
          <w:rFonts w:cs="Arial"/>
          <w:szCs w:val="24"/>
        </w:rPr>
        <w:t>;</w:t>
      </w:r>
      <w:proofErr w:type="gramEnd"/>
    </w:p>
    <w:p w14:paraId="35CCAEB5" w14:textId="5530A79D" w:rsidR="00354B0D" w:rsidRPr="006101B0" w:rsidRDefault="00354B0D" w:rsidP="00B62EAA">
      <w:pPr>
        <w:pStyle w:val="Paragraphe"/>
        <w:spacing w:before="240" w:line="240" w:lineRule="auto"/>
        <w:rPr>
          <w:rFonts w:cs="Arial"/>
          <w:szCs w:val="24"/>
        </w:rPr>
      </w:pPr>
      <w:r w:rsidRPr="006101B0">
        <w:rPr>
          <w:rFonts w:cs="Arial"/>
          <w:b/>
          <w:bCs/>
          <w:szCs w:val="24"/>
        </w:rPr>
        <w:t xml:space="preserve">MAINTAINS </w:t>
      </w:r>
      <w:r w:rsidRPr="006101B0">
        <w:rPr>
          <w:rFonts w:cs="Arial"/>
          <w:szCs w:val="24"/>
        </w:rPr>
        <w:t xml:space="preserve">the probationary orders made by the Court of </w:t>
      </w:r>
      <w:proofErr w:type="gramStart"/>
      <w:r w:rsidRPr="006101B0">
        <w:rPr>
          <w:rFonts w:cs="Arial"/>
          <w:szCs w:val="24"/>
        </w:rPr>
        <w:t>Quebec</w:t>
      </w:r>
      <w:r>
        <w:rPr>
          <w:rFonts w:cs="Arial"/>
          <w:szCs w:val="24"/>
        </w:rPr>
        <w:t>;</w:t>
      </w:r>
      <w:proofErr w:type="gramEnd"/>
    </w:p>
    <w:p w14:paraId="0857300C" w14:textId="4E3B08AD" w:rsidR="00354B0D" w:rsidRDefault="00354B0D" w:rsidP="00B62EAA">
      <w:pPr>
        <w:pStyle w:val="Paragraphe"/>
        <w:spacing w:line="240" w:lineRule="auto"/>
        <w:rPr>
          <w:rFonts w:cs="Arial"/>
          <w:szCs w:val="24"/>
        </w:rPr>
      </w:pPr>
      <w:r w:rsidRPr="006101B0">
        <w:rPr>
          <w:rFonts w:cs="Arial"/>
          <w:szCs w:val="24"/>
        </w:rPr>
        <w:t xml:space="preserve">For the reasons of Healy J.A., with which Morissette J.A. agrees, </w:t>
      </w:r>
      <w:r w:rsidRPr="006101B0">
        <w:rPr>
          <w:rFonts w:cs="Arial"/>
          <w:b/>
          <w:bCs/>
          <w:szCs w:val="24"/>
        </w:rPr>
        <w:t>THE COURT</w:t>
      </w:r>
      <w:r w:rsidRPr="006101B0">
        <w:rPr>
          <w:rFonts w:cs="Arial"/>
          <w:szCs w:val="24"/>
        </w:rPr>
        <w:t>:</w:t>
      </w:r>
    </w:p>
    <w:p w14:paraId="68726AFA" w14:textId="4CF41BE2" w:rsidR="00B62EAA" w:rsidRPr="00F55D99" w:rsidRDefault="00B62EAA" w:rsidP="00B62EAA">
      <w:pPr>
        <w:pStyle w:val="Paragraphe"/>
        <w:spacing w:line="240" w:lineRule="auto"/>
        <w:rPr>
          <w:rFonts w:cs="Arial"/>
          <w:szCs w:val="24"/>
        </w:rPr>
      </w:pPr>
      <w:r w:rsidRPr="00F55D99">
        <w:rPr>
          <w:rFonts w:cs="Arial"/>
          <w:b/>
          <w:bCs/>
          <w:szCs w:val="24"/>
        </w:rPr>
        <w:t>GRANT</w:t>
      </w:r>
      <w:r>
        <w:rPr>
          <w:rFonts w:cs="Arial"/>
          <w:b/>
          <w:bCs/>
          <w:szCs w:val="24"/>
        </w:rPr>
        <w:t>S</w:t>
      </w:r>
      <w:r w:rsidRPr="00F55D99">
        <w:rPr>
          <w:rFonts w:cs="Arial"/>
          <w:szCs w:val="24"/>
        </w:rPr>
        <w:t xml:space="preserve"> the application for leave</w:t>
      </w:r>
      <w:r>
        <w:rPr>
          <w:rFonts w:cs="Arial"/>
          <w:szCs w:val="24"/>
        </w:rPr>
        <w:t xml:space="preserve"> to appeal and </w:t>
      </w:r>
      <w:r w:rsidRPr="00F00E06">
        <w:rPr>
          <w:rFonts w:cs="Arial"/>
          <w:b/>
          <w:bCs/>
          <w:szCs w:val="24"/>
        </w:rPr>
        <w:t>ALLOW</w:t>
      </w:r>
      <w:r w:rsidR="001C3A96">
        <w:rPr>
          <w:rFonts w:cs="Arial"/>
          <w:b/>
          <w:bCs/>
          <w:szCs w:val="24"/>
        </w:rPr>
        <w:t>S</w:t>
      </w:r>
      <w:r>
        <w:rPr>
          <w:rFonts w:cs="Arial"/>
          <w:szCs w:val="24"/>
        </w:rPr>
        <w:t xml:space="preserve"> the AGQ,</w:t>
      </w:r>
      <w:r w:rsidRPr="00F55D99">
        <w:rPr>
          <w:rFonts w:cs="Arial"/>
          <w:szCs w:val="24"/>
        </w:rPr>
        <w:t xml:space="preserve"> as a party</w:t>
      </w:r>
      <w:r>
        <w:rPr>
          <w:rFonts w:cs="Arial"/>
          <w:szCs w:val="24"/>
        </w:rPr>
        <w:t>,</w:t>
      </w:r>
      <w:r w:rsidRPr="00F55D99">
        <w:rPr>
          <w:rFonts w:cs="Arial"/>
          <w:szCs w:val="24"/>
        </w:rPr>
        <w:t xml:space="preserve"> to make submissions on the constitutional validity of the mandatory minimum sentences for making and distributing child pornography;</w:t>
      </w:r>
    </w:p>
    <w:p w14:paraId="054A4C30" w14:textId="1CBC204C" w:rsidR="006B3E24" w:rsidRDefault="00354B0D" w:rsidP="00B62EAA">
      <w:pPr>
        <w:pStyle w:val="Paragraphe"/>
        <w:spacing w:line="240" w:lineRule="auto"/>
        <w:rPr>
          <w:rFonts w:cs="Arial"/>
          <w:szCs w:val="24"/>
        </w:rPr>
      </w:pPr>
      <w:r w:rsidRPr="006101B0">
        <w:rPr>
          <w:rFonts w:cs="Arial"/>
          <w:szCs w:val="24"/>
        </w:rPr>
        <w:t xml:space="preserve">For separate reasons Weitzman J.A. would </w:t>
      </w:r>
      <w:r w:rsidRPr="006101B0">
        <w:rPr>
          <w:rFonts w:cs="Arial"/>
          <w:b/>
          <w:bCs/>
          <w:szCs w:val="24"/>
        </w:rPr>
        <w:t>DISMISS</w:t>
      </w:r>
      <w:r w:rsidRPr="006101B0">
        <w:rPr>
          <w:rFonts w:cs="Arial"/>
          <w:szCs w:val="24"/>
        </w:rPr>
        <w:t xml:space="preserve"> the motion of the Attorney General of Quebec for leave to appeal and </w:t>
      </w:r>
      <w:r w:rsidRPr="006101B0">
        <w:rPr>
          <w:rFonts w:cs="Arial"/>
          <w:b/>
          <w:bCs/>
          <w:szCs w:val="24"/>
        </w:rPr>
        <w:t>GRANT</w:t>
      </w:r>
      <w:r w:rsidRPr="006101B0">
        <w:rPr>
          <w:rFonts w:cs="Arial"/>
          <w:szCs w:val="24"/>
        </w:rPr>
        <w:t xml:space="preserve"> the Attorney General of Quebec leave to intervene.</w:t>
      </w:r>
    </w:p>
    <w:tbl>
      <w:tblPr>
        <w:tblW w:w="9368" w:type="dxa"/>
        <w:tblLayout w:type="fixed"/>
        <w:tblCellMar>
          <w:left w:w="0" w:type="dxa"/>
          <w:right w:w="0" w:type="dxa"/>
        </w:tblCellMar>
        <w:tblLook w:val="0000" w:firstRow="0" w:lastRow="0" w:firstColumn="0" w:lastColumn="0" w:noHBand="0" w:noVBand="0"/>
      </w:tblPr>
      <w:tblGrid>
        <w:gridCol w:w="2005"/>
        <w:gridCol w:w="2685"/>
        <w:gridCol w:w="4678"/>
      </w:tblGrid>
      <w:tr w:rsidR="006B3E24" w14:paraId="19E18C20" w14:textId="77777777" w:rsidTr="00D033F1">
        <w:trPr>
          <w:trHeight w:val="277"/>
        </w:trPr>
        <w:tc>
          <w:tcPr>
            <w:tcW w:w="9368" w:type="dxa"/>
            <w:gridSpan w:val="3"/>
          </w:tcPr>
          <w:p w14:paraId="0E597B72" w14:textId="77777777" w:rsidR="006B3E24" w:rsidRPr="00354B0D" w:rsidRDefault="006B3E24">
            <w:pPr>
              <w:keepNext/>
            </w:pPr>
          </w:p>
        </w:tc>
      </w:tr>
      <w:tr w:rsidR="006B3E24" w14:paraId="78A749DF" w14:textId="77777777" w:rsidTr="001C0D6C">
        <w:trPr>
          <w:trHeight w:val="283"/>
        </w:trPr>
        <w:tc>
          <w:tcPr>
            <w:tcW w:w="4690" w:type="dxa"/>
            <w:gridSpan w:val="2"/>
          </w:tcPr>
          <w:p w14:paraId="7CC95494" w14:textId="77777777" w:rsidR="006B3E24" w:rsidRPr="00354B0D" w:rsidRDefault="006B3E24">
            <w:pPr>
              <w:keepNext/>
              <w:rPr>
                <w:rFonts w:cs="Arial"/>
                <w:szCs w:val="24"/>
              </w:rPr>
            </w:pPr>
          </w:p>
        </w:tc>
        <w:tc>
          <w:tcPr>
            <w:tcW w:w="4678" w:type="dxa"/>
            <w:tcBorders>
              <w:bottom w:val="single" w:sz="8" w:space="0" w:color="auto"/>
            </w:tcBorders>
          </w:tcPr>
          <w:p w14:paraId="52BEB15E" w14:textId="77777777" w:rsidR="006B3E24" w:rsidRPr="00354B0D" w:rsidRDefault="006B3E24">
            <w:pPr>
              <w:keepNext/>
              <w:rPr>
                <w:rFonts w:cs="Arial"/>
                <w:szCs w:val="24"/>
              </w:rPr>
            </w:pPr>
          </w:p>
        </w:tc>
      </w:tr>
      <w:tr w:rsidR="006B3E24" w:rsidRPr="00F021AC" w14:paraId="30E9B729" w14:textId="77777777" w:rsidTr="001C0D6C">
        <w:trPr>
          <w:trHeight w:val="283"/>
        </w:trPr>
        <w:tc>
          <w:tcPr>
            <w:tcW w:w="4690" w:type="dxa"/>
            <w:gridSpan w:val="2"/>
          </w:tcPr>
          <w:p w14:paraId="44C9F157" w14:textId="77777777" w:rsidR="006B3E24" w:rsidRPr="00354B0D" w:rsidRDefault="006B3E24">
            <w:pPr>
              <w:keepNext/>
              <w:rPr>
                <w:rFonts w:cs="Arial"/>
                <w:szCs w:val="24"/>
              </w:rPr>
            </w:pPr>
          </w:p>
        </w:tc>
        <w:tc>
          <w:tcPr>
            <w:tcW w:w="4678" w:type="dxa"/>
            <w:tcBorders>
              <w:top w:val="single" w:sz="8" w:space="0" w:color="auto"/>
            </w:tcBorders>
          </w:tcPr>
          <w:p w14:paraId="123C5DDE" w14:textId="47F176E2" w:rsidR="006B3E24" w:rsidRPr="00E36BC8" w:rsidRDefault="008773C4">
            <w:pPr>
              <w:rPr>
                <w:rFonts w:cs="Arial"/>
                <w:szCs w:val="24"/>
                <w:lang w:val="fr-FR"/>
              </w:rPr>
            </w:pPr>
            <w:r w:rsidRPr="00E36BC8">
              <w:rPr>
                <w:rFonts w:cs="Arial"/>
                <w:szCs w:val="24"/>
              </w:rPr>
              <w:fldChar w:fldCharType="begin"/>
            </w:r>
            <w:r w:rsidRPr="00E36BC8">
              <w:rPr>
                <w:rFonts w:cs="Arial"/>
                <w:szCs w:val="24"/>
                <w:lang w:val="fr-FR"/>
              </w:rPr>
              <w:instrText xml:space="preserve"> NomJuge1 </w:instrText>
            </w:r>
            <w:r w:rsidRPr="00E36BC8">
              <w:rPr>
                <w:rFonts w:cs="Arial"/>
                <w:szCs w:val="24"/>
              </w:rPr>
              <w:fldChar w:fldCharType="separate"/>
            </w:r>
            <w:r w:rsidR="00F021AC" w:rsidRPr="00FB505A">
              <w:rPr>
                <w:lang w:val="fr-CA"/>
              </w:rPr>
              <w:t>YVES-MARIE MORISSETTE, J.A.</w:t>
            </w:r>
            <w:r w:rsidRPr="00E36BC8">
              <w:rPr>
                <w:rFonts w:cs="Arial"/>
                <w:szCs w:val="24"/>
              </w:rPr>
              <w:fldChar w:fldCharType="end"/>
            </w:r>
          </w:p>
        </w:tc>
      </w:tr>
      <w:tr w:rsidR="006B3E24" w:rsidRPr="00F021AC" w14:paraId="60595641" w14:textId="77777777" w:rsidTr="003C4610">
        <w:trPr>
          <w:trHeight w:val="283"/>
        </w:trPr>
        <w:tc>
          <w:tcPr>
            <w:tcW w:w="4690" w:type="dxa"/>
            <w:gridSpan w:val="2"/>
          </w:tcPr>
          <w:p w14:paraId="11246B80" w14:textId="77777777" w:rsidR="006B3E24" w:rsidRPr="00E36BC8" w:rsidRDefault="006B3E24">
            <w:pPr>
              <w:keepNext/>
              <w:rPr>
                <w:rFonts w:cs="Arial"/>
                <w:szCs w:val="24"/>
                <w:lang w:val="fr-FR"/>
              </w:rPr>
            </w:pPr>
            <w:bookmarkStart w:id="10" w:name="Signature2"/>
          </w:p>
        </w:tc>
        <w:tc>
          <w:tcPr>
            <w:tcW w:w="4678" w:type="dxa"/>
          </w:tcPr>
          <w:p w14:paraId="3D3CCB8B" w14:textId="77777777" w:rsidR="006B3E24" w:rsidRPr="00E36BC8" w:rsidRDefault="006B3E24">
            <w:pPr>
              <w:keepNext/>
              <w:rPr>
                <w:rFonts w:cs="Arial"/>
                <w:szCs w:val="24"/>
                <w:lang w:val="fr-FR"/>
              </w:rPr>
            </w:pPr>
          </w:p>
        </w:tc>
      </w:tr>
      <w:tr w:rsidR="006B3E24" w:rsidRPr="00F021AC" w14:paraId="43690FD4" w14:textId="77777777" w:rsidTr="001C0D6C">
        <w:trPr>
          <w:trHeight w:val="283"/>
        </w:trPr>
        <w:tc>
          <w:tcPr>
            <w:tcW w:w="4690" w:type="dxa"/>
            <w:gridSpan w:val="2"/>
          </w:tcPr>
          <w:p w14:paraId="5E4EF5BF" w14:textId="77777777" w:rsidR="006B3E24" w:rsidRPr="00E36BC8" w:rsidRDefault="006B3E24">
            <w:pPr>
              <w:keepNext/>
              <w:rPr>
                <w:rFonts w:cs="Arial"/>
                <w:szCs w:val="24"/>
                <w:lang w:val="fr-FR"/>
              </w:rPr>
            </w:pPr>
          </w:p>
        </w:tc>
        <w:tc>
          <w:tcPr>
            <w:tcW w:w="4678" w:type="dxa"/>
            <w:tcBorders>
              <w:bottom w:val="single" w:sz="8" w:space="0" w:color="auto"/>
            </w:tcBorders>
          </w:tcPr>
          <w:p w14:paraId="16367D13" w14:textId="77777777" w:rsidR="006B3E24" w:rsidRPr="00E36BC8" w:rsidRDefault="006B3E24">
            <w:pPr>
              <w:keepNext/>
              <w:rPr>
                <w:rFonts w:cs="Arial"/>
                <w:szCs w:val="24"/>
                <w:lang w:val="fr-FR"/>
              </w:rPr>
            </w:pPr>
          </w:p>
        </w:tc>
      </w:tr>
      <w:tr w:rsidR="006B3E24" w14:paraId="7E1B6611" w14:textId="77777777" w:rsidTr="001C0D6C">
        <w:trPr>
          <w:trHeight w:val="283"/>
        </w:trPr>
        <w:tc>
          <w:tcPr>
            <w:tcW w:w="4690" w:type="dxa"/>
            <w:gridSpan w:val="2"/>
          </w:tcPr>
          <w:p w14:paraId="30910E42" w14:textId="77777777" w:rsidR="006B3E24" w:rsidRPr="00E36BC8" w:rsidRDefault="006B3E24">
            <w:pPr>
              <w:keepNext/>
              <w:rPr>
                <w:rFonts w:cs="Arial"/>
                <w:szCs w:val="24"/>
                <w:lang w:val="fr-FR"/>
              </w:rPr>
            </w:pPr>
          </w:p>
        </w:tc>
        <w:tc>
          <w:tcPr>
            <w:tcW w:w="4678" w:type="dxa"/>
            <w:tcBorders>
              <w:top w:val="single" w:sz="8" w:space="0" w:color="auto"/>
            </w:tcBorders>
          </w:tcPr>
          <w:p w14:paraId="47DCD670" w14:textId="16AAD365" w:rsidR="006B3E24" w:rsidRPr="00E36BC8" w:rsidRDefault="008773C4">
            <w:pPr>
              <w:keepNext/>
              <w:rPr>
                <w:rFonts w:cs="Arial"/>
                <w:szCs w:val="24"/>
                <w:lang w:val="fr-FR"/>
              </w:rPr>
            </w:pPr>
            <w:r w:rsidRPr="00E36BC8">
              <w:rPr>
                <w:rFonts w:cs="Arial"/>
                <w:szCs w:val="24"/>
              </w:rPr>
              <w:fldChar w:fldCharType="begin"/>
            </w:r>
            <w:r w:rsidRPr="00E36BC8">
              <w:rPr>
                <w:rFonts w:cs="Arial"/>
                <w:szCs w:val="24"/>
                <w:lang w:val="fr-FR"/>
              </w:rPr>
              <w:instrText xml:space="preserve"> NomJuge2 </w:instrText>
            </w:r>
            <w:r w:rsidRPr="00E36BC8">
              <w:rPr>
                <w:rFonts w:cs="Arial"/>
                <w:szCs w:val="24"/>
              </w:rPr>
              <w:fldChar w:fldCharType="separate"/>
            </w:r>
            <w:r w:rsidR="00F021AC">
              <w:t>PATRICK HEALY, J.A.</w:t>
            </w:r>
            <w:r w:rsidRPr="00E36BC8">
              <w:rPr>
                <w:rFonts w:cs="Arial"/>
                <w:szCs w:val="24"/>
              </w:rPr>
              <w:fldChar w:fldCharType="end"/>
            </w:r>
          </w:p>
        </w:tc>
      </w:tr>
      <w:tr w:rsidR="006B3E24" w14:paraId="0773C552" w14:textId="77777777" w:rsidTr="003C4610">
        <w:trPr>
          <w:trHeight w:val="283"/>
        </w:trPr>
        <w:tc>
          <w:tcPr>
            <w:tcW w:w="4690" w:type="dxa"/>
            <w:gridSpan w:val="2"/>
          </w:tcPr>
          <w:p w14:paraId="7C27A324" w14:textId="77777777" w:rsidR="006B3E24" w:rsidRPr="00E36BC8" w:rsidRDefault="006B3E24">
            <w:pPr>
              <w:keepNext/>
              <w:rPr>
                <w:rFonts w:cs="Arial"/>
                <w:szCs w:val="24"/>
                <w:lang w:val="fr-FR"/>
              </w:rPr>
            </w:pPr>
            <w:bookmarkStart w:id="11" w:name="Signature3"/>
            <w:bookmarkEnd w:id="10"/>
          </w:p>
        </w:tc>
        <w:tc>
          <w:tcPr>
            <w:tcW w:w="4678" w:type="dxa"/>
          </w:tcPr>
          <w:p w14:paraId="17AA9DC8" w14:textId="77777777" w:rsidR="006B3E24" w:rsidRPr="00E36BC8" w:rsidRDefault="006B3E24">
            <w:pPr>
              <w:keepNext/>
              <w:rPr>
                <w:rFonts w:cs="Arial"/>
                <w:szCs w:val="24"/>
                <w:lang w:val="fr-FR"/>
              </w:rPr>
            </w:pPr>
          </w:p>
        </w:tc>
      </w:tr>
      <w:tr w:rsidR="006B3E24" w14:paraId="0C5C0124" w14:textId="77777777" w:rsidTr="001C0D6C">
        <w:trPr>
          <w:trHeight w:val="283"/>
        </w:trPr>
        <w:tc>
          <w:tcPr>
            <w:tcW w:w="4690" w:type="dxa"/>
            <w:gridSpan w:val="2"/>
          </w:tcPr>
          <w:p w14:paraId="7F658F16" w14:textId="77777777" w:rsidR="006B3E24" w:rsidRPr="00E36BC8" w:rsidRDefault="006B3E24">
            <w:pPr>
              <w:keepNext/>
              <w:rPr>
                <w:rFonts w:cs="Arial"/>
                <w:szCs w:val="24"/>
                <w:lang w:val="fr-FR"/>
              </w:rPr>
            </w:pPr>
          </w:p>
        </w:tc>
        <w:tc>
          <w:tcPr>
            <w:tcW w:w="4678" w:type="dxa"/>
            <w:tcBorders>
              <w:bottom w:val="single" w:sz="8" w:space="0" w:color="auto"/>
            </w:tcBorders>
          </w:tcPr>
          <w:p w14:paraId="762F36F3" w14:textId="77777777" w:rsidR="006B3E24" w:rsidRPr="00E36BC8" w:rsidRDefault="006B3E24">
            <w:pPr>
              <w:keepNext/>
              <w:rPr>
                <w:rFonts w:cs="Arial"/>
                <w:szCs w:val="24"/>
                <w:lang w:val="fr-FR"/>
              </w:rPr>
            </w:pPr>
          </w:p>
        </w:tc>
      </w:tr>
      <w:tr w:rsidR="006B3E24" w:rsidRPr="00F021AC" w14:paraId="670A3405" w14:textId="77777777" w:rsidTr="001C0D6C">
        <w:trPr>
          <w:trHeight w:val="283"/>
        </w:trPr>
        <w:tc>
          <w:tcPr>
            <w:tcW w:w="4690" w:type="dxa"/>
            <w:gridSpan w:val="2"/>
          </w:tcPr>
          <w:p w14:paraId="40A4751B" w14:textId="77777777" w:rsidR="006B3E24" w:rsidRPr="00E36BC8" w:rsidRDefault="006B3E24">
            <w:pPr>
              <w:keepNext/>
              <w:rPr>
                <w:rFonts w:cs="Arial"/>
                <w:szCs w:val="24"/>
                <w:lang w:val="fr-FR"/>
              </w:rPr>
            </w:pPr>
          </w:p>
        </w:tc>
        <w:tc>
          <w:tcPr>
            <w:tcW w:w="4678" w:type="dxa"/>
            <w:tcBorders>
              <w:top w:val="single" w:sz="8" w:space="0" w:color="auto"/>
            </w:tcBorders>
          </w:tcPr>
          <w:p w14:paraId="002D5B0A" w14:textId="7D93B12E" w:rsidR="006B3E24" w:rsidRPr="00E36BC8" w:rsidRDefault="008773C4">
            <w:pPr>
              <w:keepNext/>
              <w:rPr>
                <w:rFonts w:cs="Arial"/>
                <w:szCs w:val="24"/>
                <w:lang w:val="fr-FR"/>
              </w:rPr>
            </w:pPr>
            <w:r w:rsidRPr="00E36BC8">
              <w:rPr>
                <w:rFonts w:cs="Arial"/>
                <w:szCs w:val="24"/>
              </w:rPr>
              <w:fldChar w:fldCharType="begin"/>
            </w:r>
            <w:r w:rsidRPr="00E36BC8">
              <w:rPr>
                <w:rFonts w:cs="Arial"/>
                <w:szCs w:val="24"/>
                <w:lang w:val="fr-FR"/>
              </w:rPr>
              <w:instrText xml:space="preserve"> NomJuge3 </w:instrText>
            </w:r>
            <w:r w:rsidRPr="00E36BC8">
              <w:rPr>
                <w:rFonts w:cs="Arial"/>
                <w:szCs w:val="24"/>
              </w:rPr>
              <w:fldChar w:fldCharType="separate"/>
            </w:r>
            <w:r w:rsidR="00F021AC">
              <w:t>LORI RENÉE WEITZMAN, J.A.</w:t>
            </w:r>
            <w:r w:rsidRPr="00E36BC8">
              <w:rPr>
                <w:rFonts w:cs="Arial"/>
                <w:szCs w:val="24"/>
              </w:rPr>
              <w:fldChar w:fldCharType="end"/>
            </w:r>
          </w:p>
        </w:tc>
      </w:tr>
      <w:bookmarkEnd w:id="11"/>
      <w:tr w:rsidR="00447B9B" w:rsidRPr="00F021AC" w14:paraId="1078D6AC" w14:textId="77777777" w:rsidTr="003C4610">
        <w:tc>
          <w:tcPr>
            <w:tcW w:w="9368" w:type="dxa"/>
            <w:gridSpan w:val="3"/>
          </w:tcPr>
          <w:p w14:paraId="30177F3B" w14:textId="77777777" w:rsidR="00447B9B" w:rsidRDefault="00447B9B" w:rsidP="00447B9B">
            <w:pPr>
              <w:rPr>
                <w:lang w:val="fr-FR"/>
              </w:rPr>
            </w:pPr>
          </w:p>
        </w:tc>
      </w:tr>
      <w:tr w:rsidR="00447B9B" w14:paraId="00722257" w14:textId="77777777" w:rsidTr="003C4610">
        <w:tc>
          <w:tcPr>
            <w:tcW w:w="9368" w:type="dxa"/>
            <w:gridSpan w:val="3"/>
          </w:tcPr>
          <w:p w14:paraId="06D04EF8" w14:textId="4E43E766" w:rsidR="00447B9B" w:rsidRDefault="00354B0D" w:rsidP="00447B9B">
            <w:pPr>
              <w:pStyle w:val="zSoquijdatNomProcureurDem"/>
            </w:pPr>
            <w:proofErr w:type="spellStart"/>
            <w:r>
              <w:t>Mtre</w:t>
            </w:r>
            <w:proofErr w:type="spellEnd"/>
            <w:r>
              <w:t xml:space="preserve"> Gabriel Bervin</w:t>
            </w:r>
          </w:p>
        </w:tc>
      </w:tr>
      <w:tr w:rsidR="00354B0D" w14:paraId="10D39DFC" w14:textId="77777777" w:rsidTr="003C4610">
        <w:tc>
          <w:tcPr>
            <w:tcW w:w="9368" w:type="dxa"/>
            <w:gridSpan w:val="3"/>
          </w:tcPr>
          <w:p w14:paraId="0DBC6DF9" w14:textId="6BE413F2" w:rsidR="00354B0D" w:rsidRDefault="00354B0D" w:rsidP="00447B9B">
            <w:pPr>
              <w:pStyle w:val="zSoquijdatNomProcureurDem"/>
            </w:pPr>
            <w:proofErr w:type="spellStart"/>
            <w:r>
              <w:t>Mtre</w:t>
            </w:r>
            <w:proofErr w:type="spellEnd"/>
            <w:r>
              <w:t xml:space="preserve"> Julie Nadeau</w:t>
            </w:r>
          </w:p>
        </w:tc>
      </w:tr>
      <w:tr w:rsidR="00354B0D" w14:paraId="226BDF71" w14:textId="77777777" w:rsidTr="003C4610">
        <w:tc>
          <w:tcPr>
            <w:tcW w:w="9368" w:type="dxa"/>
            <w:gridSpan w:val="3"/>
          </w:tcPr>
          <w:p w14:paraId="0C6BE639" w14:textId="2B3D8EC0" w:rsidR="00354B0D" w:rsidRDefault="00354B0D" w:rsidP="00447B9B">
            <w:pPr>
              <w:pStyle w:val="zSoquijdatNomProcureurDem"/>
            </w:pPr>
            <w:proofErr w:type="spellStart"/>
            <w:r>
              <w:t>Mtre</w:t>
            </w:r>
            <w:proofErr w:type="spellEnd"/>
            <w:r>
              <w:t xml:space="preserve"> Nicolas Abran</w:t>
            </w:r>
          </w:p>
        </w:tc>
      </w:tr>
      <w:tr w:rsidR="00447B9B" w14:paraId="403CB1A8" w14:textId="77777777" w:rsidTr="003C4610">
        <w:tc>
          <w:tcPr>
            <w:tcW w:w="9368" w:type="dxa"/>
            <w:gridSpan w:val="3"/>
          </w:tcPr>
          <w:p w14:paraId="359C1775" w14:textId="0B5D4A72" w:rsidR="00447B9B" w:rsidRDefault="00160DC5" w:rsidP="00447B9B">
            <w:pPr>
              <w:pStyle w:val="zSoquijdatCabinetProcureurDem"/>
            </w:pPr>
            <w:r>
              <w:rPr>
                <w:smallCaps/>
              </w:rPr>
              <w:t>director of criminal and penal prosecutions</w:t>
            </w:r>
          </w:p>
        </w:tc>
      </w:tr>
      <w:tr w:rsidR="00447B9B" w14:paraId="68C6743C" w14:textId="77777777" w:rsidTr="003C4610">
        <w:tc>
          <w:tcPr>
            <w:tcW w:w="9368" w:type="dxa"/>
            <w:gridSpan w:val="3"/>
          </w:tcPr>
          <w:p w14:paraId="73784A47" w14:textId="40148490" w:rsidR="00447B9B" w:rsidRDefault="00160DC5" w:rsidP="00447B9B">
            <w:pPr>
              <w:pStyle w:val="zSoquijlblProcureurDem"/>
            </w:pPr>
            <w:r>
              <w:t xml:space="preserve">For </w:t>
            </w:r>
            <w:r w:rsidR="00D033F1">
              <w:t>His Majesty the King</w:t>
            </w:r>
          </w:p>
        </w:tc>
      </w:tr>
      <w:tr w:rsidR="00447B9B" w14:paraId="07B7BCBF" w14:textId="77777777" w:rsidTr="003C4610">
        <w:tc>
          <w:tcPr>
            <w:tcW w:w="9368" w:type="dxa"/>
            <w:gridSpan w:val="3"/>
          </w:tcPr>
          <w:p w14:paraId="2066181C" w14:textId="77777777" w:rsidR="00447B9B" w:rsidRDefault="00447B9B" w:rsidP="00447B9B"/>
        </w:tc>
      </w:tr>
      <w:tr w:rsidR="00447B9B" w14:paraId="15628AD7" w14:textId="77777777" w:rsidTr="003C4610">
        <w:tc>
          <w:tcPr>
            <w:tcW w:w="9368" w:type="dxa"/>
            <w:gridSpan w:val="3"/>
          </w:tcPr>
          <w:p w14:paraId="2ED0A54F" w14:textId="41D409C6" w:rsidR="00447B9B" w:rsidRDefault="00160DC5" w:rsidP="00447B9B">
            <w:pPr>
              <w:pStyle w:val="zSoquijdatNomProcureurDef"/>
            </w:pPr>
            <w:proofErr w:type="spellStart"/>
            <w:r>
              <w:t>Mtre</w:t>
            </w:r>
            <w:proofErr w:type="spellEnd"/>
            <w:r>
              <w:t xml:space="preserve"> Michel </w:t>
            </w:r>
            <w:proofErr w:type="spellStart"/>
            <w:r>
              <w:t>Déom</w:t>
            </w:r>
            <w:proofErr w:type="spellEnd"/>
          </w:p>
        </w:tc>
      </w:tr>
      <w:tr w:rsidR="00160DC5" w14:paraId="326F40A4" w14:textId="77777777" w:rsidTr="003C4610">
        <w:tc>
          <w:tcPr>
            <w:tcW w:w="9368" w:type="dxa"/>
            <w:gridSpan w:val="3"/>
          </w:tcPr>
          <w:p w14:paraId="3B832D57" w14:textId="16E54326" w:rsidR="00160DC5" w:rsidRDefault="00160DC5" w:rsidP="00447B9B">
            <w:pPr>
              <w:pStyle w:val="zSoquijdatNomProcureurDef"/>
            </w:pPr>
            <w:proofErr w:type="spellStart"/>
            <w:r>
              <w:t>Mtre</w:t>
            </w:r>
            <w:proofErr w:type="spellEnd"/>
            <w:r>
              <w:t xml:space="preserve"> Maxime Seyer-Cloutier</w:t>
            </w:r>
          </w:p>
        </w:tc>
      </w:tr>
      <w:tr w:rsidR="00447B9B" w14:paraId="2426EF5B" w14:textId="77777777" w:rsidTr="003C4610">
        <w:tc>
          <w:tcPr>
            <w:tcW w:w="9368" w:type="dxa"/>
            <w:gridSpan w:val="3"/>
          </w:tcPr>
          <w:p w14:paraId="007503FF" w14:textId="5D2D035E" w:rsidR="00447B9B" w:rsidRDefault="00160DC5" w:rsidP="00447B9B">
            <w:pPr>
              <w:pStyle w:val="zSoquijdatCabinetProcureurDef"/>
            </w:pPr>
            <w:proofErr w:type="spellStart"/>
            <w:r>
              <w:rPr>
                <w:smallCaps/>
              </w:rPr>
              <w:t>bernard</w:t>
            </w:r>
            <w:proofErr w:type="spellEnd"/>
            <w:r>
              <w:rPr>
                <w:smallCaps/>
              </w:rPr>
              <w:t xml:space="preserve">, </w:t>
            </w:r>
            <w:proofErr w:type="spellStart"/>
            <w:r>
              <w:rPr>
                <w:smallCaps/>
              </w:rPr>
              <w:t>roy</w:t>
            </w:r>
            <w:proofErr w:type="spellEnd"/>
            <w:r>
              <w:rPr>
                <w:smallCaps/>
              </w:rPr>
              <w:t xml:space="preserve"> (justice-</w:t>
            </w:r>
            <w:proofErr w:type="spellStart"/>
            <w:r>
              <w:rPr>
                <w:smallCaps/>
              </w:rPr>
              <w:t>québec</w:t>
            </w:r>
            <w:proofErr w:type="spellEnd"/>
            <w:r>
              <w:rPr>
                <w:smallCaps/>
              </w:rPr>
              <w:t>)</w:t>
            </w:r>
          </w:p>
        </w:tc>
      </w:tr>
      <w:tr w:rsidR="00447B9B" w14:paraId="52B9D90F" w14:textId="77777777" w:rsidTr="003C4610">
        <w:tc>
          <w:tcPr>
            <w:tcW w:w="9368" w:type="dxa"/>
            <w:gridSpan w:val="3"/>
          </w:tcPr>
          <w:p w14:paraId="04B945DD" w14:textId="24D7557B" w:rsidR="00447B9B" w:rsidRDefault="00160DC5" w:rsidP="00447B9B">
            <w:pPr>
              <w:pStyle w:val="zSoquijlblProcureurDef"/>
            </w:pPr>
            <w:r>
              <w:t>For Attorney General of Quebec</w:t>
            </w:r>
          </w:p>
        </w:tc>
      </w:tr>
      <w:tr w:rsidR="00447B9B" w14:paraId="3C0FFE2D" w14:textId="77777777" w:rsidTr="003C4610">
        <w:tc>
          <w:tcPr>
            <w:tcW w:w="9368" w:type="dxa"/>
            <w:gridSpan w:val="3"/>
          </w:tcPr>
          <w:p w14:paraId="3EC8E543" w14:textId="77777777" w:rsidR="00447B9B" w:rsidRDefault="00447B9B" w:rsidP="00447B9B"/>
        </w:tc>
      </w:tr>
      <w:tr w:rsidR="00354B0D" w14:paraId="0170A697" w14:textId="77777777" w:rsidTr="003C4610">
        <w:tc>
          <w:tcPr>
            <w:tcW w:w="9368" w:type="dxa"/>
            <w:gridSpan w:val="3"/>
          </w:tcPr>
          <w:p w14:paraId="591E7B65" w14:textId="7E615387" w:rsidR="00354B0D" w:rsidRDefault="00160DC5" w:rsidP="00354B0D">
            <w:pPr>
              <w:pStyle w:val="zSoquijdatNomProcureurDef"/>
            </w:pPr>
            <w:proofErr w:type="spellStart"/>
            <w:r>
              <w:t>Mtre</w:t>
            </w:r>
            <w:proofErr w:type="spellEnd"/>
            <w:r>
              <w:t xml:space="preserve"> Annie Francoeur</w:t>
            </w:r>
          </w:p>
        </w:tc>
      </w:tr>
      <w:tr w:rsidR="00160DC5" w14:paraId="56F9FE51" w14:textId="77777777" w:rsidTr="003C4610">
        <w:tc>
          <w:tcPr>
            <w:tcW w:w="9368" w:type="dxa"/>
            <w:gridSpan w:val="3"/>
          </w:tcPr>
          <w:p w14:paraId="67879207" w14:textId="14EF6554" w:rsidR="00160DC5" w:rsidRDefault="00160DC5" w:rsidP="00354B0D">
            <w:pPr>
              <w:pStyle w:val="zSoquijdatNomProcureurDef"/>
            </w:pPr>
            <w:proofErr w:type="spellStart"/>
            <w:r>
              <w:t>Mtre</w:t>
            </w:r>
            <w:proofErr w:type="spellEnd"/>
            <w:r>
              <w:t xml:space="preserve"> Christine Santerre</w:t>
            </w:r>
          </w:p>
        </w:tc>
      </w:tr>
      <w:tr w:rsidR="00354B0D" w14:paraId="4CF286F8" w14:textId="77777777" w:rsidTr="003C4610">
        <w:tc>
          <w:tcPr>
            <w:tcW w:w="9368" w:type="dxa"/>
            <w:gridSpan w:val="3"/>
          </w:tcPr>
          <w:p w14:paraId="73BA4B95" w14:textId="5668F323" w:rsidR="00354B0D" w:rsidRDefault="00160DC5" w:rsidP="00354B0D">
            <w:pPr>
              <w:pStyle w:val="zSoquijdatCabinetProcureurDef"/>
            </w:pPr>
            <w:proofErr w:type="spellStart"/>
            <w:r>
              <w:rPr>
                <w:smallCaps/>
              </w:rPr>
              <w:t>christine</w:t>
            </w:r>
            <w:proofErr w:type="spellEnd"/>
            <w:r>
              <w:rPr>
                <w:smallCaps/>
              </w:rPr>
              <w:t xml:space="preserve"> </w:t>
            </w:r>
            <w:proofErr w:type="spellStart"/>
            <w:r>
              <w:rPr>
                <w:smallCaps/>
              </w:rPr>
              <w:t>santerre</w:t>
            </w:r>
            <w:proofErr w:type="spellEnd"/>
            <w:r>
              <w:rPr>
                <w:smallCaps/>
              </w:rPr>
              <w:t xml:space="preserve"> </w:t>
            </w:r>
            <w:proofErr w:type="spellStart"/>
            <w:r>
              <w:rPr>
                <w:smallCaps/>
              </w:rPr>
              <w:t>avocate</w:t>
            </w:r>
            <w:proofErr w:type="spellEnd"/>
          </w:p>
        </w:tc>
      </w:tr>
      <w:tr w:rsidR="00354B0D" w14:paraId="4ACE3356" w14:textId="77777777" w:rsidTr="003C4610">
        <w:tc>
          <w:tcPr>
            <w:tcW w:w="9368" w:type="dxa"/>
            <w:gridSpan w:val="3"/>
          </w:tcPr>
          <w:p w14:paraId="5A3F55DF" w14:textId="6A3101F6" w:rsidR="00354B0D" w:rsidRDefault="00160DC5" w:rsidP="00354B0D">
            <w:pPr>
              <w:pStyle w:val="zSoquijlblProcureurDef"/>
            </w:pPr>
            <w:r>
              <w:t xml:space="preserve">For </w:t>
            </w:r>
            <w:r w:rsidR="00D033F1">
              <w:t>Isabelle Gagnon</w:t>
            </w:r>
          </w:p>
        </w:tc>
      </w:tr>
      <w:tr w:rsidR="00354B0D" w14:paraId="51FF6567" w14:textId="77777777" w:rsidTr="003C4610">
        <w:tc>
          <w:tcPr>
            <w:tcW w:w="9368" w:type="dxa"/>
            <w:gridSpan w:val="3"/>
          </w:tcPr>
          <w:p w14:paraId="1993B124" w14:textId="77777777" w:rsidR="00354B0D" w:rsidRDefault="00354B0D" w:rsidP="00354B0D"/>
        </w:tc>
      </w:tr>
      <w:tr w:rsidR="00354B0D" w14:paraId="3B6F6740" w14:textId="77777777" w:rsidTr="003C4610">
        <w:tc>
          <w:tcPr>
            <w:tcW w:w="2005" w:type="dxa"/>
          </w:tcPr>
          <w:p w14:paraId="4C96DF16" w14:textId="77777777" w:rsidR="00354B0D" w:rsidRDefault="00354B0D" w:rsidP="00354B0D">
            <w:pPr>
              <w:pStyle w:val="zSoquijlblDateAudience"/>
            </w:pPr>
            <w:r>
              <w:t>Date of hearing:</w:t>
            </w:r>
          </w:p>
        </w:tc>
        <w:tc>
          <w:tcPr>
            <w:tcW w:w="7363" w:type="dxa"/>
            <w:gridSpan w:val="2"/>
          </w:tcPr>
          <w:p w14:paraId="52F9278E" w14:textId="50F37746" w:rsidR="00354B0D" w:rsidRDefault="00354B0D" w:rsidP="00354B0D">
            <w:pPr>
              <w:pStyle w:val="zSoquijdatDateAudience"/>
            </w:pPr>
            <w:r>
              <w:t>May 28, 2025</w:t>
            </w:r>
          </w:p>
        </w:tc>
      </w:tr>
    </w:tbl>
    <w:p w14:paraId="18550657" w14:textId="77777777" w:rsidR="00F72CE5" w:rsidRDefault="00F72CE5" w:rsidP="00F72CE5">
      <w:pPr>
        <w:sectPr w:rsidR="00F72CE5" w:rsidSect="00F021AC">
          <w:headerReference w:type="default" r:id="rId8"/>
          <w:footerReference w:type="default" r:id="rId9"/>
          <w:pgSz w:w="12242" w:h="15842" w:code="1"/>
          <w:pgMar w:top="709" w:right="1008" w:bottom="1134" w:left="1872" w:header="1440" w:footer="792" w:gutter="0"/>
          <w:cols w:space="720"/>
          <w:formProt w:val="0"/>
          <w:titlePg/>
          <w:docGrid w:linePitch="326"/>
        </w:sectPr>
      </w:pPr>
      <w:bookmarkStart w:id="12" w:name="Opinion"/>
      <w:bookmarkEnd w:id="8"/>
    </w:p>
    <w:tbl>
      <w:tblPr>
        <w:tblW w:w="9360" w:type="dxa"/>
        <w:tblInd w:w="8" w:type="dxa"/>
        <w:tblLayout w:type="fixed"/>
        <w:tblCellMar>
          <w:left w:w="0" w:type="dxa"/>
          <w:right w:w="0" w:type="dxa"/>
        </w:tblCellMar>
        <w:tblLook w:val="0000" w:firstRow="0" w:lastRow="0" w:firstColumn="0" w:lastColumn="0" w:noHBand="0" w:noVBand="0"/>
      </w:tblPr>
      <w:tblGrid>
        <w:gridCol w:w="9360"/>
      </w:tblGrid>
      <w:tr w:rsidR="00F72CE5" w14:paraId="23E025AD" w14:textId="77777777" w:rsidTr="00E13C75">
        <w:tc>
          <w:tcPr>
            <w:tcW w:w="9360" w:type="dxa"/>
            <w:tcBorders>
              <w:bottom w:val="single" w:sz="8" w:space="0" w:color="auto"/>
            </w:tcBorders>
          </w:tcPr>
          <w:p w14:paraId="10E10742" w14:textId="77777777" w:rsidR="00F72CE5" w:rsidRDefault="00F72CE5" w:rsidP="00E13C75"/>
        </w:tc>
      </w:tr>
      <w:tr w:rsidR="00F72CE5" w14:paraId="789F073F" w14:textId="77777777" w:rsidTr="00E13C75">
        <w:tc>
          <w:tcPr>
            <w:tcW w:w="9360" w:type="dxa"/>
            <w:tcBorders>
              <w:top w:val="single" w:sz="8" w:space="0" w:color="auto"/>
            </w:tcBorders>
          </w:tcPr>
          <w:p w14:paraId="69122840" w14:textId="77777777" w:rsidR="00F72CE5" w:rsidRDefault="00F72CE5" w:rsidP="00E13C75"/>
        </w:tc>
      </w:tr>
      <w:bookmarkStart w:id="13" w:name="MotifJuge2"/>
      <w:tr w:rsidR="00F72CE5" w14:paraId="1DB14858" w14:textId="77777777" w:rsidTr="00E13C75">
        <w:tc>
          <w:tcPr>
            <w:tcW w:w="9360" w:type="dxa"/>
          </w:tcPr>
          <w:p w14:paraId="07E60097" w14:textId="75DCCB8B" w:rsidR="00F72CE5" w:rsidRDefault="00F72CE5" w:rsidP="00E13C75">
            <w:pPr>
              <w:pStyle w:val="zSoquijlblOpinionJuge"/>
            </w:pPr>
            <w:r>
              <w:fldChar w:fldCharType="begin"/>
            </w:r>
            <w:r w:rsidRPr="00D07A67">
              <w:instrText xml:space="preserve"> DOCVARIABLE MotifJuge2 </w:instrText>
            </w:r>
            <w:r>
              <w:fldChar w:fldCharType="separate"/>
            </w:r>
            <w:r w:rsidR="00F021AC">
              <w:t>REASONS OF</w:t>
            </w:r>
            <w:r>
              <w:fldChar w:fldCharType="end"/>
            </w:r>
            <w:bookmarkEnd w:id="13"/>
            <w:r w:rsidRPr="00D07A67">
              <w:t xml:space="preserve"> </w:t>
            </w:r>
            <w:r>
              <w:fldChar w:fldCharType="begin"/>
            </w:r>
            <w:r w:rsidRPr="00D07A67">
              <w:instrText xml:space="preserve"> DOCVARIABLE NomFamJuge2 </w:instrText>
            </w:r>
            <w:r>
              <w:fldChar w:fldCharType="separate"/>
            </w:r>
            <w:r w:rsidR="00F021AC">
              <w:t>HEALY</w:t>
            </w:r>
            <w:r>
              <w:fldChar w:fldCharType="end"/>
            </w:r>
            <w:r>
              <w:fldChar w:fldCharType="begin"/>
            </w:r>
            <w:r>
              <w:instrText xml:space="preserve"> DOCVARIABLE QteJuge2 </w:instrText>
            </w:r>
            <w:r>
              <w:fldChar w:fldCharType="separate"/>
            </w:r>
            <w:r w:rsidR="00F021AC">
              <w:t>, J.A.</w:t>
            </w:r>
            <w:r>
              <w:fldChar w:fldCharType="end"/>
            </w:r>
          </w:p>
        </w:tc>
      </w:tr>
      <w:tr w:rsidR="00F72CE5" w14:paraId="39BB561B" w14:textId="77777777" w:rsidTr="00E13C75">
        <w:tc>
          <w:tcPr>
            <w:tcW w:w="9360" w:type="dxa"/>
            <w:tcBorders>
              <w:bottom w:val="single" w:sz="8" w:space="0" w:color="auto"/>
            </w:tcBorders>
          </w:tcPr>
          <w:p w14:paraId="3531273E" w14:textId="77777777" w:rsidR="00F72CE5" w:rsidRDefault="00F72CE5" w:rsidP="00E13C75"/>
        </w:tc>
      </w:tr>
      <w:tr w:rsidR="00F72CE5" w14:paraId="3FA1C00E" w14:textId="77777777" w:rsidTr="00E13C75">
        <w:tc>
          <w:tcPr>
            <w:tcW w:w="9360" w:type="dxa"/>
            <w:tcBorders>
              <w:top w:val="single" w:sz="8" w:space="0" w:color="auto"/>
            </w:tcBorders>
          </w:tcPr>
          <w:p w14:paraId="62E328D1" w14:textId="77777777" w:rsidR="00F72CE5" w:rsidRDefault="00F72CE5" w:rsidP="00E13C75"/>
        </w:tc>
      </w:tr>
    </w:tbl>
    <w:p w14:paraId="3B51A2AB" w14:textId="77777777" w:rsidR="00F72CE5" w:rsidRPr="00377607" w:rsidRDefault="00F72CE5" w:rsidP="00F72CE5">
      <w:pPr>
        <w:pStyle w:val="Paragraphe"/>
        <w:spacing w:before="240" w:after="240" w:line="240" w:lineRule="auto"/>
        <w:rPr>
          <w:rFonts w:cs="Arial"/>
          <w:szCs w:val="24"/>
        </w:rPr>
      </w:pPr>
      <w:r w:rsidRPr="00377607">
        <w:rPr>
          <w:rFonts w:cs="Arial"/>
          <w:szCs w:val="24"/>
        </w:rPr>
        <w:t xml:space="preserve">This is an appeal by the Director of Criminal and Penal Prosecutions (“DCPP”) against sentences pronounced by the </w:t>
      </w:r>
      <w:r w:rsidRPr="00464FBB">
        <w:rPr>
          <w:rFonts w:cs="Arial"/>
          <w:szCs w:val="24"/>
        </w:rPr>
        <w:t>Honourable Louise Leduc,</w:t>
      </w:r>
      <w:r>
        <w:rPr>
          <w:rFonts w:cs="Arial"/>
          <w:szCs w:val="24"/>
        </w:rPr>
        <w:t xml:space="preserve"> </w:t>
      </w:r>
      <w:r w:rsidRPr="00377607">
        <w:rPr>
          <w:rFonts w:cs="Arial"/>
          <w:szCs w:val="24"/>
        </w:rPr>
        <w:t>Court of Quebec</w:t>
      </w:r>
      <w:r>
        <w:rPr>
          <w:rFonts w:cs="Arial"/>
          <w:szCs w:val="24"/>
        </w:rPr>
        <w:t>,</w:t>
      </w:r>
      <w:r w:rsidRPr="00377607">
        <w:rPr>
          <w:rFonts w:cs="Arial"/>
          <w:szCs w:val="24"/>
        </w:rPr>
        <w:t xml:space="preserve"> on three counts relating to child pornography.</w:t>
      </w:r>
      <w:r w:rsidRPr="00377607">
        <w:rPr>
          <w:rStyle w:val="Appelnotedebasdep"/>
          <w:rFonts w:cs="Arial"/>
          <w:szCs w:val="24"/>
        </w:rPr>
        <w:footnoteReference w:id="1"/>
      </w:r>
      <w:r w:rsidRPr="00377607">
        <w:rPr>
          <w:rFonts w:cs="Arial"/>
          <w:szCs w:val="24"/>
        </w:rPr>
        <w:t xml:space="preserve"> The Court is also seized of a motion for leave to appeal by the Attorney General of Quebec (“AGQ”).</w:t>
      </w:r>
    </w:p>
    <w:p w14:paraId="45DA3BD5" w14:textId="77777777" w:rsidR="00F72CE5" w:rsidRPr="00377607" w:rsidRDefault="00F72CE5" w:rsidP="00F72CE5">
      <w:pPr>
        <w:pStyle w:val="Paragraphe"/>
        <w:numPr>
          <w:ilvl w:val="0"/>
          <w:numId w:val="0"/>
        </w:numPr>
        <w:spacing w:before="0" w:after="0" w:line="240" w:lineRule="auto"/>
        <w:jc w:val="center"/>
        <w:rPr>
          <w:rFonts w:cs="Arial"/>
          <w:b/>
          <w:bCs/>
          <w:szCs w:val="24"/>
        </w:rPr>
      </w:pPr>
      <w:r w:rsidRPr="00377607">
        <w:rPr>
          <w:rFonts w:cs="Arial"/>
          <w:b/>
          <w:bCs/>
          <w:szCs w:val="24"/>
        </w:rPr>
        <w:t>I</w:t>
      </w:r>
    </w:p>
    <w:p w14:paraId="60363FAE" w14:textId="77777777" w:rsidR="00F72CE5" w:rsidRPr="00377607" w:rsidRDefault="00F72CE5" w:rsidP="00F72CE5">
      <w:pPr>
        <w:pStyle w:val="Paragraphe"/>
        <w:numPr>
          <w:ilvl w:val="0"/>
          <w:numId w:val="0"/>
        </w:numPr>
        <w:spacing w:before="0" w:after="240" w:line="240" w:lineRule="auto"/>
        <w:jc w:val="center"/>
        <w:rPr>
          <w:rFonts w:cs="Arial"/>
          <w:b/>
          <w:bCs/>
          <w:szCs w:val="24"/>
        </w:rPr>
      </w:pPr>
      <w:r w:rsidRPr="00377607">
        <w:rPr>
          <w:rFonts w:cs="Arial"/>
          <w:b/>
          <w:bCs/>
          <w:szCs w:val="24"/>
        </w:rPr>
        <w:t>Introduction</w:t>
      </w:r>
    </w:p>
    <w:p w14:paraId="1C35E63B" w14:textId="77777777" w:rsidR="00F72CE5" w:rsidRPr="00377607" w:rsidRDefault="00F72CE5" w:rsidP="00F72CE5">
      <w:pPr>
        <w:pStyle w:val="Paragraphe"/>
        <w:spacing w:line="240" w:lineRule="auto"/>
        <w:rPr>
          <w:rFonts w:cs="Arial"/>
          <w:szCs w:val="24"/>
        </w:rPr>
      </w:pPr>
      <w:r w:rsidRPr="00377607">
        <w:rPr>
          <w:rFonts w:cs="Arial"/>
          <w:szCs w:val="24"/>
        </w:rPr>
        <w:t xml:space="preserve">Section 163.1 of the </w:t>
      </w:r>
      <w:r w:rsidRPr="00377607">
        <w:rPr>
          <w:rFonts w:cs="Arial"/>
          <w:i/>
          <w:iCs/>
          <w:szCs w:val="24"/>
        </w:rPr>
        <w:t>Criminal Code</w:t>
      </w:r>
      <w:r w:rsidRPr="00377607">
        <w:rPr>
          <w:rStyle w:val="Appelnotedebasdep"/>
          <w:rFonts w:cs="Arial"/>
          <w:szCs w:val="24"/>
        </w:rPr>
        <w:footnoteReference w:id="2"/>
      </w:r>
      <w:r w:rsidRPr="00377607">
        <w:rPr>
          <w:rFonts w:cs="Arial"/>
          <w:szCs w:val="24"/>
        </w:rPr>
        <w:t xml:space="preserve"> includes four offences relating to child pornography:</w:t>
      </w:r>
    </w:p>
    <w:p w14:paraId="5ACE2E1D" w14:textId="77777777" w:rsidR="00F72CE5" w:rsidRPr="00377607" w:rsidRDefault="00F72CE5" w:rsidP="00F72CE5">
      <w:pPr>
        <w:pStyle w:val="Paragraphe"/>
        <w:numPr>
          <w:ilvl w:val="0"/>
          <w:numId w:val="25"/>
        </w:numPr>
        <w:spacing w:line="240" w:lineRule="auto"/>
        <w:ind w:left="1094" w:hanging="357"/>
        <w:rPr>
          <w:rFonts w:cs="Arial"/>
          <w:szCs w:val="24"/>
        </w:rPr>
      </w:pPr>
      <w:r w:rsidRPr="00377607">
        <w:rPr>
          <w:rFonts w:cs="Arial"/>
          <w:szCs w:val="24"/>
        </w:rPr>
        <w:t>making (s. 163.1(2)</w:t>
      </w:r>
      <w:proofErr w:type="gramStart"/>
      <w:r w:rsidRPr="00377607">
        <w:rPr>
          <w:rFonts w:cs="Arial"/>
          <w:szCs w:val="24"/>
        </w:rPr>
        <w:t>);</w:t>
      </w:r>
      <w:proofErr w:type="gramEnd"/>
    </w:p>
    <w:p w14:paraId="32CBEFB8" w14:textId="77777777" w:rsidR="00F72CE5" w:rsidRPr="00377607" w:rsidRDefault="00F72CE5" w:rsidP="00F72CE5">
      <w:pPr>
        <w:pStyle w:val="Paragraphe"/>
        <w:numPr>
          <w:ilvl w:val="0"/>
          <w:numId w:val="25"/>
        </w:numPr>
        <w:spacing w:line="240" w:lineRule="auto"/>
        <w:ind w:left="1094" w:hanging="357"/>
        <w:rPr>
          <w:rFonts w:cs="Arial"/>
          <w:szCs w:val="24"/>
        </w:rPr>
      </w:pPr>
      <w:r w:rsidRPr="00377607">
        <w:rPr>
          <w:rFonts w:cs="Arial"/>
          <w:szCs w:val="24"/>
        </w:rPr>
        <w:t>distributing (s. 163.1(3)</w:t>
      </w:r>
      <w:proofErr w:type="gramStart"/>
      <w:r w:rsidRPr="00377607">
        <w:rPr>
          <w:rFonts w:cs="Arial"/>
          <w:szCs w:val="24"/>
        </w:rPr>
        <w:t>);</w:t>
      </w:r>
      <w:proofErr w:type="gramEnd"/>
    </w:p>
    <w:p w14:paraId="54B82FDF" w14:textId="77777777" w:rsidR="00F72CE5" w:rsidRPr="00377607" w:rsidRDefault="00F72CE5" w:rsidP="00F72CE5">
      <w:pPr>
        <w:pStyle w:val="Paragraphe"/>
        <w:numPr>
          <w:ilvl w:val="0"/>
          <w:numId w:val="25"/>
        </w:numPr>
        <w:spacing w:line="240" w:lineRule="auto"/>
        <w:ind w:left="1094" w:hanging="357"/>
        <w:rPr>
          <w:rFonts w:cs="Arial"/>
          <w:szCs w:val="24"/>
        </w:rPr>
      </w:pPr>
      <w:r w:rsidRPr="00377607">
        <w:rPr>
          <w:rFonts w:cs="Arial"/>
          <w:szCs w:val="24"/>
        </w:rPr>
        <w:t>possessing (s. 163.1(4)</w:t>
      </w:r>
      <w:proofErr w:type="gramStart"/>
      <w:r w:rsidRPr="00377607">
        <w:rPr>
          <w:rFonts w:cs="Arial"/>
          <w:szCs w:val="24"/>
        </w:rPr>
        <w:t>);</w:t>
      </w:r>
      <w:proofErr w:type="gramEnd"/>
    </w:p>
    <w:p w14:paraId="39116989" w14:textId="77777777" w:rsidR="00F72CE5" w:rsidRPr="00377607" w:rsidRDefault="00F72CE5" w:rsidP="00F72CE5">
      <w:pPr>
        <w:pStyle w:val="Paragraphe"/>
        <w:numPr>
          <w:ilvl w:val="0"/>
          <w:numId w:val="25"/>
        </w:numPr>
        <w:spacing w:line="240" w:lineRule="auto"/>
        <w:ind w:left="1094" w:hanging="357"/>
        <w:rPr>
          <w:rFonts w:cs="Arial"/>
          <w:szCs w:val="24"/>
        </w:rPr>
      </w:pPr>
      <w:r w:rsidRPr="00377607">
        <w:rPr>
          <w:rFonts w:cs="Arial"/>
          <w:szCs w:val="24"/>
        </w:rPr>
        <w:t>accessing (s. 163.1(4.1)).</w:t>
      </w:r>
    </w:p>
    <w:p w14:paraId="6C0A7958" w14:textId="77777777" w:rsidR="00F72CE5" w:rsidRPr="00377607" w:rsidRDefault="00F72CE5" w:rsidP="00F72CE5">
      <w:pPr>
        <w:pStyle w:val="Paragraphe"/>
        <w:spacing w:before="240" w:line="240" w:lineRule="auto"/>
        <w:rPr>
          <w:rFonts w:cs="Arial"/>
          <w:szCs w:val="24"/>
        </w:rPr>
      </w:pPr>
      <w:r w:rsidRPr="00377607">
        <w:rPr>
          <w:rFonts w:cs="Arial"/>
          <w:szCs w:val="24"/>
        </w:rPr>
        <w:t>Making and distributing are indictable offences that carry a maximum sentence of fourteen years and a minimum of one year. Possessing and accessing carry a maximum sentence of ten years and a minimum of one year, when prosecuted by indictment, and a minimum of six months on summary conviction. The respondent pleaded guilty to three charges by indictment: making, distributing and possessing child pornography. There was no count of accessing.</w:t>
      </w:r>
    </w:p>
    <w:p w14:paraId="68DE173B" w14:textId="77777777" w:rsidR="00F72CE5" w:rsidRPr="00377607" w:rsidRDefault="00F72CE5" w:rsidP="00F72CE5">
      <w:pPr>
        <w:pStyle w:val="Paragraphe"/>
        <w:spacing w:line="240" w:lineRule="auto"/>
        <w:rPr>
          <w:rFonts w:cs="Arial"/>
          <w:szCs w:val="24"/>
        </w:rPr>
      </w:pPr>
      <w:r w:rsidRPr="00377607">
        <w:rPr>
          <w:rFonts w:cs="Arial"/>
          <w:szCs w:val="24"/>
        </w:rPr>
        <w:t xml:space="preserve">The sentencing judge concluded that in the respondent's case the mandatory minimum sentences would be grossly disproportionate under section 12 of the Charter and inoperative under section 24(1). On 10 January 2024 she imposed intermittent sentences of “three months” concurrent with probation for two years, including an order for 240 hours of community service. </w:t>
      </w:r>
    </w:p>
    <w:p w14:paraId="2B2E32CA" w14:textId="77777777" w:rsidR="00F72CE5" w:rsidRPr="00377607" w:rsidRDefault="00F72CE5" w:rsidP="00F72CE5">
      <w:pPr>
        <w:pStyle w:val="Paragraphe"/>
        <w:spacing w:line="240" w:lineRule="auto"/>
        <w:rPr>
          <w:rFonts w:cs="Arial"/>
          <w:szCs w:val="24"/>
        </w:rPr>
      </w:pPr>
      <w:r w:rsidRPr="00377607">
        <w:rPr>
          <w:rFonts w:cs="Arial"/>
          <w:szCs w:val="24"/>
        </w:rPr>
        <w:t xml:space="preserve">The DCPP was granted leave to appeal on the grounds presented to a single judge of the Court: </w:t>
      </w:r>
    </w:p>
    <w:p w14:paraId="265F28A1"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lastRenderedPageBreak/>
        <w:t>8.1. La juge de première instance a prononcé une peine illégale pour deux motifs :</w:t>
      </w:r>
    </w:p>
    <w:p w14:paraId="2BA679A3" w14:textId="77777777" w:rsidR="00F72CE5" w:rsidRPr="00D07A67" w:rsidRDefault="00F72CE5" w:rsidP="00F72CE5">
      <w:pPr>
        <w:pStyle w:val="Paragraphe"/>
        <w:numPr>
          <w:ilvl w:val="0"/>
          <w:numId w:val="0"/>
        </w:numPr>
        <w:spacing w:line="240" w:lineRule="auto"/>
        <w:ind w:left="1134" w:right="720"/>
        <w:rPr>
          <w:rFonts w:cs="Arial"/>
          <w:sz w:val="22"/>
          <w:szCs w:val="22"/>
          <w:lang w:val="fr-CA"/>
        </w:rPr>
      </w:pPr>
      <w:r w:rsidRPr="00D07A67">
        <w:rPr>
          <w:rFonts w:cs="Arial"/>
          <w:sz w:val="22"/>
          <w:szCs w:val="22"/>
          <w:lang w:val="fr-CA"/>
        </w:rPr>
        <w:t>8.1.1. La peine contrevient aux peines minimales d’un an d’emprisonnement prévues aux articles 163.1(2) et 163.1(3) C.cr., dont l’inconstitutionnalité n’a pas été déclarée par la juge.</w:t>
      </w:r>
      <w:r w:rsidRPr="00C01C22">
        <w:rPr>
          <w:rStyle w:val="Appelnotedebasdep"/>
          <w:rFonts w:cs="Arial"/>
          <w:sz w:val="22"/>
          <w:szCs w:val="22"/>
        </w:rPr>
        <w:footnoteReference w:id="3"/>
      </w:r>
    </w:p>
    <w:p w14:paraId="2C953131" w14:textId="77777777" w:rsidR="00F72CE5" w:rsidRPr="00D07A67" w:rsidRDefault="00F72CE5" w:rsidP="00F72CE5">
      <w:pPr>
        <w:pStyle w:val="Paragraphe"/>
        <w:numPr>
          <w:ilvl w:val="0"/>
          <w:numId w:val="0"/>
        </w:numPr>
        <w:spacing w:line="240" w:lineRule="auto"/>
        <w:ind w:left="1134" w:right="720"/>
        <w:rPr>
          <w:rFonts w:cs="Arial"/>
          <w:sz w:val="22"/>
          <w:szCs w:val="22"/>
          <w:lang w:val="fr-CA"/>
        </w:rPr>
      </w:pPr>
      <w:r w:rsidRPr="00D07A67">
        <w:rPr>
          <w:rFonts w:cs="Arial"/>
          <w:sz w:val="22"/>
          <w:szCs w:val="22"/>
          <w:lang w:val="fr-CA"/>
        </w:rPr>
        <w:t xml:space="preserve">8.1.2. La peine de trois mois d’emprisonnement infligée dépasse la durée maximale de 90 jours d’emprisonnement prévue à l’article 732(1) C.cr. </w:t>
      </w:r>
      <w:proofErr w:type="gramStart"/>
      <w:r w:rsidRPr="00D07A67">
        <w:rPr>
          <w:rFonts w:cs="Arial"/>
          <w:sz w:val="22"/>
          <w:szCs w:val="22"/>
          <w:lang w:val="fr-CA"/>
        </w:rPr>
        <w:t>et</w:t>
      </w:r>
      <w:proofErr w:type="gramEnd"/>
      <w:r w:rsidRPr="00D07A67">
        <w:rPr>
          <w:rFonts w:cs="Arial"/>
          <w:sz w:val="22"/>
          <w:szCs w:val="22"/>
          <w:lang w:val="fr-CA"/>
        </w:rPr>
        <w:t xml:space="preserve"> ne pouvait par conséquent être purgée de manière discontinue.</w:t>
      </w:r>
    </w:p>
    <w:p w14:paraId="728CE982" w14:textId="77777777" w:rsidR="00F72CE5" w:rsidRPr="00377607" w:rsidRDefault="00F72CE5" w:rsidP="00F72CE5">
      <w:pPr>
        <w:pStyle w:val="Paragraphe"/>
        <w:spacing w:line="240" w:lineRule="auto"/>
        <w:rPr>
          <w:rFonts w:cs="Arial"/>
          <w:szCs w:val="24"/>
        </w:rPr>
      </w:pPr>
      <w:r w:rsidRPr="00377607">
        <w:rPr>
          <w:rFonts w:cs="Arial"/>
          <w:szCs w:val="24"/>
        </w:rPr>
        <w:t xml:space="preserve">The AGQ made representations before the Court of Quebec as </w:t>
      </w:r>
      <w:r w:rsidRPr="00377607">
        <w:rPr>
          <w:rFonts w:cs="Arial"/>
          <w:i/>
          <w:iCs/>
          <w:szCs w:val="24"/>
        </w:rPr>
        <w:t>mis-en-cause</w:t>
      </w:r>
      <w:r w:rsidRPr="00377607">
        <w:rPr>
          <w:rFonts w:cs="Arial"/>
          <w:szCs w:val="24"/>
        </w:rPr>
        <w:t xml:space="preserve"> concerning the constitutional validity of the mandatory minimum sentences for the three offences to which the respondent pleaded guilty. The application for leave was presented jointly by the DCPP and the AGQ.</w:t>
      </w:r>
      <w:r>
        <w:rPr>
          <w:rStyle w:val="Appelnotedebasdep"/>
          <w:rFonts w:cs="Arial"/>
          <w:szCs w:val="24"/>
        </w:rPr>
        <w:footnoteReference w:id="4"/>
      </w:r>
      <w:r w:rsidRPr="00377607">
        <w:rPr>
          <w:rFonts w:cs="Arial"/>
          <w:szCs w:val="24"/>
        </w:rPr>
        <w:t xml:space="preserve"> The AGQ seeks leave as an appellant. The single judge deferred that application to this panel and stated two preliminary questions:</w:t>
      </w:r>
    </w:p>
    <w:p w14:paraId="22E70FB9" w14:textId="77777777" w:rsidR="00F72CE5" w:rsidRPr="00C01C22" w:rsidRDefault="00F72CE5" w:rsidP="00F72CE5">
      <w:pPr>
        <w:pStyle w:val="Citationenretrait"/>
        <w:numPr>
          <w:ilvl w:val="0"/>
          <w:numId w:val="29"/>
        </w:numPr>
        <w:spacing w:line="240" w:lineRule="auto"/>
        <w:rPr>
          <w:rFonts w:cs="Arial"/>
          <w:szCs w:val="22"/>
        </w:rPr>
      </w:pPr>
      <w:r w:rsidRPr="00C01C22">
        <w:rPr>
          <w:rFonts w:cs="Arial"/>
          <w:szCs w:val="22"/>
        </w:rPr>
        <w:t xml:space="preserve">Whether section 676 of the Code grants a right of appeal to the Attorney General in an appeal undertaken by the </w:t>
      </w:r>
      <w:proofErr w:type="gramStart"/>
      <w:r w:rsidRPr="00C01C22">
        <w:rPr>
          <w:rFonts w:cs="Arial"/>
          <w:szCs w:val="22"/>
        </w:rPr>
        <w:t>DCPP;</w:t>
      </w:r>
      <w:proofErr w:type="gramEnd"/>
    </w:p>
    <w:p w14:paraId="1552EA7A" w14:textId="77777777" w:rsidR="00F72CE5" w:rsidRPr="00C01C22" w:rsidRDefault="00F72CE5" w:rsidP="00F72CE5">
      <w:pPr>
        <w:pStyle w:val="Citationenretrait"/>
        <w:numPr>
          <w:ilvl w:val="0"/>
          <w:numId w:val="29"/>
        </w:numPr>
        <w:spacing w:line="240" w:lineRule="auto"/>
        <w:rPr>
          <w:rFonts w:cs="Arial"/>
          <w:szCs w:val="22"/>
        </w:rPr>
      </w:pPr>
      <w:r w:rsidRPr="00C01C22">
        <w:rPr>
          <w:rFonts w:cs="Arial"/>
          <w:szCs w:val="22"/>
        </w:rPr>
        <w:t xml:space="preserve">Whether the </w:t>
      </w:r>
      <w:r w:rsidRPr="00C01C22">
        <w:rPr>
          <w:rFonts w:cs="Arial"/>
          <w:i/>
          <w:iCs/>
          <w:szCs w:val="22"/>
        </w:rPr>
        <w:t>Code of Civil Procedure</w:t>
      </w:r>
      <w:r w:rsidRPr="00C01C22">
        <w:rPr>
          <w:rFonts w:cs="Arial"/>
          <w:szCs w:val="22"/>
        </w:rPr>
        <w:t xml:space="preserve"> grants to the Attorney General a right of appeal </w:t>
      </w:r>
      <w:r w:rsidRPr="00464FBB">
        <w:rPr>
          <w:rFonts w:cs="Arial"/>
          <w:szCs w:val="22"/>
        </w:rPr>
        <w:t>on constitutional issues</w:t>
      </w:r>
      <w:r w:rsidRPr="00C01C22">
        <w:rPr>
          <w:rFonts w:cs="Arial"/>
          <w:szCs w:val="22"/>
        </w:rPr>
        <w:t xml:space="preserve"> before this Court </w:t>
      </w:r>
      <w:proofErr w:type="gramStart"/>
      <w:r w:rsidRPr="00C01C22">
        <w:rPr>
          <w:rFonts w:cs="Arial"/>
          <w:szCs w:val="22"/>
        </w:rPr>
        <w:t>in the course of</w:t>
      </w:r>
      <w:proofErr w:type="gramEnd"/>
      <w:r w:rsidRPr="00C01C22">
        <w:rPr>
          <w:rFonts w:cs="Arial"/>
          <w:szCs w:val="22"/>
        </w:rPr>
        <w:t xml:space="preserve"> a criminal proceeding.</w:t>
      </w:r>
    </w:p>
    <w:p w14:paraId="28F9FBA0" w14:textId="77777777" w:rsidR="00F72CE5" w:rsidRPr="00377607" w:rsidRDefault="00F72CE5" w:rsidP="00F72CE5">
      <w:pPr>
        <w:pStyle w:val="Paragraphe"/>
        <w:spacing w:before="240" w:line="240" w:lineRule="auto"/>
        <w:rPr>
          <w:rFonts w:cs="Arial"/>
          <w:szCs w:val="24"/>
        </w:rPr>
      </w:pPr>
      <w:r w:rsidRPr="00377607">
        <w:rPr>
          <w:rFonts w:cs="Arial"/>
          <w:szCs w:val="24"/>
        </w:rPr>
        <w:t>The AGQ seeks leave to appeal on the following grounds:</w:t>
      </w:r>
    </w:p>
    <w:p w14:paraId="1936F089"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t xml:space="preserve">9.1. La juge de première instance a erré en droit, en ne se prononçant pas sur la validité constitutionnelle des peines minimales d’un an d’emprisonnement prévues aux articles 163.1(2) (production) et 163.1(3) (distribution) </w:t>
      </w:r>
      <w:r w:rsidRPr="00D07A67">
        <w:rPr>
          <w:rFonts w:cs="Arial"/>
          <w:i/>
          <w:iCs/>
          <w:sz w:val="22"/>
          <w:szCs w:val="22"/>
          <w:lang w:val="fr-CA"/>
        </w:rPr>
        <w:t>C.cr.</w:t>
      </w:r>
      <w:r w:rsidRPr="00D07A67">
        <w:rPr>
          <w:rFonts w:cs="Arial"/>
          <w:sz w:val="22"/>
          <w:szCs w:val="22"/>
          <w:lang w:val="fr-CA"/>
        </w:rPr>
        <w:t>, applicables à l’intimée et desquelles elle fait fi, et ce sans analyse et conclusion à l’égard de celles-ci.</w:t>
      </w:r>
    </w:p>
    <w:p w14:paraId="6BB66F37"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t xml:space="preserve">9.2. La juge de première instance a erré en droit, dans l’application du test de l’arrêt </w:t>
      </w:r>
      <w:r w:rsidRPr="00D07A67">
        <w:rPr>
          <w:rFonts w:cs="Arial"/>
          <w:i/>
          <w:iCs/>
          <w:sz w:val="22"/>
          <w:szCs w:val="22"/>
          <w:lang w:val="fr-CA"/>
        </w:rPr>
        <w:t>Hills</w:t>
      </w:r>
      <w:r w:rsidRPr="00D07A67">
        <w:rPr>
          <w:rFonts w:cs="Arial"/>
          <w:sz w:val="22"/>
          <w:szCs w:val="22"/>
          <w:lang w:val="fr-CA"/>
        </w:rPr>
        <w:t>, lorsqu’elle déclare cruelle et inusitée pour l’intimée la peine minimale d’un an prévue à l’article 163.1(4)a) C.cr. (</w:t>
      </w:r>
      <w:proofErr w:type="gramStart"/>
      <w:r w:rsidRPr="00D07A67">
        <w:rPr>
          <w:rFonts w:cs="Arial"/>
          <w:sz w:val="22"/>
          <w:szCs w:val="22"/>
          <w:lang w:val="fr-CA"/>
        </w:rPr>
        <w:t>possession</w:t>
      </w:r>
      <w:proofErr w:type="gramEnd"/>
      <w:r w:rsidRPr="00D07A67">
        <w:rPr>
          <w:rFonts w:cs="Arial"/>
          <w:sz w:val="22"/>
          <w:szCs w:val="22"/>
          <w:lang w:val="fr-CA"/>
        </w:rPr>
        <w:t>), en omettant d’examiner l’ensemble des plus récents critères établis par la Cour suprême (portée de l’infraction, effets sur le délinquant, objectifs de la peine).</w:t>
      </w:r>
    </w:p>
    <w:p w14:paraId="50D57AB4"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t xml:space="preserve">9.3. La juge de première instance a erré en droit, en omettant d’énoncer des motifs démontrant en quoi la peine minimale d’un an d’emprisonnement prévue à l’article 163.1(4)a) C.cr. </w:t>
      </w:r>
      <w:proofErr w:type="gramStart"/>
      <w:r w:rsidRPr="00D07A67">
        <w:rPr>
          <w:rFonts w:cs="Arial"/>
          <w:sz w:val="22"/>
          <w:szCs w:val="22"/>
          <w:lang w:val="fr-CA"/>
        </w:rPr>
        <w:t>serait</w:t>
      </w:r>
      <w:proofErr w:type="gramEnd"/>
      <w:r w:rsidRPr="00D07A67">
        <w:rPr>
          <w:rFonts w:cs="Arial"/>
          <w:sz w:val="22"/>
          <w:szCs w:val="22"/>
          <w:lang w:val="fr-CA"/>
        </w:rPr>
        <w:t xml:space="preserve"> exagérément disproportionnée pour l’intimée (non pas seulement disproportionnée), et qu’elle serait du même coup incompatible avec la dignité humaine et disproportionnée au point où les Canadiens considéreraient cette peine odieuse ou intolérable.</w:t>
      </w:r>
    </w:p>
    <w:p w14:paraId="28D1309F"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lastRenderedPageBreak/>
        <w:t>9.4. La gravité objective de l’ensemble des infractions commises par l’intimée commandait une peine globale d’emprisonnement au moins égale ou supérieure aux peines minimales d’un an prévues aux articles 163.1(4)a), 163.1(2), et 163.1(3) C.cr., et rien ne permettait à la juge de première instance de s’en écarter et de ne pas suivre la volonté du Parlement.</w:t>
      </w:r>
      <w:r w:rsidRPr="00C01C22">
        <w:rPr>
          <w:rStyle w:val="Appelnotedebasdep"/>
          <w:rFonts w:cs="Arial"/>
          <w:sz w:val="22"/>
          <w:szCs w:val="22"/>
        </w:rPr>
        <w:footnoteReference w:id="5"/>
      </w:r>
    </w:p>
    <w:p w14:paraId="7C430672" w14:textId="77777777" w:rsidR="00F72CE5" w:rsidRPr="00377607" w:rsidRDefault="00F72CE5" w:rsidP="00F72CE5">
      <w:pPr>
        <w:pStyle w:val="Paragraphe"/>
        <w:spacing w:before="240" w:line="240" w:lineRule="auto"/>
        <w:rPr>
          <w:rFonts w:cs="Arial"/>
          <w:szCs w:val="24"/>
        </w:rPr>
      </w:pPr>
      <w:r w:rsidRPr="00377607">
        <w:rPr>
          <w:rFonts w:cs="Arial"/>
          <w:szCs w:val="24"/>
        </w:rPr>
        <w:t>The Court must decide whether the mandatory minimum sentences for making and distributing child pornography are constitutionally invalid under sections 12 and 52 of the Charter and whether the sentences in this case for making, distributing and possessing child pornography are unfit.</w:t>
      </w:r>
    </w:p>
    <w:p w14:paraId="325B3694" w14:textId="77777777" w:rsidR="00F72CE5" w:rsidRPr="00377607" w:rsidRDefault="00F72CE5" w:rsidP="00F72CE5">
      <w:pPr>
        <w:pStyle w:val="Paragraphe"/>
        <w:spacing w:line="240" w:lineRule="auto"/>
        <w:rPr>
          <w:rFonts w:cs="Arial"/>
          <w:szCs w:val="24"/>
        </w:rPr>
      </w:pPr>
      <w:r w:rsidRPr="00377607">
        <w:rPr>
          <w:rFonts w:cs="Arial"/>
          <w:szCs w:val="24"/>
        </w:rPr>
        <w:t>I will first review the factual context. Second, I will consider the AGQ’s standing. Third, I will examine the validity of the mandatory minimum sentences at issue. Fourth, I will assess the fitness of the sentences imposed.</w:t>
      </w:r>
    </w:p>
    <w:p w14:paraId="7049ACA5" w14:textId="77777777" w:rsidR="00F72CE5" w:rsidRPr="00377607" w:rsidRDefault="00F72CE5" w:rsidP="00B62EAA">
      <w:pPr>
        <w:pStyle w:val="Paragraphe"/>
        <w:numPr>
          <w:ilvl w:val="0"/>
          <w:numId w:val="0"/>
        </w:numPr>
        <w:spacing w:before="0" w:after="0" w:line="240" w:lineRule="auto"/>
        <w:jc w:val="center"/>
        <w:rPr>
          <w:rFonts w:cs="Arial"/>
          <w:b/>
          <w:bCs/>
          <w:szCs w:val="24"/>
        </w:rPr>
      </w:pPr>
      <w:r w:rsidRPr="00377607">
        <w:rPr>
          <w:rFonts w:cs="Arial"/>
          <w:b/>
          <w:bCs/>
          <w:szCs w:val="24"/>
        </w:rPr>
        <w:t>II</w:t>
      </w:r>
    </w:p>
    <w:p w14:paraId="557130D3" w14:textId="77777777" w:rsidR="00F72CE5" w:rsidRPr="00377607" w:rsidRDefault="00F72CE5" w:rsidP="00B62EAA">
      <w:pPr>
        <w:pStyle w:val="Paragraphe"/>
        <w:numPr>
          <w:ilvl w:val="0"/>
          <w:numId w:val="0"/>
        </w:numPr>
        <w:spacing w:before="0" w:after="0" w:line="240" w:lineRule="auto"/>
        <w:jc w:val="center"/>
        <w:rPr>
          <w:rFonts w:cs="Arial"/>
          <w:b/>
          <w:bCs/>
          <w:szCs w:val="24"/>
        </w:rPr>
      </w:pPr>
      <w:r w:rsidRPr="00377607">
        <w:rPr>
          <w:rFonts w:cs="Arial"/>
          <w:b/>
          <w:bCs/>
          <w:szCs w:val="24"/>
        </w:rPr>
        <w:t>Facts</w:t>
      </w:r>
    </w:p>
    <w:p w14:paraId="726AE44B" w14:textId="77777777" w:rsidR="00F72CE5" w:rsidRPr="00377607" w:rsidRDefault="00F72CE5" w:rsidP="00F72CE5">
      <w:pPr>
        <w:pStyle w:val="Paragraphe"/>
        <w:spacing w:line="240" w:lineRule="auto"/>
        <w:rPr>
          <w:rFonts w:cs="Arial"/>
          <w:szCs w:val="24"/>
        </w:rPr>
      </w:pPr>
      <w:r w:rsidRPr="00377607">
        <w:rPr>
          <w:rFonts w:cs="Arial"/>
          <w:szCs w:val="24"/>
        </w:rPr>
        <w:t>The sentencing judge summarized the facts as follows and they are not contested.</w:t>
      </w:r>
    </w:p>
    <w:p w14:paraId="09C502B1"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[3]</w:t>
      </w:r>
      <w:r w:rsidRPr="00D07A67">
        <w:rPr>
          <w:rFonts w:cs="Arial"/>
          <w:szCs w:val="22"/>
          <w:lang w:val="fr-CA"/>
        </w:rPr>
        <w:tab/>
        <w:t>L'accusée âgée de 54 ans, sans passé criminel, travaillant dans le secteur de la santé, mère exemplaire de trois filles adultes et aujourd'hui grand-mère s'est reconnue coupable d'avoir, entre les 20 et 28 mai 2019, commis trois actes criminels, soit d'avoir produit, transmis et possédé de la pornographie juvénile.</w:t>
      </w:r>
    </w:p>
    <w:p w14:paraId="6604F413"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[4]</w:t>
      </w:r>
      <w:r w:rsidRPr="00D07A67">
        <w:rPr>
          <w:rFonts w:cs="Arial"/>
          <w:szCs w:val="22"/>
          <w:lang w:val="fr-CA"/>
        </w:rPr>
        <w:tab/>
        <w:t>Au cours de l'année 2019, elle traverse une période troublante qui affecte plusieurs sphères de sa vie jusqu'alors exemplaire. Elle intègre un réseau de rencontres virtuelles et échange ses fantasmes pédophiliques sordides avec son complice (coaccusé) Jean-François Allard. Au cours de la semaine qui suit, elle lui transmet 10 photos pédopornographiques. La saisie de son téléphone permet de retrouver une vingtaine de photos de jeunes filles et garçons âgés entre 5 à 16 ans en position suggestive incluant des fellations jusqu'à éjaculation.</w:t>
      </w:r>
    </w:p>
    <w:p w14:paraId="67146A72"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w:t>
      </w:r>
    </w:p>
    <w:p w14:paraId="154486AF"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[12]</w:t>
      </w:r>
      <w:r w:rsidRPr="00D07A67">
        <w:rPr>
          <w:rFonts w:cs="Arial"/>
          <w:szCs w:val="22"/>
          <w:lang w:val="fr-CA"/>
        </w:rPr>
        <w:tab/>
        <w:t>L'accusée communique avec trois ou quatre personnes sur le site « </w:t>
      </w:r>
      <w:proofErr w:type="spellStart"/>
      <w:r w:rsidRPr="00D07A67">
        <w:rPr>
          <w:rFonts w:cs="Arial"/>
          <w:szCs w:val="22"/>
          <w:lang w:val="fr-CA"/>
        </w:rPr>
        <w:t>Jalf</w:t>
      </w:r>
      <w:proofErr w:type="spellEnd"/>
      <w:r w:rsidRPr="00D07A67">
        <w:rPr>
          <w:rFonts w:cs="Arial"/>
          <w:szCs w:val="22"/>
          <w:lang w:val="fr-CA"/>
        </w:rPr>
        <w:t> » utilisé par des adultes dits ouverts à la sexualité. Elle partage avec eux des images.</w:t>
      </w:r>
    </w:p>
    <w:p w14:paraId="00EFB74D"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[13]</w:t>
      </w:r>
      <w:r w:rsidRPr="00D07A67">
        <w:rPr>
          <w:rFonts w:cs="Arial"/>
          <w:szCs w:val="22"/>
          <w:lang w:val="fr-CA"/>
        </w:rPr>
        <w:tab/>
        <w:t>Elle fait la connaissance de son complice (coaccusé) Jean-François Allard. Le matin du 20 mai 2019, M. Allard lui demande sa préférence quant à l'âge et le sexe des enfants. Madame répond : « </w:t>
      </w:r>
      <w:r w:rsidRPr="00D07A67">
        <w:rPr>
          <w:rFonts w:cs="Arial"/>
          <w:i/>
          <w:iCs/>
          <w:szCs w:val="22"/>
          <w:lang w:val="fr-CA"/>
        </w:rPr>
        <w:t>C'est dans l'ordre du fantasme, je n'ai jamais eu de relation avec des jeunes</w:t>
      </w:r>
      <w:r w:rsidRPr="00D07A67">
        <w:rPr>
          <w:rFonts w:cs="Arial"/>
          <w:szCs w:val="22"/>
          <w:lang w:val="fr-CA"/>
        </w:rPr>
        <w:t>. »</w:t>
      </w:r>
    </w:p>
    <w:p w14:paraId="0757C2A4"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lastRenderedPageBreak/>
        <w:t>[14]</w:t>
      </w:r>
      <w:r w:rsidRPr="00D07A67">
        <w:rPr>
          <w:rFonts w:cs="Arial"/>
          <w:szCs w:val="22"/>
          <w:lang w:val="fr-CA"/>
        </w:rPr>
        <w:tab/>
        <w:t>Dans les minutes qui suivent, elle lui transmet trois photos de pédopornographie. En fin de soirée M. Allard précise ne pas les avoir reçues. Elle lui explique la façon de les regarder en « mode secret » ce qui ne semble pas fonctionner. Elle reprend l'envoi de neuf photos en « mode normal ».</w:t>
      </w:r>
    </w:p>
    <w:p w14:paraId="4CD2D3DD"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[15]</w:t>
      </w:r>
      <w:r w:rsidRPr="00D07A67">
        <w:rPr>
          <w:rFonts w:cs="Arial"/>
          <w:szCs w:val="22"/>
          <w:lang w:val="fr-CA"/>
        </w:rPr>
        <w:tab/>
        <w:t>Les échanges entre eux s'échelonnent sur une période de sept jours. Leurs écrits portent sur leurs désirs envers les enfants et adolescent(e)s, de séquestration, de violence, de blessure anale, de tourisme sexuel, de scatophilie et de zoophilie. Ils partagent dans les moindres détails leurs perversions et décrivent la façon qu'ils réaliseraient leurs fantasmes s'ils se voyaient.</w:t>
      </w:r>
    </w:p>
    <w:p w14:paraId="4F1692CC"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[16]</w:t>
      </w:r>
      <w:r w:rsidRPr="00D07A67">
        <w:rPr>
          <w:rFonts w:cs="Arial"/>
          <w:szCs w:val="22"/>
          <w:lang w:val="fr-CA"/>
        </w:rPr>
        <w:tab/>
        <w:t>L'accusée jalouse le fait que M. Allard possède des vidéos présentant des enfants âgés entre 5 à 12 ans.  Dans cette conversation, elle écrit : « </w:t>
      </w:r>
      <w:r w:rsidRPr="00D07A67">
        <w:rPr>
          <w:rFonts w:cs="Arial"/>
          <w:i/>
          <w:iCs/>
          <w:szCs w:val="22"/>
          <w:lang w:val="fr-CA"/>
        </w:rPr>
        <w:t>Oui et non…à cause de mes filles…Mais ça m'excite</w:t>
      </w:r>
      <w:r w:rsidRPr="00D07A67">
        <w:rPr>
          <w:rFonts w:cs="Arial"/>
          <w:szCs w:val="22"/>
          <w:lang w:val="fr-CA"/>
        </w:rPr>
        <w:t> ». Un peu plus loin, elle ajoute qu'elle aime l'idée « </w:t>
      </w:r>
      <w:r w:rsidRPr="00D07A67">
        <w:rPr>
          <w:rFonts w:cs="Arial"/>
          <w:i/>
          <w:iCs/>
          <w:szCs w:val="22"/>
          <w:lang w:val="fr-CA"/>
        </w:rPr>
        <w:t>qu'il mette une petite enceinte</w:t>
      </w:r>
      <w:r w:rsidRPr="00D07A67">
        <w:rPr>
          <w:rFonts w:cs="Arial"/>
          <w:szCs w:val="22"/>
          <w:lang w:val="fr-CA"/>
        </w:rPr>
        <w:t> ».</w:t>
      </w:r>
    </w:p>
    <w:p w14:paraId="300A859C"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[17]</w:t>
      </w:r>
      <w:r w:rsidRPr="00D07A67">
        <w:rPr>
          <w:rFonts w:cs="Arial"/>
          <w:szCs w:val="22"/>
          <w:lang w:val="fr-CA"/>
        </w:rPr>
        <w:tab/>
        <w:t>Quelques jours plus tard, elle mentionne avoir regardé d'autres photos et lui en transmet une. M. Allard lui en expédie à son tour. Ils poursuivent leurs échanges. Lors de l'un d'eux, l'accusée révèle aimer les garçons, mais elle tiendrait une petite pendant que M. Allard la sodomise.</w:t>
      </w:r>
    </w:p>
    <w:p w14:paraId="1EB481EC"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[18]</w:t>
      </w:r>
      <w:r w:rsidRPr="00D07A67">
        <w:rPr>
          <w:rFonts w:cs="Arial"/>
          <w:szCs w:val="22"/>
          <w:lang w:val="fr-CA"/>
        </w:rPr>
        <w:tab/>
        <w:t>Elle écrit être consciente que ce qu'ils font « peut foutre une vie en l'air » et avoir peur, mais ajoute que les jeunes l'excitent. Il lui semble acceptable que ça demeure dans l'ordre du fantasme sans passer à l'acte.</w:t>
      </w:r>
    </w:p>
    <w:p w14:paraId="0DE902D2"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[19]</w:t>
      </w:r>
      <w:r w:rsidRPr="00D07A67">
        <w:rPr>
          <w:rFonts w:cs="Arial"/>
          <w:szCs w:val="22"/>
          <w:lang w:val="fr-CA"/>
        </w:rPr>
        <w:tab/>
        <w:t>Elle est arrêtée en octobre 2019. Une saisie a permis de retrouver plus d'une vingtaine de photos pédopornographiques dont des jeunes filles et garçons âgés entre 5 à 16 ans en position suggestive, incluant des fellations jusqu'à éjaculation.</w:t>
      </w:r>
    </w:p>
    <w:p w14:paraId="3F1DDBBA"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[20]</w:t>
      </w:r>
      <w:r w:rsidRPr="00D07A67">
        <w:rPr>
          <w:rFonts w:cs="Arial"/>
          <w:szCs w:val="22"/>
          <w:lang w:val="fr-CA"/>
        </w:rPr>
        <w:tab/>
        <w:t>Interrogée par les policiers elle reconnait les faits.</w:t>
      </w:r>
    </w:p>
    <w:p w14:paraId="77833334" w14:textId="77777777" w:rsidR="00F72CE5" w:rsidRPr="00C01C22" w:rsidRDefault="00F72CE5" w:rsidP="00F72CE5">
      <w:pPr>
        <w:pStyle w:val="Citationenretrait"/>
        <w:spacing w:line="240" w:lineRule="auto"/>
        <w:jc w:val="right"/>
        <w:rPr>
          <w:rFonts w:cs="Arial"/>
          <w:szCs w:val="22"/>
        </w:rPr>
      </w:pPr>
      <w:r w:rsidRPr="00C01C22">
        <w:rPr>
          <w:rFonts w:cs="Arial"/>
          <w:szCs w:val="22"/>
        </w:rPr>
        <w:t>(References omitted)</w:t>
      </w:r>
    </w:p>
    <w:p w14:paraId="7F503A69" w14:textId="77777777" w:rsidR="00F72CE5" w:rsidRPr="00377607" w:rsidRDefault="00F72CE5" w:rsidP="00F72CE5">
      <w:pPr>
        <w:pStyle w:val="Paragraphe"/>
        <w:spacing w:line="240" w:lineRule="auto"/>
        <w:rPr>
          <w:rFonts w:cs="Arial"/>
          <w:szCs w:val="24"/>
        </w:rPr>
      </w:pPr>
      <w:r w:rsidRPr="00377607">
        <w:rPr>
          <w:rFonts w:cs="Arial"/>
          <w:szCs w:val="24"/>
        </w:rPr>
        <w:t>The DCPP presents the same summary but with some elaboration.</w:t>
      </w:r>
    </w:p>
    <w:p w14:paraId="43DDDD55"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[1]</w:t>
      </w:r>
      <w:r w:rsidRPr="00D07A67">
        <w:rPr>
          <w:rFonts w:cs="Arial"/>
          <w:szCs w:val="22"/>
          <w:lang w:val="fr-CA"/>
        </w:rPr>
        <w:tab/>
        <w:t xml:space="preserve">Alors qu'elle traverse une période difficile de sa vie, l'intimée se prête aux fantasmes sexuels de nombreux interlocuteurs sur un site de rencontres spécialisé (JALF). Elle échange des propos de nature pédophilique avec l'un d'entre eux, dénommé « Affamé », qui lui indique que son ami, qui s'avèrera être M. Allard, va la contacter. </w:t>
      </w:r>
    </w:p>
    <w:p w14:paraId="3180E437"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[2]</w:t>
      </w:r>
      <w:r w:rsidRPr="00D07A67">
        <w:rPr>
          <w:rFonts w:cs="Arial"/>
          <w:szCs w:val="22"/>
          <w:lang w:val="fr-CA"/>
        </w:rPr>
        <w:tab/>
        <w:t xml:space="preserve">C'est ce que fait M. Allard dans la nuit du 20 au 21 mai 2019. La conversation débute lorsque M. Allard interroge l'intimée sur ses préférences sexuelles (sexe et âge). L'intimée répond alors « C'est dans l'ordre du fantasme, je n'ai jamais eu de relation avec des jeunes » et envoie trois photos d'adolescents nus. Dès les premiers échanges avec M. Allard, l'intimée lui demande de passer en « mode secret » puisque « c'est plus prudent quand on parle de certaines </w:t>
      </w:r>
      <w:r w:rsidRPr="00D07A67">
        <w:rPr>
          <w:rFonts w:cs="Arial"/>
          <w:szCs w:val="22"/>
          <w:lang w:val="fr-CA"/>
        </w:rPr>
        <w:lastRenderedPageBreak/>
        <w:t>choses », lui affirme qu'elle « aime les jeunes ados » et lui répète qu'elle a « hâte de parler de perversité ».</w:t>
      </w:r>
    </w:p>
    <w:p w14:paraId="38BFDFC2"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[3]</w:t>
      </w:r>
      <w:r w:rsidRPr="00D07A67">
        <w:rPr>
          <w:rFonts w:cs="Arial"/>
          <w:szCs w:val="22"/>
          <w:lang w:val="fr-CA"/>
        </w:rPr>
        <w:tab/>
        <w:t>Puisque le « mode secret » ne semble pas bien fonctionner, l'intimée et M. Allard passent en « mode normal ». L'intimée s'assure que M. Allard est bien en « mode normal » lui aussi, car elle ne veut pas se « compromettre » seule. Elle envoie alors quatre photos d'adolescentes nues, en précisant que « c'est tellement beau et invitant » et qu</w:t>
      </w:r>
      <w:proofErr w:type="gramStart"/>
      <w:r w:rsidRPr="00D07A67">
        <w:rPr>
          <w:rFonts w:cs="Arial"/>
          <w:szCs w:val="22"/>
          <w:lang w:val="fr-CA"/>
        </w:rPr>
        <w:t>'«</w:t>
      </w:r>
      <w:proofErr w:type="gramEnd"/>
      <w:r w:rsidRPr="00D07A67">
        <w:rPr>
          <w:rFonts w:cs="Arial"/>
          <w:szCs w:val="22"/>
          <w:lang w:val="fr-CA"/>
        </w:rPr>
        <w:t> elles ont pas plus que 15 ans ». Elle enchaîne ensuite avec l'envoi de cinq photos d'adolescents en érection. L'une des photos représente une fellation.</w:t>
      </w:r>
    </w:p>
    <w:p w14:paraId="33F7DDC9"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[4]</w:t>
      </w:r>
      <w:r w:rsidRPr="00D07A67">
        <w:rPr>
          <w:rFonts w:cs="Arial"/>
          <w:szCs w:val="22"/>
          <w:lang w:val="fr-CA"/>
        </w:rPr>
        <w:tab/>
        <w:t>Les deux interlocuteurs décrivent ensuite des scénarios d'abus de confiance et d'agression sexuelles violentes sur des mineures. L'intimée affirme alors, après avoir envoyé une nouvelle photo d'une adolescente nue, qu'elle « se sent mal de regarder des choses comme ça ». Cela ne l'empêche pas de continuer à évoquer des scénarios pédophiliques et d'encourager M. Allard dans ses scénarios de séquestration, d'objectification avilissante et d'agressions sexuelles violentes sur des mineures de 14 ans ou moins M. Allard finit par évoquer des scénarios d'agressions sur des jeunes de 6 à 8 ans, toujours encouragé par l'intimée qui lui dit notamment qu'elle serait très excitée s'il « mettait une petite enceinte ».</w:t>
      </w:r>
    </w:p>
    <w:p w14:paraId="4704265C"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[5]</w:t>
      </w:r>
      <w:r w:rsidRPr="00D07A67">
        <w:rPr>
          <w:rFonts w:cs="Arial"/>
          <w:szCs w:val="22"/>
          <w:lang w:val="fr-CA"/>
        </w:rPr>
        <w:tab/>
        <w:t>Dans la nuit du 24 au 25 mai 2019, l'intimée envoie une nouvelle photo d'adolescents ayant une relation sexuelle à M. Allard ainsi qu'une photo d'une enfant en train de faire une fellation. Les scénarios pédophiliques reprennent. L'intimée affirme notamment : « j'aimerais tenir une petite pendant que tu la défonces ».</w:t>
      </w:r>
    </w:p>
    <w:p w14:paraId="0540760F" w14:textId="77777777" w:rsidR="00F72CE5" w:rsidRPr="00D07A67" w:rsidRDefault="00F72CE5" w:rsidP="00F72CE5">
      <w:pPr>
        <w:pStyle w:val="Citationenretrait"/>
        <w:spacing w:line="240" w:lineRule="auto"/>
        <w:rPr>
          <w:rFonts w:cs="Arial"/>
          <w:szCs w:val="22"/>
          <w:lang w:val="fr-CA"/>
        </w:rPr>
      </w:pPr>
      <w:r w:rsidRPr="00D07A67">
        <w:rPr>
          <w:rFonts w:cs="Arial"/>
          <w:szCs w:val="22"/>
          <w:lang w:val="fr-CA"/>
        </w:rPr>
        <w:t>[6]</w:t>
      </w:r>
      <w:r w:rsidRPr="00D07A67">
        <w:rPr>
          <w:rFonts w:cs="Arial"/>
          <w:szCs w:val="22"/>
          <w:lang w:val="fr-CA"/>
        </w:rPr>
        <w:tab/>
        <w:t>Les interlocuteurs se reparlent brièvement les 27 et 28 mai, mais il n'est pas question de pornographie juvénile ni de pédophilie.</w:t>
      </w:r>
    </w:p>
    <w:p w14:paraId="14FDE0BD" w14:textId="77777777" w:rsidR="00F72CE5" w:rsidRPr="000D67E4" w:rsidRDefault="00F72CE5" w:rsidP="00F72CE5">
      <w:pPr>
        <w:pStyle w:val="Citationenretrait"/>
        <w:spacing w:after="240" w:line="240" w:lineRule="auto"/>
        <w:jc w:val="right"/>
        <w:rPr>
          <w:rFonts w:cs="Arial"/>
          <w:szCs w:val="22"/>
        </w:rPr>
      </w:pPr>
      <w:r w:rsidRPr="000D67E4">
        <w:rPr>
          <w:rFonts w:cs="Arial"/>
          <w:szCs w:val="22"/>
        </w:rPr>
        <w:t>(Appellant’s Factum, references omitted)</w:t>
      </w:r>
    </w:p>
    <w:p w14:paraId="6AA36A7B" w14:textId="77777777" w:rsidR="00F72CE5" w:rsidRPr="00377607" w:rsidRDefault="00F72CE5" w:rsidP="00F72CE5">
      <w:pPr>
        <w:pStyle w:val="Paragraphe"/>
        <w:numPr>
          <w:ilvl w:val="0"/>
          <w:numId w:val="0"/>
        </w:numPr>
        <w:spacing w:before="240" w:after="0" w:line="240" w:lineRule="auto"/>
        <w:jc w:val="center"/>
        <w:rPr>
          <w:rFonts w:cs="Arial"/>
          <w:b/>
          <w:bCs/>
          <w:szCs w:val="24"/>
        </w:rPr>
      </w:pPr>
      <w:r w:rsidRPr="00377607">
        <w:rPr>
          <w:rFonts w:cs="Arial"/>
          <w:b/>
          <w:bCs/>
          <w:szCs w:val="24"/>
        </w:rPr>
        <w:t>III</w:t>
      </w:r>
    </w:p>
    <w:p w14:paraId="1A38D6E3" w14:textId="77777777" w:rsidR="00F72CE5" w:rsidRPr="00377607" w:rsidRDefault="00F72CE5" w:rsidP="00F72CE5">
      <w:pPr>
        <w:pStyle w:val="Paragraphe"/>
        <w:numPr>
          <w:ilvl w:val="0"/>
          <w:numId w:val="0"/>
        </w:numPr>
        <w:spacing w:before="0" w:after="240" w:line="240" w:lineRule="auto"/>
        <w:jc w:val="center"/>
        <w:rPr>
          <w:rFonts w:cs="Arial"/>
          <w:b/>
          <w:bCs/>
          <w:szCs w:val="24"/>
        </w:rPr>
      </w:pPr>
      <w:r w:rsidRPr="00377607">
        <w:rPr>
          <w:rFonts w:cs="Arial"/>
          <w:b/>
          <w:bCs/>
          <w:szCs w:val="24"/>
        </w:rPr>
        <w:t>Attorney General's Standing</w:t>
      </w:r>
    </w:p>
    <w:p w14:paraId="11989304" w14:textId="77777777" w:rsidR="00F72CE5" w:rsidRPr="00377607" w:rsidRDefault="00F72CE5" w:rsidP="00F72CE5">
      <w:pPr>
        <w:pStyle w:val="Paragraphe"/>
        <w:spacing w:line="240" w:lineRule="auto"/>
        <w:rPr>
          <w:rFonts w:cs="Arial"/>
          <w:szCs w:val="24"/>
        </w:rPr>
      </w:pPr>
      <w:r w:rsidRPr="00377607">
        <w:rPr>
          <w:rFonts w:cs="Arial"/>
          <w:szCs w:val="24"/>
        </w:rPr>
        <w:t>Section 676(1)(</w:t>
      </w:r>
      <w:r w:rsidRPr="00377607">
        <w:rPr>
          <w:rFonts w:cs="Arial"/>
          <w:i/>
          <w:iCs/>
          <w:szCs w:val="24"/>
        </w:rPr>
        <w:t>d</w:t>
      </w:r>
      <w:r w:rsidRPr="00377607">
        <w:rPr>
          <w:rFonts w:cs="Arial"/>
          <w:szCs w:val="24"/>
        </w:rPr>
        <w:t xml:space="preserve">) of the </w:t>
      </w:r>
      <w:r w:rsidRPr="00377607">
        <w:rPr>
          <w:rFonts w:cs="Arial"/>
          <w:i/>
          <w:iCs/>
          <w:szCs w:val="24"/>
        </w:rPr>
        <w:t>Criminal Code</w:t>
      </w:r>
      <w:r w:rsidRPr="00377607">
        <w:rPr>
          <w:rFonts w:cs="Arial"/>
          <w:szCs w:val="24"/>
        </w:rPr>
        <w:t xml:space="preserve"> allows the “attorney general” to appeal against a sentence, including a declaration of the inoperability or invalidity of a minimum sentence. </w:t>
      </w:r>
    </w:p>
    <w:p w14:paraId="254CBE0C" w14:textId="77777777" w:rsidR="00F72CE5" w:rsidRPr="00377607" w:rsidRDefault="00F72CE5" w:rsidP="00F72CE5">
      <w:pPr>
        <w:pStyle w:val="Paragraphe"/>
        <w:spacing w:line="240" w:lineRule="auto"/>
        <w:rPr>
          <w:rFonts w:cs="Arial"/>
          <w:szCs w:val="24"/>
        </w:rPr>
      </w:pPr>
      <w:r w:rsidRPr="00377607">
        <w:rPr>
          <w:rFonts w:cs="Arial"/>
          <w:szCs w:val="24"/>
        </w:rPr>
        <w:t>Who is the attorney general? More specifically, does the authority of the DCPP to conduct an appeal exclude the standing of the AGQ to participate</w:t>
      </w:r>
      <w:r w:rsidRPr="00947A9E">
        <w:rPr>
          <w:rFonts w:cs="Arial"/>
          <w:szCs w:val="24"/>
        </w:rPr>
        <w:t xml:space="preserve"> </w:t>
      </w:r>
      <w:r w:rsidRPr="00377607">
        <w:rPr>
          <w:rFonts w:cs="Arial"/>
          <w:szCs w:val="24"/>
        </w:rPr>
        <w:t xml:space="preserve">in this Court as an appellant? This question has not previously been considered by the Court. </w:t>
      </w:r>
    </w:p>
    <w:p w14:paraId="0C2391AD" w14:textId="77777777" w:rsidR="00F72CE5" w:rsidRPr="00377607" w:rsidRDefault="00F72CE5" w:rsidP="00F72CE5">
      <w:pPr>
        <w:pStyle w:val="Paragraphe"/>
        <w:spacing w:line="240" w:lineRule="auto"/>
        <w:rPr>
          <w:rFonts w:cs="Arial"/>
          <w:szCs w:val="24"/>
        </w:rPr>
      </w:pPr>
      <w:r w:rsidRPr="00377607">
        <w:rPr>
          <w:rFonts w:cs="Arial"/>
          <w:szCs w:val="24"/>
        </w:rPr>
        <w:lastRenderedPageBreak/>
        <w:t xml:space="preserve"> In my opinion the standing of the DCPP does not exclude the standing of the AGQ.</w:t>
      </w:r>
      <w:r w:rsidRPr="00377607">
        <w:rPr>
          <w:rStyle w:val="Appelnotedebasdep"/>
          <w:rFonts w:cs="Arial"/>
          <w:szCs w:val="24"/>
        </w:rPr>
        <w:footnoteReference w:id="6"/>
      </w:r>
      <w:r w:rsidRPr="00377607">
        <w:rPr>
          <w:rFonts w:cs="Arial"/>
          <w:szCs w:val="24"/>
        </w:rPr>
        <w:t xml:space="preserve"> These two law officers of the state have equal and shared standing in law as the attorney general and his de</w:t>
      </w:r>
      <w:r>
        <w:rPr>
          <w:rFonts w:cs="Arial"/>
          <w:szCs w:val="24"/>
        </w:rPr>
        <w:t>puty</w:t>
      </w:r>
      <w:r w:rsidRPr="00377607">
        <w:rPr>
          <w:rFonts w:cs="Arial"/>
          <w:szCs w:val="24"/>
        </w:rPr>
        <w:t xml:space="preserve">. This is established by the </w:t>
      </w:r>
      <w:r w:rsidRPr="00377607">
        <w:rPr>
          <w:rFonts w:cs="Arial"/>
          <w:i/>
          <w:iCs/>
          <w:szCs w:val="24"/>
        </w:rPr>
        <w:t>Criminal Code</w:t>
      </w:r>
      <w:r w:rsidRPr="00377607">
        <w:rPr>
          <w:rFonts w:cs="Arial"/>
          <w:szCs w:val="24"/>
        </w:rPr>
        <w:t xml:space="preserve"> and provincial legislation governing the functions of the AGQ and the DCPP.</w:t>
      </w:r>
    </w:p>
    <w:p w14:paraId="4B985FFB" w14:textId="77777777" w:rsidR="00F72CE5" w:rsidRPr="00377607" w:rsidRDefault="00F72CE5" w:rsidP="00F72CE5">
      <w:pPr>
        <w:pStyle w:val="Paragraphe"/>
        <w:spacing w:line="240" w:lineRule="auto"/>
        <w:rPr>
          <w:rFonts w:cs="Arial"/>
          <w:szCs w:val="24"/>
        </w:rPr>
      </w:pPr>
      <w:r w:rsidRPr="00377607">
        <w:rPr>
          <w:rFonts w:cs="Arial"/>
          <w:szCs w:val="24"/>
        </w:rPr>
        <w:t xml:space="preserve">Prosecutorial authority comprises the conduct of prosecutions under valid laws and the defence of the validity of laws. Either the DCPP and the AGQ share the same prosecutorial </w:t>
      </w:r>
      <w:r w:rsidRPr="00842078">
        <w:rPr>
          <w:rFonts w:cs="Arial"/>
          <w:szCs w:val="24"/>
        </w:rPr>
        <w:t xml:space="preserve">authority in these </w:t>
      </w:r>
      <w:proofErr w:type="gramStart"/>
      <w:r w:rsidRPr="00842078">
        <w:rPr>
          <w:rFonts w:cs="Arial"/>
          <w:szCs w:val="24"/>
        </w:rPr>
        <w:t>functions</w:t>
      </w:r>
      <w:proofErr w:type="gramEnd"/>
      <w:r w:rsidRPr="00842078">
        <w:rPr>
          <w:rFonts w:cs="Arial"/>
          <w:szCs w:val="24"/>
        </w:rPr>
        <w:t xml:space="preserve"> or they do not. If they do, their functions may be divided by a</w:t>
      </w:r>
      <w:r>
        <w:rPr>
          <w:rFonts w:cs="Arial"/>
          <w:szCs w:val="24"/>
        </w:rPr>
        <w:t>n</w:t>
      </w:r>
      <w:r w:rsidRPr="00842078">
        <w:rPr>
          <w:rFonts w:cs="Arial"/>
          <w:szCs w:val="24"/>
        </w:rPr>
        <w:t xml:space="preserve"> in</w:t>
      </w:r>
      <w:r>
        <w:rPr>
          <w:rFonts w:cs="Arial"/>
          <w:szCs w:val="24"/>
        </w:rPr>
        <w:t>stitutional caesura</w:t>
      </w:r>
      <w:r w:rsidRPr="00377607">
        <w:rPr>
          <w:rFonts w:cs="Arial"/>
          <w:szCs w:val="24"/>
        </w:rPr>
        <w:t xml:space="preserve"> between prosecuting cases and defending </w:t>
      </w:r>
      <w:proofErr w:type="gramStart"/>
      <w:r w:rsidRPr="00377607">
        <w:rPr>
          <w:rFonts w:cs="Arial"/>
          <w:szCs w:val="24"/>
        </w:rPr>
        <w:t>laws</w:t>
      </w:r>
      <w:proofErr w:type="gramEnd"/>
      <w:r w:rsidRPr="00377607">
        <w:rPr>
          <w:rFonts w:cs="Arial"/>
          <w:szCs w:val="24"/>
        </w:rPr>
        <w:t xml:space="preserve"> but such a </w:t>
      </w:r>
      <w:r>
        <w:rPr>
          <w:rFonts w:cs="Arial"/>
          <w:szCs w:val="24"/>
        </w:rPr>
        <w:t>screen</w:t>
      </w:r>
      <w:r w:rsidRPr="00377607">
        <w:rPr>
          <w:rFonts w:cs="Arial"/>
          <w:szCs w:val="24"/>
        </w:rPr>
        <w:t xml:space="preserve"> is not a juridical imperative because the two are coequal. If imposed by the legislature, a curtain reinforces the appearance of prosecutorial independence by a functional </w:t>
      </w:r>
      <w:proofErr w:type="gramStart"/>
      <w:r w:rsidRPr="00377607">
        <w:rPr>
          <w:rFonts w:cs="Arial"/>
          <w:szCs w:val="24"/>
        </w:rPr>
        <w:t>division</w:t>
      </w:r>
      <w:proofErr w:type="gramEnd"/>
      <w:r w:rsidRPr="00377607">
        <w:rPr>
          <w:rFonts w:cs="Arial"/>
          <w:szCs w:val="24"/>
        </w:rPr>
        <w:t xml:space="preserve"> but it does not enforce a separation of juridical authority between the AGQ and the DCPP. If they do not share prosecutorial authority, the AGQ is a third party in the prosecution of any case conducted by the DCPP and as a stranger must present sufficient credentials to cross the </w:t>
      </w:r>
      <w:r>
        <w:rPr>
          <w:rFonts w:cs="Arial"/>
          <w:szCs w:val="24"/>
        </w:rPr>
        <w:t>divide</w:t>
      </w:r>
      <w:r w:rsidRPr="00377607">
        <w:rPr>
          <w:rFonts w:cs="Arial"/>
          <w:szCs w:val="24"/>
        </w:rPr>
        <w:t xml:space="preserve"> to enter a prosecution. These two possible views of prosecutorial authority cannot be correct at the same time. I subscribe to the first.</w:t>
      </w:r>
    </w:p>
    <w:p w14:paraId="2FA6FAA0" w14:textId="77777777" w:rsidR="00F72CE5" w:rsidRPr="00377607" w:rsidRDefault="00F72CE5" w:rsidP="00F72CE5">
      <w:pPr>
        <w:pStyle w:val="Paragraphe"/>
        <w:spacing w:line="240" w:lineRule="auto"/>
        <w:rPr>
          <w:rFonts w:cs="Arial"/>
          <w:szCs w:val="24"/>
        </w:rPr>
      </w:pPr>
      <w:r w:rsidRPr="00377607">
        <w:rPr>
          <w:rFonts w:cs="Arial"/>
          <w:szCs w:val="24"/>
        </w:rPr>
        <w:t xml:space="preserve">The plain meaning of words provides an introduction. Long before the creation of the DCPP, section 2 of the </w:t>
      </w:r>
      <w:r w:rsidRPr="00377607">
        <w:rPr>
          <w:rFonts w:cs="Arial"/>
          <w:i/>
          <w:iCs/>
          <w:szCs w:val="24"/>
        </w:rPr>
        <w:t>Criminal Code</w:t>
      </w:r>
      <w:r w:rsidRPr="00377607">
        <w:rPr>
          <w:rFonts w:cs="Arial"/>
          <w:szCs w:val="24"/>
        </w:rPr>
        <w:t xml:space="preserve"> defined “attorney general” in these terms:</w:t>
      </w:r>
    </w:p>
    <w:p w14:paraId="33E988D1" w14:textId="77777777" w:rsidR="00F72CE5" w:rsidRPr="00377607" w:rsidRDefault="00F72CE5" w:rsidP="00F72CE5">
      <w:pPr>
        <w:pStyle w:val="Citationenretrait"/>
        <w:spacing w:line="240" w:lineRule="auto"/>
      </w:pPr>
      <w:r w:rsidRPr="00FA6466">
        <w:rPr>
          <w:rStyle w:val="lawlabel"/>
          <w:rFonts w:cs="Arial"/>
          <w:color w:val="000000"/>
          <w:szCs w:val="24"/>
        </w:rPr>
        <w:t>(a)</w:t>
      </w:r>
      <w:r w:rsidRPr="00377607">
        <w:t> with respect to proceedings to which this Act applies, means the Attorney General or Solicitor General of the province in which those proceedings are taken and includes his or her lawful deputy […].</w:t>
      </w:r>
    </w:p>
    <w:p w14:paraId="213298B6" w14:textId="77777777" w:rsidR="00F72CE5" w:rsidRPr="00377607" w:rsidRDefault="00F72CE5" w:rsidP="00F72CE5">
      <w:pPr>
        <w:spacing w:line="240" w:lineRule="auto"/>
        <w:jc w:val="both"/>
        <w:rPr>
          <w:rFonts w:cs="Arial"/>
          <w:szCs w:val="24"/>
        </w:rPr>
      </w:pPr>
    </w:p>
    <w:p w14:paraId="2D194F57" w14:textId="77777777" w:rsidR="00F72CE5" w:rsidRPr="00377607" w:rsidRDefault="00F72CE5" w:rsidP="00F72CE5">
      <w:pPr>
        <w:spacing w:after="240" w:line="240" w:lineRule="auto"/>
        <w:jc w:val="both"/>
        <w:rPr>
          <w:rFonts w:cs="Arial"/>
          <w:szCs w:val="24"/>
        </w:rPr>
      </w:pPr>
      <w:r w:rsidRPr="00377607">
        <w:rPr>
          <w:rFonts w:cs="Arial"/>
          <w:szCs w:val="24"/>
        </w:rPr>
        <w:t>This definition has not been materially amended.</w:t>
      </w:r>
    </w:p>
    <w:p w14:paraId="3F05928C" w14:textId="77777777" w:rsidR="00F72CE5" w:rsidRPr="00377607" w:rsidRDefault="00F72CE5" w:rsidP="00F72CE5">
      <w:pPr>
        <w:pStyle w:val="Paragraphe"/>
        <w:spacing w:line="240" w:lineRule="auto"/>
        <w:rPr>
          <w:rFonts w:cs="Arial"/>
          <w:szCs w:val="24"/>
        </w:rPr>
      </w:pPr>
      <w:r w:rsidRPr="00377607">
        <w:rPr>
          <w:rFonts w:cs="Arial"/>
          <w:szCs w:val="24"/>
        </w:rPr>
        <w:t>In the same section:</w:t>
      </w:r>
    </w:p>
    <w:p w14:paraId="53D3EBCF" w14:textId="77777777" w:rsidR="00F72CE5" w:rsidRPr="00C01C22" w:rsidRDefault="00F72CE5" w:rsidP="00F72CE5">
      <w:pPr>
        <w:pStyle w:val="Citationenretrait"/>
        <w:spacing w:line="240" w:lineRule="auto"/>
        <w:rPr>
          <w:rFonts w:cs="Arial"/>
          <w:szCs w:val="22"/>
        </w:rPr>
      </w:pPr>
      <w:r w:rsidRPr="00C01C22">
        <w:rPr>
          <w:rFonts w:cs="Arial"/>
          <w:b/>
          <w:bCs/>
          <w:i/>
          <w:iCs/>
          <w:szCs w:val="22"/>
        </w:rPr>
        <w:t>prosecutor</w:t>
      </w:r>
      <w:r w:rsidRPr="00C01C22">
        <w:rPr>
          <w:rFonts w:cs="Arial"/>
          <w:szCs w:val="22"/>
        </w:rPr>
        <w:t> </w:t>
      </w:r>
      <w:r w:rsidRPr="00C01C22">
        <w:rPr>
          <w:rFonts w:cs="Arial"/>
          <w:szCs w:val="22"/>
        </w:rPr>
        <w:t xml:space="preserve">means the Attorney General or, where the Attorney General does not intervene, means the person who institutes proceedings to which this Act applies, and includes counsel acting on behalf of either of </w:t>
      </w:r>
      <w:proofErr w:type="gramStart"/>
      <w:r w:rsidRPr="00C01C22">
        <w:rPr>
          <w:rFonts w:cs="Arial"/>
          <w:szCs w:val="22"/>
        </w:rPr>
        <w:t>them;</w:t>
      </w:r>
      <w:proofErr w:type="gramEnd"/>
    </w:p>
    <w:p w14:paraId="040A5412" w14:textId="77777777" w:rsidR="00F72CE5" w:rsidRDefault="00F72CE5" w:rsidP="00F72CE5">
      <w:pPr>
        <w:spacing w:before="120" w:line="240" w:lineRule="auto"/>
        <w:jc w:val="both"/>
        <w:rPr>
          <w:rFonts w:cs="Arial"/>
          <w:szCs w:val="24"/>
        </w:rPr>
      </w:pPr>
      <w:r w:rsidRPr="00377607">
        <w:rPr>
          <w:rFonts w:cs="Arial"/>
          <w:szCs w:val="24"/>
        </w:rPr>
        <w:t>This inclusion affords equal standing to the AGQ and any designated alternative. The DCPP Act provides:</w:t>
      </w:r>
    </w:p>
    <w:p w14:paraId="1B47F149" w14:textId="77777777" w:rsidR="00F72CE5" w:rsidRPr="00377607" w:rsidRDefault="00F72CE5" w:rsidP="00F72CE5">
      <w:pPr>
        <w:spacing w:line="240" w:lineRule="auto"/>
        <w:jc w:val="both"/>
        <w:rPr>
          <w:rFonts w:cs="Arial"/>
          <w:szCs w:val="24"/>
        </w:rPr>
      </w:pPr>
    </w:p>
    <w:p w14:paraId="32004095" w14:textId="77777777" w:rsidR="00F72CE5" w:rsidRPr="00C01C22" w:rsidRDefault="00F72CE5" w:rsidP="00F72CE5">
      <w:pPr>
        <w:pStyle w:val="Paragraphedeliste"/>
        <w:numPr>
          <w:ilvl w:val="0"/>
          <w:numId w:val="28"/>
        </w:numPr>
        <w:jc w:val="both"/>
        <w:rPr>
          <w:rFonts w:cs="Arial"/>
          <w:sz w:val="22"/>
          <w:szCs w:val="22"/>
          <w:lang w:val="en-CA"/>
        </w:rPr>
      </w:pPr>
      <w:r w:rsidRPr="00C01C22">
        <w:rPr>
          <w:rFonts w:cs="Arial"/>
          <w:sz w:val="22"/>
          <w:szCs w:val="22"/>
          <w:lang w:val="en-CA"/>
        </w:rPr>
        <w:t>This Act creates the office of Director of Criminal and Penal Prosecutions.</w:t>
      </w:r>
    </w:p>
    <w:p w14:paraId="4EBA5D69" w14:textId="77777777" w:rsidR="00F72CE5" w:rsidRPr="00C01C22" w:rsidRDefault="00F72CE5" w:rsidP="00F72CE5">
      <w:pPr>
        <w:spacing w:line="240" w:lineRule="auto"/>
        <w:ind w:left="720"/>
        <w:jc w:val="both"/>
        <w:rPr>
          <w:rFonts w:cs="Arial"/>
          <w:sz w:val="22"/>
          <w:szCs w:val="22"/>
        </w:rPr>
      </w:pPr>
    </w:p>
    <w:p w14:paraId="5E9E5158" w14:textId="77777777" w:rsidR="00F72CE5" w:rsidRPr="00C01C22" w:rsidRDefault="00F72CE5" w:rsidP="00F72CE5">
      <w:pPr>
        <w:spacing w:line="240" w:lineRule="auto"/>
        <w:ind w:left="720"/>
        <w:jc w:val="both"/>
        <w:rPr>
          <w:rFonts w:cs="Arial"/>
          <w:sz w:val="22"/>
          <w:szCs w:val="22"/>
        </w:rPr>
      </w:pPr>
      <w:r w:rsidRPr="00C01C22">
        <w:rPr>
          <w:rFonts w:cs="Arial"/>
          <w:sz w:val="22"/>
          <w:szCs w:val="22"/>
        </w:rPr>
        <w:t>Under the general authority of the Minister of Justice and Attorney General, the Director directs all criminal and penal prosecutions in Québec on behalf of the State. The Director exercises the functions conferred on the Director of Criminal and Penal Prosecutions by this Act, with the independence provided for in this Act.</w:t>
      </w:r>
    </w:p>
    <w:p w14:paraId="7AA392C1" w14:textId="77777777" w:rsidR="00F72CE5" w:rsidRPr="00C01C22" w:rsidRDefault="00F72CE5" w:rsidP="00F72CE5">
      <w:pPr>
        <w:spacing w:line="240" w:lineRule="auto"/>
        <w:ind w:left="720"/>
        <w:jc w:val="both"/>
        <w:rPr>
          <w:rFonts w:cs="Arial"/>
          <w:sz w:val="22"/>
          <w:szCs w:val="22"/>
        </w:rPr>
      </w:pPr>
    </w:p>
    <w:p w14:paraId="7041E4A1" w14:textId="77777777" w:rsidR="00F72CE5" w:rsidRPr="00C01C22" w:rsidRDefault="00F72CE5" w:rsidP="00F72CE5">
      <w:pPr>
        <w:spacing w:line="240" w:lineRule="auto"/>
        <w:ind w:left="720"/>
        <w:jc w:val="both"/>
        <w:rPr>
          <w:rFonts w:cs="Arial"/>
          <w:sz w:val="22"/>
          <w:szCs w:val="22"/>
        </w:rPr>
      </w:pPr>
      <w:r w:rsidRPr="00C01C22">
        <w:rPr>
          <w:rFonts w:cs="Arial"/>
          <w:sz w:val="22"/>
          <w:szCs w:val="22"/>
        </w:rPr>
        <w:lastRenderedPageBreak/>
        <w:t>The Director is by virtue of office “Deputy Attorney General” for criminal and penal prosecutions. The Director is also the lawful deputy of the Attorney General of Québec within the meaning of the Criminal Code, as are the prosecutors under the Director’s authority.</w:t>
      </w:r>
    </w:p>
    <w:p w14:paraId="2AECF1B2" w14:textId="77777777" w:rsidR="00F72CE5" w:rsidRPr="00377607" w:rsidRDefault="00F72CE5" w:rsidP="00F72CE5">
      <w:pPr>
        <w:spacing w:line="240" w:lineRule="auto"/>
        <w:jc w:val="both"/>
        <w:rPr>
          <w:rFonts w:cs="Arial"/>
          <w:szCs w:val="24"/>
        </w:rPr>
      </w:pPr>
    </w:p>
    <w:p w14:paraId="5F010138" w14:textId="77777777" w:rsidR="00F72CE5" w:rsidRPr="00D07A67" w:rsidRDefault="00F72CE5" w:rsidP="00F72CE5">
      <w:pPr>
        <w:pStyle w:val="Paragraphe"/>
        <w:spacing w:line="240" w:lineRule="auto"/>
        <w:rPr>
          <w:rFonts w:cs="Arial"/>
          <w:szCs w:val="24"/>
        </w:rPr>
      </w:pPr>
      <w:r w:rsidRPr="00377607">
        <w:rPr>
          <w:rFonts w:cs="Arial"/>
          <w:szCs w:val="24"/>
        </w:rPr>
        <w:t xml:space="preserve">The DCPP is a prosecutor and deputy attorney general within the meaning of the </w:t>
      </w:r>
      <w:r w:rsidRPr="00377607">
        <w:rPr>
          <w:rFonts w:cs="Arial"/>
          <w:i/>
          <w:iCs/>
          <w:szCs w:val="24"/>
        </w:rPr>
        <w:t>Criminal Code</w:t>
      </w:r>
      <w:r w:rsidRPr="00377607">
        <w:rPr>
          <w:rFonts w:cs="Arial"/>
          <w:szCs w:val="24"/>
        </w:rPr>
        <w:t>. Under section 676(1)(</w:t>
      </w:r>
      <w:r w:rsidRPr="00377607">
        <w:rPr>
          <w:rFonts w:cs="Arial"/>
          <w:i/>
          <w:iCs/>
          <w:szCs w:val="24"/>
        </w:rPr>
        <w:t>d</w:t>
      </w:r>
      <w:r w:rsidRPr="00377607">
        <w:rPr>
          <w:rFonts w:cs="Arial"/>
          <w:szCs w:val="24"/>
        </w:rPr>
        <w:t>), the</w:t>
      </w:r>
      <w:r>
        <w:rPr>
          <w:rFonts w:cs="Arial"/>
          <w:szCs w:val="24"/>
        </w:rPr>
        <w:t xml:space="preserve"> standing of the</w:t>
      </w:r>
      <w:r w:rsidRPr="00377607">
        <w:rPr>
          <w:rFonts w:cs="Arial"/>
          <w:szCs w:val="24"/>
        </w:rPr>
        <w:t xml:space="preserve"> AGQ and the DCPP is equal and joint if they both proceed.</w:t>
      </w:r>
      <w:r w:rsidRPr="00377607">
        <w:rPr>
          <w:rStyle w:val="Appelnotedebasdep"/>
          <w:rFonts w:cs="Arial"/>
          <w:szCs w:val="24"/>
        </w:rPr>
        <w:footnoteReference w:id="7"/>
      </w:r>
      <w:r w:rsidRPr="00377607">
        <w:rPr>
          <w:rFonts w:cs="Arial"/>
          <w:szCs w:val="24"/>
        </w:rPr>
        <w:t xml:space="preserve"> If a diplomatic curtain divides their functions, their juridical status and shared authority remain undivided. In Quebec the DCPP retains the prosecutorial authority of the </w:t>
      </w:r>
      <w:proofErr w:type="gramStart"/>
      <w:r w:rsidRPr="00377607">
        <w:rPr>
          <w:rFonts w:cs="Arial"/>
          <w:szCs w:val="24"/>
        </w:rPr>
        <w:t>AGQ</w:t>
      </w:r>
      <w:proofErr w:type="gramEnd"/>
      <w:r w:rsidRPr="00377607">
        <w:rPr>
          <w:rFonts w:cs="Arial"/>
          <w:szCs w:val="24"/>
        </w:rPr>
        <w:t xml:space="preserve"> but this is only a partial delegation because the AGQ performs functions in the public interest other than the conduct of criminal prosecutions.</w:t>
      </w:r>
      <w:r w:rsidRPr="00377607">
        <w:rPr>
          <w:rStyle w:val="Appelnotedebasdep"/>
          <w:rFonts w:cs="Arial"/>
          <w:szCs w:val="24"/>
        </w:rPr>
        <w:footnoteReference w:id="8"/>
      </w:r>
    </w:p>
    <w:p w14:paraId="4498AD17" w14:textId="77777777" w:rsidR="00F72CE5" w:rsidRPr="00D07A67" w:rsidRDefault="00F72CE5" w:rsidP="00F72CE5">
      <w:pPr>
        <w:pStyle w:val="Paragraphe"/>
        <w:spacing w:line="240" w:lineRule="auto"/>
        <w:rPr>
          <w:rFonts w:cs="Arial"/>
          <w:szCs w:val="24"/>
        </w:rPr>
      </w:pPr>
      <w:r w:rsidRPr="0029067C">
        <w:rPr>
          <w:rFonts w:cs="Arial"/>
          <w:szCs w:val="24"/>
        </w:rPr>
        <w:t>The shared prosecutorial authority between the AGQ and the DCPP entails that</w:t>
      </w:r>
      <w:r w:rsidRPr="00377607">
        <w:rPr>
          <w:rFonts w:cs="Arial"/>
          <w:szCs w:val="24"/>
        </w:rPr>
        <w:t xml:space="preserve"> the AGQ is entitled to appear and act as a party in criminal prosecutions conducted by the DCPP. In an appeal as of right the AGQ need not seek leave; where leave is required, as in the present case, the AGQ is entitled to ask for leave to appeal against sentence and both the AGQ and the DCPP can act only if leave is granted. In my view leave may be granted to each but may also be denied to the AGQ if he has nothing to submit that is different than the submissions of the DCPP. Conversely, if the AGQ does not seek leave, the DCPP may make </w:t>
      </w:r>
      <w:proofErr w:type="gramStart"/>
      <w:r w:rsidRPr="00377607">
        <w:rPr>
          <w:rFonts w:cs="Arial"/>
          <w:szCs w:val="24"/>
        </w:rPr>
        <w:t>any and all</w:t>
      </w:r>
      <w:proofErr w:type="gramEnd"/>
      <w:r w:rsidRPr="00377607">
        <w:rPr>
          <w:rFonts w:cs="Arial"/>
          <w:szCs w:val="24"/>
        </w:rPr>
        <w:t xml:space="preserve"> submissions in the prosecution of a case under valid laws and in the defence of the validity of laws.</w:t>
      </w:r>
    </w:p>
    <w:p w14:paraId="30352CD7" w14:textId="77777777" w:rsidR="00F72CE5" w:rsidRPr="00377607" w:rsidRDefault="00F72CE5" w:rsidP="00F72CE5">
      <w:pPr>
        <w:pStyle w:val="Paragraphe"/>
        <w:spacing w:line="240" w:lineRule="auto"/>
        <w:rPr>
          <w:rFonts w:cs="Arial"/>
          <w:szCs w:val="24"/>
        </w:rPr>
      </w:pPr>
      <w:r w:rsidRPr="00377607">
        <w:rPr>
          <w:rFonts w:cs="Arial"/>
          <w:szCs w:val="24"/>
        </w:rPr>
        <w:t xml:space="preserve">Whether the AGQ and the DCPP act alone or together in any case is of little practical consequence. In the ordinary course of criminal </w:t>
      </w:r>
      <w:proofErr w:type="gramStart"/>
      <w:r w:rsidRPr="00377607">
        <w:rPr>
          <w:rFonts w:cs="Arial"/>
          <w:szCs w:val="24"/>
        </w:rPr>
        <w:t>prosecutions</w:t>
      </w:r>
      <w:proofErr w:type="gramEnd"/>
      <w:r w:rsidRPr="00377607">
        <w:rPr>
          <w:rFonts w:cs="Arial"/>
          <w:szCs w:val="24"/>
        </w:rPr>
        <w:t xml:space="preserve"> the DCPP may be expected to address all points at issue before the court. Unless the AGQ avails himself of the authority granted by section 23 of the </w:t>
      </w:r>
      <w:r w:rsidRPr="00377607">
        <w:rPr>
          <w:rFonts w:cs="Arial"/>
          <w:i/>
          <w:iCs/>
          <w:szCs w:val="24"/>
        </w:rPr>
        <w:t>DCPP Act</w:t>
      </w:r>
      <w:r w:rsidRPr="00377607">
        <w:rPr>
          <w:rFonts w:cs="Arial"/>
          <w:szCs w:val="24"/>
        </w:rPr>
        <w:t>, the AGQ may be expected to appear as an intervener or as a party not to address the validity of the verdict or sentence under a valid law but only the validity of the law itself. This is a matter of convention.</w:t>
      </w:r>
    </w:p>
    <w:p w14:paraId="0305F3A6" w14:textId="77777777" w:rsidR="00F72CE5" w:rsidRPr="00377607" w:rsidRDefault="00F72CE5" w:rsidP="00F72CE5">
      <w:pPr>
        <w:pStyle w:val="Paragraphe"/>
        <w:spacing w:line="240" w:lineRule="auto"/>
        <w:rPr>
          <w:rFonts w:cs="Arial"/>
          <w:szCs w:val="24"/>
        </w:rPr>
      </w:pPr>
      <w:r w:rsidRPr="00377607">
        <w:rPr>
          <w:rFonts w:cs="Arial"/>
          <w:szCs w:val="24"/>
        </w:rPr>
        <w:t>Three considerations support the conclusion that the AGQ may seek leave to appeal as a party in an appeal initiated by the DCPP: the evolution of the function of the attorney general as chief law officer of the state, the statutory framework in Quebec that governs the functions of the AGQ and the DCPP, and current practice.</w:t>
      </w:r>
    </w:p>
    <w:p w14:paraId="1660DBFB" w14:textId="77777777" w:rsidR="00F72CE5" w:rsidRPr="00377607" w:rsidRDefault="00F72CE5" w:rsidP="00F72CE5">
      <w:pPr>
        <w:pStyle w:val="Paragraphe"/>
        <w:numPr>
          <w:ilvl w:val="0"/>
          <w:numId w:val="0"/>
        </w:numPr>
        <w:spacing w:line="240" w:lineRule="auto"/>
        <w:rPr>
          <w:rFonts w:cs="Arial"/>
          <w:b/>
          <w:bCs/>
          <w:szCs w:val="24"/>
        </w:rPr>
      </w:pPr>
      <w:r w:rsidRPr="00377607">
        <w:rPr>
          <w:rFonts w:cs="Arial"/>
          <w:b/>
          <w:bCs/>
          <w:szCs w:val="24"/>
        </w:rPr>
        <w:t>History</w:t>
      </w:r>
    </w:p>
    <w:p w14:paraId="1CE3FA44" w14:textId="77777777" w:rsidR="00F72CE5" w:rsidRPr="00377607" w:rsidRDefault="00F72CE5" w:rsidP="00F72CE5">
      <w:pPr>
        <w:pStyle w:val="Paragraphe"/>
        <w:spacing w:line="240" w:lineRule="auto"/>
        <w:rPr>
          <w:rFonts w:cs="Arial"/>
          <w:szCs w:val="24"/>
        </w:rPr>
      </w:pPr>
      <w:r w:rsidRPr="00377607">
        <w:rPr>
          <w:rFonts w:cs="Arial"/>
          <w:szCs w:val="24"/>
        </w:rPr>
        <w:t>In England criminal prosecution by the attorney general began in the thirteenth century or earlier.</w:t>
      </w:r>
      <w:r w:rsidRPr="00377607">
        <w:rPr>
          <w:rStyle w:val="Appelnotedebasdep"/>
          <w:rFonts w:cs="Arial"/>
          <w:szCs w:val="24"/>
        </w:rPr>
        <w:footnoteReference w:id="9"/>
      </w:r>
      <w:r w:rsidRPr="00377607">
        <w:rPr>
          <w:rFonts w:cs="Arial"/>
          <w:szCs w:val="24"/>
        </w:rPr>
        <w:t xml:space="preserve"> The exercise of that authority derived from the royal prerogative and </w:t>
      </w:r>
      <w:r w:rsidRPr="00377607">
        <w:rPr>
          <w:rFonts w:cs="Arial"/>
          <w:szCs w:val="24"/>
        </w:rPr>
        <w:lastRenderedPageBreak/>
        <w:t xml:space="preserve">in the King’s name the attorney general conducted prosecutions to keep the sovereign’s peace. For several centuries the attorney general prosecuted state trials and appeared for the Crown in other matters as chief law officer of the Crown. The attorney general was the King’s barrister. </w:t>
      </w:r>
    </w:p>
    <w:p w14:paraId="7104B128" w14:textId="77777777" w:rsidR="00F72CE5" w:rsidRPr="000D67E4" w:rsidRDefault="00F72CE5" w:rsidP="00F72CE5">
      <w:pPr>
        <w:pStyle w:val="Paragraphe"/>
        <w:numPr>
          <w:ilvl w:val="0"/>
          <w:numId w:val="0"/>
        </w:numPr>
        <w:spacing w:line="240" w:lineRule="auto"/>
        <w:ind w:left="731"/>
        <w:rPr>
          <w:rFonts w:cs="Arial"/>
          <w:sz w:val="22"/>
          <w:szCs w:val="22"/>
        </w:rPr>
      </w:pPr>
      <w:r w:rsidRPr="000D67E4">
        <w:rPr>
          <w:rFonts w:cs="Arial"/>
          <w:sz w:val="22"/>
          <w:szCs w:val="22"/>
        </w:rPr>
        <w:t xml:space="preserve">By our constitution, the King is entrusted with the prosecution of all crimes which disturb the peace and order of society. </w:t>
      </w:r>
    </w:p>
    <w:p w14:paraId="5C0D3D0C" w14:textId="77777777" w:rsidR="00F72CE5" w:rsidRPr="000D67E4" w:rsidRDefault="00F72CE5" w:rsidP="00F72CE5">
      <w:pPr>
        <w:pStyle w:val="Paragraphe"/>
        <w:numPr>
          <w:ilvl w:val="0"/>
          <w:numId w:val="0"/>
        </w:numPr>
        <w:spacing w:line="240" w:lineRule="auto"/>
        <w:ind w:left="731"/>
        <w:rPr>
          <w:rFonts w:cs="Arial"/>
          <w:sz w:val="22"/>
          <w:szCs w:val="22"/>
        </w:rPr>
      </w:pPr>
      <w:r w:rsidRPr="000D67E4">
        <w:rPr>
          <w:rFonts w:cs="Arial"/>
          <w:sz w:val="22"/>
          <w:szCs w:val="22"/>
        </w:rPr>
        <w:t>[…]</w:t>
      </w:r>
    </w:p>
    <w:p w14:paraId="02EBD665" w14:textId="77777777" w:rsidR="00F72CE5" w:rsidRPr="00C01C22" w:rsidRDefault="00F72CE5" w:rsidP="00F72CE5">
      <w:pPr>
        <w:pStyle w:val="Paragraphe"/>
        <w:numPr>
          <w:ilvl w:val="0"/>
          <w:numId w:val="0"/>
        </w:numPr>
        <w:spacing w:line="240" w:lineRule="auto"/>
        <w:ind w:left="731"/>
        <w:rPr>
          <w:rFonts w:cs="Arial"/>
          <w:sz w:val="22"/>
          <w:szCs w:val="22"/>
        </w:rPr>
      </w:pPr>
      <w:r w:rsidRPr="000D67E4">
        <w:rPr>
          <w:rFonts w:cs="Arial"/>
          <w:sz w:val="22"/>
          <w:szCs w:val="22"/>
        </w:rPr>
        <w:t xml:space="preserve">As indictments and </w:t>
      </w:r>
      <w:proofErr w:type="spellStart"/>
      <w:proofErr w:type="gramStart"/>
      <w:r w:rsidRPr="000D67E4">
        <w:rPr>
          <w:rFonts w:cs="Arial"/>
          <w:sz w:val="22"/>
          <w:szCs w:val="22"/>
        </w:rPr>
        <w:t>informations</w:t>
      </w:r>
      <w:proofErr w:type="spellEnd"/>
      <w:proofErr w:type="gramEnd"/>
      <w:r w:rsidRPr="000D67E4">
        <w:rPr>
          <w:rFonts w:cs="Arial"/>
          <w:sz w:val="22"/>
          <w:szCs w:val="22"/>
        </w:rPr>
        <w:t xml:space="preserve">, granted by the King’s Bench, are the King’s suits, and under his control; </w:t>
      </w:r>
      <w:proofErr w:type="spellStart"/>
      <w:r w:rsidRPr="000D67E4">
        <w:rPr>
          <w:rFonts w:cs="Arial"/>
          <w:sz w:val="22"/>
          <w:szCs w:val="22"/>
        </w:rPr>
        <w:t>informations</w:t>
      </w:r>
      <w:proofErr w:type="spellEnd"/>
      <w:r w:rsidRPr="000D67E4">
        <w:rPr>
          <w:rFonts w:cs="Arial"/>
          <w:sz w:val="22"/>
          <w:szCs w:val="22"/>
        </w:rPr>
        <w:t>, filed by his Attorney General, are most emphatically his suits, because they are the immediate emanations of his will and pleasure.</w:t>
      </w:r>
      <w:r w:rsidRPr="00C01C22">
        <w:rPr>
          <w:rStyle w:val="Appelnotedebasdep"/>
          <w:rFonts w:cs="Arial"/>
          <w:sz w:val="22"/>
          <w:szCs w:val="22"/>
        </w:rPr>
        <w:footnoteReference w:id="10"/>
      </w:r>
    </w:p>
    <w:p w14:paraId="2C8C9CC9" w14:textId="77777777" w:rsidR="00F72CE5" w:rsidRPr="00377607" w:rsidRDefault="00F72CE5" w:rsidP="00F72CE5">
      <w:pPr>
        <w:pStyle w:val="Paragraphe"/>
        <w:spacing w:before="240" w:line="240" w:lineRule="auto"/>
        <w:rPr>
          <w:rFonts w:cs="Arial"/>
          <w:szCs w:val="24"/>
        </w:rPr>
      </w:pPr>
      <w:r w:rsidRPr="00377607">
        <w:rPr>
          <w:rFonts w:cs="Arial"/>
          <w:szCs w:val="24"/>
        </w:rPr>
        <w:t>This core of this affirmation has never been compromised but, until the latter part of the nineteenth century, proceedings in criminal matters were typically conducted as private prosecutions.</w:t>
      </w:r>
      <w:r w:rsidRPr="00377607">
        <w:rPr>
          <w:rStyle w:val="Appelnotedebasdep"/>
          <w:rFonts w:cs="Arial"/>
          <w:szCs w:val="24"/>
        </w:rPr>
        <w:footnoteReference w:id="11"/>
      </w:r>
      <w:r w:rsidRPr="00377607">
        <w:rPr>
          <w:rFonts w:cs="Arial"/>
          <w:szCs w:val="24"/>
        </w:rPr>
        <w:t xml:space="preserve"> Suggestions and proposals for a model of public prosecutions were debated at several times, including proposals brought before Parliament. A form of public prosecutions was first enacted in the Prosecution of Offences Act 1879.</w:t>
      </w:r>
      <w:r w:rsidRPr="00377607">
        <w:rPr>
          <w:rStyle w:val="Appelnotedebasdep"/>
          <w:rFonts w:cs="Arial"/>
          <w:szCs w:val="24"/>
        </w:rPr>
        <w:footnoteReference w:id="12"/>
      </w:r>
      <w:r w:rsidRPr="00377607">
        <w:rPr>
          <w:rFonts w:cs="Arial"/>
          <w:szCs w:val="24"/>
        </w:rPr>
        <w:t xml:space="preserve"> It created the office of the Director of Public Prosecutions (“DPP”) and specified that the director would act under the “superintendence” of the attorney general.</w:t>
      </w:r>
      <w:r w:rsidRPr="00377607">
        <w:rPr>
          <w:rStyle w:val="Appelnotedebasdep"/>
          <w:rFonts w:cs="Arial"/>
          <w:szCs w:val="24"/>
        </w:rPr>
        <w:footnoteReference w:id="13"/>
      </w:r>
    </w:p>
    <w:p w14:paraId="2967986D" w14:textId="1A8C3D9A" w:rsidR="00F72CE5" w:rsidRPr="00377607" w:rsidRDefault="00F72CE5" w:rsidP="00F72CE5">
      <w:pPr>
        <w:pStyle w:val="Paragraphe"/>
        <w:spacing w:line="240" w:lineRule="auto"/>
        <w:rPr>
          <w:rFonts w:cs="Arial"/>
          <w:szCs w:val="24"/>
        </w:rPr>
      </w:pPr>
      <w:r w:rsidRPr="00377607">
        <w:rPr>
          <w:rFonts w:cs="Arial"/>
          <w:szCs w:val="24"/>
        </w:rPr>
        <w:t xml:space="preserve">The functions of the DPP expanded gradually but the hierarchical principle that the DPP acted under the superintendence of the attorney general remained constant. Another distinguishing feature was that the attorney general was not a member of Cabinet, although he was elected and answerable to Parliament. He was the chief law officer of the Crown and represented the state in all matters before the courts, but not responsible for political matters within the remit of the Home Secretary and other ministers of the Cabinet. This division of functions was a convention of government derived from the prerogative of the sovereign and not formally defined by legislation. The appearance of independence is not a guarantee of immunity from political </w:t>
      </w:r>
      <w:proofErr w:type="gramStart"/>
      <w:r w:rsidRPr="00377607">
        <w:rPr>
          <w:rFonts w:cs="Arial"/>
          <w:szCs w:val="24"/>
        </w:rPr>
        <w:t>influence</w:t>
      </w:r>
      <w:proofErr w:type="gramEnd"/>
      <w:r w:rsidRPr="00377607">
        <w:rPr>
          <w:rFonts w:cs="Arial"/>
          <w:szCs w:val="24"/>
        </w:rPr>
        <w:t xml:space="preserve"> and the imperatives of independence and accountability have been reconsidered from time to </w:t>
      </w:r>
      <w:r w:rsidRPr="00377607">
        <w:rPr>
          <w:rFonts w:cs="Arial"/>
          <w:szCs w:val="24"/>
        </w:rPr>
        <w:lastRenderedPageBreak/>
        <w:t>time. In England and Wales these have been dominant concerns in defining the nature of public prosecutions and the role of the attorney general.</w:t>
      </w:r>
      <w:r w:rsidRPr="00377607">
        <w:rPr>
          <w:rStyle w:val="Appelnotedebasdep"/>
          <w:rFonts w:cs="Arial"/>
          <w:szCs w:val="24"/>
        </w:rPr>
        <w:footnoteReference w:id="14"/>
      </w:r>
      <w:r w:rsidRPr="00377607">
        <w:rPr>
          <w:rFonts w:cs="Arial"/>
          <w:szCs w:val="24"/>
        </w:rPr>
        <w:t xml:space="preserve"> </w:t>
      </w:r>
    </w:p>
    <w:p w14:paraId="064F4A12" w14:textId="77777777" w:rsidR="00F72CE5" w:rsidRPr="00377607" w:rsidRDefault="00F72CE5" w:rsidP="00F72CE5">
      <w:pPr>
        <w:pStyle w:val="Paragraphe"/>
        <w:spacing w:line="240" w:lineRule="auto"/>
        <w:rPr>
          <w:rFonts w:cs="Arial"/>
          <w:szCs w:val="24"/>
        </w:rPr>
      </w:pPr>
      <w:r w:rsidRPr="00377607">
        <w:rPr>
          <w:rFonts w:cs="Arial"/>
          <w:szCs w:val="24"/>
        </w:rPr>
        <w:t>In 1951 Sir Hartley Shawcross (Attorney General) was asked in Parliament to clarify the role of the attorney general in criminal prosecution. His reply, known as the “Shawcross principle” or the “Shawcross doctrine,” merits quotation at length:</w:t>
      </w:r>
    </w:p>
    <w:p w14:paraId="2AD9380F" w14:textId="77777777" w:rsidR="00F72CE5" w:rsidRPr="000D67E4" w:rsidRDefault="00F72CE5" w:rsidP="00F72CE5">
      <w:pPr>
        <w:pStyle w:val="Citationenretrait"/>
        <w:spacing w:line="240" w:lineRule="auto"/>
        <w:rPr>
          <w:rFonts w:cs="Arial"/>
          <w:szCs w:val="22"/>
        </w:rPr>
      </w:pPr>
      <w:r w:rsidRPr="000D67E4">
        <w:rPr>
          <w:rFonts w:cs="Arial"/>
          <w:szCs w:val="22"/>
        </w:rPr>
        <w:t>I am glad to have the opportunity of talking about the position of the Attorney-General in connection with prosecutions because […] there has been some criticism that my enforcement of the criminal law was a matter of expediency. Indeed, it was seriously suggested that the operation of the law should be virtually automatic where any breach of it was known or suspected to have occurred. The truth is, of course, that the exercise of a discretion in a quasi-judicial way as to whether or when I must take steps to enforce the criminal law is exactly one of the duties of the office of the Attorney-General, as it is of the office of the Director of Public Prosecutions, who works under the direction of the Attorney-General.</w:t>
      </w:r>
    </w:p>
    <w:p w14:paraId="6A484EAB" w14:textId="7C74B3BC" w:rsidR="00F72CE5" w:rsidRPr="00AE0960" w:rsidRDefault="00F72CE5" w:rsidP="00F72CE5">
      <w:pPr>
        <w:pStyle w:val="Citationenretrait"/>
        <w:spacing w:line="240" w:lineRule="auto"/>
        <w:rPr>
          <w:rFonts w:cs="Arial"/>
          <w:szCs w:val="22"/>
        </w:rPr>
      </w:pPr>
      <w:r w:rsidRPr="000D67E4">
        <w:rPr>
          <w:rFonts w:cs="Arial"/>
          <w:szCs w:val="22"/>
        </w:rPr>
        <w:t xml:space="preserve">It has never been the rule in this country—I hope it never will be—that suspected criminal offences must automatically be the subject of prosecution. Indeed, the very first regulations under which the Director of Public Prosecutions worked </w:t>
      </w:r>
      <w:proofErr w:type="gramStart"/>
      <w:r w:rsidRPr="000D67E4">
        <w:rPr>
          <w:rFonts w:cs="Arial"/>
          <w:szCs w:val="22"/>
        </w:rPr>
        <w:t>provided that</w:t>
      </w:r>
      <w:proofErr w:type="gramEnd"/>
      <w:r w:rsidRPr="000D67E4">
        <w:rPr>
          <w:rFonts w:cs="Arial"/>
          <w:szCs w:val="22"/>
        </w:rPr>
        <w:t xml:space="preserve"> he should intervene to prosecute, amongst other cases: wherever it appears that the offence or the circumstances of its commission is or are of such a character that a prosecution in </w:t>
      </w:r>
      <w:r w:rsidRPr="00AE0960">
        <w:rPr>
          <w:rFonts w:cs="Arial"/>
          <w:szCs w:val="22"/>
        </w:rPr>
        <w:t>respect thereof is required in the public interest. That is still the dominant consideration. I should perhaps say that, although he is called the Director of Public Prosecutions, constitutionally I am responsible for all his decisions, and as a </w:t>
      </w:r>
      <w:hyperlink r:id="rId10" w:tooltip="Display definition of Minister" w:history="1">
        <w:r w:rsidRPr="00AE0960">
          <w:rPr>
            <w:rStyle w:val="Hyperlien"/>
            <w:rFonts w:cs="Arial"/>
            <w:color w:val="auto"/>
            <w:szCs w:val="22"/>
            <w:u w:val="none"/>
            <w:lang w:val="en-CA"/>
          </w:rPr>
          <w:t>Minister</w:t>
        </w:r>
      </w:hyperlink>
      <w:r w:rsidRPr="00AE0960">
        <w:rPr>
          <w:rFonts w:cs="Arial"/>
          <w:szCs w:val="22"/>
        </w:rPr>
        <w:t> of the Crown I am answerable to the House for any decision he may make in particular cases.</w:t>
      </w:r>
    </w:p>
    <w:p w14:paraId="72FEF14D" w14:textId="77777777" w:rsidR="00F72CE5" w:rsidRPr="00C01C22" w:rsidRDefault="00F72CE5" w:rsidP="00F72CE5">
      <w:pPr>
        <w:pStyle w:val="Citationenretrait"/>
        <w:spacing w:line="240" w:lineRule="auto"/>
        <w:rPr>
          <w:rFonts w:cs="Arial"/>
          <w:szCs w:val="22"/>
        </w:rPr>
      </w:pPr>
      <w:r w:rsidRPr="00AE0960">
        <w:rPr>
          <w:rFonts w:cs="Arial"/>
          <w:szCs w:val="22"/>
        </w:rPr>
        <w:t xml:space="preserve">So, under the tradition of our criminal law the position is that the Attorney-General and the Director of Public Prosecutions only intervene to direct a prosecution when they consider it in the public interest so to do. Lord Simon, </w:t>
      </w:r>
      <w:r w:rsidRPr="00C01C22">
        <w:rPr>
          <w:rFonts w:cs="Arial"/>
          <w:szCs w:val="22"/>
        </w:rPr>
        <w:t xml:space="preserve">who was once himself a most distinguished Attorney-General, put the position very clearly when he said in debate in this House: there is no greater nonsense talked about the Attorney-General's duty than the suggestion that in all cases the Attorney-General ought to decide to prosecute merely because he thinks there is what the lawyers call 'a case.' It is not true, and no one who has held that office supposes it is. […] My hon. and learned Friend then asked me how I direct myself in deciding </w:t>
      </w:r>
      <w:proofErr w:type="gramStart"/>
      <w:r w:rsidRPr="00C01C22">
        <w:rPr>
          <w:rFonts w:cs="Arial"/>
          <w:szCs w:val="22"/>
        </w:rPr>
        <w:t>whether or not</w:t>
      </w:r>
      <w:proofErr w:type="gramEnd"/>
      <w:r w:rsidRPr="00C01C22">
        <w:rPr>
          <w:rFonts w:cs="Arial"/>
          <w:szCs w:val="22"/>
        </w:rPr>
        <w:t xml:space="preserve"> to prosecute in a particular case. That is a very wide subject indeed, but there is only one consideration which is altogether excluded, and that is the repercussion of a given decision upon my personal or my party's or the Government's political fortunes; that is a consideration which never </w:t>
      </w:r>
      <w:proofErr w:type="gramStart"/>
      <w:r w:rsidRPr="00C01C22">
        <w:rPr>
          <w:rFonts w:cs="Arial"/>
          <w:szCs w:val="22"/>
        </w:rPr>
        <w:t>enters into</w:t>
      </w:r>
      <w:proofErr w:type="gramEnd"/>
      <w:r w:rsidRPr="00C01C22">
        <w:rPr>
          <w:rFonts w:cs="Arial"/>
          <w:szCs w:val="22"/>
        </w:rPr>
        <w:t xml:space="preserve"> account. Apart from that, the Attorney-General may have to have regard to a variety of considerations, all of them leading to the final question—would a prosecution be in the public interest, including in that phrase of course, in the interests of justice?</w:t>
      </w:r>
    </w:p>
    <w:p w14:paraId="397C087D" w14:textId="77777777" w:rsidR="00F72CE5" w:rsidRPr="00C01C22" w:rsidRDefault="00F72CE5" w:rsidP="00F72CE5">
      <w:pPr>
        <w:pStyle w:val="Citationenretrait"/>
        <w:spacing w:line="240" w:lineRule="auto"/>
        <w:rPr>
          <w:rFonts w:cs="Arial"/>
          <w:szCs w:val="22"/>
        </w:rPr>
      </w:pPr>
      <w:proofErr w:type="gramStart"/>
      <w:r w:rsidRPr="00C01C22">
        <w:rPr>
          <w:rFonts w:cs="Arial"/>
          <w:szCs w:val="22"/>
        </w:rPr>
        <w:lastRenderedPageBreak/>
        <w:t>Usually</w:t>
      </w:r>
      <w:proofErr w:type="gramEnd"/>
      <w:r w:rsidRPr="00C01C22">
        <w:rPr>
          <w:rFonts w:cs="Arial"/>
          <w:szCs w:val="22"/>
        </w:rPr>
        <w:t xml:space="preserve"> it is merely a question of examining the evidence. Is the evidence sufficient to justify a man being placed on his trial? The other day, in a case of murder to which the hon. and learned Gentleman referred—a case which became the subject of a good deal of publicity—I personally decided not to prosecute. I examined the papers myself, and I </w:t>
      </w:r>
      <w:proofErr w:type="gramStart"/>
      <w:r w:rsidRPr="00C01C22">
        <w:rPr>
          <w:rFonts w:cs="Arial"/>
          <w:szCs w:val="22"/>
        </w:rPr>
        <w:t>came to the conclusion</w:t>
      </w:r>
      <w:proofErr w:type="gramEnd"/>
      <w:r w:rsidRPr="00C01C22">
        <w:rPr>
          <w:rFonts w:cs="Arial"/>
          <w:szCs w:val="22"/>
        </w:rPr>
        <w:t xml:space="preserve"> that it was not an appropriate case in which I should instruct the Director of Public Prosecutions on behalf of the Crown.</w:t>
      </w:r>
    </w:p>
    <w:p w14:paraId="665E8471" w14:textId="77777777" w:rsidR="00F72CE5" w:rsidRPr="00C01C22" w:rsidRDefault="00F72CE5" w:rsidP="00F72CE5">
      <w:pPr>
        <w:pStyle w:val="Citationenretrait"/>
        <w:spacing w:line="240" w:lineRule="auto"/>
        <w:rPr>
          <w:rFonts w:cs="Arial"/>
          <w:szCs w:val="22"/>
        </w:rPr>
      </w:pPr>
      <w:r w:rsidRPr="00C01C22">
        <w:rPr>
          <w:rFonts w:cs="Arial"/>
          <w:szCs w:val="22"/>
        </w:rPr>
        <w:t xml:space="preserve">It is not in the public interest to put a man upon trial, whatever the suspicions may be about the matter, when the evidence is insufficient to justify his conviction, or even to call upon him for an explanation. </w:t>
      </w:r>
      <w:proofErr w:type="gramStart"/>
      <w:r w:rsidRPr="00C01C22">
        <w:rPr>
          <w:rFonts w:cs="Arial"/>
          <w:szCs w:val="22"/>
        </w:rPr>
        <w:t>So</w:t>
      </w:r>
      <w:proofErr w:type="gramEnd"/>
      <w:r w:rsidRPr="00C01C22">
        <w:rPr>
          <w:rFonts w:cs="Arial"/>
          <w:szCs w:val="22"/>
        </w:rPr>
        <w:t xml:space="preserve"> the ordinary case is one where one has to review the evidence, to consider whether the evidence goes beyond mere suspicion and is sufficient to justify a man being put on trial for a specific criminal offence.</w:t>
      </w:r>
    </w:p>
    <w:p w14:paraId="530BC581" w14:textId="77777777" w:rsidR="00F72CE5" w:rsidRPr="00C01C22" w:rsidRDefault="00F72CE5" w:rsidP="00F72CE5">
      <w:pPr>
        <w:pStyle w:val="Citationenretrait"/>
        <w:spacing w:line="240" w:lineRule="auto"/>
        <w:rPr>
          <w:rFonts w:cs="Arial"/>
          <w:szCs w:val="22"/>
        </w:rPr>
      </w:pPr>
      <w:r w:rsidRPr="00C01C22">
        <w:rPr>
          <w:rFonts w:cs="Arial"/>
          <w:szCs w:val="22"/>
        </w:rPr>
        <w:t xml:space="preserve">In other </w:t>
      </w:r>
      <w:proofErr w:type="gramStart"/>
      <w:r w:rsidRPr="00C01C22">
        <w:rPr>
          <w:rFonts w:cs="Arial"/>
          <w:szCs w:val="22"/>
        </w:rPr>
        <w:t>cases</w:t>
      </w:r>
      <w:proofErr w:type="gramEnd"/>
      <w:r w:rsidRPr="00C01C22">
        <w:rPr>
          <w:rFonts w:cs="Arial"/>
          <w:szCs w:val="22"/>
        </w:rPr>
        <w:t xml:space="preserve"> wider considerations than that are involved. It is not always in the public interest to go through the whole process of the criminal law if, at the end of the day, perhaps because of mitigating circumstances, perhaps because of what the defendant has already suffered, only a nominal penalty is likely to be imposed. And almost every day in particular cases, and where guilt has been admitted, I decide that the interests of public justice will be sufficiently served not by prosecuting, but perhaps by causing a warning to be administered instead.</w:t>
      </w:r>
    </w:p>
    <w:p w14:paraId="05A4D9A2" w14:textId="77777777" w:rsidR="00F72CE5" w:rsidRPr="00C01C22" w:rsidRDefault="00F72CE5" w:rsidP="00F72CE5">
      <w:pPr>
        <w:pStyle w:val="Citationenretrait"/>
        <w:spacing w:line="240" w:lineRule="auto"/>
        <w:rPr>
          <w:rFonts w:cs="Arial"/>
          <w:szCs w:val="22"/>
        </w:rPr>
      </w:pPr>
      <w:r w:rsidRPr="00C01C22">
        <w:rPr>
          <w:rFonts w:cs="Arial"/>
          <w:szCs w:val="22"/>
        </w:rPr>
        <w:t>Sometimes, of course, the considerations may be wider still. Prosecution may involve a question of public policy or national, or sometimes international, concern; but in cases like that, the Attorney-General has to make up his mind not as a party politician; he must in a quasi-judicial way consider the effect of prosecution upon the administration of law and of government in the abstract rather than in any party sense. Usually, making up my mind on these matters, I have the advice of the Director of Public Prosecutions and very often of Treasury Counsel as well. I have hardly ever, if ever, refused to prosecute when they have advised prosecution. I have sometimes ordered prosecution when the advice was against it.</w:t>
      </w:r>
    </w:p>
    <w:p w14:paraId="203DC151" w14:textId="77777777" w:rsidR="00F72CE5" w:rsidRPr="00C01C22" w:rsidRDefault="00F72CE5" w:rsidP="00F72CE5">
      <w:pPr>
        <w:pStyle w:val="Citationenretrait"/>
        <w:spacing w:line="240" w:lineRule="auto"/>
        <w:rPr>
          <w:rFonts w:cs="Arial"/>
          <w:szCs w:val="22"/>
        </w:rPr>
      </w:pPr>
      <w:r w:rsidRPr="00C01C22">
        <w:rPr>
          <w:rFonts w:cs="Arial"/>
          <w:szCs w:val="22"/>
        </w:rPr>
        <w:t>I think the true doctrine is that it is the duty of an Attorney-General, in deciding whether or not to authorise the prosecution, to acquaint himself with all the relevant facts, including, for instance, the effect which the prosecution, successful or unsuccessful as the case may be, would have upon public morale and order, and with any other considerations affecting public policy.</w:t>
      </w:r>
    </w:p>
    <w:p w14:paraId="7C2E135E" w14:textId="77777777" w:rsidR="00F72CE5" w:rsidRPr="00C01C22" w:rsidRDefault="00F72CE5" w:rsidP="00F72CE5">
      <w:pPr>
        <w:pStyle w:val="Citationenretrait"/>
        <w:spacing w:line="240" w:lineRule="auto"/>
        <w:rPr>
          <w:rFonts w:cs="Arial"/>
          <w:szCs w:val="22"/>
        </w:rPr>
      </w:pPr>
      <w:r w:rsidRPr="00C01C22">
        <w:rPr>
          <w:rFonts w:cs="Arial"/>
          <w:szCs w:val="22"/>
        </w:rPr>
        <w:t xml:space="preserve">In order so to inform himself, he may, although I do not think he is obliged to, consult with any of his colleagues in the Government; and indeed, as Lord Simon once said, he would in some cases be a fool if he did not. On the other hand, the assistance of his colleagues is confined to informing him of </w:t>
      </w:r>
      <w:proofErr w:type="gramStart"/>
      <w:r w:rsidRPr="00C01C22">
        <w:rPr>
          <w:rFonts w:cs="Arial"/>
          <w:szCs w:val="22"/>
        </w:rPr>
        <w:t>particular considerations</w:t>
      </w:r>
      <w:proofErr w:type="gramEnd"/>
      <w:r w:rsidRPr="00C01C22">
        <w:rPr>
          <w:rFonts w:cs="Arial"/>
          <w:szCs w:val="22"/>
        </w:rPr>
        <w:t xml:space="preserve"> which might affect his own decision, and does not consist, and must not consist, in telling him what that decision ought to be. The responsibility for the eventual decision rests with the Attorney-General, and he is not to be put, and is not put, under pressure by his colleagues in the matter.</w:t>
      </w:r>
    </w:p>
    <w:p w14:paraId="0EAA0047" w14:textId="77777777" w:rsidR="00F72CE5" w:rsidRPr="00C01C22" w:rsidRDefault="00F72CE5" w:rsidP="00F72CE5">
      <w:pPr>
        <w:pStyle w:val="Citationenretrait"/>
        <w:spacing w:line="240" w:lineRule="auto"/>
        <w:rPr>
          <w:rFonts w:cs="Arial"/>
          <w:szCs w:val="22"/>
        </w:rPr>
      </w:pPr>
      <w:r w:rsidRPr="00C01C22">
        <w:rPr>
          <w:rFonts w:cs="Arial"/>
          <w:szCs w:val="22"/>
        </w:rPr>
        <w:lastRenderedPageBreak/>
        <w:t xml:space="preserve">Nor, of course, can the Attorney-General shift his responsibility for making the decision on to the shoulders of his colleagues. If political considerations which, in the broad sense that I have indicated, affect government in the abstract arise, it is the Attorney-General, applying his judicial mind, who </w:t>
      </w:r>
      <w:proofErr w:type="gramStart"/>
      <w:r w:rsidRPr="00C01C22">
        <w:rPr>
          <w:rFonts w:cs="Arial"/>
          <w:szCs w:val="22"/>
        </w:rPr>
        <w:t>has to</w:t>
      </w:r>
      <w:proofErr w:type="gramEnd"/>
      <w:r w:rsidRPr="00C01C22">
        <w:rPr>
          <w:rFonts w:cs="Arial"/>
          <w:szCs w:val="22"/>
        </w:rPr>
        <w:t xml:space="preserve"> be the sole judge of those considerations.</w:t>
      </w:r>
      <w:r w:rsidRPr="00C01C22">
        <w:rPr>
          <w:rStyle w:val="Appelnotedebasdep"/>
          <w:rFonts w:cs="Arial"/>
          <w:szCs w:val="22"/>
        </w:rPr>
        <w:footnoteReference w:id="15"/>
      </w:r>
      <w:r w:rsidRPr="00C01C22">
        <w:rPr>
          <w:rFonts w:cs="Arial"/>
          <w:szCs w:val="22"/>
        </w:rPr>
        <w:t xml:space="preserve"> </w:t>
      </w:r>
    </w:p>
    <w:p w14:paraId="2AD9527A" w14:textId="77777777" w:rsidR="00F72CE5" w:rsidRPr="00377607" w:rsidRDefault="00F72CE5" w:rsidP="00F72CE5">
      <w:pPr>
        <w:pStyle w:val="Paragraphe"/>
        <w:spacing w:before="240" w:line="240" w:lineRule="auto"/>
        <w:rPr>
          <w:rFonts w:cs="Arial"/>
          <w:szCs w:val="24"/>
        </w:rPr>
      </w:pPr>
      <w:r w:rsidRPr="00377607">
        <w:rPr>
          <w:rFonts w:cs="Arial"/>
          <w:szCs w:val="24"/>
        </w:rPr>
        <w:t>This principle has been adopted in many jurisdictions and especially in the Commonwealth.</w:t>
      </w:r>
      <w:r w:rsidRPr="00377607">
        <w:rPr>
          <w:rStyle w:val="Appelnotedebasdep"/>
          <w:rFonts w:cs="Arial"/>
          <w:szCs w:val="24"/>
        </w:rPr>
        <w:footnoteReference w:id="16"/>
      </w:r>
      <w:r w:rsidRPr="00377607">
        <w:rPr>
          <w:rFonts w:cs="Arial"/>
          <w:szCs w:val="24"/>
        </w:rPr>
        <w:t xml:space="preserve"> It affirms the independence of the attorney general from partisan and non-partisan political influence. It distinguishes his non-partisan functions from those of a minister of justice and underscores that he, and those acting for him, must conduct a criminal prosecution in every case only if justified by the strength of available evidence and the public interest. This is the core of the attorney general’s role as chief law officer of the state in criminal matters.</w:t>
      </w:r>
      <w:r w:rsidRPr="00377607">
        <w:rPr>
          <w:rStyle w:val="Appelnotedebasdep"/>
          <w:rFonts w:cs="Arial"/>
          <w:szCs w:val="24"/>
        </w:rPr>
        <w:footnoteReference w:id="17"/>
      </w:r>
      <w:r w:rsidRPr="00377607">
        <w:rPr>
          <w:rFonts w:cs="Arial"/>
          <w:szCs w:val="24"/>
        </w:rPr>
        <w:t xml:space="preserve"> The Shawcross principle applies with full force to the functions of the DPP. Despite the stentorian </w:t>
      </w:r>
      <w:proofErr w:type="gramStart"/>
      <w:r w:rsidRPr="00377607">
        <w:rPr>
          <w:rFonts w:cs="Arial"/>
          <w:szCs w:val="24"/>
        </w:rPr>
        <w:t>manner in which</w:t>
      </w:r>
      <w:proofErr w:type="gramEnd"/>
      <w:r w:rsidRPr="00377607">
        <w:rPr>
          <w:rFonts w:cs="Arial"/>
          <w:szCs w:val="24"/>
        </w:rPr>
        <w:t xml:space="preserve"> it is often proclaimed, the prosecutorial independence of the attorney general from partisan considerations, of any kind from any source, is as much an expression of aspiration as duty if independence is assimilated to immunity.</w:t>
      </w:r>
      <w:r w:rsidRPr="00377607">
        <w:rPr>
          <w:rStyle w:val="Appelnotedebasdep"/>
          <w:rFonts w:cs="Arial"/>
          <w:szCs w:val="24"/>
        </w:rPr>
        <w:footnoteReference w:id="18"/>
      </w:r>
    </w:p>
    <w:p w14:paraId="6E3DCC03" w14:textId="77777777" w:rsidR="00F72CE5" w:rsidRPr="00377607" w:rsidRDefault="00F72CE5" w:rsidP="00F72CE5">
      <w:pPr>
        <w:pStyle w:val="Paragraphe"/>
        <w:spacing w:line="240" w:lineRule="auto"/>
        <w:rPr>
          <w:rFonts w:cs="Arial"/>
          <w:szCs w:val="24"/>
        </w:rPr>
      </w:pPr>
      <w:r w:rsidRPr="00377607">
        <w:rPr>
          <w:rFonts w:cs="Arial"/>
          <w:szCs w:val="24"/>
        </w:rPr>
        <w:t>In 1985 the formal structure of criminal prosecution in England and Wales was reformed by the Prosecution of Offences Act 1985</w:t>
      </w:r>
      <w:r w:rsidRPr="00377607">
        <w:rPr>
          <w:rStyle w:val="Appelnotedebasdep"/>
          <w:rFonts w:cs="Arial"/>
          <w:szCs w:val="24"/>
        </w:rPr>
        <w:footnoteReference w:id="19"/>
      </w:r>
      <w:r w:rsidRPr="00377607">
        <w:rPr>
          <w:rFonts w:cs="Arial"/>
          <w:szCs w:val="24"/>
        </w:rPr>
        <w:t xml:space="preserve"> and the creation of the Crown Prosecution Service. This body of prosecutors serves under the authority and superintendence of the DPP, who is appointed by the attorney general</w:t>
      </w:r>
      <w:r w:rsidRPr="00377607">
        <w:rPr>
          <w:rStyle w:val="Appelnotedebasdep"/>
          <w:rFonts w:cs="Arial"/>
          <w:szCs w:val="24"/>
        </w:rPr>
        <w:footnoteReference w:id="20"/>
      </w:r>
      <w:r w:rsidRPr="00377607">
        <w:rPr>
          <w:rFonts w:cs="Arial"/>
          <w:szCs w:val="24"/>
        </w:rPr>
        <w:t xml:space="preserve"> and serves under his superintendence</w:t>
      </w:r>
      <w:r w:rsidRPr="00377607">
        <w:rPr>
          <w:rStyle w:val="Appelnotedebasdep"/>
          <w:rFonts w:cs="Arial"/>
          <w:szCs w:val="24"/>
        </w:rPr>
        <w:footnoteReference w:id="21"/>
      </w:r>
      <w:r w:rsidRPr="00377607">
        <w:rPr>
          <w:rFonts w:cs="Arial"/>
          <w:szCs w:val="24"/>
        </w:rPr>
        <w:t xml:space="preserve">. The Director’s prosecutorial functions are enumerated at length in section 3 of the Act. The DPP may appoint prosecutors to conduct proceedings on his behalf. They are governed in their duties by the Shawcross principle and by a code of professional conduct that secures their independence from partisan and non-partisan political considerations. </w:t>
      </w:r>
      <w:proofErr w:type="gramStart"/>
      <w:r w:rsidRPr="00377607">
        <w:rPr>
          <w:rFonts w:cs="Arial"/>
          <w:szCs w:val="24"/>
        </w:rPr>
        <w:t>Thus</w:t>
      </w:r>
      <w:proofErr w:type="gramEnd"/>
      <w:r w:rsidRPr="00377607">
        <w:rPr>
          <w:rFonts w:cs="Arial"/>
          <w:szCs w:val="24"/>
        </w:rPr>
        <w:t xml:space="preserve"> the Act establishes a hierarchy of prosecutorial functions that are derived from the authority of the attorney general and devolved by successive delegations to the DPP and subordinate prosecutors. </w:t>
      </w:r>
    </w:p>
    <w:p w14:paraId="53C88A0C" w14:textId="77777777" w:rsidR="00F72CE5" w:rsidRPr="00377607" w:rsidRDefault="00F72CE5" w:rsidP="00F72CE5">
      <w:pPr>
        <w:pStyle w:val="Paragraphe"/>
        <w:spacing w:line="240" w:lineRule="auto"/>
        <w:rPr>
          <w:rFonts w:cs="Arial"/>
          <w:szCs w:val="24"/>
        </w:rPr>
      </w:pPr>
      <w:r w:rsidRPr="00377607">
        <w:rPr>
          <w:rFonts w:cs="Arial"/>
          <w:szCs w:val="24"/>
        </w:rPr>
        <w:t xml:space="preserve">In the Commonwealth and other parts of the world, there are various models of criminal prosecution that seek to ensure the independence of the attorney general and prosecutors. Some allow that the attorney general be an elected officer of the legislature and a member of the Cabinet. Some, as in Canada, allow (or require) that the attorney </w:t>
      </w:r>
      <w:r w:rsidRPr="00377607">
        <w:rPr>
          <w:rFonts w:cs="Arial"/>
          <w:szCs w:val="24"/>
        </w:rPr>
        <w:lastRenderedPageBreak/>
        <w:t>general be simultaneously the minister of justice in the Cabinet. Some require that the attorney general not be a member of Cabinet. Membership of Cabinet in these models is thus linked to accountability before the legislature. Some require that the attorney general not be an elected member of the legislature. Some delegate prosecutorial authority to a statutory officer, such as the director of public prosecutions or the solicitor general. In all these permutations (and others) there are preoccupations, by degrees, with standards of unimpeachable independence and transparent accountability. These preoccupations, also by degrees, relate to concepts of the rule of law.</w:t>
      </w:r>
    </w:p>
    <w:p w14:paraId="4F64CB0C" w14:textId="77777777" w:rsidR="00F72CE5" w:rsidRPr="00377607" w:rsidRDefault="00F72CE5" w:rsidP="00F72CE5">
      <w:pPr>
        <w:pStyle w:val="Paragraphe"/>
        <w:spacing w:line="240" w:lineRule="auto"/>
        <w:rPr>
          <w:rFonts w:cs="Arial"/>
          <w:szCs w:val="24"/>
        </w:rPr>
      </w:pPr>
      <w:r w:rsidRPr="00377607">
        <w:rPr>
          <w:rFonts w:cs="Arial"/>
          <w:szCs w:val="24"/>
        </w:rPr>
        <w:t xml:space="preserve">In </w:t>
      </w:r>
      <w:r w:rsidRPr="00377607">
        <w:rPr>
          <w:rFonts w:cs="Arial"/>
          <w:i/>
          <w:iCs/>
          <w:szCs w:val="24"/>
        </w:rPr>
        <w:t>Varennes</w:t>
      </w:r>
      <w:r w:rsidRPr="00377607">
        <w:rPr>
          <w:rFonts w:cs="Arial"/>
          <w:szCs w:val="24"/>
        </w:rPr>
        <w:t xml:space="preserve"> the Supreme Court sketched the broad outlines of the attorney general’s role:</w:t>
      </w:r>
    </w:p>
    <w:p w14:paraId="68CE5948" w14:textId="77777777" w:rsidR="00F72CE5" w:rsidRPr="000D67E4" w:rsidRDefault="00F72CE5" w:rsidP="00F72CE5">
      <w:pPr>
        <w:pStyle w:val="Citationenretrait"/>
        <w:spacing w:line="240" w:lineRule="auto"/>
        <w:rPr>
          <w:rFonts w:cs="Arial"/>
          <w:szCs w:val="22"/>
        </w:rPr>
      </w:pPr>
      <w:r w:rsidRPr="000D67E4">
        <w:rPr>
          <w:rFonts w:cs="Arial"/>
          <w:szCs w:val="22"/>
        </w:rPr>
        <w:t>[42]</w:t>
      </w:r>
      <w:r w:rsidRPr="000D67E4">
        <w:rPr>
          <w:rFonts w:cs="Arial"/>
          <w:szCs w:val="22"/>
        </w:rPr>
        <w:tab/>
        <w:t>[…]  The Attorney General has exclusive constitutional responsibility to determine whether to bring the weight of the state to bear in criminal prosecutions and is the “first representative of the Sovereign in the courts, in whose name nearly all criminal proceedings are conducted.”</w:t>
      </w:r>
    </w:p>
    <w:p w14:paraId="4F441BC3" w14:textId="77777777" w:rsidR="00F72CE5" w:rsidRPr="000D67E4" w:rsidRDefault="00F72CE5" w:rsidP="00F72CE5">
      <w:pPr>
        <w:pStyle w:val="Citationenretrait"/>
        <w:spacing w:line="240" w:lineRule="auto"/>
        <w:rPr>
          <w:rFonts w:cs="Arial"/>
          <w:szCs w:val="22"/>
        </w:rPr>
      </w:pPr>
      <w:r w:rsidRPr="000D67E4">
        <w:rPr>
          <w:rFonts w:cs="Arial"/>
          <w:szCs w:val="22"/>
        </w:rPr>
        <w:t>[43]</w:t>
      </w:r>
      <w:r w:rsidRPr="000D67E4">
        <w:rPr>
          <w:rFonts w:cs="Arial"/>
          <w:szCs w:val="22"/>
        </w:rPr>
        <w:tab/>
        <w:t>The provincial Attorneys General act under the provinces’ responsibility […] for the administration of justice. In Quebec, the legislature has delegated the prosecutorial aspect of the Chief Law Officer role to the Director of Criminal and Penal Prosecutions, who serves “[u]</w:t>
      </w:r>
      <w:proofErr w:type="spellStart"/>
      <w:r w:rsidRPr="000D67E4">
        <w:rPr>
          <w:rFonts w:cs="Arial"/>
          <w:szCs w:val="22"/>
        </w:rPr>
        <w:t>nder</w:t>
      </w:r>
      <w:proofErr w:type="spellEnd"/>
      <w:r w:rsidRPr="000D67E4">
        <w:rPr>
          <w:rFonts w:cs="Arial"/>
          <w:szCs w:val="22"/>
        </w:rPr>
        <w:t xml:space="preserve"> the general authority” of the Attorney General of Quebec as their lawful deputy. Crown prosecutors — here the prosecutors of the Director of Criminal and Penal Prosecutions — serve as agents of the Attorney General and bear the delegated role of the Chief Law Officer in individual prosecutions.</w:t>
      </w:r>
    </w:p>
    <w:p w14:paraId="02E9E44E" w14:textId="77777777" w:rsidR="00F72CE5" w:rsidRPr="00C01C22" w:rsidRDefault="00F72CE5" w:rsidP="00F72CE5">
      <w:pPr>
        <w:pStyle w:val="Citationenretrait"/>
        <w:spacing w:line="240" w:lineRule="auto"/>
        <w:rPr>
          <w:rFonts w:cs="Arial"/>
          <w:szCs w:val="22"/>
        </w:rPr>
      </w:pPr>
      <w:r w:rsidRPr="000D67E4">
        <w:rPr>
          <w:rFonts w:cs="Arial"/>
          <w:szCs w:val="22"/>
        </w:rPr>
        <w:t>[44]</w:t>
      </w:r>
      <w:r w:rsidRPr="000D67E4">
        <w:rPr>
          <w:rFonts w:cs="Arial"/>
          <w:szCs w:val="22"/>
        </w:rPr>
        <w:tab/>
        <w:t>The Attorneys General exercise their constitutional Chief Law Officer function independently of partisan considerations and make prosecutorial decisions without interference from their cabinet colleagues. Individual Crown prosecutors must also consider the broader public interest throughout the conduct of criminal proceedings. […] More recently, this Court has held that it is a principle of fundamental justice within s. 7 of the </w:t>
      </w:r>
      <w:r w:rsidRPr="000D67E4">
        <w:rPr>
          <w:rFonts w:cs="Arial"/>
          <w:i/>
          <w:iCs/>
          <w:szCs w:val="22"/>
        </w:rPr>
        <w:t>Charter</w:t>
      </w:r>
      <w:r w:rsidRPr="000D67E4">
        <w:rPr>
          <w:rFonts w:cs="Arial"/>
          <w:szCs w:val="22"/>
        </w:rPr>
        <w:t> that prosecutors must serve the public interest and not act “for the good of the government of the day.”</w:t>
      </w:r>
      <w:r w:rsidRPr="00C01C22">
        <w:rPr>
          <w:rStyle w:val="Appelnotedebasdep"/>
          <w:rFonts w:cs="Arial"/>
          <w:color w:val="000000"/>
          <w:szCs w:val="22"/>
          <w:lang w:val="en-CA"/>
        </w:rPr>
        <w:footnoteReference w:id="22"/>
      </w:r>
    </w:p>
    <w:p w14:paraId="61E83D5B" w14:textId="77777777" w:rsidR="00F72CE5" w:rsidRPr="00C01C22" w:rsidRDefault="00F72CE5" w:rsidP="00F72CE5">
      <w:pPr>
        <w:pStyle w:val="Citationenretrait"/>
        <w:spacing w:line="240" w:lineRule="auto"/>
        <w:jc w:val="right"/>
        <w:rPr>
          <w:rFonts w:cs="Arial"/>
          <w:szCs w:val="22"/>
        </w:rPr>
      </w:pPr>
      <w:r w:rsidRPr="00C01C22">
        <w:rPr>
          <w:rFonts w:cs="Arial"/>
          <w:szCs w:val="22"/>
        </w:rPr>
        <w:t>[References omitted]</w:t>
      </w:r>
    </w:p>
    <w:p w14:paraId="2586AEAB" w14:textId="77777777" w:rsidR="00F72CE5" w:rsidRPr="00377607" w:rsidRDefault="00F72CE5" w:rsidP="00F72CE5">
      <w:pPr>
        <w:pStyle w:val="Paragraphe"/>
        <w:spacing w:line="240" w:lineRule="auto"/>
        <w:rPr>
          <w:rFonts w:cs="Arial"/>
          <w:szCs w:val="24"/>
        </w:rPr>
      </w:pPr>
      <w:r w:rsidRPr="00377607">
        <w:rPr>
          <w:rFonts w:cs="Arial"/>
          <w:szCs w:val="24"/>
        </w:rPr>
        <w:t>Canadian courts have pronounced a variety of principles concerning the functions of the attorney general as chief law officer of the state and chief prosecutor in criminal matters. All these principles are tinctured by the distinctive feature in Canadian government that the functions of attorney general and minister of justice, though distinct, are discharged in Cabinet by the same person.</w:t>
      </w:r>
    </w:p>
    <w:p w14:paraId="3AE7A219" w14:textId="77777777" w:rsidR="00F72CE5" w:rsidRPr="00377607" w:rsidRDefault="00F72CE5" w:rsidP="00F72CE5">
      <w:pPr>
        <w:pStyle w:val="Paragraphe"/>
        <w:spacing w:line="240" w:lineRule="auto"/>
        <w:rPr>
          <w:rFonts w:cs="Arial"/>
          <w:szCs w:val="24"/>
        </w:rPr>
      </w:pPr>
      <w:r w:rsidRPr="00377607">
        <w:rPr>
          <w:rFonts w:cs="Arial"/>
          <w:szCs w:val="24"/>
        </w:rPr>
        <w:t xml:space="preserve">The courts have repeatedly affirmed that the functions of the attorney general remain independent in principle from those of the minister of justice and in all respects </w:t>
      </w:r>
      <w:r w:rsidRPr="00377607">
        <w:rPr>
          <w:rFonts w:cs="Arial"/>
          <w:szCs w:val="24"/>
        </w:rPr>
        <w:lastRenderedPageBreak/>
        <w:t>independent from any suggestion of partisan influence or interest.</w:t>
      </w:r>
      <w:r w:rsidRPr="00377607">
        <w:rPr>
          <w:rStyle w:val="Appelnotedebasdep"/>
          <w:rFonts w:cs="Arial"/>
          <w:szCs w:val="24"/>
        </w:rPr>
        <w:footnoteReference w:id="23"/>
      </w:r>
      <w:r w:rsidRPr="00377607">
        <w:rPr>
          <w:rFonts w:cs="Arial"/>
          <w:szCs w:val="24"/>
        </w:rPr>
        <w:t xml:space="preserve"> They have said that the independence of the attorney general is a constitutional principle of fundamental justice. The Supreme Court said in </w:t>
      </w:r>
      <w:r w:rsidRPr="00377607">
        <w:rPr>
          <w:rFonts w:cs="Arial"/>
          <w:i/>
          <w:iCs/>
          <w:szCs w:val="24"/>
        </w:rPr>
        <w:t>Cawthorne</w:t>
      </w:r>
      <w:r w:rsidRPr="00377607">
        <w:rPr>
          <w:rFonts w:cs="Arial"/>
          <w:szCs w:val="24"/>
        </w:rPr>
        <w:t xml:space="preserve">:  </w:t>
      </w:r>
    </w:p>
    <w:p w14:paraId="634279F6" w14:textId="77777777" w:rsidR="00F72CE5" w:rsidRPr="00C01C22" w:rsidRDefault="00F72CE5" w:rsidP="00F72CE5">
      <w:pPr>
        <w:pStyle w:val="Citationenretrait"/>
        <w:spacing w:line="240" w:lineRule="auto"/>
        <w:rPr>
          <w:rFonts w:cs="Arial"/>
          <w:szCs w:val="22"/>
        </w:rPr>
      </w:pPr>
      <w:r w:rsidRPr="000D67E4">
        <w:rPr>
          <w:rFonts w:cs="Arial"/>
          <w:szCs w:val="22"/>
        </w:rPr>
        <w:t>[23]</w:t>
      </w:r>
      <w:r w:rsidRPr="000D67E4">
        <w:rPr>
          <w:rFonts w:cs="Arial"/>
          <w:szCs w:val="22"/>
        </w:rPr>
        <w:tab/>
        <w:t>In </w:t>
      </w:r>
      <w:r w:rsidRPr="000D67E4">
        <w:rPr>
          <w:rFonts w:cs="Arial"/>
          <w:i/>
          <w:iCs/>
          <w:szCs w:val="22"/>
        </w:rPr>
        <w:t>Krieger v. Law Society of Alberta</w:t>
      </w:r>
      <w:r w:rsidRPr="000D67E4">
        <w:rPr>
          <w:rFonts w:cs="Arial"/>
          <w:szCs w:val="22"/>
        </w:rPr>
        <w:t>, Iacobucci and Major JJ., writing for the Court, noted that there is a “constitutional principle in this country that the Attorney General must act independently of partisan concerns when supervising prosecutorial decisions.” Charron J. reiterated this point in</w:t>
      </w:r>
      <w:r w:rsidRPr="000D67E4">
        <w:rPr>
          <w:rFonts w:cs="Arial"/>
          <w:i/>
          <w:iCs/>
          <w:szCs w:val="22"/>
        </w:rPr>
        <w:t> Miazga v. Kvello Estate</w:t>
      </w:r>
      <w:r w:rsidRPr="000D67E4">
        <w:rPr>
          <w:rFonts w:cs="Arial"/>
          <w:szCs w:val="22"/>
        </w:rPr>
        <w:t xml:space="preserve">, describing the independence of the Attorney General as a “constitutionally entrenched” principle that “requires that the Attorney General act independently of political pressures from government.” But the logic of these statements clearly extends to Crown prosecutors and other public officials exercising a prosecutorial function. Indeed, both </w:t>
      </w:r>
      <w:r w:rsidRPr="000D67E4">
        <w:rPr>
          <w:rFonts w:cs="Arial"/>
          <w:i/>
          <w:iCs/>
          <w:szCs w:val="22"/>
        </w:rPr>
        <w:t>Krieger</w:t>
      </w:r>
      <w:r w:rsidRPr="000D67E4">
        <w:rPr>
          <w:rFonts w:cs="Arial"/>
          <w:szCs w:val="22"/>
        </w:rPr>
        <w:t xml:space="preserve"> and </w:t>
      </w:r>
      <w:r w:rsidRPr="000D67E4">
        <w:rPr>
          <w:rFonts w:cs="Arial"/>
          <w:i/>
          <w:iCs/>
          <w:szCs w:val="22"/>
        </w:rPr>
        <w:t>Miazga</w:t>
      </w:r>
      <w:r w:rsidRPr="000D67E4">
        <w:rPr>
          <w:rFonts w:cs="Arial"/>
          <w:szCs w:val="22"/>
        </w:rPr>
        <w:t> cited with approval Binnie J.’s reasons, where he remarked that a Crown Attorney’s duty “to respect his or her ‘Minister of Justice’ obligations of objectivity and independence” easily met the criteria for a principle of fundamental justice under </w:t>
      </w:r>
      <w:r w:rsidRPr="00C01C22">
        <w:rPr>
          <w:szCs w:val="22"/>
        </w:rPr>
        <w:t>s. 7</w:t>
      </w:r>
      <w:r w:rsidRPr="00C01C22">
        <w:rPr>
          <w:rFonts w:cs="Arial"/>
          <w:szCs w:val="22"/>
        </w:rPr>
        <w:t> of the </w:t>
      </w:r>
      <w:r w:rsidRPr="00C01C22">
        <w:rPr>
          <w:szCs w:val="22"/>
        </w:rPr>
        <w:t>Charter</w:t>
      </w:r>
      <w:r w:rsidRPr="00C01C22">
        <w:rPr>
          <w:rFonts w:cs="Arial"/>
          <w:szCs w:val="22"/>
        </w:rPr>
        <w:t>.</w:t>
      </w:r>
    </w:p>
    <w:p w14:paraId="084DCD41" w14:textId="77777777" w:rsidR="00F72CE5" w:rsidRDefault="00F72CE5" w:rsidP="00F72CE5">
      <w:pPr>
        <w:pStyle w:val="Citationenretrait"/>
        <w:spacing w:line="240" w:lineRule="auto"/>
        <w:rPr>
          <w:rFonts w:cs="Arial"/>
          <w:szCs w:val="22"/>
        </w:rPr>
      </w:pPr>
      <w:r w:rsidRPr="00C01C22">
        <w:rPr>
          <w:rFonts w:cs="Arial"/>
          <w:szCs w:val="22"/>
        </w:rPr>
        <w:t>[</w:t>
      </w:r>
      <w:bookmarkStart w:id="16" w:name="par24"/>
      <w:r w:rsidRPr="00C01C22">
        <w:rPr>
          <w:rFonts w:cs="Arial"/>
          <w:szCs w:val="22"/>
        </w:rPr>
        <w:t>24</w:t>
      </w:r>
      <w:bookmarkEnd w:id="16"/>
      <w:r w:rsidRPr="00C01C22">
        <w:rPr>
          <w:rFonts w:cs="Arial"/>
          <w:szCs w:val="22"/>
        </w:rPr>
        <w:t>]</w:t>
      </w:r>
      <w:r w:rsidRPr="00C01C22">
        <w:rPr>
          <w:rFonts w:cs="Arial"/>
          <w:szCs w:val="22"/>
        </w:rPr>
        <w:tab/>
        <w:t>These cases establish that a prosecutor — whether it be an Attorney General, a Crown prosecutor, or some other public official exercising a prosecutorial function — has a constitutional obligation to act independently of partisan concerns and other improper motives.</w:t>
      </w:r>
      <w:r w:rsidRPr="00C01C22">
        <w:rPr>
          <w:rStyle w:val="Appelnotedebasdep"/>
          <w:rFonts w:cs="Arial"/>
          <w:szCs w:val="22"/>
        </w:rPr>
        <w:footnoteReference w:id="24"/>
      </w:r>
    </w:p>
    <w:p w14:paraId="2BC7E5E5" w14:textId="77777777" w:rsidR="00F72CE5" w:rsidRPr="00C01C22" w:rsidRDefault="00F72CE5" w:rsidP="00F72CE5">
      <w:pPr>
        <w:pStyle w:val="Citationenretrait"/>
        <w:spacing w:line="240" w:lineRule="auto"/>
        <w:jc w:val="right"/>
        <w:rPr>
          <w:rFonts w:cs="Arial"/>
          <w:szCs w:val="22"/>
        </w:rPr>
      </w:pPr>
      <w:r>
        <w:rPr>
          <w:rFonts w:cs="Arial"/>
          <w:szCs w:val="22"/>
        </w:rPr>
        <w:t>[References omitted]</w:t>
      </w:r>
    </w:p>
    <w:p w14:paraId="2ECB4D45" w14:textId="77777777" w:rsidR="00F72CE5" w:rsidRPr="00377607" w:rsidRDefault="00F72CE5" w:rsidP="00F72CE5">
      <w:pPr>
        <w:pStyle w:val="Paragraphe"/>
        <w:spacing w:before="240" w:line="240" w:lineRule="auto"/>
        <w:rPr>
          <w:rFonts w:cs="Arial"/>
          <w:szCs w:val="24"/>
        </w:rPr>
      </w:pPr>
      <w:r w:rsidRPr="00377607">
        <w:rPr>
          <w:rFonts w:cs="Arial"/>
          <w:szCs w:val="24"/>
        </w:rPr>
        <w:t>The courts have also referred to the “core functions” of the attorney general in the exercise of prosecutorial authority, including the conduct of appeals.</w:t>
      </w:r>
      <w:r w:rsidRPr="00377607">
        <w:rPr>
          <w:rStyle w:val="Appelnotedebasdep"/>
          <w:rFonts w:cs="Arial"/>
          <w:szCs w:val="24"/>
        </w:rPr>
        <w:footnoteReference w:id="25"/>
      </w:r>
      <w:r w:rsidRPr="00377607">
        <w:rPr>
          <w:rFonts w:cs="Arial"/>
          <w:szCs w:val="24"/>
        </w:rPr>
        <w:t xml:space="preserve"> </w:t>
      </w:r>
    </w:p>
    <w:p w14:paraId="48602A0E" w14:textId="77777777" w:rsidR="00F72CE5" w:rsidRPr="00377607" w:rsidRDefault="00F72CE5" w:rsidP="00F72CE5">
      <w:pPr>
        <w:pStyle w:val="Paragraphe"/>
        <w:numPr>
          <w:ilvl w:val="0"/>
          <w:numId w:val="0"/>
        </w:numPr>
        <w:spacing w:line="240" w:lineRule="auto"/>
        <w:rPr>
          <w:rFonts w:cs="Arial"/>
          <w:b/>
          <w:bCs/>
          <w:szCs w:val="24"/>
        </w:rPr>
      </w:pPr>
      <w:r w:rsidRPr="00377607">
        <w:rPr>
          <w:rFonts w:cs="Arial"/>
          <w:b/>
          <w:bCs/>
          <w:szCs w:val="24"/>
        </w:rPr>
        <w:t>Statutory framework</w:t>
      </w:r>
    </w:p>
    <w:p w14:paraId="2C3A3AB2" w14:textId="77777777" w:rsidR="00F72CE5" w:rsidRPr="00377607" w:rsidRDefault="00F72CE5" w:rsidP="00F72CE5">
      <w:pPr>
        <w:pStyle w:val="Paragraphe"/>
        <w:spacing w:line="240" w:lineRule="auto"/>
        <w:rPr>
          <w:rFonts w:cs="Arial"/>
          <w:szCs w:val="24"/>
        </w:rPr>
      </w:pPr>
      <w:r w:rsidRPr="00377607">
        <w:rPr>
          <w:rFonts w:cs="Arial"/>
          <w:szCs w:val="24"/>
        </w:rPr>
        <w:t xml:space="preserve">Until the creation of the office of the DCPP, public prosecutions in Quebec were conducted under the authority of the attorney general. The evolution in Quebec of </w:t>
      </w:r>
      <w:r w:rsidRPr="00377607">
        <w:rPr>
          <w:rFonts w:cs="Arial"/>
          <w:szCs w:val="24"/>
        </w:rPr>
        <w:lastRenderedPageBreak/>
        <w:t xml:space="preserve">prosecutorial authority can be traced in several </w:t>
      </w:r>
      <w:proofErr w:type="gramStart"/>
      <w:r w:rsidRPr="00377607">
        <w:rPr>
          <w:rFonts w:cs="Arial"/>
          <w:szCs w:val="24"/>
        </w:rPr>
        <w:t>phases</w:t>
      </w:r>
      <w:proofErr w:type="gramEnd"/>
      <w:r w:rsidRPr="00377607">
        <w:rPr>
          <w:rFonts w:cs="Arial"/>
          <w:szCs w:val="24"/>
        </w:rPr>
        <w:t xml:space="preserve"> but a survey of that history is not necessary for present purposes.</w:t>
      </w:r>
      <w:r w:rsidRPr="00377607">
        <w:rPr>
          <w:rStyle w:val="Appelnotedebasdep"/>
          <w:rFonts w:cs="Arial"/>
          <w:szCs w:val="24"/>
        </w:rPr>
        <w:footnoteReference w:id="26"/>
      </w:r>
      <w:r w:rsidRPr="00377607">
        <w:rPr>
          <w:rFonts w:cs="Arial"/>
          <w:szCs w:val="24"/>
        </w:rPr>
        <w:t xml:space="preserve"> </w:t>
      </w:r>
    </w:p>
    <w:p w14:paraId="50EA8FD0" w14:textId="77777777" w:rsidR="00F72CE5" w:rsidRPr="00377607" w:rsidRDefault="00F72CE5" w:rsidP="00F72CE5">
      <w:pPr>
        <w:pStyle w:val="Paragraphe"/>
        <w:spacing w:line="240" w:lineRule="auto"/>
        <w:rPr>
          <w:rFonts w:cs="Arial"/>
          <w:szCs w:val="24"/>
        </w:rPr>
      </w:pPr>
      <w:r w:rsidRPr="00377607">
        <w:rPr>
          <w:rFonts w:cs="Arial"/>
          <w:szCs w:val="24"/>
        </w:rPr>
        <w:t>As AGQ and minister of justice, one elected official is both the chief law officer of the state for the provision of legal services to the government, including the prosecution of criminal offences, and a member of Cabinet who advises the government on legal questions of a political nature.</w:t>
      </w:r>
      <w:r w:rsidRPr="00377607">
        <w:rPr>
          <w:rStyle w:val="Appelnotedebasdep"/>
          <w:rFonts w:cs="Arial"/>
          <w:szCs w:val="24"/>
        </w:rPr>
        <w:footnoteReference w:id="27"/>
      </w:r>
      <w:r w:rsidRPr="00377607">
        <w:rPr>
          <w:rFonts w:cs="Arial"/>
          <w:szCs w:val="24"/>
        </w:rPr>
        <w:t xml:space="preserve"> The creation of the DCPP promoted two aims that are related by principles of independence and accountability. One aim was to emphasise the distinction, without a severance, between the roles of the minister of justice and the AGQ. This has been described as a measure to minimise “la </w:t>
      </w:r>
      <w:proofErr w:type="spellStart"/>
      <w:r w:rsidRPr="00377607">
        <w:rPr>
          <w:rFonts w:cs="Arial"/>
          <w:szCs w:val="24"/>
        </w:rPr>
        <w:t>promiscuité</w:t>
      </w:r>
      <w:proofErr w:type="spellEnd"/>
      <w:r w:rsidRPr="00377607">
        <w:rPr>
          <w:rFonts w:cs="Arial"/>
          <w:szCs w:val="24"/>
        </w:rPr>
        <w:t xml:space="preserve"> </w:t>
      </w:r>
      <w:proofErr w:type="spellStart"/>
      <w:r w:rsidRPr="00377607">
        <w:rPr>
          <w:rFonts w:cs="Arial"/>
          <w:szCs w:val="24"/>
        </w:rPr>
        <w:t>institutionnelle</w:t>
      </w:r>
      <w:proofErr w:type="spellEnd"/>
      <w:r w:rsidRPr="00377607">
        <w:rPr>
          <w:rFonts w:cs="Arial"/>
          <w:szCs w:val="24"/>
        </w:rPr>
        <w:t>” between the two offices</w:t>
      </w:r>
      <w:r w:rsidRPr="00377607">
        <w:rPr>
          <w:rStyle w:val="Appelnotedebasdep"/>
          <w:rFonts w:cs="Arial"/>
          <w:szCs w:val="24"/>
        </w:rPr>
        <w:footnoteReference w:id="28"/>
      </w:r>
      <w:r w:rsidRPr="00377607">
        <w:rPr>
          <w:rFonts w:cs="Arial"/>
          <w:szCs w:val="24"/>
        </w:rPr>
        <w:t xml:space="preserve"> and to draw a line of principle between them. The other aim was to create a structure within government that would more transparently insulate the AGQ from the appearance of any consideration that might be inconsistent with the Shawcross principle of independent prosecution and accountability. The </w:t>
      </w:r>
      <w:r w:rsidRPr="002C7985">
        <w:rPr>
          <w:rFonts w:cs="Arial"/>
          <w:i/>
          <w:iCs/>
          <w:szCs w:val="24"/>
        </w:rPr>
        <w:t>DCPP Act</w:t>
      </w:r>
      <w:r w:rsidRPr="00377607">
        <w:rPr>
          <w:rFonts w:cs="Arial"/>
          <w:szCs w:val="24"/>
        </w:rPr>
        <w:t xml:space="preserve"> created a functional and administrative divide, but not a categorical juridical separation, of distinct but complementary functions of the AGQ and the DCPP. Between the MJ and the AGQ is a distinction in kind between two separate functions within government</w:t>
      </w:r>
      <w:r>
        <w:rPr>
          <w:rFonts w:cs="Arial"/>
          <w:szCs w:val="24"/>
        </w:rPr>
        <w:t>.</w:t>
      </w:r>
      <w:r w:rsidRPr="00377607">
        <w:rPr>
          <w:rFonts w:cs="Arial"/>
          <w:szCs w:val="24"/>
        </w:rPr>
        <w:t xml:space="preserve"> </w:t>
      </w:r>
      <w:r>
        <w:rPr>
          <w:rFonts w:cs="Arial"/>
          <w:szCs w:val="24"/>
        </w:rPr>
        <w:t>B</w:t>
      </w:r>
      <w:r w:rsidRPr="00377607">
        <w:rPr>
          <w:rFonts w:cs="Arial"/>
          <w:szCs w:val="24"/>
        </w:rPr>
        <w:t xml:space="preserve">etween the AGQ and the DCPP </w:t>
      </w:r>
      <w:r>
        <w:rPr>
          <w:rFonts w:cs="Arial"/>
          <w:szCs w:val="24"/>
        </w:rPr>
        <w:t>are</w:t>
      </w:r>
      <w:r w:rsidRPr="00377607">
        <w:rPr>
          <w:rFonts w:cs="Arial"/>
          <w:szCs w:val="24"/>
        </w:rPr>
        <w:t xml:space="preserve"> two aspects of a single function that overlap to the extent that prosecutorial functions are defined in the </w:t>
      </w:r>
      <w:r w:rsidRPr="00377607">
        <w:rPr>
          <w:rFonts w:cs="Arial"/>
          <w:i/>
          <w:iCs/>
          <w:szCs w:val="24"/>
        </w:rPr>
        <w:t>DCPP Act</w:t>
      </w:r>
      <w:r w:rsidRPr="00377607">
        <w:rPr>
          <w:rFonts w:cs="Arial"/>
          <w:szCs w:val="24"/>
        </w:rPr>
        <w:t xml:space="preserve">. </w:t>
      </w:r>
    </w:p>
    <w:p w14:paraId="519BED89" w14:textId="77777777" w:rsidR="00F72CE5" w:rsidRPr="00377607" w:rsidRDefault="00F72CE5" w:rsidP="00F72CE5">
      <w:pPr>
        <w:pStyle w:val="Paragraphe"/>
        <w:spacing w:line="240" w:lineRule="auto"/>
        <w:rPr>
          <w:rFonts w:cs="Arial"/>
          <w:szCs w:val="24"/>
        </w:rPr>
      </w:pPr>
      <w:r w:rsidRPr="00377607">
        <w:rPr>
          <w:rFonts w:cs="Arial"/>
          <w:szCs w:val="24"/>
        </w:rPr>
        <w:t xml:space="preserve">With the delegation of the AGQ’s prosecutorial authority to the DCPP, the AGQ’s plenary authority remains. Nothing in the </w:t>
      </w:r>
      <w:r w:rsidRPr="00377607">
        <w:rPr>
          <w:rFonts w:cs="Arial"/>
          <w:i/>
          <w:iCs/>
          <w:szCs w:val="24"/>
        </w:rPr>
        <w:t>MJ Act,</w:t>
      </w:r>
      <w:r w:rsidRPr="00377607">
        <w:rPr>
          <w:rFonts w:cs="Arial"/>
          <w:szCs w:val="24"/>
        </w:rPr>
        <w:t xml:space="preserve"> the </w:t>
      </w:r>
      <w:r w:rsidRPr="00377607">
        <w:rPr>
          <w:rFonts w:cs="Arial"/>
          <w:i/>
          <w:iCs/>
          <w:szCs w:val="24"/>
        </w:rPr>
        <w:t xml:space="preserve">DCPP </w:t>
      </w:r>
      <w:proofErr w:type="gramStart"/>
      <w:r w:rsidRPr="00377607">
        <w:rPr>
          <w:rFonts w:cs="Arial"/>
          <w:i/>
          <w:iCs/>
          <w:szCs w:val="24"/>
        </w:rPr>
        <w:t>Act</w:t>
      </w:r>
      <w:proofErr w:type="gramEnd"/>
      <w:r w:rsidRPr="00377607">
        <w:rPr>
          <w:rFonts w:cs="Arial"/>
          <w:szCs w:val="24"/>
        </w:rPr>
        <w:t xml:space="preserve"> or any other statute enacted by Parliament or the National Assembly removes or diminishes that authority. The </w:t>
      </w:r>
      <w:r w:rsidRPr="002C7985">
        <w:rPr>
          <w:rFonts w:cs="Arial"/>
          <w:i/>
          <w:iCs/>
          <w:szCs w:val="24"/>
        </w:rPr>
        <w:t>DCPP Act</w:t>
      </w:r>
      <w:r w:rsidRPr="00377607">
        <w:rPr>
          <w:rFonts w:cs="Arial"/>
          <w:szCs w:val="24"/>
        </w:rPr>
        <w:t xml:space="preserve"> specifies that the DCPP acts under the “general authority of the attorney general.”</w:t>
      </w:r>
      <w:r w:rsidRPr="00377607">
        <w:rPr>
          <w:rStyle w:val="Appelnotedebasdep"/>
          <w:rFonts w:cs="Arial"/>
          <w:szCs w:val="24"/>
        </w:rPr>
        <w:footnoteReference w:id="29"/>
      </w:r>
      <w:r w:rsidRPr="00377607">
        <w:rPr>
          <w:rFonts w:cs="Arial"/>
          <w:szCs w:val="24"/>
        </w:rPr>
        <w:t xml:space="preserve"> It authorizes the attorney general to assume carriage of a prosecution upon prior consultation and notice (section 23); and it authorises the AGQ to intervene without formality in a pending prosecution (section 24). The purpose of the </w:t>
      </w:r>
      <w:r w:rsidRPr="00377607">
        <w:rPr>
          <w:rFonts w:cs="Arial"/>
          <w:i/>
          <w:iCs/>
          <w:szCs w:val="24"/>
        </w:rPr>
        <w:t>DCPP Act</w:t>
      </w:r>
      <w:r w:rsidRPr="00377607">
        <w:rPr>
          <w:rFonts w:cs="Arial"/>
          <w:szCs w:val="24"/>
        </w:rPr>
        <w:t xml:space="preserve"> sustains a prosecutorial authority that is clearly independent of political interference. It was not to exclude the AGQ’s standing and it cannot be interpreted to that effect, unlike a provision such as section 3(</w:t>
      </w:r>
      <w:r w:rsidRPr="00377607">
        <w:rPr>
          <w:rFonts w:cs="Arial"/>
          <w:i/>
          <w:iCs/>
          <w:szCs w:val="24"/>
        </w:rPr>
        <w:t>c</w:t>
      </w:r>
      <w:r w:rsidRPr="00377607">
        <w:rPr>
          <w:rFonts w:cs="Arial"/>
          <w:szCs w:val="24"/>
        </w:rPr>
        <w:t xml:space="preserve">) of the </w:t>
      </w:r>
      <w:r w:rsidRPr="00377607">
        <w:rPr>
          <w:rFonts w:cs="Arial"/>
          <w:i/>
          <w:iCs/>
          <w:szCs w:val="24"/>
        </w:rPr>
        <w:t>MJ Act</w:t>
      </w:r>
      <w:r w:rsidRPr="00377607">
        <w:rPr>
          <w:rFonts w:cs="Arial"/>
          <w:szCs w:val="24"/>
        </w:rPr>
        <w:t xml:space="preserve"> which explicitly reserves functions attributed to the Minister of Public Safety.</w:t>
      </w:r>
      <w:r w:rsidRPr="00377607">
        <w:rPr>
          <w:rStyle w:val="Appelnotedebasdep"/>
          <w:rFonts w:cs="Arial"/>
          <w:szCs w:val="24"/>
        </w:rPr>
        <w:footnoteReference w:id="30"/>
      </w:r>
      <w:r w:rsidRPr="00377607">
        <w:rPr>
          <w:rFonts w:cs="Arial"/>
          <w:szCs w:val="24"/>
        </w:rPr>
        <w:t xml:space="preserve"> The </w:t>
      </w:r>
      <w:r w:rsidRPr="00377607">
        <w:rPr>
          <w:rFonts w:cs="Arial"/>
          <w:i/>
          <w:iCs/>
          <w:szCs w:val="24"/>
        </w:rPr>
        <w:t>DCPP Act</w:t>
      </w:r>
      <w:r w:rsidRPr="00377607">
        <w:rPr>
          <w:rFonts w:cs="Arial"/>
          <w:szCs w:val="24"/>
        </w:rPr>
        <w:t xml:space="preserve"> not only establishes the independent authority of the DCPP but it expressly preserves the AGQ’s standing because only the AGQ can report to the legislature and thus fulfil a requirement of responsible government under the rule of law.</w:t>
      </w:r>
      <w:r w:rsidRPr="00377607">
        <w:rPr>
          <w:rStyle w:val="Appelnotedebasdep"/>
          <w:rFonts w:cs="Arial"/>
          <w:szCs w:val="24"/>
        </w:rPr>
        <w:footnoteReference w:id="31"/>
      </w:r>
    </w:p>
    <w:p w14:paraId="65F48BD7" w14:textId="77777777" w:rsidR="00F72CE5" w:rsidRPr="00377607" w:rsidRDefault="00F72CE5" w:rsidP="00F72CE5">
      <w:pPr>
        <w:pStyle w:val="Paragraphe"/>
        <w:spacing w:line="240" w:lineRule="auto"/>
        <w:rPr>
          <w:rFonts w:cs="Arial"/>
          <w:szCs w:val="24"/>
        </w:rPr>
      </w:pPr>
      <w:r w:rsidRPr="00377607">
        <w:rPr>
          <w:rFonts w:cs="Arial"/>
          <w:szCs w:val="24"/>
        </w:rPr>
        <w:lastRenderedPageBreak/>
        <w:t>The functions of the AGQ and the DCPP have been considered in several decisions</w:t>
      </w:r>
      <w:r w:rsidRPr="00377607">
        <w:rPr>
          <w:rStyle w:val="Appelnotedebasdep"/>
          <w:rFonts w:cs="Arial"/>
          <w:szCs w:val="24"/>
        </w:rPr>
        <w:footnoteReference w:id="32"/>
      </w:r>
      <w:r w:rsidRPr="00377607">
        <w:rPr>
          <w:rFonts w:cs="Arial"/>
          <w:szCs w:val="24"/>
        </w:rPr>
        <w:t xml:space="preserve"> and their conclusions, for the purposes of this appeal, can be summarised briefly:</w:t>
      </w:r>
    </w:p>
    <w:p w14:paraId="71A5A699" w14:textId="77777777" w:rsidR="00F72CE5" w:rsidRPr="00377607" w:rsidRDefault="00F72CE5" w:rsidP="00F72CE5">
      <w:pPr>
        <w:pStyle w:val="Citationenretrait"/>
        <w:spacing w:line="240" w:lineRule="auto"/>
        <w:rPr>
          <w:rFonts w:cs="Arial"/>
          <w:sz w:val="24"/>
          <w:szCs w:val="24"/>
        </w:rPr>
      </w:pPr>
      <w:r w:rsidRPr="00377607">
        <w:rPr>
          <w:rFonts w:cs="Arial"/>
          <w:sz w:val="24"/>
          <w:szCs w:val="24"/>
        </w:rPr>
        <w:t>The MJ and the AGQ have separate functions.</w:t>
      </w:r>
    </w:p>
    <w:p w14:paraId="7AF52035" w14:textId="77777777" w:rsidR="00F72CE5" w:rsidRPr="00377607" w:rsidRDefault="00F72CE5" w:rsidP="00F72CE5">
      <w:pPr>
        <w:pStyle w:val="Citationenretrait"/>
        <w:spacing w:line="240" w:lineRule="auto"/>
        <w:rPr>
          <w:rFonts w:cs="Arial"/>
          <w:sz w:val="24"/>
          <w:szCs w:val="24"/>
        </w:rPr>
      </w:pPr>
      <w:r w:rsidRPr="00377607">
        <w:rPr>
          <w:rFonts w:cs="Arial"/>
          <w:sz w:val="24"/>
          <w:szCs w:val="24"/>
        </w:rPr>
        <w:t xml:space="preserve">The AGQ performs various functions as chief </w:t>
      </w:r>
      <w:r>
        <w:rPr>
          <w:rFonts w:cs="Arial"/>
          <w:sz w:val="24"/>
          <w:szCs w:val="24"/>
        </w:rPr>
        <w:t xml:space="preserve">law </w:t>
      </w:r>
      <w:r w:rsidRPr="00377607">
        <w:rPr>
          <w:rFonts w:cs="Arial"/>
          <w:sz w:val="24"/>
          <w:szCs w:val="24"/>
        </w:rPr>
        <w:t>officer of the state. One of those is the exercise of prosecutorial authority.</w:t>
      </w:r>
    </w:p>
    <w:p w14:paraId="28E18F5C" w14:textId="77777777" w:rsidR="00F72CE5" w:rsidRPr="00377607" w:rsidRDefault="00F72CE5" w:rsidP="00F72CE5">
      <w:pPr>
        <w:pStyle w:val="Citationenretrait"/>
        <w:spacing w:line="240" w:lineRule="auto"/>
        <w:rPr>
          <w:rFonts w:cs="Arial"/>
          <w:sz w:val="24"/>
          <w:szCs w:val="24"/>
        </w:rPr>
      </w:pPr>
      <w:r w:rsidRPr="00377607">
        <w:rPr>
          <w:rFonts w:cs="Arial"/>
          <w:sz w:val="24"/>
          <w:szCs w:val="24"/>
        </w:rPr>
        <w:t>In the discharge of his authority as chief prosecutor the AGQ acts independently of partisan considerations.</w:t>
      </w:r>
    </w:p>
    <w:p w14:paraId="70458ADF" w14:textId="77777777" w:rsidR="00F72CE5" w:rsidRPr="00377607" w:rsidRDefault="00F72CE5" w:rsidP="00F72CE5">
      <w:pPr>
        <w:pStyle w:val="Citationenretrait"/>
        <w:spacing w:line="240" w:lineRule="auto"/>
        <w:rPr>
          <w:rFonts w:cs="Arial"/>
          <w:sz w:val="24"/>
          <w:szCs w:val="24"/>
        </w:rPr>
      </w:pPr>
      <w:r w:rsidRPr="00377607">
        <w:rPr>
          <w:rFonts w:cs="Arial"/>
          <w:sz w:val="24"/>
          <w:szCs w:val="24"/>
        </w:rPr>
        <w:t xml:space="preserve">The DCPP shares prosecutorial authority with the AGQ and acts independently of the AGQ within the authority delegated to him by the </w:t>
      </w:r>
      <w:r w:rsidRPr="00377607">
        <w:rPr>
          <w:rFonts w:cs="Arial"/>
          <w:i/>
          <w:iCs/>
          <w:sz w:val="24"/>
          <w:szCs w:val="24"/>
        </w:rPr>
        <w:t>DCPP Act</w:t>
      </w:r>
      <w:r w:rsidRPr="00377607">
        <w:rPr>
          <w:rFonts w:cs="Arial"/>
          <w:sz w:val="24"/>
          <w:szCs w:val="24"/>
        </w:rPr>
        <w:t xml:space="preserve"> but such authority may also be exercised by the AGQ in accordance with the </w:t>
      </w:r>
      <w:r w:rsidRPr="002C7985">
        <w:rPr>
          <w:rFonts w:cs="Arial"/>
          <w:i/>
          <w:iCs/>
          <w:sz w:val="24"/>
          <w:szCs w:val="24"/>
        </w:rPr>
        <w:t>DCPP</w:t>
      </w:r>
      <w:r>
        <w:rPr>
          <w:rFonts w:cs="Arial"/>
          <w:sz w:val="24"/>
          <w:szCs w:val="24"/>
        </w:rPr>
        <w:t xml:space="preserve"> </w:t>
      </w:r>
      <w:r w:rsidRPr="002C7985">
        <w:rPr>
          <w:rFonts w:cs="Arial"/>
          <w:i/>
          <w:iCs/>
          <w:sz w:val="24"/>
          <w:szCs w:val="24"/>
        </w:rPr>
        <w:t>Act</w:t>
      </w:r>
      <w:r w:rsidRPr="00377607">
        <w:rPr>
          <w:rFonts w:cs="Arial"/>
          <w:sz w:val="24"/>
          <w:szCs w:val="24"/>
        </w:rPr>
        <w:t>.</w:t>
      </w:r>
    </w:p>
    <w:p w14:paraId="36ED6DAC" w14:textId="77777777" w:rsidR="00F72CE5" w:rsidRPr="00377607" w:rsidRDefault="00F72CE5" w:rsidP="00F72CE5">
      <w:pPr>
        <w:pStyle w:val="Citationenretrait"/>
        <w:spacing w:line="240" w:lineRule="auto"/>
        <w:rPr>
          <w:rFonts w:cs="Arial"/>
          <w:sz w:val="24"/>
          <w:szCs w:val="24"/>
        </w:rPr>
      </w:pPr>
      <w:r w:rsidRPr="00377607">
        <w:rPr>
          <w:rFonts w:cs="Arial"/>
          <w:sz w:val="24"/>
          <w:szCs w:val="24"/>
        </w:rPr>
        <w:t xml:space="preserve">The AGQ will defer to the independence of the DCPP in the exercise of prosecutorial authority except where there is an issue of </w:t>
      </w:r>
      <w:proofErr w:type="gramStart"/>
      <w:r w:rsidRPr="00377607">
        <w:rPr>
          <w:rFonts w:cs="Arial"/>
          <w:sz w:val="24"/>
          <w:szCs w:val="24"/>
        </w:rPr>
        <w:t>general public</w:t>
      </w:r>
      <w:proofErr w:type="gramEnd"/>
      <w:r w:rsidRPr="00377607">
        <w:rPr>
          <w:rFonts w:cs="Arial"/>
          <w:sz w:val="24"/>
          <w:szCs w:val="24"/>
        </w:rPr>
        <w:t xml:space="preserve"> importance, including an issue of constitutional validity, that falls within the functions of the AGQ. </w:t>
      </w:r>
    </w:p>
    <w:p w14:paraId="4D951F3F" w14:textId="26145D0D" w:rsidR="00F72CE5" w:rsidRPr="00377607" w:rsidRDefault="00F72CE5" w:rsidP="00F72CE5">
      <w:pPr>
        <w:pStyle w:val="Paragraphe"/>
        <w:spacing w:before="240" w:line="240" w:lineRule="auto"/>
        <w:rPr>
          <w:rFonts w:cs="Arial"/>
          <w:szCs w:val="24"/>
        </w:rPr>
      </w:pPr>
      <w:r w:rsidRPr="00377607">
        <w:rPr>
          <w:rFonts w:cs="Arial"/>
          <w:szCs w:val="24"/>
        </w:rPr>
        <w:t xml:space="preserve">In my view it follows that the AGQ may act as a party in any criminal appeal, </w:t>
      </w:r>
      <w:proofErr w:type="gramStart"/>
      <w:r w:rsidRPr="00377607">
        <w:rPr>
          <w:rFonts w:cs="Arial"/>
          <w:szCs w:val="24"/>
        </w:rPr>
        <w:t>whether or not</w:t>
      </w:r>
      <w:proofErr w:type="gramEnd"/>
      <w:r w:rsidRPr="00377607">
        <w:rPr>
          <w:rFonts w:cs="Arial"/>
          <w:szCs w:val="24"/>
        </w:rPr>
        <w:t xml:space="preserve"> the appeal is initiated by the DCPP, to make submissions concerning the constitutional validity of a law. It is important to specify that the prosecutorial authority of the AGQ and the DCPP is conterminous to the extent of the DCPP’s functions as delimited by the </w:t>
      </w:r>
      <w:r w:rsidRPr="00377607">
        <w:rPr>
          <w:rFonts w:cs="Arial"/>
          <w:i/>
          <w:iCs/>
          <w:szCs w:val="24"/>
        </w:rPr>
        <w:t>DCPP Act</w:t>
      </w:r>
      <w:r w:rsidRPr="00377607">
        <w:rPr>
          <w:rFonts w:cs="Arial"/>
          <w:szCs w:val="24"/>
        </w:rPr>
        <w:t xml:space="preserve">. The AGQ, as chief law officer, has additional duties to represent the state before the courts. </w:t>
      </w:r>
    </w:p>
    <w:p w14:paraId="6CDCA3D4" w14:textId="77777777" w:rsidR="00F72CE5" w:rsidRPr="00377607" w:rsidRDefault="00F72CE5" w:rsidP="00F72CE5">
      <w:pPr>
        <w:pStyle w:val="Paragraphe"/>
        <w:numPr>
          <w:ilvl w:val="0"/>
          <w:numId w:val="0"/>
        </w:numPr>
        <w:spacing w:line="240" w:lineRule="auto"/>
        <w:rPr>
          <w:rFonts w:cs="Arial"/>
          <w:b/>
          <w:bCs/>
          <w:szCs w:val="24"/>
        </w:rPr>
      </w:pPr>
      <w:r w:rsidRPr="00377607">
        <w:rPr>
          <w:rFonts w:cs="Arial"/>
          <w:b/>
          <w:bCs/>
          <w:szCs w:val="24"/>
        </w:rPr>
        <w:t>Practice</w:t>
      </w:r>
    </w:p>
    <w:p w14:paraId="6785E417" w14:textId="77777777" w:rsidR="00F72CE5" w:rsidRPr="00377607" w:rsidRDefault="00F72CE5" w:rsidP="00F72CE5">
      <w:pPr>
        <w:pStyle w:val="Paragraphe"/>
        <w:spacing w:line="240" w:lineRule="auto"/>
        <w:rPr>
          <w:rFonts w:cs="Arial"/>
          <w:szCs w:val="24"/>
        </w:rPr>
      </w:pPr>
      <w:r w:rsidRPr="00377607">
        <w:rPr>
          <w:rFonts w:cs="Arial"/>
          <w:szCs w:val="24"/>
        </w:rPr>
        <w:t xml:space="preserve">In short, anything that the DCPP is authorized to do under the </w:t>
      </w:r>
      <w:r w:rsidRPr="00377607">
        <w:rPr>
          <w:rFonts w:cs="Arial"/>
          <w:i/>
          <w:iCs/>
          <w:szCs w:val="24"/>
        </w:rPr>
        <w:t>DCPP Act</w:t>
      </w:r>
      <w:r w:rsidRPr="00377607">
        <w:rPr>
          <w:rFonts w:cs="Arial"/>
          <w:szCs w:val="24"/>
        </w:rPr>
        <w:t xml:space="preserve"> may be done legally by the AGQ.  There is no doubt that the AGQ can appear as an intervener or impleaded party and there is little practical difference if the AGQ appears as a party. There is also little doubt that if two counsel appear in an appeal by the DCPP, one from the DCPP and the other from the AGQ, and they divide their submissions, there would be no objection unless they repeat themselves. The joint standing of the DCPP and the AGQ in no way implies that the opposing party faces two prosecutions or two prosecutors. It means that the opposing party faces a single prosecution with distinct aspects. As in the present case, the DCPP is concerned with specific issues between the parties in a </w:t>
      </w:r>
      <w:r w:rsidRPr="00377607">
        <w:rPr>
          <w:rFonts w:cs="Arial"/>
          <w:szCs w:val="24"/>
        </w:rPr>
        <w:lastRenderedPageBreak/>
        <w:t>particular prosecution under valid laws whereas the AGQ is concerned with constitutional questions about the validity of laws and broader issues of legislative policy.</w:t>
      </w:r>
    </w:p>
    <w:p w14:paraId="168C2BBC" w14:textId="77777777" w:rsidR="00F72CE5" w:rsidRPr="00377607" w:rsidRDefault="00F72CE5" w:rsidP="00F72CE5">
      <w:pPr>
        <w:pStyle w:val="Paragraphe"/>
        <w:spacing w:line="240" w:lineRule="auto"/>
        <w:rPr>
          <w:rFonts w:cs="Arial"/>
          <w:szCs w:val="24"/>
        </w:rPr>
      </w:pPr>
      <w:r w:rsidRPr="00377607">
        <w:rPr>
          <w:rFonts w:cs="Arial"/>
          <w:szCs w:val="24"/>
        </w:rPr>
        <w:t xml:space="preserve">Practical considerations arise that must be noted where the DCPP and the AGQ participate jointly in a criminal prosecution, including matters such as the length and form of written submissions, the division of issues between the DCPP and the AGQ and the duplication of representations, as well as the allocation of time for oral submissions. </w:t>
      </w:r>
    </w:p>
    <w:p w14:paraId="1A769BEC" w14:textId="77777777" w:rsidR="00F72CE5" w:rsidRPr="00377607" w:rsidRDefault="00F72CE5" w:rsidP="00F72CE5">
      <w:pPr>
        <w:pStyle w:val="Paragraphe"/>
        <w:spacing w:line="240" w:lineRule="auto"/>
        <w:rPr>
          <w:rFonts w:cs="Arial"/>
          <w:szCs w:val="24"/>
        </w:rPr>
      </w:pPr>
      <w:r w:rsidRPr="00377607">
        <w:rPr>
          <w:rFonts w:cs="Arial"/>
          <w:szCs w:val="24"/>
        </w:rPr>
        <w:t xml:space="preserve">A constitutional issue that concerns the application of the Charter in such a case is categorically distinct from an issue that raises the constitutional validity of a provision of law. In cases where the two types of issue arise it is quite possible for there to be no appeal on the first but an appeal on the second. In such a case the DCPP might decline to appeal while the AGQ seeks to appeal. And, so too, if both seek to appeal for different reasons and on different issues. This is self-evident and has been long established in cases that raise a constitutional question of the division of powers between Parliament and the provincial legislatures. Whether the issue concerns constitutional validity under the Charter or the division of powers, the participation of the AGQ is no more than the exercise of his authority to represent the state on matters of </w:t>
      </w:r>
      <w:proofErr w:type="gramStart"/>
      <w:r w:rsidRPr="00377607">
        <w:rPr>
          <w:rFonts w:cs="Arial"/>
          <w:szCs w:val="24"/>
        </w:rPr>
        <w:t>general public</w:t>
      </w:r>
      <w:proofErr w:type="gramEnd"/>
      <w:r w:rsidRPr="00377607">
        <w:rPr>
          <w:rFonts w:cs="Arial"/>
          <w:szCs w:val="24"/>
        </w:rPr>
        <w:t xml:space="preserve"> importance. It is unimportant whether that participation occurs in a criminal proceeding or another type of proceeding.</w:t>
      </w:r>
    </w:p>
    <w:p w14:paraId="5348714B" w14:textId="77777777" w:rsidR="00F72CE5" w:rsidRPr="00377607" w:rsidRDefault="00F72CE5" w:rsidP="00F72CE5">
      <w:pPr>
        <w:pStyle w:val="Paragraphe"/>
        <w:spacing w:line="240" w:lineRule="auto"/>
        <w:rPr>
          <w:rFonts w:cs="Arial"/>
          <w:szCs w:val="24"/>
        </w:rPr>
      </w:pPr>
      <w:r w:rsidRPr="00377607">
        <w:rPr>
          <w:rFonts w:cs="Arial"/>
          <w:szCs w:val="24"/>
        </w:rPr>
        <w:t xml:space="preserve">It is also not uncommon, typically in the Supreme Court, for the Attorney General to appear in criminal appeals without the DCPP as an appellant party. This occurs when an appeal turns on the resolution of a constitutional question of general interest rather than the soundness of the verdict or sentence. In such circumstances the interest and standing of the AGQ remain but the interest of the DCPP no longer remains. It might be noted that in </w:t>
      </w:r>
      <w:proofErr w:type="spellStart"/>
      <w:r w:rsidRPr="00377607">
        <w:rPr>
          <w:rFonts w:cs="Arial"/>
          <w:i/>
          <w:iCs/>
          <w:szCs w:val="24"/>
        </w:rPr>
        <w:t>Senneville</w:t>
      </w:r>
      <w:proofErr w:type="spellEnd"/>
      <w:r w:rsidRPr="00377607">
        <w:rPr>
          <w:rFonts w:cs="Arial"/>
          <w:szCs w:val="24"/>
        </w:rPr>
        <w:t>,</w:t>
      </w:r>
      <w:r w:rsidRPr="00377607">
        <w:rPr>
          <w:rStyle w:val="Appelnotedebasdep"/>
          <w:rFonts w:cs="Arial"/>
          <w:szCs w:val="24"/>
        </w:rPr>
        <w:footnoteReference w:id="33"/>
      </w:r>
      <w:r w:rsidRPr="00377607">
        <w:rPr>
          <w:rFonts w:cs="Arial"/>
          <w:szCs w:val="24"/>
        </w:rPr>
        <w:t xml:space="preserve"> which both involved the constitutional validity of a mandatory minimum sentence, the AGQ </w:t>
      </w:r>
      <w:r w:rsidRPr="00464FBB">
        <w:rPr>
          <w:rFonts w:cs="Arial"/>
          <w:szCs w:val="24"/>
        </w:rPr>
        <w:t xml:space="preserve">appeared at first instance as </w:t>
      </w:r>
      <w:r w:rsidRPr="00464FBB">
        <w:rPr>
          <w:rFonts w:cs="Arial"/>
          <w:i/>
          <w:iCs/>
          <w:szCs w:val="24"/>
        </w:rPr>
        <w:t>mis-en-cause</w:t>
      </w:r>
      <w:r w:rsidRPr="00464FBB">
        <w:rPr>
          <w:rFonts w:cs="Arial"/>
          <w:szCs w:val="24"/>
        </w:rPr>
        <w:t xml:space="preserve"> and in this Court as appellant</w:t>
      </w:r>
      <w:r>
        <w:rPr>
          <w:rFonts w:cs="Arial"/>
          <w:szCs w:val="24"/>
        </w:rPr>
        <w:t>.</w:t>
      </w:r>
      <w:r w:rsidRPr="00377607">
        <w:rPr>
          <w:rFonts w:cs="Arial"/>
          <w:szCs w:val="24"/>
        </w:rPr>
        <w:t xml:space="preserve"> The DCPP did not appeal from the </w:t>
      </w:r>
      <w:proofErr w:type="gramStart"/>
      <w:r w:rsidRPr="00377607">
        <w:rPr>
          <w:rFonts w:cs="Arial"/>
          <w:szCs w:val="24"/>
        </w:rPr>
        <w:t>judgment</w:t>
      </w:r>
      <w:proofErr w:type="gramEnd"/>
      <w:r w:rsidRPr="00377607">
        <w:rPr>
          <w:rFonts w:cs="Arial"/>
          <w:szCs w:val="24"/>
        </w:rPr>
        <w:t xml:space="preserve"> but the AGQ appeared in the Supreme Court as “appellant.”</w:t>
      </w:r>
    </w:p>
    <w:p w14:paraId="1D2F2BCE" w14:textId="77777777" w:rsidR="00F72CE5" w:rsidRPr="00377607" w:rsidRDefault="00F72CE5" w:rsidP="00F72CE5">
      <w:pPr>
        <w:pStyle w:val="Paragraphe"/>
        <w:spacing w:line="240" w:lineRule="auto"/>
        <w:rPr>
          <w:rFonts w:cs="Arial"/>
          <w:szCs w:val="24"/>
        </w:rPr>
      </w:pPr>
      <w:r w:rsidRPr="00377607">
        <w:rPr>
          <w:rFonts w:cs="Arial"/>
          <w:szCs w:val="24"/>
        </w:rPr>
        <w:t>The link between the issues raised by the DCPP and the AGQ is clear. The DCPP may ask, “Are the mandatory minimum sentences (or any one of them) in this case unfit because they are cruel and unusual punishment?”, to which the answer might be “Yes, and therefore invalid in any case too.” The AGQ might ask, “Are the mandatory minimum sentences that are applicable in this case (or any one of them) cruel and unusual punishment in any reasonably foreseeable scenario?”, to which the answer might be “Yes, and therefore unfit in this case too.”</w:t>
      </w:r>
      <w:r w:rsidRPr="00377607">
        <w:rPr>
          <w:rStyle w:val="Appelnotedebasdep"/>
          <w:rFonts w:cs="Arial"/>
          <w:szCs w:val="24"/>
        </w:rPr>
        <w:footnoteReference w:id="34"/>
      </w:r>
    </w:p>
    <w:p w14:paraId="35B04458" w14:textId="77777777" w:rsidR="00F72CE5" w:rsidRPr="00377607" w:rsidRDefault="00F72CE5" w:rsidP="00F72CE5">
      <w:pPr>
        <w:pStyle w:val="Paragraphe"/>
        <w:spacing w:line="240" w:lineRule="auto"/>
        <w:rPr>
          <w:rFonts w:cs="Arial"/>
          <w:szCs w:val="24"/>
        </w:rPr>
      </w:pPr>
      <w:r w:rsidRPr="00377607">
        <w:rPr>
          <w:rFonts w:cs="Arial"/>
          <w:szCs w:val="24"/>
        </w:rPr>
        <w:t xml:space="preserve">The Supreme Court has noted that the interests of the DCPP and the AGQ in a particular prosecution will be inextricably linked because the resolution of the appeal </w:t>
      </w:r>
      <w:r w:rsidRPr="00377607">
        <w:rPr>
          <w:rFonts w:cs="Arial"/>
          <w:szCs w:val="24"/>
        </w:rPr>
        <w:lastRenderedPageBreak/>
        <w:t>concerning culpability or sentence is indissociable with the resolution of a broader constitutional question.</w:t>
      </w:r>
      <w:r w:rsidRPr="00377607">
        <w:rPr>
          <w:rStyle w:val="Appelnotedebasdep"/>
          <w:rFonts w:cs="Arial"/>
          <w:szCs w:val="24"/>
        </w:rPr>
        <w:footnoteReference w:id="35"/>
      </w:r>
      <w:r w:rsidRPr="00377607">
        <w:rPr>
          <w:rFonts w:cs="Arial"/>
          <w:szCs w:val="24"/>
        </w:rPr>
        <w:t xml:space="preserve"> The Court has explained that there are cases where there the two questions can and should be severed, in which case proceedings on the broader constitutional issues will proceed separately. In the present case the inextricable link between the sentence appeal and the constitutional validity of the mandatory minimums sentences is clear: one is dependent on resolution of the other. In these circumstances </w:t>
      </w:r>
      <w:proofErr w:type="gramStart"/>
      <w:r w:rsidRPr="00377607">
        <w:rPr>
          <w:rFonts w:cs="Arial"/>
          <w:szCs w:val="24"/>
        </w:rPr>
        <w:t>it is clear that the</w:t>
      </w:r>
      <w:proofErr w:type="gramEnd"/>
      <w:r w:rsidRPr="00377607">
        <w:rPr>
          <w:rFonts w:cs="Arial"/>
          <w:szCs w:val="24"/>
        </w:rPr>
        <w:t xml:space="preserve"> respondent is not asked to respond to two prosecutors or two prosecutions but a single prosecution in which two central issues were raised in her submissions before the sentencing judge: the fitness of the sentence and validity of the mandatory minimum sentences.</w:t>
      </w:r>
    </w:p>
    <w:p w14:paraId="463ABAE3" w14:textId="77777777" w:rsidR="00F72CE5" w:rsidRPr="00377607" w:rsidRDefault="00F72CE5" w:rsidP="00F72CE5">
      <w:pPr>
        <w:pStyle w:val="Paragraphe"/>
        <w:spacing w:line="240" w:lineRule="auto"/>
        <w:rPr>
          <w:rFonts w:cs="Arial"/>
          <w:szCs w:val="24"/>
        </w:rPr>
      </w:pPr>
      <w:r w:rsidRPr="00377607">
        <w:rPr>
          <w:rFonts w:cs="Arial"/>
          <w:szCs w:val="24"/>
        </w:rPr>
        <w:t xml:space="preserve">The Supreme Court has considered the situation where a constitutional question concerning the validity of a law, as opposed to the application of the Charter to a law of undisputed validity, arises in the context of a particular prosecution. This was addressed in </w:t>
      </w:r>
      <w:proofErr w:type="gramStart"/>
      <w:r w:rsidRPr="00377607">
        <w:rPr>
          <w:rFonts w:cs="Arial"/>
          <w:i/>
          <w:iCs/>
          <w:szCs w:val="24"/>
        </w:rPr>
        <w:t>Laba</w:t>
      </w:r>
      <w:r>
        <w:rPr>
          <w:rFonts w:cs="Arial"/>
          <w:i/>
          <w:iCs/>
          <w:szCs w:val="24"/>
        </w:rPr>
        <w:t xml:space="preserve"> </w:t>
      </w:r>
      <w:r>
        <w:rPr>
          <w:rFonts w:cs="Arial"/>
          <w:szCs w:val="24"/>
        </w:rPr>
        <w:t>:</w:t>
      </w:r>
      <w:proofErr w:type="gramEnd"/>
      <w:r w:rsidRPr="00377607">
        <w:rPr>
          <w:rFonts w:cs="Arial"/>
          <w:i/>
          <w:iCs/>
          <w:szCs w:val="24"/>
        </w:rPr>
        <w:t xml:space="preserve"> </w:t>
      </w:r>
    </w:p>
    <w:p w14:paraId="562064EA" w14:textId="77777777" w:rsidR="00F72CE5" w:rsidRPr="000D67E4" w:rsidRDefault="00F72CE5" w:rsidP="00F72CE5">
      <w:pPr>
        <w:pStyle w:val="Citationenretrait"/>
        <w:spacing w:line="240" w:lineRule="auto"/>
        <w:rPr>
          <w:rFonts w:cs="Arial"/>
          <w:szCs w:val="22"/>
          <w:lang w:eastAsia="fr-CA"/>
        </w:rPr>
      </w:pPr>
      <w:r w:rsidRPr="000D67E4">
        <w:rPr>
          <w:rFonts w:cs="Arial"/>
          <w:szCs w:val="22"/>
        </w:rPr>
        <w:t>[21]</w:t>
      </w:r>
      <w:r w:rsidRPr="000D67E4">
        <w:rPr>
          <w:rFonts w:cs="Arial"/>
          <w:szCs w:val="22"/>
        </w:rPr>
        <w:tab/>
        <w:t>[…] If ever a finding of unconstitutionality coincides with a conviction, no appeal against the finding of unconstitutionality will be available if the accused [or the DCPP in the case of acquittal] chooses not to appeal.</w:t>
      </w:r>
    </w:p>
    <w:p w14:paraId="33CC45AB" w14:textId="77777777" w:rsidR="00F72CE5" w:rsidRPr="00C01C22" w:rsidRDefault="00F72CE5" w:rsidP="00F72CE5">
      <w:pPr>
        <w:pStyle w:val="Citationenretrait"/>
        <w:spacing w:line="240" w:lineRule="auto"/>
        <w:rPr>
          <w:rFonts w:cs="Arial"/>
          <w:szCs w:val="22"/>
        </w:rPr>
      </w:pPr>
      <w:r w:rsidRPr="000D67E4">
        <w:rPr>
          <w:rFonts w:cs="Arial"/>
          <w:szCs w:val="22"/>
        </w:rPr>
        <w:t>[22]      To me, such a consequence is absurd.  First, the constitutionality of a law is left dependent upon the resolution of an issue completely unrelated to constitutionality, i.e., the guilt or innocence of the accused and upon his or her decision to appeal a conviction.  Second, a law can be struck down by a Provincial or Superior Court judge and then left to hang there inoperative until some time in the future when another case on point happens to come before another judge and happens to result in a verdict that provides for an avenue of appeal through the </w:t>
      </w:r>
      <w:r w:rsidRPr="000D67E4">
        <w:rPr>
          <w:rFonts w:cs="Arial"/>
          <w:i/>
          <w:iCs/>
          <w:spacing w:val="-3"/>
          <w:szCs w:val="22"/>
        </w:rPr>
        <w:t>Criminal Code</w:t>
      </w:r>
      <w:r w:rsidRPr="000D67E4">
        <w:rPr>
          <w:rFonts w:cs="Arial"/>
          <w:szCs w:val="22"/>
        </w:rPr>
        <w:t>. Just as an accused is entitled to his or her day in court, so too is the legislature.  The legislature does not properly get this day in court if its ability to get to court on the issue of the constitutionality of a law is dependent upon the contingency of a particular finding of guilt or innocence coinciding with a </w:t>
      </w:r>
      <w:proofErr w:type="gramStart"/>
      <w:r w:rsidRPr="000D67E4">
        <w:rPr>
          <w:rFonts w:cs="Arial"/>
          <w:i/>
          <w:iCs/>
          <w:szCs w:val="22"/>
        </w:rPr>
        <w:t>Criminal Code</w:t>
      </w:r>
      <w:r w:rsidRPr="000D67E4">
        <w:rPr>
          <w:rFonts w:cs="Arial"/>
          <w:szCs w:val="22"/>
        </w:rPr>
        <w:t> avenue</w:t>
      </w:r>
      <w:proofErr w:type="gramEnd"/>
      <w:r w:rsidRPr="000D67E4">
        <w:rPr>
          <w:rFonts w:cs="Arial"/>
          <w:szCs w:val="22"/>
        </w:rPr>
        <w:t xml:space="preserve"> of appeal.</w:t>
      </w:r>
      <w:r w:rsidRPr="00C01C22">
        <w:rPr>
          <w:rStyle w:val="Appelnotedebasdep"/>
          <w:rFonts w:cs="Arial"/>
          <w:color w:val="000000"/>
          <w:spacing w:val="-3"/>
          <w:szCs w:val="22"/>
          <w:lang w:val="en-CA"/>
        </w:rPr>
        <w:footnoteReference w:id="36"/>
      </w:r>
    </w:p>
    <w:p w14:paraId="3E9970BC" w14:textId="77777777" w:rsidR="00F72CE5" w:rsidRPr="00377607" w:rsidRDefault="00F72CE5" w:rsidP="00F72CE5">
      <w:pPr>
        <w:pStyle w:val="Paragraphe"/>
        <w:spacing w:before="240" w:line="240" w:lineRule="auto"/>
        <w:rPr>
          <w:rFonts w:cs="Arial"/>
          <w:szCs w:val="24"/>
        </w:rPr>
      </w:pPr>
      <w:r w:rsidRPr="00377607">
        <w:rPr>
          <w:rFonts w:cs="Arial"/>
          <w:szCs w:val="24"/>
        </w:rPr>
        <w:t xml:space="preserve">These observations apply in cases where the issue of constitutional validity concerns the distribution of legislative authority under the </w:t>
      </w:r>
      <w:r w:rsidRPr="00377607">
        <w:rPr>
          <w:rFonts w:cs="Arial"/>
          <w:i/>
          <w:iCs/>
          <w:szCs w:val="24"/>
        </w:rPr>
        <w:t>Constitution Act, 1867</w:t>
      </w:r>
      <w:r w:rsidRPr="00377607">
        <w:rPr>
          <w:rFonts w:cs="Arial"/>
          <w:szCs w:val="24"/>
        </w:rPr>
        <w:t xml:space="preserve">. </w:t>
      </w:r>
    </w:p>
    <w:p w14:paraId="1F86BE4E" w14:textId="77777777" w:rsidR="00F72CE5" w:rsidRPr="00377607" w:rsidRDefault="00F72CE5" w:rsidP="00F72CE5">
      <w:pPr>
        <w:pStyle w:val="Paragraphe"/>
        <w:spacing w:line="240" w:lineRule="auto"/>
        <w:rPr>
          <w:rFonts w:cs="Arial"/>
          <w:szCs w:val="24"/>
        </w:rPr>
      </w:pPr>
      <w:r w:rsidRPr="00377607">
        <w:rPr>
          <w:rFonts w:cs="Arial"/>
          <w:szCs w:val="24"/>
        </w:rPr>
        <w:t xml:space="preserve">If the AGQ is granted leave to appeal as a party in this Court, the practical significance would be negligible, especially in view of the recognition of the AGQ’s role in art. 77 C.C.P., and it would avoid what Lamer C.J.C. described in </w:t>
      </w:r>
      <w:r w:rsidRPr="00377607">
        <w:rPr>
          <w:rFonts w:cs="Arial"/>
          <w:i/>
          <w:iCs/>
          <w:szCs w:val="24"/>
        </w:rPr>
        <w:t>Laba</w:t>
      </w:r>
      <w:r w:rsidRPr="00377607">
        <w:rPr>
          <w:rFonts w:cs="Arial"/>
          <w:szCs w:val="24"/>
        </w:rPr>
        <w:t xml:space="preserve"> as the absurdity of forcing the DCPP to do the work of the AGQ to defend the general validity of mandatory minimum sentences. It would also avoid forcing the AGQ to embark on a distinct civil procedure concerning the question of constitutional validity. </w:t>
      </w:r>
    </w:p>
    <w:p w14:paraId="0F3F804B" w14:textId="77777777" w:rsidR="00F72CE5" w:rsidRPr="00377607" w:rsidRDefault="00F72CE5" w:rsidP="00F72CE5">
      <w:pPr>
        <w:pStyle w:val="Paragraphe"/>
        <w:spacing w:line="240" w:lineRule="auto"/>
        <w:rPr>
          <w:rFonts w:cs="Arial"/>
          <w:szCs w:val="24"/>
        </w:rPr>
      </w:pPr>
      <w:r w:rsidRPr="00377607">
        <w:rPr>
          <w:rFonts w:cs="Arial"/>
          <w:szCs w:val="24"/>
        </w:rPr>
        <w:lastRenderedPageBreak/>
        <w:t xml:space="preserve">Before concluding on the issue of the AGQ’s standing, I would add that in my view articles 76-78 C.C.P. have no material bearing on the issue of the AGQ’s standing in this case. Those provisions require notice to the AGQ when a constitutional issue is raised but they do not provide in any way a grant of standing where none would otherwise exist.  They recognise the AGQ’s standing when an issue of constitutional validity is raised and their purpose is to alert the AGQ that he may wish to act on the question that identified in the notice. I would add, without expressing a conclusion, that it is at best dubious to suppose in a criminal proceeding that the </w:t>
      </w:r>
      <w:r w:rsidRPr="00377607">
        <w:rPr>
          <w:rFonts w:cs="Arial"/>
          <w:i/>
          <w:iCs/>
          <w:szCs w:val="24"/>
        </w:rPr>
        <w:t>Code of Civil Procedure</w:t>
      </w:r>
      <w:r w:rsidRPr="00377607">
        <w:rPr>
          <w:rFonts w:cs="Arial"/>
          <w:szCs w:val="24"/>
        </w:rPr>
        <w:t xml:space="preserve"> could override the express provisions of the </w:t>
      </w:r>
      <w:r w:rsidRPr="00377607">
        <w:rPr>
          <w:rFonts w:cs="Arial"/>
          <w:i/>
          <w:iCs/>
          <w:szCs w:val="24"/>
        </w:rPr>
        <w:t>Criminal Code</w:t>
      </w:r>
      <w:r w:rsidRPr="00377607">
        <w:rPr>
          <w:rFonts w:cs="Arial"/>
          <w:szCs w:val="24"/>
        </w:rPr>
        <w:t xml:space="preserve"> that grant standing to the AGQ. The only instance in which that might occur is the situation envisaged by the Supreme Court in which a question of constitutional validity is not inextricably linked with the merits of a conviction or acquittal appeal and proceeds as a separate civil proceeding.</w:t>
      </w:r>
    </w:p>
    <w:p w14:paraId="12297B71" w14:textId="77777777" w:rsidR="00F72CE5" w:rsidRPr="00377607" w:rsidRDefault="00F72CE5" w:rsidP="00F72CE5">
      <w:pPr>
        <w:pStyle w:val="Paragraphe"/>
        <w:numPr>
          <w:ilvl w:val="0"/>
          <w:numId w:val="0"/>
        </w:numPr>
        <w:spacing w:before="240" w:line="240" w:lineRule="auto"/>
        <w:rPr>
          <w:rFonts w:cs="Arial"/>
          <w:b/>
          <w:bCs/>
          <w:szCs w:val="24"/>
        </w:rPr>
      </w:pPr>
      <w:r w:rsidRPr="00377607">
        <w:rPr>
          <w:rFonts w:cs="Arial"/>
          <w:b/>
          <w:bCs/>
          <w:szCs w:val="24"/>
        </w:rPr>
        <w:t>Conclusion on the AGQ’s standing</w:t>
      </w:r>
    </w:p>
    <w:p w14:paraId="5C714862" w14:textId="77777777" w:rsidR="00F72CE5" w:rsidRPr="00377607" w:rsidRDefault="00F72CE5" w:rsidP="00F72CE5">
      <w:pPr>
        <w:pStyle w:val="Paragraphe"/>
        <w:spacing w:line="240" w:lineRule="auto"/>
        <w:rPr>
          <w:rFonts w:cs="Arial"/>
          <w:szCs w:val="24"/>
        </w:rPr>
      </w:pPr>
      <w:r w:rsidRPr="00377607">
        <w:rPr>
          <w:rFonts w:cs="Arial"/>
          <w:szCs w:val="24"/>
        </w:rPr>
        <w:t>In short, there is no constitutional bar to granting leave to the AGQ to participate in the present appeal as a party and to make submissions only on the constitutional validity of the mandatory minimum sentences for making and distributing child pornography. I propose that leave be granted to make submissions on the constitutional validity of the mandatory minimum sentences at issue in this appeal.</w:t>
      </w:r>
    </w:p>
    <w:p w14:paraId="00F2C97F" w14:textId="77777777" w:rsidR="00F72CE5" w:rsidRPr="00377607" w:rsidRDefault="00F72CE5" w:rsidP="00F72CE5">
      <w:pPr>
        <w:pStyle w:val="Paragraphe"/>
        <w:numPr>
          <w:ilvl w:val="0"/>
          <w:numId w:val="0"/>
        </w:numPr>
        <w:spacing w:after="0" w:line="240" w:lineRule="auto"/>
        <w:jc w:val="center"/>
        <w:rPr>
          <w:rFonts w:cs="Arial"/>
          <w:b/>
          <w:bCs/>
          <w:szCs w:val="24"/>
        </w:rPr>
      </w:pPr>
      <w:r w:rsidRPr="00377607">
        <w:rPr>
          <w:rFonts w:cs="Arial"/>
          <w:b/>
          <w:bCs/>
          <w:szCs w:val="24"/>
        </w:rPr>
        <w:t>IV</w:t>
      </w:r>
    </w:p>
    <w:p w14:paraId="7D28C435" w14:textId="77777777" w:rsidR="00F72CE5" w:rsidRPr="00377607" w:rsidRDefault="00F72CE5" w:rsidP="00F72CE5">
      <w:pPr>
        <w:pStyle w:val="Paragraphe"/>
        <w:numPr>
          <w:ilvl w:val="0"/>
          <w:numId w:val="0"/>
        </w:numPr>
        <w:spacing w:before="0" w:after="240" w:line="240" w:lineRule="auto"/>
        <w:jc w:val="center"/>
        <w:rPr>
          <w:rFonts w:cs="Arial"/>
          <w:b/>
          <w:bCs/>
          <w:szCs w:val="24"/>
        </w:rPr>
      </w:pPr>
      <w:r w:rsidRPr="00377607">
        <w:rPr>
          <w:rFonts w:cs="Arial"/>
          <w:b/>
          <w:bCs/>
          <w:szCs w:val="24"/>
        </w:rPr>
        <w:t>Sentence</w:t>
      </w:r>
    </w:p>
    <w:p w14:paraId="1FFC1281" w14:textId="77777777" w:rsidR="00F72CE5" w:rsidRPr="00377607" w:rsidRDefault="00F72CE5" w:rsidP="00F72CE5">
      <w:pPr>
        <w:pStyle w:val="Paragraphe"/>
        <w:spacing w:line="240" w:lineRule="auto"/>
        <w:rPr>
          <w:rFonts w:cs="Arial"/>
          <w:szCs w:val="24"/>
        </w:rPr>
      </w:pPr>
      <w:r w:rsidRPr="00377607">
        <w:rPr>
          <w:rFonts w:cs="Arial"/>
          <w:szCs w:val="24"/>
        </w:rPr>
        <w:t>The Supreme Court has repeated, on occasions now beyond counting or quoting, that an appellate court must defer to the decision of a sentencing judge unless it discloses an error of principle that resulted in an unfit sentence or the sentence is otherwise demonstrably unfit; and if such errors are established an appellate court must quash the decision and impose a fit sentence.</w:t>
      </w:r>
    </w:p>
    <w:p w14:paraId="245E9770" w14:textId="77777777" w:rsidR="00F72CE5" w:rsidRPr="00377607" w:rsidRDefault="00F72CE5" w:rsidP="00F72CE5">
      <w:pPr>
        <w:pStyle w:val="Paragraphe"/>
        <w:numPr>
          <w:ilvl w:val="0"/>
          <w:numId w:val="0"/>
        </w:numPr>
        <w:spacing w:line="240" w:lineRule="auto"/>
        <w:rPr>
          <w:rFonts w:cs="Arial"/>
          <w:b/>
          <w:bCs/>
          <w:i/>
          <w:iCs/>
          <w:szCs w:val="24"/>
        </w:rPr>
      </w:pPr>
      <w:r w:rsidRPr="00377607">
        <w:rPr>
          <w:rFonts w:cs="Arial"/>
          <w:b/>
          <w:bCs/>
          <w:i/>
          <w:iCs/>
          <w:szCs w:val="24"/>
        </w:rPr>
        <w:t>Preliminary points</w:t>
      </w:r>
    </w:p>
    <w:p w14:paraId="5BE45C7B" w14:textId="77777777" w:rsidR="00F72CE5" w:rsidRPr="00377607" w:rsidRDefault="00F72CE5" w:rsidP="00F72CE5">
      <w:pPr>
        <w:pStyle w:val="Paragraphe"/>
        <w:spacing w:line="240" w:lineRule="auto"/>
        <w:rPr>
          <w:rFonts w:cs="Arial"/>
          <w:szCs w:val="24"/>
        </w:rPr>
      </w:pPr>
      <w:r w:rsidRPr="00377607">
        <w:rPr>
          <w:rFonts w:cs="Arial"/>
          <w:szCs w:val="24"/>
        </w:rPr>
        <w:t>Two preliminary points. One is that the imposition of intermittent sentences of "three months" on 10 January 2024 exceeds the statutory maximum of 90 days as a matter of calculation in the calendar of that year. This is not disputed by the respondent.</w:t>
      </w:r>
    </w:p>
    <w:p w14:paraId="62BCCEBF" w14:textId="77777777" w:rsidR="00F72CE5" w:rsidRDefault="00F72CE5" w:rsidP="00F72CE5">
      <w:pPr>
        <w:pStyle w:val="Paragraphe"/>
        <w:spacing w:line="240" w:lineRule="auto"/>
        <w:rPr>
          <w:rFonts w:cs="Arial"/>
          <w:szCs w:val="24"/>
        </w:rPr>
      </w:pPr>
      <w:r w:rsidRPr="00377607">
        <w:rPr>
          <w:rFonts w:cs="Arial"/>
          <w:szCs w:val="24"/>
        </w:rPr>
        <w:t xml:space="preserve">The other is that the sentencing judge failed in her reasons and conclusions to specify that the mandatory minimum sentence for each of the three offences, and not only possession, is inconsistent with section 12 of the Charter. This submission is well founded but insufficient to justify the Court's intervention. The judge declined to impose the mandatory minimum sentences for any of the offences. She states clearly that she is seized of a constitutional challenge to the mandatory minimum sentence for each offence and it is self-evident that she could only have concluded that all three were inconsistent </w:t>
      </w:r>
      <w:r w:rsidRPr="00377607">
        <w:rPr>
          <w:rFonts w:cs="Arial"/>
          <w:szCs w:val="24"/>
        </w:rPr>
        <w:lastRenderedPageBreak/>
        <w:t>with section 12 of the Charter.</w:t>
      </w:r>
      <w:r w:rsidRPr="00377607">
        <w:rPr>
          <w:rStyle w:val="Appelnotedebasdep"/>
          <w:rFonts w:cs="Arial"/>
          <w:szCs w:val="24"/>
        </w:rPr>
        <w:footnoteReference w:id="37"/>
      </w:r>
      <w:r w:rsidRPr="00377607">
        <w:rPr>
          <w:rFonts w:cs="Arial"/>
          <w:szCs w:val="24"/>
        </w:rPr>
        <w:t xml:space="preserve"> The judge's failure to specify that her conclusion applies equally to all three offences is a formal error that would not justify the Court's intervention except to make a clerical correction.</w:t>
      </w:r>
    </w:p>
    <w:p w14:paraId="00545D17" w14:textId="77777777" w:rsidR="00F72CE5" w:rsidRPr="00377607" w:rsidRDefault="00F72CE5" w:rsidP="00F72CE5">
      <w:pPr>
        <w:pStyle w:val="Paragraphe"/>
        <w:numPr>
          <w:ilvl w:val="0"/>
          <w:numId w:val="0"/>
        </w:numPr>
        <w:spacing w:line="240" w:lineRule="auto"/>
        <w:rPr>
          <w:rFonts w:cs="Arial"/>
          <w:b/>
          <w:bCs/>
          <w:i/>
          <w:iCs/>
          <w:szCs w:val="24"/>
        </w:rPr>
      </w:pPr>
      <w:proofErr w:type="spellStart"/>
      <w:r w:rsidRPr="00377607">
        <w:rPr>
          <w:rFonts w:cs="Arial"/>
          <w:b/>
          <w:bCs/>
          <w:i/>
          <w:iCs/>
          <w:szCs w:val="24"/>
        </w:rPr>
        <w:t>Senneville</w:t>
      </w:r>
      <w:proofErr w:type="spellEnd"/>
    </w:p>
    <w:p w14:paraId="3F83FDD1" w14:textId="77777777" w:rsidR="00F72CE5" w:rsidRPr="00377607" w:rsidRDefault="00F72CE5" w:rsidP="00F72CE5">
      <w:pPr>
        <w:pStyle w:val="Paragraphe"/>
        <w:spacing w:line="240" w:lineRule="auto"/>
        <w:rPr>
          <w:rFonts w:cs="Arial"/>
          <w:szCs w:val="24"/>
        </w:rPr>
      </w:pPr>
      <w:r w:rsidRPr="00377607">
        <w:rPr>
          <w:rFonts w:cs="Arial"/>
          <w:szCs w:val="24"/>
        </w:rPr>
        <w:t xml:space="preserve">The disposition of this appeal will be largely determined by the conclusions of the Supreme Court in </w:t>
      </w:r>
      <w:proofErr w:type="spellStart"/>
      <w:r w:rsidRPr="00377607">
        <w:rPr>
          <w:rFonts w:cs="Arial"/>
          <w:i/>
          <w:iCs/>
          <w:szCs w:val="24"/>
        </w:rPr>
        <w:t>Senneville</w:t>
      </w:r>
      <w:proofErr w:type="spellEnd"/>
      <w:r w:rsidRPr="00377607">
        <w:rPr>
          <w:rFonts w:cs="Arial"/>
          <w:szCs w:val="24"/>
        </w:rPr>
        <w:t>:</w:t>
      </w:r>
      <w:r w:rsidRPr="00377607">
        <w:rPr>
          <w:rStyle w:val="Appelnotedebasdep"/>
          <w:rFonts w:cs="Arial"/>
          <w:szCs w:val="24"/>
        </w:rPr>
        <w:footnoteReference w:id="38"/>
      </w:r>
      <w:r w:rsidRPr="00377607">
        <w:rPr>
          <w:rFonts w:cs="Arial"/>
          <w:szCs w:val="24"/>
        </w:rPr>
        <w:t xml:space="preserve"> </w:t>
      </w:r>
    </w:p>
    <w:p w14:paraId="45AD1930" w14:textId="77777777" w:rsidR="00F72CE5" w:rsidRPr="00EE4871" w:rsidRDefault="00F72CE5" w:rsidP="00F72CE5">
      <w:pPr>
        <w:pStyle w:val="Paragraphe"/>
        <w:numPr>
          <w:ilvl w:val="0"/>
          <w:numId w:val="25"/>
        </w:numPr>
        <w:spacing w:line="240" w:lineRule="auto"/>
        <w:rPr>
          <w:rFonts w:cs="Arial"/>
          <w:szCs w:val="24"/>
        </w:rPr>
      </w:pPr>
      <w:r w:rsidRPr="00EE4871">
        <w:rPr>
          <w:rFonts w:cs="Arial"/>
          <w:szCs w:val="24"/>
        </w:rPr>
        <w:t>the mandatory minimum sentences provided for accessing and possessing are inconsistent with the guarantee against cruel and unusual punishment in section 12 of the Charter and invalid under section 52 of the </w:t>
      </w:r>
      <w:r w:rsidRPr="00EE4871">
        <w:rPr>
          <w:rFonts w:cs="Arial"/>
          <w:i/>
          <w:iCs/>
          <w:szCs w:val="24"/>
        </w:rPr>
        <w:t xml:space="preserve">Constitution Act, </w:t>
      </w:r>
      <w:proofErr w:type="gramStart"/>
      <w:r w:rsidRPr="00EE4871">
        <w:rPr>
          <w:rFonts w:cs="Arial"/>
          <w:i/>
          <w:iCs/>
          <w:szCs w:val="24"/>
        </w:rPr>
        <w:t>1982</w:t>
      </w:r>
      <w:r w:rsidRPr="00EE4871">
        <w:rPr>
          <w:rFonts w:cs="Arial"/>
          <w:szCs w:val="24"/>
        </w:rPr>
        <w:t>;</w:t>
      </w:r>
      <w:proofErr w:type="gramEnd"/>
    </w:p>
    <w:p w14:paraId="1CAC1BA2" w14:textId="77777777" w:rsidR="00F72CE5" w:rsidRPr="00EE4871" w:rsidRDefault="00F72CE5" w:rsidP="00F72CE5">
      <w:pPr>
        <w:pStyle w:val="Paragraphe"/>
        <w:numPr>
          <w:ilvl w:val="0"/>
          <w:numId w:val="25"/>
        </w:numPr>
        <w:spacing w:line="240" w:lineRule="auto"/>
        <w:rPr>
          <w:rFonts w:cs="Arial"/>
          <w:szCs w:val="24"/>
        </w:rPr>
      </w:pPr>
      <w:r w:rsidRPr="00EE4871">
        <w:rPr>
          <w:rFonts w:cs="Arial"/>
          <w:szCs w:val="24"/>
        </w:rPr>
        <w:t>the method for reviewing the constitutional validity of a mandatory minimum sentence requires consideration in any case of reasonably foreseeable scenarios.</w:t>
      </w:r>
    </w:p>
    <w:p w14:paraId="11ACDD7C" w14:textId="77777777" w:rsidR="00F72CE5" w:rsidRPr="00377607" w:rsidRDefault="00F72CE5" w:rsidP="00F72CE5">
      <w:pPr>
        <w:pStyle w:val="Paragraphe"/>
        <w:numPr>
          <w:ilvl w:val="0"/>
          <w:numId w:val="0"/>
        </w:numPr>
        <w:spacing w:before="240" w:line="240" w:lineRule="auto"/>
        <w:rPr>
          <w:rFonts w:cs="Arial"/>
          <w:b/>
          <w:bCs/>
          <w:i/>
          <w:iCs/>
          <w:szCs w:val="24"/>
        </w:rPr>
      </w:pPr>
      <w:r w:rsidRPr="00377607">
        <w:rPr>
          <w:rFonts w:cs="Arial"/>
          <w:b/>
          <w:bCs/>
          <w:i/>
          <w:iCs/>
          <w:szCs w:val="24"/>
        </w:rPr>
        <w:t xml:space="preserve">The result in </w:t>
      </w:r>
      <w:proofErr w:type="spellStart"/>
      <w:r w:rsidRPr="00377607">
        <w:rPr>
          <w:rFonts w:cs="Arial"/>
          <w:b/>
          <w:bCs/>
          <w:i/>
          <w:iCs/>
          <w:szCs w:val="24"/>
        </w:rPr>
        <w:t>Senneville</w:t>
      </w:r>
      <w:proofErr w:type="spellEnd"/>
    </w:p>
    <w:p w14:paraId="2FB9AA66" w14:textId="77777777" w:rsidR="00F72CE5" w:rsidRPr="00377607" w:rsidRDefault="00F72CE5" w:rsidP="00F72CE5">
      <w:pPr>
        <w:pStyle w:val="Paragraphe"/>
        <w:spacing w:line="240" w:lineRule="auto"/>
        <w:rPr>
          <w:rFonts w:cs="Arial"/>
          <w:szCs w:val="24"/>
        </w:rPr>
      </w:pPr>
      <w:r w:rsidRPr="00377607">
        <w:rPr>
          <w:rFonts w:cs="Arial"/>
          <w:szCs w:val="24"/>
        </w:rPr>
        <w:t xml:space="preserve">The Supreme Court’s conclusion does not bind this Court with respect to the minimum sentences for making and distributing, but the analysis is as compelling and persuasive as for possessing and accessing. The four offences are clustered in section 163.1 of the Code and the differences among them do not diminish the applicability of the same logic and method of analysis to all. These offences are animated by the same considerations and objectives that apply with respect to all sexual offences relating to minors, as seen in the evolution of legislative amendments and in the jurisprudence of the courts before and after </w:t>
      </w:r>
      <w:r w:rsidRPr="00377607">
        <w:rPr>
          <w:rFonts w:cs="Arial"/>
          <w:i/>
          <w:iCs/>
          <w:szCs w:val="24"/>
        </w:rPr>
        <w:t>Friesen</w:t>
      </w:r>
      <w:r w:rsidRPr="00377607">
        <w:rPr>
          <w:rFonts w:cs="Arial"/>
          <w:szCs w:val="24"/>
        </w:rPr>
        <w:t>.</w:t>
      </w:r>
      <w:r w:rsidRPr="00377607">
        <w:rPr>
          <w:rStyle w:val="Appelnotedebasdep"/>
          <w:rFonts w:cs="Arial"/>
          <w:szCs w:val="24"/>
        </w:rPr>
        <w:footnoteReference w:id="39"/>
      </w:r>
    </w:p>
    <w:p w14:paraId="00CAE86B" w14:textId="77777777" w:rsidR="00F72CE5" w:rsidRPr="00377607" w:rsidRDefault="00F72CE5" w:rsidP="00F72CE5">
      <w:pPr>
        <w:pStyle w:val="Paragraphe"/>
        <w:numPr>
          <w:ilvl w:val="0"/>
          <w:numId w:val="0"/>
        </w:numPr>
        <w:spacing w:before="240" w:line="240" w:lineRule="auto"/>
        <w:rPr>
          <w:rFonts w:cs="Arial"/>
          <w:b/>
          <w:bCs/>
          <w:i/>
          <w:iCs/>
          <w:szCs w:val="24"/>
        </w:rPr>
      </w:pPr>
      <w:r w:rsidRPr="00377607">
        <w:rPr>
          <w:rFonts w:cs="Arial"/>
          <w:b/>
          <w:bCs/>
          <w:i/>
          <w:iCs/>
          <w:szCs w:val="24"/>
        </w:rPr>
        <w:t xml:space="preserve">The method of analysis affirmed in </w:t>
      </w:r>
      <w:proofErr w:type="spellStart"/>
      <w:r w:rsidRPr="00377607">
        <w:rPr>
          <w:rFonts w:cs="Arial"/>
          <w:b/>
          <w:bCs/>
          <w:i/>
          <w:iCs/>
          <w:szCs w:val="24"/>
        </w:rPr>
        <w:t>Senneville</w:t>
      </w:r>
      <w:proofErr w:type="spellEnd"/>
    </w:p>
    <w:p w14:paraId="034310CA" w14:textId="77777777" w:rsidR="00F72CE5" w:rsidRPr="00377607" w:rsidRDefault="00F72CE5" w:rsidP="00F72CE5">
      <w:pPr>
        <w:pStyle w:val="Paragraphe"/>
        <w:spacing w:line="240" w:lineRule="auto"/>
        <w:rPr>
          <w:rFonts w:cs="Arial"/>
          <w:szCs w:val="24"/>
        </w:rPr>
      </w:pPr>
      <w:proofErr w:type="spellStart"/>
      <w:r w:rsidRPr="00377607">
        <w:rPr>
          <w:rFonts w:cs="Arial"/>
          <w:i/>
          <w:iCs/>
          <w:szCs w:val="24"/>
        </w:rPr>
        <w:t>Senneville</w:t>
      </w:r>
      <w:proofErr w:type="spellEnd"/>
      <w:r w:rsidRPr="00377607">
        <w:rPr>
          <w:rFonts w:cs="Arial"/>
          <w:szCs w:val="24"/>
        </w:rPr>
        <w:t xml:space="preserve"> restates an approach developed in previous cases.</w:t>
      </w:r>
      <w:r w:rsidRPr="00377607">
        <w:rPr>
          <w:rStyle w:val="Appelnotedebasdep"/>
          <w:rFonts w:cs="Arial"/>
          <w:szCs w:val="24"/>
        </w:rPr>
        <w:footnoteReference w:id="40"/>
      </w:r>
      <w:r w:rsidRPr="00377607">
        <w:rPr>
          <w:rFonts w:cs="Arial"/>
          <w:szCs w:val="24"/>
        </w:rPr>
        <w:t xml:space="preserve"> It affirms that the method of analysis is of general application in any case where the constitutional validity of a mandatory minimum sentence is at issue. The method requires a court to determine whether a mandatory minimum sentence would be cruel and unusual punishment in the instant case or in any reasonably foreseeable scenario. The method is the same whether the issue is the operability or validity of a mandatory minimum sentence. It does not matter if the question first arose in a court that is constitutionally constrained only to declare the inoperability of a sentence. While a provincial court may declare a mandatory minimum </w:t>
      </w:r>
      <w:r w:rsidRPr="00377607">
        <w:rPr>
          <w:rFonts w:cs="Arial"/>
          <w:szCs w:val="24"/>
        </w:rPr>
        <w:lastRenderedPageBreak/>
        <w:t>sentence inoperable in the instant case, under section 24(1) of the Charter, a superior court must declare it invalid under section 52 if it would expose any accused person to a sentence that is inconsistent with section 12 of the Charter.</w:t>
      </w:r>
      <w:r w:rsidRPr="00377607">
        <w:rPr>
          <w:rStyle w:val="Appelnotedebasdep"/>
          <w:rFonts w:cs="Arial"/>
          <w:szCs w:val="24"/>
        </w:rPr>
        <w:footnoteReference w:id="41"/>
      </w:r>
      <w:r w:rsidRPr="00377607">
        <w:rPr>
          <w:rFonts w:cs="Arial"/>
          <w:szCs w:val="24"/>
        </w:rPr>
        <w:t xml:space="preserve"> In short, a constitutional question concerning the validity of a mandatory minimum sentence is a review of the law under which a sentence was imposed and not solely a review of the sentence itself.   </w:t>
      </w:r>
    </w:p>
    <w:p w14:paraId="3EE7C68A" w14:textId="77777777" w:rsidR="00F72CE5" w:rsidRPr="00377607" w:rsidRDefault="00F72CE5" w:rsidP="00F72CE5">
      <w:pPr>
        <w:pStyle w:val="Paragraphe"/>
        <w:numPr>
          <w:ilvl w:val="0"/>
          <w:numId w:val="0"/>
        </w:numPr>
        <w:spacing w:before="240" w:line="240" w:lineRule="auto"/>
        <w:rPr>
          <w:rFonts w:cs="Arial"/>
          <w:b/>
          <w:bCs/>
          <w:i/>
          <w:iCs/>
          <w:szCs w:val="24"/>
        </w:rPr>
      </w:pPr>
      <w:r w:rsidRPr="00377607">
        <w:rPr>
          <w:rFonts w:cs="Arial"/>
          <w:b/>
          <w:bCs/>
          <w:i/>
          <w:iCs/>
          <w:szCs w:val="24"/>
        </w:rPr>
        <w:t>A reasonably foreseeable scenario</w:t>
      </w:r>
    </w:p>
    <w:p w14:paraId="5CB8611A" w14:textId="77777777" w:rsidR="00F72CE5" w:rsidRPr="00377607" w:rsidRDefault="00F72CE5" w:rsidP="00F72CE5">
      <w:pPr>
        <w:pStyle w:val="Paragraphe"/>
        <w:spacing w:line="240" w:lineRule="auto"/>
        <w:rPr>
          <w:rFonts w:cs="Arial"/>
          <w:szCs w:val="24"/>
        </w:rPr>
      </w:pPr>
      <w:r w:rsidRPr="00377607">
        <w:rPr>
          <w:rFonts w:cs="Arial"/>
          <w:szCs w:val="24"/>
        </w:rPr>
        <w:t xml:space="preserve">In </w:t>
      </w:r>
      <w:proofErr w:type="spellStart"/>
      <w:r w:rsidRPr="00377607">
        <w:rPr>
          <w:rFonts w:cs="Arial"/>
          <w:i/>
          <w:iCs/>
          <w:szCs w:val="24"/>
        </w:rPr>
        <w:t>Senneville</w:t>
      </w:r>
      <w:proofErr w:type="spellEnd"/>
      <w:r w:rsidRPr="00377607">
        <w:rPr>
          <w:rFonts w:cs="Arial"/>
          <w:szCs w:val="24"/>
        </w:rPr>
        <w:t xml:space="preserve"> the majority,</w:t>
      </w:r>
      <w:r w:rsidRPr="00377607">
        <w:rPr>
          <w:rStyle w:val="Appelnotedebasdep"/>
          <w:rFonts w:cs="Arial"/>
          <w:szCs w:val="24"/>
        </w:rPr>
        <w:footnoteReference w:id="42"/>
      </w:r>
      <w:r w:rsidRPr="00377607">
        <w:rPr>
          <w:rFonts w:cs="Arial"/>
          <w:szCs w:val="24"/>
        </w:rPr>
        <w:t xml:space="preserve"> following </w:t>
      </w:r>
      <w:r w:rsidRPr="00377607">
        <w:rPr>
          <w:rFonts w:cs="Arial"/>
          <w:i/>
          <w:iCs/>
          <w:szCs w:val="24"/>
        </w:rPr>
        <w:t>John</w:t>
      </w:r>
      <w:r w:rsidRPr="00377607">
        <w:rPr>
          <w:rStyle w:val="Appelnotedebasdep"/>
          <w:rFonts w:cs="Arial"/>
          <w:szCs w:val="24"/>
        </w:rPr>
        <w:footnoteReference w:id="43"/>
      </w:r>
      <w:r w:rsidRPr="00377607">
        <w:rPr>
          <w:rFonts w:cs="Arial"/>
          <w:szCs w:val="24"/>
        </w:rPr>
        <w:t xml:space="preserve"> and </w:t>
      </w:r>
      <w:r w:rsidRPr="00377607">
        <w:rPr>
          <w:rFonts w:cs="Arial"/>
          <w:i/>
          <w:iCs/>
          <w:szCs w:val="24"/>
        </w:rPr>
        <w:t>Bertrand Marchand,</w:t>
      </w:r>
      <w:r w:rsidRPr="00377607">
        <w:rPr>
          <w:rStyle w:val="Appelnotedebasdep"/>
          <w:rFonts w:cs="Arial"/>
          <w:szCs w:val="24"/>
        </w:rPr>
        <w:footnoteReference w:id="44"/>
      </w:r>
      <w:r w:rsidRPr="00377607">
        <w:rPr>
          <w:rFonts w:cs="Arial"/>
          <w:szCs w:val="24"/>
        </w:rPr>
        <w:t xml:space="preserve"> adopted a reasonably foreseeable scenario that can be easily modified for application in the present appeal:</w:t>
      </w:r>
    </w:p>
    <w:p w14:paraId="2872002F" w14:textId="77777777" w:rsidR="00F72CE5" w:rsidRPr="00377607" w:rsidRDefault="00F72CE5" w:rsidP="00F72CE5">
      <w:pPr>
        <w:pStyle w:val="Paragraphe"/>
        <w:numPr>
          <w:ilvl w:val="0"/>
          <w:numId w:val="0"/>
        </w:numPr>
        <w:spacing w:line="240" w:lineRule="auto"/>
        <w:ind w:left="731" w:right="720"/>
        <w:rPr>
          <w:rFonts w:cs="Arial"/>
          <w:szCs w:val="24"/>
        </w:rPr>
      </w:pPr>
      <w:r w:rsidRPr="00377607">
        <w:rPr>
          <w:rFonts w:cs="Arial"/>
          <w:szCs w:val="24"/>
        </w:rPr>
        <w:t xml:space="preserve">A person of eighteen with no record of any kind, </w:t>
      </w:r>
      <w:r w:rsidRPr="00377607">
        <w:rPr>
          <w:rFonts w:cs="Arial"/>
          <w:i/>
          <w:iCs/>
          <w:szCs w:val="24"/>
        </w:rPr>
        <w:t>makes</w:t>
      </w:r>
      <w:r w:rsidRPr="00377607">
        <w:rPr>
          <w:rFonts w:cs="Arial"/>
          <w:szCs w:val="24"/>
        </w:rPr>
        <w:t xml:space="preserve"> one pornographic photograph of a minor and </w:t>
      </w:r>
      <w:r w:rsidRPr="00377607">
        <w:rPr>
          <w:rFonts w:cs="Arial"/>
          <w:i/>
          <w:iCs/>
          <w:szCs w:val="24"/>
        </w:rPr>
        <w:t>distributes</w:t>
      </w:r>
      <w:r w:rsidRPr="00377607">
        <w:rPr>
          <w:rFonts w:cs="Arial"/>
          <w:szCs w:val="24"/>
        </w:rPr>
        <w:t xml:space="preserve"> it with pornographic text once in a message to another person.</w:t>
      </w:r>
    </w:p>
    <w:p w14:paraId="387DC778" w14:textId="77777777" w:rsidR="00F72CE5" w:rsidRPr="00377607" w:rsidRDefault="00F72CE5" w:rsidP="00F72CE5">
      <w:pPr>
        <w:pStyle w:val="Paragraphe"/>
        <w:spacing w:line="240" w:lineRule="auto"/>
        <w:rPr>
          <w:rFonts w:cs="Arial"/>
          <w:szCs w:val="24"/>
        </w:rPr>
      </w:pPr>
      <w:r w:rsidRPr="00377607">
        <w:rPr>
          <w:rFonts w:cs="Arial"/>
          <w:szCs w:val="24"/>
        </w:rPr>
        <w:t>No further invention is required.</w:t>
      </w:r>
    </w:p>
    <w:p w14:paraId="4C5A0981" w14:textId="77777777" w:rsidR="00F72CE5" w:rsidRPr="00377607" w:rsidRDefault="00F72CE5" w:rsidP="00F72CE5">
      <w:pPr>
        <w:pStyle w:val="Paragraphe"/>
        <w:numPr>
          <w:ilvl w:val="0"/>
          <w:numId w:val="0"/>
        </w:numPr>
        <w:spacing w:before="240" w:line="240" w:lineRule="auto"/>
        <w:rPr>
          <w:rFonts w:cs="Arial"/>
          <w:b/>
          <w:bCs/>
          <w:i/>
          <w:iCs/>
          <w:szCs w:val="24"/>
        </w:rPr>
      </w:pPr>
      <w:r w:rsidRPr="00377607">
        <w:rPr>
          <w:rFonts w:cs="Arial"/>
          <w:b/>
          <w:bCs/>
          <w:i/>
          <w:iCs/>
          <w:szCs w:val="24"/>
        </w:rPr>
        <w:t xml:space="preserve">Sentences in the present case </w:t>
      </w:r>
    </w:p>
    <w:p w14:paraId="352B7B92" w14:textId="77777777" w:rsidR="00F72CE5" w:rsidRPr="00377607" w:rsidRDefault="00F72CE5" w:rsidP="00F72CE5">
      <w:pPr>
        <w:pStyle w:val="Paragraphe"/>
        <w:spacing w:line="240" w:lineRule="auto"/>
        <w:rPr>
          <w:rFonts w:cs="Arial"/>
          <w:szCs w:val="24"/>
        </w:rPr>
      </w:pPr>
      <w:r w:rsidRPr="00377607">
        <w:rPr>
          <w:rFonts w:cs="Arial"/>
          <w:szCs w:val="24"/>
        </w:rPr>
        <w:t>The sentencing judge in the present case did not consider a reasonably foreseeable scenario to determine whether the mandatory minimum sentences were grossly disproportionate.</w:t>
      </w:r>
      <w:r w:rsidRPr="00377607">
        <w:rPr>
          <w:rStyle w:val="Appelnotedebasdep"/>
          <w:rFonts w:cs="Arial"/>
          <w:szCs w:val="24"/>
        </w:rPr>
        <w:footnoteReference w:id="45"/>
      </w:r>
      <w:r w:rsidRPr="00377607">
        <w:rPr>
          <w:rFonts w:cs="Arial"/>
          <w:szCs w:val="24"/>
        </w:rPr>
        <w:t xml:space="preserve"> She focused on the specific circumstances of the offences and the respondent’s degree of responsibility for them.</w:t>
      </w:r>
    </w:p>
    <w:p w14:paraId="6030647B" w14:textId="77777777" w:rsidR="00F72CE5" w:rsidRPr="00377607" w:rsidRDefault="00F72CE5" w:rsidP="00F72CE5">
      <w:pPr>
        <w:pStyle w:val="Paragraphe"/>
        <w:spacing w:line="240" w:lineRule="auto"/>
        <w:rPr>
          <w:rFonts w:cs="Arial"/>
          <w:szCs w:val="24"/>
        </w:rPr>
      </w:pPr>
      <w:r w:rsidRPr="00377607">
        <w:rPr>
          <w:rFonts w:cs="Arial"/>
          <w:szCs w:val="24"/>
        </w:rPr>
        <w:t>She begins her reasons by characterizing this as a case in which very serious offences were committed by a person whose responsibility was diminished by personal circumstances.</w:t>
      </w:r>
      <w:r w:rsidRPr="00377607">
        <w:rPr>
          <w:rStyle w:val="Appelnotedebasdep"/>
          <w:rFonts w:cs="Arial"/>
          <w:szCs w:val="24"/>
        </w:rPr>
        <w:footnoteReference w:id="46"/>
      </w:r>
      <w:r w:rsidRPr="00377607">
        <w:rPr>
          <w:rFonts w:cs="Arial"/>
          <w:szCs w:val="24"/>
        </w:rPr>
        <w:t xml:space="preserve"> She notes that the prosecution sought concurrent sentences of imprisonment of 24 months for </w:t>
      </w:r>
      <w:r w:rsidRPr="00464FBB">
        <w:rPr>
          <w:rFonts w:cs="Arial"/>
          <w:szCs w:val="24"/>
        </w:rPr>
        <w:t>making</w:t>
      </w:r>
      <w:r w:rsidRPr="00377607">
        <w:rPr>
          <w:rFonts w:cs="Arial"/>
          <w:szCs w:val="24"/>
        </w:rPr>
        <w:t xml:space="preserve"> and distribution and 12 months for possession. The respondent submitted that a concurrent intermittent sentence of 90 days with probation and community service would be proportionate.  </w:t>
      </w:r>
    </w:p>
    <w:p w14:paraId="3B8BB7B9" w14:textId="77777777" w:rsidR="00F72CE5" w:rsidRPr="00377607" w:rsidRDefault="00F72CE5" w:rsidP="00F72CE5">
      <w:pPr>
        <w:pStyle w:val="Paragraphe"/>
        <w:spacing w:line="240" w:lineRule="auto"/>
        <w:rPr>
          <w:rFonts w:cs="Arial"/>
          <w:szCs w:val="24"/>
        </w:rPr>
      </w:pPr>
      <w:r w:rsidRPr="00377607">
        <w:rPr>
          <w:rFonts w:cs="Arial"/>
          <w:szCs w:val="24"/>
        </w:rPr>
        <w:t xml:space="preserve">The judge notes that the offences occurred while the respondent experienced a difficult period of stress, anxiety and isolation and engaged in undue consumption of alcohol and medication and other behaviour that was atypical for her. The judge describes </w:t>
      </w:r>
      <w:r w:rsidRPr="00377607">
        <w:rPr>
          <w:rFonts w:cs="Arial"/>
          <w:szCs w:val="24"/>
        </w:rPr>
        <w:lastRenderedPageBreak/>
        <w:t xml:space="preserve">the respondent’s exemplary care for her children and evidence of strong support she has received from her family. </w:t>
      </w:r>
    </w:p>
    <w:p w14:paraId="7A140367" w14:textId="77777777" w:rsidR="00F72CE5" w:rsidRPr="00377607" w:rsidRDefault="00F72CE5" w:rsidP="00F72CE5">
      <w:pPr>
        <w:pStyle w:val="Paragraphe"/>
        <w:spacing w:line="240" w:lineRule="auto"/>
        <w:rPr>
          <w:rFonts w:cs="Arial"/>
          <w:szCs w:val="24"/>
        </w:rPr>
      </w:pPr>
      <w:r w:rsidRPr="00377607">
        <w:rPr>
          <w:rFonts w:cs="Arial"/>
          <w:szCs w:val="24"/>
        </w:rPr>
        <w:t xml:space="preserve">The judge refers to pre-sentence reports that confirm the respondent’s problems of consumption and her participation on internet sites that promote sexual activities. The reports suggest that her motivation in child pornography at the time of the offences was prompted by the respondent's wish to fuel her exchanges with a co-accused and to stimulate him. The reports suggest that her communications and behaviour demonstrated a form of coping with anxiety and escapism. They note that the respondent displayed no signs of deviance relating to sexual activity with children. Following a course of therapy, the reports also suggest that her conduct was a personal aberration and that the risk of reoffending is slight. In short, the judge concludes from the various reports and other evidence that the respondent’s life before and since the offences is beyond reproach. </w:t>
      </w:r>
    </w:p>
    <w:p w14:paraId="6CD38665" w14:textId="77777777" w:rsidR="00F72CE5" w:rsidRPr="00377607" w:rsidRDefault="00F72CE5" w:rsidP="00F72CE5">
      <w:pPr>
        <w:pStyle w:val="Paragraphe"/>
        <w:spacing w:line="240" w:lineRule="auto"/>
        <w:rPr>
          <w:rFonts w:cs="Arial"/>
          <w:szCs w:val="24"/>
        </w:rPr>
      </w:pPr>
      <w:r w:rsidRPr="00377607">
        <w:rPr>
          <w:rFonts w:cs="Arial"/>
          <w:szCs w:val="24"/>
        </w:rPr>
        <w:t xml:space="preserve">The judge also notes, however, that the respondent was actively and repeatedly involved for over a week in the offences to which she pleaded guilty, that she sought and kept possession child pornography for some time and continued in that period to be a willing participant in the conduct with which she was charged. </w:t>
      </w:r>
    </w:p>
    <w:p w14:paraId="09D7B3D3" w14:textId="77777777" w:rsidR="00F72CE5" w:rsidRPr="00377607" w:rsidRDefault="00F72CE5" w:rsidP="00F72CE5">
      <w:pPr>
        <w:pStyle w:val="Paragraphe"/>
        <w:spacing w:line="240" w:lineRule="auto"/>
        <w:rPr>
          <w:rFonts w:cs="Arial"/>
          <w:szCs w:val="24"/>
        </w:rPr>
      </w:pPr>
      <w:r w:rsidRPr="00377607">
        <w:rPr>
          <w:rFonts w:cs="Arial"/>
          <w:szCs w:val="24"/>
        </w:rPr>
        <w:t xml:space="preserve">In her observations about a proportionate sentence the judge takes note of the shift in Canadian law towards more severe sanctions for sexual offences against children and the emphasis that must be placed on the objectives of denunciation and deterrence. The judge notes, however, that these retributive elements in the determination of a proportionate sentence do not exclude the consideration of other objectives in sentencing, most notably restraint and the restorative objectives of rehabilitation and reintegration in the community. </w:t>
      </w:r>
    </w:p>
    <w:p w14:paraId="331A651E" w14:textId="77777777" w:rsidR="00F72CE5" w:rsidRPr="00377607" w:rsidRDefault="00F72CE5" w:rsidP="00F72CE5">
      <w:pPr>
        <w:pStyle w:val="Paragraphe"/>
        <w:spacing w:line="240" w:lineRule="auto"/>
        <w:rPr>
          <w:rFonts w:cs="Arial"/>
          <w:szCs w:val="24"/>
        </w:rPr>
      </w:pPr>
      <w:r w:rsidRPr="00377607">
        <w:rPr>
          <w:rFonts w:cs="Arial"/>
          <w:szCs w:val="24"/>
        </w:rPr>
        <w:t>The judge affirms that the objective and subjective gravity of the offences in this case compel a sentence of imprisonment</w:t>
      </w:r>
      <w:r w:rsidRPr="00377607">
        <w:rPr>
          <w:rStyle w:val="Appelnotedebasdep"/>
          <w:rFonts w:cs="Arial"/>
          <w:szCs w:val="24"/>
        </w:rPr>
        <w:footnoteReference w:id="47"/>
      </w:r>
      <w:r w:rsidRPr="00377607">
        <w:rPr>
          <w:rFonts w:cs="Arial"/>
          <w:szCs w:val="24"/>
        </w:rPr>
        <w:t xml:space="preserve"> but repeats that an individualised sentence must also take account of other objectives. </w:t>
      </w:r>
    </w:p>
    <w:p w14:paraId="16A603F9"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t>[80]</w:t>
      </w:r>
      <w:r w:rsidRPr="00D07A67">
        <w:rPr>
          <w:rFonts w:cs="Arial"/>
          <w:sz w:val="22"/>
          <w:szCs w:val="22"/>
          <w:lang w:val="fr-CA"/>
        </w:rPr>
        <w:tab/>
        <w:t xml:space="preserve">Les articles 718 à 718.2 du </w:t>
      </w:r>
      <w:r w:rsidRPr="00D07A67">
        <w:rPr>
          <w:rFonts w:cs="Arial"/>
          <w:i/>
          <w:iCs/>
          <w:sz w:val="22"/>
          <w:szCs w:val="22"/>
          <w:lang w:val="fr-CA"/>
        </w:rPr>
        <w:t>Code criminel</w:t>
      </w:r>
      <w:r w:rsidRPr="00D07A67">
        <w:rPr>
          <w:rFonts w:cs="Arial"/>
          <w:sz w:val="22"/>
          <w:szCs w:val="22"/>
          <w:lang w:val="fr-CA"/>
        </w:rPr>
        <w:t xml:space="preserve"> confèrent aux juges un large pouvoir discrétionnaire leur permettant de façonner une peine adaptée à la nature de l'infraction et à la situation du délinquant. Le prononcé d'une peine « juste » reste un processus individualisé, qui oblige le juge à soupeser les objectifs de détermination de la peine pour tenir compte des circonstances de l'affaire. Le juge détermine s'il faut accorder plus de poids à un ou plusieurs objectifs, compte tenu des faits de l'espèce. La peine est par la suite ajustée à la hausse ou à la baisse, dans la fourchette des peines pour des infractions similaires, selon l'importance relative des circonstances atténuantes ou aggravantes.</w:t>
      </w:r>
    </w:p>
    <w:p w14:paraId="79F31349"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t>[81]</w:t>
      </w:r>
      <w:r w:rsidRPr="00D07A67">
        <w:rPr>
          <w:rFonts w:cs="Arial"/>
          <w:sz w:val="22"/>
          <w:szCs w:val="22"/>
          <w:lang w:val="fr-CA"/>
        </w:rPr>
        <w:tab/>
        <w:t xml:space="preserve">Le profil de l'accusée était exemplaire jusqu'aux crimes commis. Le témoignage de sa fille, le sien et les rapports permettent au Tribunal de constater </w:t>
      </w:r>
      <w:r w:rsidRPr="00D07A67">
        <w:rPr>
          <w:rFonts w:cs="Arial"/>
          <w:sz w:val="22"/>
          <w:szCs w:val="22"/>
          <w:lang w:val="fr-CA"/>
        </w:rPr>
        <w:lastRenderedPageBreak/>
        <w:t>qu'elle occupe son temps auprès de sa famille et s'implique avec dévouement auprès de personnes démunies. Il ne fait aucun doute qu'au cours de l'année en cause, elle a vécu des souffrances physiques et psychologiques. Ceci ne justifie pas ses comportements mais explique le contexte dans lequel elle se trouvait.</w:t>
      </w:r>
    </w:p>
    <w:p w14:paraId="7D37E1AF"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t>[82]</w:t>
      </w:r>
      <w:r w:rsidRPr="00D07A67">
        <w:rPr>
          <w:rFonts w:cs="Arial"/>
          <w:sz w:val="22"/>
          <w:szCs w:val="22"/>
          <w:lang w:val="fr-CA"/>
        </w:rPr>
        <w:tab/>
        <w:t>Sa responsabilité criminelle est diminuée par le fait qu'il s'agisse d'un épisode limité dont la durée est circonscrite entre le 20 et 28 mai 2019. Elle est, par ailleurs, augmentée par ses recherches afin de trouver des images et de les partager. À cet égard, l'accusée refuse d'admettre la réelle source d'approvisionnement des images. Il est invraisemblable qu'elles aient été trouvées aussi facilement qu'elle le prétend.</w:t>
      </w:r>
    </w:p>
    <w:p w14:paraId="63D9F4AD" w14:textId="77777777" w:rsidR="00F72CE5" w:rsidRPr="00377607" w:rsidRDefault="00F72CE5" w:rsidP="00F72CE5">
      <w:pPr>
        <w:pStyle w:val="Paragraphe"/>
        <w:spacing w:before="240" w:line="240" w:lineRule="auto"/>
        <w:rPr>
          <w:rFonts w:cs="Arial"/>
          <w:szCs w:val="24"/>
        </w:rPr>
      </w:pPr>
      <w:r w:rsidRPr="00377607">
        <w:rPr>
          <w:rFonts w:cs="Arial"/>
          <w:szCs w:val="24"/>
        </w:rPr>
        <w:t>She lists relevant factors:</w:t>
      </w:r>
    </w:p>
    <w:p w14:paraId="3B8C85A9" w14:textId="77777777" w:rsidR="00F72CE5" w:rsidRPr="00D07A67" w:rsidRDefault="00F72CE5" w:rsidP="00F72CE5">
      <w:pPr>
        <w:pStyle w:val="Paragraphe"/>
        <w:numPr>
          <w:ilvl w:val="0"/>
          <w:numId w:val="0"/>
        </w:numPr>
        <w:spacing w:line="240" w:lineRule="auto"/>
        <w:ind w:left="731"/>
        <w:rPr>
          <w:rFonts w:cs="Arial"/>
          <w:sz w:val="22"/>
          <w:szCs w:val="22"/>
          <w:lang w:val="fr-CA"/>
        </w:rPr>
      </w:pPr>
      <w:r w:rsidRPr="00D07A67">
        <w:rPr>
          <w:rFonts w:cs="Arial"/>
          <w:sz w:val="22"/>
          <w:szCs w:val="22"/>
          <w:lang w:val="fr-CA"/>
        </w:rPr>
        <w:t>[83]</w:t>
      </w:r>
      <w:r w:rsidRPr="00D07A67">
        <w:rPr>
          <w:rFonts w:cs="Arial"/>
          <w:sz w:val="22"/>
          <w:szCs w:val="22"/>
          <w:lang w:val="fr-CA"/>
        </w:rPr>
        <w:tab/>
        <w:t>Le Tribunal retient les facteurs atténuants et aggravants suivants :</w:t>
      </w:r>
    </w:p>
    <w:p w14:paraId="18F0850E" w14:textId="77777777" w:rsidR="00F72CE5" w:rsidRPr="00C01C22" w:rsidRDefault="00F72CE5" w:rsidP="00F72CE5">
      <w:pPr>
        <w:pStyle w:val="Paragraphe"/>
        <w:numPr>
          <w:ilvl w:val="0"/>
          <w:numId w:val="0"/>
        </w:numPr>
        <w:spacing w:before="100" w:after="100" w:line="240" w:lineRule="auto"/>
        <w:ind w:left="731"/>
        <w:rPr>
          <w:rFonts w:cs="Arial"/>
          <w:sz w:val="22"/>
          <w:szCs w:val="22"/>
          <w:u w:val="single"/>
        </w:rPr>
      </w:pPr>
      <w:proofErr w:type="spellStart"/>
      <w:proofErr w:type="gramStart"/>
      <w:r w:rsidRPr="00C01C22">
        <w:rPr>
          <w:rFonts w:cs="Arial"/>
          <w:sz w:val="22"/>
          <w:szCs w:val="22"/>
          <w:u w:val="single"/>
        </w:rPr>
        <w:t>Atténuants</w:t>
      </w:r>
      <w:proofErr w:type="spellEnd"/>
      <w:r w:rsidRPr="00C01C22">
        <w:rPr>
          <w:rFonts w:cs="Arial"/>
          <w:sz w:val="22"/>
          <w:szCs w:val="22"/>
          <w:u w:val="single"/>
        </w:rPr>
        <w:t xml:space="preserve"> :</w:t>
      </w:r>
      <w:proofErr w:type="gramEnd"/>
    </w:p>
    <w:p w14:paraId="5E2D29B3" w14:textId="77777777" w:rsidR="00F72CE5" w:rsidRPr="00C01C22" w:rsidRDefault="00F72CE5" w:rsidP="00F72CE5">
      <w:pPr>
        <w:pStyle w:val="Paragraphe"/>
        <w:numPr>
          <w:ilvl w:val="0"/>
          <w:numId w:val="26"/>
        </w:numPr>
        <w:spacing w:before="100" w:after="100" w:line="240" w:lineRule="auto"/>
        <w:rPr>
          <w:rFonts w:cs="Arial"/>
          <w:sz w:val="22"/>
          <w:szCs w:val="22"/>
        </w:rPr>
      </w:pPr>
      <w:r w:rsidRPr="00C01C22">
        <w:rPr>
          <w:rFonts w:cs="Arial"/>
          <w:sz w:val="22"/>
          <w:szCs w:val="22"/>
        </w:rPr>
        <w:t xml:space="preserve">La collaboration à </w:t>
      </w:r>
      <w:proofErr w:type="spellStart"/>
      <w:proofErr w:type="gramStart"/>
      <w:r w:rsidRPr="00C01C22">
        <w:rPr>
          <w:rFonts w:cs="Arial"/>
          <w:sz w:val="22"/>
          <w:szCs w:val="22"/>
        </w:rPr>
        <w:t>l'enquête</w:t>
      </w:r>
      <w:proofErr w:type="spellEnd"/>
      <w:r w:rsidRPr="00C01C22">
        <w:rPr>
          <w:rFonts w:cs="Arial"/>
          <w:sz w:val="22"/>
          <w:szCs w:val="22"/>
        </w:rPr>
        <w:t>;</w:t>
      </w:r>
      <w:proofErr w:type="gramEnd"/>
    </w:p>
    <w:p w14:paraId="05A59A0A" w14:textId="77777777" w:rsidR="00F72CE5" w:rsidRPr="00D07A67" w:rsidRDefault="00F72CE5" w:rsidP="00F72CE5">
      <w:pPr>
        <w:pStyle w:val="Paragraphe"/>
        <w:numPr>
          <w:ilvl w:val="0"/>
          <w:numId w:val="26"/>
        </w:numPr>
        <w:spacing w:before="100" w:after="100" w:line="240" w:lineRule="auto"/>
        <w:rPr>
          <w:rFonts w:cs="Arial"/>
          <w:sz w:val="22"/>
          <w:szCs w:val="22"/>
          <w:lang w:val="fr-CA"/>
        </w:rPr>
      </w:pPr>
      <w:r w:rsidRPr="00D07A67">
        <w:rPr>
          <w:rFonts w:cs="Arial"/>
          <w:sz w:val="22"/>
          <w:szCs w:val="22"/>
          <w:lang w:val="fr-CA"/>
        </w:rPr>
        <w:t>Le plaidoyer de culpabilité. La procureure du poursuivant fait valoir qu'il est tardif. Le Tribunal ne peut lui imputer d'avoir débuté le procès, son avocate l'ayant peut-être conseillée en ce sens;</w:t>
      </w:r>
    </w:p>
    <w:p w14:paraId="3D131539" w14:textId="77777777" w:rsidR="00F72CE5" w:rsidRPr="00D07A67" w:rsidRDefault="00F72CE5" w:rsidP="00F72CE5">
      <w:pPr>
        <w:pStyle w:val="Paragraphe"/>
        <w:numPr>
          <w:ilvl w:val="0"/>
          <w:numId w:val="26"/>
        </w:numPr>
        <w:spacing w:before="100" w:after="100" w:line="240" w:lineRule="auto"/>
        <w:rPr>
          <w:rFonts w:cs="Arial"/>
          <w:sz w:val="22"/>
          <w:szCs w:val="22"/>
          <w:lang w:val="fr-CA"/>
        </w:rPr>
      </w:pPr>
      <w:r w:rsidRPr="00D07A67">
        <w:rPr>
          <w:rFonts w:cs="Arial"/>
          <w:sz w:val="22"/>
          <w:szCs w:val="22"/>
          <w:lang w:val="fr-CA"/>
        </w:rPr>
        <w:t>Elle n'a pas de passé criminel;</w:t>
      </w:r>
    </w:p>
    <w:p w14:paraId="20221043" w14:textId="77777777" w:rsidR="00F72CE5" w:rsidRPr="00D07A67" w:rsidRDefault="00F72CE5" w:rsidP="00F72CE5">
      <w:pPr>
        <w:pStyle w:val="Paragraphe"/>
        <w:numPr>
          <w:ilvl w:val="0"/>
          <w:numId w:val="26"/>
        </w:numPr>
        <w:spacing w:before="100" w:after="100" w:line="240" w:lineRule="auto"/>
        <w:rPr>
          <w:rFonts w:cs="Arial"/>
          <w:sz w:val="22"/>
          <w:szCs w:val="22"/>
          <w:lang w:val="fr-CA"/>
        </w:rPr>
      </w:pPr>
      <w:r w:rsidRPr="00D07A67">
        <w:rPr>
          <w:rFonts w:cs="Arial"/>
          <w:sz w:val="22"/>
          <w:szCs w:val="22"/>
          <w:lang w:val="fr-CA"/>
        </w:rPr>
        <w:t>Elle exprime des regrets sincères, elle est sensibilisée et conscientisée aux torts que sa criminalité engendre;</w:t>
      </w:r>
    </w:p>
    <w:p w14:paraId="55D6AB09" w14:textId="77777777" w:rsidR="00F72CE5" w:rsidRPr="00D07A67" w:rsidRDefault="00F72CE5" w:rsidP="00F72CE5">
      <w:pPr>
        <w:pStyle w:val="Paragraphe"/>
        <w:numPr>
          <w:ilvl w:val="0"/>
          <w:numId w:val="26"/>
        </w:numPr>
        <w:spacing w:before="100" w:after="100" w:line="240" w:lineRule="auto"/>
        <w:rPr>
          <w:rFonts w:cs="Arial"/>
          <w:sz w:val="22"/>
          <w:szCs w:val="22"/>
          <w:lang w:val="fr-CA"/>
        </w:rPr>
      </w:pPr>
      <w:r w:rsidRPr="00D07A67">
        <w:rPr>
          <w:rFonts w:cs="Arial"/>
          <w:sz w:val="22"/>
          <w:szCs w:val="22"/>
          <w:lang w:val="fr-CA"/>
        </w:rPr>
        <w:t>Elle a fourni la preuve à ses proches et vécu l'humiliation qu'ils lisent ses propos;</w:t>
      </w:r>
    </w:p>
    <w:p w14:paraId="276C6A2A" w14:textId="77777777" w:rsidR="00F72CE5" w:rsidRPr="00D07A67" w:rsidRDefault="00F72CE5" w:rsidP="00F72CE5">
      <w:pPr>
        <w:pStyle w:val="Paragraphe"/>
        <w:numPr>
          <w:ilvl w:val="0"/>
          <w:numId w:val="26"/>
        </w:numPr>
        <w:spacing w:before="100" w:after="100" w:line="240" w:lineRule="auto"/>
        <w:rPr>
          <w:rFonts w:cs="Arial"/>
          <w:sz w:val="22"/>
          <w:szCs w:val="22"/>
          <w:lang w:val="fr-CA"/>
        </w:rPr>
      </w:pPr>
      <w:r w:rsidRPr="00D07A67">
        <w:rPr>
          <w:rFonts w:cs="Arial"/>
          <w:sz w:val="22"/>
          <w:szCs w:val="22"/>
          <w:lang w:val="fr-CA"/>
        </w:rPr>
        <w:t>Depuis son arrestation elle respecte des conditions qui limitent grandement sa liberté;</w:t>
      </w:r>
    </w:p>
    <w:p w14:paraId="05318456" w14:textId="77777777" w:rsidR="00F72CE5" w:rsidRPr="00D07A67" w:rsidRDefault="00F72CE5" w:rsidP="00F72CE5">
      <w:pPr>
        <w:pStyle w:val="Paragraphe"/>
        <w:numPr>
          <w:ilvl w:val="0"/>
          <w:numId w:val="26"/>
        </w:numPr>
        <w:spacing w:before="100" w:after="100" w:line="240" w:lineRule="auto"/>
        <w:rPr>
          <w:rFonts w:cs="Arial"/>
          <w:sz w:val="22"/>
          <w:szCs w:val="22"/>
          <w:lang w:val="fr-CA"/>
        </w:rPr>
      </w:pPr>
      <w:r w:rsidRPr="00D07A67">
        <w:rPr>
          <w:rFonts w:cs="Arial"/>
          <w:sz w:val="22"/>
          <w:szCs w:val="22"/>
          <w:lang w:val="fr-CA"/>
        </w:rPr>
        <w:t>Elle s'est investie de façon sérieuse et constante dans une thérapie de 21 séances et maintient avec la psychologue des contacts au besoin;</w:t>
      </w:r>
    </w:p>
    <w:p w14:paraId="57AE77C3" w14:textId="77777777" w:rsidR="00F72CE5" w:rsidRPr="00D07A67" w:rsidRDefault="00F72CE5" w:rsidP="00F72CE5">
      <w:pPr>
        <w:pStyle w:val="Paragraphe"/>
        <w:numPr>
          <w:ilvl w:val="0"/>
          <w:numId w:val="26"/>
        </w:numPr>
        <w:spacing w:before="100" w:after="100" w:line="240" w:lineRule="auto"/>
        <w:rPr>
          <w:rFonts w:cs="Arial"/>
          <w:sz w:val="22"/>
          <w:szCs w:val="22"/>
          <w:lang w:val="fr-CA"/>
        </w:rPr>
      </w:pPr>
      <w:r w:rsidRPr="00D07A67">
        <w:rPr>
          <w:rFonts w:cs="Arial"/>
          <w:sz w:val="22"/>
          <w:szCs w:val="22"/>
          <w:lang w:val="fr-CA"/>
        </w:rPr>
        <w:t>Le risque de récidive est faible même absent;</w:t>
      </w:r>
    </w:p>
    <w:p w14:paraId="5B35473C" w14:textId="77777777" w:rsidR="00F72CE5" w:rsidRPr="00D07A67" w:rsidRDefault="00F72CE5" w:rsidP="00F72CE5">
      <w:pPr>
        <w:pStyle w:val="Paragraphe"/>
        <w:numPr>
          <w:ilvl w:val="0"/>
          <w:numId w:val="26"/>
        </w:numPr>
        <w:spacing w:before="100" w:after="100" w:line="240" w:lineRule="auto"/>
        <w:rPr>
          <w:rFonts w:cs="Arial"/>
          <w:sz w:val="22"/>
          <w:szCs w:val="22"/>
          <w:lang w:val="fr-CA"/>
        </w:rPr>
      </w:pPr>
      <w:r w:rsidRPr="00D07A67">
        <w:rPr>
          <w:rFonts w:cs="Arial"/>
          <w:sz w:val="22"/>
          <w:szCs w:val="22"/>
          <w:lang w:val="fr-CA"/>
        </w:rPr>
        <w:t>Elle est un acquis pour la société.</w:t>
      </w:r>
    </w:p>
    <w:p w14:paraId="25FAA902" w14:textId="77777777" w:rsidR="00F72CE5" w:rsidRPr="00C01C22" w:rsidRDefault="00F72CE5" w:rsidP="00F72CE5">
      <w:pPr>
        <w:pStyle w:val="Paragraphe"/>
        <w:numPr>
          <w:ilvl w:val="0"/>
          <w:numId w:val="0"/>
        </w:numPr>
        <w:spacing w:before="100" w:after="100" w:line="240" w:lineRule="auto"/>
        <w:ind w:left="731"/>
        <w:rPr>
          <w:rFonts w:cs="Arial"/>
          <w:sz w:val="22"/>
          <w:szCs w:val="22"/>
          <w:u w:val="single"/>
        </w:rPr>
      </w:pPr>
      <w:proofErr w:type="spellStart"/>
      <w:proofErr w:type="gramStart"/>
      <w:r w:rsidRPr="00C01C22">
        <w:rPr>
          <w:rFonts w:cs="Arial"/>
          <w:sz w:val="22"/>
          <w:szCs w:val="22"/>
          <w:u w:val="single"/>
        </w:rPr>
        <w:t>Aggravants</w:t>
      </w:r>
      <w:proofErr w:type="spellEnd"/>
      <w:r w:rsidRPr="00C01C22">
        <w:rPr>
          <w:rFonts w:cs="Arial"/>
          <w:sz w:val="22"/>
          <w:szCs w:val="22"/>
          <w:u w:val="single"/>
        </w:rPr>
        <w:t xml:space="preserve"> :</w:t>
      </w:r>
      <w:proofErr w:type="gramEnd"/>
    </w:p>
    <w:p w14:paraId="1C326DE6" w14:textId="77777777" w:rsidR="00F72CE5" w:rsidRPr="00D07A67" w:rsidRDefault="00F72CE5" w:rsidP="00F72CE5">
      <w:pPr>
        <w:pStyle w:val="Paragraphe"/>
        <w:numPr>
          <w:ilvl w:val="0"/>
          <w:numId w:val="27"/>
        </w:numPr>
        <w:spacing w:before="100" w:after="100" w:line="240" w:lineRule="auto"/>
        <w:rPr>
          <w:rFonts w:cs="Arial"/>
          <w:sz w:val="22"/>
          <w:szCs w:val="22"/>
          <w:lang w:val="fr-CA"/>
        </w:rPr>
      </w:pPr>
      <w:r w:rsidRPr="00D07A67">
        <w:rPr>
          <w:rFonts w:cs="Arial"/>
          <w:sz w:val="22"/>
          <w:szCs w:val="22"/>
          <w:lang w:val="fr-CA"/>
        </w:rPr>
        <w:t>Elle a conservé les photos dans son téléphone jusqu’à son arrestation;</w:t>
      </w:r>
    </w:p>
    <w:p w14:paraId="55AEBE8F" w14:textId="77777777" w:rsidR="00F72CE5" w:rsidRPr="00D07A67" w:rsidRDefault="00F72CE5" w:rsidP="00F72CE5">
      <w:pPr>
        <w:pStyle w:val="Paragraphe"/>
        <w:numPr>
          <w:ilvl w:val="0"/>
          <w:numId w:val="27"/>
        </w:numPr>
        <w:spacing w:line="240" w:lineRule="auto"/>
        <w:rPr>
          <w:rFonts w:cs="Arial"/>
          <w:sz w:val="22"/>
          <w:szCs w:val="22"/>
          <w:lang w:val="fr-CA"/>
        </w:rPr>
      </w:pPr>
      <w:r w:rsidRPr="00D07A67">
        <w:rPr>
          <w:rFonts w:cs="Arial"/>
          <w:sz w:val="22"/>
          <w:szCs w:val="22"/>
          <w:lang w:val="fr-CA"/>
        </w:rPr>
        <w:t>Elle minimise le plaisir sexuel lors de ses échanges et ment sur la façon qu'elle a obtenu les photos.</w:t>
      </w:r>
    </w:p>
    <w:p w14:paraId="2BD16205" w14:textId="77777777" w:rsidR="00F72CE5" w:rsidRPr="00377607" w:rsidRDefault="00F72CE5" w:rsidP="00F72CE5">
      <w:pPr>
        <w:pStyle w:val="Paragraphe"/>
        <w:spacing w:before="240" w:line="240" w:lineRule="auto"/>
        <w:rPr>
          <w:rFonts w:cs="Arial"/>
          <w:szCs w:val="24"/>
        </w:rPr>
      </w:pPr>
      <w:r w:rsidRPr="00377607">
        <w:rPr>
          <w:rFonts w:cs="Arial"/>
          <w:szCs w:val="24"/>
        </w:rPr>
        <w:lastRenderedPageBreak/>
        <w:t>With respect to the principle of parity, the judge includes in her reasons a table of sentences for offences concerning child pornography,</w:t>
      </w:r>
      <w:r w:rsidRPr="00377607">
        <w:rPr>
          <w:rStyle w:val="Appelnotedebasdep"/>
          <w:rFonts w:cs="Arial"/>
          <w:szCs w:val="24"/>
        </w:rPr>
        <w:footnoteReference w:id="48"/>
      </w:r>
      <w:r w:rsidRPr="00377607">
        <w:rPr>
          <w:rFonts w:cs="Arial"/>
          <w:szCs w:val="24"/>
        </w:rPr>
        <w:t xml:space="preserve"> although the utility of this table is diminished because it includes many entries for sentences imposed before </w:t>
      </w:r>
      <w:r w:rsidRPr="00377607">
        <w:rPr>
          <w:rFonts w:cs="Arial"/>
          <w:i/>
          <w:iCs/>
          <w:szCs w:val="24"/>
        </w:rPr>
        <w:t>Friesen</w:t>
      </w:r>
      <w:r w:rsidRPr="00377607">
        <w:rPr>
          <w:rFonts w:cs="Arial"/>
          <w:szCs w:val="24"/>
        </w:rPr>
        <w:t xml:space="preserve"> and does not differentiate and review sentences for possession, </w:t>
      </w:r>
      <w:r>
        <w:rPr>
          <w:rFonts w:cs="Arial"/>
          <w:szCs w:val="24"/>
        </w:rPr>
        <w:t>making</w:t>
      </w:r>
      <w:r w:rsidRPr="00377607">
        <w:rPr>
          <w:rFonts w:cs="Arial"/>
          <w:szCs w:val="24"/>
        </w:rPr>
        <w:t xml:space="preserve"> and distribution. Further, the judge refers to a doctrinal study that proposes various ranges for offences of possession that have little relevance to </w:t>
      </w:r>
      <w:r>
        <w:rPr>
          <w:rFonts w:cs="Arial"/>
          <w:szCs w:val="24"/>
        </w:rPr>
        <w:t>making</w:t>
      </w:r>
      <w:r w:rsidRPr="00377607">
        <w:rPr>
          <w:rFonts w:cs="Arial"/>
          <w:szCs w:val="24"/>
        </w:rPr>
        <w:t xml:space="preserve"> and distribution. </w:t>
      </w:r>
    </w:p>
    <w:p w14:paraId="1AAA2D24" w14:textId="77777777" w:rsidR="00F72CE5" w:rsidRPr="00377607" w:rsidRDefault="00F72CE5" w:rsidP="00F72CE5">
      <w:pPr>
        <w:pStyle w:val="Paragraphe"/>
        <w:spacing w:line="240" w:lineRule="auto"/>
        <w:rPr>
          <w:rFonts w:cs="Arial"/>
          <w:szCs w:val="24"/>
        </w:rPr>
      </w:pPr>
      <w:r w:rsidRPr="00377607">
        <w:rPr>
          <w:rFonts w:cs="Arial"/>
          <w:szCs w:val="24"/>
        </w:rPr>
        <w:t>As noted, the judge states unambiguously that Canadian law has increasingly, and markedly, emphasised the priority that must be given to strong retributive sentences that underscore the objectives of denunciation and deterrence in cases concerning the sexual victimisation of minors. Having stressed this point, she reaches two conclusions. First:</w:t>
      </w:r>
    </w:p>
    <w:p w14:paraId="0D9270F5"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t>[93]</w:t>
      </w:r>
      <w:r w:rsidRPr="00D07A67">
        <w:rPr>
          <w:rFonts w:cs="Arial"/>
          <w:sz w:val="22"/>
          <w:szCs w:val="22"/>
          <w:lang w:val="fr-CA"/>
        </w:rPr>
        <w:tab/>
        <w:t>Après avoir soupesé les différents objectifs de détermination de la peine à la lumière du principe fondamental de la proportionnalité, le Tribunal conclut qu'une peine d'emprisonnement de 90 jours serait une peine juste et appropriée.</w:t>
      </w:r>
    </w:p>
    <w:p w14:paraId="4604274B"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t>[94]</w:t>
      </w:r>
      <w:r w:rsidRPr="00D07A67">
        <w:rPr>
          <w:rFonts w:cs="Arial"/>
          <w:sz w:val="22"/>
          <w:szCs w:val="22"/>
          <w:lang w:val="fr-CA"/>
        </w:rPr>
        <w:tab/>
        <w:t xml:space="preserve">Le Tribunal considère que le processus judiciaire a eu un impact majeur sur l'accusée qui a commis des énormités dans une période limitée de sa vie. Elle est un apport pour la société et elle peut réparer les torts en effectuant des travaux communautaires. Dans le cadre de cette peine, l'accusée passera près d'un an, détenue à chaque fin de semaine et devra donner de son temps à la communauté. Ces mesures sont restrictives, engageantes et punitives, mais lui permettront de continuer à travailler pour des gens qui en ont grandement besoin. L'objectif de réinsertion prévu à l'al. 718d) du </w:t>
      </w:r>
      <w:r w:rsidRPr="00D07A67">
        <w:rPr>
          <w:rFonts w:cs="Arial"/>
          <w:i/>
          <w:iCs/>
          <w:sz w:val="22"/>
          <w:szCs w:val="22"/>
          <w:lang w:val="fr-CA"/>
        </w:rPr>
        <w:t>Code criminel</w:t>
      </w:r>
      <w:r w:rsidRPr="00D07A67">
        <w:rPr>
          <w:rFonts w:cs="Arial"/>
          <w:sz w:val="22"/>
          <w:szCs w:val="22"/>
          <w:lang w:val="fr-CA"/>
        </w:rPr>
        <w:t xml:space="preserve"> est donc également atteint.</w:t>
      </w:r>
    </w:p>
    <w:p w14:paraId="28643C3E" w14:textId="77777777" w:rsidR="00F72CE5" w:rsidRPr="00377607" w:rsidRDefault="00F72CE5" w:rsidP="00F72CE5">
      <w:pPr>
        <w:pStyle w:val="Paragraphe"/>
        <w:spacing w:before="240" w:line="240" w:lineRule="auto"/>
        <w:rPr>
          <w:rFonts w:cs="Arial"/>
          <w:szCs w:val="24"/>
        </w:rPr>
      </w:pPr>
      <w:r w:rsidRPr="00377607">
        <w:rPr>
          <w:rFonts w:cs="Arial"/>
          <w:szCs w:val="24"/>
        </w:rPr>
        <w:t>This conclusion attempts to reconcile the objectives of denunciation and deterrence with rehabilitation.</w:t>
      </w:r>
      <w:r w:rsidRPr="00377607">
        <w:rPr>
          <w:rStyle w:val="Appelnotedebasdep"/>
          <w:rFonts w:cs="Arial"/>
          <w:szCs w:val="24"/>
        </w:rPr>
        <w:footnoteReference w:id="49"/>
      </w:r>
      <w:r w:rsidRPr="00377607">
        <w:rPr>
          <w:rFonts w:cs="Arial"/>
          <w:szCs w:val="24"/>
        </w:rPr>
        <w:t xml:space="preserve"> It also notes the effect of the proceedings, and by extension the sentences, on the respondent. This conclusion does not appear to underscore the objectives of denunciation and deterrence in a manner that coincides with current sentencing policy and practice.</w:t>
      </w:r>
    </w:p>
    <w:p w14:paraId="2867E1C1" w14:textId="77777777" w:rsidR="00F72CE5" w:rsidRPr="00377607" w:rsidRDefault="00F72CE5" w:rsidP="00F72CE5">
      <w:pPr>
        <w:pStyle w:val="Paragraphe"/>
        <w:spacing w:line="240" w:lineRule="auto"/>
        <w:rPr>
          <w:rFonts w:cs="Arial"/>
          <w:szCs w:val="24"/>
        </w:rPr>
      </w:pPr>
      <w:r w:rsidRPr="00377607">
        <w:rPr>
          <w:rFonts w:cs="Arial"/>
          <w:szCs w:val="24"/>
        </w:rPr>
        <w:t>As for the second conclusion:</w:t>
      </w:r>
    </w:p>
    <w:p w14:paraId="344C6AAD" w14:textId="77777777" w:rsidR="00F72CE5" w:rsidRPr="00D07A67" w:rsidRDefault="00F72CE5" w:rsidP="00F72CE5">
      <w:pPr>
        <w:pStyle w:val="Paragraphe"/>
        <w:numPr>
          <w:ilvl w:val="0"/>
          <w:numId w:val="0"/>
        </w:numPr>
        <w:spacing w:line="240" w:lineRule="auto"/>
        <w:ind w:left="720" w:right="720"/>
        <w:rPr>
          <w:rFonts w:cs="Arial"/>
          <w:b/>
          <w:bCs/>
          <w:sz w:val="22"/>
          <w:szCs w:val="22"/>
          <w:lang w:val="fr-CA"/>
        </w:rPr>
      </w:pPr>
      <w:r w:rsidRPr="00D07A67">
        <w:rPr>
          <w:rFonts w:cs="Arial"/>
          <w:b/>
          <w:bCs/>
          <w:sz w:val="22"/>
          <w:szCs w:val="22"/>
          <w:lang w:val="fr-CA"/>
        </w:rPr>
        <w:t xml:space="preserve">Existe-t-il un écart entre la peine déterminée par le Tribunal et la peine minimale exigée par le législateur? Si tel est le cas, en application des principes élaborés par la Cour suprême dans </w:t>
      </w:r>
      <w:r w:rsidRPr="00D07A67">
        <w:rPr>
          <w:rFonts w:cs="Arial"/>
          <w:b/>
          <w:bCs/>
          <w:i/>
          <w:iCs/>
          <w:sz w:val="22"/>
          <w:szCs w:val="22"/>
          <w:lang w:val="fr-CA"/>
        </w:rPr>
        <w:t>Nur</w:t>
      </w:r>
      <w:r w:rsidRPr="00D07A67">
        <w:rPr>
          <w:rFonts w:cs="Arial"/>
          <w:b/>
          <w:bCs/>
          <w:sz w:val="22"/>
          <w:szCs w:val="22"/>
          <w:lang w:val="fr-CA"/>
        </w:rPr>
        <w:t xml:space="preserve">, </w:t>
      </w:r>
      <w:r w:rsidRPr="00D07A67">
        <w:rPr>
          <w:rFonts w:cs="Arial"/>
          <w:b/>
          <w:bCs/>
          <w:i/>
          <w:iCs/>
          <w:sz w:val="22"/>
          <w:szCs w:val="22"/>
          <w:lang w:val="fr-CA"/>
        </w:rPr>
        <w:t>Hills</w:t>
      </w:r>
      <w:r w:rsidRPr="00D07A67">
        <w:rPr>
          <w:rFonts w:cs="Arial"/>
          <w:b/>
          <w:bCs/>
          <w:sz w:val="22"/>
          <w:szCs w:val="22"/>
          <w:lang w:val="fr-CA"/>
        </w:rPr>
        <w:t xml:space="preserve"> et </w:t>
      </w:r>
      <w:proofErr w:type="spellStart"/>
      <w:r w:rsidRPr="00D07A67">
        <w:rPr>
          <w:rFonts w:cs="Arial"/>
          <w:b/>
          <w:bCs/>
          <w:i/>
          <w:iCs/>
          <w:sz w:val="22"/>
          <w:szCs w:val="22"/>
          <w:lang w:val="fr-CA"/>
        </w:rPr>
        <w:t>Hillbach</w:t>
      </w:r>
      <w:proofErr w:type="spellEnd"/>
      <w:r w:rsidRPr="00D07A67">
        <w:rPr>
          <w:rFonts w:cs="Arial"/>
          <w:b/>
          <w:bCs/>
          <w:sz w:val="22"/>
          <w:szCs w:val="22"/>
          <w:lang w:val="fr-CA"/>
        </w:rPr>
        <w:t xml:space="preserve">, comment doit-être résolu cet écart?  </w:t>
      </w:r>
    </w:p>
    <w:p w14:paraId="72A54636"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t>[95]</w:t>
      </w:r>
      <w:r w:rsidRPr="00D07A67">
        <w:rPr>
          <w:rFonts w:cs="Arial"/>
          <w:sz w:val="22"/>
          <w:szCs w:val="22"/>
          <w:lang w:val="fr-CA"/>
        </w:rPr>
        <w:tab/>
        <w:t>L'écart entre la peine que le Tribunal estime juste et raisonnable et les peines minimales obligatoires est disproportionné.</w:t>
      </w:r>
    </w:p>
    <w:p w14:paraId="49837DE0" w14:textId="77777777" w:rsidR="00F72CE5" w:rsidRPr="00D07A67" w:rsidRDefault="00F72CE5" w:rsidP="00F72CE5">
      <w:pPr>
        <w:pStyle w:val="Paragraphe"/>
        <w:numPr>
          <w:ilvl w:val="0"/>
          <w:numId w:val="0"/>
        </w:numPr>
        <w:spacing w:line="240" w:lineRule="auto"/>
        <w:ind w:left="720" w:right="720"/>
        <w:rPr>
          <w:rFonts w:cs="Arial"/>
          <w:sz w:val="22"/>
          <w:szCs w:val="22"/>
          <w:lang w:val="fr-CA"/>
        </w:rPr>
      </w:pPr>
      <w:r w:rsidRPr="00D07A67">
        <w:rPr>
          <w:rFonts w:cs="Arial"/>
          <w:sz w:val="22"/>
          <w:szCs w:val="22"/>
          <w:lang w:val="fr-CA"/>
        </w:rPr>
        <w:t>[96]</w:t>
      </w:r>
      <w:r w:rsidRPr="00D07A67">
        <w:rPr>
          <w:rFonts w:cs="Arial"/>
          <w:sz w:val="22"/>
          <w:szCs w:val="22"/>
          <w:lang w:val="fr-CA"/>
        </w:rPr>
        <w:tab/>
        <w:t xml:space="preserve">Par conséquent, le Tribunal conclut que la peine de 12 mois est non seulement excessive, mais elle constitue dans le cas de l'accusée une peine </w:t>
      </w:r>
      <w:r w:rsidRPr="00D07A67">
        <w:rPr>
          <w:rFonts w:cs="Arial"/>
          <w:sz w:val="22"/>
          <w:szCs w:val="22"/>
          <w:lang w:val="fr-CA"/>
        </w:rPr>
        <w:lastRenderedPageBreak/>
        <w:t xml:space="preserve">totalement disproportionnée et viole son droit d'être protégée contre les peines cruelles et inusitées prévues à l'article 12 de la </w:t>
      </w:r>
      <w:r w:rsidRPr="00D07A67">
        <w:rPr>
          <w:rFonts w:cs="Arial"/>
          <w:i/>
          <w:iCs/>
          <w:sz w:val="22"/>
          <w:szCs w:val="22"/>
          <w:lang w:val="fr-CA"/>
        </w:rPr>
        <w:t>Charte</w:t>
      </w:r>
      <w:r w:rsidRPr="00D07A67">
        <w:rPr>
          <w:rFonts w:cs="Arial"/>
          <w:sz w:val="22"/>
          <w:szCs w:val="22"/>
          <w:lang w:val="fr-CA"/>
        </w:rPr>
        <w:t>.</w:t>
      </w:r>
    </w:p>
    <w:p w14:paraId="5480E8BE" w14:textId="77777777" w:rsidR="00F72CE5" w:rsidRPr="00E70C7F" w:rsidRDefault="00F72CE5" w:rsidP="00F72CE5">
      <w:pPr>
        <w:pStyle w:val="Paragraphe"/>
        <w:numPr>
          <w:ilvl w:val="0"/>
          <w:numId w:val="0"/>
        </w:numPr>
        <w:spacing w:line="240" w:lineRule="auto"/>
        <w:ind w:left="720" w:right="720"/>
        <w:jc w:val="right"/>
        <w:rPr>
          <w:rFonts w:cs="Arial"/>
          <w:sz w:val="22"/>
          <w:szCs w:val="22"/>
        </w:rPr>
      </w:pPr>
      <w:r w:rsidRPr="00E70C7F">
        <w:rPr>
          <w:rFonts w:cs="Arial"/>
          <w:sz w:val="22"/>
          <w:szCs w:val="22"/>
        </w:rPr>
        <w:t>(Reference omitted)</w:t>
      </w:r>
    </w:p>
    <w:p w14:paraId="706DB037" w14:textId="77777777" w:rsidR="00F72CE5" w:rsidRPr="00377607" w:rsidRDefault="00F72CE5" w:rsidP="00F72CE5">
      <w:pPr>
        <w:pStyle w:val="Paragraphe"/>
        <w:spacing w:line="240" w:lineRule="auto"/>
        <w:rPr>
          <w:rFonts w:cs="Arial"/>
          <w:szCs w:val="24"/>
        </w:rPr>
      </w:pPr>
      <w:r w:rsidRPr="00377607">
        <w:rPr>
          <w:rFonts w:cs="Arial"/>
          <w:szCs w:val="24"/>
        </w:rPr>
        <w:t>Nothing more is said to explain the declaration of inoperability under sections 12 and 24(1) of the Charter. There is no specific explanation why, or how, the mandatory minimum sentence of one year is inconsistent with section 12. The judge's conclusion appears to rest solely on her assessment that the respondent's circumstances militate against a sentence of that kind.</w:t>
      </w:r>
      <w:r w:rsidRPr="00377607">
        <w:rPr>
          <w:rStyle w:val="Appelnotedebasdep"/>
          <w:rFonts w:cs="Arial"/>
          <w:szCs w:val="24"/>
        </w:rPr>
        <w:footnoteReference w:id="50"/>
      </w:r>
    </w:p>
    <w:p w14:paraId="3B0E1D1A" w14:textId="77777777" w:rsidR="00F72CE5" w:rsidRPr="00377607" w:rsidRDefault="00F72CE5" w:rsidP="00F72CE5">
      <w:pPr>
        <w:pStyle w:val="Paragraphe"/>
        <w:numPr>
          <w:ilvl w:val="0"/>
          <w:numId w:val="0"/>
        </w:numPr>
        <w:spacing w:before="240" w:after="0" w:line="240" w:lineRule="auto"/>
        <w:jc w:val="center"/>
        <w:rPr>
          <w:rFonts w:cs="Arial"/>
          <w:b/>
          <w:bCs/>
          <w:szCs w:val="24"/>
        </w:rPr>
      </w:pPr>
      <w:r w:rsidRPr="00377607">
        <w:rPr>
          <w:rFonts w:cs="Arial"/>
          <w:b/>
          <w:bCs/>
          <w:szCs w:val="24"/>
        </w:rPr>
        <w:t>V</w:t>
      </w:r>
    </w:p>
    <w:p w14:paraId="277F304F" w14:textId="77777777" w:rsidR="00F72CE5" w:rsidRPr="00377607" w:rsidRDefault="00F72CE5" w:rsidP="00F72CE5">
      <w:pPr>
        <w:pStyle w:val="Paragraphe"/>
        <w:numPr>
          <w:ilvl w:val="0"/>
          <w:numId w:val="0"/>
        </w:numPr>
        <w:spacing w:before="0" w:after="240" w:line="240" w:lineRule="auto"/>
        <w:jc w:val="center"/>
        <w:rPr>
          <w:rFonts w:cs="Arial"/>
          <w:b/>
          <w:bCs/>
          <w:szCs w:val="24"/>
        </w:rPr>
      </w:pPr>
      <w:r w:rsidRPr="00377607">
        <w:rPr>
          <w:rFonts w:cs="Arial"/>
          <w:b/>
          <w:bCs/>
          <w:szCs w:val="24"/>
        </w:rPr>
        <w:t>Are the mandatory minimum sentences valid?</w:t>
      </w:r>
    </w:p>
    <w:p w14:paraId="556D1393" w14:textId="77777777" w:rsidR="00F72CE5" w:rsidRPr="00377607" w:rsidRDefault="00F72CE5" w:rsidP="00F72CE5">
      <w:pPr>
        <w:pStyle w:val="Paragraphe"/>
        <w:spacing w:line="240" w:lineRule="auto"/>
        <w:rPr>
          <w:rFonts w:cs="Arial"/>
          <w:szCs w:val="24"/>
        </w:rPr>
      </w:pPr>
      <w:r w:rsidRPr="00377607">
        <w:rPr>
          <w:rFonts w:cs="Arial"/>
          <w:szCs w:val="24"/>
        </w:rPr>
        <w:t xml:space="preserve">I remind myself that the validity of the sentences can be assessed with reference to the sentences imposed in this case or with reference to a reasonably foreseeable scenario. A conclusion of invalidity on either ground will suffice to declare the sentences invalid under section 52 of the </w:t>
      </w:r>
      <w:r w:rsidRPr="00E70C7F">
        <w:rPr>
          <w:rFonts w:cs="Arial"/>
          <w:i/>
          <w:iCs/>
          <w:szCs w:val="24"/>
        </w:rPr>
        <w:t xml:space="preserve">Constitution </w:t>
      </w:r>
      <w:r>
        <w:rPr>
          <w:rFonts w:cs="Arial"/>
          <w:i/>
          <w:iCs/>
          <w:szCs w:val="24"/>
        </w:rPr>
        <w:t>A</w:t>
      </w:r>
      <w:r w:rsidRPr="00E70C7F">
        <w:rPr>
          <w:rFonts w:cs="Arial"/>
          <w:i/>
          <w:iCs/>
          <w:szCs w:val="24"/>
        </w:rPr>
        <w:t>ct, 1982</w:t>
      </w:r>
      <w:r w:rsidRPr="00377607">
        <w:rPr>
          <w:rFonts w:cs="Arial"/>
          <w:szCs w:val="24"/>
        </w:rPr>
        <w:t>.</w:t>
      </w:r>
    </w:p>
    <w:p w14:paraId="5494D62D" w14:textId="77777777" w:rsidR="00F72CE5" w:rsidRPr="00377607" w:rsidRDefault="00F72CE5" w:rsidP="00F72CE5">
      <w:pPr>
        <w:pStyle w:val="Paragraphe"/>
        <w:spacing w:line="240" w:lineRule="auto"/>
        <w:rPr>
          <w:rFonts w:cs="Arial"/>
          <w:szCs w:val="24"/>
        </w:rPr>
      </w:pPr>
      <w:r w:rsidRPr="00377607">
        <w:rPr>
          <w:rFonts w:cs="Arial"/>
          <w:szCs w:val="24"/>
        </w:rPr>
        <w:t xml:space="preserve">A mandatory minimum sentence applies without regard to facts and presupposes that Parliament can fix a minimum that is invariably proportionate. It diminishes the scope for discretionary decision-making and eliminates, below the mandatory minimum, the possibility of a proportionate sentence determined with due regard to valid objectives. A mandatory minimum sentence is inconsistent with principles of individualized sentencing. </w:t>
      </w:r>
    </w:p>
    <w:p w14:paraId="6CE96C23" w14:textId="77777777" w:rsidR="00F72CE5" w:rsidRPr="00377607" w:rsidRDefault="00F72CE5" w:rsidP="00F72CE5">
      <w:pPr>
        <w:pStyle w:val="Paragraphe"/>
        <w:spacing w:line="240" w:lineRule="auto"/>
        <w:rPr>
          <w:rFonts w:cs="Arial"/>
          <w:szCs w:val="24"/>
        </w:rPr>
      </w:pPr>
      <w:r w:rsidRPr="00377607">
        <w:rPr>
          <w:rFonts w:cs="Arial"/>
          <w:szCs w:val="24"/>
        </w:rPr>
        <w:t xml:space="preserve">A reasonably foreseeable scenario affords a prism through which to test assumptions that underlie a minimum sentence. It is a device that permits a reviewing court to </w:t>
      </w:r>
      <w:proofErr w:type="gramStart"/>
      <w:r w:rsidRPr="00377607">
        <w:rPr>
          <w:rFonts w:cs="Arial"/>
          <w:szCs w:val="24"/>
        </w:rPr>
        <w:t>take into account</w:t>
      </w:r>
      <w:proofErr w:type="gramEnd"/>
      <w:r w:rsidRPr="00377607">
        <w:rPr>
          <w:rFonts w:cs="Arial"/>
          <w:szCs w:val="24"/>
        </w:rPr>
        <w:t xml:space="preserve"> the range of conduct that falls within an offence and, accordingly, to compare and contrast just deserts within a range of foreseeable circumstances. It is an unusual heuristic device for purposes of adjudication because it requires a court to attribute the standing of a party to a fictitious (but plausible) offender even where sentences imposed on the offender </w:t>
      </w:r>
      <w:proofErr w:type="gramStart"/>
      <w:r w:rsidRPr="00377607">
        <w:rPr>
          <w:rFonts w:cs="Arial"/>
          <w:szCs w:val="24"/>
        </w:rPr>
        <w:t>actually before</w:t>
      </w:r>
      <w:proofErr w:type="gramEnd"/>
      <w:r w:rsidRPr="00377607">
        <w:rPr>
          <w:rFonts w:cs="Arial"/>
          <w:szCs w:val="24"/>
        </w:rPr>
        <w:t xml:space="preserve"> the court do not violate section 12 of the Charter. </w:t>
      </w:r>
    </w:p>
    <w:p w14:paraId="51E67B37" w14:textId="77777777" w:rsidR="00F72CE5" w:rsidRPr="00377607" w:rsidRDefault="00F72CE5" w:rsidP="00F72CE5">
      <w:pPr>
        <w:pStyle w:val="Paragraphe"/>
        <w:spacing w:line="240" w:lineRule="auto"/>
        <w:rPr>
          <w:rFonts w:cs="Arial"/>
          <w:szCs w:val="24"/>
        </w:rPr>
      </w:pPr>
      <w:r w:rsidRPr="00377607">
        <w:rPr>
          <w:rFonts w:cs="Arial"/>
          <w:szCs w:val="24"/>
        </w:rPr>
        <w:t>I agree that the minimum sentences for making and distributing child pornography are inconsistent with section 12. The specific justification for this conclusion is that in the application of the reasonably foreseeable scenario adapted in these reasons a mandatory minimum sentence of one year would be disproportionately severe, irrespective of the sentence that the respondent deserves.</w:t>
      </w:r>
      <w:r w:rsidRPr="00377607">
        <w:rPr>
          <w:rStyle w:val="Appelnotedebasdep"/>
          <w:rFonts w:cs="Arial"/>
          <w:szCs w:val="24"/>
        </w:rPr>
        <w:footnoteReference w:id="51"/>
      </w:r>
    </w:p>
    <w:p w14:paraId="1211DA9B" w14:textId="77777777" w:rsidR="00F72CE5" w:rsidRPr="00377607" w:rsidRDefault="00F72CE5" w:rsidP="00F72CE5">
      <w:pPr>
        <w:pStyle w:val="Paragraphe"/>
        <w:spacing w:line="240" w:lineRule="auto"/>
        <w:rPr>
          <w:rFonts w:cs="Arial"/>
          <w:szCs w:val="24"/>
        </w:rPr>
      </w:pPr>
      <w:r w:rsidRPr="00377607">
        <w:rPr>
          <w:rFonts w:cs="Arial"/>
          <w:szCs w:val="24"/>
        </w:rPr>
        <w:lastRenderedPageBreak/>
        <w:t xml:space="preserve">I also remind myself that in </w:t>
      </w:r>
      <w:r w:rsidRPr="00377607">
        <w:rPr>
          <w:rFonts w:cs="Arial"/>
          <w:i/>
          <w:iCs/>
          <w:szCs w:val="24"/>
        </w:rPr>
        <w:t>Hills</w:t>
      </w:r>
      <w:r w:rsidRPr="00377607">
        <w:rPr>
          <w:rFonts w:cs="Arial"/>
          <w:szCs w:val="24"/>
        </w:rPr>
        <w:t xml:space="preserve"> the Supreme Court directed appellate courts to consider the range of gravity covered by the substantive offence, the effect of the minimum sentence on the offender and the legislative objectives of the sentence.</w:t>
      </w:r>
      <w:r w:rsidRPr="00377607">
        <w:rPr>
          <w:rStyle w:val="Appelnotedebasdep"/>
          <w:rFonts w:cs="Arial"/>
          <w:szCs w:val="24"/>
        </w:rPr>
        <w:footnoteReference w:id="52"/>
      </w:r>
      <w:r w:rsidRPr="00377607">
        <w:rPr>
          <w:rFonts w:cs="Arial"/>
          <w:szCs w:val="24"/>
        </w:rPr>
        <w:t xml:space="preserve"> These three considerations are not discrete variables because they overlap; nor are they cumulative because any one of them might be decisive. In effect, these considerations identify three facets of a preoccupation with degrees of disproportionality.</w:t>
      </w:r>
    </w:p>
    <w:p w14:paraId="51FC15D1" w14:textId="77777777" w:rsidR="00F72CE5" w:rsidRPr="009A5DB5" w:rsidRDefault="00F72CE5" w:rsidP="00F72CE5">
      <w:pPr>
        <w:pStyle w:val="Paragraphe"/>
        <w:spacing w:line="240" w:lineRule="auto"/>
        <w:rPr>
          <w:rFonts w:cs="Arial"/>
          <w:szCs w:val="24"/>
        </w:rPr>
      </w:pPr>
      <w:r w:rsidRPr="00377607">
        <w:rPr>
          <w:rFonts w:cs="Arial"/>
          <w:szCs w:val="24"/>
        </w:rPr>
        <w:t>It is clear that the offences to which the minimum sentences apply cover a wide range from comparatively minor instances to profound criminality.</w:t>
      </w:r>
      <w:r w:rsidRPr="00377607">
        <w:rPr>
          <w:rStyle w:val="Appelnotedebasdep"/>
          <w:rFonts w:cs="Arial"/>
          <w:szCs w:val="24"/>
        </w:rPr>
        <w:footnoteReference w:id="53"/>
      </w:r>
      <w:r w:rsidRPr="00377607">
        <w:rPr>
          <w:rFonts w:cs="Arial"/>
          <w:szCs w:val="24"/>
        </w:rPr>
        <w:t xml:space="preserve"> The reasonably foreseeable scenario adapted in this case provides an example of offences that are in the lower range of severity but it  demonstrates that the mandatory minimum sentences would apply with equal force in cases that call for severity and cases that do not. That scenario demonstrates the implications of the minimum sentences at issue in this appeal, most notably that sentences other than continuous incarceration are excluded. </w:t>
      </w:r>
    </w:p>
    <w:p w14:paraId="4EDDE4E4" w14:textId="77777777" w:rsidR="00F72CE5" w:rsidRPr="00377607" w:rsidRDefault="00F72CE5" w:rsidP="00F72CE5">
      <w:pPr>
        <w:pStyle w:val="Paragraphe"/>
        <w:spacing w:line="240" w:lineRule="auto"/>
        <w:rPr>
          <w:rFonts w:cs="Arial"/>
          <w:szCs w:val="24"/>
        </w:rPr>
      </w:pPr>
      <w:r w:rsidRPr="00377607">
        <w:rPr>
          <w:rFonts w:cs="Arial"/>
          <w:szCs w:val="24"/>
        </w:rPr>
        <w:t xml:space="preserve">In my view, however, there is an error of principle in this case. It is that the sentences are disproportionately lenient and fail to reflect both the objective and subjective gravity of the offences and the degree of the offender's responsibility. The specific error is that the sentences imposed privilege restorative objectives of sentencing without due attention to the retributive imperatives of denunciation and deterrence.  </w:t>
      </w:r>
    </w:p>
    <w:p w14:paraId="31A2E33C" w14:textId="77777777" w:rsidR="00F72CE5" w:rsidRPr="00377607" w:rsidRDefault="00F72CE5" w:rsidP="00F72CE5">
      <w:pPr>
        <w:pStyle w:val="Paragraphe"/>
        <w:numPr>
          <w:ilvl w:val="0"/>
          <w:numId w:val="0"/>
        </w:numPr>
        <w:spacing w:before="240" w:after="0" w:line="240" w:lineRule="auto"/>
        <w:jc w:val="center"/>
        <w:rPr>
          <w:rFonts w:cs="Arial"/>
          <w:b/>
          <w:bCs/>
          <w:szCs w:val="24"/>
        </w:rPr>
      </w:pPr>
      <w:r w:rsidRPr="00377607">
        <w:rPr>
          <w:rFonts w:cs="Arial"/>
          <w:b/>
          <w:bCs/>
          <w:szCs w:val="24"/>
        </w:rPr>
        <w:t>VI</w:t>
      </w:r>
    </w:p>
    <w:p w14:paraId="50F4378F" w14:textId="77777777" w:rsidR="00F72CE5" w:rsidRPr="00377607" w:rsidRDefault="00F72CE5" w:rsidP="00F72CE5">
      <w:pPr>
        <w:pStyle w:val="Paragraphe"/>
        <w:numPr>
          <w:ilvl w:val="0"/>
          <w:numId w:val="0"/>
        </w:numPr>
        <w:spacing w:before="0" w:after="240" w:line="240" w:lineRule="auto"/>
        <w:jc w:val="center"/>
        <w:rPr>
          <w:rFonts w:cs="Arial"/>
          <w:szCs w:val="24"/>
        </w:rPr>
      </w:pPr>
      <w:r w:rsidRPr="00377607">
        <w:rPr>
          <w:rFonts w:cs="Arial"/>
          <w:b/>
          <w:bCs/>
          <w:szCs w:val="24"/>
        </w:rPr>
        <w:t>A fit sentence</w:t>
      </w:r>
    </w:p>
    <w:p w14:paraId="44043CB8" w14:textId="77777777" w:rsidR="00F72CE5" w:rsidRPr="00377607" w:rsidRDefault="00F72CE5" w:rsidP="00F72CE5">
      <w:pPr>
        <w:pStyle w:val="Paragraphe"/>
        <w:spacing w:line="240" w:lineRule="auto"/>
        <w:rPr>
          <w:rFonts w:cs="Arial"/>
          <w:szCs w:val="24"/>
        </w:rPr>
      </w:pPr>
      <w:r w:rsidRPr="00377607">
        <w:rPr>
          <w:rFonts w:cs="Arial"/>
          <w:szCs w:val="24"/>
        </w:rPr>
        <w:t xml:space="preserve">The invalidity of the minimum sentences obliges this Court to impose sentences for making, distributing and possessing </w:t>
      </w:r>
      <w:r>
        <w:rPr>
          <w:rFonts w:cs="Arial"/>
          <w:szCs w:val="24"/>
        </w:rPr>
        <w:t xml:space="preserve">child pornography </w:t>
      </w:r>
      <w:r w:rsidRPr="00377607">
        <w:rPr>
          <w:rFonts w:cs="Arial"/>
          <w:szCs w:val="24"/>
        </w:rPr>
        <w:t xml:space="preserve">that are proportionate and fit for </w:t>
      </w:r>
      <w:r w:rsidRPr="00377607">
        <w:rPr>
          <w:rFonts w:cs="Arial"/>
          <w:i/>
          <w:iCs/>
          <w:szCs w:val="24"/>
        </w:rPr>
        <w:t>these</w:t>
      </w:r>
      <w:r w:rsidRPr="00377607">
        <w:rPr>
          <w:rFonts w:cs="Arial"/>
          <w:szCs w:val="24"/>
        </w:rPr>
        <w:t xml:space="preserve"> offences, committed by </w:t>
      </w:r>
      <w:r w:rsidRPr="00377607">
        <w:rPr>
          <w:rFonts w:cs="Arial"/>
          <w:i/>
          <w:iCs/>
          <w:szCs w:val="24"/>
        </w:rPr>
        <w:t>this</w:t>
      </w:r>
      <w:r w:rsidRPr="00377607">
        <w:rPr>
          <w:rFonts w:cs="Arial"/>
          <w:szCs w:val="24"/>
        </w:rPr>
        <w:t xml:space="preserve"> offender, causing </w:t>
      </w:r>
      <w:r w:rsidRPr="00377607">
        <w:rPr>
          <w:rFonts w:cs="Arial"/>
          <w:i/>
          <w:iCs/>
          <w:szCs w:val="24"/>
        </w:rPr>
        <w:t>this</w:t>
      </w:r>
      <w:r w:rsidRPr="00377607">
        <w:rPr>
          <w:rFonts w:cs="Arial"/>
          <w:szCs w:val="24"/>
        </w:rPr>
        <w:t xml:space="preserve"> harm in </w:t>
      </w:r>
      <w:r w:rsidRPr="00377607">
        <w:rPr>
          <w:rFonts w:cs="Arial"/>
          <w:i/>
          <w:iCs/>
          <w:szCs w:val="24"/>
        </w:rPr>
        <w:t>this</w:t>
      </w:r>
      <w:r w:rsidRPr="00377607">
        <w:rPr>
          <w:rFonts w:cs="Arial"/>
          <w:szCs w:val="24"/>
        </w:rPr>
        <w:t xml:space="preserve"> community.</w:t>
      </w:r>
      <w:r w:rsidRPr="00377607">
        <w:rPr>
          <w:rStyle w:val="Appelnotedebasdep"/>
          <w:rFonts w:cs="Arial"/>
          <w:szCs w:val="24"/>
        </w:rPr>
        <w:footnoteReference w:id="54"/>
      </w:r>
      <w:r w:rsidRPr="00377607">
        <w:rPr>
          <w:rFonts w:cs="Arial"/>
          <w:szCs w:val="24"/>
        </w:rPr>
        <w:t xml:space="preserve"> </w:t>
      </w:r>
    </w:p>
    <w:p w14:paraId="719A3B87" w14:textId="77777777" w:rsidR="00F72CE5" w:rsidRPr="00377607" w:rsidRDefault="00F72CE5" w:rsidP="00F72CE5">
      <w:pPr>
        <w:pStyle w:val="Paragraphe"/>
        <w:spacing w:line="240" w:lineRule="auto"/>
        <w:rPr>
          <w:rFonts w:cs="Arial"/>
          <w:szCs w:val="24"/>
        </w:rPr>
      </w:pPr>
      <w:r w:rsidRPr="00377607">
        <w:rPr>
          <w:rFonts w:cs="Arial"/>
          <w:szCs w:val="24"/>
        </w:rPr>
        <w:t>Current jurisprudence leaves no doubt that retributive objectives are essential to any sentence for sexual offences against children</w:t>
      </w:r>
      <w:r w:rsidRPr="00377607">
        <w:rPr>
          <w:rStyle w:val="Appelnotedebasdep"/>
          <w:rFonts w:cs="Arial"/>
          <w:szCs w:val="24"/>
        </w:rPr>
        <w:footnoteReference w:id="55"/>
      </w:r>
      <w:r w:rsidRPr="00377607">
        <w:rPr>
          <w:rFonts w:cs="Arial"/>
          <w:szCs w:val="24"/>
        </w:rPr>
        <w:t xml:space="preserve"> but recent jurisprudence reveals an array of sentences in relation to offences of child pornography.</w:t>
      </w:r>
      <w:r w:rsidRPr="00377607">
        <w:rPr>
          <w:rStyle w:val="Appelnotedebasdep"/>
          <w:rFonts w:cs="Arial"/>
          <w:szCs w:val="24"/>
        </w:rPr>
        <w:footnoteReference w:id="56"/>
      </w:r>
      <w:r w:rsidRPr="00377607">
        <w:rPr>
          <w:rFonts w:cs="Arial"/>
          <w:szCs w:val="24"/>
        </w:rPr>
        <w:t xml:space="preserve"> This array is attributable in large measure to the range of conduct that can fall within those offences. It is also attributable to the variety of factors that are relevant in different cases because not all factors carry equal weight in the assessment of the gravity of an offence or the degree of </w:t>
      </w:r>
      <w:r w:rsidRPr="00377607">
        <w:rPr>
          <w:rFonts w:cs="Arial"/>
          <w:szCs w:val="24"/>
        </w:rPr>
        <w:lastRenderedPageBreak/>
        <w:t>the offender’s culpability. It is apparent, however, that the array of sentences reveals not only variety but disparity.</w:t>
      </w:r>
      <w:r w:rsidRPr="00377607">
        <w:rPr>
          <w:rStyle w:val="Appelnotedebasdep"/>
          <w:rFonts w:cs="Arial"/>
          <w:szCs w:val="24"/>
        </w:rPr>
        <w:footnoteReference w:id="57"/>
      </w:r>
      <w:r w:rsidRPr="00377607">
        <w:rPr>
          <w:rFonts w:cs="Arial"/>
          <w:szCs w:val="24"/>
        </w:rPr>
        <w:t xml:space="preserve">  </w:t>
      </w:r>
    </w:p>
    <w:p w14:paraId="44EA9E55" w14:textId="77777777" w:rsidR="00F72CE5" w:rsidRPr="00377607" w:rsidRDefault="00F72CE5" w:rsidP="00F72CE5">
      <w:pPr>
        <w:pStyle w:val="Paragraphe"/>
        <w:spacing w:line="240" w:lineRule="auto"/>
        <w:rPr>
          <w:rFonts w:cs="Arial"/>
          <w:szCs w:val="24"/>
        </w:rPr>
      </w:pPr>
      <w:r w:rsidRPr="00377607">
        <w:rPr>
          <w:rFonts w:cs="Arial"/>
          <w:szCs w:val="24"/>
        </w:rPr>
        <w:t>The only reliable guide against disparity is a policy of exemplarity in sentencing for sexual offences against minors to reflect in each case a proportionate censure of the harm to vulnerable victims. In practical terms the consensus in existing jurisprudence is that sentences of continuous imprisonment are the norm and that any deviation from that norm requires justification. To this end the jurisprudence focuses on the identification of various factors in assessing the gravity of an offence and the degree of the offender’s responsibility. These include that nature and volume of the material involved, the duration of the offending conduct, and its scope.</w:t>
      </w:r>
    </w:p>
    <w:p w14:paraId="77C8F91E" w14:textId="77777777" w:rsidR="00F72CE5" w:rsidRPr="00377607" w:rsidRDefault="00F72CE5" w:rsidP="00F72CE5">
      <w:pPr>
        <w:pStyle w:val="Paragraphe"/>
        <w:spacing w:line="240" w:lineRule="auto"/>
        <w:rPr>
          <w:rFonts w:cs="Arial"/>
          <w:szCs w:val="24"/>
        </w:rPr>
      </w:pPr>
      <w:r w:rsidRPr="00377607">
        <w:rPr>
          <w:rFonts w:cs="Arial"/>
          <w:szCs w:val="24"/>
        </w:rPr>
        <w:t xml:space="preserve">Despite disparity among </w:t>
      </w:r>
      <w:proofErr w:type="gramStart"/>
      <w:r w:rsidRPr="00377607">
        <w:rPr>
          <w:rFonts w:cs="Arial"/>
          <w:szCs w:val="24"/>
        </w:rPr>
        <w:t>particular cases</w:t>
      </w:r>
      <w:proofErr w:type="gramEnd"/>
      <w:r w:rsidRPr="00377607">
        <w:rPr>
          <w:rFonts w:cs="Arial"/>
          <w:szCs w:val="24"/>
        </w:rPr>
        <w:t xml:space="preserve">, the jurisprudence is consistent on several points. All cases affirm the gravity of offences concerning child pornography. They emphasise the severe and enduring harm caused to vulnerable victims by any offence of this nature. This emphasis has been apparent for as long as offences involving child pornography have been in force; it has been intensified with successive amendments of the </w:t>
      </w:r>
      <w:r w:rsidRPr="00377607">
        <w:rPr>
          <w:rFonts w:cs="Arial"/>
          <w:i/>
          <w:iCs/>
          <w:szCs w:val="24"/>
        </w:rPr>
        <w:t>Criminal Code</w:t>
      </w:r>
      <w:r w:rsidRPr="00377607">
        <w:rPr>
          <w:rFonts w:cs="Arial"/>
          <w:szCs w:val="24"/>
        </w:rPr>
        <w:t xml:space="preserve"> and with evolving appellate jurisprudence.</w:t>
      </w:r>
      <w:r w:rsidRPr="00377607">
        <w:rPr>
          <w:rStyle w:val="Appelnotedebasdep"/>
          <w:rFonts w:cs="Arial"/>
          <w:szCs w:val="24"/>
        </w:rPr>
        <w:footnoteReference w:id="58"/>
      </w:r>
      <w:r w:rsidRPr="00377607">
        <w:rPr>
          <w:rFonts w:cs="Arial"/>
          <w:szCs w:val="24"/>
        </w:rPr>
        <w:t xml:space="preserve"> Since the decision of the Supreme Court in </w:t>
      </w:r>
      <w:r w:rsidRPr="00377607">
        <w:rPr>
          <w:rFonts w:cs="Arial"/>
          <w:i/>
          <w:iCs/>
          <w:szCs w:val="24"/>
        </w:rPr>
        <w:t>Friesen</w:t>
      </w:r>
      <w:r w:rsidRPr="00377607">
        <w:rPr>
          <w:rFonts w:cs="Arial"/>
          <w:szCs w:val="24"/>
        </w:rPr>
        <w:t>, any sentence that fails adequately to enforce retributive objectives is open to review.</w:t>
      </w:r>
    </w:p>
    <w:p w14:paraId="7409F6B8" w14:textId="77777777" w:rsidR="00F72CE5" w:rsidRPr="00377607" w:rsidRDefault="00F72CE5" w:rsidP="00F72CE5">
      <w:pPr>
        <w:pStyle w:val="Paragraphe"/>
        <w:spacing w:line="240" w:lineRule="auto"/>
        <w:rPr>
          <w:rFonts w:cs="Arial"/>
          <w:szCs w:val="24"/>
        </w:rPr>
      </w:pPr>
      <w:r w:rsidRPr="00377607">
        <w:rPr>
          <w:rFonts w:cs="Arial"/>
          <w:szCs w:val="24"/>
        </w:rPr>
        <w:t>All cases hold that sentencing decisions for any offence of child pornography, as for all sexual offences against children, must give priority to the objectives of denunciation and deterrence.</w:t>
      </w:r>
      <w:r w:rsidRPr="00377607">
        <w:rPr>
          <w:rStyle w:val="Appelnotedebasdep"/>
          <w:rFonts w:cs="Arial"/>
          <w:szCs w:val="24"/>
        </w:rPr>
        <w:footnoteReference w:id="59"/>
      </w:r>
      <w:r w:rsidRPr="00377607">
        <w:rPr>
          <w:rFonts w:cs="Arial"/>
          <w:szCs w:val="24"/>
        </w:rPr>
        <w:t xml:space="preserve"> These objectives must be expressed in a manner that is proportionate in the case of any </w:t>
      </w:r>
      <w:proofErr w:type="gramStart"/>
      <w:r w:rsidRPr="00377607">
        <w:rPr>
          <w:rFonts w:cs="Arial"/>
          <w:szCs w:val="24"/>
        </w:rPr>
        <w:t>particular offender</w:t>
      </w:r>
      <w:proofErr w:type="gramEnd"/>
      <w:r w:rsidRPr="00377607">
        <w:rPr>
          <w:rFonts w:cs="Arial"/>
          <w:szCs w:val="24"/>
        </w:rPr>
        <w:t xml:space="preserve"> and in a manner that generally conveys unambiguous condemnation. But they must also be expressed in a manner that accommodates other relevant objectives.</w:t>
      </w:r>
      <w:r w:rsidRPr="00377607">
        <w:rPr>
          <w:rStyle w:val="Appelnotedebasdep"/>
          <w:rFonts w:cs="Arial"/>
          <w:szCs w:val="24"/>
        </w:rPr>
        <w:footnoteReference w:id="60"/>
      </w:r>
    </w:p>
    <w:p w14:paraId="3D4AF6BE" w14:textId="77777777" w:rsidR="00F72CE5" w:rsidRPr="00377607" w:rsidRDefault="00F72CE5" w:rsidP="00F72CE5">
      <w:pPr>
        <w:pStyle w:val="Paragraphe"/>
        <w:spacing w:line="240" w:lineRule="auto"/>
        <w:rPr>
          <w:rFonts w:cs="Arial"/>
          <w:szCs w:val="24"/>
        </w:rPr>
      </w:pPr>
      <w:r w:rsidRPr="00377607">
        <w:rPr>
          <w:rFonts w:cs="Arial"/>
          <w:szCs w:val="24"/>
        </w:rPr>
        <w:t>In almost all cases of child pornography the norm is a deprivation of liberty in one form or another. A term of continuous imprisonment is the most obvious, although that too allows for terms of variable length. A deprivation of liberty can be imposed in a conditional sentence of variable lengths that may be accompanied by conditions of variable restrictiveness.</w:t>
      </w:r>
      <w:r w:rsidRPr="00377607">
        <w:rPr>
          <w:rStyle w:val="Appelnotedebasdep"/>
          <w:rFonts w:cs="Arial"/>
          <w:szCs w:val="24"/>
        </w:rPr>
        <w:footnoteReference w:id="61"/>
      </w:r>
      <w:r w:rsidRPr="00377607">
        <w:rPr>
          <w:rFonts w:cs="Arial"/>
          <w:szCs w:val="24"/>
        </w:rPr>
        <w:t xml:space="preserve"> There is a loss of liberty in an intermittent sentence. A restriction of liberty can also be imposed by a suspended sentence under terms of probation. Once again, the imperative that must prevail in any of these options is the principle of proportionality.</w:t>
      </w:r>
    </w:p>
    <w:p w14:paraId="7FE8A146" w14:textId="77777777" w:rsidR="00F72CE5" w:rsidRPr="00377607" w:rsidRDefault="00F72CE5" w:rsidP="00F72CE5">
      <w:pPr>
        <w:pStyle w:val="Paragraphe"/>
        <w:spacing w:line="240" w:lineRule="auto"/>
        <w:rPr>
          <w:rFonts w:cs="Arial"/>
          <w:szCs w:val="24"/>
        </w:rPr>
      </w:pPr>
      <w:r w:rsidRPr="00377607">
        <w:rPr>
          <w:rFonts w:cs="Arial"/>
          <w:szCs w:val="24"/>
        </w:rPr>
        <w:lastRenderedPageBreak/>
        <w:t xml:space="preserve">The norm of continuous incarceration is not invariable. In </w:t>
      </w:r>
      <w:r w:rsidRPr="00377607">
        <w:rPr>
          <w:rFonts w:cs="Arial"/>
          <w:i/>
          <w:iCs/>
          <w:szCs w:val="24"/>
        </w:rPr>
        <w:t>Joly</w:t>
      </w:r>
      <w:r w:rsidRPr="00377607">
        <w:rPr>
          <w:rFonts w:cs="Arial"/>
          <w:szCs w:val="24"/>
        </w:rPr>
        <w:t>,</w:t>
      </w:r>
      <w:r w:rsidRPr="00377607">
        <w:rPr>
          <w:rStyle w:val="Appelnotedebasdep"/>
          <w:rFonts w:cs="Arial"/>
          <w:szCs w:val="24"/>
        </w:rPr>
        <w:footnoteReference w:id="62"/>
      </w:r>
      <w:r w:rsidRPr="00377607">
        <w:rPr>
          <w:rFonts w:cs="Arial"/>
          <w:szCs w:val="24"/>
        </w:rPr>
        <w:t xml:space="preserve"> for example, the Court expressly concluded that a conditional sentence was proportionate in the circumstances of a case of possession.</w:t>
      </w:r>
    </w:p>
    <w:p w14:paraId="1A7FFADC" w14:textId="77777777" w:rsidR="00F72CE5" w:rsidRPr="00D07A67" w:rsidRDefault="00F72CE5" w:rsidP="00F72CE5">
      <w:pPr>
        <w:pStyle w:val="Citationenretrait"/>
        <w:rPr>
          <w:lang w:val="fr-CA"/>
        </w:rPr>
      </w:pPr>
      <w:r w:rsidRPr="00D07A67">
        <w:rPr>
          <w:lang w:val="fr-CA"/>
        </w:rPr>
        <w:t>[</w:t>
      </w:r>
      <w:bookmarkStart w:id="17" w:name="par125"/>
      <w:r w:rsidRPr="00D07A67">
        <w:rPr>
          <w:lang w:val="fr-CA"/>
        </w:rPr>
        <w:t>125</w:t>
      </w:r>
      <w:bookmarkEnd w:id="17"/>
      <w:r w:rsidRPr="00D07A67">
        <w:rPr>
          <w:lang w:val="fr-CA"/>
        </w:rPr>
        <w:t>]</w:t>
      </w:r>
      <w:r w:rsidRPr="00D07A67">
        <w:rPr>
          <w:lang w:val="fr-CA"/>
        </w:rPr>
        <w:tab/>
        <w:t>[…] la possession de pornographie juvénile nécessite généralement l’emprisonnement, mais il existe des cas où cet emprisonnement peut être purgé dans la collectivité.</w:t>
      </w:r>
    </w:p>
    <w:p w14:paraId="3AC78A49" w14:textId="43C18C71" w:rsidR="00F72CE5" w:rsidRPr="00377607" w:rsidRDefault="00F72CE5" w:rsidP="00F72CE5">
      <w:pPr>
        <w:pStyle w:val="Paragraphe"/>
        <w:spacing w:before="240" w:line="240" w:lineRule="auto"/>
        <w:rPr>
          <w:rFonts w:cs="Arial"/>
          <w:szCs w:val="24"/>
        </w:rPr>
      </w:pPr>
      <w:r w:rsidRPr="00377607">
        <w:rPr>
          <w:rFonts w:cs="Arial"/>
          <w:szCs w:val="24"/>
        </w:rPr>
        <w:t xml:space="preserve">In this case the Court must impose sentences for offences of possession, making and distributing. The maximum sentence of 14 years for the last two suggests that this heightened degree of objective gravity should entail a heightened measure of severity in any case where </w:t>
      </w:r>
      <w:proofErr w:type="gramStart"/>
      <w:r w:rsidRPr="00377607">
        <w:rPr>
          <w:rFonts w:cs="Arial"/>
          <w:szCs w:val="24"/>
        </w:rPr>
        <w:t>all of</w:t>
      </w:r>
      <w:proofErr w:type="gramEnd"/>
      <w:r w:rsidRPr="00377607">
        <w:rPr>
          <w:rFonts w:cs="Arial"/>
          <w:szCs w:val="24"/>
        </w:rPr>
        <w:t xml:space="preserve"> those three offences are in issue.</w:t>
      </w:r>
      <w:r w:rsidRPr="00377607">
        <w:rPr>
          <w:rStyle w:val="Appelnotedebasdep"/>
          <w:rFonts w:cs="Arial"/>
          <w:szCs w:val="24"/>
        </w:rPr>
        <w:footnoteReference w:id="63"/>
      </w:r>
      <w:r w:rsidRPr="00377607">
        <w:rPr>
          <w:rFonts w:cs="Arial"/>
          <w:szCs w:val="24"/>
        </w:rPr>
        <w:t xml:space="preserve"> I agree with this in general terms but with a qualification. An increased measure of severity is appropriate for any offence where it is necessary for the determination of a proportionate </w:t>
      </w:r>
      <w:proofErr w:type="gramStart"/>
      <w:r w:rsidRPr="00377607">
        <w:rPr>
          <w:rFonts w:cs="Arial"/>
          <w:szCs w:val="24"/>
        </w:rPr>
        <w:t>sentence</w:t>
      </w:r>
      <w:proofErr w:type="gramEnd"/>
      <w:r w:rsidRPr="00377607">
        <w:rPr>
          <w:rFonts w:cs="Arial"/>
          <w:szCs w:val="24"/>
        </w:rPr>
        <w:t xml:space="preserve"> but it is inappropriate where unnecessary for this purpose. Making and distributing child pornography can include elements of harm that exceed those in offences of possession and access</w:t>
      </w:r>
      <w:r w:rsidR="005A7E5A">
        <w:rPr>
          <w:rFonts w:cs="Arial"/>
          <w:szCs w:val="24"/>
        </w:rPr>
        <w:t>,</w:t>
      </w:r>
      <w:r w:rsidRPr="00377607">
        <w:rPr>
          <w:rFonts w:cs="Arial"/>
          <w:szCs w:val="24"/>
        </w:rPr>
        <w:t xml:space="preserve"> but those elements are not present in every case. Where the gravity of a particular offence and the degree of the offender’s responsibility merit less severity to achieve a proportionate sentence, these factors should be considered in determining the result. I am unable to affirm that </w:t>
      </w:r>
      <w:r>
        <w:rPr>
          <w:rFonts w:cs="Arial"/>
          <w:szCs w:val="24"/>
        </w:rPr>
        <w:t xml:space="preserve">in every case </w:t>
      </w:r>
      <w:proofErr w:type="gramStart"/>
      <w:r>
        <w:rPr>
          <w:rFonts w:cs="Arial"/>
          <w:szCs w:val="24"/>
        </w:rPr>
        <w:t>offences</w:t>
      </w:r>
      <w:proofErr w:type="gramEnd"/>
      <w:r>
        <w:rPr>
          <w:rFonts w:cs="Arial"/>
          <w:szCs w:val="24"/>
        </w:rPr>
        <w:t xml:space="preserve"> of making or distributing compel more severe sentences than for possession</w:t>
      </w:r>
      <w:r w:rsidRPr="00377607">
        <w:rPr>
          <w:rFonts w:cs="Arial"/>
          <w:szCs w:val="24"/>
        </w:rPr>
        <w:t xml:space="preserve">.    </w:t>
      </w:r>
    </w:p>
    <w:p w14:paraId="1410ED7C" w14:textId="77777777" w:rsidR="00F72CE5" w:rsidRPr="00377607" w:rsidRDefault="00F72CE5" w:rsidP="00F72CE5">
      <w:pPr>
        <w:pStyle w:val="Paragraphe"/>
        <w:spacing w:line="240" w:lineRule="auto"/>
        <w:rPr>
          <w:rFonts w:cs="Arial"/>
          <w:szCs w:val="24"/>
        </w:rPr>
      </w:pPr>
      <w:r w:rsidRPr="00377607">
        <w:rPr>
          <w:rFonts w:cs="Arial"/>
          <w:szCs w:val="24"/>
        </w:rPr>
        <w:t>The jurisprudence can be summarised:</w:t>
      </w:r>
    </w:p>
    <w:p w14:paraId="68737527" w14:textId="77777777" w:rsidR="00F72CE5" w:rsidRPr="00A33540" w:rsidRDefault="00F72CE5" w:rsidP="00F72CE5">
      <w:pPr>
        <w:pStyle w:val="Citationenretrait"/>
        <w:spacing w:before="100" w:after="100" w:line="240" w:lineRule="auto"/>
        <w:rPr>
          <w:sz w:val="24"/>
          <w:szCs w:val="24"/>
        </w:rPr>
      </w:pPr>
      <w:r w:rsidRPr="00A33540">
        <w:rPr>
          <w:sz w:val="24"/>
          <w:szCs w:val="24"/>
        </w:rPr>
        <w:t xml:space="preserve">In the absence of a valid minimum a sentence for every offence of child pornography must be determined in accordance with principles in the </w:t>
      </w:r>
      <w:r w:rsidRPr="00A33540">
        <w:rPr>
          <w:i/>
          <w:iCs/>
          <w:sz w:val="24"/>
          <w:szCs w:val="24"/>
        </w:rPr>
        <w:t>Criminal Code</w:t>
      </w:r>
      <w:r w:rsidRPr="00A33540">
        <w:rPr>
          <w:sz w:val="24"/>
          <w:szCs w:val="24"/>
        </w:rPr>
        <w:t xml:space="preserve"> and relevant jurisprudence.</w:t>
      </w:r>
    </w:p>
    <w:p w14:paraId="30624178" w14:textId="77777777" w:rsidR="00F72CE5" w:rsidRPr="00A33540" w:rsidRDefault="00F72CE5" w:rsidP="00F72CE5">
      <w:pPr>
        <w:pStyle w:val="Citationenretrait"/>
        <w:spacing w:before="100" w:after="100" w:line="240" w:lineRule="auto"/>
        <w:rPr>
          <w:sz w:val="24"/>
          <w:szCs w:val="24"/>
        </w:rPr>
      </w:pPr>
      <w:r w:rsidRPr="00A33540">
        <w:rPr>
          <w:sz w:val="24"/>
          <w:szCs w:val="24"/>
        </w:rPr>
        <w:t>All sentencing options are open.</w:t>
      </w:r>
    </w:p>
    <w:p w14:paraId="44766C70" w14:textId="77777777" w:rsidR="00F72CE5" w:rsidRPr="00A33540" w:rsidRDefault="00F72CE5" w:rsidP="00F72CE5">
      <w:pPr>
        <w:pStyle w:val="Citationenretrait"/>
        <w:spacing w:before="100" w:after="100" w:line="240" w:lineRule="auto"/>
        <w:rPr>
          <w:sz w:val="24"/>
          <w:szCs w:val="24"/>
        </w:rPr>
      </w:pPr>
      <w:r w:rsidRPr="00A33540">
        <w:rPr>
          <w:sz w:val="24"/>
          <w:szCs w:val="24"/>
        </w:rPr>
        <w:t>Every sentence must conform to the principle of proportionality and reflect due consideration of all relevant objectives.</w:t>
      </w:r>
    </w:p>
    <w:p w14:paraId="0E2AE858" w14:textId="77777777" w:rsidR="00F72CE5" w:rsidRPr="00A33540" w:rsidRDefault="00F72CE5" w:rsidP="00F72CE5">
      <w:pPr>
        <w:pStyle w:val="Citationenretrait"/>
        <w:spacing w:before="100" w:after="100" w:line="240" w:lineRule="auto"/>
        <w:rPr>
          <w:sz w:val="24"/>
          <w:szCs w:val="24"/>
        </w:rPr>
      </w:pPr>
      <w:r w:rsidRPr="00A33540">
        <w:rPr>
          <w:sz w:val="24"/>
          <w:szCs w:val="24"/>
        </w:rPr>
        <w:t>In all sentences for child pornography priority must be given to the retributive objectives of denunciation and deterrence.</w:t>
      </w:r>
    </w:p>
    <w:p w14:paraId="1F2041C7" w14:textId="77777777" w:rsidR="00F72CE5" w:rsidRPr="00A33540" w:rsidRDefault="00F72CE5" w:rsidP="00F72CE5">
      <w:pPr>
        <w:pStyle w:val="Citationenretrait"/>
        <w:spacing w:before="100" w:after="100" w:line="240" w:lineRule="auto"/>
        <w:rPr>
          <w:sz w:val="24"/>
          <w:szCs w:val="24"/>
        </w:rPr>
      </w:pPr>
      <w:r w:rsidRPr="00A33540">
        <w:rPr>
          <w:sz w:val="24"/>
          <w:szCs w:val="24"/>
        </w:rPr>
        <w:t>The priority of denunciation and deterrence does not exclude due consideration of restorative objectives, notably rehabilitation and reintegration of the offender in the community.</w:t>
      </w:r>
    </w:p>
    <w:p w14:paraId="33881F8C" w14:textId="77777777" w:rsidR="00F72CE5" w:rsidRPr="00A33540" w:rsidRDefault="00F72CE5" w:rsidP="00F72CE5">
      <w:pPr>
        <w:pStyle w:val="Citationenretrait"/>
        <w:spacing w:before="100" w:after="100" w:line="240" w:lineRule="auto"/>
        <w:rPr>
          <w:sz w:val="24"/>
          <w:szCs w:val="24"/>
        </w:rPr>
      </w:pPr>
      <w:r w:rsidRPr="00A33540">
        <w:rPr>
          <w:sz w:val="24"/>
          <w:szCs w:val="24"/>
        </w:rPr>
        <w:lastRenderedPageBreak/>
        <w:t>A deprivation of liberty is the norm to underscore the priority of denunciation and deterrence.</w:t>
      </w:r>
    </w:p>
    <w:p w14:paraId="082F16CE" w14:textId="77777777" w:rsidR="00F72CE5" w:rsidRPr="00A33540" w:rsidRDefault="00F72CE5" w:rsidP="00F72CE5">
      <w:pPr>
        <w:pStyle w:val="Citationenretrait"/>
        <w:spacing w:before="100" w:after="100" w:line="240" w:lineRule="auto"/>
        <w:rPr>
          <w:sz w:val="24"/>
          <w:szCs w:val="24"/>
        </w:rPr>
      </w:pPr>
      <w:r w:rsidRPr="00A33540">
        <w:rPr>
          <w:sz w:val="24"/>
          <w:szCs w:val="24"/>
        </w:rPr>
        <w:t xml:space="preserve">The norm is a term of continuous incarceration in a correctional </w:t>
      </w:r>
      <w:proofErr w:type="gramStart"/>
      <w:r w:rsidRPr="00A33540">
        <w:rPr>
          <w:sz w:val="24"/>
          <w:szCs w:val="24"/>
        </w:rPr>
        <w:t>institution</w:t>
      </w:r>
      <w:proofErr w:type="gramEnd"/>
      <w:r w:rsidRPr="00A33540">
        <w:rPr>
          <w:sz w:val="24"/>
          <w:szCs w:val="24"/>
        </w:rPr>
        <w:t xml:space="preserve"> but it is not absolute.</w:t>
      </w:r>
    </w:p>
    <w:p w14:paraId="118A8141" w14:textId="77777777" w:rsidR="00F72CE5" w:rsidRPr="00A33540" w:rsidRDefault="00F72CE5" w:rsidP="00F72CE5">
      <w:pPr>
        <w:pStyle w:val="Citationenretrait"/>
        <w:spacing w:before="100" w:after="100" w:line="240" w:lineRule="auto"/>
        <w:rPr>
          <w:sz w:val="24"/>
          <w:szCs w:val="24"/>
        </w:rPr>
      </w:pPr>
      <w:r w:rsidRPr="00A33540">
        <w:rPr>
          <w:sz w:val="24"/>
          <w:szCs w:val="24"/>
        </w:rPr>
        <w:t>Where restorative objectives justify a deviation from the norm, a deprivation of liberty in another form may be imposed if sufficient and compelling reasons are provided.</w:t>
      </w:r>
    </w:p>
    <w:p w14:paraId="098D58BC" w14:textId="77777777" w:rsidR="00F72CE5" w:rsidRPr="00A33540" w:rsidRDefault="00F72CE5" w:rsidP="00F72CE5">
      <w:pPr>
        <w:pStyle w:val="Citationenretrait"/>
        <w:spacing w:before="100" w:after="240" w:line="240" w:lineRule="auto"/>
        <w:rPr>
          <w:sz w:val="24"/>
          <w:szCs w:val="24"/>
        </w:rPr>
      </w:pPr>
      <w:r w:rsidRPr="00A33540">
        <w:rPr>
          <w:sz w:val="24"/>
          <w:szCs w:val="24"/>
        </w:rPr>
        <w:t>Any deviation from a deprivation of liberty is rare and must be justified by sufficient and compelling reasons.</w:t>
      </w:r>
    </w:p>
    <w:p w14:paraId="0E91C7AB" w14:textId="77777777" w:rsidR="00F72CE5" w:rsidRPr="00377607" w:rsidRDefault="00F72CE5" w:rsidP="00F72CE5">
      <w:pPr>
        <w:pStyle w:val="Paragraphe"/>
        <w:spacing w:line="240" w:lineRule="auto"/>
        <w:rPr>
          <w:rFonts w:cs="Arial"/>
          <w:szCs w:val="24"/>
        </w:rPr>
      </w:pPr>
      <w:r w:rsidRPr="00377607">
        <w:rPr>
          <w:rFonts w:cs="Arial"/>
          <w:szCs w:val="24"/>
        </w:rPr>
        <w:t xml:space="preserve">The offences committed by the respondent, although inherently serious, are not among those of the greatest gravity. There are points of comparison with the reasonably foreseeable scenario adopted for present purposes. The volume of material was relatively minor. The production involved instances of lifting from materials compiled by others and the range of distribution was narrow. The offences were sustained over several days and then stopped.    </w:t>
      </w:r>
    </w:p>
    <w:p w14:paraId="09A59469" w14:textId="57290FE2" w:rsidR="00F72CE5" w:rsidRDefault="00F72CE5" w:rsidP="00F72CE5">
      <w:pPr>
        <w:pStyle w:val="Paragraphe"/>
        <w:spacing w:line="240" w:lineRule="auto"/>
        <w:rPr>
          <w:rFonts w:cs="Arial"/>
          <w:szCs w:val="24"/>
        </w:rPr>
      </w:pPr>
      <w:r w:rsidRPr="00377607">
        <w:rPr>
          <w:rFonts w:cs="Arial"/>
          <w:szCs w:val="24"/>
        </w:rPr>
        <w:t xml:space="preserve">Evidence of the respondent’s personal circumstances makes clear that the applicable sentences would suppress objectives that are favourable to her or to a reasonably foreseeable offender. Their effect on the respondent would exceed proportionality if due consideration </w:t>
      </w:r>
      <w:proofErr w:type="gramStart"/>
      <w:r w:rsidRPr="00377607">
        <w:rPr>
          <w:rFonts w:cs="Arial"/>
          <w:szCs w:val="24"/>
        </w:rPr>
        <w:t>is</w:t>
      </w:r>
      <w:proofErr w:type="gramEnd"/>
      <w:r w:rsidRPr="00377607">
        <w:rPr>
          <w:rFonts w:cs="Arial"/>
          <w:szCs w:val="24"/>
        </w:rPr>
        <w:t xml:space="preserve"> given not only to objectives of denunciation and deterrence but rehabilitation and reintegration into the community. Those sentences are disproportionate not only because they surpass what is fitting to achieve Parliament’s sentencing objectives but to the extent that they preclude reasonable alternatives in any reasonable scenario. These factors justify the conclusion that the mandatory sentences exceed any valid penological purpose and cannot be reconciled with the respect for human dignity that lies at the core of section 12. In sum, there is disproportionality in these minimum sentences because objectives of retributive justice cannot validly eclipse objectives of restorative justice in cases where a proportionate sentence would be less severe than the minimum.</w:t>
      </w:r>
    </w:p>
    <w:p w14:paraId="303B36D8" w14:textId="77777777" w:rsidR="00F72CE5" w:rsidRPr="00377607" w:rsidRDefault="00F72CE5" w:rsidP="00F72CE5">
      <w:pPr>
        <w:pStyle w:val="Paragraphe"/>
        <w:spacing w:line="240" w:lineRule="auto"/>
        <w:rPr>
          <w:rFonts w:cs="Arial"/>
          <w:szCs w:val="24"/>
        </w:rPr>
      </w:pPr>
      <w:r w:rsidRPr="00377607">
        <w:rPr>
          <w:rFonts w:cs="Arial"/>
          <w:szCs w:val="24"/>
        </w:rPr>
        <w:t>I agree with the sentencing judge that this case calls for a loss of liberty to express denunciation and deterrence. I also agree that this case calls for an exemplary sanction without forsaking other objectives in the determination of a proportionate sentence. The respondent was actively involved in the commission of all three offences. She was fully aware of what she was doing and intended to do it, although she later expressed her regret and remorse. The material consisted of about twenty photographs derived from internet sites and text of her own making. She distributed that material to one person over a period of about ten days. These factors remove the respondent’s case from the range of the most serious cases of child pornography but only a more severe sentence will meet the requirements of proportionality in this instance.</w:t>
      </w:r>
    </w:p>
    <w:p w14:paraId="6AB3C6DF" w14:textId="77777777" w:rsidR="00F72CE5" w:rsidRPr="00F55D99" w:rsidRDefault="00F72CE5" w:rsidP="00F72CE5">
      <w:pPr>
        <w:pStyle w:val="Paragraphe"/>
        <w:spacing w:line="240" w:lineRule="auto"/>
        <w:rPr>
          <w:rFonts w:cs="Arial"/>
          <w:szCs w:val="24"/>
        </w:rPr>
      </w:pPr>
      <w:r w:rsidRPr="00377607">
        <w:rPr>
          <w:rFonts w:cs="Arial"/>
          <w:szCs w:val="24"/>
        </w:rPr>
        <w:lastRenderedPageBreak/>
        <w:t xml:space="preserve">There is no indication that the respondent poses a present or future danger to the community; there is strong evidence of rehabilitation and no risk of recidivism. Specific deterrence is not a relevant objective. The respondent has demonstrated a genuine awareness of her responsibility and has acknowledged the harm in her conduct. </w:t>
      </w:r>
      <w:r>
        <w:rPr>
          <w:rFonts w:cs="Arial"/>
          <w:szCs w:val="24"/>
        </w:rPr>
        <w:t>T</w:t>
      </w:r>
      <w:r w:rsidRPr="00377607">
        <w:rPr>
          <w:rFonts w:cs="Arial"/>
          <w:szCs w:val="24"/>
        </w:rPr>
        <w:t>he evidence before the Court provides a convincing reason to conclude that there is no compelling purpose to sentencing the respondent to a term of continuous imprisonment in a correctional institution.</w:t>
      </w:r>
      <w:r w:rsidRPr="00377607">
        <w:rPr>
          <w:rStyle w:val="Appelnotedebasdep"/>
          <w:rFonts w:cs="Arial"/>
          <w:szCs w:val="24"/>
        </w:rPr>
        <w:footnoteReference w:id="64"/>
      </w:r>
      <w:r w:rsidRPr="00377607">
        <w:rPr>
          <w:rFonts w:cs="Arial"/>
          <w:szCs w:val="24"/>
        </w:rPr>
        <w:t xml:space="preserve"> A conditional sentence is consistent with the purposes and principles of sentencing.  It will emphasise the retributive objectives of denunciation and </w:t>
      </w:r>
      <w:r w:rsidRPr="00F55D99">
        <w:rPr>
          <w:rFonts w:cs="Arial"/>
          <w:szCs w:val="24"/>
        </w:rPr>
        <w:t>deterrence with restraint</w:t>
      </w:r>
      <w:r w:rsidRPr="00F55D99">
        <w:rPr>
          <w:rStyle w:val="Appelnotedebasdep"/>
          <w:rFonts w:cs="Arial"/>
          <w:szCs w:val="24"/>
        </w:rPr>
        <w:footnoteReference w:id="65"/>
      </w:r>
      <w:r w:rsidRPr="00F55D99">
        <w:rPr>
          <w:rFonts w:cs="Arial"/>
          <w:szCs w:val="24"/>
        </w:rPr>
        <w:t xml:space="preserve"> and maximise the restorative objectives of rehabilitation. The terms of a conditional sentence can be refined to ensure maximal conformity of these objectives within a proportionate sanction. </w:t>
      </w:r>
    </w:p>
    <w:p w14:paraId="0DE14104" w14:textId="77777777" w:rsidR="00F72CE5" w:rsidRPr="00F55D99" w:rsidRDefault="00F72CE5" w:rsidP="00F72CE5">
      <w:pPr>
        <w:pStyle w:val="Paragraphe"/>
        <w:numPr>
          <w:ilvl w:val="0"/>
          <w:numId w:val="0"/>
        </w:numPr>
        <w:spacing w:before="240" w:after="240" w:line="240" w:lineRule="auto"/>
        <w:rPr>
          <w:rFonts w:cs="Arial"/>
          <w:b/>
          <w:bCs/>
          <w:szCs w:val="24"/>
        </w:rPr>
      </w:pPr>
      <w:r w:rsidRPr="00F55D99">
        <w:rPr>
          <w:rFonts w:cs="Arial"/>
          <w:b/>
          <w:bCs/>
          <w:szCs w:val="24"/>
        </w:rPr>
        <w:t>FOR THESE REASONS, I PROPOSE THE FOLLOWING CONCLUSIONS:</w:t>
      </w:r>
    </w:p>
    <w:p w14:paraId="1587EE6D" w14:textId="0C28ABF5" w:rsidR="00F72CE5" w:rsidRPr="00F55D99" w:rsidRDefault="00F72CE5" w:rsidP="00F72CE5">
      <w:pPr>
        <w:pStyle w:val="Paragraphe"/>
        <w:spacing w:line="240" w:lineRule="auto"/>
        <w:rPr>
          <w:rFonts w:cs="Arial"/>
          <w:szCs w:val="24"/>
        </w:rPr>
      </w:pPr>
      <w:r w:rsidRPr="00F55D99">
        <w:rPr>
          <w:rFonts w:cs="Arial"/>
          <w:b/>
          <w:bCs/>
          <w:szCs w:val="24"/>
        </w:rPr>
        <w:t>GRANT</w:t>
      </w:r>
      <w:r w:rsidRPr="00F55D99">
        <w:rPr>
          <w:rFonts w:cs="Arial"/>
          <w:szCs w:val="24"/>
        </w:rPr>
        <w:t xml:space="preserve"> the application for leave</w:t>
      </w:r>
      <w:r>
        <w:rPr>
          <w:rFonts w:cs="Arial"/>
          <w:szCs w:val="24"/>
        </w:rPr>
        <w:t xml:space="preserve"> to appeal and </w:t>
      </w:r>
      <w:r w:rsidRPr="00F00E06">
        <w:rPr>
          <w:rFonts w:cs="Arial"/>
          <w:b/>
          <w:bCs/>
          <w:szCs w:val="24"/>
        </w:rPr>
        <w:t>ALLOW</w:t>
      </w:r>
      <w:r>
        <w:rPr>
          <w:rFonts w:cs="Arial"/>
          <w:szCs w:val="24"/>
        </w:rPr>
        <w:t xml:space="preserve"> the AGQ,</w:t>
      </w:r>
      <w:r w:rsidRPr="00F55D99">
        <w:rPr>
          <w:rFonts w:cs="Arial"/>
          <w:szCs w:val="24"/>
        </w:rPr>
        <w:t xml:space="preserve"> as a party</w:t>
      </w:r>
      <w:r>
        <w:rPr>
          <w:rFonts w:cs="Arial"/>
          <w:szCs w:val="24"/>
        </w:rPr>
        <w:t>,</w:t>
      </w:r>
      <w:r w:rsidRPr="00F55D99">
        <w:rPr>
          <w:rFonts w:cs="Arial"/>
          <w:szCs w:val="24"/>
        </w:rPr>
        <w:t xml:space="preserve"> to make submissions on the constitutional validity of the mandatory minimum sentences for making and distributing child </w:t>
      </w:r>
      <w:proofErr w:type="gramStart"/>
      <w:r w:rsidRPr="00F55D99">
        <w:rPr>
          <w:rFonts w:cs="Arial"/>
          <w:szCs w:val="24"/>
        </w:rPr>
        <w:t>pornography;</w:t>
      </w:r>
      <w:proofErr w:type="gramEnd"/>
    </w:p>
    <w:p w14:paraId="1AD29960" w14:textId="78E50663" w:rsidR="00F72CE5" w:rsidRPr="00377607" w:rsidRDefault="00F72CE5" w:rsidP="00F72CE5">
      <w:pPr>
        <w:pStyle w:val="Paragraphe"/>
        <w:spacing w:line="240" w:lineRule="auto"/>
        <w:rPr>
          <w:rFonts w:cs="Arial"/>
          <w:szCs w:val="24"/>
        </w:rPr>
      </w:pPr>
      <w:r w:rsidRPr="00F55D99">
        <w:rPr>
          <w:rFonts w:cs="Arial"/>
          <w:b/>
          <w:bCs/>
          <w:szCs w:val="24"/>
        </w:rPr>
        <w:t>DISMISS</w:t>
      </w:r>
      <w:r w:rsidRPr="00377607">
        <w:rPr>
          <w:rFonts w:cs="Arial"/>
          <w:szCs w:val="24"/>
        </w:rPr>
        <w:t xml:space="preserve"> the appeal against the declaration of inoperability of the mandatory minimum sentences for making, distributing and possessing child </w:t>
      </w:r>
      <w:proofErr w:type="gramStart"/>
      <w:r w:rsidRPr="00377607">
        <w:rPr>
          <w:rFonts w:cs="Arial"/>
          <w:szCs w:val="24"/>
        </w:rPr>
        <w:t>pornography;</w:t>
      </w:r>
      <w:proofErr w:type="gramEnd"/>
    </w:p>
    <w:p w14:paraId="1C52C02F" w14:textId="0532FE54" w:rsidR="00F72CE5" w:rsidRPr="00377607" w:rsidRDefault="00F72CE5" w:rsidP="00F72CE5">
      <w:pPr>
        <w:pStyle w:val="Paragraphe"/>
        <w:spacing w:line="240" w:lineRule="auto"/>
        <w:rPr>
          <w:rFonts w:cs="Arial"/>
          <w:szCs w:val="24"/>
        </w:rPr>
      </w:pPr>
      <w:r w:rsidRPr="00377607">
        <w:rPr>
          <w:rFonts w:cs="Arial"/>
          <w:b/>
          <w:bCs/>
          <w:szCs w:val="24"/>
        </w:rPr>
        <w:t>DECLARE</w:t>
      </w:r>
      <w:r w:rsidRPr="00377607">
        <w:rPr>
          <w:rFonts w:cs="Arial"/>
          <w:szCs w:val="24"/>
        </w:rPr>
        <w:t xml:space="preserve"> invalid the mandatory minimum sentences for making and distributing child </w:t>
      </w:r>
      <w:proofErr w:type="gramStart"/>
      <w:r w:rsidRPr="00377607">
        <w:rPr>
          <w:rFonts w:cs="Arial"/>
          <w:szCs w:val="24"/>
        </w:rPr>
        <w:t>pornography;</w:t>
      </w:r>
      <w:proofErr w:type="gramEnd"/>
    </w:p>
    <w:p w14:paraId="2DA3896A" w14:textId="10538175" w:rsidR="00F72CE5" w:rsidRPr="00377607" w:rsidRDefault="00F72CE5" w:rsidP="00F72CE5">
      <w:pPr>
        <w:pStyle w:val="Paragraphe"/>
        <w:spacing w:line="240" w:lineRule="auto"/>
        <w:rPr>
          <w:rFonts w:cs="Arial"/>
          <w:szCs w:val="24"/>
        </w:rPr>
      </w:pPr>
      <w:r w:rsidRPr="00377607">
        <w:rPr>
          <w:rFonts w:cs="Arial"/>
          <w:b/>
          <w:bCs/>
          <w:szCs w:val="24"/>
        </w:rPr>
        <w:t>ALLOW</w:t>
      </w:r>
      <w:r w:rsidRPr="00377607">
        <w:rPr>
          <w:rFonts w:cs="Arial"/>
          <w:szCs w:val="24"/>
        </w:rPr>
        <w:t xml:space="preserve"> the appeal against the concurrent intermittent sentences of</w:t>
      </w:r>
      <w:r>
        <w:rPr>
          <w:rFonts w:cs="Arial"/>
          <w:szCs w:val="24"/>
        </w:rPr>
        <w:t xml:space="preserve"> three months</w:t>
      </w:r>
      <w:r w:rsidRPr="00377607">
        <w:rPr>
          <w:rFonts w:cs="Arial"/>
          <w:szCs w:val="24"/>
        </w:rPr>
        <w:t xml:space="preserve"> imposed by the Court of </w:t>
      </w:r>
      <w:proofErr w:type="gramStart"/>
      <w:r w:rsidRPr="00377607">
        <w:rPr>
          <w:rFonts w:cs="Arial"/>
          <w:szCs w:val="24"/>
        </w:rPr>
        <w:t>Quebec;</w:t>
      </w:r>
      <w:proofErr w:type="gramEnd"/>
    </w:p>
    <w:p w14:paraId="75DB8624" w14:textId="77777777" w:rsidR="00F72CE5" w:rsidRPr="00377607" w:rsidRDefault="00F72CE5" w:rsidP="00F72CE5">
      <w:pPr>
        <w:pStyle w:val="Paragraphe"/>
        <w:spacing w:line="240" w:lineRule="auto"/>
        <w:rPr>
          <w:rFonts w:cs="Arial"/>
          <w:szCs w:val="24"/>
        </w:rPr>
      </w:pPr>
      <w:r w:rsidRPr="00377607">
        <w:rPr>
          <w:rFonts w:cs="Arial"/>
          <w:b/>
          <w:bCs/>
          <w:szCs w:val="24"/>
        </w:rPr>
        <w:t xml:space="preserve">QUASH </w:t>
      </w:r>
      <w:r w:rsidRPr="00377607">
        <w:rPr>
          <w:rFonts w:cs="Arial"/>
          <w:szCs w:val="24"/>
        </w:rPr>
        <w:t xml:space="preserve">the concurrent intermittent sentences of </w:t>
      </w:r>
      <w:r>
        <w:rPr>
          <w:rFonts w:cs="Arial"/>
          <w:szCs w:val="24"/>
        </w:rPr>
        <w:t>three months</w:t>
      </w:r>
      <w:r w:rsidRPr="00377607">
        <w:rPr>
          <w:rFonts w:cs="Arial"/>
          <w:szCs w:val="24"/>
        </w:rPr>
        <w:t xml:space="preserve"> imposed by the Court of </w:t>
      </w:r>
      <w:proofErr w:type="gramStart"/>
      <w:r w:rsidRPr="00377607">
        <w:rPr>
          <w:rFonts w:cs="Arial"/>
          <w:szCs w:val="24"/>
        </w:rPr>
        <w:t>Quebec;</w:t>
      </w:r>
      <w:proofErr w:type="gramEnd"/>
    </w:p>
    <w:p w14:paraId="01B5FCBB" w14:textId="6E9A2E08" w:rsidR="00F72CE5" w:rsidRDefault="00F72CE5" w:rsidP="00F72CE5">
      <w:pPr>
        <w:pStyle w:val="Paragraphe"/>
        <w:spacing w:line="240" w:lineRule="auto"/>
        <w:rPr>
          <w:rFonts w:cs="Arial"/>
          <w:szCs w:val="24"/>
        </w:rPr>
      </w:pPr>
      <w:r w:rsidRPr="00377607">
        <w:rPr>
          <w:rFonts w:cs="Arial"/>
          <w:b/>
          <w:bCs/>
          <w:szCs w:val="24"/>
        </w:rPr>
        <w:t>SUBSTITUTE</w:t>
      </w:r>
      <w:r w:rsidRPr="00377607">
        <w:rPr>
          <w:rFonts w:cs="Arial"/>
          <w:szCs w:val="24"/>
        </w:rPr>
        <w:t xml:space="preserve"> concurrent conditional sentences of 12 months on the counts of making and distributing child pornography, and nine months on the count of possessing child pornography, which take into account the time already served under the sentences imposed by the Court of Quebec, and subject to the following conditions</w:t>
      </w:r>
      <w:r>
        <w:rPr>
          <w:rFonts w:cs="Arial"/>
          <w:szCs w:val="24"/>
        </w:rPr>
        <w:t>:</w:t>
      </w:r>
    </w:p>
    <w:p w14:paraId="3DAD49E8" w14:textId="77777777" w:rsidR="00F72CE5" w:rsidRDefault="00F72CE5" w:rsidP="0043736E">
      <w:pPr>
        <w:pStyle w:val="Paragraphe"/>
        <w:numPr>
          <w:ilvl w:val="0"/>
          <w:numId w:val="19"/>
        </w:numPr>
        <w:spacing w:line="240" w:lineRule="auto"/>
        <w:ind w:left="1094" w:hanging="357"/>
      </w:pPr>
      <w:r w:rsidRPr="00377607">
        <w:rPr>
          <w:b/>
          <w:bCs/>
        </w:rPr>
        <w:t>BE</w:t>
      </w:r>
      <w:r w:rsidRPr="00377607">
        <w:t xml:space="preserve"> physically present at all times in </w:t>
      </w:r>
      <w:r>
        <w:t>he</w:t>
      </w:r>
      <w:r w:rsidRPr="00377607">
        <w:t xml:space="preserve">r place of residence or that of </w:t>
      </w:r>
      <w:r>
        <w:t>he</w:t>
      </w:r>
      <w:r w:rsidRPr="00377607">
        <w:t xml:space="preserve">r children for the first nine months, with the following exceptions that include reasonable time for </w:t>
      </w:r>
      <w:proofErr w:type="gramStart"/>
      <w:r w:rsidRPr="00377607">
        <w:t>transportation;</w:t>
      </w:r>
      <w:proofErr w:type="gramEnd"/>
    </w:p>
    <w:p w14:paraId="3BF9170F" w14:textId="77777777" w:rsidR="00F72CE5" w:rsidRDefault="00F72CE5" w:rsidP="0043736E">
      <w:pPr>
        <w:pStyle w:val="Paragraphe"/>
        <w:numPr>
          <w:ilvl w:val="0"/>
          <w:numId w:val="19"/>
        </w:numPr>
        <w:spacing w:line="240" w:lineRule="auto"/>
        <w:ind w:left="1094" w:hanging="357"/>
      </w:pPr>
      <w:r w:rsidRPr="007617AB">
        <w:rPr>
          <w:b/>
          <w:bCs/>
        </w:rPr>
        <w:t xml:space="preserve">BE </w:t>
      </w:r>
      <w:r w:rsidRPr="007617AB">
        <w:t xml:space="preserve">physically present at all times in your place of residence or that of your children for the remaining three months at all times between 20 h and </w:t>
      </w:r>
      <w:proofErr w:type="gramStart"/>
      <w:r w:rsidRPr="007617AB">
        <w:t>06 h;</w:t>
      </w:r>
      <w:proofErr w:type="gramEnd"/>
    </w:p>
    <w:p w14:paraId="5DF679C2" w14:textId="77777777" w:rsidR="00F72CE5" w:rsidRPr="007617AB" w:rsidRDefault="00F72CE5" w:rsidP="0043736E">
      <w:pPr>
        <w:pStyle w:val="Paragraphe"/>
        <w:numPr>
          <w:ilvl w:val="0"/>
          <w:numId w:val="19"/>
        </w:numPr>
        <w:spacing w:line="240" w:lineRule="auto"/>
        <w:ind w:left="1094" w:hanging="357"/>
        <w:rPr>
          <w:rFonts w:cs="Arial"/>
          <w:szCs w:val="24"/>
        </w:rPr>
      </w:pPr>
      <w:r w:rsidRPr="007617AB">
        <w:rPr>
          <w:rFonts w:cs="Arial"/>
          <w:b/>
          <w:bCs/>
          <w:szCs w:val="24"/>
        </w:rPr>
        <w:lastRenderedPageBreak/>
        <w:t>EXCEPT</w:t>
      </w:r>
      <w:r>
        <w:rPr>
          <w:rFonts w:cs="Arial"/>
          <w:szCs w:val="24"/>
        </w:rPr>
        <w:t xml:space="preserve"> as otherwise authorised by a responsible probation </w:t>
      </w:r>
      <w:proofErr w:type="gramStart"/>
      <w:r>
        <w:rPr>
          <w:rFonts w:cs="Arial"/>
          <w:szCs w:val="24"/>
        </w:rPr>
        <w:t>officer;</w:t>
      </w:r>
      <w:proofErr w:type="gramEnd"/>
    </w:p>
    <w:p w14:paraId="53A9E31D" w14:textId="77777777" w:rsidR="00F72CE5" w:rsidRPr="00377607" w:rsidRDefault="00F72CE5" w:rsidP="0043736E">
      <w:pPr>
        <w:pStyle w:val="Paragraphe"/>
        <w:numPr>
          <w:ilvl w:val="0"/>
          <w:numId w:val="19"/>
        </w:numPr>
        <w:spacing w:line="240" w:lineRule="auto"/>
        <w:ind w:left="1094" w:hanging="357"/>
      </w:pPr>
      <w:r w:rsidRPr="00377607">
        <w:rPr>
          <w:b/>
          <w:bCs/>
        </w:rPr>
        <w:t>HAVE</w:t>
      </w:r>
      <w:r w:rsidRPr="00377607">
        <w:t xml:space="preserve"> in her physical possession a copy of the present conditions at all times when not inside her place of </w:t>
      </w:r>
      <w:proofErr w:type="gramStart"/>
      <w:r w:rsidRPr="00377607">
        <w:t>residence;</w:t>
      </w:r>
      <w:proofErr w:type="gramEnd"/>
    </w:p>
    <w:p w14:paraId="377AAEFF" w14:textId="77777777" w:rsidR="00F72CE5" w:rsidRPr="00377607" w:rsidRDefault="00F72CE5" w:rsidP="0043736E">
      <w:pPr>
        <w:pStyle w:val="Paragraphe"/>
        <w:numPr>
          <w:ilvl w:val="0"/>
          <w:numId w:val="19"/>
        </w:numPr>
        <w:spacing w:line="240" w:lineRule="auto"/>
        <w:ind w:left="1094" w:hanging="357"/>
      </w:pPr>
      <w:r w:rsidRPr="00377607">
        <w:rPr>
          <w:b/>
          <w:bCs/>
        </w:rPr>
        <w:t xml:space="preserve">COMPLY </w:t>
      </w:r>
      <w:r w:rsidRPr="00377607">
        <w:t xml:space="preserve">with all instructions of a responsible probation </w:t>
      </w:r>
      <w:proofErr w:type="gramStart"/>
      <w:r w:rsidRPr="00377607">
        <w:t>officer;</w:t>
      </w:r>
      <w:proofErr w:type="gramEnd"/>
    </w:p>
    <w:p w14:paraId="78982FD8" w14:textId="77777777" w:rsidR="00F72CE5" w:rsidRPr="00A33540" w:rsidRDefault="00F72CE5" w:rsidP="0043736E">
      <w:pPr>
        <w:pStyle w:val="Paragraphe"/>
        <w:numPr>
          <w:ilvl w:val="0"/>
          <w:numId w:val="19"/>
        </w:numPr>
        <w:spacing w:line="240" w:lineRule="auto"/>
        <w:ind w:left="1094" w:hanging="357"/>
        <w:rPr>
          <w:rFonts w:cs="Arial"/>
          <w:szCs w:val="24"/>
        </w:rPr>
      </w:pPr>
      <w:r w:rsidRPr="00377607">
        <w:rPr>
          <w:rFonts w:cs="Arial"/>
          <w:b/>
          <w:bCs/>
          <w:szCs w:val="24"/>
        </w:rPr>
        <w:t xml:space="preserve">REPORT </w:t>
      </w:r>
      <w:r w:rsidRPr="00377607">
        <w:rPr>
          <w:rFonts w:cs="Arial"/>
          <w:szCs w:val="24"/>
        </w:rPr>
        <w:t>to a responsible probation officer within 72 hours of this judgment.</w:t>
      </w:r>
    </w:p>
    <w:p w14:paraId="01706F0D" w14:textId="77777777" w:rsidR="00F72CE5" w:rsidRPr="00377607" w:rsidRDefault="00F72CE5" w:rsidP="0043736E">
      <w:pPr>
        <w:pStyle w:val="Paragraphe"/>
        <w:spacing w:before="240" w:after="360" w:line="240" w:lineRule="auto"/>
        <w:rPr>
          <w:rFonts w:cs="Arial"/>
          <w:szCs w:val="24"/>
        </w:rPr>
      </w:pPr>
      <w:r w:rsidRPr="00377607">
        <w:rPr>
          <w:rFonts w:cs="Arial"/>
          <w:b/>
          <w:bCs/>
          <w:szCs w:val="24"/>
        </w:rPr>
        <w:t xml:space="preserve">MAINTAIN </w:t>
      </w:r>
      <w:r w:rsidRPr="00FA6466">
        <w:rPr>
          <w:rFonts w:cs="Arial"/>
          <w:szCs w:val="24"/>
        </w:rPr>
        <w:t>the probationary orders made by the Court of Quebec</w:t>
      </w:r>
      <w:r>
        <w:rPr>
          <w:rFonts w:cs="Arial"/>
          <w:szCs w:val="24"/>
        </w:rPr>
        <w:t>.</w:t>
      </w:r>
    </w:p>
    <w:tbl>
      <w:tblPr>
        <w:tblW w:w="9360" w:type="dxa"/>
        <w:tblInd w:w="8" w:type="dxa"/>
        <w:tblLayout w:type="fixed"/>
        <w:tblCellMar>
          <w:left w:w="0" w:type="dxa"/>
          <w:right w:w="0" w:type="dxa"/>
        </w:tblCellMar>
        <w:tblLook w:val="0000" w:firstRow="0" w:lastRow="0" w:firstColumn="0" w:lastColumn="0" w:noHBand="0" w:noVBand="0"/>
      </w:tblPr>
      <w:tblGrid>
        <w:gridCol w:w="4735"/>
        <w:gridCol w:w="4625"/>
      </w:tblGrid>
      <w:tr w:rsidR="00F72CE5" w14:paraId="12BD4EC0" w14:textId="77777777" w:rsidTr="00E13C75">
        <w:trPr>
          <w:cantSplit/>
          <w:trHeight w:val="513"/>
        </w:trPr>
        <w:tc>
          <w:tcPr>
            <w:tcW w:w="9360" w:type="dxa"/>
            <w:gridSpan w:val="2"/>
          </w:tcPr>
          <w:p w14:paraId="516109AF" w14:textId="77777777" w:rsidR="00F72CE5" w:rsidRDefault="00F72CE5" w:rsidP="00E13C75"/>
        </w:tc>
      </w:tr>
      <w:tr w:rsidR="00F72CE5" w14:paraId="36F1A4C9" w14:textId="77777777" w:rsidTr="00E13C75">
        <w:trPr>
          <w:cantSplit/>
          <w:trHeight w:val="277"/>
        </w:trPr>
        <w:tc>
          <w:tcPr>
            <w:tcW w:w="4735" w:type="dxa"/>
            <w:vMerge w:val="restart"/>
          </w:tcPr>
          <w:p w14:paraId="0382E855" w14:textId="77777777" w:rsidR="00F72CE5" w:rsidRDefault="00F72CE5" w:rsidP="00E13C75"/>
        </w:tc>
        <w:tc>
          <w:tcPr>
            <w:tcW w:w="4625" w:type="dxa"/>
            <w:tcBorders>
              <w:bottom w:val="single" w:sz="8" w:space="0" w:color="auto"/>
            </w:tcBorders>
          </w:tcPr>
          <w:p w14:paraId="5017AA6B" w14:textId="77777777" w:rsidR="00F72CE5" w:rsidRDefault="00F72CE5" w:rsidP="00E13C75"/>
        </w:tc>
      </w:tr>
      <w:tr w:rsidR="00F72CE5" w14:paraId="7EE1F381" w14:textId="77777777" w:rsidTr="00E13C75">
        <w:trPr>
          <w:cantSplit/>
          <w:trHeight w:val="276"/>
        </w:trPr>
        <w:tc>
          <w:tcPr>
            <w:tcW w:w="4735" w:type="dxa"/>
            <w:vMerge/>
          </w:tcPr>
          <w:p w14:paraId="6F4B8BA8" w14:textId="77777777" w:rsidR="00F72CE5" w:rsidRDefault="00F72CE5" w:rsidP="00E13C75"/>
        </w:tc>
        <w:tc>
          <w:tcPr>
            <w:tcW w:w="4625" w:type="dxa"/>
          </w:tcPr>
          <w:p w14:paraId="4039A7AA" w14:textId="4A2DF779" w:rsidR="00F72CE5" w:rsidRDefault="00F72CE5" w:rsidP="00E13C75">
            <w:r>
              <w:fldChar w:fldCharType="begin"/>
            </w:r>
            <w:r>
              <w:instrText xml:space="preserve"> REF NomJuge2 </w:instrText>
            </w:r>
            <w:r>
              <w:fldChar w:fldCharType="separate"/>
            </w:r>
            <w:r w:rsidR="00F021AC">
              <w:t>PATRICK HEALY, J.A.</w:t>
            </w:r>
            <w:r>
              <w:fldChar w:fldCharType="end"/>
            </w:r>
          </w:p>
        </w:tc>
      </w:tr>
      <w:bookmarkEnd w:id="12"/>
    </w:tbl>
    <w:p w14:paraId="61CFAFBA" w14:textId="77777777" w:rsidR="00AE0960" w:rsidRDefault="00AE0960" w:rsidP="00AE0960">
      <w:pPr>
        <w:sectPr w:rsidR="00AE0960" w:rsidSect="00AE0960">
          <w:headerReference w:type="even" r:id="rId11"/>
          <w:headerReference w:type="default" r:id="rId12"/>
          <w:footerReference w:type="even" r:id="rId13"/>
          <w:footerReference w:type="default" r:id="rId14"/>
          <w:headerReference w:type="first" r:id="rId15"/>
          <w:footerReference w:type="first" r:id="rId16"/>
          <w:pgSz w:w="12242" w:h="15842" w:code="1"/>
          <w:pgMar w:top="1440" w:right="1008" w:bottom="1440" w:left="1872" w:header="1440" w:footer="792" w:gutter="0"/>
          <w:cols w:space="720"/>
          <w:formProt w:val="0"/>
          <w:docGrid w:linePitch="326"/>
        </w:sectPr>
      </w:pPr>
    </w:p>
    <w:tbl>
      <w:tblPr>
        <w:tblW w:w="9360" w:type="dxa"/>
        <w:tblInd w:w="8" w:type="dxa"/>
        <w:tblLayout w:type="fixed"/>
        <w:tblCellMar>
          <w:left w:w="0" w:type="dxa"/>
          <w:right w:w="0" w:type="dxa"/>
        </w:tblCellMar>
        <w:tblLook w:val="0000" w:firstRow="0" w:lastRow="0" w:firstColumn="0" w:lastColumn="0" w:noHBand="0" w:noVBand="0"/>
      </w:tblPr>
      <w:tblGrid>
        <w:gridCol w:w="9360"/>
      </w:tblGrid>
      <w:tr w:rsidR="00AE0960" w14:paraId="35785D0C" w14:textId="77777777" w:rsidTr="00E13C75">
        <w:tc>
          <w:tcPr>
            <w:tcW w:w="9360" w:type="dxa"/>
            <w:tcBorders>
              <w:bottom w:val="single" w:sz="8" w:space="0" w:color="auto"/>
            </w:tcBorders>
          </w:tcPr>
          <w:p w14:paraId="38D744D4" w14:textId="77777777" w:rsidR="00AE0960" w:rsidRDefault="00AE0960" w:rsidP="00E13C75"/>
        </w:tc>
      </w:tr>
      <w:tr w:rsidR="00AE0960" w14:paraId="54468AF4" w14:textId="77777777" w:rsidTr="00E13C75">
        <w:tc>
          <w:tcPr>
            <w:tcW w:w="9360" w:type="dxa"/>
            <w:tcBorders>
              <w:top w:val="single" w:sz="8" w:space="0" w:color="auto"/>
            </w:tcBorders>
          </w:tcPr>
          <w:p w14:paraId="65965BA4" w14:textId="77777777" w:rsidR="00AE0960" w:rsidRDefault="00AE0960" w:rsidP="00E13C75"/>
        </w:tc>
      </w:tr>
      <w:bookmarkStart w:id="18" w:name="MotifJuge3"/>
      <w:tr w:rsidR="00AE0960" w14:paraId="07387AAE" w14:textId="77777777" w:rsidTr="00E13C75">
        <w:tc>
          <w:tcPr>
            <w:tcW w:w="9360" w:type="dxa"/>
          </w:tcPr>
          <w:p w14:paraId="314D8D74" w14:textId="04144896" w:rsidR="00AE0960" w:rsidRDefault="00AE0960" w:rsidP="00E13C75">
            <w:pPr>
              <w:pStyle w:val="zSoquijlblOpinionJuge"/>
            </w:pPr>
            <w:r>
              <w:fldChar w:fldCharType="begin"/>
            </w:r>
            <w:r w:rsidRPr="006365CA">
              <w:instrText xml:space="preserve"> DOCVARIABLE MotifJuge3 </w:instrText>
            </w:r>
            <w:r>
              <w:fldChar w:fldCharType="separate"/>
            </w:r>
            <w:r w:rsidR="00F021AC">
              <w:t>REASONS OF</w:t>
            </w:r>
            <w:r>
              <w:fldChar w:fldCharType="end"/>
            </w:r>
            <w:bookmarkEnd w:id="18"/>
            <w:r w:rsidRPr="006365CA">
              <w:t xml:space="preserve"> </w:t>
            </w:r>
            <w:r>
              <w:fldChar w:fldCharType="begin"/>
            </w:r>
            <w:r w:rsidRPr="006365CA">
              <w:instrText xml:space="preserve"> DOCVARIABLE NomFamJuge3 </w:instrText>
            </w:r>
            <w:r>
              <w:fldChar w:fldCharType="separate"/>
            </w:r>
            <w:r w:rsidR="00F021AC">
              <w:t>WEITZMAN</w:t>
            </w:r>
            <w:r>
              <w:fldChar w:fldCharType="end"/>
            </w:r>
            <w:r>
              <w:fldChar w:fldCharType="begin"/>
            </w:r>
            <w:r>
              <w:instrText xml:space="preserve"> DOCVARIABLE QteJuge3 </w:instrText>
            </w:r>
            <w:r>
              <w:fldChar w:fldCharType="separate"/>
            </w:r>
            <w:r w:rsidR="00F021AC">
              <w:t>, J.A.</w:t>
            </w:r>
            <w:r>
              <w:fldChar w:fldCharType="end"/>
            </w:r>
          </w:p>
        </w:tc>
      </w:tr>
      <w:tr w:rsidR="00AE0960" w14:paraId="1AB224A4" w14:textId="77777777" w:rsidTr="00E13C75">
        <w:tc>
          <w:tcPr>
            <w:tcW w:w="9360" w:type="dxa"/>
            <w:tcBorders>
              <w:bottom w:val="single" w:sz="8" w:space="0" w:color="auto"/>
            </w:tcBorders>
          </w:tcPr>
          <w:p w14:paraId="1CC70907" w14:textId="77777777" w:rsidR="00AE0960" w:rsidRDefault="00AE0960" w:rsidP="00E13C75"/>
        </w:tc>
      </w:tr>
      <w:tr w:rsidR="00AE0960" w14:paraId="591CBCA9" w14:textId="77777777" w:rsidTr="00E13C75">
        <w:tc>
          <w:tcPr>
            <w:tcW w:w="9360" w:type="dxa"/>
            <w:tcBorders>
              <w:top w:val="single" w:sz="8" w:space="0" w:color="auto"/>
            </w:tcBorders>
          </w:tcPr>
          <w:p w14:paraId="3F346BEA" w14:textId="77777777" w:rsidR="00AE0960" w:rsidRDefault="00AE0960" w:rsidP="00E13C75"/>
        </w:tc>
      </w:tr>
    </w:tbl>
    <w:p w14:paraId="3E7E7244" w14:textId="77777777" w:rsidR="00AE0960" w:rsidRPr="00B256DB" w:rsidRDefault="00AE0960" w:rsidP="00AE0960">
      <w:pPr>
        <w:pStyle w:val="Paragraphe"/>
        <w:spacing w:before="240" w:line="240" w:lineRule="auto"/>
      </w:pPr>
      <w:r>
        <w:t xml:space="preserve">The </w:t>
      </w:r>
      <w:r w:rsidRPr="00C848CB">
        <w:t>issue</w:t>
      </w:r>
      <w:r w:rsidRPr="00427C2A">
        <w:t xml:space="preserve"> o</w:t>
      </w:r>
      <w:r>
        <w:t xml:space="preserve">f the Attorney General of Quebec (“AGQ”)’s right of appeal in this case is essentially moot, since no one is challenging their right </w:t>
      </w:r>
      <w:r w:rsidRPr="002F1391">
        <w:t>to</w:t>
      </w:r>
      <w:r>
        <w:t xml:space="preserve"> act as an impleaded party, to file a written argument and to set </w:t>
      </w:r>
      <w:r w:rsidRPr="00B256DB">
        <w:t xml:space="preserve">out observations on the constitutionality of the minimum sentences at issue here. </w:t>
      </w:r>
    </w:p>
    <w:p w14:paraId="13F27080" w14:textId="77777777" w:rsidR="00AE0960" w:rsidRPr="00AA09B9" w:rsidRDefault="00AE0960" w:rsidP="00AE0960">
      <w:pPr>
        <w:pStyle w:val="Paragraphe"/>
        <w:spacing w:line="240" w:lineRule="auto"/>
      </w:pPr>
      <w:r>
        <w:t>That being the case</w:t>
      </w:r>
      <w:r w:rsidRPr="00AA09B9">
        <w:t xml:space="preserve">, </w:t>
      </w:r>
      <w:r>
        <w:t>I respectfully disagree with Healy, J.A.’s analysis as regards the two questions raised by the AGQ’s application for leave to appeal. For clarity, I repeat the questions as phrased by Vauclair, J.A. in his judgment deferring them to the panel</w:t>
      </w:r>
      <w:r w:rsidRPr="00AA09B9">
        <w:t>:</w:t>
      </w:r>
    </w:p>
    <w:p w14:paraId="56D29127" w14:textId="77777777" w:rsidR="00AE0960" w:rsidRPr="001602E7" w:rsidRDefault="00AE0960" w:rsidP="00AE0960">
      <w:pPr>
        <w:pStyle w:val="Paragraphe"/>
        <w:numPr>
          <w:ilvl w:val="0"/>
          <w:numId w:val="0"/>
        </w:numPr>
        <w:spacing w:line="240" w:lineRule="auto"/>
        <w:ind w:left="709"/>
      </w:pPr>
      <w:r w:rsidRPr="001602E7">
        <w:t xml:space="preserve">1.  </w:t>
      </w:r>
      <w:r w:rsidRPr="002A0F91">
        <w:t xml:space="preserve">Does s. 676 </w:t>
      </w:r>
      <w:proofErr w:type="spellStart"/>
      <w:r w:rsidRPr="002A0F91">
        <w:rPr>
          <w:i/>
          <w:iCs/>
        </w:rPr>
        <w:t>Cr.C</w:t>
      </w:r>
      <w:proofErr w:type="spellEnd"/>
      <w:r w:rsidRPr="002A0F91">
        <w:rPr>
          <w:i/>
          <w:iCs/>
        </w:rPr>
        <w:t>.</w:t>
      </w:r>
      <w:r w:rsidRPr="002A0F91">
        <w:t xml:space="preserve"> grant a right of appeal to the Attorney General in an appeal undertaken by the DCPP? </w:t>
      </w:r>
      <w:r w:rsidRPr="00C21A85">
        <w:t>[</w:t>
      </w:r>
      <w:r w:rsidRPr="00C21A85">
        <w:rPr>
          <w:smallCaps/>
        </w:rPr>
        <w:t>translation</w:t>
      </w:r>
      <w:r w:rsidRPr="00C21A85">
        <w:t>]</w:t>
      </w:r>
    </w:p>
    <w:p w14:paraId="671756EA" w14:textId="77777777" w:rsidR="00AE0960" w:rsidRPr="002A0F91" w:rsidRDefault="00AE0960" w:rsidP="00AE0960">
      <w:pPr>
        <w:pStyle w:val="Paragraphe"/>
        <w:numPr>
          <w:ilvl w:val="0"/>
          <w:numId w:val="0"/>
        </w:numPr>
        <w:spacing w:line="240" w:lineRule="auto"/>
        <w:ind w:left="709"/>
      </w:pPr>
      <w:r w:rsidRPr="001602E7">
        <w:t>2</w:t>
      </w:r>
      <w:bookmarkStart w:id="19" w:name="_Hlk222677312"/>
      <w:r w:rsidRPr="001602E7">
        <w:t xml:space="preserve">.  </w:t>
      </w:r>
      <w:bookmarkEnd w:id="19"/>
      <w:r w:rsidRPr="002A0F91">
        <w:t xml:space="preserve">Does the </w:t>
      </w:r>
      <w:r w:rsidRPr="002A0F91">
        <w:rPr>
          <w:i/>
          <w:iCs/>
        </w:rPr>
        <w:t>Code of Civil Procedure</w:t>
      </w:r>
      <w:r w:rsidRPr="002A0F91">
        <w:t xml:space="preserve"> grant to the Attorney General a right of appeal on constitutional issues before this Court </w:t>
      </w:r>
      <w:proofErr w:type="gramStart"/>
      <w:r w:rsidRPr="002A0F91">
        <w:t>in the course of</w:t>
      </w:r>
      <w:proofErr w:type="gramEnd"/>
      <w:r w:rsidRPr="002A0F91">
        <w:t xml:space="preserve"> a criminal proceeding?</w:t>
      </w:r>
      <w:r w:rsidRPr="002A0F91">
        <w:rPr>
          <w:rStyle w:val="Appelnotedebasdep"/>
          <w:lang w:val="en-CA"/>
        </w:rPr>
        <w:footnoteReference w:id="66"/>
      </w:r>
      <w:r w:rsidRPr="002A0F91">
        <w:t xml:space="preserve"> </w:t>
      </w:r>
      <w:r w:rsidRPr="00C21A85">
        <w:t>[</w:t>
      </w:r>
      <w:r w:rsidRPr="00C21A85">
        <w:rPr>
          <w:smallCaps/>
        </w:rPr>
        <w:t>translation</w:t>
      </w:r>
      <w:r w:rsidRPr="00C21A85">
        <w:t>]</w:t>
      </w:r>
    </w:p>
    <w:p w14:paraId="056E2F5F" w14:textId="77777777" w:rsidR="00AE0960" w:rsidRPr="00AA09B9" w:rsidRDefault="00AE0960" w:rsidP="00AE0960">
      <w:pPr>
        <w:pStyle w:val="Paragraphe"/>
        <w:numPr>
          <w:ilvl w:val="0"/>
          <w:numId w:val="0"/>
        </w:numPr>
        <w:spacing w:line="240" w:lineRule="auto"/>
        <w:rPr>
          <w:u w:val="single"/>
        </w:rPr>
      </w:pPr>
      <w:r w:rsidRPr="005A7E5A">
        <w:t xml:space="preserve">1. </w:t>
      </w:r>
      <w:r>
        <w:rPr>
          <w:u w:val="single"/>
        </w:rPr>
        <w:t>Does s.</w:t>
      </w:r>
      <w:r w:rsidRPr="00AA09B9">
        <w:rPr>
          <w:u w:val="single"/>
        </w:rPr>
        <w:t xml:space="preserve"> 676 </w:t>
      </w:r>
      <w:proofErr w:type="spellStart"/>
      <w:r w:rsidRPr="00AA09B9">
        <w:rPr>
          <w:i/>
          <w:iCs/>
          <w:u w:val="single"/>
        </w:rPr>
        <w:t>C</w:t>
      </w:r>
      <w:r>
        <w:rPr>
          <w:i/>
          <w:iCs/>
          <w:u w:val="single"/>
        </w:rPr>
        <w:t>r</w:t>
      </w:r>
      <w:r w:rsidRPr="00AA09B9">
        <w:rPr>
          <w:i/>
          <w:iCs/>
          <w:u w:val="single"/>
        </w:rPr>
        <w:t>.</w:t>
      </w:r>
      <w:r>
        <w:rPr>
          <w:i/>
          <w:iCs/>
          <w:u w:val="single"/>
        </w:rPr>
        <w:t>C</w:t>
      </w:r>
      <w:proofErr w:type="spellEnd"/>
      <w:r w:rsidRPr="00AA09B9">
        <w:rPr>
          <w:i/>
          <w:iCs/>
          <w:u w:val="single"/>
        </w:rPr>
        <w:t>.</w:t>
      </w:r>
      <w:r w:rsidRPr="00AA09B9">
        <w:rPr>
          <w:u w:val="single"/>
        </w:rPr>
        <w:t xml:space="preserve"> </w:t>
      </w:r>
      <w:r w:rsidRPr="00B02340">
        <w:rPr>
          <w:u w:val="single"/>
        </w:rPr>
        <w:t>grant a right of appeal to the Attorney General in an appeal undertaken by the DCPP</w:t>
      </w:r>
      <w:r w:rsidRPr="00AA09B9">
        <w:rPr>
          <w:u w:val="single"/>
        </w:rPr>
        <w:t>?</w:t>
      </w:r>
    </w:p>
    <w:p w14:paraId="6F1BF340" w14:textId="77777777" w:rsidR="00AE0960" w:rsidRPr="00AA09B9" w:rsidRDefault="00AE0960" w:rsidP="00AE0960">
      <w:pPr>
        <w:pStyle w:val="Paragraphe"/>
        <w:spacing w:line="240" w:lineRule="auto"/>
      </w:pPr>
      <w:r>
        <w:t>Paragraph</w:t>
      </w:r>
      <w:r w:rsidRPr="00AA09B9">
        <w:t xml:space="preserve"> 676(1)</w:t>
      </w:r>
      <w:r>
        <w:t>(</w:t>
      </w:r>
      <w:r w:rsidRPr="00AA09B9">
        <w:t xml:space="preserve">d) </w:t>
      </w:r>
      <w:proofErr w:type="spellStart"/>
      <w:r w:rsidRPr="00AA09B9">
        <w:rPr>
          <w:i/>
          <w:iCs/>
        </w:rPr>
        <w:t>C</w:t>
      </w:r>
      <w:r>
        <w:rPr>
          <w:i/>
          <w:iCs/>
        </w:rPr>
        <w:t>r</w:t>
      </w:r>
      <w:r w:rsidRPr="00AA09B9">
        <w:rPr>
          <w:i/>
          <w:iCs/>
        </w:rPr>
        <w:t>.</w:t>
      </w:r>
      <w:r>
        <w:rPr>
          <w:i/>
          <w:iCs/>
        </w:rPr>
        <w:t>C</w:t>
      </w:r>
      <w:proofErr w:type="spellEnd"/>
      <w:r w:rsidRPr="00AA09B9">
        <w:rPr>
          <w:i/>
          <w:iCs/>
        </w:rPr>
        <w:t xml:space="preserve">. </w:t>
      </w:r>
      <w:r>
        <w:t>provides that “[t]</w:t>
      </w:r>
      <w:r w:rsidRPr="00342B99">
        <w:t xml:space="preserve">he Attorney General </w:t>
      </w:r>
      <w:r>
        <w:t>[…]</w:t>
      </w:r>
      <w:r w:rsidRPr="00342B99">
        <w:t xml:space="preserve"> may appeal to the court of appeal</w:t>
      </w:r>
      <w:r w:rsidRPr="00AA09B9">
        <w:t xml:space="preserve"> </w:t>
      </w:r>
      <w:r w:rsidRPr="00342B99">
        <w:t>with leave of the court of appeal or a judge thereof, against the sentence passed by a trial court in proceedings by indictment</w:t>
      </w:r>
      <w:r>
        <w:t xml:space="preserve"> […].”</w:t>
      </w:r>
      <w:r w:rsidRPr="00AA09B9">
        <w:t xml:space="preserve"> </w:t>
      </w:r>
      <w:r>
        <w:t>The</w:t>
      </w:r>
      <w:r w:rsidRPr="00AA09B9">
        <w:t xml:space="preserve"> </w:t>
      </w:r>
      <w:r>
        <w:t>“Attorney General”</w:t>
      </w:r>
      <w:r w:rsidRPr="00AA09B9">
        <w:t xml:space="preserve"> </w:t>
      </w:r>
      <w:r>
        <w:t>is defined generally in section</w:t>
      </w:r>
      <w:r w:rsidRPr="00AA09B9">
        <w:t xml:space="preserve"> 2 </w:t>
      </w:r>
      <w:proofErr w:type="spellStart"/>
      <w:r w:rsidRPr="00AA09B9">
        <w:rPr>
          <w:i/>
          <w:iCs/>
        </w:rPr>
        <w:t>C</w:t>
      </w:r>
      <w:r>
        <w:rPr>
          <w:i/>
          <w:iCs/>
        </w:rPr>
        <w:t>r</w:t>
      </w:r>
      <w:r w:rsidRPr="00AA09B9">
        <w:rPr>
          <w:i/>
          <w:iCs/>
        </w:rPr>
        <w:t>.</w:t>
      </w:r>
      <w:r>
        <w:rPr>
          <w:i/>
          <w:iCs/>
        </w:rPr>
        <w:t>C</w:t>
      </w:r>
      <w:proofErr w:type="spellEnd"/>
      <w:r w:rsidRPr="00AA09B9">
        <w:rPr>
          <w:i/>
          <w:iCs/>
        </w:rPr>
        <w:t xml:space="preserve">. </w:t>
      </w:r>
      <w:r>
        <w:t>as “</w:t>
      </w:r>
      <w:r w:rsidRPr="00342B99">
        <w:t xml:space="preserve">the Attorney General or Solicitor General of the province in which </w:t>
      </w:r>
      <w:r>
        <w:t>[</w:t>
      </w:r>
      <w:r w:rsidRPr="008829A3">
        <w:t xml:space="preserve">proceedings to which </w:t>
      </w:r>
      <w:r>
        <w:t xml:space="preserve">the </w:t>
      </w:r>
      <w:proofErr w:type="spellStart"/>
      <w:r w:rsidRPr="008829A3">
        <w:rPr>
          <w:i/>
          <w:iCs/>
        </w:rPr>
        <w:t>Cr.C</w:t>
      </w:r>
      <w:proofErr w:type="spellEnd"/>
      <w:r w:rsidRPr="008829A3">
        <w:rPr>
          <w:i/>
          <w:iCs/>
        </w:rPr>
        <w:t>.</w:t>
      </w:r>
      <w:r>
        <w:t xml:space="preserve"> </w:t>
      </w:r>
      <w:r w:rsidRPr="008829A3">
        <w:t>applies</w:t>
      </w:r>
      <w:r>
        <w:t>]</w:t>
      </w:r>
      <w:r w:rsidRPr="008829A3">
        <w:t xml:space="preserve"> </w:t>
      </w:r>
      <w:r w:rsidRPr="00342B99">
        <w:t>are taken and includes his or her lawful deputy</w:t>
      </w:r>
      <w:r>
        <w:t>.”</w:t>
      </w:r>
    </w:p>
    <w:p w14:paraId="1E4FD0BE" w14:textId="77777777" w:rsidR="00AE0960" w:rsidRPr="00AA09B9" w:rsidRDefault="00AE0960" w:rsidP="00AE0960">
      <w:pPr>
        <w:pStyle w:val="Paragraphe"/>
        <w:spacing w:line="240" w:lineRule="auto"/>
      </w:pPr>
      <w:r>
        <w:t>In Quebec</w:t>
      </w:r>
      <w:r w:rsidRPr="00AA09B9">
        <w:t xml:space="preserve">, </w:t>
      </w:r>
      <w:r>
        <w:t xml:space="preserve">pursuant to the </w:t>
      </w:r>
      <w:r w:rsidRPr="00874B1A">
        <w:rPr>
          <w:i/>
          <w:iCs/>
        </w:rPr>
        <w:t>Act respecting the Director of Criminal and Penal Prosecutions</w:t>
      </w:r>
      <w:r w:rsidRPr="00AA09B9">
        <w:t xml:space="preserve"> (</w:t>
      </w:r>
      <w:r>
        <w:t>“</w:t>
      </w:r>
      <w:r w:rsidRPr="00874B1A">
        <w:rPr>
          <w:i/>
          <w:iCs/>
        </w:rPr>
        <w:t>A</w:t>
      </w:r>
      <w:r>
        <w:rPr>
          <w:i/>
          <w:iCs/>
        </w:rPr>
        <w:t>DCPP”</w:t>
      </w:r>
      <w:r w:rsidRPr="00AA09B9">
        <w:t>)</w:t>
      </w:r>
      <w:r>
        <w:t>,</w:t>
      </w:r>
      <w:r w:rsidRPr="00AA09B9">
        <w:rPr>
          <w:rStyle w:val="Appelnotedebasdep"/>
          <w:lang w:val="en-CA"/>
        </w:rPr>
        <w:footnoteReference w:id="67"/>
      </w:r>
      <w:r w:rsidRPr="00AA09B9">
        <w:t xml:space="preserve"> </w:t>
      </w:r>
      <w:r>
        <w:t>the DCPP is “</w:t>
      </w:r>
      <w:r w:rsidRPr="00874B1A">
        <w:t xml:space="preserve">the lawful deputy of the Attorney General of Québec within the meaning of the </w:t>
      </w:r>
      <w:r w:rsidRPr="00874B1A">
        <w:rPr>
          <w:i/>
          <w:iCs/>
        </w:rPr>
        <w:t>Criminal Code</w:t>
      </w:r>
      <w:r>
        <w:t>.”</w:t>
      </w:r>
      <w:r w:rsidRPr="00AA09B9">
        <w:rPr>
          <w:rStyle w:val="Appelnotedebasdep"/>
          <w:lang w:val="en-CA"/>
        </w:rPr>
        <w:footnoteReference w:id="68"/>
      </w:r>
      <w:r w:rsidRPr="00AA09B9">
        <w:t xml:space="preserve"> </w:t>
      </w:r>
      <w:r>
        <w:t>Consequently</w:t>
      </w:r>
      <w:r w:rsidRPr="00AA09B9">
        <w:t xml:space="preserve">, </w:t>
      </w:r>
      <w:r>
        <w:t>the DCPP is the “Attorney General”</w:t>
      </w:r>
      <w:r w:rsidRPr="00AA09B9">
        <w:t xml:space="preserve"> </w:t>
      </w:r>
      <w:r>
        <w:t>within the meaning of s.</w:t>
      </w:r>
      <w:r w:rsidRPr="00AA09B9">
        <w:t xml:space="preserve"> 676(1)</w:t>
      </w:r>
      <w:r>
        <w:t>(</w:t>
      </w:r>
      <w:r w:rsidRPr="00AA09B9">
        <w:t xml:space="preserve">d) </w:t>
      </w:r>
      <w:proofErr w:type="spellStart"/>
      <w:r w:rsidRPr="00AA09B9">
        <w:rPr>
          <w:i/>
          <w:iCs/>
        </w:rPr>
        <w:t>C</w:t>
      </w:r>
      <w:r>
        <w:rPr>
          <w:i/>
          <w:iCs/>
        </w:rPr>
        <w:t>r</w:t>
      </w:r>
      <w:r w:rsidRPr="00AA09B9">
        <w:rPr>
          <w:i/>
          <w:iCs/>
        </w:rPr>
        <w:t>.</w:t>
      </w:r>
      <w:r>
        <w:rPr>
          <w:i/>
          <w:iCs/>
        </w:rPr>
        <w:t>C</w:t>
      </w:r>
      <w:proofErr w:type="spellEnd"/>
      <w:r w:rsidRPr="00AA09B9">
        <w:rPr>
          <w:i/>
          <w:iCs/>
        </w:rPr>
        <w:t xml:space="preserve">. </w:t>
      </w:r>
      <w:r>
        <w:t>and the DCPP may therefore</w:t>
      </w:r>
      <w:r w:rsidRPr="00AA09B9">
        <w:t xml:space="preserve"> </w:t>
      </w:r>
      <w:r>
        <w:t>exercise the right of appeal set forth in that provision</w:t>
      </w:r>
      <w:r w:rsidRPr="00AA09B9">
        <w:t xml:space="preserve">. </w:t>
      </w:r>
      <w:r>
        <w:t>Moreover, the</w:t>
      </w:r>
      <w:r w:rsidRPr="00AA09B9">
        <w:t xml:space="preserve"> </w:t>
      </w:r>
      <w:r>
        <w:rPr>
          <w:i/>
          <w:iCs/>
        </w:rPr>
        <w:t>ADCPP</w:t>
      </w:r>
      <w:r w:rsidRPr="00AA09B9">
        <w:rPr>
          <w:i/>
          <w:iCs/>
        </w:rPr>
        <w:t xml:space="preserve"> </w:t>
      </w:r>
      <w:r>
        <w:t>specifies</w:t>
      </w:r>
      <w:r w:rsidRPr="00AA09B9">
        <w:t xml:space="preserve"> </w:t>
      </w:r>
      <w:r>
        <w:t>that the</w:t>
      </w:r>
      <w:r w:rsidRPr="00AA09B9">
        <w:t xml:space="preserve"> </w:t>
      </w:r>
      <w:r>
        <w:t>DCPP</w:t>
      </w:r>
      <w:r w:rsidRPr="00AA09B9">
        <w:t xml:space="preserve"> </w:t>
      </w:r>
      <w:r>
        <w:t>can</w:t>
      </w:r>
      <w:r w:rsidRPr="00AA09B9">
        <w:t xml:space="preserve"> </w:t>
      </w:r>
      <w:r w:rsidRPr="001E5E84">
        <w:t>institut</w:t>
      </w:r>
      <w:r>
        <w:t>e</w:t>
      </w:r>
      <w:r w:rsidRPr="001E5E84">
        <w:t xml:space="preserve"> an appeal </w:t>
      </w:r>
      <w:r>
        <w:t>in the exercise of the DCPP’s functions</w:t>
      </w:r>
      <w:r w:rsidRPr="001E5E84">
        <w:t xml:space="preserve"> as prosecutor in proceedings under the </w:t>
      </w:r>
      <w:proofErr w:type="spellStart"/>
      <w:r w:rsidRPr="001E5E84">
        <w:rPr>
          <w:i/>
          <w:iCs/>
        </w:rPr>
        <w:t>Cr.C</w:t>
      </w:r>
      <w:proofErr w:type="spellEnd"/>
      <w:r w:rsidRPr="001E5E84">
        <w:rPr>
          <w:i/>
          <w:iCs/>
        </w:rPr>
        <w:t>.</w:t>
      </w:r>
      <w:r w:rsidRPr="00AA09B9">
        <w:rPr>
          <w:rStyle w:val="Appelnotedebasdep"/>
          <w:lang w:val="en-CA"/>
        </w:rPr>
        <w:footnoteReference w:id="69"/>
      </w:r>
    </w:p>
    <w:p w14:paraId="7707D17A" w14:textId="77777777" w:rsidR="00AE0960" w:rsidRPr="00AA09B9" w:rsidRDefault="00AE0960" w:rsidP="00AE0960">
      <w:pPr>
        <w:pStyle w:val="Paragraphe"/>
        <w:spacing w:line="240" w:lineRule="auto"/>
      </w:pPr>
      <w:r>
        <w:lastRenderedPageBreak/>
        <w:t>W</w:t>
      </w:r>
      <w:r w:rsidRPr="00631588">
        <w:t xml:space="preserve">hen </w:t>
      </w:r>
      <w:r>
        <w:t xml:space="preserve">a </w:t>
      </w:r>
      <w:r w:rsidRPr="00631588">
        <w:t xml:space="preserve">constitutional question </w:t>
      </w:r>
      <w:r>
        <w:t>is</w:t>
      </w:r>
      <w:r w:rsidRPr="00631588">
        <w:t xml:space="preserve"> raised </w:t>
      </w:r>
      <w:r>
        <w:t>in a case involving the DCPP,</w:t>
      </w:r>
      <w:r w:rsidRPr="00631588">
        <w:t xml:space="preserve"> </w:t>
      </w:r>
      <w:r w:rsidRPr="00A77C05">
        <w:t xml:space="preserve">the latter must ensure that the provisions of articles 76 to 78 of the </w:t>
      </w:r>
      <w:r w:rsidRPr="00A77C05">
        <w:rPr>
          <w:i/>
          <w:iCs/>
        </w:rPr>
        <w:t>C.C.P.</w:t>
      </w:r>
      <w:r w:rsidRPr="00A77C05">
        <w:t xml:space="preserve"> are respected</w:t>
      </w:r>
      <w:r w:rsidRPr="00631588">
        <w:t xml:space="preserve"> </w:t>
      </w:r>
      <w:r w:rsidRPr="00C2300C">
        <w:t xml:space="preserve">(s. 15 para. 1(3°) </w:t>
      </w:r>
      <w:bookmarkStart w:id="22" w:name="_Hlk226720813"/>
      <w:r w:rsidRPr="00C2300C">
        <w:rPr>
          <w:i/>
          <w:iCs/>
        </w:rPr>
        <w:t>ADCPP</w:t>
      </w:r>
      <w:bookmarkEnd w:id="22"/>
      <w:r w:rsidRPr="00C2300C">
        <w:t xml:space="preserve">). Pursuant to art. 76 </w:t>
      </w:r>
      <w:r w:rsidRPr="00C2300C">
        <w:rPr>
          <w:i/>
          <w:iCs/>
        </w:rPr>
        <w:t xml:space="preserve">C.C.P., </w:t>
      </w:r>
      <w:r w:rsidRPr="00C2300C">
        <w:t>a person intending to question the operability, the constitutionality</w:t>
      </w:r>
      <w:r w:rsidRPr="00B552D2">
        <w:t xml:space="preserve"> or the validity of a provision of an Act of the Parliament of Québec or the Parliament of Canada must give notice to the Attorney General of Québec. The AGQ thereupon “becomes a party to the proceeding without</w:t>
      </w:r>
      <w:r w:rsidRPr="002F6071">
        <w:t xml:space="preserve"> further formality and may submit conclusions to the court, in which case the court must rule on them</w:t>
      </w:r>
      <w:r>
        <w:t>”</w:t>
      </w:r>
      <w:r w:rsidRPr="00AA09B9">
        <w:t xml:space="preserve"> (art. 77 </w:t>
      </w:r>
      <w:r w:rsidRPr="00AA09B9">
        <w:rPr>
          <w:i/>
          <w:iCs/>
        </w:rPr>
        <w:t>C.</w:t>
      </w:r>
      <w:r>
        <w:rPr>
          <w:i/>
          <w:iCs/>
        </w:rPr>
        <w:t>C</w:t>
      </w:r>
      <w:r w:rsidRPr="00AA09B9">
        <w:rPr>
          <w:i/>
          <w:iCs/>
        </w:rPr>
        <w:t>.</w:t>
      </w:r>
      <w:r>
        <w:rPr>
          <w:i/>
          <w:iCs/>
        </w:rPr>
        <w:t>P</w:t>
      </w:r>
      <w:r w:rsidRPr="00AA09B9">
        <w:rPr>
          <w:i/>
          <w:iCs/>
        </w:rPr>
        <w:t>.</w:t>
      </w:r>
      <w:r w:rsidRPr="00AA09B9">
        <w:t>).</w:t>
      </w:r>
    </w:p>
    <w:p w14:paraId="01FC27F7" w14:textId="77777777" w:rsidR="00AE0960" w:rsidRPr="00AA09B9" w:rsidRDefault="00AE0960" w:rsidP="00AE0960">
      <w:pPr>
        <w:pStyle w:val="Paragraphe"/>
        <w:spacing w:line="240" w:lineRule="auto"/>
      </w:pPr>
      <w:r>
        <w:t>When intervening in criminal proceedings on the basis of articles</w:t>
      </w:r>
      <w:r w:rsidRPr="00AA09B9">
        <w:t xml:space="preserve"> 76 </w:t>
      </w:r>
      <w:r>
        <w:t>to</w:t>
      </w:r>
      <w:r w:rsidRPr="00AA09B9">
        <w:t xml:space="preserve"> 78</w:t>
      </w:r>
      <w:r>
        <w:t> </w:t>
      </w:r>
      <w:r w:rsidRPr="00AA09B9">
        <w:rPr>
          <w:i/>
          <w:iCs/>
        </w:rPr>
        <w:t>C.</w:t>
      </w:r>
      <w:r>
        <w:rPr>
          <w:i/>
          <w:iCs/>
        </w:rPr>
        <w:t>C.P</w:t>
      </w:r>
      <w:r w:rsidRPr="00AA09B9">
        <w:rPr>
          <w:i/>
          <w:iCs/>
        </w:rPr>
        <w:t>.</w:t>
      </w:r>
      <w:r w:rsidRPr="00AA09B9">
        <w:t xml:space="preserve">, </w:t>
      </w:r>
      <w:r>
        <w:t xml:space="preserve">the AGQ limits its </w:t>
      </w:r>
      <w:r w:rsidRPr="00850207">
        <w:t xml:space="preserve">submissions to constitutional questions, </w:t>
      </w:r>
      <w:bookmarkStart w:id="23" w:name="_Hlk222816677"/>
      <w:r w:rsidRPr="00850207">
        <w:t xml:space="preserve">in accordance with the </w:t>
      </w:r>
      <w:bookmarkStart w:id="24" w:name="_Hlk226720962"/>
      <w:r w:rsidRPr="00850207">
        <w:rPr>
          <w:i/>
          <w:iCs/>
        </w:rPr>
        <w:t>ADCPP</w:t>
      </w:r>
      <w:bookmarkEnd w:id="24"/>
      <w:r w:rsidRPr="00850207">
        <w:t xml:space="preserve">, </w:t>
      </w:r>
      <w:bookmarkEnd w:id="23"/>
      <w:r w:rsidRPr="00850207">
        <w:t>which</w:t>
      </w:r>
      <w:r>
        <w:t xml:space="preserve"> gives </w:t>
      </w:r>
      <w:r w:rsidRPr="00850207">
        <w:t xml:space="preserve">the DCPP </w:t>
      </w:r>
      <w:bookmarkStart w:id="25" w:name="_Hlk227230260"/>
      <w:r w:rsidRPr="00850207">
        <w:t>[</w:t>
      </w:r>
      <w:r w:rsidRPr="00850207">
        <w:rPr>
          <w:smallCaps/>
        </w:rPr>
        <w:t>translation</w:t>
      </w:r>
      <w:r w:rsidRPr="00850207">
        <w:t>]</w:t>
      </w:r>
      <w:bookmarkEnd w:id="25"/>
      <w:r w:rsidRPr="00850207">
        <w:t xml:space="preserve"> “genuine autonomy in its operations.”</w:t>
      </w:r>
      <w:r w:rsidRPr="00850207">
        <w:rPr>
          <w:rStyle w:val="Appelnotedebasdep"/>
          <w:lang w:val="en-CA"/>
        </w:rPr>
        <w:footnoteReference w:id="70"/>
      </w:r>
      <w:r w:rsidRPr="00850207">
        <w:t xml:space="preserve"> The </w:t>
      </w:r>
      <w:r w:rsidRPr="00850207">
        <w:rPr>
          <w:i/>
          <w:iCs/>
        </w:rPr>
        <w:t>ADCPP</w:t>
      </w:r>
      <w:r w:rsidRPr="00850207">
        <w:t>’s purpose is to [</w:t>
      </w:r>
      <w:r w:rsidRPr="00850207">
        <w:rPr>
          <w:smallCaps/>
        </w:rPr>
        <w:t>translation</w:t>
      </w:r>
      <w:r w:rsidRPr="00850207">
        <w:t>] “separate the prosecution service from the political sphere of government, thereby ensuring that</w:t>
      </w:r>
      <w:r>
        <w:t xml:space="preserve"> </w:t>
      </w:r>
      <w:r w:rsidRPr="00871372">
        <w:t>decisions taken by public prosecutors</w:t>
      </w:r>
      <w:r w:rsidRPr="00850207">
        <w:t xml:space="preserve"> are apolitical and, consequently, based solely on considerations of public policy and the proper administration of justice.”</w:t>
      </w:r>
      <w:r w:rsidRPr="00850207">
        <w:rPr>
          <w:rStyle w:val="Appelnotedebasdep"/>
          <w:lang w:val="en-CA"/>
        </w:rPr>
        <w:footnoteReference w:id="71"/>
      </w:r>
      <w:r w:rsidRPr="00850207">
        <w:t xml:space="preserve"> Moreover, pursuant to the </w:t>
      </w:r>
      <w:r w:rsidRPr="00850207">
        <w:rPr>
          <w:i/>
          <w:iCs/>
        </w:rPr>
        <w:t>ADCPP</w:t>
      </w:r>
      <w:r w:rsidRPr="00850207">
        <w:t xml:space="preserve">, the DCPP’s function is, </w:t>
      </w:r>
      <w:r w:rsidRPr="00850207">
        <w:rPr>
          <w:i/>
          <w:iCs/>
        </w:rPr>
        <w:t>inter alia</w:t>
      </w:r>
      <w:r w:rsidRPr="00850207">
        <w:t>, to institute an appeal if, in the DCPP’s</w:t>
      </w:r>
      <w:r w:rsidRPr="006220D0">
        <w:t xml:space="preserve"> opinion, it is required in the interests of justice</w:t>
      </w:r>
      <w:r>
        <w:t>.</w:t>
      </w:r>
      <w:r w:rsidRPr="00AA09B9">
        <w:rPr>
          <w:rStyle w:val="Appelnotedebasdep"/>
          <w:lang w:val="en-CA"/>
        </w:rPr>
        <w:footnoteReference w:id="72"/>
      </w:r>
    </w:p>
    <w:p w14:paraId="4195DEE9" w14:textId="77777777" w:rsidR="00AE0960" w:rsidRPr="00AA09B9" w:rsidRDefault="00AE0960" w:rsidP="00AE0960">
      <w:pPr>
        <w:pStyle w:val="Paragraphe"/>
        <w:spacing w:line="240" w:lineRule="auto"/>
        <w:rPr>
          <w:sz w:val="22"/>
          <w:szCs w:val="22"/>
        </w:rPr>
      </w:pPr>
      <w:r>
        <w:t xml:space="preserve">When the AGQ does not usurp the prosecutor’s role and limits their submissions to constitutional or public interest questions, their intervention respects </w:t>
      </w:r>
      <w:r w:rsidRPr="00850207">
        <w:t>[</w:t>
      </w:r>
      <w:r w:rsidRPr="00850207">
        <w:rPr>
          <w:smallCaps/>
        </w:rPr>
        <w:t>translation</w:t>
      </w:r>
      <w:r w:rsidRPr="00850207">
        <w:t>] “the requisite balance in criminal matters”</w:t>
      </w:r>
      <w:r w:rsidRPr="00850207">
        <w:rPr>
          <w:rStyle w:val="Appelnotedebasdep"/>
          <w:lang w:val="en-CA"/>
        </w:rPr>
        <w:footnoteReference w:id="73"/>
      </w:r>
      <w:r w:rsidRPr="00AA09B9">
        <w:t xml:space="preserve"> </w:t>
      </w:r>
      <w:r>
        <w:t xml:space="preserve">and the principle of fairness, </w:t>
      </w:r>
      <w:r w:rsidRPr="005B2138">
        <w:t>which requires that there can be only one prosecutor</w:t>
      </w:r>
      <w:r>
        <w:t>.</w:t>
      </w:r>
      <w:r w:rsidRPr="00AA09B9">
        <w:rPr>
          <w:rStyle w:val="Appelnotedebasdep"/>
          <w:lang w:val="en-CA"/>
        </w:rPr>
        <w:footnoteReference w:id="74"/>
      </w:r>
      <w:r w:rsidRPr="00AA09B9">
        <w:t xml:space="preserve"> </w:t>
      </w:r>
      <w:r>
        <w:t>The issue here is whether the AGQ can intervene as an “appellant”</w:t>
      </w:r>
      <w:r w:rsidRPr="00AA09B9">
        <w:t xml:space="preserve">, </w:t>
      </w:r>
      <w:r>
        <w:t>i.e., the status he claims in this appeal</w:t>
      </w:r>
      <w:r w:rsidRPr="00AA09B9">
        <w:t>.</w:t>
      </w:r>
    </w:p>
    <w:p w14:paraId="2D95629F" w14:textId="77777777" w:rsidR="00AE0960" w:rsidRPr="00064D88" w:rsidRDefault="00AE0960" w:rsidP="00AE0960">
      <w:pPr>
        <w:pStyle w:val="Paragraphe"/>
        <w:spacing w:line="240" w:lineRule="auto"/>
      </w:pPr>
      <w:r w:rsidRPr="00AA09B9">
        <w:t>Healy</w:t>
      </w:r>
      <w:r>
        <w:t>, J.A.</w:t>
      </w:r>
      <w:r w:rsidRPr="00AA09B9">
        <w:t xml:space="preserve"> </w:t>
      </w:r>
      <w:r>
        <w:t>agrees with the AGQ that s.</w:t>
      </w:r>
      <w:r w:rsidRPr="00AA09B9">
        <w:t xml:space="preserve"> 676(1)</w:t>
      </w:r>
      <w:r>
        <w:t>(</w:t>
      </w:r>
      <w:r w:rsidRPr="00AA09B9">
        <w:t xml:space="preserve">d) </w:t>
      </w:r>
      <w:proofErr w:type="spellStart"/>
      <w:r w:rsidRPr="00AA09B9">
        <w:rPr>
          <w:i/>
          <w:iCs/>
        </w:rPr>
        <w:t>C</w:t>
      </w:r>
      <w:r>
        <w:rPr>
          <w:i/>
          <w:iCs/>
        </w:rPr>
        <w:t>r</w:t>
      </w:r>
      <w:r w:rsidRPr="00AA09B9">
        <w:rPr>
          <w:i/>
          <w:iCs/>
        </w:rPr>
        <w:t>.</w:t>
      </w:r>
      <w:r>
        <w:rPr>
          <w:i/>
          <w:iCs/>
        </w:rPr>
        <w:t>C</w:t>
      </w:r>
      <w:proofErr w:type="spellEnd"/>
      <w:r w:rsidRPr="00AA09B9">
        <w:rPr>
          <w:i/>
          <w:iCs/>
        </w:rPr>
        <w:t>.</w:t>
      </w:r>
      <w:r w:rsidRPr="00AA09B9">
        <w:t xml:space="preserve"> </w:t>
      </w:r>
      <w:r>
        <w:t>allows for there to be two appellants</w:t>
      </w:r>
      <w:r w:rsidRPr="00AA09B9">
        <w:t xml:space="preserve">. </w:t>
      </w:r>
      <w:r>
        <w:t>According to the AGQ,</w:t>
      </w:r>
      <w:r w:rsidRPr="00AA09B9">
        <w:t xml:space="preserve"> </w:t>
      </w:r>
      <w:r>
        <w:t>this respects the separation that operates within the office of the Attorney General</w:t>
      </w:r>
      <w:r w:rsidRPr="00AA09B9">
        <w:t xml:space="preserve">: </w:t>
      </w:r>
      <w:r>
        <w:t>under the</w:t>
      </w:r>
      <w:r w:rsidRPr="00AA09B9">
        <w:t xml:space="preserve"> </w:t>
      </w:r>
      <w:r w:rsidRPr="003263CB">
        <w:rPr>
          <w:i/>
          <w:iCs/>
        </w:rPr>
        <w:t>ADCPP</w:t>
      </w:r>
      <w:r w:rsidRPr="00AA09B9">
        <w:t xml:space="preserve">, </w:t>
      </w:r>
      <w:r>
        <w:t>the</w:t>
      </w:r>
      <w:r w:rsidRPr="008736A6">
        <w:t xml:space="preserve"> </w:t>
      </w:r>
      <w:r>
        <w:t>DCPP</w:t>
      </w:r>
      <w:r w:rsidRPr="00AA09B9">
        <w:t xml:space="preserve"> </w:t>
      </w:r>
      <w:r>
        <w:t xml:space="preserve">is responsible </w:t>
      </w:r>
      <w:r w:rsidRPr="003E4D80">
        <w:t xml:space="preserve">for day-to-day matters relating </w:t>
      </w:r>
      <w:r>
        <w:t>to the guilt of the accused, whereas the AGQ is responsible for constitutional questions</w:t>
      </w:r>
      <w:r w:rsidRPr="00AA09B9">
        <w:t xml:space="preserve">. </w:t>
      </w:r>
      <w:r>
        <w:t>Respectfully</w:t>
      </w:r>
      <w:r w:rsidRPr="00AA09B9">
        <w:t xml:space="preserve">, </w:t>
      </w:r>
      <w:r>
        <w:t xml:space="preserve">I believe that the Act, as drafted, does not allow </w:t>
      </w:r>
      <w:r>
        <w:lastRenderedPageBreak/>
        <w:t>such an interpretation</w:t>
      </w:r>
      <w:r w:rsidRPr="00AA09B9">
        <w:t xml:space="preserve">. </w:t>
      </w:r>
      <w:r>
        <w:t>Pursuant to the</w:t>
      </w:r>
      <w:r w:rsidRPr="00AA09B9">
        <w:t xml:space="preserve"> </w:t>
      </w:r>
      <w:r>
        <w:rPr>
          <w:i/>
          <w:iCs/>
        </w:rPr>
        <w:t>ADCPP</w:t>
      </w:r>
      <w:r w:rsidRPr="00AA09B9">
        <w:t xml:space="preserve">, </w:t>
      </w:r>
      <w:r>
        <w:t xml:space="preserve">the DCPP </w:t>
      </w:r>
      <w:r w:rsidRPr="003D1E33">
        <w:t>is the lawful deputy of the</w:t>
      </w:r>
      <w:r>
        <w:t xml:space="preserve"> Attorney General</w:t>
      </w:r>
      <w:r w:rsidRPr="00AA09B9">
        <w:rPr>
          <w:rStyle w:val="Appelnotedebasdep"/>
          <w:lang w:val="en-CA"/>
        </w:rPr>
        <w:footnoteReference w:id="75"/>
      </w:r>
      <w:r>
        <w:t xml:space="preserve"> and their function, </w:t>
      </w:r>
      <w:r w:rsidRPr="006C3E7B">
        <w:rPr>
          <w:i/>
          <w:iCs/>
        </w:rPr>
        <w:t>inter alia</w:t>
      </w:r>
      <w:r>
        <w:t>, is to</w:t>
      </w:r>
      <w:r w:rsidRPr="003D1E33">
        <w:t xml:space="preserve"> act as prosecutor in proceedings under the </w:t>
      </w:r>
      <w:proofErr w:type="spellStart"/>
      <w:r w:rsidRPr="00AA09B9">
        <w:rPr>
          <w:i/>
          <w:iCs/>
        </w:rPr>
        <w:t>C</w:t>
      </w:r>
      <w:r>
        <w:rPr>
          <w:i/>
          <w:iCs/>
        </w:rPr>
        <w:t>r</w:t>
      </w:r>
      <w:r w:rsidRPr="00AA09B9">
        <w:rPr>
          <w:i/>
          <w:iCs/>
        </w:rPr>
        <w:t>.</w:t>
      </w:r>
      <w:r>
        <w:rPr>
          <w:i/>
          <w:iCs/>
        </w:rPr>
        <w:t>C</w:t>
      </w:r>
      <w:proofErr w:type="spellEnd"/>
      <w:r w:rsidRPr="00AA09B9">
        <w:rPr>
          <w:i/>
          <w:iCs/>
        </w:rPr>
        <w:t>.</w:t>
      </w:r>
      <w:r w:rsidRPr="00AA09B9">
        <w:rPr>
          <w:rStyle w:val="Appelnotedebasdep"/>
          <w:lang w:val="en-CA"/>
        </w:rPr>
        <w:footnoteReference w:id="76"/>
      </w:r>
      <w:r w:rsidRPr="00AA09B9">
        <w:rPr>
          <w:i/>
          <w:iCs/>
        </w:rPr>
        <w:t xml:space="preserve"> </w:t>
      </w:r>
      <w:r>
        <w:t>in addition to exercising</w:t>
      </w:r>
      <w:r w:rsidRPr="00AA09B9">
        <w:t xml:space="preserve"> </w:t>
      </w:r>
      <w:r>
        <w:t>“</w:t>
      </w:r>
      <w:r w:rsidRPr="003D1E33">
        <w:t xml:space="preserve">any other function appropriate to </w:t>
      </w:r>
      <w:r>
        <w:t>[the DCPP’s]</w:t>
      </w:r>
      <w:r w:rsidRPr="003D1E33">
        <w:t xml:space="preserve"> mission</w:t>
      </w:r>
      <w:r>
        <w:t>.”</w:t>
      </w:r>
      <w:r w:rsidRPr="00AA09B9">
        <w:rPr>
          <w:rStyle w:val="Appelnotedebasdep"/>
          <w:lang w:val="en-CA"/>
        </w:rPr>
        <w:footnoteReference w:id="77"/>
      </w:r>
      <w:r>
        <w:t xml:space="preserve"> Considering the very nature of criminal trials and the issues at stake therein, it cannot be argued that these functions exclude the responsibility and the authority to respond to constitutional questions</w:t>
      </w:r>
      <w:r w:rsidRPr="00AA09B9">
        <w:t xml:space="preserve">. </w:t>
      </w:r>
      <w:r>
        <w:t xml:space="preserve">The separation proposed by the AGQ does not </w:t>
      </w:r>
      <w:r w:rsidRPr="00064D88">
        <w:t xml:space="preserve">accord with the reality of criminal prosecutions. </w:t>
      </w:r>
    </w:p>
    <w:p w14:paraId="56F52D4D" w14:textId="77777777" w:rsidR="00AE0960" w:rsidRPr="00C848CB" w:rsidRDefault="00AE0960" w:rsidP="00AE0960">
      <w:pPr>
        <w:pStyle w:val="Paragraphe"/>
        <w:spacing w:line="240" w:lineRule="auto"/>
      </w:pPr>
      <w:r w:rsidRPr="00064D88">
        <w:t>Moreover, contrary to what the AGQ argues, the mere fact of having to send a notice to attorneys general when required to do so under art</w:t>
      </w:r>
      <w:r>
        <w:t>.</w:t>
      </w:r>
      <w:r w:rsidRPr="00064D88">
        <w:t xml:space="preserve"> 76 to 78 </w:t>
      </w:r>
      <w:r w:rsidRPr="00064D88">
        <w:rPr>
          <w:i/>
          <w:iCs/>
        </w:rPr>
        <w:t>C.C.P.</w:t>
      </w:r>
      <w:r w:rsidRPr="00064D88">
        <w:rPr>
          <w:rStyle w:val="Appelnotedebasdep"/>
          <w:lang w:val="en-CA"/>
        </w:rPr>
        <w:footnoteReference w:id="78"/>
      </w:r>
      <w:r w:rsidRPr="00064D88">
        <w:rPr>
          <w:i/>
          <w:iCs/>
        </w:rPr>
        <w:t xml:space="preserve"> </w:t>
      </w:r>
      <w:r w:rsidRPr="00064D88">
        <w:t xml:space="preserve">does not indicate </w:t>
      </w:r>
      <w:r>
        <w:t xml:space="preserve">a legislative intention </w:t>
      </w:r>
      <w:r w:rsidRPr="00064D88">
        <w:t>to deprive the DCPP of the ability to weigh in on constitutional questions raised in a criminal proceeding. In fact, pursuant to article 78</w:t>
      </w:r>
      <w:r w:rsidRPr="005E231E">
        <w:t> </w:t>
      </w:r>
      <w:r w:rsidRPr="00064D88">
        <w:t xml:space="preserve">para. 2 </w:t>
      </w:r>
      <w:r w:rsidRPr="00064D88">
        <w:rPr>
          <w:i/>
          <w:iCs/>
        </w:rPr>
        <w:t xml:space="preserve">C.C.P., </w:t>
      </w:r>
      <w:r w:rsidRPr="00064D88">
        <w:t xml:space="preserve">the notice requirement is not limited to cases where a law’s constitutionality is challenged, but also extends to those where a remedy for the violation of a right provided in the </w:t>
      </w:r>
      <w:r w:rsidRPr="00064D88">
        <w:rPr>
          <w:i/>
          <w:iCs/>
        </w:rPr>
        <w:t xml:space="preserve">Canadian Charter of Rights and Freedoms </w:t>
      </w:r>
      <w:r w:rsidRPr="00064D88">
        <w:t>(“</w:t>
      </w:r>
      <w:r w:rsidRPr="00064D88">
        <w:rPr>
          <w:i/>
          <w:iCs/>
        </w:rPr>
        <w:t>Charter</w:t>
      </w:r>
      <w:r w:rsidRPr="00064D88">
        <w:t>”) is sought (except in certain specific cases).</w:t>
      </w:r>
      <w:r w:rsidRPr="00064D88">
        <w:rPr>
          <w:rStyle w:val="Appelnotedebasdep"/>
          <w:lang w:val="en-CA"/>
        </w:rPr>
        <w:footnoteReference w:id="79"/>
      </w:r>
      <w:r w:rsidRPr="00064D88">
        <w:t xml:space="preserve"> Under the </w:t>
      </w:r>
      <w:r w:rsidRPr="00064D88">
        <w:rPr>
          <w:i/>
          <w:iCs/>
        </w:rPr>
        <w:t>C.C.P.</w:t>
      </w:r>
      <w:r w:rsidRPr="00064D88">
        <w:t>, applications for a stay of proceedings</w:t>
      </w:r>
      <w:r w:rsidRPr="00064D88">
        <w:rPr>
          <w:rStyle w:val="Appelnotedebasdep"/>
          <w:lang w:val="en-CA"/>
        </w:rPr>
        <w:footnoteReference w:id="80"/>
      </w:r>
      <w:r w:rsidRPr="00064D88">
        <w:t xml:space="preserve"> or for a sentence reduction because of a </w:t>
      </w:r>
      <w:r w:rsidRPr="00064D88">
        <w:rPr>
          <w:i/>
          <w:iCs/>
        </w:rPr>
        <w:t>Charter</w:t>
      </w:r>
      <w:r w:rsidRPr="00064D88">
        <w:t xml:space="preserve"> violation, for example,</w:t>
      </w:r>
      <w:r w:rsidRPr="00064D88">
        <w:rPr>
          <w:i/>
          <w:iCs/>
        </w:rPr>
        <w:t xml:space="preserve"> </w:t>
      </w:r>
      <w:r w:rsidRPr="00064D88">
        <w:t xml:space="preserve">are also subject to the obligation </w:t>
      </w:r>
      <w:r>
        <w:t>to</w:t>
      </w:r>
      <w:r w:rsidRPr="00064D88">
        <w:t xml:space="preserve"> notify the attorneys general – </w:t>
      </w:r>
      <w:r w:rsidRPr="00C848CB">
        <w:t>yet these are obvious</w:t>
      </w:r>
      <w:r>
        <w:t xml:space="preserve"> examples </w:t>
      </w:r>
      <w:r w:rsidRPr="00C848CB">
        <w:t>where the DCPP retains the authority over such matters.</w:t>
      </w:r>
    </w:p>
    <w:p w14:paraId="16D7BE03" w14:textId="77777777" w:rsidR="00AE0960" w:rsidRPr="00363517" w:rsidRDefault="00AE0960" w:rsidP="00AE0960">
      <w:pPr>
        <w:pStyle w:val="Paragraphe"/>
        <w:spacing w:line="240" w:lineRule="auto"/>
        <w:rPr>
          <w:rStyle w:val="subsection"/>
          <w:szCs w:val="24"/>
        </w:rPr>
      </w:pPr>
      <w:r>
        <w:t xml:space="preserve">In short, by virtue of the delegation of authority provided in the </w:t>
      </w:r>
      <w:bookmarkStart w:id="26" w:name="_Hlk222993935"/>
      <w:r w:rsidRPr="00487D08">
        <w:rPr>
          <w:i/>
          <w:iCs/>
        </w:rPr>
        <w:t>ADCPP</w:t>
      </w:r>
      <w:r w:rsidRPr="00AA09B9">
        <w:t xml:space="preserve">, </w:t>
      </w:r>
      <w:bookmarkEnd w:id="26"/>
      <w:r>
        <w:t>and in keeping with standard practice since the DCPP was created i</w:t>
      </w:r>
      <w:r w:rsidRPr="00AA09B9">
        <w:t xml:space="preserve">n 2007, </w:t>
      </w:r>
      <w:r>
        <w:t xml:space="preserve">it is the latter who deals with </w:t>
      </w:r>
      <w:proofErr w:type="gramStart"/>
      <w:r>
        <w:t xml:space="preserve">a </w:t>
      </w:r>
      <w:r w:rsidRPr="00C508AB">
        <w:t>number of</w:t>
      </w:r>
      <w:proofErr w:type="gramEnd"/>
      <w:r w:rsidRPr="00C508AB">
        <w:t xml:space="preserve"> constitutional questions raised in criminal proceedings. As for the AGQ’s involvement, they </w:t>
      </w:r>
      <w:proofErr w:type="gramStart"/>
      <w:r w:rsidRPr="00C508AB">
        <w:t>are able to</w:t>
      </w:r>
      <w:proofErr w:type="gramEnd"/>
      <w:r w:rsidRPr="00C508AB">
        <w:t xml:space="preserve"> take part in proceedings involving questions contemplated in articles 76 to 78 </w:t>
      </w:r>
      <w:r w:rsidRPr="00C508AB">
        <w:rPr>
          <w:i/>
          <w:iCs/>
        </w:rPr>
        <w:t>C.C.P.</w:t>
      </w:r>
      <w:r w:rsidRPr="00C508AB">
        <w:t xml:space="preserve">, although this does not confer upon them the status of prosecutor. </w:t>
      </w:r>
      <w:r>
        <w:t>Furthermore</w:t>
      </w:r>
      <w:r w:rsidRPr="00C508AB">
        <w:t>,</w:t>
      </w:r>
      <w:r>
        <w:t xml:space="preserve"> </w:t>
      </w:r>
      <w:r w:rsidRPr="00C508AB">
        <w:t>the AGQ’s authority to intervene is set out in s.</w:t>
      </w:r>
      <w:r>
        <w:t> </w:t>
      </w:r>
      <w:r w:rsidRPr="00C508AB">
        <w:t>24</w:t>
      </w:r>
      <w:r>
        <w:t> </w:t>
      </w:r>
      <w:r w:rsidRPr="00C508AB">
        <w:rPr>
          <w:i/>
          <w:iCs/>
        </w:rPr>
        <w:t>ADCPP</w:t>
      </w:r>
      <w:r w:rsidRPr="00C508AB">
        <w:t>, which provides that when, in</w:t>
      </w:r>
      <w:r w:rsidRPr="003214B0">
        <w:t xml:space="preserve"> </w:t>
      </w:r>
      <w:r>
        <w:t>his or her</w:t>
      </w:r>
      <w:r w:rsidRPr="003214B0">
        <w:t xml:space="preserve"> opinion, proceedings raise questions of public interest beyond the scope of those usually raised in criminal and penal </w:t>
      </w:r>
      <w:r w:rsidRPr="009E01CF">
        <w:t>prosecutions</w:t>
      </w:r>
      <w:r w:rsidRPr="009E01CF">
        <w:rPr>
          <w:rStyle w:val="subsection"/>
          <w:rFonts w:cs="Arial"/>
          <w:szCs w:val="24"/>
          <w:shd w:val="clear" w:color="auto" w:fill="FFFFFF"/>
        </w:rPr>
        <w:t xml:space="preserve">, “the Attorney General may, after notifying the Director, </w:t>
      </w:r>
      <w:r w:rsidRPr="009E01CF">
        <w:rPr>
          <w:rStyle w:val="subsection"/>
          <w:rFonts w:cs="Arial"/>
          <w:szCs w:val="24"/>
          <w:u w:val="single"/>
          <w:shd w:val="clear" w:color="auto" w:fill="FFFFFF"/>
        </w:rPr>
        <w:t>intervene</w:t>
      </w:r>
      <w:r w:rsidRPr="009E01CF">
        <w:rPr>
          <w:rStyle w:val="subsection"/>
          <w:rFonts w:cs="Arial"/>
          <w:szCs w:val="24"/>
          <w:shd w:val="clear" w:color="auto" w:fill="FFFFFF"/>
        </w:rPr>
        <w:t xml:space="preserve"> in first instance or in appeal without further formality.”</w:t>
      </w:r>
    </w:p>
    <w:p w14:paraId="6DA1472A" w14:textId="77777777" w:rsidR="00AE0960" w:rsidRPr="009E01CF" w:rsidRDefault="00AE0960" w:rsidP="005A7E5A">
      <w:pPr>
        <w:pStyle w:val="Paragraphe"/>
        <w:numPr>
          <w:ilvl w:val="0"/>
          <w:numId w:val="0"/>
        </w:numPr>
        <w:spacing w:before="0" w:line="240" w:lineRule="auto"/>
        <w:jc w:val="right"/>
        <w:rPr>
          <w:szCs w:val="24"/>
        </w:rPr>
      </w:pPr>
      <w:r>
        <w:rPr>
          <w:rStyle w:val="subsection"/>
          <w:rFonts w:cs="Arial"/>
          <w:szCs w:val="24"/>
          <w:shd w:val="clear" w:color="auto" w:fill="FFFFFF"/>
        </w:rPr>
        <w:t>[Emphasis added]</w:t>
      </w:r>
    </w:p>
    <w:p w14:paraId="5F33FA6F" w14:textId="77777777" w:rsidR="00AE0960" w:rsidRPr="00AA09B9" w:rsidRDefault="00AE0960" w:rsidP="00AE0960">
      <w:pPr>
        <w:pStyle w:val="Paragraphe"/>
        <w:spacing w:line="240" w:lineRule="auto"/>
      </w:pPr>
      <w:r>
        <w:t>Thus, in accordance with</w:t>
      </w:r>
      <w:r w:rsidRPr="00AA09B9">
        <w:t xml:space="preserve"> </w:t>
      </w:r>
      <w:r>
        <w:t>the</w:t>
      </w:r>
      <w:r w:rsidRPr="00AA09B9">
        <w:t xml:space="preserve"> </w:t>
      </w:r>
      <w:r w:rsidRPr="00C70D67">
        <w:rPr>
          <w:i/>
          <w:iCs/>
        </w:rPr>
        <w:t>ADCPP</w:t>
      </w:r>
      <w:r w:rsidRPr="00C70D67">
        <w:t>,</w:t>
      </w:r>
      <w:r w:rsidRPr="00C70D67">
        <w:rPr>
          <w:i/>
          <w:iCs/>
        </w:rPr>
        <w:t xml:space="preserve"> </w:t>
      </w:r>
      <w:r>
        <w:t>the AGQ</w:t>
      </w:r>
      <w:r w:rsidRPr="00AA09B9">
        <w:t xml:space="preserve"> </w:t>
      </w:r>
      <w:r>
        <w:t xml:space="preserve">may intervene on </w:t>
      </w:r>
      <w:r w:rsidRPr="00C70D67">
        <w:t>constitutional or public interest questions</w:t>
      </w:r>
      <w:r w:rsidRPr="00AA09B9">
        <w:t xml:space="preserve">, </w:t>
      </w:r>
      <w:r>
        <w:t>in first</w:t>
      </w:r>
      <w:r w:rsidRPr="00AA09B9">
        <w:t xml:space="preserve"> instance </w:t>
      </w:r>
      <w:r>
        <w:t xml:space="preserve">or in appeal. </w:t>
      </w:r>
      <w:r w:rsidRPr="00F54F0C">
        <w:t>In so doing, the AGQ does not take the prosecutor’s place in first instance and does not acquire appellant status in appeal.</w:t>
      </w:r>
      <w:r>
        <w:t xml:space="preserve"> </w:t>
      </w:r>
      <w:r>
        <w:lastRenderedPageBreak/>
        <w:t>Such an intervention</w:t>
      </w:r>
      <w:r w:rsidRPr="00F54F0C">
        <w:t xml:space="preserve"> </w:t>
      </w:r>
      <w:r>
        <w:t xml:space="preserve">does not encroach </w:t>
      </w:r>
      <w:r w:rsidRPr="00F54F0C">
        <w:t>upon the principal function of the DCPP, i.e., its “responsibility for criminal and penal prosecutions on His Majesty’s behalf”</w:t>
      </w:r>
      <w:r>
        <w:t>.</w:t>
      </w:r>
      <w:r>
        <w:rPr>
          <w:rStyle w:val="Appelnotedebasdep"/>
        </w:rPr>
        <w:footnoteReference w:id="81"/>
      </w:r>
      <w:r w:rsidRPr="00F54F0C">
        <w:t xml:space="preserve"> </w:t>
      </w:r>
    </w:p>
    <w:p w14:paraId="681B6EFB" w14:textId="77777777" w:rsidR="00AE0960" w:rsidRPr="00AA09B9" w:rsidRDefault="00AE0960" w:rsidP="00AE0960">
      <w:pPr>
        <w:pStyle w:val="Paragraphe"/>
        <w:spacing w:line="240" w:lineRule="auto"/>
      </w:pPr>
      <w:r>
        <w:t xml:space="preserve">In cases where the AGQ wishes to take charge of the matter or give instructions to the </w:t>
      </w:r>
      <w:r w:rsidRPr="00120FB9">
        <w:t>DCPP</w:t>
      </w:r>
      <w:r w:rsidRPr="00AA09B9">
        <w:t>,</w:t>
      </w:r>
      <w:r>
        <w:t xml:space="preserve"> they must follow the procedure set out in article</w:t>
      </w:r>
      <w:r w:rsidRPr="00AA09B9">
        <w:t xml:space="preserve"> 23 </w:t>
      </w:r>
      <w:r>
        <w:rPr>
          <w:i/>
          <w:iCs/>
        </w:rPr>
        <w:t>ADCPP</w:t>
      </w:r>
      <w:r w:rsidRPr="00AA09B9">
        <w:t xml:space="preserve">. </w:t>
      </w:r>
      <w:r>
        <w:t xml:space="preserve">Moreover, a basic principle of statutory interpretation provides that Parliament </w:t>
      </w:r>
      <w:r w:rsidRPr="00834676">
        <w:t>does not speak in vain</w:t>
      </w:r>
      <w:r>
        <w:t>, whereas accepting the proposition that the AGQ has a free-standing right of appeal would render superfluous the procedure provided in that article.</w:t>
      </w:r>
    </w:p>
    <w:p w14:paraId="7F7D7A48" w14:textId="77777777" w:rsidR="00AE0960" w:rsidRPr="00AA09B9" w:rsidRDefault="00AE0960" w:rsidP="00AE0960">
      <w:pPr>
        <w:pStyle w:val="Paragraphe"/>
        <w:spacing w:line="240" w:lineRule="auto"/>
      </w:pPr>
      <w:r>
        <w:t>I conclude that the rights of appeal granted to the Attorney General in s. </w:t>
      </w:r>
      <w:r w:rsidRPr="00AA09B9">
        <w:t>676(1)</w:t>
      </w:r>
      <w:r>
        <w:t> </w:t>
      </w:r>
      <w:proofErr w:type="spellStart"/>
      <w:r w:rsidRPr="00AA09B9">
        <w:rPr>
          <w:i/>
          <w:iCs/>
        </w:rPr>
        <w:t>C</w:t>
      </w:r>
      <w:r>
        <w:rPr>
          <w:i/>
          <w:iCs/>
        </w:rPr>
        <w:t>r</w:t>
      </w:r>
      <w:r w:rsidRPr="00AA09B9">
        <w:rPr>
          <w:i/>
          <w:iCs/>
        </w:rPr>
        <w:t>.</w:t>
      </w:r>
      <w:r>
        <w:rPr>
          <w:i/>
          <w:iCs/>
        </w:rPr>
        <w:t>C</w:t>
      </w:r>
      <w:proofErr w:type="spellEnd"/>
      <w:r w:rsidRPr="00AA09B9">
        <w:rPr>
          <w:i/>
          <w:iCs/>
        </w:rPr>
        <w:t>.</w:t>
      </w:r>
      <w:r>
        <w:t xml:space="preserve"> have been assigned to the</w:t>
      </w:r>
      <w:r w:rsidRPr="00AA09B9">
        <w:t xml:space="preserve"> </w:t>
      </w:r>
      <w:r>
        <w:t>DCPP</w:t>
      </w:r>
      <w:r w:rsidRPr="00AA09B9">
        <w:t xml:space="preserve">, </w:t>
      </w:r>
      <w:r>
        <w:t>his “</w:t>
      </w:r>
      <w:r w:rsidRPr="00CD228A">
        <w:t>lawful deputy</w:t>
      </w:r>
      <w:r>
        <w:t>”</w:t>
      </w:r>
      <w:r w:rsidRPr="00AA09B9">
        <w:t xml:space="preserve">. </w:t>
      </w:r>
      <w:r>
        <w:t xml:space="preserve">Where the AGQ nevertheless wishes to act as the </w:t>
      </w:r>
      <w:r w:rsidRPr="00450104">
        <w:t>appellant, rather than simply intervening in</w:t>
      </w:r>
      <w:r>
        <w:t xml:space="preserve"> appeal as an impleaded party, they may take charge of the matter in accordance with s.</w:t>
      </w:r>
      <w:r w:rsidRPr="00AA09B9">
        <w:t xml:space="preserve"> </w:t>
      </w:r>
      <w:bookmarkStart w:id="27" w:name="_Hlk223179634"/>
      <w:r w:rsidRPr="00AA09B9">
        <w:t xml:space="preserve">23 </w:t>
      </w:r>
      <w:r>
        <w:rPr>
          <w:i/>
          <w:iCs/>
        </w:rPr>
        <w:t>ADCPP</w:t>
      </w:r>
      <w:r w:rsidRPr="00AA09B9">
        <w:rPr>
          <w:i/>
          <w:iCs/>
        </w:rPr>
        <w:t xml:space="preserve">. </w:t>
      </w:r>
      <w:r w:rsidRPr="00AA09B9">
        <w:t xml:space="preserve"> </w:t>
      </w:r>
      <w:bookmarkEnd w:id="27"/>
    </w:p>
    <w:p w14:paraId="0BC919F7" w14:textId="77777777" w:rsidR="00AE0960" w:rsidRPr="00AA09B9" w:rsidRDefault="00AE0960" w:rsidP="00AE0960">
      <w:pPr>
        <w:pStyle w:val="Paragraphe"/>
        <w:numPr>
          <w:ilvl w:val="0"/>
          <w:numId w:val="0"/>
        </w:numPr>
        <w:spacing w:line="240" w:lineRule="auto"/>
        <w:rPr>
          <w:u w:val="single"/>
        </w:rPr>
      </w:pPr>
      <w:r w:rsidRPr="005A7E5A">
        <w:t xml:space="preserve">2. </w:t>
      </w:r>
      <w:r>
        <w:rPr>
          <w:u w:val="single"/>
        </w:rPr>
        <w:t>Does the</w:t>
      </w:r>
      <w:r w:rsidRPr="00AA09B9">
        <w:rPr>
          <w:u w:val="single"/>
        </w:rPr>
        <w:t xml:space="preserve"> </w:t>
      </w:r>
      <w:r w:rsidRPr="00AA09B9">
        <w:rPr>
          <w:i/>
          <w:iCs/>
          <w:u w:val="single"/>
        </w:rPr>
        <w:t xml:space="preserve">Code </w:t>
      </w:r>
      <w:r>
        <w:rPr>
          <w:i/>
          <w:iCs/>
          <w:u w:val="single"/>
        </w:rPr>
        <w:t>of Civil Procedure</w:t>
      </w:r>
      <w:r w:rsidRPr="00AA09B9">
        <w:rPr>
          <w:u w:val="single"/>
        </w:rPr>
        <w:t xml:space="preserve"> </w:t>
      </w:r>
      <w:r w:rsidRPr="00EA6E46">
        <w:rPr>
          <w:u w:val="single"/>
        </w:rPr>
        <w:t xml:space="preserve">grant to the Attorney General a right of appeal on constitutional issues before this Court </w:t>
      </w:r>
      <w:proofErr w:type="gramStart"/>
      <w:r w:rsidRPr="00EA6E46">
        <w:rPr>
          <w:u w:val="single"/>
        </w:rPr>
        <w:t>in the course of</w:t>
      </w:r>
      <w:proofErr w:type="gramEnd"/>
      <w:r w:rsidRPr="00EA6E46">
        <w:rPr>
          <w:u w:val="single"/>
        </w:rPr>
        <w:t xml:space="preserve"> a criminal proceeding</w:t>
      </w:r>
      <w:r w:rsidRPr="00AA09B9">
        <w:rPr>
          <w:u w:val="single"/>
        </w:rPr>
        <w:t>?</w:t>
      </w:r>
    </w:p>
    <w:p w14:paraId="3CF5CB4F" w14:textId="77777777" w:rsidR="00AE0960" w:rsidRPr="00AA09B9" w:rsidRDefault="00AE0960" w:rsidP="00AE0960">
      <w:pPr>
        <w:pStyle w:val="Paragraphe"/>
        <w:spacing w:line="240" w:lineRule="auto"/>
      </w:pPr>
      <w:r>
        <w:t>In civil matters</w:t>
      </w:r>
      <w:r w:rsidRPr="00AA09B9">
        <w:t xml:space="preserve">, </w:t>
      </w:r>
      <w:r>
        <w:t>“[t]</w:t>
      </w:r>
      <w:r w:rsidRPr="00A93C5F">
        <w:t>he right to appeal belongs to any party to the judgment in first instance having an interest in appealing, unless the party has waived that right</w:t>
      </w:r>
      <w:r>
        <w:t>”</w:t>
      </w:r>
      <w:r w:rsidRPr="00AA09B9">
        <w:t xml:space="preserve"> (art. 351 </w:t>
      </w:r>
      <w:r w:rsidRPr="00AA09B9">
        <w:rPr>
          <w:i/>
          <w:iCs/>
        </w:rPr>
        <w:t>C.</w:t>
      </w:r>
      <w:r>
        <w:rPr>
          <w:i/>
          <w:iCs/>
        </w:rPr>
        <w:t>C.P</w:t>
      </w:r>
      <w:r w:rsidRPr="00AA09B9">
        <w:rPr>
          <w:i/>
          <w:iCs/>
        </w:rPr>
        <w:t>.</w:t>
      </w:r>
      <w:r w:rsidRPr="00AA09B9">
        <w:t xml:space="preserve">). </w:t>
      </w:r>
      <w:r>
        <w:t>The AGQ thus submits,</w:t>
      </w:r>
      <w:r w:rsidRPr="00764CC5">
        <w:t xml:space="preserve"> </w:t>
      </w:r>
      <w:r>
        <w:t xml:space="preserve">in the alternative, that because he is a party to the impugned judgment in this case </w:t>
      </w:r>
      <w:r w:rsidRPr="001E40D9">
        <w:t>– even if</w:t>
      </w:r>
      <w:r>
        <w:t xml:space="preserve"> he delegated to the DCPP</w:t>
      </w:r>
      <w:r w:rsidRPr="00AA09B9">
        <w:t xml:space="preserve"> </w:t>
      </w:r>
      <w:r>
        <w:t xml:space="preserve">the right of appeal provided in s. </w:t>
      </w:r>
      <w:r w:rsidRPr="00AA09B9">
        <w:t>676(1)</w:t>
      </w:r>
      <w:r>
        <w:t>(</w:t>
      </w:r>
      <w:r w:rsidRPr="00AA09B9">
        <w:t xml:space="preserve">d) </w:t>
      </w:r>
      <w:proofErr w:type="spellStart"/>
      <w:r w:rsidRPr="001E40D9">
        <w:rPr>
          <w:i/>
          <w:iCs/>
        </w:rPr>
        <w:t>Cr.C</w:t>
      </w:r>
      <w:proofErr w:type="spellEnd"/>
      <w:r w:rsidRPr="001E40D9">
        <w:rPr>
          <w:i/>
          <w:iCs/>
        </w:rPr>
        <w:t>.</w:t>
      </w:r>
      <w:r w:rsidRPr="001E40D9">
        <w:t xml:space="preserve"> – the rules</w:t>
      </w:r>
      <w:r>
        <w:t xml:space="preserve"> of civil procedure allow him to appeal pursuant to art. </w:t>
      </w:r>
      <w:r w:rsidRPr="00AA09B9">
        <w:t xml:space="preserve">30 </w:t>
      </w:r>
      <w:r w:rsidRPr="00AA09B9">
        <w:rPr>
          <w:i/>
          <w:iCs/>
        </w:rPr>
        <w:t>C.</w:t>
      </w:r>
      <w:r>
        <w:rPr>
          <w:i/>
          <w:iCs/>
        </w:rPr>
        <w:t>C.P</w:t>
      </w:r>
      <w:r w:rsidRPr="00AA09B9">
        <w:rPr>
          <w:i/>
          <w:iCs/>
        </w:rPr>
        <w:t>.</w:t>
      </w:r>
      <w:r>
        <w:rPr>
          <w:i/>
          <w:iCs/>
        </w:rPr>
        <w:t xml:space="preserve"> </w:t>
      </w:r>
      <w:r w:rsidRPr="0016136D">
        <w:t xml:space="preserve">(which provides a right of appeal from a judgment that terminates a proceeding), or </w:t>
      </w:r>
      <w:r>
        <w:t>pursuant to art.</w:t>
      </w:r>
      <w:r w:rsidRPr="00AA09B9">
        <w:t xml:space="preserve"> 79 </w:t>
      </w:r>
      <w:r w:rsidRPr="00AA09B9">
        <w:rPr>
          <w:i/>
          <w:iCs/>
        </w:rPr>
        <w:t>C.</w:t>
      </w:r>
      <w:r>
        <w:rPr>
          <w:i/>
          <w:iCs/>
        </w:rPr>
        <w:t>C.P</w:t>
      </w:r>
      <w:r w:rsidRPr="00AA09B9">
        <w:rPr>
          <w:i/>
          <w:iCs/>
        </w:rPr>
        <w:t>.,</w:t>
      </w:r>
      <w:r w:rsidRPr="00AA09B9">
        <w:t xml:space="preserve"> </w:t>
      </w:r>
      <w:r>
        <w:t>which allows the AGQ</w:t>
      </w:r>
      <w:r w:rsidRPr="00AA09B9">
        <w:t xml:space="preserve"> « </w:t>
      </w:r>
      <w:r w:rsidRPr="0044359C">
        <w:t xml:space="preserve">on </w:t>
      </w:r>
      <w:r>
        <w:t>[their]</w:t>
      </w:r>
      <w:r w:rsidRPr="0044359C">
        <w:t xml:space="preserve"> own initiative</w:t>
      </w:r>
      <w:r>
        <w:t xml:space="preserve">, [to] </w:t>
      </w:r>
      <w:r w:rsidRPr="0044359C">
        <w:t>appeal any judgment on a public interest issue</w:t>
      </w:r>
      <w:r>
        <w:t>”</w:t>
      </w:r>
      <w:r w:rsidRPr="00AA09B9">
        <w:t>.</w:t>
      </w:r>
    </w:p>
    <w:p w14:paraId="3C85607A" w14:textId="77777777" w:rsidR="00AE0960" w:rsidRPr="00AA09B9" w:rsidRDefault="00AE0960" w:rsidP="00AE0960">
      <w:pPr>
        <w:pStyle w:val="Paragraphe"/>
        <w:spacing w:line="240" w:lineRule="auto"/>
      </w:pPr>
      <w:r>
        <w:t>This argument</w:t>
      </w:r>
      <w:r w:rsidRPr="008736A6">
        <w:t xml:space="preserve"> </w:t>
      </w:r>
      <w:r>
        <w:t>suffers</w:t>
      </w:r>
      <w:r w:rsidRPr="00261FB0">
        <w:t xml:space="preserve"> </w:t>
      </w:r>
      <w:r>
        <w:t>from a fatal flaw</w:t>
      </w:r>
      <w:r w:rsidRPr="00AA09B9">
        <w:t xml:space="preserve">: </w:t>
      </w:r>
      <w:r>
        <w:t>because this case involves a criminal appeal, under federal jurisdiction, it is not governed by the</w:t>
      </w:r>
      <w:r w:rsidRPr="00AA09B9">
        <w:t xml:space="preserve"> </w:t>
      </w:r>
      <w:r w:rsidRPr="00AA09B9">
        <w:rPr>
          <w:i/>
          <w:iCs/>
        </w:rPr>
        <w:t>C.</w:t>
      </w:r>
      <w:r>
        <w:rPr>
          <w:i/>
          <w:iCs/>
        </w:rPr>
        <w:t>C.P</w:t>
      </w:r>
      <w:r w:rsidRPr="00AA09B9">
        <w:rPr>
          <w:i/>
          <w:iCs/>
        </w:rPr>
        <w:t xml:space="preserve">., </w:t>
      </w:r>
      <w:r>
        <w:t>but rather by the</w:t>
      </w:r>
      <w:r w:rsidRPr="00AA09B9">
        <w:t xml:space="preserve"> </w:t>
      </w:r>
      <w:proofErr w:type="spellStart"/>
      <w:r w:rsidRPr="00AA09B9">
        <w:rPr>
          <w:i/>
          <w:iCs/>
        </w:rPr>
        <w:t>C</w:t>
      </w:r>
      <w:r>
        <w:rPr>
          <w:i/>
          <w:iCs/>
        </w:rPr>
        <w:t>r</w:t>
      </w:r>
      <w:r w:rsidRPr="00AA09B9">
        <w:rPr>
          <w:i/>
          <w:iCs/>
        </w:rPr>
        <w:t>.</w:t>
      </w:r>
      <w:r>
        <w:rPr>
          <w:i/>
          <w:iCs/>
        </w:rPr>
        <w:t>C</w:t>
      </w:r>
      <w:proofErr w:type="spellEnd"/>
      <w:r w:rsidRPr="00AA09B9">
        <w:t xml:space="preserve">., </w:t>
      </w:r>
      <w:r>
        <w:t xml:space="preserve">which provides, in s. </w:t>
      </w:r>
      <w:r w:rsidRPr="00AA09B9">
        <w:t xml:space="preserve">674, </w:t>
      </w:r>
      <w:r>
        <w:t>that “</w:t>
      </w:r>
      <w:r w:rsidRPr="00261FB0">
        <w:t>No proceedings other than those authorized by this Part and Part XXVI shall be taken by way of appeal in proceedings in respect of indictable offences</w:t>
      </w:r>
      <w:r>
        <w:t>”</w:t>
      </w:r>
      <w:r w:rsidRPr="00AA09B9">
        <w:t>.</w:t>
      </w:r>
    </w:p>
    <w:p w14:paraId="63D30CCC" w14:textId="77777777" w:rsidR="00AE0960" w:rsidRPr="00AA09B9" w:rsidDel="001C56A6" w:rsidRDefault="00AE0960" w:rsidP="00AE0960">
      <w:pPr>
        <w:pStyle w:val="Paragraphe"/>
        <w:spacing w:line="240" w:lineRule="auto"/>
        <w:rPr>
          <w:bCs/>
        </w:rPr>
      </w:pPr>
      <w:r>
        <w:t xml:space="preserve">The AGQ submits however that when a legal rule is challenged on constitutional grounds </w:t>
      </w:r>
      <w:proofErr w:type="gramStart"/>
      <w:r w:rsidRPr="0020114C">
        <w:rPr>
          <w:i/>
          <w:iCs/>
        </w:rPr>
        <w:t>in</w:t>
      </w:r>
      <w:r>
        <w:rPr>
          <w:i/>
          <w:iCs/>
        </w:rPr>
        <w:t xml:space="preserve"> the course of</w:t>
      </w:r>
      <w:proofErr w:type="gramEnd"/>
      <w:r>
        <w:t xml:space="preserve"> a criminal proceeding</w:t>
      </w:r>
      <w:r w:rsidRPr="00AA09B9" w:rsidDel="001C56A6">
        <w:t xml:space="preserve">, </w:t>
      </w:r>
      <w:r>
        <w:t>this raises two types of distinct proceedings, namely that related to the constitutional question and that related to the guilt or innocence of the accused</w:t>
      </w:r>
      <w:r w:rsidRPr="00AA09B9" w:rsidDel="001C56A6">
        <w:t xml:space="preserve">. </w:t>
      </w:r>
      <w:r>
        <w:t>Consequently, the AGQ argues that the distinct proceeding on the constitutional matter obeys its own rules and, being a public law proceeding in Quebec</w:t>
      </w:r>
      <w:r w:rsidRPr="00AA09B9" w:rsidDel="001C56A6">
        <w:t xml:space="preserve">, </w:t>
      </w:r>
      <w:r>
        <w:t>the</w:t>
      </w:r>
      <w:r w:rsidRPr="00AA09B9" w:rsidDel="001C56A6">
        <w:t xml:space="preserve"> </w:t>
      </w:r>
      <w:r w:rsidRPr="00AA09B9" w:rsidDel="001C56A6">
        <w:rPr>
          <w:i/>
          <w:iCs/>
        </w:rPr>
        <w:t>C.</w:t>
      </w:r>
      <w:r>
        <w:rPr>
          <w:i/>
          <w:iCs/>
        </w:rPr>
        <w:t>C.P</w:t>
      </w:r>
      <w:r w:rsidRPr="00AA09B9" w:rsidDel="001C56A6">
        <w:rPr>
          <w:i/>
          <w:iCs/>
        </w:rPr>
        <w:t>.</w:t>
      </w:r>
      <w:r w:rsidRPr="00AA09B9" w:rsidDel="001C56A6">
        <w:t xml:space="preserve"> </w:t>
      </w:r>
      <w:r>
        <w:t>applies</w:t>
      </w:r>
      <w:r w:rsidRPr="00AA09B9" w:rsidDel="001C56A6">
        <w:t xml:space="preserve">. </w:t>
      </w:r>
    </w:p>
    <w:p w14:paraId="329EDE34" w14:textId="77777777" w:rsidR="00AE0960" w:rsidRPr="00AA09B9" w:rsidRDefault="00AE0960" w:rsidP="00AE0960">
      <w:pPr>
        <w:pStyle w:val="Paragraphe"/>
        <w:spacing w:line="240" w:lineRule="auto"/>
      </w:pPr>
      <w:r>
        <w:lastRenderedPageBreak/>
        <w:t>The AGQ refers to decisions</w:t>
      </w:r>
      <w:r w:rsidRPr="00AA09B9">
        <w:t xml:space="preserve"> </w:t>
      </w:r>
      <w:r>
        <w:t>in which such a “dual proceedings” approach was adopted</w:t>
      </w:r>
      <w:r w:rsidRPr="00AA09B9">
        <w:t xml:space="preserve">, </w:t>
      </w:r>
      <w:r>
        <w:t>whereby rules of civil procedure can be applied to a question of a civil nature concerning a constitutional question raised in a criminal proceeding.</w:t>
      </w:r>
      <w:r w:rsidRPr="00AA09B9">
        <w:rPr>
          <w:rStyle w:val="Appelnotedebasdep"/>
          <w:lang w:val="en-CA"/>
        </w:rPr>
        <w:footnoteReference w:id="82"/>
      </w:r>
      <w:r w:rsidRPr="00AA09B9">
        <w:t xml:space="preserve"> </w:t>
      </w:r>
    </w:p>
    <w:p w14:paraId="13BF408B" w14:textId="77777777" w:rsidR="00AE0960" w:rsidRPr="001F4ECE" w:rsidRDefault="00AE0960" w:rsidP="00AE0960">
      <w:pPr>
        <w:pStyle w:val="Paragraphe"/>
        <w:spacing w:line="240" w:lineRule="auto"/>
      </w:pPr>
      <w:r>
        <w:t>In</w:t>
      </w:r>
      <w:r w:rsidRPr="00AA09B9">
        <w:t xml:space="preserve"> </w:t>
      </w:r>
      <w:r w:rsidRPr="00AA09B9">
        <w:rPr>
          <w:i/>
          <w:iCs/>
        </w:rPr>
        <w:t>Laba</w:t>
      </w:r>
      <w:r>
        <w:rPr>
          <w:i/>
          <w:iCs/>
        </w:rPr>
        <w:t>,</w:t>
      </w:r>
      <w:r w:rsidRPr="00AA09B9">
        <w:rPr>
          <w:rStyle w:val="Appelnotedebasdep"/>
          <w:lang w:val="en-CA"/>
        </w:rPr>
        <w:footnoteReference w:id="83"/>
      </w:r>
      <w:r w:rsidRPr="00AA09B9">
        <w:t xml:space="preserve"> </w:t>
      </w:r>
      <w:r>
        <w:t xml:space="preserve">the Supreme Court established </w:t>
      </w:r>
      <w:proofErr w:type="gramStart"/>
      <w:r>
        <w:t xml:space="preserve">this “dual </w:t>
      </w:r>
      <w:r w:rsidRPr="00AE26EC">
        <w:t>proceedings</w:t>
      </w:r>
      <w:r>
        <w:t>”</w:t>
      </w:r>
      <w:proofErr w:type="gramEnd"/>
      <w:r w:rsidRPr="00AA09B9">
        <w:t xml:space="preserve"> </w:t>
      </w:r>
      <w:r>
        <w:t>principle to ensure that a constitutional question of public interest could be brought before it under s. 40 of the</w:t>
      </w:r>
      <w:r w:rsidRPr="00AA09B9">
        <w:t xml:space="preserve"> </w:t>
      </w:r>
      <w:r>
        <w:rPr>
          <w:i/>
          <w:iCs/>
        </w:rPr>
        <w:t>Supreme Court Act</w:t>
      </w:r>
      <w:r w:rsidRPr="00AA09B9">
        <w:rPr>
          <w:i/>
          <w:iCs/>
        </w:rPr>
        <w:t xml:space="preserve"> </w:t>
      </w:r>
      <w:r w:rsidRPr="00AA09B9">
        <w:t>(</w:t>
      </w:r>
      <w:r>
        <w:t>“</w:t>
      </w:r>
      <w:r>
        <w:rPr>
          <w:i/>
          <w:iCs/>
        </w:rPr>
        <w:t>SCA”</w:t>
      </w:r>
      <w:r w:rsidRPr="00AA09B9">
        <w:t>)</w:t>
      </w:r>
      <w:r>
        <w:t>,</w:t>
      </w:r>
      <w:r w:rsidRPr="00AA09B9">
        <w:rPr>
          <w:rStyle w:val="Appelnotedebasdep"/>
          <w:lang w:val="en-CA"/>
        </w:rPr>
        <w:footnoteReference w:id="84"/>
      </w:r>
      <w:r w:rsidRPr="00AA09B9">
        <w:t xml:space="preserve"> </w:t>
      </w:r>
      <w:r>
        <w:t xml:space="preserve">even though the question was raised in a criminal </w:t>
      </w:r>
      <w:r w:rsidRPr="001F4ECE">
        <w:t>proceeding</w:t>
      </w:r>
      <w:r w:rsidRPr="001F4ECE">
        <w:rPr>
          <w:rStyle w:val="Appelnotedebasdep"/>
        </w:rPr>
        <w:footnoteReference w:id="85"/>
      </w:r>
      <w:r>
        <w:t>.</w:t>
      </w:r>
      <w:r w:rsidRPr="001F4ECE">
        <w:t xml:space="preserve"> This approach prevents the constitutionality of a law </w:t>
      </w:r>
      <w:r w:rsidRPr="001F4ECE">
        <w:rPr>
          <w:rFonts w:cs="Arial"/>
        </w:rPr>
        <w:t>from being</w:t>
      </w:r>
      <w:r w:rsidRPr="001F4ECE">
        <w:t xml:space="preserve"> “left dependent upon the resolution of an issue completely unrelated to constitutionality, i.e., the guilt or innocence of the accused and upon his or her decision to appeal a conviction”.</w:t>
      </w:r>
      <w:r w:rsidRPr="001F4ECE">
        <w:rPr>
          <w:rStyle w:val="Appelnotedebasdep"/>
        </w:rPr>
        <w:footnoteReference w:id="86"/>
      </w:r>
    </w:p>
    <w:p w14:paraId="2B1BCB32" w14:textId="77777777" w:rsidR="00AE0960" w:rsidRPr="00AA09B9" w:rsidRDefault="00AE0960" w:rsidP="00AE0960">
      <w:pPr>
        <w:pStyle w:val="Paragraphe"/>
        <w:spacing w:line="240" w:lineRule="auto"/>
      </w:pPr>
      <w:r>
        <w:t xml:space="preserve">In my opinion, </w:t>
      </w:r>
      <w:r w:rsidRPr="00E16510">
        <w:t>reliance</w:t>
      </w:r>
      <w:r>
        <w:t xml:space="preserve"> on this “dual proceedings” analysis does not apply in the case at bar for two reasons</w:t>
      </w:r>
      <w:r w:rsidRPr="00AA09B9">
        <w:t>.</w:t>
      </w:r>
    </w:p>
    <w:p w14:paraId="644F0791" w14:textId="77777777" w:rsidR="00AE0960" w:rsidRPr="00AA09B9" w:rsidRDefault="00AE0960" w:rsidP="00AE0960">
      <w:pPr>
        <w:pStyle w:val="Paragraphe"/>
        <w:spacing w:line="240" w:lineRule="auto"/>
      </w:pPr>
      <w:r w:rsidRPr="00AA09B9">
        <w:t xml:space="preserve"> </w:t>
      </w:r>
      <w:r>
        <w:t>First</w:t>
      </w:r>
      <w:r w:rsidRPr="00AA09B9">
        <w:t xml:space="preserve">, </w:t>
      </w:r>
      <w:r>
        <w:t>the question that the AGQ wishes to appeal concerns the declaration of</w:t>
      </w:r>
      <w:r w:rsidRPr="00AA09B9">
        <w:t xml:space="preserve"> </w:t>
      </w:r>
      <w:r w:rsidRPr="00E16510">
        <w:rPr>
          <w:bCs/>
        </w:rPr>
        <w:t>inoperability</w:t>
      </w:r>
      <w:r w:rsidRPr="00AA09B9">
        <w:t xml:space="preserve"> </w:t>
      </w:r>
      <w:r>
        <w:t>of a mandatory minimum sentence with respect to the respondent</w:t>
      </w:r>
      <w:r w:rsidRPr="00AA09B9">
        <w:t xml:space="preserve">. </w:t>
      </w:r>
      <w:r>
        <w:t xml:space="preserve">The constitutional question is </w:t>
      </w:r>
      <w:r w:rsidRPr="00061116">
        <w:t>closely linked to, or indeed virtually inseparable from</w:t>
      </w:r>
      <w:r>
        <w:t xml:space="preserve"> the sentence imposed</w:t>
      </w:r>
      <w:r w:rsidRPr="00AA09B9">
        <w:t xml:space="preserve">. </w:t>
      </w:r>
      <w:r>
        <w:t xml:space="preserve">Indeed, the judge exercised her discretion in not applying the minimum sentence, holding that it would be </w:t>
      </w:r>
      <w:r w:rsidRPr="00061116">
        <w:t xml:space="preserve">grossly disproportionate to the </w:t>
      </w:r>
      <w:r>
        <w:t>fit</w:t>
      </w:r>
      <w:r w:rsidRPr="00061116">
        <w:t xml:space="preserve"> sentence</w:t>
      </w:r>
      <w:r w:rsidRPr="00AA09B9">
        <w:t xml:space="preserve">. </w:t>
      </w:r>
      <w:r>
        <w:t>That conclusion is intrinsically linked to the sentencing process, which is the domain of the criminal law</w:t>
      </w:r>
      <w:r w:rsidRPr="00AA09B9">
        <w:t xml:space="preserve">. </w:t>
      </w:r>
      <w:r>
        <w:t>Consequently, it is not a distinct procedure or proceeding</w:t>
      </w:r>
      <w:r w:rsidRPr="00AA09B9">
        <w:t xml:space="preserve">. </w:t>
      </w:r>
    </w:p>
    <w:p w14:paraId="46E22DAD" w14:textId="77777777" w:rsidR="00AE0960" w:rsidRPr="00AA09B9" w:rsidRDefault="00AE0960" w:rsidP="00AE0960">
      <w:pPr>
        <w:pStyle w:val="Paragraphe"/>
        <w:spacing w:line="240" w:lineRule="auto"/>
      </w:pPr>
      <w:r>
        <w:t>In</w:t>
      </w:r>
      <w:r w:rsidRPr="00AA09B9">
        <w:t xml:space="preserve"> </w:t>
      </w:r>
      <w:proofErr w:type="spellStart"/>
      <w:r w:rsidRPr="00AA09B9">
        <w:rPr>
          <w:i/>
          <w:iCs/>
        </w:rPr>
        <w:t>Kourtessis</w:t>
      </w:r>
      <w:proofErr w:type="spellEnd"/>
      <w:r w:rsidRPr="00AA09B9">
        <w:t xml:space="preserve">, La Forest </w:t>
      </w:r>
      <w:r>
        <w:t xml:space="preserve">J. cautioned against the unnecessary </w:t>
      </w:r>
      <w:r w:rsidRPr="0037618E">
        <w:t>reliance</w:t>
      </w:r>
      <w:r>
        <w:t xml:space="preserve"> on civil procedure </w:t>
      </w:r>
      <w:r w:rsidRPr="00E16510">
        <w:t>rules</w:t>
      </w:r>
      <w:r>
        <w:t xml:space="preserve"> in criminal matters</w:t>
      </w:r>
      <w:r w:rsidRPr="00AA09B9">
        <w:t>:</w:t>
      </w:r>
    </w:p>
    <w:p w14:paraId="6DFF242E" w14:textId="77777777" w:rsidR="00AE0960" w:rsidRPr="00AA09B9" w:rsidRDefault="00AE0960" w:rsidP="00AE0960">
      <w:pPr>
        <w:pStyle w:val="Paragraphe"/>
        <w:numPr>
          <w:ilvl w:val="0"/>
          <w:numId w:val="0"/>
        </w:numPr>
        <w:spacing w:line="240" w:lineRule="auto"/>
        <w:ind w:left="720" w:right="726"/>
        <w:rPr>
          <w:sz w:val="22"/>
          <w:szCs w:val="22"/>
        </w:rPr>
      </w:pPr>
      <w:r w:rsidRPr="0037618E">
        <w:rPr>
          <w:sz w:val="22"/>
          <w:szCs w:val="22"/>
        </w:rPr>
        <w:t xml:space="preserve">The admixture of provincial civil procedure with criminal procedure could, I fear, result in an unpredictable mish-mash where, in applying federal procedural law, one would forever be looking over one's shoulder to see what procedure the provinces have adopted (and this may differ from province to province) to see if there was something there that one judge or another would like to add if he or she found the federal law inadequate.  And I see no reason in principle why appeals could not be read in for other interlocutory proceedings, or indeed why other provincial rules of procedure might not be adopted, as was attempted in </w:t>
      </w:r>
      <w:r w:rsidRPr="0037618E">
        <w:rPr>
          <w:i/>
          <w:iCs/>
          <w:sz w:val="22"/>
          <w:szCs w:val="22"/>
        </w:rPr>
        <w:t>Lafleur</w:t>
      </w:r>
      <w:r w:rsidRPr="0037618E">
        <w:rPr>
          <w:sz w:val="22"/>
          <w:szCs w:val="22"/>
        </w:rPr>
        <w:t xml:space="preserve">.  That, barring federal adoption, is in my view constitutionally unacceptable.  It is certainly impractical.  In dealing with procedure, and particularly criminal </w:t>
      </w:r>
      <w:r w:rsidRPr="0037618E">
        <w:rPr>
          <w:sz w:val="22"/>
          <w:szCs w:val="22"/>
        </w:rPr>
        <w:lastRenderedPageBreak/>
        <w:t xml:space="preserve">procedure, it is important to know what one should do next.  That is why, no doubt, Parliament adopted a comprehensive procedure under the </w:t>
      </w:r>
      <w:r w:rsidRPr="0037618E">
        <w:rPr>
          <w:i/>
          <w:iCs/>
          <w:sz w:val="22"/>
          <w:szCs w:val="22"/>
        </w:rPr>
        <w:t>Criminal Code</w:t>
      </w:r>
      <w:r w:rsidRPr="0037618E">
        <w:rPr>
          <w:sz w:val="22"/>
          <w:szCs w:val="22"/>
        </w:rPr>
        <w:t xml:space="preserve"> </w:t>
      </w:r>
      <w:r w:rsidRPr="00AA09B9">
        <w:rPr>
          <w:sz w:val="22"/>
          <w:szCs w:val="22"/>
        </w:rPr>
        <w:t>[…]</w:t>
      </w:r>
      <w:r w:rsidRPr="00AA09B9">
        <w:rPr>
          <w:rStyle w:val="Appelnotedebasdep"/>
          <w:sz w:val="22"/>
          <w:szCs w:val="22"/>
          <w:lang w:val="en-CA"/>
        </w:rPr>
        <w:footnoteReference w:id="87"/>
      </w:r>
    </w:p>
    <w:p w14:paraId="701BECD9" w14:textId="77777777" w:rsidR="00AE0960" w:rsidRPr="00AA09B9" w:rsidRDefault="00AE0960" w:rsidP="00AE0960">
      <w:pPr>
        <w:pStyle w:val="Paragraphe"/>
        <w:spacing w:line="240" w:lineRule="auto"/>
      </w:pPr>
      <w:r>
        <w:t>In short, the proceeding in which this constitutional question arises is essentially criminal and the provisions of the</w:t>
      </w:r>
      <w:r w:rsidRPr="00AA09B9">
        <w:t xml:space="preserve"> </w:t>
      </w:r>
      <w:r>
        <w:rPr>
          <w:i/>
          <w:iCs/>
        </w:rPr>
        <w:t xml:space="preserve">C.C.P. </w:t>
      </w:r>
      <w:r w:rsidRPr="00136503">
        <w:t xml:space="preserve">should not </w:t>
      </w:r>
      <w:r>
        <w:t xml:space="preserve">be </w:t>
      </w:r>
      <w:r w:rsidRPr="00136503">
        <w:t>appl</w:t>
      </w:r>
      <w:r>
        <w:t>ied</w:t>
      </w:r>
      <w:r w:rsidRPr="00136503">
        <w:t>.</w:t>
      </w:r>
    </w:p>
    <w:p w14:paraId="7A5A2FA6" w14:textId="77777777" w:rsidR="00AE0960" w:rsidRPr="00AA09B9" w:rsidRDefault="00AE0960" w:rsidP="00AE0960">
      <w:pPr>
        <w:pStyle w:val="Paragraphe"/>
        <w:spacing w:line="240" w:lineRule="auto"/>
      </w:pPr>
      <w:r>
        <w:t>Second</w:t>
      </w:r>
      <w:r w:rsidRPr="00AA09B9">
        <w:t xml:space="preserve">, </w:t>
      </w:r>
      <w:r>
        <w:t>in</w:t>
      </w:r>
      <w:r w:rsidRPr="00AA09B9">
        <w:t xml:space="preserve"> </w:t>
      </w:r>
      <w:r w:rsidRPr="00AA09B9">
        <w:rPr>
          <w:i/>
          <w:iCs/>
        </w:rPr>
        <w:t>Laba</w:t>
      </w:r>
      <w:r w:rsidRPr="00AA09B9">
        <w:t xml:space="preserve">, </w:t>
      </w:r>
      <w:r>
        <w:t xml:space="preserve">the Supreme Court was faced with the “absurdity” that would result from an interpretation of s. </w:t>
      </w:r>
      <w:r w:rsidRPr="00AA09B9">
        <w:t xml:space="preserve">40(3) </w:t>
      </w:r>
      <w:r>
        <w:rPr>
          <w:i/>
          <w:iCs/>
        </w:rPr>
        <w:t>SCA</w:t>
      </w:r>
      <w:r w:rsidRPr="00AA09B9">
        <w:t xml:space="preserve"> </w:t>
      </w:r>
      <w:r>
        <w:t>that would preclude review of the constitutionality of a legal rule absent an appeal from the conviction or acquittal of an accused.</w:t>
      </w:r>
      <w:r w:rsidRPr="00AA09B9">
        <w:rPr>
          <w:rStyle w:val="Appelnotedebasdep"/>
          <w:rFonts w:cs="Arial"/>
          <w:lang w:val="en-CA"/>
        </w:rPr>
        <w:footnoteReference w:id="88"/>
      </w:r>
      <w:r>
        <w:rPr>
          <w:rFonts w:cs="Arial"/>
        </w:rPr>
        <w:t xml:space="preserve"> </w:t>
      </w:r>
      <w:r>
        <w:t>This is not the case here</w:t>
      </w:r>
      <w:r w:rsidRPr="00AA09B9">
        <w:t xml:space="preserve">, </w:t>
      </w:r>
      <w:r>
        <w:t>since the constitutional question can be argued in the course of an appeal under s.</w:t>
      </w:r>
      <w:r w:rsidRPr="00AA09B9">
        <w:t xml:space="preserve"> 676(1)</w:t>
      </w:r>
      <w:r>
        <w:t>(</w:t>
      </w:r>
      <w:r w:rsidRPr="00AA09B9">
        <w:t xml:space="preserve">d) </w:t>
      </w:r>
      <w:proofErr w:type="spellStart"/>
      <w:r w:rsidRPr="00AA09B9">
        <w:rPr>
          <w:i/>
          <w:iCs/>
        </w:rPr>
        <w:t>C</w:t>
      </w:r>
      <w:r>
        <w:rPr>
          <w:i/>
          <w:iCs/>
        </w:rPr>
        <w:t>r</w:t>
      </w:r>
      <w:r w:rsidRPr="00AA09B9">
        <w:rPr>
          <w:i/>
          <w:iCs/>
        </w:rPr>
        <w:t>.</w:t>
      </w:r>
      <w:r>
        <w:rPr>
          <w:i/>
          <w:iCs/>
        </w:rPr>
        <w:t>C</w:t>
      </w:r>
      <w:proofErr w:type="spellEnd"/>
      <w:r w:rsidRPr="00AA09B9">
        <w:rPr>
          <w:i/>
          <w:iCs/>
        </w:rPr>
        <w:t xml:space="preserve">. </w:t>
      </w:r>
      <w:r>
        <w:t>There is therefore no procedural vacuum if the “dual proceedings” approach is not relied upon</w:t>
      </w:r>
      <w:r w:rsidRPr="00AA09B9">
        <w:t xml:space="preserve">. </w:t>
      </w:r>
      <w:r>
        <w:t>If the DCPP</w:t>
      </w:r>
      <w:r w:rsidRPr="00AA09B9">
        <w:t xml:space="preserve"> </w:t>
      </w:r>
      <w:r>
        <w:t>had decided not to appeal, the AGQ could have taken charge of the appeal himself, in accordance with s.</w:t>
      </w:r>
      <w:r w:rsidRPr="00AA09B9">
        <w:t xml:space="preserve"> 23 </w:t>
      </w:r>
      <w:r w:rsidRPr="00636736">
        <w:rPr>
          <w:i/>
          <w:iCs/>
        </w:rPr>
        <w:t>ADCPP</w:t>
      </w:r>
      <w:r w:rsidRPr="00AA09B9">
        <w:t>.</w:t>
      </w:r>
    </w:p>
    <w:p w14:paraId="70E2E604" w14:textId="77777777" w:rsidR="00AE0960" w:rsidRPr="00A12974" w:rsidRDefault="00AE0960" w:rsidP="00AE0960">
      <w:pPr>
        <w:pStyle w:val="Paragraphe"/>
        <w:spacing w:line="240" w:lineRule="auto"/>
      </w:pPr>
      <w:r>
        <w:t>Moreover, as</w:t>
      </w:r>
      <w:r w:rsidRPr="00AA09B9">
        <w:t xml:space="preserve"> Vauclair</w:t>
      </w:r>
      <w:r>
        <w:t>, J.A. noted</w:t>
      </w:r>
      <w:r w:rsidRPr="00AA09B9">
        <w:t xml:space="preserve"> </w:t>
      </w:r>
      <w:r>
        <w:t>in his judgment deferring to the panel the issue of the AGQ’s right of appeal</w:t>
      </w:r>
      <w:r w:rsidRPr="00AA09B9">
        <w:t xml:space="preserve">, </w:t>
      </w:r>
      <w:r>
        <w:t>whereas s.</w:t>
      </w:r>
      <w:r w:rsidRPr="00AA09B9">
        <w:t xml:space="preserve"> 40(1) </w:t>
      </w:r>
      <w:r>
        <w:rPr>
          <w:i/>
          <w:iCs/>
        </w:rPr>
        <w:t>SCA</w:t>
      </w:r>
      <w:r w:rsidRPr="00AA09B9">
        <w:t xml:space="preserve"> </w:t>
      </w:r>
      <w:r>
        <w:t xml:space="preserve">confers a general jurisdiction to the Supreme Court, which is not limited by s. </w:t>
      </w:r>
      <w:r w:rsidRPr="00AA09B9">
        <w:t xml:space="preserve">674 </w:t>
      </w:r>
      <w:proofErr w:type="spellStart"/>
      <w:r w:rsidRPr="00AA09B9">
        <w:rPr>
          <w:i/>
          <w:iCs/>
        </w:rPr>
        <w:t>C</w:t>
      </w:r>
      <w:r>
        <w:rPr>
          <w:i/>
          <w:iCs/>
        </w:rPr>
        <w:t>r</w:t>
      </w:r>
      <w:r w:rsidRPr="00AA09B9">
        <w:rPr>
          <w:i/>
          <w:iCs/>
        </w:rPr>
        <w:t>.</w:t>
      </w:r>
      <w:r>
        <w:rPr>
          <w:i/>
          <w:iCs/>
        </w:rPr>
        <w:t>C</w:t>
      </w:r>
      <w:proofErr w:type="spellEnd"/>
      <w:r w:rsidRPr="00A12974">
        <w:rPr>
          <w:i/>
          <w:iCs/>
        </w:rPr>
        <w:t>.</w:t>
      </w:r>
      <w:r w:rsidRPr="00A12974">
        <w:t>, “</w:t>
      </w:r>
      <w:r>
        <w:rPr>
          <w:rFonts w:cs="Arial"/>
        </w:rPr>
        <w:t>[</w:t>
      </w:r>
      <w:r>
        <w:t>…</w:t>
      </w:r>
      <w:r>
        <w:rPr>
          <w:rFonts w:cs="Arial"/>
        </w:rPr>
        <w:t>]</w:t>
      </w:r>
      <w:r>
        <w:t xml:space="preserve"> </w:t>
      </w:r>
      <w:r w:rsidRPr="00A83C2E">
        <w:t xml:space="preserve">The Court of Appeal of Quebec does not have general jurisdiction to hear appeals in criminal matters. </w:t>
      </w:r>
      <w:r w:rsidRPr="00A12974">
        <w:t>It has only the jurisdiction conferred upon it by law, as the right of appeal is an exceptional right.”</w:t>
      </w:r>
      <w:r w:rsidRPr="00A12974">
        <w:rPr>
          <w:rStyle w:val="Appelnotedebasdep"/>
          <w:lang w:val="en-CA"/>
        </w:rPr>
        <w:footnoteReference w:id="89"/>
      </w:r>
      <w:r w:rsidRPr="00A12974">
        <w:t xml:space="preserve"> Consequently, it is neither appropriate, nor juridically sound to apply the procedure adopted under s. 40 </w:t>
      </w:r>
      <w:r w:rsidRPr="00A12974">
        <w:rPr>
          <w:i/>
          <w:iCs/>
        </w:rPr>
        <w:t>SCA</w:t>
      </w:r>
      <w:r w:rsidRPr="00A12974">
        <w:t xml:space="preserve"> by analogy. </w:t>
      </w:r>
    </w:p>
    <w:p w14:paraId="4B9F2B40" w14:textId="77777777" w:rsidR="00AE0960" w:rsidRPr="00516C1A" w:rsidRDefault="00AE0960" w:rsidP="00AE0960">
      <w:pPr>
        <w:pStyle w:val="Paragraphe"/>
        <w:spacing w:line="240" w:lineRule="auto"/>
      </w:pPr>
      <w:r>
        <w:t>I therefore conclude</w:t>
      </w:r>
      <w:r w:rsidRPr="00AA09B9">
        <w:t xml:space="preserve"> </w:t>
      </w:r>
      <w:r>
        <w:t>that the AGQ cannot appeal, under either the</w:t>
      </w:r>
      <w:r w:rsidRPr="00AA09B9">
        <w:t xml:space="preserve"> </w:t>
      </w:r>
      <w:r w:rsidRPr="00AA09B9">
        <w:rPr>
          <w:i/>
          <w:iCs/>
        </w:rPr>
        <w:t>C.</w:t>
      </w:r>
      <w:r>
        <w:rPr>
          <w:i/>
          <w:iCs/>
        </w:rPr>
        <w:t>C.P</w:t>
      </w:r>
      <w:r w:rsidRPr="00AA09B9">
        <w:rPr>
          <w:i/>
          <w:iCs/>
        </w:rPr>
        <w:t>.</w:t>
      </w:r>
      <w:r w:rsidRPr="00AA09B9">
        <w:t xml:space="preserve">, inapplicable </w:t>
      </w:r>
      <w:r>
        <w:t>here</w:t>
      </w:r>
      <w:r w:rsidRPr="00AA09B9">
        <w:t xml:space="preserve">, </w:t>
      </w:r>
      <w:r>
        <w:t>or the</w:t>
      </w:r>
      <w:r w:rsidRPr="00AA09B9">
        <w:t xml:space="preserve"> </w:t>
      </w:r>
      <w:proofErr w:type="spellStart"/>
      <w:r w:rsidRPr="00AA09B9">
        <w:rPr>
          <w:i/>
          <w:iCs/>
        </w:rPr>
        <w:t>C</w:t>
      </w:r>
      <w:r>
        <w:rPr>
          <w:i/>
          <w:iCs/>
        </w:rPr>
        <w:t>r</w:t>
      </w:r>
      <w:r w:rsidRPr="00AA09B9">
        <w:rPr>
          <w:i/>
          <w:iCs/>
        </w:rPr>
        <w:t>.</w:t>
      </w:r>
      <w:r>
        <w:rPr>
          <w:i/>
          <w:iCs/>
        </w:rPr>
        <w:t>C</w:t>
      </w:r>
      <w:proofErr w:type="spellEnd"/>
      <w:r w:rsidRPr="00AA09B9">
        <w:rPr>
          <w:i/>
          <w:iCs/>
        </w:rPr>
        <w:t>.</w:t>
      </w:r>
      <w:r w:rsidRPr="00AA09B9">
        <w:t xml:space="preserve">, </w:t>
      </w:r>
      <w:r>
        <w:t>since he did not take charge of the matter in accordance with s.</w:t>
      </w:r>
      <w:r w:rsidRPr="00AA09B9">
        <w:t xml:space="preserve"> 23 </w:t>
      </w:r>
      <w:r>
        <w:rPr>
          <w:i/>
          <w:iCs/>
        </w:rPr>
        <w:t>ADCPP</w:t>
      </w:r>
      <w:r w:rsidRPr="00AA09B9">
        <w:rPr>
          <w:i/>
          <w:iCs/>
        </w:rPr>
        <w:t>.</w:t>
      </w:r>
      <w:r w:rsidRPr="00AA09B9">
        <w:t xml:space="preserve"> </w:t>
      </w:r>
      <w:r w:rsidRPr="007E59AB">
        <w:t>This does not mean that he has no say in the matter.</w:t>
      </w:r>
    </w:p>
    <w:p w14:paraId="344B2392" w14:textId="77777777" w:rsidR="00AE0960" w:rsidRPr="00AA09B9" w:rsidRDefault="00AE0960" w:rsidP="00AE0960">
      <w:pPr>
        <w:pStyle w:val="Paragraphe"/>
        <w:spacing w:line="240" w:lineRule="auto"/>
      </w:pPr>
      <w:r>
        <w:t xml:space="preserve">Since </w:t>
      </w:r>
      <w:r w:rsidRPr="006E7458">
        <w:t>he was</w:t>
      </w:r>
      <w:r>
        <w:t xml:space="preserve"> a party in first instance, the AGQ is an impleaded party in the DCPP’s appeal and, pursuant to the rules of the Court, he is entitled to file a brief and schedules</w:t>
      </w:r>
      <w:r w:rsidRPr="00AA09B9">
        <w:t xml:space="preserve"> (</w:t>
      </w:r>
      <w:r>
        <w:t>s</w:t>
      </w:r>
      <w:r w:rsidRPr="00AA09B9">
        <w:t xml:space="preserve">. 37 </w:t>
      </w:r>
      <w:r w:rsidRPr="00780F32">
        <w:rPr>
          <w:i/>
          <w:iCs/>
        </w:rPr>
        <w:t>RCAQCM</w:t>
      </w:r>
      <w:r w:rsidRPr="00AA09B9">
        <w:t xml:space="preserve">) </w:t>
      </w:r>
      <w:r>
        <w:t>and to ask the Court to render conclusions contrary to the conclusion of the judgment in first instance.</w:t>
      </w:r>
      <w:r w:rsidRPr="00AA09B9">
        <w:rPr>
          <w:rStyle w:val="Appelnotedebasdep"/>
          <w:lang w:val="en-CA"/>
        </w:rPr>
        <w:footnoteReference w:id="90"/>
      </w:r>
      <w:r w:rsidRPr="00AA09B9">
        <w:t xml:space="preserve"> </w:t>
      </w:r>
    </w:p>
    <w:p w14:paraId="41A07267" w14:textId="77777777" w:rsidR="00AE0960" w:rsidRPr="00AA09B9" w:rsidRDefault="00AE0960" w:rsidP="00AE0960">
      <w:pPr>
        <w:pStyle w:val="Paragraphe"/>
        <w:spacing w:line="240" w:lineRule="auto"/>
      </w:pPr>
      <w:r>
        <w:t>I therefore propose to dismiss the application for leave to appeal, since the Court does not have jurisdiction to hear the appeal, and to designate the AGQ as an impleaded party</w:t>
      </w:r>
      <w:r w:rsidRPr="00AA09B9">
        <w:t xml:space="preserve">. </w:t>
      </w:r>
    </w:p>
    <w:p w14:paraId="4351B581" w14:textId="77777777" w:rsidR="00AE0960" w:rsidRPr="00AA09B9" w:rsidRDefault="00AE0960" w:rsidP="00AE0960">
      <w:pPr>
        <w:pStyle w:val="Paragraphe"/>
        <w:spacing w:line="240" w:lineRule="auto"/>
      </w:pPr>
      <w:r>
        <w:lastRenderedPageBreak/>
        <w:t xml:space="preserve">As noted above, this conclusion has no effect on the analysis of the issues, namely that of the constitutionality of minimum sentences for the offences of </w:t>
      </w:r>
      <w:r w:rsidRPr="00762C0A">
        <w:t>making and distributing child pornography</w:t>
      </w:r>
      <w:r>
        <w:t>, and that of the appropriate sentence here</w:t>
      </w:r>
      <w:r w:rsidRPr="00AA09B9">
        <w:t>.</w:t>
      </w:r>
    </w:p>
    <w:p w14:paraId="30ACF8C5" w14:textId="77777777" w:rsidR="00AE0960" w:rsidRPr="00AA09B9" w:rsidRDefault="00AE0960" w:rsidP="0043736E">
      <w:pPr>
        <w:pStyle w:val="Paragraphe"/>
        <w:spacing w:after="240" w:line="240" w:lineRule="auto"/>
      </w:pPr>
      <w:r>
        <w:t xml:space="preserve">On these latter issues, I concur with </w:t>
      </w:r>
      <w:r w:rsidRPr="00AA09B9">
        <w:t>Healy</w:t>
      </w:r>
      <w:r>
        <w:t>, J.A.’s reasons</w:t>
      </w:r>
      <w:r w:rsidRPr="00AA09B9">
        <w:t>.</w:t>
      </w:r>
    </w:p>
    <w:tbl>
      <w:tblPr>
        <w:tblW w:w="9360" w:type="dxa"/>
        <w:tblInd w:w="8" w:type="dxa"/>
        <w:tblLayout w:type="fixed"/>
        <w:tblCellMar>
          <w:left w:w="0" w:type="dxa"/>
          <w:right w:w="0" w:type="dxa"/>
        </w:tblCellMar>
        <w:tblLook w:val="0000" w:firstRow="0" w:lastRow="0" w:firstColumn="0" w:lastColumn="0" w:noHBand="0" w:noVBand="0"/>
      </w:tblPr>
      <w:tblGrid>
        <w:gridCol w:w="4735"/>
        <w:gridCol w:w="4625"/>
      </w:tblGrid>
      <w:tr w:rsidR="00AE0960" w14:paraId="3528B1F9" w14:textId="77777777" w:rsidTr="00E13C75">
        <w:trPr>
          <w:cantSplit/>
          <w:trHeight w:val="513"/>
        </w:trPr>
        <w:tc>
          <w:tcPr>
            <w:tcW w:w="9360" w:type="dxa"/>
            <w:gridSpan w:val="2"/>
          </w:tcPr>
          <w:p w14:paraId="76D06E69" w14:textId="77777777" w:rsidR="00AE0960" w:rsidRDefault="00AE0960" w:rsidP="00E13C75"/>
        </w:tc>
      </w:tr>
      <w:tr w:rsidR="00AE0960" w14:paraId="22B88242" w14:textId="77777777" w:rsidTr="00E13C75">
        <w:trPr>
          <w:cantSplit/>
          <w:trHeight w:val="277"/>
        </w:trPr>
        <w:tc>
          <w:tcPr>
            <w:tcW w:w="4735" w:type="dxa"/>
            <w:vMerge w:val="restart"/>
          </w:tcPr>
          <w:p w14:paraId="754072CC" w14:textId="77777777" w:rsidR="00AE0960" w:rsidRDefault="00AE0960" w:rsidP="00E13C75"/>
        </w:tc>
        <w:tc>
          <w:tcPr>
            <w:tcW w:w="4625" w:type="dxa"/>
            <w:tcBorders>
              <w:bottom w:val="single" w:sz="8" w:space="0" w:color="auto"/>
            </w:tcBorders>
          </w:tcPr>
          <w:p w14:paraId="4480F80A" w14:textId="77777777" w:rsidR="00AE0960" w:rsidRDefault="00AE0960" w:rsidP="00E13C75"/>
        </w:tc>
      </w:tr>
      <w:tr w:rsidR="00AE0960" w:rsidRPr="00F021AC" w14:paraId="31EF2862" w14:textId="77777777" w:rsidTr="00E13C75">
        <w:trPr>
          <w:cantSplit/>
          <w:trHeight w:val="276"/>
        </w:trPr>
        <w:tc>
          <w:tcPr>
            <w:tcW w:w="4735" w:type="dxa"/>
            <w:vMerge/>
          </w:tcPr>
          <w:p w14:paraId="1B69E3AA" w14:textId="77777777" w:rsidR="00AE0960" w:rsidRDefault="00AE0960" w:rsidP="00E13C75"/>
        </w:tc>
        <w:tc>
          <w:tcPr>
            <w:tcW w:w="4625" w:type="dxa"/>
          </w:tcPr>
          <w:p w14:paraId="484FA163" w14:textId="6E83C52F" w:rsidR="00AE0960" w:rsidRPr="006365CA" w:rsidRDefault="00AE0960" w:rsidP="00E13C75">
            <w:pPr>
              <w:rPr>
                <w:lang w:val="fr-CA"/>
              </w:rPr>
            </w:pPr>
            <w:r>
              <w:fldChar w:fldCharType="begin"/>
            </w:r>
            <w:r w:rsidRPr="006365CA">
              <w:rPr>
                <w:lang w:val="fr-CA"/>
              </w:rPr>
              <w:instrText xml:space="preserve"> REF NomJuge3 </w:instrText>
            </w:r>
            <w:r>
              <w:fldChar w:fldCharType="separate"/>
            </w:r>
            <w:r w:rsidR="00F021AC" w:rsidRPr="00F021AC">
              <w:rPr>
                <w:lang w:val="fr-CA"/>
              </w:rPr>
              <w:t>LORI RENÉE WEITZMAN, J.A.</w:t>
            </w:r>
            <w:r>
              <w:fldChar w:fldCharType="end"/>
            </w:r>
          </w:p>
        </w:tc>
      </w:tr>
    </w:tbl>
    <w:p w14:paraId="02B4CC63" w14:textId="77777777" w:rsidR="006B3E24" w:rsidRPr="00AE0960" w:rsidRDefault="006B3E24" w:rsidP="00FB505A">
      <w:pPr>
        <w:rPr>
          <w:lang w:val="fr-CA"/>
        </w:rPr>
      </w:pPr>
    </w:p>
    <w:sectPr w:rsidR="006B3E24" w:rsidRPr="00AE0960" w:rsidSect="00F72CE5">
      <w:headerReference w:type="default" r:id="rId17"/>
      <w:footerReference w:type="default" r:id="rId18"/>
      <w:footerReference w:type="first" r:id="rId19"/>
      <w:pgSz w:w="12242" w:h="15842" w:code="1"/>
      <w:pgMar w:top="851" w:right="1008" w:bottom="1440" w:left="1872" w:header="1440" w:footer="79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5C0D" w14:textId="77777777" w:rsidR="00857B8D" w:rsidRDefault="00857B8D">
      <w:r>
        <w:separator/>
      </w:r>
    </w:p>
  </w:endnote>
  <w:endnote w:type="continuationSeparator" w:id="0">
    <w:p w14:paraId="2D3CF942" w14:textId="77777777" w:rsidR="00857B8D" w:rsidRDefault="0085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doni M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580D" w14:textId="612F7DDF" w:rsidR="00AE0960" w:rsidRPr="00AE0960" w:rsidRDefault="00AE0960" w:rsidP="00AE0960">
    <w:pPr>
      <w:pStyle w:val="Pieddepage"/>
      <w:jc w:val="right"/>
      <w:rPr>
        <w:b/>
        <w:bCs/>
      </w:rPr>
    </w:pPr>
    <w:r w:rsidRPr="00AE0960">
      <w:rPr>
        <w:b/>
        <w:bCs/>
      </w:rPr>
      <w:t>English translation of the judgment o</w:t>
    </w:r>
    <w:r>
      <w:rPr>
        <w:b/>
        <w:bCs/>
      </w:rPr>
      <w:t>f the Court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2A88" w14:textId="77777777" w:rsidR="00AE0960" w:rsidRDefault="00AE096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C33E" w14:textId="4145993C" w:rsidR="00AE0960" w:rsidRPr="00AE0960" w:rsidRDefault="00AE0960" w:rsidP="00AE0960">
    <w:pPr>
      <w:pStyle w:val="Pieddepage"/>
      <w:jc w:val="right"/>
      <w:rPr>
        <w:b/>
        <w:bCs/>
      </w:rPr>
    </w:pPr>
    <w:r w:rsidRPr="00AE0960">
      <w:rPr>
        <w:b/>
        <w:bCs/>
      </w:rPr>
      <w:t>English translation of the judgment of the Court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F9C3" w14:textId="77777777" w:rsidR="00AE0960" w:rsidRDefault="00AE096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692B" w14:textId="3AC1D021" w:rsidR="00C14675" w:rsidRPr="00C14675" w:rsidRDefault="00C14675" w:rsidP="00C14675">
    <w:pPr>
      <w:pStyle w:val="Pieddepage"/>
      <w:jc w:val="right"/>
      <w:rPr>
        <w:b/>
        <w:bCs/>
      </w:rPr>
    </w:pPr>
    <w:r w:rsidRPr="00C14675">
      <w:rPr>
        <w:b/>
        <w:bCs/>
      </w:rPr>
      <w:t>English translation of the judgment o</w:t>
    </w:r>
    <w:r>
      <w:rPr>
        <w:b/>
        <w:bCs/>
      </w:rPr>
      <w:t>f the Court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3CD2" w14:textId="3D31E5B8" w:rsidR="00C14675" w:rsidRPr="00C14675" w:rsidRDefault="00C14675" w:rsidP="00C14675">
    <w:pPr>
      <w:pStyle w:val="Pieddepage"/>
      <w:jc w:val="right"/>
      <w:rPr>
        <w:b/>
        <w:bCs/>
      </w:rPr>
    </w:pPr>
    <w:r w:rsidRPr="00C14675">
      <w:rPr>
        <w:b/>
        <w:bCs/>
      </w:rPr>
      <w:t>English translation of the judgment o</w:t>
    </w:r>
    <w:r>
      <w:rPr>
        <w:b/>
        <w:bCs/>
      </w:rPr>
      <w:t>f the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E2D6E" w14:textId="77777777" w:rsidR="00857B8D" w:rsidRDefault="00857B8D">
      <w:r>
        <w:separator/>
      </w:r>
    </w:p>
  </w:footnote>
  <w:footnote w:type="continuationSeparator" w:id="0">
    <w:p w14:paraId="39A20891" w14:textId="77777777" w:rsidR="00857B8D" w:rsidRDefault="00857B8D">
      <w:r>
        <w:continuationSeparator/>
      </w:r>
    </w:p>
  </w:footnote>
  <w:footnote w:id="1">
    <w:p w14:paraId="3D479865" w14:textId="77777777" w:rsidR="00F72CE5" w:rsidRPr="00377607" w:rsidRDefault="00F72CE5" w:rsidP="00F72CE5">
      <w:pPr>
        <w:pStyle w:val="Notedebasdepage"/>
        <w:rPr>
          <w:rFonts w:cs="Arial"/>
        </w:rPr>
      </w:pPr>
      <w:r w:rsidRPr="00377607">
        <w:rPr>
          <w:rStyle w:val="Appelnotedebasdep"/>
          <w:rFonts w:cs="Arial"/>
        </w:rPr>
        <w:footnoteRef/>
      </w:r>
      <w:r w:rsidRPr="00377607">
        <w:rPr>
          <w:rFonts w:cs="Arial"/>
        </w:rPr>
        <w:t xml:space="preserve"> </w:t>
      </w:r>
      <w:r w:rsidRPr="00377607">
        <w:rPr>
          <w:rFonts w:cs="Arial"/>
        </w:rPr>
        <w:tab/>
      </w:r>
      <w:r w:rsidRPr="00377607">
        <w:rPr>
          <w:rFonts w:cs="Arial"/>
          <w:i/>
          <w:iCs/>
        </w:rPr>
        <w:t>R. v. Gagnon</w:t>
      </w:r>
      <w:r w:rsidRPr="00377607">
        <w:rPr>
          <w:rFonts w:cs="Arial"/>
        </w:rPr>
        <w:t>, 2024 QCCQ 1345.</w:t>
      </w:r>
    </w:p>
  </w:footnote>
  <w:footnote w:id="2">
    <w:p w14:paraId="7EAE3055" w14:textId="77777777" w:rsidR="00F72CE5" w:rsidRPr="00377607" w:rsidRDefault="00F72CE5" w:rsidP="00F72CE5">
      <w:pPr>
        <w:pStyle w:val="Notedebasdepage"/>
        <w:rPr>
          <w:rFonts w:cs="Arial"/>
        </w:rPr>
      </w:pPr>
      <w:r w:rsidRPr="00377607">
        <w:rPr>
          <w:rStyle w:val="Appelnotedebasdep"/>
          <w:rFonts w:cs="Arial"/>
        </w:rPr>
        <w:footnoteRef/>
      </w:r>
      <w:r w:rsidRPr="00377607">
        <w:rPr>
          <w:rFonts w:cs="Arial"/>
        </w:rPr>
        <w:t xml:space="preserve"> </w:t>
      </w:r>
      <w:r w:rsidRPr="00377607">
        <w:rPr>
          <w:rFonts w:cs="Arial"/>
        </w:rPr>
        <w:tab/>
        <w:t>R.S.C. 1985, c. C-46 (as amended).</w:t>
      </w:r>
    </w:p>
  </w:footnote>
  <w:footnote w:id="3">
    <w:p w14:paraId="7B811E51" w14:textId="77777777" w:rsidR="00F72CE5" w:rsidRPr="00377607" w:rsidRDefault="00F72CE5" w:rsidP="00F72CE5">
      <w:pPr>
        <w:pStyle w:val="Notedebasdepage"/>
        <w:rPr>
          <w:rFonts w:cs="Arial"/>
        </w:rPr>
      </w:pPr>
      <w:r w:rsidRPr="00377607">
        <w:rPr>
          <w:rStyle w:val="Appelnotedebasdep"/>
          <w:rFonts w:cs="Arial"/>
        </w:rPr>
        <w:footnoteRef/>
      </w:r>
      <w:r w:rsidRPr="00377607">
        <w:rPr>
          <w:rFonts w:cs="Arial"/>
        </w:rPr>
        <w:t xml:space="preserve"> </w:t>
      </w:r>
      <w:r w:rsidRPr="00E556F0">
        <w:rPr>
          <w:rFonts w:ascii="Bodoni MT" w:hAnsi="Bodoni MT"/>
        </w:rPr>
        <w:tab/>
      </w:r>
      <w:r w:rsidRPr="00377607">
        <w:rPr>
          <w:rFonts w:cs="Arial"/>
        </w:rPr>
        <w:t>This ground does not refer to the minimum sentence for possession.</w:t>
      </w:r>
    </w:p>
  </w:footnote>
  <w:footnote w:id="4">
    <w:p w14:paraId="237509EE" w14:textId="77777777" w:rsidR="00F72CE5" w:rsidRPr="00D07A67" w:rsidRDefault="00F72CE5" w:rsidP="00F72CE5">
      <w:pPr>
        <w:pStyle w:val="Notedebasdepage"/>
        <w:rPr>
          <w:lang w:val="fr-CA"/>
        </w:rPr>
      </w:pPr>
      <w:r>
        <w:rPr>
          <w:rStyle w:val="Appelnotedebasdep"/>
        </w:rPr>
        <w:footnoteRef/>
      </w:r>
      <w:r w:rsidRPr="00D07A67">
        <w:rPr>
          <w:lang w:val="fr-CA"/>
        </w:rPr>
        <w:t xml:space="preserve"> </w:t>
      </w:r>
      <w:r w:rsidRPr="00D07A67">
        <w:rPr>
          <w:lang w:val="fr-CA"/>
        </w:rPr>
        <w:tab/>
        <w:t xml:space="preserve">See </w:t>
      </w:r>
      <w:r w:rsidRPr="00D07A67">
        <w:rPr>
          <w:i/>
          <w:iCs/>
          <w:lang w:val="fr-CA"/>
        </w:rPr>
        <w:t xml:space="preserve">Requête en autorisation d’appel de la sentence, </w:t>
      </w:r>
      <w:r w:rsidRPr="00D07A67">
        <w:rPr>
          <w:lang w:val="fr-CA"/>
        </w:rPr>
        <w:t>dated February 8, 2024.</w:t>
      </w:r>
    </w:p>
  </w:footnote>
  <w:footnote w:id="5">
    <w:p w14:paraId="5C0AB6B7" w14:textId="77777777" w:rsidR="00F72CE5" w:rsidRPr="00377607" w:rsidRDefault="00F72CE5" w:rsidP="00F72CE5">
      <w:pPr>
        <w:pStyle w:val="Notedebasdepage"/>
        <w:rPr>
          <w:rFonts w:cs="Arial"/>
        </w:rPr>
      </w:pPr>
      <w:r w:rsidRPr="00377607">
        <w:rPr>
          <w:rStyle w:val="Appelnotedebasdep"/>
          <w:rFonts w:cs="Arial"/>
        </w:rPr>
        <w:footnoteRef/>
      </w:r>
      <w:r w:rsidRPr="00377607">
        <w:rPr>
          <w:rFonts w:cs="Arial"/>
        </w:rPr>
        <w:t xml:space="preserve"> </w:t>
      </w:r>
      <w:r w:rsidRPr="00377607">
        <w:rPr>
          <w:rFonts w:cs="Arial"/>
        </w:rPr>
        <w:tab/>
        <w:t xml:space="preserve">The grounds presented by the AGQ before the panel were reformulated and paragraph 9.4, as drafted, was deleted. </w:t>
      </w:r>
    </w:p>
  </w:footnote>
  <w:footnote w:id="6">
    <w:p w14:paraId="221080B8"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Pr>
          <w:rFonts w:cs="Arial"/>
        </w:rPr>
        <w:t>Both t</w:t>
      </w:r>
      <w:r w:rsidRPr="008C5E69">
        <w:rPr>
          <w:rFonts w:cs="Arial"/>
        </w:rPr>
        <w:t>he current AGQ</w:t>
      </w:r>
      <w:r>
        <w:rPr>
          <w:rFonts w:cs="Arial"/>
        </w:rPr>
        <w:t xml:space="preserve"> and the current DCPP are men</w:t>
      </w:r>
      <w:r w:rsidRPr="008C5E69">
        <w:rPr>
          <w:rFonts w:cs="Arial"/>
        </w:rPr>
        <w:t>.</w:t>
      </w:r>
    </w:p>
  </w:footnote>
  <w:footnote w:id="7">
    <w:p w14:paraId="6E26DE72" w14:textId="77777777" w:rsidR="00F72CE5" w:rsidRPr="00D07A67" w:rsidRDefault="00F72CE5" w:rsidP="00F72CE5">
      <w:pPr>
        <w:pStyle w:val="Notedebasdepage"/>
        <w:rPr>
          <w:rFonts w:cs="Arial"/>
          <w:lang w:val="fr-CA"/>
        </w:rPr>
      </w:pPr>
      <w:r w:rsidRPr="00FA6466">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Kyres</w:t>
      </w:r>
      <w:r w:rsidRPr="00D07A67">
        <w:rPr>
          <w:rFonts w:cs="Arial"/>
          <w:lang w:val="fr-CA"/>
        </w:rPr>
        <w:t>, 2018 QCCS 4671, par. 126-127.</w:t>
      </w:r>
    </w:p>
  </w:footnote>
  <w:footnote w:id="8">
    <w:p w14:paraId="64309FD1" w14:textId="77777777" w:rsidR="00F72CE5" w:rsidRPr="00FA6466" w:rsidRDefault="00F72CE5" w:rsidP="00F72CE5">
      <w:pPr>
        <w:pStyle w:val="Notedebasdepage"/>
        <w:rPr>
          <w:rFonts w:cs="Arial"/>
        </w:rPr>
      </w:pPr>
      <w:r w:rsidRPr="00FA6466">
        <w:rPr>
          <w:rStyle w:val="Appelnotedebasdep"/>
          <w:rFonts w:cs="Arial"/>
        </w:rPr>
        <w:footnoteRef/>
      </w:r>
      <w:r w:rsidRPr="00FA6466">
        <w:rPr>
          <w:rFonts w:cs="Arial"/>
        </w:rPr>
        <w:t xml:space="preserve"> </w:t>
      </w:r>
      <w:r w:rsidRPr="00FA6466">
        <w:rPr>
          <w:rFonts w:cs="Arial"/>
        </w:rPr>
        <w:tab/>
        <w:t xml:space="preserve">Art. 79, </w:t>
      </w:r>
      <w:r w:rsidRPr="00FA6466">
        <w:rPr>
          <w:rFonts w:cs="Arial"/>
          <w:i/>
          <w:iCs/>
        </w:rPr>
        <w:t>C.C.P.</w:t>
      </w:r>
    </w:p>
  </w:footnote>
  <w:footnote w:id="9">
    <w:p w14:paraId="386FFE0D"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For the history of criminal prosecution in England, and specifically the role of the attorney general, see Edwards</w:t>
      </w:r>
      <w:r>
        <w:rPr>
          <w:rFonts w:cs="Arial"/>
        </w:rPr>
        <w:t xml:space="preserve">, </w:t>
      </w:r>
      <w:bookmarkStart w:id="14" w:name="_Hlk225848790"/>
      <w:r>
        <w:rPr>
          <w:rFonts w:cs="Arial"/>
        </w:rPr>
        <w:t>J.Ll.J</w:t>
      </w:r>
      <w:bookmarkEnd w:id="14"/>
      <w:r>
        <w:rPr>
          <w:rFonts w:cs="Arial"/>
        </w:rPr>
        <w:t>.</w:t>
      </w:r>
      <w:r w:rsidRPr="008C5E69">
        <w:rPr>
          <w:rFonts w:cs="Arial"/>
        </w:rPr>
        <w:t xml:space="preserve">, </w:t>
      </w:r>
      <w:r w:rsidRPr="008C5E69">
        <w:rPr>
          <w:rFonts w:cs="Arial"/>
          <w:i/>
          <w:iCs/>
        </w:rPr>
        <w:t>The Law Officers of the Crown</w:t>
      </w:r>
      <w:r>
        <w:rPr>
          <w:rFonts w:cs="Arial"/>
          <w:i/>
          <w:iCs/>
        </w:rPr>
        <w:t>,</w:t>
      </w:r>
      <w:r w:rsidRPr="008C5E69">
        <w:rPr>
          <w:rFonts w:cs="Arial"/>
        </w:rPr>
        <w:t xml:space="preserve"> </w:t>
      </w:r>
      <w:r w:rsidRPr="00C01C22">
        <w:rPr>
          <w:rFonts w:cs="Arial"/>
        </w:rPr>
        <w:t>London: Sweet &amp; Maxwell, 1964</w:t>
      </w:r>
      <w:r w:rsidRPr="008C5E69">
        <w:rPr>
          <w:rFonts w:cs="Arial"/>
        </w:rPr>
        <w:t xml:space="preserve">. With regard to the evolution of public prosecutions and the role of the attorney general in Canada see, Law Reform Commission of Canada, </w:t>
      </w:r>
      <w:r w:rsidRPr="008C5E69">
        <w:rPr>
          <w:rFonts w:cs="Arial"/>
          <w:i/>
          <w:iCs/>
        </w:rPr>
        <w:t>Controlling Criminal Prosecutions: the Attorney General and the Crown Prosecutor</w:t>
      </w:r>
      <w:r w:rsidRPr="008C5E69">
        <w:rPr>
          <w:rFonts w:cs="Arial"/>
        </w:rPr>
        <w:t>, Working Paper 62 (1990),</w:t>
      </w:r>
      <w:r>
        <w:rPr>
          <w:rFonts w:cs="Arial"/>
        </w:rPr>
        <w:t> </w:t>
      </w:r>
      <w:r w:rsidRPr="008C5E69">
        <w:rPr>
          <w:rFonts w:cs="Arial"/>
        </w:rPr>
        <w:t>1-</w:t>
      </w:r>
      <w:r>
        <w:rPr>
          <w:rFonts w:cs="Arial"/>
        </w:rPr>
        <w:t> 5</w:t>
      </w:r>
      <w:r w:rsidRPr="008C5E69">
        <w:rPr>
          <w:rFonts w:cs="Arial"/>
        </w:rPr>
        <w:t xml:space="preserve">9; Stenning, </w:t>
      </w:r>
      <w:r w:rsidRPr="008C5E69">
        <w:rPr>
          <w:rFonts w:cs="Arial"/>
          <w:i/>
          <w:iCs/>
        </w:rPr>
        <w:t>Appearing for the Crown</w:t>
      </w:r>
      <w:r w:rsidRPr="008C5E69">
        <w:rPr>
          <w:rFonts w:cs="Arial"/>
        </w:rPr>
        <w:t xml:space="preserve"> (1986), 5-31, 101-109 and esp. 80-82 concerning Quebec.</w:t>
      </w:r>
    </w:p>
  </w:footnote>
  <w:footnote w:id="10">
    <w:p w14:paraId="3B720C7E"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v. Wilkes</w:t>
      </w:r>
      <w:r w:rsidRPr="008C5E69">
        <w:rPr>
          <w:rFonts w:cs="Arial"/>
        </w:rPr>
        <w:t xml:space="preserve"> (1768) 97 E.R. 123, 125.</w:t>
      </w:r>
    </w:p>
  </w:footnote>
  <w:footnote w:id="11">
    <w:p w14:paraId="21561A76"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See Hay, </w:t>
      </w:r>
      <w:r>
        <w:rPr>
          <w:rFonts w:cs="Arial"/>
        </w:rPr>
        <w:t xml:space="preserve">D., </w:t>
      </w:r>
      <w:r w:rsidRPr="008C5E69">
        <w:rPr>
          <w:rFonts w:cs="Arial"/>
          <w:i/>
          <w:iCs/>
        </w:rPr>
        <w:t>Controlling the English Prosecutor</w:t>
      </w:r>
      <w:r>
        <w:rPr>
          <w:rFonts w:cs="Arial"/>
          <w:i/>
          <w:iCs/>
        </w:rPr>
        <w:t>,</w:t>
      </w:r>
      <w:r w:rsidRPr="008C5E69">
        <w:rPr>
          <w:rFonts w:cs="Arial"/>
        </w:rPr>
        <w:t xml:space="preserve"> 21 Osgoode Hall L.J.</w:t>
      </w:r>
      <w:r>
        <w:rPr>
          <w:rFonts w:cs="Arial"/>
        </w:rPr>
        <w:t xml:space="preserve"> (1983),</w:t>
      </w:r>
      <w:r w:rsidRPr="008C5E69">
        <w:rPr>
          <w:rFonts w:cs="Arial"/>
        </w:rPr>
        <w:t xml:space="preserve"> 165.</w:t>
      </w:r>
    </w:p>
  </w:footnote>
  <w:footnote w:id="12">
    <w:p w14:paraId="7F41EECA"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For detailed studies see Edwards</w:t>
      </w:r>
      <w:r>
        <w:rPr>
          <w:rFonts w:cs="Arial"/>
        </w:rPr>
        <w:t>,</w:t>
      </w:r>
      <w:r w:rsidRPr="004B3AD0">
        <w:rPr>
          <w:rFonts w:cs="Arial"/>
        </w:rPr>
        <w:t xml:space="preserve"> </w:t>
      </w:r>
      <w:r>
        <w:rPr>
          <w:rFonts w:cs="Arial"/>
        </w:rPr>
        <w:t>J.Ll.J</w:t>
      </w:r>
      <w:r w:rsidRPr="008C5E69">
        <w:rPr>
          <w:rFonts w:cs="Arial"/>
        </w:rPr>
        <w:t xml:space="preserve">, </w:t>
      </w:r>
      <w:r w:rsidRPr="008C5E69">
        <w:rPr>
          <w:rFonts w:cs="Arial"/>
          <w:i/>
          <w:iCs/>
        </w:rPr>
        <w:t>The Law Officers of the Crown</w:t>
      </w:r>
      <w:r>
        <w:rPr>
          <w:rFonts w:cs="Arial"/>
        </w:rPr>
        <w:t xml:space="preserve">, </w:t>
      </w:r>
      <w:r w:rsidRPr="003E17A7">
        <w:rPr>
          <w:rFonts w:cs="Arial"/>
        </w:rPr>
        <w:t>London: Sweet &amp; Maxwell, 1964</w:t>
      </w:r>
      <w:r w:rsidRPr="008C5E69">
        <w:rPr>
          <w:rFonts w:cs="Arial"/>
        </w:rPr>
        <w:t>; Edwards</w:t>
      </w:r>
      <w:r>
        <w:rPr>
          <w:rFonts w:cs="Arial"/>
        </w:rPr>
        <w:t>, J.Ll.J.</w:t>
      </w:r>
      <w:r w:rsidRPr="008C5E69">
        <w:rPr>
          <w:rFonts w:cs="Arial"/>
        </w:rPr>
        <w:t xml:space="preserve">, </w:t>
      </w:r>
      <w:r w:rsidRPr="008C5E69">
        <w:rPr>
          <w:rFonts w:cs="Arial"/>
          <w:i/>
          <w:iCs/>
        </w:rPr>
        <w:t>The Attorney General, Politics and the Public Interest</w:t>
      </w:r>
      <w:r>
        <w:rPr>
          <w:rFonts w:cs="Arial"/>
        </w:rPr>
        <w:t>, London: Sweet &amp; Maxwell, 1984</w:t>
      </w:r>
      <w:r w:rsidRPr="008C5E69">
        <w:rPr>
          <w:rFonts w:cs="Arial"/>
        </w:rPr>
        <w:t xml:space="preserve">; Kurland and Waters, </w:t>
      </w:r>
      <w:r w:rsidRPr="008C5E69">
        <w:rPr>
          <w:rFonts w:cs="Arial"/>
          <w:i/>
          <w:iCs/>
        </w:rPr>
        <w:t xml:space="preserve">Public Prosecution in England, 1854-1879: An Essay in English Legislative History </w:t>
      </w:r>
      <w:r w:rsidRPr="008C5E69">
        <w:rPr>
          <w:rFonts w:cs="Arial"/>
        </w:rPr>
        <w:t xml:space="preserve">(1959) 9 Duke L.J. 493; Hay, </w:t>
      </w:r>
      <w:r>
        <w:rPr>
          <w:rFonts w:cs="Arial"/>
        </w:rPr>
        <w:t xml:space="preserve">D., </w:t>
      </w:r>
      <w:r w:rsidRPr="008C5E69">
        <w:rPr>
          <w:rFonts w:cs="Arial"/>
          <w:i/>
          <w:iCs/>
        </w:rPr>
        <w:t>Controlling the English Prosecutor</w:t>
      </w:r>
      <w:r>
        <w:rPr>
          <w:rFonts w:cs="Arial"/>
        </w:rPr>
        <w:t xml:space="preserve">, </w:t>
      </w:r>
      <w:r w:rsidRPr="008C5E69">
        <w:rPr>
          <w:rFonts w:cs="Arial"/>
        </w:rPr>
        <w:t>21 Osgoode Hall L.J.</w:t>
      </w:r>
      <w:r>
        <w:rPr>
          <w:rFonts w:cs="Arial"/>
        </w:rPr>
        <w:t xml:space="preserve"> (1983),</w:t>
      </w:r>
      <w:r w:rsidRPr="008C5E69">
        <w:rPr>
          <w:rFonts w:cs="Arial"/>
        </w:rPr>
        <w:t xml:space="preserve"> 165.</w:t>
      </w:r>
    </w:p>
  </w:footnote>
  <w:footnote w:id="13">
    <w:p w14:paraId="1F72B7FE"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Section 2. The word “superintendence” has been used in this connection since 1879 and has been continuously used in Quebec: </w:t>
      </w:r>
      <w:r w:rsidRPr="008C5E69">
        <w:rPr>
          <w:rFonts w:cs="Arial"/>
          <w:i/>
          <w:iCs/>
        </w:rPr>
        <w:t>An Act respecting the Ministère de la Justice</w:t>
      </w:r>
      <w:r w:rsidRPr="008C5E69">
        <w:rPr>
          <w:rFonts w:cs="Arial"/>
        </w:rPr>
        <w:t>, C.L.R.Q. c. M-19 (“</w:t>
      </w:r>
      <w:r w:rsidRPr="008C5E69">
        <w:rPr>
          <w:rFonts w:cs="Arial"/>
          <w:i/>
          <w:iCs/>
        </w:rPr>
        <w:t>MJ Act</w:t>
      </w:r>
      <w:r w:rsidRPr="008C5E69">
        <w:rPr>
          <w:rFonts w:cs="Arial"/>
        </w:rPr>
        <w:t>”), s. 3(</w:t>
      </w:r>
      <w:r w:rsidRPr="008C5E69">
        <w:rPr>
          <w:rFonts w:cs="Arial"/>
          <w:i/>
          <w:iCs/>
        </w:rPr>
        <w:t>c</w:t>
      </w:r>
      <w:r w:rsidRPr="008C5E69">
        <w:rPr>
          <w:rFonts w:cs="Arial"/>
        </w:rPr>
        <w:t xml:space="preserve">). See also </w:t>
      </w:r>
      <w:r w:rsidRPr="008C5E69">
        <w:rPr>
          <w:rFonts w:cs="Arial"/>
          <w:i/>
          <w:iCs/>
        </w:rPr>
        <w:t>Department of Justice Act</w:t>
      </w:r>
      <w:r w:rsidRPr="008C5E69">
        <w:rPr>
          <w:rFonts w:cs="Arial"/>
        </w:rPr>
        <w:t>, R.S.C. 1985, c. J-2, s. 4(</w:t>
      </w:r>
      <w:r w:rsidRPr="008C5E69">
        <w:rPr>
          <w:rFonts w:cs="Arial"/>
          <w:i/>
          <w:iCs/>
        </w:rPr>
        <w:t>b</w:t>
      </w:r>
      <w:r w:rsidRPr="008C5E69">
        <w:rPr>
          <w:rFonts w:cs="Arial"/>
        </w:rPr>
        <w:t xml:space="preserve">). </w:t>
      </w:r>
    </w:p>
  </w:footnote>
  <w:footnote w:id="14">
    <w:p w14:paraId="0F094173" w14:textId="77777777" w:rsidR="00F72CE5" w:rsidRPr="00A8513D" w:rsidRDefault="00F72CE5" w:rsidP="00F72CE5">
      <w:pPr>
        <w:pStyle w:val="Notedebasdepage"/>
        <w:rPr>
          <w:rFonts w:ascii="Bodoni MT" w:hAnsi="Bodoni MT"/>
        </w:rPr>
      </w:pPr>
      <w:r w:rsidRPr="008C5E69">
        <w:rPr>
          <w:rStyle w:val="Appelnotedebasdep"/>
          <w:rFonts w:cs="Arial"/>
        </w:rPr>
        <w:footnoteRef/>
      </w:r>
      <w:r w:rsidRPr="008C5E69">
        <w:rPr>
          <w:rFonts w:cs="Arial"/>
        </w:rPr>
        <w:tab/>
        <w:t>Edwards</w:t>
      </w:r>
      <w:r>
        <w:rPr>
          <w:rFonts w:cs="Arial"/>
        </w:rPr>
        <w:t>, J.Ll.J.</w:t>
      </w:r>
      <w:r w:rsidRPr="008C5E69">
        <w:rPr>
          <w:rFonts w:cs="Arial"/>
        </w:rPr>
        <w:t xml:space="preserve">, </w:t>
      </w:r>
      <w:r w:rsidRPr="008C5E69">
        <w:rPr>
          <w:rFonts w:cs="Arial"/>
          <w:i/>
          <w:iCs/>
        </w:rPr>
        <w:t>The Law Officers of the Crown</w:t>
      </w:r>
      <w:r>
        <w:rPr>
          <w:rFonts w:cs="Arial"/>
        </w:rPr>
        <w:t xml:space="preserve">, </w:t>
      </w:r>
      <w:bookmarkStart w:id="15" w:name="_Hlk224908356"/>
      <w:r w:rsidRPr="003E17A7">
        <w:rPr>
          <w:rFonts w:cs="Arial"/>
        </w:rPr>
        <w:t>London: Sweet &amp; Maxwell, 1964</w:t>
      </w:r>
      <w:r w:rsidRPr="008C5E69">
        <w:rPr>
          <w:rFonts w:cs="Arial"/>
        </w:rPr>
        <w:t xml:space="preserve">, </w:t>
      </w:r>
      <w:bookmarkEnd w:id="15"/>
      <w:r w:rsidRPr="008C5E69">
        <w:rPr>
          <w:rFonts w:cs="Arial"/>
        </w:rPr>
        <w:t>chs. 9-10; Edwards</w:t>
      </w:r>
      <w:r>
        <w:rPr>
          <w:rFonts w:cs="Arial"/>
        </w:rPr>
        <w:t>, J.Ll.J.</w:t>
      </w:r>
      <w:r w:rsidRPr="008C5E69">
        <w:rPr>
          <w:rFonts w:cs="Arial"/>
        </w:rPr>
        <w:t xml:space="preserve">, </w:t>
      </w:r>
      <w:r w:rsidRPr="008C5E69">
        <w:rPr>
          <w:rFonts w:cs="Arial"/>
          <w:i/>
          <w:iCs/>
        </w:rPr>
        <w:t>The Attorney General, Politics and the Public Interest</w:t>
      </w:r>
      <w:r>
        <w:rPr>
          <w:rFonts w:cs="Arial"/>
        </w:rPr>
        <w:t>, London: Sweet &amp; Maxwell, 1984.</w:t>
      </w:r>
    </w:p>
  </w:footnote>
  <w:footnote w:id="15">
    <w:p w14:paraId="712098C3"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Pr>
          <w:rFonts w:cs="Arial"/>
        </w:rPr>
        <w:t xml:space="preserve">U.K., </w:t>
      </w:r>
      <w:r w:rsidRPr="008C5E69">
        <w:rPr>
          <w:rFonts w:cs="Arial"/>
        </w:rPr>
        <w:t xml:space="preserve">H.C. Debates, 29 January 1951, </w:t>
      </w:r>
      <w:r>
        <w:rPr>
          <w:rFonts w:cs="Arial"/>
        </w:rPr>
        <w:t xml:space="preserve">vol. 483, </w:t>
      </w:r>
      <w:r w:rsidRPr="008C5E69">
        <w:rPr>
          <w:rFonts w:cs="Arial"/>
        </w:rPr>
        <w:t>c</w:t>
      </w:r>
      <w:r>
        <w:rPr>
          <w:rFonts w:cs="Arial"/>
        </w:rPr>
        <w:t xml:space="preserve">ol. </w:t>
      </w:r>
      <w:r w:rsidRPr="008C5E69">
        <w:rPr>
          <w:rFonts w:cs="Arial"/>
        </w:rPr>
        <w:t>681.</w:t>
      </w:r>
    </w:p>
  </w:footnote>
  <w:footnote w:id="16">
    <w:p w14:paraId="0A9175B1"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See Commonwealth Secretariat, </w:t>
      </w:r>
      <w:r w:rsidRPr="008C5E69">
        <w:rPr>
          <w:rFonts w:cs="Arial"/>
          <w:i/>
          <w:iCs/>
        </w:rPr>
        <w:t>Prosecution Independence and Accountability: Principles, Challenges and Recommendations</w:t>
      </w:r>
      <w:r w:rsidRPr="008C5E69">
        <w:rPr>
          <w:rFonts w:cs="Arial"/>
        </w:rPr>
        <w:t xml:space="preserve"> (2017) 42 Comm. L. Bull. 567.</w:t>
      </w:r>
    </w:p>
  </w:footnote>
  <w:footnote w:id="17">
    <w:p w14:paraId="095CBCBA"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For comparative perspectives, see Edwards</w:t>
      </w:r>
      <w:r>
        <w:rPr>
          <w:rFonts w:cs="Arial"/>
        </w:rPr>
        <w:t>, J.Ll.J.</w:t>
      </w:r>
      <w:r w:rsidRPr="008C5E69">
        <w:rPr>
          <w:rFonts w:cs="Arial"/>
        </w:rPr>
        <w:t xml:space="preserve">, </w:t>
      </w:r>
      <w:r w:rsidRPr="008C5E69">
        <w:rPr>
          <w:rFonts w:cs="Arial"/>
          <w:i/>
          <w:iCs/>
        </w:rPr>
        <w:t>The Attorney General, Politics and the Public Interest</w:t>
      </w:r>
      <w:r>
        <w:rPr>
          <w:rFonts w:cs="Arial"/>
        </w:rPr>
        <w:t xml:space="preserve">, London: Sweet &amp; Maxwell, </w:t>
      </w:r>
      <w:r w:rsidRPr="008C5E69">
        <w:rPr>
          <w:rFonts w:cs="Arial"/>
        </w:rPr>
        <w:t>1984.</w:t>
      </w:r>
    </w:p>
  </w:footnote>
  <w:footnote w:id="18">
    <w:p w14:paraId="45C0F29A"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Edwards, </w:t>
      </w:r>
      <w:r>
        <w:rPr>
          <w:rFonts w:cs="Arial"/>
        </w:rPr>
        <w:t xml:space="preserve">J.Ll.J., </w:t>
      </w:r>
      <w:r w:rsidRPr="008C5E69">
        <w:rPr>
          <w:rFonts w:cs="Arial"/>
          <w:i/>
          <w:iCs/>
        </w:rPr>
        <w:t>The Charter, Government and the Machinery of Justice</w:t>
      </w:r>
      <w:r w:rsidRPr="008C5E69">
        <w:rPr>
          <w:rFonts w:cs="Arial"/>
        </w:rPr>
        <w:t xml:space="preserve"> (1987)</w:t>
      </w:r>
      <w:r>
        <w:rPr>
          <w:rFonts w:cs="Arial"/>
        </w:rPr>
        <w:t xml:space="preserve"> 36</w:t>
      </w:r>
      <w:r w:rsidRPr="008C5E69">
        <w:rPr>
          <w:rFonts w:cs="Arial"/>
        </w:rPr>
        <w:t xml:space="preserve"> U.N.B. L.J. 41.</w:t>
      </w:r>
    </w:p>
  </w:footnote>
  <w:footnote w:id="19">
    <w:p w14:paraId="1627DF48"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U.K., c. 23.</w:t>
      </w:r>
    </w:p>
  </w:footnote>
  <w:footnote w:id="20">
    <w:p w14:paraId="12AD7EC3"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0F45C6">
        <w:rPr>
          <w:rFonts w:cs="Arial"/>
          <w:i/>
          <w:iCs/>
        </w:rPr>
        <w:t>Id</w:t>
      </w:r>
      <w:r>
        <w:rPr>
          <w:rFonts w:cs="Arial"/>
        </w:rPr>
        <w:t>., s.</w:t>
      </w:r>
      <w:r w:rsidRPr="008C5E69">
        <w:rPr>
          <w:rFonts w:cs="Arial"/>
        </w:rPr>
        <w:t xml:space="preserve"> 2.</w:t>
      </w:r>
    </w:p>
  </w:footnote>
  <w:footnote w:id="21">
    <w:p w14:paraId="24E4BBC2"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The Act specifies that the DPP shall be the “head of the service.” Prosecution of Offences Act 1985, c.</w:t>
      </w:r>
      <w:r>
        <w:rPr>
          <w:rFonts w:cs="Arial"/>
        </w:rPr>
        <w:t> </w:t>
      </w:r>
      <w:r w:rsidRPr="008C5E69">
        <w:rPr>
          <w:rFonts w:cs="Arial"/>
        </w:rPr>
        <w:t xml:space="preserve">23, s. 1(1). Section 3(3) of the Act specifies that the DPP shall discharge his functions under the superintendence of the attorney general. </w:t>
      </w:r>
    </w:p>
  </w:footnote>
  <w:footnote w:id="22">
    <w:p w14:paraId="7603CECD" w14:textId="77777777" w:rsidR="00F72CE5" w:rsidRPr="00FA6466" w:rsidRDefault="00F72CE5" w:rsidP="00F72CE5">
      <w:pPr>
        <w:pStyle w:val="Notedebasdepage"/>
        <w:rPr>
          <w:rFonts w:cs="Arial"/>
        </w:rPr>
      </w:pPr>
      <w:r w:rsidRPr="00FA6466">
        <w:rPr>
          <w:rStyle w:val="Appelnotedebasdep"/>
          <w:rFonts w:cs="Arial"/>
        </w:rPr>
        <w:footnoteRef/>
      </w:r>
      <w:r w:rsidRPr="00FA6466">
        <w:rPr>
          <w:rFonts w:cs="Arial"/>
        </w:rPr>
        <w:t xml:space="preserve"> </w:t>
      </w:r>
      <w:r w:rsidRPr="00FA6466">
        <w:rPr>
          <w:rFonts w:cs="Arial"/>
        </w:rPr>
        <w:tab/>
      </w:r>
      <w:r w:rsidRPr="00FA6466">
        <w:rPr>
          <w:rFonts w:cs="Arial"/>
          <w:i/>
          <w:iCs/>
        </w:rPr>
        <w:t>R. v. Varennes</w:t>
      </w:r>
      <w:r w:rsidRPr="00FA6466">
        <w:rPr>
          <w:rFonts w:cs="Arial"/>
        </w:rPr>
        <w:t>, 2025 SCC 22.</w:t>
      </w:r>
    </w:p>
  </w:footnote>
  <w:footnote w:id="23">
    <w:p w14:paraId="0B2179B3" w14:textId="77777777" w:rsidR="00F72CE5" w:rsidRPr="00FA6466" w:rsidRDefault="00F72CE5" w:rsidP="00F72CE5">
      <w:pPr>
        <w:pStyle w:val="Notedebasdepage"/>
        <w:rPr>
          <w:rFonts w:cs="Arial"/>
        </w:rPr>
      </w:pPr>
      <w:r w:rsidRPr="00FA6466">
        <w:rPr>
          <w:rStyle w:val="Appelnotedebasdep"/>
          <w:rFonts w:cs="Arial"/>
        </w:rPr>
        <w:footnoteRef/>
      </w:r>
      <w:r w:rsidRPr="00FA6466">
        <w:rPr>
          <w:rFonts w:cs="Arial"/>
        </w:rPr>
        <w:t xml:space="preserve"> </w:t>
      </w:r>
      <w:r w:rsidRPr="00FA6466">
        <w:rPr>
          <w:rFonts w:cs="Arial"/>
        </w:rPr>
        <w:tab/>
        <w:t>See Rosenberg,</w:t>
      </w:r>
      <w:r>
        <w:rPr>
          <w:rFonts w:cs="Arial"/>
        </w:rPr>
        <w:t xml:space="preserve"> M.,</w:t>
      </w:r>
      <w:r w:rsidRPr="00FA6466">
        <w:rPr>
          <w:rFonts w:cs="Arial"/>
        </w:rPr>
        <w:t xml:space="preserve"> </w:t>
      </w:r>
      <w:r w:rsidRPr="00FA6466">
        <w:rPr>
          <w:rFonts w:cs="Arial"/>
          <w:i/>
          <w:iCs/>
        </w:rPr>
        <w:t>The Attorney General and the Administration of Criminal Justice</w:t>
      </w:r>
      <w:r w:rsidRPr="00FA6466">
        <w:rPr>
          <w:rFonts w:cs="Arial"/>
        </w:rPr>
        <w:t xml:space="preserve"> (2009</w:t>
      </w:r>
      <w:r>
        <w:rPr>
          <w:rFonts w:cs="Arial"/>
        </w:rPr>
        <w:t>)</w:t>
      </w:r>
      <w:r w:rsidRPr="00FA6466">
        <w:rPr>
          <w:rFonts w:cs="Arial"/>
        </w:rPr>
        <w:t xml:space="preserve"> 34 Queen’s L.J. 813.</w:t>
      </w:r>
    </w:p>
  </w:footnote>
  <w:footnote w:id="24">
    <w:p w14:paraId="1E4678CF"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v. Cawthorne</w:t>
      </w:r>
      <w:r w:rsidRPr="008C5E69">
        <w:rPr>
          <w:rFonts w:cs="Arial"/>
        </w:rPr>
        <w:t xml:space="preserve">, 2016 SCC 32. See also </w:t>
      </w:r>
      <w:r w:rsidRPr="008C5E69">
        <w:rPr>
          <w:rFonts w:cs="Arial"/>
          <w:i/>
          <w:iCs/>
        </w:rPr>
        <w:t>R. v. Varennes</w:t>
      </w:r>
      <w:r w:rsidRPr="008C5E69">
        <w:rPr>
          <w:rFonts w:cs="Arial"/>
        </w:rPr>
        <w:t>, 2025 SCC 22, par</w:t>
      </w:r>
      <w:r>
        <w:rPr>
          <w:rFonts w:cs="Arial"/>
        </w:rPr>
        <w:t>as</w:t>
      </w:r>
      <w:r w:rsidRPr="008C5E69">
        <w:rPr>
          <w:rFonts w:cs="Arial"/>
        </w:rPr>
        <w:t xml:space="preserve">. 42-44; </w:t>
      </w:r>
      <w:r w:rsidRPr="008C5E69">
        <w:rPr>
          <w:rFonts w:cs="Arial"/>
          <w:i/>
          <w:iCs/>
        </w:rPr>
        <w:t>Hinse v. Canada (Attorney General)</w:t>
      </w:r>
      <w:r w:rsidRPr="008C5E69">
        <w:rPr>
          <w:rFonts w:cs="Arial"/>
        </w:rPr>
        <w:t>, 2015 SCC 35, par</w:t>
      </w:r>
      <w:r>
        <w:rPr>
          <w:rFonts w:cs="Arial"/>
        </w:rPr>
        <w:t>a</w:t>
      </w:r>
      <w:r w:rsidRPr="008C5E69">
        <w:rPr>
          <w:rFonts w:cs="Arial"/>
        </w:rPr>
        <w:t>. 40.</w:t>
      </w:r>
    </w:p>
  </w:footnote>
  <w:footnote w:id="25">
    <w:p w14:paraId="10955A32" w14:textId="77777777" w:rsidR="00F72CE5" w:rsidRPr="00C527CB" w:rsidRDefault="00F72CE5" w:rsidP="00F72CE5">
      <w:pPr>
        <w:pStyle w:val="Notedebasdepage"/>
        <w:rPr>
          <w:rFonts w:cs="Arial"/>
        </w:rPr>
      </w:pPr>
      <w:r w:rsidRPr="008C5E69">
        <w:rPr>
          <w:rStyle w:val="Appelnotedebasdep"/>
          <w:rFonts w:cs="Arial"/>
        </w:rPr>
        <w:footnoteRef/>
      </w:r>
      <w:r w:rsidRPr="00C527CB">
        <w:rPr>
          <w:rFonts w:cs="Arial"/>
        </w:rPr>
        <w:t xml:space="preserve"> </w:t>
      </w:r>
      <w:r w:rsidRPr="00C527CB">
        <w:rPr>
          <w:rFonts w:cs="Arial"/>
        </w:rPr>
        <w:tab/>
      </w:r>
      <w:r w:rsidRPr="00C527CB">
        <w:rPr>
          <w:rFonts w:cs="Arial"/>
          <w:i/>
          <w:iCs/>
        </w:rPr>
        <w:t>R. v. Anderson</w:t>
      </w:r>
      <w:r w:rsidRPr="00C527CB">
        <w:rPr>
          <w:rFonts w:cs="Arial"/>
        </w:rPr>
        <w:t xml:space="preserve">, 2014 SCC 41, para. 44 : </w:t>
      </w:r>
    </w:p>
    <w:p w14:paraId="4CB1DE18" w14:textId="77777777" w:rsidR="00F72CE5" w:rsidRPr="00D07A67" w:rsidRDefault="00F72CE5" w:rsidP="00F72CE5">
      <w:pPr>
        <w:pStyle w:val="Notedebasdepage"/>
        <w:ind w:left="731" w:firstLine="0"/>
        <w:rPr>
          <w:rFonts w:cs="Arial"/>
          <w:lang w:val="fr-CA"/>
        </w:rPr>
      </w:pPr>
      <w:r w:rsidRPr="008C5E69">
        <w:rPr>
          <w:rFonts w:cs="Arial"/>
        </w:rPr>
        <w:t>I think we should start by recognizing that the term “prosecutorial discretion” is an expansive term that covers all “decisions regarding the nature and extent of the prosecution and the Attorney General’s participation in it.” As this Court has repeatedly noted, “[p]rosecutorial discretion refers to the discretion exercised by the Attorney-General </w:t>
      </w:r>
      <w:r w:rsidRPr="008C5E69">
        <w:rPr>
          <w:rFonts w:cs="Arial"/>
          <w:u w:val="single"/>
        </w:rPr>
        <w:t>in matters within his authority</w:t>
      </w:r>
      <w:r w:rsidRPr="008C5E69">
        <w:rPr>
          <w:rFonts w:cs="Arial"/>
        </w:rPr>
        <w:t xml:space="preserve"> in relation to the prosecution of criminal offences.”. While it is likely impossible to create an exhaustive list of the decisions that fall within the nature and extent of a prosecution, further examples [include] the decision to initiate an appeal. All pertain to the nature and extent of the prosecution. </w:t>
      </w:r>
      <w:r w:rsidRPr="00D07A67">
        <w:rPr>
          <w:rFonts w:cs="Arial"/>
          <w:lang w:val="fr-CA"/>
        </w:rPr>
        <w:t>[References omitted.]</w:t>
      </w:r>
    </w:p>
  </w:footnote>
  <w:footnote w:id="26">
    <w:p w14:paraId="5EA225D2" w14:textId="77777777" w:rsidR="00F72CE5" w:rsidRPr="008C5E69" w:rsidRDefault="00F72CE5" w:rsidP="00F72CE5">
      <w:pPr>
        <w:pStyle w:val="Notedebasdepage"/>
        <w:rPr>
          <w:rFonts w:cs="Arial"/>
        </w:rPr>
      </w:pPr>
      <w:r w:rsidRPr="008C5E69">
        <w:rPr>
          <w:rStyle w:val="Appelnotedebasdep"/>
          <w:rFonts w:cs="Arial"/>
        </w:rPr>
        <w:footnoteRef/>
      </w:r>
      <w:r w:rsidRPr="00D07A67">
        <w:rPr>
          <w:rFonts w:cs="Arial"/>
          <w:lang w:val="fr-CA"/>
        </w:rPr>
        <w:t xml:space="preserve"> </w:t>
      </w:r>
      <w:r w:rsidRPr="00D07A67">
        <w:rPr>
          <w:rFonts w:cs="Arial"/>
          <w:lang w:val="fr-CA"/>
        </w:rPr>
        <w:tab/>
        <w:t xml:space="preserve">See Directeur des poursuites criminelles et pénales, </w:t>
      </w:r>
      <w:r w:rsidRPr="00D07A67">
        <w:rPr>
          <w:rFonts w:cs="Arial"/>
          <w:i/>
          <w:iCs/>
          <w:lang w:val="fr-CA"/>
        </w:rPr>
        <w:t>Les Origines et les fondements de l’institution du DPCP</w:t>
      </w:r>
      <w:r w:rsidRPr="00D07A67">
        <w:rPr>
          <w:rFonts w:cs="Arial"/>
          <w:lang w:val="fr-CA"/>
        </w:rPr>
        <w:t xml:space="preserve"> (2022); Pierre Lapointe, « La Loi sur le directeur des poursuites criminelles et pénales », in </w:t>
      </w:r>
      <w:r w:rsidRPr="00D07A67">
        <w:rPr>
          <w:rFonts w:cs="Arial"/>
          <w:i/>
          <w:iCs/>
          <w:lang w:val="fr-CA"/>
        </w:rPr>
        <w:t>Développements récents en droit criminel</w:t>
      </w:r>
      <w:r w:rsidRPr="00D07A67">
        <w:rPr>
          <w:rFonts w:cs="Arial"/>
          <w:lang w:val="fr-CA"/>
        </w:rPr>
        <w:t xml:space="preserve">, vol. 264, 2007, 99. </w:t>
      </w:r>
      <w:r w:rsidRPr="008C5E69">
        <w:rPr>
          <w:rFonts w:cs="Arial"/>
        </w:rPr>
        <w:t xml:space="preserve">For a general view of the role of the attorney general in Canada, see </w:t>
      </w:r>
      <w:r w:rsidRPr="008C5E69">
        <w:rPr>
          <w:rFonts w:cs="Arial"/>
          <w:i/>
          <w:iCs/>
        </w:rPr>
        <w:t>Krieger v. Law Society of Alberta</w:t>
      </w:r>
      <w:r w:rsidRPr="008C5E69">
        <w:rPr>
          <w:rFonts w:cs="Arial"/>
        </w:rPr>
        <w:t>, 2002 SCC 65.</w:t>
      </w:r>
    </w:p>
  </w:footnote>
  <w:footnote w:id="27">
    <w:p w14:paraId="0D91C0BC"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Membership of the Cabinet is required under s. 63 of the </w:t>
      </w:r>
      <w:r w:rsidRPr="008C5E69">
        <w:rPr>
          <w:rFonts w:cs="Arial"/>
          <w:i/>
          <w:iCs/>
        </w:rPr>
        <w:t>Constitution Act, 1867</w:t>
      </w:r>
      <w:r w:rsidRPr="008C5E69">
        <w:rPr>
          <w:rFonts w:cs="Arial"/>
        </w:rPr>
        <w:t>.</w:t>
      </w:r>
    </w:p>
  </w:footnote>
  <w:footnote w:id="28">
    <w:p w14:paraId="2B9B9ECD" w14:textId="77777777" w:rsidR="00F72CE5" w:rsidRPr="00D07A67" w:rsidRDefault="00F72CE5" w:rsidP="00F72CE5">
      <w:pPr>
        <w:pStyle w:val="Notedebasdepage"/>
        <w:rPr>
          <w:rFonts w:cs="Arial"/>
          <w:lang w:val="fr-CA"/>
        </w:rPr>
      </w:pPr>
      <w:r w:rsidRPr="008C5E69">
        <w:rPr>
          <w:rStyle w:val="Appelnotedebasdep"/>
          <w:rFonts w:cs="Arial"/>
        </w:rPr>
        <w:footnoteRef/>
      </w:r>
      <w:r w:rsidRPr="00D07A67">
        <w:rPr>
          <w:rFonts w:cs="Arial"/>
          <w:lang w:val="fr-CA"/>
        </w:rPr>
        <w:t xml:space="preserve"> </w:t>
      </w:r>
      <w:r w:rsidRPr="00D07A67">
        <w:rPr>
          <w:rFonts w:cs="Arial"/>
          <w:lang w:val="fr-CA"/>
        </w:rPr>
        <w:tab/>
        <w:t xml:space="preserve">Pierre Lapointe, « La Loi sur le directeur des poursuites criminelles et pénales », in </w:t>
      </w:r>
      <w:r w:rsidRPr="00D07A67">
        <w:rPr>
          <w:rFonts w:cs="Arial"/>
          <w:i/>
          <w:iCs/>
          <w:lang w:val="fr-CA"/>
        </w:rPr>
        <w:t xml:space="preserve">Développements récents en droit criminel, </w:t>
      </w:r>
      <w:r w:rsidRPr="00D07A67">
        <w:rPr>
          <w:rFonts w:cs="Arial"/>
          <w:lang w:val="fr-CA"/>
        </w:rPr>
        <w:t>vol. 264, 2007, 99, 108.</w:t>
      </w:r>
    </w:p>
  </w:footnote>
  <w:footnote w:id="29">
    <w:p w14:paraId="0C27E249"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A84CFD">
        <w:rPr>
          <w:rFonts w:cs="Arial"/>
          <w:i/>
          <w:iCs/>
        </w:rPr>
        <w:t>DCPP A</w:t>
      </w:r>
      <w:r>
        <w:rPr>
          <w:rFonts w:cs="Arial"/>
          <w:i/>
          <w:iCs/>
        </w:rPr>
        <w:t>ct</w:t>
      </w:r>
      <w:r>
        <w:rPr>
          <w:rFonts w:cs="Arial"/>
        </w:rPr>
        <w:t>, s.</w:t>
      </w:r>
      <w:r w:rsidRPr="008C5E69">
        <w:rPr>
          <w:rFonts w:cs="Arial"/>
        </w:rPr>
        <w:t xml:space="preserve"> 1.</w:t>
      </w:r>
    </w:p>
  </w:footnote>
  <w:footnote w:id="30">
    <w:p w14:paraId="7120CCC1"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MJ Act</w:t>
      </w:r>
      <w:r w:rsidRPr="008C5E69">
        <w:rPr>
          <w:rFonts w:cs="Arial"/>
        </w:rPr>
        <w:t>, s. 3(</w:t>
      </w:r>
      <w:r w:rsidRPr="008C5E69">
        <w:rPr>
          <w:rFonts w:cs="Arial"/>
          <w:i/>
          <w:iCs/>
        </w:rPr>
        <w:t>c</w:t>
      </w:r>
      <w:r w:rsidRPr="008C5E69">
        <w:rPr>
          <w:rFonts w:cs="Arial"/>
        </w:rPr>
        <w:t>).</w:t>
      </w:r>
    </w:p>
  </w:footnote>
  <w:footnote w:id="31">
    <w:p w14:paraId="125BF7D6" w14:textId="77777777" w:rsidR="00F72CE5" w:rsidRPr="00D07A67" w:rsidRDefault="00F72CE5" w:rsidP="00F72CE5">
      <w:pPr>
        <w:pStyle w:val="Notedebasdepage"/>
        <w:rPr>
          <w:rFonts w:cs="Arial"/>
          <w:lang w:val="fr-CA"/>
        </w:rPr>
      </w:pPr>
      <w:r w:rsidRPr="008C5E6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Québec (Procureur général) v. 9148-5847 inc.</w:t>
      </w:r>
      <w:r w:rsidRPr="00D07A67">
        <w:rPr>
          <w:rFonts w:cs="Arial"/>
          <w:lang w:val="fr-CA"/>
        </w:rPr>
        <w:t xml:space="preserve">, 2012 QCCA 1362, par. 38. </w:t>
      </w:r>
    </w:p>
  </w:footnote>
  <w:footnote w:id="32">
    <w:p w14:paraId="6D3F799F" w14:textId="77777777" w:rsidR="00F72CE5" w:rsidRPr="00D07A67" w:rsidRDefault="00F72CE5" w:rsidP="00F72CE5">
      <w:pPr>
        <w:pStyle w:val="Notedebasdepage"/>
        <w:rPr>
          <w:rFonts w:cs="Arial"/>
          <w:lang w:val="fr-CA"/>
        </w:rPr>
      </w:pPr>
      <w:r w:rsidRPr="008C5E6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Ouellet v. R.</w:t>
      </w:r>
      <w:r w:rsidRPr="00D07A67">
        <w:rPr>
          <w:rFonts w:cs="Arial"/>
          <w:lang w:val="fr-CA"/>
        </w:rPr>
        <w:t xml:space="preserve">, 2021 QCCA 386; </w:t>
      </w:r>
      <w:r w:rsidRPr="00D07A67">
        <w:rPr>
          <w:rFonts w:cs="Arial"/>
          <w:i/>
          <w:iCs/>
          <w:lang w:val="fr-CA"/>
        </w:rPr>
        <w:t>R. v. Kyres</w:t>
      </w:r>
      <w:r w:rsidRPr="00D07A67">
        <w:rPr>
          <w:rFonts w:cs="Arial"/>
          <w:lang w:val="fr-CA"/>
        </w:rPr>
        <w:t xml:space="preserve">, 2018 QCCS 4671; </w:t>
      </w:r>
      <w:r w:rsidRPr="00D07A67">
        <w:rPr>
          <w:rFonts w:cs="Arial"/>
          <w:i/>
          <w:iCs/>
          <w:lang w:val="fr-CA"/>
        </w:rPr>
        <w:t>Québec (Procureur général) v. 9148-5847 inc.</w:t>
      </w:r>
      <w:r w:rsidRPr="00D07A67">
        <w:rPr>
          <w:rFonts w:cs="Arial"/>
          <w:lang w:val="fr-CA"/>
        </w:rPr>
        <w:t>, 2012 QCCA 1362.</w:t>
      </w:r>
    </w:p>
  </w:footnote>
  <w:footnote w:id="33">
    <w:p w14:paraId="3729C166"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Quebec (Attorney General) v. Senneville</w:t>
      </w:r>
      <w:r w:rsidRPr="008C5E69">
        <w:rPr>
          <w:rFonts w:cs="Arial"/>
        </w:rPr>
        <w:t>, 2025 SCC 33.</w:t>
      </w:r>
    </w:p>
  </w:footnote>
  <w:footnote w:id="34">
    <w:p w14:paraId="57ED2A9D"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The answers to these questions, where the DCPP and the AGQ appear on the two questions, might be given in various permutations: Yes-Yes, No-No, Yes-No and No-Yes.</w:t>
      </w:r>
    </w:p>
  </w:footnote>
  <w:footnote w:id="35">
    <w:p w14:paraId="4088AA98"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E.g.</w:t>
      </w:r>
      <w:r w:rsidRPr="008C5E69">
        <w:rPr>
          <w:rFonts w:cs="Arial"/>
        </w:rPr>
        <w:t xml:space="preserve">, </w:t>
      </w:r>
      <w:r w:rsidRPr="008C5E69">
        <w:rPr>
          <w:rFonts w:cs="Arial"/>
          <w:i/>
          <w:iCs/>
        </w:rPr>
        <w:t>R. v. Laba</w:t>
      </w:r>
      <w:r w:rsidRPr="008C5E69">
        <w:rPr>
          <w:rFonts w:cs="Arial"/>
        </w:rPr>
        <w:t xml:space="preserve">, </w:t>
      </w:r>
      <w:r>
        <w:rPr>
          <w:rFonts w:cs="Arial"/>
        </w:rPr>
        <w:t>[</w:t>
      </w:r>
      <w:r w:rsidRPr="008C5E69">
        <w:rPr>
          <w:rFonts w:cs="Arial"/>
        </w:rPr>
        <w:t>1994</w:t>
      </w:r>
      <w:r>
        <w:rPr>
          <w:rFonts w:cs="Arial"/>
        </w:rPr>
        <w:t>] 3 SCR 965</w:t>
      </w:r>
      <w:r w:rsidRPr="008C5E69">
        <w:rPr>
          <w:rFonts w:cs="Arial"/>
        </w:rPr>
        <w:t xml:space="preserve"> and </w:t>
      </w:r>
      <w:r w:rsidRPr="008C5E69">
        <w:rPr>
          <w:rFonts w:cs="Arial"/>
          <w:i/>
          <w:iCs/>
        </w:rPr>
        <w:t>R. v. Keegstra</w:t>
      </w:r>
      <w:r w:rsidRPr="008C5E69">
        <w:rPr>
          <w:rFonts w:cs="Arial"/>
        </w:rPr>
        <w:t xml:space="preserve">, </w:t>
      </w:r>
      <w:r>
        <w:rPr>
          <w:rFonts w:cs="Arial"/>
        </w:rPr>
        <w:t>[</w:t>
      </w:r>
      <w:r w:rsidRPr="008C5E69">
        <w:rPr>
          <w:rFonts w:cs="Arial"/>
        </w:rPr>
        <w:t>1995</w:t>
      </w:r>
      <w:r>
        <w:rPr>
          <w:rFonts w:cs="Arial"/>
        </w:rPr>
        <w:t>] 2 SCR 381</w:t>
      </w:r>
      <w:r w:rsidRPr="008C5E69">
        <w:rPr>
          <w:rFonts w:cs="Arial"/>
        </w:rPr>
        <w:t>.</w:t>
      </w:r>
    </w:p>
  </w:footnote>
  <w:footnote w:id="36">
    <w:p w14:paraId="56054FBA" w14:textId="77777777" w:rsidR="00F72CE5" w:rsidRPr="00D07A67" w:rsidRDefault="00F72CE5" w:rsidP="00F72CE5">
      <w:pPr>
        <w:pStyle w:val="Notedebasdepage"/>
        <w:rPr>
          <w:rFonts w:cs="Arial"/>
          <w:lang w:val="fr-CA"/>
        </w:rPr>
      </w:pPr>
      <w:r w:rsidRPr="008C5E6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Laba</w:t>
      </w:r>
      <w:r w:rsidRPr="00D07A67">
        <w:rPr>
          <w:rFonts w:cs="Arial"/>
          <w:lang w:val="fr-CA"/>
        </w:rPr>
        <w:t>, [1994] 3 SCR 965.</w:t>
      </w:r>
    </w:p>
  </w:footnote>
  <w:footnote w:id="37">
    <w:p w14:paraId="24D0697D" w14:textId="77777777" w:rsidR="00F72CE5" w:rsidRPr="00D07A67" w:rsidRDefault="00F72CE5" w:rsidP="00F72CE5">
      <w:pPr>
        <w:pStyle w:val="Notedebasdepage"/>
        <w:rPr>
          <w:rFonts w:cs="Arial"/>
          <w:lang w:val="fr-CA"/>
        </w:rPr>
      </w:pPr>
      <w:r w:rsidRPr="00FA6466">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Gagnon</w:t>
      </w:r>
      <w:r w:rsidRPr="00D07A67">
        <w:rPr>
          <w:rFonts w:cs="Arial"/>
          <w:lang w:val="fr-CA"/>
        </w:rPr>
        <w:t>, 2024 QCCQ 1345, par. 7.</w:t>
      </w:r>
    </w:p>
  </w:footnote>
  <w:footnote w:id="38">
    <w:p w14:paraId="6A6BAEDC"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Quebec (Attorney General) v. Senneville</w:t>
      </w:r>
      <w:r w:rsidRPr="008C5E69">
        <w:rPr>
          <w:rFonts w:cs="Arial"/>
        </w:rPr>
        <w:t xml:space="preserve">, 2025 SCC </w:t>
      </w:r>
      <w:r>
        <w:rPr>
          <w:rFonts w:cs="Arial"/>
        </w:rPr>
        <w:t>3</w:t>
      </w:r>
      <w:r w:rsidRPr="008C5E69">
        <w:rPr>
          <w:rFonts w:cs="Arial"/>
        </w:rPr>
        <w:t xml:space="preserve">3, on appeal from </w:t>
      </w:r>
      <w:r w:rsidRPr="008C5E69">
        <w:rPr>
          <w:rFonts w:cs="Arial"/>
          <w:i/>
          <w:iCs/>
        </w:rPr>
        <w:t>Procureur général du Québec v. Terroux</w:t>
      </w:r>
      <w:r w:rsidRPr="008C5E69">
        <w:rPr>
          <w:rFonts w:cs="Arial"/>
        </w:rPr>
        <w:t xml:space="preserve">, 2023 QCCA 731. </w:t>
      </w:r>
    </w:p>
  </w:footnote>
  <w:footnote w:id="39">
    <w:p w14:paraId="40200E94"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v. Friesen</w:t>
      </w:r>
      <w:r w:rsidRPr="008C5E69">
        <w:rPr>
          <w:rFonts w:cs="Arial"/>
        </w:rPr>
        <w:t xml:space="preserve">, 2020 SCC 9; See also </w:t>
      </w:r>
      <w:r w:rsidRPr="008C5E69">
        <w:rPr>
          <w:rFonts w:cs="Arial"/>
          <w:i/>
          <w:iCs/>
        </w:rPr>
        <w:t>R. v. Bertrand Marchand</w:t>
      </w:r>
      <w:r w:rsidRPr="008C5E69">
        <w:rPr>
          <w:rFonts w:cs="Arial"/>
        </w:rPr>
        <w:t xml:space="preserve">, 2023 SCC 26; </w:t>
      </w:r>
      <w:r w:rsidRPr="008C5E69">
        <w:rPr>
          <w:rFonts w:cs="Arial"/>
          <w:i/>
          <w:iCs/>
        </w:rPr>
        <w:t>R. v. Sheppard</w:t>
      </w:r>
      <w:r w:rsidRPr="008C5E69">
        <w:rPr>
          <w:rFonts w:cs="Arial"/>
        </w:rPr>
        <w:t xml:space="preserve">, 2025 SCC 29; </w:t>
      </w:r>
      <w:r w:rsidRPr="008C5E69">
        <w:rPr>
          <w:rFonts w:cs="Arial"/>
          <w:i/>
          <w:iCs/>
        </w:rPr>
        <w:t>Criminal Code</w:t>
      </w:r>
      <w:r w:rsidRPr="008C5E69">
        <w:rPr>
          <w:rFonts w:cs="Arial"/>
        </w:rPr>
        <w:t xml:space="preserve">, s. 718.01. Note also the successive amendments, as reviewed in the dissenting opinion in </w:t>
      </w:r>
      <w:r w:rsidRPr="008C5E69">
        <w:rPr>
          <w:rFonts w:cs="Arial"/>
          <w:i/>
          <w:iCs/>
        </w:rPr>
        <w:t>Quebec (Attorney General) v. Senneville</w:t>
      </w:r>
      <w:r w:rsidRPr="008C5E69">
        <w:rPr>
          <w:rFonts w:cs="Arial"/>
        </w:rPr>
        <w:t>, 2025 SCC 3</w:t>
      </w:r>
      <w:r>
        <w:rPr>
          <w:rFonts w:cs="Arial"/>
        </w:rPr>
        <w:t>3</w:t>
      </w:r>
      <w:r w:rsidRPr="008C5E69">
        <w:rPr>
          <w:rFonts w:cs="Arial"/>
        </w:rPr>
        <w:t>, par. 163-171.</w:t>
      </w:r>
    </w:p>
  </w:footnote>
  <w:footnote w:id="40">
    <w:p w14:paraId="28DC29BF"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v. Hills</w:t>
      </w:r>
      <w:r w:rsidRPr="008C5E69">
        <w:rPr>
          <w:rFonts w:cs="Arial"/>
        </w:rPr>
        <w:t xml:space="preserve">, 2023 SCC 2; </w:t>
      </w:r>
      <w:r w:rsidRPr="008C5E69">
        <w:rPr>
          <w:rFonts w:cs="Arial"/>
          <w:i/>
          <w:iCs/>
        </w:rPr>
        <w:t>R. v. Hilbach</w:t>
      </w:r>
      <w:r w:rsidRPr="008C5E69">
        <w:rPr>
          <w:rFonts w:cs="Arial"/>
        </w:rPr>
        <w:t xml:space="preserve">, 2023 SCC 3; </w:t>
      </w:r>
      <w:r w:rsidRPr="008C5E69">
        <w:rPr>
          <w:rFonts w:cs="Arial"/>
          <w:i/>
          <w:iCs/>
        </w:rPr>
        <w:t>R. v. Nur</w:t>
      </w:r>
      <w:r w:rsidRPr="008C5E69">
        <w:rPr>
          <w:rFonts w:cs="Arial"/>
        </w:rPr>
        <w:t>, 2015 SCC 15.</w:t>
      </w:r>
    </w:p>
  </w:footnote>
  <w:footnote w:id="41">
    <w:p w14:paraId="213A4008"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Quebec (Attorney General) v. Senneville</w:t>
      </w:r>
      <w:r w:rsidRPr="008C5E69">
        <w:rPr>
          <w:rFonts w:cs="Arial"/>
        </w:rPr>
        <w:t>, 2025 SCC 3</w:t>
      </w:r>
      <w:r>
        <w:rPr>
          <w:rFonts w:cs="Arial"/>
        </w:rPr>
        <w:t>3</w:t>
      </w:r>
      <w:r w:rsidRPr="008C5E69">
        <w:rPr>
          <w:rFonts w:cs="Arial"/>
        </w:rPr>
        <w:t>, par. 50.</w:t>
      </w:r>
    </w:p>
  </w:footnote>
  <w:footnote w:id="42">
    <w:p w14:paraId="52B73CDC"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Quebec (Attorney General) v. Senneville</w:t>
      </w:r>
      <w:r w:rsidRPr="008C5E69">
        <w:rPr>
          <w:rFonts w:cs="Arial"/>
        </w:rPr>
        <w:t>, 2025 SCC 3</w:t>
      </w:r>
      <w:r>
        <w:rPr>
          <w:rFonts w:cs="Arial"/>
        </w:rPr>
        <w:t>3</w:t>
      </w:r>
      <w:r w:rsidRPr="008C5E69">
        <w:rPr>
          <w:rFonts w:cs="Arial"/>
        </w:rPr>
        <w:t>, par. 83.</w:t>
      </w:r>
    </w:p>
  </w:footnote>
  <w:footnote w:id="43">
    <w:p w14:paraId="5AA6A879"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v. John</w:t>
      </w:r>
      <w:r w:rsidRPr="008C5E69">
        <w:rPr>
          <w:rFonts w:cs="Arial"/>
        </w:rPr>
        <w:t>, 2018 ONCA 306.</w:t>
      </w:r>
    </w:p>
  </w:footnote>
  <w:footnote w:id="44">
    <w:p w14:paraId="469A2105"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v. Bertrand Marchand</w:t>
      </w:r>
      <w:r w:rsidRPr="008C5E69">
        <w:rPr>
          <w:rFonts w:cs="Arial"/>
        </w:rPr>
        <w:t>, 2023 SCC 26.</w:t>
      </w:r>
    </w:p>
  </w:footnote>
  <w:footnote w:id="45">
    <w:p w14:paraId="21F18859"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t xml:space="preserve">Despite indications in judgments to which she refers, notably </w:t>
      </w:r>
      <w:r w:rsidRPr="008C5E69">
        <w:rPr>
          <w:rFonts w:cs="Arial"/>
          <w:i/>
          <w:iCs/>
        </w:rPr>
        <w:t>R. v. Hills</w:t>
      </w:r>
      <w:r w:rsidRPr="008C5E69">
        <w:rPr>
          <w:rFonts w:cs="Arial"/>
        </w:rPr>
        <w:t xml:space="preserve">, 2023 SCC 2, </w:t>
      </w:r>
      <w:r w:rsidRPr="008C5E69">
        <w:rPr>
          <w:rFonts w:cs="Arial"/>
          <w:i/>
          <w:iCs/>
        </w:rPr>
        <w:t>R. v. Hilbach</w:t>
      </w:r>
      <w:r w:rsidRPr="008C5E69">
        <w:rPr>
          <w:rFonts w:cs="Arial"/>
        </w:rPr>
        <w:t xml:space="preserve">, 2023 SCC 23, </w:t>
      </w:r>
      <w:r w:rsidRPr="008C5E69">
        <w:rPr>
          <w:rFonts w:cs="Arial"/>
          <w:i/>
          <w:iCs/>
        </w:rPr>
        <w:t>R. v. Nur</w:t>
      </w:r>
      <w:r w:rsidRPr="008C5E69">
        <w:rPr>
          <w:rFonts w:cs="Arial"/>
        </w:rPr>
        <w:t xml:space="preserve">, 2015 SCC 15. See also </w:t>
      </w:r>
      <w:r w:rsidRPr="008C5E69">
        <w:rPr>
          <w:rFonts w:cs="Arial"/>
          <w:i/>
          <w:iCs/>
        </w:rPr>
        <w:t>R. v. Lloyd</w:t>
      </w:r>
      <w:r w:rsidRPr="008C5E69">
        <w:rPr>
          <w:rFonts w:cs="Arial"/>
        </w:rPr>
        <w:t>, 2016 SCC 13.</w:t>
      </w:r>
    </w:p>
  </w:footnote>
  <w:footnote w:id="46">
    <w:p w14:paraId="4A087567" w14:textId="77777777" w:rsidR="00F72CE5" w:rsidRPr="008C5E69" w:rsidRDefault="00F72CE5" w:rsidP="00F72CE5">
      <w:pPr>
        <w:pStyle w:val="Notedebasdepage"/>
        <w:rPr>
          <w:rFonts w:cs="Arial"/>
        </w:rPr>
      </w:pPr>
      <w:r w:rsidRPr="008C5E69">
        <w:rPr>
          <w:rStyle w:val="Appelnotedebasdep"/>
          <w:rFonts w:cs="Arial"/>
        </w:rPr>
        <w:footnoteRef/>
      </w:r>
      <w:r w:rsidRPr="008C5E69">
        <w:rPr>
          <w:rFonts w:cs="Arial"/>
        </w:rPr>
        <w:t xml:space="preserve"> </w:t>
      </w:r>
      <w:r w:rsidRPr="008C5E69">
        <w:rPr>
          <w:rFonts w:cs="Arial"/>
        </w:rPr>
        <w:tab/>
      </w:r>
      <w:r w:rsidRPr="008C5E69">
        <w:rPr>
          <w:rFonts w:cs="Arial"/>
          <w:i/>
          <w:iCs/>
        </w:rPr>
        <w:t>R. v. Gagnon</w:t>
      </w:r>
      <w:r w:rsidRPr="008C5E69">
        <w:rPr>
          <w:rFonts w:cs="Arial"/>
        </w:rPr>
        <w:t>, 2024 QCCQ 1345, par. 1.</w:t>
      </w:r>
    </w:p>
  </w:footnote>
  <w:footnote w:id="47">
    <w:p w14:paraId="418CDDAA" w14:textId="77777777" w:rsidR="00F72CE5" w:rsidRPr="00D07A67" w:rsidRDefault="00F72CE5" w:rsidP="00F72CE5">
      <w:pPr>
        <w:pStyle w:val="Notedebasdepage"/>
        <w:rPr>
          <w:rFonts w:cs="Arial"/>
          <w:lang w:val="fr-CA"/>
        </w:rPr>
      </w:pPr>
      <w:r w:rsidRPr="008C5E6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Gagnon</w:t>
      </w:r>
      <w:r w:rsidRPr="00D07A67">
        <w:rPr>
          <w:rFonts w:cs="Arial"/>
          <w:lang w:val="fr-CA"/>
        </w:rPr>
        <w:t>, 2024 QCCQ 1345, par. 76-77.</w:t>
      </w:r>
    </w:p>
  </w:footnote>
  <w:footnote w:id="48">
    <w:p w14:paraId="54209627" w14:textId="77777777" w:rsidR="00F72CE5" w:rsidRPr="00D07A67" w:rsidRDefault="00F72CE5" w:rsidP="00F72CE5">
      <w:pPr>
        <w:pStyle w:val="Notedebasdepage"/>
        <w:rPr>
          <w:rFonts w:cs="Arial"/>
          <w:lang w:val="fr-CA"/>
        </w:rPr>
      </w:pPr>
      <w:r w:rsidRPr="00F55D9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Gagnon</w:t>
      </w:r>
      <w:r w:rsidRPr="00D07A67">
        <w:rPr>
          <w:rFonts w:cs="Arial"/>
          <w:lang w:val="fr-CA"/>
        </w:rPr>
        <w:t>, 2024 QCCQ 1345, par. 87.</w:t>
      </w:r>
    </w:p>
  </w:footnote>
  <w:footnote w:id="49">
    <w:p w14:paraId="012D3661" w14:textId="77777777" w:rsidR="00F72CE5" w:rsidRPr="00D07A67" w:rsidRDefault="00F72CE5" w:rsidP="00F72CE5">
      <w:pPr>
        <w:pStyle w:val="Notedebasdepage"/>
        <w:rPr>
          <w:rFonts w:cs="Arial"/>
          <w:lang w:val="fr-CA"/>
        </w:rPr>
      </w:pPr>
      <w:r w:rsidRPr="00F55D9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Gagnon</w:t>
      </w:r>
      <w:r w:rsidRPr="00D07A67">
        <w:rPr>
          <w:rFonts w:cs="Arial"/>
          <w:lang w:val="fr-CA"/>
        </w:rPr>
        <w:t>, 2024 QCCQ 1345, par. 74-75</w:t>
      </w:r>
    </w:p>
  </w:footnote>
  <w:footnote w:id="50">
    <w:p w14:paraId="3E8BE368" w14:textId="77777777" w:rsidR="00F72CE5" w:rsidRPr="00D07A67" w:rsidRDefault="00F72CE5" w:rsidP="00F72CE5">
      <w:pPr>
        <w:pStyle w:val="Notedebasdepage"/>
        <w:rPr>
          <w:rFonts w:cs="Arial"/>
          <w:lang w:val="fr-CA"/>
        </w:rPr>
      </w:pPr>
      <w:r w:rsidRPr="00F55D9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Gagnon</w:t>
      </w:r>
      <w:r w:rsidRPr="00D07A67">
        <w:rPr>
          <w:rFonts w:cs="Arial"/>
          <w:lang w:val="fr-CA"/>
        </w:rPr>
        <w:t>, 2024 QCCQ 1345, par. 78-79.</w:t>
      </w:r>
    </w:p>
  </w:footnote>
  <w:footnote w:id="51">
    <w:p w14:paraId="179FE128" w14:textId="77777777" w:rsidR="00F72CE5" w:rsidRPr="00F55D99" w:rsidRDefault="00F72CE5" w:rsidP="00F72CE5">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t xml:space="preserve">See </w:t>
      </w:r>
      <w:r w:rsidRPr="00F55D99">
        <w:rPr>
          <w:rFonts w:cs="Arial"/>
          <w:i/>
          <w:iCs/>
        </w:rPr>
        <w:t>Quebec (Attorney General) v. Senneville</w:t>
      </w:r>
      <w:r w:rsidRPr="00F55D99">
        <w:rPr>
          <w:rFonts w:cs="Arial"/>
        </w:rPr>
        <w:t>, 2025 SCC 33, par. 88.</w:t>
      </w:r>
    </w:p>
  </w:footnote>
  <w:footnote w:id="52">
    <w:p w14:paraId="6B8D6856" w14:textId="77777777" w:rsidR="00F72CE5" w:rsidRPr="00D07A67" w:rsidRDefault="00F72CE5" w:rsidP="00F72CE5">
      <w:pPr>
        <w:pStyle w:val="Notedebasdepage"/>
        <w:rPr>
          <w:rFonts w:cs="Arial"/>
          <w:lang w:val="fr-CA"/>
        </w:rPr>
      </w:pPr>
      <w:r w:rsidRPr="00F55D9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Hills</w:t>
      </w:r>
      <w:r w:rsidRPr="00D07A67">
        <w:rPr>
          <w:rFonts w:cs="Arial"/>
          <w:lang w:val="fr-CA"/>
        </w:rPr>
        <w:t xml:space="preserve">, 2023 SCC 2, par. 123 </w:t>
      </w:r>
      <w:r w:rsidRPr="00D07A67">
        <w:rPr>
          <w:rFonts w:cs="Arial"/>
          <w:i/>
          <w:iCs/>
          <w:lang w:val="fr-CA"/>
        </w:rPr>
        <w:t>et seqq</w:t>
      </w:r>
      <w:r w:rsidRPr="00D07A67">
        <w:rPr>
          <w:rFonts w:cs="Arial"/>
          <w:lang w:val="fr-CA"/>
        </w:rPr>
        <w:t>.</w:t>
      </w:r>
    </w:p>
  </w:footnote>
  <w:footnote w:id="53">
    <w:p w14:paraId="2AE89CE9" w14:textId="77777777" w:rsidR="00F72CE5" w:rsidRPr="00F55D99" w:rsidRDefault="00F72CE5" w:rsidP="00F72CE5">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Quebec (Attorney General) v. Senneville</w:t>
      </w:r>
      <w:r w:rsidRPr="00F55D99">
        <w:rPr>
          <w:rFonts w:cs="Arial"/>
        </w:rPr>
        <w:t xml:space="preserve">, 2025 SCC </w:t>
      </w:r>
      <w:r>
        <w:rPr>
          <w:rFonts w:cs="Arial"/>
        </w:rPr>
        <w:t>3</w:t>
      </w:r>
      <w:r w:rsidRPr="00F55D99">
        <w:rPr>
          <w:rFonts w:cs="Arial"/>
        </w:rPr>
        <w:t>3, par. 104.</w:t>
      </w:r>
    </w:p>
  </w:footnote>
  <w:footnote w:id="54">
    <w:p w14:paraId="38D85F40" w14:textId="77777777" w:rsidR="00F72CE5" w:rsidRPr="00F55D99" w:rsidRDefault="00F72CE5" w:rsidP="00F72CE5">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t xml:space="preserve">The formulation is adopted from </w:t>
      </w:r>
      <w:r w:rsidRPr="00F55D99">
        <w:rPr>
          <w:rFonts w:cs="Arial"/>
          <w:i/>
          <w:iCs/>
        </w:rPr>
        <w:t>R. v. Parranto</w:t>
      </w:r>
      <w:r w:rsidRPr="00F55D99">
        <w:rPr>
          <w:rFonts w:cs="Arial"/>
        </w:rPr>
        <w:t xml:space="preserve">, 2021 SCC 46, par. 36, quoted by the majority in </w:t>
      </w:r>
      <w:r w:rsidRPr="00F55D99">
        <w:rPr>
          <w:rFonts w:cs="Arial"/>
          <w:i/>
          <w:iCs/>
        </w:rPr>
        <w:t>Quebec (Attorney General) v. Senneville</w:t>
      </w:r>
      <w:r w:rsidRPr="00F55D99">
        <w:rPr>
          <w:rFonts w:cs="Arial"/>
        </w:rPr>
        <w:t>, 2025 SCC 3</w:t>
      </w:r>
      <w:r>
        <w:rPr>
          <w:rFonts w:cs="Arial"/>
        </w:rPr>
        <w:t>3</w:t>
      </w:r>
      <w:r w:rsidRPr="00F55D99">
        <w:rPr>
          <w:rFonts w:cs="Arial"/>
        </w:rPr>
        <w:t>, par. 1.</w:t>
      </w:r>
    </w:p>
  </w:footnote>
  <w:footnote w:id="55">
    <w:p w14:paraId="5FCAF476" w14:textId="77777777" w:rsidR="00F72CE5" w:rsidRPr="00F55D99" w:rsidRDefault="00F72CE5" w:rsidP="00F72CE5">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Quebec (Attorney General) v. Senneville</w:t>
      </w:r>
      <w:r w:rsidRPr="00F55D99">
        <w:rPr>
          <w:rFonts w:cs="Arial"/>
        </w:rPr>
        <w:t>, 2025 SCC 3</w:t>
      </w:r>
      <w:r>
        <w:rPr>
          <w:rFonts w:cs="Arial"/>
        </w:rPr>
        <w:t>3</w:t>
      </w:r>
      <w:r w:rsidRPr="00F55D99">
        <w:rPr>
          <w:rFonts w:cs="Arial"/>
        </w:rPr>
        <w:t>.</w:t>
      </w:r>
    </w:p>
  </w:footnote>
  <w:footnote w:id="56">
    <w:p w14:paraId="08114762" w14:textId="29FF1A17" w:rsidR="00F72CE5" w:rsidRPr="00F55D99" w:rsidRDefault="00F72CE5" w:rsidP="00F72CE5">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t xml:space="preserve">See, </w:t>
      </w:r>
      <w:r w:rsidRPr="00F55D99">
        <w:rPr>
          <w:rFonts w:cs="Arial"/>
          <w:i/>
          <w:iCs/>
        </w:rPr>
        <w:t>e.g.</w:t>
      </w:r>
      <w:r w:rsidRPr="00F55D99">
        <w:rPr>
          <w:rFonts w:cs="Arial"/>
        </w:rPr>
        <w:t xml:space="preserve">, the overviews in </w:t>
      </w:r>
      <w:r w:rsidRPr="00F55D99">
        <w:rPr>
          <w:rFonts w:cs="Arial"/>
          <w:i/>
          <w:iCs/>
        </w:rPr>
        <w:t>R. v. Lambert</w:t>
      </w:r>
      <w:r w:rsidRPr="00F55D99">
        <w:rPr>
          <w:rFonts w:cs="Arial"/>
        </w:rPr>
        <w:t xml:space="preserve">, 2025 QCCQ 4247; </w:t>
      </w:r>
      <w:r w:rsidRPr="00F55D99">
        <w:rPr>
          <w:rFonts w:cs="Arial"/>
          <w:i/>
          <w:iCs/>
        </w:rPr>
        <w:t>R. v. Charlebois</w:t>
      </w:r>
      <w:r w:rsidRPr="00F55D99">
        <w:rPr>
          <w:rFonts w:cs="Arial"/>
        </w:rPr>
        <w:t xml:space="preserve">, 2024 QCCQ 6772; </w:t>
      </w:r>
      <w:r w:rsidRPr="00F55D99">
        <w:rPr>
          <w:rFonts w:cs="Arial"/>
          <w:i/>
          <w:iCs/>
        </w:rPr>
        <w:t>R.</w:t>
      </w:r>
      <w:r w:rsidR="0043736E">
        <w:rPr>
          <w:rFonts w:cs="Arial"/>
          <w:i/>
          <w:iCs/>
        </w:rPr>
        <w:t> </w:t>
      </w:r>
      <w:r w:rsidRPr="00F55D99">
        <w:rPr>
          <w:rFonts w:cs="Arial"/>
          <w:i/>
          <w:iCs/>
        </w:rPr>
        <w:t>v. Laganière</w:t>
      </w:r>
      <w:r w:rsidRPr="00F55D99">
        <w:rPr>
          <w:rFonts w:cs="Arial"/>
        </w:rPr>
        <w:t xml:space="preserve">, 2024 QCCQ 7655; </w:t>
      </w:r>
      <w:r w:rsidRPr="00F55D99">
        <w:rPr>
          <w:rFonts w:cs="Arial"/>
          <w:i/>
          <w:iCs/>
        </w:rPr>
        <w:t>R. v. R.B.</w:t>
      </w:r>
      <w:r w:rsidRPr="00F55D99">
        <w:rPr>
          <w:rFonts w:cs="Arial"/>
        </w:rPr>
        <w:t xml:space="preserve">, 2024 QCCQ 1247. </w:t>
      </w:r>
    </w:p>
  </w:footnote>
  <w:footnote w:id="57">
    <w:p w14:paraId="19EC3F63" w14:textId="77777777" w:rsidR="00F72CE5" w:rsidRPr="00D07A67" w:rsidRDefault="00F72CE5" w:rsidP="00F72CE5">
      <w:pPr>
        <w:pStyle w:val="Notedebasdepage"/>
        <w:rPr>
          <w:rFonts w:cs="Arial"/>
          <w:lang w:val="fr-CA"/>
        </w:rPr>
      </w:pPr>
      <w:r w:rsidRPr="00F55D9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Laganière</w:t>
      </w:r>
      <w:r w:rsidRPr="00D07A67">
        <w:rPr>
          <w:rFonts w:cs="Arial"/>
          <w:lang w:val="fr-CA"/>
        </w:rPr>
        <w:t xml:space="preserve">, 2024 QCCQ 7655. </w:t>
      </w:r>
    </w:p>
  </w:footnote>
  <w:footnote w:id="58">
    <w:p w14:paraId="17488911" w14:textId="77777777" w:rsidR="00F72CE5" w:rsidRPr="00F55D99" w:rsidRDefault="00F72CE5" w:rsidP="00F72CE5">
      <w:pPr>
        <w:pStyle w:val="Notedebasdepage"/>
        <w:rPr>
          <w:rFonts w:cs="Arial"/>
        </w:rPr>
      </w:pPr>
      <w:r w:rsidRPr="00F55D99">
        <w:rPr>
          <w:rStyle w:val="Appelnotedebasdep"/>
          <w:rFonts w:cs="Arial"/>
        </w:rPr>
        <w:footnoteRef/>
      </w:r>
      <w:r w:rsidRPr="00D07A67">
        <w:rPr>
          <w:rFonts w:cs="Arial"/>
          <w:lang w:val="fr-CA"/>
        </w:rPr>
        <w:t xml:space="preserve"> </w:t>
      </w:r>
      <w:r w:rsidRPr="00D07A67">
        <w:rPr>
          <w:rFonts w:cs="Arial"/>
          <w:lang w:val="fr-CA"/>
        </w:rPr>
        <w:tab/>
        <w:t xml:space="preserve">See </w:t>
      </w:r>
      <w:r w:rsidRPr="00D07A67">
        <w:rPr>
          <w:rFonts w:cs="Arial"/>
          <w:i/>
          <w:iCs/>
          <w:lang w:val="fr-CA"/>
        </w:rPr>
        <w:t>R. v. Friesen</w:t>
      </w:r>
      <w:r w:rsidRPr="00D07A67">
        <w:rPr>
          <w:rFonts w:cs="Arial"/>
          <w:lang w:val="fr-CA"/>
        </w:rPr>
        <w:t xml:space="preserve">, 2020 SCC 9, par. 5. </w:t>
      </w:r>
      <w:r w:rsidRPr="00F55D99">
        <w:rPr>
          <w:rFonts w:cs="Arial"/>
        </w:rPr>
        <w:t xml:space="preserve">Before </w:t>
      </w:r>
      <w:r w:rsidRPr="00F55D99">
        <w:rPr>
          <w:rFonts w:cs="Arial"/>
          <w:i/>
          <w:iCs/>
        </w:rPr>
        <w:t>Friesen</w:t>
      </w:r>
      <w:r w:rsidRPr="00F55D99">
        <w:rPr>
          <w:rFonts w:cs="Arial"/>
        </w:rPr>
        <w:t xml:space="preserve">, see </w:t>
      </w:r>
      <w:r w:rsidRPr="00F55D99">
        <w:rPr>
          <w:rFonts w:cs="Arial"/>
          <w:i/>
          <w:iCs/>
        </w:rPr>
        <w:t>R. v. Regnier</w:t>
      </w:r>
      <w:r w:rsidRPr="00F55D99">
        <w:rPr>
          <w:rFonts w:cs="Arial"/>
        </w:rPr>
        <w:t xml:space="preserve">, 2018 QCCA 306; </w:t>
      </w:r>
      <w:r w:rsidRPr="00F55D99">
        <w:rPr>
          <w:rFonts w:cs="Arial"/>
          <w:i/>
          <w:iCs/>
        </w:rPr>
        <w:t>Ibrahim v. R.</w:t>
      </w:r>
      <w:r w:rsidRPr="00F55D99">
        <w:rPr>
          <w:rFonts w:cs="Arial"/>
        </w:rPr>
        <w:t xml:space="preserve">, 2018 QCCA 1205; after </w:t>
      </w:r>
      <w:r w:rsidRPr="00F55D99">
        <w:rPr>
          <w:rFonts w:cs="Arial"/>
          <w:i/>
          <w:iCs/>
        </w:rPr>
        <w:t>Friesen</w:t>
      </w:r>
      <w:r w:rsidRPr="00F55D99">
        <w:rPr>
          <w:rFonts w:cs="Arial"/>
        </w:rPr>
        <w:t xml:space="preserve">, see </w:t>
      </w:r>
      <w:r w:rsidRPr="00F55D99">
        <w:rPr>
          <w:rFonts w:cs="Arial"/>
          <w:i/>
          <w:iCs/>
        </w:rPr>
        <w:t>R. v. Daudelin</w:t>
      </w:r>
      <w:r w:rsidRPr="00F55D99">
        <w:rPr>
          <w:rFonts w:cs="Arial"/>
        </w:rPr>
        <w:t xml:space="preserve">, 2021 QCCA 784; </w:t>
      </w:r>
      <w:r w:rsidRPr="00F55D99">
        <w:rPr>
          <w:rFonts w:cs="Arial"/>
          <w:i/>
          <w:iCs/>
        </w:rPr>
        <w:t>Abel v. R.</w:t>
      </w:r>
      <w:r w:rsidRPr="00F55D99">
        <w:rPr>
          <w:rFonts w:cs="Arial"/>
        </w:rPr>
        <w:t>, 20</w:t>
      </w:r>
      <w:r>
        <w:rPr>
          <w:rFonts w:cs="Arial"/>
        </w:rPr>
        <w:t>23</w:t>
      </w:r>
      <w:r w:rsidRPr="00F55D99">
        <w:rPr>
          <w:rFonts w:cs="Arial"/>
        </w:rPr>
        <w:t xml:space="preserve"> QCCA 824.</w:t>
      </w:r>
    </w:p>
  </w:footnote>
  <w:footnote w:id="59">
    <w:p w14:paraId="54BF0B52" w14:textId="2D61DC2E" w:rsidR="00F72CE5" w:rsidRPr="00F55D99" w:rsidRDefault="00F72CE5" w:rsidP="00F72CE5">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Criminal Code</w:t>
      </w:r>
      <w:r w:rsidRPr="00F55D99">
        <w:rPr>
          <w:rFonts w:cs="Arial"/>
        </w:rPr>
        <w:t xml:space="preserve">, s. 718.01. </w:t>
      </w:r>
      <w:r w:rsidRPr="00F55D99">
        <w:rPr>
          <w:rFonts w:cs="Arial"/>
          <w:i/>
          <w:iCs/>
        </w:rPr>
        <w:t>Quebec (Attorney General) v. Senneville</w:t>
      </w:r>
      <w:r w:rsidRPr="00F55D99">
        <w:rPr>
          <w:rFonts w:cs="Arial"/>
        </w:rPr>
        <w:t>, 2025 SCC 33, par. 34</w:t>
      </w:r>
      <w:r w:rsidR="000C0B8C">
        <w:rPr>
          <w:rFonts w:cs="Arial"/>
        </w:rPr>
        <w:t xml:space="preserve"> and 92</w:t>
      </w:r>
      <w:r w:rsidRPr="00F55D99">
        <w:rPr>
          <w:rFonts w:cs="Arial"/>
        </w:rPr>
        <w:t xml:space="preserve">; </w:t>
      </w:r>
      <w:r w:rsidRPr="00F55D99">
        <w:rPr>
          <w:rFonts w:cs="Arial"/>
          <w:i/>
          <w:iCs/>
        </w:rPr>
        <w:t>R.</w:t>
      </w:r>
      <w:r w:rsidR="000C0B8C">
        <w:rPr>
          <w:rFonts w:cs="Arial"/>
          <w:i/>
          <w:iCs/>
        </w:rPr>
        <w:t> </w:t>
      </w:r>
      <w:r w:rsidRPr="00F55D99">
        <w:rPr>
          <w:rFonts w:cs="Arial"/>
          <w:i/>
          <w:iCs/>
        </w:rPr>
        <w:t>v. Sheppard</w:t>
      </w:r>
      <w:r w:rsidRPr="00F55D99">
        <w:rPr>
          <w:rFonts w:cs="Arial"/>
        </w:rPr>
        <w:t>, 2025 SCC 29</w:t>
      </w:r>
      <w:r w:rsidR="000C0B8C">
        <w:rPr>
          <w:rFonts w:cs="Arial"/>
        </w:rPr>
        <w:t>, par. 117</w:t>
      </w:r>
      <w:r w:rsidRPr="00F55D99">
        <w:rPr>
          <w:rFonts w:cs="Arial"/>
        </w:rPr>
        <w:t>.</w:t>
      </w:r>
    </w:p>
  </w:footnote>
  <w:footnote w:id="60">
    <w:p w14:paraId="402220D5" w14:textId="77777777" w:rsidR="00F72CE5" w:rsidRPr="00F55D99" w:rsidRDefault="00F72CE5" w:rsidP="00F72CE5">
      <w:pPr>
        <w:pStyle w:val="Notedebasdepage"/>
        <w:rPr>
          <w:rFonts w:cs="Arial"/>
        </w:rPr>
      </w:pPr>
      <w:r w:rsidRPr="00F55D9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Bertrand Marchand</w:t>
      </w:r>
      <w:r w:rsidRPr="00D07A67">
        <w:rPr>
          <w:rFonts w:cs="Arial"/>
          <w:lang w:val="fr-CA"/>
        </w:rPr>
        <w:t xml:space="preserve">, 2023 SCC 26, par. 28. </w:t>
      </w:r>
      <w:r w:rsidRPr="00F55D99">
        <w:rPr>
          <w:rFonts w:cs="Arial"/>
        </w:rPr>
        <w:t xml:space="preserve">See also </w:t>
      </w:r>
      <w:r w:rsidRPr="00F55D99">
        <w:rPr>
          <w:rFonts w:cs="Arial"/>
          <w:i/>
          <w:iCs/>
        </w:rPr>
        <w:t>R. v. Lemieux</w:t>
      </w:r>
      <w:r w:rsidRPr="00F55D99">
        <w:rPr>
          <w:rFonts w:cs="Arial"/>
        </w:rPr>
        <w:t>, 2023 QCCA 480, par. 96.</w:t>
      </w:r>
    </w:p>
  </w:footnote>
  <w:footnote w:id="61">
    <w:p w14:paraId="78524F43" w14:textId="77777777" w:rsidR="00F72CE5" w:rsidRPr="00F55D99" w:rsidRDefault="00F72CE5" w:rsidP="00F72CE5">
      <w:pPr>
        <w:pStyle w:val="Notedebasdepage"/>
        <w:rPr>
          <w:rFonts w:cs="Arial"/>
        </w:rPr>
      </w:pPr>
      <w:r w:rsidRPr="00F55D99">
        <w:rPr>
          <w:rStyle w:val="Appelnotedebasdep"/>
          <w:rFonts w:cs="Arial"/>
        </w:rPr>
        <w:footnoteRef/>
      </w:r>
      <w:r w:rsidRPr="00F55D99">
        <w:rPr>
          <w:rFonts w:cs="Arial"/>
        </w:rPr>
        <w:t xml:space="preserve"> </w:t>
      </w:r>
      <w:r w:rsidRPr="00F55D99">
        <w:rPr>
          <w:rFonts w:cs="Arial"/>
        </w:rPr>
        <w:tab/>
      </w:r>
      <w:r w:rsidRPr="00F55D99">
        <w:rPr>
          <w:rFonts w:cs="Arial"/>
          <w:i/>
          <w:iCs/>
        </w:rPr>
        <w:t>R. v. Proulx</w:t>
      </w:r>
      <w:r w:rsidRPr="00F55D99">
        <w:rPr>
          <w:rFonts w:cs="Arial"/>
        </w:rPr>
        <w:t xml:space="preserve">, 2000 SCC 5, par. 22, 114-115, where the Court says that a conditional sentence can affirm the restorative objective of rehabilitation and </w:t>
      </w:r>
      <w:r>
        <w:rPr>
          <w:rFonts w:cs="Arial"/>
        </w:rPr>
        <w:t xml:space="preserve">the </w:t>
      </w:r>
      <w:r w:rsidRPr="00F55D99">
        <w:rPr>
          <w:rFonts w:cs="Arial"/>
        </w:rPr>
        <w:t xml:space="preserve">retributive objectives of denunciation and deterrence. </w:t>
      </w:r>
    </w:p>
  </w:footnote>
  <w:footnote w:id="62">
    <w:p w14:paraId="08B7ACE9" w14:textId="77777777" w:rsidR="00F72CE5" w:rsidRPr="00D07A67" w:rsidRDefault="00F72CE5" w:rsidP="00F72CE5">
      <w:pPr>
        <w:pStyle w:val="Notedebasdepage"/>
        <w:tabs>
          <w:tab w:val="left" w:pos="720"/>
          <w:tab w:val="left" w:pos="1440"/>
          <w:tab w:val="left" w:pos="2160"/>
          <w:tab w:val="left" w:pos="3200"/>
        </w:tabs>
        <w:rPr>
          <w:rFonts w:cs="Arial"/>
          <w:lang w:val="fr-CA"/>
        </w:rPr>
      </w:pPr>
      <w:r w:rsidRPr="00F55D9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Joly</w:t>
      </w:r>
      <w:r w:rsidRPr="00D07A67">
        <w:rPr>
          <w:rFonts w:cs="Arial"/>
          <w:lang w:val="fr-CA"/>
        </w:rPr>
        <w:t xml:space="preserve">, 2024 QCCA 1151, par. 125; </w:t>
      </w:r>
      <w:r w:rsidRPr="00D07A67">
        <w:rPr>
          <w:rFonts w:cs="Arial"/>
          <w:i/>
          <w:iCs/>
          <w:lang w:val="fr-CA"/>
        </w:rPr>
        <w:t>Casavant v. R.</w:t>
      </w:r>
      <w:r w:rsidRPr="00D07A67">
        <w:rPr>
          <w:rFonts w:cs="Arial"/>
          <w:lang w:val="fr-CA"/>
        </w:rPr>
        <w:t>, 2025 QCCA 20, par. 89.</w:t>
      </w:r>
    </w:p>
  </w:footnote>
  <w:footnote w:id="63">
    <w:p w14:paraId="09712BF5" w14:textId="77777777" w:rsidR="00F72CE5" w:rsidRPr="00D07A67" w:rsidRDefault="00F72CE5" w:rsidP="00F72CE5">
      <w:pPr>
        <w:pStyle w:val="Notedebasdepage"/>
        <w:rPr>
          <w:rFonts w:cs="Arial"/>
          <w:lang w:val="fr-CA"/>
        </w:rPr>
      </w:pPr>
      <w:r w:rsidRPr="00F55D9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R. v. Friesen</w:t>
      </w:r>
      <w:r w:rsidRPr="00D07A67">
        <w:rPr>
          <w:rFonts w:cs="Arial"/>
          <w:lang w:val="fr-CA"/>
        </w:rPr>
        <w:t xml:space="preserve">, 2020 SCC 9, par. 51; </w:t>
      </w:r>
      <w:r w:rsidRPr="00D07A67">
        <w:rPr>
          <w:rFonts w:cs="Arial"/>
          <w:i/>
          <w:iCs/>
          <w:lang w:val="fr-CA"/>
        </w:rPr>
        <w:t>R. v. Von Gunten</w:t>
      </w:r>
      <w:r w:rsidRPr="00D07A67">
        <w:rPr>
          <w:rFonts w:cs="Arial"/>
          <w:lang w:val="fr-CA"/>
        </w:rPr>
        <w:t xml:space="preserve">, 2006 QCCA 286, par. 14; </w:t>
      </w:r>
      <w:r w:rsidRPr="00D07A67">
        <w:rPr>
          <w:rFonts w:cs="Arial"/>
          <w:i/>
          <w:iCs/>
          <w:lang w:val="fr-CA"/>
        </w:rPr>
        <w:t>R. v. Sharpe</w:t>
      </w:r>
      <w:r w:rsidRPr="00D07A67">
        <w:rPr>
          <w:rFonts w:cs="Arial"/>
          <w:lang w:val="fr-CA"/>
        </w:rPr>
        <w:t>, 2001 SCC 2, par. 28.</w:t>
      </w:r>
    </w:p>
  </w:footnote>
  <w:footnote w:id="64">
    <w:p w14:paraId="55B00A27" w14:textId="77777777" w:rsidR="00F72CE5" w:rsidRPr="00D07A67" w:rsidRDefault="00F72CE5" w:rsidP="00F72CE5">
      <w:pPr>
        <w:pStyle w:val="Notedebasdepage"/>
        <w:rPr>
          <w:rFonts w:cs="Arial"/>
          <w:lang w:val="fr-CA"/>
        </w:rPr>
      </w:pPr>
      <w:r w:rsidRPr="00F55D99">
        <w:rPr>
          <w:rStyle w:val="Appelnotedebasdep"/>
          <w:rFonts w:cs="Arial"/>
        </w:rPr>
        <w:footnoteRef/>
      </w:r>
      <w:r w:rsidRPr="00D07A67">
        <w:rPr>
          <w:rFonts w:cs="Arial"/>
          <w:lang w:val="fr-CA"/>
        </w:rPr>
        <w:t xml:space="preserve"> </w:t>
      </w:r>
      <w:r w:rsidRPr="00D07A67">
        <w:rPr>
          <w:rFonts w:cs="Arial"/>
          <w:lang w:val="fr-CA"/>
        </w:rPr>
        <w:tab/>
        <w:t xml:space="preserve">See </w:t>
      </w:r>
      <w:r w:rsidRPr="00D07A67">
        <w:rPr>
          <w:rFonts w:cs="Arial"/>
          <w:i/>
          <w:iCs/>
          <w:lang w:val="fr-CA"/>
        </w:rPr>
        <w:t>Léonard v. R.</w:t>
      </w:r>
      <w:r w:rsidRPr="00D07A67">
        <w:rPr>
          <w:rFonts w:cs="Arial"/>
          <w:lang w:val="fr-CA"/>
        </w:rPr>
        <w:t>, 2025 QCCA 1035, par. 64-65.</w:t>
      </w:r>
    </w:p>
  </w:footnote>
  <w:footnote w:id="65">
    <w:p w14:paraId="5D826431" w14:textId="77777777" w:rsidR="00F72CE5" w:rsidRPr="00D07A67" w:rsidRDefault="00F72CE5" w:rsidP="00F72CE5">
      <w:pPr>
        <w:pStyle w:val="Notedebasdepage"/>
        <w:rPr>
          <w:rFonts w:cs="Arial"/>
          <w:lang w:val="fr-CA"/>
        </w:rPr>
      </w:pPr>
      <w:r w:rsidRPr="00F55D99">
        <w:rPr>
          <w:rStyle w:val="Appelnotedebasdep"/>
          <w:rFonts w:cs="Arial"/>
        </w:rPr>
        <w:footnoteRef/>
      </w:r>
      <w:r w:rsidRPr="00D07A67">
        <w:rPr>
          <w:rFonts w:cs="Arial"/>
          <w:lang w:val="fr-CA"/>
        </w:rPr>
        <w:t xml:space="preserve"> </w:t>
      </w:r>
      <w:r w:rsidRPr="00D07A67">
        <w:rPr>
          <w:rFonts w:cs="Arial"/>
          <w:lang w:val="fr-CA"/>
        </w:rPr>
        <w:tab/>
      </w:r>
      <w:r w:rsidRPr="00D07A67">
        <w:rPr>
          <w:rFonts w:cs="Arial"/>
          <w:i/>
          <w:iCs/>
          <w:lang w:val="fr-CA"/>
        </w:rPr>
        <w:t>Bérubé-Gagnon v. R.</w:t>
      </w:r>
      <w:r w:rsidRPr="00D07A67">
        <w:rPr>
          <w:rFonts w:cs="Arial"/>
          <w:lang w:val="fr-CA"/>
        </w:rPr>
        <w:t>, 2020 QCCA 1382, par. 22-23.</w:t>
      </w:r>
    </w:p>
  </w:footnote>
  <w:footnote w:id="66">
    <w:p w14:paraId="3EED1423" w14:textId="77777777" w:rsidR="00AE0960" w:rsidRPr="006365CA" w:rsidRDefault="00AE0960" w:rsidP="00AE0960">
      <w:pPr>
        <w:pStyle w:val="Notedebasdepage"/>
        <w:rPr>
          <w:lang w:val="fr-CA"/>
        </w:rPr>
      </w:pPr>
      <w:r>
        <w:rPr>
          <w:rStyle w:val="Appelnotedebasdep"/>
        </w:rPr>
        <w:footnoteRef/>
      </w:r>
      <w:r w:rsidRPr="006365CA">
        <w:rPr>
          <w:lang w:val="fr-CA"/>
        </w:rPr>
        <w:t xml:space="preserve"> </w:t>
      </w:r>
      <w:r w:rsidRPr="006365CA">
        <w:rPr>
          <w:lang w:val="fr-CA"/>
        </w:rPr>
        <w:tab/>
      </w:r>
      <w:bookmarkStart w:id="20" w:name="_Hlk223182893"/>
      <w:r w:rsidRPr="006365CA">
        <w:rPr>
          <w:i/>
          <w:iCs/>
          <w:lang w:val="fr-CA"/>
        </w:rPr>
        <w:t>R. c. Gagnon</w:t>
      </w:r>
      <w:r w:rsidRPr="006365CA">
        <w:rPr>
          <w:lang w:val="fr-CA"/>
        </w:rPr>
        <w:t>, 2024 QCCA 373 (Vauclair, J.A).</w:t>
      </w:r>
      <w:bookmarkEnd w:id="20"/>
    </w:p>
  </w:footnote>
  <w:footnote w:id="67">
    <w:p w14:paraId="282A6912" w14:textId="77777777" w:rsidR="00AE0960" w:rsidRPr="00B74ABD" w:rsidRDefault="00AE0960" w:rsidP="00AE0960">
      <w:pPr>
        <w:pStyle w:val="Notedebasdepage"/>
      </w:pPr>
      <w:r w:rsidRPr="00851F7B">
        <w:rPr>
          <w:rStyle w:val="Appelnotedebasdep"/>
        </w:rPr>
        <w:footnoteRef/>
      </w:r>
      <w:r w:rsidRPr="00B74ABD">
        <w:tab/>
      </w:r>
      <w:r w:rsidRPr="00064D88">
        <w:t>CQLR, c. D-9.1.1</w:t>
      </w:r>
      <w:r w:rsidRPr="00B74ABD">
        <w:t xml:space="preserve">. </w:t>
      </w:r>
    </w:p>
  </w:footnote>
  <w:footnote w:id="68">
    <w:p w14:paraId="7E0D8FA8" w14:textId="77777777" w:rsidR="00AE0960" w:rsidRPr="00A662F1" w:rsidRDefault="00AE0960" w:rsidP="00AE0960">
      <w:pPr>
        <w:pStyle w:val="Notedebasdepage"/>
      </w:pPr>
      <w:r>
        <w:rPr>
          <w:rStyle w:val="Appelnotedebasdep"/>
        </w:rPr>
        <w:footnoteRef/>
      </w:r>
      <w:r w:rsidRPr="00A662F1">
        <w:t xml:space="preserve"> </w:t>
      </w:r>
      <w:r w:rsidRPr="00A662F1">
        <w:tab/>
      </w:r>
      <w:bookmarkStart w:id="21" w:name="_Hlk223264927"/>
      <w:r w:rsidRPr="00A662F1">
        <w:rPr>
          <w:i/>
          <w:iCs/>
        </w:rPr>
        <w:t xml:space="preserve">Id., </w:t>
      </w:r>
      <w:bookmarkEnd w:id="21"/>
      <w:r>
        <w:t>s</w:t>
      </w:r>
      <w:r w:rsidRPr="00A662F1">
        <w:t>. 1.</w:t>
      </w:r>
    </w:p>
  </w:footnote>
  <w:footnote w:id="69">
    <w:p w14:paraId="694D221B" w14:textId="77777777" w:rsidR="00AE0960" w:rsidRPr="006365CA" w:rsidRDefault="00AE0960" w:rsidP="00AE0960">
      <w:pPr>
        <w:pStyle w:val="Notedebasdepage"/>
        <w:rPr>
          <w:lang w:val="fr-CA"/>
        </w:rPr>
      </w:pPr>
      <w:r w:rsidRPr="00C2300C">
        <w:rPr>
          <w:rStyle w:val="Appelnotedebasdep"/>
        </w:rPr>
        <w:footnoteRef/>
      </w:r>
      <w:r w:rsidRPr="00C2300C">
        <w:t xml:space="preserve"> </w:t>
      </w:r>
      <w:r w:rsidRPr="00C2300C">
        <w:tab/>
      </w:r>
      <w:r w:rsidRPr="00C2300C">
        <w:rPr>
          <w:i/>
          <w:iCs/>
        </w:rPr>
        <w:t>Id.,</w:t>
      </w:r>
      <w:r w:rsidRPr="00C2300C">
        <w:t xml:space="preserve"> s. 13 para. </w:t>
      </w:r>
      <w:r w:rsidRPr="006365CA">
        <w:rPr>
          <w:lang w:val="fr-CA"/>
        </w:rPr>
        <w:t>2.</w:t>
      </w:r>
    </w:p>
  </w:footnote>
  <w:footnote w:id="70">
    <w:p w14:paraId="4F224C3C" w14:textId="77777777" w:rsidR="00AE0960" w:rsidRPr="006365CA" w:rsidRDefault="00AE0960" w:rsidP="00AE0960">
      <w:pPr>
        <w:pStyle w:val="Notedebasdepage"/>
        <w:rPr>
          <w:lang w:val="fr-CA"/>
        </w:rPr>
      </w:pPr>
      <w:r w:rsidRPr="00851F7B">
        <w:rPr>
          <w:rStyle w:val="Appelnotedebasdep"/>
        </w:rPr>
        <w:footnoteRef/>
      </w:r>
      <w:r w:rsidRPr="006365CA">
        <w:rPr>
          <w:lang w:val="fr-CA"/>
        </w:rPr>
        <w:t xml:space="preserve"> </w:t>
      </w:r>
      <w:r w:rsidRPr="006365CA">
        <w:rPr>
          <w:lang w:val="fr-CA"/>
        </w:rPr>
        <w:tab/>
      </w:r>
      <w:r w:rsidRPr="006365CA">
        <w:rPr>
          <w:i/>
          <w:iCs/>
          <w:lang w:val="fr-CA"/>
        </w:rPr>
        <w:t>Québec (Procureur général) c. 9148-5847 Québec inc.</w:t>
      </w:r>
      <w:r w:rsidRPr="006365CA">
        <w:rPr>
          <w:lang w:val="fr-CA"/>
        </w:rPr>
        <w:t xml:space="preserve">, 2012 QCCA 1362, </w:t>
      </w:r>
      <w:r w:rsidRPr="006365CA">
        <w:rPr>
          <w:rFonts w:cs="Arial"/>
          <w:lang w:val="fr-CA"/>
        </w:rPr>
        <w:t>para. </w:t>
      </w:r>
      <w:r w:rsidRPr="003A5E02">
        <w:rPr>
          <w:rFonts w:cs="Arial"/>
        </w:rPr>
        <w:t xml:space="preserve">41, referring to </w:t>
      </w:r>
      <w:r w:rsidRPr="003A5E02">
        <w:rPr>
          <w:rFonts w:cs="Arial"/>
          <w:i/>
          <w:iCs/>
        </w:rPr>
        <w:t>Krieger v. Law Society of Alberta</w:t>
      </w:r>
      <w:r w:rsidRPr="003A5E02">
        <w:rPr>
          <w:rFonts w:cs="Arial"/>
        </w:rPr>
        <w:t>, </w:t>
      </w:r>
      <w:r w:rsidRPr="00064D88">
        <w:rPr>
          <w:rFonts w:cs="Arial"/>
        </w:rPr>
        <w:t>2002 SCC 65</w:t>
      </w:r>
      <w:r w:rsidRPr="003A5E02">
        <w:rPr>
          <w:rFonts w:cs="Arial"/>
        </w:rPr>
        <w:t>, para. </w:t>
      </w:r>
      <w:r w:rsidRPr="006365CA">
        <w:rPr>
          <w:rFonts w:cs="Arial"/>
          <w:lang w:val="fr-CA"/>
        </w:rPr>
        <w:t>30; </w:t>
      </w:r>
      <w:r w:rsidRPr="006365CA">
        <w:rPr>
          <w:rFonts w:cs="Arial"/>
          <w:i/>
          <w:iCs/>
          <w:lang w:val="fr-CA"/>
        </w:rPr>
        <w:t>R v. Nixon</w:t>
      </w:r>
      <w:r w:rsidRPr="006365CA">
        <w:rPr>
          <w:rFonts w:cs="Arial"/>
          <w:lang w:val="fr-CA"/>
        </w:rPr>
        <w:t>, </w:t>
      </w:r>
      <w:r w:rsidRPr="006365CA">
        <w:rPr>
          <w:lang w:val="fr-CA"/>
        </w:rPr>
        <w:t>2011 SCC 34</w:t>
      </w:r>
      <w:r w:rsidRPr="006365CA">
        <w:rPr>
          <w:rFonts w:cs="Arial"/>
          <w:lang w:val="fr-CA"/>
        </w:rPr>
        <w:t>, para. 20.</w:t>
      </w:r>
    </w:p>
  </w:footnote>
  <w:footnote w:id="71">
    <w:p w14:paraId="71D37F3F" w14:textId="77777777" w:rsidR="00AE0960" w:rsidRPr="003A5E02" w:rsidRDefault="00AE0960" w:rsidP="00AE0960">
      <w:pPr>
        <w:pStyle w:val="Notedebasdepage"/>
      </w:pPr>
      <w:r w:rsidRPr="003A5E02">
        <w:rPr>
          <w:rStyle w:val="Appelnotedebasdep"/>
          <w:lang w:val="en-CA"/>
        </w:rPr>
        <w:footnoteRef/>
      </w:r>
      <w:r w:rsidRPr="006365CA">
        <w:rPr>
          <w:lang w:val="fr-CA"/>
        </w:rPr>
        <w:t xml:space="preserve"> </w:t>
      </w:r>
      <w:r w:rsidRPr="006365CA">
        <w:rPr>
          <w:lang w:val="fr-CA"/>
        </w:rPr>
        <w:tab/>
        <w:t xml:space="preserve">Pierre Lapointe, “La Loi sur le directeur des poursuites criminelles et pénales”, in </w:t>
      </w:r>
      <w:r w:rsidRPr="006365CA">
        <w:rPr>
          <w:i/>
          <w:iCs/>
          <w:lang w:val="fr-CA"/>
        </w:rPr>
        <w:t xml:space="preserve">Développements récents en droit criminel, </w:t>
      </w:r>
      <w:r w:rsidRPr="006365CA">
        <w:rPr>
          <w:lang w:val="fr-CA"/>
        </w:rPr>
        <w:t xml:space="preserve">vol. 264, 2007, 99, p. 101, cited in </w:t>
      </w:r>
      <w:r w:rsidRPr="006365CA">
        <w:rPr>
          <w:i/>
          <w:iCs/>
          <w:lang w:val="fr-CA"/>
        </w:rPr>
        <w:t>Ouellet c. R.</w:t>
      </w:r>
      <w:r w:rsidRPr="006365CA">
        <w:rPr>
          <w:lang w:val="fr-CA"/>
        </w:rPr>
        <w:t xml:space="preserve">, 2021 QCCA 386, </w:t>
      </w:r>
      <w:r w:rsidRPr="006365CA">
        <w:rPr>
          <w:rFonts w:cs="Arial"/>
          <w:lang w:val="fr-CA"/>
        </w:rPr>
        <w:t xml:space="preserve">para. 71. See also </w:t>
      </w:r>
      <w:r w:rsidRPr="006365CA">
        <w:rPr>
          <w:rFonts w:cs="Arial"/>
          <w:i/>
          <w:iCs/>
          <w:lang w:val="fr-CA"/>
        </w:rPr>
        <w:t>R. c. Kyres</w:t>
      </w:r>
      <w:r w:rsidRPr="006365CA">
        <w:rPr>
          <w:rFonts w:cs="Arial"/>
          <w:lang w:val="fr-CA"/>
        </w:rPr>
        <w:t xml:space="preserve">, 2018 QCCS 4671, para. 189; Martin Vauclair, Tristan Desjardins and Pauline Lachance, </w:t>
      </w:r>
      <w:r w:rsidRPr="006365CA">
        <w:rPr>
          <w:rFonts w:cs="Arial"/>
          <w:i/>
          <w:iCs/>
          <w:lang w:val="fr-CA"/>
        </w:rPr>
        <w:t>Traité de preuve et de procédure pénales</w:t>
      </w:r>
      <w:r w:rsidRPr="006365CA">
        <w:rPr>
          <w:rFonts w:cs="Arial"/>
          <w:lang w:val="fr-CA"/>
        </w:rPr>
        <w:t>, 32</w:t>
      </w:r>
      <w:r w:rsidRPr="006365CA">
        <w:rPr>
          <w:rFonts w:cs="Arial"/>
          <w:vertAlign w:val="superscript"/>
          <w:lang w:val="fr-CA"/>
        </w:rPr>
        <w:t>nd</w:t>
      </w:r>
      <w:r w:rsidRPr="006365CA">
        <w:rPr>
          <w:rFonts w:cs="Arial"/>
          <w:lang w:val="fr-CA"/>
        </w:rPr>
        <w:t xml:space="preserve"> Ed., Montréal, Éditions Yvon Blais, 2025, paras.</w:t>
      </w:r>
      <w:r w:rsidRPr="006365CA">
        <w:rPr>
          <w:rFonts w:cs="Arial"/>
          <w:vertAlign w:val="superscript"/>
          <w:lang w:val="fr-CA"/>
        </w:rPr>
        <w:t> </w:t>
      </w:r>
      <w:r w:rsidRPr="003A5E02">
        <w:rPr>
          <w:rFonts w:cs="Arial"/>
        </w:rPr>
        <w:t>8.3-8.4, p</w:t>
      </w:r>
      <w:r>
        <w:rPr>
          <w:rFonts w:cs="Arial"/>
        </w:rPr>
        <w:t>p</w:t>
      </w:r>
      <w:r w:rsidRPr="003A5E02">
        <w:rPr>
          <w:rFonts w:cs="Arial"/>
        </w:rPr>
        <w:t>. 165-166.</w:t>
      </w:r>
    </w:p>
  </w:footnote>
  <w:footnote w:id="72">
    <w:p w14:paraId="59C591D7" w14:textId="77777777" w:rsidR="00AE0960" w:rsidRPr="003A5E02" w:rsidRDefault="00AE0960" w:rsidP="00AE0960">
      <w:pPr>
        <w:pStyle w:val="Notedebasdepage"/>
      </w:pPr>
      <w:r w:rsidRPr="003A5E02">
        <w:rPr>
          <w:rStyle w:val="Appelnotedebasdep"/>
          <w:lang w:val="en-CA"/>
        </w:rPr>
        <w:footnoteRef/>
      </w:r>
      <w:r w:rsidRPr="003A5E02">
        <w:t xml:space="preserve">   </w:t>
      </w:r>
      <w:r w:rsidRPr="003A5E02">
        <w:tab/>
      </w:r>
      <w:r w:rsidRPr="003A5E02">
        <w:rPr>
          <w:i/>
          <w:iCs/>
        </w:rPr>
        <w:t>ADCPP</w:t>
      </w:r>
      <w:r w:rsidRPr="003A5E02">
        <w:t xml:space="preserve">, </w:t>
      </w:r>
      <w:r>
        <w:t>s</w:t>
      </w:r>
      <w:r w:rsidRPr="003A5E02">
        <w:t xml:space="preserve">. 13, </w:t>
      </w:r>
      <w:r>
        <w:t>para</w:t>
      </w:r>
      <w:r w:rsidRPr="003A5E02">
        <w:t>. 2.</w:t>
      </w:r>
    </w:p>
  </w:footnote>
  <w:footnote w:id="73">
    <w:p w14:paraId="0B78CBFC" w14:textId="77777777" w:rsidR="00AE0960" w:rsidRPr="003A5E02" w:rsidRDefault="00AE0960" w:rsidP="00AE0960">
      <w:pPr>
        <w:pStyle w:val="Notedebasdepage"/>
      </w:pPr>
      <w:r w:rsidRPr="003A5E02">
        <w:rPr>
          <w:rStyle w:val="Appelnotedebasdep"/>
          <w:lang w:val="en-CA"/>
        </w:rPr>
        <w:footnoteRef/>
      </w:r>
      <w:r w:rsidRPr="00895D6A">
        <w:t xml:space="preserve"> </w:t>
      </w:r>
      <w:r w:rsidRPr="00895D6A">
        <w:tab/>
      </w:r>
      <w:r w:rsidRPr="00895D6A">
        <w:rPr>
          <w:i/>
          <w:iCs/>
        </w:rPr>
        <w:t>R. c. Zampino</w:t>
      </w:r>
      <w:r w:rsidRPr="00895D6A">
        <w:t xml:space="preserve">, 2020 QCCA 158, </w:t>
      </w:r>
      <w:r w:rsidRPr="00895D6A">
        <w:rPr>
          <w:rFonts w:cs="Arial"/>
        </w:rPr>
        <w:t>para. </w:t>
      </w:r>
      <w:r w:rsidRPr="003A5E02">
        <w:rPr>
          <w:rFonts w:cs="Arial"/>
        </w:rPr>
        <w:t>8</w:t>
      </w:r>
      <w:r w:rsidRPr="003A5E02">
        <w:t xml:space="preserve"> (Savard, </w:t>
      </w:r>
      <w:r>
        <w:t>J.A</w:t>
      </w:r>
      <w:r w:rsidRPr="003A5E02">
        <w:t xml:space="preserve">.), </w:t>
      </w:r>
      <w:r>
        <w:t>referring to</w:t>
      </w:r>
      <w:r w:rsidRPr="003A5E02">
        <w:t xml:space="preserve"> </w:t>
      </w:r>
      <w:r w:rsidRPr="003A5E02">
        <w:rPr>
          <w:i/>
          <w:iCs/>
        </w:rPr>
        <w:t>Munyaneza c. R.</w:t>
      </w:r>
      <w:r w:rsidRPr="003A5E02">
        <w:t xml:space="preserve">, </w:t>
      </w:r>
      <w:r w:rsidRPr="00064D88">
        <w:t>2012 QCCA 1829</w:t>
      </w:r>
      <w:r w:rsidRPr="003A5E02">
        <w:t>, par</w:t>
      </w:r>
      <w:r>
        <w:t>a</w:t>
      </w:r>
      <w:r w:rsidRPr="003A5E02">
        <w:t>. 8.</w:t>
      </w:r>
    </w:p>
  </w:footnote>
  <w:footnote w:id="74">
    <w:p w14:paraId="34364516" w14:textId="157AD0CD" w:rsidR="00AE0960" w:rsidRPr="003A5E02" w:rsidRDefault="00AE0960" w:rsidP="00AE0960">
      <w:pPr>
        <w:pStyle w:val="Notedebasdepage"/>
      </w:pPr>
      <w:r w:rsidRPr="003A5E02">
        <w:rPr>
          <w:rStyle w:val="Appelnotedebasdep"/>
          <w:lang w:val="en-CA"/>
        </w:rPr>
        <w:footnoteRef/>
      </w:r>
      <w:r w:rsidRPr="00B62EAA">
        <w:t xml:space="preserve"> </w:t>
      </w:r>
      <w:r w:rsidRPr="00B62EAA">
        <w:tab/>
      </w:r>
      <w:r w:rsidRPr="00B62EAA">
        <w:rPr>
          <w:i/>
          <w:iCs/>
        </w:rPr>
        <w:t>Gravel c. Denis</w:t>
      </w:r>
      <w:r w:rsidRPr="00B62EAA">
        <w:t xml:space="preserve">, 2024 QCCA 2, paras. </w:t>
      </w:r>
      <w:r w:rsidRPr="003A5E02">
        <w:t xml:space="preserve">16, 24. </w:t>
      </w:r>
      <w:r>
        <w:t>See also</w:t>
      </w:r>
      <w:r w:rsidRPr="003A5E02">
        <w:t> :</w:t>
      </w:r>
      <w:r w:rsidRPr="003A5E02">
        <w:rPr>
          <w:i/>
          <w:iCs/>
        </w:rPr>
        <w:t xml:space="preserve"> R. c. Zampino</w:t>
      </w:r>
      <w:r w:rsidRPr="003A5E02">
        <w:t xml:space="preserve">, </w:t>
      </w:r>
      <w:r w:rsidRPr="00064D88">
        <w:t>2020 QCCA 158</w:t>
      </w:r>
      <w:r w:rsidRPr="003A5E02">
        <w:t xml:space="preserve">, </w:t>
      </w:r>
      <w:r w:rsidRPr="003A5E02">
        <w:rPr>
          <w:rFonts w:cs="Arial"/>
        </w:rPr>
        <w:t>par</w:t>
      </w:r>
      <w:r>
        <w:rPr>
          <w:rFonts w:cs="Arial"/>
        </w:rPr>
        <w:t>a</w:t>
      </w:r>
      <w:r w:rsidRPr="003A5E02">
        <w:rPr>
          <w:rFonts w:cs="Arial"/>
        </w:rPr>
        <w:t>. 8</w:t>
      </w:r>
      <w:r w:rsidRPr="003A5E02">
        <w:t xml:space="preserve"> (Savard, </w:t>
      </w:r>
      <w:r>
        <w:t>J.A</w:t>
      </w:r>
      <w:r w:rsidRPr="003A5E02">
        <w:t xml:space="preserve">.), </w:t>
      </w:r>
      <w:r>
        <w:t>referring to</w:t>
      </w:r>
      <w:r w:rsidRPr="003A5E02">
        <w:t xml:space="preserve"> </w:t>
      </w:r>
      <w:r w:rsidRPr="003A5E02">
        <w:rPr>
          <w:i/>
          <w:iCs/>
        </w:rPr>
        <w:t>Munyaneza c. R.</w:t>
      </w:r>
      <w:r w:rsidRPr="003A5E02">
        <w:t xml:space="preserve">, </w:t>
      </w:r>
      <w:r w:rsidRPr="00064D88">
        <w:t>2012 QCCA 1829</w:t>
      </w:r>
      <w:r w:rsidRPr="003A5E02">
        <w:t>, par</w:t>
      </w:r>
      <w:r>
        <w:t>a</w:t>
      </w:r>
      <w:r w:rsidRPr="003A5E02">
        <w:t>. 8;</w:t>
      </w:r>
      <w:r w:rsidRPr="003A5E02">
        <w:rPr>
          <w:i/>
          <w:iCs/>
        </w:rPr>
        <w:t xml:space="preserve"> Caron v. R., </w:t>
      </w:r>
      <w:r w:rsidRPr="00064D88">
        <w:t>1988 CanLII 941 (QC CA)</w:t>
      </w:r>
      <w:r w:rsidRPr="003A5E02">
        <w:t xml:space="preserve">, [1988] R.J.Q. 2333, p. 2335 (C.A.); </w:t>
      </w:r>
      <w:r w:rsidRPr="003A5E02">
        <w:rPr>
          <w:rFonts w:cs="Arial"/>
          <w:i/>
          <w:iCs/>
        </w:rPr>
        <w:t xml:space="preserve">R. v. Ahenakew, </w:t>
      </w:r>
      <w:r w:rsidRPr="00064D88">
        <w:rPr>
          <w:rFonts w:cs="Arial"/>
        </w:rPr>
        <w:t>2007 SKCA 54</w:t>
      </w:r>
      <w:r w:rsidRPr="003A5E02">
        <w:rPr>
          <w:rFonts w:cs="Arial"/>
        </w:rPr>
        <w:t>, par</w:t>
      </w:r>
      <w:r>
        <w:rPr>
          <w:rFonts w:cs="Arial"/>
        </w:rPr>
        <w:t>a</w:t>
      </w:r>
      <w:r w:rsidRPr="003A5E02">
        <w:rPr>
          <w:rFonts w:cs="Arial"/>
        </w:rPr>
        <w:t>. 11,</w:t>
      </w:r>
      <w:r w:rsidRPr="003A5E02">
        <w:rPr>
          <w:rFonts w:cs="Arial"/>
          <w:i/>
          <w:iCs/>
        </w:rPr>
        <w:t xml:space="preserve"> </w:t>
      </w:r>
      <w:r w:rsidRPr="003A5E02">
        <w:rPr>
          <w:rFonts w:cs="Arial"/>
        </w:rPr>
        <w:t>r</w:t>
      </w:r>
      <w:r>
        <w:rPr>
          <w:rFonts w:cs="Arial"/>
        </w:rPr>
        <w:t>eferring to</w:t>
      </w:r>
      <w:r w:rsidRPr="003A5E02">
        <w:rPr>
          <w:i/>
          <w:iCs/>
        </w:rPr>
        <w:t xml:space="preserve"> R.</w:t>
      </w:r>
      <w:r>
        <w:rPr>
          <w:i/>
          <w:iCs/>
        </w:rPr>
        <w:t> </w:t>
      </w:r>
      <w:r w:rsidRPr="003A5E02">
        <w:rPr>
          <w:i/>
          <w:iCs/>
        </w:rPr>
        <w:t xml:space="preserve">v. Finta, </w:t>
      </w:r>
      <w:r w:rsidRPr="00064D88">
        <w:t>1990 CanLII 6824</w:t>
      </w:r>
      <w:r w:rsidRPr="003A5E02">
        <w:t xml:space="preserve"> (ON CA);</w:t>
      </w:r>
      <w:r w:rsidRPr="003A5E02">
        <w:rPr>
          <w:i/>
          <w:iCs/>
        </w:rPr>
        <w:t xml:space="preserve"> R. v. Morgentaler, Smoling and Scott, </w:t>
      </w:r>
      <w:r w:rsidRPr="00064D88">
        <w:t>1985 CanLII 3543</w:t>
      </w:r>
      <w:r w:rsidRPr="003A5E02">
        <w:t>, 19</w:t>
      </w:r>
      <w:r>
        <w:t> </w:t>
      </w:r>
      <w:r w:rsidRPr="003A5E02">
        <w:t xml:space="preserve">C.C.C. (3d), </w:t>
      </w:r>
      <w:r w:rsidRPr="003A5E02">
        <w:rPr>
          <w:rFonts w:cs="Arial"/>
        </w:rPr>
        <w:t>p. 576.</w:t>
      </w:r>
      <w:r w:rsidRPr="003A5E02">
        <w:rPr>
          <w:rFonts w:cs="Arial"/>
          <w:i/>
          <w:iCs/>
        </w:rPr>
        <w:t xml:space="preserve"> </w:t>
      </w:r>
    </w:p>
  </w:footnote>
  <w:footnote w:id="75">
    <w:p w14:paraId="21051BDC" w14:textId="77777777" w:rsidR="00AE0960" w:rsidRPr="00F32573" w:rsidRDefault="00AE0960" w:rsidP="00AE0960">
      <w:pPr>
        <w:pStyle w:val="Notedebasdepage"/>
      </w:pPr>
      <w:r>
        <w:rPr>
          <w:rStyle w:val="Appelnotedebasdep"/>
        </w:rPr>
        <w:footnoteRef/>
      </w:r>
      <w:r w:rsidRPr="00F32573">
        <w:t xml:space="preserve"> </w:t>
      </w:r>
      <w:r w:rsidRPr="00F32573">
        <w:tab/>
      </w:r>
      <w:r w:rsidRPr="00F32573">
        <w:rPr>
          <w:i/>
          <w:iCs/>
        </w:rPr>
        <w:t xml:space="preserve">ADCPP, </w:t>
      </w:r>
      <w:r w:rsidRPr="00F32573">
        <w:t>s. 1 para. 3</w:t>
      </w:r>
      <w:r w:rsidRPr="00F32573">
        <w:rPr>
          <w:i/>
          <w:iCs/>
        </w:rPr>
        <w:t>.</w:t>
      </w:r>
    </w:p>
  </w:footnote>
  <w:footnote w:id="76">
    <w:p w14:paraId="5C0A899B" w14:textId="77777777" w:rsidR="00AE0960" w:rsidRPr="001F4ECE" w:rsidRDefault="00AE0960" w:rsidP="00AE0960">
      <w:pPr>
        <w:pStyle w:val="Notedebasdepage"/>
      </w:pPr>
      <w:r w:rsidRPr="00C2300C">
        <w:rPr>
          <w:rStyle w:val="Appelnotedebasdep"/>
        </w:rPr>
        <w:footnoteRef/>
      </w:r>
      <w:r w:rsidRPr="00F32573">
        <w:t xml:space="preserve"> </w:t>
      </w:r>
      <w:r w:rsidRPr="00F32573">
        <w:tab/>
      </w:r>
      <w:r w:rsidRPr="001F4ECE">
        <w:rPr>
          <w:i/>
          <w:iCs/>
        </w:rPr>
        <w:t xml:space="preserve">Id., </w:t>
      </w:r>
      <w:r w:rsidRPr="001F4ECE">
        <w:t>s. 13 para. 1(1°).</w:t>
      </w:r>
    </w:p>
  </w:footnote>
  <w:footnote w:id="77">
    <w:p w14:paraId="1B4DF27A" w14:textId="77777777" w:rsidR="00AE0960" w:rsidRPr="001F4ECE" w:rsidRDefault="00AE0960" w:rsidP="00AE0960">
      <w:pPr>
        <w:pStyle w:val="Notedebasdepage"/>
      </w:pPr>
      <w:r w:rsidRPr="001F4ECE">
        <w:rPr>
          <w:rStyle w:val="Appelnotedebasdep"/>
          <w:lang w:val="en-CA"/>
        </w:rPr>
        <w:footnoteRef/>
      </w:r>
      <w:r w:rsidRPr="001F4ECE">
        <w:t xml:space="preserve"> </w:t>
      </w:r>
      <w:r w:rsidRPr="001F4ECE">
        <w:tab/>
      </w:r>
      <w:r w:rsidRPr="001F4ECE">
        <w:rPr>
          <w:i/>
          <w:iCs/>
        </w:rPr>
        <w:t xml:space="preserve">Id., </w:t>
      </w:r>
      <w:r w:rsidRPr="001F4ECE">
        <w:t>s. 13 para. 2</w:t>
      </w:r>
      <w:r w:rsidRPr="001F4ECE">
        <w:rPr>
          <w:i/>
          <w:iCs/>
        </w:rPr>
        <w:t>.</w:t>
      </w:r>
      <w:r w:rsidRPr="001F4ECE">
        <w:t xml:space="preserve"> </w:t>
      </w:r>
    </w:p>
  </w:footnote>
  <w:footnote w:id="78">
    <w:p w14:paraId="185BECC4" w14:textId="77777777" w:rsidR="00AE0960" w:rsidRPr="00C2300C" w:rsidRDefault="00AE0960" w:rsidP="00AE0960">
      <w:pPr>
        <w:pStyle w:val="Notedebasdepage"/>
      </w:pPr>
      <w:r w:rsidRPr="001F4ECE">
        <w:rPr>
          <w:rStyle w:val="Appelnotedebasdep"/>
          <w:lang w:val="en-CA"/>
        </w:rPr>
        <w:footnoteRef/>
      </w:r>
      <w:r w:rsidRPr="001F4ECE">
        <w:t xml:space="preserve"> </w:t>
      </w:r>
      <w:r w:rsidRPr="001F4ECE">
        <w:tab/>
      </w:r>
      <w:r w:rsidRPr="001F4ECE">
        <w:rPr>
          <w:i/>
          <w:iCs/>
        </w:rPr>
        <w:t xml:space="preserve">Id., </w:t>
      </w:r>
      <w:r w:rsidRPr="001F4ECE">
        <w:t xml:space="preserve">s. </w:t>
      </w:r>
      <w:r w:rsidRPr="00F32573">
        <w:t xml:space="preserve">15 para. </w:t>
      </w:r>
      <w:r w:rsidRPr="00C2300C">
        <w:t>1(3°)</w:t>
      </w:r>
      <w:r w:rsidRPr="00C2300C">
        <w:rPr>
          <w:i/>
          <w:iCs/>
        </w:rPr>
        <w:t>.</w:t>
      </w:r>
    </w:p>
  </w:footnote>
  <w:footnote w:id="79">
    <w:p w14:paraId="1996E8C2" w14:textId="77777777" w:rsidR="00AE0960" w:rsidRPr="008339C9" w:rsidRDefault="00AE0960" w:rsidP="00AE0960">
      <w:pPr>
        <w:pStyle w:val="Notedebasdepage"/>
      </w:pPr>
      <w:r w:rsidRPr="00C2300C">
        <w:rPr>
          <w:rStyle w:val="Appelnotedebasdep"/>
          <w:lang w:val="en-CA"/>
        </w:rPr>
        <w:footnoteRef/>
      </w:r>
      <w:r w:rsidRPr="00C2300C">
        <w:t xml:space="preserve"> </w:t>
      </w:r>
      <w:r w:rsidRPr="00C2300C">
        <w:tab/>
        <w:t>“Such a notice is not required if</w:t>
      </w:r>
      <w:r w:rsidRPr="008339C9">
        <w:t xml:space="preserve"> the reparation sought relates to the disclosure or exclusion of evidence or to the period of time elapsed since the accusation, or in the cases determined by order of the Minister of Justice published in the </w:t>
      </w:r>
      <w:r w:rsidRPr="008339C9">
        <w:rPr>
          <w:i/>
          <w:iCs/>
        </w:rPr>
        <w:t>Gazette officielle du Québec</w:t>
      </w:r>
      <w:r w:rsidRPr="008339C9">
        <w:t>.</w:t>
      </w:r>
      <w:r>
        <w:t>”</w:t>
      </w:r>
    </w:p>
  </w:footnote>
  <w:footnote w:id="80">
    <w:p w14:paraId="4D6C0DE0" w14:textId="77777777" w:rsidR="00AE0960" w:rsidRPr="006365CA" w:rsidRDefault="00AE0960" w:rsidP="00AE0960">
      <w:pPr>
        <w:pStyle w:val="Notedebasdepage"/>
        <w:rPr>
          <w:lang w:val="fr-CA"/>
        </w:rPr>
      </w:pPr>
      <w:r w:rsidRPr="008339C9">
        <w:rPr>
          <w:rStyle w:val="Appelnotedebasdep"/>
          <w:lang w:val="en-CA"/>
        </w:rPr>
        <w:footnoteRef/>
      </w:r>
      <w:r w:rsidRPr="008339C9">
        <w:t xml:space="preserve"> </w:t>
      </w:r>
      <w:r w:rsidRPr="008339C9">
        <w:tab/>
      </w:r>
      <w:r>
        <w:t>See, in this regard,</w:t>
      </w:r>
      <w:r w:rsidRPr="008339C9">
        <w:t xml:space="preserve"> </w:t>
      </w:r>
      <w:r w:rsidRPr="008339C9">
        <w:rPr>
          <w:i/>
          <w:iCs/>
        </w:rPr>
        <w:t>Turgeon c. R</w:t>
      </w:r>
      <w:r w:rsidRPr="008339C9">
        <w:t xml:space="preserve">., </w:t>
      </w:r>
      <w:r w:rsidRPr="00A36B9E">
        <w:t>2019 QCCS 1321</w:t>
      </w:r>
      <w:r w:rsidRPr="008339C9">
        <w:t>, par</w:t>
      </w:r>
      <w:r>
        <w:t>a</w:t>
      </w:r>
      <w:r w:rsidRPr="008339C9">
        <w:t xml:space="preserve">. </w:t>
      </w:r>
      <w:r w:rsidRPr="006365CA">
        <w:rPr>
          <w:lang w:val="fr-CA"/>
        </w:rPr>
        <w:t xml:space="preserve">4; </w:t>
      </w:r>
      <w:r w:rsidRPr="006365CA">
        <w:rPr>
          <w:i/>
          <w:iCs/>
          <w:lang w:val="fr-CA"/>
        </w:rPr>
        <w:t>Municipalité de</w:t>
      </w:r>
      <w:r w:rsidRPr="006365CA">
        <w:rPr>
          <w:lang w:val="fr-CA"/>
        </w:rPr>
        <w:t xml:space="preserve"> </w:t>
      </w:r>
      <w:r w:rsidRPr="006365CA">
        <w:rPr>
          <w:i/>
          <w:iCs/>
          <w:lang w:val="fr-CA"/>
        </w:rPr>
        <w:t>Val-Morin c. Cuerrier</w:t>
      </w:r>
      <w:r w:rsidRPr="006365CA">
        <w:rPr>
          <w:lang w:val="fr-CA"/>
        </w:rPr>
        <w:t>, 2020 QCCS 2805, paras. 75 and 84.</w:t>
      </w:r>
    </w:p>
  </w:footnote>
  <w:footnote w:id="81">
    <w:p w14:paraId="455D3B71" w14:textId="77777777" w:rsidR="00AE0960" w:rsidRPr="006365CA" w:rsidRDefault="00AE0960" w:rsidP="00AE0960">
      <w:pPr>
        <w:pStyle w:val="Notedebasdepage"/>
        <w:rPr>
          <w:lang w:val="fr-CA"/>
        </w:rPr>
      </w:pPr>
      <w:r>
        <w:rPr>
          <w:rStyle w:val="Appelnotedebasdep"/>
        </w:rPr>
        <w:footnoteRef/>
      </w:r>
      <w:r w:rsidRPr="006365CA">
        <w:rPr>
          <w:lang w:val="fr-CA"/>
        </w:rPr>
        <w:t xml:space="preserve">   </w:t>
      </w:r>
      <w:r w:rsidRPr="006365CA">
        <w:rPr>
          <w:i/>
          <w:iCs/>
          <w:lang w:val="fr-CA"/>
        </w:rPr>
        <w:t>Québec (Procureur général) c. 9148-5847 Québec inc</w:t>
      </w:r>
      <w:r w:rsidRPr="006365CA">
        <w:rPr>
          <w:lang w:val="fr-CA"/>
        </w:rPr>
        <w:t>., 2012 QCCA 1362, para. 42.</w:t>
      </w:r>
    </w:p>
  </w:footnote>
  <w:footnote w:id="82">
    <w:p w14:paraId="24BE3B90" w14:textId="77777777" w:rsidR="00AE0960" w:rsidRPr="006365CA" w:rsidRDefault="00AE0960" w:rsidP="00AE0960">
      <w:pPr>
        <w:pStyle w:val="Notedebasdepage"/>
        <w:rPr>
          <w:highlight w:val="yellow"/>
          <w:lang w:val="fr-CA"/>
        </w:rPr>
      </w:pPr>
      <w:r>
        <w:rPr>
          <w:rStyle w:val="Appelnotedebasdep"/>
        </w:rPr>
        <w:footnoteRef/>
      </w:r>
      <w:r w:rsidRPr="006365CA">
        <w:rPr>
          <w:lang w:val="fr-CA"/>
        </w:rPr>
        <w:t xml:space="preserve"> </w:t>
      </w:r>
      <w:r w:rsidRPr="006365CA">
        <w:rPr>
          <w:lang w:val="fr-CA"/>
        </w:rPr>
        <w:tab/>
        <w:t xml:space="preserve">See for example </w:t>
      </w:r>
      <w:r w:rsidRPr="006365CA">
        <w:rPr>
          <w:i/>
          <w:iCs/>
          <w:lang w:val="fr-CA"/>
        </w:rPr>
        <w:t>R. v. Laba</w:t>
      </w:r>
      <w:r w:rsidRPr="006365CA">
        <w:rPr>
          <w:lang w:val="fr-CA"/>
        </w:rPr>
        <w:t xml:space="preserve">, [1994] 3 S.C.R. 965; </w:t>
      </w:r>
      <w:r w:rsidRPr="006365CA">
        <w:rPr>
          <w:i/>
          <w:iCs/>
          <w:lang w:val="fr-CA"/>
        </w:rPr>
        <w:t>R. v. Keegstra</w:t>
      </w:r>
      <w:r w:rsidRPr="006365CA">
        <w:rPr>
          <w:lang w:val="fr-CA"/>
        </w:rPr>
        <w:t xml:space="preserve">, [1995] 2 S.C.R. 381; </w:t>
      </w:r>
      <w:r w:rsidRPr="006365CA">
        <w:rPr>
          <w:i/>
          <w:iCs/>
          <w:lang w:val="fr-CA"/>
        </w:rPr>
        <w:t>R v. Ndhlovu</w:t>
      </w:r>
      <w:r w:rsidRPr="006365CA">
        <w:rPr>
          <w:lang w:val="fr-CA"/>
        </w:rPr>
        <w:t xml:space="preserve">, 2018 ABCA 260; </w:t>
      </w:r>
      <w:r w:rsidRPr="006365CA">
        <w:rPr>
          <w:i/>
          <w:iCs/>
          <w:lang w:val="fr-CA"/>
        </w:rPr>
        <w:t>R. v. White</w:t>
      </w:r>
      <w:r w:rsidRPr="006365CA">
        <w:rPr>
          <w:lang w:val="fr-CA"/>
        </w:rPr>
        <w:t>, 2008 ABCA 294.</w:t>
      </w:r>
    </w:p>
  </w:footnote>
  <w:footnote w:id="83">
    <w:p w14:paraId="30FFD12A" w14:textId="77777777" w:rsidR="00AE0960" w:rsidRPr="003748E9" w:rsidRDefault="00AE0960" w:rsidP="00AE0960">
      <w:pPr>
        <w:pStyle w:val="Notedebasdepage"/>
      </w:pPr>
      <w:r w:rsidRPr="003748E9">
        <w:rPr>
          <w:rStyle w:val="Appelnotedebasdep"/>
          <w:lang w:val="en-CA"/>
        </w:rPr>
        <w:footnoteRef/>
      </w:r>
      <w:r w:rsidRPr="003748E9">
        <w:t xml:space="preserve"> </w:t>
      </w:r>
      <w:r w:rsidRPr="003748E9">
        <w:tab/>
      </w:r>
      <w:r w:rsidRPr="003748E9">
        <w:rPr>
          <w:i/>
          <w:iCs/>
        </w:rPr>
        <w:t>R. v. Laba</w:t>
      </w:r>
      <w:r w:rsidRPr="003748E9">
        <w:t xml:space="preserve">, </w:t>
      </w:r>
      <w:r w:rsidRPr="00357399">
        <w:t>[1994] 3 S.C.R. 965</w:t>
      </w:r>
      <w:r w:rsidRPr="003748E9">
        <w:t>.</w:t>
      </w:r>
    </w:p>
  </w:footnote>
  <w:footnote w:id="84">
    <w:p w14:paraId="61080788" w14:textId="77777777" w:rsidR="00AE0960" w:rsidRPr="008736A6" w:rsidRDefault="00AE0960" w:rsidP="00AE0960">
      <w:pPr>
        <w:pStyle w:val="Notedebasdepage"/>
      </w:pPr>
      <w:r>
        <w:rPr>
          <w:rStyle w:val="Appelnotedebasdep"/>
        </w:rPr>
        <w:footnoteRef/>
      </w:r>
      <w:r w:rsidRPr="007D3423">
        <w:t xml:space="preserve"> </w:t>
      </w:r>
      <w:r w:rsidRPr="007D3423">
        <w:tab/>
      </w:r>
      <w:r w:rsidRPr="00B825E2">
        <w:t>R.S.C. 1985, c. S-26.</w:t>
      </w:r>
    </w:p>
  </w:footnote>
  <w:footnote w:id="85">
    <w:p w14:paraId="0C15CCFE" w14:textId="77777777" w:rsidR="00AE0960" w:rsidRPr="00706E10" w:rsidRDefault="00AE0960" w:rsidP="00AE0960">
      <w:pPr>
        <w:pStyle w:val="Notedebasdepage"/>
        <w:rPr>
          <w:rFonts w:cs="Arial"/>
        </w:rPr>
      </w:pPr>
      <w:r w:rsidRPr="001F4ECE">
        <w:rPr>
          <w:rStyle w:val="Appelnotedebasdep"/>
        </w:rPr>
        <w:footnoteRef/>
      </w:r>
      <w:r w:rsidRPr="00706E10">
        <w:t xml:space="preserve"> </w:t>
      </w:r>
      <w:r w:rsidRPr="00706E10">
        <w:tab/>
        <w:t xml:space="preserve">Section 40(3) </w:t>
      </w:r>
      <w:r w:rsidRPr="00706E10">
        <w:rPr>
          <w:i/>
          <w:iCs/>
        </w:rPr>
        <w:t>SCA</w:t>
      </w:r>
      <w:r w:rsidRPr="00706E10">
        <w:t xml:space="preserve"> provides </w:t>
      </w:r>
      <w:r w:rsidRPr="00706E10">
        <w:rPr>
          <w:rFonts w:cs="Arial"/>
        </w:rPr>
        <w:t>that</w:t>
      </w:r>
      <w:r w:rsidRPr="001F4ECE">
        <w:rPr>
          <w:rFonts w:cs="Arial"/>
        </w:rPr>
        <w:t xml:space="preserve"> “No </w:t>
      </w:r>
      <w:r w:rsidRPr="00706E10">
        <w:rPr>
          <w:rFonts w:cs="Arial"/>
          <w:color w:val="333333"/>
          <w:shd w:val="clear" w:color="auto" w:fill="FFFFFF"/>
        </w:rPr>
        <w:t>appeal to the Court lies under this section from the judgment of any court acquitting or convicting or setting aside or affirming a conviction or acquittal of an indictable offence or, except in respect of a question of law or jurisdiction, of an offence other than an indictable offence</w:t>
      </w:r>
      <w:r w:rsidRPr="001F4ECE">
        <w:rPr>
          <w:rFonts w:cs="Arial"/>
        </w:rPr>
        <w:t>”.</w:t>
      </w:r>
    </w:p>
  </w:footnote>
  <w:footnote w:id="86">
    <w:p w14:paraId="3B65E4EB" w14:textId="77777777" w:rsidR="00AE0960" w:rsidRPr="001F4ECE" w:rsidRDefault="00AE0960" w:rsidP="00AE0960">
      <w:pPr>
        <w:pStyle w:val="Notedebasdepage"/>
      </w:pPr>
      <w:r w:rsidRPr="001F4ECE">
        <w:rPr>
          <w:rStyle w:val="Appelnotedebasdep"/>
        </w:rPr>
        <w:footnoteRef/>
      </w:r>
      <w:r w:rsidRPr="00706E10">
        <w:t xml:space="preserve"> </w:t>
      </w:r>
      <w:r w:rsidRPr="001F4ECE">
        <w:tab/>
      </w:r>
      <w:r w:rsidRPr="001F4ECE">
        <w:rPr>
          <w:i/>
          <w:iCs/>
        </w:rPr>
        <w:t>R. v. Laba</w:t>
      </w:r>
      <w:r w:rsidRPr="001F4ECE">
        <w:t xml:space="preserve">, [1994] 3 S.C.R. 965, par. 22; see also </w:t>
      </w:r>
      <w:r w:rsidRPr="001F4ECE">
        <w:rPr>
          <w:rFonts w:cs="Arial"/>
          <w:i/>
          <w:iCs/>
        </w:rPr>
        <w:t>Legault c. R.</w:t>
      </w:r>
      <w:r w:rsidRPr="001F4ECE">
        <w:rPr>
          <w:rFonts w:cs="Arial"/>
        </w:rPr>
        <w:t>, 2024 QCCA 1136, par. 102-104.</w:t>
      </w:r>
    </w:p>
  </w:footnote>
  <w:footnote w:id="87">
    <w:p w14:paraId="4F0BF17F" w14:textId="77777777" w:rsidR="00AE0960" w:rsidRPr="006365CA" w:rsidRDefault="00AE0960" w:rsidP="00AE0960">
      <w:pPr>
        <w:pStyle w:val="Notedebasdepage"/>
        <w:rPr>
          <w:lang w:val="fr-CA"/>
        </w:rPr>
      </w:pPr>
      <w:r w:rsidRPr="001F4ECE">
        <w:rPr>
          <w:rStyle w:val="Appelnotedebasdep"/>
        </w:rPr>
        <w:footnoteRef/>
      </w:r>
      <w:r w:rsidRPr="006365CA">
        <w:rPr>
          <w:lang w:val="fr-CA"/>
        </w:rPr>
        <w:t xml:space="preserve"> </w:t>
      </w:r>
      <w:r w:rsidRPr="006365CA">
        <w:rPr>
          <w:lang w:val="fr-CA"/>
        </w:rPr>
        <w:tab/>
      </w:r>
      <w:r w:rsidRPr="006365CA">
        <w:rPr>
          <w:rFonts w:cs="Arial"/>
          <w:i/>
          <w:iCs/>
          <w:lang w:val="fr-CA"/>
        </w:rPr>
        <w:t>Kourtessis v. M.N.R.</w:t>
      </w:r>
      <w:r w:rsidRPr="006365CA">
        <w:rPr>
          <w:rFonts w:cs="Arial"/>
          <w:lang w:val="fr-CA"/>
        </w:rPr>
        <w:t>, [1993] 2 S.C.R. 53, p. 80 (per La Forest J.).</w:t>
      </w:r>
    </w:p>
  </w:footnote>
  <w:footnote w:id="88">
    <w:p w14:paraId="183C8515" w14:textId="77777777" w:rsidR="00AE0960" w:rsidRPr="006365CA" w:rsidRDefault="00AE0960" w:rsidP="00AE0960">
      <w:pPr>
        <w:pStyle w:val="Notedebasdepage"/>
        <w:rPr>
          <w:lang w:val="fr-CA"/>
        </w:rPr>
      </w:pPr>
      <w:r>
        <w:rPr>
          <w:rStyle w:val="Appelnotedebasdep"/>
        </w:rPr>
        <w:footnoteRef/>
      </w:r>
      <w:r w:rsidRPr="006365CA">
        <w:rPr>
          <w:i/>
          <w:iCs/>
          <w:lang w:val="fr-CA"/>
        </w:rPr>
        <w:t xml:space="preserve"> </w:t>
      </w:r>
      <w:r w:rsidRPr="006365CA">
        <w:rPr>
          <w:i/>
          <w:iCs/>
          <w:lang w:val="fr-CA"/>
        </w:rPr>
        <w:tab/>
        <w:t>R. v. Laba</w:t>
      </w:r>
      <w:r w:rsidRPr="006365CA">
        <w:rPr>
          <w:lang w:val="fr-CA"/>
        </w:rPr>
        <w:t>, [1994] 3 SCR 965, paras. 22-23.</w:t>
      </w:r>
    </w:p>
  </w:footnote>
  <w:footnote w:id="89">
    <w:p w14:paraId="64CA3857" w14:textId="77777777" w:rsidR="00AE0960" w:rsidRPr="00B7742C" w:rsidRDefault="00AE0960" w:rsidP="00AE0960">
      <w:pPr>
        <w:pStyle w:val="Notedebasdepage"/>
      </w:pPr>
      <w:r w:rsidRPr="00B7742C">
        <w:rPr>
          <w:rStyle w:val="Appelnotedebasdep"/>
          <w:lang w:val="en-CA"/>
        </w:rPr>
        <w:footnoteRef/>
      </w:r>
      <w:r w:rsidRPr="006365CA">
        <w:rPr>
          <w:lang w:val="fr-CA"/>
        </w:rPr>
        <w:t xml:space="preserve"> </w:t>
      </w:r>
      <w:r w:rsidRPr="006365CA">
        <w:rPr>
          <w:lang w:val="fr-CA"/>
        </w:rPr>
        <w:tab/>
      </w:r>
      <w:r w:rsidRPr="006365CA">
        <w:rPr>
          <w:i/>
          <w:iCs/>
          <w:lang w:val="fr-CA"/>
        </w:rPr>
        <w:t>R. c. Gagnon</w:t>
      </w:r>
      <w:r w:rsidRPr="006365CA">
        <w:rPr>
          <w:lang w:val="fr-CA"/>
        </w:rPr>
        <w:t xml:space="preserve">, 2024 QCCA 373, para. </w:t>
      </w:r>
      <w:r w:rsidRPr="00B7742C">
        <w:t>17 (</w:t>
      </w:r>
      <w:r>
        <w:t xml:space="preserve">single </w:t>
      </w:r>
      <w:r w:rsidRPr="00B7742C">
        <w:t>j</w:t>
      </w:r>
      <w:r>
        <w:t>udge</w:t>
      </w:r>
      <w:r w:rsidRPr="00B7742C">
        <w:t xml:space="preserve">), referring to </w:t>
      </w:r>
      <w:r w:rsidRPr="00B7742C">
        <w:rPr>
          <w:i/>
          <w:iCs/>
        </w:rPr>
        <w:t>Denis c. Côté</w:t>
      </w:r>
      <w:r w:rsidRPr="00B7742C">
        <w:t>, 2018 QCCA 611, par</w:t>
      </w:r>
      <w:r>
        <w:t>a</w:t>
      </w:r>
      <w:r w:rsidRPr="00B7742C">
        <w:t>. 9, confirm</w:t>
      </w:r>
      <w:r>
        <w:t>ed</w:t>
      </w:r>
      <w:r w:rsidRPr="00B7742C">
        <w:t xml:space="preserve"> </w:t>
      </w:r>
      <w:r>
        <w:t>at</w:t>
      </w:r>
      <w:r w:rsidRPr="00B7742C">
        <w:t xml:space="preserve"> 2019 </w:t>
      </w:r>
      <w:r>
        <w:t>SCC</w:t>
      </w:r>
      <w:r w:rsidRPr="00B7742C">
        <w:t xml:space="preserve"> 44, par</w:t>
      </w:r>
      <w:r>
        <w:t>a</w:t>
      </w:r>
      <w:r w:rsidRPr="00B7742C">
        <w:t>. 25.</w:t>
      </w:r>
    </w:p>
  </w:footnote>
  <w:footnote w:id="90">
    <w:p w14:paraId="3CE046E9" w14:textId="77777777" w:rsidR="00AE0960" w:rsidRPr="00B7742C" w:rsidRDefault="00AE0960" w:rsidP="00AE0960">
      <w:pPr>
        <w:pStyle w:val="Notedebasdepage"/>
      </w:pPr>
      <w:r w:rsidRPr="00B7742C">
        <w:rPr>
          <w:rStyle w:val="Appelnotedebasdep"/>
          <w:lang w:val="en-CA"/>
        </w:rPr>
        <w:footnoteRef/>
      </w:r>
      <w:r w:rsidRPr="00B7742C">
        <w:t xml:space="preserve"> </w:t>
      </w:r>
      <w:r w:rsidRPr="00B7742C">
        <w:tab/>
      </w:r>
      <w:r>
        <w:t>A</w:t>
      </w:r>
      <w:r w:rsidRPr="00B7742C">
        <w:t xml:space="preserve">rticle 77 </w:t>
      </w:r>
      <w:r w:rsidRPr="00B7742C">
        <w:rPr>
          <w:i/>
          <w:iCs/>
        </w:rPr>
        <w:t>C.</w:t>
      </w:r>
      <w:r>
        <w:rPr>
          <w:i/>
          <w:iCs/>
        </w:rPr>
        <w:t>C.P</w:t>
      </w:r>
      <w:r w:rsidRPr="00B7742C">
        <w:rPr>
          <w:i/>
          <w:iCs/>
        </w:rPr>
        <w:t xml:space="preserve">. </w:t>
      </w:r>
      <w:r>
        <w:t>confers party status to the AGQ</w:t>
      </w:r>
      <w:r w:rsidRPr="00B7742C">
        <w:t xml:space="preserve"> </w:t>
      </w:r>
      <w:r>
        <w:t>in this case and provides that it “</w:t>
      </w:r>
      <w:r w:rsidRPr="00B7742C">
        <w:t>may submit conclusions to the court, in which case the court must rule on them</w:t>
      </w:r>
      <w:r>
        <w:t>.”</w:t>
      </w:r>
      <w:r w:rsidRPr="00B7742C">
        <w:t> </w:t>
      </w:r>
      <w:r>
        <w:t xml:space="preserve">The Rules of the C.C.P. apply except where incompatible with the </w:t>
      </w:r>
      <w:r w:rsidRPr="003D15E5">
        <w:rPr>
          <w:i/>
          <w:iCs/>
        </w:rPr>
        <w:t>Cr.C</w:t>
      </w:r>
      <w:r>
        <w:t>., which is not the case here</w:t>
      </w:r>
      <w:r w:rsidRPr="00B7742C">
        <w:t xml:space="preserve"> (</w:t>
      </w:r>
      <w:r>
        <w:t>s</w:t>
      </w:r>
      <w:r w:rsidRPr="00B7742C">
        <w:t xml:space="preserve">. 87 </w:t>
      </w:r>
      <w:r w:rsidRPr="00B7742C">
        <w:rPr>
          <w:i/>
          <w:iCs/>
        </w:rPr>
        <w:t>RC</w:t>
      </w:r>
      <w:r>
        <w:rPr>
          <w:i/>
          <w:iCs/>
        </w:rPr>
        <w:t>A</w:t>
      </w:r>
      <w:r w:rsidRPr="00B7742C">
        <w:rPr>
          <w:i/>
          <w:iCs/>
        </w:rPr>
        <w:t>Q</w:t>
      </w:r>
      <w:r>
        <w:rPr>
          <w:i/>
          <w:iCs/>
        </w:rPr>
        <w:t>CM</w:t>
      </w:r>
      <w:r w:rsidRPr="00B7742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8676" w14:textId="77777777" w:rsidR="00F72CE5" w:rsidRDefault="00F72CE5" w:rsidP="005A519F">
    <w:pPr>
      <w:tabs>
        <w:tab w:val="center" w:pos="4709"/>
        <w:tab w:val="right" w:pos="9360"/>
      </w:tabs>
      <w:spacing w:line="360" w:lineRule="auto"/>
      <w:ind w:right="524"/>
    </w:pPr>
    <w:r>
      <w:t>500-10-700102-245</w:t>
    </w:r>
    <w:r>
      <w:tab/>
    </w:r>
    <w:r>
      <w:tab/>
      <w:t xml:space="preserve">PAGE: </w:t>
    </w:r>
    <w:r>
      <w:fldChar w:fldCharType="begin"/>
    </w:r>
    <w:r>
      <w:instrText xml:space="preserve"> PAGE </w:instrText>
    </w:r>
    <w:r>
      <w:fldChar w:fldCharType="separate"/>
    </w:r>
    <w:r>
      <w:t>1</w:t>
    </w:r>
    <w:r>
      <w:fldChar w:fldCharType="end"/>
    </w:r>
  </w:p>
  <w:p w14:paraId="616A2434" w14:textId="77777777" w:rsidR="0043736E" w:rsidRDefault="0043736E" w:rsidP="005A519F">
    <w:pPr>
      <w:tabs>
        <w:tab w:val="center" w:pos="4709"/>
        <w:tab w:val="right" w:pos="9360"/>
      </w:tabs>
      <w:spacing w:line="360" w:lineRule="auto"/>
      <w:ind w:right="5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224E" w14:textId="77777777" w:rsidR="00AE0960" w:rsidRDefault="00AE096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63DB" w14:textId="77777777" w:rsidR="00AE0960" w:rsidRDefault="00AE0960" w:rsidP="00FB2B75">
    <w:pPr>
      <w:tabs>
        <w:tab w:val="center" w:pos="4709"/>
        <w:tab w:val="right" w:pos="9360"/>
      </w:tabs>
      <w:spacing w:line="360" w:lineRule="auto"/>
      <w:ind w:right="524"/>
    </w:pPr>
    <w:r>
      <w:t>500-10-700102-245</w:t>
    </w:r>
    <w:r>
      <w:tab/>
    </w:r>
    <w:r>
      <w:tab/>
      <w:t xml:space="preserve">PAGE: </w:t>
    </w:r>
    <w:r>
      <w:fldChar w:fldCharType="begin"/>
    </w:r>
    <w:r>
      <w:instrText xml:space="preserve"> PAGE </w:instrText>
    </w:r>
    <w:r>
      <w:fldChar w:fldCharType="separate"/>
    </w:r>
    <w:r>
      <w:t>1</w:t>
    </w:r>
    <w:r>
      <w:fldChar w:fldCharType="end"/>
    </w:r>
  </w:p>
  <w:p w14:paraId="26D3EDB5" w14:textId="77777777" w:rsidR="00AE0960" w:rsidRDefault="00AE0960" w:rsidP="00FB2B75">
    <w:pPr>
      <w:tabs>
        <w:tab w:val="center" w:pos="4709"/>
        <w:tab w:val="right" w:pos="9360"/>
      </w:tabs>
      <w:spacing w:line="360" w:lineRule="auto"/>
      <w:ind w:right="52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7C5B" w14:textId="77777777" w:rsidR="00AE0960" w:rsidRDefault="00AE096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CC3A" w14:textId="3F3D938E" w:rsidR="006B3E24" w:rsidRDefault="00FB505A" w:rsidP="00DA6CD9">
    <w:pPr>
      <w:tabs>
        <w:tab w:val="center" w:pos="4709"/>
        <w:tab w:val="right" w:pos="9360"/>
      </w:tabs>
      <w:spacing w:line="360" w:lineRule="auto"/>
      <w:ind w:right="524"/>
    </w:pPr>
    <w:bookmarkStart w:id="28" w:name="EntDossier"/>
    <w:r>
      <w:t>500-10-700102-245</w:t>
    </w:r>
    <w:bookmarkEnd w:id="28"/>
    <w:r w:rsidR="008773C4">
      <w:tab/>
    </w:r>
    <w:r w:rsidR="008773C4">
      <w:tab/>
      <w:t xml:space="preserve">PAGE: </w:t>
    </w:r>
    <w:r w:rsidR="008773C4">
      <w:fldChar w:fldCharType="begin"/>
    </w:r>
    <w:r w:rsidR="008773C4">
      <w:instrText xml:space="preserve"> PAGE </w:instrText>
    </w:r>
    <w:r w:rsidR="008773C4">
      <w:fldChar w:fldCharType="separate"/>
    </w:r>
    <w:r w:rsidR="00DA6CD9">
      <w:rPr>
        <w:noProof/>
      </w:rPr>
      <w:t>2</w:t>
    </w:r>
    <w:r w:rsidR="008773C4">
      <w:fldChar w:fldCharType="end"/>
    </w:r>
  </w:p>
  <w:p w14:paraId="711887D0" w14:textId="77777777" w:rsidR="00742AF9" w:rsidRDefault="00742AF9" w:rsidP="00DA6CD9">
    <w:pPr>
      <w:tabs>
        <w:tab w:val="center" w:pos="4709"/>
        <w:tab w:val="right" w:pos="9360"/>
      </w:tabs>
      <w:spacing w:line="360" w:lineRule="auto"/>
      <w:ind w:right="5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F016CF"/>
    <w:multiLevelType w:val="hybridMultilevel"/>
    <w:tmpl w:val="68CCC5D8"/>
    <w:lvl w:ilvl="0" w:tplc="0C0C0017">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1" w15:restartNumberingAfterBreak="0">
    <w:nsid w:val="1F1D5E53"/>
    <w:multiLevelType w:val="hybridMultilevel"/>
    <w:tmpl w:val="488A2A90"/>
    <w:lvl w:ilvl="0" w:tplc="F54E5C60">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2" w15:restartNumberingAfterBreak="0">
    <w:nsid w:val="24A216B5"/>
    <w:multiLevelType w:val="hybridMultilevel"/>
    <w:tmpl w:val="83F2741A"/>
    <w:lvl w:ilvl="0" w:tplc="D1486224">
      <w:start w:val="7"/>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0A02032"/>
    <w:multiLevelType w:val="hybridMultilevel"/>
    <w:tmpl w:val="8FCC0362"/>
    <w:lvl w:ilvl="0" w:tplc="0C0C0001">
      <w:start w:val="1"/>
      <w:numFmt w:val="bullet"/>
      <w:lvlText w:val=""/>
      <w:lvlJc w:val="left"/>
      <w:pPr>
        <w:ind w:left="1451" w:hanging="360"/>
      </w:pPr>
      <w:rPr>
        <w:rFonts w:ascii="Symbol" w:hAnsi="Symbol" w:hint="default"/>
      </w:rPr>
    </w:lvl>
    <w:lvl w:ilvl="1" w:tplc="0C0C0003" w:tentative="1">
      <w:start w:val="1"/>
      <w:numFmt w:val="bullet"/>
      <w:lvlText w:val="o"/>
      <w:lvlJc w:val="left"/>
      <w:pPr>
        <w:ind w:left="2171" w:hanging="360"/>
      </w:pPr>
      <w:rPr>
        <w:rFonts w:ascii="Courier New" w:hAnsi="Courier New" w:cs="Courier New" w:hint="default"/>
      </w:rPr>
    </w:lvl>
    <w:lvl w:ilvl="2" w:tplc="0C0C0005" w:tentative="1">
      <w:start w:val="1"/>
      <w:numFmt w:val="bullet"/>
      <w:lvlText w:val=""/>
      <w:lvlJc w:val="left"/>
      <w:pPr>
        <w:ind w:left="2891" w:hanging="360"/>
      </w:pPr>
      <w:rPr>
        <w:rFonts w:ascii="Wingdings" w:hAnsi="Wingdings" w:hint="default"/>
      </w:rPr>
    </w:lvl>
    <w:lvl w:ilvl="3" w:tplc="0C0C0001" w:tentative="1">
      <w:start w:val="1"/>
      <w:numFmt w:val="bullet"/>
      <w:lvlText w:val=""/>
      <w:lvlJc w:val="left"/>
      <w:pPr>
        <w:ind w:left="3611" w:hanging="360"/>
      </w:pPr>
      <w:rPr>
        <w:rFonts w:ascii="Symbol" w:hAnsi="Symbol" w:hint="default"/>
      </w:rPr>
    </w:lvl>
    <w:lvl w:ilvl="4" w:tplc="0C0C0003" w:tentative="1">
      <w:start w:val="1"/>
      <w:numFmt w:val="bullet"/>
      <w:lvlText w:val="o"/>
      <w:lvlJc w:val="left"/>
      <w:pPr>
        <w:ind w:left="4331" w:hanging="360"/>
      </w:pPr>
      <w:rPr>
        <w:rFonts w:ascii="Courier New" w:hAnsi="Courier New" w:cs="Courier New" w:hint="default"/>
      </w:rPr>
    </w:lvl>
    <w:lvl w:ilvl="5" w:tplc="0C0C0005" w:tentative="1">
      <w:start w:val="1"/>
      <w:numFmt w:val="bullet"/>
      <w:lvlText w:val=""/>
      <w:lvlJc w:val="left"/>
      <w:pPr>
        <w:ind w:left="5051" w:hanging="360"/>
      </w:pPr>
      <w:rPr>
        <w:rFonts w:ascii="Wingdings" w:hAnsi="Wingdings" w:hint="default"/>
      </w:rPr>
    </w:lvl>
    <w:lvl w:ilvl="6" w:tplc="0C0C0001" w:tentative="1">
      <w:start w:val="1"/>
      <w:numFmt w:val="bullet"/>
      <w:lvlText w:val=""/>
      <w:lvlJc w:val="left"/>
      <w:pPr>
        <w:ind w:left="5771" w:hanging="360"/>
      </w:pPr>
      <w:rPr>
        <w:rFonts w:ascii="Symbol" w:hAnsi="Symbol" w:hint="default"/>
      </w:rPr>
    </w:lvl>
    <w:lvl w:ilvl="7" w:tplc="0C0C0003" w:tentative="1">
      <w:start w:val="1"/>
      <w:numFmt w:val="bullet"/>
      <w:lvlText w:val="o"/>
      <w:lvlJc w:val="left"/>
      <w:pPr>
        <w:ind w:left="6491" w:hanging="360"/>
      </w:pPr>
      <w:rPr>
        <w:rFonts w:ascii="Courier New" w:hAnsi="Courier New" w:cs="Courier New" w:hint="default"/>
      </w:rPr>
    </w:lvl>
    <w:lvl w:ilvl="8" w:tplc="0C0C0005" w:tentative="1">
      <w:start w:val="1"/>
      <w:numFmt w:val="bullet"/>
      <w:lvlText w:val=""/>
      <w:lvlJc w:val="left"/>
      <w:pPr>
        <w:ind w:left="7211" w:hanging="360"/>
      </w:pPr>
      <w:rPr>
        <w:rFonts w:ascii="Wingdings" w:hAnsi="Wingdings" w:hint="default"/>
      </w:rPr>
    </w:lvl>
  </w:abstractNum>
  <w:abstractNum w:abstractNumId="17" w15:restartNumberingAfterBreak="0">
    <w:nsid w:val="652D3756"/>
    <w:multiLevelType w:val="hybridMultilevel"/>
    <w:tmpl w:val="43A8EEFC"/>
    <w:lvl w:ilvl="0" w:tplc="0C0C0001">
      <w:start w:val="1"/>
      <w:numFmt w:val="bullet"/>
      <w:lvlText w:val=""/>
      <w:lvlJc w:val="left"/>
      <w:pPr>
        <w:ind w:left="1451" w:hanging="360"/>
      </w:pPr>
      <w:rPr>
        <w:rFonts w:ascii="Symbol" w:hAnsi="Symbol" w:hint="default"/>
      </w:rPr>
    </w:lvl>
    <w:lvl w:ilvl="1" w:tplc="0C0C0003" w:tentative="1">
      <w:start w:val="1"/>
      <w:numFmt w:val="bullet"/>
      <w:lvlText w:val="o"/>
      <w:lvlJc w:val="left"/>
      <w:pPr>
        <w:ind w:left="2171" w:hanging="360"/>
      </w:pPr>
      <w:rPr>
        <w:rFonts w:ascii="Courier New" w:hAnsi="Courier New" w:cs="Courier New" w:hint="default"/>
      </w:rPr>
    </w:lvl>
    <w:lvl w:ilvl="2" w:tplc="0C0C0005" w:tentative="1">
      <w:start w:val="1"/>
      <w:numFmt w:val="bullet"/>
      <w:lvlText w:val=""/>
      <w:lvlJc w:val="left"/>
      <w:pPr>
        <w:ind w:left="2891" w:hanging="360"/>
      </w:pPr>
      <w:rPr>
        <w:rFonts w:ascii="Wingdings" w:hAnsi="Wingdings" w:hint="default"/>
      </w:rPr>
    </w:lvl>
    <w:lvl w:ilvl="3" w:tplc="0C0C0001" w:tentative="1">
      <w:start w:val="1"/>
      <w:numFmt w:val="bullet"/>
      <w:lvlText w:val=""/>
      <w:lvlJc w:val="left"/>
      <w:pPr>
        <w:ind w:left="3611" w:hanging="360"/>
      </w:pPr>
      <w:rPr>
        <w:rFonts w:ascii="Symbol" w:hAnsi="Symbol" w:hint="default"/>
      </w:rPr>
    </w:lvl>
    <w:lvl w:ilvl="4" w:tplc="0C0C0003" w:tentative="1">
      <w:start w:val="1"/>
      <w:numFmt w:val="bullet"/>
      <w:lvlText w:val="o"/>
      <w:lvlJc w:val="left"/>
      <w:pPr>
        <w:ind w:left="4331" w:hanging="360"/>
      </w:pPr>
      <w:rPr>
        <w:rFonts w:ascii="Courier New" w:hAnsi="Courier New" w:cs="Courier New" w:hint="default"/>
      </w:rPr>
    </w:lvl>
    <w:lvl w:ilvl="5" w:tplc="0C0C0005" w:tentative="1">
      <w:start w:val="1"/>
      <w:numFmt w:val="bullet"/>
      <w:lvlText w:val=""/>
      <w:lvlJc w:val="left"/>
      <w:pPr>
        <w:ind w:left="5051" w:hanging="360"/>
      </w:pPr>
      <w:rPr>
        <w:rFonts w:ascii="Wingdings" w:hAnsi="Wingdings" w:hint="default"/>
      </w:rPr>
    </w:lvl>
    <w:lvl w:ilvl="6" w:tplc="0C0C0001" w:tentative="1">
      <w:start w:val="1"/>
      <w:numFmt w:val="bullet"/>
      <w:lvlText w:val=""/>
      <w:lvlJc w:val="left"/>
      <w:pPr>
        <w:ind w:left="5771" w:hanging="360"/>
      </w:pPr>
      <w:rPr>
        <w:rFonts w:ascii="Symbol" w:hAnsi="Symbol" w:hint="default"/>
      </w:rPr>
    </w:lvl>
    <w:lvl w:ilvl="7" w:tplc="0C0C0003" w:tentative="1">
      <w:start w:val="1"/>
      <w:numFmt w:val="bullet"/>
      <w:lvlText w:val="o"/>
      <w:lvlJc w:val="left"/>
      <w:pPr>
        <w:ind w:left="6491" w:hanging="360"/>
      </w:pPr>
      <w:rPr>
        <w:rFonts w:ascii="Courier New" w:hAnsi="Courier New" w:cs="Courier New" w:hint="default"/>
      </w:rPr>
    </w:lvl>
    <w:lvl w:ilvl="8" w:tplc="0C0C0005" w:tentative="1">
      <w:start w:val="1"/>
      <w:numFmt w:val="bullet"/>
      <w:lvlText w:val=""/>
      <w:lvlJc w:val="left"/>
      <w:pPr>
        <w:ind w:left="7211" w:hanging="360"/>
      </w:pPr>
      <w:rPr>
        <w:rFonts w:ascii="Wingdings" w:hAnsi="Wingdings" w:hint="default"/>
      </w:rPr>
    </w:lvl>
  </w:abstractNum>
  <w:abstractNum w:abstractNumId="18" w15:restartNumberingAfterBreak="0">
    <w:nsid w:val="672300FF"/>
    <w:multiLevelType w:val="hybridMultilevel"/>
    <w:tmpl w:val="A1189A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44555391">
    <w:abstractNumId w:val="15"/>
  </w:num>
  <w:num w:numId="2" w16cid:durableId="1372457471">
    <w:abstractNumId w:val="15"/>
  </w:num>
  <w:num w:numId="3" w16cid:durableId="1492408907">
    <w:abstractNumId w:val="15"/>
  </w:num>
  <w:num w:numId="4" w16cid:durableId="563837209">
    <w:abstractNumId w:val="8"/>
  </w:num>
  <w:num w:numId="5" w16cid:durableId="1678262984">
    <w:abstractNumId w:val="3"/>
  </w:num>
  <w:num w:numId="6" w16cid:durableId="1845777795">
    <w:abstractNumId w:val="2"/>
  </w:num>
  <w:num w:numId="7" w16cid:durableId="1673071611">
    <w:abstractNumId w:val="1"/>
  </w:num>
  <w:num w:numId="8" w16cid:durableId="1014302952">
    <w:abstractNumId w:val="0"/>
  </w:num>
  <w:num w:numId="9" w16cid:durableId="912013458">
    <w:abstractNumId w:val="9"/>
  </w:num>
  <w:num w:numId="10" w16cid:durableId="92941120">
    <w:abstractNumId w:val="7"/>
  </w:num>
  <w:num w:numId="11" w16cid:durableId="121578984">
    <w:abstractNumId w:val="6"/>
  </w:num>
  <w:num w:numId="12" w16cid:durableId="943224354">
    <w:abstractNumId w:val="5"/>
  </w:num>
  <w:num w:numId="13" w16cid:durableId="1330401679">
    <w:abstractNumId w:val="4"/>
  </w:num>
  <w:num w:numId="14" w16cid:durableId="187333251">
    <w:abstractNumId w:val="15"/>
  </w:num>
  <w:num w:numId="15" w16cid:durableId="1381707792">
    <w:abstractNumId w:val="15"/>
  </w:num>
  <w:num w:numId="16" w16cid:durableId="1365792366">
    <w:abstractNumId w:val="15"/>
  </w:num>
  <w:num w:numId="17" w16cid:durableId="1321344314">
    <w:abstractNumId w:val="14"/>
  </w:num>
  <w:num w:numId="18" w16cid:durableId="515389849">
    <w:abstractNumId w:val="13"/>
  </w:num>
  <w:num w:numId="19" w16cid:durableId="744717592">
    <w:abstractNumId w:val="18"/>
  </w:num>
  <w:num w:numId="20" w16cid:durableId="1961573883">
    <w:abstractNumId w:val="13"/>
  </w:num>
  <w:num w:numId="21" w16cid:durableId="1157187076">
    <w:abstractNumId w:val="13"/>
  </w:num>
  <w:num w:numId="22" w16cid:durableId="1180196657">
    <w:abstractNumId w:val="13"/>
  </w:num>
  <w:num w:numId="23" w16cid:durableId="43917197">
    <w:abstractNumId w:val="13"/>
  </w:num>
  <w:num w:numId="24" w16cid:durableId="1908177082">
    <w:abstractNumId w:val="13"/>
  </w:num>
  <w:num w:numId="25" w16cid:durableId="247272913">
    <w:abstractNumId w:val="12"/>
  </w:num>
  <w:num w:numId="26" w16cid:durableId="29964117">
    <w:abstractNumId w:val="17"/>
  </w:num>
  <w:num w:numId="27" w16cid:durableId="2058311934">
    <w:abstractNumId w:val="16"/>
  </w:num>
  <w:num w:numId="28" w16cid:durableId="685593001">
    <w:abstractNumId w:val="11"/>
  </w:num>
  <w:num w:numId="29" w16cid:durableId="1913153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REASONS OF"/>
    <w:docVar w:name="MotifJuge2" w:val="REASONS OF"/>
    <w:docVar w:name="MotifJuge3" w:val="REASONS OF"/>
    <w:docVar w:name="NomFamJuge1" w:val="MORISSETTE"/>
    <w:docVar w:name="NomFamJuge2" w:val="HEALY"/>
    <w:docVar w:name="NomFamJuge3" w:val="WEITZMAN"/>
    <w:docVar w:name="NomFamJuge4" w:val="Nom4"/>
    <w:docVar w:name="NomFamJuge5" w:val="Nom5"/>
    <w:docVar w:name="QteJuge1" w:val=", J.A."/>
    <w:docVar w:name="QteJuge2" w:val=", J.A."/>
    <w:docVar w:name="QteJuge3" w:val=", J.A."/>
    <w:docVar w:name="QteJuge4" w:val=", Qte4"/>
    <w:docVar w:name="QteJuge5" w:val=", Qte5"/>
    <w:docVar w:name="stPremiereFois" w:val="Non"/>
  </w:docVars>
  <w:rsids>
    <w:rsidRoot w:val="00FB505A"/>
    <w:rsid w:val="000273A8"/>
    <w:rsid w:val="00087567"/>
    <w:rsid w:val="000C0B8C"/>
    <w:rsid w:val="000C3299"/>
    <w:rsid w:val="000C6050"/>
    <w:rsid w:val="000E7106"/>
    <w:rsid w:val="0010186A"/>
    <w:rsid w:val="00113ECD"/>
    <w:rsid w:val="001339DC"/>
    <w:rsid w:val="00152C9C"/>
    <w:rsid w:val="00160DC5"/>
    <w:rsid w:val="001C0D6C"/>
    <w:rsid w:val="001C3A96"/>
    <w:rsid w:val="001F0D45"/>
    <w:rsid w:val="002963D7"/>
    <w:rsid w:val="002A0037"/>
    <w:rsid w:val="0030580B"/>
    <w:rsid w:val="00327500"/>
    <w:rsid w:val="003279D6"/>
    <w:rsid w:val="00330825"/>
    <w:rsid w:val="003539AE"/>
    <w:rsid w:val="00353E3C"/>
    <w:rsid w:val="00354B0D"/>
    <w:rsid w:val="00363762"/>
    <w:rsid w:val="003B32C2"/>
    <w:rsid w:val="003C4610"/>
    <w:rsid w:val="003F08ED"/>
    <w:rsid w:val="0043736E"/>
    <w:rsid w:val="00447B9B"/>
    <w:rsid w:val="004547BF"/>
    <w:rsid w:val="00541894"/>
    <w:rsid w:val="005545FA"/>
    <w:rsid w:val="005A49E1"/>
    <w:rsid w:val="005A7E5A"/>
    <w:rsid w:val="005C5C31"/>
    <w:rsid w:val="005E4FBA"/>
    <w:rsid w:val="00604213"/>
    <w:rsid w:val="006B3E24"/>
    <w:rsid w:val="006D32CA"/>
    <w:rsid w:val="00742AF9"/>
    <w:rsid w:val="007A48F9"/>
    <w:rsid w:val="0081733F"/>
    <w:rsid w:val="00853143"/>
    <w:rsid w:val="00857B8D"/>
    <w:rsid w:val="0086538B"/>
    <w:rsid w:val="008773C4"/>
    <w:rsid w:val="008B6102"/>
    <w:rsid w:val="008D7EFD"/>
    <w:rsid w:val="00910C00"/>
    <w:rsid w:val="00952970"/>
    <w:rsid w:val="009C0B2E"/>
    <w:rsid w:val="00A4076B"/>
    <w:rsid w:val="00A629EF"/>
    <w:rsid w:val="00A7298F"/>
    <w:rsid w:val="00AA28C9"/>
    <w:rsid w:val="00AE0960"/>
    <w:rsid w:val="00AE2CF4"/>
    <w:rsid w:val="00B44D60"/>
    <w:rsid w:val="00B574BA"/>
    <w:rsid w:val="00B62EAA"/>
    <w:rsid w:val="00B64D69"/>
    <w:rsid w:val="00B968EF"/>
    <w:rsid w:val="00BC684D"/>
    <w:rsid w:val="00BC6C19"/>
    <w:rsid w:val="00BD073F"/>
    <w:rsid w:val="00C14675"/>
    <w:rsid w:val="00C8393C"/>
    <w:rsid w:val="00CA5E18"/>
    <w:rsid w:val="00CF30A9"/>
    <w:rsid w:val="00D033F1"/>
    <w:rsid w:val="00D40E8D"/>
    <w:rsid w:val="00D50EC3"/>
    <w:rsid w:val="00D52967"/>
    <w:rsid w:val="00D70144"/>
    <w:rsid w:val="00D812B8"/>
    <w:rsid w:val="00DA6CD9"/>
    <w:rsid w:val="00DB3CA2"/>
    <w:rsid w:val="00E31FBC"/>
    <w:rsid w:val="00E36BC8"/>
    <w:rsid w:val="00E66BBC"/>
    <w:rsid w:val="00E8293B"/>
    <w:rsid w:val="00E82A75"/>
    <w:rsid w:val="00EA01A6"/>
    <w:rsid w:val="00ED2FF9"/>
    <w:rsid w:val="00F021AC"/>
    <w:rsid w:val="00F05D7B"/>
    <w:rsid w:val="00F17923"/>
    <w:rsid w:val="00F364F8"/>
    <w:rsid w:val="00F65F71"/>
    <w:rsid w:val="00F72CE5"/>
    <w:rsid w:val="00FB50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07F2A"/>
  <w15:chartTrackingRefBased/>
  <w15:docId w15:val="{C9FD67BF-93F3-4247-B4D0-2640F43E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val="en-CA"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basedOn w:val="Policepardfaut"/>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Footnote Text Char2,Footnote Text Char1 Char,Footnote Text Char Char Char, Char1 Char1 Char Char, Char1 Char2 Char,Footnote Text Char Char1, Char1 Char1 Char1, Char1 Char3,fn,Char Char Char,Char Char,ft,Footnote text,ft2,Char,FA Fu"/>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Normal"/>
    <w:pPr>
      <w:ind w:left="144" w:right="720"/>
      <w:jc w:val="both"/>
    </w:pPr>
    <w:rPr>
      <w:sz w:val="22"/>
    </w:rPr>
  </w:style>
  <w:style w:type="paragraph" w:customStyle="1" w:styleId="Tableaugauchefranais">
    <w:name w:val="Tableau gauche français"/>
    <w:basedOn w:val="Tableaudroiteanglais"/>
    <w:pPr>
      <w:ind w:left="720" w:right="144"/>
    </w:pPr>
    <w:rPr>
      <w:lang w:val="fr-CA"/>
    </w:rPr>
  </w:style>
  <w:style w:type="character" w:styleId="Appelnotedebasdep">
    <w:name w:val="footnote reference"/>
    <w:aliases w:val="fr,Ref,de nota al pie,Char Char6 Char Char Char Char Char Char Char Char Char Char Char Char,Char6 Char Char Char Char Char Char Char Char Char Char Char Char Char,Footnote"/>
    <w:basedOn w:val="Policepardfaut"/>
    <w:uiPriority w:val="99"/>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paragraph" w:customStyle="1" w:styleId="StylezSoquijdatRepertorie">
    <w:name w:val="Style zSoquij_datRepertorie"/>
    <w:basedOn w:val="zSoquijlblCour"/>
    <w:pPr>
      <w:jc w:val="left"/>
    </w:pPr>
    <w:rPr>
      <w:sz w:val="22"/>
    </w:rPr>
  </w:style>
  <w:style w:type="paragraph" w:styleId="Textedebulles">
    <w:name w:val="Balloon Text"/>
    <w:basedOn w:val="Normal"/>
    <w:link w:val="TextedebullesCar"/>
    <w:uiPriority w:val="99"/>
    <w:semiHidden/>
    <w:unhideWhenUsed/>
    <w:rsid w:val="001C0D6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0D6C"/>
    <w:rPr>
      <w:rFonts w:ascii="Segoe UI" w:hAnsi="Segoe UI" w:cs="Segoe UI"/>
      <w:sz w:val="18"/>
      <w:szCs w:val="18"/>
      <w:lang w:val="en-CA" w:eastAsia="fr-FR"/>
    </w:rPr>
  </w:style>
  <w:style w:type="character" w:styleId="Marquedecommentaire">
    <w:name w:val="annotation reference"/>
    <w:basedOn w:val="Policepardfaut"/>
    <w:uiPriority w:val="99"/>
    <w:semiHidden/>
    <w:unhideWhenUsed/>
    <w:rsid w:val="005A49E1"/>
    <w:rPr>
      <w:sz w:val="16"/>
      <w:szCs w:val="16"/>
    </w:rPr>
  </w:style>
  <w:style w:type="paragraph" w:styleId="Commentaire">
    <w:name w:val="annotation text"/>
    <w:basedOn w:val="Normal"/>
    <w:link w:val="CommentaireCar"/>
    <w:uiPriority w:val="99"/>
    <w:unhideWhenUsed/>
    <w:rsid w:val="005A49E1"/>
    <w:pPr>
      <w:spacing w:line="240" w:lineRule="auto"/>
    </w:pPr>
    <w:rPr>
      <w:sz w:val="20"/>
    </w:rPr>
  </w:style>
  <w:style w:type="character" w:customStyle="1" w:styleId="CommentaireCar">
    <w:name w:val="Commentaire Car"/>
    <w:basedOn w:val="Policepardfaut"/>
    <w:link w:val="Commentaire"/>
    <w:uiPriority w:val="99"/>
    <w:rsid w:val="005A49E1"/>
    <w:rPr>
      <w:rFonts w:ascii="Arial" w:hAnsi="Arial"/>
      <w:lang w:val="en-CA" w:eastAsia="fr-FR"/>
    </w:rPr>
  </w:style>
  <w:style w:type="paragraph" w:styleId="Objetducommentaire">
    <w:name w:val="annotation subject"/>
    <w:basedOn w:val="Commentaire"/>
    <w:next w:val="Commentaire"/>
    <w:link w:val="ObjetducommentaireCar"/>
    <w:uiPriority w:val="99"/>
    <w:semiHidden/>
    <w:unhideWhenUsed/>
    <w:rsid w:val="005A49E1"/>
    <w:rPr>
      <w:b/>
      <w:bCs/>
    </w:rPr>
  </w:style>
  <w:style w:type="character" w:customStyle="1" w:styleId="ObjetducommentaireCar">
    <w:name w:val="Objet du commentaire Car"/>
    <w:basedOn w:val="CommentaireCar"/>
    <w:link w:val="Objetducommentaire"/>
    <w:uiPriority w:val="99"/>
    <w:semiHidden/>
    <w:rsid w:val="005A49E1"/>
    <w:rPr>
      <w:rFonts w:ascii="Arial" w:hAnsi="Arial"/>
      <w:b/>
      <w:bCs/>
      <w:lang w:val="en-CA" w:eastAsia="fr-FR"/>
    </w:rPr>
  </w:style>
  <w:style w:type="paragraph" w:styleId="Rvision">
    <w:name w:val="Revision"/>
    <w:hidden/>
    <w:uiPriority w:val="99"/>
    <w:semiHidden/>
    <w:rsid w:val="00E8293B"/>
    <w:rPr>
      <w:rFonts w:ascii="Arial" w:hAnsi="Arial"/>
      <w:sz w:val="24"/>
      <w:lang w:val="en-CA" w:eastAsia="fr-FR"/>
    </w:rPr>
  </w:style>
  <w:style w:type="character" w:styleId="Hyperlien">
    <w:name w:val="Hyperlink"/>
    <w:uiPriority w:val="99"/>
    <w:unhideWhenUsed/>
    <w:rsid w:val="00F72CE5"/>
    <w:rPr>
      <w:color w:val="0000FF"/>
      <w:u w:val="single"/>
      <w:lang w:val="fr-CA"/>
    </w:rPr>
  </w:style>
  <w:style w:type="character" w:customStyle="1" w:styleId="NotedebasdepageCar">
    <w:name w:val="Note de bas de page Car"/>
    <w:aliases w:val="Footnote Text Char2 Car,Footnote Text Char1 Char Car,Footnote Text Char Char Char Car, Char1 Char1 Char Char Car, Char1 Char2 Char Car,Footnote Text Char Char1 Car, Char1 Char1 Char1 Car, Char1 Char3 Car,fn Car,Char Char Char Car"/>
    <w:basedOn w:val="Policepardfaut"/>
    <w:link w:val="Notedebasdepage"/>
    <w:rsid w:val="00F72CE5"/>
    <w:rPr>
      <w:rFonts w:ascii="Arial" w:hAnsi="Arial"/>
      <w:lang w:val="en-CA" w:eastAsia="fr-FR"/>
    </w:rPr>
  </w:style>
  <w:style w:type="paragraph" w:styleId="Paragraphedeliste">
    <w:name w:val="List Paragraph"/>
    <w:basedOn w:val="Normal"/>
    <w:uiPriority w:val="34"/>
    <w:qFormat/>
    <w:rsid w:val="00F72CE5"/>
    <w:pPr>
      <w:spacing w:line="240" w:lineRule="auto"/>
      <w:ind w:left="720"/>
      <w:contextualSpacing/>
    </w:pPr>
    <w:rPr>
      <w:lang w:val="fr-CA"/>
    </w:rPr>
  </w:style>
  <w:style w:type="character" w:customStyle="1" w:styleId="lawlabel">
    <w:name w:val="lawlabel"/>
    <w:basedOn w:val="Policepardfaut"/>
    <w:rsid w:val="00F72CE5"/>
  </w:style>
  <w:style w:type="character" w:customStyle="1" w:styleId="ParagrapheCar">
    <w:name w:val="Paragraphe Car"/>
    <w:link w:val="Paragraphe"/>
    <w:qFormat/>
    <w:rsid w:val="00AE0960"/>
    <w:rPr>
      <w:rFonts w:ascii="Arial" w:hAnsi="Arial"/>
      <w:kern w:val="28"/>
      <w:sz w:val="24"/>
      <w:lang w:val="en-CA" w:eastAsia="fr-FR"/>
    </w:rPr>
  </w:style>
  <w:style w:type="character" w:customStyle="1" w:styleId="subsection">
    <w:name w:val="subsection"/>
    <w:basedOn w:val="Policepardfaut"/>
    <w:rsid w:val="00AE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theyworkforyou.com/glossary/?gl=35"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81C3-3ED7-49F8-977C-CD0EA8B2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40</Pages>
  <Words>13743</Words>
  <Characters>75588</Characters>
  <Application>Microsoft Office Word</Application>
  <DocSecurity>0</DocSecurity>
  <Lines>629</Lines>
  <Paragraphs>178</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89153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Manon Beaudry</dc:creator>
  <cp:keywords/>
  <dc:description/>
  <cp:lastModifiedBy>Gauthier, François</cp:lastModifiedBy>
  <cp:revision>3</cp:revision>
  <cp:lastPrinted>2026-04-29T12:18:00Z</cp:lastPrinted>
  <dcterms:created xsi:type="dcterms:W3CDTF">2026-04-29T12:20:00Z</dcterms:created>
  <dcterms:modified xsi:type="dcterms:W3CDTF">2026-05-01T12:06:00Z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Ang</vt:lpwstr>
  </property>
</Properties>
</file>