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ayout w:type="fixed"/>
        <w:tblCellMar>
          <w:left w:w="0" w:type="dxa"/>
          <w:right w:w="0" w:type="dxa"/>
        </w:tblCellMar>
        <w:tblLook w:val="0000" w:firstRow="0" w:lastRow="0" w:firstColumn="0" w:lastColumn="0" w:noHBand="0" w:noVBand="0"/>
      </w:tblPr>
      <w:tblGrid>
        <w:gridCol w:w="1030"/>
        <w:gridCol w:w="246"/>
        <w:gridCol w:w="344"/>
        <w:gridCol w:w="2350"/>
        <w:gridCol w:w="3402"/>
        <w:gridCol w:w="1988"/>
      </w:tblGrid>
      <w:tr w:rsidR="008F364A" w14:paraId="77A8E93D" w14:textId="77777777" w:rsidTr="008D18FC">
        <w:trPr>
          <w:trHeight w:val="248"/>
        </w:trPr>
        <w:tc>
          <w:tcPr>
            <w:tcW w:w="7372" w:type="dxa"/>
            <w:gridSpan w:val="5"/>
          </w:tcPr>
          <w:p w14:paraId="56038ADF" w14:textId="06C09D5E" w:rsidR="008F364A" w:rsidRPr="005B30DB" w:rsidRDefault="005B30DB" w:rsidP="005B30DB">
            <w:pPr>
              <w:pStyle w:val="zSoquijdatRepertorie"/>
              <w:rPr>
                <w:rFonts w:cs="Arial"/>
              </w:rPr>
            </w:pPr>
            <w:r>
              <w:rPr>
                <w:rFonts w:cs="Arial"/>
              </w:rPr>
              <w:t>9299-2742 Québec inc. (Gestion OFA Environnement) c. Procureur général du Québec</w:t>
            </w:r>
          </w:p>
        </w:tc>
        <w:tc>
          <w:tcPr>
            <w:tcW w:w="1988" w:type="dxa"/>
          </w:tcPr>
          <w:p w14:paraId="60F37A55" w14:textId="541D95F8" w:rsidR="008F364A" w:rsidRPr="002A029E" w:rsidRDefault="002A029E" w:rsidP="002A029E">
            <w:pPr>
              <w:pStyle w:val="zSoquijdatRefNeutre"/>
              <w:jc w:val="right"/>
              <w:rPr>
                <w:rFonts w:cs="Arial"/>
              </w:rPr>
            </w:pPr>
            <w:r w:rsidRPr="002A029E">
              <w:rPr>
                <w:rFonts w:cs="Arial"/>
              </w:rPr>
              <w:t>2026 QCCA 614</w:t>
            </w:r>
          </w:p>
        </w:tc>
      </w:tr>
      <w:tr w:rsidR="008F364A" w14:paraId="3A7802A7" w14:textId="77777777" w:rsidTr="008D18FC">
        <w:trPr>
          <w:trHeight w:val="247"/>
        </w:trPr>
        <w:tc>
          <w:tcPr>
            <w:tcW w:w="9360" w:type="dxa"/>
            <w:gridSpan w:val="6"/>
          </w:tcPr>
          <w:p w14:paraId="2608CB9D" w14:textId="77777777" w:rsidR="008F364A" w:rsidRDefault="00740A17">
            <w:pPr>
              <w:pStyle w:val="zSoquijlblCour"/>
            </w:pPr>
            <w:r>
              <w:t>COUR D’APPEL</w:t>
            </w:r>
          </w:p>
        </w:tc>
      </w:tr>
      <w:tr w:rsidR="008F364A" w14:paraId="1688A265" w14:textId="77777777" w:rsidTr="008D18FC">
        <w:trPr>
          <w:trHeight w:val="540"/>
        </w:trPr>
        <w:tc>
          <w:tcPr>
            <w:tcW w:w="9360" w:type="dxa"/>
            <w:gridSpan w:val="6"/>
          </w:tcPr>
          <w:p w14:paraId="290A987C" w14:textId="77777777" w:rsidR="008F364A" w:rsidRDefault="008F364A">
            <w:pPr>
              <w:pStyle w:val="zSoquijdatDivision"/>
            </w:pPr>
          </w:p>
        </w:tc>
      </w:tr>
      <w:tr w:rsidR="008F364A" w14:paraId="04315AAB" w14:textId="77777777" w:rsidTr="008D18FC">
        <w:tc>
          <w:tcPr>
            <w:tcW w:w="9360" w:type="dxa"/>
            <w:gridSpan w:val="6"/>
          </w:tcPr>
          <w:p w14:paraId="12CAABE6" w14:textId="77777777" w:rsidR="008F364A" w:rsidRDefault="00740A17">
            <w:pPr>
              <w:pStyle w:val="zSoquijlblPays"/>
            </w:pPr>
            <w:r>
              <w:t>CANADA</w:t>
            </w:r>
          </w:p>
        </w:tc>
      </w:tr>
      <w:tr w:rsidR="008F364A" w14:paraId="093768E3" w14:textId="77777777" w:rsidTr="008D18FC">
        <w:tc>
          <w:tcPr>
            <w:tcW w:w="9360" w:type="dxa"/>
            <w:gridSpan w:val="6"/>
          </w:tcPr>
          <w:p w14:paraId="747009DD" w14:textId="77777777" w:rsidR="008F364A" w:rsidRDefault="00740A17">
            <w:pPr>
              <w:pStyle w:val="zSoquijlblProvince"/>
            </w:pPr>
            <w:r>
              <w:t>PROVINCE DE QUÉBEC</w:t>
            </w:r>
          </w:p>
        </w:tc>
      </w:tr>
      <w:tr w:rsidR="008F364A" w14:paraId="363CB585" w14:textId="77777777" w:rsidTr="00AE1B6D">
        <w:tc>
          <w:tcPr>
            <w:tcW w:w="1276" w:type="dxa"/>
            <w:gridSpan w:val="2"/>
          </w:tcPr>
          <w:p w14:paraId="2DBF7AD9" w14:textId="77777777" w:rsidR="008F364A" w:rsidRDefault="008E5E9D">
            <w:pPr>
              <w:pStyle w:val="zSoquijlblGreffe"/>
            </w:pPr>
            <w:r w:rsidRPr="008E5E9D">
              <w:t>SIÈGE</w:t>
            </w:r>
            <w:r w:rsidR="00740A17">
              <w:t xml:space="preserve"> DE</w:t>
            </w:r>
          </w:p>
          <w:p w14:paraId="25D89B05" w14:textId="77777777" w:rsidR="008F364A" w:rsidRDefault="008F364A">
            <w:pPr>
              <w:pStyle w:val="zSoquijlblGreffe"/>
            </w:pPr>
          </w:p>
        </w:tc>
        <w:tc>
          <w:tcPr>
            <w:tcW w:w="8084" w:type="dxa"/>
            <w:gridSpan w:val="4"/>
          </w:tcPr>
          <w:p w14:paraId="01BFCD89" w14:textId="2BA73956" w:rsidR="008F364A" w:rsidRDefault="00BF76DE" w:rsidP="00AE1B6D">
            <w:pPr>
              <w:pStyle w:val="zSoquijdatGreffe"/>
              <w:ind w:left="-22"/>
            </w:pPr>
            <w:bookmarkStart w:id="0" w:name="NomGreffe"/>
            <w:r>
              <w:t>MONTRÉAL</w:t>
            </w:r>
            <w:bookmarkEnd w:id="0"/>
          </w:p>
        </w:tc>
      </w:tr>
      <w:tr w:rsidR="008F364A" w14:paraId="119EC494" w14:textId="77777777" w:rsidTr="008D18FC">
        <w:tc>
          <w:tcPr>
            <w:tcW w:w="1030" w:type="dxa"/>
          </w:tcPr>
          <w:p w14:paraId="520C845D" w14:textId="77777777" w:rsidR="008F364A" w:rsidRDefault="00740A17">
            <w:pPr>
              <w:pStyle w:val="zSoquijlblNoDossier"/>
            </w:pPr>
            <w:r>
              <w:t>N° :</w:t>
            </w:r>
          </w:p>
        </w:tc>
        <w:tc>
          <w:tcPr>
            <w:tcW w:w="8330" w:type="dxa"/>
            <w:gridSpan w:val="5"/>
          </w:tcPr>
          <w:p w14:paraId="453EB47C" w14:textId="0323F77E" w:rsidR="008F364A" w:rsidRDefault="00BF76DE">
            <w:pPr>
              <w:pStyle w:val="zSoquijdatNoDossier"/>
            </w:pPr>
            <w:bookmarkStart w:id="1" w:name="NoDossier"/>
            <w:r>
              <w:t>500-09-030996-243</w:t>
            </w:r>
            <w:bookmarkEnd w:id="1"/>
          </w:p>
        </w:tc>
      </w:tr>
      <w:tr w:rsidR="00BF76DE" w14:paraId="2F607774" w14:textId="77777777" w:rsidTr="008D18FC">
        <w:tc>
          <w:tcPr>
            <w:tcW w:w="9360" w:type="dxa"/>
            <w:gridSpan w:val="6"/>
          </w:tcPr>
          <w:p w14:paraId="40CDB9DF" w14:textId="22D37602" w:rsidR="00BF76DE" w:rsidRDefault="00BF76DE" w:rsidP="00BF76DE">
            <w:pPr>
              <w:pStyle w:val="zSoquijdatNoDossierAnt"/>
            </w:pPr>
            <w:r>
              <w:t>(500-17-117923-212)</w:t>
            </w:r>
          </w:p>
        </w:tc>
      </w:tr>
      <w:tr w:rsidR="008F364A" w14:paraId="6D0DB6FC" w14:textId="77777777" w:rsidTr="008D18FC">
        <w:tc>
          <w:tcPr>
            <w:tcW w:w="9360" w:type="dxa"/>
            <w:gridSpan w:val="6"/>
          </w:tcPr>
          <w:p w14:paraId="12E818D7" w14:textId="77777777" w:rsidR="008F364A" w:rsidRDefault="008F364A"/>
        </w:tc>
      </w:tr>
      <w:tr w:rsidR="008F364A" w14:paraId="4544D9E6" w14:textId="77777777" w:rsidTr="008D18FC">
        <w:tc>
          <w:tcPr>
            <w:tcW w:w="1030" w:type="dxa"/>
          </w:tcPr>
          <w:p w14:paraId="4231DB4E" w14:textId="77777777" w:rsidR="008F364A" w:rsidRDefault="00740A17">
            <w:pPr>
              <w:pStyle w:val="zSoquijlblDateJugement"/>
            </w:pPr>
            <w:r>
              <w:t>DATE :</w:t>
            </w:r>
          </w:p>
        </w:tc>
        <w:tc>
          <w:tcPr>
            <w:tcW w:w="8330" w:type="dxa"/>
            <w:gridSpan w:val="5"/>
          </w:tcPr>
          <w:p w14:paraId="0DB71F9F" w14:textId="6A108377" w:rsidR="008F364A" w:rsidRPr="00437E37" w:rsidRDefault="00C2688D">
            <w:pPr>
              <w:pStyle w:val="zSoquijdatDateJugement"/>
            </w:pPr>
            <w:r>
              <w:t>6</w:t>
            </w:r>
            <w:r w:rsidR="00437E37" w:rsidRPr="00437E37">
              <w:t xml:space="preserve"> mai 2026</w:t>
            </w:r>
          </w:p>
        </w:tc>
      </w:tr>
      <w:tr w:rsidR="008F364A" w14:paraId="1E25D2EB" w14:textId="77777777" w:rsidTr="008D18FC">
        <w:tc>
          <w:tcPr>
            <w:tcW w:w="9360" w:type="dxa"/>
            <w:gridSpan w:val="6"/>
            <w:tcBorders>
              <w:bottom w:val="single" w:sz="8" w:space="0" w:color="auto"/>
            </w:tcBorders>
          </w:tcPr>
          <w:p w14:paraId="7D681CCD" w14:textId="77777777" w:rsidR="008F364A" w:rsidRDefault="008F364A"/>
        </w:tc>
      </w:tr>
      <w:tr w:rsidR="008F364A" w14:paraId="6251895C" w14:textId="77777777" w:rsidTr="008D18FC">
        <w:tc>
          <w:tcPr>
            <w:tcW w:w="9360" w:type="dxa"/>
            <w:gridSpan w:val="6"/>
            <w:tcBorders>
              <w:top w:val="single" w:sz="8" w:space="0" w:color="auto"/>
            </w:tcBorders>
          </w:tcPr>
          <w:p w14:paraId="2C195152" w14:textId="77777777" w:rsidR="008F364A" w:rsidRDefault="008F364A"/>
        </w:tc>
      </w:tr>
      <w:tr w:rsidR="008F364A" w:rsidRPr="00C2688D" w14:paraId="49503C17" w14:textId="77777777" w:rsidTr="008D18FC">
        <w:tc>
          <w:tcPr>
            <w:tcW w:w="1620" w:type="dxa"/>
            <w:gridSpan w:val="3"/>
          </w:tcPr>
          <w:p w14:paraId="6D0F6EB4" w14:textId="77777777" w:rsidR="008F364A" w:rsidRDefault="00B70485" w:rsidP="00423DF1">
            <w:pPr>
              <w:pStyle w:val="zSoquijlblJuge"/>
              <w:ind w:right="-142"/>
            </w:pPr>
            <w:bookmarkStart w:id="2" w:name="FORMATION"/>
            <w:r>
              <w:t>FORMATION</w:t>
            </w:r>
            <w:r w:rsidR="00B513C9">
              <w:t> </w:t>
            </w:r>
            <w:r w:rsidR="00740A17">
              <w:t>:</w:t>
            </w:r>
            <w:bookmarkEnd w:id="2"/>
          </w:p>
        </w:tc>
        <w:tc>
          <w:tcPr>
            <w:tcW w:w="2350" w:type="dxa"/>
          </w:tcPr>
          <w:p w14:paraId="0416D8E5" w14:textId="77777777" w:rsidR="008F364A" w:rsidRDefault="00740A17">
            <w:pPr>
              <w:pStyle w:val="zSoquijdatQteJuge"/>
            </w:pPr>
            <w:bookmarkStart w:id="3" w:name="Honorables"/>
            <w:r>
              <w:t>LES HONORABLES</w:t>
            </w:r>
            <w:bookmarkEnd w:id="3"/>
          </w:p>
        </w:tc>
        <w:tc>
          <w:tcPr>
            <w:tcW w:w="5390" w:type="dxa"/>
            <w:gridSpan w:val="2"/>
          </w:tcPr>
          <w:p w14:paraId="5AA2B983" w14:textId="77777777" w:rsidR="007A5D7C" w:rsidRPr="00621A1A" w:rsidRDefault="007A5D7C" w:rsidP="007A5D7C">
            <w:pPr>
              <w:pStyle w:val="zSoquijdatJuge"/>
            </w:pPr>
            <w:bookmarkStart w:id="4" w:name="NomJuge2"/>
            <w:r>
              <w:t>MARIE-JOSÉE HOGUE</w:t>
            </w:r>
            <w:r>
              <w:rPr>
                <w:rStyle w:val="Appelnotedebasdep"/>
              </w:rPr>
              <w:footnoteReference w:id="1"/>
            </w:r>
          </w:p>
          <w:p w14:paraId="2FCA8E59" w14:textId="25163543" w:rsidR="008F364A" w:rsidRDefault="00BF76DE">
            <w:pPr>
              <w:pStyle w:val="zSoquijdatJuge"/>
            </w:pPr>
            <w:r>
              <w:t>SIMON RUEL, J.C.A.</w:t>
            </w:r>
            <w:bookmarkEnd w:id="4"/>
          </w:p>
          <w:p w14:paraId="1D75BFEA" w14:textId="1C8EF818" w:rsidR="005A78BF" w:rsidRDefault="00BF76DE" w:rsidP="00BF76DE">
            <w:pPr>
              <w:pStyle w:val="zSoquijdatJuge"/>
              <w:rPr>
                <w:lang w:val="de-DE"/>
              </w:rPr>
            </w:pPr>
            <w:bookmarkStart w:id="5" w:name="_Hlt520513784"/>
            <w:bookmarkStart w:id="6" w:name="NomJuge3"/>
            <w:bookmarkEnd w:id="5"/>
            <w:r w:rsidRPr="00BF76DE">
              <w:rPr>
                <w:lang w:val="en-CA"/>
              </w:rPr>
              <w:t>JUDITH HARVIE, J.C.A.</w:t>
            </w:r>
            <w:bookmarkEnd w:id="6"/>
          </w:p>
        </w:tc>
      </w:tr>
      <w:tr w:rsidR="008F364A" w:rsidRPr="00C2688D" w14:paraId="6A11D92A" w14:textId="77777777" w:rsidTr="008D18FC">
        <w:tc>
          <w:tcPr>
            <w:tcW w:w="9360" w:type="dxa"/>
            <w:gridSpan w:val="6"/>
            <w:tcBorders>
              <w:bottom w:val="single" w:sz="8" w:space="0" w:color="auto"/>
            </w:tcBorders>
          </w:tcPr>
          <w:p w14:paraId="261E0E28" w14:textId="77777777" w:rsidR="008F364A" w:rsidRDefault="008F364A">
            <w:pPr>
              <w:rPr>
                <w:lang w:val="de-DE"/>
              </w:rPr>
            </w:pPr>
          </w:p>
        </w:tc>
      </w:tr>
      <w:tr w:rsidR="008F364A" w:rsidRPr="00C2688D" w14:paraId="26EEC968" w14:textId="77777777" w:rsidTr="008D18FC">
        <w:tc>
          <w:tcPr>
            <w:tcW w:w="9360" w:type="dxa"/>
            <w:gridSpan w:val="6"/>
          </w:tcPr>
          <w:p w14:paraId="49C508C8" w14:textId="77777777" w:rsidR="008F364A" w:rsidRDefault="008F364A">
            <w:pPr>
              <w:pStyle w:val="zSoquijlblTitrePartie"/>
              <w:rPr>
                <w:lang w:val="de-DE"/>
              </w:rPr>
            </w:pPr>
          </w:p>
        </w:tc>
      </w:tr>
      <w:tr w:rsidR="008F364A" w14:paraId="7F720DD4" w14:textId="77777777" w:rsidTr="008D18FC">
        <w:tc>
          <w:tcPr>
            <w:tcW w:w="9360" w:type="dxa"/>
            <w:gridSpan w:val="6"/>
          </w:tcPr>
          <w:p w14:paraId="31B17213" w14:textId="34B0FACF" w:rsidR="008F364A" w:rsidRDefault="00BF76DE">
            <w:pPr>
              <w:pStyle w:val="zSoquijdatNomPartieDem"/>
              <w:rPr>
                <w:lang w:val="de-DE"/>
              </w:rPr>
            </w:pPr>
            <w:r>
              <w:t>9299-2742 QUÉBEC INC.</w:t>
            </w:r>
            <w:r w:rsidR="00621A1A">
              <w:t>, faisant affaires sous le nom de Gestion OFA Environnement</w:t>
            </w:r>
          </w:p>
        </w:tc>
      </w:tr>
      <w:tr w:rsidR="008F364A" w14:paraId="14AB13E4" w14:textId="77777777" w:rsidTr="008D18FC">
        <w:tc>
          <w:tcPr>
            <w:tcW w:w="9360" w:type="dxa"/>
            <w:gridSpan w:val="6"/>
          </w:tcPr>
          <w:p w14:paraId="5589706E" w14:textId="147A3B90" w:rsidR="008F364A" w:rsidRDefault="00BF76DE">
            <w:pPr>
              <w:pStyle w:val="zSoquijdatQtePartieDem"/>
              <w:rPr>
                <w:lang w:val="de-DE"/>
              </w:rPr>
            </w:pPr>
            <w:r>
              <w:t>APPELANTE – demanderesse</w:t>
            </w:r>
          </w:p>
        </w:tc>
      </w:tr>
      <w:tr w:rsidR="008F364A" w14:paraId="240D3747" w14:textId="77777777" w:rsidTr="008D18FC">
        <w:tc>
          <w:tcPr>
            <w:tcW w:w="9360" w:type="dxa"/>
            <w:gridSpan w:val="6"/>
          </w:tcPr>
          <w:p w14:paraId="0226C2D6" w14:textId="77777777" w:rsidR="008F364A" w:rsidRDefault="00740A17">
            <w:pPr>
              <w:pStyle w:val="zSoquijlblLienParties"/>
              <w:rPr>
                <w:lang w:val="en-CA"/>
              </w:rPr>
            </w:pPr>
            <w:r>
              <w:rPr>
                <w:lang w:val="en-CA"/>
              </w:rPr>
              <w:t>c.</w:t>
            </w:r>
          </w:p>
        </w:tc>
      </w:tr>
      <w:tr w:rsidR="008F364A" w14:paraId="0587C670" w14:textId="77777777" w:rsidTr="008D18FC">
        <w:tc>
          <w:tcPr>
            <w:tcW w:w="9360" w:type="dxa"/>
            <w:gridSpan w:val="6"/>
          </w:tcPr>
          <w:p w14:paraId="2A0E66BA" w14:textId="77777777" w:rsidR="008F364A" w:rsidRDefault="008F364A">
            <w:pPr>
              <w:rPr>
                <w:lang w:val="en-CA"/>
              </w:rPr>
            </w:pPr>
          </w:p>
        </w:tc>
      </w:tr>
      <w:tr w:rsidR="008F364A" w14:paraId="266C42BD" w14:textId="77777777" w:rsidTr="008D18FC">
        <w:tc>
          <w:tcPr>
            <w:tcW w:w="9360" w:type="dxa"/>
            <w:gridSpan w:val="6"/>
          </w:tcPr>
          <w:p w14:paraId="76229566" w14:textId="77777777" w:rsidR="008F364A" w:rsidRDefault="00BF76DE">
            <w:pPr>
              <w:pStyle w:val="zSoquijdatNomPartieDef"/>
            </w:pPr>
            <w:r>
              <w:t>PROCUREUR GÉNÉRAL DU QUÉBEC</w:t>
            </w:r>
          </w:p>
          <w:p w14:paraId="1B7468C5" w14:textId="600A0E67" w:rsidR="00BF76DE" w:rsidRDefault="00BF76DE">
            <w:pPr>
              <w:pStyle w:val="zSoquijdatNomPartieDef"/>
            </w:pPr>
            <w:r>
              <w:t xml:space="preserve">BENOÎT </w:t>
            </w:r>
            <w:r w:rsidR="00042646">
              <w:t>CHARETTE</w:t>
            </w:r>
          </w:p>
          <w:p w14:paraId="1B1EEB7B" w14:textId="77777777" w:rsidR="00BF76DE" w:rsidRDefault="00BF76DE">
            <w:pPr>
              <w:pStyle w:val="zSoquijdatNomPartieDef"/>
            </w:pPr>
            <w:r>
              <w:t>DANNY LAFLAMME</w:t>
            </w:r>
          </w:p>
          <w:p w14:paraId="732E8582" w14:textId="77777777" w:rsidR="00BF76DE" w:rsidRDefault="00BF76DE">
            <w:pPr>
              <w:pStyle w:val="zSoquijdatNomPartieDef"/>
            </w:pPr>
            <w:r>
              <w:t>PATRICK BRUNET</w:t>
            </w:r>
          </w:p>
          <w:p w14:paraId="44D47A7F" w14:textId="2CEFE40F" w:rsidR="00BF76DE" w:rsidRDefault="00BF76DE">
            <w:pPr>
              <w:pStyle w:val="zSoquijdatNomPartieDef"/>
              <w:rPr>
                <w:lang w:val="en-CA"/>
              </w:rPr>
            </w:pPr>
            <w:r>
              <w:t>ISABELLE PROULX</w:t>
            </w:r>
          </w:p>
        </w:tc>
      </w:tr>
      <w:tr w:rsidR="008F364A" w14:paraId="68DE6A9F" w14:textId="77777777" w:rsidTr="008D18FC">
        <w:tc>
          <w:tcPr>
            <w:tcW w:w="9360" w:type="dxa"/>
            <w:gridSpan w:val="6"/>
          </w:tcPr>
          <w:p w14:paraId="22491604" w14:textId="6D061350" w:rsidR="008F364A" w:rsidRDefault="00BF76DE">
            <w:pPr>
              <w:pStyle w:val="zSoquijdatQtePartieDef"/>
              <w:rPr>
                <w:lang w:val="en-CA"/>
              </w:rPr>
            </w:pPr>
            <w:r>
              <w:t>INTIMÉS – défendeurs</w:t>
            </w:r>
          </w:p>
        </w:tc>
      </w:tr>
      <w:tr w:rsidR="008F364A" w14:paraId="0D9A0F7F" w14:textId="77777777" w:rsidTr="008D18FC">
        <w:tc>
          <w:tcPr>
            <w:tcW w:w="9360" w:type="dxa"/>
            <w:gridSpan w:val="6"/>
          </w:tcPr>
          <w:p w14:paraId="37AD476E" w14:textId="77777777" w:rsidR="008F364A" w:rsidRDefault="008F364A">
            <w:pPr>
              <w:rPr>
                <w:lang w:val="en-CA"/>
              </w:rPr>
            </w:pPr>
          </w:p>
        </w:tc>
      </w:tr>
      <w:tr w:rsidR="008F364A" w14:paraId="46791A16" w14:textId="77777777" w:rsidTr="008D18FC">
        <w:tc>
          <w:tcPr>
            <w:tcW w:w="9360" w:type="dxa"/>
            <w:gridSpan w:val="6"/>
            <w:tcBorders>
              <w:top w:val="single" w:sz="8" w:space="0" w:color="auto"/>
            </w:tcBorders>
          </w:tcPr>
          <w:p w14:paraId="6A512804" w14:textId="77777777" w:rsidR="008F364A" w:rsidRDefault="008F364A">
            <w:pPr>
              <w:rPr>
                <w:lang w:val="en-CA"/>
              </w:rPr>
            </w:pPr>
            <w:bookmarkStart w:id="7" w:name="Arret"/>
          </w:p>
        </w:tc>
      </w:tr>
      <w:tr w:rsidR="008F364A" w14:paraId="7B593AD2" w14:textId="77777777" w:rsidTr="008D18FC">
        <w:tc>
          <w:tcPr>
            <w:tcW w:w="9360" w:type="dxa"/>
            <w:gridSpan w:val="6"/>
          </w:tcPr>
          <w:p w14:paraId="2EEAA8C4" w14:textId="5EE269D7" w:rsidR="008F364A" w:rsidRDefault="00BF76DE">
            <w:pPr>
              <w:pStyle w:val="zSoquijlblTypeDocument"/>
            </w:pPr>
            <w:bookmarkStart w:id="8" w:name="TitreDocument"/>
            <w:r>
              <w:t>ARRÊT</w:t>
            </w:r>
            <w:bookmarkEnd w:id="8"/>
          </w:p>
        </w:tc>
      </w:tr>
      <w:tr w:rsidR="008F364A" w14:paraId="114E68AA" w14:textId="77777777" w:rsidTr="008D18FC">
        <w:tc>
          <w:tcPr>
            <w:tcW w:w="9360" w:type="dxa"/>
            <w:gridSpan w:val="6"/>
            <w:tcBorders>
              <w:bottom w:val="single" w:sz="8" w:space="0" w:color="auto"/>
            </w:tcBorders>
          </w:tcPr>
          <w:p w14:paraId="29327F67" w14:textId="77777777" w:rsidR="008F364A" w:rsidRDefault="008F364A"/>
        </w:tc>
      </w:tr>
      <w:tr w:rsidR="008F364A" w14:paraId="345E6BF1" w14:textId="77777777" w:rsidTr="008D18FC">
        <w:tc>
          <w:tcPr>
            <w:tcW w:w="9360" w:type="dxa"/>
            <w:gridSpan w:val="6"/>
            <w:tcBorders>
              <w:top w:val="single" w:sz="8" w:space="0" w:color="auto"/>
            </w:tcBorders>
          </w:tcPr>
          <w:p w14:paraId="0811F7DC" w14:textId="77777777" w:rsidR="008F364A" w:rsidRDefault="008F364A"/>
        </w:tc>
      </w:tr>
    </w:tbl>
    <w:p w14:paraId="7B1DD983" w14:textId="71A167CE" w:rsidR="00B90303" w:rsidRPr="005C1CCD" w:rsidRDefault="00B90303" w:rsidP="00C575FA">
      <w:pPr>
        <w:pStyle w:val="Paragraphe"/>
        <w:numPr>
          <w:ilvl w:val="0"/>
          <w:numId w:val="0"/>
        </w:numPr>
        <w:spacing w:line="280" w:lineRule="exact"/>
        <w:rPr>
          <w:b/>
          <w:bCs/>
          <w:smallCaps/>
        </w:rPr>
      </w:pPr>
      <w:r w:rsidRPr="005C1CCD">
        <w:rPr>
          <w:b/>
          <w:bCs/>
          <w:smallCaps/>
        </w:rPr>
        <w:t>Introduction</w:t>
      </w:r>
    </w:p>
    <w:p w14:paraId="33041361" w14:textId="44CE7E15" w:rsidR="003021BE" w:rsidRPr="003021BE" w:rsidRDefault="003021BE" w:rsidP="00C575FA">
      <w:pPr>
        <w:pStyle w:val="Paragraphe"/>
        <w:tabs>
          <w:tab w:val="clear" w:pos="360"/>
        </w:tabs>
        <w:spacing w:line="280" w:lineRule="exact"/>
      </w:pPr>
      <w:r w:rsidRPr="003021BE">
        <w:t xml:space="preserve">L’appelante se pourvoit contre un jugement rendu le 20 mars 2024 par la Cour supérieure, district de Montréal (l’honorable Azimuddin Hussain), accueillant la requête en </w:t>
      </w:r>
      <w:r w:rsidR="00933781" w:rsidRPr="005857D1">
        <w:t>rejet</w:t>
      </w:r>
      <w:r w:rsidR="00933781" w:rsidRPr="003021BE">
        <w:t xml:space="preserve"> </w:t>
      </w:r>
      <w:r w:rsidRPr="003021BE">
        <w:t xml:space="preserve">des intimés </w:t>
      </w:r>
      <w:r w:rsidR="007351E2">
        <w:t xml:space="preserve">de </w:t>
      </w:r>
      <w:r w:rsidRPr="003021BE">
        <w:t>l’action en dommages-intérêts qu’elle a intentée contre eux au motif qu</w:t>
      </w:r>
      <w:r w:rsidR="009636C4">
        <w:t>e celle-ci</w:t>
      </w:r>
      <w:r w:rsidRPr="003021BE">
        <w:t xml:space="preserve"> est prescrite</w:t>
      </w:r>
      <w:r w:rsidRPr="003021BE">
        <w:rPr>
          <w:vertAlign w:val="superscript"/>
        </w:rPr>
        <w:footnoteReference w:id="2"/>
      </w:r>
      <w:r w:rsidRPr="003021BE">
        <w:t>.</w:t>
      </w:r>
    </w:p>
    <w:p w14:paraId="3E683758" w14:textId="7F2EFB62" w:rsidR="003021BE" w:rsidRPr="003021BE" w:rsidRDefault="003021BE" w:rsidP="00C575FA">
      <w:pPr>
        <w:pStyle w:val="Paragraphe"/>
        <w:tabs>
          <w:tab w:val="clear" w:pos="360"/>
        </w:tabs>
        <w:spacing w:line="280" w:lineRule="exact"/>
      </w:pPr>
      <w:r w:rsidRPr="003021BE">
        <w:lastRenderedPageBreak/>
        <w:t xml:space="preserve">En sus du motif fondé sur la prescription extinctive, le juge rejette également l’action, dans la mesure où elle vise l’intimé Benoît </w:t>
      </w:r>
      <w:r w:rsidR="00042646">
        <w:t>Charette</w:t>
      </w:r>
      <w:r w:rsidRPr="003021BE">
        <w:t xml:space="preserve">, au motif qu’à titre d’enquêteur du </w:t>
      </w:r>
      <w:bookmarkStart w:id="9" w:name="_Hlk212558286"/>
      <w:r w:rsidRPr="003021BE">
        <w:t>ministère de l’Environnement, de la Lutte contre les changements climatiques, de la Faune et des Parcs</w:t>
      </w:r>
      <w:bookmarkEnd w:id="9"/>
      <w:r w:rsidRPr="003021BE">
        <w:rPr>
          <w:vertAlign w:val="superscript"/>
        </w:rPr>
        <w:footnoteReference w:id="3"/>
      </w:r>
      <w:r w:rsidRPr="003021BE">
        <w:t xml:space="preserve"> (le « </w:t>
      </w:r>
      <w:r w:rsidRPr="00B835F7">
        <w:t>MELCC</w:t>
      </w:r>
      <w:r w:rsidRPr="003021BE">
        <w:t> »), la loi lui accorde une immunité pour les gestes posés de bonne foi dans l’exercice de ses fonctions.</w:t>
      </w:r>
    </w:p>
    <w:p w14:paraId="4C9011E9" w14:textId="4360362F" w:rsidR="003021BE" w:rsidRPr="003021BE" w:rsidRDefault="00303DB4" w:rsidP="00C575FA">
      <w:pPr>
        <w:pStyle w:val="Paragraphe"/>
        <w:tabs>
          <w:tab w:val="clear" w:pos="360"/>
        </w:tabs>
        <w:spacing w:line="280" w:lineRule="exact"/>
      </w:pPr>
      <w:r>
        <w:t>La Cour conclut que</w:t>
      </w:r>
      <w:r w:rsidR="009636C4" w:rsidRPr="009636C4">
        <w:t xml:space="preserve"> </w:t>
      </w:r>
      <w:r w:rsidR="009636C4" w:rsidRPr="003021BE">
        <w:t>l’action n’aurait pas dû être rejetée</w:t>
      </w:r>
      <w:r>
        <w:t>, à</w:t>
      </w:r>
      <w:r w:rsidR="00D14F23">
        <w:t xml:space="preserve"> l</w:t>
      </w:r>
      <w:r w:rsidR="003021BE" w:rsidRPr="003021BE">
        <w:t>’exception de la réclamation pour atteinte à la réputation</w:t>
      </w:r>
      <w:r w:rsidR="009636C4">
        <w:t xml:space="preserve"> et</w:t>
      </w:r>
      <w:r w:rsidR="003021BE" w:rsidRPr="003021BE">
        <w:t xml:space="preserve"> sauf en ce qui concerne l’intimé </w:t>
      </w:r>
      <w:r w:rsidR="005D0928">
        <w:t xml:space="preserve">Benoît </w:t>
      </w:r>
      <w:r w:rsidR="00042646">
        <w:t>Charette</w:t>
      </w:r>
      <w:r w:rsidR="003021BE" w:rsidRPr="003021BE">
        <w:t>, qui bénéficie effectivement d’une immunité justifi</w:t>
      </w:r>
      <w:r w:rsidR="009636C4">
        <w:t>ant</w:t>
      </w:r>
      <w:r w:rsidR="003021BE" w:rsidRPr="003021BE">
        <w:t xml:space="preserve"> d’accueillir la requête et de rejeter l’action entreprise à son égard.</w:t>
      </w:r>
    </w:p>
    <w:p w14:paraId="7409E2E8" w14:textId="5F071EA9" w:rsidR="003021BE" w:rsidRPr="005C1CCD" w:rsidRDefault="003021BE" w:rsidP="00C575FA">
      <w:pPr>
        <w:pStyle w:val="Paragraphe"/>
        <w:numPr>
          <w:ilvl w:val="0"/>
          <w:numId w:val="0"/>
        </w:numPr>
        <w:spacing w:line="280" w:lineRule="exact"/>
        <w:rPr>
          <w:b/>
          <w:smallCaps/>
        </w:rPr>
      </w:pPr>
      <w:r w:rsidRPr="005C1CCD">
        <w:rPr>
          <w:b/>
          <w:smallCaps/>
        </w:rPr>
        <w:t>Les faits ayant précédé l’introduction de l’action en dommages-intérêts</w:t>
      </w:r>
    </w:p>
    <w:p w14:paraId="3A52DD96" w14:textId="18D4B937" w:rsidR="003021BE" w:rsidRPr="007F13EA" w:rsidRDefault="003021BE" w:rsidP="00C575FA">
      <w:pPr>
        <w:pStyle w:val="Paragraphe"/>
        <w:tabs>
          <w:tab w:val="clear" w:pos="360"/>
        </w:tabs>
        <w:spacing w:line="280" w:lineRule="exact"/>
      </w:pPr>
      <w:r w:rsidRPr="003021BE">
        <w:t>À l’époque pertinente, l’appelante, 9299-2742 Québec inc., qui fait affaire sous le nom de Gestion OFA Environnement (« </w:t>
      </w:r>
      <w:r w:rsidRPr="00B835F7">
        <w:t>OFA</w:t>
      </w:r>
      <w:r w:rsidRPr="007F13EA">
        <w:t xml:space="preserve"> »), </w:t>
      </w:r>
      <w:r w:rsidR="009636C4">
        <w:t>exerce ses activités</w:t>
      </w:r>
      <w:r w:rsidRPr="007F13EA">
        <w:t xml:space="preserve"> dans </w:t>
      </w:r>
      <w:r w:rsidR="009636C4">
        <w:t xml:space="preserve">le domaine de </w:t>
      </w:r>
      <w:r w:rsidRPr="007F13EA">
        <w:t>la gestion et décontamination des sols.</w:t>
      </w:r>
    </w:p>
    <w:p w14:paraId="180B8E59" w14:textId="77777777" w:rsidR="003021BE" w:rsidRPr="007F13EA" w:rsidRDefault="003021BE" w:rsidP="00C575FA">
      <w:pPr>
        <w:pStyle w:val="Paragraphe"/>
        <w:tabs>
          <w:tab w:val="clear" w:pos="360"/>
        </w:tabs>
        <w:spacing w:line="280" w:lineRule="exact"/>
      </w:pPr>
      <w:r w:rsidRPr="007F13EA">
        <w:t>En décembre 2015, la Sûreté du Québec (la « </w:t>
      </w:r>
      <w:r w:rsidRPr="00B835F7">
        <w:t>SQ »</w:t>
      </w:r>
      <w:r w:rsidRPr="007F13EA">
        <w:t>), le MELCC, ainsi que l’Agence du revenu du Québec entreprennent conjointement l’enquête (« </w:t>
      </w:r>
      <w:r w:rsidRPr="00B835F7">
        <w:t>Naphtalène</w:t>
      </w:r>
      <w:r w:rsidRPr="007F13EA">
        <w:t xml:space="preserve"> ») qui porte sur la récupération et la disposition illégale de sols contaminés, une activité à laquelle OFA était soupçonnée de s’adonner. </w:t>
      </w:r>
    </w:p>
    <w:p w14:paraId="0E60B16B" w14:textId="1F1493F2" w:rsidR="003021BE" w:rsidRPr="007F13EA" w:rsidRDefault="003021BE" w:rsidP="00C575FA">
      <w:pPr>
        <w:pStyle w:val="Paragraphe"/>
        <w:tabs>
          <w:tab w:val="clear" w:pos="360"/>
        </w:tabs>
        <w:spacing w:line="280" w:lineRule="exact"/>
      </w:pPr>
      <w:r w:rsidRPr="007F13EA">
        <w:t>La SQ est chargée du volet criminel de l’enquête et les intimés Danny Laflamme (le « </w:t>
      </w:r>
      <w:r w:rsidRPr="00B835F7">
        <w:t>sergent Laflamme</w:t>
      </w:r>
      <w:r w:rsidRPr="007F13EA">
        <w:t> »), Patrick Brunet (le « </w:t>
      </w:r>
      <w:r w:rsidRPr="00B835F7">
        <w:t>sergent</w:t>
      </w:r>
      <w:r w:rsidRPr="007F13EA">
        <w:t xml:space="preserve"> </w:t>
      </w:r>
      <w:r w:rsidRPr="00B835F7">
        <w:t>Brunet</w:t>
      </w:r>
      <w:r w:rsidRPr="007F13EA">
        <w:t> ») et Isabelle Proulx (le « </w:t>
      </w:r>
      <w:r w:rsidRPr="00B835F7">
        <w:t>sergent</w:t>
      </w:r>
      <w:r w:rsidRPr="007F13EA">
        <w:t xml:space="preserve"> </w:t>
      </w:r>
      <w:r w:rsidRPr="00B835F7">
        <w:t>Proulx</w:t>
      </w:r>
      <w:r w:rsidRPr="007F13EA">
        <w:t xml:space="preserve"> ») en sont les principaux responsables. Son volet pénal, pour sa part, est sous la </w:t>
      </w:r>
      <w:r w:rsidRPr="005857D1">
        <w:t>responsabilité</w:t>
      </w:r>
      <w:r w:rsidRPr="007F13EA">
        <w:t xml:space="preserve"> du MELCC et</w:t>
      </w:r>
      <w:r w:rsidR="005D0928">
        <w:t xml:space="preserve"> de </w:t>
      </w:r>
      <w:r w:rsidRPr="007F13EA">
        <w:t>l’intimé Benoît Charette (« </w:t>
      </w:r>
      <w:r w:rsidRPr="00B835F7">
        <w:t>l’enquêteur</w:t>
      </w:r>
      <w:r w:rsidRPr="007F13EA">
        <w:t> </w:t>
      </w:r>
      <w:r w:rsidRPr="00B835F7">
        <w:t>Charette</w:t>
      </w:r>
      <w:r w:rsidRPr="007F13EA">
        <w:t xml:space="preserve"> »), un </w:t>
      </w:r>
      <w:r w:rsidR="00104496">
        <w:t xml:space="preserve">des </w:t>
      </w:r>
      <w:r w:rsidRPr="007F13EA">
        <w:t>enquêteur</w:t>
      </w:r>
      <w:r w:rsidR="00104496">
        <w:t>s</w:t>
      </w:r>
      <w:r w:rsidR="002028FE">
        <w:t xml:space="preserve"> au dossier</w:t>
      </w:r>
      <w:r w:rsidRPr="007F13EA">
        <w:t>.</w:t>
      </w:r>
    </w:p>
    <w:p w14:paraId="76C20DB4" w14:textId="6B9739AE" w:rsidR="003021BE" w:rsidRPr="003021BE" w:rsidRDefault="003021BE" w:rsidP="00C575FA">
      <w:pPr>
        <w:pStyle w:val="Paragraphe"/>
        <w:numPr>
          <w:ilvl w:val="0"/>
          <w:numId w:val="21"/>
        </w:numPr>
        <w:spacing w:line="280" w:lineRule="exact"/>
        <w:ind w:left="993" w:hanging="357"/>
      </w:pPr>
      <w:r w:rsidRPr="003021BE">
        <w:rPr>
          <w:b/>
          <w:bCs/>
        </w:rPr>
        <w:t>Le volet criminel</w:t>
      </w:r>
      <w:r>
        <w:rPr>
          <w:b/>
          <w:bCs/>
        </w:rPr>
        <w:t xml:space="preserve"> </w:t>
      </w:r>
    </w:p>
    <w:p w14:paraId="0D94B24C" w14:textId="77777777" w:rsidR="003021BE" w:rsidRPr="003021BE" w:rsidRDefault="003021BE" w:rsidP="00B321A0">
      <w:pPr>
        <w:pStyle w:val="Paragraphe"/>
        <w:tabs>
          <w:tab w:val="clear" w:pos="360"/>
        </w:tabs>
        <w:spacing w:line="280" w:lineRule="exact"/>
      </w:pPr>
      <w:r w:rsidRPr="003021BE">
        <w:t xml:space="preserve">Le 28 septembre 2016, la SQ exécute 15 mandats de perquisition. Ces mandats ont été demandés par le sergent Proulx et autorisés par la juge de paix Sylvie Durand, j.c.q., le 21 septembre précédent. </w:t>
      </w:r>
    </w:p>
    <w:p w14:paraId="1C88C37C" w14:textId="737C7BAF" w:rsidR="003021BE" w:rsidRPr="003021BE" w:rsidRDefault="003021BE" w:rsidP="00B321A0">
      <w:pPr>
        <w:pStyle w:val="Paragraphe"/>
        <w:tabs>
          <w:tab w:val="clear" w:pos="360"/>
        </w:tabs>
        <w:spacing w:line="280" w:lineRule="exact"/>
      </w:pPr>
      <w:r w:rsidRPr="003021BE">
        <w:t xml:space="preserve">Un de ces mandats permet </w:t>
      </w:r>
      <w:r w:rsidR="00637516">
        <w:t>à la SQ</w:t>
      </w:r>
      <w:r w:rsidRPr="003021BE">
        <w:t>, assisté</w:t>
      </w:r>
      <w:r w:rsidR="003D7029">
        <w:t>e</w:t>
      </w:r>
      <w:r w:rsidRPr="003021BE">
        <w:t xml:space="preserve"> d’enquêteurs du MELCC, d’entrer dans l'établissement d’OFA pour y saisir des documents de toutes sortes ainsi que différents appareils et supports technologiques. Selon la dénonciation signée par le sergent Proulx, ces articles et objets pourraient fournir une preuve de la perpétration de plusieurs infractions prévues au </w:t>
      </w:r>
      <w:r w:rsidRPr="003021BE">
        <w:rPr>
          <w:i/>
          <w:iCs/>
        </w:rPr>
        <w:t>Code criminel</w:t>
      </w:r>
      <w:r w:rsidRPr="003021BE">
        <w:t xml:space="preserve">, dont la possession de biens </w:t>
      </w:r>
      <w:r w:rsidRPr="003021BE">
        <w:lastRenderedPageBreak/>
        <w:t>criminellement obtenus, la production et l’usage de faux, la fraude et le recyclage de produits de la criminalité.</w:t>
      </w:r>
    </w:p>
    <w:p w14:paraId="45C03687" w14:textId="5AE17832" w:rsidR="003021BE" w:rsidRPr="003021BE" w:rsidRDefault="003021BE" w:rsidP="00042646">
      <w:pPr>
        <w:pStyle w:val="Paragraphe"/>
        <w:tabs>
          <w:tab w:val="clear" w:pos="360"/>
        </w:tabs>
        <w:spacing w:line="280" w:lineRule="exact"/>
      </w:pPr>
      <w:r w:rsidRPr="003021BE">
        <w:t>Ces perquisitions</w:t>
      </w:r>
      <w:r w:rsidR="007F13EA">
        <w:t xml:space="preserve"> </w:t>
      </w:r>
      <w:r w:rsidR="00ED0030">
        <w:t xml:space="preserve">auraient </w:t>
      </w:r>
      <w:r w:rsidRPr="003021BE">
        <w:t>fait l’objet d’une couverture médiatique importante.</w:t>
      </w:r>
    </w:p>
    <w:p w14:paraId="79F8A1A5" w14:textId="09A1E170" w:rsidR="003021BE" w:rsidRPr="003021BE" w:rsidRDefault="003021BE" w:rsidP="00C575FA">
      <w:pPr>
        <w:pStyle w:val="Paragraphe"/>
        <w:spacing w:line="280" w:lineRule="exact"/>
      </w:pPr>
      <w:r w:rsidRPr="003021BE">
        <w:t>Dès le lendemain de leur exécution, OFA cesse ses activités en raison, allègue-t-elle, de la saisie d’une partie de son équipement de travail</w:t>
      </w:r>
      <w:r w:rsidR="00782D46">
        <w:t xml:space="preserve"> et</w:t>
      </w:r>
      <w:r w:rsidRPr="003021BE">
        <w:t xml:space="preserve"> de la couverture médiatique qui a entraîné une pénurie d’employés et de clients, ainsi que le suicide d’un employé.</w:t>
      </w:r>
    </w:p>
    <w:p w14:paraId="0384B778" w14:textId="395F3858" w:rsidR="003021BE" w:rsidRPr="003021BE" w:rsidRDefault="003021BE" w:rsidP="00C575FA">
      <w:pPr>
        <w:pStyle w:val="Paragraphe"/>
        <w:spacing w:line="280" w:lineRule="exact"/>
      </w:pPr>
      <w:r w:rsidRPr="003021BE">
        <w:t xml:space="preserve">Dans les jours suivants, </w:t>
      </w:r>
      <w:r w:rsidR="00637516">
        <w:t>OFA</w:t>
      </w:r>
      <w:r w:rsidR="00637516" w:rsidRPr="003021BE">
        <w:t xml:space="preserve"> </w:t>
      </w:r>
      <w:r w:rsidRPr="003021BE">
        <w:t xml:space="preserve">présente une demande pour que les scellés apposés sur les biens saisis soient levés et que </w:t>
      </w:r>
      <w:r w:rsidR="004108C4">
        <w:t xml:space="preserve">ceux-ci </w:t>
      </w:r>
      <w:r w:rsidRPr="003021BE">
        <w:t xml:space="preserve">lui soient </w:t>
      </w:r>
      <w:r w:rsidR="00637516">
        <w:t>remis</w:t>
      </w:r>
      <w:r w:rsidRPr="003021BE">
        <w:t>. La SQ s’y oppose et demande que la saisie soit maintenue. Elle dépose une déclaration sous serment du sergent Laflamme au soutien de sa contestation.</w:t>
      </w:r>
      <w:r w:rsidR="00637516">
        <w:t xml:space="preserve"> </w:t>
      </w:r>
      <w:r w:rsidRPr="003021BE">
        <w:t>L’opposition de la SQ est accueillie et les biens demeurent saisis.</w:t>
      </w:r>
    </w:p>
    <w:p w14:paraId="157F3B61" w14:textId="3932A1B3" w:rsidR="003021BE" w:rsidRPr="003021BE" w:rsidRDefault="003021BE" w:rsidP="00C575FA">
      <w:pPr>
        <w:pStyle w:val="Paragraphe"/>
        <w:spacing w:line="280" w:lineRule="exact"/>
      </w:pPr>
      <w:r w:rsidRPr="003021BE">
        <w:t>Le 15</w:t>
      </w:r>
      <w:r w:rsidR="00AD26C6">
        <w:t xml:space="preserve"> </w:t>
      </w:r>
      <w:r w:rsidRPr="003021BE">
        <w:t>février 2017, le Directeur des poursuites criminelles et pénales (le « </w:t>
      </w:r>
      <w:r w:rsidRPr="00303DB4">
        <w:t>DPCP</w:t>
      </w:r>
      <w:r w:rsidRPr="003021BE">
        <w:t> ») communique à OFA les mandats de perquisition ainsi que tous les documents à leur soutien. Aucune accusation</w:t>
      </w:r>
      <w:r w:rsidR="00903D70">
        <w:t xml:space="preserve"> criminelle</w:t>
      </w:r>
      <w:r w:rsidRPr="003021BE">
        <w:t xml:space="preserve"> n’a alors encore été déposée contre OFA et aucune ne le sera. </w:t>
      </w:r>
    </w:p>
    <w:p w14:paraId="4D15C856" w14:textId="77777777" w:rsidR="003021BE" w:rsidRPr="003021BE" w:rsidRDefault="003021BE" w:rsidP="00C575FA">
      <w:pPr>
        <w:pStyle w:val="Paragraphe"/>
        <w:spacing w:line="280" w:lineRule="exact"/>
      </w:pPr>
      <w:r w:rsidRPr="003021BE">
        <w:t>En fait, OFA allègue que le DPCP aurait refusé d’autoriser le dépôt d’accusations à la fin du mois de juin 2018.</w:t>
      </w:r>
    </w:p>
    <w:p w14:paraId="65693405" w14:textId="5F79D3A7" w:rsidR="007F13EA" w:rsidRPr="003021BE" w:rsidRDefault="003021BE" w:rsidP="00C575FA">
      <w:pPr>
        <w:pStyle w:val="Paragraphe"/>
        <w:spacing w:line="280" w:lineRule="exact"/>
      </w:pPr>
      <w:r w:rsidRPr="003021BE">
        <w:t xml:space="preserve">Le 16 août 2018, la Cour du Québec ordonne que les biens saisis lors des perquisitions soient remis à OFA. </w:t>
      </w:r>
    </w:p>
    <w:p w14:paraId="19397CCB" w14:textId="39604FA8" w:rsidR="003021BE" w:rsidRPr="003021BE" w:rsidRDefault="003021BE" w:rsidP="00C575FA">
      <w:pPr>
        <w:pStyle w:val="Paragraphe"/>
        <w:numPr>
          <w:ilvl w:val="0"/>
          <w:numId w:val="0"/>
        </w:numPr>
        <w:spacing w:line="280" w:lineRule="exact"/>
        <w:ind w:firstLine="720"/>
      </w:pPr>
      <w:r>
        <w:rPr>
          <w:b/>
          <w:bCs/>
        </w:rPr>
        <w:t xml:space="preserve">b) </w:t>
      </w:r>
      <w:r w:rsidRPr="003021BE">
        <w:rPr>
          <w:b/>
          <w:bCs/>
        </w:rPr>
        <w:t>Le volet pénal</w:t>
      </w:r>
      <w:r>
        <w:rPr>
          <w:b/>
          <w:bCs/>
        </w:rPr>
        <w:t xml:space="preserve"> </w:t>
      </w:r>
    </w:p>
    <w:p w14:paraId="4D753BA1" w14:textId="4C300BC1" w:rsidR="003021BE" w:rsidRPr="003021BE" w:rsidRDefault="003021BE" w:rsidP="00C575FA">
      <w:pPr>
        <w:pStyle w:val="Paragraphe"/>
        <w:spacing w:line="280" w:lineRule="exact"/>
      </w:pPr>
      <w:r w:rsidRPr="003021BE">
        <w:t>Le MELCC, de son côté, entreprend son enquête pénale le 6</w:t>
      </w:r>
      <w:r w:rsidR="00020DDC">
        <w:t xml:space="preserve"> </w:t>
      </w:r>
      <w:r w:rsidRPr="003021BE">
        <w:t xml:space="preserve">septembre 2016. </w:t>
      </w:r>
    </w:p>
    <w:p w14:paraId="257D7F0F" w14:textId="0948C090" w:rsidR="003021BE" w:rsidRPr="003021BE" w:rsidRDefault="003021BE" w:rsidP="00C575FA">
      <w:pPr>
        <w:pStyle w:val="Paragraphe"/>
        <w:spacing w:line="280" w:lineRule="exact"/>
      </w:pPr>
      <w:r w:rsidRPr="003021BE">
        <w:t>Six mois plus tard, le 3</w:t>
      </w:r>
      <w:r w:rsidR="00020DDC">
        <w:t xml:space="preserve"> </w:t>
      </w:r>
      <w:r w:rsidRPr="003021BE">
        <w:t xml:space="preserve">mars 2017, le DPCP autorise la délivrance de deux constats d’infraction reprochant à OFA d’avoir disposé de trois amas de terre en contravention du </w:t>
      </w:r>
      <w:r w:rsidRPr="003021BE">
        <w:rPr>
          <w:i/>
          <w:iCs/>
        </w:rPr>
        <w:t>Règlement sur le stockage et les centres de transfert de sols contaminés</w:t>
      </w:r>
      <w:r w:rsidRPr="003E5756">
        <w:rPr>
          <w:vertAlign w:val="superscript"/>
        </w:rPr>
        <w:footnoteReference w:id="4"/>
      </w:r>
      <w:r w:rsidRPr="003021BE">
        <w:t>.</w:t>
      </w:r>
    </w:p>
    <w:p w14:paraId="5A8027AF" w14:textId="5973F6A9" w:rsidR="003021BE" w:rsidRPr="003021BE" w:rsidRDefault="003021BE" w:rsidP="00C575FA">
      <w:pPr>
        <w:pStyle w:val="Paragraphe"/>
        <w:spacing w:line="280" w:lineRule="exact"/>
      </w:pPr>
      <w:r w:rsidRPr="003021BE">
        <w:t>OFA plaide non coupable le 13</w:t>
      </w:r>
      <w:r w:rsidR="00020DDC">
        <w:t xml:space="preserve"> </w:t>
      </w:r>
      <w:r w:rsidRPr="003021BE">
        <w:t xml:space="preserve">mars suivant. </w:t>
      </w:r>
    </w:p>
    <w:p w14:paraId="017F3820" w14:textId="79483BAF" w:rsidR="003021BE" w:rsidRPr="003021BE" w:rsidRDefault="003021BE" w:rsidP="00C575FA">
      <w:pPr>
        <w:pStyle w:val="Paragraphe"/>
        <w:spacing w:line="280" w:lineRule="exact"/>
      </w:pPr>
      <w:r w:rsidRPr="003021BE">
        <w:t>Le 19</w:t>
      </w:r>
      <w:r w:rsidR="00020DDC">
        <w:t xml:space="preserve"> </w:t>
      </w:r>
      <w:r w:rsidRPr="003021BE">
        <w:t>avril 2017, le DPCP lui communique la preuve recueillie.</w:t>
      </w:r>
    </w:p>
    <w:p w14:paraId="0898C50C" w14:textId="66721FE6" w:rsidR="003021BE" w:rsidRPr="003021BE" w:rsidRDefault="003021BE" w:rsidP="00C575FA">
      <w:pPr>
        <w:pStyle w:val="Paragraphe"/>
        <w:spacing w:line="280" w:lineRule="exact"/>
      </w:pPr>
      <w:r w:rsidRPr="003021BE">
        <w:t>Le 21</w:t>
      </w:r>
      <w:r w:rsidR="00020DDC">
        <w:t xml:space="preserve"> </w:t>
      </w:r>
      <w:r w:rsidRPr="003021BE">
        <w:t>novembre 2018, la Cour du Québec ordonne un arrêt des procédures</w:t>
      </w:r>
      <w:r w:rsidR="00AD26C6">
        <w:t>,</w:t>
      </w:r>
      <w:r w:rsidRPr="003021BE">
        <w:t xml:space="preserve"> vu les délais encourus</w:t>
      </w:r>
      <w:r w:rsidRPr="003021BE">
        <w:rPr>
          <w:vertAlign w:val="superscript"/>
        </w:rPr>
        <w:footnoteReference w:id="5"/>
      </w:r>
      <w:r w:rsidRPr="003021BE">
        <w:t>.</w:t>
      </w:r>
    </w:p>
    <w:p w14:paraId="67CC1149" w14:textId="225238B7" w:rsidR="003021BE" w:rsidRPr="003021BE" w:rsidRDefault="003021BE" w:rsidP="00C575FA">
      <w:pPr>
        <w:pStyle w:val="Paragraphe"/>
        <w:numPr>
          <w:ilvl w:val="0"/>
          <w:numId w:val="0"/>
        </w:numPr>
        <w:spacing w:line="280" w:lineRule="exact"/>
        <w:ind w:firstLine="720"/>
      </w:pPr>
      <w:r>
        <w:rPr>
          <w:b/>
          <w:bCs/>
        </w:rPr>
        <w:lastRenderedPageBreak/>
        <w:t xml:space="preserve">c) </w:t>
      </w:r>
      <w:r w:rsidRPr="003021BE">
        <w:rPr>
          <w:b/>
          <w:bCs/>
        </w:rPr>
        <w:t>L’action en dommages</w:t>
      </w:r>
      <w:r w:rsidR="00782D46">
        <w:rPr>
          <w:b/>
          <w:bCs/>
        </w:rPr>
        <w:t>-intérêts</w:t>
      </w:r>
    </w:p>
    <w:p w14:paraId="1ABFFE24" w14:textId="26521911" w:rsidR="003021BE" w:rsidRPr="003021BE" w:rsidRDefault="003021BE" w:rsidP="00C575FA">
      <w:pPr>
        <w:pStyle w:val="Paragraphe"/>
        <w:spacing w:line="280" w:lineRule="exact"/>
      </w:pPr>
      <w:r w:rsidRPr="003021BE">
        <w:t xml:space="preserve">OFA introduit </w:t>
      </w:r>
      <w:r w:rsidR="00637516">
        <w:t xml:space="preserve">en Cour supérieure </w:t>
      </w:r>
      <w:r w:rsidRPr="003021BE">
        <w:t xml:space="preserve">une </w:t>
      </w:r>
      <w:r w:rsidRPr="003021BE">
        <w:rPr>
          <w:i/>
          <w:iCs/>
        </w:rPr>
        <w:t xml:space="preserve">Demande introductive d’instance en dommages-intérêts </w:t>
      </w:r>
      <w:r w:rsidRPr="003021BE">
        <w:t>le 16</w:t>
      </w:r>
      <w:r w:rsidR="00020DDC">
        <w:t xml:space="preserve"> </w:t>
      </w:r>
      <w:r w:rsidRPr="003021BE">
        <w:t xml:space="preserve">août 2021. Elle poursuit la SQ </w:t>
      </w:r>
      <w:r w:rsidR="004108C4" w:rsidRPr="003021BE">
        <w:t>et les sergents Laflamme, Brunet et Proulx</w:t>
      </w:r>
      <w:r w:rsidR="004108C4">
        <w:t xml:space="preserve">, de même que </w:t>
      </w:r>
      <w:r w:rsidRPr="003021BE">
        <w:t>le MELCC</w:t>
      </w:r>
      <w:r w:rsidR="004108C4">
        <w:t xml:space="preserve"> et </w:t>
      </w:r>
      <w:r w:rsidRPr="003021BE">
        <w:t xml:space="preserve">l’enquêteur </w:t>
      </w:r>
      <w:r w:rsidR="00042646">
        <w:t>Charette</w:t>
      </w:r>
      <w:r w:rsidRPr="003021BE">
        <w:t xml:space="preserve">. Elle leur reproche d’avoir mené leurs enquêtes de manière négligente, d’avoir requis, obtenu et exécuté des mandats de perquisition </w:t>
      </w:r>
      <w:r w:rsidR="007F13EA">
        <w:t>fondé</w:t>
      </w:r>
      <w:r w:rsidR="00F944A1">
        <w:t>s</w:t>
      </w:r>
      <w:r w:rsidR="007F13EA">
        <w:t xml:space="preserve"> sur des</w:t>
      </w:r>
      <w:r w:rsidRPr="003021BE">
        <w:t xml:space="preserve"> dénonciations comportant de </w:t>
      </w:r>
      <w:r w:rsidR="00F944A1">
        <w:t>l’</w:t>
      </w:r>
      <w:r w:rsidRPr="003021BE">
        <w:t xml:space="preserve">information insuffisante, incomplète, inexacte, imprécise, erronée et fausse, d’avoir révélé de </w:t>
      </w:r>
      <w:r w:rsidR="00415D1B">
        <w:t>l’</w:t>
      </w:r>
      <w:r w:rsidRPr="003021BE">
        <w:t xml:space="preserve">information en vue de lui nuire et, généralement, d’avoir fait usage du processus judiciaire dans le but de la contraindre à cesser ses opérations. </w:t>
      </w:r>
    </w:p>
    <w:p w14:paraId="52857A5A" w14:textId="76C268AC" w:rsidR="003021BE" w:rsidRPr="003021BE" w:rsidRDefault="003021BE" w:rsidP="00C575FA">
      <w:pPr>
        <w:pStyle w:val="Paragraphe"/>
        <w:spacing w:line="280" w:lineRule="exact"/>
      </w:pPr>
      <w:r w:rsidRPr="003021BE">
        <w:t xml:space="preserve">Elle allègue que la saisie des biens, parmi lesquels se trouvait de l’équipement nécessaire à la conduite de ses activités, jumelée à la forte médiatisation des perquisitions et </w:t>
      </w:r>
      <w:r w:rsidR="00F944A1">
        <w:t xml:space="preserve">à la fuite </w:t>
      </w:r>
      <w:r w:rsidRPr="003021BE">
        <w:t>d’information par les policiers, aurait fait fuir ses employés et clients et l’aurait empêchée de poursuivre ses opérations.</w:t>
      </w:r>
    </w:p>
    <w:p w14:paraId="65B3AF47" w14:textId="5DAD3CEA" w:rsidR="003021BE" w:rsidRPr="003021BE" w:rsidRDefault="003021BE" w:rsidP="00C575FA">
      <w:pPr>
        <w:pStyle w:val="Paragraphe"/>
        <w:spacing w:line="280" w:lineRule="exact"/>
      </w:pPr>
      <w:bookmarkStart w:id="10" w:name="_Hlk214289957"/>
      <w:r w:rsidRPr="003021BE">
        <w:t>Elle réclame des intimés, solidairement, 250 000 $ pour atteinte à sa réputation, 1 750 000 $ pour atteinte générale à sa capacité de fonctionnement, 2 000 000 $ pour la perte d’opportunité de réaliser des profits et 250 000 $ de dommages</w:t>
      </w:r>
      <w:r w:rsidR="00F944A1">
        <w:t>-intérêts</w:t>
      </w:r>
      <w:r w:rsidRPr="003021BE">
        <w:t xml:space="preserve"> punitifs, sauf quant à l’enquêteur </w:t>
      </w:r>
      <w:r w:rsidR="00042646">
        <w:t>Charette</w:t>
      </w:r>
      <w:r w:rsidRPr="003021BE">
        <w:t xml:space="preserve"> de qui elle ne réclame pas de dommages</w:t>
      </w:r>
      <w:r w:rsidR="00F944A1">
        <w:t>-intérêts</w:t>
      </w:r>
      <w:r w:rsidRPr="003021BE">
        <w:t xml:space="preserve"> punitifs.</w:t>
      </w:r>
    </w:p>
    <w:bookmarkEnd w:id="10"/>
    <w:p w14:paraId="774E5B37" w14:textId="1BD6C1AC" w:rsidR="004108C4" w:rsidRDefault="003021BE" w:rsidP="00C575FA">
      <w:pPr>
        <w:pStyle w:val="Paragraphe"/>
        <w:tabs>
          <w:tab w:val="clear" w:pos="360"/>
          <w:tab w:val="num" w:pos="720"/>
        </w:tabs>
        <w:spacing w:line="280" w:lineRule="exact"/>
      </w:pPr>
      <w:r w:rsidRPr="003021BE">
        <w:t xml:space="preserve">Après avoir interrogé </w:t>
      </w:r>
      <w:r w:rsidR="00AD26C6">
        <w:t>au préalable</w:t>
      </w:r>
      <w:r w:rsidRPr="003021BE">
        <w:t xml:space="preserve"> un représentant d’OFA et produit au dossier la transcription de cet interrogatoire, les intimés présentent une requête en rejet de la demande introductive d’instance fondée sur l’article 51 </w:t>
      </w:r>
      <w:r w:rsidR="00637516">
        <w:t xml:space="preserve">du </w:t>
      </w:r>
      <w:r w:rsidR="00637516" w:rsidRPr="00303DB4">
        <w:rPr>
          <w:i/>
          <w:iCs/>
        </w:rPr>
        <w:t>Code de procédure civile</w:t>
      </w:r>
      <w:r w:rsidR="00637516">
        <w:t>.</w:t>
      </w:r>
      <w:r w:rsidR="005C1CCD">
        <w:t xml:space="preserve"> </w:t>
      </w:r>
      <w:r w:rsidRPr="003021BE">
        <w:t>Ils allèguent que l’action est prescrite</w:t>
      </w:r>
      <w:r w:rsidR="000E1885">
        <w:t>,</w:t>
      </w:r>
      <w:r w:rsidRPr="003021BE">
        <w:t xml:space="preserve"> </w:t>
      </w:r>
      <w:r w:rsidR="004108C4">
        <w:t xml:space="preserve">puisqu’elle a pour fondement une </w:t>
      </w:r>
      <w:r w:rsidRPr="003021BE">
        <w:t>atteinte à la réputation</w:t>
      </w:r>
      <w:r w:rsidR="004108C4">
        <w:t xml:space="preserve"> qui se prescrit </w:t>
      </w:r>
      <w:r w:rsidRPr="003021BE">
        <w:t>par un an</w:t>
      </w:r>
      <w:r w:rsidR="00672FAB">
        <w:t xml:space="preserve"> (le dernier article de journal </w:t>
      </w:r>
      <w:r w:rsidR="004108C4">
        <w:t xml:space="preserve">résultant </w:t>
      </w:r>
      <w:r w:rsidR="00672FAB">
        <w:t>d</w:t>
      </w:r>
      <w:r w:rsidR="00415D1B">
        <w:t>e la fuite</w:t>
      </w:r>
      <w:r w:rsidR="00672FAB">
        <w:t xml:space="preserve"> d’information par la SQ aurait été publié en date du 29 juin 2018)</w:t>
      </w:r>
      <w:r w:rsidRPr="003021BE">
        <w:t>. Ils ajoutent que</w:t>
      </w:r>
      <w:r w:rsidR="00415D1B">
        <w:t>,</w:t>
      </w:r>
      <w:r w:rsidRPr="003021BE">
        <w:t xml:space="preserve"> </w:t>
      </w:r>
      <w:r w:rsidR="00415D1B">
        <w:t xml:space="preserve">dans l’éventualité où </w:t>
      </w:r>
      <w:r w:rsidRPr="003021BE">
        <w:t>il ne s’agi</w:t>
      </w:r>
      <w:r w:rsidR="00415D1B">
        <w:t>rai</w:t>
      </w:r>
      <w:r w:rsidRPr="003021BE">
        <w:t xml:space="preserve">t pas d’une action </w:t>
      </w:r>
      <w:r w:rsidR="004108C4">
        <w:t>en diffamation</w:t>
      </w:r>
      <w:r w:rsidRPr="003021BE">
        <w:t xml:space="preserve">, </w:t>
      </w:r>
      <w:r w:rsidR="004108C4">
        <w:t xml:space="preserve">elle </w:t>
      </w:r>
      <w:r w:rsidR="00415D1B">
        <w:t xml:space="preserve">serait tout de même prescrite, puisqu’elle </w:t>
      </w:r>
      <w:r w:rsidR="004108C4">
        <w:t xml:space="preserve">fait nécessairement </w:t>
      </w:r>
      <w:r w:rsidRPr="003021BE">
        <w:t>valoir un droit personnel prescriptible par trois ans</w:t>
      </w:r>
      <w:r w:rsidRPr="003021BE">
        <w:rPr>
          <w:vertAlign w:val="superscript"/>
        </w:rPr>
        <w:footnoteReference w:id="6"/>
      </w:r>
      <w:r w:rsidRPr="003021BE">
        <w:t>.</w:t>
      </w:r>
      <w:r w:rsidR="005C1CCD">
        <w:t xml:space="preserve"> </w:t>
      </w:r>
    </w:p>
    <w:p w14:paraId="395815CE" w14:textId="2728B4E4" w:rsidR="003021BE" w:rsidRPr="003021BE" w:rsidRDefault="000769E4" w:rsidP="00C575FA">
      <w:pPr>
        <w:pStyle w:val="Paragraphe"/>
        <w:tabs>
          <w:tab w:val="clear" w:pos="360"/>
          <w:tab w:val="num" w:pos="720"/>
        </w:tabs>
        <w:spacing w:line="280" w:lineRule="exact"/>
      </w:pPr>
      <w:r>
        <w:t>À cet égard, q</w:t>
      </w:r>
      <w:r w:rsidR="00672FAB">
        <w:t>uant aux reproches à l’endroit de la SQ et de ses préposés, les intimés</w:t>
      </w:r>
      <w:r w:rsidR="00672FAB" w:rsidRPr="003021BE">
        <w:t xml:space="preserve"> </w:t>
      </w:r>
      <w:r w:rsidR="003021BE" w:rsidRPr="003021BE">
        <w:t xml:space="preserve">établissent le point de départ </w:t>
      </w:r>
      <w:r w:rsidR="004108C4">
        <w:t xml:space="preserve">de la prescription </w:t>
      </w:r>
      <w:r w:rsidR="003021BE" w:rsidRPr="003021BE">
        <w:t>au 15</w:t>
      </w:r>
      <w:r w:rsidR="000E1885">
        <w:t xml:space="preserve"> </w:t>
      </w:r>
      <w:r w:rsidR="003021BE" w:rsidRPr="003021BE">
        <w:t>février 2017 (date où les mandats de perquisition et les documents à leur soutien l</w:t>
      </w:r>
      <w:r w:rsidR="00415D1B">
        <w:t>eur</w:t>
      </w:r>
      <w:r w:rsidR="003021BE" w:rsidRPr="003021BE">
        <w:t xml:space="preserve"> ont été communiqués)</w:t>
      </w:r>
      <w:r w:rsidR="004108C4">
        <w:t xml:space="preserve">. </w:t>
      </w:r>
      <w:r w:rsidR="00672FAB">
        <w:t xml:space="preserve">Quant aux reproches à l’endroit du MELCC et de son enquêteur, les intimés </w:t>
      </w:r>
      <w:r w:rsidR="004108C4">
        <w:t>l’</w:t>
      </w:r>
      <w:r w:rsidR="00672FAB">
        <w:t xml:space="preserve">établissent </w:t>
      </w:r>
      <w:r w:rsidR="003021BE" w:rsidRPr="003021BE">
        <w:t>au 19</w:t>
      </w:r>
      <w:r w:rsidR="000E1885">
        <w:t xml:space="preserve"> </w:t>
      </w:r>
      <w:r w:rsidR="003021BE" w:rsidRPr="003021BE">
        <w:t>avril 2017 (date où la preuve lui a été communiquée)</w:t>
      </w:r>
      <w:r w:rsidR="00672FAB">
        <w:t>.</w:t>
      </w:r>
      <w:r>
        <w:t xml:space="preserve"> </w:t>
      </w:r>
      <w:r w:rsidR="003021BE" w:rsidRPr="003021BE">
        <w:t xml:space="preserve">Ils invoquent également que l’intimé </w:t>
      </w:r>
      <w:r w:rsidR="00042646">
        <w:t>Charette</w:t>
      </w:r>
      <w:r w:rsidR="003021BE" w:rsidRPr="003021BE">
        <w:t xml:space="preserve"> bénéficie d’une immunité qui lui est conférée par la </w:t>
      </w:r>
      <w:r w:rsidR="003021BE" w:rsidRPr="004108C4">
        <w:rPr>
          <w:i/>
          <w:iCs/>
        </w:rPr>
        <w:t xml:space="preserve">Loi sur la </w:t>
      </w:r>
      <w:r w:rsidR="00415D1B">
        <w:rPr>
          <w:i/>
          <w:iCs/>
        </w:rPr>
        <w:t>q</w:t>
      </w:r>
      <w:r w:rsidR="003021BE" w:rsidRPr="004108C4">
        <w:rPr>
          <w:i/>
          <w:iCs/>
        </w:rPr>
        <w:t>ualité de l’</w:t>
      </w:r>
      <w:r w:rsidR="00415D1B">
        <w:rPr>
          <w:i/>
          <w:iCs/>
        </w:rPr>
        <w:t>e</w:t>
      </w:r>
      <w:r w:rsidR="003021BE" w:rsidRPr="004108C4">
        <w:rPr>
          <w:i/>
          <w:iCs/>
        </w:rPr>
        <w:t>nvironnement</w:t>
      </w:r>
      <w:r w:rsidR="003021BE" w:rsidRPr="003021BE">
        <w:rPr>
          <w:vertAlign w:val="superscript"/>
        </w:rPr>
        <w:footnoteReference w:id="7"/>
      </w:r>
      <w:r w:rsidR="003021BE" w:rsidRPr="003021BE">
        <w:t xml:space="preserve"> (« </w:t>
      </w:r>
      <w:r w:rsidR="003021BE" w:rsidRPr="004108C4">
        <w:rPr>
          <w:i/>
          <w:iCs/>
        </w:rPr>
        <w:t>LQE </w:t>
      </w:r>
      <w:r w:rsidR="003021BE" w:rsidRPr="003021BE">
        <w:t>») et que cela justifie aussi de rejeter l’action à son égard.</w:t>
      </w:r>
      <w:r w:rsidR="003021BE" w:rsidRPr="004108C4">
        <w:rPr>
          <w:i/>
          <w:iCs/>
        </w:rPr>
        <w:t xml:space="preserve"> </w:t>
      </w:r>
    </w:p>
    <w:p w14:paraId="03493F9B" w14:textId="3686BA82" w:rsidR="003021BE" w:rsidRPr="005C1CCD" w:rsidRDefault="003021BE" w:rsidP="00C575FA">
      <w:pPr>
        <w:pStyle w:val="Paragraphe"/>
        <w:numPr>
          <w:ilvl w:val="0"/>
          <w:numId w:val="0"/>
        </w:numPr>
        <w:spacing w:line="280" w:lineRule="exact"/>
        <w:rPr>
          <w:b/>
          <w:smallCaps/>
        </w:rPr>
      </w:pPr>
      <w:r w:rsidRPr="005C1CCD">
        <w:rPr>
          <w:b/>
          <w:smallCaps/>
        </w:rPr>
        <w:lastRenderedPageBreak/>
        <w:t>Le jugement de première instance</w:t>
      </w:r>
    </w:p>
    <w:p w14:paraId="2C19C087" w14:textId="77777777" w:rsidR="003021BE" w:rsidRPr="003021BE" w:rsidRDefault="003021BE" w:rsidP="00C575FA">
      <w:pPr>
        <w:pStyle w:val="Paragraphe"/>
        <w:spacing w:line="280" w:lineRule="exact"/>
      </w:pPr>
      <w:r w:rsidRPr="003021BE">
        <w:t>Le juge de première instance donne raison aux intimés.</w:t>
      </w:r>
    </w:p>
    <w:p w14:paraId="3E85346B" w14:textId="04F525B3" w:rsidR="003021BE" w:rsidRDefault="003021BE" w:rsidP="00C575FA">
      <w:pPr>
        <w:pStyle w:val="Paragraphe"/>
        <w:numPr>
          <w:ilvl w:val="0"/>
          <w:numId w:val="22"/>
        </w:numPr>
        <w:spacing w:line="280" w:lineRule="exact"/>
        <w:rPr>
          <w:b/>
          <w:bCs/>
        </w:rPr>
      </w:pPr>
      <w:r w:rsidRPr="003021BE">
        <w:rPr>
          <w:b/>
          <w:bCs/>
        </w:rPr>
        <w:t>La cause d’action</w:t>
      </w:r>
      <w:r>
        <w:rPr>
          <w:b/>
          <w:bCs/>
        </w:rPr>
        <w:t xml:space="preserve"> </w:t>
      </w:r>
    </w:p>
    <w:p w14:paraId="1738D3E6" w14:textId="30D5B102" w:rsidR="003021BE" w:rsidRPr="003021BE" w:rsidRDefault="00E46A0D" w:rsidP="00C575FA">
      <w:pPr>
        <w:pStyle w:val="Paragraphe"/>
        <w:spacing w:line="280" w:lineRule="exact"/>
      </w:pPr>
      <w:r>
        <w:t>Le</w:t>
      </w:r>
      <w:r w:rsidR="003021BE" w:rsidRPr="003021BE">
        <w:t xml:space="preserve"> juge s’intéresse d’abord aux faits allégués par OFA, qu’il </w:t>
      </w:r>
      <w:r w:rsidR="00AD26C6">
        <w:t>tient</w:t>
      </w:r>
      <w:r w:rsidR="00AD26C6" w:rsidRPr="003021BE">
        <w:t xml:space="preserve"> </w:t>
      </w:r>
      <w:r w:rsidR="003021BE" w:rsidRPr="003021BE">
        <w:t>pour avérés à ce stade</w:t>
      </w:r>
      <w:r w:rsidR="003021BE" w:rsidRPr="003021BE">
        <w:rPr>
          <w:vertAlign w:val="superscript"/>
        </w:rPr>
        <w:footnoteReference w:id="8"/>
      </w:r>
      <w:r w:rsidR="003021BE" w:rsidRPr="003021BE">
        <w:t xml:space="preserve">. </w:t>
      </w:r>
    </w:p>
    <w:p w14:paraId="7A25EF06" w14:textId="08013E2C" w:rsidR="003021BE" w:rsidRPr="003021BE" w:rsidRDefault="003021BE" w:rsidP="00C575FA">
      <w:pPr>
        <w:pStyle w:val="Paragraphe"/>
        <w:spacing w:line="280" w:lineRule="exact"/>
      </w:pPr>
      <w:r w:rsidRPr="003021BE">
        <w:t xml:space="preserve">Il en retient que celle-ci réclame </w:t>
      </w:r>
      <w:r w:rsidR="00213BDF">
        <w:t>à</w:t>
      </w:r>
      <w:r w:rsidRPr="003021BE">
        <w:t xml:space="preserve"> la SQ et </w:t>
      </w:r>
      <w:r w:rsidR="00213BDF">
        <w:t>a</w:t>
      </w:r>
      <w:r w:rsidRPr="003021BE">
        <w:t>u MELCC des dommages</w:t>
      </w:r>
      <w:r w:rsidR="00213BDF">
        <w:t>-intérêts</w:t>
      </w:r>
      <w:r w:rsidRPr="003021BE">
        <w:t xml:space="preserve"> pour le préjudice qu’elle aurait subi à la suite de l’enquête, qu’elle qualifie de bâclée et incomplète, de la divulgation d’information par les policiers, de la saisie de ses biens à la suite des perquisitions et, plus largement, du processus judiciaire. Il écrit :</w:t>
      </w:r>
    </w:p>
    <w:p w14:paraId="1C4FBC88" w14:textId="52DEC464" w:rsidR="003021BE" w:rsidRPr="003021BE" w:rsidRDefault="003021BE" w:rsidP="00C575FA">
      <w:pPr>
        <w:pStyle w:val="Citationenretrait"/>
      </w:pPr>
      <w:r w:rsidRPr="003021BE">
        <w:t>[19]</w:t>
      </w:r>
      <w:r w:rsidRPr="003021BE">
        <w:tab/>
        <w:t>Comme actes fautifs ayant mené aux dommages-intérêts déclinés ci</w:t>
      </w:r>
      <w:r w:rsidR="00F24971">
        <w:noBreakHyphen/>
      </w:r>
      <w:r w:rsidRPr="003021BE">
        <w:t>dessus, la demanderesse identifie les quatre catégories de fautes suivantes :</w:t>
      </w:r>
    </w:p>
    <w:p w14:paraId="3A0070EB" w14:textId="77777777" w:rsidR="003021BE" w:rsidRPr="003021BE" w:rsidRDefault="003021BE" w:rsidP="00C575FA">
      <w:pPr>
        <w:pStyle w:val="Citationenretrait"/>
        <w:ind w:left="1440"/>
      </w:pPr>
      <w:r w:rsidRPr="003021BE">
        <w:t>19.1.</w:t>
      </w:r>
      <w:r w:rsidRPr="003021BE">
        <w:tab/>
        <w:t>enquête « bâclée et incomplète » de la SQ et du MELCC ;</w:t>
      </w:r>
    </w:p>
    <w:p w14:paraId="3DF8B419" w14:textId="77777777" w:rsidR="003021BE" w:rsidRPr="003021BE" w:rsidRDefault="003021BE" w:rsidP="00C575FA">
      <w:pPr>
        <w:pStyle w:val="Citationenretrait"/>
        <w:ind w:left="1440"/>
      </w:pPr>
      <w:r w:rsidRPr="003021BE">
        <w:t>19.2.</w:t>
      </w:r>
      <w:r w:rsidRPr="003021BE">
        <w:tab/>
        <w:t xml:space="preserve">« coulage » d’informations par les policiers à titre de « technique </w:t>
      </w:r>
      <w:r w:rsidRPr="003021BE">
        <w:tab/>
        <w:t>d’enquête » dans le but de médiatiser leurs actions ;</w:t>
      </w:r>
    </w:p>
    <w:p w14:paraId="0921FCED" w14:textId="77777777" w:rsidR="003021BE" w:rsidRPr="003021BE" w:rsidRDefault="003021BE" w:rsidP="00C575FA">
      <w:pPr>
        <w:pStyle w:val="Citationenretrait"/>
        <w:ind w:left="1440"/>
      </w:pPr>
      <w:r w:rsidRPr="003021BE">
        <w:t>19.3.</w:t>
      </w:r>
      <w:r w:rsidRPr="003021BE">
        <w:tab/>
        <w:t>saisie des biens de la demanderesse ;</w:t>
      </w:r>
    </w:p>
    <w:p w14:paraId="77F0BB67" w14:textId="77777777" w:rsidR="003021BE" w:rsidRDefault="003021BE" w:rsidP="00C575FA">
      <w:pPr>
        <w:pStyle w:val="Citationenretrait"/>
        <w:ind w:left="1440"/>
      </w:pPr>
      <w:r w:rsidRPr="003021BE">
        <w:t>19.4</w:t>
      </w:r>
      <w:r w:rsidRPr="003021BE">
        <w:tab/>
        <w:t>processus judiciaire.</w:t>
      </w:r>
    </w:p>
    <w:p w14:paraId="4D604C1D" w14:textId="77067235" w:rsidR="00296812" w:rsidRPr="003021BE" w:rsidRDefault="00296812" w:rsidP="00C575FA">
      <w:pPr>
        <w:pStyle w:val="Citationenretrait"/>
        <w:ind w:left="1440"/>
        <w:jc w:val="right"/>
      </w:pPr>
      <w:r>
        <w:t>[Renvois omis]</w:t>
      </w:r>
    </w:p>
    <w:p w14:paraId="17F38C4A" w14:textId="6980A2AC" w:rsidR="003021BE" w:rsidRPr="003021BE" w:rsidRDefault="003021BE" w:rsidP="00C575FA">
      <w:pPr>
        <w:pStyle w:val="Paragraphe"/>
        <w:spacing w:line="280" w:lineRule="exact"/>
      </w:pPr>
      <w:r w:rsidRPr="003021BE">
        <w:t>Selon lui, le recours comporte bel et bien une réclamation pour diffamation, prescriptible par une année, mais il ne s’y limite pas. Reconnaissant que la réclamation pour atteinte à la réputation est prescrite, il conclut que la prescription extinctive de trois ans est toutefois celle qui s’applique aux autres chefs de réclamation.</w:t>
      </w:r>
    </w:p>
    <w:p w14:paraId="75599F3D" w14:textId="77777777" w:rsidR="003021BE" w:rsidRPr="003021BE" w:rsidRDefault="003021BE" w:rsidP="00C575FA">
      <w:pPr>
        <w:pStyle w:val="Paragraphe"/>
        <w:spacing w:line="280" w:lineRule="exact"/>
      </w:pPr>
      <w:r w:rsidRPr="003021BE">
        <w:lastRenderedPageBreak/>
        <w:t>Il fixe ensuite le point de départ de la prescription extinctive applicable en distinguant le recours visant la SQ et ses agents du recours visant le MELCC et son enquêteur.</w:t>
      </w:r>
    </w:p>
    <w:p w14:paraId="0A3ED562" w14:textId="32BAC253" w:rsidR="003021BE" w:rsidRPr="003021BE" w:rsidRDefault="003021BE" w:rsidP="00C575FA">
      <w:pPr>
        <w:pStyle w:val="Paragraphe"/>
        <w:spacing w:line="280" w:lineRule="exact"/>
      </w:pPr>
      <w:r w:rsidRPr="003021BE">
        <w:t>S’intéressant d’abord au recours introduit contre la SQ et ses agents impliqués dans le volet criminel de l’enquête, il examine la séquence des évènements afin d</w:t>
      </w:r>
      <w:r w:rsidR="009E7B0F">
        <w:t>e déterminer</w:t>
      </w:r>
      <w:r w:rsidRPr="003021BE">
        <w:t xml:space="preserve"> à quel moment OFA a su ou aurait dû savoir </w:t>
      </w:r>
      <w:r w:rsidR="007B693E">
        <w:t>qu’elle avait</w:t>
      </w:r>
      <w:r w:rsidRPr="003021BE">
        <w:t xml:space="preserve"> commis une faute, qu’elle avait subi un dommage et qu’il existait un lien de causalité entre cette faute et ce dommage.</w:t>
      </w:r>
    </w:p>
    <w:p w14:paraId="278CCB92" w14:textId="6DD17704" w:rsidR="003021BE" w:rsidRPr="003021BE" w:rsidRDefault="003021BE" w:rsidP="00C575FA">
      <w:pPr>
        <w:pStyle w:val="Paragraphe"/>
        <w:spacing w:line="280" w:lineRule="exact"/>
      </w:pPr>
      <w:r w:rsidRPr="003021BE">
        <w:t>D’entrée de jeu, il rejette la proposition d’OFA voulant que ce soit à la date du jugement de la Cour du Québec ordonnant la remise des biens saisis puisque, écrit-il,</w:t>
      </w:r>
      <w:r w:rsidR="009E7B0F">
        <w:t xml:space="preserve"> </w:t>
      </w:r>
      <w:r w:rsidRPr="003021BE">
        <w:t>« </w:t>
      </w:r>
      <w:r w:rsidR="009E7B0F">
        <w:t>[</w:t>
      </w:r>
      <w:r w:rsidR="005D67BC">
        <w:t>l</w:t>
      </w:r>
      <w:r w:rsidR="009E7B0F">
        <w:t>]</w:t>
      </w:r>
      <w:r w:rsidR="005D67BC">
        <w:t>e Tribunal</w:t>
      </w:r>
      <w:r w:rsidR="005D67BC" w:rsidRPr="003021BE">
        <w:t xml:space="preserve"> </w:t>
      </w:r>
      <w:r w:rsidRPr="003021BE">
        <w:t>ne voit pas en quoi la remise des biens saisis constituerait un élément essentiel à l’appui du recours en responsabilité civile »</w:t>
      </w:r>
      <w:r w:rsidRPr="003021BE">
        <w:rPr>
          <w:vertAlign w:val="superscript"/>
        </w:rPr>
        <w:footnoteReference w:id="9"/>
      </w:r>
      <w:r w:rsidRPr="003021BE">
        <w:t>.</w:t>
      </w:r>
    </w:p>
    <w:p w14:paraId="5F6A7801" w14:textId="22534573" w:rsidR="003021BE" w:rsidRPr="003021BE" w:rsidRDefault="003021BE" w:rsidP="00C575FA">
      <w:pPr>
        <w:pStyle w:val="Paragraphe"/>
        <w:spacing w:line="280" w:lineRule="exact"/>
      </w:pPr>
      <w:r w:rsidRPr="003021BE">
        <w:t>Il situe plutôt ce moment au 15</w:t>
      </w:r>
      <w:r w:rsidR="000E1885">
        <w:t xml:space="preserve"> </w:t>
      </w:r>
      <w:r w:rsidRPr="003021BE">
        <w:t xml:space="preserve">février 2017, date à laquelle le DPCP transmet à OFA l’ensemble de la documentation </w:t>
      </w:r>
      <w:r w:rsidR="00364485">
        <w:t>au soutien des</w:t>
      </w:r>
      <w:r w:rsidRPr="003021BE">
        <w:t xml:space="preserve"> mandats de perquisition puisque, selon lui, c’est à ce moment qu’OFA a en main tous les éléments pour établir que l’enquête menée était fautive.</w:t>
      </w:r>
      <w:r w:rsidR="009D4596">
        <w:t xml:space="preserve"> Il conclut donc que le volet criminel est prescrit. </w:t>
      </w:r>
    </w:p>
    <w:p w14:paraId="128AA1A5" w14:textId="77777777" w:rsidR="003021BE" w:rsidRPr="003021BE" w:rsidRDefault="003021BE" w:rsidP="00C575FA">
      <w:pPr>
        <w:pStyle w:val="Paragraphe"/>
        <w:spacing w:line="280" w:lineRule="exact"/>
      </w:pPr>
      <w:r w:rsidRPr="003021BE">
        <w:t>Il passe ensuite au recours introduit contre le MELCC et son enquêteur pour les gestes posés dans le cadre du volet pénal de l’enquête. Manifestement, il considère que ce recours en est un pour poursuite abusive, comme le plaidait OFA, puisqu’il affirme « appliqu[er] les critères de la suspension de prescription prévus par la Cour d’appel dans le contexte de poursuites abusives »</w:t>
      </w:r>
      <w:r w:rsidRPr="003021BE">
        <w:rPr>
          <w:vertAlign w:val="superscript"/>
        </w:rPr>
        <w:footnoteReference w:id="10"/>
      </w:r>
      <w:r w:rsidRPr="003021BE">
        <w:t xml:space="preserve">. </w:t>
      </w:r>
    </w:p>
    <w:p w14:paraId="6B680444" w14:textId="77777777" w:rsidR="003021BE" w:rsidRPr="003021BE" w:rsidRDefault="003021BE" w:rsidP="00C575FA">
      <w:pPr>
        <w:pStyle w:val="Paragraphe"/>
        <w:spacing w:line="280" w:lineRule="exact"/>
      </w:pPr>
      <w:r w:rsidRPr="003021BE">
        <w:t xml:space="preserve">Devant déterminer si ce recours est prescrit, il cherche encore ici à fixer le point de départ de la prescription de trois ans. </w:t>
      </w:r>
    </w:p>
    <w:p w14:paraId="10788FEE" w14:textId="6F9C1C0D" w:rsidR="003021BE" w:rsidRPr="003021BE" w:rsidRDefault="003021BE" w:rsidP="00C575FA">
      <w:pPr>
        <w:pStyle w:val="Paragraphe"/>
        <w:spacing w:line="280" w:lineRule="exact"/>
      </w:pPr>
      <w:r w:rsidRPr="003021BE">
        <w:t>Il rejette l’argument d’OFA voulant que le jugement de la Cour du Québec ayant mis fin aux procédures pénales marque ce point de départ</w:t>
      </w:r>
      <w:r w:rsidR="000E1885">
        <w:t>,</w:t>
      </w:r>
      <w:r w:rsidRPr="003021BE">
        <w:t xml:space="preserve"> puisque celui-ci ne « fournit pas davantage d’</w:t>
      </w:r>
      <w:r w:rsidR="009E7B0F" w:rsidRPr="009E7B0F">
        <w:t>“</w:t>
      </w:r>
      <w:r w:rsidRPr="003021BE">
        <w:t>éléments nécessaires à l’analyse de l’acte fautif</w:t>
      </w:r>
      <w:r w:rsidR="009E7B0F" w:rsidRPr="009E7B0F">
        <w:t>”</w:t>
      </w:r>
      <w:r w:rsidRPr="003021BE">
        <w:t> »</w:t>
      </w:r>
      <w:r w:rsidRPr="003021BE">
        <w:rPr>
          <w:vertAlign w:val="superscript"/>
        </w:rPr>
        <w:footnoteReference w:id="11"/>
      </w:r>
      <w:r w:rsidRPr="003021BE">
        <w:t xml:space="preserve">. </w:t>
      </w:r>
    </w:p>
    <w:p w14:paraId="7C364E3C" w14:textId="77777777" w:rsidR="003021BE" w:rsidRPr="003021BE" w:rsidRDefault="003021BE" w:rsidP="00C575FA">
      <w:pPr>
        <w:pStyle w:val="Paragraphe"/>
        <w:spacing w:line="280" w:lineRule="exact"/>
      </w:pPr>
      <w:r w:rsidRPr="003021BE">
        <w:t>Puis, il conclut que les éléments constitutifs de la faute reprochée sont devenus évidents lorsque la preuve fut divulguée le 19 avril 2017 et fixe à cette date le point de départ de la prescription.</w:t>
      </w:r>
    </w:p>
    <w:p w14:paraId="4A645D84" w14:textId="4D392BE5" w:rsidR="003021BE" w:rsidRPr="003021BE" w:rsidRDefault="003021BE" w:rsidP="00C575FA">
      <w:pPr>
        <w:pStyle w:val="Paragraphe"/>
        <w:spacing w:line="280" w:lineRule="exact"/>
      </w:pPr>
      <w:r w:rsidRPr="003021BE">
        <w:t xml:space="preserve">L’action ayant été introduite le 16 août 2021, il conclut que les deux recours sont prescrits puisque, dans l’un et l’autre cas, plus de trois années se sont écoulées sans que l’appelante </w:t>
      </w:r>
      <w:r w:rsidR="007F13EA">
        <w:t>intente d’</w:t>
      </w:r>
      <w:r w:rsidRPr="003021BE">
        <w:t>action, et cela même en considérant la suspension de la prescription décrétée pendant la pandémie.</w:t>
      </w:r>
    </w:p>
    <w:p w14:paraId="7B5CC07F" w14:textId="6BD5292A" w:rsidR="007B693E" w:rsidRPr="005C1CCD" w:rsidRDefault="007B693E" w:rsidP="00C575FA">
      <w:pPr>
        <w:pStyle w:val="Paragraphe"/>
        <w:numPr>
          <w:ilvl w:val="0"/>
          <w:numId w:val="0"/>
        </w:numPr>
        <w:spacing w:line="280" w:lineRule="exact"/>
        <w:rPr>
          <w:b/>
          <w:bCs/>
          <w:smallCaps/>
        </w:rPr>
      </w:pPr>
      <w:r w:rsidRPr="005C1CCD">
        <w:rPr>
          <w:b/>
          <w:bCs/>
          <w:smallCaps/>
        </w:rPr>
        <w:lastRenderedPageBreak/>
        <w:t>Les arguments des parties</w:t>
      </w:r>
    </w:p>
    <w:p w14:paraId="3192C8BB" w14:textId="27663707" w:rsidR="003021BE" w:rsidRPr="003021BE" w:rsidRDefault="003021BE" w:rsidP="00C575FA">
      <w:pPr>
        <w:pStyle w:val="Paragraphe"/>
        <w:spacing w:line="280" w:lineRule="exact"/>
      </w:pPr>
      <w:r w:rsidRPr="003021BE">
        <w:t xml:space="preserve">Devant </w:t>
      </w:r>
      <w:r w:rsidR="007F13EA">
        <w:t>cette Cour</w:t>
      </w:r>
      <w:r w:rsidRPr="003021BE">
        <w:t>, OFA soutient que le juge aurait dû qualifier</w:t>
      </w:r>
      <w:r w:rsidR="009D4596">
        <w:t xml:space="preserve"> sa </w:t>
      </w:r>
      <w:r w:rsidR="00364485">
        <w:t>d</w:t>
      </w:r>
      <w:r w:rsidR="009D4596">
        <w:t>emande introductive d’instance</w:t>
      </w:r>
      <w:r w:rsidRPr="003021BE">
        <w:t xml:space="preserve"> de </w:t>
      </w:r>
      <w:r w:rsidR="00275595">
        <w:t xml:space="preserve">« </w:t>
      </w:r>
      <w:r w:rsidRPr="003021BE">
        <w:t>recours pour poursuite abusive</w:t>
      </w:r>
      <w:r w:rsidR="00275595">
        <w:t xml:space="preserve"> »</w:t>
      </w:r>
      <w:r w:rsidRPr="003021BE">
        <w:t xml:space="preserve"> tant </w:t>
      </w:r>
      <w:r w:rsidR="006A4899">
        <w:t xml:space="preserve">pour </w:t>
      </w:r>
      <w:r w:rsidR="009D4596">
        <w:t xml:space="preserve">le volet de </w:t>
      </w:r>
      <w:r w:rsidRPr="003021BE">
        <w:t xml:space="preserve">sa réclamation contre la SQ et ses agents </w:t>
      </w:r>
      <w:r w:rsidR="009D4596">
        <w:t xml:space="preserve">(volet criminel) </w:t>
      </w:r>
      <w:r w:rsidRPr="003021BE">
        <w:t xml:space="preserve">que </w:t>
      </w:r>
      <w:r w:rsidR="006A4899">
        <w:t xml:space="preserve">pour </w:t>
      </w:r>
      <w:r w:rsidRPr="003021BE">
        <w:t>cel</w:t>
      </w:r>
      <w:r w:rsidR="00364485">
        <w:t>ui</w:t>
      </w:r>
      <w:r w:rsidRPr="003021BE">
        <w:t xml:space="preserve"> contre le MELCC et son enquêteur </w:t>
      </w:r>
      <w:r w:rsidR="009D4596">
        <w:t xml:space="preserve">(volet pénal) </w:t>
      </w:r>
      <w:r w:rsidRPr="003021BE">
        <w:t xml:space="preserve">et </w:t>
      </w:r>
      <w:r w:rsidR="007B5462">
        <w:t xml:space="preserve">ainsi lui </w:t>
      </w:r>
      <w:r w:rsidRPr="003021BE">
        <w:t xml:space="preserve">faire bénéficier d’une suspension de la prescription </w:t>
      </w:r>
      <w:r w:rsidR="009D4596">
        <w:t>sur les deux volets</w:t>
      </w:r>
      <w:r w:rsidR="00275595">
        <w:t>, et ce, jusqu’au</w:t>
      </w:r>
      <w:r w:rsidR="00C342FA">
        <w:t xml:space="preserve"> « jugement</w:t>
      </w:r>
      <w:r w:rsidR="00275595">
        <w:t xml:space="preserve"> final</w:t>
      </w:r>
      <w:r w:rsidR="000F79CB">
        <w:t> »</w:t>
      </w:r>
      <w:r w:rsidR="009D4596">
        <w:t xml:space="preserve">, soit dans son cas au moment où les procédures criminelles et pénales contre elle </w:t>
      </w:r>
      <w:r w:rsidR="007B5462">
        <w:t xml:space="preserve">ont </w:t>
      </w:r>
      <w:r w:rsidR="009D4596">
        <w:t>pris fin</w:t>
      </w:r>
      <w:r w:rsidRPr="003021BE">
        <w:t xml:space="preserve">. </w:t>
      </w:r>
    </w:p>
    <w:p w14:paraId="0A6C5AF8" w14:textId="58FCBC79" w:rsidR="003021BE" w:rsidRPr="003021BE" w:rsidRDefault="003021BE" w:rsidP="00C575FA">
      <w:pPr>
        <w:pStyle w:val="Paragraphe"/>
        <w:spacing w:line="280" w:lineRule="exact"/>
      </w:pPr>
      <w:r w:rsidRPr="003021BE">
        <w:t xml:space="preserve">Ainsi, elle plaide que le juge a commis une erreur en faisant courir la prescription du recours contre la SQ et ses agents à </w:t>
      </w:r>
      <w:r w:rsidR="001240CF">
        <w:t xml:space="preserve">partir de </w:t>
      </w:r>
      <w:r w:rsidRPr="003021BE">
        <w:t xml:space="preserve">la date à laquelle le DPCP lui a transmis l’ensemble de la documentation </w:t>
      </w:r>
      <w:r w:rsidR="002028FE">
        <w:t>au soutien</w:t>
      </w:r>
      <w:r w:rsidR="00364485">
        <w:t xml:space="preserve"> des</w:t>
      </w:r>
      <w:r w:rsidRPr="003021BE">
        <w:t xml:space="preserve"> mandats de perquisition.</w:t>
      </w:r>
      <w:r w:rsidR="001240CF" w:rsidRPr="003021BE" w:rsidDel="001240CF">
        <w:t xml:space="preserve"> </w:t>
      </w:r>
      <w:r w:rsidR="001240CF">
        <w:t>E</w:t>
      </w:r>
      <w:r w:rsidRPr="003021BE">
        <w:t xml:space="preserve">lle </w:t>
      </w:r>
      <w:r w:rsidR="000A15E0">
        <w:t>soutient</w:t>
      </w:r>
      <w:r w:rsidRPr="003021BE">
        <w:t xml:space="preserve"> que </w:t>
      </w:r>
      <w:r w:rsidR="000A15E0">
        <w:t xml:space="preserve">c’est à la </w:t>
      </w:r>
      <w:r w:rsidR="000A15E0" w:rsidRPr="003021BE">
        <w:t>remise des biens le 16 août 2018</w:t>
      </w:r>
      <w:r w:rsidR="000A15E0">
        <w:t xml:space="preserve"> qu</w:t>
      </w:r>
      <w:r w:rsidR="00B940CF">
        <w:t>’elle a su que</w:t>
      </w:r>
      <w:r w:rsidR="000A15E0">
        <w:t xml:space="preserve"> </w:t>
      </w:r>
      <w:r w:rsidRPr="003021BE">
        <w:t xml:space="preserve">les procédures </w:t>
      </w:r>
      <w:r w:rsidR="002028FE">
        <w:t>avaie</w:t>
      </w:r>
      <w:r w:rsidRPr="003021BE">
        <w:t>nt</w:t>
      </w:r>
      <w:r w:rsidR="00B940CF">
        <w:t xml:space="preserve"> réellement</w:t>
      </w:r>
      <w:r w:rsidR="000A15E0">
        <w:t xml:space="preserve"> </w:t>
      </w:r>
      <w:r w:rsidRPr="003021BE">
        <w:t>pris fin</w:t>
      </w:r>
      <w:r w:rsidR="00B940CF">
        <w:t xml:space="preserve"> contre elle</w:t>
      </w:r>
      <w:r w:rsidRPr="003021BE">
        <w:t xml:space="preserve">, </w:t>
      </w:r>
      <w:r w:rsidR="000A15E0">
        <w:t>de sorte que</w:t>
      </w:r>
      <w:r w:rsidRPr="003021BE">
        <w:t xml:space="preserve"> la prescription </w:t>
      </w:r>
      <w:r w:rsidR="000A15E0">
        <w:t xml:space="preserve">de l’action </w:t>
      </w:r>
      <w:r w:rsidRPr="003021BE">
        <w:t>aurait commencé à courir</w:t>
      </w:r>
      <w:r w:rsidR="00364485">
        <w:t xml:space="preserve"> à ce moment</w:t>
      </w:r>
      <w:r w:rsidRPr="003021BE">
        <w:t>.</w:t>
      </w:r>
    </w:p>
    <w:p w14:paraId="79EA98DB" w14:textId="4CDE952A" w:rsidR="003021BE" w:rsidRPr="003021BE" w:rsidRDefault="003021BE" w:rsidP="00C575FA">
      <w:pPr>
        <w:pStyle w:val="Paragraphe"/>
        <w:spacing w:line="280" w:lineRule="exact"/>
      </w:pPr>
      <w:r w:rsidRPr="003021BE">
        <w:t>Quant à la prescription du recours visant le MELCC et son enquêteur, que le juge</w:t>
      </w:r>
      <w:r w:rsidR="007B693E">
        <w:t xml:space="preserve"> </w:t>
      </w:r>
      <w:r w:rsidRPr="003021BE">
        <w:t xml:space="preserve">a qualifié </w:t>
      </w:r>
      <w:r w:rsidR="007B693E">
        <w:t xml:space="preserve">avec raison </w:t>
      </w:r>
      <w:r w:rsidRPr="003021BE">
        <w:t xml:space="preserve">de recours pour poursuite abusive, </w:t>
      </w:r>
      <w:r w:rsidR="00B940CF">
        <w:t>OFA plaide qu’</w:t>
      </w:r>
      <w:r w:rsidRPr="003021BE">
        <w:t>elle aurait commencé à courir non pas lorsque la preuve fut divulguée, mais plutôt lorsque la Cour du Québec a ordonné l’arrêt des procédures le 21 novembre 2018.</w:t>
      </w:r>
    </w:p>
    <w:p w14:paraId="37F715AD" w14:textId="1E0D5390" w:rsidR="003021BE" w:rsidRDefault="003021BE" w:rsidP="00C575FA">
      <w:pPr>
        <w:pStyle w:val="Paragraphe"/>
        <w:spacing w:line="280" w:lineRule="exact"/>
      </w:pPr>
      <w:r w:rsidRPr="003021BE">
        <w:t>Les intimés, pour leur part, soutiennent que ni le recours contre la SQ et ses agents ni celui contre le MELCC et son enquêteur ne sont des recours pour poursuite abusive puisque, plaident-ils, pour être ainsi qualifié, un recours doit nécessairement viser le poursuivant. Or, ce n’est pas le cas ici.</w:t>
      </w:r>
    </w:p>
    <w:p w14:paraId="07DE9658" w14:textId="03C10574" w:rsidR="005C1CCD" w:rsidRPr="005C1CCD" w:rsidRDefault="005C1CCD" w:rsidP="00C575FA">
      <w:pPr>
        <w:pStyle w:val="Paragraphe"/>
        <w:numPr>
          <w:ilvl w:val="0"/>
          <w:numId w:val="0"/>
        </w:numPr>
        <w:spacing w:line="280" w:lineRule="exact"/>
        <w:rPr>
          <w:b/>
          <w:bCs/>
          <w:smallCaps/>
        </w:rPr>
      </w:pPr>
      <w:r w:rsidRPr="005C1CCD">
        <w:rPr>
          <w:b/>
          <w:bCs/>
          <w:smallCaps/>
        </w:rPr>
        <w:t>Analyse</w:t>
      </w:r>
    </w:p>
    <w:p w14:paraId="3E3EB256" w14:textId="5E0F312E" w:rsidR="003021BE" w:rsidRPr="005C1CCD" w:rsidRDefault="00177031" w:rsidP="00C575FA">
      <w:pPr>
        <w:pStyle w:val="Paragraphe"/>
        <w:numPr>
          <w:ilvl w:val="0"/>
          <w:numId w:val="23"/>
        </w:numPr>
        <w:spacing w:line="280" w:lineRule="exact"/>
        <w:rPr>
          <w:b/>
          <w:bCs/>
        </w:rPr>
      </w:pPr>
      <w:r w:rsidRPr="005C1CCD">
        <w:rPr>
          <w:b/>
          <w:bCs/>
        </w:rPr>
        <w:t>Le point de départ de la prescription extinctive</w:t>
      </w:r>
    </w:p>
    <w:p w14:paraId="064C686F" w14:textId="4DFBC7C7" w:rsidR="003021BE" w:rsidRPr="003021BE" w:rsidRDefault="003021BE" w:rsidP="00C575FA">
      <w:pPr>
        <w:pStyle w:val="Paragraphe"/>
        <w:spacing w:line="280" w:lineRule="exact"/>
      </w:pPr>
      <w:r w:rsidRPr="003021BE">
        <w:t>Personne ne remettant en cause la décision du juge d’analyser distinctement les deux recours, la même structure analytique</w:t>
      </w:r>
      <w:r w:rsidR="00177031">
        <w:t xml:space="preserve"> sera suivie</w:t>
      </w:r>
      <w:r w:rsidRPr="003021BE">
        <w:t>.</w:t>
      </w:r>
    </w:p>
    <w:p w14:paraId="428A6F65" w14:textId="3AF8570C" w:rsidR="003021BE" w:rsidRPr="003021BE" w:rsidRDefault="003021BE" w:rsidP="00C575FA">
      <w:pPr>
        <w:pStyle w:val="Paragraphe"/>
        <w:spacing w:line="280" w:lineRule="exact"/>
      </w:pPr>
      <w:r w:rsidRPr="003021BE">
        <w:t xml:space="preserve">Outre la réclamation pour atteinte à la réputation, que l’appelante reconnaît être prescrite, </w:t>
      </w:r>
      <w:r w:rsidR="001240CF">
        <w:t xml:space="preserve">l’action d’OFA </w:t>
      </w:r>
      <w:r w:rsidRPr="003021BE">
        <w:t xml:space="preserve">comporte trois autres chefs de réclamation : un premier pour atteinte générale à </w:t>
      </w:r>
      <w:r w:rsidR="001240CF">
        <w:t>s</w:t>
      </w:r>
      <w:r w:rsidRPr="003021BE">
        <w:t>a capacité de fonctionnement, un deuxième pour sa perte d’opportunité de réaliser des profits et un troisième pour dommages</w:t>
      </w:r>
      <w:r w:rsidR="000A08BE">
        <w:t>-intérêts</w:t>
      </w:r>
      <w:r w:rsidRPr="003021BE">
        <w:t xml:space="preserve"> punitifs.</w:t>
      </w:r>
    </w:p>
    <w:p w14:paraId="53E04AA9" w14:textId="6A09499C" w:rsidR="003021BE" w:rsidRPr="003021BE" w:rsidRDefault="003021BE" w:rsidP="00C575FA">
      <w:pPr>
        <w:pStyle w:val="Paragraphe"/>
        <w:spacing w:line="280" w:lineRule="exact"/>
      </w:pPr>
      <w:r w:rsidRPr="003021BE">
        <w:t xml:space="preserve">Elle contient également une section intitulée « Aperçu » destinée à communiquer l’essence de la réclamation. Cet aperçu comporte </w:t>
      </w:r>
      <w:r w:rsidR="00B940CF">
        <w:t xml:space="preserve">le paragraphe </w:t>
      </w:r>
      <w:r w:rsidRPr="003021BE">
        <w:t xml:space="preserve">suivant : </w:t>
      </w:r>
    </w:p>
    <w:p w14:paraId="5E9D0E7C" w14:textId="72D75342" w:rsidR="003021BE" w:rsidRPr="003021BE" w:rsidRDefault="003021BE" w:rsidP="00C575FA">
      <w:pPr>
        <w:pStyle w:val="Citationenretrait"/>
      </w:pPr>
      <w:r w:rsidRPr="003021BE">
        <w:t>[23]</w:t>
      </w:r>
      <w:r w:rsidRPr="003021BE">
        <w:tab/>
        <w:t>Par la présente demande, la société demanderesse allègue qu’elle a notamment été</w:t>
      </w:r>
      <w:r w:rsidR="00001D36">
        <w:t xml:space="preserve"> injustement et</w:t>
      </w:r>
      <w:r w:rsidRPr="003021BE">
        <w:t xml:space="preserve"> illégalement perquisitionnée. Elle réclame donc des dédommagements des défendeurs pour les dommages qu’elle a subis par suite de l’enquête « bâclée et incomplète » de la Sûreté du Québec et du MELCC, du </w:t>
      </w:r>
      <w:r w:rsidRPr="003021BE">
        <w:lastRenderedPageBreak/>
        <w:t>coulage d’informations par les policiers à titre de technique d’enquête dans le but de médiatiser leurs actions, de la saisie de ses biens et du processus judiciaire. Les perquisitions n’auraient jamais dû être demandées puisque l’enquête ne permettait pas de conclure qu’il existait des motifs raisonnables et probables de croire que les infractions prévues aux articles 354, 366, 380, 430, 462.31 et 467.12 </w:t>
      </w:r>
      <w:r w:rsidRPr="003021BE">
        <w:rPr>
          <w:i/>
          <w:iCs/>
        </w:rPr>
        <w:t>C.cr</w:t>
      </w:r>
      <w:r w:rsidRPr="003021BE">
        <w:t>. avaient été commises par la société demanderesse.</w:t>
      </w:r>
    </w:p>
    <w:p w14:paraId="4A4183C3" w14:textId="49A1FAFE" w:rsidR="003021BE" w:rsidRPr="003021BE" w:rsidRDefault="003021BE" w:rsidP="00C575FA">
      <w:pPr>
        <w:pStyle w:val="Paragraphe"/>
        <w:spacing w:line="280" w:lineRule="exact"/>
      </w:pPr>
      <w:r w:rsidRPr="003021BE">
        <w:t>On comprend de cet aperçu que l’appelante s’en prend à l’enquête, qu’elle qualifie de « bâclée et incomplète », aux perquisitions, qu’elle qualifie d’injustes et illégales, à la saisie de ses biens ainsi qu’au processus judiciaire.</w:t>
      </w:r>
    </w:p>
    <w:p w14:paraId="4E68AC13" w14:textId="078F23A6" w:rsidR="003021BE" w:rsidRPr="003021BE" w:rsidRDefault="003021BE" w:rsidP="00C575FA">
      <w:pPr>
        <w:pStyle w:val="Paragraphe"/>
        <w:spacing w:line="280" w:lineRule="exact"/>
      </w:pPr>
      <w:r w:rsidRPr="003021BE">
        <w:t xml:space="preserve">Cet aperçu est suivi de différentes sections comportant des allégations plus détaillées qui permettent de mieux saisir les reproches qu’elle formule et, en conséquence, de mieux </w:t>
      </w:r>
      <w:r w:rsidR="00001D36">
        <w:t>cerner</w:t>
      </w:r>
      <w:r w:rsidRPr="003021BE">
        <w:t xml:space="preserve"> la cause d’action sur laquelle elle fonde son recours contre la SQ et ses agents</w:t>
      </w:r>
      <w:r w:rsidR="0030544E">
        <w:t>,</w:t>
      </w:r>
      <w:r w:rsidRPr="003021BE">
        <w:t xml:space="preserve"> puis celui contre le MELCC et son enquêteur.</w:t>
      </w:r>
    </w:p>
    <w:p w14:paraId="209E45BF" w14:textId="643E1D71" w:rsidR="003021BE" w:rsidRPr="003021BE" w:rsidRDefault="003021BE" w:rsidP="00C575FA">
      <w:pPr>
        <w:pStyle w:val="Paragraphe"/>
        <w:spacing w:line="280" w:lineRule="exact"/>
      </w:pPr>
      <w:r w:rsidRPr="003021BE">
        <w:t xml:space="preserve">Essentiellement, </w:t>
      </w:r>
      <w:r w:rsidR="007B693E">
        <w:t>OFA</w:t>
      </w:r>
      <w:r w:rsidR="007B693E" w:rsidRPr="003021BE">
        <w:t xml:space="preserve"> </w:t>
      </w:r>
      <w:r w:rsidRPr="003021BE">
        <w:t>soutient que l’enquête bâclée</w:t>
      </w:r>
      <w:r w:rsidR="007B693E">
        <w:t xml:space="preserve"> </w:t>
      </w:r>
      <w:r w:rsidRPr="003021BE">
        <w:t xml:space="preserve">aurait donné lieu au dépôt de déclarations </w:t>
      </w:r>
      <w:r w:rsidR="006A4899">
        <w:t>sous serment</w:t>
      </w:r>
      <w:r w:rsidR="006A4899" w:rsidRPr="003021BE">
        <w:t xml:space="preserve"> </w:t>
      </w:r>
      <w:r w:rsidRPr="003021BE">
        <w:t xml:space="preserve">fausses, erronées et incomplètes qui ont elles-mêmes permis d’obtenir des mandats de perquisition et de procéder à des perquisitions illégales abusives ainsi qu’à une saisie injustifiée de ses biens ayant entraîné la cessation de ses activités commerciales. Elle ajoute que ces gestes ont été posés dans le but de l’amener à cesser ses </w:t>
      </w:r>
      <w:r w:rsidR="00001D36">
        <w:t>activités</w:t>
      </w:r>
      <w:r w:rsidRPr="003021BE">
        <w:t>.</w:t>
      </w:r>
    </w:p>
    <w:p w14:paraId="72E678FD" w14:textId="63E02197" w:rsidR="003021BE" w:rsidRPr="003021BE" w:rsidRDefault="001240CF" w:rsidP="00C575FA">
      <w:pPr>
        <w:pStyle w:val="Paragraphe"/>
        <w:spacing w:line="280" w:lineRule="exact"/>
      </w:pPr>
      <w:r>
        <w:t>En somme</w:t>
      </w:r>
      <w:r w:rsidR="003021BE" w:rsidRPr="003021BE">
        <w:t xml:space="preserve">, et quoique sa </w:t>
      </w:r>
      <w:r w:rsidR="00001D36">
        <w:t>demande</w:t>
      </w:r>
      <w:r w:rsidR="003021BE" w:rsidRPr="003021BE">
        <w:t xml:space="preserve"> introductive d’instance ne soit pas limpide, </w:t>
      </w:r>
      <w:r w:rsidR="00177031">
        <w:t>OFA</w:t>
      </w:r>
      <w:r w:rsidR="003021BE" w:rsidRPr="003021BE">
        <w:t xml:space="preserve"> reproche aux autorités et aux agents d’avoir instrumentalisé le processus judiciaire.</w:t>
      </w:r>
    </w:p>
    <w:p w14:paraId="0EBC827E" w14:textId="71A94A46" w:rsidR="003021BE" w:rsidRPr="00281F5A" w:rsidRDefault="003021BE" w:rsidP="00C575FA">
      <w:pPr>
        <w:pStyle w:val="Paragraphe"/>
        <w:spacing w:line="280" w:lineRule="exact"/>
      </w:pPr>
      <w:r w:rsidRPr="00281F5A">
        <w:t>Cela étant, pour déterminer si les recours intentés doivent être qualifiés de recours en dommages</w:t>
      </w:r>
      <w:r w:rsidR="00001D36">
        <w:t>-intérêts</w:t>
      </w:r>
      <w:r w:rsidRPr="00281F5A">
        <w:t xml:space="preserve"> pour poursuite abusive et ainsi bénéficier de l’exception voulant que le point de départ de la prescription soit suspendu, </w:t>
      </w:r>
      <w:r w:rsidR="00281F5A">
        <w:t>il est</w:t>
      </w:r>
      <w:r w:rsidR="00281F5A" w:rsidRPr="00281F5A">
        <w:t xml:space="preserve"> </w:t>
      </w:r>
      <w:r w:rsidRPr="00281F5A">
        <w:t>utile de retourner aux règles générales de la prescription extinctive</w:t>
      </w:r>
      <w:r w:rsidR="001240CF">
        <w:t>, ainsi qu’</w:t>
      </w:r>
      <w:r w:rsidRPr="00281F5A">
        <w:t xml:space="preserve">à la raison d’être de cette exception. </w:t>
      </w:r>
    </w:p>
    <w:p w14:paraId="70E6C38F" w14:textId="3D61DF1D" w:rsidR="003021BE" w:rsidRPr="003021BE" w:rsidRDefault="003021BE" w:rsidP="00C575FA">
      <w:pPr>
        <w:pStyle w:val="Paragraphe"/>
        <w:spacing w:line="280" w:lineRule="exact"/>
      </w:pPr>
      <w:r w:rsidRPr="003021BE">
        <w:t>Le point de départ de la prescription extinctive</w:t>
      </w:r>
      <w:r w:rsidR="00281F5A">
        <w:t xml:space="preserve"> </w:t>
      </w:r>
      <w:r w:rsidRPr="003021BE">
        <w:t>se situe au jour où le droit d’action a pris naissance selon ce que prévoit l’article 2880 al</w:t>
      </w:r>
      <w:r w:rsidR="007B693E">
        <w:t>inéa</w:t>
      </w:r>
      <w:r w:rsidRPr="003021BE">
        <w:t xml:space="preserve"> 2 </w:t>
      </w:r>
      <w:r w:rsidR="007B693E">
        <w:t xml:space="preserve">du </w:t>
      </w:r>
      <w:r w:rsidR="007B693E" w:rsidRPr="00303DB4">
        <w:rPr>
          <w:i/>
          <w:iCs/>
        </w:rPr>
        <w:t>Code civil du Québec</w:t>
      </w:r>
      <w:r w:rsidR="00281F5A">
        <w:t xml:space="preserve">, </w:t>
      </w:r>
      <w:r w:rsidRPr="003021BE">
        <w:t>que le recours soit contractuel ou extracontractuel</w:t>
      </w:r>
      <w:r w:rsidRPr="003021BE">
        <w:rPr>
          <w:vertAlign w:val="superscript"/>
        </w:rPr>
        <w:footnoteReference w:id="12"/>
      </w:r>
      <w:r w:rsidRPr="003021BE">
        <w:t xml:space="preserve">. Lorsque le recours introduit en est un en responsabilité extracontractuelle, comme c’est le cas ici, le droit d’action naît lorsque </w:t>
      </w:r>
      <w:r w:rsidR="004D7451">
        <w:t xml:space="preserve">le créancier </w:t>
      </w:r>
      <w:r w:rsidR="004D7451" w:rsidRPr="000F79CB">
        <w:t xml:space="preserve">acquiert la connaissance </w:t>
      </w:r>
      <w:r w:rsidR="004D7451">
        <w:t xml:space="preserve">— </w:t>
      </w:r>
      <w:r w:rsidR="004D7451" w:rsidRPr="00D91DEE">
        <w:t xml:space="preserve">ou pouvait raisonnablement </w:t>
      </w:r>
      <w:r w:rsidR="004D7451">
        <w:t>l’acquérir —</w:t>
      </w:r>
      <w:r w:rsidR="004D7451" w:rsidRPr="008A7BDC">
        <w:t xml:space="preserve"> des trois éléments constitutifs de la responsabilit</w:t>
      </w:r>
      <w:r w:rsidR="004D7451">
        <w:t xml:space="preserve">é, soit </w:t>
      </w:r>
      <w:r w:rsidRPr="003021BE">
        <w:t>la faute, le préjudice et le lien de causalité qui doit exister entre les deux</w:t>
      </w:r>
      <w:r w:rsidR="004D7451">
        <w:rPr>
          <w:rStyle w:val="Appelnotedebasdep"/>
        </w:rPr>
        <w:footnoteReference w:id="13"/>
      </w:r>
      <w:r w:rsidRPr="003021BE">
        <w:t xml:space="preserve">. </w:t>
      </w:r>
    </w:p>
    <w:p w14:paraId="739DDC23" w14:textId="458C0470" w:rsidR="003021BE" w:rsidRPr="003021BE" w:rsidRDefault="003E5756" w:rsidP="00C575FA">
      <w:pPr>
        <w:pStyle w:val="Paragraphe"/>
        <w:spacing w:line="280" w:lineRule="exact"/>
      </w:pPr>
      <w:r w:rsidRPr="003E5756">
        <w:rPr>
          <w:rStyle w:val="cf01"/>
          <w:rFonts w:ascii="Arial" w:hAnsi="Arial" w:cs="Arial"/>
          <w:sz w:val="24"/>
          <w:szCs w:val="24"/>
        </w:rPr>
        <w:lastRenderedPageBreak/>
        <w:t>Dans la foulée de ces principes, il existe une règle voulant que la prescription soit suspendue à l’égard d’un recours civil pour poursuite abusive, et ce, jusqu’au jour du prononcé final sur cette poursuite</w:t>
      </w:r>
      <w:r w:rsidR="00C54174" w:rsidRPr="003E5756">
        <w:rPr>
          <w:rStyle w:val="Appelnotedebasdep"/>
          <w:rFonts w:cs="Arial"/>
          <w:szCs w:val="24"/>
        </w:rPr>
        <w:footnoteReference w:id="14"/>
      </w:r>
      <w:r w:rsidR="00C54174" w:rsidRPr="003E5756">
        <w:rPr>
          <w:rFonts w:cs="Arial"/>
          <w:szCs w:val="24"/>
        </w:rPr>
        <w:t xml:space="preserve">. </w:t>
      </w:r>
      <w:r w:rsidR="003021BE" w:rsidRPr="003E5756">
        <w:rPr>
          <w:rFonts w:cs="Arial"/>
          <w:szCs w:val="24"/>
        </w:rPr>
        <w:t>Cette règle prétorienne a été reconnue dans l’affaire</w:t>
      </w:r>
      <w:r w:rsidR="003021BE" w:rsidRPr="003021BE">
        <w:t xml:space="preserve"> </w:t>
      </w:r>
      <w:r w:rsidR="003021BE" w:rsidRPr="005C1CCD">
        <w:rPr>
          <w:i/>
          <w:iCs/>
        </w:rPr>
        <w:t>Lapierre c. Lessard</w:t>
      </w:r>
      <w:r w:rsidR="003021BE" w:rsidRPr="003021BE">
        <w:rPr>
          <w:vertAlign w:val="superscript"/>
        </w:rPr>
        <w:footnoteReference w:id="15"/>
      </w:r>
      <w:r w:rsidR="003021BE" w:rsidRPr="003021BE">
        <w:t xml:space="preserve"> où</w:t>
      </w:r>
      <w:r w:rsidR="006431B5">
        <w:t xml:space="preserve"> </w:t>
      </w:r>
      <w:r w:rsidR="003021BE" w:rsidRPr="003021BE">
        <w:t xml:space="preserve">la Cour du </w:t>
      </w:r>
      <w:r w:rsidR="004F1E1A">
        <w:t>B</w:t>
      </w:r>
      <w:r w:rsidR="003021BE" w:rsidRPr="003021BE">
        <w:t>anc d</w:t>
      </w:r>
      <w:r w:rsidR="004F1E1A">
        <w:t>u Roi</w:t>
      </w:r>
      <w:r w:rsidR="004F1E1A" w:rsidRPr="003021BE">
        <w:t xml:space="preserve"> </w:t>
      </w:r>
      <w:r w:rsidR="004F1E1A">
        <w:t xml:space="preserve">du Québec </w:t>
      </w:r>
      <w:r w:rsidR="003021BE" w:rsidRPr="003021BE">
        <w:t xml:space="preserve">a affirmé que la prescription applicable aux recours pour poursuites judiciaires abusives devait être </w:t>
      </w:r>
      <w:r w:rsidR="003021BE" w:rsidRPr="0073527D">
        <w:t>suspendue</w:t>
      </w:r>
      <w:r w:rsidR="003021BE" w:rsidRPr="003021BE">
        <w:t xml:space="preserve"> jusqu’au jugement final qui tranche la poursuite que le demandeur cherche à faire qualifier d’abusive.</w:t>
      </w:r>
      <w:r w:rsidR="005C1CCD">
        <w:t xml:space="preserve"> </w:t>
      </w:r>
      <w:r w:rsidR="006431B5">
        <w:t>L</w:t>
      </w:r>
      <w:r w:rsidR="003021BE" w:rsidRPr="003021BE">
        <w:t xml:space="preserve">a raison invoquée pour justifier cette règle était la nécessité d’éviter le risque de jugements contradictoires, </w:t>
      </w:r>
      <w:r w:rsidR="00281F5A">
        <w:t>c’est</w:t>
      </w:r>
      <w:r w:rsidR="0030544E">
        <w:t>-à-</w:t>
      </w:r>
      <w:r w:rsidR="00281F5A">
        <w:t>dire d’</w:t>
      </w:r>
      <w:r w:rsidR="003021BE" w:rsidRPr="003021BE">
        <w:t>éviter que les tribunaux jugent différemment la poursuite elle-même et le recours en dommages</w:t>
      </w:r>
      <w:r w:rsidR="002B3A91">
        <w:t>-intérêts</w:t>
      </w:r>
      <w:r w:rsidR="003021BE" w:rsidRPr="003021BE">
        <w:t xml:space="preserve"> </w:t>
      </w:r>
      <w:r w:rsidR="00CE31C9">
        <w:t>entrepris en raison de celle-ci</w:t>
      </w:r>
      <w:r w:rsidR="003021BE" w:rsidRPr="003021BE">
        <w:t xml:space="preserve">. </w:t>
      </w:r>
    </w:p>
    <w:p w14:paraId="0A131378" w14:textId="36B6ACFD" w:rsidR="003021BE" w:rsidRPr="003021BE" w:rsidRDefault="003021BE" w:rsidP="00C575FA">
      <w:pPr>
        <w:pStyle w:val="Paragraphe"/>
        <w:spacing w:line="280" w:lineRule="exact"/>
      </w:pPr>
      <w:r w:rsidRPr="003021BE">
        <w:t>Cette règle a été appliquée ou reconnue à de multiples reprises depuis</w:t>
      </w:r>
      <w:r w:rsidRPr="003021BE">
        <w:rPr>
          <w:vertAlign w:val="superscript"/>
        </w:rPr>
        <w:footnoteReference w:id="16"/>
      </w:r>
      <w:r w:rsidRPr="003021BE">
        <w:t xml:space="preserve"> et, au fil du temps, </w:t>
      </w:r>
      <w:r w:rsidR="00930AF5">
        <w:t>l’équité</w:t>
      </w:r>
      <w:r w:rsidRPr="003021BE">
        <w:t xml:space="preserve"> envers un justiciable qui estime être l’objet d’une poursuite abusive a aussi été </w:t>
      </w:r>
      <w:r w:rsidR="00CE31C9">
        <w:t xml:space="preserve">retenue </w:t>
      </w:r>
      <w:r w:rsidRPr="003021BE">
        <w:t xml:space="preserve">comme justification. Exiger d’un justiciable qui </w:t>
      </w:r>
      <w:r w:rsidR="006431B5">
        <w:t>se considère</w:t>
      </w:r>
      <w:r w:rsidR="006431B5" w:rsidRPr="003021BE">
        <w:t xml:space="preserve"> </w:t>
      </w:r>
      <w:r w:rsidRPr="003021BE">
        <w:t>victime d’une poursuite abusive</w:t>
      </w:r>
      <w:r w:rsidR="0030544E">
        <w:t xml:space="preserve"> et</w:t>
      </w:r>
      <w:r w:rsidRPr="003021BE">
        <w:t xml:space="preserve"> qu’il introduise son recours en dommages</w:t>
      </w:r>
      <w:r w:rsidR="002B3A91">
        <w:t>-intérêts</w:t>
      </w:r>
      <w:r w:rsidRPr="003021BE">
        <w:t xml:space="preserve"> avant même de savoir si cette poursuite sera ou non rejetée apparaît en effet inéquitable</w:t>
      </w:r>
      <w:r w:rsidRPr="003021BE">
        <w:rPr>
          <w:vertAlign w:val="superscript"/>
        </w:rPr>
        <w:footnoteReference w:id="17"/>
      </w:r>
      <w:r w:rsidRPr="003021BE">
        <w:t xml:space="preserve">. </w:t>
      </w:r>
    </w:p>
    <w:p w14:paraId="2DD4065A" w14:textId="44D4E7DB" w:rsidR="003021BE" w:rsidRPr="005857D1" w:rsidRDefault="003021BE" w:rsidP="00C575FA">
      <w:pPr>
        <w:pStyle w:val="Paragraphe"/>
        <w:spacing w:line="280" w:lineRule="exact"/>
      </w:pPr>
      <w:r w:rsidRPr="003021BE">
        <w:t>En vertu de cette règle, la prescription ne commence à courir qu’une fois le jugement final rendu et cela sans que le demandeur ait à démontrer qu’il était dans l’impossibilité en fait d’agir</w:t>
      </w:r>
      <w:r w:rsidR="00CE31C9">
        <w:rPr>
          <w:rStyle w:val="Appelnotedebasdep"/>
        </w:rPr>
        <w:footnoteReference w:id="18"/>
      </w:r>
      <w:r w:rsidRPr="003021BE">
        <w:t>.</w:t>
      </w:r>
      <w:r w:rsidR="006431B5">
        <w:t xml:space="preserve"> </w:t>
      </w:r>
      <w:r w:rsidRPr="003021BE">
        <w:t>On comprend que</w:t>
      </w:r>
      <w:r w:rsidR="00595B35">
        <w:t>,</w:t>
      </w:r>
      <w:r w:rsidRPr="003021BE">
        <w:t xml:space="preserve"> la cause d’action du recours en dommages</w:t>
      </w:r>
      <w:r w:rsidR="00595B35">
        <w:t>-intérêts</w:t>
      </w:r>
      <w:r w:rsidRPr="003021BE">
        <w:t xml:space="preserve"> étant le caractère abusif de la poursuite initiale, l’importance du jugement </w:t>
      </w:r>
      <w:r w:rsidR="00F24971">
        <w:t>statu</w:t>
      </w:r>
      <w:r w:rsidRPr="003021BE">
        <w:t xml:space="preserve">ant </w:t>
      </w:r>
      <w:r w:rsidR="00F24971">
        <w:t>sur</w:t>
      </w:r>
      <w:r w:rsidRPr="003021BE">
        <w:t xml:space="preserve"> cette poursuite va </w:t>
      </w:r>
      <w:r w:rsidRPr="005857D1">
        <w:t xml:space="preserve">de soi. Il n’est en effet pas possible que la faute (qui consiste à avoir entrepris une poursuite abusive) existe si la poursuite est accueillie. L’existence de la faute étant tributaire du sort réservé à la poursuite, celui qui est poursuivi ne peut savoir si une faute a véritablement été commise tant et aussi longtemps que </w:t>
      </w:r>
      <w:r w:rsidR="00CE31C9" w:rsidRPr="005857D1">
        <w:t>ce</w:t>
      </w:r>
      <w:r w:rsidR="00595B35">
        <w:t>tte poursuite</w:t>
      </w:r>
      <w:r w:rsidR="00CE31C9" w:rsidRPr="005857D1">
        <w:t xml:space="preserve"> </w:t>
      </w:r>
      <w:r w:rsidRPr="005857D1">
        <w:t>n’a pas été tranchée.</w:t>
      </w:r>
    </w:p>
    <w:p w14:paraId="3A046E82" w14:textId="7EF2716F" w:rsidR="003021BE" w:rsidRPr="003021BE" w:rsidRDefault="000955FD" w:rsidP="00C575FA">
      <w:pPr>
        <w:pStyle w:val="Paragraphe"/>
        <w:spacing w:line="280" w:lineRule="exact"/>
      </w:pPr>
      <w:r>
        <w:t xml:space="preserve">Ainsi, cette règle de </w:t>
      </w:r>
      <w:r w:rsidR="004325AE">
        <w:t>la suspension</w:t>
      </w:r>
      <w:r>
        <w:t xml:space="preserve"> </w:t>
      </w:r>
      <w:r w:rsidR="006431B5">
        <w:t xml:space="preserve">de la prescription </w:t>
      </w:r>
      <w:r>
        <w:t xml:space="preserve">peut aussi être </w:t>
      </w:r>
      <w:r w:rsidR="00B03749">
        <w:t xml:space="preserve">considérée </w:t>
      </w:r>
      <w:r w:rsidR="00B03749" w:rsidRPr="003021BE">
        <w:t>comme</w:t>
      </w:r>
      <w:r w:rsidR="003021BE" w:rsidRPr="003021BE">
        <w:t xml:space="preserve"> une simple </w:t>
      </w:r>
      <w:r w:rsidR="00CE31C9">
        <w:t xml:space="preserve">application </w:t>
      </w:r>
      <w:r w:rsidR="003021BE" w:rsidRPr="003021BE">
        <w:t>du principe voulant qu</w:t>
      </w:r>
      <w:r w:rsidR="006431B5">
        <w:t xml:space="preserve">’elle </w:t>
      </w:r>
      <w:r w:rsidR="003021BE" w:rsidRPr="003021BE">
        <w:t xml:space="preserve">ne commence à courir que lorsqu’une personne sait, ou doit </w:t>
      </w:r>
      <w:r w:rsidR="00281F5A">
        <w:t xml:space="preserve">autrement </w:t>
      </w:r>
      <w:r w:rsidR="003021BE" w:rsidRPr="003021BE">
        <w:t xml:space="preserve">savoir qu’une faute a été commise et qu’elle lui a causé un dommage. </w:t>
      </w:r>
    </w:p>
    <w:p w14:paraId="5F15BEA9" w14:textId="1F84252E" w:rsidR="003021BE" w:rsidRPr="003021BE" w:rsidRDefault="003021BE" w:rsidP="00C575FA">
      <w:pPr>
        <w:pStyle w:val="Paragraphe"/>
        <w:spacing w:line="280" w:lineRule="exact"/>
      </w:pPr>
      <w:r w:rsidRPr="003021BE">
        <w:t xml:space="preserve">Cela étant, peut-on parler d’un recours pour poursuite abusive </w:t>
      </w:r>
      <w:r w:rsidR="00CF0A0F">
        <w:t>dans le cas d’</w:t>
      </w:r>
      <w:r w:rsidRPr="003021BE">
        <w:t xml:space="preserve">un recours qui, comme celui intenté en l’instance contre la SQ et ses agents, est introduit alors que l’enquête et les autres mesures prises n’ont pas mené au dépôt d’accusations? </w:t>
      </w:r>
      <w:r w:rsidR="006431B5">
        <w:t>Il faut répondre affirmativement.</w:t>
      </w:r>
    </w:p>
    <w:p w14:paraId="2F4B9C37" w14:textId="1C18ADC1" w:rsidR="003021BE" w:rsidRPr="00303DB4" w:rsidRDefault="00281F5A" w:rsidP="00C575FA">
      <w:pPr>
        <w:pStyle w:val="Paragraphe"/>
        <w:spacing w:line="280" w:lineRule="exact"/>
      </w:pPr>
      <w:r>
        <w:lastRenderedPageBreak/>
        <w:t>U</w:t>
      </w:r>
      <w:r w:rsidR="003021BE" w:rsidRPr="003021BE">
        <w:t>ne demande introductive d’instance peut être qualifiée de « recours pour poursuite abusive »</w:t>
      </w:r>
      <w:r w:rsidR="00A26201">
        <w:t>,</w:t>
      </w:r>
      <w:r w:rsidR="003021BE" w:rsidRPr="003021BE">
        <w:t xml:space="preserve"> et </w:t>
      </w:r>
      <w:r w:rsidR="00A26201">
        <w:t xml:space="preserve">ainsi </w:t>
      </w:r>
      <w:r w:rsidR="003021BE" w:rsidRPr="003021BE">
        <w:t>bénéficier de la suspension de la prescription extinctive, même si aucune accusation n’est ultimement déposée, dès lors que les autorités entreprennent une enquête et font appel au système judiciaire dans le cadre de celle-ci</w:t>
      </w:r>
      <w:r w:rsidR="003021BE" w:rsidRPr="003021BE">
        <w:rPr>
          <w:vertAlign w:val="superscript"/>
        </w:rPr>
        <w:footnoteReference w:id="19"/>
      </w:r>
      <w:r w:rsidR="006431B5">
        <w:t>.</w:t>
      </w:r>
    </w:p>
    <w:p w14:paraId="02B4BC41" w14:textId="2B932762" w:rsidR="003021BE" w:rsidRPr="003021BE" w:rsidRDefault="003021BE" w:rsidP="00C575FA">
      <w:pPr>
        <w:pStyle w:val="Paragraphe"/>
        <w:spacing w:line="280" w:lineRule="exact"/>
      </w:pPr>
      <w:r w:rsidRPr="003021BE">
        <w:t xml:space="preserve">Dans une telle situation où finalement aucune accusation ne sera déposée, il sera toutefois essentiel que le demandeur démontre qu’il pouvait raisonnablement croire que les mesures prises </w:t>
      </w:r>
      <w:r w:rsidR="00595B35">
        <w:t>étaient susceptibles de</w:t>
      </w:r>
      <w:r w:rsidRPr="003021BE">
        <w:t xml:space="preserve"> mener au dépôt d’accusations, sans quoi il n’y a</w:t>
      </w:r>
      <w:r w:rsidR="00595B35">
        <w:t>ura</w:t>
      </w:r>
      <w:r w:rsidRPr="003021BE">
        <w:t xml:space="preserve"> pas de raison </w:t>
      </w:r>
      <w:r w:rsidR="000955FD">
        <w:t xml:space="preserve">de </w:t>
      </w:r>
      <w:r w:rsidR="008A2A1F">
        <w:t>suspendre le délai de prescription</w:t>
      </w:r>
      <w:r w:rsidRPr="003021BE">
        <w:t xml:space="preserve">. </w:t>
      </w:r>
    </w:p>
    <w:p w14:paraId="6AA6CE05" w14:textId="2F0AB2CB" w:rsidR="003021BE" w:rsidRPr="003021BE" w:rsidRDefault="003021BE" w:rsidP="00C575FA">
      <w:pPr>
        <w:pStyle w:val="Paragraphe"/>
        <w:spacing w:line="280" w:lineRule="exact"/>
      </w:pPr>
      <w:r w:rsidRPr="003021BE">
        <w:t xml:space="preserve">D’ailleurs, il est aussi établi que ce </w:t>
      </w:r>
      <w:r w:rsidR="005178BA">
        <w:t>délai de prescription</w:t>
      </w:r>
      <w:r w:rsidRPr="003021BE">
        <w:t xml:space="preserve"> n’est pas toujours</w:t>
      </w:r>
      <w:r w:rsidR="00281F5A">
        <w:t xml:space="preserve"> </w:t>
      </w:r>
      <w:r w:rsidRPr="003021BE">
        <w:t xml:space="preserve">automatiquement </w:t>
      </w:r>
      <w:r w:rsidR="008A2A1F">
        <w:t>suspendu</w:t>
      </w:r>
      <w:r w:rsidR="0030544E">
        <w:t>,</w:t>
      </w:r>
      <w:r w:rsidR="008A2A1F" w:rsidRPr="003021BE">
        <w:t xml:space="preserve"> </w:t>
      </w:r>
      <w:r w:rsidRPr="003021BE">
        <w:t>puisqu’en certaines circonstances</w:t>
      </w:r>
      <w:r w:rsidR="00CE31C9">
        <w:t>,</w:t>
      </w:r>
      <w:r w:rsidRPr="003021BE">
        <w:t xml:space="preserve"> il est possible de savoir qu’une faute a été commise et qu’un dommage en a découlé indépendamment du </w:t>
      </w:r>
      <w:r w:rsidRPr="007D5D8B">
        <w:t>résultant découlant</w:t>
      </w:r>
      <w:r w:rsidRPr="003021BE">
        <w:t xml:space="preserve"> de l’enquête, </w:t>
      </w:r>
      <w:r w:rsidR="003C6A14">
        <w:t>du résultat de la décision de déposer ou non des accusations</w:t>
      </w:r>
      <w:r w:rsidRPr="003021BE">
        <w:t xml:space="preserve">, </w:t>
      </w:r>
      <w:r w:rsidR="003C6A14">
        <w:t xml:space="preserve">ou </w:t>
      </w:r>
      <w:r w:rsidRPr="003021BE">
        <w:t xml:space="preserve">du jugement à être rendu sur la poursuite. Dans de tels cas, il appartient au demandeur de démontrer </w:t>
      </w:r>
      <w:r w:rsidR="00CF0A0F">
        <w:t xml:space="preserve">la nécessité de suspendre le délai de prescription en raison du </w:t>
      </w:r>
      <w:r w:rsidRPr="003021BE">
        <w:t>lien qui existe entre l’acte reproché et le jugement à venir.</w:t>
      </w:r>
    </w:p>
    <w:p w14:paraId="0DAB913B" w14:textId="30CD9B83" w:rsidR="003021BE" w:rsidRPr="003021BE" w:rsidRDefault="00F46A6F" w:rsidP="00C575FA">
      <w:pPr>
        <w:pStyle w:val="Paragraphe"/>
        <w:spacing w:line="280" w:lineRule="exact"/>
      </w:pPr>
      <w:r>
        <w:t>Par exemple</w:t>
      </w:r>
      <w:r w:rsidR="003021BE" w:rsidRPr="003021BE">
        <w:t xml:space="preserve">, dans l’affaire </w:t>
      </w:r>
      <w:r w:rsidR="003021BE" w:rsidRPr="003021BE">
        <w:rPr>
          <w:i/>
          <w:iCs/>
        </w:rPr>
        <w:t>Popovic c. Montréal (Ville de)</w:t>
      </w:r>
      <w:r w:rsidR="003021BE" w:rsidRPr="003021BE">
        <w:rPr>
          <w:vertAlign w:val="superscript"/>
        </w:rPr>
        <w:footnoteReference w:id="20"/>
      </w:r>
      <w:r w:rsidR="003021BE" w:rsidRPr="003021BE">
        <w:rPr>
          <w:i/>
          <w:iCs/>
        </w:rPr>
        <w:t xml:space="preserve">, </w:t>
      </w:r>
      <w:r w:rsidR="003021BE" w:rsidRPr="003021BE">
        <w:t xml:space="preserve">la Cour s’est demandé si la règle établie dans </w:t>
      </w:r>
      <w:r w:rsidR="003021BE" w:rsidRPr="003021BE">
        <w:rPr>
          <w:i/>
          <w:iCs/>
        </w:rPr>
        <w:t>Lapierre c. Lessard</w:t>
      </w:r>
      <w:r w:rsidR="003021BE" w:rsidRPr="003021BE">
        <w:t xml:space="preserve"> était applicable à un recours reprochant aux autorités policières d’avoir procédé à une arrestation abusive. Après avoir souligné l’importance que constitue l’institution de la prescription extinctive pour la préservation de l’ordre social, </w:t>
      </w:r>
      <w:r w:rsidR="006431B5" w:rsidRPr="003E5756">
        <w:t>la Cour</w:t>
      </w:r>
      <w:r w:rsidR="003021BE" w:rsidRPr="003021BE">
        <w:t xml:space="preserve"> y précise que la prescription d’un recours pour </w:t>
      </w:r>
      <w:r w:rsidR="003021BE" w:rsidRPr="008A2A1F">
        <w:t>arrestation abusive sera « suspendue </w:t>
      </w:r>
      <w:r w:rsidR="003021BE" w:rsidRPr="003021BE">
        <w:t xml:space="preserve">» uniquement si l’accusé démontre qu’un jugement sur les accusations portées à la suite de « l’arrestation abusive » est </w:t>
      </w:r>
      <w:r w:rsidR="003021BE" w:rsidRPr="00A344BD">
        <w:t>nécessaire</w:t>
      </w:r>
      <w:r w:rsidR="003021BE" w:rsidRPr="003021BE">
        <w:t xml:space="preserve"> pour précisément trancher l’abus</w:t>
      </w:r>
      <w:r w:rsidR="003021BE" w:rsidRPr="003021BE">
        <w:rPr>
          <w:vertAlign w:val="superscript"/>
        </w:rPr>
        <w:footnoteReference w:id="21"/>
      </w:r>
      <w:r w:rsidR="003021BE" w:rsidRPr="003021BE">
        <w:t xml:space="preserve">, ce qui ne sera pas toujours le cas. </w:t>
      </w:r>
    </w:p>
    <w:p w14:paraId="09EF2B2D" w14:textId="09969A50" w:rsidR="003021BE" w:rsidRPr="003021BE" w:rsidRDefault="003C6A14" w:rsidP="00C575FA">
      <w:pPr>
        <w:pStyle w:val="Paragraphe"/>
        <w:spacing w:line="280" w:lineRule="exact"/>
      </w:pPr>
      <w:r>
        <w:t xml:space="preserve">La Cour </w:t>
      </w:r>
      <w:r w:rsidR="003021BE" w:rsidRPr="003021BE">
        <w:t>donne en exemple la situation où un accusé ayant été victime d’une arrestation abusive est par la suite déclaré coupable de l’infraction qui lui est reprochée. Dans une telle situation, il n’y a aucune raison de suspendre la prescription du recours en dommages</w:t>
      </w:r>
      <w:r w:rsidR="00607B3B">
        <w:t>-intérêts</w:t>
      </w:r>
      <w:r w:rsidR="003021BE" w:rsidRPr="003021BE">
        <w:t xml:space="preserve"> pour arrestation abusive si le jugement à venir n’est pas appelé à trancher la question de l’arrestation ou si l’accusé connaît tous les éléments </w:t>
      </w:r>
      <w:r w:rsidR="00105E92">
        <w:t xml:space="preserve">qui étayent </w:t>
      </w:r>
      <w:r w:rsidR="003021BE" w:rsidRPr="003021BE">
        <w:t xml:space="preserve">son recours. </w:t>
      </w:r>
      <w:r>
        <w:t xml:space="preserve">La Cour </w:t>
      </w:r>
      <w:r w:rsidR="003021BE" w:rsidRPr="003021BE">
        <w:t>ajoute que « </w:t>
      </w:r>
      <w:r w:rsidR="00A344BD">
        <w:t>[d]</w:t>
      </w:r>
      <w:r w:rsidR="003021BE" w:rsidRPr="003021BE">
        <w:t>it autrement, dans la mesure où sont connus, au moment de l’arrestation, tous les éléments nécessaires à l’analyse de l’acte fautif du policier en vertu de l’article 1457</w:t>
      </w:r>
      <w:r w:rsidR="003E5756">
        <w:t xml:space="preserve"> du </w:t>
      </w:r>
      <w:r w:rsidR="003E5756" w:rsidRPr="003E5756">
        <w:rPr>
          <w:i/>
          <w:iCs/>
        </w:rPr>
        <w:t>Code civil du Québec</w:t>
      </w:r>
      <w:r w:rsidR="003021BE" w:rsidRPr="003021BE">
        <w:t xml:space="preserve"> et qu’il n’existe aucun lien avec le jugement à venir sur la poursuite criminelle, il n’y a</w:t>
      </w:r>
      <w:r w:rsidR="006431B5">
        <w:t xml:space="preserve"> </w:t>
      </w:r>
      <w:r w:rsidR="003021BE" w:rsidRPr="003021BE">
        <w:t>dans ces cas</w:t>
      </w:r>
      <w:r w:rsidR="006431B5">
        <w:t xml:space="preserve"> </w:t>
      </w:r>
      <w:r w:rsidR="003021BE" w:rsidRPr="003021BE">
        <w:t xml:space="preserve">aucune raison de </w:t>
      </w:r>
      <w:r w:rsidR="003021BE" w:rsidRPr="008A2A1F">
        <w:t>suspendre</w:t>
      </w:r>
      <w:r w:rsidR="003021BE" w:rsidRPr="003021BE">
        <w:t xml:space="preserve"> la prescription. Il n’y a pas </w:t>
      </w:r>
      <w:r w:rsidR="00607B3B">
        <w:t>impossibilité d’agir ni</w:t>
      </w:r>
      <w:r w:rsidR="003021BE" w:rsidRPr="003021BE">
        <w:t xml:space="preserve"> crainte de jugements contradictoires. »</w:t>
      </w:r>
      <w:r w:rsidR="003021BE" w:rsidRPr="003021BE">
        <w:rPr>
          <w:vertAlign w:val="superscript"/>
        </w:rPr>
        <w:footnoteReference w:id="22"/>
      </w:r>
    </w:p>
    <w:p w14:paraId="5EF0AE31" w14:textId="249CD8D0" w:rsidR="003021BE" w:rsidRPr="003021BE" w:rsidRDefault="00B835F7" w:rsidP="00C575FA">
      <w:pPr>
        <w:pStyle w:val="Paragraphe"/>
        <w:spacing w:line="280" w:lineRule="exact"/>
      </w:pPr>
      <w:r>
        <w:lastRenderedPageBreak/>
        <w:t>En l’espèce, rappelons</w:t>
      </w:r>
      <w:r w:rsidR="003021BE" w:rsidRPr="003021BE">
        <w:t xml:space="preserve"> d’abord que le juge était saisi d’une requête en </w:t>
      </w:r>
      <w:r w:rsidR="00933781">
        <w:t>rejet</w:t>
      </w:r>
      <w:r w:rsidR="00933781" w:rsidRPr="003021BE">
        <w:t xml:space="preserve"> </w:t>
      </w:r>
      <w:r w:rsidR="003021BE" w:rsidRPr="003021BE">
        <w:t>et qu’il devait, en conséquence, faire preuve de prudence</w:t>
      </w:r>
      <w:r w:rsidR="003021BE" w:rsidRPr="003021BE">
        <w:rPr>
          <w:vertAlign w:val="superscript"/>
        </w:rPr>
        <w:footnoteReference w:id="23"/>
      </w:r>
      <w:r w:rsidR="003021BE" w:rsidRPr="003021BE">
        <w:t xml:space="preserve"> et ne rejeter les recours que s’ils étaient incontestablement prescrits.</w:t>
      </w:r>
    </w:p>
    <w:p w14:paraId="59E5C01B" w14:textId="49FF30D7" w:rsidR="007321B1" w:rsidRDefault="003021BE" w:rsidP="00C575FA">
      <w:pPr>
        <w:pStyle w:val="Paragraphe"/>
        <w:spacing w:line="280" w:lineRule="exact"/>
      </w:pPr>
      <w:r w:rsidRPr="003021BE">
        <w:t xml:space="preserve">Devant </w:t>
      </w:r>
      <w:r w:rsidR="003E5756">
        <w:t>la</w:t>
      </w:r>
      <w:r w:rsidR="001B0547">
        <w:t xml:space="preserve"> </w:t>
      </w:r>
      <w:r w:rsidR="00B835F7">
        <w:t>Cour</w:t>
      </w:r>
      <w:r w:rsidRPr="003021BE">
        <w:t xml:space="preserve">, les intimés soutiennent que la règle de la suspension de la prescription ne s’applique pas puisque, d’une part, il n’y a pas eu d’accusations dans le cadre du volet criminel et, d’autre part, ce n’est pas le poursuivant qui </w:t>
      </w:r>
      <w:r w:rsidR="00ED0030">
        <w:t xml:space="preserve">est l’objet du recours </w:t>
      </w:r>
      <w:r w:rsidRPr="003021BE">
        <w:t>dans le cadre du volet pénal.</w:t>
      </w:r>
    </w:p>
    <w:p w14:paraId="415C4100" w14:textId="69C16A36" w:rsidR="003B0A07" w:rsidRPr="003B0A07" w:rsidRDefault="003021BE" w:rsidP="00C575FA">
      <w:pPr>
        <w:pStyle w:val="Paragraphe"/>
        <w:spacing w:line="280" w:lineRule="exact"/>
      </w:pPr>
      <w:r w:rsidRPr="003B0A07">
        <w:t>Ce</w:t>
      </w:r>
      <w:r w:rsidR="003C6A14">
        <w:t>s</w:t>
      </w:r>
      <w:r w:rsidRPr="003B0A07">
        <w:t xml:space="preserve"> argument</w:t>
      </w:r>
      <w:r w:rsidR="003C6A14">
        <w:t>s</w:t>
      </w:r>
      <w:r w:rsidRPr="003B0A07">
        <w:t xml:space="preserve"> doi</w:t>
      </w:r>
      <w:r w:rsidR="003C6A14">
        <w:t>ven</w:t>
      </w:r>
      <w:r w:rsidRPr="003B0A07">
        <w:t xml:space="preserve">t échouer. Comme on l’a vu, </w:t>
      </w:r>
      <w:r w:rsidR="003B0A07">
        <w:t xml:space="preserve">la première condition </w:t>
      </w:r>
      <w:r w:rsidR="007321B1">
        <w:t>d’application de la règle de la suspension</w:t>
      </w:r>
      <w:r w:rsidR="003B0A07">
        <w:t xml:space="preserve"> est d’être en présence</w:t>
      </w:r>
      <w:r w:rsidR="003B0A07" w:rsidRPr="003021BE">
        <w:t xml:space="preserve"> </w:t>
      </w:r>
      <w:r w:rsidR="003B0A07">
        <w:t>d’un recours découlant d’une mobilisation prétendument abusive du système judiciaire</w:t>
      </w:r>
      <w:r w:rsidR="003B0A07" w:rsidRPr="003021BE">
        <w:t>.</w:t>
      </w:r>
      <w:r w:rsidR="003B0A07">
        <w:t xml:space="preserve"> Ainsi, </w:t>
      </w:r>
      <w:r w:rsidRPr="003B0A07">
        <w:t>l’application de la règle ne dépend ni du dépôt d’accusations ni de l’identité de la personne poursuivie.</w:t>
      </w:r>
      <w:r w:rsidR="003B0A07">
        <w:t xml:space="preserve"> </w:t>
      </w:r>
    </w:p>
    <w:p w14:paraId="7B4D73DF" w14:textId="41CF468F" w:rsidR="00464047" w:rsidRDefault="008A2A1F" w:rsidP="00C575FA">
      <w:pPr>
        <w:pStyle w:val="Paragraphe"/>
        <w:spacing w:line="280" w:lineRule="exact"/>
      </w:pPr>
      <w:r>
        <w:t>Dès</w:t>
      </w:r>
      <w:r w:rsidR="003021BE" w:rsidRPr="003B0A07">
        <w:t xml:space="preserve"> lors que le jugement final à être rendu</w:t>
      </w:r>
      <w:r w:rsidR="00B03749">
        <w:t xml:space="preserve"> tranchera nécessairement la question de l’abus allégué</w:t>
      </w:r>
      <w:r w:rsidR="003021BE" w:rsidRPr="003B0A07">
        <w:t xml:space="preserve"> et </w:t>
      </w:r>
      <w:r w:rsidR="00B03749">
        <w:t>aura ainsi un</w:t>
      </w:r>
      <w:r w:rsidR="00551EFA">
        <w:t>e incidence</w:t>
      </w:r>
      <w:r w:rsidR="00B03749">
        <w:t xml:space="preserve"> majeur</w:t>
      </w:r>
      <w:r w:rsidR="00551EFA">
        <w:t>e</w:t>
      </w:r>
      <w:r w:rsidR="00B03749">
        <w:t xml:space="preserve"> </w:t>
      </w:r>
      <w:r w:rsidR="003021BE" w:rsidRPr="003B0A07">
        <w:t>sur la cause d’action</w:t>
      </w:r>
      <w:r>
        <w:t>, la suspension de la prescription s’opère</w:t>
      </w:r>
      <w:r w:rsidR="003021BE" w:rsidRPr="003B0A07">
        <w:t>.</w:t>
      </w:r>
      <w:r w:rsidR="00D97C3D">
        <w:t xml:space="preserve"> </w:t>
      </w:r>
      <w:r w:rsidR="003021BE" w:rsidRPr="003021BE">
        <w:t xml:space="preserve">C’est le </w:t>
      </w:r>
      <w:r w:rsidR="003021BE" w:rsidRPr="003B0A07">
        <w:t xml:space="preserve">cas </w:t>
      </w:r>
      <w:r w:rsidR="007321B1">
        <w:t>en l’espèce</w:t>
      </w:r>
      <w:r w:rsidR="003021BE" w:rsidRPr="003B0A07">
        <w:t>.</w:t>
      </w:r>
      <w:r w:rsidR="00464047">
        <w:t xml:space="preserve"> </w:t>
      </w:r>
    </w:p>
    <w:p w14:paraId="77F1F05D" w14:textId="2A73F3AE" w:rsidR="003021BE" w:rsidRPr="008A2A1F" w:rsidRDefault="003021BE" w:rsidP="00C575FA">
      <w:pPr>
        <w:pStyle w:val="Paragraphe"/>
        <w:spacing w:line="280" w:lineRule="exact"/>
        <w:rPr>
          <w:rFonts w:cs="Arial"/>
          <w:szCs w:val="24"/>
        </w:rPr>
      </w:pPr>
      <w:r w:rsidRPr="008A2A1F">
        <w:rPr>
          <w:rFonts w:cs="Arial"/>
          <w:szCs w:val="24"/>
        </w:rPr>
        <w:t xml:space="preserve">OFA reproche aux intimés d’avoir mené une enquête bâclée et incomplète, produit des déclarations </w:t>
      </w:r>
      <w:r w:rsidR="006A4899">
        <w:rPr>
          <w:rFonts w:cs="Arial"/>
          <w:szCs w:val="24"/>
        </w:rPr>
        <w:t>sous serment</w:t>
      </w:r>
      <w:r w:rsidRPr="008A2A1F">
        <w:rPr>
          <w:rFonts w:cs="Arial"/>
          <w:szCs w:val="24"/>
        </w:rPr>
        <w:t xml:space="preserve"> erronées et fausses, obtenu sur </w:t>
      </w:r>
      <w:r w:rsidR="00B835F7" w:rsidRPr="008A2A1F">
        <w:rPr>
          <w:rFonts w:cs="Arial"/>
          <w:szCs w:val="24"/>
        </w:rPr>
        <w:t>le fondement</w:t>
      </w:r>
      <w:r w:rsidRPr="008A2A1F">
        <w:rPr>
          <w:rFonts w:cs="Arial"/>
          <w:szCs w:val="24"/>
        </w:rPr>
        <w:t xml:space="preserve"> de celles-ci des mandats de perquisition et procédé ensuite à des perquisitions abusives dans le but qu’elle cesse ses </w:t>
      </w:r>
      <w:r w:rsidR="00551EFA">
        <w:rPr>
          <w:rFonts w:cs="Arial"/>
          <w:szCs w:val="24"/>
        </w:rPr>
        <w:t>activités</w:t>
      </w:r>
      <w:r w:rsidRPr="008A2A1F">
        <w:rPr>
          <w:rFonts w:cs="Arial"/>
          <w:szCs w:val="24"/>
        </w:rPr>
        <w:t>. Elle ajoute à ces reproches le dépôt d’accusations pénales, qu’elle qualifie d’injustifiées. La cause d’action n’est donc pas un évènement précis, qu’on peut isoler</w:t>
      </w:r>
      <w:r w:rsidR="008A2A1F" w:rsidRPr="000F79CB">
        <w:rPr>
          <w:rStyle w:val="cf01"/>
          <w:rFonts w:ascii="Arial" w:hAnsi="Arial" w:cs="Arial"/>
          <w:sz w:val="24"/>
          <w:szCs w:val="24"/>
        </w:rPr>
        <w:t xml:space="preserve">. </w:t>
      </w:r>
      <w:r w:rsidR="004325AE">
        <w:rPr>
          <w:rStyle w:val="cf01"/>
          <w:rFonts w:ascii="Arial" w:hAnsi="Arial" w:cs="Arial"/>
          <w:sz w:val="24"/>
          <w:szCs w:val="24"/>
        </w:rPr>
        <w:t>Ainsi, l</w:t>
      </w:r>
      <w:r w:rsidR="008A2A1F" w:rsidRPr="000F79CB">
        <w:rPr>
          <w:rStyle w:val="cf01"/>
          <w:rFonts w:ascii="Arial" w:hAnsi="Arial" w:cs="Arial"/>
          <w:sz w:val="24"/>
          <w:szCs w:val="24"/>
        </w:rPr>
        <w:t xml:space="preserve">e </w:t>
      </w:r>
      <w:r w:rsidR="004325AE">
        <w:rPr>
          <w:rStyle w:val="cf01"/>
          <w:rFonts w:ascii="Arial" w:hAnsi="Arial" w:cs="Arial"/>
          <w:sz w:val="24"/>
          <w:szCs w:val="24"/>
        </w:rPr>
        <w:t xml:space="preserve">« </w:t>
      </w:r>
      <w:r w:rsidR="008A2A1F" w:rsidRPr="000F79CB">
        <w:rPr>
          <w:rStyle w:val="cf01"/>
          <w:rFonts w:ascii="Arial" w:hAnsi="Arial" w:cs="Arial"/>
          <w:sz w:val="24"/>
          <w:szCs w:val="24"/>
        </w:rPr>
        <w:t xml:space="preserve">jugement </w:t>
      </w:r>
      <w:r w:rsidR="004325AE">
        <w:rPr>
          <w:rStyle w:val="cf01"/>
          <w:rFonts w:ascii="Arial" w:hAnsi="Arial" w:cs="Arial"/>
          <w:sz w:val="24"/>
          <w:szCs w:val="24"/>
        </w:rPr>
        <w:t>final</w:t>
      </w:r>
      <w:r w:rsidR="004325AE" w:rsidRPr="000F79CB">
        <w:rPr>
          <w:rStyle w:val="cf01"/>
          <w:rFonts w:ascii="Arial" w:hAnsi="Arial" w:cs="Arial"/>
          <w:sz w:val="24"/>
          <w:szCs w:val="24"/>
        </w:rPr>
        <w:t xml:space="preserve"> </w:t>
      </w:r>
      <w:r w:rsidR="004325AE">
        <w:rPr>
          <w:rStyle w:val="cf01"/>
          <w:rFonts w:ascii="Arial" w:hAnsi="Arial" w:cs="Arial"/>
          <w:sz w:val="24"/>
          <w:szCs w:val="24"/>
        </w:rPr>
        <w:t xml:space="preserve">à être rendu » </w:t>
      </w:r>
      <w:r w:rsidR="008A2A1F" w:rsidRPr="000F79CB">
        <w:rPr>
          <w:rStyle w:val="cf01"/>
          <w:rFonts w:ascii="Arial" w:hAnsi="Arial" w:cs="Arial"/>
          <w:sz w:val="24"/>
          <w:szCs w:val="24"/>
        </w:rPr>
        <w:t xml:space="preserve">sur </w:t>
      </w:r>
      <w:r w:rsidR="004325AE">
        <w:rPr>
          <w:rStyle w:val="cf01"/>
          <w:rFonts w:ascii="Arial" w:hAnsi="Arial" w:cs="Arial"/>
          <w:sz w:val="24"/>
          <w:szCs w:val="24"/>
        </w:rPr>
        <w:t>des</w:t>
      </w:r>
      <w:r w:rsidR="004325AE" w:rsidRPr="000F79CB">
        <w:rPr>
          <w:rStyle w:val="cf01"/>
          <w:rFonts w:ascii="Arial" w:hAnsi="Arial" w:cs="Arial"/>
          <w:sz w:val="24"/>
          <w:szCs w:val="24"/>
        </w:rPr>
        <w:t xml:space="preserve"> </w:t>
      </w:r>
      <w:r w:rsidR="008A2A1F" w:rsidRPr="000F79CB">
        <w:rPr>
          <w:rStyle w:val="cf01"/>
          <w:rFonts w:ascii="Arial" w:hAnsi="Arial" w:cs="Arial"/>
          <w:sz w:val="24"/>
          <w:szCs w:val="24"/>
        </w:rPr>
        <w:t xml:space="preserve">accusations </w:t>
      </w:r>
      <w:r w:rsidR="004325AE">
        <w:rPr>
          <w:rStyle w:val="cf01"/>
          <w:rFonts w:ascii="Arial" w:hAnsi="Arial" w:cs="Arial"/>
          <w:sz w:val="24"/>
          <w:szCs w:val="24"/>
        </w:rPr>
        <w:t>se serait nécessairement penché en détail sur le déroulement de l’enquête et</w:t>
      </w:r>
      <w:r w:rsidR="008A2A1F" w:rsidRPr="000F79CB">
        <w:rPr>
          <w:rStyle w:val="cf01"/>
          <w:rFonts w:ascii="Arial" w:hAnsi="Arial" w:cs="Arial"/>
          <w:sz w:val="24"/>
          <w:szCs w:val="24"/>
        </w:rPr>
        <w:t xml:space="preserve"> aura</w:t>
      </w:r>
      <w:r w:rsidR="004325AE">
        <w:rPr>
          <w:rStyle w:val="cf01"/>
          <w:rFonts w:ascii="Arial" w:hAnsi="Arial" w:cs="Arial"/>
          <w:sz w:val="24"/>
          <w:szCs w:val="24"/>
        </w:rPr>
        <w:t>it</w:t>
      </w:r>
      <w:r w:rsidR="008A2A1F" w:rsidRPr="000F79CB">
        <w:rPr>
          <w:rStyle w:val="cf01"/>
          <w:rFonts w:ascii="Arial" w:hAnsi="Arial" w:cs="Arial"/>
          <w:sz w:val="24"/>
          <w:szCs w:val="24"/>
        </w:rPr>
        <w:t xml:space="preserve"> nécessairement </w:t>
      </w:r>
      <w:r w:rsidR="004325AE">
        <w:rPr>
          <w:rStyle w:val="cf01"/>
          <w:rFonts w:ascii="Arial" w:hAnsi="Arial" w:cs="Arial"/>
          <w:sz w:val="24"/>
          <w:szCs w:val="24"/>
        </w:rPr>
        <w:t xml:space="preserve">eu </w:t>
      </w:r>
      <w:r w:rsidR="008A2A1F" w:rsidRPr="000F79CB">
        <w:rPr>
          <w:rStyle w:val="cf01"/>
          <w:rFonts w:ascii="Arial" w:hAnsi="Arial" w:cs="Arial"/>
          <w:sz w:val="24"/>
          <w:szCs w:val="24"/>
        </w:rPr>
        <w:t>un</w:t>
      </w:r>
      <w:r w:rsidR="00551EFA">
        <w:rPr>
          <w:rStyle w:val="cf01"/>
          <w:rFonts w:ascii="Arial" w:hAnsi="Arial" w:cs="Arial"/>
          <w:sz w:val="24"/>
          <w:szCs w:val="24"/>
        </w:rPr>
        <w:t>e incidence</w:t>
      </w:r>
      <w:r w:rsidR="008A2A1F" w:rsidRPr="000F79CB">
        <w:rPr>
          <w:rStyle w:val="cf01"/>
          <w:rFonts w:ascii="Arial" w:hAnsi="Arial" w:cs="Arial"/>
          <w:sz w:val="24"/>
          <w:szCs w:val="24"/>
        </w:rPr>
        <w:t xml:space="preserve"> </w:t>
      </w:r>
      <w:r w:rsidR="004325AE">
        <w:rPr>
          <w:rStyle w:val="cf01"/>
          <w:rFonts w:ascii="Arial" w:hAnsi="Arial" w:cs="Arial"/>
          <w:sz w:val="24"/>
          <w:szCs w:val="24"/>
        </w:rPr>
        <w:t>majeur</w:t>
      </w:r>
      <w:r w:rsidR="00551EFA">
        <w:rPr>
          <w:rStyle w:val="cf01"/>
          <w:rFonts w:ascii="Arial" w:hAnsi="Arial" w:cs="Arial"/>
          <w:sz w:val="24"/>
          <w:szCs w:val="24"/>
        </w:rPr>
        <w:t>e</w:t>
      </w:r>
      <w:r w:rsidR="004325AE">
        <w:rPr>
          <w:rStyle w:val="cf01"/>
          <w:rFonts w:ascii="Arial" w:hAnsi="Arial" w:cs="Arial"/>
          <w:sz w:val="24"/>
          <w:szCs w:val="24"/>
        </w:rPr>
        <w:t xml:space="preserve"> sur</w:t>
      </w:r>
      <w:r w:rsidR="008A2A1F" w:rsidRPr="000F79CB">
        <w:rPr>
          <w:rStyle w:val="cf01"/>
          <w:rFonts w:ascii="Arial" w:hAnsi="Arial" w:cs="Arial"/>
          <w:sz w:val="24"/>
          <w:szCs w:val="24"/>
        </w:rPr>
        <w:t xml:space="preserve"> la cause d’action</w:t>
      </w:r>
      <w:r w:rsidR="004325AE">
        <w:rPr>
          <w:rStyle w:val="cf01"/>
          <w:rFonts w:ascii="Arial" w:hAnsi="Arial" w:cs="Arial"/>
          <w:sz w:val="24"/>
          <w:szCs w:val="24"/>
        </w:rPr>
        <w:t xml:space="preserve"> d’OFA</w:t>
      </w:r>
      <w:r w:rsidR="008A2A1F" w:rsidRPr="000F79CB">
        <w:rPr>
          <w:rStyle w:val="cf01"/>
          <w:rFonts w:ascii="Arial" w:hAnsi="Arial" w:cs="Arial"/>
          <w:sz w:val="24"/>
          <w:szCs w:val="24"/>
        </w:rPr>
        <w:t>.</w:t>
      </w:r>
    </w:p>
    <w:p w14:paraId="179F1D4B" w14:textId="43147D27" w:rsidR="003021BE" w:rsidRPr="003021BE" w:rsidRDefault="007F0904" w:rsidP="00C575FA">
      <w:pPr>
        <w:pStyle w:val="Paragraphe"/>
        <w:spacing w:line="280" w:lineRule="exact"/>
      </w:pPr>
      <w:r>
        <w:rPr>
          <w:lang w:eastAsia="fr-CA"/>
        </w:rPr>
        <w:t>C</w:t>
      </w:r>
      <w:r w:rsidR="003021BE" w:rsidRPr="003021BE">
        <w:t xml:space="preserve">ertes, aucune accusation criminelle n’a finalement été déposée contre OFA, mais jusqu’à ce qu’elle soit informée que le DPCP n’autorisait pas leur dépôt, </w:t>
      </w:r>
      <w:r w:rsidR="006431B5">
        <w:t xml:space="preserve">c’est-à-dire </w:t>
      </w:r>
      <w:r w:rsidR="003021BE" w:rsidRPr="003021BE">
        <w:t xml:space="preserve">en juin 2018, </w:t>
      </w:r>
      <w:r w:rsidR="00551EFA">
        <w:t>elle</w:t>
      </w:r>
      <w:r w:rsidR="003021BE" w:rsidRPr="003021BE">
        <w:t xml:space="preserve"> pouvait</w:t>
      </w:r>
      <w:r w:rsidR="00666E5D">
        <w:t xml:space="preserve"> raisonnablement</w:t>
      </w:r>
      <w:r w:rsidR="003021BE" w:rsidRPr="003021BE">
        <w:t xml:space="preserve"> s’attendre à ce que de telles accusations soient déposées et considérer qu’elle n’avait pas à entreprendre son recours en dommages</w:t>
      </w:r>
      <w:r w:rsidR="00666E5D">
        <w:t>-intérêts</w:t>
      </w:r>
      <w:r w:rsidR="003021BE" w:rsidRPr="003021BE">
        <w:t xml:space="preserve"> contre la SQ et ses agents avant qu’elles ne soient tranchées.</w:t>
      </w:r>
      <w:r w:rsidR="00215F22">
        <w:t xml:space="preserve"> </w:t>
      </w:r>
    </w:p>
    <w:p w14:paraId="4E338350" w14:textId="0111F4F5" w:rsidR="003021BE" w:rsidRDefault="003021BE" w:rsidP="00C575FA">
      <w:pPr>
        <w:pStyle w:val="Paragraphe"/>
        <w:spacing w:line="280" w:lineRule="exact"/>
      </w:pPr>
      <w:r w:rsidRPr="003021BE">
        <w:t xml:space="preserve">Le fait qu’ultimement ces accusations </w:t>
      </w:r>
      <w:r w:rsidR="006A4899" w:rsidRPr="003021BE">
        <w:t>n’</w:t>
      </w:r>
      <w:r w:rsidR="006A4899">
        <w:t>o</w:t>
      </w:r>
      <w:r w:rsidR="006A4899" w:rsidRPr="003021BE">
        <w:t xml:space="preserve">nt </w:t>
      </w:r>
      <w:r w:rsidRPr="003021BE">
        <w:t xml:space="preserve">pas été déposées ne change rien, car on ne peut, rétrospectivement, imputer à l’appelante la connaissance d’un fait qui n’était pas encore survenu. </w:t>
      </w:r>
      <w:r w:rsidR="00464047">
        <w:t>Ainsi, le</w:t>
      </w:r>
      <w:r w:rsidR="00464047" w:rsidRPr="003021BE">
        <w:t xml:space="preserve"> juge de première instance</w:t>
      </w:r>
      <w:r w:rsidR="00464047">
        <w:t xml:space="preserve"> a erré en fixant</w:t>
      </w:r>
      <w:r w:rsidR="00464047" w:rsidRPr="003021BE">
        <w:t xml:space="preserve"> le point de départ de la prescription du recours contre la SQ et ses agents au moment où les documents relatifs aux perquisitions ont été communiqués à OFA</w:t>
      </w:r>
      <w:r w:rsidR="00666E5D">
        <w:rPr>
          <w:rStyle w:val="Appelnotedebasdep"/>
        </w:rPr>
        <w:footnoteReference w:id="24"/>
      </w:r>
      <w:r w:rsidR="00464047">
        <w:t>.</w:t>
      </w:r>
    </w:p>
    <w:p w14:paraId="2E5416E9" w14:textId="750F10DE" w:rsidR="00200879" w:rsidRPr="003021BE" w:rsidRDefault="007F0904" w:rsidP="00C575FA">
      <w:pPr>
        <w:pStyle w:val="Paragraphe"/>
        <w:spacing w:line="280" w:lineRule="exact"/>
      </w:pPr>
      <w:r>
        <w:lastRenderedPageBreak/>
        <w:t>Il</w:t>
      </w:r>
      <w:r w:rsidR="00200879" w:rsidRPr="003021BE">
        <w:t xml:space="preserve"> faut </w:t>
      </w:r>
      <w:r>
        <w:t xml:space="preserve">plutôt </w:t>
      </w:r>
      <w:r w:rsidR="00200879" w:rsidRPr="003021BE">
        <w:t xml:space="preserve">retenir que </w:t>
      </w:r>
      <w:r>
        <w:t>l</w:t>
      </w:r>
      <w:r w:rsidR="00200879" w:rsidRPr="003021BE">
        <w:t xml:space="preserve">e moment survient lorsqu’elle est informée que le DPCP n’autorisera pas le dépôt d’accusations. OFA </w:t>
      </w:r>
      <w:r>
        <w:t xml:space="preserve">précise qu’elle obtient cette information en </w:t>
      </w:r>
      <w:r w:rsidR="00200879" w:rsidRPr="003021BE">
        <w:t>juin</w:t>
      </w:r>
      <w:r w:rsidR="00E10BAA">
        <w:t xml:space="preserve"> 2018</w:t>
      </w:r>
      <w:r>
        <w:t xml:space="preserve">. Même si l’on retient la date la plus favorable aux intimés dans ce mois, soit </w:t>
      </w:r>
      <w:r w:rsidR="00200879" w:rsidRPr="003021BE">
        <w:t>le 1</w:t>
      </w:r>
      <w:r w:rsidR="00200879" w:rsidRPr="003021BE">
        <w:rPr>
          <w:vertAlign w:val="superscript"/>
        </w:rPr>
        <w:t>er</w:t>
      </w:r>
      <w:r w:rsidR="00200879" w:rsidRPr="003021BE">
        <w:t> juin 2018</w:t>
      </w:r>
      <w:r w:rsidR="007321B1">
        <w:t xml:space="preserve">, </w:t>
      </w:r>
      <w:r w:rsidR="00200879" w:rsidRPr="003021BE">
        <w:t xml:space="preserve">la prescription extinctive aurait normalement été acquise </w:t>
      </w:r>
      <w:r w:rsidR="00DD6D64">
        <w:t>en juin</w:t>
      </w:r>
      <w:r w:rsidR="00DD6D64" w:rsidRPr="003021BE">
        <w:t xml:space="preserve"> </w:t>
      </w:r>
      <w:r w:rsidR="00200879" w:rsidRPr="003021BE">
        <w:t xml:space="preserve">2021. </w:t>
      </w:r>
    </w:p>
    <w:p w14:paraId="6AFFA21D" w14:textId="5CB11C85" w:rsidR="00200879" w:rsidRPr="003021BE" w:rsidRDefault="007F0904" w:rsidP="00C575FA">
      <w:pPr>
        <w:pStyle w:val="Paragraphe"/>
        <w:spacing w:line="280" w:lineRule="exact"/>
      </w:pPr>
      <w:r>
        <w:t xml:space="preserve">Cependant, la pandémie de la COVID-19 ayant suspendu la </w:t>
      </w:r>
      <w:r w:rsidR="00200879" w:rsidRPr="003021BE">
        <w:t xml:space="preserve">prescription du 15 mars 2020 au 31 août 2020, </w:t>
      </w:r>
      <w:r>
        <w:t>la prescription a été acquise seulement en septembre 2021, soit après l’introduction du recours le 16 août 2021. Le recours n’est donc pas prescrit quant au volet criminel</w:t>
      </w:r>
      <w:r w:rsidR="00200879" w:rsidRPr="003021BE">
        <w:t xml:space="preserve">. </w:t>
      </w:r>
    </w:p>
    <w:p w14:paraId="39EA3E2B" w14:textId="23FAF419" w:rsidR="003021BE" w:rsidRPr="003021BE" w:rsidRDefault="003021BE" w:rsidP="00C575FA">
      <w:pPr>
        <w:pStyle w:val="Paragraphe"/>
        <w:spacing w:line="280" w:lineRule="exact"/>
      </w:pPr>
      <w:r w:rsidRPr="003021BE">
        <w:t>La situation est différente en ce qui concerne le recours en dommages</w:t>
      </w:r>
      <w:r w:rsidR="00551EFA">
        <w:t>-intérêts</w:t>
      </w:r>
      <w:r w:rsidRPr="003021BE">
        <w:t xml:space="preserve"> introduit contre le MELCC et son enquêteur</w:t>
      </w:r>
      <w:r w:rsidR="001B0547">
        <w:t>,</w:t>
      </w:r>
      <w:r w:rsidRPr="003021BE">
        <w:t xml:space="preserve"> puisque</w:t>
      </w:r>
      <w:r w:rsidR="001B0547">
        <w:t>,</w:t>
      </w:r>
      <w:r w:rsidRPr="003021BE">
        <w:t xml:space="preserve"> dans ce cas</w:t>
      </w:r>
      <w:r w:rsidR="001B0547">
        <w:t>,</w:t>
      </w:r>
      <w:r w:rsidRPr="003021BE">
        <w:t xml:space="preserve"> des accusations pénales ont été déposées, mais un arrêt des procédures a été ordonné.</w:t>
      </w:r>
      <w:r w:rsidR="007321B1">
        <w:t xml:space="preserve"> Il </w:t>
      </w:r>
      <w:r w:rsidR="00890963">
        <w:t>faut</w:t>
      </w:r>
      <w:r w:rsidR="007321B1">
        <w:t xml:space="preserve"> </w:t>
      </w:r>
      <w:r w:rsidR="00890963">
        <w:t xml:space="preserve">se demander si le jugement qui </w:t>
      </w:r>
      <w:r w:rsidR="00551EFA">
        <w:t>aurait dû</w:t>
      </w:r>
      <w:r w:rsidR="00890963">
        <w:t xml:space="preserve"> être rendu, n’eût été l’arrêt des procédures, </w:t>
      </w:r>
      <w:r w:rsidR="00687453">
        <w:t xml:space="preserve">aurait nécessairement eu </w:t>
      </w:r>
      <w:r w:rsidR="00890963" w:rsidRPr="000F79CB">
        <w:t>un</w:t>
      </w:r>
      <w:r w:rsidR="00551EFA">
        <w:t>e incidence</w:t>
      </w:r>
      <w:r w:rsidR="00890963" w:rsidRPr="00890963">
        <w:t xml:space="preserve"> sur</w:t>
      </w:r>
      <w:r w:rsidR="00890963" w:rsidRPr="003021BE">
        <w:t xml:space="preserve"> la cause d’action de ce recours.</w:t>
      </w:r>
      <w:r w:rsidR="00890963">
        <w:t xml:space="preserve"> </w:t>
      </w:r>
      <w:r w:rsidR="00687453">
        <w:t>La réponse est</w:t>
      </w:r>
      <w:r w:rsidR="007321B1">
        <w:t xml:space="preserve"> affirmative</w:t>
      </w:r>
      <w:r w:rsidR="00687453">
        <w:t xml:space="preserve"> </w:t>
      </w:r>
      <w:r w:rsidR="007321B1">
        <w:t>et la</w:t>
      </w:r>
      <w:r w:rsidR="00687453">
        <w:t xml:space="preserve"> prescription a donc été suspendue jusqu’au </w:t>
      </w:r>
      <w:r w:rsidR="00890963">
        <w:t>jugement ordonnant l’arrêt des procédures.</w:t>
      </w:r>
    </w:p>
    <w:p w14:paraId="7846F54C" w14:textId="0092137E" w:rsidR="003021BE" w:rsidRPr="003021BE" w:rsidRDefault="00687453" w:rsidP="00C575FA">
      <w:pPr>
        <w:pStyle w:val="Paragraphe"/>
        <w:spacing w:line="280" w:lineRule="exact"/>
      </w:pPr>
      <w:r>
        <w:t xml:space="preserve">Le </w:t>
      </w:r>
      <w:r w:rsidR="00464047">
        <w:t xml:space="preserve">juge </w:t>
      </w:r>
      <w:r>
        <w:t xml:space="preserve">commet donc </w:t>
      </w:r>
      <w:r w:rsidR="004B22C6">
        <w:t>une erreur</w:t>
      </w:r>
      <w:r>
        <w:t xml:space="preserve"> lorsqu’il </w:t>
      </w:r>
      <w:r w:rsidR="00464047">
        <w:t xml:space="preserve">fixe le point de départ de la prescription </w:t>
      </w:r>
      <w:r w:rsidR="003021BE" w:rsidRPr="003021BE">
        <w:t>au moment de la divulgation de la preuve</w:t>
      </w:r>
      <w:r w:rsidR="00DE28C3">
        <w:rPr>
          <w:rStyle w:val="Appelnotedebasdep"/>
        </w:rPr>
        <w:footnoteReference w:id="25"/>
      </w:r>
      <w:r w:rsidR="003021BE" w:rsidRPr="003021BE">
        <w:t>.</w:t>
      </w:r>
      <w:r w:rsidR="007321B1">
        <w:t xml:space="preserve"> </w:t>
      </w:r>
      <w:r w:rsidR="003021BE" w:rsidRPr="003021BE">
        <w:t xml:space="preserve">Ce n’est </w:t>
      </w:r>
      <w:r>
        <w:t xml:space="preserve">qu’au moment où le jugement sur l’arrêt des procédures est rendu </w:t>
      </w:r>
      <w:r w:rsidR="003021BE" w:rsidRPr="003021BE">
        <w:t xml:space="preserve">que le risque de jugement contradictoire est écarté et que l’appelante a su ou </w:t>
      </w:r>
      <w:r w:rsidR="00551EFA">
        <w:t>aurait dû</w:t>
      </w:r>
      <w:r w:rsidR="003021BE" w:rsidRPr="003021BE">
        <w:t xml:space="preserve"> savoir qu’aucun jugement ne se prononcerait sur l’abus qu’elle reproche aux intimés</w:t>
      </w:r>
      <w:r w:rsidR="003021BE" w:rsidRPr="003021BE">
        <w:rPr>
          <w:vertAlign w:val="superscript"/>
        </w:rPr>
        <w:footnoteReference w:id="26"/>
      </w:r>
      <w:r w:rsidR="003021BE" w:rsidRPr="003021BE">
        <w:t>.</w:t>
      </w:r>
    </w:p>
    <w:p w14:paraId="3566F5F1" w14:textId="1CB6E863" w:rsidR="003021BE" w:rsidRPr="003021BE" w:rsidRDefault="003021BE" w:rsidP="00C575FA">
      <w:pPr>
        <w:pStyle w:val="Paragraphe"/>
        <w:spacing w:line="280" w:lineRule="exact"/>
      </w:pPr>
      <w:r w:rsidRPr="003021BE">
        <w:t xml:space="preserve">Le jugement ordonnant l’arrêt des procédures ayant été rendu le 21 novembre 2018, il est devenu final </w:t>
      </w:r>
      <w:r w:rsidR="003E486D">
        <w:t>uniquement après l’expiration du délai d’appel de 30 jours</w:t>
      </w:r>
      <w:r w:rsidR="003E486D">
        <w:rPr>
          <w:rStyle w:val="Appelnotedebasdep"/>
        </w:rPr>
        <w:footnoteReference w:id="27"/>
      </w:r>
      <w:r w:rsidRPr="003021BE">
        <w:t>, date à laquelle la prescription de trois ans a commencé à courir.</w:t>
      </w:r>
      <w:r w:rsidR="007321B1">
        <w:t xml:space="preserve"> </w:t>
      </w:r>
      <w:r w:rsidRPr="003021BE">
        <w:t xml:space="preserve">Encore ici, le recours de l’appelante ayant été intenté le 16 août 2021, le juge ne pouvait, à ce stade, conclure qu’il </w:t>
      </w:r>
      <w:r w:rsidR="006A4899">
        <w:t>était</w:t>
      </w:r>
      <w:r w:rsidRPr="003021BE">
        <w:t xml:space="preserve"> prescrit. </w:t>
      </w:r>
    </w:p>
    <w:p w14:paraId="7547B52F" w14:textId="0FBBB249" w:rsidR="005C1CCD" w:rsidRPr="005C1CCD" w:rsidRDefault="00CF42FB" w:rsidP="00C575FA">
      <w:pPr>
        <w:pStyle w:val="Paragraphe"/>
        <w:spacing w:line="280" w:lineRule="exact"/>
      </w:pPr>
      <w:r>
        <w:t>En somme, l</w:t>
      </w:r>
      <w:r w:rsidR="003021BE" w:rsidRPr="003021BE">
        <w:t>e juge de première instance a commis une erreur révisable en rejetant le recours de l’appelante en ce qui concerne les chefs de réclamation autres que celui pour atteinte à sa réputation.</w:t>
      </w:r>
      <w:r w:rsidR="007321B1">
        <w:t xml:space="preserve"> </w:t>
      </w:r>
      <w:r w:rsidR="003021BE" w:rsidRPr="003021BE">
        <w:t>Il est évidemment possible que l’audition au fond</w:t>
      </w:r>
      <w:r w:rsidR="0029735C">
        <w:t xml:space="preserve"> </w:t>
      </w:r>
      <w:r w:rsidR="003021BE" w:rsidRPr="003021BE">
        <w:t xml:space="preserve">mène à une conclusion différente, mais à ce stade, où, rappelons-le, il faut </w:t>
      </w:r>
      <w:r w:rsidR="006B24AE">
        <w:t>faire preuve de prudence</w:t>
      </w:r>
      <w:r w:rsidR="003021BE" w:rsidRPr="003021BE">
        <w:t>, cette conclusion s’impose</w:t>
      </w:r>
      <w:r w:rsidR="006B24AE">
        <w:rPr>
          <w:rStyle w:val="Appelnotedebasdep"/>
        </w:rPr>
        <w:footnoteReference w:id="28"/>
      </w:r>
      <w:r w:rsidR="003021BE" w:rsidRPr="003021BE">
        <w:t>.</w:t>
      </w:r>
    </w:p>
    <w:p w14:paraId="004A492C" w14:textId="5AFECF33" w:rsidR="003021BE" w:rsidRPr="005C1CCD" w:rsidRDefault="00EC6944" w:rsidP="00694ECE">
      <w:pPr>
        <w:pStyle w:val="Paragraphe"/>
        <w:keepNext/>
        <w:keepLines/>
        <w:numPr>
          <w:ilvl w:val="0"/>
          <w:numId w:val="23"/>
        </w:numPr>
        <w:spacing w:line="280" w:lineRule="exact"/>
        <w:ind w:left="1077" w:hanging="357"/>
        <w:rPr>
          <w:b/>
          <w:bCs/>
        </w:rPr>
      </w:pPr>
      <w:r w:rsidRPr="005C1CCD">
        <w:rPr>
          <w:b/>
          <w:bCs/>
        </w:rPr>
        <w:lastRenderedPageBreak/>
        <w:t xml:space="preserve">L’immunité conférée par la </w:t>
      </w:r>
      <w:r w:rsidRPr="005C1CCD">
        <w:rPr>
          <w:b/>
          <w:bCs/>
          <w:i/>
          <w:iCs/>
        </w:rPr>
        <w:t>Loi sur la qualité de l’environnement</w:t>
      </w:r>
    </w:p>
    <w:p w14:paraId="546D33B7" w14:textId="1BDDC639" w:rsidR="003021BE" w:rsidRPr="003021BE" w:rsidRDefault="003021BE" w:rsidP="00C575FA">
      <w:pPr>
        <w:pStyle w:val="Paragraphe"/>
        <w:spacing w:line="280" w:lineRule="exact"/>
      </w:pPr>
      <w:r w:rsidRPr="003021BE">
        <w:t xml:space="preserve">Le juge a eu raison, toutefois, de rejeter le recours en ce qui concerne l’intimé </w:t>
      </w:r>
      <w:r w:rsidR="00042646">
        <w:t>Charette</w:t>
      </w:r>
      <w:r w:rsidRPr="003021BE">
        <w:t>.</w:t>
      </w:r>
      <w:r w:rsidR="007321B1">
        <w:t xml:space="preserve"> </w:t>
      </w:r>
      <w:r w:rsidR="00B835F7">
        <w:t>Il</w:t>
      </w:r>
      <w:r w:rsidRPr="003021BE">
        <w:t xml:space="preserve"> n’a commis aucune erreur en concluant que l’article</w:t>
      </w:r>
      <w:r w:rsidR="001B0547">
        <w:t xml:space="preserve"> </w:t>
      </w:r>
      <w:r w:rsidRPr="003021BE">
        <w:t xml:space="preserve">121.1 </w:t>
      </w:r>
      <w:r w:rsidRPr="007321B1">
        <w:rPr>
          <w:i/>
          <w:iCs/>
        </w:rPr>
        <w:t>LQE</w:t>
      </w:r>
      <w:r w:rsidRPr="003021BE">
        <w:t xml:space="preserve">, en vigueur au moment des faits, lui conférait une immunité. Cette disposition </w:t>
      </w:r>
      <w:r w:rsidR="00F24971" w:rsidRPr="00694ECE">
        <w:t>prévoyait</w:t>
      </w:r>
      <w:r w:rsidRPr="003021BE">
        <w:t> :</w:t>
      </w:r>
    </w:p>
    <w:p w14:paraId="7C65E3A5" w14:textId="77777777" w:rsidR="003021BE" w:rsidRPr="003021BE" w:rsidRDefault="003021BE" w:rsidP="00C575FA">
      <w:pPr>
        <w:pStyle w:val="Citationenretrait"/>
      </w:pPr>
      <w:r w:rsidRPr="00B835F7">
        <w:t>121.1</w:t>
      </w:r>
      <w:r w:rsidRPr="00B835F7">
        <w:tab/>
      </w:r>
      <w:r w:rsidRPr="003021BE">
        <w:t>Un fonctionnaire, un employé ou une autre personne qui exerce les fonctions visées par l’article 119, 119.1, 120 ou 120.1 ne peut être poursuivi en justice pour les actes qu’il accomplit de bonne foi dans l’exercice de ces fonctions.</w:t>
      </w:r>
    </w:p>
    <w:p w14:paraId="6BDB2DEB" w14:textId="77777777" w:rsidR="003021BE" w:rsidRPr="003021BE" w:rsidRDefault="003021BE" w:rsidP="00C575FA">
      <w:pPr>
        <w:pStyle w:val="Paragraphe"/>
        <w:spacing w:line="280" w:lineRule="exact"/>
      </w:pPr>
      <w:r w:rsidRPr="003021BE">
        <w:t>L’interprétation que le juge en fait est conforme au principe voulant que les termes d’une loi doivent être lus dans leur contexte global en suivant le sens ordinaire et grammatical qui s’harmonise avec l’esprit de la loi, l’objet de la loi et l’intention du législateur</w:t>
      </w:r>
      <w:r w:rsidRPr="003021BE">
        <w:rPr>
          <w:vertAlign w:val="superscript"/>
        </w:rPr>
        <w:footnoteReference w:id="29"/>
      </w:r>
      <w:r w:rsidRPr="003021BE">
        <w:t>. </w:t>
      </w:r>
    </w:p>
    <w:p w14:paraId="5187B059" w14:textId="26112321" w:rsidR="00B835F7" w:rsidRDefault="003021BE" w:rsidP="00C575FA">
      <w:pPr>
        <w:pStyle w:val="Paragraphe"/>
        <w:spacing w:line="280" w:lineRule="exact"/>
      </w:pPr>
      <w:r w:rsidRPr="003021BE">
        <w:t>Il a également raison lorsqu’il conclut que l’appelante n’allègue pas de faits pouvant mener à la conclusion que M.</w:t>
      </w:r>
      <w:r w:rsidR="001B0547">
        <w:t xml:space="preserve"> </w:t>
      </w:r>
      <w:r w:rsidR="00042646">
        <w:t>Charette</w:t>
      </w:r>
      <w:r w:rsidRPr="003021BE">
        <w:t xml:space="preserve"> a agi de mauvaise foi et ainsi perdu le bénéfice de cette immunité. </w:t>
      </w:r>
    </w:p>
    <w:p w14:paraId="2F680573" w14:textId="207D886D" w:rsidR="005C1CCD" w:rsidRPr="003E5756" w:rsidRDefault="003021BE" w:rsidP="00C575FA">
      <w:pPr>
        <w:pStyle w:val="Paragraphe"/>
        <w:spacing w:line="280" w:lineRule="exact"/>
      </w:pPr>
      <w:r w:rsidRPr="003021BE">
        <w:t xml:space="preserve">OFA lui reproche, certes, d’avoir soumis un dossier incomplet au DPCP, d’avoir participé aux perquisitions et de ne pas avoir eu de motifs raisonnables de croire qu’elle avait commis les infractions pénales qui lui </w:t>
      </w:r>
      <w:r w:rsidR="001C53B9">
        <w:t>étaient</w:t>
      </w:r>
      <w:r w:rsidRPr="003021BE">
        <w:t xml:space="preserve"> reprochées, mais sans par ailleurs alléguer quelque fait que ce soit permettant de conclure qu’il a agi de mauvaise foi. Or, la mauvaise foi est essentielle pour passer outre l’immunité que la loi lui </w:t>
      </w:r>
      <w:r w:rsidR="00B835F7">
        <w:t>octroie</w:t>
      </w:r>
      <w:r w:rsidRPr="003021BE">
        <w:t>.</w:t>
      </w:r>
      <w:bookmarkStart w:id="11" w:name="_Hlk216684767"/>
    </w:p>
    <w:p w14:paraId="5F8A8079" w14:textId="2EB34B99" w:rsidR="003021BE" w:rsidRPr="003021BE" w:rsidRDefault="00B835F7" w:rsidP="00C575FA">
      <w:pPr>
        <w:pStyle w:val="Paragraphe"/>
        <w:numPr>
          <w:ilvl w:val="0"/>
          <w:numId w:val="0"/>
        </w:numPr>
        <w:spacing w:line="280" w:lineRule="exact"/>
      </w:pPr>
      <w:r w:rsidRPr="00B835F7">
        <w:rPr>
          <w:b/>
          <w:bCs/>
        </w:rPr>
        <w:t>POUR CES MOTIFS, LA COUR :</w:t>
      </w:r>
    </w:p>
    <w:bookmarkEnd w:id="11"/>
    <w:p w14:paraId="75F8B618" w14:textId="7D276BDA" w:rsidR="00B71D7A" w:rsidRPr="00B71D7A" w:rsidRDefault="00B71D7A" w:rsidP="00C575FA">
      <w:pPr>
        <w:pStyle w:val="Paragraphe"/>
        <w:spacing w:line="280" w:lineRule="exact"/>
        <w:rPr>
          <w:rFonts w:cs="Arial"/>
        </w:rPr>
      </w:pPr>
      <w:r w:rsidRPr="00B71D7A">
        <w:rPr>
          <w:b/>
          <w:bCs/>
        </w:rPr>
        <w:t>ACCUEILLE</w:t>
      </w:r>
      <w:r w:rsidRPr="00B71D7A">
        <w:t xml:space="preserve"> en partie l’appel, sans frais de justice vu le sort du pourvoi; </w:t>
      </w:r>
    </w:p>
    <w:p w14:paraId="4E454491" w14:textId="0BF50AAB" w:rsidR="00736195" w:rsidRPr="00B71D7A" w:rsidRDefault="00736195" w:rsidP="00C575FA">
      <w:pPr>
        <w:pStyle w:val="Paragraphe"/>
        <w:spacing w:line="280" w:lineRule="exact"/>
        <w:rPr>
          <w:rFonts w:cs="Arial"/>
        </w:rPr>
      </w:pPr>
      <w:r w:rsidRPr="00B71D7A">
        <w:rPr>
          <w:rFonts w:cs="Arial"/>
          <w:b/>
          <w:bCs/>
        </w:rPr>
        <w:t>INFIRME</w:t>
      </w:r>
      <w:r w:rsidRPr="00B71D7A">
        <w:rPr>
          <w:rFonts w:cs="Arial"/>
        </w:rPr>
        <w:t xml:space="preserve"> le jugement de première instance et, procédant à rendre le jugement qui aurait dû être rendu, </w:t>
      </w:r>
      <w:r w:rsidRPr="00B71D7A">
        <w:rPr>
          <w:rFonts w:cs="Arial"/>
          <w:b/>
          <w:bCs/>
        </w:rPr>
        <w:t>REMPLACE</w:t>
      </w:r>
      <w:r w:rsidRPr="00B71D7A">
        <w:rPr>
          <w:rFonts w:cs="Arial"/>
        </w:rPr>
        <w:t xml:space="preserve"> les paragraphes 126 </w:t>
      </w:r>
      <w:r w:rsidR="00B71D7A">
        <w:rPr>
          <w:rFonts w:cs="Arial"/>
        </w:rPr>
        <w:t xml:space="preserve">à </w:t>
      </w:r>
      <w:r w:rsidRPr="00B71D7A">
        <w:rPr>
          <w:rFonts w:cs="Arial"/>
        </w:rPr>
        <w:t>12</w:t>
      </w:r>
      <w:r w:rsidR="00B71D7A">
        <w:rPr>
          <w:rFonts w:cs="Arial"/>
        </w:rPr>
        <w:t>8</w:t>
      </w:r>
      <w:r w:rsidRPr="00B71D7A">
        <w:rPr>
          <w:rFonts w:cs="Arial"/>
        </w:rPr>
        <w:t xml:space="preserve"> du dispositif de ce jugement par les suivants :</w:t>
      </w:r>
    </w:p>
    <w:p w14:paraId="526450FB" w14:textId="2683E006" w:rsidR="00736195" w:rsidRPr="00B71D7A" w:rsidRDefault="00736195" w:rsidP="00C575FA">
      <w:pPr>
        <w:pStyle w:val="Paragraphe"/>
        <w:numPr>
          <w:ilvl w:val="0"/>
          <w:numId w:val="0"/>
        </w:numPr>
        <w:spacing w:line="280" w:lineRule="exact"/>
        <w:ind w:left="720"/>
        <w:rPr>
          <w:rFonts w:cs="Arial"/>
        </w:rPr>
      </w:pPr>
      <w:r w:rsidRPr="00B71D7A">
        <w:rPr>
          <w:rFonts w:cs="Arial"/>
        </w:rPr>
        <w:t>[126]</w:t>
      </w:r>
      <w:r w:rsidR="001B0547">
        <w:rPr>
          <w:rFonts w:cs="Arial"/>
        </w:rPr>
        <w:tab/>
      </w:r>
      <w:r w:rsidRPr="00B71D7A">
        <w:rPr>
          <w:rFonts w:cs="Arial"/>
          <w:b/>
          <w:bCs/>
        </w:rPr>
        <w:t>ACCUEILLE</w:t>
      </w:r>
      <w:r w:rsidR="001B0547">
        <w:rPr>
          <w:rFonts w:cs="Arial"/>
        </w:rPr>
        <w:t xml:space="preserve"> </w:t>
      </w:r>
      <w:r w:rsidRPr="00B71D7A">
        <w:rPr>
          <w:rFonts w:cs="Arial"/>
        </w:rPr>
        <w:t>en partie seulement la</w:t>
      </w:r>
      <w:r w:rsidR="001B0547">
        <w:rPr>
          <w:rFonts w:cs="Arial"/>
        </w:rPr>
        <w:t xml:space="preserve"> </w:t>
      </w:r>
      <w:r w:rsidRPr="00B71D7A">
        <w:rPr>
          <w:rFonts w:cs="Arial"/>
          <w:i/>
          <w:iCs/>
        </w:rPr>
        <w:t>Demande des défendeurs en rejet de la demande introductive d’instance de la demanderesse</w:t>
      </w:r>
      <w:r w:rsidRPr="00B71D7A">
        <w:rPr>
          <w:rFonts w:cs="Arial"/>
        </w:rPr>
        <w:t>;</w:t>
      </w:r>
    </w:p>
    <w:p w14:paraId="15FE4267" w14:textId="35A989C6" w:rsidR="005C566E" w:rsidRDefault="00736195" w:rsidP="00C575FA">
      <w:pPr>
        <w:pStyle w:val="Paragraphe"/>
        <w:numPr>
          <w:ilvl w:val="0"/>
          <w:numId w:val="0"/>
        </w:numPr>
        <w:spacing w:line="280" w:lineRule="exact"/>
        <w:ind w:left="720"/>
        <w:rPr>
          <w:rFonts w:cs="Arial"/>
        </w:rPr>
      </w:pPr>
      <w:r w:rsidRPr="00B71D7A">
        <w:rPr>
          <w:rFonts w:cs="Arial"/>
        </w:rPr>
        <w:t>[127]</w:t>
      </w:r>
      <w:r w:rsidR="001B0547">
        <w:rPr>
          <w:rFonts w:cs="Arial"/>
          <w:b/>
          <w:bCs/>
        </w:rPr>
        <w:tab/>
      </w:r>
      <w:r w:rsidRPr="00B71D7A">
        <w:rPr>
          <w:rFonts w:cs="Arial"/>
          <w:b/>
          <w:bCs/>
        </w:rPr>
        <w:t>REJETTE</w:t>
      </w:r>
      <w:r w:rsidR="001B0547">
        <w:rPr>
          <w:rFonts w:cs="Arial"/>
          <w:b/>
          <w:bCs/>
        </w:rPr>
        <w:t xml:space="preserve"> </w:t>
      </w:r>
      <w:r w:rsidRPr="00B71D7A">
        <w:rPr>
          <w:rFonts w:cs="Arial"/>
        </w:rPr>
        <w:t>la</w:t>
      </w:r>
      <w:r w:rsidR="001B0547">
        <w:rPr>
          <w:rFonts w:cs="Arial"/>
        </w:rPr>
        <w:t xml:space="preserve"> </w:t>
      </w:r>
      <w:r w:rsidRPr="00B71D7A">
        <w:rPr>
          <w:rFonts w:cs="Arial"/>
          <w:i/>
          <w:iCs/>
        </w:rPr>
        <w:t>Demande introductive d’instance en dommages-intérêts</w:t>
      </w:r>
      <w:r w:rsidR="001B0547">
        <w:rPr>
          <w:rFonts w:cs="Arial"/>
          <w:i/>
          <w:iCs/>
        </w:rPr>
        <w:t xml:space="preserve"> </w:t>
      </w:r>
      <w:r w:rsidRPr="00B71D7A">
        <w:rPr>
          <w:rFonts w:cs="Arial"/>
        </w:rPr>
        <w:t>en ce</w:t>
      </w:r>
      <w:r w:rsidR="001B0547">
        <w:rPr>
          <w:rFonts w:cs="Arial"/>
        </w:rPr>
        <w:t> </w:t>
      </w:r>
      <w:r w:rsidRPr="00B71D7A">
        <w:rPr>
          <w:rFonts w:cs="Arial"/>
        </w:rPr>
        <w:t xml:space="preserve">qui concerne le défendeur Benoît </w:t>
      </w:r>
      <w:r w:rsidR="00042646">
        <w:rPr>
          <w:rFonts w:cs="Arial"/>
        </w:rPr>
        <w:t>Charette</w:t>
      </w:r>
      <w:r w:rsidRPr="00B71D7A">
        <w:rPr>
          <w:rFonts w:cs="Arial"/>
        </w:rPr>
        <w:t>, avec frais de justice contre la</w:t>
      </w:r>
      <w:r w:rsidR="001B0547">
        <w:rPr>
          <w:rFonts w:cs="Arial"/>
        </w:rPr>
        <w:t> </w:t>
      </w:r>
      <w:r w:rsidRPr="00B71D7A">
        <w:rPr>
          <w:rFonts w:cs="Arial"/>
        </w:rPr>
        <w:t>demanderesse 9299-2742 Québec inc</w:t>
      </w:r>
      <w:r w:rsidR="00B71D7A" w:rsidRPr="00B71D7A">
        <w:rPr>
          <w:rFonts w:cs="Arial"/>
        </w:rPr>
        <w:t>.</w:t>
      </w:r>
      <w:r w:rsidR="005857D1">
        <w:rPr>
          <w:rFonts w:cs="Arial"/>
        </w:rPr>
        <w:t xml:space="preserve"> et </w:t>
      </w:r>
      <w:r w:rsidR="005857D1" w:rsidRPr="005857D1">
        <w:rPr>
          <w:rFonts w:cs="Arial"/>
        </w:rPr>
        <w:t>le volet diffamation de la demande</w:t>
      </w:r>
      <w:r w:rsidR="007D77C0">
        <w:rPr>
          <w:rFonts w:cs="Arial"/>
        </w:rPr>
        <w:t> </w:t>
      </w:r>
      <w:r w:rsidR="005857D1" w:rsidRPr="005857D1">
        <w:rPr>
          <w:rFonts w:cs="Arial"/>
        </w:rPr>
        <w:t>introductive en dommages-intérêts de 9299-2742 Québec inc. daté</w:t>
      </w:r>
      <w:r w:rsidR="005857D1">
        <w:rPr>
          <w:rFonts w:cs="Arial"/>
        </w:rPr>
        <w:t>e</w:t>
      </w:r>
      <w:r w:rsidR="005857D1" w:rsidRPr="005857D1">
        <w:rPr>
          <w:rFonts w:cs="Arial"/>
        </w:rPr>
        <w:t xml:space="preserve"> du 15 août</w:t>
      </w:r>
      <w:r w:rsidR="007D77C0">
        <w:rPr>
          <w:rFonts w:cs="Arial"/>
        </w:rPr>
        <w:t xml:space="preserve"> </w:t>
      </w:r>
      <w:r w:rsidR="005857D1" w:rsidRPr="005857D1">
        <w:rPr>
          <w:rFonts w:cs="Arial"/>
        </w:rPr>
        <w:t>2021</w:t>
      </w:r>
      <w:r w:rsidR="006B6D56">
        <w:rPr>
          <w:rFonts w:cs="Arial"/>
        </w:rPr>
        <w:t>;</w:t>
      </w:r>
    </w:p>
    <w:p w14:paraId="5412C19D" w14:textId="2474EB85" w:rsidR="006B6D56" w:rsidRPr="00B71D7A" w:rsidRDefault="006B6D56" w:rsidP="00694ECE">
      <w:pPr>
        <w:pStyle w:val="Paragraphe"/>
        <w:keepNext/>
        <w:keepLines/>
        <w:numPr>
          <w:ilvl w:val="0"/>
          <w:numId w:val="0"/>
        </w:numPr>
        <w:spacing w:after="240" w:line="280" w:lineRule="exact"/>
        <w:ind w:left="720"/>
        <w:rPr>
          <w:rFonts w:cs="Arial"/>
        </w:rPr>
      </w:pPr>
      <w:r>
        <w:rPr>
          <w:rFonts w:cs="Arial"/>
        </w:rPr>
        <w:lastRenderedPageBreak/>
        <w:t>[12</w:t>
      </w:r>
      <w:r w:rsidR="001A0A7E">
        <w:rPr>
          <w:rFonts w:cs="Arial"/>
        </w:rPr>
        <w:t>8</w:t>
      </w:r>
      <w:r>
        <w:rPr>
          <w:rFonts w:cs="Arial"/>
        </w:rPr>
        <w:t xml:space="preserve">] </w:t>
      </w:r>
      <w:r w:rsidRPr="000F79CB">
        <w:rPr>
          <w:rFonts w:cs="Arial"/>
          <w:b/>
          <w:bCs/>
        </w:rPr>
        <w:t>SANS</w:t>
      </w:r>
      <w:r>
        <w:rPr>
          <w:rFonts w:cs="Arial"/>
        </w:rPr>
        <w:t xml:space="preserve"> frais de justice vu le sort </w:t>
      </w:r>
      <w:r w:rsidR="00303DB4">
        <w:rPr>
          <w:rFonts w:cs="Arial"/>
        </w:rPr>
        <w:t xml:space="preserve">mitigé </w:t>
      </w:r>
      <w:r>
        <w:rPr>
          <w:rFonts w:cs="Arial"/>
        </w:rPr>
        <w:t xml:space="preserve">du pourvoi. </w:t>
      </w: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997"/>
        <w:gridCol w:w="2685"/>
        <w:gridCol w:w="4680"/>
      </w:tblGrid>
      <w:tr w:rsidR="008F364A" w14:paraId="3E261A99" w14:textId="77777777" w:rsidTr="003E3239">
        <w:trPr>
          <w:trHeight w:val="576"/>
        </w:trPr>
        <w:tc>
          <w:tcPr>
            <w:tcW w:w="9362" w:type="dxa"/>
            <w:gridSpan w:val="3"/>
            <w:tcBorders>
              <w:top w:val="nil"/>
              <w:bottom w:val="nil"/>
            </w:tcBorders>
          </w:tcPr>
          <w:p w14:paraId="6A00DCDE" w14:textId="77777777" w:rsidR="008F364A" w:rsidRDefault="008F364A">
            <w:pPr>
              <w:keepNext/>
            </w:pPr>
          </w:p>
        </w:tc>
      </w:tr>
      <w:tr w:rsidR="008F364A" w14:paraId="183029DE" w14:textId="77777777" w:rsidTr="00117914">
        <w:trPr>
          <w:trHeight w:val="283"/>
        </w:trPr>
        <w:tc>
          <w:tcPr>
            <w:tcW w:w="4682" w:type="dxa"/>
            <w:gridSpan w:val="2"/>
            <w:tcBorders>
              <w:top w:val="nil"/>
            </w:tcBorders>
          </w:tcPr>
          <w:p w14:paraId="7DF5EE1F" w14:textId="77777777" w:rsidR="008F364A" w:rsidRDefault="008F364A">
            <w:pPr>
              <w:keepNext/>
            </w:pPr>
            <w:bookmarkStart w:id="12" w:name="Signature2"/>
          </w:p>
        </w:tc>
        <w:tc>
          <w:tcPr>
            <w:tcW w:w="4680" w:type="dxa"/>
            <w:tcBorders>
              <w:top w:val="nil"/>
            </w:tcBorders>
          </w:tcPr>
          <w:p w14:paraId="5EBD1DE1" w14:textId="77777777" w:rsidR="008F364A" w:rsidRDefault="008F364A">
            <w:pPr>
              <w:keepNext/>
            </w:pPr>
          </w:p>
        </w:tc>
      </w:tr>
      <w:tr w:rsidR="008F364A" w14:paraId="5CAD49DB" w14:textId="77777777" w:rsidTr="00117914">
        <w:trPr>
          <w:trHeight w:val="283"/>
        </w:trPr>
        <w:tc>
          <w:tcPr>
            <w:tcW w:w="4682" w:type="dxa"/>
            <w:gridSpan w:val="2"/>
            <w:tcBorders>
              <w:top w:val="nil"/>
              <w:bottom w:val="nil"/>
            </w:tcBorders>
          </w:tcPr>
          <w:p w14:paraId="0AC2D70F" w14:textId="77777777" w:rsidR="008F364A" w:rsidRDefault="008F364A">
            <w:pPr>
              <w:keepNext/>
            </w:pPr>
          </w:p>
        </w:tc>
        <w:tc>
          <w:tcPr>
            <w:tcW w:w="4680" w:type="dxa"/>
            <w:tcBorders>
              <w:top w:val="nil"/>
              <w:bottom w:val="single" w:sz="8" w:space="0" w:color="auto"/>
            </w:tcBorders>
          </w:tcPr>
          <w:p w14:paraId="6FC110C5" w14:textId="77777777" w:rsidR="008F364A" w:rsidRDefault="008F364A">
            <w:pPr>
              <w:keepNext/>
            </w:pPr>
          </w:p>
        </w:tc>
      </w:tr>
      <w:tr w:rsidR="008F364A" w:rsidRPr="00522BCE" w14:paraId="718B005B" w14:textId="77777777" w:rsidTr="00117914">
        <w:trPr>
          <w:trHeight w:val="283"/>
        </w:trPr>
        <w:tc>
          <w:tcPr>
            <w:tcW w:w="4682" w:type="dxa"/>
            <w:gridSpan w:val="2"/>
            <w:tcBorders>
              <w:top w:val="nil"/>
            </w:tcBorders>
          </w:tcPr>
          <w:p w14:paraId="7EF72CCC" w14:textId="77777777" w:rsidR="008F364A" w:rsidRPr="00522BCE" w:rsidRDefault="008F364A">
            <w:pPr>
              <w:keepNext/>
              <w:rPr>
                <w:b/>
                <w:bCs/>
              </w:rPr>
            </w:pPr>
          </w:p>
        </w:tc>
        <w:tc>
          <w:tcPr>
            <w:tcW w:w="4680" w:type="dxa"/>
            <w:tcBorders>
              <w:top w:val="single" w:sz="8" w:space="0" w:color="auto"/>
            </w:tcBorders>
          </w:tcPr>
          <w:p w14:paraId="6B7E90EF" w14:textId="50953074" w:rsidR="008F364A" w:rsidRPr="00485255" w:rsidRDefault="006350AB" w:rsidP="0057363E">
            <w:pPr>
              <w:pStyle w:val="zSoquijlblJuge"/>
              <w:rPr>
                <w:b w:val="0"/>
                <w:bCs/>
              </w:rPr>
            </w:pPr>
            <w:r w:rsidRPr="00485255">
              <w:rPr>
                <w:b w:val="0"/>
                <w:bCs/>
              </w:rPr>
              <w:t>SIMON RUEL, J.C.A.</w:t>
            </w:r>
          </w:p>
        </w:tc>
      </w:tr>
      <w:tr w:rsidR="008F364A" w14:paraId="1CC80A2B" w14:textId="77777777" w:rsidTr="00117914">
        <w:trPr>
          <w:trHeight w:val="283"/>
        </w:trPr>
        <w:tc>
          <w:tcPr>
            <w:tcW w:w="4682" w:type="dxa"/>
            <w:gridSpan w:val="2"/>
            <w:tcBorders>
              <w:top w:val="nil"/>
            </w:tcBorders>
          </w:tcPr>
          <w:p w14:paraId="7C9993AC" w14:textId="1E279516" w:rsidR="008F364A" w:rsidRDefault="008F364A">
            <w:pPr>
              <w:keepNext/>
            </w:pPr>
            <w:bookmarkStart w:id="13" w:name="Signature3"/>
            <w:bookmarkEnd w:id="12"/>
          </w:p>
        </w:tc>
        <w:tc>
          <w:tcPr>
            <w:tcW w:w="4680" w:type="dxa"/>
            <w:tcBorders>
              <w:top w:val="nil"/>
            </w:tcBorders>
          </w:tcPr>
          <w:p w14:paraId="2AC32DFD" w14:textId="77777777" w:rsidR="008F364A" w:rsidRDefault="008F364A">
            <w:pPr>
              <w:keepNext/>
            </w:pPr>
          </w:p>
        </w:tc>
      </w:tr>
      <w:tr w:rsidR="008F364A" w14:paraId="3CDE1911" w14:textId="77777777" w:rsidTr="00117914">
        <w:trPr>
          <w:trHeight w:val="283"/>
        </w:trPr>
        <w:tc>
          <w:tcPr>
            <w:tcW w:w="4682" w:type="dxa"/>
            <w:gridSpan w:val="2"/>
            <w:tcBorders>
              <w:top w:val="nil"/>
              <w:bottom w:val="nil"/>
            </w:tcBorders>
          </w:tcPr>
          <w:p w14:paraId="413AE37F" w14:textId="77777777" w:rsidR="008F364A" w:rsidRDefault="008F364A">
            <w:pPr>
              <w:keepNext/>
            </w:pPr>
          </w:p>
        </w:tc>
        <w:tc>
          <w:tcPr>
            <w:tcW w:w="4680" w:type="dxa"/>
            <w:tcBorders>
              <w:top w:val="nil"/>
              <w:bottom w:val="single" w:sz="8" w:space="0" w:color="auto"/>
            </w:tcBorders>
          </w:tcPr>
          <w:p w14:paraId="0B364ABE" w14:textId="77777777" w:rsidR="008F364A" w:rsidRDefault="008F364A">
            <w:pPr>
              <w:keepNext/>
            </w:pPr>
          </w:p>
        </w:tc>
      </w:tr>
      <w:tr w:rsidR="008F364A" w:rsidRPr="00C2688D" w14:paraId="465FB0B1" w14:textId="77777777" w:rsidTr="00117914">
        <w:trPr>
          <w:trHeight w:val="283"/>
        </w:trPr>
        <w:tc>
          <w:tcPr>
            <w:tcW w:w="4682" w:type="dxa"/>
            <w:gridSpan w:val="2"/>
            <w:tcBorders>
              <w:top w:val="nil"/>
            </w:tcBorders>
          </w:tcPr>
          <w:p w14:paraId="2F7463F0" w14:textId="77777777" w:rsidR="008F364A" w:rsidRPr="007A5D7C" w:rsidRDefault="008F364A">
            <w:pPr>
              <w:keepNext/>
              <w:rPr>
                <w:b/>
                <w:bCs/>
              </w:rPr>
            </w:pPr>
          </w:p>
        </w:tc>
        <w:tc>
          <w:tcPr>
            <w:tcW w:w="4680" w:type="dxa"/>
            <w:tcBorders>
              <w:top w:val="single" w:sz="8" w:space="0" w:color="auto"/>
            </w:tcBorders>
          </w:tcPr>
          <w:p w14:paraId="1F2AC1F6" w14:textId="73920952" w:rsidR="008F364A" w:rsidRPr="00485255" w:rsidRDefault="00D857B1" w:rsidP="0057363E">
            <w:pPr>
              <w:pStyle w:val="zSoquijdatJuge"/>
              <w:rPr>
                <w:b w:val="0"/>
                <w:bCs/>
                <w:lang w:val="en-CA"/>
              </w:rPr>
            </w:pPr>
            <w:r>
              <w:rPr>
                <w:b w:val="0"/>
                <w:bCs/>
              </w:rPr>
              <w:t>JUDITH HARVIE, J.C.A.</w:t>
            </w:r>
          </w:p>
        </w:tc>
      </w:tr>
      <w:bookmarkEnd w:id="13"/>
      <w:tr w:rsidR="005A78BF" w:rsidRPr="00C2688D" w14:paraId="7C61455B" w14:textId="77777777" w:rsidTr="00423DF1">
        <w:tc>
          <w:tcPr>
            <w:tcW w:w="9362" w:type="dxa"/>
            <w:gridSpan w:val="3"/>
          </w:tcPr>
          <w:p w14:paraId="36692FF3" w14:textId="77777777" w:rsidR="005A78BF" w:rsidRDefault="005A78BF" w:rsidP="005A78BF">
            <w:pPr>
              <w:rPr>
                <w:lang w:val="en-CA"/>
              </w:rPr>
            </w:pPr>
          </w:p>
        </w:tc>
      </w:tr>
      <w:tr w:rsidR="005A78BF" w14:paraId="59C5116A" w14:textId="77777777" w:rsidTr="00423DF1">
        <w:tc>
          <w:tcPr>
            <w:tcW w:w="9362" w:type="dxa"/>
            <w:gridSpan w:val="3"/>
          </w:tcPr>
          <w:p w14:paraId="3AAEAA39" w14:textId="5748EFB9" w:rsidR="005A78BF" w:rsidRDefault="00BF76DE" w:rsidP="005A78BF">
            <w:pPr>
              <w:pStyle w:val="zSoquijdatNomProcureurDem"/>
              <w:rPr>
                <w:lang w:val="en-CA"/>
              </w:rPr>
            </w:pPr>
            <w:r>
              <w:t>Me Karl-Emmanuel Harrison</w:t>
            </w:r>
          </w:p>
        </w:tc>
      </w:tr>
      <w:tr w:rsidR="005A78BF" w:rsidRPr="00A2718C" w14:paraId="63F887A0" w14:textId="77777777" w:rsidTr="00423DF1">
        <w:tc>
          <w:tcPr>
            <w:tcW w:w="9362" w:type="dxa"/>
            <w:gridSpan w:val="3"/>
          </w:tcPr>
          <w:p w14:paraId="7839FEFF" w14:textId="42755B75" w:rsidR="005A78BF" w:rsidRPr="00A2718C" w:rsidRDefault="00A2718C" w:rsidP="005A78BF">
            <w:pPr>
              <w:pStyle w:val="zSoquijdatCabinetProcureurDem"/>
              <w:rPr>
                <w:caps/>
                <w:lang w:val="en-CA"/>
              </w:rPr>
            </w:pPr>
            <w:r w:rsidRPr="00A2718C">
              <w:rPr>
                <w:caps/>
              </w:rPr>
              <w:t>Karl-Emmanuel Harrison</w:t>
            </w:r>
            <w:r w:rsidR="007A5D7C">
              <w:rPr>
                <w:caps/>
              </w:rPr>
              <w:t>, AVOCAT</w:t>
            </w:r>
          </w:p>
        </w:tc>
      </w:tr>
      <w:tr w:rsidR="005A78BF" w14:paraId="2720BCCF" w14:textId="77777777" w:rsidTr="00423DF1">
        <w:tc>
          <w:tcPr>
            <w:tcW w:w="9362" w:type="dxa"/>
            <w:gridSpan w:val="3"/>
          </w:tcPr>
          <w:p w14:paraId="5078033B" w14:textId="5395DA26" w:rsidR="005A78BF" w:rsidRDefault="00BF76DE" w:rsidP="005A78BF">
            <w:pPr>
              <w:pStyle w:val="zSoquijlblProcureurDem"/>
              <w:rPr>
                <w:lang w:val="en-CA"/>
              </w:rPr>
            </w:pPr>
            <w:r>
              <w:t>Pour l’appelante</w:t>
            </w:r>
          </w:p>
        </w:tc>
      </w:tr>
      <w:tr w:rsidR="005A78BF" w14:paraId="24923091" w14:textId="77777777" w:rsidTr="00423DF1">
        <w:tc>
          <w:tcPr>
            <w:tcW w:w="9362" w:type="dxa"/>
            <w:gridSpan w:val="3"/>
          </w:tcPr>
          <w:p w14:paraId="2DF82AE4" w14:textId="77777777" w:rsidR="005A78BF" w:rsidRDefault="005A78BF" w:rsidP="005A78BF">
            <w:pPr>
              <w:rPr>
                <w:lang w:val="en-CA"/>
              </w:rPr>
            </w:pPr>
          </w:p>
        </w:tc>
      </w:tr>
      <w:tr w:rsidR="005A78BF" w14:paraId="084B4265" w14:textId="77777777" w:rsidTr="00423DF1">
        <w:tc>
          <w:tcPr>
            <w:tcW w:w="9362" w:type="dxa"/>
            <w:gridSpan w:val="3"/>
          </w:tcPr>
          <w:p w14:paraId="321563D3" w14:textId="77777777" w:rsidR="005A78BF" w:rsidRDefault="00BF76DE" w:rsidP="005A78BF">
            <w:pPr>
              <w:pStyle w:val="zSoquijdatNomProcureurDef"/>
            </w:pPr>
            <w:r>
              <w:t>Me Simon Larose</w:t>
            </w:r>
          </w:p>
          <w:p w14:paraId="175DE5F2" w14:textId="55A942C1" w:rsidR="00BF76DE" w:rsidRPr="00F24971" w:rsidRDefault="00BF76DE" w:rsidP="005A78BF">
            <w:pPr>
              <w:pStyle w:val="zSoquijdatNomProcureurDef"/>
            </w:pPr>
            <w:r>
              <w:t>Me François Lamalice</w:t>
            </w:r>
          </w:p>
        </w:tc>
      </w:tr>
      <w:tr w:rsidR="005A78BF" w:rsidRPr="00A2718C" w14:paraId="65B69F73" w14:textId="77777777" w:rsidTr="00423DF1">
        <w:tc>
          <w:tcPr>
            <w:tcW w:w="9362" w:type="dxa"/>
            <w:gridSpan w:val="3"/>
          </w:tcPr>
          <w:p w14:paraId="4A3EC920" w14:textId="1072B8B6" w:rsidR="005A78BF" w:rsidRPr="00A2718C" w:rsidRDefault="00BF76DE" w:rsidP="005A78BF">
            <w:pPr>
              <w:pStyle w:val="zSoquijdatCabinetProcureurDef"/>
              <w:rPr>
                <w:caps/>
                <w:lang w:val="en-CA"/>
              </w:rPr>
            </w:pPr>
            <w:r w:rsidRPr="00A2718C">
              <w:rPr>
                <w:caps/>
              </w:rPr>
              <w:t>Bernard Roy (Justice Québec)</w:t>
            </w:r>
          </w:p>
        </w:tc>
      </w:tr>
      <w:tr w:rsidR="005A78BF" w14:paraId="3D747161" w14:textId="77777777" w:rsidTr="00423DF1">
        <w:tc>
          <w:tcPr>
            <w:tcW w:w="9362" w:type="dxa"/>
            <w:gridSpan w:val="3"/>
          </w:tcPr>
          <w:p w14:paraId="2A0FDBEA" w14:textId="6B3A6EB3" w:rsidR="005A78BF" w:rsidRDefault="00BF76DE" w:rsidP="005A78BF">
            <w:pPr>
              <w:pStyle w:val="zSoquijlblProcureurDef"/>
              <w:rPr>
                <w:lang w:val="en-CA"/>
              </w:rPr>
            </w:pPr>
            <w:r>
              <w:t>Pour les intimés</w:t>
            </w:r>
          </w:p>
        </w:tc>
      </w:tr>
      <w:tr w:rsidR="005A78BF" w14:paraId="0D0FAF9C" w14:textId="77777777" w:rsidTr="00423DF1">
        <w:tc>
          <w:tcPr>
            <w:tcW w:w="9362" w:type="dxa"/>
            <w:gridSpan w:val="3"/>
          </w:tcPr>
          <w:p w14:paraId="372E7A1E" w14:textId="77777777" w:rsidR="005A78BF" w:rsidRDefault="005A78BF" w:rsidP="005A78BF">
            <w:pPr>
              <w:rPr>
                <w:lang w:val="en-CA"/>
              </w:rPr>
            </w:pPr>
          </w:p>
        </w:tc>
      </w:tr>
      <w:tr w:rsidR="005A78BF" w14:paraId="41069679" w14:textId="77777777" w:rsidTr="00423DF1">
        <w:tc>
          <w:tcPr>
            <w:tcW w:w="1997" w:type="dxa"/>
          </w:tcPr>
          <w:p w14:paraId="2DD0BDED" w14:textId="77777777" w:rsidR="005A78BF" w:rsidRDefault="005A78BF" w:rsidP="005A78BF">
            <w:pPr>
              <w:pStyle w:val="zSoquijlblDateAudience"/>
            </w:pPr>
            <w:r>
              <w:t>Date d’audience :</w:t>
            </w:r>
          </w:p>
        </w:tc>
        <w:tc>
          <w:tcPr>
            <w:tcW w:w="7365" w:type="dxa"/>
            <w:gridSpan w:val="2"/>
          </w:tcPr>
          <w:p w14:paraId="3C130729" w14:textId="53804102" w:rsidR="005A78BF" w:rsidRDefault="00BF76DE" w:rsidP="005A78BF">
            <w:pPr>
              <w:pStyle w:val="zSoquijdatDateAudience"/>
            </w:pPr>
            <w:r>
              <w:t>14 mai 2025</w:t>
            </w:r>
          </w:p>
        </w:tc>
      </w:tr>
      <w:bookmarkEnd w:id="7"/>
    </w:tbl>
    <w:p w14:paraId="4A6F933D" w14:textId="77777777" w:rsidR="00740A17" w:rsidRDefault="00740A17" w:rsidP="00BF76DE"/>
    <w:sectPr w:rsidR="00740A17" w:rsidSect="00BF76DE">
      <w:headerReference w:type="default" r:id="rId8"/>
      <w:pgSz w:w="12242" w:h="15842" w:code="1"/>
      <w:pgMar w:top="1440" w:right="1008" w:bottom="1440" w:left="1872" w:header="1440" w:footer="7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C49B6" w14:textId="77777777" w:rsidR="0073484E" w:rsidRDefault="0073484E">
      <w:r>
        <w:separator/>
      </w:r>
    </w:p>
  </w:endnote>
  <w:endnote w:type="continuationSeparator" w:id="0">
    <w:p w14:paraId="5ACC1967" w14:textId="77777777" w:rsidR="0073484E" w:rsidRDefault="0073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24A72" w14:textId="77777777" w:rsidR="0073484E" w:rsidRDefault="0073484E">
      <w:r>
        <w:separator/>
      </w:r>
    </w:p>
  </w:footnote>
  <w:footnote w:type="continuationSeparator" w:id="0">
    <w:p w14:paraId="6D3919B6" w14:textId="77777777" w:rsidR="0073484E" w:rsidRDefault="0073484E">
      <w:r>
        <w:continuationSeparator/>
      </w:r>
    </w:p>
  </w:footnote>
  <w:footnote w:id="1">
    <w:p w14:paraId="2FB3CCD4" w14:textId="77777777" w:rsidR="007A5D7C" w:rsidRDefault="007A5D7C" w:rsidP="007A5D7C">
      <w:pPr>
        <w:pStyle w:val="Notedebasdepage"/>
      </w:pPr>
      <w:r>
        <w:rPr>
          <w:rStyle w:val="Appelnotedebasdep"/>
        </w:rPr>
        <w:footnoteRef/>
      </w:r>
      <w:r>
        <w:t xml:space="preserve"> La juge Hogue n’a pas participé au dispositif final de l’arrêt.</w:t>
      </w:r>
    </w:p>
  </w:footnote>
  <w:footnote w:id="2">
    <w:p w14:paraId="0359D7A8" w14:textId="3F599812" w:rsidR="003021BE" w:rsidRDefault="003021BE" w:rsidP="003021BE">
      <w:pPr>
        <w:pStyle w:val="Notedebasdepage"/>
      </w:pPr>
      <w:r>
        <w:rPr>
          <w:rStyle w:val="Appelnotedebasdep"/>
        </w:rPr>
        <w:footnoteRef/>
      </w:r>
      <w:r>
        <w:t xml:space="preserve"> </w:t>
      </w:r>
      <w:r w:rsidRPr="007D4EFA">
        <w:rPr>
          <w:i/>
          <w:iCs/>
        </w:rPr>
        <w:t>9299</w:t>
      </w:r>
      <w:r>
        <w:rPr>
          <w:i/>
          <w:iCs/>
        </w:rPr>
        <w:t>-</w:t>
      </w:r>
      <w:r w:rsidRPr="007D4EFA">
        <w:rPr>
          <w:i/>
          <w:iCs/>
        </w:rPr>
        <w:t>2742 Québec inc. c. Procureur général du Québec</w:t>
      </w:r>
      <w:r>
        <w:t xml:space="preserve">, </w:t>
      </w:r>
      <w:r w:rsidRPr="00AF12C9">
        <w:t>2024 QCCS 102</w:t>
      </w:r>
      <w:r>
        <w:t>7 [jugement</w:t>
      </w:r>
      <w:r w:rsidRPr="00631BA8">
        <w:t xml:space="preserve"> entrepris</w:t>
      </w:r>
      <w:r>
        <w:t>].</w:t>
      </w:r>
    </w:p>
  </w:footnote>
  <w:footnote w:id="3">
    <w:p w14:paraId="28B30B8B" w14:textId="202EC79C" w:rsidR="003021BE" w:rsidRPr="00F32699" w:rsidRDefault="003021BE" w:rsidP="00A2718C">
      <w:pPr>
        <w:pStyle w:val="Notedebasdepage"/>
        <w:ind w:left="0" w:firstLine="0"/>
      </w:pPr>
      <w:r>
        <w:rPr>
          <w:rStyle w:val="Appelnotedebasdep"/>
        </w:rPr>
        <w:footnoteRef/>
      </w:r>
      <w:r>
        <w:t xml:space="preserve"> Depuis le 20 octobre 2022, ce ministère n’est plus celui « du Développement durable, de l’Environnement et des Parcs » (</w:t>
      </w:r>
      <w:r w:rsidRPr="00B86A31">
        <w:rPr>
          <w:i/>
          <w:iCs/>
        </w:rPr>
        <w:t>Décret 1645-2022 concernant le ministre et le ministère de l’Environnement, de la Lutte contre les changements climatiques, de la Faune et des Parcs</w:t>
      </w:r>
      <w:r w:rsidRPr="00F32699">
        <w:t>, (2022)</w:t>
      </w:r>
      <w:r w:rsidRPr="00B86A31">
        <w:rPr>
          <w:i/>
          <w:iCs/>
        </w:rPr>
        <w:t xml:space="preserve"> </w:t>
      </w:r>
      <w:r>
        <w:t>154 G.O.Q. II, n</w:t>
      </w:r>
      <w:r>
        <w:rPr>
          <w:rFonts w:cs="Arial"/>
        </w:rPr>
        <w:t>º</w:t>
      </w:r>
      <w:r>
        <w:t xml:space="preserve"> 44, 6517, p. 6517, qui a par ailleurs été remplacé par le </w:t>
      </w:r>
      <w:r w:rsidRPr="00F32699">
        <w:rPr>
          <w:i/>
          <w:iCs/>
        </w:rPr>
        <w:t xml:space="preserve">Décret 1115-2024 </w:t>
      </w:r>
      <w:r w:rsidRPr="00B86A31">
        <w:rPr>
          <w:i/>
          <w:iCs/>
        </w:rPr>
        <w:t>concernant le ministre et le ministère de l’Environnement, de la Lutte contre les changements climatiques, de la Faune et des Parcs</w:t>
      </w:r>
      <w:r>
        <w:t>, (2024) 156 G.O.Q. II, n</w:t>
      </w:r>
      <w:r>
        <w:rPr>
          <w:rFonts w:cs="Arial"/>
        </w:rPr>
        <w:t>º</w:t>
      </w:r>
      <w:r>
        <w:t> 31, 5363, p. 5363, mais qui modifie lui aussi ainsi son appellation).</w:t>
      </w:r>
    </w:p>
  </w:footnote>
  <w:footnote w:id="4">
    <w:p w14:paraId="77CEA038" w14:textId="7DF75814" w:rsidR="003021BE" w:rsidRDefault="003021BE" w:rsidP="00A2718C">
      <w:pPr>
        <w:pStyle w:val="Notedebasdepage"/>
        <w:ind w:left="0" w:firstLine="0"/>
      </w:pPr>
      <w:r>
        <w:rPr>
          <w:rStyle w:val="Appelnotedebasdep"/>
        </w:rPr>
        <w:footnoteRef/>
      </w:r>
      <w:r>
        <w:t xml:space="preserve"> </w:t>
      </w:r>
      <w:r w:rsidRPr="003F1090">
        <w:rPr>
          <w:i/>
          <w:iCs/>
        </w:rPr>
        <w:t>Règlement sur le stockage et les centres de transfert de sols contaminés</w:t>
      </w:r>
      <w:r>
        <w:t>, Q-2, r.</w:t>
      </w:r>
      <w:r w:rsidR="00020DDC">
        <w:t> </w:t>
      </w:r>
      <w:r>
        <w:t>46.</w:t>
      </w:r>
    </w:p>
  </w:footnote>
  <w:footnote w:id="5">
    <w:p w14:paraId="4CE5848C" w14:textId="6ECC32A6" w:rsidR="003021BE" w:rsidRDefault="003021BE" w:rsidP="00A2718C">
      <w:pPr>
        <w:pStyle w:val="Notedebasdepage"/>
        <w:ind w:left="0" w:firstLine="0"/>
      </w:pPr>
      <w:r>
        <w:rPr>
          <w:rStyle w:val="Appelnotedebasdep"/>
        </w:rPr>
        <w:footnoteRef/>
      </w:r>
      <w:r>
        <w:t xml:space="preserve"> Jugement de la Cour du Québec (l’honorable Claude Lachapelle) daté du 21 novembre 2018, dossiers 700-61-147225-178 et 700-61-147226-176.</w:t>
      </w:r>
    </w:p>
  </w:footnote>
  <w:footnote w:id="6">
    <w:p w14:paraId="1C1AC09C" w14:textId="0F2BA710" w:rsidR="003021BE" w:rsidRDefault="003021BE" w:rsidP="00A2718C">
      <w:pPr>
        <w:pStyle w:val="Notedebasdepage"/>
        <w:ind w:left="0" w:firstLine="0"/>
      </w:pPr>
      <w:r>
        <w:rPr>
          <w:rStyle w:val="Appelnotedebasdep"/>
        </w:rPr>
        <w:footnoteRef/>
      </w:r>
      <w:r>
        <w:t xml:space="preserve"> </w:t>
      </w:r>
      <w:r w:rsidR="007838BA" w:rsidRPr="007838BA">
        <w:rPr>
          <w:i/>
          <w:iCs/>
        </w:rPr>
        <w:t>Code civil du Québec</w:t>
      </w:r>
      <w:r w:rsidR="007838BA">
        <w:t xml:space="preserve">, article </w:t>
      </w:r>
      <w:r>
        <w:t>2925</w:t>
      </w:r>
      <w:r w:rsidR="007838BA">
        <w:t>.</w:t>
      </w:r>
    </w:p>
  </w:footnote>
  <w:footnote w:id="7">
    <w:p w14:paraId="495BDAAB" w14:textId="1E290C8E" w:rsidR="003021BE" w:rsidRPr="00973B7F" w:rsidRDefault="003021BE" w:rsidP="00A2718C">
      <w:pPr>
        <w:pStyle w:val="Notedebasdepage"/>
        <w:ind w:left="0" w:firstLine="0"/>
      </w:pPr>
      <w:r>
        <w:rPr>
          <w:rStyle w:val="Appelnotedebasdep"/>
        </w:rPr>
        <w:footnoteRef/>
      </w:r>
      <w:r>
        <w:t xml:space="preserve"> L’article 121.1 de la </w:t>
      </w:r>
      <w:r w:rsidRPr="00792D7D">
        <w:rPr>
          <w:i/>
          <w:iCs/>
        </w:rPr>
        <w:t>LQE</w:t>
      </w:r>
      <w:r>
        <w:t xml:space="preserve"> était applicable au moment des faits, mais l’immunité alléguée se trouve maintenant à l’article 20 de la </w:t>
      </w:r>
      <w:r w:rsidRPr="00792D7D">
        <w:rPr>
          <w:i/>
          <w:iCs/>
        </w:rPr>
        <w:t>Loi sur certaines mesures permettant d’appliquer les lois en matière d’environnement et de sécurité des barrages</w:t>
      </w:r>
      <w:r w:rsidR="007B5462">
        <w:rPr>
          <w:i/>
          <w:iCs/>
        </w:rPr>
        <w:t xml:space="preserve">, </w:t>
      </w:r>
      <w:r w:rsidR="007B5462" w:rsidRPr="00303DB4">
        <w:t>RLRQ, c. M-11.6</w:t>
      </w:r>
      <w:r w:rsidRPr="007B5462">
        <w:t>.</w:t>
      </w:r>
    </w:p>
  </w:footnote>
  <w:footnote w:id="8">
    <w:p w14:paraId="63E09C39" w14:textId="3CCC4553" w:rsidR="003021BE" w:rsidRPr="008C4274" w:rsidRDefault="003021BE" w:rsidP="00A2718C">
      <w:pPr>
        <w:pStyle w:val="Notedebasdepage"/>
        <w:ind w:left="0" w:firstLine="0"/>
      </w:pPr>
      <w:r>
        <w:rPr>
          <w:rStyle w:val="Appelnotedebasdep"/>
        </w:rPr>
        <w:footnoteRef/>
      </w:r>
      <w:r w:rsidRPr="008C4274">
        <w:t xml:space="preserve"> </w:t>
      </w:r>
      <w:r w:rsidRPr="006C552A">
        <w:rPr>
          <w:i/>
          <w:iCs/>
        </w:rPr>
        <w:t>Bohémier c. Barreau du Québec</w:t>
      </w:r>
      <w:r>
        <w:t xml:space="preserve">, </w:t>
      </w:r>
      <w:r w:rsidRPr="00973B7F">
        <w:t>2012 QCCA 308,</w:t>
      </w:r>
      <w:r>
        <w:t xml:space="preserve"> paragr.</w:t>
      </w:r>
      <w:r w:rsidR="00131C14">
        <w:t xml:space="preserve"> </w:t>
      </w:r>
      <w:r w:rsidRPr="00303DB4">
        <w:rPr>
          <w:lang w:val="en-CA"/>
        </w:rPr>
        <w:t xml:space="preserve">17 ; </w:t>
      </w:r>
      <w:r w:rsidRPr="00303DB4">
        <w:rPr>
          <w:i/>
          <w:iCs/>
          <w:lang w:val="en-CA"/>
        </w:rPr>
        <w:t>Econocin inc. c. Kaidbey</w:t>
      </w:r>
      <w:r w:rsidRPr="00303DB4">
        <w:rPr>
          <w:lang w:val="en-CA"/>
        </w:rPr>
        <w:t xml:space="preserve"> [1989] R.D.J. 569 (C.A.)</w:t>
      </w:r>
      <w:r w:rsidR="00296812" w:rsidRPr="00303DB4">
        <w:rPr>
          <w:lang w:val="en-CA"/>
        </w:rPr>
        <w:t xml:space="preserve">, paragr. </w:t>
      </w:r>
      <w:r w:rsidR="00296812">
        <w:t>11 et 12</w:t>
      </w:r>
      <w:r>
        <w:t xml:space="preserve">. </w:t>
      </w:r>
      <w:r w:rsidR="0089138C">
        <w:t xml:space="preserve">Le juge de première instance note que </w:t>
      </w:r>
      <w:r w:rsidR="002A1FBB">
        <w:t xml:space="preserve">les intimés </w:t>
      </w:r>
      <w:r w:rsidR="0089138C">
        <w:t>formule</w:t>
      </w:r>
      <w:r w:rsidR="002A1FBB">
        <w:t>nt</w:t>
      </w:r>
      <w:r w:rsidR="0089138C">
        <w:t xml:space="preserve"> leur demande de rejet </w:t>
      </w:r>
      <w:r w:rsidR="0089138C" w:rsidRPr="002D7F26">
        <w:t xml:space="preserve">par le truchement de l’article 51 </w:t>
      </w:r>
      <w:r w:rsidR="007838BA">
        <w:t xml:space="preserve">du </w:t>
      </w:r>
      <w:r w:rsidR="007838BA" w:rsidRPr="007838BA">
        <w:rPr>
          <w:i/>
          <w:iCs/>
        </w:rPr>
        <w:t>Code de procédure civile</w:t>
      </w:r>
      <w:r w:rsidR="00AD26C6">
        <w:rPr>
          <w:i/>
          <w:iCs/>
        </w:rPr>
        <w:t>,</w:t>
      </w:r>
      <w:r w:rsidR="007838BA">
        <w:t xml:space="preserve"> </w:t>
      </w:r>
      <w:r w:rsidR="0089138C" w:rsidRPr="002D7F26">
        <w:t xml:space="preserve">alors que le rejet </w:t>
      </w:r>
      <w:r w:rsidR="0089138C">
        <w:t>fondé</w:t>
      </w:r>
      <w:r w:rsidR="0089138C" w:rsidRPr="002D7F26">
        <w:t xml:space="preserve"> sur la prescription extinctive peut </w:t>
      </w:r>
      <w:r w:rsidR="0089138C">
        <w:t>également</w:t>
      </w:r>
      <w:r w:rsidR="0089138C" w:rsidRPr="002D7F26">
        <w:t xml:space="preserve"> </w:t>
      </w:r>
      <w:r w:rsidR="0089138C">
        <w:t>être sollicité par l’</w:t>
      </w:r>
      <w:r w:rsidR="0089138C" w:rsidRPr="002D7F26">
        <w:t>i</w:t>
      </w:r>
      <w:r w:rsidR="0089138C">
        <w:t>nvocation</w:t>
      </w:r>
      <w:r w:rsidR="0089138C" w:rsidRPr="002D7F26">
        <w:t xml:space="preserve"> </w:t>
      </w:r>
      <w:r w:rsidR="0089138C">
        <w:t>du</w:t>
      </w:r>
      <w:r w:rsidR="0089138C" w:rsidRPr="002D7F26">
        <w:t xml:space="preserve"> moyen d’irrecevabilité prévu à l’article 168 </w:t>
      </w:r>
      <w:r w:rsidR="007838BA">
        <w:t xml:space="preserve">du </w:t>
      </w:r>
      <w:r w:rsidR="007838BA" w:rsidRPr="007838BA">
        <w:rPr>
          <w:i/>
          <w:iCs/>
        </w:rPr>
        <w:t>Code de procédure civile</w:t>
      </w:r>
      <w:r w:rsidR="002A1FBB">
        <w:t>.</w:t>
      </w:r>
      <w:r w:rsidR="007838BA">
        <w:t xml:space="preserve"> </w:t>
      </w:r>
      <w:r w:rsidR="0089138C">
        <w:t>Toutefois, cette dernière voie n’a pas été retenue</w:t>
      </w:r>
      <w:r w:rsidR="002A1FBB">
        <w:t xml:space="preserve"> en raison du </w:t>
      </w:r>
      <w:r w:rsidR="0089138C">
        <w:t>dépôt d’une transcription</w:t>
      </w:r>
      <w:r w:rsidR="00AD26C6">
        <w:t xml:space="preserve"> de l’interrogatoire au préalable</w:t>
      </w:r>
      <w:r w:rsidR="0089138C">
        <w:t xml:space="preserve"> hors cour (</w:t>
      </w:r>
      <w:r w:rsidR="007838BA">
        <w:t>j</w:t>
      </w:r>
      <w:r w:rsidR="0089138C">
        <w:t xml:space="preserve">ugement entrepris, paragr. 118 et 123). Le </w:t>
      </w:r>
      <w:r w:rsidR="00213BDF">
        <w:t>j</w:t>
      </w:r>
      <w:r w:rsidR="0089138C">
        <w:t xml:space="preserve">uge explique qu’il serait arrivé à la même conclusion si </w:t>
      </w:r>
      <w:r w:rsidR="002A1FBB">
        <w:t xml:space="preserve">les intimés </w:t>
      </w:r>
      <w:r w:rsidR="0089138C">
        <w:t>avai</w:t>
      </w:r>
      <w:r w:rsidR="002A1FBB">
        <w:t>en</w:t>
      </w:r>
      <w:r w:rsidR="0089138C">
        <w:t xml:space="preserve">t présenté leur demande en vertu de l’article 168 </w:t>
      </w:r>
      <w:r w:rsidR="007838BA">
        <w:t xml:space="preserve">du </w:t>
      </w:r>
      <w:r w:rsidR="007838BA" w:rsidRPr="007838BA">
        <w:rPr>
          <w:i/>
          <w:iCs/>
        </w:rPr>
        <w:t>Code de procédure civile</w:t>
      </w:r>
      <w:r w:rsidR="007838BA">
        <w:t xml:space="preserve"> </w:t>
      </w:r>
      <w:r w:rsidR="0089138C">
        <w:t xml:space="preserve">et </w:t>
      </w:r>
      <w:r w:rsidR="0089138C" w:rsidRPr="0089138C">
        <w:t xml:space="preserve">que </w:t>
      </w:r>
      <w:r w:rsidR="0089138C">
        <w:t xml:space="preserve">la </w:t>
      </w:r>
      <w:r w:rsidR="0089138C" w:rsidRPr="0089138C">
        <w:t xml:space="preserve">déclaration d’abus dans </w:t>
      </w:r>
      <w:r w:rsidR="0089138C">
        <w:t>le</w:t>
      </w:r>
      <w:r w:rsidR="0089138C" w:rsidRPr="0089138C">
        <w:t xml:space="preserve"> dossier se fonde sur la constatation que la </w:t>
      </w:r>
      <w:r w:rsidR="00213BDF">
        <w:t>d</w:t>
      </w:r>
      <w:r w:rsidR="0089138C" w:rsidRPr="0089138C">
        <w:t xml:space="preserve">emande introductive est manifestement mal fondée </w:t>
      </w:r>
      <w:r w:rsidR="002A1FBB">
        <w:t>en raison de la prescription du recours</w:t>
      </w:r>
      <w:r w:rsidR="0089138C">
        <w:t xml:space="preserve">, et non </w:t>
      </w:r>
      <w:r w:rsidR="00AD26C6">
        <w:t>parce qu’</w:t>
      </w:r>
      <w:r w:rsidR="0089138C">
        <w:t>elle est frivole ou dilatoire (</w:t>
      </w:r>
      <w:r w:rsidR="007838BA">
        <w:t>j</w:t>
      </w:r>
      <w:r w:rsidR="0089138C">
        <w:t>ugement entrepris, paragr. 124 et 125).</w:t>
      </w:r>
      <w:r w:rsidR="00B36CB7">
        <w:t xml:space="preserve"> </w:t>
      </w:r>
      <w:r w:rsidR="002A1FBB">
        <w:t xml:space="preserve">Les spécificités de la demande en rejet ont été respectées, lesquelles diffèrent à certains égards de celles de la demande en irrecevabilité </w:t>
      </w:r>
      <w:r w:rsidR="00E46A0D">
        <w:t>(</w:t>
      </w:r>
      <w:r w:rsidR="00E46A0D" w:rsidRPr="00303DB4">
        <w:rPr>
          <w:i/>
          <w:iCs/>
        </w:rPr>
        <w:t>Lacour c. Construction D.M. Turcotte TRO inc</w:t>
      </w:r>
      <w:r w:rsidR="00E46A0D" w:rsidRPr="00E46A0D">
        <w:t>., 2019 QCCA 1023</w:t>
      </w:r>
      <w:r w:rsidR="00E46A0D">
        <w:t>, paragr. 21-31).</w:t>
      </w:r>
    </w:p>
  </w:footnote>
  <w:footnote w:id="9">
    <w:p w14:paraId="3AD62933" w14:textId="6FC9F9C4" w:rsidR="003021BE" w:rsidRDefault="003021BE" w:rsidP="003021BE">
      <w:pPr>
        <w:pStyle w:val="Notedebasdepage"/>
      </w:pPr>
      <w:r>
        <w:rPr>
          <w:rStyle w:val="Appelnotedebasdep"/>
        </w:rPr>
        <w:footnoteRef/>
      </w:r>
      <w:r>
        <w:t xml:space="preserve"> Jugement entrepris, paragr.</w:t>
      </w:r>
      <w:r w:rsidR="005D67BC">
        <w:t xml:space="preserve"> </w:t>
      </w:r>
      <w:r>
        <w:t>67.</w:t>
      </w:r>
    </w:p>
  </w:footnote>
  <w:footnote w:id="10">
    <w:p w14:paraId="44F751FC" w14:textId="3C3960A1" w:rsidR="003021BE" w:rsidRPr="004B7DB6" w:rsidRDefault="003021BE" w:rsidP="003021BE">
      <w:pPr>
        <w:pStyle w:val="Notedebasdepage"/>
      </w:pPr>
      <w:r w:rsidRPr="004B7DB6">
        <w:rPr>
          <w:rStyle w:val="Appelnotedebasdep"/>
        </w:rPr>
        <w:footnoteRef/>
      </w:r>
      <w:r w:rsidRPr="004B7DB6">
        <w:t xml:space="preserve"> Jugement entrepris, paragr. 76</w:t>
      </w:r>
      <w:r>
        <w:t>.</w:t>
      </w:r>
    </w:p>
  </w:footnote>
  <w:footnote w:id="11">
    <w:p w14:paraId="5F10FCD3" w14:textId="444F6260" w:rsidR="003021BE" w:rsidRPr="000F79CB" w:rsidRDefault="003021BE" w:rsidP="00275595">
      <w:pPr>
        <w:pStyle w:val="Notedebasdepage"/>
        <w:rPr>
          <w:i/>
          <w:iCs/>
        </w:rPr>
      </w:pPr>
      <w:r w:rsidRPr="004B7DB6">
        <w:rPr>
          <w:rStyle w:val="Appelnotedebasdep"/>
        </w:rPr>
        <w:footnoteRef/>
      </w:r>
      <w:r w:rsidRPr="004B7DB6">
        <w:t xml:space="preserve"> </w:t>
      </w:r>
      <w:r w:rsidR="007838BA" w:rsidRPr="007838BA">
        <w:t>Jugement entrepris</w:t>
      </w:r>
      <w:r w:rsidR="00275595" w:rsidRPr="005C1CCD">
        <w:t xml:space="preserve">, </w:t>
      </w:r>
      <w:r w:rsidR="005C1CCD" w:rsidRPr="005C1CCD">
        <w:t>paragr. 76,</w:t>
      </w:r>
      <w:r w:rsidR="005C1CCD">
        <w:rPr>
          <w:i/>
          <w:iCs/>
        </w:rPr>
        <w:t xml:space="preserve"> </w:t>
      </w:r>
      <w:r w:rsidR="00275595" w:rsidRPr="000F79CB">
        <w:t>citant</w:t>
      </w:r>
      <w:r w:rsidR="00275595">
        <w:rPr>
          <w:i/>
          <w:iCs/>
        </w:rPr>
        <w:t xml:space="preserve"> </w:t>
      </w:r>
      <w:r w:rsidR="00275595" w:rsidRPr="00275595">
        <w:rPr>
          <w:i/>
          <w:iCs/>
        </w:rPr>
        <w:t>Popovic c. Montréal (Ville de)</w:t>
      </w:r>
      <w:r w:rsidR="00275595" w:rsidRPr="000F79CB">
        <w:t>, 2008 QCCA 2371, paragr. 83.</w:t>
      </w:r>
    </w:p>
  </w:footnote>
  <w:footnote w:id="12">
    <w:p w14:paraId="29C0010C" w14:textId="365809E4" w:rsidR="003021BE" w:rsidRPr="00DF3435" w:rsidRDefault="003021BE" w:rsidP="00A2718C">
      <w:pPr>
        <w:pStyle w:val="Notedebasdepage"/>
        <w:ind w:left="0" w:firstLine="0"/>
      </w:pPr>
      <w:r>
        <w:rPr>
          <w:rStyle w:val="Appelnotedebasdep"/>
        </w:rPr>
        <w:footnoteRef/>
      </w:r>
      <w:r w:rsidRPr="00DF3435">
        <w:t xml:space="preserve"> </w:t>
      </w:r>
      <w:r w:rsidRPr="00DF3435">
        <w:rPr>
          <w:i/>
          <w:iCs/>
        </w:rPr>
        <w:t>Morin c. Canadian Home Assurance Co.</w:t>
      </w:r>
      <w:r w:rsidRPr="00DF3435">
        <w:t xml:space="preserve">, </w:t>
      </w:r>
      <w:r w:rsidRPr="00A373EE">
        <w:t>[1970] R.C.S. 561</w:t>
      </w:r>
      <w:r w:rsidRPr="00DF3435">
        <w:t xml:space="preserve"> et</w:t>
      </w:r>
      <w:r w:rsidRPr="00EC3B1C">
        <w:rPr>
          <w:i/>
          <w:iCs/>
        </w:rPr>
        <w:t xml:space="preserve"> Laniel Supérieur inc. c. Régie des alcools, des courses et des jeux</w:t>
      </w:r>
      <w:r>
        <w:t xml:space="preserve">, </w:t>
      </w:r>
      <w:r w:rsidRPr="00A373EE">
        <w:t>2019 QCCA 753</w:t>
      </w:r>
      <w:r w:rsidR="00CD6EBC">
        <w:t>, paragr. 41</w:t>
      </w:r>
      <w:r>
        <w:t>.</w:t>
      </w:r>
    </w:p>
  </w:footnote>
  <w:footnote w:id="13">
    <w:p w14:paraId="0604DA26" w14:textId="7E926B15" w:rsidR="004D7451" w:rsidRDefault="004D7451" w:rsidP="00303DB4">
      <w:pPr>
        <w:pStyle w:val="Notedebasdepage"/>
        <w:ind w:left="0" w:firstLine="0"/>
      </w:pPr>
      <w:r>
        <w:rPr>
          <w:rStyle w:val="Appelnotedebasdep"/>
        </w:rPr>
        <w:footnoteRef/>
      </w:r>
      <w:r>
        <w:t xml:space="preserve"> </w:t>
      </w:r>
      <w:r w:rsidRPr="008A7BDC">
        <w:rPr>
          <w:i/>
          <w:iCs/>
        </w:rPr>
        <w:t>Lavoie c. Latouche</w:t>
      </w:r>
      <w:r>
        <w:t>, 2019 QCCA 2116, paragr. 67</w:t>
      </w:r>
      <w:r w:rsidR="002B3A91">
        <w:t>-</w:t>
      </w:r>
      <w:r>
        <w:t xml:space="preserve">70 ; voir aussi </w:t>
      </w:r>
      <w:r w:rsidRPr="008E2537">
        <w:rPr>
          <w:i/>
          <w:iCs/>
        </w:rPr>
        <w:t>Beaulieu c. Paquet</w:t>
      </w:r>
      <w:r w:rsidRPr="008E2537">
        <w:t>, 2016 QCCA 1284</w:t>
      </w:r>
      <w:r>
        <w:t xml:space="preserve">, paragr. 17; voir par exemple </w:t>
      </w:r>
      <w:r w:rsidRPr="008A7BDC">
        <w:rPr>
          <w:i/>
          <w:iCs/>
        </w:rPr>
        <w:t>Air Transat AT inc. c. Taillefer</w:t>
      </w:r>
      <w:r w:rsidRPr="008A7BDC">
        <w:t>, 2006</w:t>
      </w:r>
      <w:r w:rsidR="0030544E">
        <w:t xml:space="preserve"> </w:t>
      </w:r>
      <w:r w:rsidRPr="008A7BDC">
        <w:t>QCCA</w:t>
      </w:r>
      <w:r w:rsidR="0030544E">
        <w:t xml:space="preserve"> </w:t>
      </w:r>
      <w:r w:rsidRPr="008A7BDC">
        <w:t>18,</w:t>
      </w:r>
      <w:r w:rsidR="0030544E">
        <w:t xml:space="preserve"> </w:t>
      </w:r>
      <w:r w:rsidRPr="008A7BDC">
        <w:t>paragr.</w:t>
      </w:r>
      <w:r w:rsidR="0030544E">
        <w:t xml:space="preserve"> </w:t>
      </w:r>
      <w:r>
        <w:t>14</w:t>
      </w:r>
      <w:r w:rsidR="00595B35">
        <w:t>-</w:t>
      </w:r>
      <w:r>
        <w:t>15.</w:t>
      </w:r>
    </w:p>
  </w:footnote>
  <w:footnote w:id="14">
    <w:p w14:paraId="4A38AACC" w14:textId="53D0A9B0" w:rsidR="00C54174" w:rsidRDefault="00C54174">
      <w:pPr>
        <w:pStyle w:val="Notedebasdepage"/>
      </w:pPr>
      <w:r>
        <w:rPr>
          <w:rStyle w:val="Appelnotedebasdep"/>
        </w:rPr>
        <w:footnoteRef/>
      </w:r>
      <w:r>
        <w:t xml:space="preserve"> </w:t>
      </w:r>
      <w:r w:rsidRPr="00303DB4">
        <w:rPr>
          <w:i/>
          <w:iCs/>
        </w:rPr>
        <w:t xml:space="preserve">Popovic c. Montréal (Ville de), </w:t>
      </w:r>
      <w:r w:rsidRPr="00C54174">
        <w:t>2008 QCCA 237</w:t>
      </w:r>
      <w:r w:rsidR="00001D36">
        <w:t>1</w:t>
      </w:r>
      <w:r>
        <w:t>, paragr. 70 et 71.</w:t>
      </w:r>
    </w:p>
  </w:footnote>
  <w:footnote w:id="15">
    <w:p w14:paraId="2E9358BC" w14:textId="257846BA" w:rsidR="003021BE" w:rsidRPr="00494A21" w:rsidRDefault="003021BE" w:rsidP="00A2718C">
      <w:pPr>
        <w:pStyle w:val="Notedebasdepage"/>
        <w:ind w:left="0" w:firstLine="0"/>
      </w:pPr>
      <w:r w:rsidRPr="00213CB1">
        <w:rPr>
          <w:rStyle w:val="Appelnotedebasdep"/>
        </w:rPr>
        <w:footnoteRef/>
      </w:r>
      <w:r w:rsidR="0030544E">
        <w:rPr>
          <w:i/>
          <w:iCs/>
        </w:rPr>
        <w:t xml:space="preserve"> </w:t>
      </w:r>
      <w:r w:rsidR="004F1E1A" w:rsidRPr="000F79CB">
        <w:rPr>
          <w:i/>
          <w:iCs/>
        </w:rPr>
        <w:t>Lapierre c. Lessard</w:t>
      </w:r>
      <w:r w:rsidR="004F1E1A">
        <w:t xml:space="preserve">, </w:t>
      </w:r>
      <w:r w:rsidR="004F1E1A" w:rsidRPr="004F1E1A">
        <w:t>1924 CarswellQue 118, 38 B.R. 373</w:t>
      </w:r>
      <w:r w:rsidR="00C54174">
        <w:t xml:space="preserve">, cité </w:t>
      </w:r>
      <w:r w:rsidR="005A1E02">
        <w:t xml:space="preserve">dans </w:t>
      </w:r>
      <w:r w:rsidR="005A1E02" w:rsidRPr="00303DB4">
        <w:rPr>
          <w:i/>
          <w:iCs/>
        </w:rPr>
        <w:t>Popovic c. Montréal (Ville de</w:t>
      </w:r>
      <w:r w:rsidR="005A1E02" w:rsidRPr="005A1E02">
        <w:t>), 2008</w:t>
      </w:r>
      <w:r w:rsidR="0030544E">
        <w:t> </w:t>
      </w:r>
      <w:r w:rsidR="005A1E02" w:rsidRPr="005A1E02">
        <w:t>QCCA 237</w:t>
      </w:r>
      <w:r w:rsidR="00001D36">
        <w:t>1</w:t>
      </w:r>
      <w:r w:rsidR="005A1E02">
        <w:t xml:space="preserve">, paragr. 72 </w:t>
      </w:r>
      <w:r w:rsidR="00C54174">
        <w:t>comme énonçant les fondements de cette règle de suspension</w:t>
      </w:r>
      <w:r w:rsidR="005A1E02">
        <w:t>.</w:t>
      </w:r>
    </w:p>
  </w:footnote>
  <w:footnote w:id="16">
    <w:p w14:paraId="65BFF897" w14:textId="0C4094C7" w:rsidR="003021BE" w:rsidRDefault="003021BE" w:rsidP="00A2718C">
      <w:pPr>
        <w:pStyle w:val="Notedebasdepage"/>
        <w:ind w:left="0" w:firstLine="0"/>
      </w:pPr>
      <w:r w:rsidRPr="00494A21">
        <w:rPr>
          <w:rStyle w:val="Appelnotedebasdep"/>
        </w:rPr>
        <w:footnoteRef/>
      </w:r>
      <w:r w:rsidRPr="00494A21">
        <w:t xml:space="preserve"> </w:t>
      </w:r>
      <w:r w:rsidR="001D505F">
        <w:t xml:space="preserve">Voir par exemple </w:t>
      </w:r>
      <w:r w:rsidRPr="00494A21">
        <w:rPr>
          <w:i/>
          <w:iCs/>
        </w:rPr>
        <w:t>Blais c. Lemieux</w:t>
      </w:r>
      <w:r w:rsidR="00934D5B">
        <w:rPr>
          <w:i/>
          <w:iCs/>
        </w:rPr>
        <w:t>,</w:t>
      </w:r>
      <w:r w:rsidRPr="00494A21">
        <w:t xml:space="preserve"> </w:t>
      </w:r>
      <w:r w:rsidR="00934D5B" w:rsidRPr="00934D5B">
        <w:t>1980 CarswellQue 493, [1980] C.A. 170, J.E. 80-158</w:t>
      </w:r>
      <w:r>
        <w:t xml:space="preserve">; </w:t>
      </w:r>
      <w:r w:rsidRPr="007E7ED3">
        <w:rPr>
          <w:i/>
          <w:iCs/>
        </w:rPr>
        <w:t>Bourassa c. Del Rio-Abarca</w:t>
      </w:r>
      <w:r>
        <w:t>, 2005</w:t>
      </w:r>
      <w:r w:rsidR="0030544E">
        <w:t xml:space="preserve"> </w:t>
      </w:r>
      <w:r>
        <w:t>QCCA</w:t>
      </w:r>
      <w:r w:rsidR="0030544E">
        <w:t xml:space="preserve"> </w:t>
      </w:r>
      <w:r>
        <w:t xml:space="preserve">389 ; </w:t>
      </w:r>
      <w:r w:rsidRPr="00C7224F">
        <w:rPr>
          <w:i/>
          <w:iCs/>
        </w:rPr>
        <w:t>Popovic c. Montréal (Ville de),</w:t>
      </w:r>
      <w:r>
        <w:t xml:space="preserve"> 2008</w:t>
      </w:r>
      <w:r w:rsidR="0030544E">
        <w:t xml:space="preserve"> </w:t>
      </w:r>
      <w:r>
        <w:t>QCCA</w:t>
      </w:r>
      <w:r w:rsidR="0030544E">
        <w:t xml:space="preserve"> </w:t>
      </w:r>
      <w:r>
        <w:t>2371.</w:t>
      </w:r>
    </w:p>
  </w:footnote>
  <w:footnote w:id="17">
    <w:p w14:paraId="10B09FF6" w14:textId="249856A9" w:rsidR="003021BE" w:rsidRDefault="003021BE" w:rsidP="00A2718C">
      <w:pPr>
        <w:pStyle w:val="Notedebasdepage"/>
        <w:ind w:left="0" w:firstLine="0"/>
      </w:pPr>
      <w:r>
        <w:rPr>
          <w:rStyle w:val="Appelnotedebasdep"/>
        </w:rPr>
        <w:footnoteRef/>
      </w:r>
      <w:r>
        <w:t xml:space="preserve"> </w:t>
      </w:r>
      <w:r w:rsidR="009238F7">
        <w:t xml:space="preserve">Voir </w:t>
      </w:r>
      <w:r w:rsidR="009238F7" w:rsidRPr="00DE2FC2">
        <w:rPr>
          <w:i/>
          <w:iCs/>
        </w:rPr>
        <w:t>Popovic c. Montréal (Ville de)</w:t>
      </w:r>
      <w:r w:rsidR="009238F7">
        <w:t xml:space="preserve">, 2008 QCCA 2371, paragr. </w:t>
      </w:r>
      <w:r w:rsidR="00AB2099">
        <w:t>76</w:t>
      </w:r>
      <w:r w:rsidR="0030544E">
        <w:t>.</w:t>
      </w:r>
    </w:p>
  </w:footnote>
  <w:footnote w:id="18">
    <w:p w14:paraId="7C505AED" w14:textId="523956EC" w:rsidR="00CE31C9" w:rsidRDefault="00CE31C9">
      <w:pPr>
        <w:pStyle w:val="Notedebasdepage"/>
      </w:pPr>
      <w:r>
        <w:rPr>
          <w:rStyle w:val="Appelnotedebasdep"/>
        </w:rPr>
        <w:footnoteRef/>
      </w:r>
      <w:r>
        <w:t xml:space="preserve"> </w:t>
      </w:r>
      <w:r w:rsidR="003E5756" w:rsidRPr="003E5756">
        <w:rPr>
          <w:i/>
          <w:iCs/>
        </w:rPr>
        <w:t>Code civil du Québec</w:t>
      </w:r>
      <w:r w:rsidR="003E5756">
        <w:t xml:space="preserve">, art. </w:t>
      </w:r>
      <w:r>
        <w:t>2904</w:t>
      </w:r>
      <w:r w:rsidR="003E5756">
        <w:t>.</w:t>
      </w:r>
    </w:p>
  </w:footnote>
  <w:footnote w:id="19">
    <w:p w14:paraId="72419E1A" w14:textId="06303B77" w:rsidR="003021BE" w:rsidRDefault="003021BE" w:rsidP="003021BE">
      <w:pPr>
        <w:pStyle w:val="Notedebasdepage"/>
      </w:pPr>
      <w:r w:rsidRPr="00E04439">
        <w:rPr>
          <w:rStyle w:val="Appelnotedebasdep"/>
        </w:rPr>
        <w:footnoteRef/>
      </w:r>
      <w:r w:rsidRPr="00E04439">
        <w:t xml:space="preserve"> </w:t>
      </w:r>
      <w:r w:rsidR="000B3B83" w:rsidRPr="00494A21">
        <w:rPr>
          <w:i/>
          <w:iCs/>
        </w:rPr>
        <w:t>Blais c. Lemieux</w:t>
      </w:r>
      <w:r w:rsidR="000B3B83">
        <w:rPr>
          <w:i/>
          <w:iCs/>
        </w:rPr>
        <w:t>,</w:t>
      </w:r>
      <w:r w:rsidR="000B3B83" w:rsidRPr="00494A21">
        <w:t xml:space="preserve"> </w:t>
      </w:r>
      <w:r w:rsidR="000B3B83" w:rsidRPr="00934D5B">
        <w:t>1980 CarswellQue 493, [1980] C.A. 170, J.E. 80-158</w:t>
      </w:r>
      <w:r w:rsidR="000B3B83">
        <w:t>.</w:t>
      </w:r>
    </w:p>
  </w:footnote>
  <w:footnote w:id="20">
    <w:p w14:paraId="5A5B40DB" w14:textId="19AE1C43" w:rsidR="003021BE" w:rsidRPr="004B4D8D" w:rsidRDefault="003021BE" w:rsidP="003021BE">
      <w:pPr>
        <w:pStyle w:val="Notedebasdepage"/>
      </w:pPr>
      <w:r>
        <w:rPr>
          <w:rStyle w:val="Appelnotedebasdep"/>
        </w:rPr>
        <w:footnoteRef/>
      </w:r>
      <w:r w:rsidRPr="004B4D8D">
        <w:t xml:space="preserve"> </w:t>
      </w:r>
      <w:r w:rsidR="001E11BB" w:rsidRPr="00643897">
        <w:rPr>
          <w:i/>
          <w:iCs/>
        </w:rPr>
        <w:t>Popovic c. Montréal (Ville de)</w:t>
      </w:r>
      <w:r w:rsidR="001E11BB">
        <w:t xml:space="preserve">, </w:t>
      </w:r>
      <w:r w:rsidR="001E11BB" w:rsidRPr="00643897">
        <w:t>2008 QCCA 2371</w:t>
      </w:r>
      <w:r w:rsidR="001E11BB">
        <w:t>.</w:t>
      </w:r>
    </w:p>
  </w:footnote>
  <w:footnote w:id="21">
    <w:p w14:paraId="79D403AC" w14:textId="67B8BCDF" w:rsidR="003021BE" w:rsidRPr="004B4D8D" w:rsidRDefault="003021BE" w:rsidP="003021BE">
      <w:pPr>
        <w:pStyle w:val="Notedebasdepage"/>
      </w:pPr>
      <w:r>
        <w:rPr>
          <w:rStyle w:val="Appelnotedebasdep"/>
        </w:rPr>
        <w:footnoteRef/>
      </w:r>
      <w:r w:rsidRPr="004B4D8D">
        <w:t xml:space="preserve"> </w:t>
      </w:r>
      <w:r w:rsidR="001E11BB" w:rsidRPr="00643897">
        <w:rPr>
          <w:i/>
          <w:iCs/>
        </w:rPr>
        <w:t>Popovic c. Montréal (Ville de)</w:t>
      </w:r>
      <w:r w:rsidR="001E11BB">
        <w:t xml:space="preserve">, </w:t>
      </w:r>
      <w:r w:rsidR="001E11BB" w:rsidRPr="00643897">
        <w:t>2008 QCCA 2371</w:t>
      </w:r>
      <w:r w:rsidR="001E11BB">
        <w:t xml:space="preserve">, </w:t>
      </w:r>
      <w:r w:rsidRPr="004B4D8D">
        <w:t>paragr. 80.</w:t>
      </w:r>
    </w:p>
  </w:footnote>
  <w:footnote w:id="22">
    <w:p w14:paraId="559DCFD3" w14:textId="4E523333" w:rsidR="003021BE" w:rsidRPr="004B4D8D" w:rsidRDefault="003021BE" w:rsidP="00A2718C">
      <w:pPr>
        <w:pStyle w:val="Notedebasdepage"/>
        <w:ind w:left="0" w:firstLine="0"/>
        <w:rPr>
          <w:highlight w:val="yellow"/>
          <w:lang w:val="en-CA"/>
        </w:rPr>
      </w:pPr>
      <w:r w:rsidRPr="002D6216">
        <w:rPr>
          <w:rStyle w:val="Appelnotedebasdep"/>
        </w:rPr>
        <w:footnoteRef/>
      </w:r>
      <w:r w:rsidRPr="00643897">
        <w:t xml:space="preserve"> </w:t>
      </w:r>
      <w:r w:rsidRPr="00643897">
        <w:rPr>
          <w:i/>
          <w:iCs/>
        </w:rPr>
        <w:t>Popovic c. Montréal (Ville de)</w:t>
      </w:r>
      <w:r>
        <w:t xml:space="preserve">, </w:t>
      </w:r>
      <w:r w:rsidRPr="00643897">
        <w:t>2008 QCCA 2371</w:t>
      </w:r>
      <w:r w:rsidRPr="00643897">
        <w:rPr>
          <w:i/>
          <w:iCs/>
        </w:rPr>
        <w:t>,</w:t>
      </w:r>
      <w:r w:rsidRPr="00643897">
        <w:t xml:space="preserve"> paragr.</w:t>
      </w:r>
      <w:r>
        <w:t xml:space="preserve"> </w:t>
      </w:r>
      <w:r w:rsidRPr="004B4D8D">
        <w:rPr>
          <w:lang w:val="en-CA"/>
        </w:rPr>
        <w:t>83.</w:t>
      </w:r>
    </w:p>
  </w:footnote>
  <w:footnote w:id="23">
    <w:p w14:paraId="223AB2B0" w14:textId="749458E4" w:rsidR="003021BE" w:rsidRPr="00973B7F" w:rsidRDefault="003021BE" w:rsidP="00A2718C">
      <w:pPr>
        <w:pStyle w:val="Notedebasdepage"/>
        <w:ind w:left="0" w:firstLine="0"/>
      </w:pPr>
      <w:r>
        <w:rPr>
          <w:rStyle w:val="Appelnotedebasdep"/>
        </w:rPr>
        <w:footnoteRef/>
      </w:r>
      <w:r w:rsidRPr="00B56935">
        <w:rPr>
          <w:lang w:val="en-CA"/>
        </w:rPr>
        <w:t xml:space="preserve"> </w:t>
      </w:r>
      <w:r w:rsidRPr="00B56935">
        <w:rPr>
          <w:i/>
          <w:lang w:val="en-CA"/>
        </w:rPr>
        <w:t>Cheung c. Borsellino</w:t>
      </w:r>
      <w:r w:rsidRPr="00B56935">
        <w:rPr>
          <w:lang w:val="en-CA"/>
        </w:rPr>
        <w:t>, 2005 QCCA 865</w:t>
      </w:r>
      <w:r w:rsidR="00C6191D" w:rsidRPr="00B56935">
        <w:rPr>
          <w:lang w:val="en-CA"/>
        </w:rPr>
        <w:t xml:space="preserve">, </w:t>
      </w:r>
      <w:r w:rsidRPr="00B56935">
        <w:rPr>
          <w:lang w:val="en-CA"/>
        </w:rPr>
        <w:t xml:space="preserve">paragr. </w:t>
      </w:r>
      <w:r>
        <w:t xml:space="preserve">5; voir aussi : </w:t>
      </w:r>
      <w:r w:rsidRPr="000F47B2">
        <w:rPr>
          <w:i/>
        </w:rPr>
        <w:t>Machineries Maheux (1998) ltée c. J.A.</w:t>
      </w:r>
      <w:r>
        <w:rPr>
          <w:i/>
        </w:rPr>
        <w:t> </w:t>
      </w:r>
      <w:r w:rsidRPr="000F47B2">
        <w:rPr>
          <w:i/>
        </w:rPr>
        <w:t>Larue inc.</w:t>
      </w:r>
      <w:r>
        <w:t>, 2008 QCCA 1202, paragr. 4</w:t>
      </w:r>
      <w:r w:rsidR="00B56935">
        <w:t xml:space="preserve">; </w:t>
      </w:r>
      <w:r w:rsidR="00B56935" w:rsidRPr="00303DB4">
        <w:rPr>
          <w:i/>
          <w:iCs/>
        </w:rPr>
        <w:t>9105-3975 Québec inc. c. Andritz Hydro Canada inc</w:t>
      </w:r>
      <w:r w:rsidR="00B56935" w:rsidRPr="00B56935">
        <w:t>., 2018 QCCA</w:t>
      </w:r>
      <w:r w:rsidR="00FE161F">
        <w:t> </w:t>
      </w:r>
      <w:r w:rsidR="00B56935" w:rsidRPr="00B56935">
        <w:t>1968</w:t>
      </w:r>
      <w:r w:rsidR="00B56935">
        <w:t>,</w:t>
      </w:r>
      <w:r w:rsidR="00FE161F">
        <w:t> </w:t>
      </w:r>
      <w:r w:rsidR="00B56935">
        <w:t>paragr.</w:t>
      </w:r>
      <w:r w:rsidR="00FE161F">
        <w:t> </w:t>
      </w:r>
      <w:r w:rsidR="00B56935">
        <w:t>11-14</w:t>
      </w:r>
      <w:r w:rsidR="006B24AE">
        <w:t>;</w:t>
      </w:r>
      <w:r w:rsidR="00FE161F">
        <w:t xml:space="preserve"> </w:t>
      </w:r>
      <w:r w:rsidR="006B24AE" w:rsidRPr="00303DB4">
        <w:rPr>
          <w:i/>
          <w:iCs/>
        </w:rPr>
        <w:t>Iannuzzi c. Procureur général du Canada</w:t>
      </w:r>
      <w:r w:rsidR="006B24AE" w:rsidRPr="006B24AE">
        <w:t>, 2022 QCCA 884</w:t>
      </w:r>
      <w:r w:rsidR="006B24AE">
        <w:t>, paragr. 2 et 5.</w:t>
      </w:r>
    </w:p>
  </w:footnote>
  <w:footnote w:id="24">
    <w:p w14:paraId="603F85EE" w14:textId="25711C72" w:rsidR="00666E5D" w:rsidRDefault="00666E5D">
      <w:pPr>
        <w:pStyle w:val="Notedebasdepage"/>
      </w:pPr>
      <w:r>
        <w:rPr>
          <w:rStyle w:val="Appelnotedebasdep"/>
        </w:rPr>
        <w:footnoteRef/>
      </w:r>
      <w:r>
        <w:t xml:space="preserve"> Jugement entrepris, paragr. </w:t>
      </w:r>
      <w:r w:rsidR="00E10BAA">
        <w:t>69-72.</w:t>
      </w:r>
    </w:p>
  </w:footnote>
  <w:footnote w:id="25">
    <w:p w14:paraId="28870899" w14:textId="2C5230C1" w:rsidR="00DE28C3" w:rsidRDefault="00DE28C3">
      <w:pPr>
        <w:pStyle w:val="Notedebasdepage"/>
      </w:pPr>
      <w:r>
        <w:rPr>
          <w:rStyle w:val="Appelnotedebasdep"/>
        </w:rPr>
        <w:footnoteRef/>
      </w:r>
      <w:r>
        <w:t xml:space="preserve"> Jugement entrepris, paragr. 77-82.</w:t>
      </w:r>
    </w:p>
  </w:footnote>
  <w:footnote w:id="26">
    <w:p w14:paraId="40E5C608" w14:textId="1BADEAF3" w:rsidR="003021BE" w:rsidRDefault="003021BE" w:rsidP="003021BE">
      <w:pPr>
        <w:pStyle w:val="Notedebasdepage"/>
      </w:pPr>
      <w:r>
        <w:rPr>
          <w:rStyle w:val="Appelnotedebasdep"/>
        </w:rPr>
        <w:footnoteRef/>
      </w:r>
      <w:r>
        <w:t xml:space="preserve"> </w:t>
      </w:r>
      <w:r w:rsidRPr="00C8626C">
        <w:rPr>
          <w:i/>
          <w:iCs/>
        </w:rPr>
        <w:t>Popovic c. Vil</w:t>
      </w:r>
      <w:r>
        <w:rPr>
          <w:i/>
          <w:iCs/>
        </w:rPr>
        <w:t>l</w:t>
      </w:r>
      <w:r w:rsidRPr="00C8626C">
        <w:rPr>
          <w:i/>
          <w:iCs/>
        </w:rPr>
        <w:t>e de Montréal,</w:t>
      </w:r>
      <w:r>
        <w:t xml:space="preserve"> 2008 QCCA 2371, paragr.</w:t>
      </w:r>
      <w:r w:rsidR="009E6B1E">
        <w:t xml:space="preserve"> </w:t>
      </w:r>
      <w:r>
        <w:t>71.</w:t>
      </w:r>
    </w:p>
  </w:footnote>
  <w:footnote w:id="27">
    <w:p w14:paraId="1D7FA656" w14:textId="4CD824D0" w:rsidR="003E486D" w:rsidRDefault="003E486D" w:rsidP="007838BA">
      <w:pPr>
        <w:pStyle w:val="Notedebasdepage"/>
        <w:ind w:left="0" w:firstLine="0"/>
      </w:pPr>
      <w:r>
        <w:rPr>
          <w:rStyle w:val="Appelnotedebasdep"/>
        </w:rPr>
        <w:footnoteRef/>
      </w:r>
      <w:r>
        <w:t xml:space="preserve"> </w:t>
      </w:r>
      <w:r w:rsidRPr="00303DB4">
        <w:rPr>
          <w:i/>
          <w:iCs/>
        </w:rPr>
        <w:t>Code de procédure civile</w:t>
      </w:r>
      <w:r>
        <w:t>, RLRQ, c. C-25.01, art. 321 al. 2</w:t>
      </w:r>
      <w:r w:rsidR="0064520B">
        <w:t xml:space="preserve"> et 360</w:t>
      </w:r>
      <w:r>
        <w:t xml:space="preserve">; </w:t>
      </w:r>
      <w:r w:rsidRPr="00303DB4">
        <w:rPr>
          <w:i/>
          <w:iCs/>
        </w:rPr>
        <w:t>Autorité des marchés financiers c. Weynant</w:t>
      </w:r>
      <w:r w:rsidRPr="003E486D">
        <w:t>, 2023 QCCA 122</w:t>
      </w:r>
      <w:r>
        <w:t>, paragr. 1</w:t>
      </w:r>
      <w:r w:rsidR="0064520B">
        <w:t>1-19</w:t>
      </w:r>
      <w:r>
        <w:t>.</w:t>
      </w:r>
    </w:p>
  </w:footnote>
  <w:footnote w:id="28">
    <w:p w14:paraId="5A3F042C" w14:textId="4098C939" w:rsidR="006B24AE" w:rsidRDefault="006B24AE">
      <w:pPr>
        <w:pStyle w:val="Notedebasdepage"/>
      </w:pPr>
      <w:r>
        <w:rPr>
          <w:rStyle w:val="Appelnotedebasdep"/>
        </w:rPr>
        <w:footnoteRef/>
      </w:r>
      <w:r>
        <w:t xml:space="preserve"> </w:t>
      </w:r>
      <w:r w:rsidRPr="00321A56">
        <w:rPr>
          <w:i/>
          <w:iCs/>
        </w:rPr>
        <w:t>Iannuzzi c. Procureur général du Canada</w:t>
      </w:r>
      <w:r w:rsidRPr="006B24AE">
        <w:t>, 2022 QCCA 884</w:t>
      </w:r>
      <w:r>
        <w:t>, paragr .8.</w:t>
      </w:r>
    </w:p>
  </w:footnote>
  <w:footnote w:id="29">
    <w:p w14:paraId="284AC5FE" w14:textId="3C23BC0F" w:rsidR="003021BE" w:rsidRPr="003A7954" w:rsidRDefault="003021BE" w:rsidP="003021BE">
      <w:pPr>
        <w:pStyle w:val="Notedebasdepage"/>
      </w:pPr>
      <w:r>
        <w:rPr>
          <w:rStyle w:val="Appelnotedebasdep"/>
        </w:rPr>
        <w:footnoteRef/>
      </w:r>
      <w:r w:rsidRPr="003A7954">
        <w:t xml:space="preserve"> </w:t>
      </w:r>
      <w:r w:rsidRPr="003A7954">
        <w:rPr>
          <w:i/>
          <w:iCs/>
        </w:rPr>
        <w:t>Hypothèques</w:t>
      </w:r>
      <w:r>
        <w:rPr>
          <w:i/>
          <w:iCs/>
        </w:rPr>
        <w:t xml:space="preserve"> </w:t>
      </w:r>
      <w:r w:rsidRPr="003A7954">
        <w:rPr>
          <w:i/>
          <w:iCs/>
        </w:rPr>
        <w:t>Trustco Canada c. Canada</w:t>
      </w:r>
      <w:r w:rsidRPr="003A7954">
        <w:t>, 2005</w:t>
      </w:r>
      <w:r w:rsidR="007D77C0">
        <w:t xml:space="preserve"> </w:t>
      </w:r>
      <w:r w:rsidRPr="003A7954">
        <w:t>CSC</w:t>
      </w:r>
      <w:r w:rsidR="007D77C0">
        <w:t xml:space="preserve"> </w:t>
      </w:r>
      <w:r w:rsidRPr="003A7954">
        <w:t>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67E3" w14:textId="7342990D" w:rsidR="007E33E4" w:rsidRDefault="00BF76DE" w:rsidP="00621A1A">
    <w:pPr>
      <w:tabs>
        <w:tab w:val="center" w:pos="4709"/>
        <w:tab w:val="right" w:pos="9360"/>
      </w:tabs>
      <w:spacing w:after="360" w:line="240" w:lineRule="auto"/>
      <w:ind w:right="522"/>
    </w:pPr>
    <w:bookmarkStart w:id="14" w:name="EntDossier"/>
    <w:r>
      <w:t>500-09-030996-243</w:t>
    </w:r>
    <w:bookmarkEnd w:id="14"/>
    <w:r w:rsidR="007E33E4" w:rsidRPr="007462D6">
      <w:t xml:space="preserve"> </w:t>
    </w:r>
    <w:r w:rsidR="007E33E4">
      <w:tab/>
    </w:r>
    <w:r w:rsidR="007E33E4">
      <w:tab/>
      <w:t xml:space="preserve">PAGE : </w:t>
    </w:r>
    <w:r w:rsidR="007E33E4">
      <w:fldChar w:fldCharType="begin"/>
    </w:r>
    <w:r w:rsidR="007E33E4">
      <w:instrText xml:space="preserve"> PAGE </w:instrText>
    </w:r>
    <w:r w:rsidR="007E33E4">
      <w:fldChar w:fldCharType="separate"/>
    </w:r>
    <w:r w:rsidR="008D18FC">
      <w:rPr>
        <w:noProof/>
      </w:rPr>
      <w:t>2</w:t>
    </w:r>
    <w:r w:rsidR="007E33E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274"/>
        </w:tabs>
        <w:ind w:left="1274"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F16255"/>
    <w:multiLevelType w:val="hybridMultilevel"/>
    <w:tmpl w:val="4590F9B8"/>
    <w:lvl w:ilvl="0" w:tplc="22986500">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47F5066"/>
    <w:multiLevelType w:val="hybridMultilevel"/>
    <w:tmpl w:val="718C8FD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7D26D43"/>
    <w:multiLevelType w:val="hybridMultilevel"/>
    <w:tmpl w:val="46F0B96A"/>
    <w:lvl w:ilvl="0" w:tplc="0F3A7EBA">
      <w:start w:val="1"/>
      <w:numFmt w:val="lowerLetter"/>
      <w:lvlText w:val="%1)"/>
      <w:lvlJc w:val="left"/>
      <w:pPr>
        <w:ind w:left="1080" w:hanging="360"/>
      </w:pPr>
      <w:rPr>
        <w:rFonts w:hint="default"/>
      </w:rPr>
    </w:lvl>
    <w:lvl w:ilvl="1" w:tplc="0C0C0019">
      <w:start w:val="1"/>
      <w:numFmt w:val="lowerLetter"/>
      <w:lvlText w:val="%2."/>
      <w:lvlJc w:val="left"/>
      <w:pPr>
        <w:ind w:left="2508" w:hanging="360"/>
      </w:pPr>
    </w:lvl>
    <w:lvl w:ilvl="2" w:tplc="0C0C001B" w:tentative="1">
      <w:start w:val="1"/>
      <w:numFmt w:val="lowerRoman"/>
      <w:lvlText w:val="%3."/>
      <w:lvlJc w:val="right"/>
      <w:pPr>
        <w:ind w:left="3228" w:hanging="180"/>
      </w:pPr>
    </w:lvl>
    <w:lvl w:ilvl="3" w:tplc="0C0C000F" w:tentative="1">
      <w:start w:val="1"/>
      <w:numFmt w:val="decimal"/>
      <w:lvlText w:val="%4."/>
      <w:lvlJc w:val="left"/>
      <w:pPr>
        <w:ind w:left="3948" w:hanging="360"/>
      </w:pPr>
    </w:lvl>
    <w:lvl w:ilvl="4" w:tplc="0C0C0019" w:tentative="1">
      <w:start w:val="1"/>
      <w:numFmt w:val="lowerLetter"/>
      <w:lvlText w:val="%5."/>
      <w:lvlJc w:val="left"/>
      <w:pPr>
        <w:ind w:left="4668" w:hanging="360"/>
      </w:pPr>
    </w:lvl>
    <w:lvl w:ilvl="5" w:tplc="0C0C001B" w:tentative="1">
      <w:start w:val="1"/>
      <w:numFmt w:val="lowerRoman"/>
      <w:lvlText w:val="%6."/>
      <w:lvlJc w:val="right"/>
      <w:pPr>
        <w:ind w:left="5388" w:hanging="180"/>
      </w:pPr>
    </w:lvl>
    <w:lvl w:ilvl="6" w:tplc="0C0C000F" w:tentative="1">
      <w:start w:val="1"/>
      <w:numFmt w:val="decimal"/>
      <w:lvlText w:val="%7."/>
      <w:lvlJc w:val="left"/>
      <w:pPr>
        <w:ind w:left="6108" w:hanging="360"/>
      </w:pPr>
    </w:lvl>
    <w:lvl w:ilvl="7" w:tplc="0C0C0019" w:tentative="1">
      <w:start w:val="1"/>
      <w:numFmt w:val="lowerLetter"/>
      <w:lvlText w:val="%8."/>
      <w:lvlJc w:val="left"/>
      <w:pPr>
        <w:ind w:left="6828" w:hanging="360"/>
      </w:pPr>
    </w:lvl>
    <w:lvl w:ilvl="8" w:tplc="0C0C001B" w:tentative="1">
      <w:start w:val="1"/>
      <w:numFmt w:val="lowerRoman"/>
      <w:lvlText w:val="%9."/>
      <w:lvlJc w:val="right"/>
      <w:pPr>
        <w:ind w:left="7548" w:hanging="180"/>
      </w:pPr>
    </w:lvl>
  </w:abstractNum>
  <w:abstractNum w:abstractNumId="13" w15:restartNumberingAfterBreak="0">
    <w:nsid w:val="28BB52DE"/>
    <w:multiLevelType w:val="multilevel"/>
    <w:tmpl w:val="79E601F0"/>
    <w:lvl w:ilvl="0">
      <w:start w:val="1"/>
      <w:numFmt w:val="decimal"/>
      <w:pStyle w:val="Paragraphe"/>
      <w:lvlText w:val="[%1]"/>
      <w:lvlJc w:val="left"/>
      <w:pPr>
        <w:tabs>
          <w:tab w:val="num" w:pos="720"/>
        </w:tabs>
        <w:ind w:left="0" w:firstLine="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9A16F29"/>
    <w:multiLevelType w:val="hybridMultilevel"/>
    <w:tmpl w:val="6E7265A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4F8C048F"/>
    <w:multiLevelType w:val="hybridMultilevel"/>
    <w:tmpl w:val="6E7265A0"/>
    <w:lvl w:ilvl="0" w:tplc="0C0C0017">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7"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7CFA4B94"/>
    <w:multiLevelType w:val="hybridMultilevel"/>
    <w:tmpl w:val="1AC8AB6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05744867">
    <w:abstractNumId w:val="17"/>
  </w:num>
  <w:num w:numId="2" w16cid:durableId="2126729408">
    <w:abstractNumId w:val="17"/>
  </w:num>
  <w:num w:numId="3" w16cid:durableId="1932200708">
    <w:abstractNumId w:val="17"/>
  </w:num>
  <w:num w:numId="4" w16cid:durableId="1181696905">
    <w:abstractNumId w:val="8"/>
  </w:num>
  <w:num w:numId="5" w16cid:durableId="480579356">
    <w:abstractNumId w:val="3"/>
  </w:num>
  <w:num w:numId="6" w16cid:durableId="827285401">
    <w:abstractNumId w:val="2"/>
  </w:num>
  <w:num w:numId="7" w16cid:durableId="1914662429">
    <w:abstractNumId w:val="1"/>
  </w:num>
  <w:num w:numId="8" w16cid:durableId="2108848720">
    <w:abstractNumId w:val="0"/>
  </w:num>
  <w:num w:numId="9" w16cid:durableId="1457991691">
    <w:abstractNumId w:val="9"/>
  </w:num>
  <w:num w:numId="10" w16cid:durableId="1496067544">
    <w:abstractNumId w:val="7"/>
  </w:num>
  <w:num w:numId="11" w16cid:durableId="1404836006">
    <w:abstractNumId w:val="6"/>
  </w:num>
  <w:num w:numId="12" w16cid:durableId="401564615">
    <w:abstractNumId w:val="5"/>
  </w:num>
  <w:num w:numId="13" w16cid:durableId="1963922308">
    <w:abstractNumId w:val="4"/>
  </w:num>
  <w:num w:numId="14" w16cid:durableId="101456703">
    <w:abstractNumId w:val="17"/>
  </w:num>
  <w:num w:numId="15" w16cid:durableId="1382091185">
    <w:abstractNumId w:val="17"/>
  </w:num>
  <w:num w:numId="16" w16cid:durableId="1993637402">
    <w:abstractNumId w:val="17"/>
  </w:num>
  <w:num w:numId="17" w16cid:durableId="1263806435">
    <w:abstractNumId w:val="15"/>
  </w:num>
  <w:num w:numId="18" w16cid:durableId="43604593">
    <w:abstractNumId w:val="13"/>
  </w:num>
  <w:num w:numId="19" w16cid:durableId="1366834313">
    <w:abstractNumId w:val="12"/>
  </w:num>
  <w:num w:numId="20" w16cid:durableId="1328709041">
    <w:abstractNumId w:val="11"/>
  </w:num>
  <w:num w:numId="21" w16cid:durableId="1318537484">
    <w:abstractNumId w:val="10"/>
  </w:num>
  <w:num w:numId="22" w16cid:durableId="1692607571">
    <w:abstractNumId w:val="16"/>
  </w:num>
  <w:num w:numId="23" w16cid:durableId="877663153">
    <w:abstractNumId w:val="18"/>
  </w:num>
  <w:num w:numId="24" w16cid:durableId="10448694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NBChoix" w:val="3"/>
    <w:docVar w:name="MotifJuge1" w:val="MOTIFS DE LA JUGE"/>
    <w:docVar w:name="MotifJuge2" w:val="MOTIFS DU JUGE"/>
    <w:docVar w:name="MotifJuge3" w:val="MOTIFS DE LA JUGE"/>
    <w:docVar w:name="NomFamJuge1" w:val="HOGUE"/>
    <w:docVar w:name="NomFamJuge2" w:val="RUEL"/>
    <w:docVar w:name="NomFamJuge3" w:val="HARVIE"/>
    <w:docVar w:name="NomFamJuge4" w:val="MAILHOT"/>
    <w:docVar w:name="NomFamJuge5" w:val="BAUDOUIN"/>
    <w:docVar w:name="QteJuge1" w:val=", J.C.A."/>
    <w:docVar w:name="QteJuge2" w:val=", J.C.A."/>
    <w:docVar w:name="QteJuge3" w:val=", J.C.A."/>
    <w:docVar w:name="stPremiereFois" w:val="Non"/>
  </w:docVars>
  <w:rsids>
    <w:rsidRoot w:val="00BF76DE"/>
    <w:rsid w:val="00001D36"/>
    <w:rsid w:val="00007474"/>
    <w:rsid w:val="000131E1"/>
    <w:rsid w:val="00017EFC"/>
    <w:rsid w:val="00020DDC"/>
    <w:rsid w:val="00042646"/>
    <w:rsid w:val="0004394C"/>
    <w:rsid w:val="00053691"/>
    <w:rsid w:val="000769E4"/>
    <w:rsid w:val="00092602"/>
    <w:rsid w:val="000955FD"/>
    <w:rsid w:val="000A08BE"/>
    <w:rsid w:val="000A15E0"/>
    <w:rsid w:val="000A7516"/>
    <w:rsid w:val="000B3B83"/>
    <w:rsid w:val="000B42AF"/>
    <w:rsid w:val="000C6452"/>
    <w:rsid w:val="000E1885"/>
    <w:rsid w:val="000E3A6E"/>
    <w:rsid w:val="000E7A15"/>
    <w:rsid w:val="000F705D"/>
    <w:rsid w:val="000F79CB"/>
    <w:rsid w:val="00101D89"/>
    <w:rsid w:val="00104496"/>
    <w:rsid w:val="00105E92"/>
    <w:rsid w:val="00110B53"/>
    <w:rsid w:val="00112321"/>
    <w:rsid w:val="00117812"/>
    <w:rsid w:val="00117914"/>
    <w:rsid w:val="001240CF"/>
    <w:rsid w:val="0013028C"/>
    <w:rsid w:val="00131C14"/>
    <w:rsid w:val="001442F2"/>
    <w:rsid w:val="0015610F"/>
    <w:rsid w:val="00160B31"/>
    <w:rsid w:val="00177031"/>
    <w:rsid w:val="00181F56"/>
    <w:rsid w:val="00190FA7"/>
    <w:rsid w:val="001972F2"/>
    <w:rsid w:val="001A0A7E"/>
    <w:rsid w:val="001A6B5C"/>
    <w:rsid w:val="001B0547"/>
    <w:rsid w:val="001B12C9"/>
    <w:rsid w:val="001B24A8"/>
    <w:rsid w:val="001B5FB4"/>
    <w:rsid w:val="001C53B9"/>
    <w:rsid w:val="001D505F"/>
    <w:rsid w:val="001E11BB"/>
    <w:rsid w:val="001E3D1E"/>
    <w:rsid w:val="00200879"/>
    <w:rsid w:val="002028FE"/>
    <w:rsid w:val="00205DC4"/>
    <w:rsid w:val="00213BDF"/>
    <w:rsid w:val="0021548E"/>
    <w:rsid w:val="00215F22"/>
    <w:rsid w:val="00224729"/>
    <w:rsid w:val="002273F5"/>
    <w:rsid w:val="00230D56"/>
    <w:rsid w:val="00236A5B"/>
    <w:rsid w:val="002651CF"/>
    <w:rsid w:val="00275595"/>
    <w:rsid w:val="00281F5A"/>
    <w:rsid w:val="00282DAF"/>
    <w:rsid w:val="00296812"/>
    <w:rsid w:val="0029735C"/>
    <w:rsid w:val="002A029E"/>
    <w:rsid w:val="002A1FBB"/>
    <w:rsid w:val="002B1A04"/>
    <w:rsid w:val="002B3A91"/>
    <w:rsid w:val="002B4A07"/>
    <w:rsid w:val="002C4107"/>
    <w:rsid w:val="002D7F26"/>
    <w:rsid w:val="002E1F0E"/>
    <w:rsid w:val="002E229C"/>
    <w:rsid w:val="002E51F1"/>
    <w:rsid w:val="002E66B2"/>
    <w:rsid w:val="002F1350"/>
    <w:rsid w:val="002F6136"/>
    <w:rsid w:val="003021BE"/>
    <w:rsid w:val="00303DB4"/>
    <w:rsid w:val="0030544E"/>
    <w:rsid w:val="00306892"/>
    <w:rsid w:val="00306ADA"/>
    <w:rsid w:val="00322DE0"/>
    <w:rsid w:val="0032363D"/>
    <w:rsid w:val="0033190E"/>
    <w:rsid w:val="00351A17"/>
    <w:rsid w:val="00361325"/>
    <w:rsid w:val="00364485"/>
    <w:rsid w:val="0037330C"/>
    <w:rsid w:val="00374888"/>
    <w:rsid w:val="00374E40"/>
    <w:rsid w:val="00377F7E"/>
    <w:rsid w:val="00381CBC"/>
    <w:rsid w:val="003838A9"/>
    <w:rsid w:val="0039076D"/>
    <w:rsid w:val="00390EBF"/>
    <w:rsid w:val="00392E75"/>
    <w:rsid w:val="003B0A07"/>
    <w:rsid w:val="003B19E3"/>
    <w:rsid w:val="003B3792"/>
    <w:rsid w:val="003C6A14"/>
    <w:rsid w:val="003D37F2"/>
    <w:rsid w:val="003D487D"/>
    <w:rsid w:val="003D7029"/>
    <w:rsid w:val="003E3239"/>
    <w:rsid w:val="003E3E3C"/>
    <w:rsid w:val="003E486D"/>
    <w:rsid w:val="003E5756"/>
    <w:rsid w:val="003F08ED"/>
    <w:rsid w:val="003F58DA"/>
    <w:rsid w:val="004108C4"/>
    <w:rsid w:val="00415D1B"/>
    <w:rsid w:val="00423DF1"/>
    <w:rsid w:val="00430C58"/>
    <w:rsid w:val="004325AE"/>
    <w:rsid w:val="004331C4"/>
    <w:rsid w:val="0043564D"/>
    <w:rsid w:val="00437E37"/>
    <w:rsid w:val="00441C25"/>
    <w:rsid w:val="00446452"/>
    <w:rsid w:val="00464047"/>
    <w:rsid w:val="00472DC8"/>
    <w:rsid w:val="004802EC"/>
    <w:rsid w:val="00484F7B"/>
    <w:rsid w:val="00485255"/>
    <w:rsid w:val="004A29F1"/>
    <w:rsid w:val="004A6641"/>
    <w:rsid w:val="004B1E94"/>
    <w:rsid w:val="004B22C6"/>
    <w:rsid w:val="004B33FF"/>
    <w:rsid w:val="004D2F69"/>
    <w:rsid w:val="004D456C"/>
    <w:rsid w:val="004D7451"/>
    <w:rsid w:val="004E4FBA"/>
    <w:rsid w:val="004F1E1A"/>
    <w:rsid w:val="004F47FE"/>
    <w:rsid w:val="005072AB"/>
    <w:rsid w:val="005131F1"/>
    <w:rsid w:val="0051484F"/>
    <w:rsid w:val="00516B3E"/>
    <w:rsid w:val="005178BA"/>
    <w:rsid w:val="00517B85"/>
    <w:rsid w:val="00522BCE"/>
    <w:rsid w:val="005262C9"/>
    <w:rsid w:val="00527923"/>
    <w:rsid w:val="00531D70"/>
    <w:rsid w:val="00547263"/>
    <w:rsid w:val="00551EFA"/>
    <w:rsid w:val="00566BF6"/>
    <w:rsid w:val="0057363E"/>
    <w:rsid w:val="00583434"/>
    <w:rsid w:val="0058349F"/>
    <w:rsid w:val="005857D1"/>
    <w:rsid w:val="00595B35"/>
    <w:rsid w:val="005A189B"/>
    <w:rsid w:val="005A1E02"/>
    <w:rsid w:val="005A78BF"/>
    <w:rsid w:val="005B30DB"/>
    <w:rsid w:val="005B6B4C"/>
    <w:rsid w:val="005C1C50"/>
    <w:rsid w:val="005C1CCD"/>
    <w:rsid w:val="005C566E"/>
    <w:rsid w:val="005C7516"/>
    <w:rsid w:val="005D0928"/>
    <w:rsid w:val="005D1522"/>
    <w:rsid w:val="005D67BC"/>
    <w:rsid w:val="005F5F5F"/>
    <w:rsid w:val="00607B3B"/>
    <w:rsid w:val="0061108A"/>
    <w:rsid w:val="00621A1A"/>
    <w:rsid w:val="00624770"/>
    <w:rsid w:val="006350AB"/>
    <w:rsid w:val="00637516"/>
    <w:rsid w:val="0064250B"/>
    <w:rsid w:val="00642B0D"/>
    <w:rsid w:val="006431B5"/>
    <w:rsid w:val="0064520B"/>
    <w:rsid w:val="00666E5D"/>
    <w:rsid w:val="00671CF5"/>
    <w:rsid w:val="00672FAB"/>
    <w:rsid w:val="006826AA"/>
    <w:rsid w:val="0068356A"/>
    <w:rsid w:val="00687453"/>
    <w:rsid w:val="00694ECE"/>
    <w:rsid w:val="0069762D"/>
    <w:rsid w:val="006A0371"/>
    <w:rsid w:val="006A0DB0"/>
    <w:rsid w:val="006A4899"/>
    <w:rsid w:val="006A6629"/>
    <w:rsid w:val="006A7FFB"/>
    <w:rsid w:val="006B24AE"/>
    <w:rsid w:val="006B564B"/>
    <w:rsid w:val="006B6D56"/>
    <w:rsid w:val="006B7A13"/>
    <w:rsid w:val="006D5CB0"/>
    <w:rsid w:val="006E0276"/>
    <w:rsid w:val="006E4E96"/>
    <w:rsid w:val="006E778F"/>
    <w:rsid w:val="007076EF"/>
    <w:rsid w:val="0070788A"/>
    <w:rsid w:val="00714A02"/>
    <w:rsid w:val="00722A86"/>
    <w:rsid w:val="00725D2A"/>
    <w:rsid w:val="007304FA"/>
    <w:rsid w:val="007321B1"/>
    <w:rsid w:val="0073484E"/>
    <w:rsid w:val="007351E2"/>
    <w:rsid w:val="0073527D"/>
    <w:rsid w:val="00736195"/>
    <w:rsid w:val="00740A17"/>
    <w:rsid w:val="007462D6"/>
    <w:rsid w:val="0074738B"/>
    <w:rsid w:val="0076062E"/>
    <w:rsid w:val="00763D91"/>
    <w:rsid w:val="00780C4C"/>
    <w:rsid w:val="00782D46"/>
    <w:rsid w:val="007838BA"/>
    <w:rsid w:val="007901CC"/>
    <w:rsid w:val="007953F3"/>
    <w:rsid w:val="007A5D7C"/>
    <w:rsid w:val="007A7803"/>
    <w:rsid w:val="007B061E"/>
    <w:rsid w:val="007B48D5"/>
    <w:rsid w:val="007B5462"/>
    <w:rsid w:val="007B693E"/>
    <w:rsid w:val="007D087C"/>
    <w:rsid w:val="007D5D8B"/>
    <w:rsid w:val="007D5F69"/>
    <w:rsid w:val="007D77C0"/>
    <w:rsid w:val="007E0D84"/>
    <w:rsid w:val="007E33E4"/>
    <w:rsid w:val="007E4CC9"/>
    <w:rsid w:val="007F0904"/>
    <w:rsid w:val="007F13EA"/>
    <w:rsid w:val="007F187A"/>
    <w:rsid w:val="007F40FD"/>
    <w:rsid w:val="00800D23"/>
    <w:rsid w:val="00816273"/>
    <w:rsid w:val="00820146"/>
    <w:rsid w:val="0082717B"/>
    <w:rsid w:val="00827B04"/>
    <w:rsid w:val="0083032E"/>
    <w:rsid w:val="00832B36"/>
    <w:rsid w:val="008415D4"/>
    <w:rsid w:val="00841907"/>
    <w:rsid w:val="00851096"/>
    <w:rsid w:val="0086036A"/>
    <w:rsid w:val="00864CA8"/>
    <w:rsid w:val="008653A3"/>
    <w:rsid w:val="008657A2"/>
    <w:rsid w:val="00866645"/>
    <w:rsid w:val="00882210"/>
    <w:rsid w:val="00886F89"/>
    <w:rsid w:val="00890963"/>
    <w:rsid w:val="0089138C"/>
    <w:rsid w:val="008A2A1F"/>
    <w:rsid w:val="008A4E75"/>
    <w:rsid w:val="008A6185"/>
    <w:rsid w:val="008B100D"/>
    <w:rsid w:val="008B23FD"/>
    <w:rsid w:val="008C1249"/>
    <w:rsid w:val="008C1FE9"/>
    <w:rsid w:val="008C7DCE"/>
    <w:rsid w:val="008D18FC"/>
    <w:rsid w:val="008D398B"/>
    <w:rsid w:val="008D3A66"/>
    <w:rsid w:val="008D4207"/>
    <w:rsid w:val="008D7E49"/>
    <w:rsid w:val="008E259B"/>
    <w:rsid w:val="008E5E9D"/>
    <w:rsid w:val="008F364A"/>
    <w:rsid w:val="008F3F53"/>
    <w:rsid w:val="00903D70"/>
    <w:rsid w:val="00904683"/>
    <w:rsid w:val="00913E03"/>
    <w:rsid w:val="009229E9"/>
    <w:rsid w:val="009238F7"/>
    <w:rsid w:val="00926953"/>
    <w:rsid w:val="00930AF5"/>
    <w:rsid w:val="00932703"/>
    <w:rsid w:val="00933781"/>
    <w:rsid w:val="00934D5B"/>
    <w:rsid w:val="00936469"/>
    <w:rsid w:val="009400B7"/>
    <w:rsid w:val="00954DC2"/>
    <w:rsid w:val="009563EE"/>
    <w:rsid w:val="00957B92"/>
    <w:rsid w:val="009636C4"/>
    <w:rsid w:val="00970966"/>
    <w:rsid w:val="00974442"/>
    <w:rsid w:val="009D4596"/>
    <w:rsid w:val="009E603B"/>
    <w:rsid w:val="009E6B1E"/>
    <w:rsid w:val="009E7B0F"/>
    <w:rsid w:val="009F1F69"/>
    <w:rsid w:val="00A0487E"/>
    <w:rsid w:val="00A20C0F"/>
    <w:rsid w:val="00A23BF4"/>
    <w:rsid w:val="00A2593B"/>
    <w:rsid w:val="00A26201"/>
    <w:rsid w:val="00A2718C"/>
    <w:rsid w:val="00A344BD"/>
    <w:rsid w:val="00A34E05"/>
    <w:rsid w:val="00A43D8B"/>
    <w:rsid w:val="00A44B7C"/>
    <w:rsid w:val="00A454F1"/>
    <w:rsid w:val="00A475D5"/>
    <w:rsid w:val="00A543CC"/>
    <w:rsid w:val="00A8386B"/>
    <w:rsid w:val="00A84267"/>
    <w:rsid w:val="00A93CFF"/>
    <w:rsid w:val="00A961F0"/>
    <w:rsid w:val="00AA6064"/>
    <w:rsid w:val="00AA6A1B"/>
    <w:rsid w:val="00AB2099"/>
    <w:rsid w:val="00AB7DD2"/>
    <w:rsid w:val="00AD26C6"/>
    <w:rsid w:val="00AD5935"/>
    <w:rsid w:val="00AE15D4"/>
    <w:rsid w:val="00AE1B6D"/>
    <w:rsid w:val="00AF0C7C"/>
    <w:rsid w:val="00AF145D"/>
    <w:rsid w:val="00B01D86"/>
    <w:rsid w:val="00B03749"/>
    <w:rsid w:val="00B06DA2"/>
    <w:rsid w:val="00B07E4E"/>
    <w:rsid w:val="00B11FD1"/>
    <w:rsid w:val="00B137E9"/>
    <w:rsid w:val="00B14E8C"/>
    <w:rsid w:val="00B228F5"/>
    <w:rsid w:val="00B30EA2"/>
    <w:rsid w:val="00B321A0"/>
    <w:rsid w:val="00B36CB7"/>
    <w:rsid w:val="00B36ED3"/>
    <w:rsid w:val="00B419BD"/>
    <w:rsid w:val="00B513C9"/>
    <w:rsid w:val="00B55F64"/>
    <w:rsid w:val="00B56935"/>
    <w:rsid w:val="00B56EF4"/>
    <w:rsid w:val="00B66FB5"/>
    <w:rsid w:val="00B70485"/>
    <w:rsid w:val="00B71D7A"/>
    <w:rsid w:val="00B82A13"/>
    <w:rsid w:val="00B835F7"/>
    <w:rsid w:val="00B90303"/>
    <w:rsid w:val="00B940CF"/>
    <w:rsid w:val="00BC43F9"/>
    <w:rsid w:val="00BD5A22"/>
    <w:rsid w:val="00BF76DE"/>
    <w:rsid w:val="00C0207D"/>
    <w:rsid w:val="00C02AF8"/>
    <w:rsid w:val="00C17E01"/>
    <w:rsid w:val="00C2688D"/>
    <w:rsid w:val="00C31AC4"/>
    <w:rsid w:val="00C342FA"/>
    <w:rsid w:val="00C35CA2"/>
    <w:rsid w:val="00C3645C"/>
    <w:rsid w:val="00C409BE"/>
    <w:rsid w:val="00C40EBA"/>
    <w:rsid w:val="00C423CA"/>
    <w:rsid w:val="00C54174"/>
    <w:rsid w:val="00C575FA"/>
    <w:rsid w:val="00C61344"/>
    <w:rsid w:val="00C6191D"/>
    <w:rsid w:val="00C652ED"/>
    <w:rsid w:val="00C7793C"/>
    <w:rsid w:val="00C8771C"/>
    <w:rsid w:val="00C939A8"/>
    <w:rsid w:val="00C95A73"/>
    <w:rsid w:val="00C97145"/>
    <w:rsid w:val="00CA5FC4"/>
    <w:rsid w:val="00CC64B7"/>
    <w:rsid w:val="00CD6EBC"/>
    <w:rsid w:val="00CE31C9"/>
    <w:rsid w:val="00CF0A0F"/>
    <w:rsid w:val="00CF42FB"/>
    <w:rsid w:val="00CF5447"/>
    <w:rsid w:val="00CF5CC0"/>
    <w:rsid w:val="00D010FD"/>
    <w:rsid w:val="00D02812"/>
    <w:rsid w:val="00D14F23"/>
    <w:rsid w:val="00D20056"/>
    <w:rsid w:val="00D37E56"/>
    <w:rsid w:val="00D51C88"/>
    <w:rsid w:val="00D656BC"/>
    <w:rsid w:val="00D71BD7"/>
    <w:rsid w:val="00D80194"/>
    <w:rsid w:val="00D85432"/>
    <w:rsid w:val="00D857B1"/>
    <w:rsid w:val="00D90653"/>
    <w:rsid w:val="00D97C3D"/>
    <w:rsid w:val="00DB2119"/>
    <w:rsid w:val="00DC05BC"/>
    <w:rsid w:val="00DD3A24"/>
    <w:rsid w:val="00DD5667"/>
    <w:rsid w:val="00DD6D64"/>
    <w:rsid w:val="00DE28C3"/>
    <w:rsid w:val="00DF3516"/>
    <w:rsid w:val="00E03C07"/>
    <w:rsid w:val="00E10BAA"/>
    <w:rsid w:val="00E12DD8"/>
    <w:rsid w:val="00E20E3C"/>
    <w:rsid w:val="00E25AD9"/>
    <w:rsid w:val="00E300C1"/>
    <w:rsid w:val="00E35F5F"/>
    <w:rsid w:val="00E36290"/>
    <w:rsid w:val="00E42464"/>
    <w:rsid w:val="00E45B4B"/>
    <w:rsid w:val="00E46A0D"/>
    <w:rsid w:val="00E71F64"/>
    <w:rsid w:val="00E81E61"/>
    <w:rsid w:val="00E848B4"/>
    <w:rsid w:val="00E91417"/>
    <w:rsid w:val="00E9197C"/>
    <w:rsid w:val="00E94329"/>
    <w:rsid w:val="00EB1377"/>
    <w:rsid w:val="00EC1E33"/>
    <w:rsid w:val="00EC2105"/>
    <w:rsid w:val="00EC5A9A"/>
    <w:rsid w:val="00EC6944"/>
    <w:rsid w:val="00ED0030"/>
    <w:rsid w:val="00ED0764"/>
    <w:rsid w:val="00F07022"/>
    <w:rsid w:val="00F1119E"/>
    <w:rsid w:val="00F11C7F"/>
    <w:rsid w:val="00F24971"/>
    <w:rsid w:val="00F26635"/>
    <w:rsid w:val="00F32578"/>
    <w:rsid w:val="00F33E30"/>
    <w:rsid w:val="00F35A34"/>
    <w:rsid w:val="00F40882"/>
    <w:rsid w:val="00F43559"/>
    <w:rsid w:val="00F4636F"/>
    <w:rsid w:val="00F46A6F"/>
    <w:rsid w:val="00F5789B"/>
    <w:rsid w:val="00F57C43"/>
    <w:rsid w:val="00F75AAB"/>
    <w:rsid w:val="00F75C76"/>
    <w:rsid w:val="00F82157"/>
    <w:rsid w:val="00F944A1"/>
    <w:rsid w:val="00FA56B8"/>
    <w:rsid w:val="00FC720B"/>
    <w:rsid w:val="00FE161F"/>
    <w:rsid w:val="00FE3FE9"/>
    <w:rsid w:val="00FE6A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3E0A3"/>
  <w15:chartTrackingRefBased/>
  <w15:docId w15:val="{9166C13E-FF04-4499-802C-0E9F4A8C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qFormat/>
    <w:pPr>
      <w:keepNext/>
      <w:spacing w:before="240" w:after="60" w:line="500" w:lineRule="exact"/>
      <w:outlineLvl w:val="0"/>
    </w:pPr>
    <w:rPr>
      <w:b/>
      <w:kern w:val="28"/>
      <w:sz w:val="28"/>
    </w:rPr>
  </w:style>
  <w:style w:type="paragraph" w:styleId="Titre2">
    <w:name w:val="heading 2"/>
    <w:basedOn w:val="Normal"/>
    <w:next w:val="Normal"/>
    <w:qFormat/>
    <w:pPr>
      <w:keepNext/>
      <w:spacing w:before="240" w:after="60"/>
      <w:outlineLvl w:val="1"/>
    </w:pPr>
    <w:rPr>
      <w:b/>
      <w:i/>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pPr>
      <w:numPr>
        <w:numId w:val="18"/>
      </w:numPr>
      <w:tabs>
        <w:tab w:val="clear" w:pos="720"/>
        <w:tab w:val="num" w:pos="360"/>
      </w:tabs>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basedOn w:val="Normal"/>
    <w:link w:val="NotedebasdepageCar"/>
    <w:semiHidden/>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Tableaugauchefranais"/>
    <w:pPr>
      <w:ind w:left="144" w:right="720"/>
      <w:jc w:val="both"/>
    </w:pPr>
    <w:rPr>
      <w:lang w:val="en-CA"/>
    </w:rPr>
  </w:style>
  <w:style w:type="paragraph" w:customStyle="1" w:styleId="Tableaugauchefranais">
    <w:name w:val="Tableau gauche français"/>
    <w:basedOn w:val="Normal"/>
    <w:pPr>
      <w:ind w:left="720" w:right="144"/>
    </w:pPr>
    <w:rPr>
      <w:sz w:val="22"/>
    </w:rPr>
  </w:style>
  <w:style w:type="character" w:styleId="Appelnotedebasdep">
    <w:name w:val="footnote reference"/>
    <w:uiPriority w:val="99"/>
    <w:semiHidden/>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table" w:styleId="Grilledutableau">
    <w:name w:val="Table Grid"/>
    <w:basedOn w:val="TableauNormal"/>
    <w:uiPriority w:val="39"/>
    <w:rsid w:val="00E2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2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239"/>
    <w:rPr>
      <w:rFonts w:ascii="Segoe UI" w:hAnsi="Segoe UI" w:cs="Segoe UI"/>
      <w:sz w:val="18"/>
      <w:szCs w:val="18"/>
      <w:lang w:eastAsia="fr-FR"/>
    </w:rPr>
  </w:style>
  <w:style w:type="character" w:styleId="Marquedecommentaire">
    <w:name w:val="annotation reference"/>
    <w:basedOn w:val="Policepardfaut"/>
    <w:uiPriority w:val="99"/>
    <w:semiHidden/>
    <w:unhideWhenUsed/>
    <w:rsid w:val="003021BE"/>
    <w:rPr>
      <w:sz w:val="16"/>
      <w:szCs w:val="16"/>
    </w:rPr>
  </w:style>
  <w:style w:type="paragraph" w:styleId="Commentaire">
    <w:name w:val="annotation text"/>
    <w:basedOn w:val="Normal"/>
    <w:link w:val="CommentaireCar"/>
    <w:uiPriority w:val="99"/>
    <w:unhideWhenUsed/>
    <w:rsid w:val="003021BE"/>
    <w:pPr>
      <w:spacing w:line="240" w:lineRule="auto"/>
    </w:pPr>
    <w:rPr>
      <w:sz w:val="20"/>
    </w:rPr>
  </w:style>
  <w:style w:type="character" w:customStyle="1" w:styleId="CommentaireCar">
    <w:name w:val="Commentaire Car"/>
    <w:basedOn w:val="Policepardfaut"/>
    <w:link w:val="Commentaire"/>
    <w:uiPriority w:val="99"/>
    <w:rsid w:val="003021BE"/>
    <w:rPr>
      <w:rFonts w:ascii="Arial" w:hAnsi="Arial"/>
      <w:lang w:eastAsia="fr-FR"/>
    </w:rPr>
  </w:style>
  <w:style w:type="character" w:customStyle="1" w:styleId="ParagrapheCar">
    <w:name w:val="Paragraphe Car"/>
    <w:link w:val="Paragraphe"/>
    <w:rsid w:val="003021BE"/>
    <w:rPr>
      <w:rFonts w:ascii="Arial" w:hAnsi="Arial"/>
      <w:kern w:val="28"/>
      <w:sz w:val="24"/>
      <w:lang w:eastAsia="fr-FR"/>
    </w:rPr>
  </w:style>
  <w:style w:type="paragraph" w:styleId="Rvision">
    <w:name w:val="Revision"/>
    <w:hidden/>
    <w:uiPriority w:val="99"/>
    <w:semiHidden/>
    <w:rsid w:val="007F13EA"/>
    <w:rPr>
      <w:rFonts w:ascii="Arial" w:hAnsi="Arial"/>
      <w:sz w:val="24"/>
      <w:lang w:eastAsia="fr-FR"/>
    </w:rPr>
  </w:style>
  <w:style w:type="paragraph" w:styleId="Objetducommentaire">
    <w:name w:val="annotation subject"/>
    <w:basedOn w:val="Commentaire"/>
    <w:next w:val="Commentaire"/>
    <w:link w:val="ObjetducommentaireCar"/>
    <w:uiPriority w:val="99"/>
    <w:semiHidden/>
    <w:unhideWhenUsed/>
    <w:rsid w:val="000F705D"/>
    <w:rPr>
      <w:b/>
      <w:bCs/>
    </w:rPr>
  </w:style>
  <w:style w:type="character" w:customStyle="1" w:styleId="ObjetducommentaireCar">
    <w:name w:val="Objet du commentaire Car"/>
    <w:basedOn w:val="CommentaireCar"/>
    <w:link w:val="Objetducommentaire"/>
    <w:uiPriority w:val="99"/>
    <w:semiHidden/>
    <w:rsid w:val="000F705D"/>
    <w:rPr>
      <w:rFonts w:ascii="Arial" w:hAnsi="Arial"/>
      <w:b/>
      <w:bCs/>
      <w:lang w:eastAsia="fr-FR"/>
    </w:rPr>
  </w:style>
  <w:style w:type="character" w:customStyle="1" w:styleId="NotedebasdepageCar">
    <w:name w:val="Note de bas de page Car"/>
    <w:basedOn w:val="Policepardfaut"/>
    <w:link w:val="Notedebasdepage"/>
    <w:semiHidden/>
    <w:rsid w:val="004D7451"/>
    <w:rPr>
      <w:rFonts w:ascii="Arial" w:hAnsi="Arial"/>
      <w:lang w:eastAsia="fr-FR"/>
    </w:rPr>
  </w:style>
  <w:style w:type="paragraph" w:customStyle="1" w:styleId="aParagraphe">
    <w:name w:val="(a) Paragraphe"/>
    <w:basedOn w:val="Normal"/>
    <w:qFormat/>
    <w:rsid w:val="004D7451"/>
    <w:pPr>
      <w:tabs>
        <w:tab w:val="num" w:pos="720"/>
      </w:tabs>
      <w:spacing w:before="120" w:after="120" w:line="360" w:lineRule="auto"/>
      <w:jc w:val="both"/>
    </w:pPr>
    <w:rPr>
      <w:kern w:val="28"/>
    </w:rPr>
  </w:style>
  <w:style w:type="character" w:styleId="lev">
    <w:name w:val="Strong"/>
    <w:basedOn w:val="Policepardfaut"/>
    <w:uiPriority w:val="22"/>
    <w:qFormat/>
    <w:rsid w:val="00464047"/>
    <w:rPr>
      <w:b/>
      <w:bCs/>
    </w:rPr>
  </w:style>
  <w:style w:type="character" w:customStyle="1" w:styleId="cf01">
    <w:name w:val="cf01"/>
    <w:basedOn w:val="Policepardfaut"/>
    <w:rsid w:val="008A2A1F"/>
    <w:rPr>
      <w:rFonts w:ascii="Segoe UI" w:hAnsi="Segoe UI" w:cs="Segoe UI" w:hint="default"/>
      <w:sz w:val="18"/>
      <w:szCs w:val="18"/>
    </w:rPr>
  </w:style>
  <w:style w:type="character" w:styleId="Hyperlien">
    <w:name w:val="Hyperlink"/>
    <w:basedOn w:val="Policepardfaut"/>
    <w:uiPriority w:val="99"/>
    <w:unhideWhenUsed/>
    <w:rsid w:val="002D7F26"/>
    <w:rPr>
      <w:color w:val="0563C1" w:themeColor="hyperlink"/>
      <w:u w:val="single"/>
    </w:rPr>
  </w:style>
  <w:style w:type="character" w:styleId="Mentionnonrsolue">
    <w:name w:val="Unresolved Mention"/>
    <w:basedOn w:val="Policepardfaut"/>
    <w:uiPriority w:val="99"/>
    <w:semiHidden/>
    <w:unhideWhenUsed/>
    <w:rsid w:val="002D7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185">
      <w:bodyDiv w:val="1"/>
      <w:marLeft w:val="0"/>
      <w:marRight w:val="0"/>
      <w:marTop w:val="0"/>
      <w:marBottom w:val="0"/>
      <w:divBdr>
        <w:top w:val="none" w:sz="0" w:space="0" w:color="auto"/>
        <w:left w:val="none" w:sz="0" w:space="0" w:color="auto"/>
        <w:bottom w:val="none" w:sz="0" w:space="0" w:color="auto"/>
        <w:right w:val="none" w:sz="0" w:space="0" w:color="auto"/>
      </w:divBdr>
      <w:divsChild>
        <w:div w:id="127211398">
          <w:marLeft w:val="0"/>
          <w:marRight w:val="0"/>
          <w:marTop w:val="0"/>
          <w:marBottom w:val="0"/>
          <w:divBdr>
            <w:top w:val="none" w:sz="0" w:space="0" w:color="auto"/>
            <w:left w:val="none" w:sz="0" w:space="0" w:color="auto"/>
            <w:bottom w:val="none" w:sz="0" w:space="0" w:color="auto"/>
            <w:right w:val="none" w:sz="0" w:space="0" w:color="auto"/>
          </w:divBdr>
        </w:div>
      </w:divsChild>
    </w:div>
    <w:div w:id="409429090">
      <w:bodyDiv w:val="1"/>
      <w:marLeft w:val="0"/>
      <w:marRight w:val="0"/>
      <w:marTop w:val="0"/>
      <w:marBottom w:val="0"/>
      <w:divBdr>
        <w:top w:val="none" w:sz="0" w:space="0" w:color="auto"/>
        <w:left w:val="none" w:sz="0" w:space="0" w:color="auto"/>
        <w:bottom w:val="none" w:sz="0" w:space="0" w:color="auto"/>
        <w:right w:val="none" w:sz="0" w:space="0" w:color="auto"/>
      </w:divBdr>
    </w:div>
    <w:div w:id="414131776">
      <w:bodyDiv w:val="1"/>
      <w:marLeft w:val="0"/>
      <w:marRight w:val="0"/>
      <w:marTop w:val="0"/>
      <w:marBottom w:val="0"/>
      <w:divBdr>
        <w:top w:val="none" w:sz="0" w:space="0" w:color="auto"/>
        <w:left w:val="none" w:sz="0" w:space="0" w:color="auto"/>
        <w:bottom w:val="none" w:sz="0" w:space="0" w:color="auto"/>
        <w:right w:val="none" w:sz="0" w:space="0" w:color="auto"/>
      </w:divBdr>
    </w:div>
    <w:div w:id="1103186663">
      <w:bodyDiv w:val="1"/>
      <w:marLeft w:val="0"/>
      <w:marRight w:val="0"/>
      <w:marTop w:val="0"/>
      <w:marBottom w:val="0"/>
      <w:divBdr>
        <w:top w:val="none" w:sz="0" w:space="0" w:color="auto"/>
        <w:left w:val="none" w:sz="0" w:space="0" w:color="auto"/>
        <w:bottom w:val="none" w:sz="0" w:space="0" w:color="auto"/>
        <w:right w:val="none" w:sz="0" w:space="0" w:color="auto"/>
      </w:divBdr>
    </w:div>
    <w:div w:id="1223172681">
      <w:bodyDiv w:val="1"/>
      <w:marLeft w:val="0"/>
      <w:marRight w:val="0"/>
      <w:marTop w:val="0"/>
      <w:marBottom w:val="0"/>
      <w:divBdr>
        <w:top w:val="none" w:sz="0" w:space="0" w:color="auto"/>
        <w:left w:val="none" w:sz="0" w:space="0" w:color="auto"/>
        <w:bottom w:val="none" w:sz="0" w:space="0" w:color="auto"/>
        <w:right w:val="none" w:sz="0" w:space="0" w:color="auto"/>
      </w:divBdr>
    </w:div>
    <w:div w:id="1369603989">
      <w:bodyDiv w:val="1"/>
      <w:marLeft w:val="0"/>
      <w:marRight w:val="0"/>
      <w:marTop w:val="0"/>
      <w:marBottom w:val="0"/>
      <w:divBdr>
        <w:top w:val="none" w:sz="0" w:space="0" w:color="auto"/>
        <w:left w:val="none" w:sz="0" w:space="0" w:color="auto"/>
        <w:bottom w:val="none" w:sz="0" w:space="0" w:color="auto"/>
        <w:right w:val="none" w:sz="0" w:space="0" w:color="auto"/>
      </w:divBdr>
      <w:divsChild>
        <w:div w:id="1089930456">
          <w:marLeft w:val="0"/>
          <w:marRight w:val="0"/>
          <w:marTop w:val="0"/>
          <w:marBottom w:val="0"/>
          <w:divBdr>
            <w:top w:val="none" w:sz="0" w:space="0" w:color="auto"/>
            <w:left w:val="none" w:sz="0" w:space="0" w:color="auto"/>
            <w:bottom w:val="none" w:sz="0" w:space="0" w:color="auto"/>
            <w:right w:val="none" w:sz="0" w:space="0" w:color="auto"/>
          </w:divBdr>
        </w:div>
      </w:divsChild>
    </w:div>
    <w:div w:id="1588684954">
      <w:bodyDiv w:val="1"/>
      <w:marLeft w:val="0"/>
      <w:marRight w:val="0"/>
      <w:marTop w:val="0"/>
      <w:marBottom w:val="0"/>
      <w:divBdr>
        <w:top w:val="none" w:sz="0" w:space="0" w:color="auto"/>
        <w:left w:val="none" w:sz="0" w:space="0" w:color="auto"/>
        <w:bottom w:val="none" w:sz="0" w:space="0" w:color="auto"/>
        <w:right w:val="none" w:sz="0" w:space="0" w:color="auto"/>
      </w:divBdr>
    </w:div>
    <w:div w:id="1777362171">
      <w:bodyDiv w:val="1"/>
      <w:marLeft w:val="0"/>
      <w:marRight w:val="0"/>
      <w:marTop w:val="0"/>
      <w:marBottom w:val="0"/>
      <w:divBdr>
        <w:top w:val="none" w:sz="0" w:space="0" w:color="auto"/>
        <w:left w:val="none" w:sz="0" w:space="0" w:color="auto"/>
        <w:bottom w:val="none" w:sz="0" w:space="0" w:color="auto"/>
        <w:right w:val="none" w:sz="0" w:space="0" w:color="auto"/>
      </w:divBdr>
      <w:divsChild>
        <w:div w:id="1414400170">
          <w:marLeft w:val="0"/>
          <w:marRight w:val="0"/>
          <w:marTop w:val="0"/>
          <w:marBottom w:val="0"/>
          <w:divBdr>
            <w:top w:val="none" w:sz="0" w:space="0" w:color="auto"/>
            <w:left w:val="none" w:sz="0" w:space="0" w:color="auto"/>
            <w:bottom w:val="none" w:sz="0" w:space="0" w:color="auto"/>
            <w:right w:val="none" w:sz="0" w:space="0" w:color="auto"/>
          </w:divBdr>
        </w:div>
      </w:divsChild>
    </w:div>
    <w:div w:id="2123720536">
      <w:bodyDiv w:val="1"/>
      <w:marLeft w:val="0"/>
      <w:marRight w:val="0"/>
      <w:marTop w:val="0"/>
      <w:marBottom w:val="0"/>
      <w:divBdr>
        <w:top w:val="none" w:sz="0" w:space="0" w:color="auto"/>
        <w:left w:val="none" w:sz="0" w:space="0" w:color="auto"/>
        <w:bottom w:val="none" w:sz="0" w:space="0" w:color="auto"/>
        <w:right w:val="none" w:sz="0" w:space="0" w:color="auto"/>
      </w:divBdr>
      <w:divsChild>
        <w:div w:id="173346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A525-8000-4EBF-92DB-64B5AB8AA0D3}">
  <ds:schemaRefs>
    <ds:schemaRef ds:uri="http://schemas.openxmlformats.org/officeDocument/2006/bibliography"/>
  </ds:schemaRefs>
</ds:datastoreItem>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14</Pages>
  <Words>4488</Words>
  <Characters>24690</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Gabarit de jugement pour la cour d'appel</vt:lpstr>
    </vt:vector>
  </TitlesOfParts>
  <Manager>Patrice Tardif</Manager>
  <Company>MJQ</Company>
  <LinksUpToDate>false</LinksUpToDate>
  <CharactersWithSpaces>29120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de jugement pour la cour d'appel</dc:title>
  <dc:subject/>
  <dc:creator>Gisèle Monnet</dc:creator>
  <cp:keywords/>
  <dc:description/>
  <cp:lastModifiedBy>Paillé, Pryscilla</cp:lastModifiedBy>
  <cp:revision>7</cp:revision>
  <cp:lastPrinted>2026-05-05T19:40:00Z</cp:lastPrinted>
  <dcterms:created xsi:type="dcterms:W3CDTF">2026-05-05T14:35:00Z</dcterms:created>
  <dcterms:modified xsi:type="dcterms:W3CDTF">2026-05-07T12:05:00Z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quij_DateModification">
    <vt:lpwstr>04-26-2001</vt:lpwstr>
  </property>
  <property fmtid="{D5CDD505-2E9C-101B-9397-08002B2CF9AE}" pid="3" name="Soquij_Version">
    <vt:lpwstr>1.6</vt:lpwstr>
  </property>
  <property fmtid="{D5CDD505-2E9C-101B-9397-08002B2CF9AE}" pid="4" name="Soquij_ModifiePar">
    <vt:lpwstr>renste</vt:lpwstr>
  </property>
  <property fmtid="{D5CDD505-2E9C-101B-9397-08002B2CF9AE}" pid="5" name="Soquij_Modele">
    <vt:lpwstr>Edj</vt:lpwstr>
  </property>
  <property fmtid="{D5CDD505-2E9C-101B-9397-08002B2CF9AE}" pid="6" name="Soquij_Cour">
    <vt:lpwstr>CA</vt:lpwstr>
  </property>
  <property fmtid="{D5CDD505-2E9C-101B-9397-08002B2CF9AE}" pid="7" name="Soquij_Langue">
    <vt:lpwstr>Fra</vt:lpwstr>
  </property>
</Properties>
</file>