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D53AA2" w:rsidRPr="00D53AA2" w14:paraId="5B87CD38" w14:textId="77777777" w:rsidTr="00D53AA2">
        <w:trPr>
          <w:trHeight w:val="1786"/>
        </w:trPr>
        <w:tc>
          <w:tcPr>
            <w:tcW w:w="5000" w:type="pct"/>
            <w:gridSpan w:val="4"/>
          </w:tcPr>
          <w:p w14:paraId="53791EE6" w14:textId="77777777" w:rsidR="00D53AA2" w:rsidRPr="00D53AA2" w:rsidRDefault="00D53AA2" w:rsidP="00D53AA2">
            <w:pPr>
              <w:jc w:val="center"/>
              <w:rPr>
                <w:b/>
                <w:lang w:val="fr-CA"/>
              </w:rPr>
            </w:pPr>
            <w:r w:rsidRPr="00D53AA2">
              <w:rPr>
                <w:b/>
                <w:noProof/>
              </w:rPr>
              <w:drawing>
                <wp:inline distT="0" distB="0" distL="0" distR="0" wp14:anchorId="54A1DBE7" wp14:editId="607E1391">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68A34B2C" w14:textId="77777777" w:rsidR="00D53AA2" w:rsidRPr="00D53AA2" w:rsidRDefault="00D53AA2" w:rsidP="00D53AA2">
            <w:pPr>
              <w:spacing w:before="120" w:after="100" w:afterAutospacing="1"/>
              <w:jc w:val="center"/>
              <w:rPr>
                <w:lang w:val="fr-CA"/>
              </w:rPr>
            </w:pPr>
            <w:r w:rsidRPr="00D53AA2">
              <w:rPr>
                <w:b/>
                <w:lang w:val="fr-CA"/>
              </w:rPr>
              <w:t>COUR SUPRÊME DU CANADA</w:t>
            </w:r>
          </w:p>
        </w:tc>
      </w:tr>
      <w:tr w:rsidR="00D53AA2" w:rsidRPr="00D53AA2" w14:paraId="13763681" w14:textId="77777777" w:rsidTr="00D53AA2">
        <w:tblPrEx>
          <w:tblCellMar>
            <w:top w:w="58" w:type="dxa"/>
            <w:left w:w="58" w:type="dxa"/>
            <w:bottom w:w="58" w:type="dxa"/>
            <w:right w:w="58" w:type="dxa"/>
          </w:tblCellMar>
        </w:tblPrEx>
        <w:tc>
          <w:tcPr>
            <w:tcW w:w="2110" w:type="pct"/>
            <w:gridSpan w:val="2"/>
          </w:tcPr>
          <w:p w14:paraId="03D8CF50" w14:textId="77777777" w:rsidR="00D53AA2" w:rsidRPr="00D53AA2" w:rsidRDefault="00D53AA2" w:rsidP="00D53AA2">
            <w:pPr>
              <w:rPr>
                <w:b/>
                <w:smallCaps/>
              </w:rPr>
            </w:pPr>
          </w:p>
          <w:p w14:paraId="2F95EE1B" w14:textId="77777777" w:rsidR="00D53AA2" w:rsidRPr="00D53AA2" w:rsidRDefault="00D53AA2" w:rsidP="00D53AA2">
            <w:pPr>
              <w:rPr>
                <w:b/>
                <w:smallCaps/>
                <w:lang w:val="fr-CA"/>
              </w:rPr>
            </w:pPr>
            <w:r w:rsidRPr="00D53AA2">
              <w:rPr>
                <w:b/>
                <w:smallCaps/>
                <w:lang w:val="fr-CA"/>
              </w:rPr>
              <w:t>Référence :</w:t>
            </w:r>
            <w:r w:rsidRPr="00D53AA2">
              <w:rPr>
                <w:lang w:val="fr-CA"/>
              </w:rPr>
              <w:t xml:space="preserve"> R. </w:t>
            </w:r>
            <w:r w:rsidRPr="00D53AA2">
              <w:rPr>
                <w:i/>
                <w:lang w:val="fr-CA"/>
              </w:rPr>
              <w:t>c.</w:t>
            </w:r>
            <w:r w:rsidRPr="00D53AA2">
              <w:rPr>
                <w:lang w:val="fr-CA"/>
              </w:rPr>
              <w:t xml:space="preserve"> Saddleback, 2026 CSC 18</w:t>
            </w:r>
          </w:p>
        </w:tc>
        <w:tc>
          <w:tcPr>
            <w:tcW w:w="780" w:type="pct"/>
          </w:tcPr>
          <w:p w14:paraId="25DC4492" w14:textId="77777777" w:rsidR="00D53AA2" w:rsidRPr="00D53AA2" w:rsidRDefault="00D53AA2" w:rsidP="00D53AA2">
            <w:pPr>
              <w:rPr>
                <w:lang w:val="fr-CA"/>
              </w:rPr>
            </w:pPr>
          </w:p>
        </w:tc>
        <w:tc>
          <w:tcPr>
            <w:tcW w:w="2110" w:type="pct"/>
          </w:tcPr>
          <w:p w14:paraId="0E3F68D0" w14:textId="77777777" w:rsidR="00D53AA2" w:rsidRPr="00D53AA2" w:rsidRDefault="00D53AA2" w:rsidP="00D53AA2">
            <w:pPr>
              <w:jc w:val="both"/>
              <w:rPr>
                <w:b/>
                <w:smallCaps/>
                <w:lang w:val="fr-CA"/>
              </w:rPr>
            </w:pPr>
          </w:p>
          <w:p w14:paraId="31A4A9E3" w14:textId="77777777" w:rsidR="00D53AA2" w:rsidRPr="00D53AA2" w:rsidRDefault="00D53AA2" w:rsidP="00D53AA2">
            <w:pPr>
              <w:jc w:val="both"/>
              <w:rPr>
                <w:lang w:val="fr-CA"/>
              </w:rPr>
            </w:pPr>
            <w:r w:rsidRPr="00D53AA2">
              <w:rPr>
                <w:b/>
                <w:smallCaps/>
                <w:lang w:val="fr-CA"/>
              </w:rPr>
              <w:t>Appel entendu :</w:t>
            </w:r>
            <w:r w:rsidRPr="00D53AA2">
              <w:rPr>
                <w:lang w:val="fr-CA"/>
              </w:rPr>
              <w:t xml:space="preserve"> 12 novembre 2025</w:t>
            </w:r>
          </w:p>
          <w:p w14:paraId="15163765" w14:textId="77777777" w:rsidR="00D53AA2" w:rsidRPr="00D53AA2" w:rsidRDefault="00D53AA2" w:rsidP="00D53AA2">
            <w:pPr>
              <w:rPr>
                <w:lang w:val="fr-CA"/>
              </w:rPr>
            </w:pPr>
            <w:r w:rsidRPr="00D53AA2">
              <w:rPr>
                <w:b/>
                <w:smallCaps/>
                <w:lang w:val="fr-CA"/>
              </w:rPr>
              <w:t>Jugement rendu :</w:t>
            </w:r>
            <w:r w:rsidRPr="00D53AA2">
              <w:rPr>
                <w:lang w:val="fr-CA"/>
              </w:rPr>
              <w:t xml:space="preserve"> 22 mai 2026</w:t>
            </w:r>
          </w:p>
          <w:p w14:paraId="1057CD93" w14:textId="77777777" w:rsidR="00D53AA2" w:rsidRPr="00D53AA2" w:rsidRDefault="00D53AA2" w:rsidP="00D53AA2">
            <w:pPr>
              <w:rPr>
                <w:lang w:val="fr-CA"/>
              </w:rPr>
            </w:pPr>
            <w:r w:rsidRPr="00D53AA2">
              <w:rPr>
                <w:b/>
                <w:smallCaps/>
                <w:lang w:val="fr-CA"/>
              </w:rPr>
              <w:t>Dossier :</w:t>
            </w:r>
            <w:r w:rsidRPr="00D53AA2">
              <w:rPr>
                <w:lang w:val="fr-CA"/>
              </w:rPr>
              <w:t xml:space="preserve"> 41567</w:t>
            </w:r>
          </w:p>
        </w:tc>
      </w:tr>
      <w:tr w:rsidR="00D53AA2" w:rsidRPr="00932CAA" w14:paraId="6AA611C9" w14:textId="77777777" w:rsidTr="00D53AA2">
        <w:tblPrEx>
          <w:tblCellMar>
            <w:top w:w="58" w:type="dxa"/>
            <w:left w:w="58" w:type="dxa"/>
            <w:bottom w:w="58" w:type="dxa"/>
            <w:right w:w="58" w:type="dxa"/>
          </w:tblCellMar>
        </w:tblPrEx>
        <w:tc>
          <w:tcPr>
            <w:tcW w:w="5000" w:type="pct"/>
            <w:gridSpan w:val="4"/>
          </w:tcPr>
          <w:p w14:paraId="3915ABE2" w14:textId="77777777" w:rsidR="00D53AA2" w:rsidRPr="00D53AA2" w:rsidRDefault="00D53AA2" w:rsidP="00D53AA2">
            <w:pPr>
              <w:rPr>
                <w:lang w:val="fr-CA"/>
              </w:rPr>
            </w:pPr>
          </w:p>
          <w:p w14:paraId="0F6FDFB6" w14:textId="77777777" w:rsidR="00D53AA2" w:rsidRPr="00D53AA2" w:rsidRDefault="00D53AA2" w:rsidP="00D53AA2">
            <w:pPr>
              <w:rPr>
                <w:b/>
                <w:smallCaps/>
                <w:lang w:val="fr-CA"/>
              </w:rPr>
            </w:pPr>
            <w:r w:rsidRPr="00D53AA2">
              <w:rPr>
                <w:b/>
                <w:smallCaps/>
                <w:lang w:val="fr-CA"/>
              </w:rPr>
              <w:t>Entre :</w:t>
            </w:r>
          </w:p>
          <w:p w14:paraId="51E5FE17" w14:textId="77777777" w:rsidR="00D53AA2" w:rsidRPr="00D53AA2" w:rsidRDefault="00D53AA2" w:rsidP="00D53AA2">
            <w:pPr>
              <w:rPr>
                <w:lang w:val="fr-CA"/>
              </w:rPr>
            </w:pPr>
          </w:p>
          <w:p w14:paraId="7F51A24D" w14:textId="77777777" w:rsidR="00D53AA2" w:rsidRPr="00D53AA2" w:rsidRDefault="00D53AA2" w:rsidP="00D53AA2">
            <w:pPr>
              <w:jc w:val="center"/>
              <w:rPr>
                <w:b/>
                <w:lang w:val="fr-CA"/>
              </w:rPr>
            </w:pPr>
            <w:r w:rsidRPr="00D53AA2">
              <w:rPr>
                <w:b/>
                <w:lang w:val="fr-CA"/>
              </w:rPr>
              <w:t>Sa Majesté le Roi</w:t>
            </w:r>
          </w:p>
          <w:p w14:paraId="79CC5E07" w14:textId="77777777" w:rsidR="00D53AA2" w:rsidRPr="00D53AA2" w:rsidRDefault="00D53AA2" w:rsidP="00D53AA2">
            <w:pPr>
              <w:jc w:val="center"/>
              <w:rPr>
                <w:lang w:val="fr-CA"/>
              </w:rPr>
            </w:pPr>
            <w:r w:rsidRPr="00D53AA2">
              <w:rPr>
                <w:lang w:val="fr-CA"/>
              </w:rPr>
              <w:t>Appelant</w:t>
            </w:r>
          </w:p>
          <w:p w14:paraId="30402EB3" w14:textId="77777777" w:rsidR="00D53AA2" w:rsidRPr="00D53AA2" w:rsidRDefault="00D53AA2" w:rsidP="00D53AA2">
            <w:pPr>
              <w:rPr>
                <w:lang w:val="fr-CA"/>
              </w:rPr>
            </w:pPr>
          </w:p>
          <w:p w14:paraId="294C621E" w14:textId="77777777" w:rsidR="00D53AA2" w:rsidRPr="00D53AA2" w:rsidRDefault="00D53AA2" w:rsidP="00D53AA2">
            <w:pPr>
              <w:jc w:val="center"/>
              <w:rPr>
                <w:lang w:val="fr-CA"/>
              </w:rPr>
            </w:pPr>
            <w:proofErr w:type="gramStart"/>
            <w:r w:rsidRPr="00D53AA2">
              <w:rPr>
                <w:lang w:val="fr-CA"/>
              </w:rPr>
              <w:t>et</w:t>
            </w:r>
            <w:proofErr w:type="gramEnd"/>
          </w:p>
          <w:p w14:paraId="725CF19C" w14:textId="77777777" w:rsidR="00D53AA2" w:rsidRPr="00D53AA2" w:rsidRDefault="00D53AA2" w:rsidP="00D53AA2">
            <w:pPr>
              <w:rPr>
                <w:lang w:val="fr-CA"/>
              </w:rPr>
            </w:pPr>
          </w:p>
          <w:p w14:paraId="72ADF045" w14:textId="77777777" w:rsidR="00D53AA2" w:rsidRPr="00D53AA2" w:rsidRDefault="00D53AA2" w:rsidP="00D53AA2">
            <w:pPr>
              <w:jc w:val="center"/>
              <w:rPr>
                <w:b/>
                <w:lang w:val="fr-CA"/>
              </w:rPr>
            </w:pPr>
            <w:r w:rsidRPr="00D53AA2">
              <w:rPr>
                <w:b/>
                <w:lang w:val="fr-CA"/>
              </w:rPr>
              <w:t>Dylon Saddleback</w:t>
            </w:r>
          </w:p>
          <w:p w14:paraId="15E777FC" w14:textId="77777777" w:rsidR="00D53AA2" w:rsidRPr="00D53AA2" w:rsidRDefault="00D53AA2" w:rsidP="00D53AA2">
            <w:pPr>
              <w:jc w:val="center"/>
              <w:rPr>
                <w:lang w:val="fr-CA"/>
              </w:rPr>
            </w:pPr>
            <w:r w:rsidRPr="00D53AA2">
              <w:rPr>
                <w:lang w:val="fr-CA"/>
              </w:rPr>
              <w:t>Intimé</w:t>
            </w:r>
          </w:p>
          <w:p w14:paraId="6BF2CE31" w14:textId="77777777" w:rsidR="00D53AA2" w:rsidRPr="00D53AA2" w:rsidRDefault="00D53AA2" w:rsidP="00D53AA2">
            <w:pPr>
              <w:rPr>
                <w:lang w:val="fr-CA"/>
              </w:rPr>
            </w:pPr>
          </w:p>
          <w:p w14:paraId="5CDD3139" w14:textId="77777777" w:rsidR="00D53AA2" w:rsidRPr="00D53AA2" w:rsidRDefault="00D53AA2" w:rsidP="00D53AA2">
            <w:pPr>
              <w:jc w:val="center"/>
              <w:rPr>
                <w:b/>
                <w:smallCaps/>
                <w:lang w:val="fr-CA"/>
              </w:rPr>
            </w:pPr>
            <w:r w:rsidRPr="00D53AA2">
              <w:rPr>
                <w:b/>
                <w:smallCaps/>
                <w:lang w:val="fr-CA"/>
              </w:rPr>
              <w:t>Traduction française officielle</w:t>
            </w:r>
          </w:p>
          <w:p w14:paraId="2CB648A0" w14:textId="77777777" w:rsidR="00D53AA2" w:rsidRPr="00D53AA2" w:rsidRDefault="00D53AA2" w:rsidP="00D53AA2">
            <w:pPr>
              <w:rPr>
                <w:lang w:val="fr-CA"/>
              </w:rPr>
            </w:pPr>
          </w:p>
          <w:p w14:paraId="680CF1B2" w14:textId="77777777" w:rsidR="00D53AA2" w:rsidRPr="00D53AA2" w:rsidRDefault="00D53AA2" w:rsidP="00D53AA2">
            <w:pPr>
              <w:rPr>
                <w:lang w:val="fr-CA"/>
              </w:rPr>
            </w:pPr>
            <w:r w:rsidRPr="00D53AA2">
              <w:rPr>
                <w:b/>
                <w:smallCaps/>
                <w:lang w:val="fr-CA"/>
              </w:rPr>
              <w:t>Coram :</w:t>
            </w:r>
            <w:r w:rsidRPr="00D53AA2">
              <w:rPr>
                <w:lang w:val="fr-CA"/>
              </w:rPr>
              <w:t xml:space="preserve"> Le juge en chef Wagner et les juges Karakatsanis, Côté, Rowe, Martin, Kasirer, Jamal, O’Bonsawin et Moreau</w:t>
            </w:r>
          </w:p>
          <w:p w14:paraId="53A1361E" w14:textId="77777777" w:rsidR="00D53AA2" w:rsidRPr="00D53AA2" w:rsidRDefault="00D53AA2" w:rsidP="00D53AA2">
            <w:pPr>
              <w:jc w:val="both"/>
              <w:rPr>
                <w:b/>
                <w:smallCaps/>
                <w:lang w:val="fr-CA"/>
              </w:rPr>
            </w:pPr>
          </w:p>
        </w:tc>
      </w:tr>
      <w:tr w:rsidR="00D53AA2" w:rsidRPr="00932CAA" w14:paraId="3F088C11" w14:textId="77777777" w:rsidTr="00D53AA2">
        <w:tblPrEx>
          <w:tblCellMar>
            <w:top w:w="58" w:type="dxa"/>
            <w:left w:w="58" w:type="dxa"/>
            <w:bottom w:w="58" w:type="dxa"/>
            <w:right w:w="58" w:type="dxa"/>
          </w:tblCellMar>
        </w:tblPrEx>
        <w:trPr>
          <w:trHeight w:val="944"/>
        </w:trPr>
        <w:tc>
          <w:tcPr>
            <w:tcW w:w="1251" w:type="pct"/>
          </w:tcPr>
          <w:p w14:paraId="000533A6" w14:textId="77777777" w:rsidR="00D53AA2" w:rsidRPr="00D53AA2" w:rsidRDefault="00D53AA2" w:rsidP="00D53AA2">
            <w:pPr>
              <w:rPr>
                <w:b/>
                <w:smallCaps/>
                <w:lang w:val="fr-CA"/>
              </w:rPr>
            </w:pPr>
            <w:r w:rsidRPr="00D53AA2">
              <w:rPr>
                <w:b/>
                <w:smallCaps/>
                <w:lang w:val="fr-CA"/>
              </w:rPr>
              <w:t>Motifs de jugement :</w:t>
            </w:r>
          </w:p>
          <w:p w14:paraId="629B22CC" w14:textId="77777777" w:rsidR="00D53AA2" w:rsidRPr="00D53AA2" w:rsidRDefault="00D53AA2" w:rsidP="00D53AA2">
            <w:pPr>
              <w:rPr>
                <w:lang w:val="fr-CA"/>
              </w:rPr>
            </w:pPr>
            <w:r w:rsidRPr="00D53AA2">
              <w:rPr>
                <w:lang w:val="fr-CA"/>
              </w:rPr>
              <w:t>(</w:t>
            </w:r>
            <w:proofErr w:type="gramStart"/>
            <w:r w:rsidRPr="00D53AA2">
              <w:rPr>
                <w:lang w:val="fr-CA"/>
              </w:rPr>
              <w:t>par</w:t>
            </w:r>
            <w:proofErr w:type="gramEnd"/>
            <w:r w:rsidRPr="00D53AA2">
              <w:rPr>
                <w:lang w:val="fr-CA"/>
              </w:rPr>
              <w:t>. 1 à 48)</w:t>
            </w:r>
          </w:p>
        </w:tc>
        <w:tc>
          <w:tcPr>
            <w:tcW w:w="3749" w:type="pct"/>
            <w:gridSpan w:val="3"/>
          </w:tcPr>
          <w:p w14:paraId="7492CE7D" w14:textId="77777777" w:rsidR="00D53AA2" w:rsidRPr="00D53AA2" w:rsidRDefault="00D53AA2" w:rsidP="00D53AA2">
            <w:pPr>
              <w:rPr>
                <w:lang w:val="fr-CA"/>
              </w:rPr>
            </w:pPr>
            <w:r w:rsidRPr="00D53AA2">
              <w:rPr>
                <w:lang w:val="fr-CA"/>
              </w:rPr>
              <w:t>La juge O’Bonsawin (avec l’accord du juge en chef Wagner et des juges Karakatsanis, Rowe, Martin, Kasirer, Jamal et Moreau)</w:t>
            </w:r>
          </w:p>
        </w:tc>
      </w:tr>
      <w:tr w:rsidR="00D53AA2" w:rsidRPr="00D53AA2" w14:paraId="1DB8F68E" w14:textId="77777777" w:rsidTr="00D53AA2">
        <w:tblPrEx>
          <w:tblCellMar>
            <w:top w:w="58" w:type="dxa"/>
            <w:left w:w="58" w:type="dxa"/>
            <w:bottom w:w="58" w:type="dxa"/>
            <w:right w:w="58" w:type="dxa"/>
          </w:tblCellMar>
        </w:tblPrEx>
        <w:trPr>
          <w:trHeight w:val="828"/>
        </w:trPr>
        <w:tc>
          <w:tcPr>
            <w:tcW w:w="1251" w:type="pct"/>
          </w:tcPr>
          <w:p w14:paraId="45F24F5A" w14:textId="77777777" w:rsidR="00D53AA2" w:rsidRPr="00D53AA2" w:rsidRDefault="00D53AA2" w:rsidP="00D53AA2">
            <w:pPr>
              <w:rPr>
                <w:lang w:val="fr-CA"/>
              </w:rPr>
            </w:pPr>
            <w:r w:rsidRPr="00D53AA2">
              <w:rPr>
                <w:b/>
                <w:smallCaps/>
                <w:lang w:val="fr-CA"/>
              </w:rPr>
              <w:t>Motifs dissidents :</w:t>
            </w:r>
            <w:r w:rsidRPr="00D53AA2">
              <w:rPr>
                <w:lang w:val="fr-CA"/>
              </w:rPr>
              <w:t xml:space="preserve"> (par. 49 à 97)</w:t>
            </w:r>
          </w:p>
        </w:tc>
        <w:tc>
          <w:tcPr>
            <w:tcW w:w="3749" w:type="pct"/>
            <w:gridSpan w:val="3"/>
          </w:tcPr>
          <w:p w14:paraId="7BDB0E1A" w14:textId="77777777" w:rsidR="00D53AA2" w:rsidRPr="00D53AA2" w:rsidRDefault="00D53AA2" w:rsidP="00D53AA2">
            <w:pPr>
              <w:rPr>
                <w:lang w:val="fr-CA"/>
              </w:rPr>
            </w:pPr>
            <w:r w:rsidRPr="00D53AA2">
              <w:rPr>
                <w:lang w:val="fr-CA"/>
              </w:rPr>
              <w:t>La juge Côté</w:t>
            </w:r>
          </w:p>
        </w:tc>
      </w:tr>
    </w:tbl>
    <w:p w14:paraId="5BD769D8" w14:textId="77777777" w:rsidR="00D53AA2" w:rsidRPr="00D53AA2" w:rsidRDefault="00D53AA2" w:rsidP="00D53AA2">
      <w:pPr>
        <w:rPr>
          <w:rFonts w:eastAsiaTheme="minorHAnsi" w:cstheme="minorBidi"/>
          <w:szCs w:val="24"/>
          <w:lang w:val="fr-CA" w:eastAsia="en-US"/>
        </w:rPr>
      </w:pPr>
    </w:p>
    <w:p w14:paraId="72046F83" w14:textId="77777777" w:rsidR="00D53AA2" w:rsidRPr="00D53AA2" w:rsidRDefault="00D53AA2" w:rsidP="00D53AA2">
      <w:pPr>
        <w:rPr>
          <w:rFonts w:eastAsiaTheme="minorHAnsi" w:cstheme="minorBidi"/>
          <w:szCs w:val="24"/>
          <w:lang w:val="fr-CA" w:eastAsia="en-US"/>
        </w:rPr>
      </w:pPr>
    </w:p>
    <w:p w14:paraId="2F36F1F2" w14:textId="77777777" w:rsidR="00D53AA2" w:rsidRPr="00D53AA2" w:rsidRDefault="00D53AA2" w:rsidP="00D53AA2">
      <w:pPr>
        <w:rPr>
          <w:rFonts w:eastAsiaTheme="minorHAnsi" w:cstheme="minorBidi"/>
          <w:szCs w:val="24"/>
          <w:lang w:val="fr-CA" w:eastAsia="en-US"/>
        </w:rPr>
      </w:pPr>
      <w:r w:rsidRPr="00D53AA2">
        <w:rPr>
          <w:rFonts w:eastAsiaTheme="minorHAnsi" w:cstheme="minorBidi"/>
          <w:b/>
          <w:smallCaps/>
          <w:szCs w:val="24"/>
          <w:lang w:val="fr-CA" w:eastAsia="en-US"/>
        </w:rPr>
        <w:t>Note :</w:t>
      </w:r>
      <w:r w:rsidRPr="00D53AA2">
        <w:rPr>
          <w:rFonts w:eastAsiaTheme="minorHAnsi" w:cstheme="minorBidi"/>
          <w:b/>
          <w:szCs w:val="24"/>
          <w:lang w:val="fr-CA" w:eastAsia="en-US"/>
        </w:rPr>
        <w:t xml:space="preserve"> </w:t>
      </w:r>
      <w:r w:rsidRPr="00D53AA2">
        <w:rPr>
          <w:rFonts w:eastAsiaTheme="minorHAnsi" w:cstheme="minorBidi"/>
          <w:szCs w:val="24"/>
          <w:lang w:val="fr-CA" w:eastAsia="en-US"/>
        </w:rPr>
        <w:t xml:space="preserve">Ce document fera l’objet de retouches de forme avant la parution de sa version définitive dans le </w:t>
      </w:r>
      <w:r w:rsidRPr="00D53AA2">
        <w:rPr>
          <w:rFonts w:eastAsiaTheme="minorHAnsi" w:cstheme="minorBidi"/>
          <w:i/>
          <w:szCs w:val="24"/>
          <w:lang w:val="fr-CA" w:eastAsia="en-US"/>
        </w:rPr>
        <w:t>Recueil des arrêts de la Cour suprême du Canada</w:t>
      </w:r>
      <w:r w:rsidRPr="00D53AA2">
        <w:rPr>
          <w:rFonts w:eastAsiaTheme="minorHAnsi" w:cstheme="minorBidi"/>
          <w:szCs w:val="24"/>
          <w:lang w:val="fr-CA" w:eastAsia="en-US"/>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D53AA2" w:rsidRPr="00932CAA" w14:paraId="56FC2D9C" w14:textId="77777777" w:rsidTr="00F802FE">
        <w:tc>
          <w:tcPr>
            <w:tcW w:w="1500" w:type="pct"/>
            <w:tcMar>
              <w:top w:w="284" w:type="dxa"/>
            </w:tcMar>
          </w:tcPr>
          <w:p w14:paraId="69ECA668" w14:textId="77777777" w:rsidR="00D53AA2" w:rsidRPr="00D53AA2" w:rsidRDefault="00D53AA2" w:rsidP="00D53AA2">
            <w:pPr>
              <w:rPr>
                <w:lang w:val="fr-CA"/>
              </w:rPr>
            </w:pPr>
          </w:p>
        </w:tc>
        <w:tc>
          <w:tcPr>
            <w:tcW w:w="2000" w:type="pct"/>
            <w:tcBorders>
              <w:bottom w:val="single" w:sz="4" w:space="0" w:color="auto"/>
            </w:tcBorders>
            <w:tcMar>
              <w:top w:w="284" w:type="dxa"/>
            </w:tcMar>
          </w:tcPr>
          <w:p w14:paraId="36B8C749" w14:textId="77777777" w:rsidR="00D53AA2" w:rsidRPr="00D53AA2" w:rsidRDefault="00D53AA2" w:rsidP="00D53AA2">
            <w:pPr>
              <w:rPr>
                <w:lang w:val="fr-CA"/>
              </w:rPr>
            </w:pPr>
          </w:p>
        </w:tc>
        <w:tc>
          <w:tcPr>
            <w:tcW w:w="1500" w:type="pct"/>
            <w:tcMar>
              <w:top w:w="284" w:type="dxa"/>
            </w:tcMar>
          </w:tcPr>
          <w:p w14:paraId="69C21DC0" w14:textId="77777777" w:rsidR="00D53AA2" w:rsidRPr="00D53AA2" w:rsidRDefault="00D53AA2" w:rsidP="00D53AA2">
            <w:pPr>
              <w:rPr>
                <w:lang w:val="fr-CA"/>
              </w:rPr>
            </w:pPr>
          </w:p>
        </w:tc>
      </w:tr>
    </w:tbl>
    <w:p w14:paraId="236E91DD" w14:textId="77777777" w:rsidR="00D53AA2" w:rsidRPr="00D53AA2" w:rsidRDefault="00D53AA2" w:rsidP="00D53AA2">
      <w:pPr>
        <w:rPr>
          <w:rFonts w:eastAsiaTheme="minorHAnsi" w:cstheme="minorBidi"/>
          <w:szCs w:val="24"/>
          <w:lang w:val="fr-CA" w:eastAsia="en-US"/>
        </w:rPr>
      </w:pPr>
    </w:p>
    <w:p w14:paraId="63DE9D1B" w14:textId="77777777" w:rsidR="00D53AA2" w:rsidRPr="00D53AA2" w:rsidRDefault="00D53AA2">
      <w:pPr>
        <w:rPr>
          <w:b/>
          <w:lang w:val="fr-FR"/>
        </w:rPr>
      </w:pPr>
      <w:r w:rsidRPr="00D53AA2">
        <w:rPr>
          <w:lang w:val="fr-FR"/>
        </w:rPr>
        <w:br w:type="page"/>
      </w:r>
    </w:p>
    <w:p w14:paraId="6E3DFC22" w14:textId="77777777" w:rsidR="00736DB2" w:rsidRPr="00D53AA2" w:rsidRDefault="001C512F">
      <w:pPr>
        <w:pStyle w:val="SCCLsocLastPartyInRole"/>
        <w:rPr>
          <w:lang w:val="fr-FR"/>
        </w:rPr>
      </w:pPr>
      <w:r w:rsidRPr="00D53AA2">
        <w:rPr>
          <w:lang w:val="fr-FR"/>
        </w:rPr>
        <w:lastRenderedPageBreak/>
        <w:t>Sa Majesté le Roi</w:t>
      </w:r>
      <w:r w:rsidRPr="00D53AA2">
        <w:rPr>
          <w:rStyle w:val="SCCLsocPartyRole"/>
          <w:lang w:val="fr-FR"/>
        </w:rPr>
        <w:tab/>
        <w:t>Appelant</w:t>
      </w:r>
    </w:p>
    <w:p w14:paraId="5AFE90B2" w14:textId="77777777" w:rsidR="00736DB2" w:rsidRPr="00D53AA2" w:rsidRDefault="001C512F">
      <w:pPr>
        <w:pStyle w:val="SCCLsocVersus"/>
        <w:rPr>
          <w:lang w:val="fr-FR"/>
        </w:rPr>
      </w:pPr>
      <w:r w:rsidRPr="00D53AA2">
        <w:rPr>
          <w:lang w:val="fr-FR"/>
        </w:rPr>
        <w:t>c.</w:t>
      </w:r>
    </w:p>
    <w:p w14:paraId="7301EFAD" w14:textId="77777777" w:rsidR="00736DB2" w:rsidRPr="00D53AA2" w:rsidRDefault="001C512F">
      <w:pPr>
        <w:pStyle w:val="SCCLsocLastPartyInRole"/>
      </w:pPr>
      <w:r w:rsidRPr="00D53AA2">
        <w:t>Dylon Saddleback</w:t>
      </w:r>
      <w:r w:rsidRPr="00D53AA2">
        <w:rPr>
          <w:rStyle w:val="SCCLsocPartyRole"/>
        </w:rPr>
        <w:tab/>
        <w:t>Intimé</w:t>
      </w:r>
    </w:p>
    <w:p w14:paraId="2C54B915" w14:textId="77777777" w:rsidR="00736DB2" w:rsidRPr="00D53AA2" w:rsidRDefault="001C512F">
      <w:pPr>
        <w:spacing w:after="720"/>
        <w:jc w:val="both"/>
        <w:rPr>
          <w:b/>
          <w:lang w:val="en-US"/>
        </w:rPr>
      </w:pPr>
      <w:proofErr w:type="gramStart"/>
      <w:r w:rsidRPr="00D53AA2">
        <w:rPr>
          <w:b/>
        </w:rPr>
        <w:t>Répertorié :</w:t>
      </w:r>
      <w:proofErr w:type="gramEnd"/>
      <w:r w:rsidRPr="00D53AA2">
        <w:rPr>
          <w:b/>
        </w:rPr>
        <w:t> </w:t>
      </w:r>
      <w:r w:rsidRPr="00D53AA2">
        <w:rPr>
          <w:rStyle w:val="SCCAppellantForIndexChar"/>
        </w:rPr>
        <w:t>R.</w:t>
      </w:r>
      <w:r w:rsidRPr="00D53AA2">
        <w:rPr>
          <w:b/>
        </w:rPr>
        <w:t xml:space="preserve"> </w:t>
      </w:r>
      <w:r w:rsidRPr="00D53AA2">
        <w:rPr>
          <w:b/>
          <w:i/>
        </w:rPr>
        <w:t>c.</w:t>
      </w:r>
      <w:r w:rsidRPr="00D53AA2">
        <w:rPr>
          <w:b/>
        </w:rPr>
        <w:t xml:space="preserve"> </w:t>
      </w:r>
      <w:r w:rsidRPr="00D53AA2">
        <w:rPr>
          <w:rStyle w:val="SCCRespondentForIndexChar"/>
        </w:rPr>
        <w:t>Saddleback</w:t>
      </w:r>
    </w:p>
    <w:p w14:paraId="494D3092" w14:textId="77777777" w:rsidR="00736DB2" w:rsidRPr="00D53AA2" w:rsidRDefault="001C512F">
      <w:pPr>
        <w:pStyle w:val="SCCSystemYear"/>
        <w:spacing w:after="720"/>
        <w:jc w:val="both"/>
        <w:rPr>
          <w:lang w:val="en-US"/>
        </w:rPr>
      </w:pPr>
      <w:r w:rsidRPr="00D53AA2">
        <w:rPr>
          <w:lang w:val="en-US"/>
        </w:rPr>
        <w:t xml:space="preserve">2026 CSC </w:t>
      </w:r>
      <w:r w:rsidR="00C642C6" w:rsidRPr="00D53AA2">
        <w:rPr>
          <w:lang w:val="en-US"/>
        </w:rPr>
        <w:t>18</w:t>
      </w:r>
    </w:p>
    <w:p w14:paraId="314D37FE" w14:textId="77777777" w:rsidR="00736DB2" w:rsidRPr="00D53AA2" w:rsidRDefault="001C512F">
      <w:pPr>
        <w:spacing w:after="720"/>
        <w:jc w:val="both"/>
        <w:rPr>
          <w:lang w:val="fr-FR"/>
        </w:rPr>
      </w:pPr>
      <w:r w:rsidRPr="00D53AA2">
        <w:rPr>
          <w:lang w:val="fr-FR"/>
        </w:rPr>
        <w:t>N</w:t>
      </w:r>
      <w:r w:rsidRPr="00D53AA2">
        <w:rPr>
          <w:vertAlign w:val="superscript"/>
          <w:lang w:val="fr-FR"/>
        </w:rPr>
        <w:t>o</w:t>
      </w:r>
      <w:r w:rsidRPr="00D53AA2">
        <w:rPr>
          <w:lang w:val="fr-FR"/>
        </w:rPr>
        <w:t xml:space="preserve"> du greffe : 41567.</w:t>
      </w:r>
    </w:p>
    <w:p w14:paraId="7A69D4C6" w14:textId="77777777" w:rsidR="00736DB2" w:rsidRPr="00D53AA2" w:rsidRDefault="001C512F">
      <w:pPr>
        <w:spacing w:after="720"/>
        <w:jc w:val="both"/>
        <w:rPr>
          <w:lang w:val="fr-FR"/>
        </w:rPr>
      </w:pPr>
      <w:r w:rsidRPr="00D53AA2">
        <w:rPr>
          <w:lang w:val="fr-FR"/>
        </w:rPr>
        <w:t xml:space="preserve">2025 : 12 </w:t>
      </w:r>
      <w:proofErr w:type="gramStart"/>
      <w:r w:rsidRPr="00D53AA2">
        <w:rPr>
          <w:lang w:val="fr-FR"/>
        </w:rPr>
        <w:t>novembre;</w:t>
      </w:r>
      <w:proofErr w:type="gramEnd"/>
      <w:r w:rsidRPr="00D53AA2">
        <w:rPr>
          <w:lang w:val="fr-FR"/>
        </w:rPr>
        <w:t xml:space="preserve"> 2026 : 22 mai.</w:t>
      </w:r>
    </w:p>
    <w:p w14:paraId="4914B766" w14:textId="77777777" w:rsidR="00736DB2" w:rsidRPr="00D53AA2" w:rsidRDefault="001C512F">
      <w:pPr>
        <w:spacing w:after="720"/>
        <w:jc w:val="both"/>
        <w:rPr>
          <w:lang w:val="fr-FR"/>
        </w:rPr>
      </w:pPr>
      <w:r w:rsidRPr="00D53AA2">
        <w:rPr>
          <w:lang w:val="fr-FR"/>
        </w:rPr>
        <w:t>Présents : Le juge en chef Wagner et les juges Karakatsanis, Côté, Rowe, Martin, Kasirer, Jamal, O’Bonsawin et Moreau.</w:t>
      </w:r>
    </w:p>
    <w:p w14:paraId="3ACCAD7B" w14:textId="77777777" w:rsidR="00736DB2" w:rsidRPr="00D53AA2" w:rsidRDefault="001C512F">
      <w:pPr>
        <w:spacing w:after="720"/>
        <w:jc w:val="both"/>
        <w:rPr>
          <w:smallCaps/>
          <w:lang w:val="fr-FR"/>
        </w:rPr>
      </w:pPr>
      <w:r w:rsidRPr="00D53AA2">
        <w:rPr>
          <w:smallCaps/>
          <w:lang w:val="fr-CA"/>
        </w:rPr>
        <w:t xml:space="preserve">en appel de la </w:t>
      </w:r>
      <w:r w:rsidRPr="00D53AA2">
        <w:rPr>
          <w:smallCaps/>
          <w:lang w:val="fr-FR"/>
        </w:rPr>
        <w:t>cour d’appel de l’alberta</w:t>
      </w:r>
    </w:p>
    <w:p w14:paraId="592810F6" w14:textId="77777777" w:rsidR="00736DB2" w:rsidRPr="00D53AA2" w:rsidRDefault="001C512F">
      <w:pPr>
        <w:pStyle w:val="SCCNormalKeyWords"/>
        <w:spacing w:after="480"/>
        <w:rPr>
          <w:i w:val="0"/>
          <w:szCs w:val="24"/>
        </w:rPr>
      </w:pPr>
      <w:r w:rsidRPr="00D53AA2">
        <w:tab/>
      </w:r>
      <w:bookmarkStart w:id="0" w:name="_Hlk202989485"/>
      <w:r w:rsidRPr="00D53AA2">
        <w:rPr>
          <w:szCs w:val="24"/>
        </w:rPr>
        <w:t>Droit criminel —</w:t>
      </w:r>
      <w:bookmarkEnd w:id="0"/>
      <w:r w:rsidRPr="00D53AA2">
        <w:rPr>
          <w:rFonts w:eastAsiaTheme="minorEastAsia"/>
          <w:szCs w:val="24"/>
        </w:rPr>
        <w:t xml:space="preserve"> Preuve — Ouï-dire — Appréciation — Accusé déclaré coupable de meurtre au second degré au procès — Déclaration de culpabilité annulée par la Cour d’appel et nouveau procès ordonné — Le juge du procès s’est-il fondé d’une manière non permise sur une déclaration extrajudiciaire faite par la victime du meurtre lors d’un appel téléphonique à sa petite amie pour établir la véracité de son contenu?</w:t>
      </w:r>
    </w:p>
    <w:p w14:paraId="711F9FEE" w14:textId="77777777" w:rsidR="00736DB2" w:rsidRPr="00D53AA2" w:rsidRDefault="001C512F">
      <w:pPr>
        <w:pStyle w:val="SCCNormalDoubleSpacing"/>
        <w:spacing w:after="480"/>
        <w:rPr>
          <w:iCs/>
          <w:color w:val="000000"/>
          <w:szCs w:val="24"/>
          <w:lang w:val="fr-CA"/>
        </w:rPr>
      </w:pPr>
      <w:r w:rsidRPr="00D53AA2">
        <w:rPr>
          <w:iCs/>
          <w:color w:val="000000"/>
          <w:szCs w:val="24"/>
          <w:lang w:val="fr-CA"/>
        </w:rPr>
        <w:lastRenderedPageBreak/>
        <w:tab/>
        <w:t>L’accusé</w:t>
      </w:r>
      <w:r w:rsidRPr="00D53AA2">
        <w:rPr>
          <w:szCs w:val="24"/>
          <w:lang w:val="fr-CA"/>
        </w:rPr>
        <w:t xml:space="preserve"> et d’autres s’étaient réunis à l’extérieur d’une roulotte lors d’une activité sociale</w:t>
      </w:r>
      <w:r w:rsidRPr="00D53AA2">
        <w:rPr>
          <w:iCs/>
          <w:color w:val="000000"/>
          <w:szCs w:val="24"/>
          <w:lang w:val="fr-CA"/>
        </w:rPr>
        <w:t xml:space="preserve">. </w:t>
      </w:r>
      <w:r w:rsidRPr="00D53AA2">
        <w:rPr>
          <w:szCs w:val="24"/>
          <w:lang w:val="fr-CA"/>
        </w:rPr>
        <w:t xml:space="preserve">À un moment donné, la plupart des membres du groupe s’en est allée pour </w:t>
      </w:r>
      <w:r w:rsidRPr="00D53AA2">
        <w:rPr>
          <w:iCs/>
          <w:color w:val="000000"/>
          <w:szCs w:val="24"/>
          <w:lang w:val="fr-CA"/>
        </w:rPr>
        <w:t>assister</w:t>
      </w:r>
      <w:r w:rsidRPr="00D53AA2">
        <w:rPr>
          <w:szCs w:val="24"/>
          <w:lang w:val="fr-CA"/>
        </w:rPr>
        <w:t xml:space="preserve"> à une fête d’anniversaire non loin de là, laissant l’accusé et la victime seuls à la roulotte</w:t>
      </w:r>
      <w:r w:rsidRPr="00D53AA2">
        <w:rPr>
          <w:iCs/>
          <w:color w:val="000000"/>
          <w:szCs w:val="24"/>
          <w:lang w:val="fr-CA"/>
        </w:rPr>
        <w:t>. La victime a été découverte plus tard</w:t>
      </w:r>
      <w:r w:rsidRPr="00D53AA2">
        <w:rPr>
          <w:szCs w:val="24"/>
          <w:lang w:val="fr-CA"/>
        </w:rPr>
        <w:t xml:space="preserve"> sans vie, ayant été frappée de plus de 45 coups assénés avec un objet contondant</w:t>
      </w:r>
      <w:r w:rsidRPr="00D53AA2">
        <w:rPr>
          <w:iCs/>
          <w:color w:val="000000"/>
          <w:szCs w:val="24"/>
          <w:lang w:val="fr-CA"/>
        </w:rPr>
        <w:t xml:space="preserve">. </w:t>
      </w:r>
      <w:r w:rsidRPr="00D53AA2">
        <w:rPr>
          <w:szCs w:val="24"/>
          <w:lang w:val="fr-CA"/>
        </w:rPr>
        <w:t>Quand les policiers sont arrivés, ils ont trouvé l’accusé debout entre la roulotte et un véhicule stationné non loin de là</w:t>
      </w:r>
      <w:r w:rsidRPr="00D53AA2">
        <w:rPr>
          <w:iCs/>
          <w:color w:val="000000"/>
          <w:szCs w:val="24"/>
          <w:lang w:val="fr-CA"/>
        </w:rPr>
        <w:t>. L’accusé</w:t>
      </w:r>
      <w:r w:rsidRPr="00D53AA2">
        <w:rPr>
          <w:szCs w:val="24"/>
          <w:lang w:val="fr-CA"/>
        </w:rPr>
        <w:t xml:space="preserve"> s’est enfui, mais a plus tard été arrêté. Le sang de la victime a été trouvé sur les chaussures et les vêtements de l’accusé, ainsi que sur une hache trouvée là où il s’était tenu debout.</w:t>
      </w:r>
      <w:r w:rsidRPr="00D53AA2">
        <w:rPr>
          <w:iCs/>
          <w:color w:val="000000"/>
          <w:szCs w:val="24"/>
          <w:lang w:val="fr-CA"/>
        </w:rPr>
        <w:t xml:space="preserve"> L’accusé </w:t>
      </w:r>
      <w:r w:rsidRPr="00D53AA2">
        <w:rPr>
          <w:lang w:val="fr-CA"/>
        </w:rPr>
        <w:t>a été inculpé de meurtre au second degré</w:t>
      </w:r>
      <w:r w:rsidRPr="00D53AA2">
        <w:rPr>
          <w:iCs/>
          <w:color w:val="000000"/>
          <w:szCs w:val="24"/>
          <w:lang w:val="fr-CA"/>
        </w:rPr>
        <w:t>.</w:t>
      </w:r>
    </w:p>
    <w:p w14:paraId="6547633F" w14:textId="77777777" w:rsidR="00736DB2" w:rsidRPr="00D53AA2" w:rsidRDefault="001C512F">
      <w:pPr>
        <w:pStyle w:val="SCCNormalDoubleSpacing"/>
        <w:spacing w:after="480"/>
        <w:rPr>
          <w:iCs/>
          <w:color w:val="000000"/>
          <w:szCs w:val="24"/>
          <w:lang w:val="fr-CA"/>
        </w:rPr>
      </w:pPr>
      <w:r w:rsidRPr="00D53AA2">
        <w:rPr>
          <w:lang w:val="fr-CA"/>
        </w:rPr>
        <w:tab/>
        <w:t>Au procès</w:t>
      </w:r>
      <w:r w:rsidRPr="00D53AA2">
        <w:rPr>
          <w:iCs/>
          <w:color w:val="000000"/>
          <w:szCs w:val="24"/>
          <w:lang w:val="fr-CA"/>
        </w:rPr>
        <w:t xml:space="preserve">, </w:t>
      </w:r>
      <w:r w:rsidRPr="00D53AA2">
        <w:rPr>
          <w:lang w:val="fr-CA"/>
        </w:rPr>
        <w:t xml:space="preserve">les membres du groupe ont témoigné qu’au moment de leur départ pour se rendre à la </w:t>
      </w:r>
      <w:r w:rsidRPr="00D53AA2">
        <w:rPr>
          <w:iCs/>
          <w:color w:val="000000"/>
          <w:szCs w:val="24"/>
          <w:lang w:val="fr-CA"/>
        </w:rPr>
        <w:t>fête</w:t>
      </w:r>
      <w:r w:rsidRPr="00D53AA2">
        <w:rPr>
          <w:lang w:val="fr-CA"/>
        </w:rPr>
        <w:t xml:space="preserve"> d’anniversaire, la victime était au téléphone et l’accusé était dans la roulotte</w:t>
      </w:r>
      <w:r w:rsidRPr="00D53AA2">
        <w:rPr>
          <w:szCs w:val="22"/>
          <w:lang w:val="fr-CA" w:eastAsia="en-US"/>
        </w:rPr>
        <w:t xml:space="preserve">. </w:t>
      </w:r>
      <w:r w:rsidRPr="00D53AA2">
        <w:rPr>
          <w:lang w:val="fr-CA"/>
        </w:rPr>
        <w:t>Il n’était pas contesté que la victime était au téléphone avec sa petite amie pendant 10 à 20 minutes dans un intervalle entre 22 h et 22 h 30.</w:t>
      </w:r>
      <w:r w:rsidRPr="00D53AA2">
        <w:rPr>
          <w:szCs w:val="22"/>
          <w:lang w:val="fr-CA" w:eastAsia="en-US"/>
        </w:rPr>
        <w:t xml:space="preserve"> </w:t>
      </w:r>
      <w:r w:rsidRPr="00D53AA2">
        <w:rPr>
          <w:lang w:val="fr-CA"/>
        </w:rPr>
        <w:t xml:space="preserve">La Couronne a interrogé la petite amie afin de savoir </w:t>
      </w:r>
      <w:r w:rsidR="00220843" w:rsidRPr="00D53AA2">
        <w:rPr>
          <w:lang w:val="fr-CA"/>
        </w:rPr>
        <w:t>avec</w:t>
      </w:r>
      <w:r w:rsidRPr="00D53AA2">
        <w:rPr>
          <w:lang w:val="fr-CA"/>
        </w:rPr>
        <w:t xml:space="preserve"> qui la victime avait dit qu’elle </w:t>
      </w:r>
      <w:r w:rsidR="00220843" w:rsidRPr="00D53AA2">
        <w:rPr>
          <w:lang w:val="fr-CA"/>
        </w:rPr>
        <w:t>était</w:t>
      </w:r>
      <w:r w:rsidRPr="00D53AA2">
        <w:rPr>
          <w:lang w:val="fr-CA"/>
        </w:rPr>
        <w:t xml:space="preserve"> pendant l’appel, ce qui a entraîné une objection et la tenue d’un voir-dire concernant l’admissibilité de cette preuve; toutefois, la Couronne s’est désistée de sa demande visant à ce que cette preuve soit admise.</w:t>
      </w:r>
      <w:r w:rsidRPr="00D53AA2">
        <w:rPr>
          <w:szCs w:val="22"/>
          <w:lang w:val="fr-CA" w:eastAsia="en-US"/>
        </w:rPr>
        <w:t xml:space="preserve"> </w:t>
      </w:r>
      <w:r w:rsidRPr="00D53AA2">
        <w:rPr>
          <w:lang w:val="fr-CA"/>
        </w:rPr>
        <w:t xml:space="preserve">Plus tard lors du procès, l’avocat de la défense a demandé à la petite amie, en contre-interrogatoire, si la victime lui avait dit qu’elle </w:t>
      </w:r>
      <w:r w:rsidR="00220843" w:rsidRPr="00D53AA2">
        <w:rPr>
          <w:lang w:val="fr-CA"/>
        </w:rPr>
        <w:t>« </w:t>
      </w:r>
      <w:r w:rsidRPr="00D53AA2">
        <w:rPr>
          <w:lang w:val="fr-CA"/>
        </w:rPr>
        <w:t>se faisait larguer par ces gars » durant cet appel téléphonique.</w:t>
      </w:r>
      <w:r w:rsidRPr="00D53AA2">
        <w:rPr>
          <w:szCs w:val="22"/>
          <w:lang w:val="fr-CA" w:eastAsia="en-US"/>
        </w:rPr>
        <w:t xml:space="preserve"> </w:t>
      </w:r>
      <w:r w:rsidR="00220843" w:rsidRPr="00D53AA2">
        <w:rPr>
          <w:lang w:val="fr-CA"/>
        </w:rPr>
        <w:t xml:space="preserve">La petite amie </w:t>
      </w:r>
      <w:r w:rsidRPr="00D53AA2">
        <w:rPr>
          <w:lang w:val="fr-CA"/>
        </w:rPr>
        <w:t xml:space="preserve">a fini par en convenir. Le juge du procès a déclaré l’accusé coupable de meurtre au second degré </w:t>
      </w:r>
      <w:r w:rsidR="00220843" w:rsidRPr="00D53AA2">
        <w:rPr>
          <w:lang w:val="fr-CA"/>
        </w:rPr>
        <w:t>dans</w:t>
      </w:r>
      <w:r w:rsidRPr="00D53AA2">
        <w:rPr>
          <w:lang w:val="fr-CA"/>
        </w:rPr>
        <w:t xml:space="preserve"> des motifs succincts rendus oralement </w:t>
      </w:r>
      <w:r w:rsidRPr="00D53AA2">
        <w:rPr>
          <w:iCs/>
          <w:color w:val="000000"/>
          <w:szCs w:val="24"/>
          <w:lang w:val="fr-CA"/>
        </w:rPr>
        <w:t xml:space="preserve">qui faisaient référence à la déclaration extrajudiciaire de la victime </w:t>
      </w:r>
      <w:r w:rsidRPr="00D53AA2">
        <w:rPr>
          <w:lang w:val="fr-CA"/>
        </w:rPr>
        <w:t>disant qu’elle se faisait « larguer »</w:t>
      </w:r>
      <w:r w:rsidRPr="00D53AA2">
        <w:rPr>
          <w:iCs/>
          <w:color w:val="000000"/>
          <w:szCs w:val="24"/>
          <w:lang w:val="fr-CA"/>
        </w:rPr>
        <w:t>.</w:t>
      </w:r>
      <w:r w:rsidRPr="00D53AA2">
        <w:rPr>
          <w:szCs w:val="24"/>
          <w:lang w:val="fr-CA"/>
        </w:rPr>
        <w:t xml:space="preserve"> L’accusé a </w:t>
      </w:r>
      <w:r w:rsidRPr="00D53AA2">
        <w:rPr>
          <w:szCs w:val="24"/>
          <w:lang w:val="fr-CA"/>
        </w:rPr>
        <w:lastRenderedPageBreak/>
        <w:t>interjeté appel de sa déclaration de culpabilité</w:t>
      </w:r>
      <w:r w:rsidRPr="00D53AA2">
        <w:rPr>
          <w:szCs w:val="22"/>
          <w:lang w:val="fr-CA"/>
        </w:rPr>
        <w:t xml:space="preserve">. </w:t>
      </w:r>
      <w:r w:rsidRPr="00D53AA2">
        <w:rPr>
          <w:lang w:val="fr-CA"/>
        </w:rPr>
        <w:t>Une majorité de juges de la Cour d’appel a accueilli l’appel, annulé la déclaration de culpabilité et ordonné la tenue d’un nouveau procès</w:t>
      </w:r>
      <w:r w:rsidRPr="00D53AA2">
        <w:rPr>
          <w:szCs w:val="24"/>
          <w:lang w:val="fr-CA"/>
        </w:rPr>
        <w:t>,</w:t>
      </w:r>
      <w:r w:rsidRPr="00D53AA2">
        <w:rPr>
          <w:szCs w:val="22"/>
          <w:lang w:val="fr-CA"/>
        </w:rPr>
        <w:t xml:space="preserve"> </w:t>
      </w:r>
      <w:r w:rsidRPr="00D53AA2">
        <w:rPr>
          <w:lang w:val="fr-CA"/>
        </w:rPr>
        <w:t>au motif que le juge du procès a commis une erreur en se fondant sur la déclaration extrajudiciaire de la victime à une fin de ouï-dire non permise</w:t>
      </w:r>
      <w:r w:rsidRPr="00D53AA2">
        <w:rPr>
          <w:szCs w:val="22"/>
          <w:lang w:val="fr-CA"/>
        </w:rPr>
        <w:t xml:space="preserve">. </w:t>
      </w:r>
    </w:p>
    <w:p w14:paraId="7EB75667" w14:textId="77777777" w:rsidR="00736DB2" w:rsidRPr="00D53AA2" w:rsidRDefault="001C512F">
      <w:pPr>
        <w:pStyle w:val="SCCNormalDoubleSpacing"/>
        <w:spacing w:after="480"/>
        <w:rPr>
          <w:iCs/>
          <w:color w:val="000000"/>
          <w:szCs w:val="24"/>
          <w:lang w:val="fr-CA"/>
        </w:rPr>
      </w:pPr>
      <w:r w:rsidRPr="00D53AA2">
        <w:rPr>
          <w:iCs/>
          <w:color w:val="000000"/>
          <w:szCs w:val="24"/>
          <w:lang w:val="fr-CA"/>
        </w:rPr>
        <w:tab/>
      </w:r>
      <w:r w:rsidRPr="00D53AA2">
        <w:rPr>
          <w:i/>
          <w:iCs/>
          <w:color w:val="000000"/>
          <w:szCs w:val="24"/>
          <w:lang w:val="fr-CA"/>
        </w:rPr>
        <w:t xml:space="preserve">Arrêt </w:t>
      </w:r>
      <w:r w:rsidRPr="00D53AA2">
        <w:rPr>
          <w:iCs/>
          <w:color w:val="000000"/>
          <w:szCs w:val="24"/>
          <w:lang w:val="fr-CA"/>
        </w:rPr>
        <w:t>(la juge Côté est dissidente) : Le pourvoi est rejeté.</w:t>
      </w:r>
    </w:p>
    <w:p w14:paraId="5A7AAA8C" w14:textId="77777777" w:rsidR="00736DB2" w:rsidRPr="00D53AA2" w:rsidRDefault="001C512F">
      <w:pPr>
        <w:pStyle w:val="SCCNormalDoubleSpacing"/>
        <w:spacing w:after="480"/>
        <w:rPr>
          <w:iCs/>
          <w:color w:val="000000"/>
          <w:szCs w:val="24"/>
          <w:lang w:val="fr-CA"/>
        </w:rPr>
      </w:pPr>
      <w:r w:rsidRPr="00D53AA2">
        <w:rPr>
          <w:iCs/>
          <w:color w:val="000000"/>
          <w:szCs w:val="24"/>
          <w:lang w:val="fr-CA"/>
        </w:rPr>
        <w:tab/>
      </w:r>
      <w:r w:rsidRPr="00D53AA2">
        <w:rPr>
          <w:i/>
          <w:iCs/>
          <w:color w:val="000000"/>
          <w:szCs w:val="24"/>
          <w:lang w:val="fr-CA"/>
        </w:rPr>
        <w:t xml:space="preserve">Le </w:t>
      </w:r>
      <w:r w:rsidRPr="00D53AA2">
        <w:rPr>
          <w:iCs/>
          <w:color w:val="000000"/>
          <w:szCs w:val="24"/>
          <w:lang w:val="fr-CA"/>
        </w:rPr>
        <w:t xml:space="preserve">juge en chef Wagner et les juges Karakatsanis, Rowe, Martin, Kasirer, Jamal, </w:t>
      </w:r>
      <w:r w:rsidRPr="00D53AA2">
        <w:rPr>
          <w:b/>
          <w:iCs/>
          <w:color w:val="000000"/>
          <w:szCs w:val="24"/>
          <w:lang w:val="fr-CA"/>
        </w:rPr>
        <w:t>O’Bonsawin</w:t>
      </w:r>
      <w:r w:rsidRPr="00D53AA2">
        <w:rPr>
          <w:iCs/>
          <w:color w:val="000000"/>
          <w:szCs w:val="24"/>
          <w:lang w:val="fr-CA"/>
        </w:rPr>
        <w:t xml:space="preserve"> et Moreau : </w:t>
      </w:r>
      <w:r w:rsidRPr="00D53AA2">
        <w:rPr>
          <w:szCs w:val="24"/>
          <w:lang w:val="fr-CA"/>
        </w:rPr>
        <w:t>Le juge du procès a utilisé la déclaration extrajudiciaire de la victime en guise de ouï-dire, c’est-à-dire pour établir la véracité de son contenu</w:t>
      </w:r>
      <w:r w:rsidRPr="00D53AA2">
        <w:rPr>
          <w:iCs/>
          <w:color w:val="000000"/>
          <w:szCs w:val="24"/>
          <w:lang w:val="fr-CA"/>
        </w:rPr>
        <w:t>. Même</w:t>
      </w:r>
      <w:r w:rsidRPr="00D53AA2">
        <w:rPr>
          <w:lang w:val="fr-CA"/>
        </w:rPr>
        <w:t xml:space="preserve"> </w:t>
      </w:r>
      <w:r w:rsidR="007A6439" w:rsidRPr="00D53AA2">
        <w:rPr>
          <w:lang w:val="fr-CA"/>
        </w:rPr>
        <w:t>si</w:t>
      </w:r>
      <w:r w:rsidRPr="00D53AA2">
        <w:rPr>
          <w:lang w:val="fr-CA"/>
        </w:rPr>
        <w:t xml:space="preserve"> la déclaration pouvait être invoquée à une fin autre qu’établir la véracité de son contenu ou qu’elle aurait pu être admise pour prouver la véracité de son contenu suivant une exception à la règle du ouï-dire, les motifs du juge du procès, lorsqu’ils sont lus à la lumière du dossier du procès dans son ensemble, sont insuffisants pour permettre à une cour d’appel d’inférer ou de reconstituer une analyse appuyant l’un ou l’autre des fondements</w:t>
      </w:r>
      <w:r w:rsidRPr="00D53AA2">
        <w:rPr>
          <w:iCs/>
          <w:color w:val="000000"/>
          <w:szCs w:val="24"/>
          <w:lang w:val="fr-CA"/>
        </w:rPr>
        <w:t xml:space="preserve">. Étant donné que la Couronne </w:t>
      </w:r>
      <w:r w:rsidRPr="00D53AA2">
        <w:rPr>
          <w:lang w:val="fr-CA"/>
        </w:rPr>
        <w:t>n’a pas invoqué la disposition réparatrice</w:t>
      </w:r>
      <w:r w:rsidRPr="00D53AA2">
        <w:rPr>
          <w:iCs/>
          <w:color w:val="000000"/>
          <w:szCs w:val="24"/>
          <w:lang w:val="fr-CA"/>
        </w:rPr>
        <w:t xml:space="preserve">, </w:t>
      </w:r>
      <w:r w:rsidRPr="00D53AA2">
        <w:rPr>
          <w:lang w:val="fr-CA"/>
        </w:rPr>
        <w:t>la tenue d’un nouveau procès est nécessaire</w:t>
      </w:r>
      <w:r w:rsidRPr="00D53AA2">
        <w:rPr>
          <w:iCs/>
          <w:color w:val="000000"/>
          <w:szCs w:val="24"/>
          <w:lang w:val="fr-CA"/>
        </w:rPr>
        <w:t xml:space="preserve">. </w:t>
      </w:r>
    </w:p>
    <w:p w14:paraId="2EEDA3E3" w14:textId="77777777" w:rsidR="00736DB2" w:rsidRPr="00D53AA2" w:rsidRDefault="001C512F">
      <w:pPr>
        <w:pStyle w:val="SCCNormalDoubleSpacing"/>
        <w:spacing w:after="480"/>
        <w:rPr>
          <w:iCs/>
          <w:color w:val="000000"/>
          <w:szCs w:val="24"/>
          <w:lang w:val="fr-CA"/>
        </w:rPr>
      </w:pPr>
      <w:r w:rsidRPr="00D53AA2">
        <w:rPr>
          <w:iCs/>
          <w:color w:val="000000"/>
          <w:szCs w:val="24"/>
          <w:lang w:val="fr-CA"/>
        </w:rPr>
        <w:tab/>
      </w:r>
      <w:r w:rsidRPr="00D53AA2">
        <w:rPr>
          <w:lang w:val="fr-CA"/>
        </w:rPr>
        <w:t xml:space="preserve">Les éléments de preuve qui sont pertinents à l’égard d’une question en litige au procès peuvent néanmoins être inadmissibles s’ils sont visés par une règle d’exclusion, </w:t>
      </w:r>
      <w:r w:rsidRPr="00D53AA2">
        <w:rPr>
          <w:iCs/>
          <w:color w:val="000000"/>
          <w:szCs w:val="24"/>
          <w:lang w:val="fr-CA"/>
        </w:rPr>
        <w:t>comme</w:t>
      </w:r>
      <w:r w:rsidRPr="00D53AA2">
        <w:rPr>
          <w:lang w:val="fr-CA"/>
        </w:rPr>
        <w:t xml:space="preserve"> la règle interdisant le ouï-dire</w:t>
      </w:r>
      <w:r w:rsidRPr="00D53AA2">
        <w:rPr>
          <w:iCs/>
          <w:color w:val="000000"/>
          <w:szCs w:val="24"/>
          <w:lang w:val="fr-CA"/>
        </w:rPr>
        <w:t xml:space="preserve">. </w:t>
      </w:r>
      <w:r w:rsidRPr="00D53AA2">
        <w:rPr>
          <w:lang w:val="fr-CA"/>
        </w:rPr>
        <w:t>Le ouï-dire est une déclaration extrajudiciaire présentée pour établir la véracité de son contenu et se définit en fonction de l’utilisation que l’on cherche à faire de la déclaration, à savoir, établir la véracité de ce qui est affirmé</w:t>
      </w:r>
      <w:r w:rsidRPr="00D53AA2">
        <w:rPr>
          <w:iCs/>
          <w:color w:val="000000"/>
          <w:szCs w:val="24"/>
          <w:lang w:val="fr-CA"/>
        </w:rPr>
        <w:t xml:space="preserve">. </w:t>
      </w:r>
      <w:r w:rsidRPr="00D53AA2">
        <w:rPr>
          <w:lang w:val="fr-CA"/>
        </w:rPr>
        <w:t xml:space="preserve">Le ouï-dire est présumé inadmissible principalement parce que, sans </w:t>
      </w:r>
      <w:r w:rsidRPr="00D53AA2">
        <w:rPr>
          <w:lang w:val="fr-CA"/>
        </w:rPr>
        <w:lastRenderedPageBreak/>
        <w:t>la présence du déclarant à l’audience, il est souvent difficile d’évaluer la véracité de la déclaration</w:t>
      </w:r>
      <w:r w:rsidRPr="00D53AA2">
        <w:rPr>
          <w:iCs/>
          <w:color w:val="000000"/>
          <w:szCs w:val="24"/>
          <w:lang w:val="fr-CA"/>
        </w:rPr>
        <w:t xml:space="preserve">. Toutefois, il existe des exceptions. </w:t>
      </w:r>
      <w:r w:rsidRPr="00D53AA2">
        <w:rPr>
          <w:lang w:val="fr-CA"/>
        </w:rPr>
        <w:t>Une partie qui veut invoquer une déclaration extrajudiciaire pour établir la véracité de son contenu peut tenter de la faire admettre suivant l’une des catégories d’exceptions reconnues en common law ou de l’exception raisonnée, plus souple</w:t>
      </w:r>
      <w:r w:rsidRPr="00D53AA2">
        <w:rPr>
          <w:iCs/>
          <w:color w:val="000000"/>
          <w:szCs w:val="24"/>
          <w:lang w:val="fr-CA"/>
        </w:rPr>
        <w:t xml:space="preserve">. </w:t>
      </w:r>
      <w:r w:rsidRPr="00D53AA2">
        <w:rPr>
          <w:lang w:val="fr-CA"/>
        </w:rPr>
        <w:t>En vertu de l’exception raisonnée, la preuve par ouï-dire peut seulement être admise lorsque la partie qui la produit démontre, selon la prépondérance des probabilités, qu’elle est nécessaire et suffisamment fiable</w:t>
      </w:r>
      <w:r w:rsidRPr="00D53AA2">
        <w:rPr>
          <w:iCs/>
          <w:color w:val="000000"/>
          <w:szCs w:val="24"/>
          <w:lang w:val="fr-CA"/>
        </w:rPr>
        <w:t xml:space="preserve">, une décision </w:t>
      </w:r>
      <w:r w:rsidRPr="00D53AA2">
        <w:rPr>
          <w:lang w:val="fr-CA"/>
        </w:rPr>
        <w:t xml:space="preserve">normalement rendue </w:t>
      </w:r>
      <w:r w:rsidR="00220843" w:rsidRPr="00D53AA2">
        <w:rPr>
          <w:lang w:val="fr-CA"/>
        </w:rPr>
        <w:t>lors</w:t>
      </w:r>
      <w:r w:rsidRPr="00D53AA2">
        <w:rPr>
          <w:lang w:val="fr-CA"/>
        </w:rPr>
        <w:t xml:space="preserve"> d’un voir-dire sur son admissibilité</w:t>
      </w:r>
      <w:r w:rsidRPr="00D53AA2">
        <w:rPr>
          <w:iCs/>
          <w:color w:val="000000"/>
          <w:szCs w:val="24"/>
          <w:lang w:val="fr-CA"/>
        </w:rPr>
        <w:t xml:space="preserve">. </w:t>
      </w:r>
      <w:r w:rsidRPr="00D53AA2">
        <w:rPr>
          <w:lang w:val="fr-CA"/>
        </w:rPr>
        <w:t>Lorsqu’aucun voir-dire n’est tenu, la question est de savoir si le juge du procès a commis une erreur de droit en se fondant sur l’élément de preuve à une fin non permise, sans l’avoir dûment admis en preuve</w:t>
      </w:r>
      <w:r w:rsidRPr="00D53AA2">
        <w:rPr>
          <w:iCs/>
          <w:color w:val="000000"/>
          <w:szCs w:val="24"/>
          <w:lang w:val="fr-CA"/>
        </w:rPr>
        <w:t xml:space="preserve">. </w:t>
      </w:r>
      <w:r w:rsidRPr="00D53AA2">
        <w:rPr>
          <w:lang w:val="fr-CA"/>
        </w:rPr>
        <w:t>Dans l’examen de la manière dont un juge du procès a utilisé une déclaration extrajudiciaire, la juridiction d’appel doit adopter une interprétation fonctionnelle et contextuelle des motifs, tout en ayant à l’esprit que les juges des procès sont censés connaître le droit</w:t>
      </w:r>
      <w:r w:rsidRPr="00D53AA2">
        <w:rPr>
          <w:iCs/>
          <w:color w:val="000000"/>
          <w:szCs w:val="24"/>
          <w:lang w:val="fr-CA"/>
        </w:rPr>
        <w:t xml:space="preserve">. </w:t>
      </w:r>
      <w:r w:rsidRPr="00D53AA2">
        <w:rPr>
          <w:lang w:val="fr-CA"/>
        </w:rPr>
        <w:t>L’intervention en appel n’est pas justifiée simplement parce que les motifs du juge du procès sont ambigus</w:t>
      </w:r>
      <w:r w:rsidRPr="00D53AA2">
        <w:rPr>
          <w:iCs/>
          <w:color w:val="000000"/>
          <w:szCs w:val="24"/>
          <w:lang w:val="fr-CA"/>
        </w:rPr>
        <w:t xml:space="preserve">. </w:t>
      </w:r>
      <w:r w:rsidRPr="00D53AA2">
        <w:rPr>
          <w:lang w:val="fr-CA"/>
        </w:rPr>
        <w:t>Les motifs doivent plutôt révéler une erreur ou une ambiguïté</w:t>
      </w:r>
      <w:r w:rsidRPr="00D53AA2">
        <w:rPr>
          <w:color w:val="000000"/>
          <w:lang w:val="fr-CA"/>
        </w:rPr>
        <w:t xml:space="preserve"> qui rend inintelligible le raisonnement du juge du procès</w:t>
      </w:r>
      <w:r w:rsidRPr="00D53AA2">
        <w:rPr>
          <w:lang w:val="fr-CA"/>
        </w:rPr>
        <w:t>, entravant l’examen en appel de l’utilisation de la déclaration extrajudiciaire</w:t>
      </w:r>
      <w:r w:rsidRPr="00D53AA2">
        <w:rPr>
          <w:iCs/>
          <w:color w:val="000000"/>
          <w:szCs w:val="24"/>
          <w:lang w:val="fr-CA"/>
        </w:rPr>
        <w:t>.</w:t>
      </w:r>
    </w:p>
    <w:p w14:paraId="6DB50BEF" w14:textId="77777777" w:rsidR="00736DB2" w:rsidRPr="00D53AA2" w:rsidRDefault="001C512F">
      <w:pPr>
        <w:pStyle w:val="SCCNormalDoubleSpacing"/>
        <w:spacing w:after="480"/>
        <w:rPr>
          <w:iCs/>
          <w:color w:val="000000"/>
          <w:szCs w:val="24"/>
          <w:lang w:val="fr-CA"/>
        </w:rPr>
      </w:pPr>
      <w:r w:rsidRPr="00D53AA2">
        <w:rPr>
          <w:iCs/>
          <w:color w:val="000000"/>
          <w:szCs w:val="24"/>
          <w:lang w:val="fr-CA"/>
        </w:rPr>
        <w:tab/>
      </w:r>
      <w:r w:rsidRPr="00D53AA2">
        <w:rPr>
          <w:lang w:val="fr-CA"/>
        </w:rPr>
        <w:t>La déclaration faite par la victime à sa petite amie était extrajudiciaire</w:t>
      </w:r>
      <w:r w:rsidRPr="00D53AA2">
        <w:rPr>
          <w:iCs/>
          <w:color w:val="000000"/>
          <w:szCs w:val="24"/>
          <w:lang w:val="fr-CA"/>
        </w:rPr>
        <w:t xml:space="preserve">, et </w:t>
      </w:r>
      <w:r w:rsidRPr="00D53AA2">
        <w:rPr>
          <w:lang w:val="fr-CA"/>
        </w:rPr>
        <w:t>les motifs du juge du procès indiquent sans ambiguïté qu’il s’est fondé sur la déclaration pour établir la véracité de son contenu</w:t>
      </w:r>
      <w:r w:rsidRPr="00D53AA2">
        <w:rPr>
          <w:iCs/>
          <w:color w:val="000000"/>
          <w:szCs w:val="24"/>
          <w:lang w:val="fr-CA"/>
        </w:rPr>
        <w:t xml:space="preserve">. </w:t>
      </w:r>
      <w:r w:rsidRPr="00D53AA2">
        <w:rPr>
          <w:lang w:val="fr-CA"/>
        </w:rPr>
        <w:t xml:space="preserve">Sur la base des témoignages des membres du </w:t>
      </w:r>
      <w:r w:rsidRPr="00D53AA2">
        <w:rPr>
          <w:iCs/>
          <w:color w:val="000000"/>
          <w:szCs w:val="24"/>
          <w:lang w:val="fr-CA"/>
        </w:rPr>
        <w:t>groupe</w:t>
      </w:r>
      <w:r w:rsidRPr="00D53AA2">
        <w:rPr>
          <w:lang w:val="fr-CA"/>
        </w:rPr>
        <w:t>, le juge du procès a établi que le groupe est parti de la roulotte pendant que la victime était au téléphone</w:t>
      </w:r>
      <w:r w:rsidRPr="00D53AA2">
        <w:rPr>
          <w:iCs/>
          <w:color w:val="000000"/>
          <w:szCs w:val="24"/>
          <w:lang w:val="fr-CA"/>
        </w:rPr>
        <w:t xml:space="preserve">. </w:t>
      </w:r>
      <w:r w:rsidRPr="00D53AA2">
        <w:rPr>
          <w:lang w:val="fr-CA"/>
        </w:rPr>
        <w:t xml:space="preserve">Il a </w:t>
      </w:r>
      <w:r w:rsidR="00107984" w:rsidRPr="00D53AA2">
        <w:rPr>
          <w:lang w:val="fr-CA"/>
        </w:rPr>
        <w:t>ensuite</w:t>
      </w:r>
      <w:r w:rsidRPr="00D53AA2">
        <w:rPr>
          <w:lang w:val="fr-CA"/>
        </w:rPr>
        <w:t xml:space="preserve"> conclu que l’appel téléphonique </w:t>
      </w:r>
      <w:r w:rsidRPr="00D53AA2">
        <w:rPr>
          <w:lang w:val="fr-CA"/>
        </w:rPr>
        <w:lastRenderedPageBreak/>
        <w:t>dont le groupe a été témoin pendant qu’il s’en allait était celui qui a eu lieu entre la victime et sa petite amie, vers 22 h</w:t>
      </w:r>
      <w:r w:rsidRPr="00D53AA2">
        <w:rPr>
          <w:iCs/>
          <w:color w:val="000000"/>
          <w:szCs w:val="24"/>
          <w:lang w:val="fr-CA"/>
        </w:rPr>
        <w:t xml:space="preserve">, en se fondant </w:t>
      </w:r>
      <w:r w:rsidRPr="00D53AA2">
        <w:rPr>
          <w:lang w:val="fr-CA"/>
        </w:rPr>
        <w:t xml:space="preserve">sur la déclaration extrajudiciaire faite par la victime à sa petite amie au téléphone, lui disant qu’elle </w:t>
      </w:r>
      <w:r w:rsidR="00107984" w:rsidRPr="00D53AA2">
        <w:rPr>
          <w:lang w:val="fr-CA"/>
        </w:rPr>
        <w:t>« </w:t>
      </w:r>
      <w:r w:rsidRPr="00D53AA2">
        <w:rPr>
          <w:lang w:val="fr-CA"/>
        </w:rPr>
        <w:t>se faisait larguer par ces gars »</w:t>
      </w:r>
      <w:r w:rsidRPr="00D53AA2">
        <w:rPr>
          <w:iCs/>
          <w:color w:val="000000"/>
          <w:szCs w:val="24"/>
          <w:lang w:val="fr-CA"/>
        </w:rPr>
        <w:t xml:space="preserve">. </w:t>
      </w:r>
      <w:r w:rsidRPr="00D53AA2">
        <w:rPr>
          <w:lang w:val="fr-CA"/>
        </w:rPr>
        <w:t>Par conséquent, la victime et l’accusé ont été laissés seuls à la roulotte très peu de temps avant le décès de la victime</w:t>
      </w:r>
      <w:r w:rsidRPr="00D53AA2">
        <w:rPr>
          <w:iCs/>
          <w:color w:val="000000"/>
          <w:szCs w:val="24"/>
          <w:lang w:val="fr-CA"/>
        </w:rPr>
        <w:t xml:space="preserve">. </w:t>
      </w:r>
      <w:r w:rsidRPr="00D53AA2">
        <w:rPr>
          <w:lang w:val="fr-CA"/>
        </w:rPr>
        <w:t>La validité du syllogisme repose sur le fait que le groupe s’en allait pendant que la victime était au téléphone avec sa petite amie</w:t>
      </w:r>
      <w:r w:rsidRPr="00D53AA2">
        <w:rPr>
          <w:iCs/>
          <w:color w:val="000000"/>
          <w:szCs w:val="24"/>
          <w:lang w:val="fr-CA"/>
        </w:rPr>
        <w:t xml:space="preserve">, et </w:t>
      </w:r>
      <w:r w:rsidRPr="00D53AA2">
        <w:rPr>
          <w:lang w:val="fr-CA"/>
        </w:rPr>
        <w:t xml:space="preserve">la pertinence de la déclaration de la victime en appui à la conclusion selon laquelle le groupe est parti pendant cet appel téléphonique dépend </w:t>
      </w:r>
      <w:r w:rsidRPr="00D53AA2">
        <w:rPr>
          <w:i/>
          <w:lang w:val="fr-CA"/>
        </w:rPr>
        <w:t>prima facie</w:t>
      </w:r>
      <w:r w:rsidRPr="00D53AA2">
        <w:rPr>
          <w:lang w:val="fr-CA"/>
        </w:rPr>
        <w:t xml:space="preserve"> de sa véracité</w:t>
      </w:r>
      <w:r w:rsidRPr="00D53AA2">
        <w:rPr>
          <w:iCs/>
          <w:color w:val="000000"/>
          <w:szCs w:val="24"/>
          <w:lang w:val="fr-CA"/>
        </w:rPr>
        <w:t xml:space="preserve">. Bien qu’il existe une </w:t>
      </w:r>
      <w:r w:rsidRPr="00D53AA2">
        <w:rPr>
          <w:lang w:val="fr-CA"/>
        </w:rPr>
        <w:t>possibilité que la déclaration extrajudiciaire de la victime ait pu néanmoins avoir une certaine utilité, soit parce que la présomption d’inadmissibilité pouvait être réfutée par une exception à la règle du ouï-dire, soit parce que la déclaration pouvait être utilisée à une fin autre que du ouï-dire,</w:t>
      </w:r>
      <w:r w:rsidRPr="00D53AA2">
        <w:rPr>
          <w:iCs/>
          <w:color w:val="000000"/>
          <w:szCs w:val="24"/>
          <w:lang w:val="fr-CA"/>
        </w:rPr>
        <w:t xml:space="preserve"> </w:t>
      </w:r>
      <w:r w:rsidRPr="00D53AA2">
        <w:rPr>
          <w:lang w:val="fr-CA"/>
        </w:rPr>
        <w:t>le raisonnement du juge du procès ne reflète pas cette possibilité</w:t>
      </w:r>
      <w:r w:rsidRPr="00D53AA2">
        <w:rPr>
          <w:iCs/>
          <w:color w:val="000000"/>
          <w:szCs w:val="24"/>
          <w:lang w:val="fr-CA"/>
        </w:rPr>
        <w:t xml:space="preserve">. </w:t>
      </w:r>
      <w:r w:rsidRPr="00D53AA2">
        <w:rPr>
          <w:lang w:val="fr-CA"/>
        </w:rPr>
        <w:t>Ces utilisations hypothétiques de la déclaration ne sont absolument pas explicitées et ne peuvent être reconstituées de façon intelligible à partir du dossier</w:t>
      </w:r>
      <w:r w:rsidRPr="00D53AA2">
        <w:rPr>
          <w:iCs/>
          <w:color w:val="000000"/>
          <w:szCs w:val="24"/>
          <w:lang w:val="fr-CA"/>
        </w:rPr>
        <w:t xml:space="preserve">. </w:t>
      </w:r>
      <w:r w:rsidRPr="00D53AA2">
        <w:rPr>
          <w:lang w:val="fr-CA"/>
        </w:rPr>
        <w:t>L’examen en appel des questions soulevées par ces utilisations hypothétiques n’est donc pas possible</w:t>
      </w:r>
      <w:r w:rsidRPr="00D53AA2">
        <w:rPr>
          <w:iCs/>
          <w:color w:val="000000"/>
          <w:szCs w:val="24"/>
          <w:lang w:val="fr-CA"/>
        </w:rPr>
        <w:t>.</w:t>
      </w:r>
    </w:p>
    <w:p w14:paraId="5597D32C" w14:textId="77777777" w:rsidR="00736DB2" w:rsidRPr="00D53AA2" w:rsidRDefault="001C512F">
      <w:pPr>
        <w:pStyle w:val="SCCNormalDoubleSpacing"/>
        <w:spacing w:after="480"/>
        <w:rPr>
          <w:iCs/>
          <w:color w:val="000000"/>
          <w:szCs w:val="24"/>
          <w:lang w:val="fr-CA"/>
        </w:rPr>
      </w:pPr>
      <w:r w:rsidRPr="00D53AA2">
        <w:rPr>
          <w:iCs/>
          <w:color w:val="000000"/>
          <w:szCs w:val="24"/>
          <w:lang w:val="fr-CA"/>
        </w:rPr>
        <w:tab/>
      </w:r>
      <w:r w:rsidRPr="00D53AA2">
        <w:rPr>
          <w:lang w:val="fr-CA"/>
        </w:rPr>
        <w:t xml:space="preserve">La portée du pourvoi de plein droit formé par la Couronne est limitée à la question du ouï-dire à l’égard de laquelle il y a eu dissidence à la Cour d’appel et à des matières qu’on peut qualifier d’inextricablement liées à cette question, comme celle de </w:t>
      </w:r>
      <w:r w:rsidRPr="00D53AA2">
        <w:rPr>
          <w:iCs/>
          <w:color w:val="000000"/>
          <w:szCs w:val="24"/>
          <w:lang w:val="fr-CA"/>
        </w:rPr>
        <w:t>savoir</w:t>
      </w:r>
      <w:r w:rsidRPr="00D53AA2">
        <w:rPr>
          <w:lang w:val="fr-CA"/>
        </w:rPr>
        <w:t xml:space="preserve"> si l’erreur de droit est grave au point de justifier l’annulation du verdict prononcé au procès</w:t>
      </w:r>
      <w:r w:rsidRPr="00D53AA2">
        <w:rPr>
          <w:iCs/>
          <w:color w:val="000000"/>
          <w:szCs w:val="24"/>
          <w:lang w:val="fr-CA"/>
        </w:rPr>
        <w:t xml:space="preserve">. </w:t>
      </w:r>
      <w:r w:rsidRPr="00D53AA2">
        <w:rPr>
          <w:lang w:val="fr-CA"/>
        </w:rPr>
        <w:t xml:space="preserve">Une erreur de droit est présumée être préjudiciable à l’accusé, et il incombe à la Couronne de démontrer l’absence de préjudice en vertu de la disposition </w:t>
      </w:r>
      <w:r w:rsidRPr="00D53AA2">
        <w:rPr>
          <w:lang w:val="fr-CA"/>
        </w:rPr>
        <w:lastRenderedPageBreak/>
        <w:t>réparatrice</w:t>
      </w:r>
      <w:r w:rsidRPr="00D53AA2">
        <w:rPr>
          <w:iCs/>
          <w:color w:val="000000"/>
          <w:szCs w:val="24"/>
          <w:lang w:val="fr-CA"/>
        </w:rPr>
        <w:t xml:space="preserve">. En l’espèce, </w:t>
      </w:r>
      <w:r w:rsidRPr="00D53AA2">
        <w:rPr>
          <w:lang w:val="fr-CA"/>
        </w:rPr>
        <w:t xml:space="preserve">la Couronne n’a jamais plaidé, même de manière implicite, qu’il ne s’est produit aucun tort important ou aucune une erreur judiciaire grave, ou encore que la preuve de la culpabilité </w:t>
      </w:r>
      <w:proofErr w:type="gramStart"/>
      <w:r w:rsidRPr="00D53AA2">
        <w:rPr>
          <w:lang w:val="fr-CA"/>
        </w:rPr>
        <w:t>est</w:t>
      </w:r>
      <w:proofErr w:type="gramEnd"/>
      <w:r w:rsidRPr="00D53AA2">
        <w:rPr>
          <w:lang w:val="fr-CA"/>
        </w:rPr>
        <w:t xml:space="preserve"> à ce point accablante que le verdict aurait été le même en l’absence de l’erreur</w:t>
      </w:r>
      <w:r w:rsidRPr="00D53AA2">
        <w:rPr>
          <w:iCs/>
          <w:color w:val="000000"/>
          <w:szCs w:val="24"/>
          <w:lang w:val="fr-CA"/>
        </w:rPr>
        <w:t xml:space="preserve">. Comme </w:t>
      </w:r>
      <w:r w:rsidRPr="00D53AA2">
        <w:rPr>
          <w:lang w:val="fr-CA"/>
        </w:rPr>
        <w:t>la Cour ne peut appliquer la disposition réparatrice de son propre chef</w:t>
      </w:r>
      <w:r w:rsidRPr="00D53AA2">
        <w:rPr>
          <w:iCs/>
          <w:color w:val="000000"/>
          <w:szCs w:val="24"/>
          <w:lang w:val="fr-CA"/>
        </w:rPr>
        <w:t>, il n’est pas possible</w:t>
      </w:r>
      <w:r w:rsidRPr="00D53AA2">
        <w:rPr>
          <w:szCs w:val="24"/>
          <w:lang w:val="fr-CA"/>
        </w:rPr>
        <w:t xml:space="preserve"> </w:t>
      </w:r>
      <w:r w:rsidRPr="00D53AA2">
        <w:rPr>
          <w:lang w:val="fr-CA"/>
        </w:rPr>
        <w:t>d’examiner si la tenue d’un nouveau procès aurait pu être évitée par application de la disposition réparatrice</w:t>
      </w:r>
      <w:r w:rsidRPr="00D53AA2">
        <w:rPr>
          <w:iCs/>
          <w:color w:val="000000"/>
          <w:szCs w:val="24"/>
          <w:lang w:val="fr-CA"/>
        </w:rPr>
        <w:t>.</w:t>
      </w:r>
    </w:p>
    <w:p w14:paraId="3C8D28DC" w14:textId="77777777" w:rsidR="00736DB2" w:rsidRPr="00D53AA2" w:rsidRDefault="001C512F">
      <w:pPr>
        <w:pStyle w:val="SCCNormalDoubleSpacing"/>
        <w:spacing w:after="480"/>
        <w:rPr>
          <w:szCs w:val="24"/>
          <w:lang w:val="fr-CA"/>
        </w:rPr>
      </w:pPr>
      <w:r w:rsidRPr="00D53AA2">
        <w:rPr>
          <w:lang w:val="fr-CA"/>
        </w:rPr>
        <w:tab/>
      </w:r>
      <w:r w:rsidRPr="00D53AA2">
        <w:rPr>
          <w:i/>
          <w:szCs w:val="24"/>
          <w:lang w:val="fr-CA"/>
        </w:rPr>
        <w:t>La</w:t>
      </w:r>
      <w:r w:rsidRPr="00D53AA2">
        <w:rPr>
          <w:rFonts w:ascii="Helvetica Neue" w:hAnsi="Helvetica Neue"/>
          <w:color w:val="333333"/>
          <w:shd w:val="clear" w:color="auto" w:fill="FFFFFF"/>
          <w:lang w:val="fr-CA"/>
        </w:rPr>
        <w:t xml:space="preserve"> juge </w:t>
      </w:r>
      <w:r w:rsidRPr="00D53AA2">
        <w:rPr>
          <w:b/>
          <w:iCs/>
          <w:color w:val="000000"/>
          <w:szCs w:val="24"/>
          <w:lang w:val="fr-CA"/>
        </w:rPr>
        <w:t>Côté</w:t>
      </w:r>
      <w:r w:rsidRPr="00D53AA2">
        <w:rPr>
          <w:iCs/>
          <w:color w:val="000000"/>
          <w:szCs w:val="24"/>
          <w:lang w:val="fr-CA"/>
        </w:rPr>
        <w:t xml:space="preserve"> </w:t>
      </w:r>
      <w:r w:rsidRPr="00D53AA2">
        <w:rPr>
          <w:szCs w:val="24"/>
          <w:lang w:val="fr-CA"/>
        </w:rPr>
        <w:t xml:space="preserve">(dissidente) : Il y a lieu d’accueillir le pourvoi, d’annuler le jugement de la Cour d’appel et de rétablir la déclaration de culpabilité de l’accusé. Il y a désaccord </w:t>
      </w:r>
      <w:r w:rsidRPr="00D53AA2">
        <w:rPr>
          <w:iCs/>
          <w:color w:val="000000"/>
          <w:szCs w:val="24"/>
          <w:lang w:val="fr-CA"/>
        </w:rPr>
        <w:t>avec</w:t>
      </w:r>
      <w:r w:rsidRPr="00D53AA2">
        <w:rPr>
          <w:szCs w:val="24"/>
          <w:lang w:val="fr-CA"/>
        </w:rPr>
        <w:t xml:space="preserve"> les juges majoritaires sur les conclusions pouvant être tirées des motifs du juge du procès quant à l’utilisation précise qu’il a faite de la déclaration extrajudiciaire de la victime. La déclaration </w:t>
      </w:r>
      <w:r w:rsidRPr="00D53AA2">
        <w:rPr>
          <w:lang w:val="fr-CA"/>
        </w:rPr>
        <w:t>n’a pas été utilisée pour la véracité de son contenu, mais elle a plutôt servi à l’appréciation de la fiabilité par le juge du procès.</w:t>
      </w:r>
      <w:r w:rsidRPr="00D53AA2">
        <w:rPr>
          <w:szCs w:val="24"/>
          <w:lang w:val="fr-CA"/>
        </w:rPr>
        <w:t xml:space="preserve"> B</w:t>
      </w:r>
      <w:r w:rsidRPr="00D53AA2">
        <w:rPr>
          <w:lang w:val="fr-CA"/>
        </w:rPr>
        <w:t>ien que les motifs du juge du procès soient brefs, ils ne sont pas fragmentaires au point d’être insuffisants</w:t>
      </w:r>
      <w:r w:rsidRPr="00D53AA2">
        <w:rPr>
          <w:szCs w:val="24"/>
          <w:lang w:val="fr-CA"/>
        </w:rPr>
        <w:t xml:space="preserve"> et </w:t>
      </w:r>
      <w:r w:rsidRPr="00D53AA2">
        <w:rPr>
          <w:lang w:val="fr-CA"/>
        </w:rPr>
        <w:t>ne révèlent aucune interprétation erronée de la preuve</w:t>
      </w:r>
      <w:r w:rsidRPr="00D53AA2">
        <w:rPr>
          <w:szCs w:val="24"/>
          <w:lang w:val="fr-CA"/>
        </w:rPr>
        <w:t>.</w:t>
      </w:r>
    </w:p>
    <w:p w14:paraId="0E654CA7" w14:textId="77777777" w:rsidR="00736DB2" w:rsidRPr="00D53AA2" w:rsidRDefault="001C512F">
      <w:pPr>
        <w:pStyle w:val="SCCNormalDoubleSpacing"/>
        <w:spacing w:after="480"/>
        <w:rPr>
          <w:lang w:val="fr-CA"/>
        </w:rPr>
      </w:pPr>
      <w:r w:rsidRPr="00D53AA2">
        <w:rPr>
          <w:lang w:val="fr-CA"/>
        </w:rPr>
        <w:tab/>
        <w:t xml:space="preserve">Les juges du procès sont censés connaître le droit et l’appliquer correctement. Lorsque les motifs du juge du procès se prêtent à de multiples interprétations, </w:t>
      </w:r>
      <w:r w:rsidRPr="00D53AA2">
        <w:rPr>
          <w:iCs/>
          <w:color w:val="000000"/>
          <w:szCs w:val="24"/>
          <w:lang w:val="fr-CA"/>
        </w:rPr>
        <w:t>celles</w:t>
      </w:r>
      <w:r w:rsidRPr="00D53AA2">
        <w:rPr>
          <w:lang w:val="fr-CA"/>
        </w:rPr>
        <w:t xml:space="preserve"> qui sont compatibles avec la présomption d’application correcte doivent être préférées à celles qui laissent entrevoir une erreur. En l’espèce, suivant une lecture des motifs du juge du procès dans leur ensemble et au vu du dossier en entier, il est clair que ce dernier était entièrement conscient du fait que la déclaration extrajudiciaire de la victime selon laquelle des gens quittaient serait inadmissible afin </w:t>
      </w:r>
      <w:r w:rsidRPr="00D53AA2">
        <w:rPr>
          <w:lang w:val="fr-CA"/>
        </w:rPr>
        <w:lastRenderedPageBreak/>
        <w:t xml:space="preserve">de prouver la véracité de son contenu. Cela ressort d’un échange entre le juge du procès et les avocats lors du </w:t>
      </w:r>
      <w:r w:rsidRPr="00D53AA2">
        <w:rPr>
          <w:iCs/>
          <w:lang w:val="fr-CA"/>
        </w:rPr>
        <w:t xml:space="preserve">voir-dire concernant l’admissibilité de la déclaration extrajudiciaire de la victime au sujet de qui était présent à la roulotte et du fait que, au terme des observations finales des parties, le juge du procès </w:t>
      </w:r>
      <w:r w:rsidRPr="00D53AA2">
        <w:rPr>
          <w:lang w:val="fr-CA"/>
        </w:rPr>
        <w:t>a fait part de ses préoccupations concernant l’utilisation de la déposition d’un autre témoin à des fins de ouï-dire. La conclusion du juge du procès sur la chronologie des mouvements du groupe le soir du meurtre a été circonscrite par la toile de témoignages interreliés, lesquels étaient fiables selon lui en raison de leur compatibilité. Quant au témoignage de la petite amie, le juge du procès a fait remarquer qu’il était compatible avec la preuve des autres témoins qui avaient aperçu la victime au téléphone au moment de leur départ.</w:t>
      </w:r>
    </w:p>
    <w:p w14:paraId="5F3A5624" w14:textId="77777777" w:rsidR="00736DB2" w:rsidRPr="00D53AA2" w:rsidRDefault="001C512F">
      <w:pPr>
        <w:pStyle w:val="SCCNormalDoubleSpacing"/>
        <w:spacing w:after="480"/>
        <w:rPr>
          <w:lang w:val="fr-CA"/>
        </w:rPr>
      </w:pPr>
      <w:r w:rsidRPr="00D53AA2">
        <w:rPr>
          <w:lang w:val="fr-CA"/>
        </w:rPr>
        <w:tab/>
        <w:t xml:space="preserve">La norme de contrôle applicable au caractère suffisant des motifs exige que la cour de révision procède à une lecture fonctionnelle et contextuelle des motifs pour déterminer s’ils remplissent leurs fonctions qui consistent à expliquer pourquoi l’accusé a été </w:t>
      </w:r>
      <w:r w:rsidRPr="00D53AA2">
        <w:rPr>
          <w:iCs/>
          <w:color w:val="000000"/>
          <w:szCs w:val="24"/>
          <w:lang w:val="fr-CA"/>
        </w:rPr>
        <w:t>déclaré</w:t>
      </w:r>
      <w:r w:rsidRPr="00D53AA2">
        <w:rPr>
          <w:lang w:val="fr-CA"/>
        </w:rPr>
        <w:t xml:space="preserve"> coupable ou acquitté, à rendre compte devant le public et à permettre un examen efficace en appel. En l’espèce, les conclusions de fait du juge du procès concernant la preuve relative à l’ADN et aux éclaboussures de sang n’ont pas suscité un doute raisonnable à propos de l’identité de l’accusé en tant qu’agresseur. Compte tenu du caractère particulièrement accablant de la preuve matérielle, en particulier les nombreuses taches de transfert de sang sur le tee-shirt, le jean et les chaussures de l’accusé, il n’était pas nécessaire que le juge du procès offre une justification plus étoffée pour rejeter l’argument de l’accusé selon lequel l’absence d’éclaboussures de sang sur les parties exposées de son corps soulevait un doute </w:t>
      </w:r>
      <w:r w:rsidRPr="00D53AA2">
        <w:rPr>
          <w:lang w:val="fr-CA"/>
        </w:rPr>
        <w:lastRenderedPageBreak/>
        <w:t xml:space="preserve">raisonnable. Qui plus est, en ce qui a trait à la possibilité raisonnable qu’un agresseur inconnu ou tiers soit l’auteur du meurtre, la preuve établissait hors de tout doute raisonnable que l’accusé avait eu l’intention de causer illégalement la mort de la victime. </w:t>
      </w:r>
    </w:p>
    <w:p w14:paraId="5C079B1D" w14:textId="77777777" w:rsidR="00736DB2" w:rsidRPr="00D53AA2" w:rsidRDefault="001C512F">
      <w:pPr>
        <w:pStyle w:val="SCCNormalDoubleSpacing"/>
        <w:spacing w:after="480"/>
        <w:rPr>
          <w:lang w:val="fr-CA"/>
        </w:rPr>
      </w:pPr>
      <w:r w:rsidRPr="00D53AA2">
        <w:rPr>
          <w:lang w:val="fr-CA"/>
        </w:rPr>
        <w:tab/>
        <w:t xml:space="preserve">Une erreur importante dans l’interprétation de la preuve est une erreur qui joue un rôle capital dans le raisonnement à l’origine de la déclaration de culpabilité, en ce </w:t>
      </w:r>
      <w:r w:rsidRPr="00D53AA2">
        <w:rPr>
          <w:iCs/>
          <w:color w:val="000000"/>
          <w:szCs w:val="24"/>
          <w:lang w:val="fr-CA"/>
        </w:rPr>
        <w:t>sens</w:t>
      </w:r>
      <w:r w:rsidRPr="00D53AA2">
        <w:rPr>
          <w:lang w:val="fr-CA"/>
        </w:rPr>
        <w:t xml:space="preserve"> que son élimination du raisonnement saperait l’assise de celle-ci. En ce qui concerne la conclusion du juge du procès selon laquelle la victime avait mentionné que des gens quittaient, il était loisible au juge du procès de conclure que la portée générale de l’interrogation lors du contre-interrogatoire de la petite amie montrait qu’elle avait déclaré dans son témoignage à l’enquête préliminaire que la victime s’était plainte de se faire larguer par « ces gars », et qu’elle avait adopté cette déclaration antérieure dans son entièreté. La déclaration antérieure de la petite amie pouvait à bon droit être considérée comme un élément de preuve même si la transcription de l’enquête préliminaire n’avait pas été présentée en preuve, parce que lorsqu’un témoin adopte une déclaration antérieure comme étant vraie, la déclaration adoptée devient partie intégrante de la preuve du témoin au procès. Même en cas de doutes au sujet de l’adoption de la déclaration antérieure du témoin, la décision quant à la question de savoir si un témoin adopte entièrement, partiellement ou nullement son témoignage antérieur est clairement du ressort du juge des faits, et une telle décision commande une grande déférence de la part des cours de révision. En outre, le juge du procès pouvait logiquement inférer de l’ensemble de la preuve que l’expression « ces gars » </w:t>
      </w:r>
      <w:r w:rsidRPr="00D53AA2">
        <w:rPr>
          <w:lang w:val="fr-CA"/>
        </w:rPr>
        <w:lastRenderedPageBreak/>
        <w:t>avait été utilisée par référence au groupe d’amis de la victime qui étaient en train de quitter la roulotte alors que cette dernière parlait à sa petite amie, et que l’emploi de l’imparfait dans le contre-interrogatoire suggère que l’événement se déroulait tandis qu’elles parlaient.</w:t>
      </w:r>
    </w:p>
    <w:p w14:paraId="2AD680ED" w14:textId="77777777" w:rsidR="00736DB2" w:rsidRPr="00D53AA2" w:rsidRDefault="001C512F">
      <w:pPr>
        <w:pStyle w:val="SCCNormalDoubleSpacing"/>
        <w:spacing w:after="720" w:line="240" w:lineRule="auto"/>
        <w:rPr>
          <w:b/>
          <w:lang w:val="fr-CA"/>
        </w:rPr>
      </w:pPr>
      <w:r w:rsidRPr="00D53AA2">
        <w:rPr>
          <w:b/>
          <w:lang w:val="fr-CA"/>
        </w:rPr>
        <w:t>Jurisprudence</w:t>
      </w:r>
    </w:p>
    <w:p w14:paraId="021CD254" w14:textId="77777777" w:rsidR="00736DB2" w:rsidRPr="00D53AA2" w:rsidRDefault="001C512F">
      <w:pPr>
        <w:pStyle w:val="SCCNormalDoubleSpacing"/>
        <w:spacing w:after="720" w:line="240" w:lineRule="auto"/>
        <w:rPr>
          <w:lang w:val="fr-CA"/>
        </w:rPr>
      </w:pPr>
      <w:r w:rsidRPr="00D53AA2">
        <w:rPr>
          <w:lang w:val="fr-CA"/>
        </w:rPr>
        <w:t>Citée par la juge O’Bonsawin</w:t>
      </w:r>
    </w:p>
    <w:p w14:paraId="26BD85E8" w14:textId="77777777" w:rsidR="00736DB2" w:rsidRPr="00D53AA2" w:rsidRDefault="001C512F">
      <w:pPr>
        <w:pStyle w:val="SCCNormalDoubleSpacing"/>
        <w:spacing w:after="480"/>
        <w:rPr>
          <w:lang w:val="fr-CA"/>
        </w:rPr>
      </w:pPr>
      <w:r w:rsidRPr="00D53AA2">
        <w:rPr>
          <w:lang w:val="fr-CA"/>
        </w:rPr>
        <w:tab/>
      </w:r>
      <w:bookmarkStart w:id="1" w:name="_Hlk230208386"/>
      <w:r w:rsidRPr="00D53AA2">
        <w:rPr>
          <w:b/>
          <w:lang w:val="fr-CA"/>
        </w:rPr>
        <w:t>Distinction d’avec l’arrêt </w:t>
      </w:r>
      <w:bookmarkEnd w:id="1"/>
      <w:r w:rsidRPr="00D53AA2">
        <w:rPr>
          <w:b/>
          <w:lang w:val="fr-CA"/>
        </w:rPr>
        <w:t>:</w:t>
      </w:r>
      <w:r w:rsidRPr="00D53AA2">
        <w:rPr>
          <w:lang w:val="fr-CA"/>
        </w:rPr>
        <w:t xml:space="preserve"> </w:t>
      </w:r>
      <w:r w:rsidRPr="00D53AA2">
        <w:rPr>
          <w:i/>
          <w:lang w:val="fr-CA"/>
        </w:rPr>
        <w:t>R. c. Evans</w:t>
      </w:r>
      <w:r w:rsidRPr="00D53AA2">
        <w:rPr>
          <w:lang w:val="fr-CA"/>
        </w:rPr>
        <w:t xml:space="preserve">, [1993] 3 R.C.S. 653; </w:t>
      </w:r>
      <w:r w:rsidRPr="00D53AA2">
        <w:rPr>
          <w:b/>
          <w:lang w:val="fr-CA"/>
        </w:rPr>
        <w:t>arrêts mentionnés :</w:t>
      </w:r>
      <w:r w:rsidRPr="00D53AA2">
        <w:rPr>
          <w:lang w:val="fr-CA"/>
        </w:rPr>
        <w:t xml:space="preserve"> </w:t>
      </w:r>
      <w:r w:rsidRPr="00D53AA2">
        <w:rPr>
          <w:i/>
          <w:lang w:val="fr-CA"/>
        </w:rPr>
        <w:t>R. c. Schneider</w:t>
      </w:r>
      <w:r w:rsidRPr="00D53AA2">
        <w:rPr>
          <w:lang w:val="fr-CA"/>
        </w:rPr>
        <w:t xml:space="preserve">, 2022 CSC 34, [2022] 2 R.C.S. 619; </w:t>
      </w:r>
      <w:r w:rsidRPr="00D53AA2">
        <w:rPr>
          <w:i/>
          <w:lang w:val="fr-CA"/>
        </w:rPr>
        <w:t>R. c. Khelawon</w:t>
      </w:r>
      <w:r w:rsidRPr="00D53AA2">
        <w:rPr>
          <w:lang w:val="fr-CA"/>
        </w:rPr>
        <w:t xml:space="preserve">, 2006 CSC 57, [2006] 2 R.C.S. 787; </w:t>
      </w:r>
      <w:r w:rsidRPr="00D53AA2">
        <w:rPr>
          <w:i/>
          <w:lang w:val="fr-CA"/>
        </w:rPr>
        <w:t>R. c. Starr</w:t>
      </w:r>
      <w:r w:rsidRPr="00D53AA2">
        <w:rPr>
          <w:lang w:val="fr-CA"/>
        </w:rPr>
        <w:t xml:space="preserve">, 2000 CSC 40, [2000] 2 R.C.S. 144; </w:t>
      </w:r>
      <w:r w:rsidRPr="00D53AA2">
        <w:rPr>
          <w:i/>
          <w:iCs/>
          <w:color w:val="000000"/>
          <w:lang w:val="fr-CA"/>
        </w:rPr>
        <w:t>R. c. Bradshaw</w:t>
      </w:r>
      <w:r w:rsidRPr="00D53AA2">
        <w:rPr>
          <w:color w:val="000000"/>
          <w:lang w:val="fr-CA"/>
        </w:rPr>
        <w:t xml:space="preserve">, 2017 CSC 35, [2017] 1 R.C.S. 865; </w:t>
      </w:r>
      <w:r w:rsidRPr="00D53AA2">
        <w:rPr>
          <w:i/>
          <w:lang w:val="fr-CA"/>
        </w:rPr>
        <w:t>R. c. Youvarajah</w:t>
      </w:r>
      <w:r w:rsidRPr="00D53AA2">
        <w:rPr>
          <w:lang w:val="fr-CA"/>
        </w:rPr>
        <w:t xml:space="preserve">, 2013 CSC 41, [2013] 2 R.C.S. 720; </w:t>
      </w:r>
      <w:r w:rsidRPr="00D53AA2">
        <w:rPr>
          <w:i/>
          <w:iCs/>
          <w:color w:val="000000"/>
          <w:lang w:val="fr-CA"/>
        </w:rPr>
        <w:t>R. c. Charles</w:t>
      </w:r>
      <w:r w:rsidRPr="00D53AA2">
        <w:rPr>
          <w:color w:val="000000"/>
          <w:lang w:val="fr-CA"/>
        </w:rPr>
        <w:t xml:space="preserve">, </w:t>
      </w:r>
      <w:r w:rsidRPr="00D53AA2">
        <w:rPr>
          <w:rStyle w:val="solexhl"/>
          <w:rFonts w:eastAsiaTheme="majorEastAsia"/>
          <w:color w:val="000000"/>
          <w:lang w:val="fr-CA"/>
        </w:rPr>
        <w:t xml:space="preserve">2024 CSC 29; </w:t>
      </w:r>
      <w:r w:rsidRPr="00D53AA2">
        <w:rPr>
          <w:i/>
          <w:lang w:val="fr-CA"/>
        </w:rPr>
        <w:t>R. c. Saddleback</w:t>
      </w:r>
      <w:r w:rsidRPr="00D53AA2">
        <w:rPr>
          <w:lang w:val="fr-CA"/>
        </w:rPr>
        <w:t xml:space="preserve">, 2014 ABCA 166, 1 Alta. L.R. (6th) 259; </w:t>
      </w:r>
      <w:r w:rsidRPr="00D53AA2">
        <w:rPr>
          <w:i/>
          <w:lang w:val="fr-CA"/>
        </w:rPr>
        <w:t>Syngenta AG c. Van Wijngaarden</w:t>
      </w:r>
      <w:r w:rsidRPr="00D53AA2">
        <w:rPr>
          <w:lang w:val="fr-CA"/>
        </w:rPr>
        <w:t xml:space="preserve">, 2025 BCCA 334; </w:t>
      </w:r>
      <w:r w:rsidRPr="00D53AA2">
        <w:rPr>
          <w:i/>
          <w:iCs/>
          <w:color w:val="000000"/>
          <w:lang w:val="fr-CA"/>
        </w:rPr>
        <w:t>R. c. Abbey</w:t>
      </w:r>
      <w:r w:rsidRPr="00D53AA2">
        <w:rPr>
          <w:color w:val="000000"/>
          <w:lang w:val="fr-CA"/>
        </w:rPr>
        <w:t>, [</w:t>
      </w:r>
      <w:r w:rsidRPr="00D53AA2">
        <w:rPr>
          <w:rStyle w:val="solexhl"/>
          <w:rFonts w:eastAsiaTheme="majorEastAsia"/>
          <w:color w:val="000000"/>
          <w:lang w:val="fr-CA"/>
        </w:rPr>
        <w:t xml:space="preserve">1982] 2 R.C.S. 24; </w:t>
      </w:r>
      <w:r w:rsidRPr="00D53AA2">
        <w:rPr>
          <w:i/>
          <w:lang w:val="fr-CA"/>
        </w:rPr>
        <w:t>R. c. Maxie</w:t>
      </w:r>
      <w:r w:rsidRPr="00D53AA2">
        <w:rPr>
          <w:lang w:val="fr-CA"/>
        </w:rPr>
        <w:t xml:space="preserve">, 2014 SKCA 103, 316 C.C.C. (3d) 396; </w:t>
      </w:r>
      <w:r w:rsidRPr="00D53AA2">
        <w:rPr>
          <w:i/>
          <w:lang w:val="fr-CA"/>
        </w:rPr>
        <w:t>R. c. Li</w:t>
      </w:r>
      <w:r w:rsidRPr="00D53AA2">
        <w:rPr>
          <w:lang w:val="fr-CA"/>
        </w:rPr>
        <w:t xml:space="preserve">, 2023 BCCA 47; </w:t>
      </w:r>
      <w:r w:rsidRPr="00D53AA2">
        <w:rPr>
          <w:i/>
          <w:lang w:val="fr-CA"/>
        </w:rPr>
        <w:t>R. c. G.F.</w:t>
      </w:r>
      <w:r w:rsidRPr="00D53AA2">
        <w:rPr>
          <w:lang w:val="fr-CA"/>
        </w:rPr>
        <w:t xml:space="preserve">, 2021 CSC 20, </w:t>
      </w:r>
      <w:r w:rsidRPr="00D53AA2">
        <w:rPr>
          <w:color w:val="000000"/>
          <w:lang w:val="fr-CA"/>
        </w:rPr>
        <w:t xml:space="preserve">[2021] 1 R.C.S. 801; </w:t>
      </w:r>
      <w:r w:rsidRPr="00D53AA2">
        <w:rPr>
          <w:i/>
          <w:lang w:val="fr-CA"/>
        </w:rPr>
        <w:t>R. c. Bridgman</w:t>
      </w:r>
      <w:r w:rsidRPr="00D53AA2">
        <w:rPr>
          <w:lang w:val="fr-CA"/>
        </w:rPr>
        <w:t xml:space="preserve">, 2017 ONCA 940, 357 C.C.C. (3d) 213; </w:t>
      </w:r>
      <w:r w:rsidRPr="00D53AA2">
        <w:rPr>
          <w:i/>
          <w:iCs/>
          <w:color w:val="000000"/>
          <w:lang w:val="fr-CA"/>
        </w:rPr>
        <w:t>R. c. Baldree</w:t>
      </w:r>
      <w:r w:rsidRPr="00D53AA2">
        <w:rPr>
          <w:color w:val="000000"/>
          <w:lang w:val="fr-CA"/>
        </w:rPr>
        <w:t xml:space="preserve">, </w:t>
      </w:r>
      <w:r w:rsidRPr="00D53AA2">
        <w:rPr>
          <w:rStyle w:val="solexhl"/>
          <w:rFonts w:eastAsiaTheme="majorEastAsia"/>
          <w:color w:val="000000"/>
          <w:lang w:val="fr-CA"/>
        </w:rPr>
        <w:t>2013 CSC 35</w:t>
      </w:r>
      <w:r w:rsidRPr="00D53AA2">
        <w:rPr>
          <w:color w:val="000000"/>
          <w:lang w:val="fr-CA"/>
        </w:rPr>
        <w:t xml:space="preserve">, [2013] 2 R.C.S. 520; </w:t>
      </w:r>
      <w:r w:rsidRPr="00D53AA2">
        <w:rPr>
          <w:i/>
          <w:iCs/>
          <w:color w:val="000000"/>
          <w:lang w:val="fr-CA"/>
        </w:rPr>
        <w:t>R. c. Tayo Tompouba</w:t>
      </w:r>
      <w:r w:rsidRPr="00D53AA2">
        <w:rPr>
          <w:color w:val="000000"/>
          <w:lang w:val="fr-CA"/>
        </w:rPr>
        <w:t xml:space="preserve">, </w:t>
      </w:r>
      <w:r w:rsidRPr="00D53AA2">
        <w:rPr>
          <w:rStyle w:val="solexhl"/>
          <w:rFonts w:eastAsiaTheme="majorEastAsia"/>
          <w:color w:val="000000"/>
          <w:lang w:val="fr-CA"/>
        </w:rPr>
        <w:t xml:space="preserve">2024 CSC 16; </w:t>
      </w:r>
      <w:r w:rsidRPr="00D53AA2">
        <w:rPr>
          <w:i/>
          <w:iCs/>
          <w:color w:val="000000"/>
          <w:lang w:val="fr-CA"/>
        </w:rPr>
        <w:t>R. c. Keegstra</w:t>
      </w:r>
      <w:r w:rsidRPr="00D53AA2">
        <w:rPr>
          <w:color w:val="000000"/>
          <w:lang w:val="fr-CA"/>
        </w:rPr>
        <w:t xml:space="preserve">, [1995] </w:t>
      </w:r>
      <w:r w:rsidRPr="00D53AA2">
        <w:rPr>
          <w:rStyle w:val="solexhl"/>
          <w:rFonts w:eastAsiaTheme="majorEastAsia"/>
          <w:color w:val="000000"/>
          <w:lang w:val="fr-CA"/>
        </w:rPr>
        <w:t xml:space="preserve">2 R.C.S. 381; </w:t>
      </w:r>
      <w:r w:rsidRPr="00D53AA2">
        <w:rPr>
          <w:i/>
          <w:iCs/>
          <w:color w:val="000000"/>
          <w:lang w:val="fr-CA"/>
        </w:rPr>
        <w:t>R. c. Samaniego</w:t>
      </w:r>
      <w:r w:rsidRPr="00D53AA2">
        <w:rPr>
          <w:color w:val="000000"/>
          <w:lang w:val="fr-CA"/>
        </w:rPr>
        <w:t xml:space="preserve">, </w:t>
      </w:r>
      <w:r w:rsidRPr="00D53AA2">
        <w:rPr>
          <w:rStyle w:val="solexhl"/>
          <w:rFonts w:eastAsiaTheme="majorEastAsia"/>
          <w:color w:val="000000"/>
          <w:lang w:val="fr-CA"/>
        </w:rPr>
        <w:t>2022 CSC 9</w:t>
      </w:r>
      <w:r w:rsidRPr="00D53AA2">
        <w:rPr>
          <w:color w:val="000000"/>
          <w:lang w:val="fr-CA"/>
        </w:rPr>
        <w:t>, [2022] 1 R.C.S. 71.</w:t>
      </w:r>
    </w:p>
    <w:p w14:paraId="4FC6E143" w14:textId="77777777" w:rsidR="00736DB2" w:rsidRPr="00D53AA2" w:rsidRDefault="001C512F">
      <w:pPr>
        <w:pStyle w:val="SCCNormalDoubleSpacing"/>
        <w:spacing w:after="480"/>
        <w:rPr>
          <w:lang w:val="fr-CA"/>
        </w:rPr>
      </w:pPr>
      <w:r w:rsidRPr="00D53AA2">
        <w:rPr>
          <w:lang w:val="fr-CA"/>
        </w:rPr>
        <w:t>Citée par la juge Côté (dissidente)</w:t>
      </w:r>
    </w:p>
    <w:p w14:paraId="1BBC98DD" w14:textId="77777777" w:rsidR="00736DB2" w:rsidRPr="00D53AA2" w:rsidRDefault="001C512F">
      <w:pPr>
        <w:pStyle w:val="SCCNormalDoubleSpacing"/>
        <w:spacing w:after="480"/>
        <w:rPr>
          <w:color w:val="000000"/>
          <w:lang w:val="fr-CA"/>
        </w:rPr>
      </w:pPr>
      <w:r w:rsidRPr="00D53AA2">
        <w:rPr>
          <w:lang w:val="fr-CA"/>
        </w:rPr>
        <w:lastRenderedPageBreak/>
        <w:tab/>
      </w:r>
      <w:r w:rsidRPr="00D53AA2">
        <w:rPr>
          <w:i/>
          <w:lang w:val="fr-CA"/>
        </w:rPr>
        <w:t>R. c. G.F.</w:t>
      </w:r>
      <w:r w:rsidRPr="00D53AA2">
        <w:rPr>
          <w:lang w:val="fr-CA"/>
        </w:rPr>
        <w:t>, 2021 CSC 20, [2021] 1 R.C.S. 801;</w:t>
      </w:r>
      <w:r w:rsidRPr="00D53AA2">
        <w:rPr>
          <w:i/>
          <w:iCs/>
          <w:color w:val="000000"/>
          <w:lang w:val="fr-CA"/>
        </w:rPr>
        <w:t xml:space="preserve"> R. c. Keegstra</w:t>
      </w:r>
      <w:r w:rsidRPr="00D53AA2">
        <w:rPr>
          <w:color w:val="000000"/>
          <w:lang w:val="fr-CA"/>
        </w:rPr>
        <w:t xml:space="preserve">, [1995] </w:t>
      </w:r>
      <w:r w:rsidRPr="00D53AA2">
        <w:rPr>
          <w:rStyle w:val="solexhl"/>
          <w:rFonts w:eastAsiaTheme="majorEastAsia"/>
          <w:color w:val="000000"/>
          <w:lang w:val="fr-CA"/>
        </w:rPr>
        <w:t>2 R.C.S. 381;</w:t>
      </w:r>
      <w:r w:rsidRPr="00D53AA2">
        <w:rPr>
          <w:i/>
          <w:lang w:val="fr-CA"/>
        </w:rPr>
        <w:t xml:space="preserve"> R. c. Nova Scotia Pharmaceutical Society</w:t>
      </w:r>
      <w:r w:rsidRPr="00D53AA2">
        <w:rPr>
          <w:lang w:val="fr-CA"/>
        </w:rPr>
        <w:t>, [1992] 2 R.C.S. 606;</w:t>
      </w:r>
      <w:r w:rsidRPr="00D53AA2">
        <w:rPr>
          <w:color w:val="000000"/>
          <w:lang w:val="fr-CA"/>
        </w:rPr>
        <w:t xml:space="preserve"> </w:t>
      </w:r>
      <w:r w:rsidRPr="00D53AA2">
        <w:rPr>
          <w:rStyle w:val="solexhl"/>
          <w:i/>
          <w:iCs/>
          <w:color w:val="000000"/>
          <w:lang w:val="fr-CA"/>
        </w:rPr>
        <w:t>Perka c. La Reine</w:t>
      </w:r>
      <w:r w:rsidRPr="00D53AA2">
        <w:rPr>
          <w:color w:val="000000"/>
          <w:lang w:val="fr-CA"/>
        </w:rPr>
        <w:t>, [1984] 2 R.C.S. 232;</w:t>
      </w:r>
      <w:r w:rsidRPr="00D53AA2">
        <w:rPr>
          <w:i/>
          <w:lang w:val="fr-CA"/>
        </w:rPr>
        <w:t xml:space="preserve"> R. c. Sheppard</w:t>
      </w:r>
      <w:r w:rsidRPr="00D53AA2">
        <w:rPr>
          <w:lang w:val="fr-CA"/>
        </w:rPr>
        <w:t>, 2002 CSC 26, [2002] 1 R.C.S. 869;</w:t>
      </w:r>
      <w:r w:rsidRPr="00D53AA2">
        <w:rPr>
          <w:i/>
          <w:iCs/>
          <w:color w:val="000000"/>
          <w:lang w:val="fr-CA"/>
        </w:rPr>
        <w:t xml:space="preserve"> R. c. R.E.M.</w:t>
      </w:r>
      <w:r w:rsidRPr="00D53AA2">
        <w:rPr>
          <w:color w:val="000000"/>
          <w:lang w:val="fr-CA"/>
        </w:rPr>
        <w:t>, 2008 CSC 51, [2008] 3 R.C.S. 3;</w:t>
      </w:r>
      <w:r w:rsidRPr="00D53AA2">
        <w:rPr>
          <w:i/>
          <w:iCs/>
          <w:color w:val="000000"/>
          <w:lang w:val="fr-CA"/>
        </w:rPr>
        <w:t xml:space="preserve"> R. c. Dinardo</w:t>
      </w:r>
      <w:r w:rsidRPr="00D53AA2">
        <w:rPr>
          <w:color w:val="000000"/>
          <w:lang w:val="fr-CA"/>
        </w:rPr>
        <w:t>, 2008 CSC 24, [2008] 1 R.C.S. 788;</w:t>
      </w:r>
      <w:r w:rsidRPr="00D53AA2">
        <w:rPr>
          <w:i/>
          <w:lang w:val="fr-CA"/>
        </w:rPr>
        <w:t xml:space="preserve"> R. c. D. (J.J.R.)</w:t>
      </w:r>
      <w:r w:rsidRPr="00D53AA2">
        <w:rPr>
          <w:lang w:val="fr-CA"/>
        </w:rPr>
        <w:t xml:space="preserve"> (2006), 215 C.C.C. (3d) 252;</w:t>
      </w:r>
      <w:r w:rsidRPr="00D53AA2">
        <w:rPr>
          <w:i/>
          <w:lang w:val="fr-CA"/>
        </w:rPr>
        <w:t xml:space="preserve"> R. c. Villaroman</w:t>
      </w:r>
      <w:r w:rsidRPr="00D53AA2">
        <w:rPr>
          <w:lang w:val="fr-CA"/>
        </w:rPr>
        <w:t>, 2016 CSC 33, [2016] 1 R.C.S. 1000;</w:t>
      </w:r>
      <w:r w:rsidRPr="00D53AA2">
        <w:rPr>
          <w:i/>
          <w:lang w:val="fr-CA"/>
        </w:rPr>
        <w:t xml:space="preserve"> R. c. Dipnarine</w:t>
      </w:r>
      <w:r w:rsidRPr="00D53AA2">
        <w:rPr>
          <w:lang w:val="fr-CA"/>
        </w:rPr>
        <w:t>, 2014 ABCA 328</w:t>
      </w:r>
      <w:bookmarkStart w:id="2" w:name="_Hlk229473969"/>
      <w:r w:rsidRPr="00D53AA2">
        <w:rPr>
          <w:lang w:val="fr-CA"/>
        </w:rPr>
        <w:t>, 316 C.C.C. (3d) 357</w:t>
      </w:r>
      <w:bookmarkEnd w:id="2"/>
      <w:r w:rsidRPr="00D53AA2">
        <w:rPr>
          <w:lang w:val="fr-CA"/>
        </w:rPr>
        <w:t>;</w:t>
      </w:r>
      <w:r w:rsidRPr="00D53AA2">
        <w:rPr>
          <w:i/>
          <w:lang w:val="fr-CA"/>
        </w:rPr>
        <w:t xml:space="preserve"> Ujvari c. R.</w:t>
      </w:r>
      <w:r w:rsidRPr="00D53AA2">
        <w:rPr>
          <w:lang w:val="fr-CA"/>
        </w:rPr>
        <w:t>, 2019 QCCA 2001;</w:t>
      </w:r>
      <w:r w:rsidRPr="00D53AA2">
        <w:rPr>
          <w:i/>
          <w:lang w:val="fr-CA"/>
        </w:rPr>
        <w:t xml:space="preserve"> R. c. Lohrer</w:t>
      </w:r>
      <w:r w:rsidRPr="00D53AA2">
        <w:rPr>
          <w:lang w:val="fr-CA"/>
        </w:rPr>
        <w:t>, 2004 CSC 80, [2004] 3 R.C.S. 732;</w:t>
      </w:r>
      <w:r w:rsidRPr="00D53AA2">
        <w:rPr>
          <w:i/>
          <w:lang w:val="fr-CA"/>
        </w:rPr>
        <w:t xml:space="preserve"> R. c. Morrissey</w:t>
      </w:r>
      <w:r w:rsidRPr="00D53AA2">
        <w:rPr>
          <w:lang w:val="fr-CA"/>
        </w:rPr>
        <w:t xml:space="preserve"> (1995), 97 C.C.C. (3d) 193;</w:t>
      </w:r>
      <w:r w:rsidRPr="00D53AA2">
        <w:rPr>
          <w:i/>
          <w:lang w:val="fr-CA"/>
        </w:rPr>
        <w:t xml:space="preserve"> R. c. Sinclair</w:t>
      </w:r>
      <w:r w:rsidRPr="00D53AA2">
        <w:rPr>
          <w:lang w:val="fr-CA"/>
        </w:rPr>
        <w:t>, 2011 CSC 40, [2011] 3 R.C.S. 3;</w:t>
      </w:r>
      <w:r w:rsidRPr="00D53AA2">
        <w:rPr>
          <w:i/>
          <w:lang w:val="fr-CA"/>
        </w:rPr>
        <w:t xml:space="preserve"> R. c. Candir</w:t>
      </w:r>
      <w:r w:rsidRPr="00D53AA2">
        <w:rPr>
          <w:lang w:val="fr-CA"/>
        </w:rPr>
        <w:t>, 2009 ONCA 915, 257 O.A.C. 119;</w:t>
      </w:r>
      <w:r w:rsidRPr="00D53AA2">
        <w:rPr>
          <w:i/>
          <w:lang w:val="fr-CA"/>
        </w:rPr>
        <w:t xml:space="preserve"> R. c. Robert</w:t>
      </w:r>
      <w:r w:rsidRPr="00D53AA2">
        <w:rPr>
          <w:lang w:val="fr-CA"/>
        </w:rPr>
        <w:t>, 2023 QCCA 379;</w:t>
      </w:r>
      <w:r w:rsidRPr="00D53AA2">
        <w:rPr>
          <w:i/>
          <w:lang w:val="fr-CA"/>
        </w:rPr>
        <w:t xml:space="preserve"> R. c. Medford</w:t>
      </w:r>
      <w:r w:rsidRPr="00D53AA2">
        <w:rPr>
          <w:lang w:val="fr-CA"/>
        </w:rPr>
        <w:t>, 2021 ONCA 27;</w:t>
      </w:r>
      <w:r w:rsidRPr="00D53AA2">
        <w:rPr>
          <w:i/>
          <w:lang w:val="fr-CA"/>
        </w:rPr>
        <w:t xml:space="preserve"> R. c. Abdulle</w:t>
      </w:r>
      <w:r w:rsidRPr="00D53AA2">
        <w:rPr>
          <w:lang w:val="fr-CA"/>
        </w:rPr>
        <w:t>, 2020 ONCA 106, 149 O.R. (3d) 301;</w:t>
      </w:r>
      <w:r w:rsidRPr="00D53AA2">
        <w:rPr>
          <w:i/>
          <w:lang w:val="fr-CA"/>
        </w:rPr>
        <w:t xml:space="preserve"> R. c. Kruk</w:t>
      </w:r>
      <w:r w:rsidRPr="00D53AA2">
        <w:rPr>
          <w:lang w:val="fr-CA"/>
        </w:rPr>
        <w:t>, 2024 CSC 7;</w:t>
      </w:r>
      <w:r w:rsidRPr="00D53AA2">
        <w:rPr>
          <w:i/>
          <w:lang w:val="fr-CA"/>
        </w:rPr>
        <w:t xml:space="preserve"> R. c. Gagnon</w:t>
      </w:r>
      <w:r w:rsidRPr="00D53AA2">
        <w:rPr>
          <w:lang w:val="fr-CA"/>
        </w:rPr>
        <w:t>, 2006 CSC 17, [2006] 1 R.C.S. 621.</w:t>
      </w:r>
    </w:p>
    <w:p w14:paraId="2D4121BD" w14:textId="77777777" w:rsidR="00736DB2" w:rsidRPr="00D53AA2" w:rsidRDefault="001C512F">
      <w:pPr>
        <w:pStyle w:val="SCCNormalDoubleSpacing"/>
        <w:spacing w:after="720" w:line="240" w:lineRule="auto"/>
        <w:rPr>
          <w:b/>
          <w:lang w:val="fr-CA"/>
        </w:rPr>
      </w:pPr>
      <w:r w:rsidRPr="00D53AA2">
        <w:rPr>
          <w:b/>
          <w:lang w:val="fr-CA"/>
        </w:rPr>
        <w:t>Lois et règlements cités</w:t>
      </w:r>
    </w:p>
    <w:p w14:paraId="36B82621" w14:textId="77777777" w:rsidR="00736DB2" w:rsidRPr="00D53AA2" w:rsidRDefault="001C512F">
      <w:pPr>
        <w:spacing w:after="240"/>
        <w:rPr>
          <w:lang w:val="fr-CA"/>
        </w:rPr>
      </w:pPr>
      <w:r w:rsidRPr="00D53AA2">
        <w:rPr>
          <w:i/>
          <w:iCs/>
          <w:lang w:val="fr-CA"/>
        </w:rPr>
        <w:t>Code criminel</w:t>
      </w:r>
      <w:r w:rsidRPr="00D53AA2">
        <w:rPr>
          <w:lang w:val="fr-CA"/>
        </w:rPr>
        <w:t>, L.R.C. 1985, c. C‐46, art. 686(1</w:t>
      </w:r>
      <w:proofErr w:type="gramStart"/>
      <w:r w:rsidRPr="00D53AA2">
        <w:rPr>
          <w:lang w:val="fr-CA"/>
        </w:rPr>
        <w:t>)b)(</w:t>
      </w:r>
      <w:proofErr w:type="gramEnd"/>
      <w:r w:rsidRPr="00D53AA2">
        <w:rPr>
          <w:lang w:val="fr-CA"/>
        </w:rPr>
        <w:t>iii), 693(1)a).</w:t>
      </w:r>
    </w:p>
    <w:p w14:paraId="519B8AFE" w14:textId="77777777" w:rsidR="00736DB2" w:rsidRPr="00D53AA2" w:rsidRDefault="001C512F">
      <w:pPr>
        <w:spacing w:after="720"/>
        <w:rPr>
          <w:lang w:val="fr-CA"/>
        </w:rPr>
      </w:pPr>
      <w:r w:rsidRPr="00D53AA2">
        <w:rPr>
          <w:i/>
          <w:iCs/>
          <w:color w:val="000000"/>
          <w:lang w:val="fr-CA"/>
        </w:rPr>
        <w:t>Règles de la Cour suprême du Canada</w:t>
      </w:r>
      <w:r w:rsidRPr="00D53AA2">
        <w:rPr>
          <w:color w:val="000000"/>
          <w:lang w:val="fr-CA"/>
        </w:rPr>
        <w:t>, DORS/2002</w:t>
      </w:r>
      <w:r w:rsidRPr="00D53AA2">
        <w:rPr>
          <w:color w:val="000000"/>
          <w:lang w:val="fr-CA"/>
        </w:rPr>
        <w:noBreakHyphen/>
        <w:t>156, règle 29(3).</w:t>
      </w:r>
    </w:p>
    <w:p w14:paraId="5730054B" w14:textId="77777777" w:rsidR="00736DB2" w:rsidRPr="00D53AA2" w:rsidRDefault="001C512F">
      <w:pPr>
        <w:pStyle w:val="SCCNormalDoubleSpacing"/>
        <w:spacing w:after="720" w:line="240" w:lineRule="auto"/>
        <w:rPr>
          <w:b/>
          <w:lang w:val="fr-CA"/>
        </w:rPr>
      </w:pPr>
      <w:r w:rsidRPr="00D53AA2">
        <w:rPr>
          <w:b/>
          <w:lang w:val="fr-CA"/>
        </w:rPr>
        <w:t>Doctrine et autres documents cités</w:t>
      </w:r>
    </w:p>
    <w:p w14:paraId="6847F1F9" w14:textId="77777777" w:rsidR="00736DB2" w:rsidRPr="00D53AA2" w:rsidRDefault="001C512F">
      <w:pPr>
        <w:pStyle w:val="SCCNormalDoubleSpacing"/>
        <w:spacing w:after="720" w:line="240" w:lineRule="auto"/>
        <w:ind w:left="540" w:hanging="540"/>
        <w:rPr>
          <w:lang w:val="en-US"/>
        </w:rPr>
      </w:pPr>
      <w:r w:rsidRPr="00D53AA2">
        <w:rPr>
          <w:color w:val="000000"/>
          <w:lang w:val="fr-CA"/>
        </w:rPr>
        <w:t xml:space="preserve">Paciocco, David M., Palma Paciocco et Lee Stuesser. </w:t>
      </w:r>
      <w:r w:rsidRPr="00D53AA2">
        <w:rPr>
          <w:i/>
          <w:iCs/>
          <w:color w:val="000000"/>
          <w:lang w:val="en-US"/>
        </w:rPr>
        <w:t>The Law of Evidence</w:t>
      </w:r>
      <w:r w:rsidRPr="00D53AA2">
        <w:rPr>
          <w:color w:val="000000"/>
          <w:lang w:val="en-US"/>
        </w:rPr>
        <w:t>, 8</w:t>
      </w:r>
      <w:r w:rsidRPr="00D53AA2">
        <w:rPr>
          <w:color w:val="000000"/>
          <w:vertAlign w:val="superscript"/>
          <w:lang w:val="en-US"/>
        </w:rPr>
        <w:t>e</w:t>
      </w:r>
      <w:r w:rsidRPr="00D53AA2">
        <w:rPr>
          <w:color w:val="000000"/>
          <w:lang w:val="en-US"/>
        </w:rPr>
        <w:t xml:space="preserve"> éd., Toronto, Irwin Law, 2020.</w:t>
      </w:r>
    </w:p>
    <w:p w14:paraId="2B1AD498" w14:textId="77777777" w:rsidR="00736DB2" w:rsidRPr="00D53AA2" w:rsidRDefault="001C512F">
      <w:pPr>
        <w:pStyle w:val="SCCNormalDoubleSpacing"/>
        <w:spacing w:after="480"/>
        <w:rPr>
          <w:lang w:val="fr-CA"/>
        </w:rPr>
      </w:pPr>
      <w:r w:rsidRPr="00D53AA2">
        <w:rPr>
          <w:lang w:val="en-US"/>
        </w:rPr>
        <w:tab/>
      </w:r>
      <w:r w:rsidRPr="00D53AA2">
        <w:rPr>
          <w:lang w:val="fr-CA"/>
        </w:rPr>
        <w:t xml:space="preserve">POURVOI contre un arrêt de la Cour d’appel de l’Alberta (les juges Crighton, Kirker et Grosse), </w:t>
      </w:r>
      <w:hyperlink r:id="rId9" w:history="1">
        <w:r w:rsidRPr="00D53AA2">
          <w:rPr>
            <w:rStyle w:val="Hyperlien"/>
            <w:color w:val="660000"/>
            <w:u w:val="none"/>
            <w:lang w:val="fr-CA"/>
          </w:rPr>
          <w:t>2024 ABCA 352</w:t>
        </w:r>
      </w:hyperlink>
      <w:r w:rsidRPr="00D53AA2">
        <w:rPr>
          <w:lang w:val="fr-CA"/>
        </w:rPr>
        <w:t xml:space="preserve">, [2024] A.J. No. 1258 (Lexis), 2024 CarswellAlta 2758 (WL), </w:t>
      </w:r>
      <w:r w:rsidRPr="00D53AA2">
        <w:rPr>
          <w:color w:val="000000"/>
          <w:lang w:val="fr-FR"/>
        </w:rPr>
        <w:t xml:space="preserve">qui a annulé la déclaration de culpabilité pour meurtre au </w:t>
      </w:r>
      <w:r w:rsidRPr="00D53AA2">
        <w:rPr>
          <w:color w:val="000000"/>
          <w:lang w:val="fr-FR"/>
        </w:rPr>
        <w:lastRenderedPageBreak/>
        <w:t>deuxième degré prononcée contre l’accusé et ordonné un nouveau procès</w:t>
      </w:r>
      <w:r w:rsidRPr="00D53AA2">
        <w:rPr>
          <w:lang w:val="fr-CA"/>
        </w:rPr>
        <w:t>. Pourvoi rejeté, la juge Côté est dissidente.</w:t>
      </w:r>
    </w:p>
    <w:p w14:paraId="3F5A9DB7" w14:textId="77777777" w:rsidR="00736DB2" w:rsidRPr="00D53AA2" w:rsidRDefault="001C512F">
      <w:pPr>
        <w:pStyle w:val="SCCNormalDoubleSpacing"/>
        <w:spacing w:after="480"/>
        <w:rPr>
          <w:lang w:val="fr-FR"/>
        </w:rPr>
      </w:pPr>
      <w:r w:rsidRPr="00D53AA2">
        <w:rPr>
          <w:rStyle w:val="SCCCounselNameChar"/>
          <w:lang w:val="fr-FR"/>
        </w:rPr>
        <w:tab/>
        <w:t>Jason R. Russell</w:t>
      </w:r>
      <w:r w:rsidRPr="00D53AA2">
        <w:rPr>
          <w:rStyle w:val="SCCCounselPartyRoleChar"/>
          <w:lang w:val="fr-FR"/>
        </w:rPr>
        <w:t>, pour l’appelant.</w:t>
      </w:r>
    </w:p>
    <w:p w14:paraId="12614ECC" w14:textId="77777777" w:rsidR="00736DB2" w:rsidRPr="00D53AA2" w:rsidRDefault="001C512F" w:rsidP="00D53AA2">
      <w:pPr>
        <w:pStyle w:val="SCCNormalDoubleSpacing"/>
        <w:spacing w:after="480"/>
        <w:rPr>
          <w:rStyle w:val="SCCCounselPartyRoleChar"/>
          <w:lang w:val="fr-FR"/>
        </w:rPr>
      </w:pPr>
      <w:r w:rsidRPr="00D53AA2">
        <w:rPr>
          <w:rStyle w:val="SCCCounselNameChar"/>
          <w:lang w:val="fr-CA"/>
        </w:rPr>
        <w:tab/>
      </w:r>
      <w:r w:rsidRPr="00D53AA2">
        <w:rPr>
          <w:rStyle w:val="SCCCounselNameChar"/>
          <w:lang w:val="fr-FR"/>
        </w:rPr>
        <w:t>Brian A. Beresh</w:t>
      </w:r>
      <w:r w:rsidRPr="00D53AA2">
        <w:rPr>
          <w:rStyle w:val="SCCCounselNameChar"/>
          <w:i w:val="0"/>
          <w:lang w:val="fr-FR"/>
        </w:rPr>
        <w:t>,</w:t>
      </w:r>
      <w:r w:rsidRPr="00D53AA2">
        <w:rPr>
          <w:rStyle w:val="SCCCounselNameChar"/>
          <w:lang w:val="fr-FR"/>
        </w:rPr>
        <w:t xml:space="preserve"> </w:t>
      </w:r>
      <w:r w:rsidRPr="00D53AA2">
        <w:rPr>
          <w:rStyle w:val="scccounselnamechar0"/>
          <w:i/>
          <w:iCs/>
          <w:color w:val="000000"/>
          <w:lang w:val="fr-CA"/>
        </w:rPr>
        <w:t>c.r.</w:t>
      </w:r>
      <w:r w:rsidRPr="00D53AA2">
        <w:rPr>
          <w:rStyle w:val="scccounselnamechar0"/>
          <w:color w:val="000000"/>
          <w:lang w:val="fr-CA"/>
        </w:rPr>
        <w:t>,</w:t>
      </w:r>
      <w:r w:rsidRPr="00D53AA2">
        <w:rPr>
          <w:rStyle w:val="SCCCounselSeparatorChar"/>
          <w:lang w:val="fr-FR"/>
        </w:rPr>
        <w:t xml:space="preserve"> et </w:t>
      </w:r>
      <w:r w:rsidRPr="00D53AA2">
        <w:rPr>
          <w:rStyle w:val="SCCCounselNameChar"/>
          <w:lang w:val="fr-FR"/>
        </w:rPr>
        <w:t>Kristofer Advent</w:t>
      </w:r>
      <w:r w:rsidRPr="00D53AA2">
        <w:rPr>
          <w:rStyle w:val="SCCCounselPartyRoleChar"/>
          <w:lang w:val="fr-FR"/>
        </w:rPr>
        <w:t>, pour l’intimé.</w:t>
      </w:r>
    </w:p>
    <w:p w14:paraId="3A18AF5E" w14:textId="77777777" w:rsidR="00D53AA2" w:rsidRPr="00D53AA2" w:rsidRDefault="00D53AA2" w:rsidP="00D53AA2">
      <w:pPr>
        <w:tabs>
          <w:tab w:val="left" w:pos="1134"/>
        </w:tabs>
        <w:spacing w:after="480" w:line="480" w:lineRule="auto"/>
        <w:ind w:firstLine="12"/>
        <w:jc w:val="both"/>
        <w:rPr>
          <w:lang w:val="fr-CA"/>
        </w:rPr>
      </w:pPr>
      <w:r w:rsidRPr="00932CAA">
        <w:rPr>
          <w:lang w:val="fr-CA"/>
        </w:rPr>
        <w:tab/>
      </w:r>
      <w:r w:rsidRPr="00D53AA2">
        <w:rPr>
          <w:lang w:val="fr-CA"/>
        </w:rPr>
        <w:t>Version française du jugement du juge en chef Wagner et des juges Karakatsanis, Rowe, Martin, Kasirer, Jamal, O’Bonsawin et Moreau rendu par</w:t>
      </w:r>
    </w:p>
    <w:p w14:paraId="600C7905" w14:textId="77777777" w:rsidR="00D53AA2" w:rsidRPr="00D53AA2" w:rsidRDefault="00D53AA2" w:rsidP="00932CAA">
      <w:pPr>
        <w:pStyle w:val="JudgeJuge"/>
        <w:tabs>
          <w:tab w:val="clear" w:pos="1166"/>
          <w:tab w:val="left" w:pos="1134"/>
        </w:tabs>
        <w:spacing w:before="240" w:after="720" w:line="240" w:lineRule="auto"/>
        <w:rPr>
          <w:lang w:val="fr-CA"/>
        </w:rPr>
      </w:pPr>
      <w:r w:rsidRPr="00D53AA2">
        <w:rPr>
          <w:lang w:val="fr-CA"/>
        </w:rPr>
        <w:tab/>
        <w:t xml:space="preserve">La juge O’Bonsawin — </w:t>
      </w:r>
    </w:p>
    <w:p w14:paraId="598BA6C8" w14:textId="77777777" w:rsidR="00D53AA2" w:rsidRPr="00D53AA2" w:rsidRDefault="00D53AA2" w:rsidP="00D53AA2">
      <w:pPr>
        <w:pStyle w:val="Title1LevelTitre1Niveau-AltL"/>
        <w:rPr>
          <w:rFonts w:cs="Times New Roman"/>
          <w:lang w:val="fr-CA"/>
        </w:rPr>
      </w:pPr>
      <w:r w:rsidRPr="00D53AA2">
        <w:rPr>
          <w:rFonts w:cs="Times New Roman"/>
          <w:lang w:val="fr-CA"/>
        </w:rPr>
        <w:t>Aperçu</w:t>
      </w:r>
    </w:p>
    <w:p w14:paraId="5D8A2B0F" w14:textId="77777777" w:rsidR="00D53AA2" w:rsidRPr="00D53AA2" w:rsidRDefault="00D53AA2" w:rsidP="00D53AA2">
      <w:pPr>
        <w:pStyle w:val="ParaNoNdepar-AltN"/>
        <w:rPr>
          <w:rFonts w:cs="Times New Roman"/>
          <w:lang w:val="fr-CA"/>
        </w:rPr>
      </w:pPr>
      <w:r w:rsidRPr="00D53AA2">
        <w:rPr>
          <w:rFonts w:cs="Times New Roman"/>
          <w:lang w:val="fr-CA"/>
        </w:rPr>
        <w:t xml:space="preserve">Dans le présent pourvoi, la Cour est appelée à appliquer les principes bien établis relatifs à la preuve par ouï-dire et à la suffisance des motifs aux faits particuliers de l’espèce. </w:t>
      </w:r>
    </w:p>
    <w:p w14:paraId="18A2C794" w14:textId="77777777" w:rsidR="00D53AA2" w:rsidRPr="00D53AA2" w:rsidRDefault="00D53AA2" w:rsidP="00D53AA2">
      <w:pPr>
        <w:pStyle w:val="ParaNoNdepar-AltN"/>
        <w:rPr>
          <w:rFonts w:cs="Times New Roman"/>
          <w:lang w:val="fr-CA"/>
        </w:rPr>
      </w:pPr>
      <w:r w:rsidRPr="00D53AA2">
        <w:rPr>
          <w:rFonts w:cs="Times New Roman"/>
          <w:lang w:val="fr-CA"/>
        </w:rPr>
        <w:t xml:space="preserve">Dans des motifs succincts rendus oralement, le juge du procès a déclaré l’intimé, Dylon Saddleback, coupable du meurtre au second degré de Joshua Dennehy. En appui à sa conclusion selon laquelle les deux hommes avaient été laissés seuls sur les lieux du crime peu avant le meurtre, le juge du procès a fait référence à une déclaration extrajudiciaire faite par le défunt à une témoin durant un appel téléphonique. Les juges majoritaires de la Cour d’appel de l’Alberta ont conclu que le </w:t>
      </w:r>
      <w:r w:rsidRPr="00D53AA2">
        <w:rPr>
          <w:rFonts w:cs="Times New Roman"/>
          <w:lang w:val="fr-CA"/>
        </w:rPr>
        <w:lastRenderedPageBreak/>
        <w:t>juge du procès a commis une erreur en se fondant sur la déclaration à une fin de ouï-dire non permise, et sur ce motif, ils ont annulé la déclaration de culpabilité et ordonné la tenue d’un nouveau procès.</w:t>
      </w:r>
    </w:p>
    <w:p w14:paraId="37CF262C" w14:textId="77777777" w:rsidR="00D53AA2" w:rsidRPr="00D53AA2" w:rsidRDefault="00D53AA2" w:rsidP="00D53AA2">
      <w:pPr>
        <w:pStyle w:val="ParaNoNdepar-AltN"/>
        <w:rPr>
          <w:rFonts w:cs="Times New Roman"/>
          <w:lang w:val="fr-CA"/>
        </w:rPr>
      </w:pPr>
      <w:r w:rsidRPr="00D53AA2">
        <w:rPr>
          <w:rFonts w:cs="Times New Roman"/>
          <w:lang w:val="fr-CA"/>
        </w:rPr>
        <w:t>La Couronne fait valoir que les juges majoritaires ont commis une erreur en concluant que le juge du procès avait fait une utilisation non permise de la preuve par ouï-dire. Selon elle, la conclusion que le juge du procès a tirée à partir de la déclaration extrajudiciaire ne repose pas sur l’acceptation de la véracité du contenu de la déclaration, mais plutôt sur des inférences logiques relatives au comportement humain et sur les circonstances dans lesquelles la déclaration a été faite. Monsieur Saddleback est en désaccord. Il avance que les juges majoritaires ont décidé à bon droit que le juge du procès a commis une erreur dans la manière dont il a utilisé la preuve par ouï-dire, et, quoi qu’il en soit, qu’un nouveau procès est nécessaire parce que le juge du procès a mal interprété la preuve et parce que les motifs qu’il a rendus sont insuffisants.</w:t>
      </w:r>
    </w:p>
    <w:p w14:paraId="20F842AC" w14:textId="77777777" w:rsidR="00D53AA2" w:rsidRPr="00D53AA2" w:rsidRDefault="00D53AA2" w:rsidP="00D53AA2">
      <w:pPr>
        <w:pStyle w:val="ParaNoNdepar-AltN"/>
        <w:rPr>
          <w:rFonts w:cs="Times New Roman"/>
          <w:lang w:val="fr-CA"/>
        </w:rPr>
      </w:pPr>
      <w:r w:rsidRPr="00D53AA2">
        <w:rPr>
          <w:rFonts w:cs="Times New Roman"/>
          <w:lang w:val="fr-CA"/>
        </w:rPr>
        <w:t xml:space="preserve">Pour les motifs qui suivent, je suis d’avis de rejeter le pourvoi. Il ressort de la simple lecture des motifs que le </w:t>
      </w:r>
      <w:bookmarkStart w:id="3" w:name="_Hlk230163376"/>
      <w:r w:rsidRPr="00D53AA2">
        <w:rPr>
          <w:rFonts w:cs="Times New Roman"/>
          <w:lang w:val="fr-CA"/>
        </w:rPr>
        <w:t>juge du procès a utilisé la déclaration extrajudiciaire en guise de ouï-dire, c’est-à-dire pour établir la véracité de son contenu</w:t>
      </w:r>
      <w:bookmarkEnd w:id="3"/>
      <w:r w:rsidRPr="00D53AA2">
        <w:rPr>
          <w:rFonts w:cs="Times New Roman"/>
          <w:lang w:val="fr-CA"/>
        </w:rPr>
        <w:t xml:space="preserve">. Même s’il était vrai que la déclaration extrajudiciaire pouvait être invoquée à une fin autre qu’établir la véracité de son contenu ou qu’elle aurait pu être admise pour établir la véracité de son contenu suivant une exception à la règle du ouï-dire, les motifs du juge du procès, lorsqu’ils sont lus à la lumière du dossier du procès dans son ensemble, sont insuffisants </w:t>
      </w:r>
      <w:r w:rsidRPr="00D53AA2">
        <w:rPr>
          <w:rFonts w:cs="Times New Roman"/>
          <w:lang w:val="fr-CA"/>
        </w:rPr>
        <w:lastRenderedPageBreak/>
        <w:t>pour permettre à une cour d’appel d’inférer ou de reconstituer une analyse appuyant l’un ou l’autre des fondements. Il y a lieu de souligner que la Couronne n’invoque pas la disposition réparatrice. Dans de telles circonstances, la tenue d’un nouveau procès est nécessaire.</w:t>
      </w:r>
    </w:p>
    <w:p w14:paraId="6F228E68" w14:textId="77777777" w:rsidR="00D53AA2" w:rsidRPr="00D53AA2" w:rsidRDefault="00D53AA2" w:rsidP="00D53AA2">
      <w:pPr>
        <w:pStyle w:val="Title1LevelTitre1Niveau-AltL"/>
        <w:rPr>
          <w:rFonts w:cs="Times New Roman"/>
          <w:lang w:val="fr-CA"/>
        </w:rPr>
      </w:pPr>
      <w:bookmarkStart w:id="4" w:name="_Toc219560089"/>
      <w:r w:rsidRPr="00D53AA2">
        <w:rPr>
          <w:rFonts w:cs="Times New Roman"/>
          <w:lang w:val="fr-CA"/>
        </w:rPr>
        <w:t>Context</w:t>
      </w:r>
      <w:bookmarkEnd w:id="4"/>
      <w:r w:rsidRPr="00D53AA2">
        <w:rPr>
          <w:rFonts w:cs="Times New Roman"/>
          <w:lang w:val="fr-CA"/>
        </w:rPr>
        <w:t>e</w:t>
      </w:r>
    </w:p>
    <w:p w14:paraId="1BBE2864" w14:textId="77777777" w:rsidR="00D53AA2" w:rsidRPr="00D53AA2" w:rsidRDefault="00D53AA2" w:rsidP="00D53AA2">
      <w:pPr>
        <w:pStyle w:val="ParaNoNdepar-AltN"/>
        <w:rPr>
          <w:rFonts w:cs="Times New Roman"/>
          <w:lang w:val="fr-CA"/>
        </w:rPr>
      </w:pPr>
      <w:r w:rsidRPr="00D53AA2">
        <w:rPr>
          <w:rFonts w:cs="Times New Roman"/>
          <w:lang w:val="fr-CA"/>
        </w:rPr>
        <w:t xml:space="preserve">Le 28 juillet 2020, M. Dennehy, M. Saddleback et d’autres s’étaient réunis lors d’une activité sociale à l’extérieur d’une roulotte, dans le centre de l’Alberta. À un moment donné de cette soirée, la plupart des membres du groupe s’en est allée pour assister à une fête d’anniversaire non loin de là, laissant M. Dennehy et M. Saddleback seuls à la roulotte. </w:t>
      </w:r>
    </w:p>
    <w:p w14:paraId="69203A80" w14:textId="77777777" w:rsidR="00D53AA2" w:rsidRPr="00D53AA2" w:rsidRDefault="00D53AA2" w:rsidP="00D53AA2">
      <w:pPr>
        <w:pStyle w:val="ParaNoNdepar-AltN"/>
        <w:rPr>
          <w:rFonts w:cs="Times New Roman"/>
          <w:lang w:val="fr-CA"/>
        </w:rPr>
      </w:pPr>
      <w:r w:rsidRPr="00D53AA2">
        <w:rPr>
          <w:rFonts w:cs="Times New Roman"/>
          <w:lang w:val="fr-CA"/>
        </w:rPr>
        <w:t>Un autre homme qui rentrait à son domicile situé à côté de la roulotte a découvert M. Dennehy gisant sans vie sur le sol et a composé le 9-1-1, vers 22 h 44. Il avait été frappé de plus de 45 coups assénés avec un objet contondant. Quand les policiers sont arrivés peu de temps après, ils ont trouvé M. Saddleback debout entre la roulotte et un véhicule stationné non loin de là. Lorsqu’ils se sont identifiés, M. Saddleback s’est enfui et a été trouvé plus tard caché sous la terrasse de la maison de sa mère. Il avait le sang de M. Dennehy sur ses chaussures et ses vêtements. Une hache, sur laquelle il y avait également le sang de M. Dennehy, a été trouvée entre le véhicule et la roulotte, là où M. Saddleback s’était tenu debout.</w:t>
      </w:r>
      <w:bookmarkStart w:id="5" w:name="_Hlk230161515"/>
      <w:r w:rsidRPr="00D53AA2">
        <w:rPr>
          <w:rFonts w:cs="Times New Roman"/>
          <w:lang w:val="fr-CA"/>
        </w:rPr>
        <w:t xml:space="preserve"> Monsieur Saddleback a été arrêté et inculpé de meurtre au second degré.</w:t>
      </w:r>
      <w:bookmarkEnd w:id="5"/>
    </w:p>
    <w:p w14:paraId="147126DB" w14:textId="77777777" w:rsidR="00D53AA2" w:rsidRPr="00D53AA2" w:rsidRDefault="00D53AA2" w:rsidP="00D53AA2">
      <w:pPr>
        <w:pStyle w:val="ParaNoNdepar-AltN"/>
        <w:rPr>
          <w:rFonts w:cs="Times New Roman"/>
          <w:lang w:val="fr-CA"/>
        </w:rPr>
      </w:pPr>
      <w:r w:rsidRPr="00D53AA2">
        <w:rPr>
          <w:rFonts w:cs="Times New Roman"/>
          <w:lang w:val="fr-CA"/>
        </w:rPr>
        <w:lastRenderedPageBreak/>
        <w:t>Au procès, M. Saddleback a plaidé qu’il y avait une possibilité raisonnable que quelque temps après le départ du groupe pour se rendre à la fête d’anniversaire, quelqu’un d’autre soit arrivé à la roulotte et ait tué M. Dennehy. Une question importante au procès était donc celle de savoir si M. Saddleback avait eu l’occasion exclusive de tuer M. Dennehy, et l’heure à laquelle les membres du groupe les avaient laissés seuls à la roulotte revêtait une importance particulière pour répondre à cette question. Les membres du groupe ont donné des versions contradictoires quant au moment où ils sont partis, mais d’après leurs témoignages, M. Dennehy était au téléphone et M. Saddleback était dans la roulotte au moment de leur départ.</w:t>
      </w:r>
    </w:p>
    <w:p w14:paraId="53EC57AE" w14:textId="77777777" w:rsidR="00D53AA2" w:rsidRPr="00D53AA2" w:rsidRDefault="00D53AA2" w:rsidP="00D53AA2">
      <w:pPr>
        <w:pStyle w:val="ParaNoNdepar-AltN"/>
        <w:rPr>
          <w:rFonts w:cs="Times New Roman"/>
          <w:lang w:val="fr-CA"/>
        </w:rPr>
      </w:pPr>
      <w:r w:rsidRPr="00D53AA2">
        <w:rPr>
          <w:rFonts w:cs="Times New Roman"/>
          <w:lang w:val="fr-CA"/>
        </w:rPr>
        <w:t>Il n’était pas contesté que M. Dennehy était au téléphone avec sa petite amie, Delayna Bull, pendant 10 à 20 minutes, dans l’intervalle de 22 h à 22 h 30. Elle a témoigné que le signal téléphonique est devenu brouillé et qu’elle a entendu des bruits de mouvements, de lutte et de coups sourds avant que l’appel se termine. La Couronne a interrogé M</w:t>
      </w:r>
      <w:r w:rsidRPr="00D53AA2">
        <w:rPr>
          <w:rFonts w:cs="Times New Roman"/>
          <w:vertAlign w:val="superscript"/>
          <w:lang w:val="fr-CA"/>
        </w:rPr>
        <w:t>me</w:t>
      </w:r>
      <w:r w:rsidRPr="00D53AA2">
        <w:rPr>
          <w:rFonts w:cs="Times New Roman"/>
          <w:lang w:val="fr-CA"/>
        </w:rPr>
        <w:t xml:space="preserve"> Bull afin de savoir avec qui M. Dennehy avait dit qu’il était pendant l’appel, ce qui a entraîné une objection et la tenue d’un voir-dire sur l’admissibilité de cette preuve. À la clôture du voir-dire, la Couronne s’est désistée de sa demande visant à ce que cette preuve soit admise.</w:t>
      </w:r>
    </w:p>
    <w:p w14:paraId="2CEC89ED" w14:textId="77777777" w:rsidR="00D53AA2" w:rsidRPr="00D53AA2" w:rsidRDefault="00D53AA2" w:rsidP="00D53AA2">
      <w:pPr>
        <w:pStyle w:val="ParaNoNdepar-AltN"/>
        <w:rPr>
          <w:rFonts w:cs="Times New Roman"/>
          <w:lang w:val="fr-CA"/>
        </w:rPr>
      </w:pPr>
      <w:r w:rsidRPr="00D53AA2">
        <w:rPr>
          <w:rFonts w:cs="Times New Roman"/>
          <w:lang w:val="fr-CA"/>
        </w:rPr>
        <w:t>Plus tard lors du procès, l’avocat de M. Saddleback a demandé à M</w:t>
      </w:r>
      <w:r w:rsidRPr="00D53AA2">
        <w:rPr>
          <w:rFonts w:cs="Times New Roman"/>
          <w:vertAlign w:val="superscript"/>
          <w:lang w:val="fr-CA"/>
        </w:rPr>
        <w:t>me</w:t>
      </w:r>
      <w:r w:rsidRPr="00D53AA2">
        <w:rPr>
          <w:rFonts w:cs="Times New Roman"/>
          <w:lang w:val="fr-CA"/>
        </w:rPr>
        <w:t xml:space="preserve"> Bull, en contre-interrogatoire, si M. Dennehy lui avait dit [</w:t>
      </w:r>
      <w:r w:rsidRPr="00D53AA2">
        <w:rPr>
          <w:rFonts w:cs="Times New Roman"/>
          <w:smallCaps/>
          <w:lang w:val="fr-CA"/>
        </w:rPr>
        <w:t>traduction</w:t>
      </w:r>
      <w:r w:rsidRPr="00D53AA2">
        <w:rPr>
          <w:rFonts w:cs="Times New Roman"/>
          <w:lang w:val="fr-CA"/>
        </w:rPr>
        <w:t xml:space="preserve">] « qu’il se faisait larguer par ces gars » durant cet appel téléphonique (d.a., vol. II, p. 202). Elle a d’abord répondu à cette question par la négative. Cependant, lorsqu’elle a été confrontée à son </w:t>
      </w:r>
      <w:r w:rsidRPr="00D53AA2">
        <w:rPr>
          <w:rFonts w:cs="Times New Roman"/>
          <w:lang w:val="fr-CA"/>
        </w:rPr>
        <w:lastRenderedPageBreak/>
        <w:t>témoignage livré lors de l’enquête préliminaire, elle a convenu que M. Dennehy avait utilisé le terme « larguer », voulant dire que les autres l’avaient quitté. Le présent pourvoi porte principalement sur la manière dont le juge du procès s’est fondé sur cette déclaration lorsqu’il a évalué le moment du départ du groupe de la roulotte.</w:t>
      </w:r>
    </w:p>
    <w:p w14:paraId="0974092A" w14:textId="77777777" w:rsidR="00D53AA2" w:rsidRPr="00D53AA2" w:rsidRDefault="00D53AA2" w:rsidP="00D53AA2">
      <w:pPr>
        <w:pStyle w:val="Title1LevelTitre1Niveau-AltL"/>
        <w:rPr>
          <w:rFonts w:cs="Times New Roman"/>
          <w:lang w:val="fr-CA"/>
        </w:rPr>
      </w:pPr>
      <w:r w:rsidRPr="00D53AA2">
        <w:rPr>
          <w:rFonts w:cs="Times New Roman"/>
          <w:lang w:val="fr-CA"/>
        </w:rPr>
        <w:t>Historique judiciaire</w:t>
      </w:r>
    </w:p>
    <w:p w14:paraId="43904F59" w14:textId="77777777" w:rsidR="00D53AA2" w:rsidRPr="00D53AA2" w:rsidRDefault="00D53AA2" w:rsidP="00D53AA2">
      <w:pPr>
        <w:pStyle w:val="Title2LevelTitre2Niveau"/>
        <w:rPr>
          <w:rFonts w:cs="Times New Roman"/>
          <w:lang w:val="fr-CA"/>
        </w:rPr>
      </w:pPr>
      <w:bookmarkStart w:id="6" w:name="_Toc219560091"/>
      <w:r w:rsidRPr="00D53AA2">
        <w:rPr>
          <w:rFonts w:cs="Times New Roman"/>
          <w:lang w:val="fr-CA"/>
        </w:rPr>
        <w:t>Cour du Banc du Roi de l’Alberta (le juge Clackson)</w:t>
      </w:r>
      <w:bookmarkEnd w:id="6"/>
    </w:p>
    <w:p w14:paraId="1240E0ED" w14:textId="77777777" w:rsidR="00D53AA2" w:rsidRPr="00D53AA2" w:rsidRDefault="00D53AA2" w:rsidP="00D53AA2">
      <w:pPr>
        <w:pStyle w:val="ParaNoNdepar-AltN"/>
        <w:rPr>
          <w:rFonts w:cs="Times New Roman"/>
          <w:lang w:val="fr-CA"/>
        </w:rPr>
      </w:pPr>
      <w:r w:rsidRPr="00D53AA2">
        <w:rPr>
          <w:rFonts w:cs="Times New Roman"/>
          <w:lang w:val="fr-CA"/>
        </w:rPr>
        <w:t>Le juge du procès a déclaré M. Saddleback coupable de meurtre au second degré et a rendu oralement des motifs très succincts.</w:t>
      </w:r>
    </w:p>
    <w:p w14:paraId="5E01A489" w14:textId="77777777" w:rsidR="00D53AA2" w:rsidRPr="00D53AA2" w:rsidRDefault="00D53AA2" w:rsidP="00D53AA2">
      <w:pPr>
        <w:pStyle w:val="ParaNoNdepar-AltN"/>
        <w:rPr>
          <w:rFonts w:cs="Times New Roman"/>
          <w:lang w:val="fr-CA"/>
        </w:rPr>
      </w:pPr>
      <w:r w:rsidRPr="00D53AA2">
        <w:rPr>
          <w:rFonts w:cs="Times New Roman"/>
          <w:lang w:val="fr-CA"/>
        </w:rPr>
        <w:t>Il a pris note de la preuve des membres du groupe selon laquelle lorsqu’ils ont quitté la roulotte pour se rendre à la fête d’anniversaire, M. Dennehy parlait au téléphone et M. Saddleback se trouvait dans la roulotte. Le juge du procès a conclu que cette preuve concordait avec la preuve de M</w:t>
      </w:r>
      <w:r w:rsidRPr="00D53AA2">
        <w:rPr>
          <w:rFonts w:cs="Times New Roman"/>
          <w:vertAlign w:val="superscript"/>
          <w:lang w:val="fr-CA"/>
        </w:rPr>
        <w:t>me</w:t>
      </w:r>
      <w:r w:rsidRPr="00D53AA2">
        <w:rPr>
          <w:rFonts w:cs="Times New Roman"/>
          <w:lang w:val="fr-CA"/>
        </w:rPr>
        <w:t xml:space="preserve"> Bull d’après laquelle elle a parlé à M. Dennehy au téléphone vers 22 h et qu’au cours de leur conversation, ce dernier [</w:t>
      </w:r>
      <w:r w:rsidRPr="00D53AA2">
        <w:rPr>
          <w:rFonts w:cs="Times New Roman"/>
          <w:smallCaps/>
          <w:lang w:val="fr-CA"/>
        </w:rPr>
        <w:t>traduction</w:t>
      </w:r>
      <w:r w:rsidRPr="00D53AA2">
        <w:rPr>
          <w:rFonts w:cs="Times New Roman"/>
          <w:lang w:val="fr-CA"/>
        </w:rPr>
        <w:t>] « a mentionné que des gens quittaient », et qu’il devait se battre contre quelqu’un de plus jeune que lui (d.a., vol. I, p. 3). Monsieur Saddleback était plus jeune que M. Dennehy.</w:t>
      </w:r>
    </w:p>
    <w:p w14:paraId="0011FDB4" w14:textId="77777777" w:rsidR="00D53AA2" w:rsidRPr="00D53AA2" w:rsidRDefault="00D53AA2" w:rsidP="00D53AA2">
      <w:pPr>
        <w:pStyle w:val="ParaNoNdepar-AltN"/>
        <w:rPr>
          <w:rFonts w:cs="Times New Roman"/>
          <w:lang w:val="fr-CA"/>
        </w:rPr>
      </w:pPr>
      <w:r w:rsidRPr="00D53AA2">
        <w:rPr>
          <w:rFonts w:cs="Times New Roman"/>
          <w:lang w:val="fr-CA"/>
        </w:rPr>
        <w:t>Après avoir examiné la preuve matérielle, le juge du procès a conclu qu’il n’y avait pas de possibilité raisonnable que quelqu’un d’autre ait tué M. Dennehy. La preuve de M</w:t>
      </w:r>
      <w:r w:rsidRPr="00D53AA2">
        <w:rPr>
          <w:rFonts w:cs="Times New Roman"/>
          <w:vertAlign w:val="superscript"/>
          <w:lang w:val="fr-CA"/>
        </w:rPr>
        <w:t>me</w:t>
      </w:r>
      <w:r w:rsidRPr="00D53AA2">
        <w:rPr>
          <w:rFonts w:cs="Times New Roman"/>
          <w:lang w:val="fr-CA"/>
        </w:rPr>
        <w:t xml:space="preserve"> Bull sur ce qui lui avait été dit au téléphone a permis au juge du procès </w:t>
      </w:r>
      <w:r w:rsidRPr="00D53AA2">
        <w:rPr>
          <w:rFonts w:cs="Times New Roman"/>
          <w:lang w:val="fr-CA"/>
        </w:rPr>
        <w:lastRenderedPageBreak/>
        <w:t>de conclure que M. Dennehy est décédé peu après le départ du groupe de la roulotte, donnant à M. Saddleback l’occasion exclusive de commettre le meurtre. Monsieur Dennehy avait à l’esprit qu’il devait se battre et M</w:t>
      </w:r>
      <w:r w:rsidRPr="00D53AA2">
        <w:rPr>
          <w:rFonts w:cs="Times New Roman"/>
          <w:vertAlign w:val="superscript"/>
          <w:lang w:val="fr-CA"/>
        </w:rPr>
        <w:t>me</w:t>
      </w:r>
      <w:r w:rsidRPr="00D53AA2">
        <w:rPr>
          <w:rFonts w:cs="Times New Roman"/>
          <w:lang w:val="fr-CA"/>
        </w:rPr>
        <w:t xml:space="preserve"> Bull a entendu des sons à travers le téléphone que le juge du procès a estimé être les coups qui ont tués M. Dennehy. Compte tenu de ce déroulement des faits, il était contraire au sens commun que quiconque d’autre ait tué M. Dennehy. En outre, il a conclu que l’absence de davantage d’éclaboussures de sang sur certains des vêtements de M. Saddleback était [</w:t>
      </w:r>
      <w:r w:rsidRPr="00D53AA2">
        <w:rPr>
          <w:rFonts w:cs="Times New Roman"/>
          <w:smallCaps/>
          <w:lang w:val="fr-CA"/>
        </w:rPr>
        <w:t>traduction</w:t>
      </w:r>
      <w:r w:rsidRPr="00D53AA2">
        <w:rPr>
          <w:rFonts w:cs="Times New Roman"/>
          <w:lang w:val="fr-CA"/>
        </w:rPr>
        <w:t>] « le résultat des lois de la physique liées [aux éclaboussures de sang] » (d.a., vol. I, p. 5).</w:t>
      </w:r>
    </w:p>
    <w:p w14:paraId="4D3EA560" w14:textId="77777777" w:rsidR="00D53AA2" w:rsidRPr="00D53AA2" w:rsidRDefault="00D53AA2" w:rsidP="00D53AA2">
      <w:pPr>
        <w:pStyle w:val="Title2LevelTitre2Niveau"/>
        <w:rPr>
          <w:rFonts w:cs="Times New Roman"/>
          <w:lang w:val="fr-CA"/>
        </w:rPr>
      </w:pPr>
      <w:bookmarkStart w:id="7" w:name="_Toc219560092"/>
      <w:r w:rsidRPr="00D53AA2">
        <w:rPr>
          <w:rFonts w:cs="Times New Roman"/>
          <w:lang w:val="fr-CA"/>
        </w:rPr>
        <w:t>Cour d’appel de l’Alberta, 2024 ABCA 352 (les juges Crighton, Kirker et Grosse)</w:t>
      </w:r>
      <w:bookmarkEnd w:id="7"/>
    </w:p>
    <w:p w14:paraId="775B3C8C" w14:textId="77777777" w:rsidR="00D53AA2" w:rsidRPr="00D53AA2" w:rsidRDefault="00D53AA2" w:rsidP="00D53AA2">
      <w:pPr>
        <w:pStyle w:val="Title3LevelTitre3Niveau"/>
        <w:rPr>
          <w:rFonts w:cs="Times New Roman"/>
          <w:lang w:val="fr-CA"/>
        </w:rPr>
      </w:pPr>
      <w:r w:rsidRPr="00D53AA2">
        <w:rPr>
          <w:rFonts w:cs="Times New Roman"/>
          <w:lang w:val="fr-CA"/>
        </w:rPr>
        <w:t>Les juges Kirker et Grosse</w:t>
      </w:r>
    </w:p>
    <w:p w14:paraId="022ECB30" w14:textId="77777777" w:rsidR="00D53AA2" w:rsidRPr="00D53AA2" w:rsidRDefault="00D53AA2" w:rsidP="00D53AA2">
      <w:pPr>
        <w:pStyle w:val="ParaNoNdepar-AltN"/>
        <w:rPr>
          <w:rFonts w:cs="Times New Roman"/>
          <w:lang w:val="fr-CA"/>
        </w:rPr>
      </w:pPr>
      <w:r w:rsidRPr="00D53AA2">
        <w:rPr>
          <w:rFonts w:cs="Times New Roman"/>
          <w:lang w:val="fr-CA"/>
        </w:rPr>
        <w:t>Une majorité de juges de la Cour d’appel a accueilli l’appel de M. Saddleback, annulé la déclaration de culpabilité et ordonné la tenue d’un nouveau procès. La majorité a conclu que le juge du procès s’était fondé sur la déclaration extrajudiciaire de M. Dennehy portant que des gens quittaient, faite pendant son appel téléphonique avec M</w:t>
      </w:r>
      <w:r w:rsidRPr="00D53AA2">
        <w:rPr>
          <w:rFonts w:cs="Times New Roman"/>
          <w:vertAlign w:val="superscript"/>
          <w:lang w:val="fr-CA"/>
        </w:rPr>
        <w:t>me</w:t>
      </w:r>
      <w:r w:rsidRPr="00D53AA2">
        <w:rPr>
          <w:rFonts w:cs="Times New Roman"/>
          <w:lang w:val="fr-CA"/>
        </w:rPr>
        <w:t xml:space="preserve"> Bull, pour établir la véracité de son contenu. Il s’agissait donc d’une utilisation non permise d’une preuve par ouï-dire.</w:t>
      </w:r>
    </w:p>
    <w:p w14:paraId="58359B85" w14:textId="77777777" w:rsidR="00D53AA2" w:rsidRPr="00D53AA2" w:rsidRDefault="00D53AA2" w:rsidP="00D53AA2">
      <w:pPr>
        <w:pStyle w:val="ParaNoNdepar-AltN"/>
        <w:rPr>
          <w:rFonts w:cs="Times New Roman"/>
          <w:lang w:val="fr-CA"/>
        </w:rPr>
      </w:pPr>
      <w:r w:rsidRPr="00D53AA2">
        <w:rPr>
          <w:rFonts w:cs="Times New Roman"/>
          <w:lang w:val="fr-CA"/>
        </w:rPr>
        <w:t xml:space="preserve">Selon la majorité, le juge du procès a déterminé l’heure approximative du départ du groupe pour se rendre à la fête tenue non loin de là en se fondant sur l’affirmation implicite contenue dans la déclaration, affirmation selon laquelle le </w:t>
      </w:r>
      <w:r w:rsidRPr="00D53AA2">
        <w:rPr>
          <w:rFonts w:cs="Times New Roman"/>
          <w:lang w:val="fr-CA"/>
        </w:rPr>
        <w:lastRenderedPageBreak/>
        <w:t xml:space="preserve">groupe s’en allait </w:t>
      </w:r>
      <w:r w:rsidRPr="00D53AA2">
        <w:rPr>
          <w:rFonts w:cs="Times New Roman"/>
          <w:i/>
          <w:lang w:val="fr-CA"/>
        </w:rPr>
        <w:t>pendant que</w:t>
      </w:r>
      <w:r w:rsidRPr="00D53AA2">
        <w:rPr>
          <w:rFonts w:cs="Times New Roman"/>
          <w:lang w:val="fr-CA"/>
        </w:rPr>
        <w:t xml:space="preserve"> M. Dennehy parlait à M</w:t>
      </w:r>
      <w:r w:rsidRPr="00D53AA2">
        <w:rPr>
          <w:rFonts w:cs="Times New Roman"/>
          <w:vertAlign w:val="superscript"/>
          <w:lang w:val="fr-CA"/>
        </w:rPr>
        <w:t>me</w:t>
      </w:r>
      <w:r w:rsidRPr="00D53AA2">
        <w:rPr>
          <w:rFonts w:cs="Times New Roman"/>
          <w:lang w:val="fr-CA"/>
        </w:rPr>
        <w:t xml:space="preserve"> Bull au téléphone. En substance, la majorité a conclu que la pertinence de la déclaration de M. Dennehy visant à établir le moment du départ du groupe dépendait de la véracité de l’affirmation implicite, et qu’il n’était donc pas permis de l’utiliser à cette fin.</w:t>
      </w:r>
    </w:p>
    <w:p w14:paraId="1B9C282B" w14:textId="77777777" w:rsidR="00D53AA2" w:rsidRPr="00D53AA2" w:rsidRDefault="00D53AA2" w:rsidP="00D53AA2">
      <w:pPr>
        <w:pStyle w:val="ParaNoNdepar-AltN"/>
        <w:rPr>
          <w:rFonts w:cs="Times New Roman"/>
          <w:lang w:val="fr-CA"/>
        </w:rPr>
      </w:pPr>
      <w:r w:rsidRPr="00D53AA2">
        <w:rPr>
          <w:rFonts w:cs="Times New Roman"/>
          <w:lang w:val="fr-CA"/>
        </w:rPr>
        <w:t>La Cour d’appel a souligné que [</w:t>
      </w:r>
      <w:r w:rsidRPr="00D53AA2">
        <w:rPr>
          <w:rFonts w:cs="Times New Roman"/>
          <w:smallCaps/>
          <w:lang w:val="fr-CA"/>
        </w:rPr>
        <w:t>traduction</w:t>
      </w:r>
      <w:r w:rsidRPr="00D53AA2">
        <w:rPr>
          <w:rFonts w:cs="Times New Roman"/>
          <w:lang w:val="fr-CA"/>
        </w:rPr>
        <w:t>] « [l]e juge du procès aurait bien pu arriver à la même conclusion à partir d’autres éléments de preuve, sans la déclaration contestée » (par. 18). Toutefois, la Couronne n’a pas invoqué la disposition réparatrice (sous-al. 686(1</w:t>
      </w:r>
      <w:proofErr w:type="gramStart"/>
      <w:r w:rsidRPr="00D53AA2">
        <w:rPr>
          <w:rFonts w:cs="Times New Roman"/>
          <w:lang w:val="fr-CA"/>
        </w:rPr>
        <w:t>)b)(</w:t>
      </w:r>
      <w:proofErr w:type="gramEnd"/>
      <w:r w:rsidRPr="00D53AA2">
        <w:rPr>
          <w:rFonts w:cs="Times New Roman"/>
          <w:lang w:val="fr-CA"/>
        </w:rPr>
        <w:t xml:space="preserve">iii) du </w:t>
      </w:r>
      <w:r w:rsidRPr="00D53AA2">
        <w:rPr>
          <w:rFonts w:cs="Times New Roman"/>
          <w:i/>
          <w:lang w:val="fr-CA"/>
        </w:rPr>
        <w:t>Code criminel</w:t>
      </w:r>
      <w:r w:rsidRPr="00D53AA2">
        <w:rPr>
          <w:rFonts w:cs="Times New Roman"/>
          <w:lang w:val="fr-CA"/>
        </w:rPr>
        <w:t>, L.R.C. 1985, c. C-46). La majorité a conclu qu’elle n’avait d’autre choix que d’ordonner la tenue d’un nouveau procès.</w:t>
      </w:r>
    </w:p>
    <w:p w14:paraId="50BDC4D9" w14:textId="77777777" w:rsidR="00D53AA2" w:rsidRPr="00D53AA2" w:rsidRDefault="00D53AA2" w:rsidP="00D53AA2">
      <w:pPr>
        <w:pStyle w:val="Title3LevelTitre3Niveau"/>
        <w:rPr>
          <w:rFonts w:cs="Times New Roman"/>
          <w:lang w:val="fr-CA"/>
        </w:rPr>
      </w:pPr>
      <w:r w:rsidRPr="00D53AA2">
        <w:rPr>
          <w:rFonts w:cs="Times New Roman"/>
          <w:lang w:val="fr-CA"/>
        </w:rPr>
        <w:t>La juge Crighton (dissidente)</w:t>
      </w:r>
    </w:p>
    <w:p w14:paraId="1B35A0C3" w14:textId="77777777" w:rsidR="00D53AA2" w:rsidRPr="00D53AA2" w:rsidRDefault="00D53AA2" w:rsidP="00D53AA2">
      <w:pPr>
        <w:pStyle w:val="ParaNoNdepar-AltN"/>
        <w:rPr>
          <w:rFonts w:cs="Times New Roman"/>
          <w:lang w:val="fr-CA"/>
        </w:rPr>
      </w:pPr>
      <w:bookmarkStart w:id="8" w:name="_Hlk228969546"/>
      <w:r w:rsidRPr="00D53AA2">
        <w:rPr>
          <w:rFonts w:cs="Times New Roman"/>
          <w:lang w:val="fr-CA"/>
        </w:rPr>
        <w:t>La juge dissidente aurait rejeté l’appel. À son avis, le juge du procès n’a fait rien de plus que de conclure que la déclaration que des « gens quittaient » était compatible avec la preuve de divers témoins qui avaient affirmé qu’ils étaient partis de la roulotte pendant que la victime était au téléphone.</w:t>
      </w:r>
      <w:bookmarkEnd w:id="8"/>
      <w:r w:rsidRPr="00D53AA2">
        <w:rPr>
          <w:rFonts w:cs="Times New Roman"/>
          <w:lang w:val="fr-CA"/>
        </w:rPr>
        <w:t xml:space="preserve"> L’existence de la déclaration en elle-même était une preuve circonstancielle admissible à partir de laquelle on pouvait inférer que l’appel dont avaient été témoins les membres du groupe lorsqu’ils s’en allaient était le même appel que M. Dennehy avait eu avec M</w:t>
      </w:r>
      <w:r w:rsidRPr="00D53AA2">
        <w:rPr>
          <w:rFonts w:cs="Times New Roman"/>
          <w:vertAlign w:val="superscript"/>
          <w:lang w:val="fr-CA"/>
        </w:rPr>
        <w:t>me</w:t>
      </w:r>
      <w:r w:rsidRPr="00D53AA2">
        <w:rPr>
          <w:rFonts w:cs="Times New Roman"/>
          <w:lang w:val="fr-CA"/>
        </w:rPr>
        <w:t xml:space="preserve"> Bull.</w:t>
      </w:r>
    </w:p>
    <w:p w14:paraId="736509D7" w14:textId="77777777" w:rsidR="00D53AA2" w:rsidRPr="00D53AA2" w:rsidRDefault="00D53AA2" w:rsidP="00D53AA2">
      <w:pPr>
        <w:pStyle w:val="ParaNoNdepar-AltN"/>
        <w:rPr>
          <w:rFonts w:cs="Times New Roman"/>
          <w:lang w:val="fr-CA"/>
        </w:rPr>
      </w:pPr>
      <w:r w:rsidRPr="00D53AA2">
        <w:rPr>
          <w:rFonts w:cs="Times New Roman"/>
          <w:lang w:val="fr-CA"/>
        </w:rPr>
        <w:t xml:space="preserve">En outre, elle a conclu que les motifs du juge du procès étaient suffisants et qu’il n’y avait pas eu interprétation erronée de la preuve, deux questions que la </w:t>
      </w:r>
      <w:r w:rsidRPr="00D53AA2">
        <w:rPr>
          <w:rFonts w:cs="Times New Roman"/>
          <w:lang w:val="fr-CA"/>
        </w:rPr>
        <w:lastRenderedPageBreak/>
        <w:t>majorité n’a pas eu à examiner, étant donné sa conclusion selon laquelle un nouveau procès était nécessaire sur le motif du ouï-dire.</w:t>
      </w:r>
    </w:p>
    <w:p w14:paraId="0637755F" w14:textId="77777777" w:rsidR="00D53AA2" w:rsidRPr="00D53AA2" w:rsidRDefault="00D53AA2" w:rsidP="00D53AA2">
      <w:pPr>
        <w:pStyle w:val="Title1LevelTitre1Niveau-AltL"/>
        <w:rPr>
          <w:rFonts w:cs="Times New Roman"/>
          <w:lang w:val="fr-CA"/>
        </w:rPr>
      </w:pPr>
      <w:r w:rsidRPr="00D53AA2">
        <w:rPr>
          <w:rFonts w:cs="Times New Roman"/>
          <w:lang w:val="fr-CA"/>
        </w:rPr>
        <w:t>Question en litige</w:t>
      </w:r>
    </w:p>
    <w:p w14:paraId="189E5F28" w14:textId="77777777" w:rsidR="00D53AA2" w:rsidRPr="00D53AA2" w:rsidRDefault="00D53AA2" w:rsidP="00D53AA2">
      <w:pPr>
        <w:pStyle w:val="ParaNoNdepar-AltN"/>
        <w:rPr>
          <w:rFonts w:cs="Times New Roman"/>
          <w:lang w:val="fr-CA"/>
        </w:rPr>
      </w:pPr>
      <w:r w:rsidRPr="00D53AA2">
        <w:rPr>
          <w:rFonts w:cs="Times New Roman"/>
          <w:lang w:val="fr-CA"/>
        </w:rPr>
        <w:t>Le pourvoi de la Couronne soulève une question : Le juge du procès a-t-il commis une erreur en se fondant sur la déclaration extrajudiciaire de M. Dennehy?</w:t>
      </w:r>
    </w:p>
    <w:p w14:paraId="0EB54A5D" w14:textId="77777777" w:rsidR="00D53AA2" w:rsidRPr="00D53AA2" w:rsidRDefault="00D53AA2" w:rsidP="00D53AA2">
      <w:pPr>
        <w:pStyle w:val="ParaNoNdepar-AltN"/>
        <w:rPr>
          <w:rFonts w:cs="Times New Roman"/>
          <w:lang w:val="fr-CA"/>
        </w:rPr>
      </w:pPr>
      <w:r w:rsidRPr="00D53AA2">
        <w:rPr>
          <w:rFonts w:cs="Times New Roman"/>
          <w:lang w:val="fr-CA"/>
        </w:rPr>
        <w:t>En plus de souscrire à la position de la majorité de la Cour d’appel sur cette question, M. Saddleback plaide deux arguments additionnels en soutien à l’ordonnance prononcée par la Cour d’appel. Il fait valoir qu’un nouveau procès est nécessaire parce que le juge du procès a mal interprété des éléments de preuve cruciaux et parce que les motifs du juge du procès sont insuffisants pour permettre l’examen en appel. Vu ma conclusion sur la question du ouï-dire, il n’est pas nécessaire d’examiner ces deux arguments accessoires.</w:t>
      </w:r>
    </w:p>
    <w:p w14:paraId="5BF29A8A" w14:textId="77777777" w:rsidR="00D53AA2" w:rsidRPr="00D53AA2" w:rsidRDefault="00D53AA2" w:rsidP="00D53AA2">
      <w:pPr>
        <w:pStyle w:val="Title1LevelTitre1Niveau-AltL"/>
        <w:rPr>
          <w:rFonts w:cs="Times New Roman"/>
          <w:lang w:val="fr-CA"/>
        </w:rPr>
      </w:pPr>
      <w:bookmarkStart w:id="9" w:name="_Toc219560094"/>
      <w:r w:rsidRPr="00D53AA2">
        <w:rPr>
          <w:rFonts w:cs="Times New Roman"/>
          <w:lang w:val="fr-CA"/>
        </w:rPr>
        <w:t>Analys</w:t>
      </w:r>
      <w:bookmarkEnd w:id="9"/>
      <w:r w:rsidRPr="00D53AA2">
        <w:rPr>
          <w:rFonts w:cs="Times New Roman"/>
          <w:lang w:val="fr-CA"/>
        </w:rPr>
        <w:t>e</w:t>
      </w:r>
    </w:p>
    <w:p w14:paraId="051F8849" w14:textId="77777777" w:rsidR="00D53AA2" w:rsidRPr="00D53AA2" w:rsidRDefault="00D53AA2" w:rsidP="00D53AA2">
      <w:pPr>
        <w:pStyle w:val="Title2LevelTitre2Niveau"/>
        <w:rPr>
          <w:rFonts w:cs="Times New Roman"/>
          <w:lang w:val="fr-CA"/>
        </w:rPr>
      </w:pPr>
      <w:r w:rsidRPr="00D53AA2">
        <w:rPr>
          <w:rFonts w:cs="Times New Roman"/>
          <w:lang w:val="fr-CA"/>
        </w:rPr>
        <w:t>Principes régissant l’utilisation de déclarations extrajudiciaires</w:t>
      </w:r>
    </w:p>
    <w:p w14:paraId="25BC1E6E" w14:textId="77777777" w:rsidR="00D53AA2" w:rsidRPr="00D53AA2" w:rsidRDefault="00D53AA2" w:rsidP="00D53AA2">
      <w:pPr>
        <w:pStyle w:val="ParaNoNdepar-AltN"/>
        <w:rPr>
          <w:rFonts w:cs="Times New Roman"/>
          <w:lang w:val="fr-CA"/>
        </w:rPr>
      </w:pPr>
      <w:r w:rsidRPr="00D53AA2">
        <w:rPr>
          <w:rFonts w:cs="Times New Roman"/>
          <w:lang w:val="fr-CA"/>
        </w:rPr>
        <w:t xml:space="preserve">Les éléments de preuve qui sont pertinents à l’égard d’une question en litige au procès peuvent néanmoins être inadmissibles s’ils sont visés par une règle d’exclusion (voir </w:t>
      </w:r>
      <w:r w:rsidRPr="00D53AA2">
        <w:rPr>
          <w:rFonts w:cs="Times New Roman"/>
          <w:i/>
          <w:lang w:val="fr-CA"/>
        </w:rPr>
        <w:t>R. c. Schneider</w:t>
      </w:r>
      <w:r w:rsidRPr="00D53AA2">
        <w:rPr>
          <w:rFonts w:cs="Times New Roman"/>
          <w:lang w:val="fr-CA"/>
        </w:rPr>
        <w:t xml:space="preserve">, 2022 CSC 34, [2022] 2 R.C.S. 619, par. 36). Parmi les règles d’exclusion, il y a la règle interdisant le ouï-dire (voir </w:t>
      </w:r>
      <w:r w:rsidRPr="00D53AA2">
        <w:rPr>
          <w:rFonts w:cs="Times New Roman"/>
          <w:i/>
          <w:lang w:val="fr-CA"/>
        </w:rPr>
        <w:t>R. c. Khelawon</w:t>
      </w:r>
      <w:r w:rsidRPr="00D53AA2">
        <w:rPr>
          <w:rFonts w:cs="Times New Roman"/>
          <w:lang w:val="fr-CA"/>
        </w:rPr>
        <w:t xml:space="preserve">, 2006 </w:t>
      </w:r>
      <w:r w:rsidRPr="00D53AA2">
        <w:rPr>
          <w:rFonts w:cs="Times New Roman"/>
          <w:lang w:val="fr-CA"/>
        </w:rPr>
        <w:lastRenderedPageBreak/>
        <w:t xml:space="preserve">CSC 57, [2006] 2 R.C.S. 787, par. 2; </w:t>
      </w:r>
      <w:r w:rsidRPr="00D53AA2">
        <w:rPr>
          <w:rFonts w:cs="Times New Roman"/>
          <w:i/>
          <w:lang w:val="fr-CA"/>
        </w:rPr>
        <w:t>R. c. Starr</w:t>
      </w:r>
      <w:r w:rsidRPr="00D53AA2">
        <w:rPr>
          <w:rFonts w:cs="Times New Roman"/>
          <w:lang w:val="fr-CA"/>
        </w:rPr>
        <w:t>, 2000 CSC 40, [2000] 2 R.C.S. 144, par. 157). Le ouï-dire est « une déclaration extrajudiciaire présentée pour établir la véracité de son contenu » (</w:t>
      </w:r>
      <w:r w:rsidRPr="00D53AA2">
        <w:rPr>
          <w:rFonts w:cs="Times New Roman"/>
          <w:i/>
          <w:lang w:val="fr-CA"/>
        </w:rPr>
        <w:t>R. c. Bradshaw</w:t>
      </w:r>
      <w:r w:rsidRPr="00D53AA2">
        <w:rPr>
          <w:rFonts w:cs="Times New Roman"/>
          <w:lang w:val="fr-CA"/>
        </w:rPr>
        <w:t xml:space="preserve">, 2017 CSC 35, [2017] 1 R.C.S. 865, par. 20; </w:t>
      </w:r>
      <w:r w:rsidRPr="00D53AA2">
        <w:rPr>
          <w:rFonts w:cs="Times New Roman"/>
          <w:i/>
          <w:lang w:val="fr-CA"/>
        </w:rPr>
        <w:t>R. c. Youvarajah</w:t>
      </w:r>
      <w:r w:rsidRPr="00D53AA2">
        <w:rPr>
          <w:rFonts w:cs="Times New Roman"/>
          <w:lang w:val="fr-CA"/>
        </w:rPr>
        <w:t>, 2013 CSC 41, [2013] 2 R.C.S. 720, par. 18). Il se définit « en fonction non pas de la nature de la preuve elle‑même, mais de l’utilisation que l’on cherche à en faire, à savoir, établir la véracité de ce qui est affirmé » (</w:t>
      </w:r>
      <w:r w:rsidRPr="00D53AA2">
        <w:rPr>
          <w:rFonts w:cs="Times New Roman"/>
          <w:i/>
          <w:lang w:val="fr-CA"/>
        </w:rPr>
        <w:t>Starr</w:t>
      </w:r>
      <w:r w:rsidRPr="00D53AA2">
        <w:rPr>
          <w:rFonts w:cs="Times New Roman"/>
          <w:lang w:val="fr-CA"/>
        </w:rPr>
        <w:t xml:space="preserve">, par. 162). Le ouï-dire est présumé inadmissible principalement parce que, sans la présence du déclarant à l’audience, il est souvent difficile d’évaluer la véracité de la déclaration (voir </w:t>
      </w:r>
      <w:r w:rsidRPr="00D53AA2">
        <w:rPr>
          <w:rFonts w:cs="Times New Roman"/>
          <w:i/>
          <w:lang w:val="fr-CA"/>
        </w:rPr>
        <w:t>Khelawon</w:t>
      </w:r>
      <w:r w:rsidRPr="00D53AA2">
        <w:rPr>
          <w:rFonts w:cs="Times New Roman"/>
          <w:lang w:val="fr-CA"/>
        </w:rPr>
        <w:t xml:space="preserve">, par. 2-3; </w:t>
      </w:r>
      <w:r w:rsidRPr="00D53AA2">
        <w:rPr>
          <w:rFonts w:cs="Times New Roman"/>
          <w:i/>
          <w:lang w:val="fr-CA"/>
        </w:rPr>
        <w:t>R. c. Charles</w:t>
      </w:r>
      <w:r w:rsidRPr="00D53AA2">
        <w:rPr>
          <w:rFonts w:cs="Times New Roman"/>
          <w:lang w:val="fr-CA"/>
        </w:rPr>
        <w:t xml:space="preserve">, 2024 CSC 29, par. 43). </w:t>
      </w:r>
    </w:p>
    <w:p w14:paraId="3CE8277F" w14:textId="77777777" w:rsidR="00D53AA2" w:rsidRPr="00D53AA2" w:rsidRDefault="00D53AA2" w:rsidP="00D53AA2">
      <w:pPr>
        <w:pStyle w:val="ParaNoNdepar-AltN"/>
        <w:rPr>
          <w:rFonts w:cs="Times New Roman"/>
          <w:lang w:val="fr-CA"/>
        </w:rPr>
      </w:pPr>
      <w:r w:rsidRPr="00D53AA2">
        <w:rPr>
          <w:rFonts w:cs="Times New Roman"/>
          <w:lang w:val="fr-CA"/>
        </w:rPr>
        <w:t xml:space="preserve">Toutefois, la règle interdisant le ouï-dire comporte des exceptions. Une partie qui veut invoquer une déclaration extrajudiciaire pour établir la véracité de son contenu peut tenter de la faire admettre suivant l’une des catégories d’exceptions reconnues en common law ou de l’exception raisonnée, plus souple (voir </w:t>
      </w:r>
      <w:r w:rsidRPr="00D53AA2">
        <w:rPr>
          <w:rFonts w:cs="Times New Roman"/>
          <w:i/>
          <w:lang w:val="fr-CA"/>
        </w:rPr>
        <w:t>Charles</w:t>
      </w:r>
      <w:r w:rsidRPr="00D53AA2">
        <w:rPr>
          <w:rFonts w:cs="Times New Roman"/>
          <w:lang w:val="fr-CA"/>
        </w:rPr>
        <w:t xml:space="preserve">, par. 45; </w:t>
      </w:r>
      <w:r w:rsidRPr="00D53AA2">
        <w:rPr>
          <w:rFonts w:cs="Times New Roman"/>
          <w:i/>
          <w:lang w:val="fr-CA"/>
        </w:rPr>
        <w:t>Khelawon</w:t>
      </w:r>
      <w:r w:rsidRPr="00D53AA2">
        <w:rPr>
          <w:rFonts w:cs="Times New Roman"/>
          <w:lang w:val="fr-CA"/>
        </w:rPr>
        <w:t xml:space="preserve">, par. 42; D. M. Paciocco, P. Paciocco et L. Stuesser, </w:t>
      </w:r>
      <w:r w:rsidRPr="00D53AA2">
        <w:rPr>
          <w:rFonts w:cs="Times New Roman"/>
          <w:i/>
          <w:iCs/>
          <w:lang w:val="fr-CA"/>
        </w:rPr>
        <w:t>The Law of Evidence</w:t>
      </w:r>
      <w:r w:rsidRPr="00D53AA2">
        <w:rPr>
          <w:rFonts w:cs="Times New Roman"/>
          <w:lang w:val="fr-CA"/>
        </w:rPr>
        <w:t xml:space="preserve"> (8</w:t>
      </w:r>
      <w:r w:rsidRPr="00D53AA2">
        <w:rPr>
          <w:rFonts w:cs="Times New Roman"/>
          <w:vertAlign w:val="superscript"/>
          <w:lang w:val="fr-CA"/>
        </w:rPr>
        <w:t>e</w:t>
      </w:r>
      <w:r w:rsidRPr="00D53AA2">
        <w:rPr>
          <w:rFonts w:cs="Times New Roman"/>
          <w:lang w:val="fr-CA"/>
        </w:rPr>
        <w:t xml:space="preserve"> éd. 2020), p. 151). En vertu de l’exception raisonnée, la preuve par ouï-dire peut seulement être admise lorsque la partie qui la produit démontre, selon la prépondérance des probabilités, qu’elle est nécessaire et suffisamment fiable (voir </w:t>
      </w:r>
      <w:r w:rsidRPr="00D53AA2">
        <w:rPr>
          <w:rFonts w:cs="Times New Roman"/>
          <w:i/>
          <w:lang w:val="fr-CA"/>
        </w:rPr>
        <w:t>Bradshaw</w:t>
      </w:r>
      <w:r w:rsidRPr="00D53AA2">
        <w:rPr>
          <w:rFonts w:cs="Times New Roman"/>
          <w:lang w:val="fr-CA"/>
        </w:rPr>
        <w:t xml:space="preserve">, par. 23). Un voir-dire sur l’admissibilité de la preuve par ouï-dire est normalement tenu à cette fin (voir </w:t>
      </w:r>
      <w:r w:rsidRPr="00D53AA2">
        <w:rPr>
          <w:rFonts w:cs="Times New Roman"/>
          <w:i/>
          <w:lang w:val="fr-CA"/>
        </w:rPr>
        <w:t>Schneider</w:t>
      </w:r>
      <w:r w:rsidRPr="00D53AA2">
        <w:rPr>
          <w:rFonts w:cs="Times New Roman"/>
          <w:lang w:val="fr-CA"/>
        </w:rPr>
        <w:t>, par. 37).</w:t>
      </w:r>
    </w:p>
    <w:p w14:paraId="313FFC31" w14:textId="77777777" w:rsidR="00D53AA2" w:rsidRPr="00D53AA2" w:rsidRDefault="00D53AA2" w:rsidP="00D53AA2">
      <w:pPr>
        <w:pStyle w:val="ParaNoNdepar-AltN"/>
        <w:rPr>
          <w:rFonts w:cs="Times New Roman"/>
          <w:lang w:val="fr-CA"/>
        </w:rPr>
      </w:pPr>
      <w:r w:rsidRPr="00D53AA2">
        <w:rPr>
          <w:rFonts w:cs="Times New Roman"/>
          <w:lang w:val="fr-CA"/>
        </w:rPr>
        <w:t xml:space="preserve">Lorsque, comme en l’espèce, aucun voir-dire n’a été tenu pour décider de l’admissibilité de la déclaration, la question est de savoir si le juge du procès a commis </w:t>
      </w:r>
      <w:r w:rsidRPr="00D53AA2">
        <w:rPr>
          <w:rFonts w:cs="Times New Roman"/>
          <w:lang w:val="fr-CA"/>
        </w:rPr>
        <w:lastRenderedPageBreak/>
        <w:t xml:space="preserve">une erreur en se fondant sur la déclaration à une fin non permise, sans l’avoir dûment admise en preuve. La désignation d’un élément de preuve comme étant un ouï-dire est une question de droit susceptible de contrôle selon la norme de la décision correcte (voir </w:t>
      </w:r>
      <w:r w:rsidRPr="00D53AA2">
        <w:rPr>
          <w:rFonts w:cs="Times New Roman"/>
          <w:i/>
          <w:lang w:val="fr-CA"/>
        </w:rPr>
        <w:t>R. c. Saddleback</w:t>
      </w:r>
      <w:r w:rsidRPr="00D53AA2">
        <w:rPr>
          <w:rFonts w:cs="Times New Roman"/>
          <w:lang w:val="fr-CA"/>
        </w:rPr>
        <w:t xml:space="preserve">, 2014 ABCA 166, 1 Alta. L.R. (6th) 259, par. 8; </w:t>
      </w:r>
      <w:r w:rsidRPr="00D53AA2">
        <w:rPr>
          <w:rFonts w:cs="Times New Roman"/>
          <w:i/>
          <w:lang w:val="fr-CA"/>
        </w:rPr>
        <w:t>Syngenta AG c. Van Wijngaarden</w:t>
      </w:r>
      <w:r w:rsidRPr="00D53AA2">
        <w:rPr>
          <w:rFonts w:cs="Times New Roman"/>
          <w:lang w:val="fr-CA"/>
        </w:rPr>
        <w:t xml:space="preserve">, 2025 BCCA 334, par. 12). Le juge qui se fonde sur une déclaration extrajudiciaire pour établir la véracité de son contenu alors qu’elle n’a pas été dûment admise à cette fin commet une erreur de droit (voir </w:t>
      </w:r>
      <w:r w:rsidRPr="00D53AA2">
        <w:rPr>
          <w:rFonts w:cs="Times New Roman"/>
          <w:i/>
          <w:lang w:val="fr-CA"/>
        </w:rPr>
        <w:t>R. c. Abbey</w:t>
      </w:r>
      <w:r w:rsidRPr="00D53AA2">
        <w:rPr>
          <w:rFonts w:cs="Times New Roman"/>
          <w:lang w:val="fr-CA"/>
        </w:rPr>
        <w:t xml:space="preserve">, [1982] 2 R.C.S. 24, p. 45; </w:t>
      </w:r>
      <w:r w:rsidRPr="00D53AA2">
        <w:rPr>
          <w:rFonts w:cs="Times New Roman"/>
          <w:i/>
          <w:lang w:val="fr-CA"/>
        </w:rPr>
        <w:t>R. c. Maxie</w:t>
      </w:r>
      <w:r w:rsidRPr="00D53AA2">
        <w:rPr>
          <w:rFonts w:cs="Times New Roman"/>
          <w:lang w:val="fr-CA"/>
        </w:rPr>
        <w:t xml:space="preserve">, 2014 SKCA 103, 316 C.C.C. (3d) 396, par. 27; </w:t>
      </w:r>
      <w:r w:rsidRPr="00D53AA2">
        <w:rPr>
          <w:rFonts w:cs="Times New Roman"/>
          <w:i/>
          <w:lang w:val="fr-CA"/>
        </w:rPr>
        <w:t>R. c. Li</w:t>
      </w:r>
      <w:r w:rsidRPr="00D53AA2">
        <w:rPr>
          <w:rFonts w:cs="Times New Roman"/>
          <w:lang w:val="fr-CA"/>
        </w:rPr>
        <w:t xml:space="preserve">, 2023 BCCA 47, par. 62-73). Le fait de se fonder sur un ouï-dire inadmissible peut compromettre l’équité du procès et la juste recherche de la vérité (voir </w:t>
      </w:r>
      <w:r w:rsidRPr="00D53AA2">
        <w:rPr>
          <w:rFonts w:cs="Times New Roman"/>
          <w:i/>
          <w:lang w:val="fr-CA"/>
        </w:rPr>
        <w:t>Bradshaw</w:t>
      </w:r>
      <w:r w:rsidRPr="00D53AA2">
        <w:rPr>
          <w:rFonts w:cs="Times New Roman"/>
          <w:lang w:val="fr-CA"/>
        </w:rPr>
        <w:t xml:space="preserve">, par. 20). </w:t>
      </w:r>
    </w:p>
    <w:p w14:paraId="7EBAC175" w14:textId="77777777" w:rsidR="00D53AA2" w:rsidRPr="00D53AA2" w:rsidRDefault="00D53AA2" w:rsidP="00D53AA2">
      <w:pPr>
        <w:pStyle w:val="ParaNoNdepar-AltN"/>
        <w:rPr>
          <w:rFonts w:cs="Times New Roman"/>
          <w:lang w:val="fr-CA"/>
        </w:rPr>
      </w:pPr>
      <w:r w:rsidRPr="00D53AA2">
        <w:rPr>
          <w:rFonts w:cs="Times New Roman"/>
          <w:lang w:val="fr-CA"/>
        </w:rPr>
        <w:t xml:space="preserve">Dans l’examen de la manière dont le juge du procès a utilisé une déclaration extrajudiciaire, la juridiction d’appel doit bien sûr adopter une « interprétation fonctionnelle et contextuelle » des motifs, ayant à l’esprit que les juges des procès sont censés connaître le droit qu’ils appliquent tous les jours (voir </w:t>
      </w:r>
      <w:r w:rsidRPr="00D53AA2">
        <w:rPr>
          <w:rFonts w:cs="Times New Roman"/>
          <w:i/>
          <w:lang w:val="fr-CA"/>
        </w:rPr>
        <w:t>R. c. G.F.</w:t>
      </w:r>
      <w:r w:rsidRPr="00D53AA2">
        <w:rPr>
          <w:rFonts w:cs="Times New Roman"/>
          <w:lang w:val="fr-CA"/>
        </w:rPr>
        <w:t xml:space="preserve">, 2021 CSC 20, [2021] 1 R.C.S. 801, par. 69 et 74). Par conséquent, pour justifier l’intervention en appel, il est nécessaire que les motifs du juge du procès ne soient pas seulement ambigus. Interprétés dans le contexte du dossier dans son ensemble, les motifs doivent plutôt révéler une erreur ou une ambiguïté qui rend inintelligible le raisonnement du juge du procès, entravant l’examen en appel de l’utilisation de la déclaration extrajudiciaire (voir, de façon générale, </w:t>
      </w:r>
      <w:r w:rsidRPr="00D53AA2">
        <w:rPr>
          <w:rFonts w:cs="Times New Roman"/>
          <w:i/>
          <w:lang w:val="fr-CA"/>
        </w:rPr>
        <w:t>G.F.</w:t>
      </w:r>
      <w:r w:rsidRPr="00D53AA2">
        <w:rPr>
          <w:rFonts w:cs="Times New Roman"/>
          <w:lang w:val="fr-CA"/>
        </w:rPr>
        <w:t xml:space="preserve">, par. 79). </w:t>
      </w:r>
    </w:p>
    <w:p w14:paraId="5D9CA7A7" w14:textId="77777777" w:rsidR="00D53AA2" w:rsidRPr="00D53AA2" w:rsidRDefault="00D53AA2" w:rsidP="00D53AA2">
      <w:pPr>
        <w:pStyle w:val="Title2LevelTitre2Niveau"/>
        <w:numPr>
          <w:ilvl w:val="1"/>
          <w:numId w:val="4"/>
        </w:numPr>
        <w:ind w:left="578" w:hanging="578"/>
        <w:rPr>
          <w:rFonts w:cs="Times New Roman"/>
          <w:lang w:val="fr-CA"/>
        </w:rPr>
      </w:pPr>
      <w:r w:rsidRPr="00D53AA2">
        <w:rPr>
          <w:rFonts w:cs="Times New Roman"/>
          <w:lang w:val="fr-CA"/>
        </w:rPr>
        <w:t xml:space="preserve">Les motifs du juge du procès sont sans ambiguïté quant au fait qu’il s’est fondé sur une déclaration extrajudiciaire pour établir la véracité de son contenu </w:t>
      </w:r>
    </w:p>
    <w:p w14:paraId="5DD89F23" w14:textId="77777777" w:rsidR="00D53AA2" w:rsidRPr="00D53AA2" w:rsidRDefault="00D53AA2" w:rsidP="00D53AA2">
      <w:pPr>
        <w:pStyle w:val="ParaNoNdepar-AltN"/>
        <w:rPr>
          <w:rFonts w:cs="Times New Roman"/>
          <w:lang w:val="fr-CA"/>
        </w:rPr>
      </w:pPr>
      <w:r w:rsidRPr="00D53AA2">
        <w:rPr>
          <w:rFonts w:cs="Times New Roman"/>
          <w:lang w:val="fr-CA"/>
        </w:rPr>
        <w:lastRenderedPageBreak/>
        <w:t>Durant son contre-interrogatoire qui a été mené par l’avocat de la défense, M</w:t>
      </w:r>
      <w:r w:rsidRPr="00D53AA2">
        <w:rPr>
          <w:rFonts w:cs="Times New Roman"/>
          <w:vertAlign w:val="superscript"/>
          <w:lang w:val="fr-CA"/>
        </w:rPr>
        <w:t>me</w:t>
      </w:r>
      <w:r w:rsidRPr="00D53AA2">
        <w:rPr>
          <w:rFonts w:cs="Times New Roman"/>
          <w:lang w:val="fr-CA"/>
        </w:rPr>
        <w:t xml:space="preserve"> Bull a adopté son témoignage antérieur selon lequel M. Dennehy lui avait dit au téléphone qu</w:t>
      </w:r>
      <w:proofErr w:type="gramStart"/>
      <w:r w:rsidRPr="00D53AA2">
        <w:rPr>
          <w:rFonts w:cs="Times New Roman"/>
          <w:lang w:val="fr-CA"/>
        </w:rPr>
        <w:t>’«</w:t>
      </w:r>
      <w:proofErr w:type="gramEnd"/>
      <w:r w:rsidRPr="00D53AA2">
        <w:rPr>
          <w:rFonts w:cs="Times New Roman"/>
          <w:lang w:val="fr-CA"/>
        </w:rPr>
        <w:t> il se faisait larguer par ces gars » (d.a., vol. II, p. 204). Selon elle, cela voulait dire que le groupe l’avait laissé à la roulotte. L’échange s’est déroulé comme suit :</w:t>
      </w:r>
    </w:p>
    <w:p w14:paraId="5A5DEA04" w14:textId="77777777" w:rsidR="00D53AA2" w:rsidRPr="00D53AA2" w:rsidRDefault="00D53AA2" w:rsidP="00D53AA2">
      <w:pPr>
        <w:pStyle w:val="Citation-AltC"/>
        <w:spacing w:after="240"/>
        <w:ind w:left="2160" w:hanging="992"/>
        <w:contextualSpacing w:val="0"/>
        <w:rPr>
          <w:lang w:val="fr-CA"/>
        </w:rPr>
      </w:pPr>
      <w:r w:rsidRPr="00D53AA2">
        <w:rPr>
          <w:lang w:val="fr-CA"/>
        </w:rPr>
        <w:t>[</w:t>
      </w:r>
      <w:r w:rsidRPr="00D53AA2">
        <w:rPr>
          <w:smallCaps/>
          <w:lang w:val="fr-CA"/>
        </w:rPr>
        <w:t>traduction</w:t>
      </w:r>
      <w:r w:rsidRPr="00D53AA2">
        <w:rPr>
          <w:lang w:val="fr-CA"/>
        </w:rPr>
        <w:t>]</w:t>
      </w:r>
    </w:p>
    <w:p w14:paraId="5FE76F4C" w14:textId="77777777" w:rsidR="00D53AA2" w:rsidRPr="00D53AA2" w:rsidRDefault="00D53AA2" w:rsidP="00D53AA2">
      <w:pPr>
        <w:pStyle w:val="Citation-AltC"/>
        <w:ind w:left="2160" w:hanging="992"/>
        <w:rPr>
          <w:i/>
          <w:lang w:val="fr-CA"/>
        </w:rPr>
      </w:pPr>
      <w:r w:rsidRPr="00D53AA2">
        <w:rPr>
          <w:lang w:val="fr-CA"/>
        </w:rPr>
        <w:t>Q</w:t>
      </w:r>
      <w:r w:rsidRPr="00D53AA2">
        <w:rPr>
          <w:lang w:val="fr-CA"/>
        </w:rPr>
        <w:tab/>
        <w:t>Ok. Et [M. Dennehy] a dit qu’il se faisait larguer par ces gars; est-ce exact?</w:t>
      </w:r>
    </w:p>
    <w:p w14:paraId="4CA59A43" w14:textId="77777777" w:rsidR="00D53AA2" w:rsidRPr="00D53AA2" w:rsidRDefault="00D53AA2" w:rsidP="00D53AA2">
      <w:pPr>
        <w:pStyle w:val="Citation-AltC"/>
        <w:spacing w:after="240"/>
        <w:ind w:left="2160" w:hanging="992"/>
        <w:contextualSpacing w:val="0"/>
        <w:rPr>
          <w:lang w:val="fr-CA"/>
        </w:rPr>
      </w:pPr>
      <w:r w:rsidRPr="00D53AA2">
        <w:rPr>
          <w:lang w:val="fr-CA"/>
        </w:rPr>
        <w:t>R</w:t>
      </w:r>
      <w:r w:rsidRPr="00D53AA2">
        <w:rPr>
          <w:lang w:val="fr-CA"/>
        </w:rPr>
        <w:tab/>
        <w:t>Non. Il n’a pas dit larguer.</w:t>
      </w:r>
    </w:p>
    <w:p w14:paraId="081BEC83" w14:textId="77777777" w:rsidR="00D53AA2" w:rsidRPr="00D53AA2" w:rsidRDefault="00D53AA2" w:rsidP="00D53AA2">
      <w:pPr>
        <w:pStyle w:val="Citation-AltC"/>
        <w:ind w:left="2160" w:hanging="992"/>
        <w:rPr>
          <w:i/>
          <w:lang w:val="fr-CA"/>
        </w:rPr>
      </w:pPr>
      <w:r w:rsidRPr="00D53AA2">
        <w:rPr>
          <w:lang w:val="fr-CA"/>
        </w:rPr>
        <w:t>Q</w:t>
      </w:r>
      <w:r w:rsidRPr="00D53AA2">
        <w:rPr>
          <w:lang w:val="fr-CA"/>
        </w:rPr>
        <w:tab/>
        <w:t>Ok. Avez-vous eu l’occasion de lire la transcription de l’enquête préliminaire où vous avez témoigné?</w:t>
      </w:r>
    </w:p>
    <w:p w14:paraId="324D0DD8" w14:textId="77777777" w:rsidR="00D53AA2" w:rsidRPr="00D53AA2" w:rsidRDefault="00D53AA2" w:rsidP="00D53AA2">
      <w:pPr>
        <w:pStyle w:val="Citation-AltC"/>
        <w:spacing w:after="240"/>
        <w:ind w:left="2160" w:hanging="992"/>
        <w:contextualSpacing w:val="0"/>
        <w:rPr>
          <w:i/>
          <w:lang w:val="fr-CA"/>
        </w:rPr>
      </w:pPr>
      <w:r w:rsidRPr="00D53AA2">
        <w:rPr>
          <w:lang w:val="fr-CA"/>
        </w:rPr>
        <w:t>R</w:t>
      </w:r>
      <w:r w:rsidRPr="00D53AA2">
        <w:rPr>
          <w:lang w:val="fr-CA"/>
        </w:rPr>
        <w:tab/>
        <w:t>Je l’ai parcourue.</w:t>
      </w:r>
    </w:p>
    <w:p w14:paraId="5118F068" w14:textId="77777777" w:rsidR="00D53AA2" w:rsidRPr="00D53AA2" w:rsidRDefault="00D53AA2" w:rsidP="00D53AA2">
      <w:pPr>
        <w:pStyle w:val="Citation-AltC"/>
        <w:spacing w:after="240"/>
        <w:ind w:left="2160" w:hanging="992"/>
        <w:contextualSpacing w:val="0"/>
        <w:jc w:val="center"/>
        <w:rPr>
          <w:lang w:val="fr-CA"/>
        </w:rPr>
      </w:pPr>
      <w:r w:rsidRPr="00D53AA2">
        <w:rPr>
          <w:lang w:val="fr-CA"/>
        </w:rPr>
        <w:t>. . .</w:t>
      </w:r>
    </w:p>
    <w:p w14:paraId="44CBB6EC" w14:textId="77777777" w:rsidR="00D53AA2" w:rsidRPr="00D53AA2" w:rsidRDefault="00D53AA2" w:rsidP="00D53AA2">
      <w:pPr>
        <w:pStyle w:val="Citation-AltC"/>
        <w:spacing w:after="240"/>
        <w:ind w:left="2160" w:hanging="992"/>
        <w:contextualSpacing w:val="0"/>
        <w:rPr>
          <w:lang w:val="fr-CA"/>
        </w:rPr>
      </w:pPr>
      <w:r w:rsidRPr="00D53AA2">
        <w:rPr>
          <w:lang w:val="fr-CA"/>
        </w:rPr>
        <w:t>Q</w:t>
      </w:r>
      <w:r w:rsidRPr="00D53AA2">
        <w:rPr>
          <w:lang w:val="fr-CA"/>
        </w:rPr>
        <w:tab/>
        <w:t xml:space="preserve">. . . Et à la page 32 de la transcription, à la ligne 27, cette question est posée : (comme lue) </w:t>
      </w:r>
    </w:p>
    <w:p w14:paraId="56356036" w14:textId="77777777" w:rsidR="00D53AA2" w:rsidRPr="00D53AA2" w:rsidRDefault="00D53AA2" w:rsidP="00D53AA2">
      <w:pPr>
        <w:pStyle w:val="Citation-AltC"/>
        <w:spacing w:after="240"/>
        <w:ind w:left="3600" w:hanging="720"/>
        <w:contextualSpacing w:val="0"/>
        <w:rPr>
          <w:lang w:val="fr-CA"/>
        </w:rPr>
      </w:pPr>
      <w:r w:rsidRPr="00D53AA2">
        <w:rPr>
          <w:lang w:val="fr-CA"/>
        </w:rPr>
        <w:t>Q</w:t>
      </w:r>
      <w:r w:rsidRPr="00D53AA2">
        <w:rPr>
          <w:lang w:val="fr-CA"/>
        </w:rPr>
        <w:tab/>
        <w:t xml:space="preserve">Ok. [ . . .] [M. Dennehy] a-t-il dit qu’il se faisait larguer par ces gars? A-t-il utilisé ce mot à quelque moment que ce soit? </w:t>
      </w:r>
    </w:p>
    <w:p w14:paraId="58B8E7B5" w14:textId="77777777" w:rsidR="00D53AA2" w:rsidRPr="00D53AA2" w:rsidRDefault="00D53AA2" w:rsidP="00D53AA2">
      <w:pPr>
        <w:pStyle w:val="Citation-AltC"/>
        <w:spacing w:after="240"/>
        <w:ind w:left="2880" w:hanging="720"/>
        <w:contextualSpacing w:val="0"/>
        <w:rPr>
          <w:lang w:val="fr-CA"/>
        </w:rPr>
      </w:pPr>
      <w:r w:rsidRPr="00D53AA2">
        <w:rPr>
          <w:lang w:val="fr-CA"/>
        </w:rPr>
        <w:t>Et votre réponse a été : (comme lue)</w:t>
      </w:r>
    </w:p>
    <w:p w14:paraId="489E00C4" w14:textId="77777777" w:rsidR="00D53AA2" w:rsidRPr="00D53AA2" w:rsidRDefault="00D53AA2" w:rsidP="00D53AA2">
      <w:pPr>
        <w:pStyle w:val="Citation-AltC"/>
        <w:spacing w:after="240"/>
        <w:ind w:left="3686" w:hanging="709"/>
        <w:contextualSpacing w:val="0"/>
        <w:rPr>
          <w:lang w:val="fr-CA"/>
        </w:rPr>
      </w:pPr>
      <w:r w:rsidRPr="00D53AA2">
        <w:rPr>
          <w:lang w:val="fr-CA"/>
        </w:rPr>
        <w:t>R</w:t>
      </w:r>
      <w:r w:rsidRPr="00D53AA2">
        <w:rPr>
          <w:lang w:val="fr-CA"/>
        </w:rPr>
        <w:tab/>
        <w:t xml:space="preserve">Oui. J’en suis pas mal certaine. Oui. </w:t>
      </w:r>
    </w:p>
    <w:p w14:paraId="70903C43" w14:textId="77777777" w:rsidR="00D53AA2" w:rsidRPr="00D53AA2" w:rsidRDefault="00D53AA2" w:rsidP="00D53AA2">
      <w:pPr>
        <w:pStyle w:val="Citation-AltC"/>
        <w:ind w:left="3119" w:hanging="992"/>
        <w:rPr>
          <w:i/>
          <w:lang w:val="fr-CA"/>
        </w:rPr>
      </w:pPr>
      <w:r w:rsidRPr="00D53AA2">
        <w:rPr>
          <w:lang w:val="fr-CA"/>
        </w:rPr>
        <w:t>Ai-je lu cela correctement?</w:t>
      </w:r>
    </w:p>
    <w:p w14:paraId="6864C71B" w14:textId="77777777" w:rsidR="00D53AA2" w:rsidRPr="00D53AA2" w:rsidRDefault="00D53AA2" w:rsidP="00D53AA2">
      <w:pPr>
        <w:pStyle w:val="Citation-AltC"/>
        <w:spacing w:after="240"/>
        <w:ind w:left="2160" w:hanging="992"/>
        <w:contextualSpacing w:val="0"/>
        <w:rPr>
          <w:i/>
          <w:lang w:val="fr-CA"/>
        </w:rPr>
      </w:pPr>
      <w:r w:rsidRPr="00D53AA2">
        <w:rPr>
          <w:lang w:val="fr-CA"/>
        </w:rPr>
        <w:t>R</w:t>
      </w:r>
      <w:r w:rsidRPr="00D53AA2">
        <w:rPr>
          <w:lang w:val="fr-CA"/>
        </w:rPr>
        <w:tab/>
        <w:t>Oui.</w:t>
      </w:r>
    </w:p>
    <w:p w14:paraId="7D373EE1" w14:textId="77777777" w:rsidR="00D53AA2" w:rsidRPr="00D53AA2" w:rsidRDefault="00D53AA2" w:rsidP="00D53AA2">
      <w:pPr>
        <w:pStyle w:val="Citation-AltC"/>
        <w:spacing w:after="240"/>
        <w:ind w:left="2160" w:hanging="992"/>
        <w:contextualSpacing w:val="0"/>
        <w:jc w:val="center"/>
        <w:rPr>
          <w:lang w:val="fr-CA"/>
        </w:rPr>
      </w:pPr>
      <w:r w:rsidRPr="00D53AA2">
        <w:rPr>
          <w:lang w:val="fr-CA"/>
        </w:rPr>
        <w:t>. . .</w:t>
      </w:r>
    </w:p>
    <w:p w14:paraId="4B744967" w14:textId="77777777" w:rsidR="00D53AA2" w:rsidRPr="00D53AA2" w:rsidRDefault="00D53AA2" w:rsidP="00D53AA2">
      <w:pPr>
        <w:pStyle w:val="Citation-AltC"/>
        <w:ind w:left="2160" w:hanging="992"/>
        <w:rPr>
          <w:i/>
          <w:lang w:val="fr-CA"/>
        </w:rPr>
      </w:pPr>
      <w:r w:rsidRPr="00D53AA2">
        <w:rPr>
          <w:lang w:val="fr-CA"/>
        </w:rPr>
        <w:t>Q</w:t>
      </w:r>
      <w:r w:rsidRPr="00D53AA2">
        <w:rPr>
          <w:lang w:val="fr-CA"/>
        </w:rPr>
        <w:tab/>
        <w:t xml:space="preserve">Ok. Non, c’est bon. Alors aujourd’hui, vous acceptez que </w:t>
      </w:r>
      <w:proofErr w:type="gramStart"/>
      <w:r w:rsidRPr="00D53AA2">
        <w:rPr>
          <w:lang w:val="fr-CA"/>
        </w:rPr>
        <w:t>c’est</w:t>
      </w:r>
      <w:proofErr w:type="gramEnd"/>
      <w:r w:rsidRPr="00D53AA2">
        <w:rPr>
          <w:lang w:val="fr-CA"/>
        </w:rPr>
        <w:t xml:space="preserve"> ce qui s’est passé?</w:t>
      </w:r>
    </w:p>
    <w:p w14:paraId="4730E470" w14:textId="77777777" w:rsidR="00D53AA2" w:rsidRPr="00D53AA2" w:rsidRDefault="00D53AA2" w:rsidP="00D53AA2">
      <w:pPr>
        <w:pStyle w:val="Citation-AltC"/>
        <w:spacing w:after="240"/>
        <w:ind w:left="2160" w:hanging="992"/>
        <w:contextualSpacing w:val="0"/>
        <w:rPr>
          <w:i/>
          <w:lang w:val="fr-CA"/>
        </w:rPr>
      </w:pPr>
      <w:r w:rsidRPr="00D53AA2">
        <w:rPr>
          <w:lang w:val="fr-CA"/>
        </w:rPr>
        <w:t>R</w:t>
      </w:r>
      <w:r w:rsidRPr="00D53AA2">
        <w:rPr>
          <w:lang w:val="fr-CA"/>
        </w:rPr>
        <w:tab/>
        <w:t>Oui.</w:t>
      </w:r>
    </w:p>
    <w:p w14:paraId="39B8655E" w14:textId="77777777" w:rsidR="00D53AA2" w:rsidRPr="00D53AA2" w:rsidRDefault="00D53AA2" w:rsidP="00D53AA2">
      <w:pPr>
        <w:pStyle w:val="Citation-AltC"/>
        <w:spacing w:after="240"/>
        <w:ind w:left="2160" w:hanging="992"/>
        <w:contextualSpacing w:val="0"/>
        <w:jc w:val="center"/>
        <w:rPr>
          <w:lang w:val="fr-CA"/>
        </w:rPr>
      </w:pPr>
      <w:r w:rsidRPr="00D53AA2">
        <w:rPr>
          <w:lang w:val="fr-CA"/>
        </w:rPr>
        <w:t>. . .</w:t>
      </w:r>
    </w:p>
    <w:p w14:paraId="7215A854" w14:textId="77777777" w:rsidR="00D53AA2" w:rsidRPr="00D53AA2" w:rsidRDefault="00D53AA2" w:rsidP="00D53AA2">
      <w:pPr>
        <w:pStyle w:val="Citation-AltC"/>
        <w:ind w:left="2160" w:hanging="992"/>
        <w:rPr>
          <w:i/>
          <w:lang w:val="fr-CA"/>
        </w:rPr>
      </w:pPr>
      <w:r w:rsidRPr="00D53AA2">
        <w:rPr>
          <w:lang w:val="fr-CA"/>
        </w:rPr>
        <w:lastRenderedPageBreak/>
        <w:t>Q</w:t>
      </w:r>
      <w:r w:rsidRPr="00D53AA2">
        <w:rPr>
          <w:lang w:val="fr-CA"/>
        </w:rPr>
        <w:tab/>
        <w:t xml:space="preserve">Ok. Et vous avez indiqué lors de l’enquête préliminaire que, selon vous, ce que cela signifiait pour [M. Dennehy] était qu’ils l’avaient laissé; c’est bien ça? </w:t>
      </w:r>
    </w:p>
    <w:p w14:paraId="43E78EE8" w14:textId="77777777" w:rsidR="00D53AA2" w:rsidRPr="00D53AA2" w:rsidRDefault="00D53AA2" w:rsidP="00D53AA2">
      <w:pPr>
        <w:pStyle w:val="Citation-AltC"/>
        <w:spacing w:after="240"/>
        <w:ind w:left="2160" w:hanging="992"/>
        <w:contextualSpacing w:val="0"/>
        <w:rPr>
          <w:lang w:val="fr-CA"/>
        </w:rPr>
      </w:pPr>
      <w:r w:rsidRPr="00D53AA2">
        <w:rPr>
          <w:lang w:val="fr-CA"/>
        </w:rPr>
        <w:t>R</w:t>
      </w:r>
      <w:r w:rsidRPr="00D53AA2">
        <w:rPr>
          <w:lang w:val="fr-CA"/>
        </w:rPr>
        <w:tab/>
        <w:t>Oui.</w:t>
      </w:r>
    </w:p>
    <w:p w14:paraId="256245CE" w14:textId="77777777" w:rsidR="00D53AA2" w:rsidRPr="00D53AA2" w:rsidRDefault="00D53AA2" w:rsidP="00D53AA2">
      <w:pPr>
        <w:pStyle w:val="Citation-AltC"/>
        <w:ind w:left="2160" w:hanging="992"/>
        <w:rPr>
          <w:i/>
          <w:lang w:val="fr-CA"/>
        </w:rPr>
      </w:pPr>
      <w:r w:rsidRPr="00D53AA2">
        <w:rPr>
          <w:lang w:val="fr-CA"/>
        </w:rPr>
        <w:t>(</w:t>
      </w:r>
      <w:proofErr w:type="gramStart"/>
      <w:r w:rsidRPr="00D53AA2">
        <w:rPr>
          <w:lang w:val="fr-CA"/>
        </w:rPr>
        <w:t>d.a.</w:t>
      </w:r>
      <w:proofErr w:type="gramEnd"/>
      <w:r w:rsidRPr="00D53AA2">
        <w:rPr>
          <w:lang w:val="fr-CA"/>
        </w:rPr>
        <w:t>, vol. II, p. 202-204)</w:t>
      </w:r>
    </w:p>
    <w:p w14:paraId="461CBC6A" w14:textId="77777777" w:rsidR="00D53AA2" w:rsidRPr="00D53AA2" w:rsidRDefault="00D53AA2" w:rsidP="00D53AA2">
      <w:pPr>
        <w:pStyle w:val="ParaNoNdepar-AltN"/>
        <w:rPr>
          <w:rFonts w:cs="Times New Roman"/>
          <w:lang w:val="fr-CA"/>
        </w:rPr>
      </w:pPr>
      <w:r w:rsidRPr="00D53AA2">
        <w:rPr>
          <w:rFonts w:cs="Times New Roman"/>
          <w:lang w:val="fr-CA"/>
        </w:rPr>
        <w:t>Tous conviennent que la déclaration de M. Dennehy à M</w:t>
      </w:r>
      <w:r w:rsidRPr="00D53AA2">
        <w:rPr>
          <w:rFonts w:cs="Times New Roman"/>
          <w:vertAlign w:val="superscript"/>
          <w:lang w:val="fr-CA"/>
        </w:rPr>
        <w:t>me</w:t>
      </w:r>
      <w:r w:rsidRPr="00D53AA2">
        <w:rPr>
          <w:rFonts w:cs="Times New Roman"/>
          <w:lang w:val="fr-CA"/>
        </w:rPr>
        <w:t xml:space="preserve"> Bull, qu’elle a relatée dans cette portion de la transcription, était extrajudiciaire. Le différend qui oppose les parties au pourvoi porte sur la question de savoir si le juge du procès l’a utilisée pour établir la véracité de son contenu, faisant ainsi entrer en jeu des préoccupations relatives au ouï‑dire.</w:t>
      </w:r>
    </w:p>
    <w:p w14:paraId="5774FA69" w14:textId="77777777" w:rsidR="00D53AA2" w:rsidRPr="00D53AA2" w:rsidRDefault="00D53AA2" w:rsidP="00D53AA2">
      <w:pPr>
        <w:pStyle w:val="ParaNoNdepar-AltN"/>
        <w:rPr>
          <w:rFonts w:cs="Times New Roman"/>
          <w:lang w:val="fr-CA"/>
        </w:rPr>
      </w:pPr>
      <w:r w:rsidRPr="00D53AA2">
        <w:rPr>
          <w:rFonts w:cs="Times New Roman"/>
          <w:lang w:val="fr-CA"/>
        </w:rPr>
        <w:t>À la lecture des motifs qu’il a rendus, le juge du procès s’est fondé spécifiquement sur cette déclaration en appui à sa conclusion portant sur le moment où M. Dennehy et M. Saddleback ont été laissés seuls à la roulotte, qui était un point litigieux au procès :</w:t>
      </w:r>
    </w:p>
    <w:p w14:paraId="3DB7680F" w14:textId="77777777" w:rsidR="00D53AA2" w:rsidRPr="00D53AA2" w:rsidRDefault="00D53AA2" w:rsidP="00D53AA2">
      <w:pPr>
        <w:pStyle w:val="Citation-AltC"/>
        <w:spacing w:after="240"/>
        <w:ind w:left="1168" w:firstLine="272"/>
        <w:contextualSpacing w:val="0"/>
        <w:rPr>
          <w:lang w:val="fr-CA"/>
        </w:rPr>
      </w:pPr>
      <w:r w:rsidRPr="00D53AA2">
        <w:rPr>
          <w:lang w:val="fr-CA"/>
        </w:rPr>
        <w:t>[</w:t>
      </w:r>
      <w:r w:rsidRPr="00D53AA2">
        <w:rPr>
          <w:smallCaps/>
          <w:lang w:val="fr-CA"/>
        </w:rPr>
        <w:t>traduction</w:t>
      </w:r>
      <w:r w:rsidRPr="00D53AA2">
        <w:rPr>
          <w:lang w:val="fr-CA"/>
        </w:rPr>
        <w:t xml:space="preserve">] </w:t>
      </w:r>
      <w:r w:rsidRPr="00D53AA2">
        <w:rPr>
          <w:u w:val="single"/>
          <w:lang w:val="fr-CA"/>
        </w:rPr>
        <w:t>De plus, la preuve des témoins concorde sur le fait que [M. Dennehy] était sorti de sa torpeur et était au téléphone lorsque le groupe est parti pour la dernière fois.</w:t>
      </w:r>
      <w:r w:rsidRPr="00D53AA2">
        <w:rPr>
          <w:lang w:val="fr-CA"/>
        </w:rPr>
        <w:t xml:space="preserve"> À ce moment-là, on affirme que [M. Saddleback] se trouvait dans la roulotte où il s’était évanoui. </w:t>
      </w:r>
      <w:r w:rsidRPr="00D53AA2">
        <w:rPr>
          <w:u w:val="single"/>
          <w:lang w:val="fr-CA"/>
        </w:rPr>
        <w:t>Les messages textes et la preuve de [M</w:t>
      </w:r>
      <w:r w:rsidRPr="00D53AA2">
        <w:rPr>
          <w:u w:val="single"/>
          <w:vertAlign w:val="superscript"/>
          <w:lang w:val="fr-CA"/>
        </w:rPr>
        <w:t>me</w:t>
      </w:r>
      <w:r w:rsidRPr="00D53AA2">
        <w:rPr>
          <w:u w:val="single"/>
          <w:lang w:val="fr-CA"/>
        </w:rPr>
        <w:t xml:space="preserve"> Bull] ont permis de corroborer ces conclusions. La preuve de [M</w:t>
      </w:r>
      <w:r w:rsidRPr="00D53AA2">
        <w:rPr>
          <w:u w:val="single"/>
          <w:vertAlign w:val="superscript"/>
          <w:lang w:val="fr-CA"/>
        </w:rPr>
        <w:t>me</w:t>
      </w:r>
      <w:r w:rsidRPr="00D53AA2">
        <w:rPr>
          <w:u w:val="single"/>
          <w:lang w:val="fr-CA"/>
        </w:rPr>
        <w:t xml:space="preserve"> Bull] et les messages textes établissent qu’elle a parlé avec [M. Dennehy] pendant 10 à 20 minutes après le dernier message texte qui a été enregistré à 21 h 57.</w:t>
      </w:r>
      <w:r w:rsidRPr="00D53AA2">
        <w:rPr>
          <w:lang w:val="fr-CA"/>
        </w:rPr>
        <w:t xml:space="preserve"> Durant cette conversation téléphonique [M. Dennehy] a dit qu’il devait se battre contre ce petit gars. Pour [M</w:t>
      </w:r>
      <w:r w:rsidRPr="00D53AA2">
        <w:rPr>
          <w:vertAlign w:val="superscript"/>
          <w:lang w:val="fr-CA"/>
        </w:rPr>
        <w:t>me</w:t>
      </w:r>
      <w:r w:rsidRPr="00D53AA2">
        <w:rPr>
          <w:lang w:val="fr-CA"/>
        </w:rPr>
        <w:t xml:space="preserve"> Bull], cela signifiait quelqu’un de plus jeune que [M. Dennehy]. [M. Saddleback] est plus jeune. [M</w:t>
      </w:r>
      <w:r w:rsidRPr="00D53AA2">
        <w:rPr>
          <w:vertAlign w:val="superscript"/>
          <w:lang w:val="fr-CA"/>
        </w:rPr>
        <w:t>me</w:t>
      </w:r>
      <w:r w:rsidRPr="00D53AA2">
        <w:rPr>
          <w:lang w:val="fr-CA"/>
        </w:rPr>
        <w:t xml:space="preserve"> Bull] nous a dit qu’elle avait entendu des sons et des bruits qui, selon moi, correspondent aux coups que [M. Dennehy] a subi et qui ont en définitive causé sa mort.</w:t>
      </w:r>
    </w:p>
    <w:p w14:paraId="401FE017" w14:textId="77777777" w:rsidR="00D53AA2" w:rsidRPr="00D53AA2" w:rsidRDefault="00D53AA2" w:rsidP="00D53AA2">
      <w:pPr>
        <w:pStyle w:val="Citation-AltC"/>
        <w:spacing w:after="240"/>
        <w:ind w:left="1168" w:firstLine="272"/>
        <w:contextualSpacing w:val="0"/>
        <w:rPr>
          <w:lang w:val="fr-CA"/>
        </w:rPr>
      </w:pPr>
      <w:r w:rsidRPr="00D53AA2">
        <w:rPr>
          <w:u w:val="single"/>
          <w:lang w:val="fr-CA"/>
        </w:rPr>
        <w:t>Aussi, durant cet appel téléphonique, la preuve de [M</w:t>
      </w:r>
      <w:r w:rsidRPr="00D53AA2">
        <w:rPr>
          <w:u w:val="single"/>
          <w:vertAlign w:val="superscript"/>
          <w:lang w:val="fr-CA"/>
        </w:rPr>
        <w:t>me</w:t>
      </w:r>
      <w:r w:rsidRPr="00D53AA2">
        <w:rPr>
          <w:u w:val="single"/>
          <w:lang w:val="fr-CA"/>
        </w:rPr>
        <w:t xml:space="preserve"> Bull] que j’accepte est que [M. Dennehy] a mentionné que des gens quittaient. Cela </w:t>
      </w:r>
      <w:r w:rsidRPr="00D53AA2">
        <w:rPr>
          <w:u w:val="single"/>
          <w:lang w:val="fr-CA"/>
        </w:rPr>
        <w:lastRenderedPageBreak/>
        <w:t>concorde avec la preuve [d’autres personnes] selon laquelle [elles] sont parti[e]s [. . .] à un moment où [M. Dennehy] parlait au téléphone cellulaire. Il ne restait plus que [M. Dennehy] et [M. Saddleback] sur les lieux.</w:t>
      </w:r>
      <w:r w:rsidRPr="00D53AA2">
        <w:rPr>
          <w:lang w:val="fr-CA"/>
        </w:rPr>
        <w:t xml:space="preserve"> L’heure devait se situer entre 22 h 10 et environ 22 h 30. Vers 22 h 30, [le voisin] a trouvé [M. Dennehy] inanimé malgré ses efforts de [réanimation]. À 22 h 44, [le voisin] a appelé la police. Les policiers sont arrivés une minute avant 23 h. [Je souligne.]</w:t>
      </w:r>
    </w:p>
    <w:p w14:paraId="21E4A7A0" w14:textId="77777777" w:rsidR="00D53AA2" w:rsidRPr="00D53AA2" w:rsidRDefault="00D53AA2" w:rsidP="00D53AA2">
      <w:pPr>
        <w:pStyle w:val="Citation-AltC"/>
        <w:rPr>
          <w:lang w:val="fr-CA"/>
        </w:rPr>
      </w:pPr>
      <w:r w:rsidRPr="00D53AA2">
        <w:rPr>
          <w:lang w:val="fr-CA"/>
        </w:rPr>
        <w:t>(</w:t>
      </w:r>
      <w:proofErr w:type="gramStart"/>
      <w:r w:rsidRPr="00D53AA2">
        <w:rPr>
          <w:lang w:val="fr-CA"/>
        </w:rPr>
        <w:t>d.a.</w:t>
      </w:r>
      <w:proofErr w:type="gramEnd"/>
      <w:r w:rsidRPr="00D53AA2">
        <w:rPr>
          <w:lang w:val="fr-CA"/>
        </w:rPr>
        <w:t>, vol. I, p. 2-3)</w:t>
      </w:r>
    </w:p>
    <w:p w14:paraId="5BFF73B9" w14:textId="77777777" w:rsidR="00D53AA2" w:rsidRPr="00D53AA2" w:rsidRDefault="00D53AA2" w:rsidP="00D53AA2">
      <w:pPr>
        <w:pStyle w:val="ParaNoNdepar-AltN"/>
        <w:rPr>
          <w:rFonts w:cs="Times New Roman"/>
          <w:lang w:val="fr-CA"/>
        </w:rPr>
      </w:pPr>
      <w:r w:rsidRPr="00D53AA2">
        <w:rPr>
          <w:rFonts w:cs="Times New Roman"/>
          <w:lang w:val="fr-CA"/>
        </w:rPr>
        <w:t>Cette conclusion était au cœur de la décision du juge du procès de rejeter une thèse clé de la défense. Monsieur Saddleback avait plaidé que, compte tenu des témoignages contradictoires des membres du groupe quant au moment où ils sont partis, il était probable que l’appel téléphonique de M. Dennehy dont ils avaient été témoins au moment de leur départ n’était pas celui qu’il avait eu avec M</w:t>
      </w:r>
      <w:r w:rsidRPr="00D53AA2">
        <w:rPr>
          <w:rFonts w:cs="Times New Roman"/>
          <w:vertAlign w:val="superscript"/>
          <w:lang w:val="fr-CA"/>
        </w:rPr>
        <w:t>me</w:t>
      </w:r>
      <w:r w:rsidRPr="00D53AA2">
        <w:rPr>
          <w:rFonts w:cs="Times New Roman"/>
          <w:lang w:val="fr-CA"/>
        </w:rPr>
        <w:t xml:space="preserve"> Bull, mais plutôt un appel téléphonique antérieur avec une autre personne. Le juge du procès s’est fondé sur le moment de l’appel téléphonique entre M. Dennehy et M</w:t>
      </w:r>
      <w:r w:rsidRPr="00D53AA2">
        <w:rPr>
          <w:rFonts w:cs="Times New Roman"/>
          <w:vertAlign w:val="superscript"/>
          <w:lang w:val="fr-CA"/>
        </w:rPr>
        <w:t>me</w:t>
      </w:r>
      <w:r w:rsidRPr="00D53AA2">
        <w:rPr>
          <w:rFonts w:cs="Times New Roman"/>
          <w:lang w:val="fr-CA"/>
        </w:rPr>
        <w:t xml:space="preserve"> Bull et la déclaration qu’il a faite à cette dernière selon laquelle il se faisait larguer par d’autres personnes pour conclure que M. Saddleback était la seule personne qui a eu l’occasion de tuer M. Dennehy :</w:t>
      </w:r>
    </w:p>
    <w:p w14:paraId="72076ECC" w14:textId="77777777" w:rsidR="00D53AA2" w:rsidRPr="00D53AA2" w:rsidRDefault="00D53AA2" w:rsidP="00D53AA2">
      <w:pPr>
        <w:pStyle w:val="Citation-AltC"/>
        <w:spacing w:after="240"/>
        <w:ind w:left="1168" w:firstLine="272"/>
        <w:contextualSpacing w:val="0"/>
        <w:rPr>
          <w:lang w:val="fr-CA"/>
        </w:rPr>
      </w:pPr>
      <w:r w:rsidRPr="00D53AA2">
        <w:rPr>
          <w:lang w:val="fr-CA"/>
        </w:rPr>
        <w:t>[</w:t>
      </w:r>
      <w:r w:rsidRPr="00D53AA2">
        <w:rPr>
          <w:smallCaps/>
          <w:lang w:val="fr-CA"/>
        </w:rPr>
        <w:t>traduction</w:t>
      </w:r>
      <w:r w:rsidRPr="00D53AA2">
        <w:rPr>
          <w:lang w:val="fr-CA"/>
        </w:rPr>
        <w:t xml:space="preserve">] </w:t>
      </w:r>
      <w:r w:rsidRPr="00D53AA2">
        <w:rPr>
          <w:u w:val="single"/>
          <w:lang w:val="fr-CA"/>
        </w:rPr>
        <w:t>Dans les minutes qui ont suivi l’appel téléphonique entre [M. Dennehy] et [M</w:t>
      </w:r>
      <w:r w:rsidRPr="00D53AA2">
        <w:rPr>
          <w:u w:val="single"/>
          <w:vertAlign w:val="superscript"/>
          <w:lang w:val="fr-CA"/>
        </w:rPr>
        <w:t>me</w:t>
      </w:r>
      <w:r w:rsidRPr="00D53AA2">
        <w:rPr>
          <w:u w:val="single"/>
          <w:lang w:val="fr-CA"/>
        </w:rPr>
        <w:t xml:space="preserve"> Bull], [. . .]  </w:t>
      </w:r>
      <w:proofErr w:type="gramStart"/>
      <w:r w:rsidRPr="00D53AA2">
        <w:rPr>
          <w:u w:val="single"/>
          <w:lang w:val="fr-CA"/>
        </w:rPr>
        <w:t>le</w:t>
      </w:r>
      <w:proofErr w:type="gramEnd"/>
      <w:r w:rsidRPr="00D53AA2">
        <w:rPr>
          <w:u w:val="single"/>
          <w:lang w:val="fr-CA"/>
        </w:rPr>
        <w:t xml:space="preserve"> [groupe] était parti. Il ne restait plus que [M. Dennehy] et [M. Saddleback] sur les lieux. Dans les minutes qui ont suivi cet événement, [M. Dennehy] avait en tête qu’il devait se battre, et [M</w:t>
      </w:r>
      <w:r w:rsidRPr="00D53AA2">
        <w:rPr>
          <w:u w:val="single"/>
          <w:vertAlign w:val="superscript"/>
          <w:lang w:val="fr-CA"/>
        </w:rPr>
        <w:t>me</w:t>
      </w:r>
      <w:r w:rsidRPr="00D53AA2">
        <w:rPr>
          <w:u w:val="single"/>
          <w:lang w:val="fr-CA"/>
        </w:rPr>
        <w:t xml:space="preserve"> Bull] a entendu les sons qui, d’après mes conclusions, font partie des événements qui ont conduit à la mort de [M. Dennehy].</w:t>
      </w:r>
      <w:r w:rsidRPr="00D53AA2">
        <w:rPr>
          <w:lang w:val="fr-CA"/>
        </w:rPr>
        <w:t xml:space="preserve"> L’idée selon laquelle quelqu’un attendait le départ [. . .] [du groupe] pour attaquer [M. Dennehy], ou est arrivé sur les lieux juste après leur départ, avec l’intention de commettre un meurtre, et a sauvagement attaqué [M. Dennehy] avec une hache, n’est tout simplement pas réaliste. La prétention selon laquelle [un membre du groupe], pour une raison qu’on ignore, aurait quitté le groupe, serait revenu, aurait attaqué et tué [M. Dennehy], pour ensuite repartir, et se changer et revenir sur les lieux </w:t>
      </w:r>
      <w:r w:rsidRPr="00D53AA2">
        <w:rPr>
          <w:u w:val="single"/>
          <w:lang w:val="fr-CA"/>
        </w:rPr>
        <w:t xml:space="preserve">n’est tout simplement pas </w:t>
      </w:r>
      <w:r w:rsidRPr="00D53AA2">
        <w:rPr>
          <w:u w:val="single"/>
          <w:lang w:val="fr-CA"/>
        </w:rPr>
        <w:lastRenderedPageBreak/>
        <w:t>possible dans le laps de temps indiqué et ne concorde pas non plus avec la preuve relative aux allées et venues ce soir-là</w:t>
      </w:r>
      <w:r w:rsidRPr="00D53AA2">
        <w:rPr>
          <w:lang w:val="fr-CA"/>
        </w:rPr>
        <w:t>. [M. Saddleback] a tué [M. Dennehy]. [Je souligne.]</w:t>
      </w:r>
    </w:p>
    <w:p w14:paraId="22328C36" w14:textId="77777777" w:rsidR="00D53AA2" w:rsidRPr="00D53AA2" w:rsidRDefault="00D53AA2" w:rsidP="00D53AA2">
      <w:pPr>
        <w:pStyle w:val="Citation-AltC"/>
        <w:rPr>
          <w:lang w:val="fr-CA"/>
        </w:rPr>
      </w:pPr>
      <w:r w:rsidRPr="00D53AA2">
        <w:rPr>
          <w:lang w:val="fr-CA"/>
        </w:rPr>
        <w:t>(</w:t>
      </w:r>
      <w:proofErr w:type="gramStart"/>
      <w:r w:rsidRPr="00D53AA2">
        <w:rPr>
          <w:lang w:val="fr-CA"/>
        </w:rPr>
        <w:t>d.a.</w:t>
      </w:r>
      <w:proofErr w:type="gramEnd"/>
      <w:r w:rsidRPr="00D53AA2">
        <w:rPr>
          <w:lang w:val="fr-CA"/>
        </w:rPr>
        <w:t>, vol. I, p. 5)</w:t>
      </w:r>
    </w:p>
    <w:p w14:paraId="0839B017" w14:textId="77777777" w:rsidR="00D53AA2" w:rsidRPr="00D53AA2" w:rsidRDefault="00D53AA2" w:rsidP="00D53AA2">
      <w:pPr>
        <w:pStyle w:val="ParaNoNdepar-AltN"/>
        <w:rPr>
          <w:rFonts w:cs="Times New Roman"/>
          <w:lang w:val="fr-CA"/>
        </w:rPr>
      </w:pPr>
      <w:r w:rsidRPr="00D53AA2">
        <w:rPr>
          <w:rFonts w:cs="Times New Roman"/>
          <w:lang w:val="fr-CA"/>
        </w:rPr>
        <w:t>En résumé, le raisonnement du juge du procès peut être décomposé comme suit :</w:t>
      </w:r>
    </w:p>
    <w:p w14:paraId="282505E0" w14:textId="77777777" w:rsidR="00D53AA2" w:rsidRPr="00D53AA2" w:rsidRDefault="00D53AA2" w:rsidP="00D53AA2">
      <w:pPr>
        <w:pStyle w:val="Citation-AltC"/>
        <w:numPr>
          <w:ilvl w:val="0"/>
          <w:numId w:val="5"/>
        </w:numPr>
        <w:spacing w:before="480" w:after="480" w:line="480" w:lineRule="auto"/>
        <w:ind w:left="1560" w:hanging="426"/>
        <w:contextualSpacing w:val="0"/>
        <w:rPr>
          <w:lang w:val="fr-CA"/>
        </w:rPr>
      </w:pPr>
      <w:r w:rsidRPr="00D53AA2">
        <w:rPr>
          <w:lang w:val="fr-CA"/>
        </w:rPr>
        <w:t>Le groupe est parti de la roulotte pendant que M. Dennehy était au téléphone (cette conclusion est basée sur les témoignages des membres du groupe au procès);</w:t>
      </w:r>
    </w:p>
    <w:p w14:paraId="2F5F1999" w14:textId="77777777" w:rsidR="00D53AA2" w:rsidRPr="00D53AA2" w:rsidRDefault="00D53AA2" w:rsidP="00D53AA2">
      <w:pPr>
        <w:pStyle w:val="Citation-AltC"/>
        <w:numPr>
          <w:ilvl w:val="0"/>
          <w:numId w:val="5"/>
        </w:numPr>
        <w:spacing w:before="480" w:after="480" w:line="480" w:lineRule="auto"/>
        <w:ind w:left="1560" w:hanging="426"/>
        <w:contextualSpacing w:val="0"/>
        <w:rPr>
          <w:lang w:val="fr-CA"/>
        </w:rPr>
      </w:pPr>
      <w:r w:rsidRPr="00D53AA2">
        <w:rPr>
          <w:lang w:val="fr-CA"/>
        </w:rPr>
        <w:t>L’appel téléphonique dont le groupe a été témoin pendant qu’il s’en allait était celui qui a eu lieu entre M. Dennehy et M</w:t>
      </w:r>
      <w:r w:rsidRPr="00D53AA2">
        <w:rPr>
          <w:vertAlign w:val="superscript"/>
          <w:lang w:val="fr-CA"/>
        </w:rPr>
        <w:t>me</w:t>
      </w:r>
      <w:r w:rsidRPr="00D53AA2">
        <w:rPr>
          <w:lang w:val="fr-CA"/>
        </w:rPr>
        <w:t xml:space="preserve"> Bull, vers 22 h (cette conclusion est fondée sur la déclaration extrajudiciaire de M. Dennehy à M</w:t>
      </w:r>
      <w:r w:rsidRPr="00D53AA2">
        <w:rPr>
          <w:vertAlign w:val="superscript"/>
          <w:lang w:val="fr-CA"/>
        </w:rPr>
        <w:t>me</w:t>
      </w:r>
      <w:r w:rsidRPr="00D53AA2">
        <w:rPr>
          <w:lang w:val="fr-CA"/>
        </w:rPr>
        <w:t xml:space="preserve"> Bull au téléphone, lui disant qu’il se faisait « larguer »);</w:t>
      </w:r>
    </w:p>
    <w:p w14:paraId="6E65D766" w14:textId="77777777" w:rsidR="00D53AA2" w:rsidRPr="00D53AA2" w:rsidRDefault="00D53AA2" w:rsidP="00D53AA2">
      <w:pPr>
        <w:pStyle w:val="Citation-AltC"/>
        <w:numPr>
          <w:ilvl w:val="0"/>
          <w:numId w:val="5"/>
        </w:numPr>
        <w:spacing w:before="480" w:after="480" w:line="480" w:lineRule="auto"/>
        <w:ind w:left="1560" w:hanging="426"/>
        <w:contextualSpacing w:val="0"/>
        <w:rPr>
          <w:lang w:val="fr-CA"/>
        </w:rPr>
      </w:pPr>
      <w:r w:rsidRPr="00D53AA2">
        <w:rPr>
          <w:lang w:val="fr-CA"/>
        </w:rPr>
        <w:t>Par conséquent, M. Dennehy et M. Saddleback ont été laissés seuls à la roulotte très peu de temps avant le décès de M. Dennehy.</w:t>
      </w:r>
    </w:p>
    <w:p w14:paraId="54055592" w14:textId="77777777" w:rsidR="00D53AA2" w:rsidRPr="00D53AA2" w:rsidRDefault="00D53AA2" w:rsidP="00D53AA2">
      <w:pPr>
        <w:pStyle w:val="ParaNoNdepar-AltN"/>
        <w:rPr>
          <w:rFonts w:cs="Times New Roman"/>
          <w:lang w:val="fr-CA"/>
        </w:rPr>
      </w:pPr>
      <w:r w:rsidRPr="00D53AA2">
        <w:rPr>
          <w:rFonts w:cs="Times New Roman"/>
          <w:lang w:val="fr-CA"/>
        </w:rPr>
        <w:t>La validité du syllogisme repose sur le fait que le groupe s’en allait pendant que M. Dennehy était au téléphone avec M</w:t>
      </w:r>
      <w:r w:rsidRPr="00D53AA2">
        <w:rPr>
          <w:rFonts w:cs="Times New Roman"/>
          <w:vertAlign w:val="superscript"/>
          <w:lang w:val="fr-CA"/>
        </w:rPr>
        <w:t>me</w:t>
      </w:r>
      <w:r w:rsidRPr="00D53AA2">
        <w:rPr>
          <w:rFonts w:cs="Times New Roman"/>
          <w:lang w:val="fr-CA"/>
        </w:rPr>
        <w:t xml:space="preserve"> Bull, une conclusion que le juge du procès a fondée sur la déclaration extrajudiciaire de M. Dennehy, relatée dans le contre-interrogatoire de M</w:t>
      </w:r>
      <w:r w:rsidRPr="00D53AA2">
        <w:rPr>
          <w:rFonts w:cs="Times New Roman"/>
          <w:vertAlign w:val="superscript"/>
          <w:lang w:val="fr-CA"/>
        </w:rPr>
        <w:t>me</w:t>
      </w:r>
      <w:r w:rsidRPr="00D53AA2">
        <w:rPr>
          <w:rFonts w:cs="Times New Roman"/>
          <w:lang w:val="fr-CA"/>
        </w:rPr>
        <w:t xml:space="preserve"> Bull. Sur la foi de ses propres mots, il est clair que le juge du </w:t>
      </w:r>
      <w:r w:rsidRPr="00D53AA2">
        <w:rPr>
          <w:rFonts w:cs="Times New Roman"/>
          <w:lang w:val="fr-CA"/>
        </w:rPr>
        <w:lastRenderedPageBreak/>
        <w:t>procès a formulé le raisonnement selon lequel le moment où le groupe a quitté la roulotte correspondait à l’appel téléphonique entre M. Dennehy et M</w:t>
      </w:r>
      <w:r w:rsidRPr="00D53AA2">
        <w:rPr>
          <w:rFonts w:cs="Times New Roman"/>
          <w:vertAlign w:val="superscript"/>
          <w:lang w:val="fr-CA"/>
        </w:rPr>
        <w:t>me</w:t>
      </w:r>
      <w:r w:rsidRPr="00D53AA2">
        <w:rPr>
          <w:rFonts w:cs="Times New Roman"/>
          <w:lang w:val="fr-CA"/>
        </w:rPr>
        <w:t xml:space="preserve"> Bull, vers 22 h, parce que M. Dennehy a dit à M</w:t>
      </w:r>
      <w:r w:rsidRPr="00D53AA2">
        <w:rPr>
          <w:rFonts w:cs="Times New Roman"/>
          <w:vertAlign w:val="superscript"/>
          <w:lang w:val="fr-CA"/>
        </w:rPr>
        <w:t>me</w:t>
      </w:r>
      <w:r w:rsidRPr="00D53AA2">
        <w:rPr>
          <w:rFonts w:cs="Times New Roman"/>
          <w:lang w:val="fr-CA"/>
        </w:rPr>
        <w:t xml:space="preserve"> Bull au téléphone que des gens s’en allaient. Dans le contexte du dossier du procès, cela renvoie sans aucun doute à la preuve de M</w:t>
      </w:r>
      <w:r w:rsidRPr="00D53AA2">
        <w:rPr>
          <w:rFonts w:cs="Times New Roman"/>
          <w:vertAlign w:val="superscript"/>
          <w:lang w:val="fr-CA"/>
        </w:rPr>
        <w:t>me</w:t>
      </w:r>
      <w:r w:rsidRPr="00D53AA2">
        <w:rPr>
          <w:rFonts w:cs="Times New Roman"/>
          <w:lang w:val="fr-CA"/>
        </w:rPr>
        <w:t xml:space="preserve"> Bull selon laquelle M. Dennehy lui avait dit au téléphone qu’il « se faisait larguer par ces gars ». </w:t>
      </w:r>
    </w:p>
    <w:p w14:paraId="6BB0A312" w14:textId="77777777" w:rsidR="00D53AA2" w:rsidRPr="00D53AA2" w:rsidRDefault="00D53AA2" w:rsidP="00D53AA2">
      <w:pPr>
        <w:pStyle w:val="ParaNoNdepar-AltN"/>
        <w:rPr>
          <w:rFonts w:cs="Times New Roman"/>
          <w:lang w:val="fr-CA"/>
        </w:rPr>
      </w:pPr>
      <w:r w:rsidRPr="00D53AA2">
        <w:rPr>
          <w:rFonts w:cs="Times New Roman"/>
          <w:lang w:val="fr-CA"/>
        </w:rPr>
        <w:t xml:space="preserve">La pertinence de cette déclaration en appui à la conclusion selon laquelle le groupe est parti pendant l’appel téléphonique dépend </w:t>
      </w:r>
      <w:r w:rsidRPr="00D53AA2">
        <w:rPr>
          <w:rFonts w:cs="Times New Roman"/>
          <w:i/>
          <w:lang w:val="fr-CA"/>
        </w:rPr>
        <w:t>prima facie</w:t>
      </w:r>
      <w:r w:rsidRPr="00D53AA2">
        <w:rPr>
          <w:rFonts w:cs="Times New Roman"/>
          <w:lang w:val="fr-CA"/>
        </w:rPr>
        <w:t xml:space="preserve"> de sa véracité. Si cette déclaration n’était pas vraie, c’est-à-dire si M. Dennehy a dit que le groupe s’en allait alors qu’en réalité le groupe ne partait pas, elle n’aurait aucune pertinence pour déterminer qui était parti et quand. Ce n’est que si on l’estime vraie que cette déclaration appuie la conclusion pour laquelle le juge du procès l’a citée. </w:t>
      </w:r>
    </w:p>
    <w:p w14:paraId="726CCBFE" w14:textId="77777777" w:rsidR="00D53AA2" w:rsidRPr="00D53AA2" w:rsidRDefault="00D53AA2" w:rsidP="00D53AA2">
      <w:pPr>
        <w:pStyle w:val="ParaNoNdepar-AltN"/>
        <w:rPr>
          <w:rFonts w:cs="Times New Roman"/>
          <w:lang w:val="fr-CA"/>
        </w:rPr>
      </w:pPr>
      <w:r w:rsidRPr="00D53AA2">
        <w:rPr>
          <w:rFonts w:cs="Times New Roman"/>
          <w:lang w:val="fr-CA"/>
        </w:rPr>
        <w:t>La Couronne fait valoir que rien dans le dossier ne permet de soutenir que le juge du procès s’est servi des paroles de M. Dennehy pour établir la véracité de leur contenu (m.a., par. 79). Selon elle, compte tenu de l’entièreté du contexte, une interprétation raisonnable des motifs du juge du procès est qu’il a uniquement utilisé la déclaration extrajudiciaire pour corroborer [</w:t>
      </w:r>
      <w:r w:rsidRPr="00D53AA2">
        <w:rPr>
          <w:rFonts w:cs="Times New Roman"/>
          <w:smallCaps/>
          <w:lang w:val="fr-CA"/>
        </w:rPr>
        <w:t>traduction</w:t>
      </w:r>
      <w:r w:rsidRPr="00D53AA2">
        <w:rPr>
          <w:rFonts w:cs="Times New Roman"/>
          <w:lang w:val="fr-CA"/>
        </w:rPr>
        <w:t>] « la preuve des autres témoins selon laquelle [M. Dennehy] était au téléphone quand les autres sont partis pour se rendre à la fête », ce qui n’est pas une utilisation de la déclaration en guise de ouï-dire (par. 85, voir aussi par. 82-84). Ma collègue adopte la même interprétation des motifs du juge du procès, suggérant que celui-ci a renvoyé au témoignage de M</w:t>
      </w:r>
      <w:r w:rsidRPr="00D53AA2">
        <w:rPr>
          <w:rFonts w:cs="Times New Roman"/>
          <w:vertAlign w:val="superscript"/>
          <w:lang w:val="fr-CA"/>
        </w:rPr>
        <w:t>me</w:t>
      </w:r>
      <w:r w:rsidRPr="00D53AA2">
        <w:rPr>
          <w:rFonts w:cs="Times New Roman"/>
          <w:lang w:val="fr-CA"/>
        </w:rPr>
        <w:t xml:space="preserve"> Bull </w:t>
      </w:r>
      <w:r w:rsidRPr="00D53AA2">
        <w:rPr>
          <w:rFonts w:cs="Times New Roman"/>
          <w:lang w:val="fr-CA"/>
        </w:rPr>
        <w:lastRenderedPageBreak/>
        <w:t>simplement parce qu’il était compatible avec la preuve des autres témoins qui avaient aperçu M. Dennehy au téléphone au moment de leur départ et dont la fiabilité était une question en litige au procès (par. 61).</w:t>
      </w:r>
    </w:p>
    <w:p w14:paraId="52DAC330" w14:textId="77777777" w:rsidR="00D53AA2" w:rsidRPr="00D53AA2" w:rsidRDefault="00D53AA2" w:rsidP="00D53AA2">
      <w:pPr>
        <w:pStyle w:val="ParaNoNdepar-AltN"/>
        <w:rPr>
          <w:rFonts w:cs="Times New Roman"/>
          <w:lang w:val="fr-CA"/>
        </w:rPr>
      </w:pPr>
      <w:r w:rsidRPr="00D53AA2">
        <w:rPr>
          <w:rFonts w:cs="Times New Roman"/>
          <w:lang w:val="fr-CA"/>
        </w:rPr>
        <w:t>Avec égards pour ces autres points de vue, je ne puis accepter l’argument de la Couronne. Même en acceptant que ce soit ainsi que le juge du procès a procédé, la valeur corroborante de la déclaration, dans le contexte du présent dossier, dépendait de sa véracité. Si la déclaration n’était pas vraie, elle ne corroborerait pas la preuve des autres témoins selon laquelle M. Dennehy était au téléphone lorsqu’ils sont partis. Le simple fait que la déclaration a été formulée n’est pas pertinent en soi à cette fin. L’interprétation que la Couronne donne aux motifs du juge du procès est également une utilisation manifeste de la déclaration à une fin de ouï-dire.</w:t>
      </w:r>
    </w:p>
    <w:p w14:paraId="2D7EE247" w14:textId="77777777" w:rsidR="00D53AA2" w:rsidRPr="00D53AA2" w:rsidRDefault="00D53AA2" w:rsidP="00D53AA2">
      <w:pPr>
        <w:pStyle w:val="ParaNoNdepar-AltN"/>
        <w:rPr>
          <w:rFonts w:cs="Times New Roman"/>
          <w:lang w:val="fr-CA"/>
        </w:rPr>
      </w:pPr>
      <w:r w:rsidRPr="00D53AA2">
        <w:rPr>
          <w:rFonts w:cs="Times New Roman"/>
          <w:lang w:val="fr-CA"/>
        </w:rPr>
        <w:t xml:space="preserve">Nous ne sommes pas en présence d’une cause comme </w:t>
      </w:r>
      <w:r w:rsidRPr="00D53AA2">
        <w:rPr>
          <w:rFonts w:cs="Times New Roman"/>
          <w:i/>
          <w:lang w:val="fr-CA"/>
        </w:rPr>
        <w:t>R. c. Evans</w:t>
      </w:r>
      <w:r w:rsidRPr="00D53AA2">
        <w:rPr>
          <w:rFonts w:cs="Times New Roman"/>
          <w:lang w:val="fr-CA"/>
        </w:rPr>
        <w:t>, [1993] 3 R.C.S. 653, où les déclarations extrajudiciaires ont été jugées pertinentes au regard de la question de l’identité de leur auteur, même si elles ne pouvaient être utilisées pour établir la véracité de leurs contenus. Il est indéniable en l’espèce que M. Dennehy était l’auteur de la déclaration. Dans le cadre de son analyse portant sur l’occasion exclusive, le juge du procès n’a pas prétendu se fonder sur la déclaration pour établir l’identité de M. Dennehy, mais plutôt pour établir que le groupe était réellement en train de s’en aller lorsque M. Dennehy a déclaré extrajudiciairement à M</w:t>
      </w:r>
      <w:r w:rsidRPr="00D53AA2">
        <w:rPr>
          <w:rFonts w:cs="Times New Roman"/>
          <w:vertAlign w:val="superscript"/>
          <w:lang w:val="fr-CA"/>
        </w:rPr>
        <w:t>me</w:t>
      </w:r>
      <w:r w:rsidRPr="00D53AA2">
        <w:rPr>
          <w:rFonts w:cs="Times New Roman"/>
          <w:lang w:val="fr-CA"/>
        </w:rPr>
        <w:t xml:space="preserve"> Bull au téléphone qu’il se faisait « larguer ». Contrairement à l’affaire </w:t>
      </w:r>
      <w:r w:rsidRPr="00D53AA2">
        <w:rPr>
          <w:rFonts w:cs="Times New Roman"/>
          <w:i/>
          <w:lang w:val="fr-CA"/>
        </w:rPr>
        <w:t>Evans</w:t>
      </w:r>
      <w:r w:rsidRPr="00D53AA2">
        <w:rPr>
          <w:rFonts w:cs="Times New Roman"/>
          <w:lang w:val="fr-CA"/>
        </w:rPr>
        <w:t xml:space="preserve">, la déclaration extrajudiciaire en cause en l’espèce, lorsqu’elle est mise en contexte, ne sert aucune fin dans le </w:t>
      </w:r>
      <w:r w:rsidRPr="00D53AA2">
        <w:rPr>
          <w:rFonts w:cs="Times New Roman"/>
          <w:lang w:val="fr-CA"/>
        </w:rPr>
        <w:lastRenderedPageBreak/>
        <w:t>raisonnement du juge du procès, à moins que la véracité de son contenu ne soit acceptée.</w:t>
      </w:r>
    </w:p>
    <w:p w14:paraId="77BB8F76" w14:textId="77777777" w:rsidR="00D53AA2" w:rsidRPr="00D53AA2" w:rsidRDefault="00D53AA2" w:rsidP="00D53AA2">
      <w:pPr>
        <w:pStyle w:val="ParaNoNdepar-AltN"/>
        <w:rPr>
          <w:rFonts w:cs="Times New Roman"/>
          <w:lang w:val="fr-CA"/>
        </w:rPr>
      </w:pPr>
      <w:r w:rsidRPr="00D53AA2">
        <w:rPr>
          <w:rFonts w:cs="Times New Roman"/>
          <w:lang w:val="fr-CA"/>
        </w:rPr>
        <w:t>Fondamentalement, la position de la Couronne est que même si la déclaration ne pouvait pas être utilisée pour établir directement sa véracité, elle [</w:t>
      </w:r>
      <w:r w:rsidRPr="00D53AA2">
        <w:rPr>
          <w:rFonts w:cs="Times New Roman"/>
          <w:smallCaps/>
          <w:lang w:val="fr-CA"/>
        </w:rPr>
        <w:t>traduction</w:t>
      </w:r>
      <w:r w:rsidRPr="00D53AA2">
        <w:rPr>
          <w:rFonts w:cs="Times New Roman"/>
          <w:lang w:val="fr-CA"/>
        </w:rPr>
        <w:t>] « pouvait être utilisée à bon escient en tant que preuve circonstancielle pour conclure que les autres sont partis pendant l’appel [de M. Dennehy] avec [M</w:t>
      </w:r>
      <w:r w:rsidRPr="00D53AA2">
        <w:rPr>
          <w:rFonts w:cs="Times New Roman"/>
          <w:vertAlign w:val="superscript"/>
          <w:lang w:val="fr-CA"/>
        </w:rPr>
        <w:t>me</w:t>
      </w:r>
      <w:r w:rsidRPr="00D53AA2">
        <w:rPr>
          <w:rFonts w:cs="Times New Roman"/>
          <w:lang w:val="fr-CA"/>
        </w:rPr>
        <w:t xml:space="preserve"> Bull] » (</w:t>
      </w:r>
      <w:bookmarkStart w:id="10" w:name="_Hlk225859489"/>
      <w:r w:rsidRPr="00D53AA2">
        <w:rPr>
          <w:rFonts w:cs="Times New Roman"/>
          <w:lang w:val="fr-CA"/>
        </w:rPr>
        <w:t xml:space="preserve">m.a., </w:t>
      </w:r>
      <w:bookmarkEnd w:id="10"/>
      <w:r w:rsidRPr="00D53AA2">
        <w:rPr>
          <w:rFonts w:cs="Times New Roman"/>
          <w:lang w:val="fr-CA"/>
        </w:rPr>
        <w:t xml:space="preserve">par. 58). Soit dit en tout respect, ce langage démontre que, même suivant la propre thèse de la Couronne, la déclaration a été utilisée afin de prouver que le groupe s’en allait, ce qui est précisément le contenu de la déclaration extrajudiciaire en cause. Nous sommes en présence de la définition même d’une preuve par ouï-dire.  </w:t>
      </w:r>
    </w:p>
    <w:p w14:paraId="717BA19E" w14:textId="77777777" w:rsidR="00D53AA2" w:rsidRPr="00D53AA2" w:rsidRDefault="00D53AA2" w:rsidP="00D53AA2">
      <w:pPr>
        <w:pStyle w:val="ParaNoNdepar-AltN"/>
        <w:rPr>
          <w:rFonts w:cs="Times New Roman"/>
          <w:lang w:val="fr-CA"/>
        </w:rPr>
      </w:pPr>
      <w:r w:rsidRPr="00D53AA2">
        <w:rPr>
          <w:rFonts w:cs="Times New Roman"/>
          <w:lang w:val="fr-CA"/>
        </w:rPr>
        <w:t>Accepter la position de la Couronne sur ce point permettrait [</w:t>
      </w:r>
      <w:r w:rsidRPr="00D53AA2">
        <w:rPr>
          <w:rFonts w:cs="Times New Roman"/>
          <w:smallCaps/>
          <w:lang w:val="fr-CA"/>
        </w:rPr>
        <w:t>traduction</w:t>
      </w:r>
      <w:r w:rsidRPr="00D53AA2">
        <w:rPr>
          <w:rFonts w:cs="Times New Roman"/>
          <w:lang w:val="fr-CA"/>
        </w:rPr>
        <w:t>] « que l’on court-circuite la règle du ouï-dire » (</w:t>
      </w:r>
      <w:r w:rsidRPr="00D53AA2">
        <w:rPr>
          <w:rFonts w:cs="Times New Roman"/>
          <w:i/>
          <w:lang w:val="fr-CA"/>
        </w:rPr>
        <w:t>R. c. Bridgman</w:t>
      </w:r>
      <w:r w:rsidRPr="00D53AA2">
        <w:rPr>
          <w:rFonts w:cs="Times New Roman"/>
          <w:lang w:val="fr-CA"/>
        </w:rPr>
        <w:t>, 2017 ONCA 940, 357 C.C.C. (3d) 213, par. 76). Cela voudrait dire que toute déclaration extrajudiciaire pourrait être utilisée pour prouver que son contenu est vrai, sans qu’elle soit soumise à l’examen du ouï-dire, pourvu que cette utilisation soit qualifiée de circonstancielle. Comme je l’ai expliqué, selon la règle du ouï-dire, l’admissibilité de la preuve « dépend de la</w:t>
      </w:r>
      <w:r w:rsidRPr="00D53AA2">
        <w:rPr>
          <w:rFonts w:cs="Times New Roman"/>
          <w:i/>
          <w:lang w:val="fr-CA"/>
        </w:rPr>
        <w:t xml:space="preserve"> fin </w:t>
      </w:r>
      <w:r w:rsidRPr="00D53AA2">
        <w:rPr>
          <w:rFonts w:cs="Times New Roman"/>
          <w:lang w:val="fr-CA"/>
        </w:rPr>
        <w:t>à laquelle [la preuve] est déposée » (</w:t>
      </w:r>
      <w:r w:rsidRPr="00D53AA2">
        <w:rPr>
          <w:rFonts w:cs="Times New Roman"/>
          <w:i/>
          <w:lang w:val="fr-CA"/>
        </w:rPr>
        <w:t>R. c. Baldree</w:t>
      </w:r>
      <w:r w:rsidRPr="00D53AA2">
        <w:rPr>
          <w:rFonts w:cs="Times New Roman"/>
          <w:lang w:val="fr-CA"/>
        </w:rPr>
        <w:t xml:space="preserve">, 2013 CSC 35, [2013] 2 R.C.S. 520, par. 36 (en italique dans l’original); voir aussi </w:t>
      </w:r>
      <w:r w:rsidRPr="00D53AA2">
        <w:rPr>
          <w:rFonts w:cs="Times New Roman"/>
          <w:i/>
          <w:lang w:val="fr-CA"/>
        </w:rPr>
        <w:t>Starr</w:t>
      </w:r>
      <w:r w:rsidRPr="00D53AA2">
        <w:rPr>
          <w:rFonts w:cs="Times New Roman"/>
          <w:lang w:val="fr-CA"/>
        </w:rPr>
        <w:t>, par. 162), et non de la question de savoir si la preuve est directe ou circonstancielle. En effet, notre Cour a souligné qu’il n’y a aucune distinction substantielle entre le ouï‑dire exprès et le ouï‑dire implicite (</w:t>
      </w:r>
      <w:r w:rsidRPr="00D53AA2">
        <w:rPr>
          <w:rFonts w:cs="Times New Roman"/>
          <w:i/>
          <w:lang w:val="fr-CA"/>
        </w:rPr>
        <w:t>Baldree</w:t>
      </w:r>
      <w:r w:rsidRPr="00D53AA2">
        <w:rPr>
          <w:rFonts w:cs="Times New Roman"/>
          <w:lang w:val="fr-CA"/>
        </w:rPr>
        <w:t>, par. 5). Si la [</w:t>
      </w:r>
      <w:r w:rsidRPr="00D53AA2">
        <w:rPr>
          <w:rFonts w:cs="Times New Roman"/>
          <w:smallCaps/>
          <w:lang w:val="fr-CA"/>
        </w:rPr>
        <w:t>traduction</w:t>
      </w:r>
      <w:r w:rsidRPr="00D53AA2">
        <w:rPr>
          <w:rFonts w:cs="Times New Roman"/>
          <w:lang w:val="fr-CA"/>
        </w:rPr>
        <w:t xml:space="preserve">] « valeur de la preuve dépend </w:t>
      </w:r>
      <w:r w:rsidRPr="00D53AA2">
        <w:rPr>
          <w:rFonts w:cs="Times New Roman"/>
          <w:lang w:val="fr-CA"/>
        </w:rPr>
        <w:lastRenderedPageBreak/>
        <w:t>de la véracité de l’affirmation faite par l</w:t>
      </w:r>
      <w:proofErr w:type="gramStart"/>
      <w:r w:rsidRPr="00D53AA2">
        <w:rPr>
          <w:rFonts w:cs="Times New Roman"/>
          <w:lang w:val="fr-CA"/>
        </w:rPr>
        <w:t>’[</w:t>
      </w:r>
      <w:proofErr w:type="gramEnd"/>
      <w:r w:rsidRPr="00D53AA2">
        <w:rPr>
          <w:rFonts w:cs="Times New Roman"/>
          <w:lang w:val="fr-CA"/>
        </w:rPr>
        <w:t>auteur de la déclaration], alors les préoccupations classiques relatives au ouï-dire sont présentes » (</w:t>
      </w:r>
      <w:r w:rsidRPr="00D53AA2">
        <w:rPr>
          <w:rFonts w:cs="Times New Roman"/>
          <w:i/>
          <w:lang w:val="fr-CA"/>
        </w:rPr>
        <w:t>Bridgman</w:t>
      </w:r>
      <w:r w:rsidRPr="00D53AA2">
        <w:rPr>
          <w:rFonts w:cs="Times New Roman"/>
          <w:lang w:val="fr-CA"/>
        </w:rPr>
        <w:t>, par. 76). Les motifs du juge du procès entraînent de toute évidence ces préoccupations, parce que la valeur probante de la déclaration de M. Dennehy selon laquelle il se faisait « larguer » dépend de la question de savoir si elle était vraie.</w:t>
      </w:r>
    </w:p>
    <w:p w14:paraId="2EF41F10" w14:textId="77777777" w:rsidR="00D53AA2" w:rsidRPr="00D53AA2" w:rsidRDefault="00D53AA2" w:rsidP="00D53AA2">
      <w:pPr>
        <w:pStyle w:val="ParaNoNdepar-AltN"/>
        <w:rPr>
          <w:rFonts w:cs="Times New Roman"/>
          <w:lang w:val="fr-CA"/>
        </w:rPr>
      </w:pPr>
      <w:r w:rsidRPr="00D53AA2">
        <w:rPr>
          <w:rFonts w:cs="Times New Roman"/>
          <w:lang w:val="fr-CA"/>
        </w:rPr>
        <w:t>Qui plus est, le fait qu’un voir-dire sur le ouï-dire a été tenu plus tôt dans le procès concernant une autre déclaration que M. Dennehy avait faite au téléphone, alertant ainsi le juge du procès relativement à de possibles questions en matière de ouï-dire dans le présent dossier (voir d.a., vol. II, p. 189), ne remédie pas, à lui seul, au recours à la déclaration extrajudiciaire qui ressort clairement des motifs du juge du procès (</w:t>
      </w:r>
      <w:r w:rsidRPr="00D53AA2">
        <w:rPr>
          <w:rFonts w:cs="Times New Roman"/>
          <w:i/>
          <w:lang w:val="fr-CA"/>
        </w:rPr>
        <w:t>contra</w:t>
      </w:r>
      <w:r w:rsidRPr="00D53AA2">
        <w:rPr>
          <w:rFonts w:cs="Times New Roman"/>
          <w:lang w:val="fr-CA"/>
        </w:rPr>
        <w:t>, m.a., par. 80). Le fait que des préoccupations relatives au ouï-dire concernant le témoignage de M</w:t>
      </w:r>
      <w:r w:rsidRPr="00D53AA2">
        <w:rPr>
          <w:rFonts w:cs="Times New Roman"/>
          <w:vertAlign w:val="superscript"/>
          <w:lang w:val="fr-CA"/>
        </w:rPr>
        <w:t>me</w:t>
      </w:r>
      <w:r w:rsidRPr="00D53AA2">
        <w:rPr>
          <w:rFonts w:cs="Times New Roman"/>
          <w:lang w:val="fr-CA"/>
        </w:rPr>
        <w:t xml:space="preserve"> Bull aient été débattues au procès, et qu’en </w:t>
      </w:r>
      <w:proofErr w:type="gramStart"/>
      <w:r w:rsidRPr="00D53AA2">
        <w:rPr>
          <w:rFonts w:cs="Times New Roman"/>
          <w:lang w:val="fr-CA"/>
        </w:rPr>
        <w:t>définitive  certains</w:t>
      </w:r>
      <w:proofErr w:type="gramEnd"/>
      <w:r w:rsidRPr="00D53AA2">
        <w:rPr>
          <w:rFonts w:cs="Times New Roman"/>
          <w:lang w:val="fr-CA"/>
        </w:rPr>
        <w:t xml:space="preserve"> éléments de preuve n’ont pas été admis, a plutôt pour effet de créer une attente que le juge du procès aurait soigneusement justifié son recours à ce que M. Dennehy a relaté à M</w:t>
      </w:r>
      <w:r w:rsidRPr="00D53AA2">
        <w:rPr>
          <w:rFonts w:cs="Times New Roman"/>
          <w:vertAlign w:val="superscript"/>
          <w:lang w:val="fr-CA"/>
        </w:rPr>
        <w:t>me</w:t>
      </w:r>
      <w:r w:rsidRPr="00D53AA2">
        <w:rPr>
          <w:rFonts w:cs="Times New Roman"/>
          <w:lang w:val="fr-CA"/>
        </w:rPr>
        <w:t xml:space="preserve"> Bull au téléphone, s’il avait gardé à l’esprit les préoccupations relatives au ouï-dire lorsqu’il rendait ses motifs.</w:t>
      </w:r>
    </w:p>
    <w:p w14:paraId="66587B9B" w14:textId="77777777" w:rsidR="00D53AA2" w:rsidRPr="00D53AA2" w:rsidRDefault="00D53AA2" w:rsidP="00D53AA2">
      <w:pPr>
        <w:pStyle w:val="ParaNoNdepar-AltN"/>
        <w:rPr>
          <w:rFonts w:cs="Times New Roman"/>
          <w:lang w:val="fr-CA"/>
        </w:rPr>
      </w:pPr>
      <w:r w:rsidRPr="00D53AA2">
        <w:rPr>
          <w:rFonts w:cs="Times New Roman"/>
          <w:lang w:val="fr-CA"/>
        </w:rPr>
        <w:t>En résumé, les motifs suggèrent, à leur face même, que le juge du procès ne s’est pas simplement fondé sur le fait que la déclaration extrajudiciaire avait été faite. Il entendait plutôt se fonder sur le contenu de la déclaration pour en établir la véracité, soit le fait que des gens quittaient M. Dennehy, dans son analyse portant sur l’occasion exclusive.</w:t>
      </w:r>
    </w:p>
    <w:p w14:paraId="6B8ADE7E" w14:textId="77777777" w:rsidR="00D53AA2" w:rsidRPr="00D53AA2" w:rsidRDefault="00D53AA2" w:rsidP="00D53AA2">
      <w:pPr>
        <w:pStyle w:val="Title2LevelTitre2Niveau"/>
        <w:rPr>
          <w:rFonts w:cs="Times New Roman"/>
          <w:lang w:val="fr-CA"/>
        </w:rPr>
      </w:pPr>
      <w:r w:rsidRPr="00D53AA2">
        <w:rPr>
          <w:rFonts w:cs="Times New Roman"/>
          <w:lang w:val="fr-CA"/>
        </w:rPr>
        <w:lastRenderedPageBreak/>
        <w:t xml:space="preserve">Les motifs du juge du procès sont insuffisants pour justifier le recours à la déclaration extrajudiciaire </w:t>
      </w:r>
    </w:p>
    <w:p w14:paraId="49868B46" w14:textId="77777777" w:rsidR="00D53AA2" w:rsidRPr="00D53AA2" w:rsidRDefault="00D53AA2" w:rsidP="00D53AA2">
      <w:pPr>
        <w:pStyle w:val="ParaNoNdepar-AltN"/>
        <w:rPr>
          <w:rFonts w:cs="Times New Roman"/>
          <w:lang w:val="fr-CA"/>
        </w:rPr>
      </w:pPr>
      <w:r w:rsidRPr="00D53AA2">
        <w:rPr>
          <w:rFonts w:cs="Times New Roman"/>
          <w:lang w:val="fr-CA"/>
        </w:rPr>
        <w:t>Cela n’exclut pas pour autant la possibilité que la déclaration ait pu néanmoins avoir une certaine utilité, soit parce que la présomption d’inadmissibilité pouvait être réfutée par une exception à la règle du ouï-dire, soit parce que la déclaration pouvait être utilisée à une fin autre que du ouï-dire qui n’est pas évidente à la lecture des motifs. Cela n’exclut pas non plus la possibilité que le juge du procès aurait pu arriver à la même conclusion sur le moment du départ du groupe à partir d’autres éléments de preuve.</w:t>
      </w:r>
    </w:p>
    <w:p w14:paraId="4999CDE0" w14:textId="77777777" w:rsidR="00D53AA2" w:rsidRPr="00D53AA2" w:rsidRDefault="00D53AA2" w:rsidP="00D53AA2">
      <w:pPr>
        <w:pStyle w:val="ParaNoNdepar-AltN"/>
        <w:rPr>
          <w:rFonts w:cs="Times New Roman"/>
          <w:lang w:val="fr-CA"/>
        </w:rPr>
      </w:pPr>
      <w:r w:rsidRPr="00D53AA2">
        <w:rPr>
          <w:rFonts w:cs="Times New Roman"/>
          <w:lang w:val="fr-CA"/>
        </w:rPr>
        <w:t>La Couronne ne prétend pas que le raisonnement du juge du procès reflète l’une ou l’autre de ces possibilités. Au contraire, [</w:t>
      </w:r>
      <w:r w:rsidRPr="00D53AA2">
        <w:rPr>
          <w:rFonts w:cs="Times New Roman"/>
          <w:smallCaps/>
          <w:lang w:val="fr-CA"/>
        </w:rPr>
        <w:t>traduction</w:t>
      </w:r>
      <w:r w:rsidRPr="00D53AA2">
        <w:rPr>
          <w:rFonts w:cs="Times New Roman"/>
          <w:lang w:val="fr-CA"/>
        </w:rPr>
        <w:t>] « la Couronne a choisi d’adhérer à la thèse voulant que ce n’était pas du ouï-dire » pour le motif que j’ai examiné et rejeté ci-dessus (transcription, p. 9). En particulier, la question de savoir si la déclaration pouvait être admise sur la base d’une exception à la règle du ouï</w:t>
      </w:r>
      <w:r w:rsidRPr="00D53AA2">
        <w:rPr>
          <w:rFonts w:cs="Times New Roman"/>
          <w:lang w:val="fr-CA"/>
        </w:rPr>
        <w:noBreakHyphen/>
        <w:t xml:space="preserve">dire n’a été plaidée ni devant notre Cour ni devant la Cour d’appel. La Couronne soutient, en invoquant l’arrêt de la Cour dans </w:t>
      </w:r>
      <w:r w:rsidRPr="00D53AA2">
        <w:rPr>
          <w:rFonts w:cs="Times New Roman"/>
          <w:i/>
          <w:lang w:val="fr-CA"/>
        </w:rPr>
        <w:t>G.F.</w:t>
      </w:r>
      <w:r w:rsidRPr="00D53AA2">
        <w:rPr>
          <w:rFonts w:cs="Times New Roman"/>
          <w:lang w:val="fr-CA"/>
        </w:rPr>
        <w:t>,</w:t>
      </w:r>
      <w:r w:rsidRPr="00D53AA2">
        <w:rPr>
          <w:rFonts w:cs="Times New Roman"/>
          <w:i/>
          <w:lang w:val="fr-CA"/>
        </w:rPr>
        <w:t xml:space="preserve"> </w:t>
      </w:r>
      <w:r w:rsidRPr="00D53AA2">
        <w:rPr>
          <w:rFonts w:cs="Times New Roman"/>
          <w:lang w:val="fr-CA"/>
        </w:rPr>
        <w:t>par. 78-79, qu’en l’absence d’indications claires du contraire, il y a lieu de présumer que le juge du procès s’est fondé sur la déclaration de manière appropriée. Autrement dit, la seule ambiguïté dans les motifs ne suffit pas à justifier une intervention en appel (m.a., par. 79-80).</w:t>
      </w:r>
    </w:p>
    <w:p w14:paraId="2C7BF539" w14:textId="77777777" w:rsidR="00D53AA2" w:rsidRPr="00D53AA2" w:rsidRDefault="00D53AA2" w:rsidP="00D53AA2">
      <w:pPr>
        <w:pStyle w:val="ParaNoNdepar-AltN"/>
        <w:rPr>
          <w:rFonts w:cs="Times New Roman"/>
          <w:lang w:val="fr-CA"/>
        </w:rPr>
      </w:pPr>
      <w:r w:rsidRPr="00D53AA2">
        <w:rPr>
          <w:rFonts w:cs="Times New Roman"/>
          <w:lang w:val="fr-CA"/>
        </w:rPr>
        <w:t xml:space="preserve">J’ai conclu que les motifs du juge du procès indiquent sans ambiguïté qu’il s’est fondé sur la déclaration extrajudiciaire pour établir la véracité de son contenu. La </w:t>
      </w:r>
      <w:r w:rsidRPr="00D53AA2">
        <w:rPr>
          <w:rFonts w:cs="Times New Roman"/>
          <w:lang w:val="fr-CA"/>
        </w:rPr>
        <w:lastRenderedPageBreak/>
        <w:t>Couronne n’avance aucune thèse à partir de laquelle l’utilisation de la déclaration à des fins de ouï-dire pourrait être justifiée. Toutefois, même en supposant de manière subsidiaire que le juge du procès se soit fondé sur la déclaration parce qu’il l’estimait admissible sur la base d’une exception à la règle du ouï</w:t>
      </w:r>
      <w:r w:rsidRPr="00D53AA2">
        <w:rPr>
          <w:rFonts w:cs="Times New Roman"/>
          <w:lang w:val="fr-CA"/>
        </w:rPr>
        <w:noBreakHyphen/>
        <w:t>dire, ou parce qu’il avait conclu que la déclaration avait une utilité singulière ou inédite non liée au ouï-dire, le raisonnement en appui devrait néanmoins ressortir de la lecture contextuelle de ses motifs. Ce n’est pas le cas ici. Ces raisonnements hypothétiques ne sont absolument pas explicités et ne peuvent être reconstitués de façon intelligible à partir du dossier. L’examen en appel des questions soulevées par ces raisonnements ne serait pas possible et le recours de la Couronne à l’arrêt</w:t>
      </w:r>
      <w:r w:rsidRPr="00D53AA2">
        <w:rPr>
          <w:rFonts w:cs="Times New Roman"/>
          <w:i/>
          <w:lang w:val="fr-CA"/>
        </w:rPr>
        <w:t xml:space="preserve"> G.F.</w:t>
      </w:r>
      <w:r w:rsidRPr="00D53AA2">
        <w:rPr>
          <w:rFonts w:cs="Times New Roman"/>
          <w:lang w:val="fr-CA"/>
        </w:rPr>
        <w:t xml:space="preserve"> est donc mal avisé.</w:t>
      </w:r>
    </w:p>
    <w:p w14:paraId="2A7B664C" w14:textId="77777777" w:rsidR="00D53AA2" w:rsidRPr="00D53AA2" w:rsidRDefault="00D53AA2" w:rsidP="00D53AA2">
      <w:pPr>
        <w:pStyle w:val="ParaNoNdepar-AltN"/>
        <w:rPr>
          <w:rFonts w:cs="Times New Roman"/>
          <w:lang w:val="fr-CA"/>
        </w:rPr>
      </w:pPr>
      <w:r w:rsidRPr="00D53AA2">
        <w:rPr>
          <w:rFonts w:cs="Times New Roman"/>
          <w:lang w:val="fr-CA"/>
        </w:rPr>
        <w:t xml:space="preserve">En résumé, même si le juge du procès avait utilisé la déclaration d’une manière permise par le droit, ses motifs n’expliquent pas </w:t>
      </w:r>
      <w:r w:rsidRPr="00D53AA2">
        <w:rPr>
          <w:rFonts w:cs="Times New Roman"/>
          <w:i/>
          <w:lang w:val="fr-CA"/>
        </w:rPr>
        <w:t>quelle</w:t>
      </w:r>
      <w:r w:rsidRPr="00D53AA2">
        <w:rPr>
          <w:rFonts w:cs="Times New Roman"/>
          <w:lang w:val="fr-CA"/>
        </w:rPr>
        <w:t xml:space="preserve"> était cette exception à la règle du ouï</w:t>
      </w:r>
      <w:r w:rsidRPr="00D53AA2">
        <w:rPr>
          <w:rFonts w:cs="Times New Roman"/>
          <w:lang w:val="fr-CA"/>
        </w:rPr>
        <w:noBreakHyphen/>
        <w:t xml:space="preserve">dire ou cette utilisation de la preuve ne constituant pas du ouï-dire ni </w:t>
      </w:r>
      <w:r w:rsidRPr="00D53AA2">
        <w:rPr>
          <w:rFonts w:cs="Times New Roman"/>
          <w:i/>
          <w:lang w:val="fr-CA"/>
        </w:rPr>
        <w:t>pourquoi</w:t>
      </w:r>
      <w:r w:rsidRPr="00D53AA2">
        <w:rPr>
          <w:rFonts w:cs="Times New Roman"/>
          <w:lang w:val="fr-CA"/>
        </w:rPr>
        <w:t xml:space="preserve"> elle était justifiée, et les réponses à ces questions ne ressortent pas clairement du dossier. Ce problème est particulièrement grave parce que, comme je l’ai expliqué, le recours à la déclaration concernait le moment du départ du groupe, qui était au cœur des motifs du juge du procès pour conclure que M. Saddleback était celui qui avait tué M. Dennehy.</w:t>
      </w:r>
    </w:p>
    <w:p w14:paraId="5B103C3D" w14:textId="77777777" w:rsidR="00D53AA2" w:rsidRPr="00D53AA2" w:rsidRDefault="00D53AA2" w:rsidP="00D53AA2">
      <w:pPr>
        <w:pStyle w:val="ParaNoNdepar-AltN"/>
        <w:rPr>
          <w:rFonts w:cs="Times New Roman"/>
          <w:lang w:val="fr-CA"/>
        </w:rPr>
      </w:pPr>
      <w:r w:rsidRPr="00D53AA2">
        <w:rPr>
          <w:rFonts w:cs="Times New Roman"/>
          <w:lang w:val="fr-CA"/>
        </w:rPr>
        <w:t xml:space="preserve">J’ouvre une parenthèse pour souligner que l’entièreté des motifs rendus oralement pour conclure à la déclaration de culpabilité de M. Saddleback pour meurtre au second degré tient en un peu plus de quatre pages transcrites au dossier. La </w:t>
      </w:r>
      <w:r w:rsidRPr="00D53AA2">
        <w:rPr>
          <w:rFonts w:cs="Times New Roman"/>
          <w:lang w:val="fr-CA"/>
        </w:rPr>
        <w:lastRenderedPageBreak/>
        <w:t xml:space="preserve">suffisance des motifs doit toujours être évaluée de manière fonctionnelle et contextuelle (voir </w:t>
      </w:r>
      <w:r w:rsidRPr="00D53AA2">
        <w:rPr>
          <w:rFonts w:cs="Times New Roman"/>
          <w:i/>
          <w:lang w:val="fr-CA"/>
        </w:rPr>
        <w:t>G.F.</w:t>
      </w:r>
      <w:r w:rsidRPr="00D53AA2">
        <w:rPr>
          <w:rFonts w:cs="Times New Roman"/>
          <w:lang w:val="fr-CA"/>
        </w:rPr>
        <w:t>, par. 69). Toutefois, des motifs si courts dans une affaire de meurtre impliquant plusieurs experts en criminalistique et des témoignages contradictoires de témoins jugés généralement non fiables sur des points de détail sont difficiles à concilier avec les objectifs d’assurer la transparence du processus décisionnel et de permettre aux observateurs de constater que justice a été rendue (voir par. 68).</w:t>
      </w:r>
    </w:p>
    <w:p w14:paraId="18E3C6B4" w14:textId="77777777" w:rsidR="00D53AA2" w:rsidRPr="00D53AA2" w:rsidRDefault="00D53AA2" w:rsidP="00D53AA2">
      <w:pPr>
        <w:pStyle w:val="ParaNoNdepar-AltN"/>
        <w:rPr>
          <w:rFonts w:cs="Times New Roman"/>
          <w:lang w:val="fr-CA"/>
        </w:rPr>
      </w:pPr>
      <w:r w:rsidRPr="00D53AA2">
        <w:rPr>
          <w:rFonts w:cs="Times New Roman"/>
          <w:lang w:val="fr-CA"/>
        </w:rPr>
        <w:t>En conclusion, à leur face même, les motifs visent à s’appuyer sur une déclaration extrajudiciaire pour établir la véracité de son contenu. Même si le juge du procès aurait pu justifier son recours à la déclaration extrajudiciaire, les motifs qu’il a rendus sont insuffisants à cette fin, au vu du dossier.</w:t>
      </w:r>
    </w:p>
    <w:p w14:paraId="754AB95C" w14:textId="77777777" w:rsidR="00D53AA2" w:rsidRPr="00D53AA2" w:rsidRDefault="00D53AA2" w:rsidP="00D53AA2">
      <w:pPr>
        <w:pStyle w:val="Title2LevelTitre2Niveau"/>
        <w:rPr>
          <w:rFonts w:cs="Times New Roman"/>
          <w:lang w:val="fr-CA"/>
        </w:rPr>
      </w:pPr>
      <w:r w:rsidRPr="00D53AA2">
        <w:rPr>
          <w:rFonts w:cs="Times New Roman"/>
          <w:lang w:val="fr-CA"/>
        </w:rPr>
        <w:t>Un nouveau procès est nécessaire</w:t>
      </w:r>
    </w:p>
    <w:p w14:paraId="4EB5F3AF" w14:textId="77777777" w:rsidR="00D53AA2" w:rsidRPr="00D53AA2" w:rsidRDefault="00D53AA2" w:rsidP="00D53AA2">
      <w:pPr>
        <w:pStyle w:val="ParaNoNdepar-AltN"/>
        <w:rPr>
          <w:rFonts w:cs="Times New Roman"/>
          <w:lang w:val="fr-CA"/>
        </w:rPr>
      </w:pPr>
      <w:r w:rsidRPr="00D53AA2">
        <w:rPr>
          <w:rFonts w:cs="Times New Roman"/>
          <w:lang w:val="fr-CA"/>
        </w:rPr>
        <w:t xml:space="preserve">Une erreur de droit est présumée être préjudiciable à l’accusé, et il incombe à la Couronne de démontrer l’absence de préjudice en vertu de la disposition réparatrice (voir </w:t>
      </w:r>
      <w:r w:rsidRPr="00D53AA2">
        <w:rPr>
          <w:rFonts w:cs="Times New Roman"/>
          <w:i/>
          <w:lang w:val="fr-CA"/>
        </w:rPr>
        <w:t>R. c. Tayo Tompouba</w:t>
      </w:r>
      <w:r w:rsidRPr="00D53AA2">
        <w:rPr>
          <w:rFonts w:cs="Times New Roman"/>
          <w:lang w:val="fr-CA"/>
        </w:rPr>
        <w:t xml:space="preserve">, 2024 CSC 16, par. 57-58 et 64). Vu la position adoptée par la Couronne, la disposition réparatrice ne s’applique pas en l’espèce. </w:t>
      </w:r>
    </w:p>
    <w:p w14:paraId="355264C1" w14:textId="77777777" w:rsidR="00D53AA2" w:rsidRPr="00D53AA2" w:rsidRDefault="00D53AA2" w:rsidP="00D53AA2">
      <w:pPr>
        <w:pStyle w:val="ParaNoNdepar-AltN"/>
        <w:rPr>
          <w:rFonts w:cs="Times New Roman"/>
          <w:lang w:val="fr-CA"/>
        </w:rPr>
      </w:pPr>
      <w:r w:rsidRPr="00D53AA2">
        <w:rPr>
          <w:rFonts w:cs="Times New Roman"/>
          <w:lang w:val="fr-CA"/>
        </w:rPr>
        <w:t xml:space="preserve">La portée du pourvoi de plein droit formé par la Couronne est limitée à la question du ouï-dire à l’égard de laquelle il y a eu dissidence à la Cour d’appel et à des matières qu’on peut qualifier d’inextricablement liées à cette question, comme </w:t>
      </w:r>
      <w:bookmarkStart w:id="11" w:name="_Hlk229039386"/>
      <w:r w:rsidRPr="00D53AA2">
        <w:rPr>
          <w:rFonts w:cs="Times New Roman"/>
          <w:lang w:val="fr-CA"/>
        </w:rPr>
        <w:t>«</w:t>
      </w:r>
      <w:bookmarkEnd w:id="11"/>
      <w:r w:rsidRPr="00D53AA2">
        <w:rPr>
          <w:rFonts w:cs="Times New Roman"/>
          <w:lang w:val="fr-CA"/>
        </w:rPr>
        <w:t> la question de savoir si [l</w:t>
      </w:r>
      <w:proofErr w:type="gramStart"/>
      <w:r w:rsidRPr="00D53AA2">
        <w:rPr>
          <w:rFonts w:cs="Times New Roman"/>
          <w:lang w:val="fr-CA"/>
        </w:rPr>
        <w:t>’]erreur</w:t>
      </w:r>
      <w:proofErr w:type="gramEnd"/>
      <w:r w:rsidRPr="00D53AA2">
        <w:rPr>
          <w:rFonts w:cs="Times New Roman"/>
          <w:lang w:val="fr-CA"/>
        </w:rPr>
        <w:t xml:space="preserve"> de droit [. . .] est grave au point de justifier l’annulation </w:t>
      </w:r>
      <w:r w:rsidRPr="00D53AA2">
        <w:rPr>
          <w:rFonts w:cs="Times New Roman"/>
          <w:lang w:val="fr-CA"/>
        </w:rPr>
        <w:lastRenderedPageBreak/>
        <w:t>du verdict prononcé au procès </w:t>
      </w:r>
      <w:bookmarkStart w:id="12" w:name="_Hlk229039398"/>
      <w:r w:rsidRPr="00D53AA2">
        <w:rPr>
          <w:rFonts w:cs="Times New Roman"/>
          <w:lang w:val="fr-CA"/>
        </w:rPr>
        <w:t>»</w:t>
      </w:r>
      <w:bookmarkEnd w:id="12"/>
      <w:r w:rsidRPr="00D53AA2">
        <w:rPr>
          <w:rFonts w:cs="Times New Roman"/>
          <w:lang w:val="fr-CA"/>
        </w:rPr>
        <w:t xml:space="preserve"> (</w:t>
      </w:r>
      <w:r w:rsidRPr="00D53AA2">
        <w:rPr>
          <w:rFonts w:cs="Times New Roman"/>
          <w:i/>
          <w:lang w:val="fr-CA"/>
        </w:rPr>
        <w:t>R. c. Keegstra</w:t>
      </w:r>
      <w:r w:rsidRPr="00D53AA2">
        <w:rPr>
          <w:rFonts w:cs="Times New Roman"/>
          <w:lang w:val="fr-CA"/>
        </w:rPr>
        <w:t xml:space="preserve">, [1995] 2 R.C.S. 381, par. 31; voir al. 693(1)a) du </w:t>
      </w:r>
      <w:r w:rsidRPr="00D53AA2">
        <w:rPr>
          <w:rFonts w:cs="Times New Roman"/>
          <w:i/>
          <w:lang w:val="fr-CA"/>
        </w:rPr>
        <w:t>Code criminel</w:t>
      </w:r>
      <w:r w:rsidRPr="00D53AA2">
        <w:rPr>
          <w:rFonts w:cs="Times New Roman"/>
          <w:lang w:val="fr-CA"/>
        </w:rPr>
        <w:t>).</w:t>
      </w:r>
    </w:p>
    <w:p w14:paraId="34F01455" w14:textId="77777777" w:rsidR="00D53AA2" w:rsidRPr="00D53AA2" w:rsidRDefault="00D53AA2" w:rsidP="00D53AA2">
      <w:pPr>
        <w:pStyle w:val="ParaNoNdepar-AltN"/>
        <w:rPr>
          <w:rFonts w:cs="Times New Roman"/>
          <w:lang w:val="fr-CA"/>
        </w:rPr>
      </w:pPr>
      <w:r w:rsidRPr="00D53AA2">
        <w:rPr>
          <w:rFonts w:cs="Times New Roman"/>
          <w:lang w:val="fr-CA"/>
        </w:rPr>
        <w:t xml:space="preserve">La Couronne n’a invoqué la disposition réparatrice ni devant la Cour d’appel ni devant notre Cour. Invitée à exposer sa position à l’audience, la Couronne a confirmé qu’elle n’avait pas invoqué la disposition réparatrice devant la juridiction inférieure et qu’elle n’entendait pas l’invoquer (voir transcription, p. 9 et 16; voir aussi les motifs de la C.A., par. 18). La Couronne n’a jamais plaidé, même de manière implicite, qu’il ne s’est produit aucun tort important ou aucune une erreur judiciaire grave ou encore que la preuve de la culpabilité </w:t>
      </w:r>
      <w:proofErr w:type="gramStart"/>
      <w:r w:rsidRPr="00D53AA2">
        <w:rPr>
          <w:rFonts w:cs="Times New Roman"/>
          <w:lang w:val="fr-CA"/>
        </w:rPr>
        <w:t>est</w:t>
      </w:r>
      <w:proofErr w:type="gramEnd"/>
      <w:r w:rsidRPr="00D53AA2">
        <w:rPr>
          <w:rFonts w:cs="Times New Roman"/>
          <w:lang w:val="fr-CA"/>
        </w:rPr>
        <w:t xml:space="preserve"> à ce point accablante que le verdict aurait été le même en l’absence de l’erreur (comparer </w:t>
      </w:r>
      <w:r w:rsidRPr="00D53AA2">
        <w:rPr>
          <w:rFonts w:cs="Times New Roman"/>
          <w:i/>
          <w:lang w:val="fr-CA"/>
        </w:rPr>
        <w:t>R. c. Samaniego</w:t>
      </w:r>
      <w:r w:rsidRPr="00D53AA2">
        <w:rPr>
          <w:rFonts w:cs="Times New Roman"/>
          <w:lang w:val="fr-CA"/>
        </w:rPr>
        <w:t>, 2022 CSC 9, [2022] 1 R.C.S. 71, par. 66).</w:t>
      </w:r>
    </w:p>
    <w:p w14:paraId="7948E102" w14:textId="77777777" w:rsidR="00D53AA2" w:rsidRPr="00D53AA2" w:rsidRDefault="00D53AA2" w:rsidP="00D53AA2">
      <w:pPr>
        <w:pStyle w:val="ParaNoNdepar-AltN"/>
        <w:rPr>
          <w:rFonts w:cs="Times New Roman"/>
          <w:lang w:val="fr-CA"/>
        </w:rPr>
      </w:pPr>
      <w:r w:rsidRPr="00D53AA2">
        <w:rPr>
          <w:rFonts w:cs="Times New Roman"/>
          <w:lang w:val="fr-CA"/>
        </w:rPr>
        <w:t xml:space="preserve">La Cour ne peut appliquer la disposition réparatrice de son propre chef (voir </w:t>
      </w:r>
      <w:r w:rsidRPr="00D53AA2">
        <w:rPr>
          <w:rFonts w:cs="Times New Roman"/>
          <w:i/>
          <w:lang w:val="fr-CA"/>
        </w:rPr>
        <w:t>Tayo Tompouba</w:t>
      </w:r>
      <w:r w:rsidRPr="00D53AA2">
        <w:rPr>
          <w:rFonts w:cs="Times New Roman"/>
          <w:lang w:val="fr-CA"/>
        </w:rPr>
        <w:t>, par. 104). La disposition doit être invoquée, ne serait-ce qu’implicitement, par la Couronne dont l’exercice du pouvoir discrétionnaire de ne pas invoquer la disposition réparatrice doit être respecté (par. 104-105). Notre Cour n’a donc pas le pouvoir d’examiner si la tenue d’un nouveau procès aurait pu être évitée en l’espèce par application de la disposition réparatrice.</w:t>
      </w:r>
    </w:p>
    <w:p w14:paraId="7BED0BA6" w14:textId="77777777" w:rsidR="00D53AA2" w:rsidRPr="00D53AA2" w:rsidRDefault="00D53AA2" w:rsidP="00D53AA2">
      <w:pPr>
        <w:pStyle w:val="Title1LevelTitre1Niveau-AltL"/>
        <w:rPr>
          <w:rFonts w:cs="Times New Roman"/>
          <w:lang w:val="fr-CA"/>
        </w:rPr>
      </w:pPr>
      <w:bookmarkStart w:id="13" w:name="_Toc219560099"/>
      <w:r w:rsidRPr="00D53AA2">
        <w:rPr>
          <w:rFonts w:cs="Times New Roman"/>
          <w:lang w:val="fr-CA"/>
        </w:rPr>
        <w:t>Dispositi</w:t>
      </w:r>
      <w:bookmarkEnd w:id="13"/>
      <w:r w:rsidRPr="00D53AA2">
        <w:rPr>
          <w:rFonts w:cs="Times New Roman"/>
          <w:lang w:val="fr-CA"/>
        </w:rPr>
        <w:t>f</w:t>
      </w:r>
    </w:p>
    <w:p w14:paraId="4FE4DE4F" w14:textId="77777777" w:rsidR="00D53AA2" w:rsidRPr="00D53AA2" w:rsidRDefault="00D53AA2" w:rsidP="00D53AA2">
      <w:pPr>
        <w:pStyle w:val="ParaNoNdepar-AltN"/>
        <w:rPr>
          <w:rFonts w:cs="Times New Roman"/>
          <w:lang w:val="fr-CA"/>
        </w:rPr>
      </w:pPr>
      <w:r w:rsidRPr="00D53AA2">
        <w:rPr>
          <w:rFonts w:cs="Times New Roman"/>
          <w:lang w:val="fr-CA"/>
        </w:rPr>
        <w:t>Le pourvoi devrait être rejeté, sans dépens.</w:t>
      </w:r>
    </w:p>
    <w:p w14:paraId="1A31520C" w14:textId="77777777" w:rsidR="00D53AA2" w:rsidRPr="00D53AA2" w:rsidRDefault="00D53AA2" w:rsidP="00D53AA2">
      <w:pPr>
        <w:tabs>
          <w:tab w:val="left" w:pos="1134"/>
        </w:tabs>
        <w:spacing w:after="480" w:line="480" w:lineRule="auto"/>
        <w:ind w:firstLine="12"/>
        <w:jc w:val="both"/>
        <w:rPr>
          <w:lang w:val="fr-CA"/>
        </w:rPr>
      </w:pPr>
      <w:r w:rsidRPr="00932CAA">
        <w:rPr>
          <w:lang w:val="fr-CA"/>
        </w:rPr>
        <w:lastRenderedPageBreak/>
        <w:tab/>
      </w:r>
      <w:r w:rsidRPr="00D53AA2">
        <w:rPr>
          <w:lang w:val="fr-CA"/>
        </w:rPr>
        <w:t>Version française des motifs rendus par</w:t>
      </w:r>
    </w:p>
    <w:p w14:paraId="71254590" w14:textId="77777777" w:rsidR="00D53AA2" w:rsidRPr="00D53AA2" w:rsidRDefault="00D53AA2" w:rsidP="00932CAA">
      <w:pPr>
        <w:pStyle w:val="JudgeJuge"/>
        <w:tabs>
          <w:tab w:val="clear" w:pos="1166"/>
          <w:tab w:val="left" w:pos="1134"/>
        </w:tabs>
        <w:spacing w:before="240" w:after="720" w:line="240" w:lineRule="auto"/>
        <w:rPr>
          <w:lang w:val="fr-CA"/>
        </w:rPr>
      </w:pPr>
      <w:r w:rsidRPr="00D53AA2">
        <w:rPr>
          <w:lang w:val="fr-CA"/>
        </w:rPr>
        <w:tab/>
        <w:t xml:space="preserve">La juge Côté — </w:t>
      </w:r>
    </w:p>
    <w:p w14:paraId="3DEA8FC9" w14:textId="77777777" w:rsidR="00D53AA2" w:rsidRPr="00932CAA" w:rsidRDefault="00D53AA2" w:rsidP="00932CAA">
      <w:pPr>
        <w:pStyle w:val="Title1LevelTitre1Niveau-AltL"/>
        <w:numPr>
          <w:ilvl w:val="0"/>
          <w:numId w:val="6"/>
        </w:numPr>
        <w:rPr>
          <w:rFonts w:cs="Times New Roman"/>
          <w:lang w:val="fr-CA"/>
        </w:rPr>
      </w:pPr>
      <w:r w:rsidRPr="00932CAA">
        <w:rPr>
          <w:rFonts w:cs="Times New Roman"/>
          <w:lang w:val="fr-CA"/>
        </w:rPr>
        <w:t>Aperçu</w:t>
      </w:r>
    </w:p>
    <w:p w14:paraId="6A9AF034" w14:textId="77777777" w:rsidR="00D53AA2" w:rsidRPr="00D53AA2" w:rsidRDefault="00D53AA2" w:rsidP="00D53AA2">
      <w:pPr>
        <w:pStyle w:val="ParaNoNdepar-AltN"/>
        <w:rPr>
          <w:rFonts w:cs="Times New Roman"/>
          <w:lang w:val="fr-CA"/>
        </w:rPr>
      </w:pPr>
      <w:r w:rsidRPr="00D53AA2">
        <w:rPr>
          <w:rFonts w:cs="Times New Roman"/>
          <w:lang w:val="fr-CA"/>
        </w:rPr>
        <w:t>J’ai eu l’occasion de lire les motifs de ma collègue pour rejeter le pourvoi de la Couronne et confirmer le jugement des juges majoritaires de la Cour d’appel de l’Alberta. Avec égards, j’exprime ma dissidence. Pour les motifs qui suivent, je suis d’avis que le juge du procès ne s’est pas appuyé sur la véracité du contenu de la déclaration extrajudiciaire de Joshua Dennehy. J’accueillerais par conséquent le pourvoi de la Couronne, j’annulerais le jugement de la Cour d’appel et je rétablirais la déclaration de culpabilité de l’intimé, Dylon Saddleback, pour meurtre au deuxième degré.</w:t>
      </w:r>
    </w:p>
    <w:p w14:paraId="54FDE118" w14:textId="77777777" w:rsidR="00D53AA2" w:rsidRPr="00D53AA2" w:rsidRDefault="00D53AA2" w:rsidP="00D53AA2">
      <w:pPr>
        <w:pStyle w:val="ParaNoNdepar-AltN"/>
        <w:rPr>
          <w:rFonts w:cs="Times New Roman"/>
          <w:lang w:val="fr-CA"/>
        </w:rPr>
      </w:pPr>
      <w:r w:rsidRPr="00D53AA2">
        <w:rPr>
          <w:rFonts w:cs="Times New Roman"/>
          <w:lang w:val="fr-CA"/>
        </w:rPr>
        <w:t xml:space="preserve">Je rejetterais aussi les deux motifs qu’invoque M. Saddleback dans son mémoire à l’appui du jugement de la juridiction inférieure. Premièrement, bien que les motifs du juge du procès soient brefs, ils ne sont pas fragmentaires au point d’être insuffisants. Lus de manière fonctionnelle et au vu du dossier de première instance, les motifs nous permettent de comprendre aisément le « comment » et le « pourquoi » de sa décision. Il n’y a donc pas d’entrave à l’examen en appel et, par conséquent, ce motif doit être écarté. Deuxièmement, une analyse approfondie de la déposition des témoins et des motifs du juge du procès ne révèle aucune interprétation erronée de la preuve. En ce qui concerne ce dernier motif, M. Saddleback exprime essentiellement son </w:t>
      </w:r>
      <w:r w:rsidRPr="00D53AA2">
        <w:rPr>
          <w:rFonts w:cs="Times New Roman"/>
          <w:lang w:val="fr-CA"/>
        </w:rPr>
        <w:lastRenderedPageBreak/>
        <w:t>désaccord avec l’appréciation de la preuve par le juge du procès. Ultimement, cependant, il est incapable de montrer du doigt quelque faille fondamentale que ce soit dans le raisonnement du juge du procès.</w:t>
      </w:r>
    </w:p>
    <w:p w14:paraId="2AB12645" w14:textId="77777777" w:rsidR="00D53AA2" w:rsidRPr="00D53AA2" w:rsidRDefault="00D53AA2" w:rsidP="00D53AA2">
      <w:pPr>
        <w:pStyle w:val="Title1LevelTitre1Niveau-AltL"/>
        <w:rPr>
          <w:rFonts w:cs="Times New Roman"/>
          <w:lang w:val="fr-CA"/>
        </w:rPr>
      </w:pPr>
      <w:r w:rsidRPr="00D53AA2">
        <w:rPr>
          <w:rFonts w:cs="Times New Roman"/>
          <w:lang w:val="fr-CA"/>
        </w:rPr>
        <w:t xml:space="preserve">Le juge du procès ne s’est pas appuyé sur la déclaration extrajudiciaire de M. Dennehy à une fin de ouï-dire non permise </w:t>
      </w:r>
    </w:p>
    <w:p w14:paraId="6915E2A8" w14:textId="77777777" w:rsidR="00D53AA2" w:rsidRPr="00D53AA2" w:rsidRDefault="00D53AA2" w:rsidP="00D53AA2">
      <w:pPr>
        <w:pStyle w:val="ParaNoNdepar-AltN"/>
        <w:rPr>
          <w:rFonts w:cs="Times New Roman"/>
          <w:lang w:val="fr-CA"/>
        </w:rPr>
      </w:pPr>
      <w:r w:rsidRPr="00D53AA2">
        <w:rPr>
          <w:rFonts w:cs="Times New Roman"/>
          <w:lang w:val="fr-CA"/>
        </w:rPr>
        <w:t>Je suis globalement d’accord avec le résumé de ma collègue en ce qui a trait aux faits et aux décisions des juridictions inférieures. Par conséquent, je tâcherai de limiter mes commentaires concernant le moyen d’appel fondé sur le ouï-dire à la source de notre désaccord. Je précise aussi d’emblée qu’il n’y a pas de désaccord véritable en ce qui concerne le droit régissant le ouï-dire. Notre désaccord porte plutôt sur les conclusions pouvant être tirées des motifs du juge du procès quant à l’utilisation précise qu’il a faite de la preuve. Contrairement à ma collègue, je crois que la déclaration extrajudiciaire de M. Dennehy selon laquelle des gens quittaient n’a pas été utilisée pour la véracité de son contenu, mais qu’elle a plutôt servi à l’appréciation de la fiabilité par le juge du procès. Bien que les motifs du juge du procès puissent laisser entrevoir un certain degré d’ambiguïté, ses commentaires relatifs au témoignage de Delayna Bull et à la déclaration de M. Dennehy ne devraient pas être interprétés comme étant un recours non permis à cette déclaration à une fin de ouï-dire.</w:t>
      </w:r>
    </w:p>
    <w:p w14:paraId="07A52CB6" w14:textId="77777777" w:rsidR="00D53AA2" w:rsidRPr="00D53AA2" w:rsidRDefault="00D53AA2" w:rsidP="00D53AA2">
      <w:pPr>
        <w:pStyle w:val="ParaNoNdepar-AltN"/>
        <w:rPr>
          <w:rFonts w:cs="Times New Roman"/>
          <w:lang w:val="fr-CA"/>
        </w:rPr>
      </w:pPr>
      <w:r w:rsidRPr="00D53AA2">
        <w:rPr>
          <w:rFonts w:cs="Times New Roman"/>
          <w:lang w:val="fr-CA"/>
        </w:rPr>
        <w:t>Il ne faut pas oublier, comme le mentionne à juste titre ma collègue, que les juges du procès sont censés connaître le droit et l’appliquer correctement (</w:t>
      </w:r>
      <w:r w:rsidRPr="00D53AA2">
        <w:rPr>
          <w:rFonts w:cs="Times New Roman"/>
          <w:i/>
          <w:lang w:val="fr-CA"/>
        </w:rPr>
        <w:t>R. c. G.F.</w:t>
      </w:r>
      <w:r w:rsidRPr="00D53AA2">
        <w:rPr>
          <w:rFonts w:cs="Times New Roman"/>
          <w:lang w:val="fr-CA"/>
        </w:rPr>
        <w:t xml:space="preserve">, 2021 CSC 20, [2021] 1 R.C.S. 801, par. 74). Ainsi, lorsque « les motifs du juge du </w:t>
      </w:r>
      <w:r w:rsidRPr="00D53AA2">
        <w:rPr>
          <w:rFonts w:cs="Times New Roman"/>
          <w:lang w:val="fr-CA"/>
        </w:rPr>
        <w:lastRenderedPageBreak/>
        <w:t xml:space="preserve">procès se prêtent à de multiples interprétations, celles qui sont compatibles avec la présomption d’application correcte doivent être préférées à celles qui laissent entrevoir une erreur » (par. 79). Lorsqu’elle analyse une supposée erreur, une cour de révision « doit être rigoureuse dans son appréciation, en examinant les motifs qui posent problème </w:t>
      </w:r>
      <w:r w:rsidRPr="00D53AA2">
        <w:rPr>
          <w:rFonts w:cs="Times New Roman"/>
          <w:u w:val="single"/>
          <w:lang w:val="fr-CA"/>
        </w:rPr>
        <w:t>dans le contexte de l’ensemble du dossier</w:t>
      </w:r>
      <w:r w:rsidRPr="00D53AA2">
        <w:rPr>
          <w:rFonts w:cs="Times New Roman"/>
          <w:lang w:val="fr-CA"/>
        </w:rPr>
        <w:t xml:space="preserve"> et en établissant si le juge du procès a commis ou non une erreur ou s’il y a eu entrave à l’examen en appel » (par. 79 (je souligne)). En l’espèce, ces présomptions doivent influer sur notre analyse des commentaires du juge du procès qui ont trait à la question du ouï-dire.</w:t>
      </w:r>
    </w:p>
    <w:p w14:paraId="66B1083F" w14:textId="77777777" w:rsidR="00D53AA2" w:rsidRPr="00D53AA2" w:rsidRDefault="00D53AA2" w:rsidP="00D53AA2">
      <w:pPr>
        <w:pStyle w:val="ParaNoNdepar-AltN"/>
        <w:rPr>
          <w:rFonts w:cs="Times New Roman"/>
          <w:lang w:val="fr-CA"/>
        </w:rPr>
      </w:pPr>
      <w:r w:rsidRPr="00D53AA2">
        <w:rPr>
          <w:rFonts w:cs="Times New Roman"/>
          <w:lang w:val="fr-CA"/>
        </w:rPr>
        <w:t>Un examen du dossier m’amène à conclure que le juge du procès ne s’est pas appuyé sur la véracité du contenu de la déclaration extrajudiciaire de M. Dennehy. Je reconnais que, à première vue, les commentaires du juge du procès à l’égard du témoignage de M</w:t>
      </w:r>
      <w:r w:rsidRPr="00D53AA2">
        <w:rPr>
          <w:rFonts w:cs="Times New Roman"/>
          <w:vertAlign w:val="superscript"/>
          <w:lang w:val="fr-CA"/>
        </w:rPr>
        <w:t>me</w:t>
      </w:r>
      <w:r w:rsidRPr="00D53AA2">
        <w:rPr>
          <w:rFonts w:cs="Times New Roman"/>
          <w:lang w:val="fr-CA"/>
        </w:rPr>
        <w:t xml:space="preserve"> Bull et de la déclaration de M. Dennehy peuvent paraître problématiques. Toutefois, une lecture de ses motifs dans leur ensemble et au vu du dossier en entier suffit à dissiper tout doute quant à la question de savoir s’il a fait une utilisation non permise de la déclaration de M. Dennehy.</w:t>
      </w:r>
    </w:p>
    <w:p w14:paraId="309659B1" w14:textId="77777777" w:rsidR="00D53AA2" w:rsidRPr="00D53AA2" w:rsidRDefault="00D53AA2" w:rsidP="00D53AA2">
      <w:pPr>
        <w:pStyle w:val="ParaNoNdepar-AltN"/>
        <w:rPr>
          <w:rFonts w:cs="Times New Roman"/>
          <w:lang w:val="fr-CA"/>
        </w:rPr>
      </w:pPr>
      <w:r w:rsidRPr="00D53AA2">
        <w:rPr>
          <w:rFonts w:cs="Times New Roman"/>
          <w:lang w:val="fr-CA"/>
        </w:rPr>
        <w:t xml:space="preserve">Tout d’abord, le juge du procès était entièrement conscient du fait que la déclaration extrajudiciaire de M. Dennehy selon laquelle des gens quittaient serait inadmissible afin de prouver la véracité du contenu de telle déclaration. Cela ressort en partie de l’échange final entre le juge du procès et les avocats au terme du </w:t>
      </w:r>
      <w:r w:rsidRPr="00D53AA2">
        <w:rPr>
          <w:rFonts w:cs="Times New Roman"/>
          <w:iCs/>
          <w:lang w:val="fr-CA"/>
        </w:rPr>
        <w:t>voir-dire concernant l’admissibilité de la déclaration extrajudiciaire de M. Dennehy au sujet de qui était présent à la roulotte :</w:t>
      </w:r>
    </w:p>
    <w:p w14:paraId="12FB97FF" w14:textId="77777777" w:rsidR="00D53AA2" w:rsidRPr="00D53AA2" w:rsidRDefault="00D53AA2" w:rsidP="00D53AA2">
      <w:pPr>
        <w:pStyle w:val="Citation-AltC"/>
        <w:spacing w:after="240"/>
        <w:ind w:left="4321" w:hanging="3153"/>
        <w:contextualSpacing w:val="0"/>
        <w:rPr>
          <w:lang w:val="fr-CA"/>
        </w:rPr>
      </w:pPr>
      <w:r w:rsidRPr="00D53AA2">
        <w:rPr>
          <w:lang w:val="fr-CA"/>
        </w:rPr>
        <w:lastRenderedPageBreak/>
        <w:t>[</w:t>
      </w:r>
      <w:r w:rsidRPr="00D53AA2">
        <w:rPr>
          <w:smallCaps/>
          <w:lang w:val="fr-CA"/>
        </w:rPr>
        <w:t>traduction</w:t>
      </w:r>
      <w:r w:rsidRPr="00D53AA2">
        <w:rPr>
          <w:lang w:val="fr-CA"/>
        </w:rPr>
        <w:t>]</w:t>
      </w:r>
    </w:p>
    <w:p w14:paraId="5902CA0E" w14:textId="77777777" w:rsidR="00D53AA2" w:rsidRPr="00D53AA2" w:rsidRDefault="00D53AA2" w:rsidP="00D53AA2">
      <w:pPr>
        <w:pStyle w:val="Citation-AltC"/>
        <w:spacing w:after="240"/>
        <w:ind w:left="5041" w:hanging="3873"/>
        <w:contextualSpacing w:val="0"/>
        <w:rPr>
          <w:lang w:val="fr-CA"/>
        </w:rPr>
      </w:pPr>
      <w:r w:rsidRPr="00D53AA2">
        <w:rPr>
          <w:lang w:val="fr-CA"/>
        </w:rPr>
        <w:t>[AVOCAT DE LA DÉFENSE] :</w:t>
      </w:r>
      <w:r w:rsidRPr="00D53AA2">
        <w:rPr>
          <w:lang w:val="fr-CA"/>
        </w:rPr>
        <w:tab/>
        <w:t xml:space="preserve">Ok. </w:t>
      </w:r>
      <w:r w:rsidRPr="00D53AA2">
        <w:rPr>
          <w:u w:val="single"/>
          <w:lang w:val="fr-CA"/>
        </w:rPr>
        <w:t>Ce qui a été dit pendant le court voir-dire à propos d’autres personnes présentes</w:t>
      </w:r>
      <w:r w:rsidRPr="00D53AA2">
        <w:rPr>
          <w:lang w:val="fr-CA"/>
        </w:rPr>
        <w:t>, je ne crois pas que ce soit admissible. Ce n’est que du ouï-dire --</w:t>
      </w:r>
    </w:p>
    <w:p w14:paraId="5B0E72AC" w14:textId="77777777" w:rsidR="00D53AA2" w:rsidRPr="00D53AA2" w:rsidRDefault="00D53AA2" w:rsidP="00D53AA2">
      <w:pPr>
        <w:pStyle w:val="Citation-AltC"/>
        <w:spacing w:after="240"/>
        <w:ind w:left="5036" w:hanging="3870"/>
        <w:contextualSpacing w:val="0"/>
        <w:rPr>
          <w:lang w:val="fr-CA"/>
        </w:rPr>
      </w:pPr>
      <w:r w:rsidRPr="00D53AA2">
        <w:rPr>
          <w:lang w:val="fr-CA"/>
        </w:rPr>
        <w:t>LA COUR :</w:t>
      </w:r>
      <w:r w:rsidRPr="00D53AA2">
        <w:rPr>
          <w:lang w:val="fr-CA"/>
        </w:rPr>
        <w:tab/>
        <w:t>Ce n’est pas ce que veut votre collègue de toute façon.</w:t>
      </w:r>
    </w:p>
    <w:p w14:paraId="5452066D" w14:textId="77777777" w:rsidR="00D53AA2" w:rsidRPr="00D53AA2" w:rsidRDefault="00D53AA2" w:rsidP="00D53AA2">
      <w:pPr>
        <w:pStyle w:val="Citation-AltC"/>
        <w:spacing w:after="240"/>
        <w:contextualSpacing w:val="0"/>
        <w:rPr>
          <w:lang w:val="fr-CA"/>
        </w:rPr>
      </w:pPr>
      <w:r w:rsidRPr="00D53AA2">
        <w:rPr>
          <w:lang w:val="fr-CA"/>
        </w:rPr>
        <w:t>[AVOCAT DE LA DÉFENSE] :</w:t>
      </w:r>
      <w:r w:rsidRPr="00D53AA2">
        <w:rPr>
          <w:lang w:val="fr-CA"/>
        </w:rPr>
        <w:tab/>
        <w:t>Ouais.</w:t>
      </w:r>
    </w:p>
    <w:p w14:paraId="69CD6A8C" w14:textId="77777777" w:rsidR="00D53AA2" w:rsidRPr="00D53AA2" w:rsidRDefault="00D53AA2" w:rsidP="00D53AA2">
      <w:pPr>
        <w:pStyle w:val="Citation-AltC"/>
        <w:spacing w:after="240"/>
        <w:ind w:left="1886" w:firstLine="274"/>
        <w:contextualSpacing w:val="0"/>
        <w:jc w:val="center"/>
        <w:rPr>
          <w:lang w:val="fr-CA"/>
        </w:rPr>
      </w:pPr>
      <w:r w:rsidRPr="00D53AA2">
        <w:rPr>
          <w:lang w:val="fr-CA"/>
        </w:rPr>
        <w:t>. . .</w:t>
      </w:r>
    </w:p>
    <w:p w14:paraId="087D6CBB" w14:textId="77777777" w:rsidR="00D53AA2" w:rsidRPr="00D53AA2" w:rsidRDefault="00D53AA2" w:rsidP="00D53AA2">
      <w:pPr>
        <w:pStyle w:val="Citation-AltC"/>
        <w:spacing w:after="240"/>
        <w:ind w:left="5036" w:hanging="3870"/>
        <w:contextualSpacing w:val="0"/>
        <w:rPr>
          <w:lang w:val="fr-CA"/>
        </w:rPr>
      </w:pPr>
      <w:r w:rsidRPr="00D53AA2">
        <w:rPr>
          <w:lang w:val="fr-CA"/>
        </w:rPr>
        <w:t>LA COUR :</w:t>
      </w:r>
      <w:r w:rsidRPr="00D53AA2">
        <w:rPr>
          <w:lang w:val="fr-CA"/>
        </w:rPr>
        <w:tab/>
        <w:t xml:space="preserve">Très bien. Nous sommes donc ad idem, et la Couronne abandonne la demande pour que la preuve soit admise </w:t>
      </w:r>
      <w:r w:rsidRPr="00D53AA2">
        <w:rPr>
          <w:u w:val="single"/>
          <w:lang w:val="fr-CA"/>
        </w:rPr>
        <w:t>en ce qui a trait à ce que [M. Dennehy] a dit à propos de qui était présent</w:t>
      </w:r>
      <w:r w:rsidRPr="00D53AA2">
        <w:rPr>
          <w:lang w:val="fr-CA"/>
        </w:rPr>
        <w:t>?</w:t>
      </w:r>
    </w:p>
    <w:p w14:paraId="4EC0FCAD" w14:textId="77777777" w:rsidR="00D53AA2" w:rsidRPr="00D53AA2" w:rsidRDefault="00D53AA2" w:rsidP="00D53AA2">
      <w:pPr>
        <w:pStyle w:val="Citation-AltC"/>
        <w:spacing w:after="240"/>
        <w:contextualSpacing w:val="0"/>
        <w:rPr>
          <w:lang w:val="fr-CA"/>
        </w:rPr>
      </w:pPr>
      <w:r w:rsidRPr="00D53AA2">
        <w:rPr>
          <w:lang w:val="fr-CA"/>
        </w:rPr>
        <w:t>[AVOCAT DE LA COURONNE] :</w:t>
      </w:r>
      <w:r w:rsidRPr="00D53AA2">
        <w:rPr>
          <w:lang w:val="fr-CA"/>
        </w:rPr>
        <w:tab/>
        <w:t>Oui, Monsieur.</w:t>
      </w:r>
    </w:p>
    <w:p w14:paraId="5CAA6245" w14:textId="77777777" w:rsidR="00D53AA2" w:rsidRPr="00D53AA2" w:rsidRDefault="00D53AA2" w:rsidP="00D53AA2">
      <w:pPr>
        <w:pStyle w:val="Citation-AltC"/>
        <w:spacing w:after="240"/>
        <w:ind w:left="5036" w:hanging="3870"/>
        <w:contextualSpacing w:val="0"/>
        <w:rPr>
          <w:lang w:val="fr-CA"/>
        </w:rPr>
      </w:pPr>
      <w:r w:rsidRPr="00D53AA2">
        <w:rPr>
          <w:lang w:val="fr-CA"/>
        </w:rPr>
        <w:t>LA COUR :</w:t>
      </w:r>
      <w:r w:rsidRPr="00D53AA2">
        <w:rPr>
          <w:lang w:val="fr-CA"/>
        </w:rPr>
        <w:tab/>
        <w:t>Très bien. C’est fait. [Je souligne.]</w:t>
      </w:r>
    </w:p>
    <w:p w14:paraId="0F88E0B6" w14:textId="77777777" w:rsidR="00D53AA2" w:rsidRPr="00D53AA2" w:rsidRDefault="00D53AA2" w:rsidP="00D53AA2">
      <w:pPr>
        <w:pStyle w:val="Citation-AltC"/>
        <w:ind w:left="1168"/>
        <w:contextualSpacing w:val="0"/>
        <w:jc w:val="left"/>
        <w:rPr>
          <w:lang w:val="fr-CA"/>
        </w:rPr>
      </w:pPr>
      <w:r w:rsidRPr="00D53AA2">
        <w:rPr>
          <w:lang w:val="fr-CA"/>
        </w:rPr>
        <w:t>(</w:t>
      </w:r>
      <w:proofErr w:type="gramStart"/>
      <w:r w:rsidRPr="00D53AA2">
        <w:rPr>
          <w:lang w:val="fr-CA"/>
        </w:rPr>
        <w:t>d.a.</w:t>
      </w:r>
      <w:proofErr w:type="gramEnd"/>
      <w:r w:rsidRPr="00D53AA2">
        <w:rPr>
          <w:lang w:val="fr-CA"/>
        </w:rPr>
        <w:t>, vol. II, p. 189)</w:t>
      </w:r>
    </w:p>
    <w:p w14:paraId="11217253" w14:textId="77777777" w:rsidR="00D53AA2" w:rsidRPr="00D53AA2" w:rsidRDefault="00D53AA2" w:rsidP="00D53AA2">
      <w:pPr>
        <w:pStyle w:val="ParaNoNdepar-AltN"/>
        <w:rPr>
          <w:rFonts w:cs="Times New Roman"/>
          <w:lang w:val="fr-CA"/>
        </w:rPr>
      </w:pPr>
      <w:r w:rsidRPr="00D53AA2">
        <w:rPr>
          <w:rFonts w:cs="Times New Roman"/>
          <w:lang w:val="fr-CA"/>
        </w:rPr>
        <w:t>Cet échange démontre que le juge du procès était bien conscient du fait (1) que la déclaration de M. Dennehy à propos de qui était présent à la roulotte était inadmissible à des fins de ouï-dire, (2) que la Couronne n’entendait pas s’appuyer sur cette déclaration, et (3) que la Couronne avait abandonné le voir-dire visant à faire admettre la déclaration pour la véracité de son contenu.</w:t>
      </w:r>
    </w:p>
    <w:p w14:paraId="4B2B8336" w14:textId="77777777" w:rsidR="00D53AA2" w:rsidRPr="00D53AA2" w:rsidRDefault="00D53AA2" w:rsidP="00D53AA2">
      <w:pPr>
        <w:pStyle w:val="ParaNoNdepar-AltN"/>
        <w:rPr>
          <w:rFonts w:cs="Times New Roman"/>
          <w:lang w:val="fr-CA"/>
        </w:rPr>
      </w:pPr>
      <w:r w:rsidRPr="00D53AA2">
        <w:rPr>
          <w:rFonts w:cs="Times New Roman"/>
          <w:lang w:val="fr-CA"/>
        </w:rPr>
        <w:t xml:space="preserve">Qui plus est, dans leurs observations finales au juge du procès, aucune des parties n’a fait mention du commentaire du défunt selon lequel des gens quittaient. Pour </w:t>
      </w:r>
      <w:r w:rsidRPr="00D53AA2">
        <w:rPr>
          <w:rFonts w:cs="Times New Roman"/>
          <w:lang w:val="fr-CA"/>
        </w:rPr>
        <w:lastRenderedPageBreak/>
        <w:t>sa part, la Couronne s’est appuyée sur une toile de témoignages interreliés qui circonscrivait temporellement les mouvements du groupe. Ces témoignages ont été utilisés pour établir l’opportunité exclusive qu’avait eue M. Saddleback pour tuer M. Dennehy (d.a., vol. III, p. 648). De plus, en traitant de la conversation de M</w:t>
      </w:r>
      <w:r w:rsidRPr="00D53AA2">
        <w:rPr>
          <w:rFonts w:cs="Times New Roman"/>
          <w:vertAlign w:val="superscript"/>
          <w:lang w:val="fr-CA"/>
        </w:rPr>
        <w:t>me</w:t>
      </w:r>
      <w:r w:rsidRPr="00D53AA2">
        <w:rPr>
          <w:rFonts w:cs="Times New Roman"/>
          <w:lang w:val="fr-CA"/>
        </w:rPr>
        <w:t xml:space="preserve"> Bull avec M. Dennehy, la Couronne n’a nullement fait mention de la déclaration de M. Dennehy selon laquelle des gens quittaient (p. 649). Au terme des observations finales des parties, le juge du procès a mentionné une fois de plus ses préoccupations à propos de l’utilisation de la déposition d’un autre témoin à des fins de ouï-dire (p. 657).</w:t>
      </w:r>
    </w:p>
    <w:p w14:paraId="5F559D23" w14:textId="77777777" w:rsidR="00D53AA2" w:rsidRPr="00D53AA2" w:rsidRDefault="00D53AA2" w:rsidP="00D53AA2">
      <w:pPr>
        <w:pStyle w:val="ParaNoNdepar-AltN"/>
        <w:rPr>
          <w:rFonts w:cs="Times New Roman"/>
          <w:lang w:val="fr-CA"/>
        </w:rPr>
      </w:pPr>
      <w:r w:rsidRPr="00D53AA2">
        <w:rPr>
          <w:rFonts w:cs="Times New Roman"/>
          <w:lang w:val="fr-CA"/>
        </w:rPr>
        <w:t>À la lumière de ces portions du dossier, il est possible de conclure que le juge du procès était bien conscient du fait que la déclaration extrajudiciaire de M. Dennehy selon laquelle des gens quittaient était inadmissible si le but était de prouver la véracité de son contenu.</w:t>
      </w:r>
    </w:p>
    <w:p w14:paraId="727A1E7B" w14:textId="77777777" w:rsidR="00D53AA2" w:rsidRPr="00D53AA2" w:rsidRDefault="00D53AA2" w:rsidP="00D53AA2">
      <w:pPr>
        <w:pStyle w:val="ParaNoNdepar-AltN"/>
        <w:rPr>
          <w:rFonts w:cs="Times New Roman"/>
          <w:lang w:val="fr-CA"/>
        </w:rPr>
      </w:pPr>
      <w:r w:rsidRPr="00D53AA2">
        <w:rPr>
          <w:rFonts w:cs="Times New Roman"/>
          <w:lang w:val="fr-CA"/>
        </w:rPr>
        <w:t>Dans son jugement, le juge du procès a tiré les conclusions suivantes :</w:t>
      </w:r>
    </w:p>
    <w:p w14:paraId="51F03B8F" w14:textId="77777777" w:rsidR="00D53AA2" w:rsidRPr="00D53AA2" w:rsidRDefault="00D53AA2" w:rsidP="00D53AA2">
      <w:pPr>
        <w:pStyle w:val="Citation-AltC"/>
        <w:spacing w:after="240"/>
        <w:ind w:left="1168" w:firstLine="272"/>
        <w:contextualSpacing w:val="0"/>
        <w:rPr>
          <w:lang w:val="fr-CA"/>
        </w:rPr>
      </w:pPr>
      <w:r w:rsidRPr="00D53AA2">
        <w:rPr>
          <w:lang w:val="fr-CA"/>
        </w:rPr>
        <w:t>[</w:t>
      </w:r>
      <w:r w:rsidRPr="00D53AA2">
        <w:rPr>
          <w:smallCaps/>
          <w:lang w:val="fr-CA"/>
        </w:rPr>
        <w:t>traduction</w:t>
      </w:r>
      <w:r w:rsidRPr="00D53AA2">
        <w:rPr>
          <w:lang w:val="fr-CA"/>
        </w:rPr>
        <w:t>] Aussi, durant cet appel téléphonique, la preuve de [M</w:t>
      </w:r>
      <w:r w:rsidRPr="00D53AA2">
        <w:rPr>
          <w:vertAlign w:val="superscript"/>
          <w:lang w:val="fr-CA"/>
        </w:rPr>
        <w:t>me</w:t>
      </w:r>
      <w:r w:rsidRPr="00D53AA2">
        <w:rPr>
          <w:lang w:val="fr-CA"/>
        </w:rPr>
        <w:t xml:space="preserve"> Bull] que j’accepte est que [M. Dennehy] a mentionné que des gens quittaient. Cela concorde avec la preuve de Joseph, de Ryle[y] et d’autres personnes selon laquelle ils sont partis avec Bryce et son groupe à un moment où [M. Dennehy] parlait au téléphone cellulaire. Il ne restait plus que [M. Dennehy] et [M. Saddleback] sur les lieux. L’heure devait se situer entre 22 h 10 et environ 22 h 30. Vers 22 h 30, Trevor Moonias a trouvé [M. Dennehy] inanimé malgré ses efforts de [réanimation]. À 22 h 44, Trevor a appelé la police. Les policiers sont arrivés une minute avant 23 h.</w:t>
      </w:r>
    </w:p>
    <w:p w14:paraId="0829C5ED" w14:textId="77777777" w:rsidR="00D53AA2" w:rsidRPr="00D53AA2" w:rsidRDefault="00D53AA2" w:rsidP="00D53AA2">
      <w:pPr>
        <w:pStyle w:val="Citation-AltC"/>
        <w:jc w:val="left"/>
        <w:rPr>
          <w:lang w:val="fr-CA"/>
        </w:rPr>
      </w:pPr>
      <w:r w:rsidRPr="00D53AA2">
        <w:rPr>
          <w:lang w:val="fr-CA"/>
        </w:rPr>
        <w:t>(</w:t>
      </w:r>
      <w:proofErr w:type="gramStart"/>
      <w:r w:rsidRPr="00D53AA2">
        <w:rPr>
          <w:lang w:val="fr-CA"/>
        </w:rPr>
        <w:t>d.a.</w:t>
      </w:r>
      <w:proofErr w:type="gramEnd"/>
      <w:r w:rsidRPr="00D53AA2">
        <w:rPr>
          <w:lang w:val="fr-CA"/>
        </w:rPr>
        <w:t>, vol. I, p. 3)</w:t>
      </w:r>
    </w:p>
    <w:p w14:paraId="459ADAEE" w14:textId="77777777" w:rsidR="00D53AA2" w:rsidRPr="00D53AA2" w:rsidRDefault="00D53AA2" w:rsidP="00D53AA2">
      <w:pPr>
        <w:pStyle w:val="ParaNoNdepar-AltN"/>
        <w:rPr>
          <w:rFonts w:cs="Times New Roman"/>
          <w:lang w:val="fr-CA"/>
        </w:rPr>
      </w:pPr>
      <w:r w:rsidRPr="00D53AA2">
        <w:rPr>
          <w:rFonts w:cs="Times New Roman"/>
          <w:lang w:val="fr-CA"/>
        </w:rPr>
        <w:lastRenderedPageBreak/>
        <w:t>Ma collègue affirme que le juge du procès a nécessairement utilisé la véracité du contenu de la déclaration extrajudiciaire de M. Dennehy, puisque la déclaration n’était d’aucune utilité autrement que pour circonscrire temporellement le meurtre et qu’elle devait par conséquent être acceptée pour la véracité de son contenu.</w:t>
      </w:r>
    </w:p>
    <w:p w14:paraId="60CDC163" w14:textId="77777777" w:rsidR="00D53AA2" w:rsidRPr="00D53AA2" w:rsidRDefault="00D53AA2" w:rsidP="00D53AA2">
      <w:pPr>
        <w:pStyle w:val="ParaNoNdepar-AltN"/>
        <w:rPr>
          <w:rFonts w:cs="Times New Roman"/>
          <w:lang w:val="fr-CA"/>
        </w:rPr>
      </w:pPr>
      <w:r w:rsidRPr="00D53AA2">
        <w:rPr>
          <w:rFonts w:cs="Times New Roman"/>
          <w:lang w:val="fr-CA"/>
        </w:rPr>
        <w:t>Je reconnais que cette portion des motifs du juge du procès peut paraître ambiguë à première vue. Cependant, comme il sera démontré dans les présents motifs, en ce qui a trait au premier motif de M. Saddleback à l’appui du jugement de la juridiction inférieure, la chronologie a été circonscrite non pas par le recours à la déclaration extrajudiciaire de M. Dennehy, comme l’affirme ma collègue (aux par. 27-30), mais plutôt par la toile de témoignages interreliés relatifs aux mouvements du groupe le soir de l’événement. Il est donc erroné d’inférer, sans plus, que le juge du procès s’appuyait sur la véracité du contenu de la déclaration de M. Dennehy.</w:t>
      </w:r>
    </w:p>
    <w:p w14:paraId="5080E681" w14:textId="77777777" w:rsidR="00D53AA2" w:rsidRPr="00D53AA2" w:rsidRDefault="00D53AA2" w:rsidP="00D53AA2">
      <w:pPr>
        <w:pStyle w:val="ParaNoNdepar-AltN"/>
        <w:rPr>
          <w:rFonts w:cs="Times New Roman"/>
          <w:lang w:val="fr-CA"/>
        </w:rPr>
      </w:pPr>
      <w:r w:rsidRPr="00D53AA2">
        <w:rPr>
          <w:rFonts w:cs="Times New Roman"/>
          <w:lang w:val="fr-CA"/>
        </w:rPr>
        <w:t>À mon avis, le juge du procès faisait simplement remarquer que le témoignage de M</w:t>
      </w:r>
      <w:r w:rsidRPr="00D53AA2">
        <w:rPr>
          <w:rFonts w:cs="Times New Roman"/>
          <w:vertAlign w:val="superscript"/>
          <w:lang w:val="fr-CA"/>
        </w:rPr>
        <w:t>me</w:t>
      </w:r>
      <w:r w:rsidRPr="00D53AA2">
        <w:rPr>
          <w:rFonts w:cs="Times New Roman"/>
          <w:lang w:val="fr-CA"/>
        </w:rPr>
        <w:t xml:space="preserve"> Bull était compatible avec la preuve des autres témoins qui avaient aperçu M. Dennehy au téléphone au moment de leur départ. Il s’agissait d’une conclusion importante à tirer, étant donné que la fiabilité des témoins avait été une question en litige au procès. Qui plus est, elle est liée aux conclusions précédentes du juge du procès selon lesquelles la preuve de divers membres du groupe était fiable </w:t>
      </w:r>
      <w:r w:rsidRPr="00D53AA2">
        <w:rPr>
          <w:rFonts w:cs="Times New Roman"/>
          <w:i/>
          <w:lang w:val="fr-CA"/>
        </w:rPr>
        <w:t>en raison de la compatibilité de leurs témoignages</w:t>
      </w:r>
      <w:r w:rsidRPr="00D53AA2">
        <w:rPr>
          <w:rFonts w:cs="Times New Roman"/>
          <w:lang w:val="fr-CA"/>
        </w:rPr>
        <w:t xml:space="preserve"> (d.a., vol. I, p. 2-3).</w:t>
      </w:r>
    </w:p>
    <w:p w14:paraId="7C17C025" w14:textId="77777777" w:rsidR="00D53AA2" w:rsidRPr="00D53AA2" w:rsidRDefault="00D53AA2" w:rsidP="00D53AA2">
      <w:pPr>
        <w:pStyle w:val="ParaNoNdepar-AltN"/>
        <w:rPr>
          <w:rFonts w:cs="Times New Roman"/>
          <w:lang w:val="fr-CA"/>
        </w:rPr>
      </w:pPr>
      <w:r w:rsidRPr="00D53AA2">
        <w:rPr>
          <w:rFonts w:cs="Times New Roman"/>
          <w:lang w:val="fr-CA"/>
        </w:rPr>
        <w:lastRenderedPageBreak/>
        <w:t>Je conclus en conséquence que les juges majoritaires de la Cour d’appel ont commis une erreur lorsqu’ils ont statué que le juge du procès s’était appuyé sur la déclaration extrajudiciaire de M. Dennehy à une fin de ouï-dire non permise.</w:t>
      </w:r>
    </w:p>
    <w:p w14:paraId="3633511D" w14:textId="77777777" w:rsidR="00D53AA2" w:rsidRPr="00D53AA2" w:rsidRDefault="00D53AA2" w:rsidP="00D53AA2">
      <w:pPr>
        <w:pStyle w:val="Title1LevelTitre1Niveau-AltL"/>
        <w:rPr>
          <w:rFonts w:cs="Times New Roman"/>
          <w:lang w:val="fr-CA"/>
        </w:rPr>
      </w:pPr>
      <w:r w:rsidRPr="00D53AA2">
        <w:rPr>
          <w:rFonts w:cs="Times New Roman"/>
          <w:lang w:val="fr-CA"/>
        </w:rPr>
        <w:t>Les motifs qu’invoque M. Saddleback à l’appui du jugement de la juridiction inférieure</w:t>
      </w:r>
    </w:p>
    <w:p w14:paraId="69BBA12C" w14:textId="77777777" w:rsidR="00D53AA2" w:rsidRPr="00D53AA2" w:rsidRDefault="00D53AA2" w:rsidP="00D53AA2">
      <w:pPr>
        <w:pStyle w:val="ParaNoNdepar-AltN"/>
        <w:rPr>
          <w:rFonts w:cs="Times New Roman"/>
          <w:lang w:val="fr-CA"/>
        </w:rPr>
      </w:pPr>
      <w:r w:rsidRPr="00D53AA2">
        <w:rPr>
          <w:rFonts w:cs="Times New Roman"/>
          <w:lang w:val="fr-CA"/>
        </w:rPr>
        <w:t>Dans son mémoire, M. Saddleback invoque deux motifs à l’appui du jugement de la Cour d’appel, lesquels n’ont pas été examinés dans les motifs des juges majoritaires : (1) la suffisance des motifs et (2) une erreur importante dans l’interprétation de la preuve.</w:t>
      </w:r>
    </w:p>
    <w:p w14:paraId="5E22F471" w14:textId="77777777" w:rsidR="00D53AA2" w:rsidRPr="00D53AA2" w:rsidRDefault="00D53AA2" w:rsidP="00D53AA2">
      <w:pPr>
        <w:pStyle w:val="ParaNoNdepar-AltN"/>
        <w:rPr>
          <w:rFonts w:cs="Times New Roman"/>
          <w:lang w:val="fr-CA"/>
        </w:rPr>
      </w:pPr>
      <w:r w:rsidRPr="00D53AA2">
        <w:rPr>
          <w:rFonts w:cs="Times New Roman"/>
          <w:lang w:val="fr-CA"/>
        </w:rPr>
        <w:t>Monsieur Saddleback est en droit d’invoquer et d’avancer tout argument à l’appui du jugement de la juridiction inférieure, étant donné qu’il ne cherche pas à faire modifier le jugement rendu par ce tribunal. Un appel incident n’est donc pas nécessaire (</w:t>
      </w:r>
      <w:r w:rsidRPr="00D53AA2">
        <w:rPr>
          <w:rFonts w:cs="Times New Roman"/>
          <w:i/>
          <w:lang w:val="fr-CA"/>
        </w:rPr>
        <w:t>Règles de la Cour suprême du Canada</w:t>
      </w:r>
      <w:r w:rsidRPr="00D53AA2">
        <w:rPr>
          <w:rFonts w:cs="Times New Roman"/>
          <w:lang w:val="fr-CA"/>
        </w:rPr>
        <w:t xml:space="preserve">, DORS/2002-156, par. 29(3); voir aussi </w:t>
      </w:r>
      <w:r w:rsidRPr="00D53AA2">
        <w:rPr>
          <w:rFonts w:cs="Times New Roman"/>
          <w:i/>
          <w:lang w:val="fr-CA"/>
        </w:rPr>
        <w:t>R. c. Keegstra</w:t>
      </w:r>
      <w:r w:rsidRPr="00D53AA2">
        <w:rPr>
          <w:rFonts w:cs="Times New Roman"/>
          <w:lang w:val="fr-CA"/>
        </w:rPr>
        <w:t xml:space="preserve">, [1995] 2 R.C.S. 381, par. 23 et 26; </w:t>
      </w:r>
      <w:r w:rsidRPr="00D53AA2">
        <w:rPr>
          <w:rFonts w:cs="Times New Roman"/>
          <w:i/>
          <w:lang w:val="fr-CA"/>
        </w:rPr>
        <w:t>R. c. Nova Scotia Pharmaceutical Society</w:t>
      </w:r>
      <w:r w:rsidRPr="00D53AA2">
        <w:rPr>
          <w:rFonts w:cs="Times New Roman"/>
          <w:lang w:val="fr-CA"/>
        </w:rPr>
        <w:t xml:space="preserve">, [1992] 2 R.C.S. 606, p. 620-621; </w:t>
      </w:r>
      <w:r w:rsidRPr="00D53AA2">
        <w:rPr>
          <w:rFonts w:cs="Times New Roman"/>
          <w:i/>
          <w:lang w:val="fr-CA"/>
        </w:rPr>
        <w:t>Perka c. La Reine</w:t>
      </w:r>
      <w:r w:rsidRPr="00D53AA2">
        <w:rPr>
          <w:rFonts w:cs="Times New Roman"/>
          <w:lang w:val="fr-CA"/>
        </w:rPr>
        <w:t>, [1984] 2 R.C.S. 232, p. 240).</w:t>
      </w:r>
    </w:p>
    <w:p w14:paraId="7E087C9F" w14:textId="77777777" w:rsidR="00D53AA2" w:rsidRPr="00D53AA2" w:rsidRDefault="00D53AA2" w:rsidP="00D53AA2">
      <w:pPr>
        <w:pStyle w:val="Title2LevelTitre2Niveau"/>
        <w:rPr>
          <w:rFonts w:cs="Times New Roman"/>
          <w:lang w:val="fr-CA"/>
        </w:rPr>
      </w:pPr>
      <w:r w:rsidRPr="00D53AA2">
        <w:rPr>
          <w:rFonts w:cs="Times New Roman"/>
          <w:lang w:val="fr-CA"/>
        </w:rPr>
        <w:t>Les motifs du juge du procès sont suffisants dans les circonstances</w:t>
      </w:r>
    </w:p>
    <w:p w14:paraId="26A1DD58" w14:textId="77777777" w:rsidR="00D53AA2" w:rsidRPr="00D53AA2" w:rsidRDefault="00D53AA2" w:rsidP="00D53AA2">
      <w:pPr>
        <w:pStyle w:val="Title3LevelTitre3Niveau"/>
        <w:rPr>
          <w:rFonts w:cs="Times New Roman"/>
          <w:lang w:val="fr-CA"/>
        </w:rPr>
      </w:pPr>
      <w:r w:rsidRPr="00D53AA2">
        <w:rPr>
          <w:rFonts w:cs="Times New Roman"/>
          <w:lang w:val="fr-CA"/>
        </w:rPr>
        <w:t>Positions des parties</w:t>
      </w:r>
    </w:p>
    <w:p w14:paraId="2AB53CEE" w14:textId="77777777" w:rsidR="00D53AA2" w:rsidRPr="00D53AA2" w:rsidRDefault="00D53AA2" w:rsidP="00D53AA2">
      <w:pPr>
        <w:pStyle w:val="ParaNoNdepar-AltN"/>
        <w:rPr>
          <w:rFonts w:cs="Times New Roman"/>
          <w:lang w:val="fr-CA"/>
        </w:rPr>
      </w:pPr>
      <w:r w:rsidRPr="00D53AA2">
        <w:rPr>
          <w:rFonts w:cs="Times New Roman"/>
          <w:lang w:val="fr-CA"/>
        </w:rPr>
        <w:t xml:space="preserve">Monsieur Saddleback prétend que les motifs du juge du procès sont insuffisants. À son avis, l’affaire impliquait un ensemble complexe de questions de </w:t>
      </w:r>
      <w:r w:rsidRPr="00D53AA2">
        <w:rPr>
          <w:rFonts w:cs="Times New Roman"/>
          <w:lang w:val="fr-CA"/>
        </w:rPr>
        <w:lastRenderedPageBreak/>
        <w:t>preuve qui se chevauchaient concernant la crédibilité et la fiabilité des témoins, l’occasion exclusive ainsi que la preuve criminalistique d’experts. Ces complexités étaient en outre [</w:t>
      </w:r>
      <w:r w:rsidRPr="00D53AA2">
        <w:rPr>
          <w:rFonts w:cs="Times New Roman"/>
          <w:smallCaps/>
          <w:lang w:val="fr-CA"/>
        </w:rPr>
        <w:t>traduction</w:t>
      </w:r>
      <w:r w:rsidRPr="00D53AA2">
        <w:rPr>
          <w:rFonts w:cs="Times New Roman"/>
          <w:lang w:val="fr-CA"/>
        </w:rPr>
        <w:t>] « amplifiées par des lacunes d’investigation importantes » (m.i., par. 101). Les brefs motifs du juge du procès ne fournissent aucune explication claire quant à la manière dont il a réglé deux questions clés au procès, à savoir : (1) si le témoignage d’expert sur les éclaboussures de sang pouvait miner la conclusion que M. Saddleback était l’agresseur, et (2) si d’autres inférences raisonnables quant à l’identité de l’agresseur pouvaient être tirées.</w:t>
      </w:r>
    </w:p>
    <w:p w14:paraId="05EF46A3" w14:textId="77777777" w:rsidR="00D53AA2" w:rsidRPr="00D53AA2" w:rsidRDefault="00D53AA2" w:rsidP="00D53AA2">
      <w:pPr>
        <w:pStyle w:val="ParaNoNdepar-AltN"/>
        <w:rPr>
          <w:rFonts w:cs="Times New Roman"/>
          <w:lang w:val="fr-CA"/>
        </w:rPr>
      </w:pPr>
      <w:r w:rsidRPr="00D53AA2">
        <w:rPr>
          <w:rFonts w:cs="Times New Roman"/>
          <w:lang w:val="fr-CA"/>
        </w:rPr>
        <w:t>La Couronne soutient que les motifs sont suffisants et permettent l’examen en appel. De l’avis de la Couronne, la question centrale de l’identité était assez simple. Le juge du procès n’avait nullement l’obligation d’expliquer chacune des inférences qu’il a tirées, et il n’était pas non plus tenu de concilier explicitement chacune des contradictions dans la preuve. Il a traité de la question centrale de l’identité, a expressément tenu compte de la preuve identifiée par M. Saddleback comme étant capable de soulever un doute raisonnable, et a néanmoins conclu que la culpabilité de M. Saddleback était la seule inférence raisonnable à la lumière de l’ensemble de la preuve.</w:t>
      </w:r>
    </w:p>
    <w:p w14:paraId="47759C54" w14:textId="77777777" w:rsidR="00D53AA2" w:rsidRPr="00D53AA2" w:rsidRDefault="00D53AA2" w:rsidP="00D53AA2">
      <w:pPr>
        <w:pStyle w:val="Title3LevelTitre3Niveau"/>
        <w:rPr>
          <w:rFonts w:cs="Times New Roman"/>
          <w:lang w:val="fr-CA"/>
        </w:rPr>
      </w:pPr>
      <w:r w:rsidRPr="00D53AA2">
        <w:rPr>
          <w:rFonts w:cs="Times New Roman"/>
          <w:lang w:val="fr-CA"/>
        </w:rPr>
        <w:t>Norme de contrôle</w:t>
      </w:r>
    </w:p>
    <w:p w14:paraId="05FB1670" w14:textId="77777777" w:rsidR="00D53AA2" w:rsidRPr="00D53AA2" w:rsidRDefault="00D53AA2" w:rsidP="00D53AA2">
      <w:pPr>
        <w:pStyle w:val="ParaNoNdepar-AltN"/>
        <w:rPr>
          <w:rFonts w:cs="Times New Roman"/>
          <w:lang w:val="fr-CA"/>
        </w:rPr>
      </w:pPr>
      <w:r w:rsidRPr="00D53AA2">
        <w:rPr>
          <w:rFonts w:cs="Times New Roman"/>
          <w:lang w:val="fr-CA"/>
        </w:rPr>
        <w:t>La norme de contrôle applicable au caractère suffisant des motifs est bien établie (</w:t>
      </w:r>
      <w:r w:rsidRPr="00D53AA2">
        <w:rPr>
          <w:rFonts w:cs="Times New Roman"/>
          <w:i/>
          <w:lang w:val="fr-CA"/>
        </w:rPr>
        <w:t>R. c. Sheppard</w:t>
      </w:r>
      <w:r w:rsidRPr="00D53AA2">
        <w:rPr>
          <w:rFonts w:cs="Times New Roman"/>
          <w:lang w:val="fr-CA"/>
        </w:rPr>
        <w:t xml:space="preserve">, 2002 CSC 26, [2002] 1 R.C.S. 869, par. 55). La cour de révision doit procéder à une lecture fonctionnelle et contextuelle des motifs pour déterminer </w:t>
      </w:r>
      <w:r w:rsidRPr="00D53AA2">
        <w:rPr>
          <w:rFonts w:cs="Times New Roman"/>
          <w:lang w:val="fr-CA"/>
        </w:rPr>
        <w:lastRenderedPageBreak/>
        <w:t>s’ils « rempli[ssent] leurs fonctions qui consistent à expliquer pourquoi l’accusé a été déclaré coupable ou acquitté, rendre compte devant le public et permettre un examen efficace en appel » (</w:t>
      </w:r>
      <w:r w:rsidRPr="00D53AA2">
        <w:rPr>
          <w:rFonts w:cs="Times New Roman"/>
          <w:i/>
          <w:lang w:val="fr-CA"/>
        </w:rPr>
        <w:t>R. c. R.E.M.</w:t>
      </w:r>
      <w:r w:rsidRPr="00D53AA2">
        <w:rPr>
          <w:rFonts w:cs="Times New Roman"/>
          <w:lang w:val="fr-CA"/>
        </w:rPr>
        <w:t>, 2008 CSC 51, [2008] 3 R.C.S. 3, par. 15; voir aussi par. 16). Il ne s’agit pas d’une opération stérile et abstraite; elle doit consister à « se demander si les motifs répondent bien aux questions en litige, compte tenu de l’ensemble de la preuve et des observations des avocats » (</w:t>
      </w:r>
      <w:r w:rsidRPr="00D53AA2">
        <w:rPr>
          <w:rFonts w:cs="Times New Roman"/>
          <w:i/>
          <w:lang w:val="fr-CA"/>
        </w:rPr>
        <w:t>R. c. Dinardo</w:t>
      </w:r>
      <w:r w:rsidRPr="00D53AA2">
        <w:rPr>
          <w:rFonts w:cs="Times New Roman"/>
          <w:lang w:val="fr-CA"/>
        </w:rPr>
        <w:t>, 2008 CSC 24, [2008] 1 R.C.S. 788, par. 25).</w:t>
      </w:r>
    </w:p>
    <w:p w14:paraId="0C988AF3" w14:textId="77777777" w:rsidR="00D53AA2" w:rsidRPr="00D53AA2" w:rsidRDefault="00D53AA2" w:rsidP="00D53AA2">
      <w:pPr>
        <w:pStyle w:val="Title3LevelTitre3Niveau"/>
        <w:rPr>
          <w:rFonts w:cs="Times New Roman"/>
          <w:lang w:val="fr-CA"/>
        </w:rPr>
      </w:pPr>
      <w:r w:rsidRPr="00D53AA2">
        <w:rPr>
          <w:rFonts w:cs="Times New Roman"/>
          <w:lang w:val="fr-CA"/>
        </w:rPr>
        <w:t>Analyse</w:t>
      </w:r>
    </w:p>
    <w:p w14:paraId="531751F6" w14:textId="77777777" w:rsidR="00D53AA2" w:rsidRPr="00D53AA2" w:rsidRDefault="00D53AA2" w:rsidP="00D53AA2">
      <w:pPr>
        <w:pStyle w:val="ParaNoNdepar-AltN"/>
        <w:rPr>
          <w:rFonts w:cs="Times New Roman"/>
          <w:lang w:val="fr-CA"/>
        </w:rPr>
      </w:pPr>
      <w:r w:rsidRPr="00D53AA2">
        <w:rPr>
          <w:rFonts w:cs="Times New Roman"/>
          <w:lang w:val="fr-CA"/>
        </w:rPr>
        <w:t>Monsieur Saddleback a échoué à me convaincre que les motifs du juge du procès sont insuffisants.</w:t>
      </w:r>
    </w:p>
    <w:p w14:paraId="40B0215C" w14:textId="77777777" w:rsidR="00D53AA2" w:rsidRPr="00D53AA2" w:rsidRDefault="00D53AA2" w:rsidP="000C64AD">
      <w:pPr>
        <w:pStyle w:val="Title4LevelTitre4Niveau"/>
        <w:numPr>
          <w:ilvl w:val="1"/>
          <w:numId w:val="1"/>
        </w:numPr>
        <w:ind w:left="1134" w:hanging="567"/>
        <w:rPr>
          <w:rFonts w:cs="Times New Roman"/>
          <w:lang w:val="fr-CA"/>
        </w:rPr>
      </w:pPr>
      <w:r w:rsidRPr="00D53AA2">
        <w:rPr>
          <w:rFonts w:cs="Times New Roman"/>
          <w:lang w:val="fr-CA"/>
        </w:rPr>
        <w:t>La preuve relative aux éclaboussures de sang</w:t>
      </w:r>
    </w:p>
    <w:p w14:paraId="3FFC9BD7" w14:textId="77777777" w:rsidR="00D53AA2" w:rsidRPr="00D53AA2" w:rsidRDefault="00D53AA2" w:rsidP="00D53AA2">
      <w:pPr>
        <w:pStyle w:val="ParaNoNdepar-AltN"/>
        <w:rPr>
          <w:rFonts w:cs="Times New Roman"/>
          <w:lang w:val="fr-CA"/>
        </w:rPr>
      </w:pPr>
      <w:r w:rsidRPr="00D53AA2">
        <w:rPr>
          <w:rFonts w:cs="Times New Roman"/>
          <w:lang w:val="fr-CA"/>
        </w:rPr>
        <w:t>Le juge du procès a tiré trois conclusions de fait en lien avec la preuve relative à l’ADN et aux éclaboussures de sang : (1) le tee-shirt, le jean et les chaussures de M. Saddleback étaient couverts du sang de M. Dennehy, et le jean était beaucoup plus ensanglanté que le tee-shirt, ce qui signifiait qu’il se trouvait plus près de la source de sang lorsque de la force avait été appliquée à celle-ci; (2) il n’y avait pas de sang sur les mains, les bras ou le visage de M. Saddleback, à l’exception d’une tache sur sa main qui contenait une quantité de matériel génétique insuffisante aux fins d’analyse; et (3) l’absence d’éclaboussures de sang sur les parties exposées du corps de M. Saddleback était [</w:t>
      </w:r>
      <w:r w:rsidRPr="00D53AA2">
        <w:rPr>
          <w:rFonts w:cs="Times New Roman"/>
          <w:smallCaps/>
          <w:lang w:val="fr-CA"/>
        </w:rPr>
        <w:t>traduction</w:t>
      </w:r>
      <w:r w:rsidRPr="00D53AA2">
        <w:rPr>
          <w:rFonts w:cs="Times New Roman"/>
          <w:lang w:val="fr-CA"/>
        </w:rPr>
        <w:t xml:space="preserve">] « simplement le résultat des lois de la physique liées [au fait d’avoir </w:t>
      </w:r>
      <w:r w:rsidRPr="00D53AA2">
        <w:rPr>
          <w:rFonts w:cs="Times New Roman"/>
          <w:lang w:val="fr-CA"/>
        </w:rPr>
        <w:lastRenderedPageBreak/>
        <w:t>frappé M. Dennehy avec le manche de la hache] » (d.a., vol. I, p. 5). Ces conclusions n’ont pas suscité un doute raisonnable à propos de l’identité de M. Saddleback en tant qu’agresseur (p. 3-5).</w:t>
      </w:r>
    </w:p>
    <w:p w14:paraId="58F363A4" w14:textId="77777777" w:rsidR="00D53AA2" w:rsidRPr="00D53AA2" w:rsidRDefault="00D53AA2" w:rsidP="00D53AA2">
      <w:pPr>
        <w:pStyle w:val="ParaNoNdepar-AltN"/>
        <w:rPr>
          <w:rFonts w:cs="Times New Roman"/>
          <w:lang w:val="fr-CA"/>
        </w:rPr>
      </w:pPr>
      <w:r w:rsidRPr="00D53AA2">
        <w:rPr>
          <w:rFonts w:cs="Times New Roman"/>
          <w:lang w:val="fr-CA"/>
        </w:rPr>
        <w:t>Il n’était pas nécessaire que le juge du procès offre une justification plus étoffée pour rejeter l’argument de M. Saddleback selon lequel l’absence d’éclaboussures de sang soulevait un doute raisonnable, compte tenu du caractère particulièrement accablant de la preuve matérielle. Un bref examen des portions clés de la déposition du témoin expert en morphoanalyse des traces de sang et des observations finales des parties au juge du procès est suffisant pour comprendre pourquoi ce dernier a rejeté l’argument de M. Saddleback.</w:t>
      </w:r>
    </w:p>
    <w:p w14:paraId="0C4270EF" w14:textId="77777777" w:rsidR="00D53AA2" w:rsidRPr="00D53AA2" w:rsidRDefault="00D53AA2" w:rsidP="00D53AA2">
      <w:pPr>
        <w:pStyle w:val="ParaNoNdepar-AltN"/>
        <w:rPr>
          <w:rFonts w:cs="Times New Roman"/>
          <w:lang w:val="fr-CA"/>
        </w:rPr>
      </w:pPr>
      <w:r w:rsidRPr="00D53AA2">
        <w:rPr>
          <w:rFonts w:cs="Times New Roman"/>
          <w:lang w:val="fr-CA"/>
        </w:rPr>
        <w:t>Dans ses observations finales au juge du procès, l’avocat de M. Saddleback a présenté l’argument suivant au sujet de la preuve relative au sang et à l’ADN :</w:t>
      </w:r>
    </w:p>
    <w:p w14:paraId="6BF338F1" w14:textId="77777777" w:rsidR="00D53AA2" w:rsidRPr="00D53AA2" w:rsidRDefault="00D53AA2" w:rsidP="00D53AA2">
      <w:pPr>
        <w:pStyle w:val="Citation-AltC"/>
        <w:spacing w:after="240"/>
        <w:ind w:left="1168" w:firstLine="272"/>
        <w:contextualSpacing w:val="0"/>
        <w:rPr>
          <w:lang w:val="fr-CA"/>
        </w:rPr>
      </w:pPr>
      <w:r w:rsidRPr="00D53AA2">
        <w:rPr>
          <w:lang w:val="fr-CA"/>
        </w:rPr>
        <w:t>[</w:t>
      </w:r>
      <w:r w:rsidRPr="00D53AA2">
        <w:rPr>
          <w:smallCaps/>
          <w:lang w:val="fr-CA"/>
        </w:rPr>
        <w:t>traduction</w:t>
      </w:r>
      <w:r w:rsidRPr="00D53AA2">
        <w:rPr>
          <w:lang w:val="fr-CA"/>
        </w:rPr>
        <w:t xml:space="preserve">] Je voudrais maintenant aborder la preuve du sergent Knopp, car j’estime avec égards qu’elle est très révélatrice. Selon moi, la Couronne doit s’appuyer fortement sur sa preuve pour établir que mon client était participant à cet homicide. Je suis d’avis que la preuve du sergent Knopp peut uniquement placer [M. Saddleback] à une proximité imprécise de Joshua Dennehy lorsque la force est appliquée à [M. Dennehy] après que ce sang a été exposé. Knopp ne peut pas affirmer que [M. Saddleback] se trouvait à portée d’un manche de hache lorsque les </w:t>
      </w:r>
      <w:r w:rsidRPr="00D53AA2">
        <w:rPr>
          <w:u w:val="single"/>
          <w:lang w:val="fr-CA"/>
        </w:rPr>
        <w:t>éclaboussures</w:t>
      </w:r>
      <w:r w:rsidRPr="00D53AA2">
        <w:rPr>
          <w:lang w:val="fr-CA"/>
        </w:rPr>
        <w:t xml:space="preserve"> ont atteint [M. Saddleback]. Il ne peut tout simplement pas être aussi précis. Il y a également des </w:t>
      </w:r>
      <w:r w:rsidRPr="00D53AA2">
        <w:rPr>
          <w:u w:val="single"/>
          <w:lang w:val="fr-CA"/>
        </w:rPr>
        <w:t>éclaboussures</w:t>
      </w:r>
      <w:r w:rsidRPr="00D53AA2">
        <w:rPr>
          <w:lang w:val="fr-CA"/>
        </w:rPr>
        <w:t xml:space="preserve"> sur le tee-shirt de [M. Saddleback] qui indiquent que [M. Saddleback] se trouvait plus loin de [M. Dennehy] qu’à d’autres moments que, par exemple, lorsque les </w:t>
      </w:r>
      <w:r w:rsidRPr="00D53AA2">
        <w:rPr>
          <w:u w:val="single"/>
          <w:lang w:val="fr-CA"/>
        </w:rPr>
        <w:t>éclaboussures</w:t>
      </w:r>
      <w:r w:rsidRPr="00D53AA2">
        <w:rPr>
          <w:lang w:val="fr-CA"/>
        </w:rPr>
        <w:t xml:space="preserve"> ont atteint le jean. Cela est incompatible avec la thèse selon laquelle mon client se tenait plus ou moins au même endroit ou à la même distance, frappant à plusieurs reprises [M. Dennehy] avec une hache. Fait crucial, Knopp affirme qu’il est raisonnable de s’attendre à ce que des </w:t>
      </w:r>
      <w:r w:rsidRPr="00D53AA2">
        <w:rPr>
          <w:u w:val="single"/>
          <w:lang w:val="fr-CA"/>
        </w:rPr>
        <w:t>éclaboussures</w:t>
      </w:r>
      <w:r w:rsidRPr="00D53AA2">
        <w:rPr>
          <w:lang w:val="fr-CA"/>
        </w:rPr>
        <w:t xml:space="preserve"> de sang se trouvent sur les mains ou les bras exposés d’une </w:t>
      </w:r>
      <w:r w:rsidRPr="00D53AA2">
        <w:rPr>
          <w:lang w:val="fr-CA"/>
        </w:rPr>
        <w:lastRenderedPageBreak/>
        <w:t>personne qui frappe avec une hache sur une source de sang ouverte ou qui exerce autrement une force sur celle-ci. [Je souligne.]</w:t>
      </w:r>
    </w:p>
    <w:p w14:paraId="6CDC77A0" w14:textId="77777777" w:rsidR="00D53AA2" w:rsidRPr="00D53AA2" w:rsidRDefault="00D53AA2" w:rsidP="00D53AA2">
      <w:pPr>
        <w:pStyle w:val="Citation-AltC"/>
        <w:jc w:val="left"/>
        <w:rPr>
          <w:lang w:val="fr-CA"/>
        </w:rPr>
      </w:pPr>
      <w:r w:rsidRPr="00D53AA2">
        <w:rPr>
          <w:lang w:val="fr-CA"/>
        </w:rPr>
        <w:t>(</w:t>
      </w:r>
      <w:proofErr w:type="gramStart"/>
      <w:r w:rsidRPr="00D53AA2">
        <w:rPr>
          <w:lang w:val="fr-CA"/>
        </w:rPr>
        <w:t>d.a.</w:t>
      </w:r>
      <w:proofErr w:type="gramEnd"/>
      <w:r w:rsidRPr="00D53AA2">
        <w:rPr>
          <w:lang w:val="fr-CA"/>
        </w:rPr>
        <w:t>, vol. III, p. 628-629)</w:t>
      </w:r>
    </w:p>
    <w:p w14:paraId="60E61B8D" w14:textId="77777777" w:rsidR="00D53AA2" w:rsidRPr="00D53AA2" w:rsidRDefault="00D53AA2" w:rsidP="00D53AA2">
      <w:pPr>
        <w:pStyle w:val="ParaNoNdepar-AltN"/>
        <w:rPr>
          <w:rFonts w:cs="Times New Roman"/>
          <w:lang w:val="fr-CA"/>
        </w:rPr>
      </w:pPr>
      <w:r w:rsidRPr="00D53AA2">
        <w:rPr>
          <w:rFonts w:cs="Times New Roman"/>
          <w:lang w:val="fr-CA"/>
        </w:rPr>
        <w:t xml:space="preserve">Il est pertinent de noter que, dans ses observations finales au juge du procès, l’avocat de M. Saddleback n’a fait aucune référence à des taches de transfert de sang et s’est concentré uniquement sur la question des éclaboussures de sang. Or, le témoin expert de la Couronne, le sergent Trevor Knopp, s’est longuement exprimé sur le nombre important de taches de transfert de sang sur le tee-shirt, le jean et les chaussures de M. Saddleback (d.a., vol. III, p. 451-463). De telles taches, a expliqué le sergent Knopp, se produisent uniquement lorsqu’une personne ou un objet entre en </w:t>
      </w:r>
      <w:r w:rsidRPr="00D53AA2">
        <w:rPr>
          <w:rFonts w:cs="Times New Roman"/>
          <w:i/>
          <w:lang w:val="fr-CA"/>
        </w:rPr>
        <w:t>contact direct</w:t>
      </w:r>
      <w:r w:rsidRPr="00D53AA2">
        <w:rPr>
          <w:rFonts w:cs="Times New Roman"/>
          <w:lang w:val="fr-CA"/>
        </w:rPr>
        <w:t xml:space="preserve"> avec une source de sang, ce qui les différencie des simples taches d’éclaboussures (p. 452-454).</w:t>
      </w:r>
    </w:p>
    <w:p w14:paraId="76BBD5BF" w14:textId="77777777" w:rsidR="00D53AA2" w:rsidRPr="00D53AA2" w:rsidRDefault="00D53AA2" w:rsidP="00D53AA2">
      <w:pPr>
        <w:pStyle w:val="ParaNoNdepar-AltN"/>
        <w:rPr>
          <w:rFonts w:cs="Times New Roman"/>
          <w:lang w:val="fr-CA"/>
        </w:rPr>
      </w:pPr>
      <w:r w:rsidRPr="00D53AA2">
        <w:rPr>
          <w:rFonts w:cs="Times New Roman"/>
          <w:lang w:val="fr-CA"/>
        </w:rPr>
        <w:t>Qualifiant de taches d’éclaboussures les taches observées à l’arrière et sur le côté du tee-shirt de M. Saddleback, l’avocat de la défense a ensuite tenu les propos suivants :</w:t>
      </w:r>
    </w:p>
    <w:p w14:paraId="1F040550" w14:textId="77777777" w:rsidR="00D53AA2" w:rsidRPr="00D53AA2" w:rsidRDefault="00D53AA2" w:rsidP="00D53AA2">
      <w:pPr>
        <w:pStyle w:val="Citation-AltC"/>
        <w:spacing w:after="240"/>
        <w:ind w:left="1168" w:firstLine="274"/>
        <w:contextualSpacing w:val="0"/>
        <w:rPr>
          <w:lang w:val="fr-CA"/>
        </w:rPr>
      </w:pPr>
      <w:r w:rsidRPr="00D53AA2">
        <w:rPr>
          <w:lang w:val="fr-CA"/>
        </w:rPr>
        <w:t>[</w:t>
      </w:r>
      <w:r w:rsidRPr="00D53AA2">
        <w:rPr>
          <w:smallCaps/>
          <w:lang w:val="fr-CA"/>
        </w:rPr>
        <w:t>traduction</w:t>
      </w:r>
      <w:r w:rsidRPr="00D53AA2">
        <w:rPr>
          <w:lang w:val="fr-CA"/>
        </w:rPr>
        <w:t xml:space="preserve">] Ce que dit l’agent là, selon moi, c’est que lorsqu’il parle du côté inférieur gauche ou arrière gauche du tee-shirt, il dit que c’est simplement une possibilité que ce côté ait fait face à la source de sang. Que c’est certainement aussi une possibilité qu’il n’ait pas fait face à la source de sang. Qu’il pouvait, comme on pourrait s’y attendre, avoir été porté sur -- de manière à ce que cette partie du tee-shirt se trouve sur le côté ou à l’arrière de la source de sang. </w:t>
      </w:r>
      <w:r w:rsidRPr="00D53AA2">
        <w:rPr>
          <w:u w:val="single"/>
          <w:lang w:val="fr-CA"/>
        </w:rPr>
        <w:t>Ce qui est incompatible avec quelqu’un qui applique la force et qui reçoit des éclaboussures vers l’avant de sa personne, si je peux m’exprimer ainsi, ou de face. Cela est compatible, à mon avis, avec quelqu’un d’autre qui applique la force pendant que mon client se tient à côté de [M. Dennehy] ou lui fait dos, du moins partiellement.</w:t>
      </w:r>
    </w:p>
    <w:p w14:paraId="784C8A87" w14:textId="77777777" w:rsidR="00D53AA2" w:rsidRPr="00D53AA2" w:rsidRDefault="00D53AA2" w:rsidP="00D53AA2">
      <w:pPr>
        <w:pStyle w:val="Citation-AltC"/>
        <w:spacing w:after="240"/>
        <w:ind w:left="1168" w:firstLine="274"/>
        <w:contextualSpacing w:val="0"/>
        <w:rPr>
          <w:lang w:val="fr-CA"/>
        </w:rPr>
      </w:pPr>
      <w:r w:rsidRPr="00D53AA2">
        <w:rPr>
          <w:lang w:val="fr-CA"/>
        </w:rPr>
        <w:lastRenderedPageBreak/>
        <w:t xml:space="preserve">Rien dans la preuve ne tend à indiquer qu’il, s’il était l’auteur des coups de hache, a tourné son tee-shirt pour quelque raison que ce soit afin que celui-ci soit dans une position différente lorsque les </w:t>
      </w:r>
      <w:r w:rsidRPr="00D53AA2">
        <w:rPr>
          <w:u w:val="single"/>
          <w:lang w:val="fr-CA"/>
        </w:rPr>
        <w:t>éclaboussures de sang</w:t>
      </w:r>
      <w:r w:rsidRPr="00D53AA2">
        <w:rPr>
          <w:lang w:val="fr-CA"/>
        </w:rPr>
        <w:t xml:space="preserve"> se sont produites. [Je souligne.]</w:t>
      </w:r>
    </w:p>
    <w:p w14:paraId="2B6B4D4A" w14:textId="77777777" w:rsidR="00D53AA2" w:rsidRPr="00D53AA2" w:rsidRDefault="00D53AA2" w:rsidP="00D53AA2">
      <w:pPr>
        <w:pStyle w:val="Citation-AltC"/>
        <w:jc w:val="left"/>
        <w:rPr>
          <w:lang w:val="fr-CA"/>
        </w:rPr>
      </w:pPr>
      <w:r w:rsidRPr="00D53AA2">
        <w:rPr>
          <w:lang w:val="fr-CA"/>
        </w:rPr>
        <w:t>(</w:t>
      </w:r>
      <w:proofErr w:type="gramStart"/>
      <w:r w:rsidRPr="00D53AA2">
        <w:rPr>
          <w:lang w:val="fr-CA"/>
        </w:rPr>
        <w:t>d.a.</w:t>
      </w:r>
      <w:proofErr w:type="gramEnd"/>
      <w:r w:rsidRPr="00D53AA2">
        <w:rPr>
          <w:lang w:val="fr-CA"/>
        </w:rPr>
        <w:t>, vol. III, p. 631)</w:t>
      </w:r>
    </w:p>
    <w:p w14:paraId="4E80C741" w14:textId="77777777" w:rsidR="00D53AA2" w:rsidRPr="00D53AA2" w:rsidRDefault="00D53AA2" w:rsidP="00D53AA2">
      <w:pPr>
        <w:pStyle w:val="ParaNoNdepar-AltN"/>
        <w:rPr>
          <w:rFonts w:cs="Times New Roman"/>
          <w:lang w:val="fr-CA"/>
        </w:rPr>
      </w:pPr>
      <w:r w:rsidRPr="00D53AA2">
        <w:rPr>
          <w:rFonts w:cs="Times New Roman"/>
          <w:lang w:val="fr-CA"/>
        </w:rPr>
        <w:t xml:space="preserve">Dans son témoignage, le sergent Knopp a affirmé sans équivoque que les taches à l’arrière et sur le côté du tee-shirt de M. Saddleback étaient des </w:t>
      </w:r>
      <w:r w:rsidRPr="00D53AA2">
        <w:rPr>
          <w:rFonts w:cs="Times New Roman"/>
          <w:i/>
          <w:lang w:val="fr-CA"/>
        </w:rPr>
        <w:t>taches de transfert</w:t>
      </w:r>
      <w:r w:rsidRPr="00D53AA2">
        <w:rPr>
          <w:rFonts w:cs="Times New Roman"/>
          <w:lang w:val="fr-CA"/>
        </w:rPr>
        <w:t xml:space="preserve"> (d.a., vol. III, p. 461). Selon l’expert, ces taches n’étaient pas le résultat d’éclaboussures, mais plutôt d’un contact direct du tee-shirt avec la source de sang. La présence d’un nombre considérable de taches de transfert sur tous les vêtements de M. Saddleback était particulièrement accablante pour la défense. Le fait qu’aucun sang n’a été observé sur les parties exposées du corps de M. Saddleback à l’arrivée au poste de police était sans importance. Il était loisible au juge du procès de conclure que l’absence d’éclaboussures de sang observables sur ces parties du corps de M. Saddleback ne suscitait pas un doute raisonnable (d.a., vol. I, p. 5).</w:t>
      </w:r>
    </w:p>
    <w:p w14:paraId="3D68EB5F" w14:textId="77777777" w:rsidR="00D53AA2" w:rsidRPr="00D53AA2" w:rsidRDefault="00D53AA2" w:rsidP="00CB4889">
      <w:pPr>
        <w:pStyle w:val="Title4LevelTitre4Niveau"/>
        <w:numPr>
          <w:ilvl w:val="1"/>
          <w:numId w:val="7"/>
        </w:numPr>
        <w:ind w:left="1134" w:hanging="567"/>
        <w:rPr>
          <w:rFonts w:cs="Times New Roman"/>
          <w:lang w:val="fr-CA"/>
        </w:rPr>
      </w:pPr>
      <w:r w:rsidRPr="00D53AA2">
        <w:rPr>
          <w:rFonts w:cs="Times New Roman"/>
          <w:lang w:val="fr-CA"/>
        </w:rPr>
        <w:t>Autres inférences raisonnables que la culpabilité</w:t>
      </w:r>
    </w:p>
    <w:p w14:paraId="7D1A5E6B" w14:textId="77777777" w:rsidR="00D53AA2" w:rsidRPr="00D53AA2" w:rsidRDefault="00D53AA2" w:rsidP="00D53AA2">
      <w:pPr>
        <w:pStyle w:val="ParaNoNdepar-AltN"/>
        <w:rPr>
          <w:rFonts w:cs="Times New Roman"/>
          <w:lang w:val="fr-CA"/>
        </w:rPr>
      </w:pPr>
      <w:r w:rsidRPr="00D53AA2">
        <w:rPr>
          <w:rFonts w:cs="Times New Roman"/>
          <w:lang w:val="fr-CA"/>
        </w:rPr>
        <w:t>Monsieur Saddleback prétend en outre que ni le dossier ni les motifs du juge du procès ne révèlent pourquoi il a été déclaré coupable. À son avis, [</w:t>
      </w:r>
      <w:r w:rsidRPr="00D53AA2">
        <w:rPr>
          <w:rFonts w:cs="Times New Roman"/>
          <w:smallCaps/>
          <w:lang w:val="fr-CA"/>
        </w:rPr>
        <w:t>traduction</w:t>
      </w:r>
      <w:r w:rsidRPr="00D53AA2">
        <w:rPr>
          <w:rFonts w:cs="Times New Roman"/>
          <w:lang w:val="fr-CA"/>
        </w:rPr>
        <w:t>] « le fait qu’il représentait un suspect commode semble avoir mené à une appréciation superficielle de la preuve, comme si sa culpabilité était présumée » (m.i., par. 117).</w:t>
      </w:r>
    </w:p>
    <w:p w14:paraId="77A536F0" w14:textId="77777777" w:rsidR="00D53AA2" w:rsidRPr="00D53AA2" w:rsidRDefault="00D53AA2" w:rsidP="00D53AA2">
      <w:pPr>
        <w:pStyle w:val="ParaNoNdepar-AltN"/>
        <w:rPr>
          <w:rFonts w:cs="Times New Roman"/>
          <w:lang w:val="fr-CA"/>
        </w:rPr>
      </w:pPr>
      <w:r w:rsidRPr="00D53AA2">
        <w:rPr>
          <w:rFonts w:cs="Times New Roman"/>
          <w:lang w:val="fr-CA"/>
        </w:rPr>
        <w:t>Avec égards, cet argument est sans fondement.</w:t>
      </w:r>
    </w:p>
    <w:p w14:paraId="18398FFF" w14:textId="77777777" w:rsidR="00D53AA2" w:rsidRPr="00D53AA2" w:rsidRDefault="00D53AA2" w:rsidP="00D53AA2">
      <w:pPr>
        <w:pStyle w:val="ParaNoNdepar-AltN"/>
        <w:rPr>
          <w:rFonts w:cs="Times New Roman"/>
          <w:lang w:val="fr-CA"/>
        </w:rPr>
      </w:pPr>
      <w:r w:rsidRPr="00D53AA2">
        <w:rPr>
          <w:rFonts w:cs="Times New Roman"/>
          <w:lang w:val="fr-CA"/>
        </w:rPr>
        <w:lastRenderedPageBreak/>
        <w:t xml:space="preserve">Dans l’arrêt </w:t>
      </w:r>
      <w:r w:rsidRPr="00D53AA2">
        <w:rPr>
          <w:rFonts w:cs="Times New Roman"/>
          <w:i/>
          <w:lang w:val="fr-CA"/>
        </w:rPr>
        <w:t>R. c. D. (J.J.R.)</w:t>
      </w:r>
      <w:r w:rsidRPr="00D53AA2">
        <w:rPr>
          <w:rFonts w:cs="Times New Roman"/>
          <w:lang w:val="fr-CA"/>
        </w:rPr>
        <w:t xml:space="preserve"> (2006), 215 C.C.C. (3d) 252 (C.A. Ont.), le juge Doherty a souligné que [</w:t>
      </w:r>
      <w:r w:rsidRPr="00D53AA2">
        <w:rPr>
          <w:rFonts w:cs="Times New Roman"/>
          <w:smallCaps/>
          <w:lang w:val="fr-CA"/>
        </w:rPr>
        <w:t>traduction</w:t>
      </w:r>
      <w:r w:rsidRPr="00D53AA2">
        <w:rPr>
          <w:rFonts w:cs="Times New Roman"/>
          <w:lang w:val="fr-CA"/>
        </w:rPr>
        <w:t xml:space="preserve">] « les juridictions d’appel [ne devraient pas] surestimer la complexité de la plupart des litiges en matière criminelle ni sous-estimer la capacité des personnes qui participent au procès à comprendre les motifs du résultat. La plupart des procès criminels, même les plus difficiles, ne sont pas particulièrement compliqués. </w:t>
      </w:r>
      <w:r w:rsidRPr="00D53AA2">
        <w:rPr>
          <w:rFonts w:cs="Times New Roman"/>
          <w:u w:val="single"/>
          <w:lang w:val="fr-CA"/>
        </w:rPr>
        <w:t>La plupart des accusés, même ceux qui contestent vigoureusement le résultat, comprennent très bien pourquoi ils ont été déclarés coupables</w:t>
      </w:r>
      <w:r w:rsidRPr="00D53AA2">
        <w:rPr>
          <w:rFonts w:cs="Times New Roman"/>
          <w:lang w:val="fr-CA"/>
        </w:rPr>
        <w:t> » (par. 33 (je souligne)).</w:t>
      </w:r>
    </w:p>
    <w:p w14:paraId="7355F862" w14:textId="77777777" w:rsidR="00D53AA2" w:rsidRPr="00D53AA2" w:rsidRDefault="00D53AA2" w:rsidP="00D53AA2">
      <w:pPr>
        <w:pStyle w:val="ParaNoNdepar-AltN"/>
        <w:rPr>
          <w:rFonts w:cs="Times New Roman"/>
          <w:lang w:val="fr-CA"/>
        </w:rPr>
      </w:pPr>
      <w:r w:rsidRPr="00D53AA2">
        <w:rPr>
          <w:rFonts w:cs="Times New Roman"/>
          <w:lang w:val="fr-CA"/>
        </w:rPr>
        <w:t xml:space="preserve">Comme dans </w:t>
      </w:r>
      <w:r w:rsidRPr="00D53AA2">
        <w:rPr>
          <w:rFonts w:cs="Times New Roman"/>
          <w:i/>
          <w:lang w:val="fr-CA"/>
        </w:rPr>
        <w:t>D. (J.J.R.)</w:t>
      </w:r>
      <w:r w:rsidRPr="00D53AA2">
        <w:rPr>
          <w:rFonts w:cs="Times New Roman"/>
          <w:lang w:val="fr-CA"/>
        </w:rPr>
        <w:t>, les raisons de la déclaration de culpabilité de M. Saddleback sont évidentes au vu du dossier : considérée dans son ensemble, la preuve excluait de façon convaincante la possibilité raisonnable d’un agresseur inconnu ou tiers et établissait hors de tout doute raisonnable que M. Saddleback avait eu l’intention de causer illégalement la mort de M. Dennehy. Toutefois, à des fins de démonstration, et par souci d’équité envers M. Saddleback, il convient de passer en revue certains des éléments clés de la preuve qui confirment cette conclusion.</w:t>
      </w:r>
    </w:p>
    <w:p w14:paraId="4426C422" w14:textId="77777777" w:rsidR="00D53AA2" w:rsidRPr="00D53AA2" w:rsidRDefault="00D53AA2" w:rsidP="00D53AA2">
      <w:pPr>
        <w:pStyle w:val="ParaNoNdepar-AltN"/>
        <w:rPr>
          <w:rFonts w:cs="Times New Roman"/>
          <w:lang w:val="fr-CA"/>
        </w:rPr>
      </w:pPr>
      <w:r w:rsidRPr="00D53AA2">
        <w:rPr>
          <w:rFonts w:cs="Times New Roman"/>
          <w:lang w:val="fr-CA"/>
        </w:rPr>
        <w:t xml:space="preserve">Le groupe de témoins qui se trouvaient à la roulotte le soir de l’infraction a témoigné que, au moment où ils quittaient, M. Saddleback et M. Dennehy sont restés seuls tous les deux. Ils ont aperçu M. Dennehy parler au téléphone à ce moment-là. Bien qu’il y ait eu des incohérences quant au moment précis de leur départ, les témoins s’entendaient pour dire qu’ils n’ont pas été partis pendant longtemps avant qu’ils reviennent. Le groupe a été aperçu à la fête d’anniversaire par l’hôtesse, Bernadette </w:t>
      </w:r>
      <w:r w:rsidRPr="00D53AA2">
        <w:rPr>
          <w:rFonts w:cs="Times New Roman"/>
          <w:lang w:val="fr-CA"/>
        </w:rPr>
        <w:lastRenderedPageBreak/>
        <w:t>Standingontheroad. À l’arrivée des membres du groupe, [</w:t>
      </w:r>
      <w:r w:rsidRPr="00D53AA2">
        <w:rPr>
          <w:rFonts w:cs="Times New Roman"/>
          <w:smallCaps/>
          <w:lang w:val="fr-CA"/>
        </w:rPr>
        <w:t>traduction</w:t>
      </w:r>
      <w:r w:rsidRPr="00D53AA2">
        <w:rPr>
          <w:rFonts w:cs="Times New Roman"/>
          <w:lang w:val="fr-CA"/>
        </w:rPr>
        <w:t>] « il se faisait déjà assez tard », puis ils sont ensuite restés environ 30 minutes à une heure avant de quitter (d.a., vol. III, p. 323; voir aussi p. 326-327). Environ 20 à 25 minutes après avoir quitté la fête, l’une des membres du groupe, Cree Lightfoot, a reçu un appel l’informant de la découverte du corps de M. Dennehy (p. 488 et 490). C’est vers ce moment-là que M</w:t>
      </w:r>
      <w:r w:rsidRPr="00D53AA2">
        <w:rPr>
          <w:rFonts w:cs="Times New Roman"/>
          <w:vertAlign w:val="superscript"/>
          <w:lang w:val="fr-CA"/>
        </w:rPr>
        <w:t>me</w:t>
      </w:r>
      <w:r w:rsidRPr="00D53AA2">
        <w:rPr>
          <w:rFonts w:cs="Times New Roman"/>
          <w:lang w:val="fr-CA"/>
        </w:rPr>
        <w:t xml:space="preserve"> Standingontheroad a entendu des sirènes de police (p. 327). Non seulement ce laps de temps concorde avec le moment de l’appel téléphonique de M</w:t>
      </w:r>
      <w:r w:rsidRPr="00D53AA2">
        <w:rPr>
          <w:rFonts w:cs="Times New Roman"/>
          <w:vertAlign w:val="superscript"/>
          <w:lang w:val="fr-CA"/>
        </w:rPr>
        <w:t>me</w:t>
      </w:r>
      <w:r w:rsidRPr="00D53AA2">
        <w:rPr>
          <w:rFonts w:cs="Times New Roman"/>
          <w:lang w:val="fr-CA"/>
        </w:rPr>
        <w:t xml:space="preserve"> Bull avec M. Dennehy, mais il rend aussi pratiquement impossible l’existence d’un intervalle à l’intérieur duquel un autre membre du groupe, Ryley Standingontheroad, aurait pu théoriquement tuer M. Dennehy.</w:t>
      </w:r>
    </w:p>
    <w:p w14:paraId="1E3F21FF" w14:textId="77777777" w:rsidR="00D53AA2" w:rsidRPr="00D53AA2" w:rsidRDefault="00D53AA2" w:rsidP="00D53AA2">
      <w:pPr>
        <w:pStyle w:val="ParaNoNdepar-AltN"/>
        <w:rPr>
          <w:rFonts w:cs="Times New Roman"/>
          <w:lang w:val="fr-CA"/>
        </w:rPr>
      </w:pPr>
      <w:r w:rsidRPr="00D53AA2">
        <w:rPr>
          <w:rFonts w:cs="Times New Roman"/>
          <w:lang w:val="fr-CA"/>
        </w:rPr>
        <w:t>Le juge du procès a explicitement mentionné ce fait lorsqu’il a affirmé que la prétention selon laquelle [</w:t>
      </w:r>
      <w:r w:rsidRPr="00D53AA2">
        <w:rPr>
          <w:rFonts w:cs="Times New Roman"/>
          <w:smallCaps/>
          <w:lang w:val="fr-CA"/>
        </w:rPr>
        <w:t>traduction</w:t>
      </w:r>
      <w:r w:rsidRPr="00D53AA2">
        <w:rPr>
          <w:rFonts w:cs="Times New Roman"/>
          <w:lang w:val="fr-CA"/>
        </w:rPr>
        <w:t>] « [M. Standingontheroad], pour une raison qu’on ignore, aurait quitté le groupe, serait revenu, aurait attaqué et tué [M. Dennehy], pour ensuite repartir, et se changer et revenir sur les lieux n’est tout simplement pas possible dans le laps de temps indiqué et ne concorde pas non plus avec la preuve relative aux allées et venues ce soir-là » (d.a., vol. I, p. 5). En outre, a-t-il conclu, il était illogique de penser que quelqu’un d’autre [</w:t>
      </w:r>
      <w:r w:rsidRPr="00D53AA2">
        <w:rPr>
          <w:rFonts w:cs="Times New Roman"/>
          <w:smallCaps/>
          <w:lang w:val="fr-CA"/>
        </w:rPr>
        <w:t>traduction</w:t>
      </w:r>
      <w:r w:rsidRPr="00D53AA2">
        <w:rPr>
          <w:rFonts w:cs="Times New Roman"/>
          <w:lang w:val="fr-CA"/>
        </w:rPr>
        <w:t>] « attendait le départ de Joseph et des autres pour attaquer [M. Dennehy], ou est arrivé sur les lieux juste après leur départ, avec l’intention de commettre un meurtre, et a sauvagement attaqué [M. Dennehy] avec une hache » (p. 5).</w:t>
      </w:r>
    </w:p>
    <w:p w14:paraId="7707FEB6" w14:textId="77777777" w:rsidR="00D53AA2" w:rsidRPr="00D53AA2" w:rsidRDefault="00D53AA2" w:rsidP="00D53AA2">
      <w:pPr>
        <w:pStyle w:val="ParaNoNdepar-AltN"/>
        <w:rPr>
          <w:rFonts w:cs="Times New Roman"/>
          <w:lang w:val="fr-CA"/>
        </w:rPr>
      </w:pPr>
      <w:r w:rsidRPr="00D53AA2">
        <w:rPr>
          <w:rFonts w:cs="Times New Roman"/>
          <w:lang w:val="fr-CA"/>
        </w:rPr>
        <w:lastRenderedPageBreak/>
        <w:t>Il s’agit là de conclusions qu’il était tout à fait possible de tirer au vu du dossier. Le juge du procès a conclu que les autres scénarios proposés par M. Saddleback n’étaient pas raisonnables. Sur ce dernier point, il ne faut pas oublier que « [l]a considération la plus importante est [</w:t>
      </w:r>
      <w:r w:rsidRPr="00D53AA2">
        <w:rPr>
          <w:rFonts w:cs="Times New Roman"/>
          <w:smallCaps/>
          <w:lang w:val="fr-CA"/>
        </w:rPr>
        <w:t>traduction</w:t>
      </w:r>
      <w:r w:rsidRPr="00D53AA2">
        <w:rPr>
          <w:rFonts w:cs="Times New Roman"/>
          <w:lang w:val="fr-CA"/>
        </w:rPr>
        <w:t>] “[qu’il] appartient encore fondamentalement au juge des faits de décider si une façon différente de considérer l’affaire qui est proposée est suffisamment raisonnable pour soulever un doute dans son esprit” » (</w:t>
      </w:r>
      <w:r w:rsidRPr="00D53AA2">
        <w:rPr>
          <w:rFonts w:cs="Times New Roman"/>
          <w:i/>
          <w:lang w:val="fr-CA"/>
        </w:rPr>
        <w:t>R. c. Villaroman</w:t>
      </w:r>
      <w:r w:rsidRPr="00D53AA2">
        <w:rPr>
          <w:rFonts w:cs="Times New Roman"/>
          <w:lang w:val="fr-CA"/>
        </w:rPr>
        <w:t xml:space="preserve">, 2016 CSC 33, [2016] 1 R.C.S. 1000, par. 56, citant </w:t>
      </w:r>
      <w:r w:rsidRPr="00D53AA2">
        <w:rPr>
          <w:rFonts w:cs="Times New Roman"/>
          <w:i/>
          <w:lang w:val="fr-CA"/>
        </w:rPr>
        <w:t>R. c. Dipnarine</w:t>
      </w:r>
      <w:r w:rsidRPr="00D53AA2">
        <w:rPr>
          <w:rFonts w:cs="Times New Roman"/>
          <w:lang w:val="fr-CA"/>
        </w:rPr>
        <w:t xml:space="preserve">, 2014 ABCA 328, 316 C.C.C. (3d) 357, par. 22; voir aussi </w:t>
      </w:r>
      <w:r w:rsidRPr="00D53AA2">
        <w:rPr>
          <w:rFonts w:cs="Times New Roman"/>
          <w:i/>
          <w:lang w:val="fr-CA"/>
        </w:rPr>
        <w:t>Villaroman</w:t>
      </w:r>
      <w:r w:rsidRPr="00D53AA2">
        <w:rPr>
          <w:rFonts w:cs="Times New Roman"/>
          <w:lang w:val="fr-CA"/>
        </w:rPr>
        <w:t xml:space="preserve">, par. 55; </w:t>
      </w:r>
      <w:r w:rsidRPr="00D53AA2">
        <w:rPr>
          <w:rFonts w:cs="Times New Roman"/>
          <w:i/>
          <w:lang w:val="fr-CA"/>
        </w:rPr>
        <w:t>Dipnarine</w:t>
      </w:r>
      <w:r w:rsidRPr="00D53AA2">
        <w:rPr>
          <w:rFonts w:cs="Times New Roman"/>
          <w:lang w:val="fr-CA"/>
        </w:rPr>
        <w:t xml:space="preserve">, par. 23-24). En l’espèce, M. Saddleback a été découvert seul à la scène du crime portant des vêtements couverts du sang de la victime et il a immédiatement pris la fuite lorsqu’il a été interpellé par les policiers arrivés sur les lieux. Une preuve aussi convaincante était plus que suffisante pour le déclarer coupable hors de tout doute raisonnable (voir, p. ex., </w:t>
      </w:r>
      <w:r w:rsidRPr="00D53AA2">
        <w:rPr>
          <w:rFonts w:cs="Times New Roman"/>
          <w:i/>
          <w:lang w:val="fr-CA"/>
        </w:rPr>
        <w:t>Ujvari c. R.</w:t>
      </w:r>
      <w:r w:rsidRPr="00D53AA2">
        <w:rPr>
          <w:rFonts w:cs="Times New Roman"/>
          <w:lang w:val="fr-CA"/>
        </w:rPr>
        <w:t>, 2019 QCCA 2001, par. 11-12).</w:t>
      </w:r>
    </w:p>
    <w:p w14:paraId="08C38C79" w14:textId="77777777" w:rsidR="00D53AA2" w:rsidRPr="00D53AA2" w:rsidRDefault="00D53AA2" w:rsidP="00D53AA2">
      <w:pPr>
        <w:pStyle w:val="Title2LevelTitre2Niveau"/>
        <w:rPr>
          <w:rFonts w:cs="Times New Roman"/>
          <w:lang w:val="fr-CA"/>
        </w:rPr>
      </w:pPr>
      <w:r w:rsidRPr="00D53AA2">
        <w:rPr>
          <w:rFonts w:cs="Times New Roman"/>
          <w:lang w:val="fr-CA"/>
        </w:rPr>
        <w:t>Le juge du procès n’a pas commis d’erreur importante dans l’interprétation de la preuve</w:t>
      </w:r>
    </w:p>
    <w:p w14:paraId="50F0B747" w14:textId="77777777" w:rsidR="00D53AA2" w:rsidRPr="00D53AA2" w:rsidRDefault="00D53AA2" w:rsidP="00D53AA2">
      <w:pPr>
        <w:pStyle w:val="Title3LevelTitre3Niveau"/>
        <w:rPr>
          <w:rFonts w:cs="Times New Roman"/>
          <w:lang w:val="fr-CA"/>
        </w:rPr>
      </w:pPr>
      <w:r w:rsidRPr="00D53AA2">
        <w:rPr>
          <w:rFonts w:cs="Times New Roman"/>
          <w:lang w:val="fr-CA"/>
        </w:rPr>
        <w:t>Positions des parties</w:t>
      </w:r>
    </w:p>
    <w:p w14:paraId="3DB3F6E9" w14:textId="77777777" w:rsidR="00D53AA2" w:rsidRPr="00D53AA2" w:rsidRDefault="00D53AA2" w:rsidP="00D53AA2">
      <w:pPr>
        <w:pStyle w:val="ParaNoNdepar-AltN"/>
        <w:rPr>
          <w:rFonts w:cs="Times New Roman"/>
          <w:lang w:val="fr-CA"/>
        </w:rPr>
      </w:pPr>
      <w:r w:rsidRPr="00D53AA2">
        <w:rPr>
          <w:rFonts w:cs="Times New Roman"/>
          <w:lang w:val="fr-CA"/>
        </w:rPr>
        <w:t>Monsieur Saddleback prétend que le juge du procès a mal interprété le témoignage de M</w:t>
      </w:r>
      <w:r w:rsidRPr="00D53AA2">
        <w:rPr>
          <w:rFonts w:cs="Times New Roman"/>
          <w:vertAlign w:val="superscript"/>
          <w:lang w:val="fr-CA"/>
        </w:rPr>
        <w:t>me</w:t>
      </w:r>
      <w:r w:rsidRPr="00D53AA2">
        <w:rPr>
          <w:rFonts w:cs="Times New Roman"/>
          <w:lang w:val="fr-CA"/>
        </w:rPr>
        <w:t xml:space="preserve"> Bull en lui attribuant un compte rendu clair et fiable de la déclaration de la victime selon laquelle des gens quittaient. À son avis, cela constituait une interprétation erronée de la preuve, parce que la preuve de M</w:t>
      </w:r>
      <w:r w:rsidRPr="00D53AA2">
        <w:rPr>
          <w:rFonts w:cs="Times New Roman"/>
          <w:vertAlign w:val="superscript"/>
          <w:lang w:val="fr-CA"/>
        </w:rPr>
        <w:t>me</w:t>
      </w:r>
      <w:r w:rsidRPr="00D53AA2">
        <w:rPr>
          <w:rFonts w:cs="Times New Roman"/>
          <w:lang w:val="fr-CA"/>
        </w:rPr>
        <w:t xml:space="preserve"> Bull était, en vérité, [</w:t>
      </w:r>
      <w:r w:rsidRPr="00D53AA2">
        <w:rPr>
          <w:rFonts w:cs="Times New Roman"/>
          <w:smallCaps/>
          <w:lang w:val="fr-CA"/>
        </w:rPr>
        <w:t>traduction</w:t>
      </w:r>
      <w:r w:rsidRPr="00D53AA2">
        <w:rPr>
          <w:rFonts w:cs="Times New Roman"/>
          <w:lang w:val="fr-CA"/>
        </w:rPr>
        <w:t xml:space="preserve">] « vague, ambiguë et non rattachée formellement à une heure précise ou </w:t>
      </w:r>
      <w:r w:rsidRPr="00D53AA2">
        <w:rPr>
          <w:rFonts w:cs="Times New Roman"/>
          <w:lang w:val="fr-CA"/>
        </w:rPr>
        <w:lastRenderedPageBreak/>
        <w:t>à un groupe précis » (m.i., par. 67). Il soutient que cette conclusion était au cœur de la déclaration de culpabilité prononcée par le juge du procès et qu’elle revêtait par conséquent un caractère important.</w:t>
      </w:r>
    </w:p>
    <w:p w14:paraId="3C141380" w14:textId="77777777" w:rsidR="00D53AA2" w:rsidRPr="00D53AA2" w:rsidRDefault="00D53AA2" w:rsidP="00D53AA2">
      <w:pPr>
        <w:pStyle w:val="ParaNoNdepar-AltN"/>
        <w:rPr>
          <w:rFonts w:cs="Times New Roman"/>
          <w:lang w:val="fr-CA"/>
        </w:rPr>
      </w:pPr>
      <w:r w:rsidRPr="00D53AA2">
        <w:rPr>
          <w:rFonts w:cs="Times New Roman"/>
          <w:lang w:val="fr-CA"/>
        </w:rPr>
        <w:t>En réponse, la Couronne plaide que la conclusion du juge du procès était une constatation de fait raisonnable et limitée qu’il pouvait tirer au vu du dossier, puisque le témoignage de M</w:t>
      </w:r>
      <w:r w:rsidRPr="00D53AA2">
        <w:rPr>
          <w:rFonts w:cs="Times New Roman"/>
          <w:vertAlign w:val="superscript"/>
          <w:lang w:val="fr-CA"/>
        </w:rPr>
        <w:t>me</w:t>
      </w:r>
      <w:r w:rsidRPr="00D53AA2">
        <w:rPr>
          <w:rFonts w:cs="Times New Roman"/>
          <w:lang w:val="fr-CA"/>
        </w:rPr>
        <w:t xml:space="preserve"> Bull à cet égard était confirmé par les témoignages indépendants de témoins. De l’avis de la Couronne, l’argument de M. Saddleback doit être écarté, car il est insuffisant, pour une partie qui allègue une erreur importante dans l’interprétation de la preuve, de simplement prétendre qu’une autre inférence pouvait être tirée ou qu’une autre interprétation de la preuve était possible.</w:t>
      </w:r>
    </w:p>
    <w:p w14:paraId="693CDA95" w14:textId="77777777" w:rsidR="00D53AA2" w:rsidRPr="00D53AA2" w:rsidRDefault="00D53AA2" w:rsidP="00D53AA2">
      <w:pPr>
        <w:pStyle w:val="Title3LevelTitre3Niveau"/>
        <w:rPr>
          <w:rFonts w:cs="Times New Roman"/>
          <w:lang w:val="fr-CA"/>
        </w:rPr>
      </w:pPr>
      <w:r w:rsidRPr="00D53AA2">
        <w:rPr>
          <w:rFonts w:cs="Times New Roman"/>
          <w:lang w:val="fr-CA"/>
        </w:rPr>
        <w:t>Norme de contrôle</w:t>
      </w:r>
    </w:p>
    <w:p w14:paraId="5E9A7219" w14:textId="77777777" w:rsidR="00D53AA2" w:rsidRPr="00D53AA2" w:rsidRDefault="00D53AA2" w:rsidP="00D53AA2">
      <w:pPr>
        <w:pStyle w:val="ParaNoNdepar-AltN"/>
        <w:rPr>
          <w:rFonts w:cs="Times New Roman"/>
          <w:lang w:val="fr-CA"/>
        </w:rPr>
      </w:pPr>
      <w:r w:rsidRPr="00D53AA2">
        <w:rPr>
          <w:rFonts w:cs="Times New Roman"/>
          <w:lang w:val="fr-CA"/>
        </w:rPr>
        <w:t>Une allégation d’erreur importante dans l’interprétation de la preuve commande une « norme stricte » de contrôle (</w:t>
      </w:r>
      <w:r w:rsidRPr="00D53AA2">
        <w:rPr>
          <w:rFonts w:cs="Times New Roman"/>
          <w:i/>
          <w:lang w:val="fr-CA"/>
        </w:rPr>
        <w:t>R. c. Lohrer</w:t>
      </w:r>
      <w:r w:rsidRPr="00D53AA2">
        <w:rPr>
          <w:rFonts w:cs="Times New Roman"/>
          <w:lang w:val="fr-CA"/>
        </w:rPr>
        <w:t xml:space="preserve">, 2004 CSC 80, [2004] 3 R.C.S. 732, par. 2, citant </w:t>
      </w:r>
      <w:r w:rsidRPr="00D53AA2">
        <w:rPr>
          <w:rFonts w:cs="Times New Roman"/>
          <w:i/>
          <w:lang w:val="fr-CA"/>
        </w:rPr>
        <w:t>R. c. Morrissey</w:t>
      </w:r>
      <w:r w:rsidRPr="00D53AA2">
        <w:rPr>
          <w:rFonts w:cs="Times New Roman"/>
          <w:lang w:val="fr-CA"/>
        </w:rPr>
        <w:t xml:space="preserve"> (1995), 97 C.C.C. (3d) 193 (C.A. Ont.); voir aussi </w:t>
      </w:r>
      <w:r w:rsidRPr="00D53AA2">
        <w:rPr>
          <w:rFonts w:cs="Times New Roman"/>
          <w:i/>
          <w:lang w:val="fr-CA"/>
        </w:rPr>
        <w:t>R. c. Sinclair</w:t>
      </w:r>
      <w:r w:rsidRPr="00D53AA2">
        <w:rPr>
          <w:rFonts w:cs="Times New Roman"/>
          <w:lang w:val="fr-CA"/>
        </w:rPr>
        <w:t>, 2011 CSC 40, [2011] 3 R.C.S. 3). Lorsque ce type d’erreur est allégué, l</w:t>
      </w:r>
      <w:proofErr w:type="gramStart"/>
      <w:r w:rsidRPr="00D53AA2">
        <w:rPr>
          <w:rFonts w:cs="Times New Roman"/>
          <w:lang w:val="fr-CA"/>
        </w:rPr>
        <w:t>’«</w:t>
      </w:r>
      <w:proofErr w:type="gramEnd"/>
      <w:r w:rsidRPr="00D53AA2">
        <w:rPr>
          <w:rFonts w:cs="Times New Roman"/>
          <w:lang w:val="fr-CA"/>
        </w:rPr>
        <w:t> interprétation erronée de la preuve doit porter sur l’essence plutôt que sur des détails » et « doit avoir une incidence importante plutôt que secondaire sur le raisonnement du juge du procès » (</w:t>
      </w:r>
      <w:r w:rsidRPr="00D53AA2">
        <w:rPr>
          <w:rFonts w:cs="Times New Roman"/>
          <w:i/>
          <w:lang w:val="fr-CA"/>
        </w:rPr>
        <w:t>Lohrer</w:t>
      </w:r>
      <w:r w:rsidRPr="00D53AA2">
        <w:rPr>
          <w:rFonts w:cs="Times New Roman"/>
          <w:lang w:val="fr-CA"/>
        </w:rPr>
        <w:t>, par. 2). Bref, l’erreur doit jouer un rôle capital dans le raisonnement à l’origine de la déclaration de culpabilité (par. 2), en ce sens que son élimination du raisonnement saperait l’assise de celle-ci (</w:t>
      </w:r>
      <w:r w:rsidRPr="00D53AA2">
        <w:rPr>
          <w:rFonts w:cs="Times New Roman"/>
          <w:i/>
          <w:lang w:val="fr-CA"/>
        </w:rPr>
        <w:t>Sinclair</w:t>
      </w:r>
      <w:r w:rsidRPr="00D53AA2">
        <w:rPr>
          <w:rFonts w:cs="Times New Roman"/>
          <w:lang w:val="fr-CA"/>
        </w:rPr>
        <w:t>, par. 56).</w:t>
      </w:r>
    </w:p>
    <w:p w14:paraId="66181F77" w14:textId="77777777" w:rsidR="00D53AA2" w:rsidRPr="00D53AA2" w:rsidRDefault="00D53AA2" w:rsidP="00D53AA2">
      <w:pPr>
        <w:pStyle w:val="Title3LevelTitre3Niveau"/>
        <w:rPr>
          <w:rFonts w:cs="Times New Roman"/>
          <w:lang w:val="fr-CA"/>
        </w:rPr>
      </w:pPr>
      <w:r w:rsidRPr="00D53AA2">
        <w:rPr>
          <w:rFonts w:cs="Times New Roman"/>
          <w:lang w:val="fr-CA"/>
        </w:rPr>
        <w:lastRenderedPageBreak/>
        <w:t>Analyse</w:t>
      </w:r>
    </w:p>
    <w:p w14:paraId="467C1822" w14:textId="77777777" w:rsidR="00D53AA2" w:rsidRPr="00D53AA2" w:rsidRDefault="00D53AA2" w:rsidP="00D53AA2">
      <w:pPr>
        <w:pStyle w:val="ParaNoNdepar-AltN"/>
        <w:rPr>
          <w:rFonts w:cs="Times New Roman"/>
          <w:lang w:val="fr-CA"/>
        </w:rPr>
      </w:pPr>
      <w:r w:rsidRPr="00D53AA2">
        <w:rPr>
          <w:rFonts w:cs="Times New Roman"/>
          <w:lang w:val="fr-CA"/>
        </w:rPr>
        <w:t>Monsieur Saddleback conteste la portion suivante des conclusions du juge du procès relatives au témoignage de M</w:t>
      </w:r>
      <w:r w:rsidRPr="00D53AA2">
        <w:rPr>
          <w:rFonts w:cs="Times New Roman"/>
          <w:vertAlign w:val="superscript"/>
          <w:lang w:val="fr-CA"/>
        </w:rPr>
        <w:t>me</w:t>
      </w:r>
      <w:r w:rsidRPr="00D53AA2">
        <w:rPr>
          <w:rFonts w:cs="Times New Roman"/>
          <w:lang w:val="fr-CA"/>
        </w:rPr>
        <w:t xml:space="preserve"> Bull :</w:t>
      </w:r>
    </w:p>
    <w:p w14:paraId="21B6AC84" w14:textId="77777777" w:rsidR="00D53AA2" w:rsidRPr="00D53AA2" w:rsidRDefault="00D53AA2" w:rsidP="00D53AA2">
      <w:pPr>
        <w:pStyle w:val="Citation-AltC"/>
        <w:ind w:firstLine="274"/>
        <w:rPr>
          <w:lang w:val="fr-CA"/>
        </w:rPr>
      </w:pPr>
      <w:r w:rsidRPr="00D53AA2">
        <w:rPr>
          <w:lang w:val="fr-CA"/>
        </w:rPr>
        <w:t>[</w:t>
      </w:r>
      <w:r w:rsidRPr="00D53AA2">
        <w:rPr>
          <w:smallCaps/>
          <w:lang w:val="fr-CA"/>
        </w:rPr>
        <w:t>traduction</w:t>
      </w:r>
      <w:r w:rsidRPr="00D53AA2">
        <w:rPr>
          <w:lang w:val="fr-CA"/>
        </w:rPr>
        <w:t xml:space="preserve">] Aussi, durant cet appel téléphonique, </w:t>
      </w:r>
      <w:r w:rsidRPr="00D53AA2">
        <w:rPr>
          <w:u w:val="single"/>
          <w:lang w:val="fr-CA"/>
        </w:rPr>
        <w:t>la preuve de [M</w:t>
      </w:r>
      <w:r w:rsidRPr="00D53AA2">
        <w:rPr>
          <w:u w:val="single"/>
          <w:vertAlign w:val="superscript"/>
          <w:lang w:val="fr-CA"/>
        </w:rPr>
        <w:t>me</w:t>
      </w:r>
      <w:r w:rsidRPr="00D53AA2">
        <w:rPr>
          <w:u w:val="single"/>
          <w:lang w:val="fr-CA"/>
        </w:rPr>
        <w:t xml:space="preserve"> Bull] que j’accepte est que [M. Dennehy] a mentionné que des gens quittaient</w:t>
      </w:r>
      <w:r w:rsidRPr="00D53AA2">
        <w:rPr>
          <w:lang w:val="fr-CA"/>
        </w:rPr>
        <w:t>. Cela concorde avec la preuve de Joseph, de [M. Standingontheroad] et d’autres personnes selon laquelle ils sont partis avec Bryce et son groupe à un moment où [M. Dennehy] parlait au téléphone cellulaire. Il ne restait plus que [M. Dennehy] et [M. Saddleback] sur les lieux. L’heure devait se situer entre 22 h 10 et environ 22 h 30. Vers 22 h 30, Trevor Moonias a trouvé [M. Dennehy] inanimé malgré ses efforts de [réanimation]. À 22 h 44, Trevor a appelé la police. Les policiers sont arrivés une minute avant 23 h. [Je souligne.]</w:t>
      </w:r>
    </w:p>
    <w:p w14:paraId="78050776" w14:textId="77777777" w:rsidR="00D53AA2" w:rsidRPr="00D53AA2" w:rsidRDefault="00D53AA2" w:rsidP="00D53AA2">
      <w:pPr>
        <w:pStyle w:val="ParaNoNdepar-AltN"/>
        <w:rPr>
          <w:rFonts w:cs="Times New Roman"/>
          <w:lang w:val="fr-CA"/>
        </w:rPr>
      </w:pPr>
      <w:r w:rsidRPr="00D53AA2">
        <w:rPr>
          <w:rFonts w:cs="Times New Roman"/>
          <w:lang w:val="fr-CA"/>
        </w:rPr>
        <w:t>Il plaide (1) que la portée des questions posées à M</w:t>
      </w:r>
      <w:r w:rsidRPr="00D53AA2">
        <w:rPr>
          <w:rFonts w:cs="Times New Roman"/>
          <w:vertAlign w:val="superscript"/>
          <w:lang w:val="fr-CA"/>
        </w:rPr>
        <w:t>me</w:t>
      </w:r>
      <w:r w:rsidRPr="00D53AA2">
        <w:rPr>
          <w:rFonts w:cs="Times New Roman"/>
          <w:lang w:val="fr-CA"/>
        </w:rPr>
        <w:t xml:space="preserve"> Bull et les réponses qu’elle a données en retour limitaient les conclusions qu’il était possible de tirer de son témoignage et (2) que la preuve de cette dernière était ambiguë, confuse et non fiable.</w:t>
      </w:r>
    </w:p>
    <w:p w14:paraId="73FC2CF4" w14:textId="77777777" w:rsidR="00D53AA2" w:rsidRPr="00D53AA2" w:rsidRDefault="00D53AA2" w:rsidP="00D53AA2">
      <w:pPr>
        <w:pStyle w:val="ParaNoNdepar-AltN"/>
        <w:rPr>
          <w:rFonts w:cs="Times New Roman"/>
          <w:lang w:val="fr-CA"/>
        </w:rPr>
      </w:pPr>
      <w:r w:rsidRPr="00D53AA2">
        <w:rPr>
          <w:rFonts w:cs="Times New Roman"/>
          <w:lang w:val="fr-CA"/>
        </w:rPr>
        <w:t>Afin de bien saisir le premier argument de M. Saddleback, il est nécessaire d’examiner les portions pertinentes du témoignage de M</w:t>
      </w:r>
      <w:r w:rsidRPr="00D53AA2">
        <w:rPr>
          <w:rFonts w:cs="Times New Roman"/>
          <w:vertAlign w:val="superscript"/>
          <w:lang w:val="fr-CA"/>
        </w:rPr>
        <w:t>me</w:t>
      </w:r>
      <w:r w:rsidRPr="00D53AA2">
        <w:rPr>
          <w:rFonts w:cs="Times New Roman"/>
          <w:lang w:val="fr-CA"/>
        </w:rPr>
        <w:t xml:space="preserve"> Bull au procès. Durant l’interrogatoire principal, aucune preuve n’a été sollicitée sur la question du départ des autres personnes de la roulotte. Cette question n’a été soulevée qu’en contre-interrogatoire, et ce, uniquement en lien avec le témoignage antérieur de M</w:t>
      </w:r>
      <w:r w:rsidRPr="00D53AA2">
        <w:rPr>
          <w:rFonts w:cs="Times New Roman"/>
          <w:vertAlign w:val="superscript"/>
          <w:lang w:val="fr-CA"/>
        </w:rPr>
        <w:t>me</w:t>
      </w:r>
      <w:r w:rsidRPr="00D53AA2">
        <w:rPr>
          <w:rFonts w:cs="Times New Roman"/>
          <w:lang w:val="fr-CA"/>
        </w:rPr>
        <w:t xml:space="preserve"> Bull à l’enquête préliminaire.</w:t>
      </w:r>
    </w:p>
    <w:p w14:paraId="2C558CD8" w14:textId="77777777" w:rsidR="00D53AA2" w:rsidRPr="00D53AA2" w:rsidRDefault="00D53AA2" w:rsidP="00D53AA2">
      <w:pPr>
        <w:pStyle w:val="ParaNoNdepar-AltN"/>
        <w:rPr>
          <w:rFonts w:cs="Times New Roman"/>
          <w:lang w:val="fr-CA"/>
        </w:rPr>
      </w:pPr>
      <w:r w:rsidRPr="00D53AA2">
        <w:rPr>
          <w:rFonts w:cs="Times New Roman"/>
          <w:lang w:val="fr-CA"/>
        </w:rPr>
        <w:lastRenderedPageBreak/>
        <w:t>Durant le contre-interrogatoire, l’échange suivant a eu lieu entre l’avocat de la défense et M</w:t>
      </w:r>
      <w:r w:rsidRPr="00D53AA2">
        <w:rPr>
          <w:rFonts w:cs="Times New Roman"/>
          <w:vertAlign w:val="superscript"/>
          <w:lang w:val="fr-CA"/>
        </w:rPr>
        <w:t>me</w:t>
      </w:r>
      <w:r w:rsidRPr="00D53AA2">
        <w:rPr>
          <w:rFonts w:cs="Times New Roman"/>
          <w:lang w:val="fr-CA"/>
        </w:rPr>
        <w:t xml:space="preserve"> Bull :</w:t>
      </w:r>
    </w:p>
    <w:p w14:paraId="69090C37" w14:textId="77777777" w:rsidR="00D53AA2" w:rsidRPr="00D53AA2" w:rsidRDefault="00D53AA2" w:rsidP="00D53AA2">
      <w:pPr>
        <w:pStyle w:val="Citation-AltC"/>
        <w:spacing w:after="240"/>
        <w:ind w:left="2156" w:hanging="990"/>
        <w:contextualSpacing w:val="0"/>
        <w:rPr>
          <w:bCs/>
          <w:lang w:val="fr-CA"/>
        </w:rPr>
      </w:pPr>
      <w:r w:rsidRPr="00D53AA2">
        <w:rPr>
          <w:bCs/>
          <w:lang w:val="fr-CA"/>
        </w:rPr>
        <w:t>[</w:t>
      </w:r>
      <w:r w:rsidRPr="00D53AA2">
        <w:rPr>
          <w:bCs/>
          <w:smallCaps/>
          <w:lang w:val="fr-CA"/>
        </w:rPr>
        <w:t>traduction</w:t>
      </w:r>
      <w:r w:rsidRPr="00D53AA2">
        <w:rPr>
          <w:bCs/>
          <w:lang w:val="fr-CA"/>
        </w:rPr>
        <w:t>]</w:t>
      </w:r>
    </w:p>
    <w:p w14:paraId="1B267A57" w14:textId="77777777" w:rsidR="00D53AA2" w:rsidRPr="00D53AA2" w:rsidRDefault="00D53AA2" w:rsidP="00D53AA2">
      <w:pPr>
        <w:pStyle w:val="Citation-AltC"/>
        <w:spacing w:after="0"/>
        <w:ind w:left="2160" w:hanging="992"/>
        <w:contextualSpacing w:val="0"/>
        <w:rPr>
          <w:lang w:val="fr-CA"/>
        </w:rPr>
      </w:pPr>
      <w:r w:rsidRPr="00D53AA2">
        <w:rPr>
          <w:lang w:val="fr-CA"/>
        </w:rPr>
        <w:t>Q</w:t>
      </w:r>
      <w:r w:rsidRPr="00D53AA2">
        <w:rPr>
          <w:lang w:val="fr-CA"/>
        </w:rPr>
        <w:tab/>
        <w:t>Très bien. À l’enquête préliminaire, à laquelle vous avez témoigné le 27 avril de l’année dernière, vous avez dit que cette remarque avait été faite avant le départ de Joseph et [M. Standingontheroad] ou environ au moment où ils quittaient.</w:t>
      </w:r>
    </w:p>
    <w:p w14:paraId="2E3025B6" w14:textId="77777777" w:rsidR="00D53AA2" w:rsidRPr="00D53AA2" w:rsidRDefault="00D53AA2" w:rsidP="00D53AA2">
      <w:pPr>
        <w:pStyle w:val="Citation-AltC"/>
        <w:spacing w:after="240"/>
        <w:ind w:left="2156" w:hanging="990"/>
        <w:contextualSpacing w:val="0"/>
        <w:rPr>
          <w:lang w:val="fr-CA"/>
        </w:rPr>
      </w:pPr>
      <w:r w:rsidRPr="00D53AA2">
        <w:rPr>
          <w:lang w:val="fr-CA"/>
        </w:rPr>
        <w:t>R</w:t>
      </w:r>
      <w:r w:rsidRPr="00D53AA2">
        <w:rPr>
          <w:lang w:val="fr-CA"/>
        </w:rPr>
        <w:tab/>
        <w:t>Oui.</w:t>
      </w:r>
    </w:p>
    <w:p w14:paraId="08238340" w14:textId="77777777" w:rsidR="00D53AA2" w:rsidRPr="00D53AA2" w:rsidRDefault="00D53AA2" w:rsidP="00D53AA2">
      <w:pPr>
        <w:pStyle w:val="Citation-AltC"/>
        <w:spacing w:after="240"/>
        <w:ind w:left="2156"/>
        <w:contextualSpacing w:val="0"/>
        <w:jc w:val="center"/>
        <w:rPr>
          <w:lang w:val="fr-CA"/>
        </w:rPr>
      </w:pPr>
      <w:r w:rsidRPr="00D53AA2">
        <w:rPr>
          <w:lang w:val="fr-CA"/>
        </w:rPr>
        <w:t>. . .</w:t>
      </w:r>
    </w:p>
    <w:p w14:paraId="556ED057" w14:textId="77777777" w:rsidR="00D53AA2" w:rsidRPr="00D53AA2" w:rsidRDefault="00D53AA2" w:rsidP="00D53AA2">
      <w:pPr>
        <w:pStyle w:val="Citation-AltC"/>
        <w:spacing w:after="0"/>
        <w:ind w:left="2160" w:hanging="992"/>
        <w:contextualSpacing w:val="0"/>
        <w:rPr>
          <w:lang w:val="fr-CA"/>
        </w:rPr>
      </w:pPr>
      <w:r w:rsidRPr="00D53AA2">
        <w:rPr>
          <w:lang w:val="fr-CA"/>
        </w:rPr>
        <w:t>Q</w:t>
      </w:r>
      <w:r w:rsidRPr="00D53AA2">
        <w:rPr>
          <w:b/>
          <w:lang w:val="fr-CA"/>
        </w:rPr>
        <w:tab/>
      </w:r>
      <w:r w:rsidRPr="00D53AA2">
        <w:rPr>
          <w:u w:val="single"/>
          <w:lang w:val="fr-CA"/>
        </w:rPr>
        <w:t>Ok. Et [M. Dennehy] a dit qu’il se faisait larguer par ces gars; est-ce exact?</w:t>
      </w:r>
    </w:p>
    <w:p w14:paraId="173B8C40" w14:textId="77777777" w:rsidR="00D53AA2" w:rsidRPr="00D53AA2" w:rsidRDefault="00D53AA2" w:rsidP="00D53AA2">
      <w:pPr>
        <w:pStyle w:val="Citation-AltC"/>
        <w:spacing w:after="240"/>
        <w:ind w:left="2156" w:hanging="990"/>
        <w:contextualSpacing w:val="0"/>
        <w:rPr>
          <w:lang w:val="fr-CA"/>
        </w:rPr>
      </w:pPr>
      <w:r w:rsidRPr="00D53AA2">
        <w:rPr>
          <w:lang w:val="fr-CA"/>
        </w:rPr>
        <w:t>R</w:t>
      </w:r>
      <w:r w:rsidRPr="00D53AA2">
        <w:rPr>
          <w:lang w:val="fr-CA"/>
        </w:rPr>
        <w:tab/>
      </w:r>
      <w:r w:rsidRPr="00D53AA2">
        <w:rPr>
          <w:u w:val="single"/>
          <w:lang w:val="fr-CA"/>
        </w:rPr>
        <w:t>Non. Il n’a pas dit larguer.</w:t>
      </w:r>
    </w:p>
    <w:p w14:paraId="62802347" w14:textId="77777777" w:rsidR="00D53AA2" w:rsidRPr="00D53AA2" w:rsidRDefault="00D53AA2" w:rsidP="00D53AA2">
      <w:pPr>
        <w:pStyle w:val="Citation-AltC"/>
        <w:spacing w:after="0"/>
        <w:ind w:left="2160" w:hanging="992"/>
        <w:contextualSpacing w:val="0"/>
        <w:rPr>
          <w:lang w:val="fr-CA"/>
        </w:rPr>
      </w:pPr>
      <w:r w:rsidRPr="00D53AA2">
        <w:rPr>
          <w:lang w:val="fr-CA"/>
        </w:rPr>
        <w:t>Q</w:t>
      </w:r>
      <w:r w:rsidRPr="00D53AA2">
        <w:rPr>
          <w:b/>
          <w:lang w:val="fr-CA"/>
        </w:rPr>
        <w:tab/>
      </w:r>
      <w:r w:rsidRPr="00D53AA2">
        <w:rPr>
          <w:lang w:val="fr-CA"/>
        </w:rPr>
        <w:t>Ok. Avez-vous eu l’occasion de lire la transcription de l’enquête préliminaire où vous avez témoigné?</w:t>
      </w:r>
    </w:p>
    <w:p w14:paraId="68D64530" w14:textId="77777777" w:rsidR="00D53AA2" w:rsidRPr="00D53AA2" w:rsidRDefault="00D53AA2" w:rsidP="00D53AA2">
      <w:pPr>
        <w:pStyle w:val="Citation-AltC"/>
        <w:spacing w:after="240"/>
        <w:ind w:left="2156" w:hanging="990"/>
        <w:contextualSpacing w:val="0"/>
        <w:rPr>
          <w:lang w:val="fr-CA"/>
        </w:rPr>
      </w:pPr>
      <w:r w:rsidRPr="00D53AA2">
        <w:rPr>
          <w:lang w:val="fr-CA"/>
        </w:rPr>
        <w:t>R</w:t>
      </w:r>
      <w:r w:rsidRPr="00D53AA2">
        <w:rPr>
          <w:lang w:val="fr-CA"/>
        </w:rPr>
        <w:tab/>
        <w:t>Je l’ai parcourue.</w:t>
      </w:r>
    </w:p>
    <w:p w14:paraId="7F293FF0" w14:textId="77777777" w:rsidR="00D53AA2" w:rsidRPr="00D53AA2" w:rsidRDefault="00D53AA2" w:rsidP="00D53AA2">
      <w:pPr>
        <w:pStyle w:val="Citation-AltC"/>
        <w:spacing w:after="240"/>
        <w:ind w:left="1882" w:firstLine="274"/>
        <w:contextualSpacing w:val="0"/>
        <w:jc w:val="center"/>
        <w:rPr>
          <w:lang w:val="fr-CA"/>
        </w:rPr>
      </w:pPr>
      <w:r w:rsidRPr="00D53AA2">
        <w:rPr>
          <w:lang w:val="fr-CA"/>
        </w:rPr>
        <w:t>. . .</w:t>
      </w:r>
    </w:p>
    <w:p w14:paraId="6C86E3E7" w14:textId="77777777" w:rsidR="00D53AA2" w:rsidRPr="00D53AA2" w:rsidRDefault="00D53AA2" w:rsidP="00D53AA2">
      <w:pPr>
        <w:pStyle w:val="Citation-AltC"/>
        <w:spacing w:after="0"/>
        <w:ind w:left="2160" w:hanging="992"/>
        <w:contextualSpacing w:val="0"/>
        <w:rPr>
          <w:lang w:val="fr-CA"/>
        </w:rPr>
      </w:pPr>
      <w:r w:rsidRPr="00D53AA2">
        <w:rPr>
          <w:lang w:val="fr-CA"/>
        </w:rPr>
        <w:t>Q</w:t>
      </w:r>
      <w:r w:rsidRPr="00D53AA2">
        <w:rPr>
          <w:lang w:val="fr-CA"/>
        </w:rPr>
        <w:tab/>
        <w:t>Je vais d’abord vous montrer la date. C’est le 27 avril 2021, est-ce bien cela?</w:t>
      </w:r>
    </w:p>
    <w:p w14:paraId="0DE20FBB"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t>Ouais.</w:t>
      </w:r>
    </w:p>
    <w:p w14:paraId="34822152" w14:textId="77777777" w:rsidR="00D53AA2" w:rsidRPr="00D53AA2" w:rsidRDefault="00D53AA2" w:rsidP="00D53AA2">
      <w:pPr>
        <w:pStyle w:val="Citation-AltC"/>
        <w:spacing w:after="240"/>
        <w:ind w:left="1882" w:firstLine="274"/>
        <w:contextualSpacing w:val="0"/>
        <w:jc w:val="center"/>
        <w:rPr>
          <w:lang w:val="fr-CA"/>
        </w:rPr>
      </w:pPr>
      <w:r w:rsidRPr="00D53AA2">
        <w:rPr>
          <w:lang w:val="fr-CA"/>
        </w:rPr>
        <w:t>. . .</w:t>
      </w:r>
    </w:p>
    <w:p w14:paraId="7F451CF4" w14:textId="77777777" w:rsidR="00D53AA2" w:rsidRPr="00D53AA2" w:rsidRDefault="00D53AA2" w:rsidP="00D53AA2">
      <w:pPr>
        <w:pStyle w:val="Citation-AltC"/>
        <w:spacing w:after="0"/>
        <w:ind w:left="2160" w:hanging="992"/>
        <w:contextualSpacing w:val="0"/>
        <w:rPr>
          <w:lang w:val="fr-CA"/>
        </w:rPr>
      </w:pPr>
      <w:r w:rsidRPr="00D53AA2">
        <w:rPr>
          <w:lang w:val="fr-CA"/>
        </w:rPr>
        <w:t>Q</w:t>
      </w:r>
      <w:r w:rsidRPr="00D53AA2">
        <w:rPr>
          <w:lang w:val="fr-CA"/>
        </w:rPr>
        <w:tab/>
        <w:t>Ok. À la page 18, nous voyons que votre preuve commence, Delayna Saddleback Bull.</w:t>
      </w:r>
    </w:p>
    <w:p w14:paraId="1974B880"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t>M-hm.</w:t>
      </w:r>
    </w:p>
    <w:p w14:paraId="2DD6C3B8" w14:textId="77777777" w:rsidR="00D53AA2" w:rsidRPr="00D53AA2" w:rsidRDefault="00D53AA2" w:rsidP="00D53AA2">
      <w:pPr>
        <w:pStyle w:val="Citation-AltC"/>
        <w:spacing w:after="240"/>
        <w:ind w:left="1882" w:firstLine="274"/>
        <w:contextualSpacing w:val="0"/>
        <w:jc w:val="center"/>
        <w:rPr>
          <w:lang w:val="fr-CA"/>
        </w:rPr>
      </w:pPr>
      <w:r w:rsidRPr="00D53AA2">
        <w:rPr>
          <w:lang w:val="fr-CA"/>
        </w:rPr>
        <w:t>. . .</w:t>
      </w:r>
    </w:p>
    <w:p w14:paraId="231F2CAF" w14:textId="77777777" w:rsidR="00D53AA2" w:rsidRPr="00D53AA2" w:rsidRDefault="00D53AA2" w:rsidP="00D53AA2">
      <w:pPr>
        <w:pStyle w:val="Citation-AltC"/>
        <w:spacing w:after="240"/>
        <w:ind w:left="2156" w:hanging="990"/>
        <w:contextualSpacing w:val="0"/>
        <w:rPr>
          <w:u w:val="single"/>
          <w:lang w:val="fr-CA"/>
        </w:rPr>
      </w:pPr>
      <w:r w:rsidRPr="00D53AA2">
        <w:rPr>
          <w:lang w:val="fr-CA"/>
        </w:rPr>
        <w:t>Q</w:t>
      </w:r>
      <w:r w:rsidRPr="00D53AA2">
        <w:rPr>
          <w:lang w:val="fr-CA"/>
        </w:rPr>
        <w:tab/>
        <w:t xml:space="preserve">. . . Et à la page 32 de la transcription, à la ligne 27, cette question est posée : </w:t>
      </w:r>
      <w:r w:rsidRPr="00D53AA2">
        <w:rPr>
          <w:u w:val="single"/>
          <w:lang w:val="fr-CA"/>
        </w:rPr>
        <w:t xml:space="preserve">(comme lue) </w:t>
      </w:r>
    </w:p>
    <w:p w14:paraId="7E01E9F2" w14:textId="77777777" w:rsidR="00D53AA2" w:rsidRPr="00D53AA2" w:rsidRDefault="00D53AA2" w:rsidP="00D53AA2">
      <w:pPr>
        <w:pStyle w:val="Citation-AltC"/>
        <w:spacing w:after="240"/>
        <w:ind w:left="3600" w:hanging="720"/>
        <w:contextualSpacing w:val="0"/>
        <w:rPr>
          <w:u w:val="single"/>
          <w:lang w:val="fr-CA"/>
        </w:rPr>
      </w:pPr>
      <w:r w:rsidRPr="00D53AA2">
        <w:rPr>
          <w:lang w:val="fr-CA"/>
        </w:rPr>
        <w:t>Q</w:t>
      </w:r>
      <w:r w:rsidRPr="00D53AA2">
        <w:rPr>
          <w:lang w:val="fr-CA"/>
        </w:rPr>
        <w:tab/>
      </w:r>
      <w:r w:rsidRPr="00D53AA2">
        <w:rPr>
          <w:u w:val="single"/>
          <w:lang w:val="fr-CA"/>
        </w:rPr>
        <w:t xml:space="preserve">Ok. Joseph ou -- ou [M. Dennehy] a-t-il dit qu’il se faisait larguer par ces gars? A-t-il utilisé ce mot à quelque moment que ce soit? </w:t>
      </w:r>
    </w:p>
    <w:p w14:paraId="2A78E7D8" w14:textId="77777777" w:rsidR="00D53AA2" w:rsidRPr="00D53AA2" w:rsidRDefault="00D53AA2" w:rsidP="00D53AA2">
      <w:pPr>
        <w:pStyle w:val="Citation-AltC"/>
        <w:spacing w:after="240"/>
        <w:ind w:left="1440" w:firstLine="720"/>
        <w:contextualSpacing w:val="0"/>
        <w:rPr>
          <w:u w:val="single"/>
          <w:lang w:val="fr-CA"/>
        </w:rPr>
      </w:pPr>
      <w:r w:rsidRPr="00D53AA2">
        <w:rPr>
          <w:u w:val="single"/>
          <w:lang w:val="fr-CA"/>
        </w:rPr>
        <w:t xml:space="preserve">Et votre réponse a été : (comme lue) </w:t>
      </w:r>
    </w:p>
    <w:p w14:paraId="7B6317EA" w14:textId="77777777" w:rsidR="00D53AA2" w:rsidRPr="00D53AA2" w:rsidRDefault="00D53AA2" w:rsidP="00D53AA2">
      <w:pPr>
        <w:pStyle w:val="Citation-AltC"/>
        <w:spacing w:after="240"/>
        <w:ind w:left="2606" w:firstLine="274"/>
        <w:contextualSpacing w:val="0"/>
        <w:rPr>
          <w:u w:val="single"/>
          <w:lang w:val="fr-CA"/>
        </w:rPr>
      </w:pPr>
      <w:r w:rsidRPr="00D53AA2">
        <w:rPr>
          <w:lang w:val="fr-CA"/>
        </w:rPr>
        <w:t>A</w:t>
      </w:r>
      <w:r w:rsidRPr="00D53AA2">
        <w:rPr>
          <w:lang w:val="fr-CA"/>
        </w:rPr>
        <w:tab/>
      </w:r>
      <w:r w:rsidRPr="00D53AA2">
        <w:rPr>
          <w:u w:val="single"/>
          <w:lang w:val="fr-CA"/>
        </w:rPr>
        <w:t xml:space="preserve">Oui. J’en suis pas mal certaine. Oui. </w:t>
      </w:r>
    </w:p>
    <w:p w14:paraId="23997308" w14:textId="77777777" w:rsidR="00D53AA2" w:rsidRPr="00D53AA2" w:rsidRDefault="00D53AA2" w:rsidP="00D53AA2">
      <w:pPr>
        <w:pStyle w:val="Citation-AltC"/>
        <w:spacing w:after="0"/>
        <w:ind w:left="1888" w:firstLine="272"/>
        <w:contextualSpacing w:val="0"/>
        <w:rPr>
          <w:lang w:val="fr-CA"/>
        </w:rPr>
      </w:pPr>
      <w:r w:rsidRPr="00D53AA2">
        <w:rPr>
          <w:u w:val="single"/>
          <w:lang w:val="fr-CA"/>
        </w:rPr>
        <w:lastRenderedPageBreak/>
        <w:t>Ai-je lu ça correctement?</w:t>
      </w:r>
    </w:p>
    <w:p w14:paraId="50DEB9AB"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r>
      <w:r w:rsidRPr="00D53AA2">
        <w:rPr>
          <w:u w:val="single"/>
          <w:lang w:val="fr-CA"/>
        </w:rPr>
        <w:t>Oui.</w:t>
      </w:r>
    </w:p>
    <w:p w14:paraId="0B85C511" w14:textId="77777777" w:rsidR="00D53AA2" w:rsidRPr="00D53AA2" w:rsidRDefault="00D53AA2" w:rsidP="00D53AA2">
      <w:pPr>
        <w:pStyle w:val="Citation-AltC"/>
        <w:spacing w:after="0"/>
        <w:ind w:left="2160" w:hanging="994"/>
        <w:contextualSpacing w:val="0"/>
        <w:rPr>
          <w:lang w:val="fr-CA"/>
        </w:rPr>
      </w:pPr>
      <w:r w:rsidRPr="00D53AA2">
        <w:rPr>
          <w:lang w:val="fr-CA"/>
        </w:rPr>
        <w:t>Q</w:t>
      </w:r>
      <w:r w:rsidRPr="00D53AA2">
        <w:rPr>
          <w:lang w:val="fr-CA"/>
        </w:rPr>
        <w:tab/>
        <w:t>Très bien. Et c’est la réponse que vous avez donnée à ce moment-là?</w:t>
      </w:r>
    </w:p>
    <w:p w14:paraId="25E5DEE4"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t>Oui.</w:t>
      </w:r>
    </w:p>
    <w:p w14:paraId="7EA48FC4" w14:textId="77777777" w:rsidR="00D53AA2" w:rsidRPr="00D53AA2" w:rsidRDefault="00D53AA2" w:rsidP="00D53AA2">
      <w:pPr>
        <w:pStyle w:val="Citation-AltC"/>
        <w:spacing w:after="0"/>
        <w:contextualSpacing w:val="0"/>
        <w:rPr>
          <w:lang w:val="fr-CA"/>
        </w:rPr>
      </w:pPr>
      <w:r w:rsidRPr="00D53AA2">
        <w:rPr>
          <w:lang w:val="fr-CA"/>
        </w:rPr>
        <w:t>Q</w:t>
      </w:r>
      <w:r w:rsidRPr="00D53AA2">
        <w:rPr>
          <w:lang w:val="fr-CA"/>
        </w:rPr>
        <w:tab/>
      </w:r>
      <w:r w:rsidRPr="00D53AA2">
        <w:rPr>
          <w:lang w:val="fr-CA"/>
        </w:rPr>
        <w:tab/>
        <w:t>Et --</w:t>
      </w:r>
    </w:p>
    <w:p w14:paraId="0A2C4239"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t>Remarquez, c’était il y a 2 ans, alors.</w:t>
      </w:r>
    </w:p>
    <w:p w14:paraId="5EF54D76" w14:textId="77777777" w:rsidR="00D53AA2" w:rsidRPr="00D53AA2" w:rsidRDefault="00D53AA2" w:rsidP="00D53AA2">
      <w:pPr>
        <w:pStyle w:val="Citation-AltC"/>
        <w:spacing w:after="0"/>
        <w:contextualSpacing w:val="0"/>
        <w:rPr>
          <w:lang w:val="fr-CA"/>
        </w:rPr>
      </w:pPr>
      <w:r w:rsidRPr="00D53AA2">
        <w:rPr>
          <w:lang w:val="fr-CA"/>
        </w:rPr>
        <w:t>Q</w:t>
      </w:r>
      <w:r w:rsidRPr="00D53AA2">
        <w:rPr>
          <w:lang w:val="fr-CA"/>
        </w:rPr>
        <w:tab/>
      </w:r>
      <w:r w:rsidRPr="00D53AA2">
        <w:rPr>
          <w:lang w:val="fr-CA"/>
        </w:rPr>
        <w:tab/>
        <w:t>C’était il y a 10 ans, avez-vous dit?</w:t>
      </w:r>
    </w:p>
    <w:p w14:paraId="03A99006" w14:textId="77777777" w:rsidR="00D53AA2" w:rsidRPr="00D53AA2" w:rsidRDefault="00D53AA2" w:rsidP="00D53AA2">
      <w:pPr>
        <w:pStyle w:val="Citation-AltC"/>
        <w:spacing w:after="240"/>
        <w:ind w:left="2156" w:hanging="990"/>
        <w:contextualSpacing w:val="0"/>
        <w:rPr>
          <w:lang w:val="fr-CA"/>
        </w:rPr>
      </w:pPr>
      <w:r w:rsidRPr="00D53AA2">
        <w:rPr>
          <w:lang w:val="fr-CA"/>
        </w:rPr>
        <w:t>R</w:t>
      </w:r>
      <w:r w:rsidRPr="00D53AA2">
        <w:rPr>
          <w:lang w:val="fr-CA"/>
        </w:rPr>
        <w:tab/>
        <w:t>J’ai dit que c’était il y a 2 ans, alors merci de m’avoir rafraîchi la mémoire.</w:t>
      </w:r>
    </w:p>
    <w:p w14:paraId="1B06D5BA" w14:textId="77777777" w:rsidR="00D53AA2" w:rsidRPr="00D53AA2" w:rsidRDefault="00D53AA2" w:rsidP="00D53AA2">
      <w:pPr>
        <w:pStyle w:val="Citation-AltC"/>
        <w:spacing w:after="0"/>
        <w:ind w:left="2156" w:hanging="990"/>
        <w:contextualSpacing w:val="0"/>
        <w:rPr>
          <w:lang w:val="fr-CA"/>
        </w:rPr>
      </w:pPr>
      <w:r w:rsidRPr="00D53AA2">
        <w:rPr>
          <w:lang w:val="fr-CA"/>
        </w:rPr>
        <w:t>Q</w:t>
      </w:r>
      <w:r w:rsidRPr="00D53AA2">
        <w:rPr>
          <w:lang w:val="fr-CA"/>
        </w:rPr>
        <w:tab/>
      </w:r>
      <w:r w:rsidRPr="00D53AA2">
        <w:rPr>
          <w:u w:val="single"/>
          <w:lang w:val="fr-CA"/>
        </w:rPr>
        <w:t xml:space="preserve">Ok. Non, c’est bon. Alors aujourd’hui, vous acceptez que </w:t>
      </w:r>
      <w:proofErr w:type="gramStart"/>
      <w:r w:rsidRPr="00D53AA2">
        <w:rPr>
          <w:u w:val="single"/>
          <w:lang w:val="fr-CA"/>
        </w:rPr>
        <w:t>c’est</w:t>
      </w:r>
      <w:proofErr w:type="gramEnd"/>
      <w:r w:rsidRPr="00D53AA2">
        <w:rPr>
          <w:u w:val="single"/>
          <w:lang w:val="fr-CA"/>
        </w:rPr>
        <w:t xml:space="preserve"> ce qui s’est passé?</w:t>
      </w:r>
    </w:p>
    <w:p w14:paraId="7042061A"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r>
      <w:r w:rsidRPr="00D53AA2">
        <w:rPr>
          <w:u w:val="single"/>
          <w:lang w:val="fr-CA"/>
        </w:rPr>
        <w:t>Oui.</w:t>
      </w:r>
    </w:p>
    <w:p w14:paraId="2FF102DD" w14:textId="77777777" w:rsidR="00D53AA2" w:rsidRPr="00D53AA2" w:rsidRDefault="00D53AA2" w:rsidP="00D53AA2">
      <w:pPr>
        <w:pStyle w:val="Citation-AltC"/>
        <w:spacing w:after="0"/>
        <w:ind w:left="2156" w:hanging="990"/>
        <w:contextualSpacing w:val="0"/>
        <w:rPr>
          <w:lang w:val="fr-CA"/>
        </w:rPr>
      </w:pPr>
      <w:r w:rsidRPr="00D53AA2">
        <w:rPr>
          <w:lang w:val="fr-CA"/>
        </w:rPr>
        <w:t>Q</w:t>
      </w:r>
      <w:r w:rsidRPr="00D53AA2">
        <w:rPr>
          <w:lang w:val="fr-CA"/>
        </w:rPr>
        <w:tab/>
        <w:t>Qu’il a dit qu’il se faisait larguer; c’est ça? Et je suppose que vous connaissiez [M. Dennehy] suffisamment bien pour pouvoir affirmer qu’il n’aimait pas se faire larguer.</w:t>
      </w:r>
    </w:p>
    <w:p w14:paraId="4C07B605"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t>J’imagine.</w:t>
      </w:r>
    </w:p>
    <w:p w14:paraId="5EDEC092" w14:textId="77777777" w:rsidR="00D53AA2" w:rsidRPr="00D53AA2" w:rsidRDefault="00D53AA2" w:rsidP="00D53AA2">
      <w:pPr>
        <w:pStyle w:val="Citation-AltC"/>
        <w:spacing w:after="0"/>
        <w:ind w:left="2160" w:hanging="994"/>
        <w:contextualSpacing w:val="0"/>
        <w:rPr>
          <w:lang w:val="fr-CA"/>
        </w:rPr>
      </w:pPr>
      <w:r w:rsidRPr="00D53AA2">
        <w:rPr>
          <w:lang w:val="fr-CA"/>
        </w:rPr>
        <w:t>Q</w:t>
      </w:r>
      <w:r w:rsidRPr="00D53AA2">
        <w:rPr>
          <w:lang w:val="fr-CA"/>
        </w:rPr>
        <w:tab/>
        <w:t>Ok. Bon -- eh bien, je -- pensez-vous que vous le connaissiez si bien que ça?</w:t>
      </w:r>
    </w:p>
    <w:p w14:paraId="228E8A51"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t>Eh bien, qui aimerait se faire larguer? Pas moi.</w:t>
      </w:r>
    </w:p>
    <w:p w14:paraId="515D00C5" w14:textId="77777777" w:rsidR="00D53AA2" w:rsidRPr="00D53AA2" w:rsidRDefault="00D53AA2" w:rsidP="00D53AA2">
      <w:pPr>
        <w:pStyle w:val="Citation-AltC"/>
        <w:spacing w:after="0"/>
        <w:ind w:left="2156" w:hanging="990"/>
        <w:contextualSpacing w:val="0"/>
        <w:rPr>
          <w:lang w:val="fr-CA"/>
        </w:rPr>
      </w:pPr>
      <w:r w:rsidRPr="00D53AA2">
        <w:rPr>
          <w:lang w:val="fr-CA"/>
        </w:rPr>
        <w:t>Q</w:t>
      </w:r>
      <w:r w:rsidRPr="00D53AA2">
        <w:rPr>
          <w:lang w:val="fr-CA"/>
        </w:rPr>
        <w:tab/>
        <w:t>Très bien. Donc, votre preuve est que lorsqu’il a dit cela, il n’avait pas un ton content quand il a dit, je me fais larguer.</w:t>
      </w:r>
    </w:p>
    <w:p w14:paraId="77F35A02" w14:textId="77777777" w:rsidR="00D53AA2" w:rsidRPr="00D53AA2" w:rsidRDefault="00D53AA2" w:rsidP="00D53AA2">
      <w:pPr>
        <w:pStyle w:val="Citation-AltC"/>
        <w:spacing w:after="240"/>
        <w:contextualSpacing w:val="0"/>
        <w:rPr>
          <w:lang w:val="fr-CA"/>
        </w:rPr>
      </w:pPr>
      <w:r w:rsidRPr="00D53AA2">
        <w:rPr>
          <w:lang w:val="fr-CA"/>
        </w:rPr>
        <w:t>R</w:t>
      </w:r>
      <w:r w:rsidRPr="00D53AA2">
        <w:rPr>
          <w:lang w:val="fr-CA"/>
        </w:rPr>
        <w:tab/>
      </w:r>
      <w:r w:rsidRPr="00D53AA2">
        <w:rPr>
          <w:lang w:val="fr-CA"/>
        </w:rPr>
        <w:tab/>
        <w:t>Il avait un ton normal. Il n’avait aucun ton particulier.</w:t>
      </w:r>
    </w:p>
    <w:p w14:paraId="4DD0F3C4" w14:textId="77777777" w:rsidR="00D53AA2" w:rsidRPr="00D53AA2" w:rsidRDefault="00D53AA2" w:rsidP="00D53AA2">
      <w:pPr>
        <w:pStyle w:val="Citation-AltC"/>
        <w:spacing w:after="0"/>
        <w:ind w:left="2156" w:hanging="990"/>
        <w:contextualSpacing w:val="0"/>
        <w:rPr>
          <w:lang w:val="fr-CA"/>
        </w:rPr>
      </w:pPr>
      <w:r w:rsidRPr="00D53AA2">
        <w:rPr>
          <w:lang w:val="fr-CA"/>
        </w:rPr>
        <w:t>Q</w:t>
      </w:r>
      <w:r w:rsidRPr="00D53AA2">
        <w:rPr>
          <w:lang w:val="fr-CA"/>
        </w:rPr>
        <w:tab/>
      </w:r>
      <w:r w:rsidRPr="00D53AA2">
        <w:rPr>
          <w:u w:val="single"/>
          <w:lang w:val="fr-CA"/>
        </w:rPr>
        <w:t>Ok. Et vous avez indiqué lors de l’enquête préliminaire que, selon vous, ce que cela signifiait pour [M. Dennehy] était qu’ils l’avaient laissé; c’est bien ça?</w:t>
      </w:r>
    </w:p>
    <w:p w14:paraId="6424758D" w14:textId="77777777" w:rsidR="00D53AA2" w:rsidRPr="00D53AA2" w:rsidRDefault="00D53AA2" w:rsidP="00D53AA2">
      <w:pPr>
        <w:pStyle w:val="Citation-AltC"/>
        <w:spacing w:after="240"/>
        <w:contextualSpacing w:val="0"/>
        <w:rPr>
          <w:u w:val="single"/>
          <w:lang w:val="fr-CA"/>
        </w:rPr>
      </w:pPr>
      <w:r w:rsidRPr="00D53AA2">
        <w:rPr>
          <w:lang w:val="fr-CA"/>
        </w:rPr>
        <w:t>R</w:t>
      </w:r>
      <w:r w:rsidRPr="00D53AA2">
        <w:rPr>
          <w:lang w:val="fr-CA"/>
        </w:rPr>
        <w:tab/>
      </w:r>
      <w:r w:rsidRPr="00D53AA2">
        <w:rPr>
          <w:lang w:val="fr-CA"/>
        </w:rPr>
        <w:tab/>
      </w:r>
      <w:r w:rsidRPr="00D53AA2">
        <w:rPr>
          <w:u w:val="single"/>
          <w:lang w:val="fr-CA"/>
        </w:rPr>
        <w:t>Oui.</w:t>
      </w:r>
      <w:r w:rsidRPr="00D53AA2">
        <w:rPr>
          <w:lang w:val="fr-CA"/>
        </w:rPr>
        <w:t xml:space="preserve"> [Je souligne.]</w:t>
      </w:r>
    </w:p>
    <w:p w14:paraId="65BE89C6" w14:textId="77777777" w:rsidR="00D53AA2" w:rsidRPr="00D53AA2" w:rsidRDefault="00D53AA2" w:rsidP="00D53AA2">
      <w:pPr>
        <w:pStyle w:val="Citation-AltC"/>
        <w:ind w:left="1168"/>
        <w:contextualSpacing w:val="0"/>
        <w:jc w:val="left"/>
        <w:rPr>
          <w:lang w:val="fr-CA"/>
        </w:rPr>
      </w:pPr>
      <w:r w:rsidRPr="00D53AA2">
        <w:rPr>
          <w:lang w:val="fr-CA"/>
        </w:rPr>
        <w:t>(</w:t>
      </w:r>
      <w:proofErr w:type="gramStart"/>
      <w:r w:rsidRPr="00D53AA2">
        <w:rPr>
          <w:lang w:val="fr-CA"/>
        </w:rPr>
        <w:t>d.a.</w:t>
      </w:r>
      <w:proofErr w:type="gramEnd"/>
      <w:r w:rsidRPr="00D53AA2">
        <w:rPr>
          <w:lang w:val="fr-CA"/>
        </w:rPr>
        <w:t>, vol. II, p. 201-204)</w:t>
      </w:r>
    </w:p>
    <w:p w14:paraId="59B84BD1" w14:textId="77777777" w:rsidR="00D53AA2" w:rsidRPr="00D53AA2" w:rsidRDefault="00D53AA2" w:rsidP="00D53AA2">
      <w:pPr>
        <w:pStyle w:val="ParaNoNdepar-AltN"/>
        <w:rPr>
          <w:rFonts w:cs="Times New Roman"/>
          <w:lang w:val="fr-CA"/>
        </w:rPr>
      </w:pPr>
      <w:r w:rsidRPr="00D53AA2">
        <w:rPr>
          <w:rFonts w:cs="Times New Roman"/>
          <w:lang w:val="fr-CA"/>
        </w:rPr>
        <w:t>À la lumière du témoignage de M</w:t>
      </w:r>
      <w:r w:rsidRPr="00D53AA2">
        <w:rPr>
          <w:rFonts w:cs="Times New Roman"/>
          <w:vertAlign w:val="superscript"/>
          <w:lang w:val="fr-CA"/>
        </w:rPr>
        <w:t>me</w:t>
      </w:r>
      <w:r w:rsidRPr="00D53AA2">
        <w:rPr>
          <w:rFonts w:cs="Times New Roman"/>
          <w:lang w:val="fr-CA"/>
        </w:rPr>
        <w:t xml:space="preserve"> Bull, M. Saddleback conteste la conclusion du juge du procès selon laquelle « [M. Dennehy] a mentionné que des gens quittaient », ce qui, fait-il valoir, n’est pas appuyé par la preuve au dossier. Selon lui, bien que M</w:t>
      </w:r>
      <w:r w:rsidRPr="00D53AA2">
        <w:rPr>
          <w:rFonts w:cs="Times New Roman"/>
          <w:vertAlign w:val="superscript"/>
          <w:lang w:val="fr-CA"/>
        </w:rPr>
        <w:t>me</w:t>
      </w:r>
      <w:r w:rsidRPr="00D53AA2">
        <w:rPr>
          <w:rFonts w:cs="Times New Roman"/>
          <w:lang w:val="fr-CA"/>
        </w:rPr>
        <w:t xml:space="preserve"> Bull ait convenu au procès qu’elle avait relaté, dans son témoignage à </w:t>
      </w:r>
      <w:r w:rsidRPr="00D53AA2">
        <w:rPr>
          <w:rFonts w:cs="Times New Roman"/>
          <w:lang w:val="fr-CA"/>
        </w:rPr>
        <w:lastRenderedPageBreak/>
        <w:t>l’enquête préliminaire, l’utilisation du mot « larguer » par M. Dennehy, elle n’a toutefois jamais adopté la proposition plus large selon laquelle M. Dennehy « se faisait larguer par ces gars ». Par conséquent, de l’avis de M. Saddleback, le juge du procès pouvait uniquement conclure que M. Dennehy avait utilisé le mot « larguer ».</w:t>
      </w:r>
    </w:p>
    <w:p w14:paraId="0E41776E" w14:textId="77777777" w:rsidR="00D53AA2" w:rsidRPr="00D53AA2" w:rsidRDefault="00D53AA2" w:rsidP="00D53AA2">
      <w:pPr>
        <w:pStyle w:val="ParaNoNdepar-AltN"/>
        <w:rPr>
          <w:rFonts w:cs="Times New Roman"/>
          <w:lang w:val="fr-CA"/>
        </w:rPr>
      </w:pPr>
      <w:r w:rsidRPr="00D53AA2">
        <w:rPr>
          <w:rFonts w:cs="Times New Roman"/>
          <w:lang w:val="fr-CA"/>
        </w:rPr>
        <w:t>L’argument de M. Saddleback sur cette question est pour le moins bancal. Durant le contre-interrogatoire, l’avocat de M. Saddleback a commencé par relater une question en deux parties et la réponse qui a été donnée. Pour la première partie de la question, M</w:t>
      </w:r>
      <w:r w:rsidRPr="00D53AA2">
        <w:rPr>
          <w:rFonts w:cs="Times New Roman"/>
          <w:vertAlign w:val="superscript"/>
          <w:lang w:val="fr-CA"/>
        </w:rPr>
        <w:t>me</w:t>
      </w:r>
      <w:r w:rsidRPr="00D53AA2">
        <w:rPr>
          <w:rFonts w:cs="Times New Roman"/>
          <w:lang w:val="fr-CA"/>
        </w:rPr>
        <w:t xml:space="preserve"> Bull s’est fait demander si M. Dennehy avait déclaré qu</w:t>
      </w:r>
      <w:proofErr w:type="gramStart"/>
      <w:r w:rsidRPr="00D53AA2">
        <w:rPr>
          <w:rFonts w:cs="Times New Roman"/>
          <w:lang w:val="fr-CA"/>
        </w:rPr>
        <w:t>’«</w:t>
      </w:r>
      <w:proofErr w:type="gramEnd"/>
      <w:r w:rsidRPr="00D53AA2">
        <w:rPr>
          <w:rFonts w:cs="Times New Roman"/>
          <w:lang w:val="fr-CA"/>
        </w:rPr>
        <w:t> il se faisait larguer ». La seconde partie de la question visait uniquement à savoir si le mot « larguer » avait été utilisé. Dans la transcription de l’enquête préliminaire, M</w:t>
      </w:r>
      <w:r w:rsidRPr="00D53AA2">
        <w:rPr>
          <w:rFonts w:cs="Times New Roman"/>
          <w:vertAlign w:val="superscript"/>
          <w:lang w:val="fr-CA"/>
        </w:rPr>
        <w:t>me</w:t>
      </w:r>
      <w:r w:rsidRPr="00D53AA2">
        <w:rPr>
          <w:rFonts w:cs="Times New Roman"/>
          <w:lang w:val="fr-CA"/>
        </w:rPr>
        <w:t xml:space="preserve"> Bull semble avoir simplement répondu « Oui » aux deux questions. L’avocat lui a alors demandé s’il avait lu sa déclaration correctement, ce à quoi elle a répondu par l’affirmative. Il lui a ensuite demandé, « Alors aujourd’hui, vous acceptez que </w:t>
      </w:r>
      <w:proofErr w:type="gramStart"/>
      <w:r w:rsidRPr="00D53AA2">
        <w:rPr>
          <w:rFonts w:cs="Times New Roman"/>
          <w:lang w:val="fr-CA"/>
        </w:rPr>
        <w:t>c’est</w:t>
      </w:r>
      <w:proofErr w:type="gramEnd"/>
      <w:r w:rsidRPr="00D53AA2">
        <w:rPr>
          <w:rFonts w:cs="Times New Roman"/>
          <w:lang w:val="fr-CA"/>
        </w:rPr>
        <w:t xml:space="preserve"> ce qui s’est passé? » De nouveau, M</w:t>
      </w:r>
      <w:r w:rsidRPr="00D53AA2">
        <w:rPr>
          <w:rFonts w:cs="Times New Roman"/>
          <w:vertAlign w:val="superscript"/>
          <w:lang w:val="fr-CA"/>
        </w:rPr>
        <w:t>me</w:t>
      </w:r>
      <w:r w:rsidRPr="00D53AA2">
        <w:rPr>
          <w:rFonts w:cs="Times New Roman"/>
          <w:lang w:val="fr-CA"/>
        </w:rPr>
        <w:t xml:space="preserve"> Bull a répondu par l’affirmative.</w:t>
      </w:r>
    </w:p>
    <w:p w14:paraId="008F7D06" w14:textId="77777777" w:rsidR="00D53AA2" w:rsidRPr="00D53AA2" w:rsidRDefault="00D53AA2" w:rsidP="00D53AA2">
      <w:pPr>
        <w:pStyle w:val="ParaNoNdepar-AltN"/>
        <w:rPr>
          <w:rFonts w:cs="Times New Roman"/>
          <w:lang w:val="fr-CA"/>
        </w:rPr>
      </w:pPr>
      <w:r w:rsidRPr="00D53AA2">
        <w:rPr>
          <w:rFonts w:cs="Times New Roman"/>
          <w:lang w:val="fr-CA"/>
        </w:rPr>
        <w:t>Il était loisible au juge du procès de conclure que la portée générale de cette interrogation montrait (1) que M</w:t>
      </w:r>
      <w:r w:rsidRPr="00D53AA2">
        <w:rPr>
          <w:rFonts w:cs="Times New Roman"/>
          <w:vertAlign w:val="superscript"/>
          <w:lang w:val="fr-CA"/>
        </w:rPr>
        <w:t>me</w:t>
      </w:r>
      <w:r w:rsidRPr="00D53AA2">
        <w:rPr>
          <w:rFonts w:cs="Times New Roman"/>
          <w:lang w:val="fr-CA"/>
        </w:rPr>
        <w:t xml:space="preserve"> Bull avait déclaré dans son témoignage à l’enquête préliminaire que M. Dennehy s’était plaint </w:t>
      </w:r>
      <w:proofErr w:type="gramStart"/>
      <w:r w:rsidRPr="00D53AA2">
        <w:rPr>
          <w:rFonts w:cs="Times New Roman"/>
          <w:lang w:val="fr-CA"/>
        </w:rPr>
        <w:t>de a</w:t>
      </w:r>
      <w:proofErr w:type="gramEnd"/>
      <w:r w:rsidRPr="00D53AA2">
        <w:rPr>
          <w:rFonts w:cs="Times New Roman"/>
          <w:lang w:val="fr-CA"/>
        </w:rPr>
        <w:t xml:space="preserve">) </w:t>
      </w:r>
      <w:r w:rsidRPr="00D53AA2">
        <w:rPr>
          <w:rFonts w:cs="Times New Roman"/>
          <w:i/>
          <w:lang w:val="fr-CA"/>
        </w:rPr>
        <w:t>se faire</w:t>
      </w:r>
      <w:r w:rsidRPr="00D53AA2">
        <w:rPr>
          <w:rFonts w:cs="Times New Roman"/>
          <w:lang w:val="fr-CA"/>
        </w:rPr>
        <w:t xml:space="preserve"> larguer b) </w:t>
      </w:r>
      <w:r w:rsidRPr="00D53AA2">
        <w:rPr>
          <w:rFonts w:cs="Times New Roman"/>
          <w:i/>
          <w:lang w:val="fr-CA"/>
        </w:rPr>
        <w:t>par ces gars</w:t>
      </w:r>
      <w:r w:rsidRPr="00D53AA2">
        <w:rPr>
          <w:rFonts w:cs="Times New Roman"/>
          <w:lang w:val="fr-CA"/>
        </w:rPr>
        <w:t xml:space="preserve">, et (2) qu’elle avait adopté cette déclaration antérieure dans son entièreté. Par conséquent, cette déclaration pouvait à bon droit être considérée comme un élément de preuve même si la transcription de l’enquête préliminaire n’avait pas été présentée en preuve. Il en est ainsi parce que, comme l’a expliqué le juge Watt dans l’arrêt </w:t>
      </w:r>
      <w:r w:rsidRPr="00D53AA2">
        <w:rPr>
          <w:rFonts w:cs="Times New Roman"/>
          <w:i/>
          <w:lang w:val="fr-CA"/>
        </w:rPr>
        <w:t>R. c. Candir</w:t>
      </w:r>
      <w:r w:rsidRPr="00D53AA2">
        <w:rPr>
          <w:rFonts w:cs="Times New Roman"/>
          <w:lang w:val="fr-CA"/>
        </w:rPr>
        <w:t xml:space="preserve">, </w:t>
      </w:r>
      <w:r w:rsidRPr="00D53AA2">
        <w:rPr>
          <w:rFonts w:cs="Times New Roman"/>
          <w:lang w:val="fr-CA"/>
        </w:rPr>
        <w:lastRenderedPageBreak/>
        <w:t>2009 ONCA 915, 257 O.A.C. 119, [</w:t>
      </w:r>
      <w:r w:rsidRPr="00D53AA2">
        <w:rPr>
          <w:rFonts w:cs="Times New Roman"/>
          <w:smallCaps/>
          <w:lang w:val="fr-CA"/>
        </w:rPr>
        <w:t>traduction</w:t>
      </w:r>
      <w:r w:rsidRPr="00D53AA2">
        <w:rPr>
          <w:rFonts w:cs="Times New Roman"/>
          <w:lang w:val="fr-CA"/>
        </w:rPr>
        <w:t xml:space="preserve">] « [l]orsqu’un témoin adopte une déclaration antérieure comme étant vraie, la déclaration adoptée devient partie intégrante de la preuve du témoin au procès » (par. 113; voir aussi </w:t>
      </w:r>
      <w:r w:rsidRPr="00D53AA2">
        <w:rPr>
          <w:rFonts w:cs="Times New Roman"/>
          <w:i/>
          <w:lang w:val="fr-CA"/>
        </w:rPr>
        <w:t>R. c. Robert</w:t>
      </w:r>
      <w:r w:rsidRPr="00D53AA2">
        <w:rPr>
          <w:rFonts w:cs="Times New Roman"/>
          <w:lang w:val="fr-CA"/>
        </w:rPr>
        <w:t>, 2023 QCCA 379, par. 45).</w:t>
      </w:r>
    </w:p>
    <w:p w14:paraId="1BBBFC4A" w14:textId="77777777" w:rsidR="00D53AA2" w:rsidRPr="00D53AA2" w:rsidRDefault="00D53AA2" w:rsidP="00D53AA2">
      <w:pPr>
        <w:pStyle w:val="ParaNoNdepar-AltN"/>
        <w:rPr>
          <w:rFonts w:cs="Times New Roman"/>
          <w:lang w:val="fr-CA"/>
        </w:rPr>
      </w:pPr>
      <w:r w:rsidRPr="00D53AA2">
        <w:rPr>
          <w:rFonts w:cs="Times New Roman"/>
          <w:lang w:val="fr-CA"/>
        </w:rPr>
        <w:t>Bien entendu, on pourrait plaider — comme le fait M. Saddleback — que la réponse « J’imagine » de M</w:t>
      </w:r>
      <w:r w:rsidRPr="00D53AA2">
        <w:rPr>
          <w:rFonts w:cs="Times New Roman"/>
          <w:vertAlign w:val="superscript"/>
          <w:lang w:val="fr-CA"/>
        </w:rPr>
        <w:t>me</w:t>
      </w:r>
      <w:r w:rsidRPr="00D53AA2">
        <w:rPr>
          <w:rFonts w:cs="Times New Roman"/>
          <w:lang w:val="fr-CA"/>
        </w:rPr>
        <w:t xml:space="preserve"> Bull à la double question subséquente peut avoir laissé l’impression d’une certaine hésitation ou ambivalence à l’égard de l’adoption de cette partie de son témoignage à l’enquête préliminaire (</w:t>
      </w:r>
      <w:r w:rsidRPr="00D53AA2">
        <w:rPr>
          <w:rFonts w:cs="Times New Roman"/>
          <w:i/>
          <w:lang w:val="fr-CA"/>
        </w:rPr>
        <w:t>R. c. Medford</w:t>
      </w:r>
      <w:r w:rsidRPr="00D53AA2">
        <w:rPr>
          <w:rFonts w:cs="Times New Roman"/>
          <w:lang w:val="fr-CA"/>
        </w:rPr>
        <w:t>, 2021 ONCA 27, par. 23-24). Toutefois, sa réponse non équivoque « Oui » à la toute fin de cette interrogation laisse peu de doute que M</w:t>
      </w:r>
      <w:r w:rsidRPr="00D53AA2">
        <w:rPr>
          <w:rFonts w:cs="Times New Roman"/>
          <w:vertAlign w:val="superscript"/>
          <w:lang w:val="fr-CA"/>
        </w:rPr>
        <w:t>me</w:t>
      </w:r>
      <w:r w:rsidRPr="00D53AA2">
        <w:rPr>
          <w:rFonts w:cs="Times New Roman"/>
          <w:lang w:val="fr-CA"/>
        </w:rPr>
        <w:t xml:space="preserve"> Bull a adopté sa déclaration antérieure dans son entièreté. Je note par ailleurs que, même en cas de doutes à cet égard, la décision quant à la question de savoir si un témoin adopte entièrement, partiellement ou nullement son témoignage antérieur est clairement du ressort du juge des faits (</w:t>
      </w:r>
      <w:r w:rsidRPr="00D53AA2">
        <w:rPr>
          <w:rFonts w:cs="Times New Roman"/>
          <w:i/>
          <w:lang w:val="fr-CA"/>
        </w:rPr>
        <w:t>R. c. Abdulle</w:t>
      </w:r>
      <w:r w:rsidRPr="00D53AA2">
        <w:rPr>
          <w:rFonts w:cs="Times New Roman"/>
          <w:lang w:val="fr-CA"/>
        </w:rPr>
        <w:t>, 2020 ONCA 106, 149 O.R. (3d) 301, par. 136). Par conséquent, les conclusions du juge du procès à cet égard commandent une grande déférence de la part des cours de révision (</w:t>
      </w:r>
      <w:r w:rsidRPr="00D53AA2">
        <w:rPr>
          <w:rFonts w:cs="Times New Roman"/>
          <w:i/>
          <w:lang w:val="fr-CA"/>
        </w:rPr>
        <w:t>R. c. Kruk</w:t>
      </w:r>
      <w:r w:rsidRPr="00D53AA2">
        <w:rPr>
          <w:rFonts w:cs="Times New Roman"/>
          <w:lang w:val="fr-CA"/>
        </w:rPr>
        <w:t xml:space="preserve">, 2024 CSC 7, par. 83-85; </w:t>
      </w:r>
      <w:r w:rsidRPr="00D53AA2">
        <w:rPr>
          <w:rFonts w:cs="Times New Roman"/>
          <w:i/>
          <w:lang w:val="fr-CA"/>
        </w:rPr>
        <w:t>R. c. Gagnon</w:t>
      </w:r>
      <w:r w:rsidRPr="00D53AA2">
        <w:rPr>
          <w:rFonts w:cs="Times New Roman"/>
          <w:lang w:val="fr-CA"/>
        </w:rPr>
        <w:t>, 2006 CSC 17, [2006] 1 R.C.S. 621, par. 10).</w:t>
      </w:r>
    </w:p>
    <w:p w14:paraId="15CA63B3" w14:textId="77777777" w:rsidR="00D53AA2" w:rsidRPr="00D53AA2" w:rsidRDefault="00D53AA2" w:rsidP="00D53AA2">
      <w:pPr>
        <w:pStyle w:val="ParaNoNdepar-AltN"/>
        <w:rPr>
          <w:rFonts w:cs="Times New Roman"/>
          <w:lang w:val="fr-CA"/>
        </w:rPr>
      </w:pPr>
      <w:r w:rsidRPr="00D53AA2">
        <w:rPr>
          <w:rFonts w:cs="Times New Roman"/>
          <w:lang w:val="fr-CA"/>
        </w:rPr>
        <w:t>Enfin, M. Saddleback plaide également que le témoignage de M</w:t>
      </w:r>
      <w:r w:rsidRPr="00D53AA2">
        <w:rPr>
          <w:rFonts w:cs="Times New Roman"/>
          <w:vertAlign w:val="superscript"/>
          <w:lang w:val="fr-CA"/>
        </w:rPr>
        <w:t>me</w:t>
      </w:r>
      <w:r w:rsidRPr="00D53AA2">
        <w:rPr>
          <w:rFonts w:cs="Times New Roman"/>
          <w:lang w:val="fr-CA"/>
        </w:rPr>
        <w:t xml:space="preserve"> Bull n’appuie pas la conclusion du juge du procès selon laquelle M. Dennehy a mentionné que des gens quittaient. Il prétend que son témoignage souffre de deux limitations fondamentales, à savoir une absence de sujets identifiables et une ambiguïté temporelle. </w:t>
      </w:r>
      <w:r w:rsidRPr="00D53AA2">
        <w:rPr>
          <w:rFonts w:cs="Times New Roman"/>
          <w:lang w:val="fr-CA"/>
        </w:rPr>
        <w:lastRenderedPageBreak/>
        <w:t>En gros, M. Saddleback plaide (1) que l’expression « ces gars » est trop vague pour qu’on sache de qui M. Dennehy parlait, et (2) qu’on ne sait pas clairement s’il décrivait une situation contemporaine.</w:t>
      </w:r>
    </w:p>
    <w:p w14:paraId="105F8D94" w14:textId="77777777" w:rsidR="00D53AA2" w:rsidRPr="00D53AA2" w:rsidRDefault="00D53AA2" w:rsidP="00D53AA2">
      <w:pPr>
        <w:pStyle w:val="ParaNoNdepar-AltN"/>
        <w:rPr>
          <w:rFonts w:cs="Times New Roman"/>
          <w:lang w:val="fr-CA"/>
        </w:rPr>
      </w:pPr>
      <w:r w:rsidRPr="00D53AA2">
        <w:rPr>
          <w:rFonts w:cs="Times New Roman"/>
          <w:lang w:val="fr-CA"/>
        </w:rPr>
        <w:t>Cet argument doit également être écarté. Premièrement, l’inférence du juge du procès en était une qu’il pouvait tirer en analysant la preuve dans son ensemble. Il pouvait logiquement conclure que l’expression « ces gars » avait été utilisée par référence au groupe d’amis de M. Dennehy qui étaient en train de quitter la roulotte alors qu’il parlait à M</w:t>
      </w:r>
      <w:r w:rsidRPr="00D53AA2">
        <w:rPr>
          <w:rFonts w:cs="Times New Roman"/>
          <w:vertAlign w:val="superscript"/>
          <w:lang w:val="fr-CA"/>
        </w:rPr>
        <w:t>me</w:t>
      </w:r>
      <w:r w:rsidRPr="00D53AA2">
        <w:rPr>
          <w:rFonts w:cs="Times New Roman"/>
          <w:lang w:val="fr-CA"/>
        </w:rPr>
        <w:t xml:space="preserve"> Bull. Deuxièmement, bien que la transcription de l’enquête préliminaire ne figure pas dans le dossier dont nous disposons, je note que l’emploi de l’imparfait dans le contre-interrogatoire suggère que l’événement se déroulait tandis qu’ils parlaient. Encore une fois, il s’agissait à tout le moins d’une inférence que le juge des faits pouvait tirer. Monsieur Saddleback peut plaider que d’autres inférences étaient possibles ou que la preuve était ambiguë à certains égards, mais il demeurait loisible au juge du procès de tirer les conclusions qu’il a tirées.</w:t>
      </w:r>
    </w:p>
    <w:p w14:paraId="3CC723CC" w14:textId="77777777" w:rsidR="00D53AA2" w:rsidRPr="00D53AA2" w:rsidRDefault="00D53AA2" w:rsidP="00D53AA2">
      <w:pPr>
        <w:pStyle w:val="ParaNoNdepar-AltN"/>
        <w:rPr>
          <w:rFonts w:cs="Times New Roman"/>
          <w:lang w:val="fr-CA"/>
        </w:rPr>
      </w:pPr>
      <w:r w:rsidRPr="00D53AA2">
        <w:rPr>
          <w:rFonts w:cs="Times New Roman"/>
          <w:lang w:val="fr-CA"/>
        </w:rPr>
        <w:t>Par conséquent, M. Saddleback a échoué à me convaincre que le juge du procès a mal interprété la preuve de quelque façon que ce soit ou que ses conclusions comportent autrement une erreur manifeste et déterminante.</w:t>
      </w:r>
    </w:p>
    <w:p w14:paraId="3EB50DB5" w14:textId="77777777" w:rsidR="00D53AA2" w:rsidRPr="00D53AA2" w:rsidRDefault="00D53AA2" w:rsidP="00D53AA2">
      <w:pPr>
        <w:pStyle w:val="Title1LevelTitre1Niveau-AltL"/>
        <w:rPr>
          <w:rFonts w:cs="Times New Roman"/>
          <w:lang w:val="fr-CA"/>
        </w:rPr>
      </w:pPr>
      <w:r w:rsidRPr="00D53AA2">
        <w:rPr>
          <w:rFonts w:cs="Times New Roman"/>
          <w:lang w:val="fr-CA"/>
        </w:rPr>
        <w:t>Conclusion</w:t>
      </w:r>
    </w:p>
    <w:p w14:paraId="42DBAA93" w14:textId="77777777" w:rsidR="00D53AA2" w:rsidRPr="00D53AA2" w:rsidRDefault="00D53AA2" w:rsidP="00D53AA2">
      <w:pPr>
        <w:pStyle w:val="ParaNoNdepar-AltN"/>
        <w:rPr>
          <w:rFonts w:cs="Times New Roman"/>
          <w:lang w:val="fr-CA"/>
        </w:rPr>
      </w:pPr>
      <w:r w:rsidRPr="00D53AA2">
        <w:rPr>
          <w:rFonts w:cs="Times New Roman"/>
          <w:lang w:val="fr-CA"/>
        </w:rPr>
        <w:lastRenderedPageBreak/>
        <w:t>En définitive, j’accueillerais le pourvoi de la Couronne, j’annulerais le jugement de la Cour d’appel de l’Alberta et je rétablirais la déclaration de culpabilité de M. Saddleback pour meurtre au deuxième degré.</w:t>
      </w:r>
    </w:p>
    <w:p w14:paraId="002BB0BC" w14:textId="77777777" w:rsidR="00D53AA2" w:rsidRPr="00D53AA2" w:rsidRDefault="00D53AA2" w:rsidP="00D53AA2">
      <w:pPr>
        <w:pStyle w:val="ParaNoNdepar-AltN"/>
        <w:rPr>
          <w:rFonts w:cs="Times New Roman"/>
          <w:lang w:val="fr-CA"/>
        </w:rPr>
      </w:pPr>
      <w:r w:rsidRPr="00D53AA2">
        <w:rPr>
          <w:rFonts w:cs="Times New Roman"/>
          <w:lang w:val="fr-CA"/>
        </w:rPr>
        <w:t>Je rejetterais aussi les deux motifs que soulève M. Saddleback à l’appui du jugement de la juridiction inférieure.</w:t>
      </w:r>
    </w:p>
    <w:p w14:paraId="2727BBEB" w14:textId="77777777" w:rsidR="00736DB2" w:rsidRPr="00D53AA2" w:rsidRDefault="001C512F">
      <w:pPr>
        <w:pStyle w:val="SCCNormalDoubleSpacing"/>
        <w:spacing w:after="480"/>
        <w:rPr>
          <w:lang w:val="fr-CA"/>
        </w:rPr>
      </w:pPr>
      <w:r w:rsidRPr="00D53AA2">
        <w:rPr>
          <w:lang w:val="fr-FR"/>
        </w:rPr>
        <w:tab/>
      </w:r>
      <w:r w:rsidRPr="00D53AA2">
        <w:rPr>
          <w:i/>
          <w:lang w:val="fr-CA"/>
        </w:rPr>
        <w:t xml:space="preserve">Pourvoi rejeté sans dépens, la juge </w:t>
      </w:r>
      <w:r w:rsidRPr="00D53AA2">
        <w:rPr>
          <w:smallCaps/>
          <w:lang w:val="fr-CA"/>
        </w:rPr>
        <w:t xml:space="preserve">Côté </w:t>
      </w:r>
      <w:r w:rsidRPr="00D53AA2">
        <w:rPr>
          <w:i/>
          <w:lang w:val="fr-CA"/>
        </w:rPr>
        <w:t>est dissidente.</w:t>
      </w:r>
    </w:p>
    <w:p w14:paraId="3A60F2E0" w14:textId="77777777" w:rsidR="00736DB2" w:rsidRPr="00D53AA2" w:rsidRDefault="001C512F">
      <w:pPr>
        <w:pStyle w:val="SCCLawFirm"/>
        <w:spacing w:after="480"/>
      </w:pPr>
      <w:r w:rsidRPr="00D53AA2">
        <w:rPr>
          <w:lang w:val="fr-CA"/>
        </w:rPr>
        <w:tab/>
      </w:r>
      <w:r w:rsidRPr="00D53AA2">
        <w:t xml:space="preserve">Procureur de </w:t>
      </w:r>
      <w:proofErr w:type="gramStart"/>
      <w:r w:rsidRPr="00D53AA2">
        <w:t>l’appelant :</w:t>
      </w:r>
      <w:proofErr w:type="gramEnd"/>
      <w:r w:rsidRPr="00D53AA2">
        <w:t xml:space="preserve"> Attorney General of Alberta — Appeals &amp; Specialized Prosecution Office, Alberta Crown Prosecution Service, Edmonton.</w:t>
      </w:r>
    </w:p>
    <w:p w14:paraId="34524EB2" w14:textId="77777777" w:rsidR="00736DB2" w:rsidRDefault="001C512F">
      <w:pPr>
        <w:pStyle w:val="SCCLawFirm"/>
        <w:rPr>
          <w:lang w:val="fr-FR"/>
        </w:rPr>
      </w:pPr>
      <w:r w:rsidRPr="00D53AA2">
        <w:tab/>
      </w:r>
      <w:r w:rsidRPr="00D53AA2">
        <w:rPr>
          <w:lang w:val="fr-FR"/>
        </w:rPr>
        <w:t>Procureurs de l’intimé : Beresh Law, Edmonton.</w:t>
      </w:r>
    </w:p>
    <w:sectPr w:rsidR="00736DB2" w:rsidSect="00EF05C3">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ABAD" w14:textId="77777777" w:rsidR="00736DB2" w:rsidRDefault="001C512F">
      <w:r>
        <w:separator/>
      </w:r>
    </w:p>
  </w:endnote>
  <w:endnote w:type="continuationSeparator" w:id="0">
    <w:p w14:paraId="7EC97D9E" w14:textId="77777777" w:rsidR="00736DB2" w:rsidRDefault="001C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D080" w14:textId="77777777" w:rsidR="00736DB2" w:rsidRDefault="001C512F">
      <w:r>
        <w:separator/>
      </w:r>
    </w:p>
  </w:footnote>
  <w:footnote w:type="continuationSeparator" w:id="0">
    <w:p w14:paraId="729FBD2D" w14:textId="77777777" w:rsidR="00736DB2" w:rsidRDefault="001C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214741"/>
      <w:docPartObj>
        <w:docPartGallery w:val="Page Numbers (Top of Page)"/>
        <w:docPartUnique/>
      </w:docPartObj>
    </w:sdtPr>
    <w:sdtContent>
      <w:p w14:paraId="5D39349A" w14:textId="6F3308B8" w:rsidR="00EF05C3" w:rsidRDefault="00EF05C3">
        <w:pPr>
          <w:pStyle w:val="En-tte"/>
          <w:jc w:val="center"/>
        </w:pPr>
        <w:r>
          <w:fldChar w:fldCharType="begin"/>
        </w:r>
        <w:r>
          <w:instrText>PAGE   \* MERGEFORMAT</w:instrText>
        </w:r>
        <w:r>
          <w:fldChar w:fldCharType="separate"/>
        </w:r>
        <w:r>
          <w:rPr>
            <w:lang w:val="fr-CA"/>
          </w:rPr>
          <w:t>2</w:t>
        </w:r>
        <w:r>
          <w:fldChar w:fldCharType="end"/>
        </w:r>
      </w:p>
    </w:sdtContent>
  </w:sdt>
  <w:p w14:paraId="785EDA78" w14:textId="77777777" w:rsidR="00EF05C3" w:rsidRDefault="00EF05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 w15:restartNumberingAfterBreak="0">
    <w:nsid w:val="50A46E81"/>
    <w:multiLevelType w:val="hybridMultilevel"/>
    <w:tmpl w:val="38DE1E6A"/>
    <w:lvl w:ilvl="0" w:tplc="1009000F">
      <w:start w:val="1"/>
      <w:numFmt w:val="decimal"/>
      <w:lvlText w:val="%1."/>
      <w:lvlJc w:val="left"/>
      <w:pPr>
        <w:ind w:left="1888" w:hanging="360"/>
      </w:pPr>
    </w:lvl>
    <w:lvl w:ilvl="1" w:tplc="10090019" w:tentative="1">
      <w:start w:val="1"/>
      <w:numFmt w:val="lowerLetter"/>
      <w:lvlText w:val="%2."/>
      <w:lvlJc w:val="left"/>
      <w:pPr>
        <w:ind w:left="2608" w:hanging="360"/>
      </w:pPr>
    </w:lvl>
    <w:lvl w:ilvl="2" w:tplc="1009001B" w:tentative="1">
      <w:start w:val="1"/>
      <w:numFmt w:val="lowerRoman"/>
      <w:lvlText w:val="%3."/>
      <w:lvlJc w:val="right"/>
      <w:pPr>
        <w:ind w:left="3328" w:hanging="180"/>
      </w:pPr>
    </w:lvl>
    <w:lvl w:ilvl="3" w:tplc="1009000F" w:tentative="1">
      <w:start w:val="1"/>
      <w:numFmt w:val="decimal"/>
      <w:lvlText w:val="%4."/>
      <w:lvlJc w:val="left"/>
      <w:pPr>
        <w:ind w:left="4048" w:hanging="360"/>
      </w:pPr>
    </w:lvl>
    <w:lvl w:ilvl="4" w:tplc="10090019" w:tentative="1">
      <w:start w:val="1"/>
      <w:numFmt w:val="lowerLetter"/>
      <w:lvlText w:val="%5."/>
      <w:lvlJc w:val="left"/>
      <w:pPr>
        <w:ind w:left="4768" w:hanging="360"/>
      </w:pPr>
    </w:lvl>
    <w:lvl w:ilvl="5" w:tplc="1009001B" w:tentative="1">
      <w:start w:val="1"/>
      <w:numFmt w:val="lowerRoman"/>
      <w:lvlText w:val="%6."/>
      <w:lvlJc w:val="right"/>
      <w:pPr>
        <w:ind w:left="5488" w:hanging="180"/>
      </w:pPr>
    </w:lvl>
    <w:lvl w:ilvl="6" w:tplc="1009000F" w:tentative="1">
      <w:start w:val="1"/>
      <w:numFmt w:val="decimal"/>
      <w:lvlText w:val="%7."/>
      <w:lvlJc w:val="left"/>
      <w:pPr>
        <w:ind w:left="6208" w:hanging="360"/>
      </w:pPr>
    </w:lvl>
    <w:lvl w:ilvl="7" w:tplc="10090019" w:tentative="1">
      <w:start w:val="1"/>
      <w:numFmt w:val="lowerLetter"/>
      <w:lvlText w:val="%8."/>
      <w:lvlJc w:val="left"/>
      <w:pPr>
        <w:ind w:left="6928" w:hanging="360"/>
      </w:pPr>
    </w:lvl>
    <w:lvl w:ilvl="8" w:tplc="1009001B" w:tentative="1">
      <w:start w:val="1"/>
      <w:numFmt w:val="lowerRoman"/>
      <w:lvlText w:val="%9."/>
      <w:lvlJc w:val="right"/>
      <w:pPr>
        <w:ind w:left="7648" w:hanging="180"/>
      </w:pPr>
    </w:lvl>
  </w:abstractNum>
  <w:abstractNum w:abstractNumId="2" w15:restartNumberingAfterBreak="0">
    <w:nsid w:val="54283EE8"/>
    <w:multiLevelType w:val="multilevel"/>
    <w:tmpl w:val="194CE34C"/>
    <w:lvl w:ilvl="0">
      <w:start w:val="1"/>
      <w:numFmt w:val="decimal"/>
      <w:pStyle w:val="ParaNoNdepar-AltN"/>
      <w:lvlText w:val="[%1]"/>
      <w:lvlJc w:val="left"/>
      <w:pPr>
        <w:tabs>
          <w:tab w:val="num" w:pos="1152"/>
        </w:tabs>
        <w:ind w:left="0" w:firstLine="0"/>
      </w:pPr>
      <w:rPr>
        <w:rFonts w:ascii="Times New Roman" w:hAnsi="Times New Roman" w:hint="default"/>
        <w:sz w:val="24"/>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8441909">
    <w:abstractNumId w:val="2"/>
  </w:num>
  <w:num w:numId="2" w16cid:durableId="617755758">
    <w:abstractNumId w:val="0"/>
  </w:num>
  <w:num w:numId="3" w16cid:durableId="427040472">
    <w:abstractNumId w:val="0"/>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4" w16cid:durableId="1409644594">
    <w:abstractNumId w:val="0"/>
    <w:lvlOverride w:ilvl="0">
      <w:lvl w:ilvl="0">
        <w:start w:val="1"/>
        <w:numFmt w:val="upperRoman"/>
        <w:pStyle w:val="Title1LevelTitre1Niveau-AltL"/>
        <w:lvlText w:val="%1."/>
        <w:lvlJc w:val="left"/>
        <w:pPr>
          <w:tabs>
            <w:tab w:val="num" w:pos="4266"/>
          </w:tabs>
          <w:ind w:left="426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5" w16cid:durableId="86849121">
    <w:abstractNumId w:val="1"/>
  </w:num>
  <w:num w:numId="6" w16cid:durableId="1951812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507158">
    <w:abstractNumId w:val="2"/>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C22801-889A-4CA6-9293-D1617B379B90}"/>
    <w:docVar w:name="dgnword-eventsink" w:val="2548749423440"/>
  </w:docVars>
  <w:rsids>
    <w:rsidRoot w:val="00736DB2"/>
    <w:rsid w:val="000C64AD"/>
    <w:rsid w:val="00107984"/>
    <w:rsid w:val="001C512F"/>
    <w:rsid w:val="001F23FD"/>
    <w:rsid w:val="00220843"/>
    <w:rsid w:val="00736DB2"/>
    <w:rsid w:val="007A6439"/>
    <w:rsid w:val="008E4677"/>
    <w:rsid w:val="00932CAA"/>
    <w:rsid w:val="00C642C6"/>
    <w:rsid w:val="00CB4889"/>
    <w:rsid w:val="00D53AA2"/>
    <w:rsid w:val="00EF05C3"/>
    <w:rsid w:val="00FE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0E023A"/>
  <w15:docId w15:val="{7EAC89B2-4DE1-420E-A46C-A679C12E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Normal"/>
    <w:next w:val="Normal"/>
    <w:link w:val="Titre1Car"/>
    <w:uiPriority w:val="9"/>
    <w:qFormat/>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pPr>
      <w:widowControl w:val="0"/>
    </w:pPr>
  </w:style>
  <w:style w:type="paragraph" w:customStyle="1" w:styleId="SCCNormalDoubleSpacing">
    <w:name w:val="SCC.Normal.DoubleSpacing"/>
    <w:basedOn w:val="Normal"/>
    <w:link w:val="SCCNormalDoubleSpacingChar"/>
    <w:pPr>
      <w:tabs>
        <w:tab w:val="left" w:pos="1168"/>
      </w:tabs>
      <w:spacing w:line="480" w:lineRule="auto"/>
      <w:jc w:val="both"/>
    </w:pPr>
  </w:style>
  <w:style w:type="character" w:customStyle="1" w:styleId="SCCNormalDoubleSpacingChar">
    <w:name w:val="SCC.Normal.DoubleSpacing Char"/>
    <w:basedOn w:val="Policepardfaut"/>
    <w:link w:val="SCCNormalDoubleSpacing"/>
    <w:rPr>
      <w:sz w:val="24"/>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sz w:val="24"/>
      <w:lang w:val="en-US"/>
    </w:r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en-US"/>
    </w:rPr>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rPr>
      <w:sz w:val="24"/>
      <w:lang w:val="en-US"/>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rPr>
      <w:sz w:val="24"/>
      <w:lang w:val="en-US"/>
    </w:rPr>
  </w:style>
  <w:style w:type="paragraph" w:customStyle="1" w:styleId="SCCLsocParty">
    <w:name w:val="SCC.Lsoc.Party"/>
    <w:basedOn w:val="Normal"/>
    <w:next w:val="Normal"/>
    <w:link w:val="SCCLsocPartyChar"/>
    <w:pPr>
      <w:tabs>
        <w:tab w:val="right" w:pos="8222"/>
      </w:tabs>
      <w:jc w:val="both"/>
    </w:pPr>
    <w:rPr>
      <w:b/>
    </w:rPr>
  </w:style>
  <w:style w:type="character" w:customStyle="1" w:styleId="SCCLsocPartyChar">
    <w:name w:val="SCC.Lsoc.Party Char"/>
    <w:basedOn w:val="Policepardfaut"/>
    <w:link w:val="SCCLsocParty"/>
    <w:rPr>
      <w:b/>
      <w:sz w:val="24"/>
    </w:rPr>
  </w:style>
  <w:style w:type="paragraph" w:customStyle="1" w:styleId="SCCLsocVersus">
    <w:name w:val="SCC.Lsoc.Versus"/>
    <w:basedOn w:val="Normal"/>
    <w:next w:val="Normal"/>
    <w:link w:val="SCCLsocVersusChar"/>
    <w:pPr>
      <w:spacing w:after="720"/>
    </w:pPr>
    <w:rPr>
      <w:i/>
    </w:rPr>
  </w:style>
  <w:style w:type="character" w:customStyle="1" w:styleId="SCCLsocVersusChar">
    <w:name w:val="SCC.Lsoc.Versus Char"/>
    <w:basedOn w:val="Policepardfaut"/>
    <w:link w:val="SCCLsocVersus"/>
    <w:rPr>
      <w:i/>
      <w:sz w:val="24"/>
    </w:rPr>
  </w:style>
  <w:style w:type="character" w:customStyle="1" w:styleId="SCCLsocPartyRole">
    <w:name w:val="SCC.Lsoc.PartyRole"/>
    <w:basedOn w:val="SCCLsocLastPartyInRoleChar"/>
    <w:uiPriority w:val="1"/>
    <w:rPr>
      <w:b/>
      <w:i/>
      <w:sz w:val="24"/>
    </w:rPr>
  </w:style>
  <w:style w:type="paragraph" w:customStyle="1" w:styleId="SCCLsocSubfileSeparator">
    <w:name w:val="SCC.Lsoc.SubfileSeparator"/>
    <w:basedOn w:val="Normal"/>
    <w:next w:val="Normal"/>
    <w:link w:val="SCCLsocSubfileSeparatorChar"/>
    <w:pPr>
      <w:spacing w:after="720"/>
    </w:pPr>
  </w:style>
  <w:style w:type="character" w:customStyle="1" w:styleId="SCCLsocSubfileSeparatorChar">
    <w:name w:val="SCC.Lsoc.SubfileSeparator Char"/>
    <w:basedOn w:val="Policepardfaut"/>
    <w:link w:val="SCCLsocSubfileSeparator"/>
    <w:rPr>
      <w:sz w:val="24"/>
    </w:rPr>
  </w:style>
  <w:style w:type="paragraph" w:customStyle="1" w:styleId="SCCLsocOtherPartySeparator">
    <w:name w:val="SCC.Lsoc.OtherPartySeparator"/>
    <w:basedOn w:val="Normal"/>
    <w:next w:val="Normal"/>
    <w:link w:val="SCCLsocOtherPartySeparatorChar"/>
    <w:pPr>
      <w:spacing w:after="720"/>
    </w:pPr>
  </w:style>
  <w:style w:type="character" w:customStyle="1" w:styleId="SCCLsocOtherPartySeparatorChar">
    <w:name w:val="SCC.Lsoc.OtherPartySeparator Char"/>
    <w:basedOn w:val="Policepardfaut"/>
    <w:link w:val="SCCLsocOtherPartySeparator"/>
    <w:rPr>
      <w:sz w:val="24"/>
    </w:r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pPr>
      <w:jc w:val="right"/>
    </w:pPr>
    <w:rPr>
      <w:b/>
    </w:rPr>
  </w:style>
  <w:style w:type="paragraph" w:customStyle="1" w:styleId="SCCAppellantForRunningHead">
    <w:name w:val="SCC.AppellantForRunningHead"/>
    <w:basedOn w:val="Normal"/>
    <w:next w:val="Normal"/>
    <w:link w:val="SCCAppellantForRunningHeadChar"/>
    <w:rPr>
      <w:smallCaps/>
    </w:rPr>
  </w:style>
  <w:style w:type="character" w:customStyle="1" w:styleId="SCCAppellantForRunningHeadChar">
    <w:name w:val="SCC.AppellantForRunningHead Char"/>
    <w:basedOn w:val="Policepardfaut"/>
    <w:link w:val="SCCAppellantForRunningHead"/>
    <w:rPr>
      <w:smallCaps/>
      <w:sz w:val="24"/>
    </w:rPr>
  </w:style>
  <w:style w:type="paragraph" w:customStyle="1" w:styleId="SCCRespondentForRunningHead">
    <w:name w:val="SCC.RespondentForRunningHead"/>
    <w:basedOn w:val="Normal"/>
    <w:next w:val="Normal"/>
    <w:link w:val="SCCRespondentForRunningHeadChar"/>
    <w:rPr>
      <w:smallCaps/>
    </w:rPr>
  </w:style>
  <w:style w:type="character" w:customStyle="1" w:styleId="SCCRespondentForRunningHeadChar">
    <w:name w:val="SCC.RespondentForRunningHead Char"/>
    <w:basedOn w:val="Policepardfaut"/>
    <w:link w:val="SCCRespondentForRunningHead"/>
    <w:rPr>
      <w:smallCaps/>
      <w:sz w:val="24"/>
    </w:rPr>
  </w:style>
  <w:style w:type="paragraph" w:customStyle="1" w:styleId="SCCAppellantForIndex">
    <w:name w:val="SCC.AppellantForIndex"/>
    <w:basedOn w:val="Normal"/>
    <w:next w:val="Normal"/>
    <w:link w:val="SCCAppellantForIndexChar"/>
    <w:rPr>
      <w:b/>
    </w:rPr>
  </w:style>
  <w:style w:type="character" w:customStyle="1" w:styleId="SCCAppellantForIndexChar">
    <w:name w:val="SCC.AppellantForIndex Char"/>
    <w:basedOn w:val="Policepardfaut"/>
    <w:link w:val="SCCAppellantForIndex"/>
    <w:rPr>
      <w:b/>
      <w:sz w:val="24"/>
    </w:rPr>
  </w:style>
  <w:style w:type="paragraph" w:customStyle="1" w:styleId="SCCRespondentForIndex">
    <w:name w:val="SCC.RespondentForIndex"/>
    <w:basedOn w:val="Normal"/>
    <w:next w:val="Normal"/>
    <w:link w:val="SCCRespondentForIndexChar"/>
    <w:rPr>
      <w:b/>
    </w:rPr>
  </w:style>
  <w:style w:type="character" w:customStyle="1" w:styleId="SCCRespondentForIndexChar">
    <w:name w:val="SCC.RespondentForIndex Char"/>
    <w:basedOn w:val="Policepardfaut"/>
    <w:link w:val="SCCRespondentForIndex"/>
    <w:rPr>
      <w:b/>
      <w:sz w:val="24"/>
    </w:rPr>
  </w:style>
  <w:style w:type="paragraph" w:customStyle="1" w:styleId="SCCSystemYear">
    <w:name w:val="SCC.SystemYear"/>
    <w:basedOn w:val="Normal"/>
    <w:next w:val="Normal"/>
    <w:link w:val="SCCSystemYearChar"/>
    <w:rPr>
      <w:b/>
    </w:rPr>
  </w:style>
  <w:style w:type="character" w:customStyle="1" w:styleId="SCCSystemYearChar">
    <w:name w:val="SCC.SystemYear Char"/>
    <w:basedOn w:val="Policepardfaut"/>
    <w:link w:val="SCCSystemYear"/>
    <w:rPr>
      <w:b/>
      <w:sz w:val="24"/>
    </w:rPr>
  </w:style>
  <w:style w:type="paragraph" w:customStyle="1" w:styleId="SCCLowerCourtNameLowercase">
    <w:name w:val="SCC.LowerCourtNameLowercase"/>
    <w:basedOn w:val="SCCNormalDoubleSpacing"/>
    <w:next w:val="SCCNormalDoubleSpacing"/>
    <w:rPr>
      <w:smallCaps/>
    </w:rPr>
  </w:style>
  <w:style w:type="paragraph" w:customStyle="1" w:styleId="SCCCounselName">
    <w:name w:val="SCC.CounselName"/>
    <w:basedOn w:val="SCCNormalDoubleSpacing"/>
    <w:next w:val="SCCNormalDoubleSpacing"/>
    <w:link w:val="SCCCounselNameChar"/>
    <w:rPr>
      <w:i/>
    </w:rPr>
  </w:style>
  <w:style w:type="character" w:customStyle="1" w:styleId="SCCCounselNameChar">
    <w:name w:val="SCC.CounselName Char"/>
    <w:basedOn w:val="SCCNormalDoubleSpacingChar"/>
    <w:link w:val="SCCCounselName"/>
    <w:rPr>
      <w:i/>
      <w:sz w:val="24"/>
    </w:rPr>
  </w:style>
  <w:style w:type="paragraph" w:customStyle="1" w:styleId="SCCItalic">
    <w:name w:val="SCC.Italic"/>
    <w:basedOn w:val="SCCNormalDoubleSpacing"/>
    <w:next w:val="SCCNormalDoubleSpacing"/>
    <w:rPr>
      <w:i/>
    </w:rPr>
  </w:style>
  <w:style w:type="paragraph" w:customStyle="1" w:styleId="SCCAppellantForCitation">
    <w:name w:val="SCC.AppellantForCitation"/>
    <w:basedOn w:val="Normal"/>
    <w:next w:val="Normal"/>
    <w:link w:val="SCCAppellantForCitationChar"/>
    <w:rPr>
      <w:i/>
    </w:rPr>
  </w:style>
  <w:style w:type="character" w:customStyle="1" w:styleId="SCCAppellantForCitationChar">
    <w:name w:val="SCC.AppellantForCitation Char"/>
    <w:basedOn w:val="Policepardfaut"/>
    <w:link w:val="SCCAppellantForCitation"/>
    <w:rPr>
      <w:i/>
      <w:sz w:val="24"/>
    </w:rPr>
  </w:style>
  <w:style w:type="paragraph" w:customStyle="1" w:styleId="SCCRespondentForCitation">
    <w:name w:val="SCC.RespondentForCitation"/>
    <w:basedOn w:val="Normal"/>
    <w:next w:val="Normal"/>
    <w:link w:val="SCCRespondentForCitationChar"/>
    <w:rPr>
      <w:i/>
    </w:rPr>
  </w:style>
  <w:style w:type="character" w:customStyle="1" w:styleId="SCCRespondentForCitationChar">
    <w:name w:val="SCC.RespondentForCitation Char"/>
    <w:basedOn w:val="Policepardfaut"/>
    <w:link w:val="SCCRespondentForCitation"/>
    <w:rPr>
      <w:i/>
      <w:sz w:val="24"/>
    </w:rPr>
  </w:style>
  <w:style w:type="paragraph" w:customStyle="1" w:styleId="SCCCounselSeparator">
    <w:name w:val="SCC.CounselSeparator"/>
    <w:basedOn w:val="SCCNormalDoubleSpacing"/>
    <w:next w:val="SCCNormalDoubleSpacing"/>
    <w:link w:val="SCCCounselSeparatorChar"/>
  </w:style>
  <w:style w:type="character" w:customStyle="1" w:styleId="SCCCounselSeparatorChar">
    <w:name w:val="SCC.CounselSeparator Char"/>
    <w:basedOn w:val="SCCNormalDoubleSpacingChar"/>
    <w:link w:val="SCCCounselSeparator"/>
    <w:rPr>
      <w:sz w:val="24"/>
    </w:rPr>
  </w:style>
  <w:style w:type="paragraph" w:customStyle="1" w:styleId="SCCPartyRole">
    <w:name w:val="SCC.PartyRole"/>
    <w:basedOn w:val="SCCNormalDoubleSpacing"/>
    <w:next w:val="SCCNormalDoubleSpacing"/>
    <w:link w:val="SCCPartyRoleChar"/>
  </w:style>
  <w:style w:type="character" w:customStyle="1" w:styleId="SCCPartyRoleChar">
    <w:name w:val="SCC.PartyRole Char"/>
    <w:basedOn w:val="SCCNormalDoubleSpacingChar"/>
    <w:link w:val="SCCPartyRole"/>
    <w:rPr>
      <w:sz w:val="24"/>
    </w:rPr>
  </w:style>
  <w:style w:type="paragraph" w:customStyle="1" w:styleId="SCCLawFirm">
    <w:name w:val="SCC.LawFirm"/>
    <w:basedOn w:val="SCCNormalDoubleSpacing"/>
    <w:next w:val="SCCNormalDoubleSpacing"/>
    <w:link w:val="SCCLawFirmChar"/>
    <w:rPr>
      <w:i/>
    </w:rPr>
  </w:style>
  <w:style w:type="character" w:customStyle="1" w:styleId="SCCLawFirmChar">
    <w:name w:val="SCC.LawFirm Char"/>
    <w:basedOn w:val="SCCNormalDoubleSpacingChar"/>
    <w:link w:val="SCCLawFirm"/>
    <w:rPr>
      <w:i/>
      <w:sz w:val="24"/>
    </w:rPr>
  </w:style>
  <w:style w:type="paragraph" w:customStyle="1" w:styleId="SCCCounselPartyRole">
    <w:name w:val="SCC.CounselPartyRole"/>
    <w:basedOn w:val="SCCNormalDoubleSpacing"/>
    <w:next w:val="SCCNormalDoubleSpacing"/>
    <w:link w:val="SCCCounselPartyRoleChar"/>
  </w:style>
  <w:style w:type="character" w:customStyle="1" w:styleId="SCCCounselPartyRoleChar">
    <w:name w:val="SCC.CounselPartyRole Char"/>
    <w:basedOn w:val="SCCNormalDoubleSpacingChar"/>
    <w:link w:val="SCCCounselPartyRole"/>
    <w:rPr>
      <w:sz w:val="24"/>
    </w:rPr>
  </w:style>
  <w:style w:type="paragraph" w:customStyle="1" w:styleId="SCCLsocLastPartyInRole">
    <w:name w:val="SCC.Lsoc.LastPartyInRole"/>
    <w:basedOn w:val="Normal"/>
    <w:next w:val="Normal"/>
    <w:link w:val="SCCLsocLastPartyInRoleChar"/>
    <w:qFormat/>
    <w:pPr>
      <w:tabs>
        <w:tab w:val="right" w:pos="8222"/>
      </w:tabs>
      <w:spacing w:after="720"/>
    </w:pPr>
    <w:rPr>
      <w:b/>
    </w:rPr>
  </w:style>
  <w:style w:type="character" w:customStyle="1" w:styleId="SCCLsocLastPartyInRoleChar">
    <w:name w:val="SCC.Lsoc.LastPartyInRole Char"/>
    <w:basedOn w:val="SCCLsocPartyChar"/>
    <w:link w:val="SCCLsocLastPartyInRole"/>
    <w:rPr>
      <w:b/>
      <w:sz w:val="24"/>
    </w:rPr>
  </w:style>
  <w:style w:type="paragraph" w:customStyle="1" w:styleId="SCCNormalKeyWords">
    <w:name w:val="SCC.Normal.KeyWords"/>
    <w:basedOn w:val="SCCNormalDoubleSpacing"/>
    <w:next w:val="SCCNormalDoubleSpacing"/>
    <w:qFormat/>
    <w:rPr>
      <w:i/>
      <w:lang w:val="fr-CA"/>
    </w:rPr>
  </w:style>
  <w:style w:type="character" w:styleId="Hyperlien">
    <w:name w:val="Hyperlink"/>
    <w:basedOn w:val="Policepardfaut"/>
    <w:uiPriority w:val="99"/>
    <w:unhideWhenUsed/>
    <w:rPr>
      <w:color w:val="0000FF"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solexhl">
    <w:name w:val="solexhl"/>
    <w:basedOn w:val="Policepardfaut"/>
  </w:style>
  <w:style w:type="character" w:customStyle="1" w:styleId="scccounselnamechar0">
    <w:name w:val="scccounselnamechar"/>
    <w:basedOn w:val="Policepardfaut"/>
  </w:style>
  <w:style w:type="character" w:styleId="Lienvisit">
    <w:name w:val="FollowedHyperlink"/>
    <w:basedOn w:val="Policepardfaut"/>
    <w:uiPriority w:val="99"/>
    <w:semiHidden/>
    <w:unhideWhenUsed/>
    <w:rPr>
      <w:color w:val="800080" w:themeColor="followed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rPr>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rPr>
  </w:style>
  <w:style w:type="paragraph" w:customStyle="1" w:styleId="Citation-AltC">
    <w:name w:val="Citation - Alt C"/>
    <w:uiPriority w:val="2"/>
    <w:qFormat/>
    <w:rsid w:val="00D53AA2"/>
    <w:pPr>
      <w:spacing w:after="720"/>
      <w:ind w:left="1166"/>
      <w:contextualSpacing/>
      <w:jc w:val="both"/>
    </w:pPr>
    <w:rPr>
      <w:sz w:val="24"/>
      <w:szCs w:val="24"/>
    </w:rPr>
  </w:style>
  <w:style w:type="paragraph" w:customStyle="1" w:styleId="JudgeJuge">
    <w:name w:val="Judge / Juge"/>
    <w:uiPriority w:val="3"/>
    <w:rsid w:val="00D53AA2"/>
    <w:pPr>
      <w:tabs>
        <w:tab w:val="left" w:pos="1166"/>
      </w:tabs>
      <w:spacing w:after="480" w:line="480" w:lineRule="auto"/>
    </w:pPr>
    <w:rPr>
      <w:smallCaps/>
      <w:sz w:val="24"/>
      <w:szCs w:val="24"/>
    </w:rPr>
  </w:style>
  <w:style w:type="paragraph" w:customStyle="1" w:styleId="ParaNoNdepar-AltN">
    <w:name w:val="Para. No. / Nº de par. - Alt N"/>
    <w:link w:val="ParaNoNdepar-AltNChar"/>
    <w:qFormat/>
    <w:rsid w:val="00D53AA2"/>
    <w:pPr>
      <w:numPr>
        <w:numId w:val="1"/>
      </w:numPr>
      <w:spacing w:before="480" w:after="480" w:line="480" w:lineRule="auto"/>
      <w:jc w:val="both"/>
    </w:pPr>
    <w:rPr>
      <w:rFonts w:eastAsiaTheme="minorEastAsia" w:cstheme="minorBidi"/>
      <w:sz w:val="24"/>
      <w:szCs w:val="22"/>
      <w:lang w:eastAsia="en-US"/>
    </w:rPr>
  </w:style>
  <w:style w:type="paragraph" w:customStyle="1" w:styleId="Title1LevelTitre1Niveau-AltL">
    <w:name w:val="Title 1 Level / Titre 1 Niveau - Alt L"/>
    <w:next w:val="ParaNoNdepar-AltN"/>
    <w:uiPriority w:val="4"/>
    <w:qFormat/>
    <w:rsid w:val="00D53AA2"/>
    <w:pPr>
      <w:numPr>
        <w:numId w:val="2"/>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D53AA2"/>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D53AA2"/>
    <w:pPr>
      <w:numPr>
        <w:ilvl w:val="2"/>
      </w:numPr>
      <w:outlineLvl w:val="2"/>
    </w:pPr>
  </w:style>
  <w:style w:type="paragraph" w:customStyle="1" w:styleId="Title4LevelTitre4Niveau">
    <w:name w:val="Title 4 Level / Titre 4 Niveau"/>
    <w:basedOn w:val="Title3LevelTitre3Niveau"/>
    <w:next w:val="ParaNoNdepar-AltN"/>
    <w:uiPriority w:val="4"/>
    <w:qFormat/>
    <w:rsid w:val="00D53AA2"/>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D53AA2"/>
    <w:pPr>
      <w:numPr>
        <w:ilvl w:val="4"/>
      </w:numPr>
      <w:outlineLvl w:val="4"/>
    </w:pPr>
  </w:style>
  <w:style w:type="paragraph" w:customStyle="1" w:styleId="Title6LevelTitre6Niveau">
    <w:name w:val="Title 6 Level / Titre 6 Niveau"/>
    <w:basedOn w:val="Title5LevelTitre5Niveau"/>
    <w:next w:val="ParaNoNdepar-AltN"/>
    <w:uiPriority w:val="4"/>
    <w:qFormat/>
    <w:rsid w:val="00D53AA2"/>
    <w:pPr>
      <w:numPr>
        <w:ilvl w:val="5"/>
      </w:numPr>
      <w:outlineLvl w:val="5"/>
    </w:pPr>
    <w:rPr>
      <w:i/>
      <w:u w:val="none"/>
    </w:rPr>
  </w:style>
  <w:style w:type="character" w:customStyle="1" w:styleId="ParaNoNdepar-AltNChar">
    <w:name w:val="Para. No. / Nº de par. - Alt N Char"/>
    <w:basedOn w:val="Policepardfaut"/>
    <w:link w:val="ParaNoNdepar-AltN"/>
    <w:rsid w:val="00D53AA2"/>
    <w:rPr>
      <w:rFonts w:eastAsiaTheme="minorEastAsia" w:cstheme="minorBidi"/>
      <w:sz w:val="24"/>
      <w:szCs w:val="22"/>
      <w:lang w:eastAsia="en-US"/>
    </w:rPr>
  </w:style>
  <w:style w:type="table" w:styleId="Grilledutableau">
    <w:name w:val="Table Grid"/>
    <w:basedOn w:val="TableauNormal"/>
    <w:uiPriority w:val="59"/>
    <w:rsid w:val="00D53AA2"/>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6088">
      <w:bodyDiv w:val="1"/>
      <w:marLeft w:val="0"/>
      <w:marRight w:val="0"/>
      <w:marTop w:val="0"/>
      <w:marBottom w:val="0"/>
      <w:divBdr>
        <w:top w:val="none" w:sz="0" w:space="0" w:color="auto"/>
        <w:left w:val="none" w:sz="0" w:space="0" w:color="auto"/>
        <w:bottom w:val="none" w:sz="0" w:space="0" w:color="auto"/>
        <w:right w:val="none" w:sz="0" w:space="0" w:color="auto"/>
      </w:divBdr>
    </w:div>
    <w:div w:id="1896500794">
      <w:bodyDiv w:val="1"/>
      <w:marLeft w:val="0"/>
      <w:marRight w:val="0"/>
      <w:marTop w:val="0"/>
      <w:marBottom w:val="0"/>
      <w:divBdr>
        <w:top w:val="none" w:sz="0" w:space="0" w:color="auto"/>
        <w:left w:val="none" w:sz="0" w:space="0" w:color="auto"/>
        <w:bottom w:val="none" w:sz="0" w:space="0" w:color="auto"/>
        <w:right w:val="none" w:sz="0" w:space="0" w:color="auto"/>
      </w:divBdr>
    </w:div>
    <w:div w:id="1990282010">
      <w:bodyDiv w:val="1"/>
      <w:marLeft w:val="0"/>
      <w:marRight w:val="0"/>
      <w:marTop w:val="0"/>
      <w:marBottom w:val="0"/>
      <w:divBdr>
        <w:top w:val="none" w:sz="0" w:space="0" w:color="auto"/>
        <w:left w:val="none" w:sz="0" w:space="0" w:color="auto"/>
        <w:bottom w:val="none" w:sz="0" w:space="0" w:color="auto"/>
        <w:right w:val="none" w:sz="0" w:space="0" w:color="auto"/>
      </w:divBdr>
    </w:div>
    <w:div w:id="20499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nlii.org/en/ab/abca/doc/2024/2024abca352/2024abca352.html?resultId=8f59448dc89b40a7abc53d6511deb5d2&amp;searchId=2026-01-27T13:41:09:641/643c591f8b98468a881aad06e2254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14672</Words>
  <Characters>71794</Characters>
  <Application>Microsoft Office Word</Application>
  <DocSecurity>0</DocSecurity>
  <Lines>598</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Deschênes, Gabrielle</cp:lastModifiedBy>
  <cp:revision>2</cp:revision>
  <dcterms:created xsi:type="dcterms:W3CDTF">2026-05-21T22:27:00Z</dcterms:created>
  <dcterms:modified xsi:type="dcterms:W3CDTF">2026-05-22T13:49:00Z</dcterms:modified>
</cp:coreProperties>
</file>