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C20B" w14:textId="061F869E" w:rsidR="00B9670E" w:rsidRPr="00C4271E" w:rsidRDefault="00B9670E">
      <w:pPr>
        <w:rPr>
          <w:b/>
          <w:bCs/>
          <w:lang w:val="en-CA"/>
        </w:rPr>
      </w:pPr>
      <w:r w:rsidRPr="00C4271E">
        <w:rPr>
          <w:b/>
          <w:bCs/>
          <w:lang w:val="en-CA"/>
        </w:rPr>
        <w:t>English translation of the judgment of the Court by SOQUIJ</w:t>
      </w:r>
    </w:p>
    <w:tbl>
      <w:tblPr>
        <w:tblW w:w="9786" w:type="dxa"/>
        <w:tblLayout w:type="fixed"/>
        <w:tblCellMar>
          <w:left w:w="0" w:type="dxa"/>
          <w:right w:w="0" w:type="dxa"/>
        </w:tblCellMar>
        <w:tblLook w:val="0000" w:firstRow="0" w:lastRow="0" w:firstColumn="0" w:lastColumn="0" w:noHBand="0" w:noVBand="0"/>
      </w:tblPr>
      <w:tblGrid>
        <w:gridCol w:w="1030"/>
        <w:gridCol w:w="671"/>
        <w:gridCol w:w="345"/>
        <w:gridCol w:w="2350"/>
        <w:gridCol w:w="3402"/>
        <w:gridCol w:w="1988"/>
      </w:tblGrid>
      <w:tr w:rsidR="00243820" w:rsidRPr="00075953" w14:paraId="0F00CC50" w14:textId="77777777" w:rsidTr="00B9670E">
        <w:trPr>
          <w:trHeight w:val="248"/>
        </w:trPr>
        <w:tc>
          <w:tcPr>
            <w:tcW w:w="7798" w:type="dxa"/>
            <w:gridSpan w:val="5"/>
          </w:tcPr>
          <w:p w14:paraId="61F0B19E" w14:textId="692A7AFF" w:rsidR="008F364A" w:rsidRPr="00402233" w:rsidRDefault="005C25DB" w:rsidP="00F43718">
            <w:pPr>
              <w:pStyle w:val="zSoquijdatRepertorie"/>
              <w:rPr>
                <w:rFonts w:cs="Arial"/>
              </w:rPr>
            </w:pPr>
            <w:r w:rsidRPr="00402233">
              <w:rPr>
                <w:rFonts w:cs="Arial"/>
              </w:rPr>
              <w:t>Conseil de bande de Pessamit c. Rock</w:t>
            </w:r>
          </w:p>
        </w:tc>
        <w:tc>
          <w:tcPr>
            <w:tcW w:w="1988" w:type="dxa"/>
          </w:tcPr>
          <w:p w14:paraId="69DAEE9C" w14:textId="0B2BF24C" w:rsidR="008F364A" w:rsidRPr="00402233" w:rsidRDefault="005C25DB" w:rsidP="00DC3F12">
            <w:pPr>
              <w:pStyle w:val="zSoquijdatRefNeutre"/>
              <w:jc w:val="right"/>
              <w:rPr>
                <w:rFonts w:cs="Arial"/>
                <w:lang w:val="en-CA"/>
              </w:rPr>
            </w:pPr>
            <w:r w:rsidRPr="00402233">
              <w:rPr>
                <w:rFonts w:cs="Arial"/>
                <w:lang w:val="en-CA"/>
              </w:rPr>
              <w:t>2024 QCCA 1532</w:t>
            </w:r>
          </w:p>
        </w:tc>
      </w:tr>
      <w:tr w:rsidR="00243820" w:rsidRPr="00075953" w14:paraId="3078502B" w14:textId="77777777" w:rsidTr="00B9670E">
        <w:trPr>
          <w:trHeight w:val="247"/>
        </w:trPr>
        <w:tc>
          <w:tcPr>
            <w:tcW w:w="9786" w:type="dxa"/>
            <w:gridSpan w:val="6"/>
          </w:tcPr>
          <w:p w14:paraId="2CAAD349" w14:textId="4DCC9EFD" w:rsidR="008F364A" w:rsidRPr="00402233" w:rsidRDefault="005C25DB">
            <w:pPr>
              <w:pStyle w:val="zSoquijlblCour"/>
              <w:rPr>
                <w:lang w:val="en-CA"/>
              </w:rPr>
            </w:pPr>
            <w:r w:rsidRPr="00402233">
              <w:rPr>
                <w:lang w:val="en-CA"/>
              </w:rPr>
              <w:t>COURT OF APPEAL</w:t>
            </w:r>
          </w:p>
        </w:tc>
      </w:tr>
      <w:tr w:rsidR="00243820" w:rsidRPr="00075953" w14:paraId="5BE13C8B" w14:textId="77777777" w:rsidTr="00B9670E">
        <w:trPr>
          <w:trHeight w:val="540"/>
        </w:trPr>
        <w:tc>
          <w:tcPr>
            <w:tcW w:w="9786" w:type="dxa"/>
            <w:gridSpan w:val="6"/>
          </w:tcPr>
          <w:p w14:paraId="12A84163" w14:textId="77777777" w:rsidR="008F364A" w:rsidRPr="00402233" w:rsidRDefault="008F364A">
            <w:pPr>
              <w:pStyle w:val="zSoquijdatDivision"/>
              <w:rPr>
                <w:lang w:val="en-CA"/>
              </w:rPr>
            </w:pPr>
          </w:p>
        </w:tc>
      </w:tr>
      <w:tr w:rsidR="00243820" w:rsidRPr="00075953" w14:paraId="29702E58" w14:textId="77777777" w:rsidTr="00B9670E">
        <w:tc>
          <w:tcPr>
            <w:tcW w:w="9786" w:type="dxa"/>
            <w:gridSpan w:val="6"/>
          </w:tcPr>
          <w:p w14:paraId="6ADC8892" w14:textId="0DDA7C6D" w:rsidR="008F364A" w:rsidRPr="00402233" w:rsidRDefault="005C25DB">
            <w:pPr>
              <w:pStyle w:val="zSoquijlblPays"/>
              <w:rPr>
                <w:lang w:val="en-CA"/>
              </w:rPr>
            </w:pPr>
            <w:r w:rsidRPr="00402233">
              <w:rPr>
                <w:lang w:val="en-CA"/>
              </w:rPr>
              <w:t>CANADA</w:t>
            </w:r>
          </w:p>
        </w:tc>
      </w:tr>
      <w:tr w:rsidR="00243820" w:rsidRPr="00075953" w14:paraId="7B9455CD" w14:textId="77777777" w:rsidTr="00B9670E">
        <w:tc>
          <w:tcPr>
            <w:tcW w:w="9786" w:type="dxa"/>
            <w:gridSpan w:val="6"/>
          </w:tcPr>
          <w:p w14:paraId="4FAEAF9F" w14:textId="75F80C59" w:rsidR="008F364A" w:rsidRPr="00402233" w:rsidRDefault="005C25DB">
            <w:pPr>
              <w:pStyle w:val="zSoquijlblProvince"/>
              <w:rPr>
                <w:lang w:val="en-CA"/>
              </w:rPr>
            </w:pPr>
            <w:r w:rsidRPr="00402233">
              <w:rPr>
                <w:lang w:val="en-CA"/>
              </w:rPr>
              <w:t>PROVINCE OF QUEBEC</w:t>
            </w:r>
          </w:p>
        </w:tc>
      </w:tr>
      <w:tr w:rsidR="00243820" w:rsidRPr="00075953" w14:paraId="3CAF81BE" w14:textId="77777777" w:rsidTr="00B9670E">
        <w:tc>
          <w:tcPr>
            <w:tcW w:w="1701" w:type="dxa"/>
            <w:gridSpan w:val="2"/>
          </w:tcPr>
          <w:p w14:paraId="04ACA106" w14:textId="6B0EAC3E" w:rsidR="008F364A" w:rsidRPr="00402233" w:rsidRDefault="005C25DB">
            <w:pPr>
              <w:pStyle w:val="zSoquijlblGreffe"/>
              <w:rPr>
                <w:lang w:val="en-CA"/>
              </w:rPr>
            </w:pPr>
            <w:r w:rsidRPr="00402233">
              <w:rPr>
                <w:lang w:val="en-CA"/>
              </w:rPr>
              <w:t>QUEBEC CITY</w:t>
            </w:r>
          </w:p>
          <w:p w14:paraId="6DAA06EB" w14:textId="77777777" w:rsidR="008F364A" w:rsidRPr="00402233" w:rsidRDefault="008F364A">
            <w:pPr>
              <w:pStyle w:val="zSoquijlblGreffe"/>
              <w:rPr>
                <w:lang w:val="en-CA"/>
              </w:rPr>
            </w:pPr>
          </w:p>
        </w:tc>
        <w:tc>
          <w:tcPr>
            <w:tcW w:w="8084" w:type="dxa"/>
            <w:gridSpan w:val="4"/>
          </w:tcPr>
          <w:p w14:paraId="2ED857DD" w14:textId="73D397F5" w:rsidR="008F364A" w:rsidRPr="00402233" w:rsidRDefault="005C25DB" w:rsidP="00B9670E">
            <w:pPr>
              <w:pStyle w:val="zSoquijdatGreffe"/>
              <w:rPr>
                <w:lang w:val="en-CA"/>
              </w:rPr>
            </w:pPr>
            <w:r w:rsidRPr="00402233">
              <w:rPr>
                <w:lang w:val="en-CA"/>
              </w:rPr>
              <w:t>SEAT</w:t>
            </w:r>
          </w:p>
        </w:tc>
      </w:tr>
      <w:tr w:rsidR="00243820" w:rsidRPr="00075953" w14:paraId="76C36C2E" w14:textId="77777777" w:rsidTr="00B9670E">
        <w:tc>
          <w:tcPr>
            <w:tcW w:w="1030" w:type="dxa"/>
          </w:tcPr>
          <w:p w14:paraId="3411224D" w14:textId="2F2F9E50" w:rsidR="008F364A" w:rsidRPr="00402233" w:rsidRDefault="005C25DB">
            <w:pPr>
              <w:pStyle w:val="zSoquijlblNoDossier"/>
              <w:rPr>
                <w:lang w:val="en-CA"/>
              </w:rPr>
            </w:pPr>
            <w:r w:rsidRPr="00402233">
              <w:rPr>
                <w:lang w:val="en-CA"/>
              </w:rPr>
              <w:t>No.:</w:t>
            </w:r>
          </w:p>
        </w:tc>
        <w:tc>
          <w:tcPr>
            <w:tcW w:w="8756" w:type="dxa"/>
            <w:gridSpan w:val="5"/>
          </w:tcPr>
          <w:p w14:paraId="105DBA5E" w14:textId="77777777" w:rsidR="008F364A" w:rsidRPr="00402233" w:rsidRDefault="00E6443C">
            <w:pPr>
              <w:pStyle w:val="zSoquijdatNoDossier"/>
              <w:rPr>
                <w:lang w:val="en-CA"/>
              </w:rPr>
            </w:pPr>
            <w:bookmarkStart w:id="0" w:name="NoDossier"/>
            <w:r w:rsidRPr="00402233">
              <w:rPr>
                <w:lang w:val="en-CA"/>
              </w:rPr>
              <w:t>200-09-010687-231</w:t>
            </w:r>
            <w:bookmarkEnd w:id="0"/>
          </w:p>
        </w:tc>
      </w:tr>
      <w:tr w:rsidR="00243820" w:rsidRPr="00075953" w14:paraId="7F060768" w14:textId="77777777" w:rsidTr="00B9670E">
        <w:tc>
          <w:tcPr>
            <w:tcW w:w="9786" w:type="dxa"/>
            <w:gridSpan w:val="6"/>
          </w:tcPr>
          <w:p w14:paraId="421A1E37" w14:textId="77777777" w:rsidR="006D475A" w:rsidRPr="00402233" w:rsidRDefault="00E6443C" w:rsidP="006D475A">
            <w:pPr>
              <w:pStyle w:val="zSoquijdatNoDossierAnt"/>
              <w:rPr>
                <w:lang w:val="en-CA"/>
              </w:rPr>
            </w:pPr>
            <w:r w:rsidRPr="00402233">
              <w:rPr>
                <w:lang w:val="en-CA"/>
              </w:rPr>
              <w:t>(655-17-000904-230)</w:t>
            </w:r>
          </w:p>
        </w:tc>
      </w:tr>
      <w:tr w:rsidR="00243820" w:rsidRPr="00075953" w14:paraId="1ACFD2EA" w14:textId="77777777" w:rsidTr="00B9670E">
        <w:tc>
          <w:tcPr>
            <w:tcW w:w="9786" w:type="dxa"/>
            <w:gridSpan w:val="6"/>
          </w:tcPr>
          <w:p w14:paraId="25572269" w14:textId="77777777" w:rsidR="008F364A" w:rsidRPr="00402233" w:rsidRDefault="008F364A">
            <w:pPr>
              <w:rPr>
                <w:lang w:val="en-CA"/>
              </w:rPr>
            </w:pPr>
          </w:p>
        </w:tc>
      </w:tr>
      <w:tr w:rsidR="00243820" w:rsidRPr="00075953" w14:paraId="6CC43CD9" w14:textId="77777777" w:rsidTr="00B9670E">
        <w:tc>
          <w:tcPr>
            <w:tcW w:w="1030" w:type="dxa"/>
          </w:tcPr>
          <w:p w14:paraId="31DB1A66" w14:textId="3824E58C" w:rsidR="008F364A" w:rsidRPr="00402233" w:rsidRDefault="005C25DB">
            <w:pPr>
              <w:pStyle w:val="zSoquijlblDateJugement"/>
              <w:rPr>
                <w:lang w:val="en-CA"/>
              </w:rPr>
            </w:pPr>
            <w:r w:rsidRPr="00402233">
              <w:rPr>
                <w:lang w:val="en-CA"/>
              </w:rPr>
              <w:t>DATE:</w:t>
            </w:r>
          </w:p>
        </w:tc>
        <w:tc>
          <w:tcPr>
            <w:tcW w:w="8756" w:type="dxa"/>
            <w:gridSpan w:val="5"/>
          </w:tcPr>
          <w:p w14:paraId="3D908828" w14:textId="2A70C480" w:rsidR="008F364A" w:rsidRPr="00402233" w:rsidRDefault="005C25DB">
            <w:pPr>
              <w:pStyle w:val="zSoquijdatDateJugement"/>
              <w:rPr>
                <w:lang w:val="en-CA"/>
              </w:rPr>
            </w:pPr>
            <w:r w:rsidRPr="00402233">
              <w:rPr>
                <w:lang w:val="en-CA"/>
              </w:rPr>
              <w:t>November 18, 2024</w:t>
            </w:r>
          </w:p>
        </w:tc>
      </w:tr>
      <w:tr w:rsidR="00243820" w:rsidRPr="00075953" w14:paraId="4264C9AD" w14:textId="77777777" w:rsidTr="00B9670E">
        <w:tc>
          <w:tcPr>
            <w:tcW w:w="9786" w:type="dxa"/>
            <w:gridSpan w:val="6"/>
            <w:tcBorders>
              <w:bottom w:val="single" w:sz="8" w:space="0" w:color="auto"/>
            </w:tcBorders>
          </w:tcPr>
          <w:p w14:paraId="3F5F3443" w14:textId="77777777" w:rsidR="008F364A" w:rsidRPr="00402233" w:rsidRDefault="008F364A">
            <w:pPr>
              <w:rPr>
                <w:lang w:val="en-CA"/>
              </w:rPr>
            </w:pPr>
          </w:p>
        </w:tc>
      </w:tr>
      <w:tr w:rsidR="00243820" w:rsidRPr="00075953" w14:paraId="3C91F4CE" w14:textId="77777777" w:rsidTr="00B9670E">
        <w:tc>
          <w:tcPr>
            <w:tcW w:w="9786" w:type="dxa"/>
            <w:gridSpan w:val="6"/>
            <w:tcBorders>
              <w:top w:val="single" w:sz="8" w:space="0" w:color="auto"/>
            </w:tcBorders>
          </w:tcPr>
          <w:p w14:paraId="2F99DBCC" w14:textId="77777777" w:rsidR="008F364A" w:rsidRPr="00402233" w:rsidRDefault="008F364A">
            <w:pPr>
              <w:rPr>
                <w:lang w:val="en-CA"/>
              </w:rPr>
            </w:pPr>
          </w:p>
        </w:tc>
      </w:tr>
      <w:tr w:rsidR="00243820" w:rsidRPr="00075953" w14:paraId="49936D4F" w14:textId="77777777" w:rsidTr="00B9670E">
        <w:tc>
          <w:tcPr>
            <w:tcW w:w="2046" w:type="dxa"/>
            <w:gridSpan w:val="3"/>
          </w:tcPr>
          <w:p w14:paraId="4669588E" w14:textId="0475BAF0" w:rsidR="008F364A" w:rsidRPr="00402233" w:rsidRDefault="005C25DB" w:rsidP="00423DF1">
            <w:pPr>
              <w:pStyle w:val="zSoquijlblJuge"/>
              <w:ind w:right="-142"/>
              <w:rPr>
                <w:lang w:val="en-CA"/>
              </w:rPr>
            </w:pPr>
            <w:r w:rsidRPr="00402233">
              <w:rPr>
                <w:lang w:val="en-CA"/>
              </w:rPr>
              <w:t>CORAM:</w:t>
            </w:r>
          </w:p>
        </w:tc>
        <w:tc>
          <w:tcPr>
            <w:tcW w:w="2350" w:type="dxa"/>
          </w:tcPr>
          <w:p w14:paraId="527711A2" w14:textId="67A2C27A" w:rsidR="008F364A" w:rsidRPr="00402233" w:rsidRDefault="005C25DB">
            <w:pPr>
              <w:pStyle w:val="zSoquijdatQteJuge"/>
              <w:rPr>
                <w:lang w:val="en-CA"/>
              </w:rPr>
            </w:pPr>
            <w:r w:rsidRPr="00402233">
              <w:rPr>
                <w:lang w:val="en-CA"/>
              </w:rPr>
              <w:t>THE HONOURABLE</w:t>
            </w:r>
          </w:p>
        </w:tc>
        <w:tc>
          <w:tcPr>
            <w:tcW w:w="5390" w:type="dxa"/>
            <w:gridSpan w:val="2"/>
          </w:tcPr>
          <w:p w14:paraId="3CEC49B8" w14:textId="5DD0FBC4" w:rsidR="008F364A" w:rsidRPr="00402233" w:rsidRDefault="005C25DB">
            <w:pPr>
              <w:pStyle w:val="zSoquijdatJuge"/>
            </w:pPr>
            <w:r w:rsidRPr="00402233">
              <w:t>GUY GAGNON, J.A.</w:t>
            </w:r>
          </w:p>
          <w:p w14:paraId="4FD4F7D4" w14:textId="757E0AF7" w:rsidR="008F364A" w:rsidRPr="00402233" w:rsidRDefault="005C25DB">
            <w:pPr>
              <w:pStyle w:val="zSoquijdatJuge"/>
            </w:pPr>
            <w:r w:rsidRPr="00402233">
              <w:t>SOPHIE LAVALLÉE, J.A.</w:t>
            </w:r>
          </w:p>
          <w:p w14:paraId="38344DA4" w14:textId="3FC7EA8D" w:rsidR="005A78BF" w:rsidRPr="00402233" w:rsidRDefault="005C25DB" w:rsidP="006D475A">
            <w:pPr>
              <w:pStyle w:val="zSoquijdatJuge"/>
              <w:rPr>
                <w:lang w:val="en-CA"/>
              </w:rPr>
            </w:pPr>
            <w:bookmarkStart w:id="1" w:name="_Hlt520513784"/>
            <w:bookmarkEnd w:id="1"/>
            <w:r w:rsidRPr="00402233">
              <w:rPr>
                <w:lang w:val="en-CA"/>
              </w:rPr>
              <w:t>PETER KALICHMAN, J.A.</w:t>
            </w:r>
          </w:p>
        </w:tc>
      </w:tr>
      <w:tr w:rsidR="00243820" w:rsidRPr="00075953" w14:paraId="0F5003D4" w14:textId="77777777" w:rsidTr="00B9670E">
        <w:tc>
          <w:tcPr>
            <w:tcW w:w="9786" w:type="dxa"/>
            <w:gridSpan w:val="6"/>
            <w:tcBorders>
              <w:bottom w:val="single" w:sz="8" w:space="0" w:color="auto"/>
            </w:tcBorders>
          </w:tcPr>
          <w:p w14:paraId="37D55CA5" w14:textId="77777777" w:rsidR="008F364A" w:rsidRPr="00402233" w:rsidRDefault="008F364A">
            <w:pPr>
              <w:rPr>
                <w:lang w:val="en-CA"/>
              </w:rPr>
            </w:pPr>
          </w:p>
        </w:tc>
      </w:tr>
      <w:tr w:rsidR="00243820" w:rsidRPr="00075953" w14:paraId="6C8D5F00" w14:textId="77777777" w:rsidTr="00B9670E">
        <w:tc>
          <w:tcPr>
            <w:tcW w:w="9786" w:type="dxa"/>
            <w:gridSpan w:val="6"/>
          </w:tcPr>
          <w:p w14:paraId="0BAFA659" w14:textId="77777777" w:rsidR="008F364A" w:rsidRPr="00402233" w:rsidRDefault="008F364A">
            <w:pPr>
              <w:pStyle w:val="zSoquijlblTitrePartie"/>
              <w:rPr>
                <w:lang w:val="en-CA"/>
              </w:rPr>
            </w:pPr>
          </w:p>
        </w:tc>
      </w:tr>
      <w:tr w:rsidR="00243820" w:rsidRPr="00075953" w14:paraId="537B070E" w14:textId="77777777" w:rsidTr="00B9670E">
        <w:tc>
          <w:tcPr>
            <w:tcW w:w="9786" w:type="dxa"/>
            <w:gridSpan w:val="6"/>
          </w:tcPr>
          <w:p w14:paraId="06826576" w14:textId="386711F7" w:rsidR="008F364A" w:rsidRPr="00402233" w:rsidRDefault="005C25DB">
            <w:pPr>
              <w:pStyle w:val="zSoquijdatNomPartieDem"/>
            </w:pPr>
            <w:r w:rsidRPr="00402233">
              <w:t>CONSEIL DE BANDE DE PESSAMIT</w:t>
            </w:r>
          </w:p>
        </w:tc>
      </w:tr>
      <w:tr w:rsidR="00243820" w:rsidRPr="00075953" w14:paraId="404ADEE6" w14:textId="77777777" w:rsidTr="00B9670E">
        <w:tc>
          <w:tcPr>
            <w:tcW w:w="9786" w:type="dxa"/>
            <w:gridSpan w:val="6"/>
          </w:tcPr>
          <w:p w14:paraId="31CA7DDA" w14:textId="6FCFB401" w:rsidR="008F364A" w:rsidRPr="00402233" w:rsidRDefault="005C25DB">
            <w:pPr>
              <w:pStyle w:val="zSoquijdatQtePartieDem"/>
              <w:rPr>
                <w:lang w:val="en-CA"/>
              </w:rPr>
            </w:pPr>
            <w:r w:rsidRPr="00402233">
              <w:rPr>
                <w:lang w:val="en-CA"/>
              </w:rPr>
              <w:t>APPELLANT – Defendant</w:t>
            </w:r>
            <w:r w:rsidR="00E6443C" w:rsidRPr="00402233">
              <w:rPr>
                <w:lang w:val="en-CA"/>
              </w:rPr>
              <w:t xml:space="preserve"> </w:t>
            </w:r>
          </w:p>
        </w:tc>
      </w:tr>
      <w:tr w:rsidR="00243820" w:rsidRPr="00075953" w14:paraId="648D8906" w14:textId="77777777" w:rsidTr="00B9670E">
        <w:tc>
          <w:tcPr>
            <w:tcW w:w="9786" w:type="dxa"/>
            <w:gridSpan w:val="6"/>
          </w:tcPr>
          <w:p w14:paraId="1355FB11" w14:textId="506EAF75" w:rsidR="008F364A" w:rsidRPr="00C4271E" w:rsidRDefault="005C25DB">
            <w:pPr>
              <w:pStyle w:val="zSoquijlblLienParties"/>
              <w:rPr>
                <w:lang w:val="en-CA"/>
              </w:rPr>
            </w:pPr>
            <w:r w:rsidRPr="00C4271E">
              <w:rPr>
                <w:lang w:val="en-CA"/>
              </w:rPr>
              <w:t>v.</w:t>
            </w:r>
          </w:p>
        </w:tc>
      </w:tr>
      <w:tr w:rsidR="00243820" w:rsidRPr="00075953" w14:paraId="25FC5283" w14:textId="77777777" w:rsidTr="00B9670E">
        <w:tc>
          <w:tcPr>
            <w:tcW w:w="9786" w:type="dxa"/>
            <w:gridSpan w:val="6"/>
          </w:tcPr>
          <w:p w14:paraId="24CEA0D2" w14:textId="77777777" w:rsidR="008F364A" w:rsidRPr="00C4271E" w:rsidRDefault="008F364A">
            <w:pPr>
              <w:rPr>
                <w:lang w:val="en-CA"/>
              </w:rPr>
            </w:pPr>
          </w:p>
        </w:tc>
      </w:tr>
      <w:tr w:rsidR="00243820" w:rsidRPr="00075953" w14:paraId="0CD8F7ED" w14:textId="77777777" w:rsidTr="00B9670E">
        <w:tc>
          <w:tcPr>
            <w:tcW w:w="9786" w:type="dxa"/>
            <w:gridSpan w:val="6"/>
          </w:tcPr>
          <w:p w14:paraId="2EC604DD" w14:textId="66F520B3" w:rsidR="008F364A" w:rsidRPr="00C4271E" w:rsidRDefault="005C25DB">
            <w:pPr>
              <w:pStyle w:val="zSoquijdatNomPartieDef"/>
              <w:rPr>
                <w:lang w:val="en-CA"/>
              </w:rPr>
            </w:pPr>
            <w:r w:rsidRPr="00C4271E">
              <w:rPr>
                <w:lang w:val="en-CA"/>
              </w:rPr>
              <w:t>RENÉ ROCK</w:t>
            </w:r>
          </w:p>
          <w:p w14:paraId="69951B33" w14:textId="0D60795D" w:rsidR="006D475A" w:rsidRPr="00C4271E" w:rsidRDefault="005C25DB">
            <w:pPr>
              <w:pStyle w:val="zSoquijdatNomPartieDef"/>
              <w:rPr>
                <w:lang w:val="en-CA"/>
              </w:rPr>
            </w:pPr>
            <w:r w:rsidRPr="00C4271E">
              <w:rPr>
                <w:lang w:val="en-CA"/>
              </w:rPr>
              <w:t>RÉGINALD ROCK</w:t>
            </w:r>
          </w:p>
          <w:p w14:paraId="7539C06A" w14:textId="6A82A311" w:rsidR="006D475A" w:rsidRPr="00C4271E" w:rsidRDefault="005C25DB">
            <w:pPr>
              <w:pStyle w:val="zSoquijdatNomPartieDef"/>
              <w:rPr>
                <w:lang w:val="en-CA"/>
              </w:rPr>
            </w:pPr>
            <w:r w:rsidRPr="00C4271E">
              <w:rPr>
                <w:lang w:val="en-CA"/>
              </w:rPr>
              <w:t>JOHN ROCK</w:t>
            </w:r>
          </w:p>
          <w:p w14:paraId="5BF6243C" w14:textId="6DF69778" w:rsidR="006D475A" w:rsidRPr="00C4271E" w:rsidRDefault="005C25DB">
            <w:pPr>
              <w:pStyle w:val="zSoquijdatNomPartieDef"/>
              <w:rPr>
                <w:lang w:val="en-CA"/>
              </w:rPr>
            </w:pPr>
            <w:r w:rsidRPr="00402233">
              <w:rPr>
                <w:lang w:val="en-CA"/>
              </w:rPr>
              <w:t>RICHARD HERVIEUX</w:t>
            </w:r>
          </w:p>
        </w:tc>
      </w:tr>
      <w:tr w:rsidR="00243820" w:rsidRPr="00075953" w14:paraId="34D5BCED" w14:textId="77777777" w:rsidTr="00B9670E">
        <w:tc>
          <w:tcPr>
            <w:tcW w:w="9786" w:type="dxa"/>
            <w:gridSpan w:val="6"/>
          </w:tcPr>
          <w:p w14:paraId="7AAC08AD" w14:textId="19845BEE" w:rsidR="008F364A" w:rsidRPr="00C4271E" w:rsidRDefault="005C25DB">
            <w:pPr>
              <w:pStyle w:val="zSoquijdatQtePartieDef"/>
              <w:rPr>
                <w:lang w:val="en-CA"/>
              </w:rPr>
            </w:pPr>
            <w:r w:rsidRPr="00402233">
              <w:rPr>
                <w:lang w:val="en-CA"/>
              </w:rPr>
              <w:t>RESPONDENTS – Plaintiffs</w:t>
            </w:r>
            <w:r w:rsidR="00E6443C" w:rsidRPr="00402233">
              <w:rPr>
                <w:lang w:val="en-CA"/>
              </w:rPr>
              <w:t xml:space="preserve"> </w:t>
            </w:r>
          </w:p>
        </w:tc>
      </w:tr>
      <w:tr w:rsidR="00243820" w:rsidRPr="00075953" w14:paraId="31281C29" w14:textId="77777777" w:rsidTr="00B9670E">
        <w:tc>
          <w:tcPr>
            <w:tcW w:w="9786" w:type="dxa"/>
            <w:gridSpan w:val="6"/>
          </w:tcPr>
          <w:p w14:paraId="06BD8F1E" w14:textId="77777777" w:rsidR="008F364A" w:rsidRPr="00C4271E" w:rsidRDefault="008F364A">
            <w:pPr>
              <w:rPr>
                <w:lang w:val="en-CA"/>
              </w:rPr>
            </w:pPr>
          </w:p>
        </w:tc>
      </w:tr>
      <w:tr w:rsidR="00243820" w:rsidRPr="00075953" w14:paraId="58BCE4B2" w14:textId="77777777" w:rsidTr="00B9670E">
        <w:tc>
          <w:tcPr>
            <w:tcW w:w="9786" w:type="dxa"/>
            <w:gridSpan w:val="6"/>
            <w:tcBorders>
              <w:top w:val="single" w:sz="8" w:space="0" w:color="auto"/>
            </w:tcBorders>
          </w:tcPr>
          <w:p w14:paraId="6ACD1574" w14:textId="77777777" w:rsidR="008F364A" w:rsidRPr="00C4271E" w:rsidRDefault="008F364A">
            <w:pPr>
              <w:rPr>
                <w:lang w:val="en-CA"/>
              </w:rPr>
            </w:pPr>
            <w:bookmarkStart w:id="2" w:name="Arret"/>
          </w:p>
        </w:tc>
      </w:tr>
      <w:tr w:rsidR="00243820" w:rsidRPr="00075953" w14:paraId="15E2B76E" w14:textId="77777777" w:rsidTr="00B9670E">
        <w:tc>
          <w:tcPr>
            <w:tcW w:w="9786" w:type="dxa"/>
            <w:gridSpan w:val="6"/>
          </w:tcPr>
          <w:p w14:paraId="619E6DAF" w14:textId="4E57A89C" w:rsidR="008F364A" w:rsidRPr="00402233" w:rsidRDefault="005C25DB">
            <w:pPr>
              <w:pStyle w:val="zSoquijlblTypeDocument"/>
              <w:rPr>
                <w:lang w:val="en-CA"/>
              </w:rPr>
            </w:pPr>
            <w:r w:rsidRPr="00402233">
              <w:rPr>
                <w:lang w:val="en-CA"/>
              </w:rPr>
              <w:t>JUDGMENT</w:t>
            </w:r>
          </w:p>
        </w:tc>
      </w:tr>
      <w:tr w:rsidR="00243820" w:rsidRPr="00075953" w14:paraId="659CFC07" w14:textId="77777777" w:rsidTr="00B9670E">
        <w:tc>
          <w:tcPr>
            <w:tcW w:w="9786" w:type="dxa"/>
            <w:gridSpan w:val="6"/>
            <w:tcBorders>
              <w:bottom w:val="single" w:sz="8" w:space="0" w:color="auto"/>
            </w:tcBorders>
          </w:tcPr>
          <w:p w14:paraId="35A3BD2B" w14:textId="77777777" w:rsidR="008F364A" w:rsidRPr="00402233" w:rsidRDefault="008F364A">
            <w:pPr>
              <w:rPr>
                <w:lang w:val="en-CA"/>
              </w:rPr>
            </w:pPr>
          </w:p>
        </w:tc>
      </w:tr>
      <w:tr w:rsidR="00243820" w:rsidRPr="00075953" w14:paraId="325D627B" w14:textId="77777777" w:rsidTr="00B9670E">
        <w:tc>
          <w:tcPr>
            <w:tcW w:w="9786" w:type="dxa"/>
            <w:gridSpan w:val="6"/>
            <w:tcBorders>
              <w:top w:val="single" w:sz="8" w:space="0" w:color="auto"/>
            </w:tcBorders>
          </w:tcPr>
          <w:p w14:paraId="527D777A" w14:textId="77777777" w:rsidR="008F364A" w:rsidRPr="00402233" w:rsidRDefault="008F364A">
            <w:pPr>
              <w:rPr>
                <w:lang w:val="en-CA"/>
              </w:rPr>
            </w:pPr>
          </w:p>
        </w:tc>
      </w:tr>
    </w:tbl>
    <w:p w14:paraId="4397D662" w14:textId="1792D293" w:rsidR="008F364A" w:rsidRPr="00C4271E" w:rsidRDefault="005C25DB" w:rsidP="00CA6A52">
      <w:pPr>
        <w:pStyle w:val="Paragraphe"/>
        <w:spacing w:line="240" w:lineRule="auto"/>
        <w:rPr>
          <w:lang w:val="en-CA"/>
        </w:rPr>
      </w:pPr>
      <w:r w:rsidRPr="00C4271E">
        <w:rPr>
          <w:lang w:val="en-CA"/>
        </w:rPr>
        <w:t>The appellant, Conseil de bande de Pessamit, appeals from a judgment of the Superior Court rendered in the course of a proceeding on September</w:t>
      </w:r>
      <w:r w:rsidR="00A74130" w:rsidRPr="00C4271E">
        <w:rPr>
          <w:lang w:val="en-CA"/>
        </w:rPr>
        <w:t xml:space="preserve"> 26,</w:t>
      </w:r>
      <w:r w:rsidRPr="00C4271E">
        <w:rPr>
          <w:lang w:val="en-CA"/>
        </w:rPr>
        <w:t xml:space="preserve"> 2023 (the Honourable Serge Francoeur), dismissing its application to dismiss, for disqualification, and for a declinatory exception.</w:t>
      </w:r>
    </w:p>
    <w:p w14:paraId="2874ECBC" w14:textId="014ABF3B" w:rsidR="00CA6A52" w:rsidRPr="00C4271E" w:rsidRDefault="005C25DB" w:rsidP="00CA6A52">
      <w:pPr>
        <w:pStyle w:val="Paragraphe"/>
        <w:spacing w:line="240" w:lineRule="auto"/>
        <w:rPr>
          <w:lang w:val="en-CA"/>
        </w:rPr>
      </w:pPr>
      <w:r w:rsidRPr="00C4271E">
        <w:rPr>
          <w:lang w:val="en-CA"/>
        </w:rPr>
        <w:t xml:space="preserve">For the reasons of Lavallée, J.A., with which Gagnon and Kalichman, JJ.A. agree, </w:t>
      </w:r>
      <w:r w:rsidRPr="00C4271E">
        <w:rPr>
          <w:b/>
          <w:lang w:val="en-CA"/>
        </w:rPr>
        <w:t>THE COURT</w:t>
      </w:r>
      <w:r w:rsidRPr="00C4271E">
        <w:rPr>
          <w:lang w:val="en-CA"/>
        </w:rPr>
        <w:t>:</w:t>
      </w:r>
    </w:p>
    <w:p w14:paraId="1B623290" w14:textId="055AF758" w:rsidR="00D7477B" w:rsidRPr="00C4271E" w:rsidRDefault="005C25DB" w:rsidP="00CA6A52">
      <w:pPr>
        <w:pStyle w:val="Paragraphe"/>
        <w:spacing w:line="240" w:lineRule="auto"/>
        <w:rPr>
          <w:lang w:val="en-CA"/>
        </w:rPr>
      </w:pPr>
      <w:r w:rsidRPr="00C4271E">
        <w:rPr>
          <w:b/>
          <w:bCs/>
          <w:lang w:val="en-CA"/>
        </w:rPr>
        <w:t>GRANTS</w:t>
      </w:r>
      <w:r w:rsidRPr="00C4271E">
        <w:rPr>
          <w:bCs/>
          <w:lang w:val="en-CA"/>
        </w:rPr>
        <w:t xml:space="preserve"> the application for leave to appeal from the conclusion of the judgment in first instance dismissing the appellant’s exception to dismiss;</w:t>
      </w:r>
    </w:p>
    <w:p w14:paraId="63DB21E5" w14:textId="0E7E6A0D" w:rsidR="00CA6A52" w:rsidRPr="00C4271E" w:rsidRDefault="005C25DB" w:rsidP="00CA6A52">
      <w:pPr>
        <w:pStyle w:val="Paragraphe"/>
        <w:spacing w:line="240" w:lineRule="auto"/>
        <w:rPr>
          <w:lang w:val="en-CA"/>
        </w:rPr>
      </w:pPr>
      <w:r w:rsidRPr="00C4271E">
        <w:rPr>
          <w:b/>
          <w:bCs/>
          <w:lang w:val="en-CA"/>
        </w:rPr>
        <w:lastRenderedPageBreak/>
        <w:t>ALLOWS</w:t>
      </w:r>
      <w:r w:rsidRPr="00C4271E">
        <w:rPr>
          <w:bCs/>
          <w:lang w:val="en-CA"/>
        </w:rPr>
        <w:t xml:space="preserve"> the appeal in part, for the sole purpose of replacing paragraph 30 of the judgment of first instance with the following:</w:t>
      </w:r>
    </w:p>
    <w:p w14:paraId="75ED032E" w14:textId="6A4B5EA4" w:rsidR="00CA6A52" w:rsidRPr="00C4271E" w:rsidRDefault="00540118" w:rsidP="00CA6A52">
      <w:pPr>
        <w:pStyle w:val="Citationenretrait"/>
        <w:rPr>
          <w:lang w:val="en-CA"/>
        </w:rPr>
      </w:pPr>
      <w:r w:rsidRPr="00C4271E">
        <w:rPr>
          <w:lang w:val="en-CA"/>
        </w:rPr>
        <w:t>[30]</w:t>
      </w:r>
      <w:r w:rsidRPr="00C4271E">
        <w:rPr>
          <w:lang w:val="en-CA"/>
        </w:rPr>
        <w:tab/>
      </w:r>
      <w:r w:rsidR="005C25DB" w:rsidRPr="00C4271E">
        <w:rPr>
          <w:b/>
          <w:bCs/>
          <w:lang w:val="en-CA"/>
        </w:rPr>
        <w:t xml:space="preserve">DISMISSES </w:t>
      </w:r>
      <w:r w:rsidR="005C25DB" w:rsidRPr="00C4271E">
        <w:rPr>
          <w:lang w:val="en-CA"/>
        </w:rPr>
        <w:t xml:space="preserve">the application for disqualification and the declinatory exception, but </w:t>
      </w:r>
      <w:r w:rsidR="005C25DB" w:rsidRPr="00C4271E">
        <w:rPr>
          <w:b/>
          <w:bCs/>
          <w:lang w:val="en-CA"/>
        </w:rPr>
        <w:t>GRANTS</w:t>
      </w:r>
      <w:r w:rsidR="005C25DB" w:rsidRPr="00C4271E">
        <w:rPr>
          <w:lang w:val="en-CA"/>
        </w:rPr>
        <w:t xml:space="preserve"> the defendant’s application to dismiss;</w:t>
      </w:r>
      <w:r w:rsidR="005C25DB" w:rsidRPr="00C4271E">
        <w:rPr>
          <w:b/>
          <w:bCs/>
          <w:lang w:val="en-CA"/>
        </w:rPr>
        <w:t xml:space="preserve"> </w:t>
      </w:r>
    </w:p>
    <w:p w14:paraId="3FF73192" w14:textId="45EE4E12" w:rsidR="00CA6A52" w:rsidRPr="00C4271E" w:rsidRDefault="005C25DB" w:rsidP="00CA6A52">
      <w:pPr>
        <w:pStyle w:val="Paragraphe"/>
        <w:spacing w:line="240" w:lineRule="auto"/>
        <w:rPr>
          <w:lang w:val="en-CA"/>
        </w:rPr>
      </w:pPr>
      <w:r w:rsidRPr="00C4271E">
        <w:rPr>
          <w:lang w:val="en-CA"/>
        </w:rPr>
        <w:t>With legal costs, both in first instance and on appeal.</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243820" w:rsidRPr="00091D00" w14:paraId="61BD53CC" w14:textId="77777777" w:rsidTr="00540118">
        <w:trPr>
          <w:trHeight w:val="576"/>
        </w:trPr>
        <w:tc>
          <w:tcPr>
            <w:tcW w:w="9362" w:type="dxa"/>
            <w:gridSpan w:val="3"/>
            <w:tcBorders>
              <w:top w:val="nil"/>
              <w:bottom w:val="nil"/>
            </w:tcBorders>
          </w:tcPr>
          <w:p w14:paraId="3308554E" w14:textId="77777777" w:rsidR="008F364A" w:rsidRPr="00C4271E" w:rsidRDefault="008F364A">
            <w:pPr>
              <w:keepNext/>
              <w:rPr>
                <w:lang w:val="en-CA"/>
              </w:rPr>
            </w:pPr>
          </w:p>
        </w:tc>
      </w:tr>
      <w:tr w:rsidR="00243820" w:rsidRPr="00091D00" w14:paraId="27B0BC38" w14:textId="77777777" w:rsidTr="00540118">
        <w:trPr>
          <w:trHeight w:val="283"/>
        </w:trPr>
        <w:tc>
          <w:tcPr>
            <w:tcW w:w="4682" w:type="dxa"/>
            <w:gridSpan w:val="2"/>
            <w:tcBorders>
              <w:top w:val="nil"/>
              <w:bottom w:val="nil"/>
            </w:tcBorders>
          </w:tcPr>
          <w:p w14:paraId="3744975F" w14:textId="77777777" w:rsidR="008F364A" w:rsidRPr="00C4271E" w:rsidRDefault="008F364A">
            <w:pPr>
              <w:keepNext/>
              <w:rPr>
                <w:lang w:val="en-CA"/>
              </w:rPr>
            </w:pPr>
          </w:p>
        </w:tc>
        <w:tc>
          <w:tcPr>
            <w:tcW w:w="4680" w:type="dxa"/>
            <w:tcBorders>
              <w:top w:val="nil"/>
              <w:bottom w:val="single" w:sz="8" w:space="0" w:color="auto"/>
            </w:tcBorders>
          </w:tcPr>
          <w:p w14:paraId="5D6FDE51" w14:textId="77777777" w:rsidR="008F364A" w:rsidRPr="00C4271E" w:rsidRDefault="008F364A">
            <w:pPr>
              <w:keepNext/>
              <w:rPr>
                <w:lang w:val="en-CA"/>
              </w:rPr>
            </w:pPr>
          </w:p>
        </w:tc>
      </w:tr>
      <w:tr w:rsidR="00243820" w:rsidRPr="00075953" w14:paraId="277DDF74" w14:textId="77777777" w:rsidTr="00540118">
        <w:trPr>
          <w:trHeight w:val="283"/>
        </w:trPr>
        <w:tc>
          <w:tcPr>
            <w:tcW w:w="4682" w:type="dxa"/>
            <w:gridSpan w:val="2"/>
            <w:tcBorders>
              <w:top w:val="nil"/>
            </w:tcBorders>
          </w:tcPr>
          <w:p w14:paraId="42316E4F" w14:textId="77777777" w:rsidR="008F364A" w:rsidRPr="00C4271E" w:rsidRDefault="008F364A">
            <w:pPr>
              <w:keepNext/>
              <w:rPr>
                <w:lang w:val="en-CA"/>
              </w:rPr>
            </w:pPr>
          </w:p>
        </w:tc>
        <w:tc>
          <w:tcPr>
            <w:tcW w:w="4680" w:type="dxa"/>
            <w:tcBorders>
              <w:top w:val="single" w:sz="8" w:space="0" w:color="auto"/>
            </w:tcBorders>
          </w:tcPr>
          <w:p w14:paraId="7D61AEDA" w14:textId="79A04D3A" w:rsidR="008F364A" w:rsidRPr="00402233" w:rsidRDefault="005C25DB">
            <w:pPr>
              <w:rPr>
                <w:lang w:val="en-CA"/>
              </w:rPr>
            </w:pPr>
            <w:r w:rsidRPr="00402233">
              <w:rPr>
                <w:lang w:val="en-CA"/>
              </w:rPr>
              <w:t>GUY GAGNON, J.A.</w:t>
            </w:r>
          </w:p>
        </w:tc>
      </w:tr>
      <w:tr w:rsidR="00243820" w:rsidRPr="00075953" w14:paraId="1B529737" w14:textId="77777777" w:rsidTr="00540118">
        <w:trPr>
          <w:trHeight w:val="283"/>
        </w:trPr>
        <w:tc>
          <w:tcPr>
            <w:tcW w:w="4682" w:type="dxa"/>
            <w:gridSpan w:val="2"/>
            <w:tcBorders>
              <w:top w:val="nil"/>
            </w:tcBorders>
          </w:tcPr>
          <w:p w14:paraId="22F21B2B" w14:textId="77777777" w:rsidR="008F364A" w:rsidRPr="00402233" w:rsidRDefault="008F364A">
            <w:pPr>
              <w:keepNext/>
              <w:rPr>
                <w:lang w:val="en-CA"/>
              </w:rPr>
            </w:pPr>
            <w:bookmarkStart w:id="3" w:name="Signature2"/>
          </w:p>
        </w:tc>
        <w:tc>
          <w:tcPr>
            <w:tcW w:w="4680" w:type="dxa"/>
            <w:tcBorders>
              <w:top w:val="nil"/>
            </w:tcBorders>
          </w:tcPr>
          <w:p w14:paraId="3D08F2AC" w14:textId="77777777" w:rsidR="008F364A" w:rsidRPr="00402233" w:rsidRDefault="008F364A">
            <w:pPr>
              <w:keepNext/>
              <w:rPr>
                <w:lang w:val="en-CA"/>
              </w:rPr>
            </w:pPr>
          </w:p>
        </w:tc>
      </w:tr>
      <w:tr w:rsidR="00243820" w:rsidRPr="00075953" w14:paraId="7889AA18" w14:textId="77777777" w:rsidTr="00540118">
        <w:trPr>
          <w:trHeight w:val="283"/>
        </w:trPr>
        <w:tc>
          <w:tcPr>
            <w:tcW w:w="4682" w:type="dxa"/>
            <w:gridSpan w:val="2"/>
            <w:tcBorders>
              <w:top w:val="nil"/>
              <w:bottom w:val="nil"/>
            </w:tcBorders>
          </w:tcPr>
          <w:p w14:paraId="4A7FCD94" w14:textId="77777777" w:rsidR="008F364A" w:rsidRPr="00402233" w:rsidRDefault="008F364A">
            <w:pPr>
              <w:keepNext/>
              <w:rPr>
                <w:lang w:val="en-CA"/>
              </w:rPr>
            </w:pPr>
          </w:p>
        </w:tc>
        <w:tc>
          <w:tcPr>
            <w:tcW w:w="4680" w:type="dxa"/>
            <w:tcBorders>
              <w:top w:val="nil"/>
              <w:bottom w:val="single" w:sz="8" w:space="0" w:color="auto"/>
            </w:tcBorders>
          </w:tcPr>
          <w:p w14:paraId="23FE943D" w14:textId="77777777" w:rsidR="008F364A" w:rsidRPr="00402233" w:rsidRDefault="008F364A">
            <w:pPr>
              <w:keepNext/>
              <w:rPr>
                <w:lang w:val="en-CA"/>
              </w:rPr>
            </w:pPr>
          </w:p>
        </w:tc>
      </w:tr>
      <w:tr w:rsidR="00243820" w:rsidRPr="00075953" w14:paraId="1A58F4CA" w14:textId="77777777" w:rsidTr="00540118">
        <w:trPr>
          <w:trHeight w:val="283"/>
        </w:trPr>
        <w:tc>
          <w:tcPr>
            <w:tcW w:w="4682" w:type="dxa"/>
            <w:gridSpan w:val="2"/>
            <w:tcBorders>
              <w:top w:val="nil"/>
            </w:tcBorders>
          </w:tcPr>
          <w:p w14:paraId="544F54ED" w14:textId="77777777" w:rsidR="008F364A" w:rsidRPr="00402233" w:rsidRDefault="008F364A">
            <w:pPr>
              <w:keepNext/>
              <w:rPr>
                <w:lang w:val="en-CA"/>
              </w:rPr>
            </w:pPr>
          </w:p>
        </w:tc>
        <w:tc>
          <w:tcPr>
            <w:tcW w:w="4680" w:type="dxa"/>
            <w:tcBorders>
              <w:top w:val="single" w:sz="8" w:space="0" w:color="auto"/>
            </w:tcBorders>
          </w:tcPr>
          <w:p w14:paraId="0279EBD5" w14:textId="2C39B2BE" w:rsidR="008F364A" w:rsidRPr="00402233" w:rsidRDefault="005C25DB">
            <w:pPr>
              <w:keepNext/>
              <w:rPr>
                <w:lang w:val="en-CA"/>
              </w:rPr>
            </w:pPr>
            <w:r w:rsidRPr="00402233">
              <w:rPr>
                <w:lang w:val="en-CA"/>
              </w:rPr>
              <w:t>SOPHIE LAVALLÉE, J.A.</w:t>
            </w:r>
          </w:p>
        </w:tc>
      </w:tr>
      <w:tr w:rsidR="00243820" w:rsidRPr="00075953" w14:paraId="541ED8A4" w14:textId="77777777" w:rsidTr="00540118">
        <w:trPr>
          <w:trHeight w:val="283"/>
        </w:trPr>
        <w:tc>
          <w:tcPr>
            <w:tcW w:w="4682" w:type="dxa"/>
            <w:gridSpan w:val="2"/>
            <w:tcBorders>
              <w:top w:val="nil"/>
            </w:tcBorders>
          </w:tcPr>
          <w:p w14:paraId="61B3BBE1" w14:textId="77777777" w:rsidR="008F364A" w:rsidRPr="00402233" w:rsidRDefault="008F364A">
            <w:pPr>
              <w:keepNext/>
              <w:rPr>
                <w:lang w:val="en-CA"/>
              </w:rPr>
            </w:pPr>
            <w:bookmarkStart w:id="4" w:name="Signature3"/>
            <w:bookmarkEnd w:id="3"/>
          </w:p>
        </w:tc>
        <w:tc>
          <w:tcPr>
            <w:tcW w:w="4680" w:type="dxa"/>
            <w:tcBorders>
              <w:top w:val="nil"/>
            </w:tcBorders>
          </w:tcPr>
          <w:p w14:paraId="473B970E" w14:textId="77777777" w:rsidR="008F364A" w:rsidRPr="00402233" w:rsidRDefault="008F364A">
            <w:pPr>
              <w:keepNext/>
              <w:rPr>
                <w:lang w:val="en-CA"/>
              </w:rPr>
            </w:pPr>
          </w:p>
        </w:tc>
      </w:tr>
      <w:tr w:rsidR="00243820" w:rsidRPr="00075953" w14:paraId="39A0363A" w14:textId="77777777" w:rsidTr="00540118">
        <w:trPr>
          <w:trHeight w:val="283"/>
        </w:trPr>
        <w:tc>
          <w:tcPr>
            <w:tcW w:w="4682" w:type="dxa"/>
            <w:gridSpan w:val="2"/>
            <w:tcBorders>
              <w:top w:val="nil"/>
              <w:bottom w:val="nil"/>
            </w:tcBorders>
          </w:tcPr>
          <w:p w14:paraId="3E69DC47" w14:textId="77777777" w:rsidR="008F364A" w:rsidRPr="00402233" w:rsidRDefault="008F364A">
            <w:pPr>
              <w:keepNext/>
              <w:rPr>
                <w:lang w:val="en-CA"/>
              </w:rPr>
            </w:pPr>
          </w:p>
        </w:tc>
        <w:tc>
          <w:tcPr>
            <w:tcW w:w="4680" w:type="dxa"/>
            <w:tcBorders>
              <w:top w:val="nil"/>
              <w:bottom w:val="single" w:sz="8" w:space="0" w:color="auto"/>
            </w:tcBorders>
          </w:tcPr>
          <w:p w14:paraId="7E345B51" w14:textId="77777777" w:rsidR="008F364A" w:rsidRPr="00402233" w:rsidRDefault="008F364A">
            <w:pPr>
              <w:keepNext/>
              <w:rPr>
                <w:lang w:val="en-CA"/>
              </w:rPr>
            </w:pPr>
          </w:p>
        </w:tc>
      </w:tr>
      <w:tr w:rsidR="00243820" w:rsidRPr="00075953" w14:paraId="7124745E" w14:textId="77777777" w:rsidTr="00540118">
        <w:trPr>
          <w:trHeight w:val="283"/>
        </w:trPr>
        <w:tc>
          <w:tcPr>
            <w:tcW w:w="4682" w:type="dxa"/>
            <w:gridSpan w:val="2"/>
            <w:tcBorders>
              <w:top w:val="nil"/>
            </w:tcBorders>
          </w:tcPr>
          <w:p w14:paraId="524D1607" w14:textId="77777777" w:rsidR="008F364A" w:rsidRPr="00402233" w:rsidRDefault="008F364A">
            <w:pPr>
              <w:keepNext/>
              <w:rPr>
                <w:lang w:val="en-CA"/>
              </w:rPr>
            </w:pPr>
          </w:p>
        </w:tc>
        <w:tc>
          <w:tcPr>
            <w:tcW w:w="4680" w:type="dxa"/>
            <w:tcBorders>
              <w:top w:val="single" w:sz="8" w:space="0" w:color="auto"/>
            </w:tcBorders>
          </w:tcPr>
          <w:p w14:paraId="7252E4E7" w14:textId="457308B0" w:rsidR="008F364A" w:rsidRPr="00402233" w:rsidRDefault="005C25DB">
            <w:pPr>
              <w:keepNext/>
              <w:rPr>
                <w:lang w:val="en-CA"/>
              </w:rPr>
            </w:pPr>
            <w:r w:rsidRPr="00402233">
              <w:rPr>
                <w:lang w:val="en-CA"/>
              </w:rPr>
              <w:t>PETER KALICHMAN, J.A.</w:t>
            </w:r>
          </w:p>
        </w:tc>
      </w:tr>
      <w:bookmarkEnd w:id="4"/>
      <w:tr w:rsidR="00243820" w:rsidRPr="00075953" w14:paraId="401752E1" w14:textId="77777777" w:rsidTr="00540118">
        <w:tc>
          <w:tcPr>
            <w:tcW w:w="9362" w:type="dxa"/>
            <w:gridSpan w:val="3"/>
          </w:tcPr>
          <w:p w14:paraId="1E911D22" w14:textId="77777777" w:rsidR="005A78BF" w:rsidRPr="00402233" w:rsidRDefault="005A78BF" w:rsidP="005A78BF">
            <w:pPr>
              <w:rPr>
                <w:lang w:val="en-CA"/>
              </w:rPr>
            </w:pPr>
          </w:p>
        </w:tc>
      </w:tr>
      <w:tr w:rsidR="00243820" w:rsidRPr="00075953" w14:paraId="1CCBEA2C" w14:textId="77777777" w:rsidTr="00540118">
        <w:tc>
          <w:tcPr>
            <w:tcW w:w="9362" w:type="dxa"/>
            <w:gridSpan w:val="3"/>
          </w:tcPr>
          <w:p w14:paraId="2919C2D1" w14:textId="49936564" w:rsidR="00540118" w:rsidRPr="00402233" w:rsidRDefault="005C25DB" w:rsidP="005A78BF">
            <w:pPr>
              <w:pStyle w:val="zSoquijdatNomProcureurDem"/>
            </w:pPr>
            <w:r w:rsidRPr="00402233">
              <w:t>Mtre Charles Daviault</w:t>
            </w:r>
          </w:p>
          <w:p w14:paraId="59D35E0C" w14:textId="4A5B2194" w:rsidR="006D475A" w:rsidRPr="00402233" w:rsidRDefault="005C25DB" w:rsidP="005A78BF">
            <w:pPr>
              <w:pStyle w:val="zSoquijdatNomProcureurDem"/>
            </w:pPr>
            <w:r w:rsidRPr="00402233">
              <w:t>Mtre Marie-Christine Gagnon</w:t>
            </w:r>
          </w:p>
        </w:tc>
      </w:tr>
      <w:tr w:rsidR="00243820" w:rsidRPr="00075953" w14:paraId="0EABFC2F" w14:textId="77777777" w:rsidTr="00540118">
        <w:tc>
          <w:tcPr>
            <w:tcW w:w="9362" w:type="dxa"/>
            <w:gridSpan w:val="3"/>
          </w:tcPr>
          <w:p w14:paraId="55E35E78" w14:textId="7210BD22" w:rsidR="005A78BF" w:rsidRPr="00C4271E" w:rsidRDefault="005C25DB" w:rsidP="005A78BF">
            <w:pPr>
              <w:pStyle w:val="zSoquijdatCabinetProcureurDem"/>
              <w:rPr>
                <w:lang w:val="en-CA"/>
              </w:rPr>
            </w:pPr>
            <w:r w:rsidRPr="00C4271E">
              <w:rPr>
                <w:lang w:val="en-CA"/>
              </w:rPr>
              <w:t>GOWLING WLG (CANADA)</w:t>
            </w:r>
          </w:p>
        </w:tc>
      </w:tr>
      <w:tr w:rsidR="00243820" w:rsidRPr="00075953" w14:paraId="650F0CEE" w14:textId="77777777" w:rsidTr="00540118">
        <w:tc>
          <w:tcPr>
            <w:tcW w:w="9362" w:type="dxa"/>
            <w:gridSpan w:val="3"/>
          </w:tcPr>
          <w:p w14:paraId="76F661B3" w14:textId="31E2A757" w:rsidR="005A78BF" w:rsidRPr="00C4271E" w:rsidRDefault="005C25DB" w:rsidP="005A78BF">
            <w:pPr>
              <w:pStyle w:val="zSoquijlblProcureurDem"/>
              <w:rPr>
                <w:lang w:val="en-CA"/>
              </w:rPr>
            </w:pPr>
            <w:r w:rsidRPr="00402233">
              <w:rPr>
                <w:lang w:val="en-CA"/>
              </w:rPr>
              <w:t xml:space="preserve">For the </w:t>
            </w:r>
            <w:r w:rsidR="004761A6">
              <w:rPr>
                <w:lang w:val="en-CA"/>
              </w:rPr>
              <w:t>A</w:t>
            </w:r>
            <w:r w:rsidRPr="00C4271E">
              <w:rPr>
                <w:lang w:val="en-CA"/>
              </w:rPr>
              <w:t>ppellant</w:t>
            </w:r>
          </w:p>
        </w:tc>
      </w:tr>
      <w:tr w:rsidR="00243820" w:rsidRPr="00075953" w14:paraId="1C9186E2" w14:textId="77777777" w:rsidTr="00540118">
        <w:tc>
          <w:tcPr>
            <w:tcW w:w="9362" w:type="dxa"/>
            <w:gridSpan w:val="3"/>
          </w:tcPr>
          <w:p w14:paraId="0D6FFEE0" w14:textId="77777777" w:rsidR="005A78BF" w:rsidRPr="00C4271E" w:rsidRDefault="005A78BF" w:rsidP="005A78BF">
            <w:pPr>
              <w:rPr>
                <w:lang w:val="en-CA"/>
              </w:rPr>
            </w:pPr>
          </w:p>
        </w:tc>
      </w:tr>
      <w:tr w:rsidR="00243820" w:rsidRPr="00075953" w14:paraId="3DAF97D5" w14:textId="77777777" w:rsidTr="00540118">
        <w:tc>
          <w:tcPr>
            <w:tcW w:w="9362" w:type="dxa"/>
            <w:gridSpan w:val="3"/>
          </w:tcPr>
          <w:p w14:paraId="15F045B9" w14:textId="56803655" w:rsidR="005A78BF" w:rsidRPr="00C4271E" w:rsidRDefault="005C25DB" w:rsidP="005A78BF">
            <w:pPr>
              <w:pStyle w:val="zSoquijdatNomProcureurDef"/>
              <w:rPr>
                <w:lang w:val="en-CA"/>
              </w:rPr>
            </w:pPr>
            <w:r w:rsidRPr="00402233">
              <w:rPr>
                <w:lang w:val="en-CA"/>
              </w:rPr>
              <w:t>Mtre François Boulianne</w:t>
            </w:r>
          </w:p>
        </w:tc>
      </w:tr>
      <w:tr w:rsidR="00243820" w:rsidRPr="00075953" w14:paraId="16D0EF5A" w14:textId="77777777" w:rsidTr="00540118">
        <w:tc>
          <w:tcPr>
            <w:tcW w:w="9362" w:type="dxa"/>
            <w:gridSpan w:val="3"/>
          </w:tcPr>
          <w:p w14:paraId="6F11BEC8" w14:textId="6D345620" w:rsidR="005A78BF" w:rsidRPr="00C4271E" w:rsidRDefault="005C25DB" w:rsidP="005A78BF">
            <w:pPr>
              <w:pStyle w:val="zSoquijlblProcureurDef"/>
              <w:rPr>
                <w:lang w:val="en-CA"/>
              </w:rPr>
            </w:pPr>
            <w:r w:rsidRPr="00402233">
              <w:rPr>
                <w:lang w:val="en-CA"/>
              </w:rPr>
              <w:t xml:space="preserve">For the </w:t>
            </w:r>
            <w:r w:rsidR="004761A6">
              <w:rPr>
                <w:lang w:val="en-CA"/>
              </w:rPr>
              <w:t>R</w:t>
            </w:r>
            <w:r w:rsidRPr="00C4271E">
              <w:rPr>
                <w:lang w:val="en-CA"/>
              </w:rPr>
              <w:t>espondents</w:t>
            </w:r>
          </w:p>
        </w:tc>
      </w:tr>
      <w:tr w:rsidR="00243820" w:rsidRPr="00075953" w14:paraId="5349743D" w14:textId="77777777" w:rsidTr="00540118">
        <w:tc>
          <w:tcPr>
            <w:tcW w:w="9362" w:type="dxa"/>
            <w:gridSpan w:val="3"/>
          </w:tcPr>
          <w:p w14:paraId="687B0A5D" w14:textId="77777777" w:rsidR="005A78BF" w:rsidRPr="00C4271E" w:rsidRDefault="005A78BF" w:rsidP="005A78BF">
            <w:pPr>
              <w:rPr>
                <w:lang w:val="en-CA"/>
              </w:rPr>
            </w:pPr>
          </w:p>
        </w:tc>
      </w:tr>
      <w:tr w:rsidR="00243820" w:rsidRPr="00075953" w14:paraId="02D95D0C" w14:textId="77777777" w:rsidTr="00540118">
        <w:tc>
          <w:tcPr>
            <w:tcW w:w="1997" w:type="dxa"/>
          </w:tcPr>
          <w:p w14:paraId="43FD3BED" w14:textId="709E3F2C" w:rsidR="005A78BF" w:rsidRPr="00402233" w:rsidRDefault="005C25DB" w:rsidP="005A78BF">
            <w:pPr>
              <w:pStyle w:val="zSoquijlblDateAudience"/>
              <w:rPr>
                <w:lang w:val="en-CA"/>
              </w:rPr>
            </w:pPr>
            <w:r w:rsidRPr="00402233">
              <w:rPr>
                <w:lang w:val="en-CA"/>
              </w:rPr>
              <w:t xml:space="preserve">Date of </w:t>
            </w:r>
            <w:r w:rsidRPr="00C4271E">
              <w:rPr>
                <w:lang w:val="en-CA"/>
              </w:rPr>
              <w:t>hearing</w:t>
            </w:r>
            <w:r w:rsidRPr="00402233">
              <w:rPr>
                <w:lang w:val="en-CA"/>
              </w:rPr>
              <w:t>:</w:t>
            </w:r>
          </w:p>
        </w:tc>
        <w:tc>
          <w:tcPr>
            <w:tcW w:w="7365" w:type="dxa"/>
            <w:gridSpan w:val="2"/>
          </w:tcPr>
          <w:p w14:paraId="64F0BEEC" w14:textId="1B50F484" w:rsidR="005A78BF" w:rsidRPr="00402233" w:rsidRDefault="005C25DB" w:rsidP="005A78BF">
            <w:pPr>
              <w:pStyle w:val="zSoquijdatDateAudience"/>
              <w:rPr>
                <w:lang w:val="en-CA"/>
              </w:rPr>
            </w:pPr>
            <w:r w:rsidRPr="00402233">
              <w:rPr>
                <w:lang w:val="en-CA"/>
              </w:rPr>
              <w:t>June 12, 2024</w:t>
            </w:r>
          </w:p>
        </w:tc>
      </w:tr>
      <w:bookmarkEnd w:id="2"/>
      <w:tr w:rsidR="00243820" w:rsidRPr="00075953" w14:paraId="2DF87DC5" w14:textId="77777777" w:rsidTr="00540118">
        <w:tblPrEx>
          <w:tblBorders>
            <w:top w:val="none" w:sz="0" w:space="0" w:color="auto"/>
          </w:tblBorders>
        </w:tblPrEx>
        <w:tc>
          <w:tcPr>
            <w:tcW w:w="9360" w:type="dxa"/>
            <w:gridSpan w:val="3"/>
          </w:tcPr>
          <w:p w14:paraId="6D714888" w14:textId="77777777" w:rsidR="00540118" w:rsidRPr="00C4271E" w:rsidRDefault="00540118" w:rsidP="00540118">
            <w:pPr>
              <w:pageBreakBefore/>
              <w:rPr>
                <w:lang w:val="en-CA"/>
              </w:rPr>
            </w:pPr>
          </w:p>
        </w:tc>
      </w:tr>
      <w:tr w:rsidR="00243820" w:rsidRPr="00075953" w14:paraId="13824982" w14:textId="77777777" w:rsidTr="00540118">
        <w:tblPrEx>
          <w:tblBorders>
            <w:top w:val="none" w:sz="0" w:space="0" w:color="auto"/>
          </w:tblBorders>
        </w:tblPrEx>
        <w:tc>
          <w:tcPr>
            <w:tcW w:w="9360" w:type="dxa"/>
            <w:gridSpan w:val="3"/>
            <w:tcBorders>
              <w:top w:val="single" w:sz="8" w:space="0" w:color="auto"/>
            </w:tcBorders>
          </w:tcPr>
          <w:p w14:paraId="30FDCBDA" w14:textId="77777777" w:rsidR="00540118" w:rsidRPr="00C4271E" w:rsidRDefault="00540118" w:rsidP="00140899">
            <w:pPr>
              <w:rPr>
                <w:lang w:val="en-CA"/>
              </w:rPr>
            </w:pPr>
          </w:p>
        </w:tc>
      </w:tr>
      <w:tr w:rsidR="00243820" w:rsidRPr="00091D00" w14:paraId="3521CEF6" w14:textId="77777777" w:rsidTr="00540118">
        <w:tblPrEx>
          <w:tblBorders>
            <w:top w:val="none" w:sz="0" w:space="0" w:color="auto"/>
          </w:tblBorders>
        </w:tblPrEx>
        <w:tc>
          <w:tcPr>
            <w:tcW w:w="9360" w:type="dxa"/>
            <w:gridSpan w:val="3"/>
          </w:tcPr>
          <w:p w14:paraId="084AB581" w14:textId="0B7800C9" w:rsidR="00540118" w:rsidRPr="00C4271E" w:rsidRDefault="005C25DB" w:rsidP="00140899">
            <w:pPr>
              <w:pStyle w:val="zSoquijlblTypeDocument"/>
              <w:rPr>
                <w:lang w:val="en-CA"/>
              </w:rPr>
            </w:pPr>
            <w:r w:rsidRPr="00C4271E">
              <w:rPr>
                <w:lang w:val="en-CA"/>
              </w:rPr>
              <w:t>REASONS OF LAVALLÉE, J.A.</w:t>
            </w:r>
          </w:p>
        </w:tc>
      </w:tr>
      <w:tr w:rsidR="00243820" w:rsidRPr="00091D00" w14:paraId="388AE2FC" w14:textId="77777777" w:rsidTr="00540118">
        <w:tblPrEx>
          <w:tblBorders>
            <w:top w:val="none" w:sz="0" w:space="0" w:color="auto"/>
          </w:tblBorders>
        </w:tblPrEx>
        <w:tc>
          <w:tcPr>
            <w:tcW w:w="9360" w:type="dxa"/>
            <w:gridSpan w:val="3"/>
            <w:tcBorders>
              <w:bottom w:val="single" w:sz="8" w:space="0" w:color="auto"/>
            </w:tcBorders>
          </w:tcPr>
          <w:p w14:paraId="6D0D7693" w14:textId="77777777" w:rsidR="00540118" w:rsidRPr="00C4271E" w:rsidRDefault="00540118" w:rsidP="00140899">
            <w:pPr>
              <w:rPr>
                <w:lang w:val="en-CA"/>
              </w:rPr>
            </w:pPr>
          </w:p>
        </w:tc>
      </w:tr>
      <w:tr w:rsidR="00243820" w:rsidRPr="00091D00" w14:paraId="086AC867" w14:textId="77777777" w:rsidTr="00540118">
        <w:tblPrEx>
          <w:tblBorders>
            <w:top w:val="none" w:sz="0" w:space="0" w:color="auto"/>
          </w:tblBorders>
        </w:tblPrEx>
        <w:tc>
          <w:tcPr>
            <w:tcW w:w="9360" w:type="dxa"/>
            <w:gridSpan w:val="3"/>
            <w:tcBorders>
              <w:top w:val="single" w:sz="8" w:space="0" w:color="auto"/>
            </w:tcBorders>
          </w:tcPr>
          <w:p w14:paraId="4332A182" w14:textId="77777777" w:rsidR="00540118" w:rsidRPr="00C4271E" w:rsidRDefault="00540118" w:rsidP="00140899">
            <w:pPr>
              <w:rPr>
                <w:lang w:val="en-CA"/>
              </w:rPr>
            </w:pPr>
          </w:p>
        </w:tc>
      </w:tr>
    </w:tbl>
    <w:p w14:paraId="0396D889" w14:textId="3F8ED085" w:rsidR="00540118" w:rsidRPr="00C4271E" w:rsidRDefault="002631B8" w:rsidP="00540118">
      <w:pPr>
        <w:pStyle w:val="Paragraphe"/>
        <w:spacing w:line="240" w:lineRule="auto"/>
        <w:rPr>
          <w:lang w:val="en-CA"/>
        </w:rPr>
      </w:pPr>
      <w:r w:rsidRPr="00C4271E">
        <w:rPr>
          <w:lang w:val="en-CA"/>
        </w:rPr>
        <w:t xml:space="preserve">The </w:t>
      </w:r>
      <w:r w:rsidRPr="00FD1E56">
        <w:rPr>
          <w:lang w:val="en-CA"/>
        </w:rPr>
        <w:t xml:space="preserve">Conseil de </w:t>
      </w:r>
      <w:r w:rsidR="00FD1E56">
        <w:rPr>
          <w:lang w:val="en-CA"/>
        </w:rPr>
        <w:t>b</w:t>
      </w:r>
      <w:r w:rsidRPr="00FD1E56">
        <w:rPr>
          <w:lang w:val="en-CA"/>
        </w:rPr>
        <w:t>ande de Pessamit</w:t>
      </w:r>
      <w:r w:rsidRPr="00C4271E">
        <w:rPr>
          <w:lang w:val="en-CA"/>
        </w:rPr>
        <w:t xml:space="preserve"> (the “appellant” or “Band Council”) appeals from a judgment of the Superior Court (the Honourable Serge Francoeur) rendered in the course of proceedings on September 26, 2023, dismissing the declinatory exception, </w:t>
      </w:r>
      <w:r w:rsidR="00595EB5" w:rsidRPr="00C4271E">
        <w:rPr>
          <w:lang w:val="en-CA"/>
        </w:rPr>
        <w:t xml:space="preserve">the </w:t>
      </w:r>
      <w:r w:rsidRPr="00C4271E">
        <w:rPr>
          <w:lang w:val="en-CA"/>
        </w:rPr>
        <w:t>exception to dismiss, and the ground for disqualification argued by the appellant.</w:t>
      </w:r>
      <w:r w:rsidRPr="00402233">
        <w:rPr>
          <w:vertAlign w:val="superscript"/>
          <w:lang w:val="en-CA"/>
        </w:rPr>
        <w:footnoteReference w:id="1"/>
      </w:r>
    </w:p>
    <w:p w14:paraId="4CFDAD53" w14:textId="404B9057" w:rsidR="00540118" w:rsidRPr="00C4271E" w:rsidRDefault="002631B8" w:rsidP="00540118">
      <w:pPr>
        <w:pStyle w:val="Paragraphe"/>
        <w:spacing w:line="240" w:lineRule="auto"/>
        <w:rPr>
          <w:lang w:val="en-CA"/>
        </w:rPr>
      </w:pPr>
      <w:r w:rsidRPr="00C4271E">
        <w:rPr>
          <w:lang w:val="en-CA"/>
        </w:rPr>
        <w:t>The application for leave to appeal from that judgment was granted</w:t>
      </w:r>
      <w:r w:rsidR="00595EB5" w:rsidRPr="00C4271E">
        <w:rPr>
          <w:lang w:val="en-CA"/>
        </w:rPr>
        <w:t xml:space="preserve"> in part</w:t>
      </w:r>
      <w:r w:rsidRPr="00C4271E">
        <w:rPr>
          <w:lang w:val="en-CA"/>
        </w:rPr>
        <w:t xml:space="preserve"> by a judge of th</w:t>
      </w:r>
      <w:r w:rsidR="00595EB5" w:rsidRPr="00C4271E">
        <w:rPr>
          <w:lang w:val="en-CA"/>
        </w:rPr>
        <w:t>is</w:t>
      </w:r>
      <w:r w:rsidRPr="00C4271E">
        <w:rPr>
          <w:lang w:val="en-CA"/>
        </w:rPr>
        <w:t xml:space="preserve"> Court.</w:t>
      </w:r>
      <w:r w:rsidR="00E6443C" w:rsidRPr="00C4271E">
        <w:rPr>
          <w:lang w:val="en-CA"/>
        </w:rPr>
        <w:t xml:space="preserve"> </w:t>
      </w:r>
      <w:r w:rsidR="005F20FC">
        <w:rPr>
          <w:lang w:val="en-CA"/>
        </w:rPr>
        <w:t>She</w:t>
      </w:r>
      <w:r w:rsidRPr="00C4271E">
        <w:rPr>
          <w:lang w:val="en-CA"/>
        </w:rPr>
        <w:t xml:space="preserve"> granted the Band Council leave to appeal from the conclusion of the judgment stating that the Superior Court had </w:t>
      </w:r>
      <w:r w:rsidR="0017616B" w:rsidRPr="00C4271E">
        <w:rPr>
          <w:iCs/>
          <w:lang w:val="en-CA"/>
        </w:rPr>
        <w:t>subject-matter</w:t>
      </w:r>
      <w:r w:rsidRPr="00C4271E">
        <w:rPr>
          <w:lang w:val="en-CA"/>
        </w:rPr>
        <w:t xml:space="preserve"> jurisdiction to hear this dispute and deferring to the panel the conclusion of the judgment stating that the respondents had </w:t>
      </w:r>
      <w:r w:rsidR="000870BB" w:rsidRPr="00FD1E56">
        <w:rPr>
          <w:lang w:val="en-CA"/>
        </w:rPr>
        <w:t>the</w:t>
      </w:r>
      <w:r w:rsidRPr="00FD1E56">
        <w:rPr>
          <w:lang w:val="en-CA"/>
        </w:rPr>
        <w:t xml:space="preserve"> interest</w:t>
      </w:r>
      <w:r w:rsidRPr="00C4271E">
        <w:rPr>
          <w:lang w:val="en-CA"/>
        </w:rPr>
        <w:t xml:space="preserve"> required to bring proceedings requesting the conclusions sought.</w:t>
      </w:r>
      <w:bookmarkStart w:id="5" w:name="_Ref181094577"/>
      <w:r w:rsidRPr="00A0674B">
        <w:rPr>
          <w:vertAlign w:val="superscript"/>
          <w:lang w:val="en-CA"/>
        </w:rPr>
        <w:footnoteReference w:id="2"/>
      </w:r>
      <w:bookmarkEnd w:id="5"/>
    </w:p>
    <w:p w14:paraId="3AEF33C7" w14:textId="2F284D5F" w:rsidR="00540118" w:rsidRPr="00C4271E" w:rsidRDefault="002631B8" w:rsidP="00540118">
      <w:pPr>
        <w:pStyle w:val="Paragraphe"/>
        <w:spacing w:line="240" w:lineRule="auto"/>
        <w:rPr>
          <w:lang w:val="en-CA"/>
        </w:rPr>
      </w:pPr>
      <w:bookmarkStart w:id="6" w:name="_Hlk181004268"/>
      <w:r w:rsidRPr="00C4271E">
        <w:rPr>
          <w:lang w:val="en-CA"/>
        </w:rPr>
        <w:t xml:space="preserve">For the following reasons, </w:t>
      </w:r>
      <w:r w:rsidR="005F20FC">
        <w:rPr>
          <w:lang w:val="en-CA"/>
        </w:rPr>
        <w:t>I am</w:t>
      </w:r>
      <w:r w:rsidRPr="00C4271E">
        <w:rPr>
          <w:lang w:val="en-CA"/>
        </w:rPr>
        <w:t xml:space="preserve"> of the view that the judgment’s conclusion on the declinatory exception is well</w:t>
      </w:r>
      <w:r w:rsidR="00075953">
        <w:rPr>
          <w:lang w:val="en-CA"/>
        </w:rPr>
        <w:t xml:space="preserve"> </w:t>
      </w:r>
      <w:r w:rsidRPr="00C4271E">
        <w:rPr>
          <w:lang w:val="en-CA"/>
        </w:rPr>
        <w:t>founded because the proceeding initiated by the respondents does not fall under the exclusive jurisdiction of the Federal Court.</w:t>
      </w:r>
    </w:p>
    <w:p w14:paraId="05A21EFB" w14:textId="1F98B25E" w:rsidR="00540118" w:rsidRPr="00C4271E" w:rsidRDefault="002631B8" w:rsidP="00540118">
      <w:pPr>
        <w:pStyle w:val="Paragraphe"/>
        <w:spacing w:line="240" w:lineRule="auto"/>
        <w:rPr>
          <w:lang w:val="en-CA"/>
        </w:rPr>
      </w:pPr>
      <w:r w:rsidRPr="00C4271E">
        <w:rPr>
          <w:lang w:val="en-CA"/>
        </w:rPr>
        <w:t xml:space="preserve">That being said, </w:t>
      </w:r>
      <w:r w:rsidR="005F20FC">
        <w:rPr>
          <w:lang w:val="en-CA"/>
        </w:rPr>
        <w:t xml:space="preserve">I </w:t>
      </w:r>
      <w:r w:rsidRPr="00C4271E">
        <w:rPr>
          <w:lang w:val="en-CA"/>
        </w:rPr>
        <w:t xml:space="preserve">believe that leave should be granted to appeal from the conclusion in the judgment in first instance ruling that the respondents have </w:t>
      </w:r>
      <w:r w:rsidR="000870BB" w:rsidRPr="00C4271E">
        <w:rPr>
          <w:lang w:val="en-CA"/>
        </w:rPr>
        <w:t xml:space="preserve">sufficient </w:t>
      </w:r>
      <w:r w:rsidR="000870BB" w:rsidRPr="00FD1E56">
        <w:rPr>
          <w:lang w:val="en-CA"/>
        </w:rPr>
        <w:t>interest t</w:t>
      </w:r>
      <w:r w:rsidR="000870BB" w:rsidRPr="00C4271E">
        <w:rPr>
          <w:lang w:val="en-CA"/>
        </w:rPr>
        <w:t>o act</w:t>
      </w:r>
      <w:r w:rsidRPr="00C4271E">
        <w:rPr>
          <w:lang w:val="en-CA"/>
        </w:rPr>
        <w:t xml:space="preserve"> on behalf of the </w:t>
      </w:r>
      <w:r w:rsidR="0055220D">
        <w:rPr>
          <w:lang w:val="en-CA"/>
        </w:rPr>
        <w:t>Première Nation</w:t>
      </w:r>
      <w:r w:rsidR="0055220D" w:rsidRPr="00EE7A4A">
        <w:rPr>
          <w:lang w:val="en-CA"/>
        </w:rPr>
        <w:t xml:space="preserve"> </w:t>
      </w:r>
      <w:r w:rsidRPr="00EE7A4A">
        <w:rPr>
          <w:lang w:val="en-CA"/>
        </w:rPr>
        <w:t>des Innus de Pessamit</w:t>
      </w:r>
      <w:r w:rsidRPr="00C4271E">
        <w:rPr>
          <w:lang w:val="en-CA"/>
        </w:rPr>
        <w:t xml:space="preserve"> (the “First Nation”) within this proceeding.</w:t>
      </w:r>
      <w:r w:rsidR="00E6443C" w:rsidRPr="00C4271E">
        <w:rPr>
          <w:lang w:val="en-CA"/>
        </w:rPr>
        <w:t xml:space="preserve"> </w:t>
      </w:r>
      <w:r w:rsidRPr="00C4271E">
        <w:rPr>
          <w:lang w:val="en-CA"/>
        </w:rPr>
        <w:t>Th</w:t>
      </w:r>
      <w:r w:rsidR="000C4E06">
        <w:rPr>
          <w:lang w:val="en-CA"/>
        </w:rPr>
        <w:t>at</w:t>
      </w:r>
      <w:r w:rsidR="000870BB" w:rsidRPr="00C4271E">
        <w:rPr>
          <w:lang w:val="en-CA"/>
        </w:rPr>
        <w:t xml:space="preserve"> ground of</w:t>
      </w:r>
      <w:r w:rsidRPr="00C4271E">
        <w:rPr>
          <w:lang w:val="en-CA"/>
        </w:rPr>
        <w:t xml:space="preserve"> appeal</w:t>
      </w:r>
      <w:r w:rsidR="000870BB" w:rsidRPr="00C4271E">
        <w:rPr>
          <w:lang w:val="en-CA"/>
        </w:rPr>
        <w:t xml:space="preserve"> </w:t>
      </w:r>
      <w:r w:rsidRPr="00C4271E">
        <w:rPr>
          <w:lang w:val="en-CA"/>
        </w:rPr>
        <w:t>will be allowed.</w:t>
      </w:r>
      <w:r w:rsidR="00E6443C" w:rsidRPr="00C4271E">
        <w:rPr>
          <w:lang w:val="en-CA"/>
        </w:rPr>
        <w:t xml:space="preserve"> </w:t>
      </w:r>
    </w:p>
    <w:bookmarkEnd w:id="6"/>
    <w:p w14:paraId="378B33D0" w14:textId="19F64F76" w:rsidR="00540118" w:rsidRPr="00A0674B" w:rsidRDefault="002631B8" w:rsidP="00DF74E5">
      <w:pPr>
        <w:pStyle w:val="Titre1"/>
        <w:spacing w:line="280" w:lineRule="exact"/>
        <w:rPr>
          <w:lang w:val="en-CA"/>
        </w:rPr>
      </w:pPr>
      <w:r w:rsidRPr="00A0674B">
        <w:rPr>
          <w:lang w:val="en-CA"/>
        </w:rPr>
        <w:t>I.</w:t>
      </w:r>
      <w:r w:rsidR="00E6443C" w:rsidRPr="00A0674B">
        <w:rPr>
          <w:lang w:val="en-CA"/>
        </w:rPr>
        <w:t xml:space="preserve"> </w:t>
      </w:r>
      <w:r w:rsidRPr="00A0674B">
        <w:rPr>
          <w:lang w:val="en-CA"/>
        </w:rPr>
        <w:t>Background</w:t>
      </w:r>
    </w:p>
    <w:p w14:paraId="724F87FA" w14:textId="7FFE777B" w:rsidR="00540118" w:rsidRPr="00C4271E" w:rsidRDefault="002631B8" w:rsidP="00540118">
      <w:pPr>
        <w:pStyle w:val="Paragraphe"/>
        <w:spacing w:line="240" w:lineRule="auto"/>
        <w:rPr>
          <w:rFonts w:cs="Arial"/>
          <w:szCs w:val="24"/>
          <w:lang w:val="en-CA" w:eastAsia="fr-CA"/>
        </w:rPr>
      </w:pPr>
      <w:r w:rsidRPr="00C4271E">
        <w:rPr>
          <w:iCs/>
          <w:lang w:val="en-CA"/>
        </w:rPr>
        <w:t xml:space="preserve">In first instance, the respondents, four members of the First Nation and members of </w:t>
      </w:r>
      <w:r w:rsidRPr="00EE7A4A">
        <w:rPr>
          <w:iCs/>
          <w:lang w:val="en-CA"/>
        </w:rPr>
        <w:t xml:space="preserve">the </w:t>
      </w:r>
      <w:r w:rsidR="001807C8" w:rsidRPr="00374701">
        <w:rPr>
          <w:iCs/>
          <w:lang w:val="en-CA"/>
        </w:rPr>
        <w:t xml:space="preserve">Bande des </w:t>
      </w:r>
      <w:r w:rsidRPr="00EE7A4A">
        <w:rPr>
          <w:iCs/>
          <w:lang w:val="en-CA"/>
        </w:rPr>
        <w:t>Innus de Pessamit</w:t>
      </w:r>
      <w:r w:rsidRPr="00C4271E">
        <w:rPr>
          <w:iCs/>
          <w:lang w:val="en-CA"/>
        </w:rPr>
        <w:t xml:space="preserve"> within the meaning of the </w:t>
      </w:r>
      <w:r w:rsidRPr="00C4271E">
        <w:rPr>
          <w:i/>
          <w:iCs/>
          <w:lang w:val="en-CA"/>
        </w:rPr>
        <w:t>Indian Act</w:t>
      </w:r>
      <w:r w:rsidRPr="00A0674B">
        <w:rPr>
          <w:vertAlign w:val="superscript"/>
          <w:lang w:val="en-CA"/>
        </w:rPr>
        <w:footnoteReference w:id="3"/>
      </w:r>
      <w:r w:rsidRPr="00C4271E">
        <w:rPr>
          <w:iCs/>
          <w:lang w:val="en-CA"/>
        </w:rPr>
        <w:t xml:space="preserve"> (</w:t>
      </w:r>
      <w:r w:rsidR="00A0674B" w:rsidRPr="00A0674B">
        <w:rPr>
          <w:iCs/>
          <w:lang w:val="en-CA"/>
        </w:rPr>
        <w:t>“</w:t>
      </w:r>
      <w:r w:rsidRPr="00C4271E">
        <w:rPr>
          <w:i/>
          <w:iCs/>
          <w:lang w:val="en-CA"/>
        </w:rPr>
        <w:t>I.A.</w:t>
      </w:r>
      <w:r w:rsidR="00A0674B" w:rsidRPr="00A0674B">
        <w:rPr>
          <w:lang w:val="en-CA"/>
        </w:rPr>
        <w:t>”</w:t>
      </w:r>
      <w:r w:rsidRPr="00C4271E">
        <w:rPr>
          <w:lang w:val="en-CA"/>
        </w:rPr>
        <w:t>), addressed the Superior Court seeking a permanent injunction ordering the Band Council to return to the First Nation all documents and information and to cease any action in connection with collective Aboriginal rights and moneys, other than “Indian moneys”, held exclusively by the First Nation.</w:t>
      </w:r>
    </w:p>
    <w:p w14:paraId="702084B8" w14:textId="7F34E490" w:rsidR="00540118" w:rsidRPr="00C4271E" w:rsidRDefault="002631B8" w:rsidP="00540118">
      <w:pPr>
        <w:pStyle w:val="Paragraphe"/>
        <w:spacing w:line="240" w:lineRule="auto"/>
        <w:rPr>
          <w:rFonts w:cs="Arial"/>
          <w:szCs w:val="24"/>
          <w:lang w:val="en-CA" w:eastAsia="fr-CA"/>
        </w:rPr>
      </w:pPr>
      <w:r w:rsidRPr="00C4271E">
        <w:rPr>
          <w:rFonts w:cs="Arial"/>
          <w:szCs w:val="24"/>
          <w:lang w:val="en-CA" w:eastAsia="fr-CA"/>
        </w:rPr>
        <w:t xml:space="preserve">The First Nation and the Band Council are </w:t>
      </w:r>
      <w:r w:rsidR="00286420" w:rsidRPr="00C4271E">
        <w:rPr>
          <w:rFonts w:cs="Arial"/>
          <w:szCs w:val="24"/>
          <w:lang w:val="en-CA" w:eastAsia="fr-CA"/>
        </w:rPr>
        <w:t>separate</w:t>
      </w:r>
      <w:r w:rsidRPr="00C4271E">
        <w:rPr>
          <w:rFonts w:cs="Arial"/>
          <w:szCs w:val="24"/>
          <w:lang w:val="en-CA" w:eastAsia="fr-CA"/>
        </w:rPr>
        <w:t xml:space="preserve"> entities, with </w:t>
      </w:r>
      <w:r w:rsidR="00286420" w:rsidRPr="00C4271E">
        <w:rPr>
          <w:rFonts w:cs="Arial"/>
          <w:szCs w:val="24"/>
          <w:lang w:val="en-CA" w:eastAsia="fr-CA"/>
        </w:rPr>
        <w:t>distinct</w:t>
      </w:r>
      <w:r w:rsidRPr="00C4271E">
        <w:rPr>
          <w:rFonts w:cs="Arial"/>
          <w:szCs w:val="24"/>
          <w:lang w:val="en-CA" w:eastAsia="fr-CA"/>
        </w:rPr>
        <w:t xml:space="preserve"> jurisdictions.</w:t>
      </w:r>
    </w:p>
    <w:p w14:paraId="2A906D46" w14:textId="2B9D7B8F" w:rsidR="00540118" w:rsidRPr="00C4271E" w:rsidRDefault="002631B8" w:rsidP="00540118">
      <w:pPr>
        <w:pStyle w:val="Paragraphe"/>
        <w:spacing w:line="240" w:lineRule="auto"/>
        <w:rPr>
          <w:rFonts w:cs="Arial"/>
          <w:szCs w:val="24"/>
          <w:lang w:val="en-CA" w:eastAsia="fr-CA"/>
        </w:rPr>
      </w:pPr>
      <w:r w:rsidRPr="00C4271E">
        <w:rPr>
          <w:rFonts w:cs="Arial"/>
          <w:szCs w:val="24"/>
          <w:lang w:val="en-CA" w:eastAsia="fr-CA"/>
        </w:rPr>
        <w:lastRenderedPageBreak/>
        <w:t xml:space="preserve">The First Nation is an Aboriginal community of about 4,000 members living principally, but not exclusively, on the Pessamit reserve, located about </w:t>
      </w:r>
      <w:r w:rsidR="005C0F79" w:rsidRPr="00C4271E">
        <w:rPr>
          <w:rFonts w:cs="Arial"/>
          <w:szCs w:val="24"/>
          <w:lang w:val="en-CA" w:eastAsia="fr-CA"/>
        </w:rPr>
        <w:t>40</w:t>
      </w:r>
      <w:r w:rsidR="005C0F79">
        <w:rPr>
          <w:rFonts w:cs="Arial"/>
          <w:szCs w:val="24"/>
          <w:lang w:val="en-CA" w:eastAsia="fr-CA"/>
        </w:rPr>
        <w:t> </w:t>
      </w:r>
      <w:r w:rsidRPr="00C4271E">
        <w:rPr>
          <w:rFonts w:cs="Arial"/>
          <w:szCs w:val="24"/>
          <w:lang w:val="en-CA" w:eastAsia="fr-CA"/>
        </w:rPr>
        <w:t>km west of Baie-Comeau.</w:t>
      </w:r>
    </w:p>
    <w:p w14:paraId="01BCD599" w14:textId="19F6076B" w:rsidR="00540118" w:rsidRPr="00C4271E" w:rsidRDefault="002631B8" w:rsidP="00540118">
      <w:pPr>
        <w:pStyle w:val="Paragraphe"/>
        <w:spacing w:line="240" w:lineRule="auto"/>
        <w:rPr>
          <w:rFonts w:cs="Arial"/>
          <w:szCs w:val="24"/>
          <w:lang w:val="en-CA" w:eastAsia="fr-CA"/>
        </w:rPr>
      </w:pPr>
      <w:r w:rsidRPr="00C4271E">
        <w:rPr>
          <w:rFonts w:cs="Arial"/>
          <w:szCs w:val="24"/>
          <w:lang w:val="en-CA" w:eastAsia="fr-CA"/>
        </w:rPr>
        <w:t xml:space="preserve">It is common ground that “[t]he powers exercisable by the </w:t>
      </w:r>
      <w:r w:rsidRPr="00512B99">
        <w:rPr>
          <w:rFonts w:cs="Arial"/>
          <w:szCs w:val="24"/>
          <w:lang w:val="en-CA" w:eastAsia="fr-CA"/>
        </w:rPr>
        <w:t>Council</w:t>
      </w:r>
      <w:r w:rsidRPr="00C4271E">
        <w:rPr>
          <w:rFonts w:cs="Arial"/>
          <w:szCs w:val="24"/>
          <w:lang w:val="en-CA" w:eastAsia="fr-CA"/>
        </w:rPr>
        <w:t xml:space="preserve"> and the Band arise by virtue of the provisions of the </w:t>
      </w:r>
      <w:r w:rsidRPr="00C4271E">
        <w:rPr>
          <w:rFonts w:cs="Arial"/>
          <w:i/>
          <w:szCs w:val="24"/>
          <w:lang w:val="en-CA" w:eastAsia="fr-CA"/>
        </w:rPr>
        <w:t>Indian Act</w:t>
      </w:r>
      <w:r w:rsidRPr="00C4271E">
        <w:rPr>
          <w:rFonts w:cs="Arial"/>
          <w:szCs w:val="24"/>
          <w:lang w:val="en-CA" w:eastAsia="fr-CA"/>
        </w:rPr>
        <w:t>.</w:t>
      </w:r>
      <w:r w:rsidR="00E6443C" w:rsidRPr="00C4271E">
        <w:rPr>
          <w:rFonts w:cs="Arial"/>
          <w:szCs w:val="24"/>
          <w:lang w:val="en-CA" w:eastAsia="fr-CA"/>
        </w:rPr>
        <w:t xml:space="preserve"> </w:t>
      </w:r>
      <w:r w:rsidR="005C0F79" w:rsidRPr="00C4271E">
        <w:rPr>
          <w:rFonts w:cs="Arial"/>
          <w:szCs w:val="24"/>
          <w:lang w:val="en-CA" w:eastAsia="fr-CA"/>
        </w:rPr>
        <w:t>[…]</w:t>
      </w:r>
      <w:r w:rsidR="005C0F79">
        <w:rPr>
          <w:rFonts w:cs="Arial"/>
          <w:szCs w:val="24"/>
          <w:lang w:val="en-CA" w:eastAsia="fr-CA"/>
        </w:rPr>
        <w:t>”</w:t>
      </w:r>
      <w:r w:rsidR="00A53922" w:rsidRPr="00C4271E">
        <w:rPr>
          <w:rFonts w:cs="Arial"/>
          <w:szCs w:val="24"/>
          <w:lang w:val="en-CA" w:eastAsia="fr-CA"/>
        </w:rPr>
        <w:t>.</w:t>
      </w:r>
      <w:r w:rsidR="00E6443C" w:rsidRPr="00A0674B">
        <w:rPr>
          <w:rStyle w:val="Appelnotedebasdep"/>
          <w:rFonts w:cs="Arial"/>
          <w:szCs w:val="24"/>
          <w:lang w:val="en-CA" w:eastAsia="fr-CA"/>
        </w:rPr>
        <w:footnoteReference w:id="4"/>
      </w:r>
      <w:r w:rsidR="00E6443C" w:rsidRPr="00C4271E">
        <w:rPr>
          <w:rFonts w:cs="Arial"/>
          <w:szCs w:val="24"/>
          <w:lang w:val="en-CA" w:eastAsia="fr-CA"/>
        </w:rPr>
        <w:t xml:space="preserve"> </w:t>
      </w:r>
      <w:r w:rsidRPr="00C4271E">
        <w:rPr>
          <w:rFonts w:cs="Arial"/>
          <w:szCs w:val="24"/>
          <w:lang w:val="en-CA" w:eastAsia="fr-CA"/>
        </w:rPr>
        <w:t>The Band Council is an entity that holds only th</w:t>
      </w:r>
      <w:r w:rsidR="00A53922" w:rsidRPr="00C4271E">
        <w:rPr>
          <w:rFonts w:cs="Arial"/>
          <w:szCs w:val="24"/>
          <w:lang w:val="en-CA" w:eastAsia="fr-CA"/>
        </w:rPr>
        <w:t>ose</w:t>
      </w:r>
      <w:r w:rsidRPr="00C4271E">
        <w:rPr>
          <w:rFonts w:cs="Arial"/>
          <w:szCs w:val="24"/>
          <w:lang w:val="en-CA" w:eastAsia="fr-CA"/>
        </w:rPr>
        <w:t xml:space="preserve"> powers delegated to it by that statute, which powers apply only within the Pessamit reserve.</w:t>
      </w:r>
      <w:r w:rsidRPr="00A0674B">
        <w:rPr>
          <w:rStyle w:val="Appelnotedebasdep"/>
          <w:rFonts w:cs="Arial"/>
          <w:szCs w:val="24"/>
          <w:lang w:val="en-CA" w:eastAsia="fr-CA"/>
        </w:rPr>
        <w:footnoteReference w:id="5"/>
      </w:r>
      <w:r w:rsidR="00E6443C" w:rsidRPr="00C4271E">
        <w:rPr>
          <w:rFonts w:cs="Arial"/>
          <w:szCs w:val="24"/>
          <w:lang w:val="en-CA" w:eastAsia="fr-CA"/>
        </w:rPr>
        <w:t xml:space="preserve"> </w:t>
      </w:r>
    </w:p>
    <w:p w14:paraId="445B06C7" w14:textId="51F7C590" w:rsidR="00540118" w:rsidRPr="00C4271E" w:rsidRDefault="002631B8" w:rsidP="00540118">
      <w:pPr>
        <w:pStyle w:val="Paragraphe"/>
        <w:keepNext/>
        <w:keepLines/>
        <w:spacing w:line="240" w:lineRule="auto"/>
        <w:rPr>
          <w:rFonts w:cs="Arial"/>
          <w:szCs w:val="24"/>
          <w:lang w:val="en-CA" w:eastAsia="fr-CA"/>
        </w:rPr>
      </w:pPr>
      <w:r w:rsidRPr="00C4271E">
        <w:rPr>
          <w:lang w:val="en-CA" w:eastAsia="fr-CA"/>
        </w:rPr>
        <w:t xml:space="preserve">The four respondents </w:t>
      </w:r>
      <w:r w:rsidR="00512B99">
        <w:rPr>
          <w:lang w:val="en-CA" w:eastAsia="fr-CA"/>
        </w:rPr>
        <w:t>argu</w:t>
      </w:r>
      <w:r w:rsidR="00512B99" w:rsidRPr="00512B99">
        <w:rPr>
          <w:lang w:val="en-CA" w:eastAsia="fr-CA"/>
        </w:rPr>
        <w:t>e</w:t>
      </w:r>
      <w:r w:rsidR="00512B99" w:rsidRPr="00C4271E">
        <w:rPr>
          <w:lang w:val="en-CA" w:eastAsia="fr-CA"/>
        </w:rPr>
        <w:t xml:space="preserve"> </w:t>
      </w:r>
      <w:r w:rsidR="00512B99">
        <w:rPr>
          <w:lang w:val="en-CA" w:eastAsia="fr-CA"/>
        </w:rPr>
        <w:t xml:space="preserve">that </w:t>
      </w:r>
      <w:r w:rsidRPr="00C4271E">
        <w:rPr>
          <w:lang w:val="en-CA" w:eastAsia="fr-CA"/>
        </w:rPr>
        <w:t xml:space="preserve">the Band Council unlawfully </w:t>
      </w:r>
      <w:r w:rsidR="00512B99" w:rsidRPr="00C4271E">
        <w:rPr>
          <w:lang w:val="en-CA" w:eastAsia="fr-CA"/>
        </w:rPr>
        <w:t>appropriat</w:t>
      </w:r>
      <w:r w:rsidR="00512B99">
        <w:rPr>
          <w:lang w:val="en-CA" w:eastAsia="fr-CA"/>
        </w:rPr>
        <w:t>ed</w:t>
      </w:r>
      <w:r w:rsidR="00512B99" w:rsidRPr="00C4271E">
        <w:rPr>
          <w:lang w:val="en-CA" w:eastAsia="fr-CA"/>
        </w:rPr>
        <w:t xml:space="preserve"> </w:t>
      </w:r>
      <w:r w:rsidR="00CB206A">
        <w:rPr>
          <w:lang w:val="en-CA" w:eastAsia="fr-CA"/>
        </w:rPr>
        <w:t xml:space="preserve">the </w:t>
      </w:r>
      <w:r w:rsidRPr="00C4271E">
        <w:rPr>
          <w:lang w:val="en-CA" w:eastAsia="fr-CA"/>
        </w:rPr>
        <w:t>First Nation</w:t>
      </w:r>
      <w:r w:rsidR="00CB206A">
        <w:rPr>
          <w:lang w:val="en-CA" w:eastAsia="fr-CA"/>
        </w:rPr>
        <w:t>’s</w:t>
      </w:r>
      <w:r w:rsidRPr="00C4271E">
        <w:rPr>
          <w:lang w:val="en-CA" w:eastAsia="fr-CA"/>
        </w:rPr>
        <w:t xml:space="preserve"> jurisdiction regarding Aboriginal rights and </w:t>
      </w:r>
      <w:r w:rsidR="00EE7A4A" w:rsidRPr="00374701">
        <w:rPr>
          <w:lang w:val="en-CA" w:eastAsia="fr-CA"/>
        </w:rPr>
        <w:t>government</w:t>
      </w:r>
      <w:r w:rsidR="00374701">
        <w:rPr>
          <w:lang w:val="en-CA" w:eastAsia="fr-CA"/>
        </w:rPr>
        <w:t>al</w:t>
      </w:r>
      <w:r w:rsidR="00EE7A4A" w:rsidRPr="00C4271E">
        <w:rPr>
          <w:lang w:val="en-CA" w:eastAsia="fr-CA"/>
        </w:rPr>
        <w:t xml:space="preserve"> </w:t>
      </w:r>
      <w:r w:rsidRPr="00EE7A4A">
        <w:rPr>
          <w:lang w:val="en-CA" w:eastAsia="fr-CA"/>
        </w:rPr>
        <w:t>self-determination</w:t>
      </w:r>
      <w:r w:rsidRPr="00C4271E">
        <w:rPr>
          <w:lang w:val="en-CA" w:eastAsia="fr-CA"/>
        </w:rPr>
        <w:t>.</w:t>
      </w:r>
      <w:r w:rsidR="00E6443C" w:rsidRPr="00C4271E">
        <w:rPr>
          <w:lang w:val="en-CA" w:eastAsia="fr-CA"/>
        </w:rPr>
        <w:t xml:space="preserve"> </w:t>
      </w:r>
      <w:r w:rsidRPr="00C4271E">
        <w:rPr>
          <w:lang w:val="en-CA" w:eastAsia="fr-CA"/>
        </w:rPr>
        <w:t xml:space="preserve">For example, they cite situations that, in their view, constitute an unlawful appropriation of </w:t>
      </w:r>
      <w:r w:rsidR="00CB206A">
        <w:rPr>
          <w:lang w:val="en-CA" w:eastAsia="fr-CA"/>
        </w:rPr>
        <w:t xml:space="preserve">the </w:t>
      </w:r>
      <w:r w:rsidRPr="00C4271E">
        <w:rPr>
          <w:lang w:val="en-CA" w:eastAsia="fr-CA"/>
        </w:rPr>
        <w:t>First Nation</w:t>
      </w:r>
      <w:r w:rsidR="00CB206A">
        <w:rPr>
          <w:lang w:val="en-CA" w:eastAsia="fr-CA"/>
        </w:rPr>
        <w:t>’s</w:t>
      </w:r>
      <w:r w:rsidRPr="00C4271E">
        <w:rPr>
          <w:lang w:val="en-CA" w:eastAsia="fr-CA"/>
        </w:rPr>
        <w:t xml:space="preserve"> powers:</w:t>
      </w:r>
    </w:p>
    <w:p w14:paraId="731FE2F9" w14:textId="3D966F54" w:rsidR="00540118" w:rsidRPr="00C4271E" w:rsidRDefault="00A53922" w:rsidP="00540118">
      <w:pPr>
        <w:pStyle w:val="Paragraphe"/>
        <w:numPr>
          <w:ilvl w:val="0"/>
          <w:numId w:val="25"/>
        </w:numPr>
        <w:spacing w:line="240" w:lineRule="auto"/>
        <w:rPr>
          <w:rFonts w:cs="Arial"/>
          <w:szCs w:val="24"/>
          <w:lang w:val="en-CA" w:eastAsia="fr-CA"/>
        </w:rPr>
      </w:pPr>
      <w:r w:rsidRPr="00C4271E">
        <w:rPr>
          <w:rFonts w:cs="Arial"/>
          <w:szCs w:val="24"/>
          <w:lang w:val="en-CA" w:eastAsia="fr-CA"/>
        </w:rPr>
        <w:t>Without the authorization of the First Nation or even consulting it, t</w:t>
      </w:r>
      <w:r w:rsidR="002631B8" w:rsidRPr="00C4271E">
        <w:rPr>
          <w:rFonts w:cs="Arial"/>
          <w:szCs w:val="24"/>
          <w:lang w:val="en-CA" w:eastAsia="fr-CA"/>
        </w:rPr>
        <w:t xml:space="preserve">he Band Council </w:t>
      </w:r>
      <w:r w:rsidR="00CB206A" w:rsidRPr="00C4271E">
        <w:rPr>
          <w:rFonts w:cs="Arial"/>
          <w:szCs w:val="24"/>
          <w:lang w:val="en-CA" w:eastAsia="fr-CA"/>
        </w:rPr>
        <w:t>negotiate</w:t>
      </w:r>
      <w:r w:rsidR="00CB206A">
        <w:rPr>
          <w:rFonts w:cs="Arial"/>
          <w:szCs w:val="24"/>
          <w:lang w:val="en-CA" w:eastAsia="fr-CA"/>
        </w:rPr>
        <w:t>d</w:t>
      </w:r>
      <w:r w:rsidR="00CB206A" w:rsidRPr="00C4271E">
        <w:rPr>
          <w:rFonts w:cs="Arial"/>
          <w:szCs w:val="24"/>
          <w:lang w:val="en-CA" w:eastAsia="fr-CA"/>
        </w:rPr>
        <w:t xml:space="preserve"> </w:t>
      </w:r>
      <w:r w:rsidR="002631B8" w:rsidRPr="00C4271E">
        <w:rPr>
          <w:rFonts w:cs="Arial"/>
          <w:szCs w:val="24"/>
          <w:lang w:val="en-CA" w:eastAsia="fr-CA"/>
        </w:rPr>
        <w:t>agreements with various governmental</w:t>
      </w:r>
      <w:r w:rsidR="006D25F5">
        <w:rPr>
          <w:rFonts w:cs="Arial"/>
          <w:szCs w:val="24"/>
          <w:lang w:val="en-CA" w:eastAsia="fr-CA"/>
        </w:rPr>
        <w:t>,</w:t>
      </w:r>
      <w:r w:rsidR="002631B8" w:rsidRPr="00C4271E">
        <w:rPr>
          <w:rFonts w:cs="Arial"/>
          <w:szCs w:val="24"/>
          <w:lang w:val="en-CA" w:eastAsia="fr-CA"/>
        </w:rPr>
        <w:t xml:space="preserve"> para</w:t>
      </w:r>
      <w:r w:rsidR="0067017A" w:rsidRPr="00C4271E">
        <w:rPr>
          <w:rFonts w:cs="Arial"/>
          <w:szCs w:val="24"/>
          <w:lang w:val="en-CA" w:eastAsia="fr-CA"/>
        </w:rPr>
        <w:t>-</w:t>
      </w:r>
      <w:r w:rsidR="002631B8" w:rsidRPr="00C4271E">
        <w:rPr>
          <w:rFonts w:cs="Arial"/>
          <w:szCs w:val="24"/>
          <w:lang w:val="en-CA" w:eastAsia="fr-CA"/>
        </w:rPr>
        <w:t xml:space="preserve">governmental, </w:t>
      </w:r>
      <w:r w:rsidR="001B7D7A">
        <w:rPr>
          <w:rFonts w:cs="Arial"/>
          <w:szCs w:val="24"/>
          <w:lang w:val="en-CA" w:eastAsia="fr-CA"/>
        </w:rPr>
        <w:t xml:space="preserve">and </w:t>
      </w:r>
      <w:r w:rsidR="002631B8" w:rsidRPr="00C4271E">
        <w:rPr>
          <w:rFonts w:cs="Arial"/>
          <w:szCs w:val="24"/>
          <w:lang w:val="en-CA" w:eastAsia="fr-CA"/>
        </w:rPr>
        <w:t>private</w:t>
      </w:r>
      <w:r w:rsidR="001B7D7A">
        <w:rPr>
          <w:rFonts w:cs="Arial"/>
          <w:szCs w:val="24"/>
          <w:lang w:val="en-CA" w:eastAsia="fr-CA"/>
        </w:rPr>
        <w:t xml:space="preserve"> bodies</w:t>
      </w:r>
      <w:r w:rsidR="002631B8" w:rsidRPr="00C4271E">
        <w:rPr>
          <w:rFonts w:cs="Arial"/>
          <w:szCs w:val="24"/>
          <w:lang w:val="en-CA" w:eastAsia="fr-CA"/>
        </w:rPr>
        <w:t xml:space="preserve"> or other entities </w:t>
      </w:r>
      <w:r w:rsidRPr="00C4271E">
        <w:rPr>
          <w:rFonts w:cs="Arial"/>
          <w:szCs w:val="24"/>
          <w:lang w:val="en-CA" w:eastAsia="fr-CA"/>
        </w:rPr>
        <w:t>regarding</w:t>
      </w:r>
      <w:r w:rsidR="002631B8" w:rsidRPr="00C4271E">
        <w:rPr>
          <w:rFonts w:cs="Arial"/>
          <w:szCs w:val="24"/>
          <w:lang w:val="en-CA" w:eastAsia="fr-CA"/>
        </w:rPr>
        <w:t xml:space="preserve"> </w:t>
      </w:r>
      <w:r w:rsidR="00CB206A">
        <w:rPr>
          <w:rFonts w:cs="Arial"/>
          <w:szCs w:val="24"/>
          <w:lang w:val="en-CA" w:eastAsia="fr-CA"/>
        </w:rPr>
        <w:t xml:space="preserve">the </w:t>
      </w:r>
      <w:r w:rsidR="002631B8" w:rsidRPr="00C4271E">
        <w:rPr>
          <w:rFonts w:cs="Arial"/>
          <w:szCs w:val="24"/>
          <w:lang w:val="en-CA" w:eastAsia="fr-CA"/>
        </w:rPr>
        <w:t>First Nation</w:t>
      </w:r>
      <w:r w:rsidR="00CB206A">
        <w:rPr>
          <w:rFonts w:cs="Arial"/>
          <w:szCs w:val="24"/>
          <w:lang w:val="en-CA" w:eastAsia="fr-CA"/>
        </w:rPr>
        <w:t>’s</w:t>
      </w:r>
      <w:r w:rsidR="002631B8" w:rsidRPr="00C4271E">
        <w:rPr>
          <w:rFonts w:cs="Arial"/>
          <w:szCs w:val="24"/>
          <w:lang w:val="en-CA" w:eastAsia="fr-CA"/>
        </w:rPr>
        <w:t xml:space="preserve"> Aboriginal rights over </w:t>
      </w:r>
      <w:r w:rsidR="002631B8" w:rsidRPr="00EE7A4A">
        <w:rPr>
          <w:rFonts w:cs="Arial"/>
          <w:szCs w:val="24"/>
          <w:lang w:val="en-CA" w:eastAsia="fr-CA"/>
        </w:rPr>
        <w:t>the</w:t>
      </w:r>
      <w:r w:rsidR="002631B8" w:rsidRPr="00C4271E">
        <w:rPr>
          <w:rFonts w:cs="Arial"/>
          <w:szCs w:val="24"/>
          <w:lang w:val="en-CA" w:eastAsia="fr-CA"/>
        </w:rPr>
        <w:t xml:space="preserve"> Nitassinan. The Band Council and its representative</w:t>
      </w:r>
      <w:r w:rsidR="0067017A" w:rsidRPr="00C4271E">
        <w:rPr>
          <w:rFonts w:cs="Arial"/>
          <w:szCs w:val="24"/>
          <w:lang w:val="en-CA" w:eastAsia="fr-CA"/>
        </w:rPr>
        <w:t>s</w:t>
      </w:r>
      <w:r w:rsidR="002631B8" w:rsidRPr="00C4271E">
        <w:rPr>
          <w:rFonts w:cs="Arial"/>
          <w:szCs w:val="24"/>
          <w:lang w:val="en-CA" w:eastAsia="fr-CA"/>
        </w:rPr>
        <w:t xml:space="preserve"> intervened, in particular, without right and without consulting the First Nation, </w:t>
      </w:r>
      <w:r w:rsidR="0067017A" w:rsidRPr="00C4271E">
        <w:rPr>
          <w:rFonts w:cs="Arial"/>
          <w:szCs w:val="24"/>
          <w:lang w:val="en-CA" w:eastAsia="fr-CA"/>
        </w:rPr>
        <w:t>by</w:t>
      </w:r>
      <w:r w:rsidR="002631B8" w:rsidRPr="00C4271E">
        <w:rPr>
          <w:rFonts w:cs="Arial"/>
          <w:szCs w:val="24"/>
          <w:lang w:val="en-CA" w:eastAsia="fr-CA"/>
        </w:rPr>
        <w:t xml:space="preserve"> enter</w:t>
      </w:r>
      <w:r w:rsidR="0067017A" w:rsidRPr="00C4271E">
        <w:rPr>
          <w:rFonts w:cs="Arial"/>
          <w:szCs w:val="24"/>
          <w:lang w:val="en-CA" w:eastAsia="fr-CA"/>
        </w:rPr>
        <w:t>ing</w:t>
      </w:r>
      <w:r w:rsidR="002631B8" w:rsidRPr="00C4271E">
        <w:rPr>
          <w:rFonts w:cs="Arial"/>
          <w:szCs w:val="24"/>
          <w:lang w:val="en-CA" w:eastAsia="fr-CA"/>
        </w:rPr>
        <w:t xml:space="preserve"> into two agreements in 2012 with Hydro-Québec for hydroelectric power plants to be built on the Sault aux Cochons river.</w:t>
      </w:r>
      <w:r w:rsidR="00E6443C" w:rsidRPr="00C4271E">
        <w:rPr>
          <w:rFonts w:cs="Arial"/>
          <w:szCs w:val="24"/>
          <w:lang w:val="en-CA" w:eastAsia="fr-CA"/>
        </w:rPr>
        <w:t xml:space="preserve"> </w:t>
      </w:r>
      <w:r w:rsidR="002631B8" w:rsidRPr="00C4271E">
        <w:rPr>
          <w:rFonts w:cs="Arial"/>
          <w:szCs w:val="24"/>
          <w:lang w:val="en-CA" w:eastAsia="fr-CA"/>
        </w:rPr>
        <w:t xml:space="preserve">The Band Council also filed specific claims before the </w:t>
      </w:r>
      <w:r w:rsidR="002631B8" w:rsidRPr="00EE7A4A">
        <w:rPr>
          <w:rFonts w:cs="Arial"/>
          <w:szCs w:val="24"/>
          <w:lang w:val="en-CA" w:eastAsia="fr-CA"/>
        </w:rPr>
        <w:t>Specific Claims Tribunal</w:t>
      </w:r>
      <w:r w:rsidR="002631B8" w:rsidRPr="00C4271E">
        <w:rPr>
          <w:rFonts w:cs="Arial"/>
          <w:szCs w:val="24"/>
          <w:lang w:val="en-CA" w:eastAsia="fr-CA"/>
        </w:rPr>
        <w:t xml:space="preserve"> </w:t>
      </w:r>
      <w:r w:rsidR="00CB206A">
        <w:rPr>
          <w:rFonts w:cs="Arial"/>
          <w:szCs w:val="24"/>
          <w:lang w:val="en-CA" w:eastAsia="fr-CA"/>
        </w:rPr>
        <w:t>on</w:t>
      </w:r>
      <w:r w:rsidR="002631B8" w:rsidRPr="00C4271E">
        <w:rPr>
          <w:rFonts w:cs="Arial"/>
          <w:szCs w:val="24"/>
          <w:lang w:val="en-CA" w:eastAsia="fr-CA"/>
        </w:rPr>
        <w:t xml:space="preserve"> issues concerning</w:t>
      </w:r>
      <w:r w:rsidR="00EE7A4A">
        <w:rPr>
          <w:rFonts w:cs="Arial"/>
          <w:szCs w:val="24"/>
          <w:lang w:val="en-CA" w:eastAsia="fr-CA"/>
        </w:rPr>
        <w:t xml:space="preserve"> the</w:t>
      </w:r>
      <w:r w:rsidR="002631B8" w:rsidRPr="00C4271E">
        <w:rPr>
          <w:rFonts w:cs="Arial"/>
          <w:szCs w:val="24"/>
          <w:lang w:val="en-CA" w:eastAsia="fr-CA"/>
        </w:rPr>
        <w:t xml:space="preserve"> First Nation</w:t>
      </w:r>
      <w:r w:rsidR="00EE7A4A">
        <w:rPr>
          <w:rFonts w:cs="Arial"/>
          <w:szCs w:val="24"/>
          <w:lang w:val="en-CA" w:eastAsia="fr-CA"/>
        </w:rPr>
        <w:t>’s</w:t>
      </w:r>
      <w:r w:rsidR="002631B8" w:rsidRPr="00C4271E">
        <w:rPr>
          <w:rFonts w:cs="Arial"/>
          <w:szCs w:val="24"/>
          <w:lang w:val="en-CA" w:eastAsia="fr-CA"/>
        </w:rPr>
        <w:t xml:space="preserve"> Aboriginal rights over </w:t>
      </w:r>
      <w:r w:rsidR="002631B8" w:rsidRPr="00EE7A4A">
        <w:rPr>
          <w:rFonts w:cs="Arial"/>
          <w:szCs w:val="24"/>
          <w:lang w:val="en-CA" w:eastAsia="fr-CA"/>
        </w:rPr>
        <w:t>the</w:t>
      </w:r>
      <w:r w:rsidR="002631B8" w:rsidRPr="00C4271E">
        <w:rPr>
          <w:rFonts w:cs="Arial"/>
          <w:szCs w:val="24"/>
          <w:lang w:val="en-CA" w:eastAsia="fr-CA"/>
        </w:rPr>
        <w:t xml:space="preserve"> Nitassinan.</w:t>
      </w:r>
    </w:p>
    <w:p w14:paraId="295363C5" w14:textId="7D19148A" w:rsidR="00540118" w:rsidRPr="00C4271E" w:rsidRDefault="0067017A" w:rsidP="00540118">
      <w:pPr>
        <w:pStyle w:val="Paragraphe"/>
        <w:numPr>
          <w:ilvl w:val="0"/>
          <w:numId w:val="25"/>
        </w:numPr>
        <w:spacing w:line="240" w:lineRule="auto"/>
        <w:rPr>
          <w:rFonts w:cs="Arial"/>
          <w:szCs w:val="24"/>
          <w:lang w:val="en-CA" w:eastAsia="fr-CA"/>
        </w:rPr>
      </w:pPr>
      <w:r w:rsidRPr="00C4271E">
        <w:rPr>
          <w:rFonts w:cs="Arial"/>
          <w:szCs w:val="24"/>
          <w:lang w:val="en-CA" w:eastAsia="fr-CA"/>
        </w:rPr>
        <w:t xml:space="preserve">Without right and without consulting the First </w:t>
      </w:r>
      <w:r w:rsidR="00CB206A">
        <w:rPr>
          <w:rFonts w:cs="Arial"/>
          <w:szCs w:val="24"/>
          <w:lang w:val="en-CA" w:eastAsia="fr-CA"/>
        </w:rPr>
        <w:t>N</w:t>
      </w:r>
      <w:r w:rsidRPr="00C4271E">
        <w:rPr>
          <w:rFonts w:cs="Arial"/>
          <w:szCs w:val="24"/>
          <w:lang w:val="en-CA" w:eastAsia="fr-CA"/>
        </w:rPr>
        <w:t xml:space="preserve">ation, </w:t>
      </w:r>
      <w:r w:rsidR="002631B8" w:rsidRPr="00C4271E">
        <w:rPr>
          <w:rFonts w:cs="Arial"/>
          <w:szCs w:val="24"/>
          <w:lang w:val="en-CA" w:eastAsia="fr-CA"/>
        </w:rPr>
        <w:t xml:space="preserve">Band Council representatives </w:t>
      </w:r>
      <w:r w:rsidRPr="00C4271E">
        <w:rPr>
          <w:rFonts w:cs="Arial"/>
          <w:szCs w:val="24"/>
          <w:lang w:val="en-CA" w:eastAsia="fr-CA"/>
        </w:rPr>
        <w:t>approached</w:t>
      </w:r>
      <w:r w:rsidR="002631B8" w:rsidRPr="00C4271E">
        <w:rPr>
          <w:rFonts w:cs="Arial"/>
          <w:szCs w:val="24"/>
          <w:lang w:val="en-CA" w:eastAsia="fr-CA"/>
        </w:rPr>
        <w:t xml:space="preserve"> governmental bodies regarding the </w:t>
      </w:r>
      <w:r w:rsidR="002631B8" w:rsidRPr="00CB206A">
        <w:rPr>
          <w:rFonts w:cs="Arial"/>
          <w:szCs w:val="24"/>
          <w:lang w:val="en-CA" w:eastAsia="fr-CA"/>
        </w:rPr>
        <w:t>forest-dwelling</w:t>
      </w:r>
      <w:r w:rsidR="002631B8" w:rsidRPr="00C4271E">
        <w:rPr>
          <w:rFonts w:cs="Arial"/>
          <w:szCs w:val="24"/>
          <w:lang w:val="en-CA" w:eastAsia="fr-CA"/>
        </w:rPr>
        <w:t xml:space="preserve"> caribo</w:t>
      </w:r>
      <w:r w:rsidRPr="00C4271E">
        <w:rPr>
          <w:rFonts w:cs="Arial"/>
          <w:szCs w:val="24"/>
          <w:lang w:val="en-CA" w:eastAsia="fr-CA"/>
        </w:rPr>
        <w:t>u</w:t>
      </w:r>
      <w:r w:rsidR="002631B8" w:rsidRPr="00C4271E">
        <w:rPr>
          <w:rFonts w:cs="Arial"/>
          <w:szCs w:val="24"/>
          <w:lang w:val="en-CA" w:eastAsia="fr-CA"/>
        </w:rPr>
        <w:t xml:space="preserve"> in </w:t>
      </w:r>
      <w:r w:rsidR="002631B8" w:rsidRPr="00CB206A">
        <w:rPr>
          <w:rFonts w:cs="Arial"/>
          <w:szCs w:val="24"/>
          <w:lang w:val="en-CA" w:eastAsia="fr-CA"/>
        </w:rPr>
        <w:t>the</w:t>
      </w:r>
      <w:r w:rsidR="002631B8" w:rsidRPr="00C4271E">
        <w:rPr>
          <w:rFonts w:cs="Arial"/>
          <w:szCs w:val="24"/>
          <w:lang w:val="en-CA" w:eastAsia="fr-CA"/>
        </w:rPr>
        <w:t xml:space="preserve"> Nitassinan;</w:t>
      </w:r>
    </w:p>
    <w:p w14:paraId="7F273309" w14:textId="2F6C8C39" w:rsidR="00540118" w:rsidRPr="00C4271E" w:rsidRDefault="008001F3" w:rsidP="00540118">
      <w:pPr>
        <w:pStyle w:val="Paragraphe"/>
        <w:numPr>
          <w:ilvl w:val="0"/>
          <w:numId w:val="25"/>
        </w:numPr>
        <w:spacing w:line="240" w:lineRule="auto"/>
        <w:rPr>
          <w:rFonts w:cs="Arial"/>
          <w:szCs w:val="24"/>
          <w:lang w:val="en-CA" w:eastAsia="fr-CA"/>
        </w:rPr>
      </w:pPr>
      <w:r w:rsidRPr="00C4271E">
        <w:rPr>
          <w:rFonts w:cs="Arial"/>
          <w:szCs w:val="24"/>
          <w:lang w:val="en-CA" w:eastAsia="fr-CA"/>
        </w:rPr>
        <w:t xml:space="preserve">On June 3, 2022, the Band Council adopted a resolution, outside the jurisdiction conferred upon it in the </w:t>
      </w:r>
      <w:r w:rsidRPr="00C4271E">
        <w:rPr>
          <w:rFonts w:cs="Arial"/>
          <w:i/>
          <w:iCs/>
          <w:szCs w:val="24"/>
          <w:lang w:val="en-CA" w:eastAsia="fr-CA"/>
        </w:rPr>
        <w:t>I.A.</w:t>
      </w:r>
      <w:r w:rsidRPr="00C4271E">
        <w:rPr>
          <w:rFonts w:cs="Arial"/>
          <w:szCs w:val="24"/>
          <w:lang w:val="en-CA" w:eastAsia="fr-CA"/>
        </w:rPr>
        <w:t xml:space="preserve"> to state that it was the only government body that could represent the First Nation.</w:t>
      </w:r>
    </w:p>
    <w:p w14:paraId="1DDDE27F" w14:textId="16B7DFF3" w:rsidR="00540118" w:rsidRPr="00C4271E" w:rsidRDefault="008001F3" w:rsidP="00540118">
      <w:pPr>
        <w:pStyle w:val="Paragraphe"/>
        <w:spacing w:line="240" w:lineRule="auto"/>
        <w:rPr>
          <w:lang w:val="en-CA"/>
        </w:rPr>
      </w:pPr>
      <w:r w:rsidRPr="00C4271E">
        <w:rPr>
          <w:lang w:val="en-CA"/>
        </w:rPr>
        <w:t xml:space="preserve">Accordingly, the respondents </w:t>
      </w:r>
      <w:r w:rsidR="00E76C76" w:rsidRPr="00C4271E">
        <w:rPr>
          <w:lang w:val="en-CA"/>
        </w:rPr>
        <w:t>seek</w:t>
      </w:r>
      <w:r w:rsidRPr="00C4271E">
        <w:rPr>
          <w:lang w:val="en-CA"/>
        </w:rPr>
        <w:t xml:space="preserve"> an injunction prohibiting the Band Council from acting and making decisions </w:t>
      </w:r>
      <w:r w:rsidR="0067017A" w:rsidRPr="00C4271E">
        <w:rPr>
          <w:lang w:val="en-CA"/>
        </w:rPr>
        <w:t>with respect to</w:t>
      </w:r>
      <w:r w:rsidRPr="00C4271E">
        <w:rPr>
          <w:lang w:val="en-CA"/>
        </w:rPr>
        <w:t xml:space="preserve"> </w:t>
      </w:r>
      <w:r w:rsidR="00CB206A">
        <w:rPr>
          <w:lang w:val="en-CA"/>
        </w:rPr>
        <w:t xml:space="preserve">the </w:t>
      </w:r>
      <w:r w:rsidRPr="00C4271E">
        <w:rPr>
          <w:lang w:val="en-CA"/>
        </w:rPr>
        <w:t>First Nation</w:t>
      </w:r>
      <w:r w:rsidR="00CB206A">
        <w:rPr>
          <w:lang w:val="en-CA"/>
        </w:rPr>
        <w:t>’s</w:t>
      </w:r>
      <w:r w:rsidRPr="00C4271E">
        <w:rPr>
          <w:lang w:val="en-CA"/>
        </w:rPr>
        <w:t xml:space="preserve"> Aboriginal rights and self-</w:t>
      </w:r>
      <w:r w:rsidR="00CB206A">
        <w:rPr>
          <w:lang w:val="en-CA"/>
        </w:rPr>
        <w:t>government</w:t>
      </w:r>
      <w:r w:rsidRPr="00C4271E">
        <w:rPr>
          <w:lang w:val="en-CA"/>
        </w:rPr>
        <w:t>.</w:t>
      </w:r>
      <w:r w:rsidR="00E6443C" w:rsidRPr="00C4271E">
        <w:rPr>
          <w:szCs w:val="24"/>
          <w:lang w:val="en-CA" w:eastAsia="fr-CA"/>
        </w:rPr>
        <w:t xml:space="preserve"> </w:t>
      </w:r>
      <w:r w:rsidR="00841510" w:rsidRPr="00C4271E">
        <w:rPr>
          <w:szCs w:val="24"/>
          <w:lang w:val="en-CA" w:eastAsia="fr-CA"/>
        </w:rPr>
        <w:t>Th</w:t>
      </w:r>
      <w:r w:rsidR="00E76C76" w:rsidRPr="00C4271E">
        <w:rPr>
          <w:szCs w:val="24"/>
          <w:lang w:val="en-CA" w:eastAsia="fr-CA"/>
        </w:rPr>
        <w:t>is</w:t>
      </w:r>
      <w:r w:rsidR="00841510" w:rsidRPr="00C4271E">
        <w:rPr>
          <w:szCs w:val="24"/>
          <w:lang w:val="en-CA" w:eastAsia="fr-CA"/>
        </w:rPr>
        <w:t xml:space="preserve"> </w:t>
      </w:r>
      <w:r w:rsidR="0067017A" w:rsidRPr="00C4271E">
        <w:rPr>
          <w:szCs w:val="24"/>
          <w:lang w:val="en-CA" w:eastAsia="fr-CA"/>
        </w:rPr>
        <w:t>injunction</w:t>
      </w:r>
      <w:r w:rsidR="00841510" w:rsidRPr="00C4271E">
        <w:rPr>
          <w:szCs w:val="24"/>
          <w:lang w:val="en-CA" w:eastAsia="fr-CA"/>
        </w:rPr>
        <w:t xml:space="preserve"> </w:t>
      </w:r>
      <w:r w:rsidR="009819ED" w:rsidRPr="009819ED">
        <w:rPr>
          <w:szCs w:val="24"/>
          <w:lang w:val="en-CA" w:eastAsia="fr-CA"/>
        </w:rPr>
        <w:t>would</w:t>
      </w:r>
      <w:r w:rsidR="00841510" w:rsidRPr="009819ED">
        <w:rPr>
          <w:szCs w:val="24"/>
          <w:lang w:val="en-CA" w:eastAsia="fr-CA"/>
        </w:rPr>
        <w:t xml:space="preserve"> order</w:t>
      </w:r>
      <w:r w:rsidR="00841510" w:rsidRPr="00C4271E">
        <w:rPr>
          <w:szCs w:val="24"/>
          <w:lang w:val="en-CA" w:eastAsia="fr-CA"/>
        </w:rPr>
        <w:t xml:space="preserve"> the Band Council to stop exercising the Aboriginal rights that section 35(1) of </w:t>
      </w:r>
      <w:r w:rsidR="00841510" w:rsidRPr="00C4271E">
        <w:rPr>
          <w:i/>
          <w:szCs w:val="24"/>
          <w:lang w:val="en-CA" w:eastAsia="fr-CA"/>
        </w:rPr>
        <w:t>The Constitution Act, 1982</w:t>
      </w:r>
      <w:r w:rsidR="00841510" w:rsidRPr="00A0674B">
        <w:rPr>
          <w:rStyle w:val="Appelnotedebasdep"/>
          <w:szCs w:val="24"/>
          <w:lang w:val="en-CA" w:eastAsia="fr-CA"/>
        </w:rPr>
        <w:footnoteReference w:id="6"/>
      </w:r>
      <w:r w:rsidR="00841510" w:rsidRPr="00C4271E">
        <w:rPr>
          <w:szCs w:val="24"/>
          <w:lang w:val="en-CA" w:eastAsia="fr-CA"/>
        </w:rPr>
        <w:t xml:space="preserve"> (“</w:t>
      </w:r>
      <w:r w:rsidR="00841510" w:rsidRPr="000C4E06">
        <w:rPr>
          <w:i/>
          <w:iCs/>
          <w:szCs w:val="24"/>
          <w:lang w:val="en-CA" w:eastAsia="fr-CA"/>
        </w:rPr>
        <w:t>Constitution Act, 1982</w:t>
      </w:r>
      <w:r w:rsidR="00841510" w:rsidRPr="00C4271E">
        <w:rPr>
          <w:szCs w:val="24"/>
          <w:lang w:val="en-CA" w:eastAsia="fr-CA"/>
        </w:rPr>
        <w:t>”) recognizes as being inherent to the “</w:t>
      </w:r>
      <w:r w:rsidR="008D2AFF" w:rsidRPr="00C4271E">
        <w:rPr>
          <w:szCs w:val="24"/>
          <w:lang w:val="en-CA" w:eastAsia="fr-CA"/>
        </w:rPr>
        <w:t xml:space="preserve">aboriginal </w:t>
      </w:r>
      <w:r w:rsidR="00841510" w:rsidRPr="00C4271E">
        <w:rPr>
          <w:szCs w:val="24"/>
          <w:lang w:val="en-CA" w:eastAsia="fr-CA"/>
        </w:rPr>
        <w:t>peoples”, that is the First Nation, not the Band Council.</w:t>
      </w:r>
      <w:r w:rsidR="00E6443C" w:rsidRPr="00C4271E">
        <w:rPr>
          <w:lang w:val="en-CA"/>
        </w:rPr>
        <w:t xml:space="preserve"> </w:t>
      </w:r>
    </w:p>
    <w:p w14:paraId="6446F049" w14:textId="327D46CB" w:rsidR="00540118" w:rsidRPr="00C4271E" w:rsidRDefault="00841510" w:rsidP="00540118">
      <w:pPr>
        <w:pStyle w:val="Paragraphe"/>
        <w:spacing w:line="240" w:lineRule="auto"/>
        <w:rPr>
          <w:lang w:val="en-CA"/>
        </w:rPr>
      </w:pPr>
      <w:r w:rsidRPr="00C4271E">
        <w:rPr>
          <w:rFonts w:cs="Arial"/>
          <w:szCs w:val="24"/>
          <w:lang w:val="en-CA" w:eastAsia="fr-CA"/>
        </w:rPr>
        <w:lastRenderedPageBreak/>
        <w:t>The respondents’ objective is for the First Nation to recover</w:t>
      </w:r>
      <w:r w:rsidR="00A4767E" w:rsidRPr="00C4271E">
        <w:rPr>
          <w:rFonts w:cs="Arial"/>
          <w:szCs w:val="24"/>
          <w:lang w:val="en-CA" w:eastAsia="fr-CA"/>
        </w:rPr>
        <w:t xml:space="preserve"> the whole of</w:t>
      </w:r>
      <w:r w:rsidRPr="00C4271E">
        <w:rPr>
          <w:rFonts w:cs="Arial"/>
          <w:szCs w:val="24"/>
          <w:lang w:val="en-CA" w:eastAsia="fr-CA"/>
        </w:rPr>
        <w:t xml:space="preserve"> its </w:t>
      </w:r>
      <w:r w:rsidR="00A4767E" w:rsidRPr="00C4271E">
        <w:rPr>
          <w:rFonts w:cs="Arial"/>
          <w:szCs w:val="24"/>
          <w:lang w:val="en-CA" w:eastAsia="fr-CA"/>
        </w:rPr>
        <w:t>powers</w:t>
      </w:r>
      <w:r w:rsidRPr="00C4271E">
        <w:rPr>
          <w:rFonts w:cs="Arial"/>
          <w:szCs w:val="24"/>
          <w:lang w:val="en-CA" w:eastAsia="fr-CA"/>
        </w:rPr>
        <w:t xml:space="preserve"> </w:t>
      </w:r>
      <w:r w:rsidR="00A4767E" w:rsidRPr="00C4271E">
        <w:rPr>
          <w:rFonts w:cs="Arial"/>
          <w:szCs w:val="24"/>
          <w:lang w:val="en-CA" w:eastAsia="fr-CA"/>
        </w:rPr>
        <w:t>over</w:t>
      </w:r>
      <w:r w:rsidRPr="00C4271E">
        <w:rPr>
          <w:rFonts w:cs="Arial"/>
          <w:szCs w:val="24"/>
          <w:lang w:val="en-CA" w:eastAsia="fr-CA"/>
        </w:rPr>
        <w:t xml:space="preserve"> Aboriginal rights and </w:t>
      </w:r>
      <w:r w:rsidR="009819ED" w:rsidRPr="00374701">
        <w:rPr>
          <w:rFonts w:cs="Arial"/>
          <w:szCs w:val="24"/>
          <w:lang w:val="en-CA" w:eastAsia="fr-CA"/>
        </w:rPr>
        <w:t>government</w:t>
      </w:r>
      <w:r w:rsidR="00374701">
        <w:rPr>
          <w:rFonts w:cs="Arial"/>
          <w:szCs w:val="24"/>
          <w:lang w:val="en-CA" w:eastAsia="fr-CA"/>
        </w:rPr>
        <w:t>al</w:t>
      </w:r>
      <w:r w:rsidR="009819ED" w:rsidRPr="00374701">
        <w:rPr>
          <w:rFonts w:cs="Arial"/>
          <w:szCs w:val="24"/>
          <w:lang w:val="en-CA" w:eastAsia="fr-CA"/>
        </w:rPr>
        <w:t xml:space="preserve"> </w:t>
      </w:r>
      <w:r w:rsidRPr="00374701">
        <w:rPr>
          <w:rFonts w:cs="Arial"/>
          <w:szCs w:val="24"/>
          <w:lang w:val="en-CA" w:eastAsia="fr-CA"/>
        </w:rPr>
        <w:t>self-determination</w:t>
      </w:r>
      <w:r w:rsidRPr="00C4271E">
        <w:rPr>
          <w:rFonts w:cs="Arial"/>
          <w:szCs w:val="24"/>
          <w:lang w:val="en-CA" w:eastAsia="fr-CA"/>
        </w:rPr>
        <w:t>.</w:t>
      </w:r>
    </w:p>
    <w:p w14:paraId="107D0BAC" w14:textId="09C58BCD" w:rsidR="00540118" w:rsidRPr="00C4271E" w:rsidRDefault="00841510" w:rsidP="00DF74E5">
      <w:pPr>
        <w:pStyle w:val="Titre1"/>
        <w:spacing w:line="280" w:lineRule="exact"/>
        <w:rPr>
          <w:lang w:val="en-CA"/>
        </w:rPr>
      </w:pPr>
      <w:r w:rsidRPr="00C4271E">
        <w:rPr>
          <w:lang w:val="en-CA"/>
        </w:rPr>
        <w:t>II.</w:t>
      </w:r>
      <w:r w:rsidR="00E6443C" w:rsidRPr="00C4271E">
        <w:rPr>
          <w:lang w:val="en-CA"/>
        </w:rPr>
        <w:t xml:space="preserve"> </w:t>
      </w:r>
      <w:r w:rsidRPr="00C4271E">
        <w:rPr>
          <w:lang w:val="en-CA"/>
        </w:rPr>
        <w:t>The judgment in first instance</w:t>
      </w:r>
    </w:p>
    <w:p w14:paraId="28356F39" w14:textId="7B8B9C56" w:rsidR="00540118" w:rsidRPr="00C4271E" w:rsidRDefault="00841510" w:rsidP="00540118">
      <w:pPr>
        <w:pStyle w:val="Paragraphe"/>
        <w:spacing w:line="240" w:lineRule="auto"/>
        <w:rPr>
          <w:lang w:val="en-CA"/>
        </w:rPr>
      </w:pPr>
      <w:bookmarkStart w:id="7" w:name="_Hlk181004683"/>
      <w:r w:rsidRPr="00C4271E">
        <w:rPr>
          <w:lang w:val="en-CA"/>
        </w:rPr>
        <w:t xml:space="preserve">The Band Council presented an application to dismiss, for disqualification, and for a declinatory exception against an originating </w:t>
      </w:r>
      <w:r w:rsidR="00A4767E" w:rsidRPr="00C4271E">
        <w:rPr>
          <w:lang w:val="en-CA"/>
        </w:rPr>
        <w:t>application</w:t>
      </w:r>
      <w:r w:rsidRPr="00C4271E">
        <w:rPr>
          <w:lang w:val="en-CA"/>
        </w:rPr>
        <w:t xml:space="preserve"> for a permanent </w:t>
      </w:r>
      <w:r w:rsidR="00A4767E" w:rsidRPr="00C4271E">
        <w:rPr>
          <w:lang w:val="en-CA"/>
        </w:rPr>
        <w:t>injunction</w:t>
      </w:r>
      <w:r w:rsidRPr="00C4271E">
        <w:rPr>
          <w:lang w:val="en-CA"/>
        </w:rPr>
        <w:t xml:space="preserve"> filed by the respondents.</w:t>
      </w:r>
      <w:r w:rsidR="00E6443C" w:rsidRPr="00C4271E">
        <w:rPr>
          <w:lang w:val="en-CA"/>
        </w:rPr>
        <w:t xml:space="preserve"> </w:t>
      </w:r>
    </w:p>
    <w:p w14:paraId="24F897DA" w14:textId="783A5A8B" w:rsidR="00540118" w:rsidRPr="00C4271E" w:rsidRDefault="00841510" w:rsidP="00540118">
      <w:pPr>
        <w:pStyle w:val="Paragraphe"/>
        <w:spacing w:line="240" w:lineRule="auto"/>
        <w:rPr>
          <w:lang w:val="en-CA"/>
        </w:rPr>
      </w:pPr>
      <w:bookmarkStart w:id="8" w:name="_Hlk181004761"/>
      <w:r w:rsidRPr="00C4271E">
        <w:rPr>
          <w:lang w:val="en-CA"/>
        </w:rPr>
        <w:t xml:space="preserve">First, it argued that the respondents did not have </w:t>
      </w:r>
      <w:r w:rsidR="00A4767E" w:rsidRPr="00C4271E">
        <w:rPr>
          <w:lang w:val="en-CA"/>
        </w:rPr>
        <w:t>sufficient</w:t>
      </w:r>
      <w:r w:rsidRPr="00C4271E">
        <w:rPr>
          <w:lang w:val="en-CA"/>
        </w:rPr>
        <w:t xml:space="preserve"> </w:t>
      </w:r>
      <w:r w:rsidRPr="009819ED">
        <w:rPr>
          <w:lang w:val="en-CA"/>
        </w:rPr>
        <w:t>interest</w:t>
      </w:r>
      <w:r w:rsidRPr="00C4271E">
        <w:rPr>
          <w:lang w:val="en-CA"/>
        </w:rPr>
        <w:t xml:space="preserve"> to act before the courts on behalf of the First Nation against the Band Council (</w:t>
      </w:r>
      <w:r w:rsidR="00A4767E" w:rsidRPr="00C4271E">
        <w:rPr>
          <w:lang w:val="en-CA"/>
        </w:rPr>
        <w:t>“</w:t>
      </w:r>
      <w:r w:rsidRPr="00C4271E">
        <w:rPr>
          <w:lang w:val="en-CA"/>
        </w:rPr>
        <w:t>exception to dismiss</w:t>
      </w:r>
      <w:r w:rsidR="00A4767E" w:rsidRPr="00C4271E">
        <w:rPr>
          <w:lang w:val="en-CA"/>
        </w:rPr>
        <w:t>”</w:t>
      </w:r>
      <w:r w:rsidRPr="00C4271E">
        <w:rPr>
          <w:lang w:val="en-CA"/>
        </w:rPr>
        <w:t>).</w:t>
      </w:r>
      <w:r w:rsidR="00E6443C" w:rsidRPr="00C4271E">
        <w:rPr>
          <w:lang w:val="en-CA"/>
        </w:rPr>
        <w:t xml:space="preserve"> </w:t>
      </w:r>
      <w:bookmarkEnd w:id="7"/>
      <w:r w:rsidRPr="00C4271E">
        <w:rPr>
          <w:lang w:val="en-CA"/>
        </w:rPr>
        <w:t>In the alternative, it argued that the Federal Court was the only competent court to hear the dispute (</w:t>
      </w:r>
      <w:r w:rsidR="00A4767E" w:rsidRPr="00C4271E">
        <w:rPr>
          <w:lang w:val="en-CA"/>
        </w:rPr>
        <w:t>“</w:t>
      </w:r>
      <w:r w:rsidRPr="00C4271E">
        <w:rPr>
          <w:lang w:val="en-CA"/>
        </w:rPr>
        <w:t>declinatory exception</w:t>
      </w:r>
      <w:r w:rsidR="00A4767E" w:rsidRPr="00C4271E">
        <w:rPr>
          <w:lang w:val="en-CA"/>
        </w:rPr>
        <w:t>”</w:t>
      </w:r>
      <w:r w:rsidRPr="00C4271E">
        <w:rPr>
          <w:lang w:val="en-CA"/>
        </w:rPr>
        <w:t>) and that counsel for the respondents should be disqualified from representing them (</w:t>
      </w:r>
      <w:r w:rsidR="00A4767E" w:rsidRPr="00C4271E">
        <w:rPr>
          <w:lang w:val="en-CA"/>
        </w:rPr>
        <w:t>“</w:t>
      </w:r>
      <w:r w:rsidRPr="00C4271E">
        <w:rPr>
          <w:lang w:val="en-CA"/>
        </w:rPr>
        <w:t>disqualification</w:t>
      </w:r>
      <w:r w:rsidR="00A4767E" w:rsidRPr="00C4271E">
        <w:rPr>
          <w:lang w:val="en-CA"/>
        </w:rPr>
        <w:t>”</w:t>
      </w:r>
      <w:r w:rsidRPr="00C4271E">
        <w:rPr>
          <w:lang w:val="en-CA"/>
        </w:rPr>
        <w:t>).</w:t>
      </w:r>
    </w:p>
    <w:bookmarkEnd w:id="8"/>
    <w:p w14:paraId="6FE65E3C" w14:textId="2D8ABE81" w:rsidR="00540118" w:rsidRPr="00A0674B" w:rsidRDefault="00841510" w:rsidP="00DF74E5">
      <w:pPr>
        <w:pStyle w:val="Titre2"/>
        <w:rPr>
          <w:lang w:val="en-CA"/>
        </w:rPr>
      </w:pPr>
      <w:r w:rsidRPr="00A0674B">
        <w:rPr>
          <w:lang w:val="en-CA"/>
        </w:rPr>
        <w:t>i.</w:t>
      </w:r>
      <w:r w:rsidR="00E6443C" w:rsidRPr="00A0674B">
        <w:rPr>
          <w:lang w:val="en-CA"/>
        </w:rPr>
        <w:t xml:space="preserve"> </w:t>
      </w:r>
      <w:r w:rsidRPr="00A0674B">
        <w:rPr>
          <w:lang w:val="en-CA"/>
        </w:rPr>
        <w:t>Declinatory exception</w:t>
      </w:r>
    </w:p>
    <w:p w14:paraId="73BA0E0B" w14:textId="77487091" w:rsidR="00540118" w:rsidRPr="00C4271E" w:rsidRDefault="00841510" w:rsidP="00540118">
      <w:pPr>
        <w:pStyle w:val="Paragraphe"/>
        <w:spacing w:line="240" w:lineRule="auto"/>
        <w:rPr>
          <w:lang w:val="en-CA"/>
        </w:rPr>
      </w:pPr>
      <w:r w:rsidRPr="00C4271E">
        <w:rPr>
          <w:iCs/>
          <w:lang w:val="en-CA"/>
        </w:rPr>
        <w:t>The Band Council claims that a customary band council is a federal board</w:t>
      </w:r>
      <w:r w:rsidR="00A4767E" w:rsidRPr="00C4271E">
        <w:rPr>
          <w:iCs/>
          <w:lang w:val="en-CA"/>
        </w:rPr>
        <w:t>, commission or other tribunal</w:t>
      </w:r>
      <w:r w:rsidRPr="00C4271E">
        <w:rPr>
          <w:iCs/>
          <w:lang w:val="en-CA"/>
        </w:rPr>
        <w:t xml:space="preserve"> within the meaning of the </w:t>
      </w:r>
      <w:r w:rsidRPr="00C4271E">
        <w:rPr>
          <w:i/>
          <w:iCs/>
          <w:lang w:val="en-CA"/>
        </w:rPr>
        <w:t>Federal Courts Act</w:t>
      </w:r>
      <w:r w:rsidRPr="00A0674B">
        <w:rPr>
          <w:rStyle w:val="Appelnotedebasdep"/>
          <w:lang w:val="en-CA"/>
        </w:rPr>
        <w:footnoteReference w:id="7"/>
      </w:r>
      <w:r w:rsidRPr="00C4271E">
        <w:rPr>
          <w:iCs/>
          <w:lang w:val="en-CA"/>
        </w:rPr>
        <w:t xml:space="preserve"> (</w:t>
      </w:r>
      <w:r w:rsidR="00A4767E" w:rsidRPr="00C4271E">
        <w:rPr>
          <w:iCs/>
          <w:lang w:val="en-CA"/>
        </w:rPr>
        <w:t>“</w:t>
      </w:r>
      <w:r w:rsidR="004C3E30" w:rsidRPr="00C4271E">
        <w:rPr>
          <w:i/>
          <w:lang w:val="en-CA"/>
        </w:rPr>
        <w:t>F.C. Act</w:t>
      </w:r>
      <w:r w:rsidR="00A4767E" w:rsidRPr="00C4271E">
        <w:rPr>
          <w:iCs/>
          <w:lang w:val="en-CA"/>
        </w:rPr>
        <w:t>”</w:t>
      </w:r>
      <w:r w:rsidR="00E6443C" w:rsidRPr="00C4271E">
        <w:rPr>
          <w:lang w:val="en-CA"/>
        </w:rPr>
        <w:t>)</w:t>
      </w:r>
      <w:r w:rsidR="00E6443C" w:rsidRPr="00C4271E">
        <w:rPr>
          <w:rStyle w:val="ParagrapheCar"/>
          <w:lang w:val="en-CA"/>
        </w:rPr>
        <w:t xml:space="preserve">. </w:t>
      </w:r>
      <w:r w:rsidRPr="00C4271E">
        <w:rPr>
          <w:rStyle w:val="ParagrapheCar"/>
          <w:lang w:val="en-CA"/>
        </w:rPr>
        <w:t xml:space="preserve">The issue of determining the limits of its jurisdiction as a </w:t>
      </w:r>
      <w:r w:rsidR="00A4767E" w:rsidRPr="00C4271E">
        <w:rPr>
          <w:rStyle w:val="ParagrapheCar"/>
          <w:lang w:val="en-CA"/>
        </w:rPr>
        <w:t>federal board, commission or other tribunal</w:t>
      </w:r>
      <w:r w:rsidRPr="00C4271E">
        <w:rPr>
          <w:rStyle w:val="ParagrapheCar"/>
          <w:lang w:val="en-CA"/>
        </w:rPr>
        <w:t xml:space="preserve"> would therefore fall under the exclusive jurisdiction </w:t>
      </w:r>
      <w:r w:rsidR="00562129" w:rsidRPr="00C4271E">
        <w:rPr>
          <w:rStyle w:val="ParagrapheCar"/>
          <w:lang w:val="en-CA"/>
        </w:rPr>
        <w:t>of</w:t>
      </w:r>
      <w:r w:rsidRPr="00C4271E">
        <w:rPr>
          <w:rStyle w:val="ParagrapheCar"/>
          <w:lang w:val="en-CA"/>
        </w:rPr>
        <w:t xml:space="preserve"> the Federal Court.</w:t>
      </w:r>
    </w:p>
    <w:p w14:paraId="43B9ABB7" w14:textId="72358A4F" w:rsidR="00540118" w:rsidRPr="00C4271E" w:rsidRDefault="00D520B4" w:rsidP="00540118">
      <w:pPr>
        <w:pStyle w:val="Paragraphe"/>
        <w:spacing w:line="240" w:lineRule="auto"/>
        <w:rPr>
          <w:lang w:val="en-CA"/>
        </w:rPr>
      </w:pPr>
      <w:bookmarkStart w:id="9" w:name="_Hlk181004851"/>
      <w:r w:rsidRPr="00C4271E">
        <w:rPr>
          <w:lang w:val="en-CA" w:eastAsia="fr-CA"/>
        </w:rPr>
        <w:t xml:space="preserve">The judge was instead of the opinion that the Band Council, when it intervened with respect to </w:t>
      </w:r>
      <w:r w:rsidR="009819ED">
        <w:rPr>
          <w:lang w:val="en-CA" w:eastAsia="fr-CA"/>
        </w:rPr>
        <w:t xml:space="preserve">the </w:t>
      </w:r>
      <w:r w:rsidRPr="00C4271E">
        <w:rPr>
          <w:lang w:val="en-CA" w:eastAsia="fr-CA"/>
        </w:rPr>
        <w:t>First Nation</w:t>
      </w:r>
      <w:r w:rsidR="009819ED">
        <w:rPr>
          <w:lang w:val="en-CA" w:eastAsia="fr-CA"/>
        </w:rPr>
        <w:t>’s</w:t>
      </w:r>
      <w:r w:rsidRPr="00C4271E">
        <w:rPr>
          <w:lang w:val="en-CA" w:eastAsia="fr-CA"/>
        </w:rPr>
        <w:t xml:space="preserve"> Aboriginal rights and self-</w:t>
      </w:r>
      <w:r w:rsidR="009819ED">
        <w:rPr>
          <w:lang w:val="en-CA" w:eastAsia="fr-CA"/>
        </w:rPr>
        <w:t>government</w:t>
      </w:r>
      <w:r w:rsidRPr="00C4271E">
        <w:rPr>
          <w:lang w:val="en-CA" w:eastAsia="fr-CA"/>
        </w:rPr>
        <w:t xml:space="preserve"> was not acting as a </w:t>
      </w:r>
      <w:r w:rsidR="00A4767E" w:rsidRPr="00C4271E">
        <w:rPr>
          <w:lang w:val="en-CA" w:eastAsia="fr-CA"/>
        </w:rPr>
        <w:t>federal board, commission or other tribunal</w:t>
      </w:r>
      <w:r w:rsidRPr="00C4271E">
        <w:rPr>
          <w:lang w:val="en-CA" w:eastAsia="fr-CA"/>
        </w:rPr>
        <w:t xml:space="preserve"> and that the Superior Court had jurisdiction to hear the respondents’ application. </w:t>
      </w:r>
      <w:bookmarkEnd w:id="9"/>
      <w:r w:rsidRPr="00C4271E">
        <w:rPr>
          <w:lang w:val="en-CA" w:eastAsia="fr-CA"/>
        </w:rPr>
        <w:t>He therefore dismissed the declinatory exception.</w:t>
      </w:r>
      <w:r w:rsidRPr="00A0674B">
        <w:rPr>
          <w:rStyle w:val="Appelnotedebasdep"/>
          <w:lang w:val="en-CA" w:eastAsia="fr-CA"/>
        </w:rPr>
        <w:footnoteReference w:id="8"/>
      </w:r>
    </w:p>
    <w:p w14:paraId="44FD5EBA" w14:textId="20A3E6B3" w:rsidR="00540118" w:rsidRPr="00A0674B" w:rsidRDefault="00D520B4" w:rsidP="00DF74E5">
      <w:pPr>
        <w:pStyle w:val="Titre2"/>
        <w:rPr>
          <w:lang w:val="en-CA" w:eastAsia="fr-CA"/>
        </w:rPr>
      </w:pPr>
      <w:r w:rsidRPr="00A0674B">
        <w:rPr>
          <w:lang w:val="en-CA"/>
        </w:rPr>
        <w:t>ii.</w:t>
      </w:r>
      <w:r w:rsidR="00E6443C" w:rsidRPr="00A0674B">
        <w:rPr>
          <w:lang w:val="en-CA"/>
        </w:rPr>
        <w:t xml:space="preserve"> </w:t>
      </w:r>
      <w:r w:rsidRPr="00A0674B">
        <w:rPr>
          <w:lang w:val="en-CA"/>
        </w:rPr>
        <w:t>Exception to dismiss</w:t>
      </w:r>
    </w:p>
    <w:p w14:paraId="4727D7D7" w14:textId="62149E2E" w:rsidR="00540118" w:rsidRPr="00C4271E" w:rsidRDefault="00D520B4" w:rsidP="00540118">
      <w:pPr>
        <w:pStyle w:val="Paragraphe"/>
        <w:spacing w:line="240" w:lineRule="auto"/>
        <w:rPr>
          <w:lang w:val="en-CA"/>
        </w:rPr>
      </w:pPr>
      <w:r w:rsidRPr="00C4271E">
        <w:rPr>
          <w:lang w:val="en-CA"/>
        </w:rPr>
        <w:t xml:space="preserve">The Band Council also argued that the respondents did not have </w:t>
      </w:r>
      <w:r w:rsidR="00562129" w:rsidRPr="00C4271E">
        <w:rPr>
          <w:lang w:val="en-CA"/>
        </w:rPr>
        <w:t>sufficient</w:t>
      </w:r>
      <w:r w:rsidRPr="00C4271E">
        <w:rPr>
          <w:lang w:val="en-CA"/>
        </w:rPr>
        <w:t xml:space="preserve"> interest to act because </w:t>
      </w:r>
      <w:r w:rsidR="00AF5E7E" w:rsidRPr="00C4271E">
        <w:rPr>
          <w:lang w:val="en-CA"/>
        </w:rPr>
        <w:t>the</w:t>
      </w:r>
      <w:r w:rsidR="00AF5E7E">
        <w:rPr>
          <w:lang w:val="en-CA"/>
        </w:rPr>
        <w:t>y</w:t>
      </w:r>
      <w:r w:rsidR="00AF5E7E" w:rsidRPr="00C4271E">
        <w:rPr>
          <w:lang w:val="en-CA"/>
        </w:rPr>
        <w:t xml:space="preserve"> </w:t>
      </w:r>
      <w:r w:rsidRPr="00C4271E">
        <w:rPr>
          <w:lang w:val="en-CA"/>
        </w:rPr>
        <w:t>were arguing collective rights belong</w:t>
      </w:r>
      <w:r w:rsidR="00562129" w:rsidRPr="00C4271E">
        <w:rPr>
          <w:lang w:val="en-CA"/>
        </w:rPr>
        <w:t>ing</w:t>
      </w:r>
      <w:r w:rsidRPr="00C4271E">
        <w:rPr>
          <w:lang w:val="en-CA"/>
        </w:rPr>
        <w:t xml:space="preserve"> to all members of the First Nation and that they had not obtained the requisite authorization to act on </w:t>
      </w:r>
      <w:r w:rsidR="009819ED">
        <w:rPr>
          <w:lang w:val="en-CA"/>
        </w:rPr>
        <w:t>the latter’s</w:t>
      </w:r>
      <w:r w:rsidR="009819ED" w:rsidRPr="00C4271E">
        <w:rPr>
          <w:lang w:val="en-CA"/>
        </w:rPr>
        <w:t xml:space="preserve"> </w:t>
      </w:r>
      <w:r w:rsidRPr="00C4271E">
        <w:rPr>
          <w:lang w:val="en-CA"/>
        </w:rPr>
        <w:t>behalf.</w:t>
      </w:r>
    </w:p>
    <w:p w14:paraId="5E903DE0" w14:textId="0784D97D" w:rsidR="00540118" w:rsidRPr="00C4271E" w:rsidRDefault="00D520B4" w:rsidP="00540118">
      <w:pPr>
        <w:pStyle w:val="Paragraphe"/>
        <w:spacing w:line="240" w:lineRule="auto"/>
        <w:rPr>
          <w:lang w:val="en-CA"/>
        </w:rPr>
      </w:pPr>
      <w:bookmarkStart w:id="10" w:name="_Hlk181004883"/>
      <w:r w:rsidRPr="00C4271E">
        <w:rPr>
          <w:lang w:val="en-CA"/>
        </w:rPr>
        <w:t xml:space="preserve">The judge in first instance dismissed this argument on the ground that the respondents, as members of </w:t>
      </w:r>
      <w:r w:rsidR="00562129" w:rsidRPr="00C4271E">
        <w:rPr>
          <w:lang w:val="en-CA"/>
        </w:rPr>
        <w:t>the</w:t>
      </w:r>
      <w:r w:rsidRPr="00C4271E">
        <w:rPr>
          <w:lang w:val="en-CA"/>
        </w:rPr>
        <w:t xml:space="preserve"> First Nation, were entitled to complain that the Band Council was wrongfully </w:t>
      </w:r>
      <w:r w:rsidR="00562129" w:rsidRPr="00C4271E">
        <w:rPr>
          <w:lang w:val="en-CA"/>
        </w:rPr>
        <w:t>interfering</w:t>
      </w:r>
      <w:r w:rsidRPr="00C4271E">
        <w:rPr>
          <w:lang w:val="en-CA"/>
        </w:rPr>
        <w:t xml:space="preserve"> with the First Nation’s Aboriginal rights.</w:t>
      </w:r>
      <w:r w:rsidR="00E6443C" w:rsidRPr="00C4271E">
        <w:rPr>
          <w:lang w:val="en-CA"/>
        </w:rPr>
        <w:t xml:space="preserve"> </w:t>
      </w:r>
      <w:r w:rsidRPr="00C4271E">
        <w:rPr>
          <w:lang w:val="en-CA"/>
        </w:rPr>
        <w:t xml:space="preserve">The judge was of the view that the respondents had sufficient interest to raise a public interest issue within the meaning of the </w:t>
      </w:r>
      <w:r w:rsidRPr="009819ED">
        <w:rPr>
          <w:lang w:val="en-CA"/>
        </w:rPr>
        <w:t xml:space="preserve">second paragraph of article 85 </w:t>
      </w:r>
      <w:r w:rsidRPr="009819ED">
        <w:rPr>
          <w:i/>
          <w:lang w:val="en-CA"/>
        </w:rPr>
        <w:t>C.C.P</w:t>
      </w:r>
      <w:r w:rsidRPr="00A0674B">
        <w:rPr>
          <w:i/>
          <w:lang w:val="en-CA"/>
        </w:rPr>
        <w:t>.</w:t>
      </w:r>
      <w:r w:rsidRPr="00A0674B">
        <w:rPr>
          <w:rStyle w:val="Appelnotedebasdep"/>
          <w:iCs/>
          <w:lang w:val="en-CA"/>
        </w:rPr>
        <w:footnoteReference w:id="9"/>
      </w:r>
    </w:p>
    <w:bookmarkEnd w:id="10"/>
    <w:p w14:paraId="5EA2B45B" w14:textId="6E9F3776" w:rsidR="00540118" w:rsidRPr="00A0674B" w:rsidRDefault="00D520B4" w:rsidP="003572C4">
      <w:pPr>
        <w:pStyle w:val="Titre2"/>
        <w:keepNext/>
        <w:rPr>
          <w:lang w:val="en-CA"/>
        </w:rPr>
      </w:pPr>
      <w:r w:rsidRPr="00A0674B">
        <w:rPr>
          <w:lang w:val="en-CA"/>
        </w:rPr>
        <w:lastRenderedPageBreak/>
        <w:t>iii.</w:t>
      </w:r>
      <w:r w:rsidR="00E6443C" w:rsidRPr="00A0674B">
        <w:rPr>
          <w:lang w:val="en-CA"/>
        </w:rPr>
        <w:t xml:space="preserve"> </w:t>
      </w:r>
      <w:r w:rsidRPr="00A0674B">
        <w:rPr>
          <w:lang w:val="en-CA"/>
        </w:rPr>
        <w:t>Ground for disqualification</w:t>
      </w:r>
    </w:p>
    <w:p w14:paraId="22EDFC2C" w14:textId="1FFC005E" w:rsidR="00540118" w:rsidRPr="00C4271E" w:rsidRDefault="00752C19" w:rsidP="00540118">
      <w:pPr>
        <w:pStyle w:val="Paragraphe"/>
        <w:spacing w:line="240" w:lineRule="auto"/>
        <w:rPr>
          <w:lang w:val="en-CA"/>
        </w:rPr>
      </w:pPr>
      <w:r w:rsidRPr="00C4271E">
        <w:rPr>
          <w:lang w:val="en-CA"/>
        </w:rPr>
        <w:t xml:space="preserve">With respect to the application to have Mtre François Boulianne disqualified, the judge concluded that he had not violated a Court order by representing the rights of </w:t>
      </w:r>
      <w:r w:rsidR="00CB592B" w:rsidRPr="00C4271E">
        <w:rPr>
          <w:lang w:val="en-CA"/>
        </w:rPr>
        <w:t>the</w:t>
      </w:r>
      <w:r w:rsidRPr="00C4271E">
        <w:rPr>
          <w:lang w:val="en-CA"/>
        </w:rPr>
        <w:t xml:space="preserve"> four respondents </w:t>
      </w:r>
      <w:r w:rsidR="00CB592B" w:rsidRPr="00C4271E">
        <w:rPr>
          <w:lang w:val="en-CA"/>
        </w:rPr>
        <w:t>personally</w:t>
      </w:r>
      <w:r w:rsidRPr="00C4271E">
        <w:rPr>
          <w:lang w:val="en-CA"/>
        </w:rPr>
        <w:t xml:space="preserve"> because the order rendered on March 12, 2020</w:t>
      </w:r>
      <w:r w:rsidRPr="00A0674B">
        <w:rPr>
          <w:rStyle w:val="Appelnotedebasdep"/>
          <w:lang w:val="en-CA"/>
        </w:rPr>
        <w:footnoteReference w:id="10"/>
      </w:r>
      <w:r w:rsidRPr="00C4271E">
        <w:rPr>
          <w:lang w:val="en-CA"/>
        </w:rPr>
        <w:t xml:space="preserve"> (based on professional secrecy)</w:t>
      </w:r>
      <w:r w:rsidR="00232F14">
        <w:rPr>
          <w:lang w:val="en-CA"/>
        </w:rPr>
        <w:t>,</w:t>
      </w:r>
      <w:r w:rsidRPr="00C4271E">
        <w:rPr>
          <w:lang w:val="en-CA"/>
        </w:rPr>
        <w:t xml:space="preserve"> prevent</w:t>
      </w:r>
      <w:r w:rsidR="00CB592B" w:rsidRPr="00C4271E">
        <w:rPr>
          <w:lang w:val="en-CA"/>
        </w:rPr>
        <w:t>ed</w:t>
      </w:r>
      <w:r w:rsidRPr="00C4271E">
        <w:rPr>
          <w:lang w:val="en-CA"/>
        </w:rPr>
        <w:t xml:space="preserve"> him only from saying he represented or had been mandate</w:t>
      </w:r>
      <w:r w:rsidR="00CB592B" w:rsidRPr="00C4271E">
        <w:rPr>
          <w:lang w:val="en-CA"/>
        </w:rPr>
        <w:t>d</w:t>
      </w:r>
      <w:r w:rsidRPr="00C4271E">
        <w:rPr>
          <w:lang w:val="en-CA"/>
        </w:rPr>
        <w:t xml:space="preserve"> by the Band or </w:t>
      </w:r>
      <w:r w:rsidR="00BF0188">
        <w:rPr>
          <w:lang w:val="en-CA"/>
        </w:rPr>
        <w:t xml:space="preserve">the </w:t>
      </w:r>
      <w:r w:rsidRPr="00C4271E">
        <w:rPr>
          <w:lang w:val="en-CA"/>
        </w:rPr>
        <w:t>First Nation.</w:t>
      </w:r>
      <w:r w:rsidRPr="00A0674B">
        <w:rPr>
          <w:vertAlign w:val="superscript"/>
          <w:lang w:val="en-CA"/>
        </w:rPr>
        <w:footnoteReference w:id="11"/>
      </w:r>
    </w:p>
    <w:p w14:paraId="1EEFFA27" w14:textId="6642E391" w:rsidR="00540118" w:rsidRPr="00A0674B" w:rsidRDefault="00752C19" w:rsidP="00DF74E5">
      <w:pPr>
        <w:pStyle w:val="Titre1"/>
        <w:spacing w:line="280" w:lineRule="exact"/>
        <w:rPr>
          <w:lang w:val="en-CA"/>
        </w:rPr>
      </w:pPr>
      <w:r w:rsidRPr="00A0674B">
        <w:rPr>
          <w:lang w:val="en-CA"/>
        </w:rPr>
        <w:t>III.</w:t>
      </w:r>
      <w:r w:rsidR="00E6443C" w:rsidRPr="00A0674B">
        <w:rPr>
          <w:lang w:val="en-CA"/>
        </w:rPr>
        <w:t xml:space="preserve"> </w:t>
      </w:r>
      <w:r w:rsidRPr="00C4271E">
        <w:rPr>
          <w:lang w:val="en-CA"/>
        </w:rPr>
        <w:t xml:space="preserve">Grounds of </w:t>
      </w:r>
      <w:r w:rsidR="00232F14">
        <w:rPr>
          <w:lang w:val="en-CA"/>
        </w:rPr>
        <w:t>a</w:t>
      </w:r>
      <w:r w:rsidR="00232F14" w:rsidRPr="00C4271E">
        <w:rPr>
          <w:lang w:val="en-CA"/>
        </w:rPr>
        <w:t>ppeal</w:t>
      </w:r>
    </w:p>
    <w:p w14:paraId="775C7FA8" w14:textId="42F813B7" w:rsidR="00540118" w:rsidRPr="00C4271E" w:rsidRDefault="00752C19" w:rsidP="00540118">
      <w:pPr>
        <w:pStyle w:val="Paragraphe"/>
        <w:spacing w:line="240" w:lineRule="auto"/>
        <w:rPr>
          <w:rFonts w:cs="Arial"/>
          <w:lang w:val="en-CA"/>
        </w:rPr>
      </w:pPr>
      <w:bookmarkStart w:id="11" w:name="_Hlk168342027"/>
      <w:r w:rsidRPr="00C4271E">
        <w:rPr>
          <w:lang w:val="en-CA"/>
        </w:rPr>
        <w:t>The Band Council sought leave to appeal from th</w:t>
      </w:r>
      <w:r w:rsidR="00CB592B" w:rsidRPr="00C4271E">
        <w:rPr>
          <w:lang w:val="en-CA"/>
        </w:rPr>
        <w:t>is</w:t>
      </w:r>
      <w:r w:rsidRPr="00C4271E">
        <w:rPr>
          <w:lang w:val="en-CA"/>
        </w:rPr>
        <w:t xml:space="preserve"> judgment rendered in</w:t>
      </w:r>
      <w:r w:rsidR="00CB592B" w:rsidRPr="00C4271E">
        <w:rPr>
          <w:lang w:val="en-CA"/>
        </w:rPr>
        <w:t xml:space="preserve"> </w:t>
      </w:r>
      <w:r w:rsidRPr="00C4271E">
        <w:rPr>
          <w:lang w:val="en-CA"/>
        </w:rPr>
        <w:t>the course of a proceeding</w:t>
      </w:r>
      <w:r w:rsidR="00CB592B" w:rsidRPr="00C4271E">
        <w:rPr>
          <w:lang w:val="en-CA"/>
        </w:rPr>
        <w:t>,</w:t>
      </w:r>
      <w:r w:rsidRPr="00C4271E">
        <w:rPr>
          <w:lang w:val="en-CA"/>
        </w:rPr>
        <w:t xml:space="preserve"> arguing that:</w:t>
      </w:r>
    </w:p>
    <w:p w14:paraId="329A59E7" w14:textId="12B9BDCE" w:rsidR="00540118" w:rsidRPr="00C4271E" w:rsidRDefault="00752C19" w:rsidP="00540118">
      <w:pPr>
        <w:pStyle w:val="Paragraphe"/>
        <w:numPr>
          <w:ilvl w:val="0"/>
          <w:numId w:val="25"/>
        </w:numPr>
        <w:tabs>
          <w:tab w:val="left" w:pos="708"/>
        </w:tabs>
        <w:spacing w:line="240" w:lineRule="auto"/>
        <w:rPr>
          <w:lang w:val="en-CA"/>
        </w:rPr>
      </w:pPr>
      <w:r w:rsidRPr="00C4271E">
        <w:rPr>
          <w:w w:val="105"/>
          <w:szCs w:val="24"/>
          <w:lang w:val="en-CA"/>
        </w:rPr>
        <w:t>The judge had erred in law by concluding that the Superior Court had jurisdiction to hear the respondents’ proceeding.</w:t>
      </w:r>
    </w:p>
    <w:p w14:paraId="6677AEC9" w14:textId="58719027" w:rsidR="00540118" w:rsidRPr="00C4271E" w:rsidRDefault="00752C19" w:rsidP="00540118">
      <w:pPr>
        <w:pStyle w:val="Paragraphe"/>
        <w:numPr>
          <w:ilvl w:val="0"/>
          <w:numId w:val="25"/>
        </w:numPr>
        <w:tabs>
          <w:tab w:val="left" w:pos="708"/>
        </w:tabs>
        <w:spacing w:line="240" w:lineRule="auto"/>
        <w:rPr>
          <w:lang w:val="en-CA"/>
        </w:rPr>
      </w:pPr>
      <w:r w:rsidRPr="00C4271E">
        <w:rPr>
          <w:lang w:val="en-CA"/>
        </w:rPr>
        <w:t xml:space="preserve">The judge erred in law by applying article 85 </w:t>
      </w:r>
      <w:r w:rsidRPr="00547E10">
        <w:rPr>
          <w:i/>
          <w:iCs/>
          <w:lang w:val="en-CA"/>
        </w:rPr>
        <w:t>C.C.P</w:t>
      </w:r>
      <w:r w:rsidRPr="00357536">
        <w:rPr>
          <w:lang w:val="en-CA"/>
        </w:rPr>
        <w:t>.</w:t>
      </w:r>
      <w:r w:rsidRPr="00C4271E">
        <w:rPr>
          <w:lang w:val="en-CA"/>
        </w:rPr>
        <w:t xml:space="preserve"> and recognizing that the </w:t>
      </w:r>
      <w:r w:rsidR="00CB592B" w:rsidRPr="00C4271E">
        <w:rPr>
          <w:lang w:val="en-CA"/>
        </w:rPr>
        <w:t>respondents</w:t>
      </w:r>
      <w:r w:rsidRPr="00C4271E">
        <w:rPr>
          <w:lang w:val="en-CA"/>
        </w:rPr>
        <w:t xml:space="preserve"> had sufficient interest to act.</w:t>
      </w:r>
    </w:p>
    <w:p w14:paraId="187933E2" w14:textId="0AECBC9A" w:rsidR="00540118" w:rsidRPr="00C4271E" w:rsidRDefault="00752C19" w:rsidP="00540118">
      <w:pPr>
        <w:pStyle w:val="Paragraphe"/>
        <w:spacing w:line="240" w:lineRule="auto"/>
        <w:rPr>
          <w:rFonts w:cs="Arial"/>
          <w:lang w:val="en-CA"/>
        </w:rPr>
      </w:pPr>
      <w:r w:rsidRPr="00C4271E">
        <w:rPr>
          <w:rFonts w:eastAsiaTheme="minorHAnsi"/>
          <w:lang w:val="en-CA"/>
        </w:rPr>
        <w:t>A judge of th</w:t>
      </w:r>
      <w:r w:rsidR="00CB592B" w:rsidRPr="00C4271E">
        <w:rPr>
          <w:rFonts w:eastAsiaTheme="minorHAnsi"/>
          <w:lang w:val="en-CA"/>
        </w:rPr>
        <w:t>is</w:t>
      </w:r>
      <w:r w:rsidRPr="00C4271E">
        <w:rPr>
          <w:rFonts w:eastAsiaTheme="minorHAnsi"/>
          <w:lang w:val="en-CA"/>
        </w:rPr>
        <w:t xml:space="preserve"> Court granted leave</w:t>
      </w:r>
      <w:r w:rsidR="00CB592B" w:rsidRPr="00C4271E">
        <w:rPr>
          <w:rFonts w:eastAsiaTheme="minorHAnsi"/>
          <w:lang w:val="en-CA"/>
        </w:rPr>
        <w:t xml:space="preserve"> </w:t>
      </w:r>
      <w:r w:rsidRPr="00C4271E">
        <w:rPr>
          <w:rFonts w:eastAsiaTheme="minorHAnsi"/>
          <w:lang w:val="en-CA"/>
        </w:rPr>
        <w:t xml:space="preserve">to appeal </w:t>
      </w:r>
      <w:r w:rsidR="00CB592B" w:rsidRPr="00C4271E">
        <w:rPr>
          <w:rFonts w:eastAsiaTheme="minorHAnsi"/>
          <w:lang w:val="en-CA"/>
        </w:rPr>
        <w:t xml:space="preserve">in part </w:t>
      </w:r>
      <w:r w:rsidRPr="00C4271E">
        <w:rPr>
          <w:rFonts w:eastAsiaTheme="minorHAnsi"/>
          <w:lang w:val="en-CA"/>
        </w:rPr>
        <w:t xml:space="preserve">with respect to the declinatory exception, finding that to dismiss it would likely cause irreparable harm within the meaning of the second paragraph of article 31 </w:t>
      </w:r>
      <w:r w:rsidRPr="00C4271E">
        <w:rPr>
          <w:rFonts w:eastAsiaTheme="minorHAnsi"/>
          <w:i/>
          <w:iCs/>
          <w:lang w:val="en-CA"/>
        </w:rPr>
        <w:t>C.C.P</w:t>
      </w:r>
      <w:r w:rsidRPr="00C4271E">
        <w:rPr>
          <w:rFonts w:eastAsiaTheme="minorHAnsi"/>
          <w:lang w:val="en-CA"/>
        </w:rPr>
        <w:t>. because the judgment on the merits would be unable to remedy the situation.</w:t>
      </w:r>
      <w:r w:rsidRPr="00A0674B">
        <w:rPr>
          <w:rStyle w:val="Appelnotedebasdep"/>
          <w:rFonts w:eastAsiaTheme="minorHAnsi" w:cs="Arial"/>
          <w:szCs w:val="22"/>
          <w:lang w:val="en-CA"/>
        </w:rPr>
        <w:footnoteReference w:id="12"/>
      </w:r>
      <w:r w:rsidR="00E6443C" w:rsidRPr="00C4271E">
        <w:rPr>
          <w:rFonts w:eastAsiaTheme="minorHAnsi"/>
          <w:lang w:val="en-CA"/>
        </w:rPr>
        <w:t xml:space="preserve"> </w:t>
      </w:r>
      <w:bookmarkEnd w:id="11"/>
      <w:r w:rsidRPr="00C4271E">
        <w:rPr>
          <w:rFonts w:eastAsiaTheme="minorHAnsi"/>
          <w:lang w:val="en-CA"/>
        </w:rPr>
        <w:t>She deferred the decision to grant leave to appeal from the judge’s conclusion on the respondents’ sufficient interest</w:t>
      </w:r>
      <w:r w:rsidR="00CB592B" w:rsidRPr="00C4271E">
        <w:rPr>
          <w:rFonts w:eastAsiaTheme="minorHAnsi"/>
          <w:lang w:val="en-CA"/>
        </w:rPr>
        <w:t xml:space="preserve"> to the Court</w:t>
      </w:r>
      <w:r w:rsidRPr="00C4271E">
        <w:rPr>
          <w:rFonts w:eastAsiaTheme="minorHAnsi"/>
          <w:lang w:val="en-CA"/>
        </w:rPr>
        <w:t xml:space="preserve">, </w:t>
      </w:r>
      <w:r w:rsidR="00CB592B" w:rsidRPr="00C4271E">
        <w:rPr>
          <w:rFonts w:eastAsiaTheme="minorHAnsi"/>
          <w:lang w:val="en-CA"/>
        </w:rPr>
        <w:t xml:space="preserve">correctly </w:t>
      </w:r>
      <w:r w:rsidRPr="00C4271E">
        <w:rPr>
          <w:rFonts w:eastAsiaTheme="minorHAnsi"/>
          <w:lang w:val="en-CA"/>
        </w:rPr>
        <w:t xml:space="preserve">finding that the Court should answer this public interest issue immediately </w:t>
      </w:r>
      <w:r w:rsidR="002737FF" w:rsidRPr="00C4271E">
        <w:rPr>
          <w:rFonts w:eastAsiaTheme="minorHAnsi"/>
          <w:lang w:val="en-CA"/>
        </w:rPr>
        <w:t>in the event</w:t>
      </w:r>
      <w:r w:rsidRPr="00C4271E">
        <w:rPr>
          <w:rFonts w:eastAsiaTheme="minorHAnsi"/>
          <w:lang w:val="en-CA"/>
        </w:rPr>
        <w:t xml:space="preserve"> the </w:t>
      </w:r>
      <w:r w:rsidR="002737FF" w:rsidRPr="00C4271E">
        <w:rPr>
          <w:rFonts w:eastAsiaTheme="minorHAnsi"/>
          <w:lang w:val="en-CA"/>
        </w:rPr>
        <w:t>panel</w:t>
      </w:r>
      <w:r w:rsidRPr="00C4271E">
        <w:rPr>
          <w:rFonts w:eastAsiaTheme="minorHAnsi"/>
          <w:lang w:val="en-CA"/>
        </w:rPr>
        <w:t xml:space="preserve"> dismiss</w:t>
      </w:r>
      <w:r w:rsidR="002737FF" w:rsidRPr="00C4271E">
        <w:rPr>
          <w:rFonts w:eastAsiaTheme="minorHAnsi"/>
          <w:lang w:val="en-CA"/>
        </w:rPr>
        <w:t>ed</w:t>
      </w:r>
      <w:r w:rsidRPr="00C4271E">
        <w:rPr>
          <w:rFonts w:eastAsiaTheme="minorHAnsi"/>
          <w:lang w:val="en-CA"/>
        </w:rPr>
        <w:t xml:space="preserve"> the appeal from the dismissed declinatory exception.</w:t>
      </w:r>
    </w:p>
    <w:p w14:paraId="7CC816ED" w14:textId="0BFD7C06" w:rsidR="00540118" w:rsidRPr="00C4271E" w:rsidRDefault="00752C19" w:rsidP="00540118">
      <w:pPr>
        <w:pStyle w:val="Paragraphe"/>
        <w:spacing w:line="240" w:lineRule="auto"/>
        <w:rPr>
          <w:rFonts w:cs="Arial"/>
          <w:lang w:val="en-CA"/>
        </w:rPr>
      </w:pPr>
      <w:r w:rsidRPr="00C4271E">
        <w:rPr>
          <w:rFonts w:eastAsiaTheme="minorHAnsi"/>
          <w:lang w:val="en-CA"/>
        </w:rPr>
        <w:t>As discussed below, the aspect of the appeal concerning the declinatory exception must be dismissed.</w:t>
      </w:r>
      <w:r w:rsidR="00E6443C" w:rsidRPr="00C4271E">
        <w:rPr>
          <w:rFonts w:cs="Arial"/>
          <w:lang w:val="en-CA"/>
        </w:rPr>
        <w:t xml:space="preserve"> </w:t>
      </w:r>
      <w:bookmarkStart w:id="12" w:name="_Hlk181005285"/>
      <w:r w:rsidRPr="00C4271E">
        <w:rPr>
          <w:rFonts w:cs="Arial"/>
          <w:lang w:val="en-CA"/>
        </w:rPr>
        <w:t xml:space="preserve">That being said, </w:t>
      </w:r>
      <w:r w:rsidR="005F20FC">
        <w:rPr>
          <w:rFonts w:cs="Arial"/>
          <w:lang w:val="en-CA"/>
        </w:rPr>
        <w:t>I am</w:t>
      </w:r>
      <w:r w:rsidRPr="00C4271E">
        <w:rPr>
          <w:rFonts w:cs="Arial"/>
          <w:lang w:val="en-CA"/>
        </w:rPr>
        <w:t xml:space="preserve"> of the view that the Band Council should be </w:t>
      </w:r>
      <w:r w:rsidR="003509B0">
        <w:rPr>
          <w:rFonts w:cs="Arial"/>
          <w:lang w:val="en-CA"/>
        </w:rPr>
        <w:t>granted leave</w:t>
      </w:r>
      <w:r w:rsidR="003509B0" w:rsidRPr="00C4271E">
        <w:rPr>
          <w:rFonts w:cs="Arial"/>
          <w:lang w:val="en-CA"/>
        </w:rPr>
        <w:t xml:space="preserve"> </w:t>
      </w:r>
      <w:r w:rsidRPr="00C4271E">
        <w:rPr>
          <w:rFonts w:cs="Arial"/>
          <w:lang w:val="en-CA"/>
        </w:rPr>
        <w:t xml:space="preserve">to appeal from the conclusion in the judgment declaring that the respondents have sufficient interest to act in the </w:t>
      </w:r>
      <w:r w:rsidR="005F5F45" w:rsidRPr="00C4271E">
        <w:rPr>
          <w:rFonts w:cs="Arial"/>
          <w:lang w:val="en-CA"/>
        </w:rPr>
        <w:t>public</w:t>
      </w:r>
      <w:r w:rsidRPr="00C4271E">
        <w:rPr>
          <w:rFonts w:cs="Arial"/>
          <w:lang w:val="en-CA"/>
        </w:rPr>
        <w:t xml:space="preserve"> interest because it is a conclusion likely to cause </w:t>
      </w:r>
      <w:r w:rsidR="005F5F45" w:rsidRPr="00C4271E">
        <w:rPr>
          <w:rFonts w:cs="Arial"/>
          <w:lang w:val="en-CA"/>
        </w:rPr>
        <w:t>irreparable</w:t>
      </w:r>
      <w:r w:rsidRPr="00C4271E">
        <w:rPr>
          <w:rFonts w:cs="Arial"/>
          <w:lang w:val="en-CA"/>
        </w:rPr>
        <w:t xml:space="preserve"> harm to the Band Council (art.</w:t>
      </w:r>
      <w:r w:rsidR="00E6443C" w:rsidRPr="00C4271E">
        <w:rPr>
          <w:rFonts w:cs="Arial"/>
          <w:szCs w:val="24"/>
          <w:shd w:val="clear" w:color="auto" w:fill="FFFFFF"/>
          <w:lang w:val="en-CA"/>
        </w:rPr>
        <w:t xml:space="preserve"> </w:t>
      </w:r>
      <w:bookmarkEnd w:id="12"/>
      <w:r w:rsidRPr="00C4271E">
        <w:rPr>
          <w:rFonts w:cs="Arial"/>
          <w:szCs w:val="24"/>
          <w:shd w:val="clear" w:color="auto" w:fill="FFFFFF"/>
          <w:lang w:val="en-CA"/>
        </w:rPr>
        <w:t xml:space="preserve">31 para. 2 </w:t>
      </w:r>
      <w:r w:rsidRPr="00C4271E">
        <w:rPr>
          <w:rFonts w:cs="Arial"/>
          <w:i/>
          <w:iCs/>
          <w:szCs w:val="24"/>
          <w:shd w:val="clear" w:color="auto" w:fill="FFFFFF"/>
          <w:lang w:val="en-CA"/>
        </w:rPr>
        <w:t>C.C.P</w:t>
      </w:r>
      <w:r w:rsidRPr="00C4271E">
        <w:rPr>
          <w:rFonts w:cs="Arial"/>
          <w:szCs w:val="24"/>
          <w:shd w:val="clear" w:color="auto" w:fill="FFFFFF"/>
          <w:lang w:val="en-CA"/>
        </w:rPr>
        <w:t>.)</w:t>
      </w:r>
      <w:r w:rsidR="005F5F45" w:rsidRPr="00C4271E">
        <w:rPr>
          <w:rFonts w:cs="Arial"/>
          <w:szCs w:val="24"/>
          <w:shd w:val="clear" w:color="auto" w:fill="FFFFFF"/>
          <w:lang w:val="en-CA"/>
        </w:rPr>
        <w:t>,</w:t>
      </w:r>
      <w:r w:rsidRPr="00C4271E">
        <w:rPr>
          <w:rFonts w:cs="Arial"/>
          <w:szCs w:val="24"/>
          <w:shd w:val="clear" w:color="auto" w:fill="FFFFFF"/>
          <w:lang w:val="en-CA"/>
        </w:rPr>
        <w:t xml:space="preserve"> and that the appeal should be allowed on this issue.</w:t>
      </w:r>
    </w:p>
    <w:p w14:paraId="23247A49" w14:textId="36901A9D" w:rsidR="00540118" w:rsidRPr="00AA33C4" w:rsidRDefault="00752C19" w:rsidP="00B61572">
      <w:pPr>
        <w:pStyle w:val="Titre1"/>
        <w:keepLines/>
        <w:pageBreakBefore/>
        <w:spacing w:line="280" w:lineRule="exact"/>
        <w:rPr>
          <w:rFonts w:eastAsiaTheme="minorHAnsi"/>
          <w:lang w:val="en-CA"/>
        </w:rPr>
      </w:pPr>
      <w:r w:rsidRPr="00AA33C4">
        <w:rPr>
          <w:rFonts w:eastAsiaTheme="minorHAnsi"/>
          <w:lang w:val="en-CA"/>
        </w:rPr>
        <w:lastRenderedPageBreak/>
        <w:t>IV.</w:t>
      </w:r>
      <w:r w:rsidR="00E6443C" w:rsidRPr="00AA33C4">
        <w:rPr>
          <w:rFonts w:eastAsiaTheme="minorHAnsi"/>
          <w:lang w:val="en-CA"/>
        </w:rPr>
        <w:t xml:space="preserve"> </w:t>
      </w:r>
      <w:r w:rsidRPr="00AA33C4">
        <w:rPr>
          <w:rFonts w:eastAsiaTheme="minorHAnsi"/>
          <w:lang w:val="en-CA"/>
        </w:rPr>
        <w:t>Analysis</w:t>
      </w:r>
    </w:p>
    <w:p w14:paraId="4974037B" w14:textId="43558A75" w:rsidR="00540118" w:rsidRPr="00C4271E" w:rsidRDefault="00795261" w:rsidP="00540118">
      <w:pPr>
        <w:pStyle w:val="Paragraphe"/>
        <w:spacing w:line="240" w:lineRule="auto"/>
        <w:rPr>
          <w:lang w:val="en-CA"/>
        </w:rPr>
      </w:pPr>
      <w:r w:rsidRPr="00C4271E">
        <w:rPr>
          <w:lang w:val="en-CA"/>
        </w:rPr>
        <w:t xml:space="preserve">The appeal first raises the issue of </w:t>
      </w:r>
      <w:r w:rsidR="005F5F45" w:rsidRPr="00C4271E">
        <w:rPr>
          <w:lang w:val="en-CA"/>
        </w:rPr>
        <w:t>whether</w:t>
      </w:r>
      <w:r w:rsidRPr="00C4271E">
        <w:rPr>
          <w:lang w:val="en-CA"/>
        </w:rPr>
        <w:t xml:space="preserve"> the Superior Court has jurisdiction to hear this dispute or whether it falls under the exclusive jurisdiction of the Federal Court</w:t>
      </w:r>
      <w:r w:rsidR="005F5F45" w:rsidRPr="00C4271E">
        <w:rPr>
          <w:lang w:val="en-CA"/>
        </w:rPr>
        <w:t xml:space="preserve"> instead</w:t>
      </w:r>
      <w:r w:rsidRPr="00C4271E">
        <w:rPr>
          <w:lang w:val="en-CA"/>
        </w:rPr>
        <w:t>.</w:t>
      </w:r>
      <w:r w:rsidR="00E6443C" w:rsidRPr="00C4271E">
        <w:rPr>
          <w:lang w:val="en-CA"/>
        </w:rPr>
        <w:t xml:space="preserve"> </w:t>
      </w:r>
      <w:r w:rsidRPr="00C4271E">
        <w:rPr>
          <w:lang w:val="en-CA"/>
        </w:rPr>
        <w:t xml:space="preserve">If the Superior Court is deemed competent, this Court will then determine whether the respondents, as members of </w:t>
      </w:r>
      <w:r w:rsidR="005F5F45" w:rsidRPr="00C4271E">
        <w:rPr>
          <w:lang w:val="en-CA"/>
        </w:rPr>
        <w:t>the</w:t>
      </w:r>
      <w:r w:rsidRPr="00C4271E">
        <w:rPr>
          <w:lang w:val="en-CA"/>
        </w:rPr>
        <w:t xml:space="preserve"> First Nation, had </w:t>
      </w:r>
      <w:r w:rsidR="005F5F45" w:rsidRPr="00C4271E">
        <w:rPr>
          <w:lang w:val="en-CA"/>
        </w:rPr>
        <w:t>sufficient</w:t>
      </w:r>
      <w:r w:rsidRPr="00C4271E">
        <w:rPr>
          <w:lang w:val="en-CA"/>
        </w:rPr>
        <w:t xml:space="preserve"> interest to act in the public interest to ask the Superior Court to grant the declaratory and injunctive conclusions they sought in their originating </w:t>
      </w:r>
      <w:r w:rsidR="005F5F45" w:rsidRPr="00C4271E">
        <w:rPr>
          <w:lang w:val="en-CA"/>
        </w:rPr>
        <w:t>application</w:t>
      </w:r>
      <w:r w:rsidRPr="00C4271E">
        <w:rPr>
          <w:lang w:val="en-CA"/>
        </w:rPr>
        <w:t>.</w:t>
      </w:r>
    </w:p>
    <w:p w14:paraId="02B67209" w14:textId="4E44C8B2" w:rsidR="00540118" w:rsidRPr="00AA33C4" w:rsidRDefault="00795261" w:rsidP="00540118">
      <w:pPr>
        <w:pStyle w:val="Titre2"/>
        <w:rPr>
          <w:rFonts w:cs="Arial"/>
          <w:lang w:val="en-CA"/>
        </w:rPr>
      </w:pPr>
      <w:r w:rsidRPr="00AA33C4">
        <w:rPr>
          <w:rFonts w:eastAsiaTheme="minorHAnsi"/>
          <w:lang w:val="en-CA"/>
        </w:rPr>
        <w:t>A.</w:t>
      </w:r>
      <w:r w:rsidR="00E6443C" w:rsidRPr="00AA33C4">
        <w:rPr>
          <w:rFonts w:eastAsiaTheme="minorHAnsi"/>
          <w:lang w:val="en-CA"/>
        </w:rPr>
        <w:t xml:space="preserve"> </w:t>
      </w:r>
      <w:r w:rsidR="00841510" w:rsidRPr="00AA33C4">
        <w:rPr>
          <w:rFonts w:eastAsiaTheme="minorHAnsi"/>
          <w:lang w:val="en-CA"/>
        </w:rPr>
        <w:t>Declinatory exception</w:t>
      </w:r>
    </w:p>
    <w:p w14:paraId="2C416969" w14:textId="587EC427" w:rsidR="00540118" w:rsidRPr="00C4271E" w:rsidRDefault="005F5F45" w:rsidP="00540118">
      <w:pPr>
        <w:pStyle w:val="Paragraphe"/>
        <w:spacing w:line="240" w:lineRule="auto"/>
        <w:rPr>
          <w:lang w:val="en-CA"/>
        </w:rPr>
      </w:pPr>
      <w:r w:rsidRPr="00C4271E">
        <w:rPr>
          <w:lang w:val="en-CA"/>
        </w:rPr>
        <w:t>It is appropriate to make a</w:t>
      </w:r>
      <w:r w:rsidR="00795261" w:rsidRPr="00C4271E">
        <w:rPr>
          <w:lang w:val="en-CA"/>
        </w:rPr>
        <w:t xml:space="preserve"> few remarks before analyzing the reasons of the judgment in first instance </w:t>
      </w:r>
      <w:r w:rsidRPr="00C4271E">
        <w:rPr>
          <w:lang w:val="en-CA"/>
        </w:rPr>
        <w:t>concerning</w:t>
      </w:r>
      <w:r w:rsidR="00795261" w:rsidRPr="00C4271E">
        <w:rPr>
          <w:lang w:val="en-CA"/>
        </w:rPr>
        <w:t xml:space="preserve"> the declinatory exception.</w:t>
      </w:r>
    </w:p>
    <w:p w14:paraId="6475A614" w14:textId="0E7619AE" w:rsidR="00540118" w:rsidRPr="00C4271E" w:rsidRDefault="00795261" w:rsidP="00540118">
      <w:pPr>
        <w:pStyle w:val="Paragraphe"/>
        <w:spacing w:line="240" w:lineRule="auto"/>
        <w:rPr>
          <w:lang w:val="en-CA"/>
        </w:rPr>
      </w:pPr>
      <w:r w:rsidRPr="00C4271E">
        <w:rPr>
          <w:lang w:val="en-CA"/>
        </w:rPr>
        <w:t>First, a court of justice either has subject-matter jurisdiction</w:t>
      </w:r>
      <w:r w:rsidR="005F5F45" w:rsidRPr="00C4271E">
        <w:rPr>
          <w:lang w:val="en-CA"/>
        </w:rPr>
        <w:t>,</w:t>
      </w:r>
      <w:r w:rsidRPr="00C4271E">
        <w:rPr>
          <w:lang w:val="en-CA"/>
        </w:rPr>
        <w:t xml:space="preserve"> or it does not.</w:t>
      </w:r>
      <w:r w:rsidR="00E6443C" w:rsidRPr="00C4271E">
        <w:rPr>
          <w:lang w:val="en-CA"/>
        </w:rPr>
        <w:t xml:space="preserve"> </w:t>
      </w:r>
      <w:r w:rsidRPr="00C4271E">
        <w:rPr>
          <w:lang w:val="en-CA"/>
        </w:rPr>
        <w:t>The Superior Court, as a court of original general jurisdiction, may hear any proceeding that is not exclusively attributed to another court.</w:t>
      </w:r>
      <w:r w:rsidR="00E6443C" w:rsidRPr="00C4271E">
        <w:rPr>
          <w:lang w:val="en-CA"/>
        </w:rPr>
        <w:t xml:space="preserve"> </w:t>
      </w:r>
      <w:r w:rsidRPr="00C4271E">
        <w:rPr>
          <w:lang w:val="en-CA"/>
        </w:rPr>
        <w:t xml:space="preserve">Its inherent jurisdiction can be </w:t>
      </w:r>
      <w:r w:rsidR="00940BF6">
        <w:rPr>
          <w:lang w:val="en-CA"/>
        </w:rPr>
        <w:t>narrowed</w:t>
      </w:r>
      <w:r w:rsidRPr="00C4271E">
        <w:rPr>
          <w:lang w:val="en-CA"/>
        </w:rPr>
        <w:t xml:space="preserve"> in favour of another court only through a clear and plain statutory provision.</w:t>
      </w:r>
      <w:r w:rsidR="00E6443C" w:rsidRPr="00C4271E">
        <w:rPr>
          <w:lang w:val="en-CA"/>
        </w:rPr>
        <w:t xml:space="preserve"> </w:t>
      </w:r>
      <w:r w:rsidR="005F5F45" w:rsidRPr="00C4271E">
        <w:rPr>
          <w:lang w:val="en-CA"/>
        </w:rPr>
        <w:t>J</w:t>
      </w:r>
      <w:r w:rsidRPr="00C4271E">
        <w:rPr>
          <w:lang w:val="en-CA"/>
        </w:rPr>
        <w:t xml:space="preserve">urisdiction is assessed with regard to the parties, </w:t>
      </w:r>
      <w:r w:rsidR="00862CFF">
        <w:rPr>
          <w:lang w:val="en-CA"/>
        </w:rPr>
        <w:t xml:space="preserve">the </w:t>
      </w:r>
      <w:r w:rsidRPr="00C4271E">
        <w:rPr>
          <w:lang w:val="en-CA"/>
        </w:rPr>
        <w:t xml:space="preserve">subject in dispute, and </w:t>
      </w:r>
      <w:r w:rsidR="00862CFF">
        <w:rPr>
          <w:lang w:val="en-CA"/>
        </w:rPr>
        <w:t xml:space="preserve">the </w:t>
      </w:r>
      <w:r w:rsidRPr="00C4271E">
        <w:rPr>
          <w:lang w:val="en-CA"/>
        </w:rPr>
        <w:t>remedies sought.</w:t>
      </w:r>
      <w:r w:rsidR="00E6443C" w:rsidRPr="00C4271E">
        <w:rPr>
          <w:lang w:val="en-CA"/>
        </w:rPr>
        <w:t xml:space="preserve"> </w:t>
      </w:r>
      <w:r w:rsidRPr="00C4271E">
        <w:rPr>
          <w:lang w:val="en-CA"/>
        </w:rPr>
        <w:t xml:space="preserve">When determining whether a court has jurisdiction to hear a claim, the “essential nature of </w:t>
      </w:r>
      <w:r w:rsidR="005F5F45" w:rsidRPr="00C4271E">
        <w:rPr>
          <w:lang w:val="en-CA"/>
        </w:rPr>
        <w:t>the</w:t>
      </w:r>
      <w:r w:rsidRPr="00C4271E">
        <w:rPr>
          <w:lang w:val="en-CA"/>
        </w:rPr>
        <w:t xml:space="preserve"> claim” must be determined based on a “realistic appreciation of the practical result sought by the claimant”.</w:t>
      </w:r>
      <w:r w:rsidRPr="00AA33C4">
        <w:rPr>
          <w:vertAlign w:val="superscript"/>
          <w:lang w:val="en-CA"/>
        </w:rPr>
        <w:footnoteReference w:id="13"/>
      </w:r>
    </w:p>
    <w:p w14:paraId="1071424F" w14:textId="2416FD52" w:rsidR="00540118" w:rsidRPr="00C4271E" w:rsidRDefault="00917CA3" w:rsidP="00540118">
      <w:pPr>
        <w:pStyle w:val="Paragraphe"/>
        <w:spacing w:line="240" w:lineRule="auto"/>
        <w:rPr>
          <w:lang w:val="en-CA"/>
        </w:rPr>
      </w:pPr>
      <w:r w:rsidRPr="00C4271E">
        <w:rPr>
          <w:lang w:val="en-CA"/>
        </w:rPr>
        <w:t xml:space="preserve">This analysis of a court’s jurisdiction, in the context of a declinatory exception alleging a lack of subject-matter jurisdiction, must be </w:t>
      </w:r>
      <w:r w:rsidR="005F5F45" w:rsidRPr="00C4271E">
        <w:rPr>
          <w:lang w:val="en-CA"/>
        </w:rPr>
        <w:t>carried out</w:t>
      </w:r>
      <w:r w:rsidRPr="00C4271E">
        <w:rPr>
          <w:lang w:val="en-CA"/>
        </w:rPr>
        <w:t xml:space="preserve"> assuming the facts to be </w:t>
      </w:r>
      <w:r w:rsidR="005B3C3B" w:rsidRPr="00C4271E">
        <w:rPr>
          <w:lang w:val="en-CA"/>
        </w:rPr>
        <w:t>true</w:t>
      </w:r>
      <w:r w:rsidRPr="00C4271E">
        <w:rPr>
          <w:lang w:val="en-CA"/>
        </w:rPr>
        <w:t>, which imposes a degree of care in analyzing the ground to avoid bringing the dispute to a premature end.</w:t>
      </w:r>
      <w:r w:rsidRPr="00AA33C4">
        <w:rPr>
          <w:vertAlign w:val="superscript"/>
          <w:lang w:val="en-CA"/>
        </w:rPr>
        <w:footnoteReference w:id="14"/>
      </w:r>
    </w:p>
    <w:p w14:paraId="64097989" w14:textId="6D87D47C" w:rsidR="00540118" w:rsidRPr="00C4271E" w:rsidRDefault="00917CA3" w:rsidP="00DF74E5">
      <w:pPr>
        <w:pStyle w:val="Paragraphe"/>
        <w:spacing w:line="240" w:lineRule="auto"/>
        <w:rPr>
          <w:lang w:val="en-CA"/>
        </w:rPr>
      </w:pPr>
      <w:r w:rsidRPr="00C4271E">
        <w:rPr>
          <w:lang w:val="en-CA"/>
        </w:rPr>
        <w:t>The case law teaches that when deciding a declinatory exception based on subject-matter jurisdiction, the Court must refrain from relying on a party’s characterization of the claim, which may be a “thin pretence”</w:t>
      </w:r>
      <w:bookmarkStart w:id="13" w:name="_Ref177561679"/>
      <w:r w:rsidRPr="00AA33C4">
        <w:rPr>
          <w:rStyle w:val="Appelnotedebasdep"/>
          <w:lang w:val="en-CA"/>
        </w:rPr>
        <w:footnoteReference w:id="15"/>
      </w:r>
      <w:bookmarkEnd w:id="13"/>
      <w:r w:rsidRPr="00C4271E">
        <w:rPr>
          <w:lang w:val="en-CA"/>
        </w:rPr>
        <w:t xml:space="preserve"> to a claim over which the Court has jurisdiction. </w:t>
      </w:r>
    </w:p>
    <w:p w14:paraId="5A885662" w14:textId="6AAD6DAB" w:rsidR="00540118" w:rsidRPr="00C4271E" w:rsidRDefault="00917CA3" w:rsidP="00B61572">
      <w:pPr>
        <w:pStyle w:val="Paragraphe"/>
        <w:keepNext/>
        <w:keepLines/>
        <w:spacing w:line="240" w:lineRule="auto"/>
        <w:rPr>
          <w:lang w:val="en-CA"/>
        </w:rPr>
      </w:pPr>
      <w:r w:rsidRPr="00C4271E">
        <w:rPr>
          <w:lang w:val="en-CA"/>
        </w:rPr>
        <w:lastRenderedPageBreak/>
        <w:t>The state of the law is clear in this regard.</w:t>
      </w:r>
      <w:r w:rsidR="00E6443C" w:rsidRPr="00C4271E">
        <w:rPr>
          <w:lang w:val="en-CA"/>
        </w:rPr>
        <w:t xml:space="preserve"> </w:t>
      </w:r>
      <w:r w:rsidRPr="00C4271E">
        <w:rPr>
          <w:lang w:val="en-CA"/>
        </w:rPr>
        <w:t xml:space="preserve">It is not the characterization of the proceeding by a party that determines the jurisdiction of a court, but rather the essential </w:t>
      </w:r>
      <w:r w:rsidR="007E39C7" w:rsidRPr="00C4271E">
        <w:rPr>
          <w:lang w:val="en-CA"/>
        </w:rPr>
        <w:t>nature</w:t>
      </w:r>
      <w:r w:rsidRPr="00C4271E">
        <w:rPr>
          <w:lang w:val="en-CA"/>
        </w:rPr>
        <w:t xml:space="preserve"> of the dispute.</w:t>
      </w:r>
      <w:r w:rsidR="00E6443C" w:rsidRPr="00C4271E">
        <w:rPr>
          <w:lang w:val="en-CA"/>
        </w:rPr>
        <w:t xml:space="preserve"> </w:t>
      </w:r>
      <w:r w:rsidRPr="00C4271E">
        <w:rPr>
          <w:lang w:val="en-CA"/>
        </w:rPr>
        <w:t xml:space="preserve">In the leading case </w:t>
      </w:r>
      <w:r w:rsidRPr="00C4271E">
        <w:rPr>
          <w:i/>
          <w:lang w:val="en-CA"/>
        </w:rPr>
        <w:t>Webec v. Ontario Hydro</w:t>
      </w:r>
      <w:r w:rsidRPr="00C4271E">
        <w:rPr>
          <w:lang w:val="en-CA"/>
        </w:rPr>
        <w:t>,</w:t>
      </w:r>
      <w:r w:rsidRPr="00AA33C4">
        <w:rPr>
          <w:sz w:val="22"/>
          <w:szCs w:val="22"/>
          <w:vertAlign w:val="superscript"/>
          <w:lang w:val="en-CA"/>
        </w:rPr>
        <w:footnoteReference w:id="16"/>
      </w:r>
      <w:r w:rsidRPr="00C4271E">
        <w:rPr>
          <w:sz w:val="22"/>
          <w:szCs w:val="22"/>
          <w:lang w:val="en-CA"/>
        </w:rPr>
        <w:t xml:space="preserve"> </w:t>
      </w:r>
      <w:r w:rsidRPr="00AA33C4">
        <w:rPr>
          <w:lang w:val="en-CA"/>
        </w:rPr>
        <w:t xml:space="preserve">the Supreme Court favoured a two-step analysis to </w:t>
      </w:r>
      <w:r w:rsidR="007E39C7" w:rsidRPr="00AA33C4">
        <w:rPr>
          <w:lang w:val="en-CA"/>
        </w:rPr>
        <w:t>identify</w:t>
      </w:r>
      <w:r w:rsidRPr="00AA33C4">
        <w:rPr>
          <w:lang w:val="en-CA"/>
        </w:rPr>
        <w:t xml:space="preserve"> the </w:t>
      </w:r>
      <w:r w:rsidR="00940BF6">
        <w:rPr>
          <w:lang w:val="en-CA"/>
        </w:rPr>
        <w:t>c</w:t>
      </w:r>
      <w:r w:rsidRPr="00AA33C4">
        <w:rPr>
          <w:lang w:val="en-CA"/>
        </w:rPr>
        <w:t>ourt with the jurisdiction to decide a dispute</w:t>
      </w:r>
      <w:r w:rsidRPr="00AA33C4">
        <w:rPr>
          <w:szCs w:val="24"/>
          <w:lang w:val="en-CA"/>
        </w:rPr>
        <w:t>.</w:t>
      </w:r>
      <w:bookmarkStart w:id="14" w:name="_Ref87442947"/>
      <w:r w:rsidRPr="00AA33C4">
        <w:rPr>
          <w:rFonts w:cs="Arial"/>
          <w:sz w:val="22"/>
          <w:szCs w:val="22"/>
          <w:vertAlign w:val="superscript"/>
          <w:lang w:val="en-CA"/>
        </w:rPr>
        <w:footnoteReference w:id="17"/>
      </w:r>
      <w:bookmarkEnd w:id="14"/>
      <w:r w:rsidRPr="00C4271E">
        <w:rPr>
          <w:lang w:val="en-CA"/>
        </w:rPr>
        <w:t xml:space="preserve"> The first step involves an examination of the statutory provisions at issue, in particular those dealing with jurisdiction, and the second step consists of identifying the </w:t>
      </w:r>
      <w:r w:rsidR="007E39C7" w:rsidRPr="00C4271E">
        <w:rPr>
          <w:lang w:val="en-CA"/>
        </w:rPr>
        <w:t>essential</w:t>
      </w:r>
      <w:r w:rsidRPr="00C4271E">
        <w:rPr>
          <w:lang w:val="en-CA"/>
        </w:rPr>
        <w:t xml:space="preserve"> </w:t>
      </w:r>
      <w:r w:rsidR="007E39C7" w:rsidRPr="00C4271E">
        <w:rPr>
          <w:lang w:val="en-CA"/>
        </w:rPr>
        <w:t>nature</w:t>
      </w:r>
      <w:r w:rsidRPr="00C4271E">
        <w:rPr>
          <w:lang w:val="en-CA"/>
        </w:rPr>
        <w:t xml:space="preserve"> of the dispute by examining not the applicant’s legal characterization thereof, but its context, assuming the facts alleged to be true.</w:t>
      </w:r>
    </w:p>
    <w:p w14:paraId="3B66D0BB" w14:textId="3C5F8A26" w:rsidR="00540118" w:rsidRPr="00C4271E" w:rsidRDefault="00E6443C" w:rsidP="00540118">
      <w:pPr>
        <w:pStyle w:val="Titre4"/>
        <w:rPr>
          <w:lang w:val="en-CA"/>
        </w:rPr>
      </w:pPr>
      <w:r w:rsidRPr="00C4271E">
        <w:rPr>
          <w:lang w:val="en-CA"/>
        </w:rPr>
        <w:t xml:space="preserve">1. </w:t>
      </w:r>
      <w:r w:rsidR="007E39C7" w:rsidRPr="00C4271E">
        <w:rPr>
          <w:lang w:val="en-CA"/>
        </w:rPr>
        <w:t xml:space="preserve">First step: examination of the statutory provisions </w:t>
      </w:r>
    </w:p>
    <w:p w14:paraId="72627BAF" w14:textId="6C6206DA" w:rsidR="00540118" w:rsidRPr="00C4271E" w:rsidRDefault="00E1758A" w:rsidP="00540118">
      <w:pPr>
        <w:pStyle w:val="Paragraphe"/>
        <w:spacing w:line="240" w:lineRule="auto"/>
        <w:rPr>
          <w:lang w:val="en-CA"/>
        </w:rPr>
      </w:pPr>
      <w:r w:rsidRPr="00C4271E">
        <w:rPr>
          <w:kern w:val="24"/>
          <w:szCs w:val="24"/>
          <w:lang w:val="en-CA"/>
        </w:rPr>
        <w:t xml:space="preserve">Section 18 of the </w:t>
      </w:r>
      <w:r w:rsidR="004C3E30" w:rsidRPr="00D929C5">
        <w:rPr>
          <w:i/>
          <w:iCs/>
          <w:kern w:val="24"/>
          <w:szCs w:val="24"/>
          <w:lang w:val="en-CA"/>
        </w:rPr>
        <w:t>F.C. Act</w:t>
      </w:r>
      <w:r w:rsidRPr="00C4271E">
        <w:rPr>
          <w:kern w:val="24"/>
          <w:szCs w:val="24"/>
          <w:lang w:val="en-CA"/>
        </w:rPr>
        <w:t xml:space="preserve"> </w:t>
      </w:r>
      <w:r w:rsidR="00743A80" w:rsidRPr="00C4271E">
        <w:rPr>
          <w:kern w:val="24"/>
          <w:szCs w:val="24"/>
          <w:lang w:val="en-CA"/>
        </w:rPr>
        <w:t>confers</w:t>
      </w:r>
      <w:r w:rsidRPr="00C4271E">
        <w:rPr>
          <w:kern w:val="24"/>
          <w:szCs w:val="24"/>
          <w:lang w:val="en-CA"/>
        </w:rPr>
        <w:t xml:space="preserve"> </w:t>
      </w:r>
      <w:r w:rsidR="00302F8D" w:rsidRPr="00C4271E">
        <w:rPr>
          <w:kern w:val="24"/>
          <w:szCs w:val="24"/>
          <w:lang w:val="en-CA"/>
        </w:rPr>
        <w:t xml:space="preserve">exclusive jurisdiction </w:t>
      </w:r>
      <w:r w:rsidRPr="00C4271E">
        <w:rPr>
          <w:kern w:val="24"/>
          <w:szCs w:val="24"/>
          <w:lang w:val="en-CA"/>
        </w:rPr>
        <w:t xml:space="preserve">upon the Federal Court to order an injunction against a </w:t>
      </w:r>
      <w:r w:rsidR="00A4767E" w:rsidRPr="00C4271E">
        <w:rPr>
          <w:kern w:val="24"/>
          <w:szCs w:val="24"/>
          <w:lang w:val="en-CA"/>
        </w:rPr>
        <w:t>federal board, commission or other tribunal</w:t>
      </w:r>
      <w:r w:rsidRPr="00C4271E">
        <w:rPr>
          <w:kern w:val="24"/>
          <w:szCs w:val="24"/>
          <w:lang w:val="en-CA"/>
        </w:rPr>
        <w:t xml:space="preserve"> when the injunctive relief is brought by way of an application for judicial review, in accordance with section 18.1(1): </w:t>
      </w:r>
    </w:p>
    <w:tbl>
      <w:tblPr>
        <w:tblW w:w="0" w:type="auto"/>
        <w:tblCellMar>
          <w:left w:w="70" w:type="dxa"/>
          <w:right w:w="70" w:type="dxa"/>
        </w:tblCellMar>
        <w:tblLook w:val="0000" w:firstRow="0" w:lastRow="0" w:firstColumn="0" w:lastColumn="0" w:noHBand="0" w:noVBand="0"/>
      </w:tblPr>
      <w:tblGrid>
        <w:gridCol w:w="4675"/>
        <w:gridCol w:w="4687"/>
      </w:tblGrid>
      <w:tr w:rsidR="00243820" w:rsidRPr="00075953" w14:paraId="04556407" w14:textId="77777777" w:rsidTr="00140899">
        <w:tc>
          <w:tcPr>
            <w:tcW w:w="4751" w:type="dxa"/>
          </w:tcPr>
          <w:p w14:paraId="472FDC0A" w14:textId="38D360C5" w:rsidR="00540118" w:rsidRDefault="00E1758A" w:rsidP="00140899">
            <w:pPr>
              <w:spacing w:before="120"/>
              <w:ind w:left="720" w:right="142"/>
              <w:jc w:val="both"/>
              <w:rPr>
                <w:rFonts w:cs="Arial"/>
                <w:bCs/>
                <w:sz w:val="22"/>
                <w:szCs w:val="22"/>
                <w:lang w:val="en-CA"/>
              </w:rPr>
            </w:pPr>
            <w:r w:rsidRPr="00C4271E">
              <w:rPr>
                <w:rFonts w:cs="Arial"/>
                <w:b/>
                <w:bCs/>
                <w:sz w:val="22"/>
                <w:szCs w:val="22"/>
                <w:lang w:val="en-CA"/>
              </w:rPr>
              <w:t>18(1)</w:t>
            </w:r>
            <w:r w:rsidRPr="00C4271E">
              <w:rPr>
                <w:rFonts w:cs="Arial"/>
                <w:bCs/>
                <w:sz w:val="22"/>
                <w:szCs w:val="22"/>
                <w:lang w:val="en-CA"/>
              </w:rPr>
              <w:t xml:space="preserve"> Subject to section 28, the Federal Court has exclusive original jurisdiction</w:t>
            </w:r>
          </w:p>
          <w:p w14:paraId="04F0DDEF" w14:textId="77777777" w:rsidR="00540118" w:rsidRPr="00C4271E" w:rsidRDefault="00540118" w:rsidP="00540118">
            <w:pPr>
              <w:ind w:left="720" w:right="142"/>
              <w:jc w:val="both"/>
              <w:rPr>
                <w:rFonts w:cs="Arial"/>
                <w:sz w:val="22"/>
                <w:szCs w:val="22"/>
                <w:lang w:val="en-CA"/>
              </w:rPr>
            </w:pPr>
          </w:p>
          <w:p w14:paraId="59DDF9CB" w14:textId="77777777" w:rsidR="00743A80" w:rsidRPr="00C4271E" w:rsidRDefault="00743A80" w:rsidP="0033037C">
            <w:pPr>
              <w:pStyle w:val="Paragraphedeliste"/>
              <w:numPr>
                <w:ilvl w:val="0"/>
                <w:numId w:val="30"/>
              </w:numPr>
              <w:ind w:right="142"/>
              <w:rPr>
                <w:rFonts w:cs="Arial"/>
                <w:sz w:val="22"/>
                <w:szCs w:val="22"/>
                <w:lang w:val="en-CA"/>
              </w:rPr>
            </w:pPr>
            <w:r w:rsidRPr="00C4271E">
              <w:rPr>
                <w:rFonts w:cs="Arial"/>
                <w:sz w:val="22"/>
                <w:szCs w:val="22"/>
                <w:u w:val="single"/>
                <w:lang w:val="en-CA"/>
              </w:rPr>
              <w:t>to issue an injunction</w:t>
            </w:r>
            <w:r w:rsidRPr="00C4271E">
              <w:rPr>
                <w:rFonts w:cs="Arial"/>
                <w:sz w:val="22"/>
                <w:szCs w:val="22"/>
                <w:lang w:val="en-CA"/>
              </w:rPr>
              <w:t>, writ of </w:t>
            </w:r>
            <w:r w:rsidRPr="00AA33C4">
              <w:rPr>
                <w:rFonts w:cs="Arial"/>
                <w:i/>
                <w:iCs/>
                <w:sz w:val="22"/>
                <w:szCs w:val="22"/>
                <w:lang w:val="en-CA"/>
              </w:rPr>
              <w:t>certiorari</w:t>
            </w:r>
            <w:r w:rsidRPr="00C4271E">
              <w:rPr>
                <w:rFonts w:cs="Arial"/>
                <w:sz w:val="22"/>
                <w:szCs w:val="22"/>
                <w:lang w:val="en-CA"/>
              </w:rPr>
              <w:t>, writ of prohibition, writ of </w:t>
            </w:r>
            <w:r w:rsidRPr="00AA33C4">
              <w:rPr>
                <w:rFonts w:cs="Arial"/>
                <w:i/>
                <w:iCs/>
                <w:sz w:val="22"/>
                <w:szCs w:val="22"/>
                <w:lang w:val="en-CA"/>
              </w:rPr>
              <w:t>mandamus</w:t>
            </w:r>
            <w:r w:rsidRPr="00C4271E">
              <w:rPr>
                <w:rFonts w:cs="Arial"/>
                <w:sz w:val="22"/>
                <w:szCs w:val="22"/>
                <w:lang w:val="en-CA"/>
              </w:rPr>
              <w:t> or writ of </w:t>
            </w:r>
            <w:r w:rsidRPr="00AA33C4">
              <w:rPr>
                <w:rFonts w:cs="Arial"/>
                <w:i/>
                <w:iCs/>
                <w:sz w:val="22"/>
                <w:szCs w:val="22"/>
                <w:lang w:val="en-CA"/>
              </w:rPr>
              <w:t>quo warranto</w:t>
            </w:r>
            <w:r w:rsidRPr="00C4271E">
              <w:rPr>
                <w:rFonts w:cs="Arial"/>
                <w:sz w:val="22"/>
                <w:szCs w:val="22"/>
                <w:lang w:val="en-CA"/>
              </w:rPr>
              <w:t xml:space="preserve">, or </w:t>
            </w:r>
            <w:r w:rsidRPr="00C4271E">
              <w:rPr>
                <w:rFonts w:cs="Arial"/>
                <w:sz w:val="22"/>
                <w:szCs w:val="22"/>
                <w:u w:val="single"/>
                <w:lang w:val="en-CA"/>
              </w:rPr>
              <w:t>grant declaratory relief, against any federal board, commission or other tribunal</w:t>
            </w:r>
            <w:r w:rsidRPr="00C4271E">
              <w:rPr>
                <w:rFonts w:cs="Arial"/>
                <w:sz w:val="22"/>
                <w:szCs w:val="22"/>
                <w:lang w:val="en-CA"/>
              </w:rPr>
              <w:t>; and</w:t>
            </w:r>
          </w:p>
          <w:p w14:paraId="1FA3C23B" w14:textId="77777777" w:rsidR="00743A80" w:rsidRPr="00C4271E" w:rsidRDefault="00743A80" w:rsidP="00743A80">
            <w:pPr>
              <w:pStyle w:val="Paragraphedeliste"/>
              <w:ind w:left="1080" w:right="142"/>
              <w:rPr>
                <w:rFonts w:cs="Arial"/>
                <w:sz w:val="22"/>
                <w:szCs w:val="22"/>
                <w:lang w:val="en-CA"/>
              </w:rPr>
            </w:pPr>
          </w:p>
          <w:p w14:paraId="6E06CA93" w14:textId="7C6C17E7" w:rsidR="00540118" w:rsidRPr="00C4271E" w:rsidRDefault="00E1758A" w:rsidP="0033037C">
            <w:pPr>
              <w:pStyle w:val="Paragraphedeliste"/>
              <w:numPr>
                <w:ilvl w:val="0"/>
                <w:numId w:val="30"/>
              </w:numPr>
              <w:ind w:right="142"/>
              <w:rPr>
                <w:rFonts w:cs="Arial"/>
                <w:sz w:val="22"/>
                <w:szCs w:val="22"/>
                <w:lang w:val="en-CA"/>
              </w:rPr>
            </w:pPr>
            <w:r w:rsidRPr="00C4271E">
              <w:rPr>
                <w:rFonts w:cs="Arial"/>
                <w:sz w:val="22"/>
                <w:szCs w:val="22"/>
                <w:lang w:val="en-CA"/>
              </w:rPr>
              <w:t>to hear and determine any application or other proceeding for relief in the nature of relief contemplated by paragraph (a), including any proceeding brought against the Attorney General of Canada, to obtain relief against a federal board, commission or other tribunal.</w:t>
            </w:r>
          </w:p>
          <w:p w14:paraId="1F7D8822" w14:textId="77777777" w:rsidR="00540118" w:rsidRPr="00C4271E" w:rsidRDefault="00540118" w:rsidP="00140899">
            <w:pPr>
              <w:ind w:left="720" w:right="142"/>
              <w:jc w:val="both"/>
              <w:rPr>
                <w:rFonts w:cs="Arial"/>
                <w:sz w:val="22"/>
                <w:szCs w:val="22"/>
                <w:lang w:val="en-CA"/>
              </w:rPr>
            </w:pPr>
          </w:p>
          <w:p w14:paraId="4C619B21" w14:textId="77777777" w:rsidR="00B61572" w:rsidRPr="00C4271E" w:rsidRDefault="00B61572" w:rsidP="00140899">
            <w:pPr>
              <w:ind w:left="720" w:right="142"/>
              <w:jc w:val="both"/>
              <w:rPr>
                <w:rFonts w:cs="Arial"/>
                <w:sz w:val="22"/>
                <w:szCs w:val="22"/>
                <w:lang w:val="en-CA"/>
              </w:rPr>
            </w:pPr>
          </w:p>
          <w:p w14:paraId="24A5E262" w14:textId="7228BA3C" w:rsidR="00540118" w:rsidRPr="00C4271E" w:rsidRDefault="00E6443C" w:rsidP="00140899">
            <w:pPr>
              <w:ind w:left="720" w:right="142"/>
              <w:jc w:val="both"/>
              <w:rPr>
                <w:rFonts w:cs="Arial"/>
                <w:sz w:val="22"/>
                <w:szCs w:val="22"/>
                <w:lang w:val="en-CA"/>
              </w:rPr>
            </w:pPr>
            <w:r w:rsidRPr="00C4271E">
              <w:rPr>
                <w:rFonts w:cs="Arial"/>
                <w:sz w:val="22"/>
                <w:szCs w:val="22"/>
                <w:lang w:val="en-CA"/>
              </w:rPr>
              <w:t>[…]</w:t>
            </w:r>
          </w:p>
          <w:p w14:paraId="0AEA8639" w14:textId="77777777" w:rsidR="00540118" w:rsidRPr="00C4271E" w:rsidRDefault="00540118" w:rsidP="00140899">
            <w:pPr>
              <w:ind w:left="720" w:right="142"/>
              <w:jc w:val="both"/>
              <w:rPr>
                <w:rFonts w:cs="Arial"/>
                <w:sz w:val="22"/>
                <w:szCs w:val="22"/>
                <w:lang w:val="en-CA"/>
              </w:rPr>
            </w:pPr>
          </w:p>
          <w:p w14:paraId="622BEA28" w14:textId="14049546" w:rsidR="00540118" w:rsidRPr="00C4271E" w:rsidRDefault="00E6443C" w:rsidP="00B61572">
            <w:pPr>
              <w:spacing w:after="120"/>
              <w:ind w:left="720" w:right="142"/>
              <w:jc w:val="both"/>
              <w:rPr>
                <w:rFonts w:cs="Arial"/>
                <w:sz w:val="22"/>
                <w:szCs w:val="22"/>
                <w:lang w:val="en-CA"/>
              </w:rPr>
            </w:pPr>
            <w:r w:rsidRPr="00C4271E">
              <w:rPr>
                <w:rFonts w:cs="Arial"/>
                <w:b/>
                <w:bCs/>
                <w:sz w:val="22"/>
                <w:szCs w:val="22"/>
                <w:lang w:val="en-CA"/>
              </w:rPr>
              <w:lastRenderedPageBreak/>
              <w:t>(3)</w:t>
            </w:r>
            <w:r w:rsidRPr="00C4271E">
              <w:rPr>
                <w:rFonts w:cs="Arial"/>
                <w:sz w:val="22"/>
                <w:szCs w:val="22"/>
                <w:lang w:val="en-CA"/>
              </w:rPr>
              <w:t xml:space="preserve"> </w:t>
            </w:r>
            <w:r w:rsidR="00E1758A" w:rsidRPr="00C4271E">
              <w:rPr>
                <w:rFonts w:cs="Arial"/>
                <w:sz w:val="22"/>
                <w:szCs w:val="22"/>
                <w:lang w:val="en-CA"/>
              </w:rPr>
              <w:t xml:space="preserve">The remedies provided for in subsections (1) and (2) may be obtained only </w:t>
            </w:r>
            <w:r w:rsidR="00F9682E" w:rsidRPr="00C4271E">
              <w:rPr>
                <w:rFonts w:cs="Arial"/>
                <w:sz w:val="22"/>
                <w:szCs w:val="22"/>
                <w:u w:val="single"/>
                <w:lang w:val="en-CA"/>
              </w:rPr>
              <w:t>on an application for judicial review</w:t>
            </w:r>
            <w:r w:rsidR="00F9682E" w:rsidRPr="00302F8D">
              <w:rPr>
                <w:rFonts w:cs="Arial"/>
                <w:sz w:val="22"/>
                <w:szCs w:val="22"/>
                <w:lang w:val="en-CA"/>
              </w:rPr>
              <w:t xml:space="preserve"> made under </w:t>
            </w:r>
            <w:r w:rsidR="00640670" w:rsidRPr="003572C4">
              <w:rPr>
                <w:lang w:val="en-CA"/>
              </w:rPr>
              <w:t>section 18.1</w:t>
            </w:r>
            <w:r w:rsidR="00F9682E" w:rsidRPr="00C4271E">
              <w:rPr>
                <w:rFonts w:cs="Arial"/>
                <w:sz w:val="22"/>
                <w:szCs w:val="22"/>
                <w:lang w:val="en-CA"/>
              </w:rPr>
              <w:t>.</w:t>
            </w:r>
          </w:p>
        </w:tc>
        <w:tc>
          <w:tcPr>
            <w:tcW w:w="4751" w:type="dxa"/>
          </w:tcPr>
          <w:p w14:paraId="49C2FC3D" w14:textId="5CBF290D" w:rsidR="00540118" w:rsidRPr="002E5FCA" w:rsidRDefault="00E6443C" w:rsidP="0033037C">
            <w:pPr>
              <w:spacing w:before="120"/>
              <w:ind w:left="720" w:right="142"/>
              <w:jc w:val="both"/>
              <w:rPr>
                <w:rFonts w:cs="Arial"/>
                <w:sz w:val="22"/>
                <w:szCs w:val="22"/>
              </w:rPr>
            </w:pPr>
            <w:r w:rsidRPr="002E5FCA">
              <w:rPr>
                <w:rFonts w:cs="Arial"/>
                <w:sz w:val="22"/>
                <w:szCs w:val="22"/>
              </w:rPr>
              <w:lastRenderedPageBreak/>
              <w:t xml:space="preserve">18(1) </w:t>
            </w:r>
            <w:r w:rsidR="0033037C" w:rsidRPr="002E5FCA">
              <w:rPr>
                <w:rFonts w:cs="Arial"/>
                <w:sz w:val="22"/>
                <w:szCs w:val="22"/>
              </w:rPr>
              <w:t>Sous réserve de l’</w:t>
            </w:r>
            <w:hyperlink r:id="rId8" w:anchor="art28_smooth" w:history="1">
              <w:r w:rsidR="0033037C" w:rsidRPr="00AA33C4">
                <w:rPr>
                  <w:rFonts w:cs="Arial"/>
                  <w:sz w:val="22"/>
                  <w:szCs w:val="22"/>
                </w:rPr>
                <w:t>article 28</w:t>
              </w:r>
            </w:hyperlink>
            <w:r w:rsidR="0033037C" w:rsidRPr="002E5FCA">
              <w:rPr>
                <w:rFonts w:cs="Arial"/>
                <w:sz w:val="22"/>
                <w:szCs w:val="22"/>
              </w:rPr>
              <w:t>, la Cour fédérale a compétence exclusive, en première instance, pour :</w:t>
            </w:r>
          </w:p>
          <w:p w14:paraId="46B3935A" w14:textId="77777777" w:rsidR="00540118" w:rsidRPr="002E5FCA" w:rsidRDefault="00540118" w:rsidP="00140899">
            <w:pPr>
              <w:ind w:left="144" w:right="720"/>
              <w:jc w:val="both"/>
              <w:rPr>
                <w:rFonts w:cs="Arial"/>
                <w:sz w:val="22"/>
                <w:szCs w:val="22"/>
              </w:rPr>
            </w:pPr>
          </w:p>
          <w:p w14:paraId="3FED0EE5" w14:textId="577160E9" w:rsidR="00540118" w:rsidRPr="00AA33C4" w:rsidRDefault="0033037C" w:rsidP="0033037C">
            <w:pPr>
              <w:pStyle w:val="Paragraphedeliste"/>
              <w:numPr>
                <w:ilvl w:val="0"/>
                <w:numId w:val="29"/>
              </w:numPr>
              <w:ind w:right="720"/>
              <w:rPr>
                <w:rFonts w:cs="Arial"/>
                <w:sz w:val="22"/>
                <w:szCs w:val="22"/>
                <w:lang w:val="fr-CA"/>
              </w:rPr>
            </w:pPr>
            <w:r w:rsidRPr="00AA33C4">
              <w:rPr>
                <w:rFonts w:cs="Arial"/>
                <w:sz w:val="22"/>
                <w:szCs w:val="22"/>
                <w:u w:val="single"/>
                <w:lang w:val="fr-CA"/>
              </w:rPr>
              <w:t>décerner une injonction, un bref de </w:t>
            </w:r>
            <w:r w:rsidRPr="00AA33C4">
              <w:rPr>
                <w:rFonts w:cs="Arial"/>
                <w:i/>
                <w:iCs/>
                <w:sz w:val="22"/>
                <w:szCs w:val="22"/>
                <w:u w:val="single"/>
                <w:lang w:val="fr-CA"/>
              </w:rPr>
              <w:t>certiorari</w:t>
            </w:r>
            <w:r w:rsidRPr="00AA33C4">
              <w:rPr>
                <w:rFonts w:cs="Arial"/>
                <w:sz w:val="22"/>
                <w:szCs w:val="22"/>
                <w:u w:val="single"/>
                <w:lang w:val="fr-CA"/>
              </w:rPr>
              <w:t>, de </w:t>
            </w:r>
            <w:r w:rsidRPr="00AA33C4">
              <w:rPr>
                <w:rFonts w:cs="Arial"/>
                <w:i/>
                <w:iCs/>
                <w:sz w:val="22"/>
                <w:szCs w:val="22"/>
                <w:u w:val="single"/>
                <w:lang w:val="fr-CA"/>
              </w:rPr>
              <w:t>mandamus</w:t>
            </w:r>
            <w:r w:rsidRPr="00AA33C4">
              <w:rPr>
                <w:rFonts w:cs="Arial"/>
                <w:sz w:val="22"/>
                <w:szCs w:val="22"/>
                <w:u w:val="single"/>
                <w:lang w:val="fr-CA"/>
              </w:rPr>
              <w:t>, de prohibition ou de </w:t>
            </w:r>
            <w:r w:rsidRPr="00AA33C4">
              <w:rPr>
                <w:rFonts w:cs="Arial"/>
                <w:i/>
                <w:iCs/>
                <w:sz w:val="22"/>
                <w:szCs w:val="22"/>
                <w:u w:val="single"/>
                <w:lang w:val="fr-CA"/>
              </w:rPr>
              <w:t>quo warranto</w:t>
            </w:r>
            <w:r w:rsidRPr="00AA33C4">
              <w:rPr>
                <w:rFonts w:cs="Arial"/>
                <w:sz w:val="22"/>
                <w:szCs w:val="22"/>
                <w:u w:val="single"/>
                <w:lang w:val="fr-CA"/>
              </w:rPr>
              <w:t>, ou pour rendre un jugement déclaratoire contre tout office fédéral;</w:t>
            </w:r>
          </w:p>
          <w:p w14:paraId="24CFBC54" w14:textId="77777777" w:rsidR="00743A80" w:rsidRPr="00AA33C4" w:rsidRDefault="00743A80" w:rsidP="00743A80">
            <w:pPr>
              <w:pStyle w:val="Paragraphedeliste"/>
              <w:ind w:left="924" w:right="720"/>
              <w:rPr>
                <w:rFonts w:cs="Arial"/>
                <w:sz w:val="22"/>
                <w:szCs w:val="22"/>
                <w:lang w:val="fr-CA"/>
              </w:rPr>
            </w:pPr>
          </w:p>
          <w:p w14:paraId="3C490C73" w14:textId="77777777" w:rsidR="0033037C" w:rsidRPr="00402233" w:rsidRDefault="0033037C" w:rsidP="0033037C">
            <w:pPr>
              <w:pStyle w:val="Paragraphedeliste"/>
              <w:numPr>
                <w:ilvl w:val="0"/>
                <w:numId w:val="29"/>
              </w:numPr>
              <w:ind w:right="720"/>
              <w:rPr>
                <w:rFonts w:cs="Arial"/>
                <w:sz w:val="22"/>
                <w:szCs w:val="22"/>
                <w:lang w:val="fr-CA"/>
              </w:rPr>
            </w:pPr>
            <w:r w:rsidRPr="00AA33C4">
              <w:rPr>
                <w:rFonts w:cs="Arial"/>
                <w:sz w:val="22"/>
                <w:szCs w:val="22"/>
                <w:lang w:val="fr-CA"/>
              </w:rPr>
              <w:t>connaître de toute demande de réparation de la nature visée par l’alinéa a), et notamment de toute procédure engagée contre le procureur général du Canada afin d’obtenir réparation de la part d’un office fédéral.</w:t>
            </w:r>
          </w:p>
          <w:p w14:paraId="35F4EEFA" w14:textId="77777777" w:rsidR="0033037C" w:rsidRPr="00402233" w:rsidRDefault="0033037C" w:rsidP="0033037C">
            <w:pPr>
              <w:ind w:right="720"/>
              <w:rPr>
                <w:rFonts w:cs="Arial"/>
                <w:sz w:val="22"/>
                <w:szCs w:val="22"/>
              </w:rPr>
            </w:pPr>
          </w:p>
          <w:p w14:paraId="1F3E04AB" w14:textId="5078B4DC" w:rsidR="00540118" w:rsidRPr="00402233" w:rsidRDefault="00E6443C" w:rsidP="0033037C">
            <w:pPr>
              <w:ind w:right="720"/>
              <w:rPr>
                <w:rFonts w:cs="Arial"/>
                <w:sz w:val="22"/>
                <w:szCs w:val="22"/>
              </w:rPr>
            </w:pPr>
            <w:r w:rsidRPr="00402233">
              <w:rPr>
                <w:rFonts w:cs="Arial"/>
                <w:sz w:val="22"/>
                <w:szCs w:val="22"/>
              </w:rPr>
              <w:t>[…]</w:t>
            </w:r>
          </w:p>
          <w:p w14:paraId="2945D157" w14:textId="77777777" w:rsidR="00540118" w:rsidRPr="00402233" w:rsidRDefault="00540118" w:rsidP="00140899">
            <w:pPr>
              <w:ind w:right="720"/>
              <w:jc w:val="both"/>
              <w:rPr>
                <w:rFonts w:cs="Arial"/>
                <w:sz w:val="22"/>
                <w:szCs w:val="22"/>
              </w:rPr>
            </w:pPr>
          </w:p>
          <w:p w14:paraId="767CB970" w14:textId="17A2DE23" w:rsidR="00540118" w:rsidRPr="00402233" w:rsidRDefault="00E6443C" w:rsidP="00140899">
            <w:pPr>
              <w:spacing w:after="120"/>
              <w:ind w:left="144" w:right="720"/>
              <w:jc w:val="both"/>
              <w:rPr>
                <w:rFonts w:cs="Arial"/>
                <w:sz w:val="22"/>
                <w:szCs w:val="22"/>
              </w:rPr>
            </w:pPr>
            <w:r w:rsidRPr="00402233">
              <w:rPr>
                <w:rFonts w:cs="Arial"/>
                <w:b/>
                <w:bCs/>
                <w:sz w:val="22"/>
                <w:szCs w:val="22"/>
              </w:rPr>
              <w:lastRenderedPageBreak/>
              <w:t>(3)</w:t>
            </w:r>
            <w:r w:rsidRPr="00402233">
              <w:rPr>
                <w:rFonts w:cs="Arial"/>
                <w:sz w:val="22"/>
                <w:szCs w:val="22"/>
              </w:rPr>
              <w:t xml:space="preserve"> </w:t>
            </w:r>
            <w:r w:rsidR="0033037C" w:rsidRPr="00402233">
              <w:rPr>
                <w:rFonts w:cs="Arial"/>
                <w:sz w:val="22"/>
                <w:szCs w:val="22"/>
              </w:rPr>
              <w:t xml:space="preserve">Les recours prévus aux paragraphes (1) ou (2) sont exercés </w:t>
            </w:r>
            <w:r w:rsidR="0033037C" w:rsidRPr="00402233">
              <w:rPr>
                <w:rFonts w:cs="Arial"/>
                <w:sz w:val="22"/>
                <w:szCs w:val="22"/>
                <w:u w:val="single"/>
              </w:rPr>
              <w:t>par présentation d’une demande de contrôle judiciaire</w:t>
            </w:r>
            <w:r w:rsidR="0033037C" w:rsidRPr="00402233">
              <w:rPr>
                <w:rFonts w:cs="Arial"/>
                <w:sz w:val="22"/>
                <w:szCs w:val="22"/>
              </w:rPr>
              <w:t>.</w:t>
            </w:r>
          </w:p>
          <w:p w14:paraId="29E2FECA" w14:textId="605D06AE" w:rsidR="00540118" w:rsidRPr="00C4271E" w:rsidRDefault="00987300" w:rsidP="00140899">
            <w:pPr>
              <w:spacing w:before="120" w:after="120"/>
              <w:ind w:left="144" w:right="720"/>
              <w:jc w:val="right"/>
              <w:rPr>
                <w:rFonts w:cs="Arial"/>
                <w:sz w:val="22"/>
                <w:szCs w:val="22"/>
                <w:lang w:val="en-CA"/>
              </w:rPr>
            </w:pPr>
            <w:r w:rsidRPr="00C4271E">
              <w:rPr>
                <w:rFonts w:cs="Arial"/>
                <w:sz w:val="22"/>
                <w:szCs w:val="22"/>
                <w:lang w:val="en-CA"/>
              </w:rPr>
              <w:t>[Emphasis added]</w:t>
            </w:r>
          </w:p>
        </w:tc>
      </w:tr>
    </w:tbl>
    <w:p w14:paraId="5AEB0F72" w14:textId="12B32E76" w:rsidR="00540118" w:rsidRPr="00C4271E" w:rsidRDefault="00816263" w:rsidP="00DF74E5">
      <w:pPr>
        <w:keepNext/>
        <w:keepLines/>
        <w:numPr>
          <w:ilvl w:val="0"/>
          <w:numId w:val="18"/>
        </w:numPr>
        <w:tabs>
          <w:tab w:val="clear" w:pos="720"/>
          <w:tab w:val="num" w:pos="360"/>
        </w:tabs>
        <w:spacing w:before="120" w:after="120"/>
        <w:jc w:val="both"/>
        <w:rPr>
          <w:rFonts w:cs="Arial"/>
          <w:kern w:val="28"/>
          <w:szCs w:val="24"/>
          <w:lang w:val="en-CA"/>
        </w:rPr>
      </w:pPr>
      <w:r w:rsidRPr="00C4271E">
        <w:rPr>
          <w:rFonts w:cs="Arial"/>
          <w:kern w:val="28"/>
          <w:szCs w:val="24"/>
          <w:lang w:val="en-CA"/>
        </w:rPr>
        <w:lastRenderedPageBreak/>
        <w:t xml:space="preserve">Section 18.1 offers additional details on the application for judicial review in question under section 18(3) </w:t>
      </w:r>
      <w:r w:rsidRPr="00C4271E">
        <w:rPr>
          <w:rFonts w:cs="Arial"/>
          <w:i/>
          <w:iCs/>
          <w:kern w:val="28"/>
          <w:szCs w:val="24"/>
          <w:lang w:val="en-CA"/>
        </w:rPr>
        <w:t>in fine</w:t>
      </w:r>
      <w:r w:rsidRPr="00C4271E">
        <w:rPr>
          <w:rFonts w:cs="Arial"/>
          <w:kern w:val="28"/>
          <w:szCs w:val="24"/>
          <w:lang w:val="en-CA"/>
        </w:rPr>
        <w:t>:</w:t>
      </w:r>
    </w:p>
    <w:tbl>
      <w:tblPr>
        <w:tblW w:w="0" w:type="auto"/>
        <w:tblCellMar>
          <w:left w:w="70" w:type="dxa"/>
          <w:right w:w="70" w:type="dxa"/>
        </w:tblCellMar>
        <w:tblLook w:val="0000" w:firstRow="0" w:lastRow="0" w:firstColumn="0" w:lastColumn="0" w:noHBand="0" w:noVBand="0"/>
      </w:tblPr>
      <w:tblGrid>
        <w:gridCol w:w="4679"/>
        <w:gridCol w:w="4683"/>
      </w:tblGrid>
      <w:tr w:rsidR="00947F77" w:rsidRPr="00075953" w14:paraId="52452D6F" w14:textId="77777777" w:rsidTr="00476CA9">
        <w:tc>
          <w:tcPr>
            <w:tcW w:w="4751" w:type="dxa"/>
          </w:tcPr>
          <w:p w14:paraId="21FB6259" w14:textId="77777777" w:rsidR="00947F77" w:rsidRPr="00C4271E" w:rsidRDefault="00947F77" w:rsidP="00947F77">
            <w:pPr>
              <w:spacing w:before="120"/>
              <w:ind w:left="144" w:right="720"/>
              <w:jc w:val="both"/>
              <w:rPr>
                <w:rFonts w:cs="Arial"/>
                <w:sz w:val="22"/>
                <w:szCs w:val="22"/>
                <w:lang w:val="en-CA"/>
              </w:rPr>
            </w:pPr>
            <w:r w:rsidRPr="00C4271E">
              <w:rPr>
                <w:rFonts w:cs="Arial"/>
                <w:b/>
                <w:bCs/>
                <w:sz w:val="22"/>
                <w:szCs w:val="22"/>
                <w:lang w:val="en-CA"/>
              </w:rPr>
              <w:t>18.1(1)</w:t>
            </w:r>
            <w:r w:rsidRPr="00C4271E">
              <w:rPr>
                <w:rFonts w:cs="Arial"/>
                <w:sz w:val="22"/>
                <w:szCs w:val="22"/>
                <w:lang w:val="en-CA"/>
              </w:rPr>
              <w:t xml:space="preserve"> </w:t>
            </w:r>
            <w:r w:rsidRPr="00C4271E">
              <w:rPr>
                <w:rFonts w:cs="Arial"/>
                <w:sz w:val="22"/>
                <w:szCs w:val="22"/>
                <w:u w:val="single"/>
                <w:lang w:val="en-CA"/>
              </w:rPr>
              <w:t>An application for judicial review may be made</w:t>
            </w:r>
            <w:r w:rsidRPr="00C4271E">
              <w:rPr>
                <w:rFonts w:cs="Arial"/>
                <w:sz w:val="22"/>
                <w:szCs w:val="22"/>
                <w:lang w:val="en-CA"/>
              </w:rPr>
              <w:t xml:space="preserve"> by the Attorney General of Canada or </w:t>
            </w:r>
            <w:r w:rsidRPr="00C4271E">
              <w:rPr>
                <w:rFonts w:cs="Arial"/>
                <w:sz w:val="22"/>
                <w:szCs w:val="22"/>
                <w:u w:val="single"/>
                <w:lang w:val="en-CA"/>
              </w:rPr>
              <w:t>by anyone directly affected by the matter in respect of which relief is sought</w:t>
            </w:r>
            <w:r w:rsidRPr="00C4271E">
              <w:rPr>
                <w:rFonts w:cs="Arial"/>
                <w:sz w:val="22"/>
                <w:szCs w:val="22"/>
                <w:lang w:val="en-CA"/>
              </w:rPr>
              <w:t>.</w:t>
            </w:r>
          </w:p>
          <w:p w14:paraId="43F8B5A4" w14:textId="77777777" w:rsidR="00947F77" w:rsidRPr="00C4271E" w:rsidRDefault="00947F77" w:rsidP="00947F77">
            <w:pPr>
              <w:ind w:left="144" w:right="720"/>
              <w:jc w:val="both"/>
              <w:rPr>
                <w:rFonts w:cs="Arial"/>
                <w:sz w:val="22"/>
                <w:szCs w:val="22"/>
                <w:lang w:val="en-CA"/>
              </w:rPr>
            </w:pPr>
          </w:p>
          <w:p w14:paraId="375D2F18" w14:textId="77777777" w:rsidR="00947F77" w:rsidRPr="00C4271E" w:rsidRDefault="00947F77" w:rsidP="00947F77">
            <w:pPr>
              <w:ind w:left="144" w:right="720"/>
              <w:jc w:val="both"/>
              <w:rPr>
                <w:rFonts w:cs="Arial"/>
                <w:sz w:val="22"/>
                <w:szCs w:val="22"/>
                <w:lang w:val="en-CA"/>
              </w:rPr>
            </w:pPr>
            <w:r w:rsidRPr="00C4271E">
              <w:rPr>
                <w:rFonts w:cs="Arial"/>
                <w:sz w:val="22"/>
                <w:szCs w:val="22"/>
                <w:lang w:val="en-CA"/>
              </w:rPr>
              <w:t>[…]</w:t>
            </w:r>
          </w:p>
          <w:p w14:paraId="0CE46F62" w14:textId="77777777" w:rsidR="00947F77" w:rsidRPr="00C4271E" w:rsidRDefault="00947F77" w:rsidP="00947F77">
            <w:pPr>
              <w:ind w:left="144" w:right="720"/>
              <w:jc w:val="both"/>
              <w:rPr>
                <w:rFonts w:cs="Arial"/>
                <w:sz w:val="22"/>
                <w:szCs w:val="22"/>
                <w:lang w:val="en-CA"/>
              </w:rPr>
            </w:pPr>
          </w:p>
          <w:p w14:paraId="3291B6E7" w14:textId="77777777" w:rsidR="00947F77" w:rsidRPr="00C4271E" w:rsidRDefault="00947F77" w:rsidP="00947F77">
            <w:pPr>
              <w:ind w:left="144" w:right="720"/>
              <w:jc w:val="both"/>
              <w:rPr>
                <w:rFonts w:cs="Arial"/>
                <w:sz w:val="22"/>
                <w:szCs w:val="22"/>
                <w:lang w:val="en-CA"/>
              </w:rPr>
            </w:pPr>
            <w:r w:rsidRPr="00C4271E">
              <w:rPr>
                <w:rFonts w:cs="Arial"/>
                <w:b/>
                <w:bCs/>
                <w:sz w:val="22"/>
                <w:szCs w:val="22"/>
                <w:lang w:val="en-CA"/>
              </w:rPr>
              <w:t>(3)</w:t>
            </w:r>
            <w:r w:rsidRPr="00C4271E">
              <w:rPr>
                <w:rFonts w:cs="Arial"/>
                <w:sz w:val="22"/>
                <w:szCs w:val="22"/>
                <w:lang w:val="en-CA"/>
              </w:rPr>
              <w:t xml:space="preserve"> </w:t>
            </w:r>
            <w:r w:rsidRPr="00C4271E">
              <w:rPr>
                <w:rFonts w:cs="Arial"/>
                <w:sz w:val="22"/>
                <w:szCs w:val="22"/>
                <w:u w:val="single"/>
                <w:lang w:val="en-CA"/>
              </w:rPr>
              <w:t>On an application for judicial review, the Federal Court may</w:t>
            </w:r>
          </w:p>
          <w:p w14:paraId="1B228D84" w14:textId="77777777" w:rsidR="00947F77" w:rsidRPr="00C4271E" w:rsidRDefault="00947F77" w:rsidP="00947F77">
            <w:pPr>
              <w:ind w:left="144" w:right="720"/>
              <w:jc w:val="both"/>
              <w:rPr>
                <w:rFonts w:cs="Arial"/>
                <w:sz w:val="22"/>
                <w:szCs w:val="22"/>
                <w:lang w:val="en-CA"/>
              </w:rPr>
            </w:pPr>
          </w:p>
          <w:p w14:paraId="179BD361" w14:textId="77777777" w:rsidR="00947F77" w:rsidRPr="00C4271E" w:rsidRDefault="00947F77" w:rsidP="00947F77">
            <w:pPr>
              <w:ind w:left="144" w:right="720"/>
              <w:jc w:val="both"/>
              <w:rPr>
                <w:rFonts w:cs="Arial"/>
                <w:sz w:val="22"/>
                <w:szCs w:val="22"/>
                <w:lang w:val="en-CA"/>
              </w:rPr>
            </w:pPr>
          </w:p>
          <w:p w14:paraId="5008DC38" w14:textId="77777777" w:rsidR="00947F77" w:rsidRPr="00C4271E" w:rsidRDefault="00947F77" w:rsidP="00947F77">
            <w:pPr>
              <w:numPr>
                <w:ilvl w:val="0"/>
                <w:numId w:val="23"/>
              </w:numPr>
              <w:spacing w:line="240" w:lineRule="auto"/>
              <w:ind w:right="720"/>
              <w:jc w:val="both"/>
              <w:rPr>
                <w:rFonts w:cs="Arial"/>
                <w:sz w:val="22"/>
                <w:szCs w:val="22"/>
                <w:lang w:val="en-CA"/>
              </w:rPr>
            </w:pPr>
            <w:r w:rsidRPr="00C4271E">
              <w:rPr>
                <w:rFonts w:cs="Arial"/>
                <w:sz w:val="22"/>
                <w:szCs w:val="22"/>
                <w:u w:val="single"/>
                <w:lang w:val="en-CA"/>
              </w:rPr>
              <w:t>order a federal board, commission or other tribunal to do any act or thing it has unlawfully failed or refused to do or has unreasonably delayed in doing</w:t>
            </w:r>
            <w:r w:rsidRPr="00C4271E">
              <w:rPr>
                <w:rFonts w:cs="Arial"/>
                <w:sz w:val="22"/>
                <w:szCs w:val="22"/>
                <w:lang w:val="en-CA"/>
              </w:rPr>
              <w:t>; or</w:t>
            </w:r>
          </w:p>
          <w:p w14:paraId="7EF54215" w14:textId="77777777" w:rsidR="00947F77" w:rsidRPr="00C4271E" w:rsidRDefault="00947F77" w:rsidP="00947F77">
            <w:pPr>
              <w:ind w:left="504" w:right="720"/>
              <w:jc w:val="both"/>
              <w:rPr>
                <w:rFonts w:cs="Arial"/>
                <w:sz w:val="22"/>
                <w:szCs w:val="22"/>
                <w:lang w:val="en-CA"/>
              </w:rPr>
            </w:pPr>
          </w:p>
          <w:p w14:paraId="21F5157E" w14:textId="77777777" w:rsidR="00947F77" w:rsidRPr="00C4271E" w:rsidRDefault="00947F77" w:rsidP="00947F77">
            <w:pPr>
              <w:ind w:left="504" w:right="720"/>
              <w:jc w:val="both"/>
              <w:rPr>
                <w:rFonts w:cs="Arial"/>
                <w:sz w:val="22"/>
                <w:szCs w:val="22"/>
                <w:lang w:val="en-CA"/>
              </w:rPr>
            </w:pPr>
          </w:p>
          <w:p w14:paraId="524651F9" w14:textId="77777777" w:rsidR="00947F77" w:rsidRPr="00C4271E" w:rsidRDefault="00947F77" w:rsidP="00947F77">
            <w:pPr>
              <w:numPr>
                <w:ilvl w:val="0"/>
                <w:numId w:val="23"/>
              </w:numPr>
              <w:spacing w:line="240" w:lineRule="auto"/>
              <w:ind w:right="720"/>
              <w:jc w:val="both"/>
              <w:rPr>
                <w:rFonts w:cs="Arial"/>
                <w:sz w:val="22"/>
                <w:szCs w:val="22"/>
                <w:lang w:val="en-CA"/>
              </w:rPr>
            </w:pPr>
            <w:r w:rsidRPr="00C4271E">
              <w:rPr>
                <w:rFonts w:cs="Arial"/>
                <w:sz w:val="22"/>
                <w:szCs w:val="22"/>
                <w:u w:val="single"/>
                <w:lang w:val="en-CA"/>
              </w:rPr>
              <w:t>declare invalid or unlawful, or quash, set aside or set aside and refer back for determination in accordance with such directions as it considers to be appropriate, prohibit or restrain, a decision, order, act or proceeding of a federal board, commission or other tribunal</w:t>
            </w:r>
            <w:r w:rsidRPr="00C4271E">
              <w:rPr>
                <w:rFonts w:cs="Arial"/>
                <w:sz w:val="22"/>
                <w:szCs w:val="22"/>
                <w:lang w:val="en-CA"/>
              </w:rPr>
              <w:t>.</w:t>
            </w:r>
          </w:p>
          <w:p w14:paraId="6EC39712" w14:textId="77777777" w:rsidR="00947F77" w:rsidRPr="00C4271E" w:rsidRDefault="00947F77" w:rsidP="00947F77">
            <w:pPr>
              <w:ind w:left="144" w:right="720"/>
              <w:jc w:val="both"/>
              <w:rPr>
                <w:rFonts w:cs="Arial"/>
                <w:sz w:val="22"/>
                <w:szCs w:val="22"/>
                <w:lang w:val="en-CA"/>
              </w:rPr>
            </w:pPr>
          </w:p>
          <w:p w14:paraId="608770AB" w14:textId="77777777" w:rsidR="00947F77" w:rsidRPr="00C4271E" w:rsidRDefault="00947F77" w:rsidP="00947F77">
            <w:pPr>
              <w:ind w:left="144" w:right="720"/>
              <w:jc w:val="both"/>
              <w:rPr>
                <w:rFonts w:cs="Arial"/>
                <w:sz w:val="22"/>
                <w:szCs w:val="22"/>
                <w:lang w:val="en-CA"/>
              </w:rPr>
            </w:pPr>
            <w:r w:rsidRPr="00C4271E">
              <w:rPr>
                <w:rFonts w:cs="Arial"/>
                <w:b/>
                <w:bCs/>
                <w:sz w:val="22"/>
                <w:szCs w:val="22"/>
                <w:lang w:val="en-CA"/>
              </w:rPr>
              <w:t>(4)</w:t>
            </w:r>
            <w:r w:rsidRPr="00C4271E">
              <w:rPr>
                <w:rFonts w:cs="Arial"/>
                <w:sz w:val="22"/>
                <w:szCs w:val="22"/>
                <w:lang w:val="en-CA"/>
              </w:rPr>
              <w:t xml:space="preserve"> The Federal Court may grant relief under subsection (3) if it is satisfied that the federal board, commission or other tribunal</w:t>
            </w:r>
          </w:p>
          <w:p w14:paraId="46FA35F3" w14:textId="77777777" w:rsidR="00947F77" w:rsidRPr="00C4271E" w:rsidRDefault="00947F77" w:rsidP="00947F77">
            <w:pPr>
              <w:ind w:left="144" w:right="720"/>
              <w:jc w:val="both"/>
              <w:rPr>
                <w:rFonts w:cs="Arial"/>
                <w:sz w:val="22"/>
                <w:szCs w:val="22"/>
                <w:lang w:val="en-CA"/>
              </w:rPr>
            </w:pPr>
          </w:p>
          <w:p w14:paraId="07F47F5A" w14:textId="77777777" w:rsidR="00947F77" w:rsidRPr="00C4271E" w:rsidRDefault="00947F77" w:rsidP="00947F77">
            <w:pPr>
              <w:numPr>
                <w:ilvl w:val="0"/>
                <w:numId w:val="24"/>
              </w:numPr>
              <w:spacing w:line="240" w:lineRule="auto"/>
              <w:ind w:right="720"/>
              <w:jc w:val="both"/>
              <w:rPr>
                <w:rFonts w:cs="Arial"/>
                <w:sz w:val="22"/>
                <w:szCs w:val="22"/>
                <w:lang w:val="en-CA"/>
              </w:rPr>
            </w:pPr>
            <w:r w:rsidRPr="00C4271E">
              <w:rPr>
                <w:rFonts w:cs="Arial"/>
                <w:sz w:val="22"/>
                <w:szCs w:val="22"/>
                <w:lang w:val="en-CA"/>
              </w:rPr>
              <w:lastRenderedPageBreak/>
              <w:t>acted without jurisdiction, acted beyond its jurisdiction or refused to exercise its jurisdiction;</w:t>
            </w:r>
          </w:p>
          <w:p w14:paraId="49C64B87" w14:textId="77777777" w:rsidR="00947F77" w:rsidRPr="00C4271E" w:rsidRDefault="00947F77" w:rsidP="00947F77">
            <w:pPr>
              <w:spacing w:line="240" w:lineRule="auto"/>
              <w:ind w:left="549" w:right="720"/>
              <w:jc w:val="both"/>
              <w:rPr>
                <w:rFonts w:cs="Arial"/>
                <w:sz w:val="22"/>
                <w:szCs w:val="22"/>
                <w:lang w:val="en-CA"/>
              </w:rPr>
            </w:pPr>
          </w:p>
          <w:p w14:paraId="574C5DD9" w14:textId="77777777" w:rsidR="00947F77" w:rsidRPr="00C4271E" w:rsidRDefault="00947F77" w:rsidP="00947F77">
            <w:pPr>
              <w:numPr>
                <w:ilvl w:val="0"/>
                <w:numId w:val="24"/>
              </w:numPr>
              <w:spacing w:line="240" w:lineRule="auto"/>
              <w:ind w:left="545" w:right="720" w:hanging="403"/>
              <w:jc w:val="both"/>
              <w:rPr>
                <w:rFonts w:cs="Arial"/>
                <w:sz w:val="22"/>
                <w:szCs w:val="22"/>
                <w:lang w:val="en-CA"/>
              </w:rPr>
            </w:pPr>
            <w:r w:rsidRPr="00C4271E">
              <w:rPr>
                <w:rFonts w:cs="Arial"/>
                <w:sz w:val="22"/>
                <w:szCs w:val="22"/>
                <w:lang w:val="en-CA"/>
              </w:rPr>
              <w:t>failed to observe a principle of natural justice, procedural fairness or other procedure that it was required by law to observe;</w:t>
            </w:r>
          </w:p>
          <w:p w14:paraId="27B92593" w14:textId="77777777" w:rsidR="00947F77" w:rsidRPr="00C4271E" w:rsidRDefault="00947F77" w:rsidP="00947F77">
            <w:pPr>
              <w:spacing w:line="240" w:lineRule="auto"/>
              <w:ind w:left="549" w:right="720"/>
              <w:jc w:val="both"/>
              <w:rPr>
                <w:rFonts w:cs="Arial"/>
                <w:sz w:val="22"/>
                <w:szCs w:val="22"/>
                <w:lang w:val="en-CA"/>
              </w:rPr>
            </w:pPr>
          </w:p>
          <w:p w14:paraId="04E346C8" w14:textId="77777777" w:rsidR="00947F77" w:rsidRPr="00C4271E" w:rsidRDefault="00947F77" w:rsidP="00947F77">
            <w:pPr>
              <w:spacing w:line="240" w:lineRule="auto"/>
              <w:ind w:left="549" w:right="720"/>
              <w:jc w:val="both"/>
              <w:rPr>
                <w:rFonts w:cs="Arial"/>
                <w:sz w:val="22"/>
                <w:szCs w:val="22"/>
                <w:lang w:val="en-CA"/>
              </w:rPr>
            </w:pPr>
          </w:p>
          <w:p w14:paraId="1E1F19FC" w14:textId="77777777" w:rsidR="00947F77" w:rsidRPr="00C4271E" w:rsidRDefault="00947F77" w:rsidP="00947F77">
            <w:pPr>
              <w:numPr>
                <w:ilvl w:val="0"/>
                <w:numId w:val="24"/>
              </w:numPr>
              <w:spacing w:line="240" w:lineRule="auto"/>
              <w:ind w:right="720"/>
              <w:jc w:val="both"/>
              <w:rPr>
                <w:rFonts w:cs="Arial"/>
                <w:sz w:val="22"/>
                <w:szCs w:val="22"/>
                <w:lang w:val="en-CA"/>
              </w:rPr>
            </w:pPr>
            <w:r w:rsidRPr="00C4271E">
              <w:rPr>
                <w:rFonts w:cs="Arial"/>
                <w:sz w:val="22"/>
                <w:szCs w:val="22"/>
                <w:lang w:val="en-CA"/>
              </w:rPr>
              <w:t>erred in law in making a decision or an order, whether or not the error appears on the face of the record;</w:t>
            </w:r>
          </w:p>
          <w:p w14:paraId="2A349C49" w14:textId="77777777" w:rsidR="00947F77" w:rsidRPr="00C4271E" w:rsidRDefault="00947F77" w:rsidP="00947F77">
            <w:pPr>
              <w:spacing w:line="240" w:lineRule="auto"/>
              <w:ind w:right="720"/>
              <w:jc w:val="both"/>
              <w:rPr>
                <w:rFonts w:cs="Arial"/>
                <w:sz w:val="22"/>
                <w:szCs w:val="22"/>
                <w:lang w:val="en-CA"/>
              </w:rPr>
            </w:pPr>
          </w:p>
          <w:p w14:paraId="3F5C57CA" w14:textId="77777777" w:rsidR="00947F77" w:rsidRPr="00C4271E" w:rsidRDefault="00947F77" w:rsidP="00947F77">
            <w:pPr>
              <w:spacing w:line="240" w:lineRule="auto"/>
              <w:ind w:right="720"/>
              <w:jc w:val="both"/>
              <w:rPr>
                <w:rFonts w:cs="Arial"/>
                <w:sz w:val="22"/>
                <w:szCs w:val="22"/>
                <w:lang w:val="en-CA"/>
              </w:rPr>
            </w:pPr>
          </w:p>
          <w:p w14:paraId="54A0ADDC" w14:textId="77777777" w:rsidR="00947F77" w:rsidRPr="00C4271E" w:rsidRDefault="00947F77" w:rsidP="00947F77">
            <w:pPr>
              <w:numPr>
                <w:ilvl w:val="0"/>
                <w:numId w:val="24"/>
              </w:numPr>
              <w:spacing w:line="240" w:lineRule="auto"/>
              <w:ind w:right="720"/>
              <w:jc w:val="both"/>
              <w:rPr>
                <w:rFonts w:cs="Arial"/>
                <w:sz w:val="22"/>
                <w:szCs w:val="22"/>
                <w:lang w:val="en-CA"/>
              </w:rPr>
            </w:pPr>
            <w:r w:rsidRPr="00C4271E">
              <w:rPr>
                <w:rFonts w:cs="Arial"/>
                <w:sz w:val="22"/>
                <w:szCs w:val="22"/>
                <w:lang w:val="en-CA"/>
              </w:rPr>
              <w:t>based its decision or order on an erroneous finding of fact that it made in a perverse or capricious manner or without regard for the material before it;</w:t>
            </w:r>
          </w:p>
          <w:p w14:paraId="333AA3B8" w14:textId="77777777" w:rsidR="00947F77" w:rsidRPr="00C4271E" w:rsidRDefault="00947F77" w:rsidP="00947F77">
            <w:pPr>
              <w:spacing w:line="240" w:lineRule="auto"/>
              <w:ind w:right="720"/>
              <w:jc w:val="both"/>
              <w:rPr>
                <w:rFonts w:cs="Arial"/>
                <w:sz w:val="22"/>
                <w:szCs w:val="22"/>
                <w:lang w:val="en-CA"/>
              </w:rPr>
            </w:pPr>
          </w:p>
          <w:p w14:paraId="6BA798AA" w14:textId="77777777" w:rsidR="00947F77" w:rsidRPr="00C4271E" w:rsidRDefault="00947F77" w:rsidP="00947F77">
            <w:pPr>
              <w:spacing w:line="240" w:lineRule="auto"/>
              <w:ind w:right="720"/>
              <w:jc w:val="both"/>
              <w:rPr>
                <w:rFonts w:cs="Arial"/>
                <w:sz w:val="22"/>
                <w:szCs w:val="22"/>
                <w:lang w:val="en-CA"/>
              </w:rPr>
            </w:pPr>
          </w:p>
          <w:p w14:paraId="1798B542" w14:textId="77777777" w:rsidR="00947F77" w:rsidRPr="00C4271E" w:rsidRDefault="00947F77" w:rsidP="00947F77">
            <w:pPr>
              <w:numPr>
                <w:ilvl w:val="0"/>
                <w:numId w:val="24"/>
              </w:numPr>
              <w:spacing w:line="240" w:lineRule="auto"/>
              <w:ind w:right="720"/>
              <w:jc w:val="both"/>
              <w:rPr>
                <w:rFonts w:cs="Arial"/>
                <w:sz w:val="22"/>
                <w:szCs w:val="22"/>
                <w:lang w:val="en-CA"/>
              </w:rPr>
            </w:pPr>
            <w:r w:rsidRPr="00C4271E">
              <w:rPr>
                <w:rFonts w:cs="Arial"/>
                <w:sz w:val="22"/>
                <w:szCs w:val="22"/>
                <w:lang w:val="en-CA"/>
              </w:rPr>
              <w:t>acted, or failed to act, by reason of fraud or perjured evidence; or</w:t>
            </w:r>
          </w:p>
          <w:p w14:paraId="586E766C" w14:textId="77777777" w:rsidR="00947F77" w:rsidRPr="00C4271E" w:rsidRDefault="00947F77" w:rsidP="00947F77">
            <w:pPr>
              <w:spacing w:line="240" w:lineRule="auto"/>
              <w:ind w:right="720"/>
              <w:jc w:val="both"/>
              <w:rPr>
                <w:rFonts w:cs="Arial"/>
                <w:sz w:val="22"/>
                <w:szCs w:val="22"/>
                <w:lang w:val="en-CA"/>
              </w:rPr>
            </w:pPr>
          </w:p>
          <w:p w14:paraId="20C1F816" w14:textId="77777777" w:rsidR="00947F77" w:rsidRPr="00C4271E" w:rsidRDefault="00947F77" w:rsidP="00947F77">
            <w:pPr>
              <w:spacing w:line="240" w:lineRule="auto"/>
              <w:ind w:right="720"/>
              <w:jc w:val="both"/>
              <w:rPr>
                <w:rFonts w:cs="Arial"/>
                <w:sz w:val="22"/>
                <w:szCs w:val="22"/>
                <w:lang w:val="en-CA"/>
              </w:rPr>
            </w:pPr>
          </w:p>
          <w:p w14:paraId="4C571837" w14:textId="77777777" w:rsidR="00947F77" w:rsidRPr="00C4271E" w:rsidRDefault="00947F77" w:rsidP="00947F77">
            <w:pPr>
              <w:numPr>
                <w:ilvl w:val="0"/>
                <w:numId w:val="24"/>
              </w:numPr>
              <w:spacing w:line="240" w:lineRule="auto"/>
              <w:ind w:right="720"/>
              <w:jc w:val="both"/>
              <w:rPr>
                <w:rFonts w:cs="Arial"/>
                <w:sz w:val="22"/>
                <w:szCs w:val="22"/>
                <w:lang w:val="en-CA"/>
              </w:rPr>
            </w:pPr>
            <w:r w:rsidRPr="00C4271E">
              <w:rPr>
                <w:rFonts w:cs="Arial"/>
                <w:sz w:val="22"/>
                <w:szCs w:val="22"/>
                <w:lang w:val="en-CA"/>
              </w:rPr>
              <w:t>acted in any other way that was contrary to law.</w:t>
            </w:r>
          </w:p>
          <w:p w14:paraId="4448E6F9" w14:textId="77777777" w:rsidR="00947F77" w:rsidRPr="00AA33C4" w:rsidRDefault="00947F77" w:rsidP="00947F77">
            <w:pPr>
              <w:spacing w:after="120" w:line="240" w:lineRule="auto"/>
              <w:ind w:left="144" w:right="720"/>
              <w:jc w:val="both"/>
              <w:rPr>
                <w:rFonts w:cs="Arial"/>
                <w:sz w:val="22"/>
                <w:szCs w:val="22"/>
                <w:lang w:val="en-CA"/>
              </w:rPr>
            </w:pPr>
            <w:r w:rsidRPr="00AA33C4">
              <w:rPr>
                <w:rFonts w:cs="Arial"/>
                <w:sz w:val="22"/>
                <w:szCs w:val="22"/>
                <w:lang w:val="en-CA"/>
              </w:rPr>
              <w:t>[…]</w:t>
            </w:r>
          </w:p>
          <w:p w14:paraId="451E1923" w14:textId="18FB4BF6" w:rsidR="00947F77" w:rsidRPr="00AA33C4" w:rsidRDefault="00947F77" w:rsidP="00476CA9">
            <w:pPr>
              <w:spacing w:after="120"/>
              <w:ind w:left="720" w:right="142"/>
              <w:jc w:val="both"/>
              <w:rPr>
                <w:rFonts w:cs="Arial"/>
                <w:sz w:val="22"/>
                <w:szCs w:val="22"/>
                <w:lang w:val="en-CA"/>
              </w:rPr>
            </w:pPr>
          </w:p>
        </w:tc>
        <w:tc>
          <w:tcPr>
            <w:tcW w:w="4751" w:type="dxa"/>
          </w:tcPr>
          <w:p w14:paraId="02D962E7" w14:textId="77777777" w:rsidR="00947F77" w:rsidRPr="00402233" w:rsidRDefault="00947F77" w:rsidP="00947F77">
            <w:pPr>
              <w:spacing w:before="120"/>
              <w:ind w:left="720" w:right="142"/>
              <w:jc w:val="both"/>
              <w:rPr>
                <w:rFonts w:cs="Arial"/>
                <w:sz w:val="22"/>
                <w:szCs w:val="22"/>
              </w:rPr>
            </w:pPr>
            <w:r w:rsidRPr="00402233">
              <w:rPr>
                <w:rFonts w:cs="Arial"/>
                <w:b/>
                <w:bCs/>
                <w:sz w:val="22"/>
                <w:szCs w:val="22"/>
              </w:rPr>
              <w:lastRenderedPageBreak/>
              <w:t>18.1(1)</w:t>
            </w:r>
            <w:r w:rsidRPr="00402233">
              <w:rPr>
                <w:rFonts w:cs="Arial"/>
                <w:sz w:val="22"/>
                <w:szCs w:val="22"/>
              </w:rPr>
              <w:t xml:space="preserve"> </w:t>
            </w:r>
            <w:r w:rsidRPr="00402233">
              <w:rPr>
                <w:rFonts w:cs="Arial"/>
                <w:sz w:val="22"/>
                <w:szCs w:val="22"/>
                <w:u w:val="single"/>
              </w:rPr>
              <w:t>Une demande de contrôle judiciaire peut être présentée</w:t>
            </w:r>
            <w:r w:rsidRPr="00402233">
              <w:rPr>
                <w:rFonts w:cs="Arial"/>
                <w:sz w:val="22"/>
                <w:szCs w:val="22"/>
              </w:rPr>
              <w:t xml:space="preserve"> par le procureur général du Canada ou </w:t>
            </w:r>
            <w:r w:rsidRPr="00402233">
              <w:rPr>
                <w:rFonts w:cs="Arial"/>
                <w:sz w:val="22"/>
                <w:szCs w:val="22"/>
                <w:u w:val="single"/>
              </w:rPr>
              <w:t>par quiconque est directement touché par l’objet de la demande</w:t>
            </w:r>
            <w:r w:rsidRPr="00402233">
              <w:rPr>
                <w:rFonts w:cs="Arial"/>
                <w:sz w:val="22"/>
                <w:szCs w:val="22"/>
              </w:rPr>
              <w:t>.</w:t>
            </w:r>
          </w:p>
          <w:p w14:paraId="68B3E27A" w14:textId="77777777" w:rsidR="00947F77" w:rsidRPr="00402233" w:rsidRDefault="00947F77" w:rsidP="00947F77">
            <w:pPr>
              <w:ind w:left="720" w:right="142"/>
              <w:jc w:val="both"/>
              <w:rPr>
                <w:rFonts w:cs="Arial"/>
                <w:sz w:val="22"/>
                <w:szCs w:val="22"/>
              </w:rPr>
            </w:pPr>
          </w:p>
          <w:p w14:paraId="580442C1" w14:textId="77777777" w:rsidR="00947F77" w:rsidRPr="00402233" w:rsidRDefault="00947F77" w:rsidP="00947F77">
            <w:pPr>
              <w:ind w:left="720" w:right="142"/>
              <w:jc w:val="both"/>
              <w:rPr>
                <w:rFonts w:cs="Arial"/>
                <w:sz w:val="22"/>
                <w:szCs w:val="22"/>
              </w:rPr>
            </w:pPr>
            <w:r w:rsidRPr="00402233">
              <w:rPr>
                <w:rFonts w:cs="Arial"/>
                <w:sz w:val="22"/>
                <w:szCs w:val="22"/>
              </w:rPr>
              <w:t>[…]</w:t>
            </w:r>
          </w:p>
          <w:p w14:paraId="3681CE31" w14:textId="77777777" w:rsidR="00947F77" w:rsidRPr="00402233" w:rsidRDefault="00947F77" w:rsidP="00947F77">
            <w:pPr>
              <w:ind w:left="720" w:right="142"/>
              <w:jc w:val="both"/>
              <w:rPr>
                <w:rFonts w:cs="Arial"/>
                <w:sz w:val="22"/>
                <w:szCs w:val="22"/>
              </w:rPr>
            </w:pPr>
          </w:p>
          <w:p w14:paraId="2CCFECBE" w14:textId="77777777" w:rsidR="00947F77" w:rsidRPr="00402233" w:rsidRDefault="00947F77" w:rsidP="00947F77">
            <w:pPr>
              <w:ind w:left="720" w:right="142"/>
              <w:jc w:val="both"/>
              <w:rPr>
                <w:rFonts w:cs="Arial"/>
                <w:sz w:val="22"/>
                <w:szCs w:val="22"/>
              </w:rPr>
            </w:pPr>
            <w:r w:rsidRPr="00402233">
              <w:rPr>
                <w:rFonts w:cs="Arial"/>
                <w:b/>
                <w:bCs/>
                <w:sz w:val="22"/>
                <w:szCs w:val="22"/>
              </w:rPr>
              <w:t>(3)</w:t>
            </w:r>
            <w:r w:rsidRPr="00402233">
              <w:rPr>
                <w:rFonts w:cs="Arial"/>
                <w:sz w:val="22"/>
                <w:szCs w:val="22"/>
              </w:rPr>
              <w:t xml:space="preserve"> </w:t>
            </w:r>
            <w:r w:rsidRPr="00402233">
              <w:rPr>
                <w:rFonts w:cs="Arial"/>
                <w:sz w:val="22"/>
                <w:szCs w:val="22"/>
                <w:u w:val="single"/>
              </w:rPr>
              <w:t>Sur présentation d’une demande de contrôle judiciaire, la Cour fédérale peut</w:t>
            </w:r>
            <w:r w:rsidRPr="00402233">
              <w:rPr>
                <w:rFonts w:cs="Arial"/>
                <w:sz w:val="22"/>
                <w:szCs w:val="22"/>
              </w:rPr>
              <w:t> :</w:t>
            </w:r>
          </w:p>
          <w:p w14:paraId="3FB9FEAE" w14:textId="77777777" w:rsidR="00947F77" w:rsidRPr="00402233" w:rsidRDefault="00947F77" w:rsidP="00947F77">
            <w:pPr>
              <w:ind w:left="720" w:right="142"/>
              <w:jc w:val="both"/>
              <w:rPr>
                <w:rFonts w:cs="Arial"/>
                <w:sz w:val="22"/>
                <w:szCs w:val="22"/>
              </w:rPr>
            </w:pPr>
          </w:p>
          <w:p w14:paraId="5D6C21E4" w14:textId="77777777" w:rsidR="00947F77" w:rsidRPr="00402233" w:rsidRDefault="00947F77" w:rsidP="00947F77">
            <w:pPr>
              <w:numPr>
                <w:ilvl w:val="0"/>
                <w:numId w:val="21"/>
              </w:numPr>
              <w:spacing w:line="240" w:lineRule="auto"/>
              <w:ind w:right="142"/>
              <w:jc w:val="both"/>
              <w:rPr>
                <w:rFonts w:cs="Arial"/>
                <w:sz w:val="22"/>
                <w:szCs w:val="22"/>
              </w:rPr>
            </w:pPr>
            <w:r w:rsidRPr="00402233">
              <w:rPr>
                <w:rFonts w:cs="Arial"/>
                <w:sz w:val="22"/>
                <w:szCs w:val="22"/>
                <w:u w:val="single"/>
              </w:rPr>
              <w:t>ordonner à l’office fédéral en cause d’accomplir tout acte qu’il a illégalement omis ou refusé d’accomplir ou dont il a retardé l’exécution de manière déraisonnable</w:t>
            </w:r>
            <w:r w:rsidRPr="00402233">
              <w:rPr>
                <w:rFonts w:cs="Arial"/>
                <w:sz w:val="22"/>
                <w:szCs w:val="22"/>
              </w:rPr>
              <w:t>;</w:t>
            </w:r>
          </w:p>
          <w:p w14:paraId="185D0903" w14:textId="77777777" w:rsidR="00947F77" w:rsidRPr="00402233" w:rsidRDefault="00947F77" w:rsidP="00947F77">
            <w:pPr>
              <w:spacing w:line="240" w:lineRule="auto"/>
              <w:ind w:left="1080" w:right="142"/>
              <w:jc w:val="both"/>
              <w:rPr>
                <w:rFonts w:cs="Arial"/>
                <w:sz w:val="22"/>
                <w:szCs w:val="22"/>
              </w:rPr>
            </w:pPr>
          </w:p>
          <w:p w14:paraId="442F821E" w14:textId="77777777" w:rsidR="00947F77" w:rsidRPr="00402233" w:rsidRDefault="00947F77" w:rsidP="00947F77">
            <w:pPr>
              <w:numPr>
                <w:ilvl w:val="0"/>
                <w:numId w:val="21"/>
              </w:numPr>
              <w:spacing w:line="240" w:lineRule="auto"/>
              <w:ind w:right="142"/>
              <w:jc w:val="both"/>
              <w:rPr>
                <w:rFonts w:cs="Arial"/>
                <w:sz w:val="22"/>
                <w:szCs w:val="22"/>
              </w:rPr>
            </w:pPr>
            <w:r w:rsidRPr="00402233">
              <w:rPr>
                <w:rFonts w:cs="Arial"/>
                <w:sz w:val="22"/>
                <w:szCs w:val="22"/>
                <w:u w:val="single"/>
              </w:rPr>
              <w:t>déclarer nul ou illégal, ou annuler, ou infirmer et renvoyer pour jugement conformément aux instructions qu’elle estime appropriées, ou prohiber ou encore restreindre toute décision, ordonnance, procédure ou tout autre acte de l’office fédéral</w:t>
            </w:r>
            <w:r w:rsidRPr="00402233">
              <w:rPr>
                <w:rFonts w:cs="Arial"/>
                <w:sz w:val="22"/>
                <w:szCs w:val="22"/>
              </w:rPr>
              <w:t>.</w:t>
            </w:r>
          </w:p>
          <w:p w14:paraId="6D9FA46B" w14:textId="77777777" w:rsidR="00947F77" w:rsidRPr="00402233" w:rsidRDefault="00947F77" w:rsidP="00947F77">
            <w:pPr>
              <w:ind w:left="720" w:right="142"/>
              <w:jc w:val="both"/>
              <w:rPr>
                <w:rFonts w:cs="Arial"/>
                <w:sz w:val="22"/>
                <w:szCs w:val="22"/>
              </w:rPr>
            </w:pPr>
          </w:p>
          <w:p w14:paraId="20738FD0" w14:textId="77777777" w:rsidR="00947F77" w:rsidRPr="00402233" w:rsidRDefault="00947F77" w:rsidP="00947F77">
            <w:pPr>
              <w:ind w:left="720" w:right="142"/>
              <w:jc w:val="both"/>
              <w:rPr>
                <w:rFonts w:cs="Arial"/>
                <w:sz w:val="22"/>
                <w:szCs w:val="22"/>
              </w:rPr>
            </w:pPr>
          </w:p>
          <w:p w14:paraId="0C60EA9E" w14:textId="77777777" w:rsidR="00947F77" w:rsidRPr="00402233" w:rsidRDefault="00947F77" w:rsidP="00947F77">
            <w:pPr>
              <w:ind w:left="720" w:right="142"/>
              <w:jc w:val="both"/>
              <w:rPr>
                <w:rFonts w:cs="Arial"/>
                <w:sz w:val="22"/>
                <w:szCs w:val="22"/>
              </w:rPr>
            </w:pPr>
            <w:r w:rsidRPr="00402233">
              <w:rPr>
                <w:rFonts w:cs="Arial"/>
                <w:b/>
                <w:bCs/>
                <w:sz w:val="22"/>
                <w:szCs w:val="22"/>
              </w:rPr>
              <w:t>(4)</w:t>
            </w:r>
            <w:r w:rsidRPr="00402233">
              <w:rPr>
                <w:rFonts w:cs="Arial"/>
                <w:sz w:val="22"/>
                <w:szCs w:val="22"/>
              </w:rPr>
              <w:t xml:space="preserve"> Les mesures prévues au paragraphe (3) sont prises si la Cour fédérale est convaincue que l’office fédéral, selon le cas :</w:t>
            </w:r>
          </w:p>
          <w:p w14:paraId="7D1570E2" w14:textId="77777777" w:rsidR="00947F77" w:rsidRPr="00402233" w:rsidRDefault="00947F77" w:rsidP="00947F77">
            <w:pPr>
              <w:ind w:left="720" w:right="142"/>
              <w:jc w:val="both"/>
              <w:rPr>
                <w:rFonts w:cs="Arial"/>
                <w:sz w:val="22"/>
                <w:szCs w:val="22"/>
              </w:rPr>
            </w:pPr>
          </w:p>
          <w:p w14:paraId="3A9884DD" w14:textId="77777777" w:rsidR="00947F77" w:rsidRPr="00402233" w:rsidRDefault="00947F77" w:rsidP="00947F77">
            <w:pPr>
              <w:numPr>
                <w:ilvl w:val="0"/>
                <w:numId w:val="22"/>
              </w:numPr>
              <w:spacing w:line="240" w:lineRule="auto"/>
              <w:ind w:right="142"/>
              <w:jc w:val="both"/>
              <w:rPr>
                <w:rFonts w:cs="Arial"/>
                <w:sz w:val="22"/>
                <w:szCs w:val="22"/>
              </w:rPr>
            </w:pPr>
            <w:r w:rsidRPr="00402233">
              <w:rPr>
                <w:rFonts w:cs="Arial"/>
                <w:sz w:val="22"/>
                <w:szCs w:val="22"/>
              </w:rPr>
              <w:lastRenderedPageBreak/>
              <w:t>a agi sans compétence, outrepassé celle-ci ou refusé de l’exercer;</w:t>
            </w:r>
          </w:p>
          <w:p w14:paraId="082DE862" w14:textId="77777777" w:rsidR="00947F77" w:rsidRPr="00402233" w:rsidRDefault="00947F77" w:rsidP="00947F77">
            <w:pPr>
              <w:spacing w:line="240" w:lineRule="auto"/>
              <w:ind w:left="1080" w:right="142"/>
              <w:jc w:val="both"/>
              <w:rPr>
                <w:rFonts w:cs="Arial"/>
                <w:sz w:val="22"/>
                <w:szCs w:val="22"/>
              </w:rPr>
            </w:pPr>
          </w:p>
          <w:p w14:paraId="64389FC3" w14:textId="77777777" w:rsidR="00947F77" w:rsidRPr="00402233" w:rsidRDefault="00947F77" w:rsidP="00947F77">
            <w:pPr>
              <w:numPr>
                <w:ilvl w:val="0"/>
                <w:numId w:val="22"/>
              </w:numPr>
              <w:spacing w:line="240" w:lineRule="auto"/>
              <w:ind w:left="1077" w:right="142" w:hanging="357"/>
              <w:jc w:val="both"/>
              <w:rPr>
                <w:rFonts w:cs="Arial"/>
                <w:sz w:val="22"/>
                <w:szCs w:val="22"/>
              </w:rPr>
            </w:pPr>
            <w:r w:rsidRPr="00402233">
              <w:rPr>
                <w:rFonts w:cs="Arial"/>
                <w:sz w:val="22"/>
                <w:szCs w:val="22"/>
              </w:rPr>
              <w:t>n’a pas observé un principe de justice naturelle ou d’équité procédurale ou toute autre procédure qu’il était légalement tenu de respecter;</w:t>
            </w:r>
          </w:p>
          <w:p w14:paraId="6B55E377" w14:textId="77777777" w:rsidR="00947F77" w:rsidRPr="00402233" w:rsidRDefault="00947F77" w:rsidP="00947F77">
            <w:pPr>
              <w:spacing w:line="240" w:lineRule="auto"/>
              <w:ind w:left="1080" w:right="142"/>
              <w:jc w:val="both"/>
              <w:rPr>
                <w:rFonts w:cs="Arial"/>
                <w:sz w:val="22"/>
                <w:szCs w:val="22"/>
              </w:rPr>
            </w:pPr>
          </w:p>
          <w:p w14:paraId="59042E16" w14:textId="77777777" w:rsidR="00947F77" w:rsidRPr="00402233" w:rsidRDefault="00947F77" w:rsidP="00947F77">
            <w:pPr>
              <w:numPr>
                <w:ilvl w:val="0"/>
                <w:numId w:val="22"/>
              </w:numPr>
              <w:spacing w:line="240" w:lineRule="auto"/>
              <w:ind w:right="142"/>
              <w:jc w:val="both"/>
              <w:rPr>
                <w:rFonts w:cs="Arial"/>
                <w:sz w:val="22"/>
                <w:szCs w:val="22"/>
              </w:rPr>
            </w:pPr>
            <w:r w:rsidRPr="00402233">
              <w:rPr>
                <w:rFonts w:cs="Arial"/>
                <w:sz w:val="22"/>
                <w:szCs w:val="22"/>
              </w:rPr>
              <w:t>a rendu une décision ou une ordonnance entachée d’une erreur de droit, que celle-ci soit manifeste ou non au vu du dossier;</w:t>
            </w:r>
          </w:p>
          <w:p w14:paraId="1068E487" w14:textId="77777777" w:rsidR="00947F77" w:rsidRPr="00AA33C4" w:rsidRDefault="00947F77" w:rsidP="00947F77">
            <w:pPr>
              <w:pStyle w:val="Paragraphedeliste"/>
              <w:rPr>
                <w:rFonts w:cs="Arial"/>
                <w:sz w:val="22"/>
                <w:szCs w:val="22"/>
                <w:lang w:val="fr-CA"/>
              </w:rPr>
            </w:pPr>
          </w:p>
          <w:p w14:paraId="2313BD0D" w14:textId="77777777" w:rsidR="00947F77" w:rsidRPr="00402233" w:rsidRDefault="00947F77" w:rsidP="00947F77">
            <w:pPr>
              <w:numPr>
                <w:ilvl w:val="0"/>
                <w:numId w:val="22"/>
              </w:numPr>
              <w:spacing w:line="240" w:lineRule="auto"/>
              <w:ind w:right="142"/>
              <w:jc w:val="both"/>
              <w:rPr>
                <w:rFonts w:cs="Arial"/>
                <w:sz w:val="22"/>
                <w:szCs w:val="22"/>
              </w:rPr>
            </w:pPr>
            <w:r w:rsidRPr="00402233">
              <w:rPr>
                <w:rFonts w:cs="Arial"/>
                <w:sz w:val="22"/>
                <w:szCs w:val="22"/>
              </w:rPr>
              <w:t>a rendu une décision ou une ordonnance fondée sur une conclusion de fait erronée, tirée de façon abusive ou arbitraire ou sans tenir compte des éléments dont il dispose;</w:t>
            </w:r>
          </w:p>
          <w:p w14:paraId="4748636E" w14:textId="77777777" w:rsidR="00947F77" w:rsidRPr="00402233" w:rsidRDefault="00947F77" w:rsidP="00947F77">
            <w:pPr>
              <w:spacing w:line="240" w:lineRule="auto"/>
              <w:ind w:left="1080" w:right="142"/>
              <w:jc w:val="both"/>
              <w:rPr>
                <w:rFonts w:cs="Arial"/>
                <w:sz w:val="22"/>
                <w:szCs w:val="22"/>
              </w:rPr>
            </w:pPr>
          </w:p>
          <w:p w14:paraId="3F1B4648" w14:textId="77777777" w:rsidR="00947F77" w:rsidRPr="00402233" w:rsidRDefault="00947F77" w:rsidP="00947F77">
            <w:pPr>
              <w:numPr>
                <w:ilvl w:val="0"/>
                <w:numId w:val="22"/>
              </w:numPr>
              <w:spacing w:line="240" w:lineRule="auto"/>
              <w:ind w:right="142"/>
              <w:jc w:val="both"/>
              <w:rPr>
                <w:rFonts w:cs="Arial"/>
                <w:sz w:val="22"/>
                <w:szCs w:val="22"/>
              </w:rPr>
            </w:pPr>
            <w:r w:rsidRPr="00402233">
              <w:rPr>
                <w:rFonts w:cs="Arial"/>
                <w:sz w:val="22"/>
                <w:szCs w:val="22"/>
              </w:rPr>
              <w:t>a agi ou omis d’agir en raison d’une fraude ou de faux témoignages;</w:t>
            </w:r>
          </w:p>
          <w:p w14:paraId="14641166" w14:textId="77777777" w:rsidR="00947F77" w:rsidRPr="00AA33C4" w:rsidRDefault="00947F77" w:rsidP="00947F77">
            <w:pPr>
              <w:pStyle w:val="Paragraphedeliste"/>
              <w:rPr>
                <w:rFonts w:cs="Arial"/>
                <w:sz w:val="22"/>
                <w:szCs w:val="22"/>
                <w:lang w:val="fr-CA"/>
              </w:rPr>
            </w:pPr>
          </w:p>
          <w:p w14:paraId="5DFC3657" w14:textId="77777777" w:rsidR="00947F77" w:rsidRPr="00402233" w:rsidRDefault="00947F77" w:rsidP="00947F77">
            <w:pPr>
              <w:numPr>
                <w:ilvl w:val="0"/>
                <w:numId w:val="22"/>
              </w:numPr>
              <w:spacing w:line="240" w:lineRule="auto"/>
              <w:ind w:right="142"/>
              <w:jc w:val="both"/>
              <w:rPr>
                <w:rFonts w:cs="Arial"/>
                <w:sz w:val="22"/>
                <w:szCs w:val="22"/>
              </w:rPr>
            </w:pPr>
            <w:r w:rsidRPr="00402233">
              <w:rPr>
                <w:rFonts w:cs="Arial"/>
                <w:sz w:val="22"/>
                <w:szCs w:val="22"/>
              </w:rPr>
              <w:t>a agi de toute autre façon contraire à la loi.</w:t>
            </w:r>
          </w:p>
          <w:p w14:paraId="2D0CF910" w14:textId="77777777" w:rsidR="00947F77" w:rsidRPr="00C4271E" w:rsidRDefault="00947F77" w:rsidP="00947F77">
            <w:pPr>
              <w:spacing w:before="120"/>
              <w:ind w:left="144" w:right="720"/>
              <w:jc w:val="both"/>
              <w:rPr>
                <w:rFonts w:cs="Arial"/>
                <w:sz w:val="22"/>
                <w:szCs w:val="22"/>
                <w:lang w:val="en-CA"/>
              </w:rPr>
            </w:pPr>
            <w:r w:rsidRPr="00C4271E">
              <w:rPr>
                <w:rFonts w:cs="Arial"/>
                <w:sz w:val="22"/>
                <w:szCs w:val="22"/>
                <w:lang w:val="en-CA"/>
              </w:rPr>
              <w:t>[…]</w:t>
            </w:r>
          </w:p>
          <w:p w14:paraId="1FFD44CD" w14:textId="6A4C668B" w:rsidR="00947F77" w:rsidRPr="00C4271E" w:rsidRDefault="00947F77" w:rsidP="001C14DF">
            <w:pPr>
              <w:spacing w:before="120"/>
              <w:ind w:left="144" w:right="720"/>
              <w:jc w:val="right"/>
              <w:rPr>
                <w:rFonts w:cs="Arial"/>
                <w:sz w:val="22"/>
                <w:szCs w:val="22"/>
                <w:lang w:val="en-CA"/>
              </w:rPr>
            </w:pPr>
            <w:r w:rsidRPr="00C4271E">
              <w:rPr>
                <w:rFonts w:cs="Arial"/>
                <w:sz w:val="22"/>
                <w:szCs w:val="22"/>
                <w:lang w:val="en-CA"/>
              </w:rPr>
              <w:t>[Emphasis added]</w:t>
            </w:r>
          </w:p>
        </w:tc>
      </w:tr>
    </w:tbl>
    <w:p w14:paraId="78F5A7BB" w14:textId="35A2ADEE" w:rsidR="00540118" w:rsidRPr="00C4271E" w:rsidRDefault="00D5759B" w:rsidP="00540118">
      <w:pPr>
        <w:pStyle w:val="Paragraphe"/>
        <w:keepNext/>
        <w:keepLines/>
        <w:spacing w:line="240" w:lineRule="auto"/>
        <w:rPr>
          <w:lang w:val="en-CA"/>
        </w:rPr>
      </w:pPr>
      <w:r w:rsidRPr="00C4271E">
        <w:rPr>
          <w:lang w:val="en-CA"/>
        </w:rPr>
        <w:lastRenderedPageBreak/>
        <w:t>Thus, the Federal Court’s e</w:t>
      </w:r>
      <w:r w:rsidR="00947F77" w:rsidRPr="00C4271E">
        <w:rPr>
          <w:lang w:val="en-CA"/>
        </w:rPr>
        <w:t>x</w:t>
      </w:r>
      <w:r w:rsidRPr="00C4271E">
        <w:rPr>
          <w:lang w:val="en-CA"/>
        </w:rPr>
        <w:t>clusive powers apply to a “</w:t>
      </w:r>
      <w:r w:rsidR="00A4767E" w:rsidRPr="00C4271E">
        <w:rPr>
          <w:lang w:val="en-CA"/>
        </w:rPr>
        <w:t>federal board, commission or other tribunal</w:t>
      </w:r>
      <w:r w:rsidRPr="00C4271E">
        <w:rPr>
          <w:lang w:val="en-CA"/>
        </w:rPr>
        <w:t xml:space="preserve">” pursuant to section 18.1(3) </w:t>
      </w:r>
      <w:r w:rsidRPr="00C4271E">
        <w:rPr>
          <w:i/>
          <w:lang w:val="en-CA"/>
        </w:rPr>
        <w:t>F</w:t>
      </w:r>
      <w:r w:rsidR="004C3E30" w:rsidRPr="00C4271E">
        <w:rPr>
          <w:i/>
          <w:lang w:val="en-CA"/>
        </w:rPr>
        <w:t>.</w:t>
      </w:r>
      <w:r w:rsidRPr="00C4271E">
        <w:rPr>
          <w:i/>
          <w:lang w:val="en-CA"/>
        </w:rPr>
        <w:t>C</w:t>
      </w:r>
      <w:r w:rsidR="004C3E30" w:rsidRPr="00C4271E">
        <w:rPr>
          <w:i/>
          <w:lang w:val="en-CA"/>
        </w:rPr>
        <w:t xml:space="preserve">. </w:t>
      </w:r>
      <w:r w:rsidRPr="00C4271E">
        <w:rPr>
          <w:i/>
          <w:lang w:val="en-CA"/>
        </w:rPr>
        <w:t>A</w:t>
      </w:r>
      <w:r w:rsidR="004C3E30" w:rsidRPr="00C4271E">
        <w:rPr>
          <w:i/>
          <w:lang w:val="en-CA"/>
        </w:rPr>
        <w:t>ct</w:t>
      </w:r>
      <w:r w:rsidRPr="00C4271E">
        <w:rPr>
          <w:lang w:val="en-CA"/>
        </w:rPr>
        <w:t>.</w:t>
      </w:r>
      <w:r w:rsidR="00E6443C" w:rsidRPr="00C4271E">
        <w:rPr>
          <w:i/>
          <w:lang w:val="en-CA"/>
        </w:rPr>
        <w:t xml:space="preserve"> </w:t>
      </w:r>
      <w:r w:rsidRPr="00C4271E">
        <w:rPr>
          <w:lang w:val="en-CA"/>
        </w:rPr>
        <w:t>Paragraph 2(1) of the statute defines that expression as follows:</w:t>
      </w:r>
    </w:p>
    <w:tbl>
      <w:tblPr>
        <w:tblW w:w="0" w:type="auto"/>
        <w:tblCellMar>
          <w:left w:w="70" w:type="dxa"/>
          <w:right w:w="70" w:type="dxa"/>
        </w:tblCellMar>
        <w:tblLook w:val="0000" w:firstRow="0" w:lastRow="0" w:firstColumn="0" w:lastColumn="0" w:noHBand="0" w:noVBand="0"/>
      </w:tblPr>
      <w:tblGrid>
        <w:gridCol w:w="4684"/>
        <w:gridCol w:w="4678"/>
      </w:tblGrid>
      <w:tr w:rsidR="00243820" w:rsidRPr="00075953" w14:paraId="7E832C01" w14:textId="77777777" w:rsidTr="00140899">
        <w:tc>
          <w:tcPr>
            <w:tcW w:w="4684" w:type="dxa"/>
          </w:tcPr>
          <w:p w14:paraId="0330B14A" w14:textId="25D9876B" w:rsidR="00540118" w:rsidRPr="00C4271E" w:rsidRDefault="00947F77" w:rsidP="00140899">
            <w:pPr>
              <w:spacing w:before="120" w:after="120"/>
              <w:ind w:left="720" w:right="142"/>
              <w:jc w:val="both"/>
              <w:rPr>
                <w:rFonts w:cs="Arial"/>
                <w:sz w:val="22"/>
                <w:szCs w:val="22"/>
                <w:lang w:val="en-CA"/>
              </w:rPr>
            </w:pPr>
            <w:r w:rsidRPr="00C4271E">
              <w:rPr>
                <w:rFonts w:cs="Arial"/>
                <w:b/>
                <w:i/>
                <w:sz w:val="22"/>
                <w:szCs w:val="22"/>
                <w:lang w:val="en-CA"/>
              </w:rPr>
              <w:t>federal board, commission or other tribunal</w:t>
            </w:r>
            <w:r w:rsidRPr="00C4271E">
              <w:rPr>
                <w:rFonts w:cs="Arial"/>
                <w:sz w:val="22"/>
                <w:szCs w:val="22"/>
                <w:lang w:val="en-CA"/>
              </w:rPr>
              <w:t> means any body, person or persons having, exercising or purporting to exerci</w:t>
            </w:r>
            <w:r w:rsidR="00302F8D">
              <w:rPr>
                <w:rFonts w:cs="Arial"/>
                <w:sz w:val="22"/>
                <w:szCs w:val="22"/>
                <w:lang w:val="en-CA"/>
              </w:rPr>
              <w:t>s</w:t>
            </w:r>
            <w:r w:rsidRPr="00C4271E">
              <w:rPr>
                <w:rFonts w:cs="Arial"/>
                <w:sz w:val="22"/>
                <w:szCs w:val="22"/>
                <w:lang w:val="en-CA"/>
              </w:rPr>
              <w:t xml:space="preserve">e jurisdiction or powers conferred by or under an Act of Parliament or by or under an order made under a prerogative of the Crown, other than the Tax Court of Canada or any of its judges or associate judges, any such body </w:t>
            </w:r>
            <w:r w:rsidRPr="00C4271E">
              <w:rPr>
                <w:rFonts w:cs="Arial"/>
                <w:sz w:val="22"/>
                <w:szCs w:val="22"/>
                <w:lang w:val="en-CA"/>
              </w:rPr>
              <w:lastRenderedPageBreak/>
              <w:t>constituted or established by or under a law of a province or any such person or persons appointed under or in accordance with a law of a province or under section 96 of the</w:t>
            </w:r>
            <w:r w:rsidRPr="00C4271E">
              <w:rPr>
                <w:rFonts w:cs="Arial"/>
                <w:i/>
                <w:sz w:val="22"/>
                <w:szCs w:val="22"/>
                <w:lang w:val="en-CA"/>
              </w:rPr>
              <w:t xml:space="preserve"> Constitution Act, 1867</w:t>
            </w:r>
            <w:r w:rsidRPr="00C4271E">
              <w:rPr>
                <w:rFonts w:cs="Arial"/>
                <w:sz w:val="22"/>
                <w:szCs w:val="22"/>
                <w:lang w:val="en-CA"/>
              </w:rPr>
              <w:t>; (</w:t>
            </w:r>
            <w:r w:rsidRPr="00C4271E">
              <w:rPr>
                <w:rFonts w:cs="Arial"/>
                <w:i/>
                <w:sz w:val="22"/>
                <w:szCs w:val="22"/>
                <w:lang w:val="en-CA"/>
              </w:rPr>
              <w:t>office fédéral</w:t>
            </w:r>
            <w:r w:rsidRPr="00C4271E">
              <w:rPr>
                <w:rFonts w:cs="Arial"/>
                <w:sz w:val="22"/>
                <w:szCs w:val="22"/>
                <w:lang w:val="en-CA"/>
              </w:rPr>
              <w:t>)</w:t>
            </w:r>
          </w:p>
        </w:tc>
        <w:tc>
          <w:tcPr>
            <w:tcW w:w="4678" w:type="dxa"/>
          </w:tcPr>
          <w:p w14:paraId="7E0E1D33" w14:textId="7EE67D7D" w:rsidR="00540118" w:rsidRPr="00C4271E" w:rsidRDefault="00187B55" w:rsidP="00140899">
            <w:pPr>
              <w:spacing w:before="120"/>
              <w:ind w:left="144" w:right="720"/>
              <w:jc w:val="both"/>
              <w:rPr>
                <w:rFonts w:cs="Arial"/>
                <w:sz w:val="22"/>
                <w:szCs w:val="22"/>
                <w:lang w:val="en-CA"/>
              </w:rPr>
            </w:pPr>
            <w:r w:rsidRPr="00402233">
              <w:rPr>
                <w:rFonts w:cs="Arial"/>
                <w:b/>
                <w:bCs/>
                <w:i/>
                <w:iCs/>
                <w:sz w:val="22"/>
                <w:szCs w:val="22"/>
              </w:rPr>
              <w:lastRenderedPageBreak/>
              <w:t xml:space="preserve">office fédéral </w:t>
            </w:r>
            <w:r w:rsidRPr="00402233">
              <w:rPr>
                <w:rFonts w:cs="Arial"/>
                <w:sz w:val="22"/>
                <w:szCs w:val="22"/>
              </w:rPr>
              <w:t>Conseil, bureau, commission ou autre organisme, ou personne ou groupe de personnes, ayant, exerçant ou censé exercer une compétence ou des pouvoirs prévus par une loi</w:t>
            </w:r>
            <w:r w:rsidR="00B9670E" w:rsidRPr="00402233">
              <w:rPr>
                <w:rFonts w:cs="Arial"/>
                <w:sz w:val="22"/>
                <w:szCs w:val="22"/>
              </w:rPr>
              <w:t xml:space="preserve"> </w:t>
            </w:r>
            <w:r w:rsidRPr="00402233">
              <w:rPr>
                <w:rFonts w:cs="Arial"/>
                <w:sz w:val="22"/>
                <w:szCs w:val="22"/>
              </w:rPr>
              <w:t>fédérale ou par une ordonnance prise en vertu d’une prérogative royale, à l’exclusion de la</w:t>
            </w:r>
            <w:r w:rsidR="00B9670E" w:rsidRPr="00402233">
              <w:rPr>
                <w:rFonts w:cs="Arial"/>
                <w:sz w:val="22"/>
                <w:szCs w:val="22"/>
              </w:rPr>
              <w:t xml:space="preserve"> </w:t>
            </w:r>
            <w:r w:rsidRPr="00402233">
              <w:rPr>
                <w:rFonts w:cs="Arial"/>
                <w:sz w:val="22"/>
                <w:szCs w:val="22"/>
              </w:rPr>
              <w:t xml:space="preserve">Cour canadienne de l’impôt et ses juges et juges adjoints, d’un </w:t>
            </w:r>
            <w:r w:rsidRPr="00402233">
              <w:rPr>
                <w:rFonts w:cs="Arial"/>
                <w:sz w:val="22"/>
                <w:szCs w:val="22"/>
              </w:rPr>
              <w:lastRenderedPageBreak/>
              <w:t>organisme constitué sous le régime d’une loi</w:t>
            </w:r>
            <w:r w:rsidR="00B9670E" w:rsidRPr="00402233">
              <w:rPr>
                <w:rFonts w:cs="Arial"/>
                <w:sz w:val="22"/>
                <w:szCs w:val="22"/>
              </w:rPr>
              <w:t xml:space="preserve"> </w:t>
            </w:r>
            <w:r w:rsidRPr="00402233">
              <w:rPr>
                <w:rFonts w:cs="Arial"/>
                <w:sz w:val="22"/>
                <w:szCs w:val="22"/>
              </w:rPr>
              <w:t>provinciale ou d’une personne ou d’un groupe de personnes nommées aux termes d’une loi</w:t>
            </w:r>
            <w:r w:rsidR="00B9670E" w:rsidRPr="00402233">
              <w:rPr>
                <w:rFonts w:cs="Arial"/>
                <w:sz w:val="22"/>
                <w:szCs w:val="22"/>
              </w:rPr>
              <w:t xml:space="preserve"> </w:t>
            </w:r>
            <w:r w:rsidRPr="00402233">
              <w:rPr>
                <w:rFonts w:cs="Arial"/>
                <w:sz w:val="22"/>
                <w:szCs w:val="22"/>
              </w:rPr>
              <w:t xml:space="preserve">provinciale ou de l’article 96 de la </w:t>
            </w:r>
            <w:r w:rsidRPr="00402233">
              <w:rPr>
                <w:rFonts w:cs="Arial"/>
                <w:i/>
                <w:iCs/>
                <w:sz w:val="22"/>
                <w:szCs w:val="22"/>
              </w:rPr>
              <w:t>Loi</w:t>
            </w:r>
            <w:r w:rsidR="00B9670E" w:rsidRPr="00402233">
              <w:rPr>
                <w:rFonts w:cs="Arial"/>
                <w:i/>
                <w:iCs/>
                <w:sz w:val="22"/>
                <w:szCs w:val="22"/>
              </w:rPr>
              <w:t xml:space="preserve"> </w:t>
            </w:r>
            <w:r w:rsidRPr="00402233">
              <w:rPr>
                <w:rFonts w:cs="Arial"/>
                <w:i/>
                <w:iCs/>
                <w:sz w:val="22"/>
                <w:szCs w:val="22"/>
              </w:rPr>
              <w:t>constitutionnelle</w:t>
            </w:r>
            <w:r w:rsidR="00B9670E" w:rsidRPr="00402233">
              <w:rPr>
                <w:rFonts w:cs="Arial"/>
                <w:i/>
                <w:iCs/>
                <w:sz w:val="22"/>
                <w:szCs w:val="22"/>
              </w:rPr>
              <w:t xml:space="preserve"> </w:t>
            </w:r>
            <w:r w:rsidRPr="00402233">
              <w:rPr>
                <w:rFonts w:cs="Arial"/>
                <w:i/>
                <w:iCs/>
                <w:sz w:val="22"/>
                <w:szCs w:val="22"/>
              </w:rPr>
              <w:t>de</w:t>
            </w:r>
            <w:r w:rsidR="00B9670E" w:rsidRPr="00402233">
              <w:rPr>
                <w:rFonts w:cs="Arial"/>
                <w:i/>
                <w:iCs/>
                <w:sz w:val="22"/>
                <w:szCs w:val="22"/>
              </w:rPr>
              <w:t xml:space="preserve"> </w:t>
            </w:r>
            <w:r w:rsidRPr="00402233">
              <w:rPr>
                <w:rFonts w:cs="Arial"/>
                <w:i/>
                <w:iCs/>
                <w:sz w:val="22"/>
                <w:szCs w:val="22"/>
              </w:rPr>
              <w:t>1867</w:t>
            </w:r>
            <w:r w:rsidRPr="00402233">
              <w:rPr>
                <w:rFonts w:cs="Arial"/>
                <w:sz w:val="22"/>
                <w:szCs w:val="22"/>
              </w:rPr>
              <w:t>.</w:t>
            </w:r>
            <w:r w:rsidRPr="00AA33C4">
              <w:rPr>
                <w:rFonts w:cs="Arial"/>
                <w:sz w:val="22"/>
                <w:szCs w:val="22"/>
                <w:lang w:val="en-CA"/>
              </w:rPr>
              <w:t> </w:t>
            </w:r>
            <w:r w:rsidR="00DD6B8D" w:rsidRPr="00C4271E">
              <w:rPr>
                <w:rFonts w:cs="Arial"/>
                <w:sz w:val="22"/>
                <w:szCs w:val="22"/>
                <w:lang w:val="en-CA"/>
              </w:rPr>
              <w:t>(</w:t>
            </w:r>
            <w:r w:rsidR="00DD6B8D" w:rsidRPr="00C4271E">
              <w:rPr>
                <w:rFonts w:cs="Arial"/>
                <w:i/>
                <w:sz w:val="22"/>
                <w:szCs w:val="22"/>
                <w:lang w:val="en-CA"/>
              </w:rPr>
              <w:t>federal board, commission or other tribunal</w:t>
            </w:r>
            <w:r w:rsidR="00DD6B8D" w:rsidRPr="00C4271E">
              <w:rPr>
                <w:rFonts w:cs="Arial"/>
                <w:sz w:val="22"/>
                <w:szCs w:val="22"/>
                <w:lang w:val="en-CA"/>
              </w:rPr>
              <w:t xml:space="preserve">) </w:t>
            </w:r>
          </w:p>
        </w:tc>
      </w:tr>
    </w:tbl>
    <w:p w14:paraId="093C2AA9" w14:textId="28E76500" w:rsidR="00540118" w:rsidRPr="00C4271E" w:rsidRDefault="00D5759B" w:rsidP="00540118">
      <w:pPr>
        <w:pStyle w:val="Paragraphe"/>
        <w:spacing w:line="240" w:lineRule="auto"/>
        <w:rPr>
          <w:lang w:val="en-CA"/>
        </w:rPr>
      </w:pPr>
      <w:r w:rsidRPr="00C4271E">
        <w:rPr>
          <w:lang w:val="en-CA"/>
        </w:rPr>
        <w:lastRenderedPageBreak/>
        <w:t>Case law has interpreted these provisions.</w:t>
      </w:r>
      <w:r w:rsidR="00E6443C" w:rsidRPr="00C4271E">
        <w:rPr>
          <w:lang w:val="en-CA"/>
        </w:rPr>
        <w:t xml:space="preserve"> </w:t>
      </w:r>
      <w:r w:rsidRPr="00C4271E">
        <w:rPr>
          <w:lang w:val="en-CA"/>
        </w:rPr>
        <w:t xml:space="preserve">In </w:t>
      </w:r>
      <w:r w:rsidRPr="00C4271E">
        <w:rPr>
          <w:i/>
          <w:lang w:val="en-CA"/>
        </w:rPr>
        <w:t xml:space="preserve">ITO-Int’l Terminal Operators </w:t>
      </w:r>
      <w:r w:rsidR="00D929C5">
        <w:rPr>
          <w:i/>
          <w:lang w:val="en-CA"/>
        </w:rPr>
        <w:t>v</w:t>
      </w:r>
      <w:r w:rsidRPr="00C4271E">
        <w:rPr>
          <w:i/>
          <w:lang w:val="en-CA"/>
        </w:rPr>
        <w:t>. Miida Electronics</w:t>
      </w:r>
      <w:r w:rsidRPr="00C4271E">
        <w:rPr>
          <w:lang w:val="en-CA"/>
        </w:rPr>
        <w:t>,</w:t>
      </w:r>
      <w:bookmarkStart w:id="15" w:name="_Ref177561863"/>
      <w:r w:rsidRPr="00AA33C4">
        <w:rPr>
          <w:vertAlign w:val="superscript"/>
          <w:lang w:val="en-CA"/>
        </w:rPr>
        <w:footnoteReference w:id="18"/>
      </w:r>
      <w:bookmarkEnd w:id="15"/>
      <w:r w:rsidRPr="00C4271E">
        <w:rPr>
          <w:lang w:val="en-CA"/>
        </w:rPr>
        <w:t xml:space="preserve"> the Supreme Court stated the requirements </w:t>
      </w:r>
      <w:r w:rsidR="004A28EA" w:rsidRPr="00C4271E">
        <w:rPr>
          <w:lang w:val="en-CA"/>
        </w:rPr>
        <w:t>for</w:t>
      </w:r>
      <w:r w:rsidRPr="00C4271E">
        <w:rPr>
          <w:lang w:val="en-CA"/>
        </w:rPr>
        <w:t xml:space="preserve"> determin</w:t>
      </w:r>
      <w:r w:rsidR="004A28EA" w:rsidRPr="00C4271E">
        <w:rPr>
          <w:lang w:val="en-CA"/>
        </w:rPr>
        <w:t>ing</w:t>
      </w:r>
      <w:r w:rsidRPr="00C4271E">
        <w:rPr>
          <w:lang w:val="en-CA"/>
        </w:rPr>
        <w:t xml:space="preserve"> whether the Federal Court has exclusive jurisdiction to hear a dispute within the meaning of sections 18 and 18.1 </w:t>
      </w:r>
      <w:r w:rsidR="004C3E30" w:rsidRPr="00C4271E">
        <w:rPr>
          <w:i/>
          <w:lang w:val="en-CA"/>
        </w:rPr>
        <w:t>F.C. Act</w:t>
      </w:r>
      <w:r w:rsidR="00E6443C" w:rsidRPr="00C4271E">
        <w:rPr>
          <w:lang w:val="en-CA"/>
        </w:rPr>
        <w:t xml:space="preserve"> </w:t>
      </w:r>
      <w:r w:rsidRPr="00C4271E">
        <w:rPr>
          <w:lang w:val="en-CA"/>
        </w:rPr>
        <w:t xml:space="preserve">The Federal Court’s exclusive jurisdiction is a function of the three following conditions: </w:t>
      </w:r>
      <w:r w:rsidR="00E6443C" w:rsidRPr="00C4271E">
        <w:rPr>
          <w:lang w:val="en-CA"/>
        </w:rPr>
        <w:t xml:space="preserve"> </w:t>
      </w:r>
    </w:p>
    <w:p w14:paraId="643D5874" w14:textId="1087C5FA" w:rsidR="00540118" w:rsidRPr="00C4271E" w:rsidRDefault="00E6443C" w:rsidP="00540118">
      <w:pPr>
        <w:pStyle w:val="Citationenretrait"/>
        <w:rPr>
          <w:lang w:val="en-CA"/>
        </w:rPr>
      </w:pPr>
      <w:r w:rsidRPr="00C4271E">
        <w:rPr>
          <w:lang w:val="en-CA"/>
        </w:rPr>
        <w:t xml:space="preserve">1. </w:t>
      </w:r>
      <w:r w:rsidR="00D5759B" w:rsidRPr="00C4271E">
        <w:rPr>
          <w:lang w:val="en-CA"/>
        </w:rPr>
        <w:t>There must be a statutory grant of jurisdiction by the federal Parliament.</w:t>
      </w:r>
    </w:p>
    <w:p w14:paraId="207749C9" w14:textId="235584BA" w:rsidR="00540118" w:rsidRPr="00C4271E" w:rsidRDefault="00E6443C" w:rsidP="00540118">
      <w:pPr>
        <w:pStyle w:val="Citationenretrait"/>
        <w:rPr>
          <w:lang w:val="en-CA"/>
        </w:rPr>
      </w:pPr>
      <w:r w:rsidRPr="00C4271E">
        <w:rPr>
          <w:lang w:val="en-CA"/>
        </w:rPr>
        <w:t xml:space="preserve">2. </w:t>
      </w:r>
      <w:r w:rsidR="00D5759B" w:rsidRPr="00C4271E">
        <w:rPr>
          <w:lang w:val="en-CA"/>
        </w:rPr>
        <w:t>There must be an existing body of federal law which is essential to the disposition of the case and which nourishes the statutory grant of jurisdiction.</w:t>
      </w:r>
    </w:p>
    <w:p w14:paraId="1B567039" w14:textId="443D8FCA" w:rsidR="00540118" w:rsidRPr="00C4271E" w:rsidRDefault="00E6443C" w:rsidP="00540118">
      <w:pPr>
        <w:pStyle w:val="Citationenretrait"/>
        <w:rPr>
          <w:lang w:val="en-CA"/>
        </w:rPr>
      </w:pPr>
      <w:r w:rsidRPr="00C4271E">
        <w:rPr>
          <w:szCs w:val="22"/>
          <w:lang w:val="en-CA"/>
        </w:rPr>
        <w:t xml:space="preserve">3. </w:t>
      </w:r>
      <w:r w:rsidR="00D5759B" w:rsidRPr="00C4271E">
        <w:rPr>
          <w:szCs w:val="22"/>
          <w:lang w:val="en-CA"/>
        </w:rPr>
        <w:t xml:space="preserve">The law on which the case is based must be “a law of Canada” as the phrase is used in s. </w:t>
      </w:r>
      <w:r w:rsidR="00D5759B" w:rsidRPr="00AA33C4">
        <w:rPr>
          <w:szCs w:val="22"/>
          <w:lang w:val="en-CA"/>
        </w:rPr>
        <w:t>101 of the</w:t>
      </w:r>
      <w:r w:rsidR="00D5759B" w:rsidRPr="00C4271E">
        <w:rPr>
          <w:rStyle w:val="Hyperlien"/>
          <w:rFonts w:cs="Arial"/>
          <w:iCs/>
          <w:color w:val="auto"/>
          <w:kern w:val="28"/>
          <w:sz w:val="24"/>
          <w:szCs w:val="24"/>
          <w:u w:val="none"/>
          <w:lang w:val="en-CA"/>
        </w:rPr>
        <w:t xml:space="preserve"> </w:t>
      </w:r>
      <w:hyperlink r:id="rId9" w:history="1">
        <w:r w:rsidR="00D5759B" w:rsidRPr="00C4271E">
          <w:rPr>
            <w:rStyle w:val="Hyperlien"/>
            <w:rFonts w:cs="Arial"/>
            <w:i/>
            <w:iCs/>
            <w:color w:val="auto"/>
            <w:kern w:val="28"/>
            <w:szCs w:val="22"/>
            <w:u w:val="none"/>
            <w:lang w:val="en-CA"/>
          </w:rPr>
          <w:t>Constitution Act, 1867</w:t>
        </w:r>
      </w:hyperlink>
      <w:r w:rsidR="00D5759B" w:rsidRPr="00C4271E">
        <w:rPr>
          <w:lang w:val="en-CA"/>
        </w:rPr>
        <w:t>.</w:t>
      </w:r>
      <w:r w:rsidRPr="00AA33C4">
        <w:rPr>
          <w:rStyle w:val="Appelnotedebasdep"/>
          <w:rFonts w:cs="Arial"/>
          <w:kern w:val="28"/>
          <w:sz w:val="24"/>
          <w:szCs w:val="24"/>
          <w:lang w:val="en-CA"/>
        </w:rPr>
        <w:footnoteReference w:id="19"/>
      </w:r>
    </w:p>
    <w:p w14:paraId="5E1C0A21" w14:textId="3443B2A5" w:rsidR="00540118" w:rsidRPr="00C4271E" w:rsidRDefault="00D5759B" w:rsidP="00540118">
      <w:pPr>
        <w:pStyle w:val="Paragraphe"/>
        <w:keepNext/>
        <w:keepLines/>
        <w:spacing w:line="240" w:lineRule="auto"/>
        <w:rPr>
          <w:lang w:val="en-CA"/>
        </w:rPr>
      </w:pPr>
      <w:r w:rsidRPr="00C4271E">
        <w:rPr>
          <w:lang w:val="en-CA"/>
        </w:rPr>
        <w:t xml:space="preserve">These three conditions must be met to </w:t>
      </w:r>
      <w:r w:rsidR="00545E45" w:rsidRPr="00C4271E">
        <w:rPr>
          <w:lang w:val="en-CA"/>
        </w:rPr>
        <w:t>find</w:t>
      </w:r>
      <w:r w:rsidRPr="00C4271E">
        <w:rPr>
          <w:lang w:val="en-CA"/>
        </w:rPr>
        <w:t xml:space="preserve"> that the Federal Court has exclusive jurisdiction to hear a claim.</w:t>
      </w:r>
      <w:r w:rsidR="00E6443C" w:rsidRPr="00C4271E">
        <w:rPr>
          <w:lang w:val="en-CA"/>
        </w:rPr>
        <w:t xml:space="preserve"> </w:t>
      </w:r>
      <w:r w:rsidRPr="00C4271E">
        <w:rPr>
          <w:lang w:val="en-CA"/>
        </w:rPr>
        <w:t>On this subject, the Supreme Court emphasized that:</w:t>
      </w:r>
    </w:p>
    <w:p w14:paraId="74BD8281" w14:textId="567F1D5A" w:rsidR="00540118" w:rsidRPr="00AA33C4" w:rsidRDefault="00FB5BF2" w:rsidP="00540118">
      <w:pPr>
        <w:pStyle w:val="Citationenretrait"/>
        <w:keepNext/>
        <w:keepLines/>
        <w:rPr>
          <w:lang w:val="en-CA"/>
        </w:rPr>
      </w:pPr>
      <w:r w:rsidRPr="00C4271E">
        <w:rPr>
          <w:u w:val="single"/>
          <w:lang w:val="en-CA"/>
        </w:rPr>
        <w:t>This Court held</w:t>
      </w:r>
      <w:r w:rsidRPr="00C4271E">
        <w:rPr>
          <w:lang w:val="en-CA"/>
        </w:rPr>
        <w:t xml:space="preserve"> in </w:t>
      </w:r>
      <w:r w:rsidRPr="00C4271E">
        <w:rPr>
          <w:i/>
          <w:lang w:val="en-CA"/>
        </w:rPr>
        <w:t>ITO</w:t>
      </w:r>
      <w:r w:rsidRPr="00C4271E">
        <w:rPr>
          <w:lang w:val="en-CA"/>
        </w:rPr>
        <w:t xml:space="preserve"> </w:t>
      </w:r>
      <w:r w:rsidRPr="00C4271E">
        <w:rPr>
          <w:u w:val="single"/>
          <w:lang w:val="en-CA"/>
        </w:rPr>
        <w:t>that a statutory grant of jurisdiction is necessary, but not alone sufficient, for the Federal Court to have jurisdiction in a given case</w:t>
      </w:r>
      <w:r w:rsidRPr="00C4271E">
        <w:rPr>
          <w:lang w:val="en-CA"/>
        </w:rPr>
        <w:t>.</w:t>
      </w:r>
      <w:r w:rsidR="00E6443C" w:rsidRPr="00C4271E">
        <w:rPr>
          <w:spacing w:val="-4"/>
          <w:lang w:val="en-CA"/>
        </w:rPr>
        <w:t xml:space="preserve"> </w:t>
      </w:r>
      <w:r w:rsidR="00987300" w:rsidRPr="00C4271E">
        <w:rPr>
          <w:lang w:val="en-CA"/>
        </w:rPr>
        <w:t>Because Parliament established the Federal Court pursuant to its competence, under s.</w:t>
      </w:r>
      <w:r w:rsidR="00E6443C" w:rsidRPr="00C4271E">
        <w:rPr>
          <w:lang w:val="en-CA"/>
        </w:rPr>
        <w:t xml:space="preserve"> </w:t>
      </w:r>
      <w:r w:rsidR="00987300" w:rsidRPr="00C4271E">
        <w:rPr>
          <w:lang w:val="en-CA"/>
        </w:rPr>
        <w:t xml:space="preserve">101 of the </w:t>
      </w:r>
      <w:r w:rsidR="00987300" w:rsidRPr="00C4271E">
        <w:rPr>
          <w:i/>
          <w:lang w:val="en-CA"/>
        </w:rPr>
        <w:t>Constitution Act, 1867</w:t>
      </w:r>
      <w:r w:rsidR="00987300" w:rsidRPr="00C4271E">
        <w:rPr>
          <w:lang w:val="en-CA"/>
        </w:rPr>
        <w:t xml:space="preserve">, to establish “additional Courts for the better Administration of the Laws of Canada”, </w:t>
      </w:r>
      <w:r w:rsidR="00987300" w:rsidRPr="00C4271E">
        <w:rPr>
          <w:u w:val="single"/>
          <w:lang w:val="en-CA"/>
        </w:rPr>
        <w:t>the role of the Federal Court is constitutionally limited to administering “the Laws of Canada”, which in this context means federal law</w:t>
      </w:r>
      <w:r w:rsidR="00987300" w:rsidRPr="00C4271E">
        <w:rPr>
          <w:lang w:val="en-CA"/>
        </w:rPr>
        <w:t xml:space="preserve"> (Thomas Fuller, at p. 707; Quebec North Shore, at pp. 1065-66; Consolidated Distilleries, at pp. 521-22).</w:t>
      </w:r>
      <w:r w:rsidR="00E6443C" w:rsidRPr="00C4271E">
        <w:rPr>
          <w:lang w:val="en-CA"/>
        </w:rPr>
        <w:t xml:space="preserve"> </w:t>
      </w:r>
      <w:r w:rsidR="00E6443C" w:rsidRPr="00AA33C4">
        <w:rPr>
          <w:lang w:val="en-CA"/>
        </w:rPr>
        <w:t>[…]</w:t>
      </w:r>
      <w:bookmarkStart w:id="16" w:name="_Ref181863080"/>
      <w:r w:rsidR="00E6443C" w:rsidRPr="00AA33C4">
        <w:rPr>
          <w:vertAlign w:val="superscript"/>
          <w:lang w:val="en-CA" w:eastAsia="fr-CA"/>
        </w:rPr>
        <w:footnoteReference w:id="20"/>
      </w:r>
      <w:bookmarkEnd w:id="16"/>
    </w:p>
    <w:p w14:paraId="25448BFF" w14:textId="38A1586F" w:rsidR="00540118" w:rsidRPr="00AA33C4" w:rsidRDefault="00987300" w:rsidP="00540118">
      <w:pPr>
        <w:pStyle w:val="Citationenretrait"/>
        <w:jc w:val="right"/>
        <w:rPr>
          <w:lang w:val="en-CA"/>
        </w:rPr>
      </w:pPr>
      <w:r w:rsidRPr="00AA33C4">
        <w:rPr>
          <w:lang w:val="en-CA"/>
        </w:rPr>
        <w:t xml:space="preserve"> [Emphasis added]</w:t>
      </w:r>
    </w:p>
    <w:p w14:paraId="51BB764D" w14:textId="722F2B91" w:rsidR="00540118" w:rsidRPr="00C4271E" w:rsidRDefault="00E33D6F" w:rsidP="000E66D8">
      <w:pPr>
        <w:pStyle w:val="Paragraphe"/>
        <w:spacing w:line="240" w:lineRule="auto"/>
        <w:rPr>
          <w:lang w:val="en-CA"/>
        </w:rPr>
      </w:pPr>
      <w:r w:rsidRPr="00C4271E">
        <w:rPr>
          <w:lang w:val="en-CA"/>
        </w:rPr>
        <w:t xml:space="preserve">A body may be characterized as a </w:t>
      </w:r>
      <w:r w:rsidR="00545E45" w:rsidRPr="00C4271E">
        <w:rPr>
          <w:lang w:val="en-CA"/>
        </w:rPr>
        <w:t>“</w:t>
      </w:r>
      <w:r w:rsidR="00A4767E" w:rsidRPr="00C4271E">
        <w:rPr>
          <w:lang w:val="en-CA"/>
        </w:rPr>
        <w:t>federal board, commission or other tribunal</w:t>
      </w:r>
      <w:r w:rsidR="00545E45" w:rsidRPr="00C4271E">
        <w:rPr>
          <w:lang w:val="en-CA"/>
        </w:rPr>
        <w:t>”</w:t>
      </w:r>
      <w:r w:rsidRPr="00C4271E">
        <w:rPr>
          <w:lang w:val="en-CA"/>
        </w:rPr>
        <w:t xml:space="preserve"> within the meaning of the </w:t>
      </w:r>
      <w:r w:rsidR="004C3E30" w:rsidRPr="00C4271E">
        <w:rPr>
          <w:i/>
          <w:iCs/>
          <w:lang w:val="en-CA"/>
        </w:rPr>
        <w:t>F.C. Act</w:t>
      </w:r>
      <w:r w:rsidRPr="00C4271E">
        <w:rPr>
          <w:lang w:val="en-CA"/>
        </w:rPr>
        <w:t xml:space="preserve"> if it exercises jurisdiction or powers conferred by </w:t>
      </w:r>
      <w:r w:rsidR="00D66A88">
        <w:rPr>
          <w:lang w:val="en-CA"/>
        </w:rPr>
        <w:t xml:space="preserve">an </w:t>
      </w:r>
      <w:r w:rsidR="00D66A88">
        <w:rPr>
          <w:lang w:val="en-CA"/>
        </w:rPr>
        <w:lastRenderedPageBreak/>
        <w:t>Act of Parliament</w:t>
      </w:r>
      <w:r w:rsidRPr="00C4271E">
        <w:rPr>
          <w:lang w:val="en-CA"/>
        </w:rPr>
        <w:t xml:space="preserve"> or if it exercises jurisdiction or a </w:t>
      </w:r>
      <w:r w:rsidR="00545E45" w:rsidRPr="00C4271E">
        <w:rPr>
          <w:lang w:val="en-CA"/>
        </w:rPr>
        <w:t xml:space="preserve">power with a </w:t>
      </w:r>
      <w:r w:rsidRPr="00C4271E">
        <w:rPr>
          <w:lang w:val="en-CA"/>
        </w:rPr>
        <w:t>“public</w:t>
      </w:r>
      <w:r w:rsidR="00545E45" w:rsidRPr="00C4271E">
        <w:rPr>
          <w:lang w:val="en-CA"/>
        </w:rPr>
        <w:t xml:space="preserve"> character</w:t>
      </w:r>
      <w:r w:rsidRPr="00C4271E">
        <w:rPr>
          <w:lang w:val="en-CA"/>
        </w:rPr>
        <w:t>”.</w:t>
      </w:r>
      <w:bookmarkStart w:id="18" w:name="_Ref168686314"/>
      <w:r w:rsidRPr="00AA33C4">
        <w:rPr>
          <w:vertAlign w:val="superscript"/>
          <w:lang w:val="en-CA"/>
        </w:rPr>
        <w:footnoteReference w:id="21"/>
      </w:r>
      <w:bookmarkEnd w:id="18"/>
      <w:r w:rsidR="00E6443C" w:rsidRPr="00C4271E">
        <w:rPr>
          <w:lang w:val="en-CA"/>
        </w:rPr>
        <w:t xml:space="preserve"> </w:t>
      </w:r>
      <w:r w:rsidRPr="00C4271E">
        <w:rPr>
          <w:lang w:val="en-CA"/>
        </w:rPr>
        <w:t xml:space="preserve">On several occasions, the case law, in particular that of the Federal Court of Appeal, has recognized that the Federal Court has jurisdiction to hear an application for the judicial review of a decision </w:t>
      </w:r>
      <w:r w:rsidR="000E66D8" w:rsidRPr="00C4271E">
        <w:rPr>
          <w:lang w:val="en-CA"/>
        </w:rPr>
        <w:t>made</w:t>
      </w:r>
      <w:r w:rsidRPr="00C4271E">
        <w:rPr>
          <w:lang w:val="en-CA"/>
        </w:rPr>
        <w:t xml:space="preserve"> by a band council</w:t>
      </w:r>
      <w:r w:rsidRPr="00AA33C4">
        <w:rPr>
          <w:rStyle w:val="Appelnotedebasdep"/>
          <w:lang w:val="en-CA"/>
        </w:rPr>
        <w:footnoteReference w:id="22"/>
      </w:r>
      <w:r w:rsidRPr="00C4271E">
        <w:rPr>
          <w:lang w:val="en-CA"/>
        </w:rPr>
        <w:t xml:space="preserve"> when the issue in dispute is public in nature and the power conferred on the band to make this decision arises from “a law of Canada”, which includes the </w:t>
      </w:r>
      <w:r w:rsidRPr="00C4271E">
        <w:rPr>
          <w:i/>
          <w:iCs/>
          <w:lang w:val="en-CA"/>
        </w:rPr>
        <w:t>I</w:t>
      </w:r>
      <w:r w:rsidR="00E0301B" w:rsidRPr="00C4271E">
        <w:rPr>
          <w:i/>
          <w:iCs/>
          <w:lang w:val="en-CA"/>
        </w:rPr>
        <w:t>.</w:t>
      </w:r>
      <w:r w:rsidRPr="00C4271E">
        <w:rPr>
          <w:i/>
          <w:iCs/>
          <w:lang w:val="en-CA"/>
        </w:rPr>
        <w:t>A</w:t>
      </w:r>
      <w:r w:rsidR="00E0301B" w:rsidRPr="00C4271E">
        <w:rPr>
          <w:i/>
          <w:iCs/>
          <w:lang w:val="en-CA"/>
        </w:rPr>
        <w:t>.</w:t>
      </w:r>
      <w:r w:rsidRPr="00C4271E">
        <w:rPr>
          <w:lang w:val="en-CA"/>
        </w:rPr>
        <w:t xml:space="preserve"> and First Nation customary rules or practices: </w:t>
      </w:r>
      <w:r w:rsidR="00E6443C" w:rsidRPr="00C4271E">
        <w:rPr>
          <w:lang w:val="en-CA"/>
        </w:rPr>
        <w:t xml:space="preserve"> </w:t>
      </w:r>
    </w:p>
    <w:p w14:paraId="1FB63873" w14:textId="13BFBD55" w:rsidR="00540118" w:rsidRPr="00C4271E" w:rsidRDefault="00E6443C" w:rsidP="00540118">
      <w:pPr>
        <w:pStyle w:val="Citationenretrait"/>
        <w:rPr>
          <w:lang w:val="en-CA"/>
        </w:rPr>
      </w:pPr>
      <w:r w:rsidRPr="00C4271E">
        <w:rPr>
          <w:lang w:val="en-CA"/>
        </w:rPr>
        <w:t>[29]</w:t>
      </w:r>
      <w:r w:rsidRPr="00C4271E">
        <w:rPr>
          <w:lang w:val="en-CA"/>
        </w:rPr>
        <w:tab/>
      </w:r>
      <w:r w:rsidR="00E33D6F" w:rsidRPr="00C4271E">
        <w:rPr>
          <w:lang w:val="en-CA"/>
        </w:rPr>
        <w:t xml:space="preserve">The Federal Court of Appeal and this Court have held on numerous occasions that </w:t>
      </w:r>
      <w:r w:rsidR="00E33D6F" w:rsidRPr="00C4271E">
        <w:rPr>
          <w:u w:val="single"/>
          <w:lang w:val="en-CA"/>
        </w:rPr>
        <w:t xml:space="preserve">the Federal Court has jurisdiction to review decisions of a First Nation council where the issue is over a matter that is “public” in nature, and where a source of the jurisdiction or power originates from an Act of Parliament such as the </w:t>
      </w:r>
      <w:r w:rsidR="00E33D6F" w:rsidRPr="00C4271E">
        <w:rPr>
          <w:i/>
          <w:u w:val="single"/>
          <w:lang w:val="en-CA"/>
        </w:rPr>
        <w:t>Indian Act</w:t>
      </w:r>
      <w:r w:rsidR="00E33D6F" w:rsidRPr="00C4271E">
        <w:rPr>
          <w:u w:val="single"/>
          <w:lang w:val="en-CA"/>
        </w:rPr>
        <w:t>, including where the power also involves the application of Indigenous law, custom or practice of the First Nation</w:t>
      </w:r>
      <w:r w:rsidR="00E33D6F" w:rsidRPr="00C4271E">
        <w:rPr>
          <w:lang w:val="en-CA"/>
        </w:rPr>
        <w:t>.</w:t>
      </w:r>
      <w:r w:rsidRPr="00C4271E">
        <w:rPr>
          <w:lang w:val="en-CA"/>
        </w:rPr>
        <w:t xml:space="preserve"> </w:t>
      </w:r>
      <w:r w:rsidR="00E33D6F" w:rsidRPr="00C4271E">
        <w:rPr>
          <w:lang w:val="en-CA"/>
        </w:rPr>
        <w:t xml:space="preserve">As such, First Nation councils and bodies created by them or by First Nations as a whole (through custom or otherwise), such as election appeal tribunals or election committees, have historically been recognized as a “federal board, commission or other tribunal” for the purposes of the </w:t>
      </w:r>
      <w:r w:rsidR="00E33D6F" w:rsidRPr="00C4271E">
        <w:rPr>
          <w:i/>
          <w:lang w:val="en-CA"/>
        </w:rPr>
        <w:t>FC Act</w:t>
      </w:r>
      <w:r w:rsidR="00E33D6F" w:rsidRPr="00C4271E">
        <w:rPr>
          <w:lang w:val="en-CA"/>
        </w:rPr>
        <w:t xml:space="preserve"> when making decisions under those powers.</w:t>
      </w:r>
      <w:r w:rsidRPr="00C4271E">
        <w:rPr>
          <w:lang w:val="en-CA"/>
        </w:rPr>
        <w:t xml:space="preserve"> </w:t>
      </w:r>
      <w:bookmarkStart w:id="19" w:name="_Ref177562209"/>
      <w:r w:rsidR="00E33D6F" w:rsidRPr="00C4271E">
        <w:rPr>
          <w:u w:val="single"/>
          <w:lang w:val="en-CA"/>
        </w:rPr>
        <w:t>The Court’s jurisdiction also extends to the individual Chief and councillors acting, or purporting to act, in their official capacity under those powers</w:t>
      </w:r>
      <w:r w:rsidR="00E33D6F" w:rsidRPr="00C4271E">
        <w:rPr>
          <w:lang w:val="en-CA"/>
        </w:rPr>
        <w:t>.</w:t>
      </w:r>
      <w:r w:rsidRPr="00AA33C4">
        <w:rPr>
          <w:rStyle w:val="Appelnotedebasdep"/>
          <w:lang w:val="en-CA"/>
        </w:rPr>
        <w:footnoteReference w:id="23"/>
      </w:r>
      <w:bookmarkEnd w:id="19"/>
    </w:p>
    <w:p w14:paraId="2CA04A67" w14:textId="500EE712" w:rsidR="00540118" w:rsidRPr="00AA33C4" w:rsidRDefault="00E33D6F" w:rsidP="00540118">
      <w:pPr>
        <w:pStyle w:val="Citationenretrait"/>
        <w:jc w:val="right"/>
        <w:rPr>
          <w:lang w:val="en-CA"/>
        </w:rPr>
      </w:pPr>
      <w:r w:rsidRPr="00AA33C4">
        <w:rPr>
          <w:lang w:val="en-CA"/>
        </w:rPr>
        <w:t>[References omitted; emphasis added]</w:t>
      </w:r>
    </w:p>
    <w:p w14:paraId="1C5314DB" w14:textId="60DE8D47" w:rsidR="00540118" w:rsidRPr="00C4271E" w:rsidRDefault="00E33D6F" w:rsidP="00DF74E5">
      <w:pPr>
        <w:pStyle w:val="Paragraphe"/>
        <w:spacing w:line="240" w:lineRule="auto"/>
        <w:rPr>
          <w:lang w:val="en-CA"/>
        </w:rPr>
      </w:pPr>
      <w:r w:rsidRPr="00C4271E">
        <w:rPr>
          <w:lang w:val="en-CA"/>
        </w:rPr>
        <w:t xml:space="preserve">The notion of </w:t>
      </w:r>
      <w:r w:rsidR="00867F6B">
        <w:rPr>
          <w:lang w:val="en-CA"/>
        </w:rPr>
        <w:t>“</w:t>
      </w:r>
      <w:r w:rsidR="00B52643">
        <w:rPr>
          <w:lang w:val="en-CA"/>
        </w:rPr>
        <w:t>decision</w:t>
      </w:r>
      <w:r w:rsidR="00867F6B">
        <w:rPr>
          <w:lang w:val="en-CA"/>
        </w:rPr>
        <w:t>”</w:t>
      </w:r>
      <w:r w:rsidR="00867F6B" w:rsidRPr="00C4271E">
        <w:rPr>
          <w:lang w:val="en-CA"/>
        </w:rPr>
        <w:t xml:space="preserve"> </w:t>
      </w:r>
      <w:r w:rsidRPr="00C4271E">
        <w:rPr>
          <w:lang w:val="en-CA"/>
        </w:rPr>
        <w:t>is also broadly interpreted in case law.</w:t>
      </w:r>
      <w:r w:rsidR="00E6443C" w:rsidRPr="00C4271E">
        <w:rPr>
          <w:lang w:val="en-CA"/>
        </w:rPr>
        <w:t xml:space="preserve"> </w:t>
      </w:r>
      <w:r w:rsidRPr="00C4271E">
        <w:rPr>
          <w:lang w:val="en-CA"/>
        </w:rPr>
        <w:t xml:space="preserve">In </w:t>
      </w:r>
      <w:r w:rsidRPr="00C4271E">
        <w:rPr>
          <w:i/>
          <w:lang w:val="en-CA"/>
        </w:rPr>
        <w:t>Air Canada v. Toronto Port Authority</w:t>
      </w:r>
      <w:r w:rsidRPr="00C4271E">
        <w:rPr>
          <w:lang w:val="en-CA"/>
        </w:rPr>
        <w:t xml:space="preserve">, the Federal Court of Appeal relied on the wording of the </w:t>
      </w:r>
      <w:r w:rsidRPr="00C4271E">
        <w:rPr>
          <w:i/>
          <w:iCs/>
          <w:lang w:val="en-CA"/>
        </w:rPr>
        <w:t>F</w:t>
      </w:r>
      <w:r w:rsidR="004C3E30" w:rsidRPr="00C4271E">
        <w:rPr>
          <w:i/>
          <w:iCs/>
          <w:lang w:val="en-CA"/>
        </w:rPr>
        <w:t>.</w:t>
      </w:r>
      <w:r w:rsidRPr="00C4271E">
        <w:rPr>
          <w:i/>
          <w:iCs/>
          <w:lang w:val="en-CA"/>
        </w:rPr>
        <w:t>C</w:t>
      </w:r>
      <w:r w:rsidR="004C3E30" w:rsidRPr="00C4271E">
        <w:rPr>
          <w:i/>
          <w:iCs/>
          <w:lang w:val="en-CA"/>
        </w:rPr>
        <w:t xml:space="preserve">. </w:t>
      </w:r>
      <w:r w:rsidRPr="00C4271E">
        <w:rPr>
          <w:i/>
          <w:iCs/>
          <w:lang w:val="en-CA"/>
        </w:rPr>
        <w:t>A</w:t>
      </w:r>
      <w:r w:rsidR="004C3E30" w:rsidRPr="00C4271E">
        <w:rPr>
          <w:i/>
          <w:iCs/>
          <w:lang w:val="en-CA"/>
        </w:rPr>
        <w:t>ct</w:t>
      </w:r>
      <w:r w:rsidRPr="00C4271E">
        <w:rPr>
          <w:lang w:val="en-CA"/>
        </w:rPr>
        <w:t xml:space="preserve"> to circumscribe the scope of decisions subject to judicial review.</w:t>
      </w:r>
      <w:r w:rsidR="00E6443C" w:rsidRPr="00C4271E">
        <w:rPr>
          <w:lang w:val="en-CA"/>
        </w:rPr>
        <w:t xml:space="preserve"> </w:t>
      </w:r>
      <w:r w:rsidRPr="00C4271E">
        <w:rPr>
          <w:lang w:val="en-CA"/>
        </w:rPr>
        <w:t xml:space="preserve">It concluded that any act, order, or proceeding, as well as </w:t>
      </w:r>
      <w:r w:rsidR="008D15E4" w:rsidRPr="00C4271E">
        <w:rPr>
          <w:lang w:val="en-CA"/>
        </w:rPr>
        <w:t>any</w:t>
      </w:r>
      <w:r w:rsidRPr="00C4271E">
        <w:rPr>
          <w:lang w:val="en-CA"/>
        </w:rPr>
        <w:t xml:space="preserve"> failure or delay in their execution, were decisions rendered by a band council within the meaning of section 18.1(1) </w:t>
      </w:r>
      <w:r w:rsidR="004C3E30" w:rsidRPr="00C4271E">
        <w:rPr>
          <w:i/>
          <w:iCs/>
          <w:lang w:val="en-CA"/>
        </w:rPr>
        <w:t>F.C. Act</w:t>
      </w:r>
      <w:r w:rsidRPr="00C4271E">
        <w:rPr>
          <w:i/>
          <w:iCs/>
          <w:lang w:val="en-CA"/>
        </w:rPr>
        <w:t>.</w:t>
      </w:r>
      <w:r w:rsidR="00E6443C" w:rsidRPr="00C4271E">
        <w:rPr>
          <w:lang w:val="en-CA"/>
        </w:rPr>
        <w:t>:</w:t>
      </w:r>
    </w:p>
    <w:p w14:paraId="3A53DB51" w14:textId="0AE379D2" w:rsidR="00540118" w:rsidRPr="00C4271E" w:rsidRDefault="00E6443C" w:rsidP="00540118">
      <w:pPr>
        <w:pStyle w:val="Citationenretrait"/>
        <w:rPr>
          <w:lang w:val="en-CA"/>
        </w:rPr>
      </w:pPr>
      <w:r w:rsidRPr="00C4271E">
        <w:rPr>
          <w:lang w:val="en-CA"/>
        </w:rPr>
        <w:t>[24]</w:t>
      </w:r>
      <w:r w:rsidRPr="00C4271E">
        <w:rPr>
          <w:lang w:val="en-CA"/>
        </w:rPr>
        <w:tab/>
      </w:r>
      <w:r w:rsidR="00E33D6F" w:rsidRPr="00C4271E">
        <w:rPr>
          <w:lang w:val="en-CA"/>
        </w:rPr>
        <w:t xml:space="preserve">Subsection 18.1(1) [as enacted by S.C. 1990, c. 8, s. 5] of the </w:t>
      </w:r>
      <w:r w:rsidR="00E33D6F" w:rsidRPr="00C4271E">
        <w:rPr>
          <w:i/>
          <w:lang w:val="en-CA"/>
        </w:rPr>
        <w:t>Federal Courts Act</w:t>
      </w:r>
      <w:r w:rsidR="00E33D6F" w:rsidRPr="00C4271E">
        <w:rPr>
          <w:lang w:val="en-CA"/>
        </w:rPr>
        <w:t xml:space="preserve"> provides that an application for judicial review may be made by the Attorney General of Canada or by anyone directly affected by “the matter in respect of which relief is sought.”</w:t>
      </w:r>
      <w:r w:rsidRPr="00C4271E">
        <w:rPr>
          <w:lang w:val="en-CA"/>
        </w:rPr>
        <w:t xml:space="preserve"> </w:t>
      </w:r>
      <w:r w:rsidR="00E33D6F" w:rsidRPr="00C4271E">
        <w:rPr>
          <w:u w:val="single"/>
          <w:lang w:val="en-CA"/>
        </w:rPr>
        <w:t xml:space="preserve">A “matter” that can be subject of judicial review includes not only a “decision or order”, but any matter in respect of which a remedy may be </w:t>
      </w:r>
      <w:r w:rsidR="00E33D6F" w:rsidRPr="00C4271E">
        <w:rPr>
          <w:u w:val="single"/>
          <w:lang w:val="en-CA"/>
        </w:rPr>
        <w:lastRenderedPageBreak/>
        <w:t xml:space="preserve">available under section 18 </w:t>
      </w:r>
      <w:r w:rsidR="00A11C17" w:rsidRPr="00C4271E">
        <w:rPr>
          <w:u w:val="single"/>
          <w:lang w:val="en-CA"/>
        </w:rPr>
        <w:t>[</w:t>
      </w:r>
      <w:r w:rsidR="00E33D6F" w:rsidRPr="00C4271E">
        <w:rPr>
          <w:u w:val="single"/>
          <w:lang w:val="en-CA"/>
        </w:rPr>
        <w:t>...</w:t>
      </w:r>
      <w:r w:rsidR="00A11C17" w:rsidRPr="00C4271E">
        <w:rPr>
          <w:u w:val="single"/>
          <w:lang w:val="en-CA"/>
        </w:rPr>
        <w:t>]</w:t>
      </w:r>
      <w:r w:rsidR="00E33D6F" w:rsidRPr="00C4271E">
        <w:rPr>
          <w:u w:val="single"/>
          <w:lang w:val="en-CA"/>
        </w:rPr>
        <w:t xml:space="preserve"> of the Federal Courts Act</w:t>
      </w:r>
      <w:r w:rsidR="00E33D6F" w:rsidRPr="00C4271E">
        <w:rPr>
          <w:lang w:val="en-CA"/>
        </w:rPr>
        <w:t>:</w:t>
      </w:r>
      <w:r w:rsidRPr="00C4271E">
        <w:rPr>
          <w:lang w:val="en-CA"/>
        </w:rPr>
        <w:t xml:space="preserve"> </w:t>
      </w:r>
      <w:r w:rsidR="00E33D6F" w:rsidRPr="00C4271E">
        <w:rPr>
          <w:lang w:val="en-CA"/>
        </w:rPr>
        <w:t xml:space="preserve">Subsection 18.1(3) </w:t>
      </w:r>
      <w:r w:rsidR="00A11C17" w:rsidRPr="00C4271E">
        <w:rPr>
          <w:lang w:val="en-CA"/>
        </w:rPr>
        <w:t>[</w:t>
      </w:r>
      <w:r w:rsidR="00E33D6F" w:rsidRPr="00C4271E">
        <w:rPr>
          <w:lang w:val="en-CA"/>
        </w:rPr>
        <w:t>...</w:t>
      </w:r>
      <w:r w:rsidR="00A11C17" w:rsidRPr="00C4271E">
        <w:rPr>
          <w:lang w:val="en-CA"/>
        </w:rPr>
        <w:t>]</w:t>
      </w:r>
      <w:r w:rsidR="00E33D6F" w:rsidRPr="00C4271E">
        <w:rPr>
          <w:lang w:val="en-CA"/>
        </w:rPr>
        <w:t xml:space="preserve"> sheds further light on this, referring </w:t>
      </w:r>
      <w:r w:rsidR="00E33D6F" w:rsidRPr="00C4271E">
        <w:rPr>
          <w:u w:val="single"/>
          <w:lang w:val="en-CA"/>
        </w:rPr>
        <w:t>to relief for an “act or thing”, a failure, refusal or delay to do an “act or thing”, a “decision”, an “order” and a “proceeding”</w:t>
      </w:r>
      <w:r w:rsidR="00E33D6F" w:rsidRPr="00C4271E">
        <w:rPr>
          <w:lang w:val="en-CA"/>
        </w:rPr>
        <w:t>.</w:t>
      </w:r>
      <w:r w:rsidRPr="00C4271E">
        <w:rPr>
          <w:lang w:val="en-CA"/>
        </w:rPr>
        <w:t xml:space="preserve"> </w:t>
      </w:r>
      <w:bookmarkStart w:id="20" w:name="_Ref169096991"/>
      <w:r w:rsidR="00E33D6F" w:rsidRPr="00C4271E">
        <w:rPr>
          <w:lang w:val="en-CA"/>
        </w:rPr>
        <w:t>Finally, the rules that govern applications for judicial review apply to “applications for judicial review of administrative action”, not just applications for judicial review of “decisions or orders”.</w:t>
      </w:r>
      <w:r w:rsidRPr="00AA33C4">
        <w:rPr>
          <w:rStyle w:val="Appelnotedebasdep"/>
          <w:lang w:val="en-CA"/>
        </w:rPr>
        <w:footnoteReference w:id="24"/>
      </w:r>
      <w:bookmarkEnd w:id="20"/>
    </w:p>
    <w:p w14:paraId="3E119063" w14:textId="74ECC8B7" w:rsidR="00540118" w:rsidRPr="00AA33C4" w:rsidRDefault="00E33D6F" w:rsidP="00540118">
      <w:pPr>
        <w:pStyle w:val="Citationenretrait"/>
        <w:jc w:val="right"/>
        <w:rPr>
          <w:lang w:val="en-CA"/>
        </w:rPr>
      </w:pPr>
      <w:r w:rsidRPr="00AA33C4">
        <w:rPr>
          <w:lang w:val="en-CA"/>
        </w:rPr>
        <w:t>[References omitted; emphasis added]</w:t>
      </w:r>
    </w:p>
    <w:p w14:paraId="42DCF743" w14:textId="291EA0F1" w:rsidR="00540118" w:rsidRPr="00C4271E" w:rsidRDefault="00F668F8" w:rsidP="00540118">
      <w:pPr>
        <w:pStyle w:val="Paragraphe"/>
        <w:spacing w:line="240" w:lineRule="auto"/>
        <w:rPr>
          <w:lang w:val="en-CA"/>
        </w:rPr>
      </w:pPr>
      <w:r w:rsidRPr="00C4271E">
        <w:rPr>
          <w:lang w:val="en-CA"/>
        </w:rPr>
        <w:t xml:space="preserve">In accordance with section 18(1) </w:t>
      </w:r>
      <w:r w:rsidRPr="00C4271E">
        <w:rPr>
          <w:i/>
          <w:iCs/>
          <w:lang w:val="en-CA"/>
        </w:rPr>
        <w:t>F</w:t>
      </w:r>
      <w:r w:rsidR="004C3E30" w:rsidRPr="00C4271E">
        <w:rPr>
          <w:i/>
          <w:iCs/>
          <w:lang w:val="en-CA"/>
        </w:rPr>
        <w:t>.</w:t>
      </w:r>
      <w:r w:rsidRPr="00C4271E">
        <w:rPr>
          <w:i/>
          <w:iCs/>
          <w:lang w:val="en-CA"/>
        </w:rPr>
        <w:t>C</w:t>
      </w:r>
      <w:r w:rsidR="004C3E30" w:rsidRPr="00C4271E">
        <w:rPr>
          <w:i/>
          <w:iCs/>
          <w:lang w:val="en-CA"/>
        </w:rPr>
        <w:t xml:space="preserve">. </w:t>
      </w:r>
      <w:r w:rsidRPr="00C4271E">
        <w:rPr>
          <w:i/>
          <w:iCs/>
          <w:lang w:val="en-CA"/>
        </w:rPr>
        <w:t>A</w:t>
      </w:r>
      <w:r w:rsidR="004C3E30" w:rsidRPr="00C4271E">
        <w:rPr>
          <w:i/>
          <w:iCs/>
          <w:lang w:val="en-CA"/>
        </w:rPr>
        <w:t>ct</w:t>
      </w:r>
      <w:r w:rsidRPr="00C4271E">
        <w:rPr>
          <w:lang w:val="en-CA"/>
        </w:rPr>
        <w:t xml:space="preserve">, the Federal Court can grant the injured party any application or grant any remedial claim against any </w:t>
      </w:r>
      <w:r w:rsidR="00562129" w:rsidRPr="00C4271E">
        <w:rPr>
          <w:lang w:val="en-CA"/>
        </w:rPr>
        <w:t>federal board, commission or other tribunal</w:t>
      </w:r>
      <w:r w:rsidRPr="00C4271E">
        <w:rPr>
          <w:lang w:val="en-CA"/>
        </w:rPr>
        <w:t xml:space="preserve"> to correct “any other act” that a decision-maker accomplished or refused to accomplish.</w:t>
      </w:r>
      <w:r w:rsidRPr="00AA33C4">
        <w:rPr>
          <w:rStyle w:val="Appelnotedebasdep"/>
          <w:lang w:val="en-CA"/>
        </w:rPr>
        <w:footnoteReference w:id="25"/>
      </w:r>
      <w:r w:rsidR="00E6443C" w:rsidRPr="00C4271E">
        <w:rPr>
          <w:kern w:val="24"/>
          <w:szCs w:val="24"/>
          <w:lang w:val="en-CA"/>
        </w:rPr>
        <w:t xml:space="preserve"> </w:t>
      </w:r>
      <w:r w:rsidRPr="00C4271E">
        <w:rPr>
          <w:kern w:val="24"/>
          <w:szCs w:val="24"/>
          <w:lang w:val="en-CA"/>
        </w:rPr>
        <w:t xml:space="preserve">It therefore has jurisdiction to issue an injunction, a writ of </w:t>
      </w:r>
      <w:r w:rsidRPr="00C4271E">
        <w:rPr>
          <w:i/>
          <w:kern w:val="24"/>
          <w:szCs w:val="24"/>
          <w:lang w:val="en-CA"/>
        </w:rPr>
        <w:t>certiorari</w:t>
      </w:r>
      <w:r w:rsidRPr="00C4271E">
        <w:rPr>
          <w:kern w:val="24"/>
          <w:szCs w:val="24"/>
          <w:lang w:val="en-CA"/>
        </w:rPr>
        <w:t xml:space="preserve">, </w:t>
      </w:r>
      <w:r w:rsidRPr="00C4271E">
        <w:rPr>
          <w:i/>
          <w:kern w:val="24"/>
          <w:szCs w:val="24"/>
          <w:lang w:val="en-CA"/>
        </w:rPr>
        <w:t>mandamus</w:t>
      </w:r>
      <w:r w:rsidRPr="00C4271E">
        <w:rPr>
          <w:kern w:val="24"/>
          <w:szCs w:val="24"/>
          <w:lang w:val="en-CA"/>
        </w:rPr>
        <w:t xml:space="preserve">, prohibition, or </w:t>
      </w:r>
      <w:r w:rsidRPr="00C4271E">
        <w:rPr>
          <w:i/>
          <w:kern w:val="24"/>
          <w:szCs w:val="24"/>
          <w:lang w:val="en-CA"/>
        </w:rPr>
        <w:t>quo warranto</w:t>
      </w:r>
      <w:r w:rsidRPr="00C4271E">
        <w:rPr>
          <w:kern w:val="24"/>
          <w:szCs w:val="24"/>
          <w:lang w:val="en-CA"/>
        </w:rPr>
        <w:t xml:space="preserve">, or to make a declaratory judgment against any </w:t>
      </w:r>
      <w:r w:rsidR="00562129" w:rsidRPr="00C4271E">
        <w:rPr>
          <w:kern w:val="24"/>
          <w:szCs w:val="24"/>
          <w:lang w:val="en-CA"/>
        </w:rPr>
        <w:t>federal board, commission or other tribunal</w:t>
      </w:r>
      <w:r w:rsidRPr="00C4271E">
        <w:rPr>
          <w:kern w:val="24"/>
          <w:szCs w:val="24"/>
          <w:lang w:val="en-CA"/>
        </w:rPr>
        <w:t>:</w:t>
      </w:r>
    </w:p>
    <w:p w14:paraId="3206A241" w14:textId="02CB997F" w:rsidR="00540118" w:rsidRPr="00C4271E" w:rsidRDefault="00E6443C" w:rsidP="00540118">
      <w:pPr>
        <w:pStyle w:val="Citationenretrait"/>
        <w:rPr>
          <w:lang w:val="en-CA"/>
        </w:rPr>
      </w:pPr>
      <w:r w:rsidRPr="00C4271E">
        <w:rPr>
          <w:lang w:val="en-CA"/>
        </w:rPr>
        <w:t>[52]</w:t>
      </w:r>
      <w:r w:rsidRPr="00C4271E">
        <w:rPr>
          <w:sz w:val="14"/>
          <w:szCs w:val="14"/>
          <w:lang w:val="en-CA"/>
        </w:rPr>
        <w:tab/>
      </w:r>
      <w:r w:rsidR="00F668F8" w:rsidRPr="00C4271E">
        <w:rPr>
          <w:lang w:val="en-CA"/>
        </w:rPr>
        <w:t>All the proceedings listed under section 18(1)(a) are classic administrative law proceedings, including the four prerogative writs—</w:t>
      </w:r>
      <w:r w:rsidR="00F668F8" w:rsidRPr="00C4271E">
        <w:rPr>
          <w:i/>
          <w:iCs/>
          <w:lang w:val="en-CA"/>
        </w:rPr>
        <w:t>certiorari</w:t>
      </w:r>
      <w:r w:rsidR="00F668F8" w:rsidRPr="00C4271E">
        <w:rPr>
          <w:lang w:val="en-CA"/>
        </w:rPr>
        <w:t xml:space="preserve">, </w:t>
      </w:r>
      <w:r w:rsidR="00F668F8" w:rsidRPr="00C4271E">
        <w:rPr>
          <w:i/>
          <w:iCs/>
          <w:lang w:val="en-CA"/>
        </w:rPr>
        <w:t>mandamus</w:t>
      </w:r>
      <w:r w:rsidR="00F668F8" w:rsidRPr="00C4271E">
        <w:rPr>
          <w:lang w:val="en-CA"/>
        </w:rPr>
        <w:t xml:space="preserve">, prohibition, and </w:t>
      </w:r>
      <w:r w:rsidR="00F668F8" w:rsidRPr="00C4271E">
        <w:rPr>
          <w:i/>
          <w:iCs/>
          <w:lang w:val="en-CA"/>
        </w:rPr>
        <w:t>quo warranto</w:t>
      </w:r>
      <w:r w:rsidR="00F668F8" w:rsidRPr="00C4271E">
        <w:rPr>
          <w:lang w:val="en-CA"/>
        </w:rPr>
        <w:t>—and applications for injunctions and declaratory judgments in administrative law.</w:t>
      </w:r>
      <w:r w:rsidRPr="00C4271E">
        <w:rPr>
          <w:lang w:val="en-CA"/>
        </w:rPr>
        <w:t xml:space="preserve"> </w:t>
      </w:r>
      <w:r w:rsidR="00F668F8" w:rsidRPr="00C4271E">
        <w:rPr>
          <w:lang w:val="en-CA"/>
        </w:rPr>
        <w:t>Section 18 does not provide for the award of damages.</w:t>
      </w:r>
      <w:r w:rsidRPr="00C4271E">
        <w:rPr>
          <w:lang w:val="en-CA"/>
        </w:rPr>
        <w:t xml:space="preserve"> </w:t>
      </w:r>
      <w:r w:rsidR="00F668F8" w:rsidRPr="00C4271E">
        <w:rPr>
          <w:lang w:val="en-CA"/>
        </w:rPr>
        <w:t>Compensation is not possible in the context of a judicial review proceeding.</w:t>
      </w:r>
      <w:r w:rsidRPr="00C4271E">
        <w:rPr>
          <w:lang w:val="en-CA"/>
        </w:rPr>
        <w:t xml:space="preserve"> </w:t>
      </w:r>
      <w:r w:rsidR="00F668F8" w:rsidRPr="00C4271E">
        <w:rPr>
          <w:lang w:val="en-CA"/>
        </w:rPr>
        <w:t>Similarly, in an action for damages, it is not possible to seek a declaratory judgment or an injunction to prevent the implementation of an allegedly unlawful administrative decision.</w:t>
      </w:r>
      <w:r w:rsidRPr="00C4271E">
        <w:rPr>
          <w:lang w:val="en-CA"/>
        </w:rPr>
        <w:t xml:space="preserve"> </w:t>
      </w:r>
      <w:r w:rsidR="00F668F8" w:rsidRPr="00C4271E">
        <w:rPr>
          <w:lang w:val="en-CA"/>
        </w:rPr>
        <w:t>Such a proceeding falls under the ambit of the Federal Court.</w:t>
      </w:r>
      <w:r w:rsidRPr="00AA33C4">
        <w:rPr>
          <w:rStyle w:val="Appelnotedebasdep"/>
          <w:lang w:val="en-CA"/>
        </w:rPr>
        <w:footnoteReference w:id="26"/>
      </w:r>
    </w:p>
    <w:p w14:paraId="438B5415" w14:textId="481EFC38" w:rsidR="00540118" w:rsidRPr="00C4271E" w:rsidRDefault="00E6443C" w:rsidP="00540118">
      <w:pPr>
        <w:pStyle w:val="Titre4"/>
        <w:rPr>
          <w:lang w:val="en-CA"/>
        </w:rPr>
      </w:pPr>
      <w:r w:rsidRPr="00C4271E">
        <w:rPr>
          <w:lang w:val="en-CA"/>
        </w:rPr>
        <w:t xml:space="preserve">2. </w:t>
      </w:r>
      <w:r w:rsidR="00F668F8" w:rsidRPr="00C4271E">
        <w:rPr>
          <w:lang w:val="en-CA"/>
        </w:rPr>
        <w:t xml:space="preserve">Second step: examination of </w:t>
      </w:r>
      <w:r w:rsidR="003417EC" w:rsidRPr="00C4271E">
        <w:rPr>
          <w:lang w:val="en-CA"/>
        </w:rPr>
        <w:t>the</w:t>
      </w:r>
      <w:r w:rsidR="00F668F8" w:rsidRPr="00C4271E">
        <w:rPr>
          <w:lang w:val="en-CA"/>
        </w:rPr>
        <w:t xml:space="preserve"> dispute in view of its context</w:t>
      </w:r>
    </w:p>
    <w:p w14:paraId="53257382" w14:textId="020BD856" w:rsidR="00540118" w:rsidRPr="00C4271E" w:rsidRDefault="00B61F1B" w:rsidP="00540118">
      <w:pPr>
        <w:pStyle w:val="Paragraphe"/>
        <w:spacing w:line="240" w:lineRule="auto"/>
        <w:rPr>
          <w:lang w:val="en-CA"/>
        </w:rPr>
      </w:pPr>
      <w:r w:rsidRPr="00C4271E">
        <w:rPr>
          <w:lang w:val="en-CA"/>
        </w:rPr>
        <w:t xml:space="preserve">Based on </w:t>
      </w:r>
      <w:r w:rsidRPr="00C4271E">
        <w:rPr>
          <w:i/>
          <w:lang w:val="en-CA"/>
        </w:rPr>
        <w:t>TeleZone</w:t>
      </w:r>
      <w:r w:rsidRPr="00C4271E">
        <w:rPr>
          <w:lang w:val="en-CA"/>
        </w:rPr>
        <w:t>,</w:t>
      </w:r>
      <w:r w:rsidRPr="00AA33C4">
        <w:rPr>
          <w:rStyle w:val="Appelnotedebasdep"/>
          <w:lang w:val="en-CA"/>
        </w:rPr>
        <w:footnoteReference w:id="27"/>
      </w:r>
      <w:r w:rsidRPr="00C4271E">
        <w:rPr>
          <w:lang w:val="en-CA"/>
        </w:rPr>
        <w:t xml:space="preserve"> the respondents recalled the Superior Court’s inherent jurisdiction and emphasized that it cannot decline jurisdiction unless there are clear legislative indications that another court has exclusive jurisdiction </w:t>
      </w:r>
      <w:r w:rsidR="00B52643">
        <w:rPr>
          <w:lang w:val="en-CA"/>
        </w:rPr>
        <w:t>over</w:t>
      </w:r>
      <w:r w:rsidRPr="00C4271E">
        <w:rPr>
          <w:lang w:val="en-CA"/>
        </w:rPr>
        <w:t xml:space="preserve"> the matter.</w:t>
      </w:r>
      <w:r w:rsidRPr="00AA33C4">
        <w:rPr>
          <w:vertAlign w:val="superscript"/>
          <w:lang w:val="en-CA"/>
        </w:rPr>
        <w:footnoteReference w:id="28"/>
      </w:r>
      <w:r w:rsidR="00E6443C" w:rsidRPr="00C4271E">
        <w:rPr>
          <w:lang w:val="en-CA"/>
        </w:rPr>
        <w:t xml:space="preserve"> </w:t>
      </w:r>
      <w:r w:rsidR="003417EC" w:rsidRPr="00C4271E">
        <w:rPr>
          <w:lang w:val="en-CA"/>
        </w:rPr>
        <w:t>They argue that, i</w:t>
      </w:r>
      <w:r w:rsidRPr="00C4271E">
        <w:rPr>
          <w:lang w:val="en-CA"/>
        </w:rPr>
        <w:t>n this case, the Federal Court does not have exclusive jurisdiction to hear their claim because it does not concern the decisions of a “</w:t>
      </w:r>
      <w:r w:rsidR="00562129" w:rsidRPr="00C4271E">
        <w:rPr>
          <w:lang w:val="en-CA"/>
        </w:rPr>
        <w:t>federal board, commission or other tribunal</w:t>
      </w:r>
      <w:r w:rsidRPr="00C4271E">
        <w:rPr>
          <w:lang w:val="en-CA"/>
        </w:rPr>
        <w:t>” based on a</w:t>
      </w:r>
      <w:r w:rsidR="00D66A88">
        <w:rPr>
          <w:lang w:val="en-CA"/>
        </w:rPr>
        <w:t>n</w:t>
      </w:r>
      <w:r w:rsidR="00B52643">
        <w:rPr>
          <w:lang w:val="en-CA"/>
        </w:rPr>
        <w:t xml:space="preserve"> </w:t>
      </w:r>
      <w:r w:rsidR="00D66A88">
        <w:rPr>
          <w:lang w:val="en-CA"/>
        </w:rPr>
        <w:t>Act of Parliament</w:t>
      </w:r>
      <w:r w:rsidRPr="00C4271E">
        <w:rPr>
          <w:lang w:val="en-CA"/>
        </w:rPr>
        <w:t>.</w:t>
      </w:r>
      <w:r w:rsidR="00E6443C" w:rsidRPr="00C4271E">
        <w:rPr>
          <w:lang w:val="en-CA"/>
        </w:rPr>
        <w:t xml:space="preserve"> </w:t>
      </w:r>
      <w:r w:rsidR="00623E97" w:rsidRPr="00C4271E">
        <w:rPr>
          <w:lang w:val="en-CA"/>
        </w:rPr>
        <w:t xml:space="preserve">They argue that, in its essence, their claim is not of the nature of a judicial review that would fall under the </w:t>
      </w:r>
      <w:r w:rsidR="00732DB1" w:rsidRPr="00C4271E">
        <w:rPr>
          <w:lang w:val="en-CA"/>
        </w:rPr>
        <w:t>e</w:t>
      </w:r>
      <w:r w:rsidR="00623E97" w:rsidRPr="00C4271E">
        <w:rPr>
          <w:lang w:val="en-CA"/>
        </w:rPr>
        <w:t xml:space="preserve">xclusive </w:t>
      </w:r>
      <w:r w:rsidR="00732DB1" w:rsidRPr="00C4271E">
        <w:rPr>
          <w:lang w:val="en-CA"/>
        </w:rPr>
        <w:t>jurisdiction</w:t>
      </w:r>
      <w:r w:rsidR="00623E97" w:rsidRPr="00C4271E">
        <w:rPr>
          <w:lang w:val="en-CA"/>
        </w:rPr>
        <w:t xml:space="preserve"> of </w:t>
      </w:r>
      <w:r w:rsidR="00732DB1" w:rsidRPr="00C4271E">
        <w:rPr>
          <w:lang w:val="en-CA"/>
        </w:rPr>
        <w:t>the</w:t>
      </w:r>
      <w:r w:rsidR="00623E97" w:rsidRPr="00C4271E">
        <w:rPr>
          <w:lang w:val="en-CA"/>
        </w:rPr>
        <w:t xml:space="preserve"> Federal Court.</w:t>
      </w:r>
    </w:p>
    <w:p w14:paraId="5ECD1FCF" w14:textId="5467D21B" w:rsidR="00540118" w:rsidRPr="00C4271E" w:rsidRDefault="00623E97" w:rsidP="00540118">
      <w:pPr>
        <w:pStyle w:val="Paragraphe"/>
        <w:spacing w:line="240" w:lineRule="auto"/>
        <w:rPr>
          <w:lang w:val="en-CA"/>
        </w:rPr>
      </w:pPr>
      <w:r w:rsidRPr="00C4271E">
        <w:rPr>
          <w:lang w:val="en-CA"/>
        </w:rPr>
        <w:lastRenderedPageBreak/>
        <w:t>The Band Council responded that it is well known that a band council is a “</w:t>
      </w:r>
      <w:r w:rsidR="00562129" w:rsidRPr="00C4271E">
        <w:rPr>
          <w:lang w:val="en-CA"/>
        </w:rPr>
        <w:t>federal board, commission or other tribunal</w:t>
      </w:r>
      <w:r w:rsidRPr="00C4271E">
        <w:rPr>
          <w:lang w:val="en-CA"/>
        </w:rPr>
        <w:t xml:space="preserve">” within the meaning of the </w:t>
      </w:r>
      <w:r w:rsidRPr="00C4271E">
        <w:rPr>
          <w:i/>
          <w:iCs/>
          <w:lang w:val="en-CA"/>
        </w:rPr>
        <w:t>F</w:t>
      </w:r>
      <w:r w:rsidR="004C3E30" w:rsidRPr="00C4271E">
        <w:rPr>
          <w:i/>
          <w:iCs/>
          <w:lang w:val="en-CA"/>
        </w:rPr>
        <w:t>.</w:t>
      </w:r>
      <w:r w:rsidRPr="00C4271E">
        <w:rPr>
          <w:i/>
          <w:iCs/>
          <w:lang w:val="en-CA"/>
        </w:rPr>
        <w:t>C</w:t>
      </w:r>
      <w:r w:rsidR="004C3E30" w:rsidRPr="00C4271E">
        <w:rPr>
          <w:i/>
          <w:iCs/>
          <w:lang w:val="en-CA"/>
        </w:rPr>
        <w:t xml:space="preserve">. </w:t>
      </w:r>
      <w:r w:rsidRPr="00C4271E">
        <w:rPr>
          <w:i/>
          <w:iCs/>
          <w:lang w:val="en-CA"/>
        </w:rPr>
        <w:t>A</w:t>
      </w:r>
      <w:r w:rsidR="004C3E30" w:rsidRPr="00C4271E">
        <w:rPr>
          <w:i/>
          <w:iCs/>
          <w:lang w:val="en-CA"/>
        </w:rPr>
        <w:t>ct</w:t>
      </w:r>
      <w:r w:rsidRPr="00C4271E">
        <w:rPr>
          <w:lang w:val="en-CA"/>
        </w:rPr>
        <w:t xml:space="preserve"> when it makes decisions based on its powers.</w:t>
      </w:r>
      <w:bookmarkStart w:id="21" w:name="_Ref177561974"/>
      <w:r w:rsidRPr="00AA33C4">
        <w:rPr>
          <w:rStyle w:val="Appelnotedebasdep"/>
          <w:lang w:val="en-CA"/>
        </w:rPr>
        <w:footnoteReference w:id="29"/>
      </w:r>
      <w:bookmarkEnd w:id="21"/>
      <w:r w:rsidR="00E6443C" w:rsidRPr="00C4271E">
        <w:rPr>
          <w:lang w:val="en-CA"/>
        </w:rPr>
        <w:t xml:space="preserve"> </w:t>
      </w:r>
      <w:r w:rsidRPr="00C4271E">
        <w:rPr>
          <w:lang w:val="en-CA"/>
        </w:rPr>
        <w:t>It argues that the respondents’ claim is basically an application for the judicial review of the Band Council’s decisions</w:t>
      </w:r>
      <w:r w:rsidR="003122DD" w:rsidRPr="00C4271E">
        <w:rPr>
          <w:lang w:val="en-CA"/>
        </w:rPr>
        <w:t xml:space="preserve"> [</w:t>
      </w:r>
      <w:r w:rsidR="003122DD" w:rsidRPr="00C4271E">
        <w:rPr>
          <w:smallCaps/>
          <w:lang w:val="en-CA"/>
        </w:rPr>
        <w:t>translation</w:t>
      </w:r>
      <w:r w:rsidR="003122DD" w:rsidRPr="00C4271E">
        <w:rPr>
          <w:lang w:val="en-CA"/>
        </w:rPr>
        <w:t>]</w:t>
      </w:r>
      <w:r w:rsidRPr="00C4271E">
        <w:rPr>
          <w:lang w:val="en-CA"/>
        </w:rPr>
        <w:t xml:space="preserve"> “in the broader sense”, considering that the term “decision” must be interpreted broadly as including any act of a public nature that it has done.</w:t>
      </w:r>
    </w:p>
    <w:p w14:paraId="7E4A4361" w14:textId="75AFBD5E" w:rsidR="00540118" w:rsidRPr="00C4271E" w:rsidRDefault="00AF59E8" w:rsidP="00540118">
      <w:pPr>
        <w:pStyle w:val="Paragraphe"/>
        <w:spacing w:line="240" w:lineRule="auto"/>
        <w:rPr>
          <w:kern w:val="24"/>
          <w:sz w:val="22"/>
          <w:lang w:val="en-CA"/>
        </w:rPr>
      </w:pPr>
      <w:r w:rsidRPr="00C4271E">
        <w:rPr>
          <w:lang w:val="en-CA"/>
        </w:rPr>
        <w:t>A</w:t>
      </w:r>
      <w:r w:rsidR="00623E97" w:rsidRPr="00C4271E">
        <w:rPr>
          <w:lang w:val="en-CA"/>
        </w:rPr>
        <w:t xml:space="preserve">pplying the teachings </w:t>
      </w:r>
      <w:r w:rsidRPr="00C4271E">
        <w:rPr>
          <w:lang w:val="en-CA"/>
        </w:rPr>
        <w:t>of</w:t>
      </w:r>
      <w:r w:rsidR="00623E97" w:rsidRPr="00C4271E">
        <w:rPr>
          <w:lang w:val="en-CA"/>
        </w:rPr>
        <w:t xml:space="preserve"> </w:t>
      </w:r>
      <w:r w:rsidR="00623E97" w:rsidRPr="00C4271E">
        <w:rPr>
          <w:i/>
          <w:lang w:val="en-CA"/>
        </w:rPr>
        <w:t>ITO-Int’l Terminal Operators c. Miida Electronics</w:t>
      </w:r>
      <w:r w:rsidR="00623E97" w:rsidRPr="00C4271E">
        <w:rPr>
          <w:lang w:val="en-CA"/>
        </w:rPr>
        <w:t>,</w:t>
      </w:r>
      <w:r w:rsidR="00623E97" w:rsidRPr="00AA33C4">
        <w:rPr>
          <w:rStyle w:val="Appelnotedebasdep"/>
          <w:lang w:val="en-CA"/>
        </w:rPr>
        <w:footnoteReference w:id="30"/>
      </w:r>
      <w:r w:rsidR="00623E97" w:rsidRPr="00C4271E">
        <w:rPr>
          <w:lang w:val="en-CA"/>
        </w:rPr>
        <w:t xml:space="preserve"> </w:t>
      </w:r>
      <w:r w:rsidR="005F20FC">
        <w:rPr>
          <w:lang w:val="en-CA"/>
        </w:rPr>
        <w:t>I am</w:t>
      </w:r>
      <w:r w:rsidR="00623E97" w:rsidRPr="00C4271E">
        <w:rPr>
          <w:lang w:val="en-CA"/>
        </w:rPr>
        <w:t xml:space="preserve"> of the opinion that the respondents are correct.</w:t>
      </w:r>
    </w:p>
    <w:p w14:paraId="0207D1C2" w14:textId="6A1E271B" w:rsidR="00540118" w:rsidRPr="00C4271E" w:rsidRDefault="00623E97" w:rsidP="00540118">
      <w:pPr>
        <w:pStyle w:val="Paragraphe"/>
        <w:spacing w:line="240" w:lineRule="auto"/>
        <w:rPr>
          <w:lang w:val="en-CA"/>
        </w:rPr>
      </w:pPr>
      <w:r w:rsidRPr="00C4271E">
        <w:rPr>
          <w:lang w:val="en-CA"/>
        </w:rPr>
        <w:t>As discussed above, under the first condition, jurisdiction must have been granted by a</w:t>
      </w:r>
      <w:r w:rsidR="00D66A88">
        <w:rPr>
          <w:lang w:val="en-CA"/>
        </w:rPr>
        <w:t>n</w:t>
      </w:r>
      <w:r w:rsidRPr="00C4271E">
        <w:rPr>
          <w:lang w:val="en-CA"/>
        </w:rPr>
        <w:t xml:space="preserve"> </w:t>
      </w:r>
      <w:r w:rsidR="00D66A88">
        <w:rPr>
          <w:lang w:val="en-CA"/>
        </w:rPr>
        <w:t>Act of Parliament</w:t>
      </w:r>
      <w:r w:rsidRPr="00C4271E">
        <w:rPr>
          <w:lang w:val="en-CA"/>
        </w:rPr>
        <w:t xml:space="preserve"> in favour of the Federal Court.</w:t>
      </w:r>
      <w:r w:rsidR="00E6443C" w:rsidRPr="00C4271E">
        <w:rPr>
          <w:lang w:val="en-CA"/>
        </w:rPr>
        <w:t xml:space="preserve"> </w:t>
      </w:r>
    </w:p>
    <w:p w14:paraId="0106BA26" w14:textId="27D2C83E" w:rsidR="00540118" w:rsidRPr="00C4271E" w:rsidRDefault="00E6443C" w:rsidP="00540118">
      <w:pPr>
        <w:pStyle w:val="Paragraphe"/>
        <w:spacing w:line="240" w:lineRule="auto"/>
        <w:rPr>
          <w:lang w:val="en-CA"/>
        </w:rPr>
      </w:pPr>
      <w:r w:rsidRPr="00C4271E">
        <w:rPr>
          <w:lang w:val="en-CA"/>
        </w:rPr>
        <w:t>With respect to the second and third condition</w:t>
      </w:r>
      <w:r w:rsidR="00703EAC" w:rsidRPr="00C4271E">
        <w:rPr>
          <w:lang w:val="en-CA"/>
        </w:rPr>
        <w:t>s</w:t>
      </w:r>
      <w:r w:rsidRPr="00C4271E">
        <w:rPr>
          <w:lang w:val="en-CA"/>
        </w:rPr>
        <w:t>, based on the case law, the Federal Court alone has jurisdiction to hear cases arising from any decision by or action of a “</w:t>
      </w:r>
      <w:r w:rsidR="00703EAC" w:rsidRPr="00C4271E">
        <w:rPr>
          <w:lang w:val="en-CA"/>
        </w:rPr>
        <w:t>[</w:t>
      </w:r>
      <w:r w:rsidRPr="00C4271E">
        <w:rPr>
          <w:lang w:val="en-CA"/>
        </w:rPr>
        <w:t>...</w:t>
      </w:r>
      <w:r w:rsidR="00703EAC" w:rsidRPr="00C4271E">
        <w:rPr>
          <w:lang w:val="en-CA"/>
        </w:rPr>
        <w:t>]</w:t>
      </w:r>
      <w:r w:rsidRPr="00C4271E">
        <w:rPr>
          <w:lang w:val="en-CA"/>
        </w:rPr>
        <w:t xml:space="preserve"> [c]hief and [c]ouncil where the issue concerns a matter of a “public” nature regardless of whether the decision was </w:t>
      </w:r>
      <w:r w:rsidR="000E66D8" w:rsidRPr="00C4271E">
        <w:rPr>
          <w:lang w:val="en-CA"/>
        </w:rPr>
        <w:t>made</w:t>
      </w:r>
      <w:r w:rsidRPr="00C4271E">
        <w:rPr>
          <w:lang w:val="en-CA"/>
        </w:rPr>
        <w:t xml:space="preserve"> pursuant to the </w:t>
      </w:r>
      <w:r w:rsidRPr="00C4271E">
        <w:rPr>
          <w:i/>
          <w:lang w:val="en-CA"/>
        </w:rPr>
        <w:t>Indian Act</w:t>
      </w:r>
      <w:r w:rsidRPr="00C4271E">
        <w:rPr>
          <w:lang w:val="en-CA"/>
        </w:rPr>
        <w:t>, a Band by-law, or involves the application of a custom or practice of the First Nation”.</w:t>
      </w:r>
      <w:r w:rsidRPr="00AA33C4">
        <w:rPr>
          <w:rStyle w:val="Appelnotedebasdep"/>
          <w:lang w:val="en-CA"/>
        </w:rPr>
        <w:footnoteReference w:id="31"/>
      </w:r>
      <w:r w:rsidRPr="00C4271E">
        <w:rPr>
          <w:lang w:val="en-CA"/>
        </w:rPr>
        <w:t xml:space="preserve"> </w:t>
      </w:r>
    </w:p>
    <w:p w14:paraId="7A1FFFE5" w14:textId="4975CBB6" w:rsidR="00540118" w:rsidRPr="00C4271E" w:rsidRDefault="00154164" w:rsidP="00540118">
      <w:pPr>
        <w:pStyle w:val="Paragraphe"/>
        <w:spacing w:line="240" w:lineRule="auto"/>
        <w:rPr>
          <w:lang w:val="en-CA"/>
        </w:rPr>
      </w:pPr>
      <w:r w:rsidRPr="00C4271E">
        <w:rPr>
          <w:lang w:val="en-CA"/>
        </w:rPr>
        <w:t xml:space="preserve">To decide the question of whether, in this case, the dispute is based on a body of federal law that is essential to the disposition of the case and which nourishes the </w:t>
      </w:r>
      <w:r w:rsidR="00732DB1" w:rsidRPr="00C4271E">
        <w:rPr>
          <w:lang w:val="en-CA"/>
        </w:rPr>
        <w:t>statutory</w:t>
      </w:r>
      <w:r w:rsidRPr="00C4271E">
        <w:rPr>
          <w:lang w:val="en-CA"/>
        </w:rPr>
        <w:t xml:space="preserve"> grant of jurisdiction, and whether the law raised in th</w:t>
      </w:r>
      <w:r w:rsidR="00732DB1" w:rsidRPr="00C4271E">
        <w:rPr>
          <w:lang w:val="en-CA"/>
        </w:rPr>
        <w:t>is</w:t>
      </w:r>
      <w:r w:rsidRPr="00C4271E">
        <w:rPr>
          <w:lang w:val="en-CA"/>
        </w:rPr>
        <w:t xml:space="preserve"> case is a law of Canada within the meaning of section 101 of the </w:t>
      </w:r>
      <w:r w:rsidRPr="00C4271E">
        <w:rPr>
          <w:i/>
          <w:lang w:val="en-CA"/>
        </w:rPr>
        <w:t>Constitution Act, 1867</w:t>
      </w:r>
      <w:r w:rsidRPr="00C4271E">
        <w:rPr>
          <w:lang w:val="en-CA"/>
        </w:rPr>
        <w:t xml:space="preserve"> (</w:t>
      </w:r>
      <w:r w:rsidR="00EE22DA" w:rsidRPr="00C4271E">
        <w:rPr>
          <w:lang w:val="en-CA"/>
        </w:rPr>
        <w:t>“</w:t>
      </w:r>
      <w:r w:rsidRPr="00C4271E">
        <w:rPr>
          <w:i/>
          <w:iCs/>
          <w:lang w:val="en-CA"/>
        </w:rPr>
        <w:t>Constitution Act, 1867</w:t>
      </w:r>
      <w:r w:rsidRPr="00C4271E">
        <w:rPr>
          <w:lang w:val="en-CA"/>
        </w:rPr>
        <w:t>”),</w:t>
      </w:r>
      <w:r w:rsidRPr="00AA33C4">
        <w:rPr>
          <w:rStyle w:val="Appelnotedebasdep"/>
          <w:lang w:val="en-CA" w:eastAsia="fr-CA"/>
        </w:rPr>
        <w:footnoteReference w:id="32"/>
      </w:r>
      <w:r w:rsidRPr="00C4271E">
        <w:rPr>
          <w:lang w:val="en-CA" w:eastAsia="fr-CA"/>
        </w:rPr>
        <w:t xml:space="preserve"> it is appropriate to determine the </w:t>
      </w:r>
      <w:r w:rsidR="00477AE5">
        <w:rPr>
          <w:lang w:val="en-CA" w:eastAsia="fr-CA"/>
        </w:rPr>
        <w:t>essential nature</w:t>
      </w:r>
      <w:r w:rsidR="00477AE5" w:rsidRPr="00C4271E">
        <w:rPr>
          <w:lang w:val="en-CA" w:eastAsia="fr-CA"/>
        </w:rPr>
        <w:t xml:space="preserve"> </w:t>
      </w:r>
      <w:r w:rsidRPr="00C4271E">
        <w:rPr>
          <w:lang w:val="en-CA" w:eastAsia="fr-CA"/>
        </w:rPr>
        <w:t xml:space="preserve">of the respondents’ dispute by examining the conclusions </w:t>
      </w:r>
      <w:r w:rsidR="00732DB1" w:rsidRPr="00C4271E">
        <w:rPr>
          <w:lang w:val="en-CA" w:eastAsia="fr-CA"/>
        </w:rPr>
        <w:t>sought</w:t>
      </w:r>
      <w:r w:rsidRPr="00C4271E">
        <w:rPr>
          <w:lang w:val="en-CA" w:eastAsia="fr-CA"/>
        </w:rPr>
        <w:t xml:space="preserve"> in the originating application for a permanent injunction, which state:</w:t>
      </w:r>
    </w:p>
    <w:p w14:paraId="11CF3AA3" w14:textId="09EF7619" w:rsidR="00703EAC" w:rsidRPr="00C4271E" w:rsidRDefault="00703EAC" w:rsidP="00540118">
      <w:pPr>
        <w:pStyle w:val="Citationenretrait"/>
        <w:spacing w:line="240" w:lineRule="auto"/>
        <w:rPr>
          <w:lang w:val="en-CA"/>
        </w:rPr>
      </w:pPr>
      <w:r w:rsidRPr="00C4271E">
        <w:rPr>
          <w:lang w:val="en-CA"/>
        </w:rPr>
        <w:t>[</w:t>
      </w:r>
      <w:r w:rsidRPr="00C4271E">
        <w:rPr>
          <w:smallCaps/>
          <w:lang w:val="en-CA"/>
        </w:rPr>
        <w:t>translation</w:t>
      </w:r>
      <w:r w:rsidRPr="00C4271E">
        <w:rPr>
          <w:lang w:val="en-CA"/>
        </w:rPr>
        <w:t>]</w:t>
      </w:r>
    </w:p>
    <w:p w14:paraId="38A8FEF4" w14:textId="5FC7DF52" w:rsidR="00540118" w:rsidRPr="00C4271E" w:rsidRDefault="00E6443C" w:rsidP="00540118">
      <w:pPr>
        <w:pStyle w:val="Citationenretrait"/>
        <w:spacing w:line="240" w:lineRule="auto"/>
        <w:rPr>
          <w:lang w:val="en-CA"/>
        </w:rPr>
      </w:pPr>
      <w:r w:rsidRPr="00C4271E">
        <w:rPr>
          <w:lang w:val="en-CA"/>
        </w:rPr>
        <w:t>[…]</w:t>
      </w:r>
    </w:p>
    <w:p w14:paraId="4649ACBC" w14:textId="7B03F3BC" w:rsidR="00540118" w:rsidRPr="00C4271E" w:rsidRDefault="00D2204E" w:rsidP="00540118">
      <w:pPr>
        <w:pStyle w:val="Citationenretrait"/>
        <w:spacing w:line="240" w:lineRule="auto"/>
        <w:rPr>
          <w:lang w:val="en-CA"/>
        </w:rPr>
      </w:pPr>
      <w:r w:rsidRPr="00F4054A">
        <w:rPr>
          <w:b/>
          <w:bCs/>
          <w:lang w:val="en-CA"/>
        </w:rPr>
        <w:t xml:space="preserve">TAKE </w:t>
      </w:r>
      <w:r w:rsidR="00C14A6B">
        <w:rPr>
          <w:b/>
          <w:bCs/>
          <w:lang w:val="en-CA"/>
        </w:rPr>
        <w:t>NOTE</w:t>
      </w:r>
      <w:r w:rsidRPr="00C4271E">
        <w:rPr>
          <w:b/>
          <w:bCs/>
          <w:lang w:val="en-CA"/>
        </w:rPr>
        <w:t xml:space="preserve"> </w:t>
      </w:r>
      <w:r w:rsidRPr="00C4271E">
        <w:rPr>
          <w:lang w:val="en-CA"/>
        </w:rPr>
        <w:t xml:space="preserve">of the exclusive jurisdiction </w:t>
      </w:r>
      <w:r w:rsidR="00703EAC" w:rsidRPr="00C4271E">
        <w:rPr>
          <w:lang w:val="en-CA"/>
        </w:rPr>
        <w:t>of</w:t>
      </w:r>
      <w:r w:rsidRPr="00C4271E">
        <w:rPr>
          <w:lang w:val="en-CA"/>
        </w:rPr>
        <w:t xml:space="preserve"> the Première Nation de Pessamit with respect to its Aboriginal rights and</w:t>
      </w:r>
      <w:r w:rsidR="00F4054A">
        <w:rPr>
          <w:lang w:val="en-CA"/>
        </w:rPr>
        <w:t xml:space="preserve"> its</w:t>
      </w:r>
      <w:r w:rsidRPr="00C4271E">
        <w:rPr>
          <w:lang w:val="en-CA"/>
        </w:rPr>
        <w:t xml:space="preserve"> self-</w:t>
      </w:r>
      <w:r w:rsidR="00F4054A">
        <w:rPr>
          <w:lang w:val="en-CA"/>
        </w:rPr>
        <w:t>government</w:t>
      </w:r>
      <w:r w:rsidRPr="00C4271E">
        <w:rPr>
          <w:lang w:val="en-CA"/>
        </w:rPr>
        <w:t>;</w:t>
      </w:r>
    </w:p>
    <w:p w14:paraId="137476D3" w14:textId="77752A4A" w:rsidR="00540118" w:rsidRPr="00C4271E" w:rsidRDefault="00D2204E" w:rsidP="00540118">
      <w:pPr>
        <w:pStyle w:val="Citationenretrait"/>
        <w:rPr>
          <w:szCs w:val="22"/>
          <w:lang w:val="en-CA"/>
        </w:rPr>
      </w:pPr>
      <w:r w:rsidRPr="00C4271E">
        <w:rPr>
          <w:b/>
          <w:bCs/>
          <w:lang w:val="en-CA"/>
        </w:rPr>
        <w:t xml:space="preserve">TAKE </w:t>
      </w:r>
      <w:r w:rsidR="00C14A6B">
        <w:rPr>
          <w:b/>
          <w:bCs/>
          <w:lang w:val="en-CA"/>
        </w:rPr>
        <w:t>NOTE</w:t>
      </w:r>
      <w:r w:rsidRPr="00C4271E">
        <w:rPr>
          <w:b/>
          <w:bCs/>
          <w:lang w:val="en-CA"/>
        </w:rPr>
        <w:t xml:space="preserve"> </w:t>
      </w:r>
      <w:r w:rsidRPr="00C4271E">
        <w:rPr>
          <w:lang w:val="en-CA"/>
        </w:rPr>
        <w:t>of the exclusive jurisdiction of the Première Nation de Pessamit with respect to the Nitassinan of Pessamit;</w:t>
      </w:r>
    </w:p>
    <w:p w14:paraId="75FF3DE9" w14:textId="13FB2BE4" w:rsidR="00540118" w:rsidRPr="00C4271E" w:rsidRDefault="00D2204E" w:rsidP="00540118">
      <w:pPr>
        <w:pStyle w:val="Citationenretrait"/>
        <w:rPr>
          <w:szCs w:val="22"/>
          <w:lang w:val="en-CA"/>
        </w:rPr>
      </w:pPr>
      <w:r w:rsidRPr="00C4271E">
        <w:rPr>
          <w:b/>
          <w:lang w:val="en-CA"/>
        </w:rPr>
        <w:lastRenderedPageBreak/>
        <w:t xml:space="preserve">TAKE </w:t>
      </w:r>
      <w:r w:rsidR="00C14A6B">
        <w:rPr>
          <w:b/>
          <w:lang w:val="en-CA"/>
        </w:rPr>
        <w:t>NOTE</w:t>
      </w:r>
      <w:r w:rsidRPr="00C4271E">
        <w:rPr>
          <w:bCs/>
          <w:lang w:val="en-CA"/>
        </w:rPr>
        <w:t xml:space="preserve"> of the </w:t>
      </w:r>
      <w:r w:rsidR="00703EAC" w:rsidRPr="00C4271E">
        <w:rPr>
          <w:bCs/>
          <w:lang w:val="en-CA"/>
        </w:rPr>
        <w:t>exclusive</w:t>
      </w:r>
      <w:r w:rsidRPr="00C4271E">
        <w:rPr>
          <w:bCs/>
          <w:lang w:val="en-CA"/>
        </w:rPr>
        <w:t xml:space="preserve"> jurisdiction of the Première Nation de Pessamit with respect to the </w:t>
      </w:r>
      <w:r w:rsidR="00703EAC" w:rsidRPr="00C4271E">
        <w:rPr>
          <w:bCs/>
          <w:lang w:val="en-CA"/>
        </w:rPr>
        <w:t>management</w:t>
      </w:r>
      <w:r w:rsidRPr="00C4271E">
        <w:rPr>
          <w:bCs/>
          <w:lang w:val="en-CA"/>
        </w:rPr>
        <w:t xml:space="preserve"> of any moneys devolved </w:t>
      </w:r>
      <w:r w:rsidR="009D78BC" w:rsidRPr="00C4271E">
        <w:rPr>
          <w:bCs/>
          <w:lang w:val="en-CA"/>
        </w:rPr>
        <w:t>thereto</w:t>
      </w:r>
      <w:r w:rsidRPr="00C4271E">
        <w:rPr>
          <w:bCs/>
          <w:lang w:val="en-CA"/>
        </w:rPr>
        <w:t xml:space="preserve">, except for “Indian moneys” within the meaning of the </w:t>
      </w:r>
      <w:r w:rsidRPr="00C4271E">
        <w:rPr>
          <w:bCs/>
          <w:i/>
          <w:lang w:val="en-CA"/>
        </w:rPr>
        <w:t>Indian Act</w:t>
      </w:r>
      <w:r w:rsidRPr="00C4271E">
        <w:rPr>
          <w:bCs/>
          <w:lang w:val="en-CA"/>
        </w:rPr>
        <w:t>.</w:t>
      </w:r>
    </w:p>
    <w:p w14:paraId="5BF71BDD" w14:textId="7D8D487D" w:rsidR="00540118" w:rsidRPr="00C4271E" w:rsidRDefault="00D2204E" w:rsidP="00540118">
      <w:pPr>
        <w:pStyle w:val="Citationenretrait"/>
        <w:rPr>
          <w:szCs w:val="22"/>
          <w:lang w:val="en-CA"/>
        </w:rPr>
      </w:pPr>
      <w:r w:rsidRPr="00C4271E">
        <w:rPr>
          <w:b/>
          <w:bCs/>
          <w:u w:val="single"/>
          <w:lang w:val="en-CA"/>
        </w:rPr>
        <w:t>PROHIBIT</w:t>
      </w:r>
      <w:r w:rsidRPr="00C4271E">
        <w:rPr>
          <w:bCs/>
          <w:u w:val="single"/>
          <w:lang w:val="en-CA"/>
        </w:rPr>
        <w:t xml:space="preserve"> the </w:t>
      </w:r>
      <w:r w:rsidR="000A5EE9" w:rsidRPr="00C4271E">
        <w:rPr>
          <w:bCs/>
          <w:u w:val="single"/>
          <w:lang w:val="en-CA"/>
        </w:rPr>
        <w:t>Conseil de bande de</w:t>
      </w:r>
      <w:r w:rsidRPr="00C4271E">
        <w:rPr>
          <w:bCs/>
          <w:u w:val="single"/>
          <w:lang w:val="en-CA"/>
        </w:rPr>
        <w:t xml:space="preserve"> Pessamit from making representations or taking action on the Aboriginal rights and </w:t>
      </w:r>
      <w:r w:rsidR="00E241BC">
        <w:rPr>
          <w:bCs/>
          <w:u w:val="single"/>
          <w:lang w:val="en-CA"/>
        </w:rPr>
        <w:t xml:space="preserve">the </w:t>
      </w:r>
      <w:r w:rsidRPr="00374701">
        <w:rPr>
          <w:bCs/>
          <w:u w:val="single"/>
          <w:lang w:val="en-CA"/>
        </w:rPr>
        <w:t>self-</w:t>
      </w:r>
      <w:r w:rsidR="00E241BC" w:rsidRPr="00374701">
        <w:rPr>
          <w:bCs/>
          <w:u w:val="single"/>
          <w:lang w:val="en-CA"/>
        </w:rPr>
        <w:t>government</w:t>
      </w:r>
      <w:r w:rsidRPr="00C4271E">
        <w:rPr>
          <w:bCs/>
          <w:u w:val="single"/>
          <w:lang w:val="en-CA"/>
        </w:rPr>
        <w:t xml:space="preserve"> of the Première Nation de Pessamit</w:t>
      </w:r>
      <w:r w:rsidRPr="00C4271E">
        <w:rPr>
          <w:bCs/>
          <w:lang w:val="en-CA"/>
        </w:rPr>
        <w:t>;</w:t>
      </w:r>
    </w:p>
    <w:p w14:paraId="31F4CFD1" w14:textId="19033117" w:rsidR="00540118" w:rsidRPr="00C4271E" w:rsidRDefault="00D2204E" w:rsidP="00540118">
      <w:pPr>
        <w:pStyle w:val="Citationenretrait"/>
        <w:rPr>
          <w:szCs w:val="22"/>
          <w:lang w:val="en-CA"/>
        </w:rPr>
      </w:pPr>
      <w:r w:rsidRPr="00C4271E">
        <w:rPr>
          <w:b/>
          <w:bCs/>
          <w:u w:val="single"/>
          <w:lang w:val="en-CA"/>
        </w:rPr>
        <w:t>PROHIBIT</w:t>
      </w:r>
      <w:r w:rsidRPr="00C4271E">
        <w:rPr>
          <w:bCs/>
          <w:u w:val="single"/>
          <w:lang w:val="en-CA"/>
        </w:rPr>
        <w:t xml:space="preserve"> the </w:t>
      </w:r>
      <w:r w:rsidR="000A5EE9" w:rsidRPr="00C4271E">
        <w:rPr>
          <w:bCs/>
          <w:u w:val="single"/>
          <w:lang w:val="en-CA"/>
        </w:rPr>
        <w:t>Conseil de bande de</w:t>
      </w:r>
      <w:r w:rsidRPr="00C4271E">
        <w:rPr>
          <w:bCs/>
          <w:u w:val="single"/>
          <w:lang w:val="en-CA"/>
        </w:rPr>
        <w:t xml:space="preserve"> Pessamit from making any representations or taking action </w:t>
      </w:r>
      <w:r w:rsidR="00E241BC">
        <w:rPr>
          <w:bCs/>
          <w:u w:val="single"/>
          <w:lang w:val="en-CA"/>
        </w:rPr>
        <w:t>with respect to</w:t>
      </w:r>
      <w:r w:rsidR="00E241BC" w:rsidRPr="00C4271E">
        <w:rPr>
          <w:bCs/>
          <w:u w:val="single"/>
          <w:lang w:val="en-CA"/>
        </w:rPr>
        <w:t xml:space="preserve"> </w:t>
      </w:r>
      <w:r w:rsidRPr="00E241BC">
        <w:rPr>
          <w:bCs/>
          <w:u w:val="single"/>
          <w:lang w:val="en-CA"/>
        </w:rPr>
        <w:t>the</w:t>
      </w:r>
      <w:r w:rsidRPr="00C4271E">
        <w:rPr>
          <w:bCs/>
          <w:u w:val="single"/>
          <w:lang w:val="en-CA"/>
        </w:rPr>
        <w:t xml:space="preserve"> Nitassinan of Pessamit</w:t>
      </w:r>
      <w:r w:rsidRPr="00C4271E">
        <w:rPr>
          <w:bCs/>
          <w:lang w:val="en-CA"/>
        </w:rPr>
        <w:t>;</w:t>
      </w:r>
    </w:p>
    <w:p w14:paraId="17D5594C" w14:textId="16223555" w:rsidR="00540118" w:rsidRPr="00C4271E" w:rsidRDefault="00681304" w:rsidP="00540118">
      <w:pPr>
        <w:pStyle w:val="Citationenretrait"/>
        <w:rPr>
          <w:szCs w:val="22"/>
          <w:lang w:val="en-CA"/>
        </w:rPr>
      </w:pPr>
      <w:bookmarkStart w:id="22" w:name="_Hlk179306360"/>
      <w:r w:rsidRPr="00C4271E">
        <w:rPr>
          <w:b/>
          <w:bCs/>
          <w:u w:val="single"/>
          <w:lang w:val="en-CA"/>
        </w:rPr>
        <w:t>ORDER</w:t>
      </w:r>
      <w:r w:rsidRPr="00C4271E">
        <w:rPr>
          <w:bCs/>
          <w:u w:val="single"/>
          <w:lang w:val="en-CA"/>
        </w:rPr>
        <w:t xml:space="preserve"> the </w:t>
      </w:r>
      <w:r w:rsidR="000A5EE9" w:rsidRPr="00C4271E">
        <w:rPr>
          <w:bCs/>
          <w:u w:val="single"/>
          <w:lang w:val="en-CA"/>
        </w:rPr>
        <w:t>Conseil de bande de</w:t>
      </w:r>
      <w:r w:rsidRPr="00C4271E">
        <w:rPr>
          <w:bCs/>
          <w:u w:val="single"/>
          <w:lang w:val="en-CA"/>
        </w:rPr>
        <w:t xml:space="preserve"> Pessamit to immediately remit to the Première Nation de Pessamit any moneys it is managing, ex</w:t>
      </w:r>
      <w:r w:rsidR="00962BEA" w:rsidRPr="00C4271E">
        <w:rPr>
          <w:bCs/>
          <w:u w:val="single"/>
          <w:lang w:val="en-CA"/>
        </w:rPr>
        <w:t>c</w:t>
      </w:r>
      <w:r w:rsidRPr="00C4271E">
        <w:rPr>
          <w:bCs/>
          <w:u w:val="single"/>
          <w:lang w:val="en-CA"/>
        </w:rPr>
        <w:t xml:space="preserve">ept for “Indian moneys” within the meaning of the </w:t>
      </w:r>
      <w:r w:rsidRPr="00C4271E">
        <w:rPr>
          <w:bCs/>
          <w:i/>
          <w:u w:val="single"/>
          <w:lang w:val="en-CA"/>
        </w:rPr>
        <w:t>Indian Act</w:t>
      </w:r>
      <w:r w:rsidRPr="00C4271E">
        <w:rPr>
          <w:bCs/>
          <w:lang w:val="en-CA"/>
        </w:rPr>
        <w:t>;</w:t>
      </w:r>
    </w:p>
    <w:bookmarkEnd w:id="22"/>
    <w:p w14:paraId="6ECF8050" w14:textId="6B9A0E89" w:rsidR="00540118" w:rsidRPr="00C4271E" w:rsidRDefault="00681304" w:rsidP="00540118">
      <w:pPr>
        <w:pStyle w:val="Citationenretrait"/>
        <w:rPr>
          <w:szCs w:val="22"/>
          <w:lang w:val="en-CA"/>
        </w:rPr>
      </w:pPr>
      <w:r w:rsidRPr="00C4271E">
        <w:rPr>
          <w:b/>
          <w:bCs/>
          <w:lang w:val="en-CA"/>
        </w:rPr>
        <w:t>PROHIBIT</w:t>
      </w:r>
      <w:r w:rsidRPr="00C4271E">
        <w:rPr>
          <w:bCs/>
          <w:lang w:val="en-CA"/>
        </w:rPr>
        <w:t xml:space="preserve"> the </w:t>
      </w:r>
      <w:r w:rsidR="000A5EE9" w:rsidRPr="00C4271E">
        <w:rPr>
          <w:bCs/>
          <w:lang w:val="en-CA"/>
        </w:rPr>
        <w:t>Conseil de bande de</w:t>
      </w:r>
      <w:r w:rsidRPr="00C4271E">
        <w:rPr>
          <w:bCs/>
          <w:lang w:val="en-CA"/>
        </w:rPr>
        <w:t xml:space="preserve"> Pessamit from making any representations or taking any actions regarding any moneys, except for “Indian moneys” within the </w:t>
      </w:r>
      <w:r w:rsidR="00190FF8">
        <w:rPr>
          <w:bCs/>
          <w:lang w:val="en-CA"/>
        </w:rPr>
        <w:t xml:space="preserve">meaning of the </w:t>
      </w:r>
      <w:r w:rsidRPr="00C4271E">
        <w:rPr>
          <w:bCs/>
          <w:i/>
          <w:lang w:val="en-CA"/>
        </w:rPr>
        <w:t>Indian Act</w:t>
      </w:r>
      <w:r w:rsidRPr="00C4271E">
        <w:rPr>
          <w:bCs/>
          <w:lang w:val="en-CA"/>
        </w:rPr>
        <w:t>;</w:t>
      </w:r>
    </w:p>
    <w:p w14:paraId="297A76BF" w14:textId="7EB610D1" w:rsidR="00540118" w:rsidRPr="00C4271E" w:rsidRDefault="00681304" w:rsidP="00540118">
      <w:pPr>
        <w:pStyle w:val="Citationenretrait"/>
        <w:rPr>
          <w:szCs w:val="22"/>
          <w:lang w:val="en-CA"/>
        </w:rPr>
      </w:pPr>
      <w:r w:rsidRPr="00C4271E">
        <w:rPr>
          <w:b/>
          <w:bCs/>
          <w:u w:val="single"/>
          <w:lang w:val="en-CA"/>
        </w:rPr>
        <w:t>ORDER</w:t>
      </w:r>
      <w:r w:rsidRPr="00C4271E">
        <w:rPr>
          <w:bCs/>
          <w:u w:val="single"/>
          <w:lang w:val="en-CA"/>
        </w:rPr>
        <w:t xml:space="preserve"> the </w:t>
      </w:r>
      <w:r w:rsidR="000A5EE9" w:rsidRPr="00C4271E">
        <w:rPr>
          <w:bCs/>
          <w:u w:val="single"/>
          <w:lang w:val="en-CA"/>
        </w:rPr>
        <w:t>Conseil de bande de</w:t>
      </w:r>
      <w:r w:rsidRPr="00C4271E">
        <w:rPr>
          <w:bCs/>
          <w:u w:val="single"/>
          <w:lang w:val="en-CA"/>
        </w:rPr>
        <w:t xml:space="preserve"> Pessamit to immediately remit to the Première Nation de Pes</w:t>
      </w:r>
      <w:r w:rsidR="00962BEA" w:rsidRPr="00C4271E">
        <w:rPr>
          <w:bCs/>
          <w:u w:val="single"/>
          <w:lang w:val="en-CA"/>
        </w:rPr>
        <w:t>sa</w:t>
      </w:r>
      <w:r w:rsidRPr="00C4271E">
        <w:rPr>
          <w:bCs/>
          <w:u w:val="single"/>
          <w:lang w:val="en-CA"/>
        </w:rPr>
        <w:t xml:space="preserve">mit any information and documents concerning Aboriginal rights, </w:t>
      </w:r>
      <w:r w:rsidRPr="00E241BC">
        <w:rPr>
          <w:bCs/>
          <w:u w:val="single"/>
          <w:lang w:val="en-CA"/>
        </w:rPr>
        <w:t>the</w:t>
      </w:r>
      <w:r w:rsidRPr="00C4271E">
        <w:rPr>
          <w:bCs/>
          <w:u w:val="single"/>
          <w:lang w:val="en-CA"/>
        </w:rPr>
        <w:t xml:space="preserve"> N</w:t>
      </w:r>
      <w:r w:rsidR="005A797D" w:rsidRPr="00C4271E">
        <w:rPr>
          <w:bCs/>
          <w:u w:val="single"/>
          <w:lang w:val="en-CA"/>
        </w:rPr>
        <w:t>i</w:t>
      </w:r>
      <w:r w:rsidRPr="00C4271E">
        <w:rPr>
          <w:bCs/>
          <w:u w:val="single"/>
          <w:lang w:val="en-CA"/>
        </w:rPr>
        <w:t xml:space="preserve">tassinan, and </w:t>
      </w:r>
      <w:r w:rsidRPr="00374701">
        <w:rPr>
          <w:bCs/>
          <w:u w:val="single"/>
          <w:lang w:val="en-CA"/>
        </w:rPr>
        <w:t>self-</w:t>
      </w:r>
      <w:r w:rsidR="00E241BC" w:rsidRPr="00374701">
        <w:rPr>
          <w:bCs/>
          <w:u w:val="single"/>
          <w:lang w:val="en-CA"/>
        </w:rPr>
        <w:t>government</w:t>
      </w:r>
      <w:r w:rsidR="00E241BC" w:rsidRPr="00C4271E">
        <w:rPr>
          <w:bCs/>
          <w:u w:val="single"/>
          <w:lang w:val="en-CA"/>
        </w:rPr>
        <w:t xml:space="preserve"> </w:t>
      </w:r>
      <w:r w:rsidRPr="00C4271E">
        <w:rPr>
          <w:bCs/>
          <w:u w:val="single"/>
          <w:lang w:val="en-CA"/>
        </w:rPr>
        <w:t xml:space="preserve">of the Première </w:t>
      </w:r>
      <w:r w:rsidR="00E241BC">
        <w:rPr>
          <w:bCs/>
          <w:u w:val="single"/>
          <w:lang w:val="en-CA"/>
        </w:rPr>
        <w:t>N</w:t>
      </w:r>
      <w:r w:rsidRPr="00C4271E">
        <w:rPr>
          <w:bCs/>
          <w:u w:val="single"/>
          <w:lang w:val="en-CA"/>
        </w:rPr>
        <w:t>ation de Pessamit</w:t>
      </w:r>
      <w:r w:rsidRPr="00C4271E">
        <w:rPr>
          <w:bCs/>
          <w:lang w:val="en-CA"/>
        </w:rPr>
        <w:t>;</w:t>
      </w:r>
      <w:r w:rsidR="00E6443C" w:rsidRPr="00AA33C4">
        <w:rPr>
          <w:rStyle w:val="Appelnotedebasdep"/>
          <w:lang w:val="en-CA"/>
        </w:rPr>
        <w:footnoteReference w:id="33"/>
      </w:r>
    </w:p>
    <w:p w14:paraId="5A2A56A0" w14:textId="231B115C" w:rsidR="00540118" w:rsidRPr="00AA33C4" w:rsidRDefault="00987300" w:rsidP="00540118">
      <w:pPr>
        <w:pStyle w:val="Citationenretrait"/>
        <w:jc w:val="right"/>
        <w:rPr>
          <w:lang w:val="en-CA"/>
        </w:rPr>
      </w:pPr>
      <w:r w:rsidRPr="00AA33C4">
        <w:rPr>
          <w:rFonts w:cs="Arial"/>
          <w:lang w:val="en-CA"/>
        </w:rPr>
        <w:t>[Emphasis added]</w:t>
      </w:r>
    </w:p>
    <w:p w14:paraId="254A1EC7" w14:textId="01CA2997" w:rsidR="00540118" w:rsidRPr="00C4271E" w:rsidRDefault="00681304" w:rsidP="00540118">
      <w:pPr>
        <w:pStyle w:val="Paragraphe"/>
        <w:keepNext/>
        <w:keepLines/>
        <w:spacing w:line="240" w:lineRule="auto"/>
        <w:rPr>
          <w:lang w:val="en-CA"/>
        </w:rPr>
      </w:pPr>
      <w:r w:rsidRPr="00C4271E">
        <w:rPr>
          <w:lang w:val="en-CA"/>
        </w:rPr>
        <w:t>Having examined the conclusions sought by the respondents, the</w:t>
      </w:r>
      <w:r w:rsidR="006862AF">
        <w:rPr>
          <w:lang w:val="en-CA"/>
        </w:rPr>
        <w:t xml:space="preserve"> trial</w:t>
      </w:r>
      <w:r w:rsidRPr="00C4271E">
        <w:rPr>
          <w:lang w:val="en-CA"/>
        </w:rPr>
        <w:t xml:space="preserve"> judge concluded that the dispute did not fall under the exclusive jurisdiction of the Federal Court, stating the following:</w:t>
      </w:r>
    </w:p>
    <w:p w14:paraId="407111D0" w14:textId="7DB588E1" w:rsidR="00E92281" w:rsidRPr="00C4271E" w:rsidRDefault="00E92281" w:rsidP="00540118">
      <w:pPr>
        <w:pStyle w:val="Citationenretrait"/>
        <w:rPr>
          <w:lang w:val="en-CA"/>
        </w:rPr>
      </w:pPr>
      <w:r w:rsidRPr="00C4271E">
        <w:rPr>
          <w:lang w:val="en-CA"/>
        </w:rPr>
        <w:t>[</w:t>
      </w:r>
      <w:r w:rsidRPr="00C4271E">
        <w:rPr>
          <w:smallCaps/>
          <w:lang w:val="en-CA"/>
        </w:rPr>
        <w:t>translation</w:t>
      </w:r>
      <w:r w:rsidRPr="00C4271E">
        <w:rPr>
          <w:lang w:val="en-CA"/>
        </w:rPr>
        <w:t>]</w:t>
      </w:r>
    </w:p>
    <w:p w14:paraId="278B8C4A" w14:textId="77BB8500" w:rsidR="00540118" w:rsidRPr="00C4271E" w:rsidRDefault="00E6443C" w:rsidP="00540118">
      <w:pPr>
        <w:pStyle w:val="Citationenretrait"/>
        <w:rPr>
          <w:lang w:val="en-CA"/>
        </w:rPr>
      </w:pPr>
      <w:r w:rsidRPr="00C4271E">
        <w:rPr>
          <w:lang w:val="en-CA"/>
        </w:rPr>
        <w:t>[17]</w:t>
      </w:r>
      <w:r w:rsidRPr="00C4271E">
        <w:rPr>
          <w:lang w:val="en-CA"/>
        </w:rPr>
        <w:tab/>
      </w:r>
      <w:r w:rsidR="00681304" w:rsidRPr="00C4271E">
        <w:rPr>
          <w:lang w:val="en-CA"/>
        </w:rPr>
        <w:t xml:space="preserve">The purpose of the originating application for a permanent injunction is for the </w:t>
      </w:r>
      <w:r w:rsidR="006862AF">
        <w:rPr>
          <w:lang w:val="en-CA"/>
        </w:rPr>
        <w:t>C</w:t>
      </w:r>
      <w:r w:rsidR="00681304" w:rsidRPr="00C4271E">
        <w:rPr>
          <w:lang w:val="en-CA"/>
        </w:rPr>
        <w:t xml:space="preserve">ouncil for the Innus of Pessamit </w:t>
      </w:r>
      <w:r w:rsidR="00E4626F" w:rsidRPr="00C4271E">
        <w:rPr>
          <w:lang w:val="en-CA"/>
        </w:rPr>
        <w:t xml:space="preserve">to </w:t>
      </w:r>
      <w:r w:rsidR="00681304" w:rsidRPr="00C4271E">
        <w:rPr>
          <w:lang w:val="en-CA"/>
        </w:rPr>
        <w:t xml:space="preserve">limit its jurisdiction to the </w:t>
      </w:r>
      <w:r w:rsidR="00681304" w:rsidRPr="00C4271E">
        <w:rPr>
          <w:i/>
          <w:iCs/>
          <w:lang w:val="en-CA"/>
        </w:rPr>
        <w:t>Act</w:t>
      </w:r>
      <w:r w:rsidR="00681304" w:rsidRPr="00C4271E">
        <w:rPr>
          <w:lang w:val="en-CA"/>
        </w:rPr>
        <w:t xml:space="preserve"> and refrain from extending it by acting on Aboriginal rights.</w:t>
      </w:r>
    </w:p>
    <w:p w14:paraId="2F91BE1D" w14:textId="18CF928E" w:rsidR="00540118" w:rsidRPr="00C4271E" w:rsidRDefault="00E6443C" w:rsidP="00540118">
      <w:pPr>
        <w:pStyle w:val="Citationenretrait"/>
        <w:rPr>
          <w:lang w:val="en-CA"/>
        </w:rPr>
      </w:pPr>
      <w:r w:rsidRPr="00C4271E">
        <w:rPr>
          <w:lang w:val="en-CA"/>
        </w:rPr>
        <w:t>[18]</w:t>
      </w:r>
      <w:r w:rsidRPr="00C4271E">
        <w:rPr>
          <w:lang w:val="en-CA"/>
        </w:rPr>
        <w:tab/>
      </w:r>
      <w:r w:rsidR="00681304" w:rsidRPr="00C4271E">
        <w:rPr>
          <w:lang w:val="en-CA"/>
        </w:rPr>
        <w:t xml:space="preserve">Accordingly, </w:t>
      </w:r>
      <w:r w:rsidR="00B9175A" w:rsidRPr="00C4271E">
        <w:rPr>
          <w:lang w:val="en-CA"/>
        </w:rPr>
        <w:t>when</w:t>
      </w:r>
      <w:r w:rsidR="00681304" w:rsidRPr="00C4271E">
        <w:rPr>
          <w:lang w:val="en-CA"/>
        </w:rPr>
        <w:t xml:space="preserve"> exercising </w:t>
      </w:r>
      <w:r w:rsidR="00681304" w:rsidRPr="006862AF">
        <w:rPr>
          <w:lang w:val="en-CA"/>
        </w:rPr>
        <w:t xml:space="preserve">the powers it </w:t>
      </w:r>
      <w:r w:rsidR="006862AF">
        <w:rPr>
          <w:lang w:val="en-CA"/>
        </w:rPr>
        <w:t>is exercising</w:t>
      </w:r>
      <w:r w:rsidR="006862AF" w:rsidRPr="00C4271E">
        <w:rPr>
          <w:lang w:val="en-CA"/>
        </w:rPr>
        <w:t xml:space="preserve"> </w:t>
      </w:r>
      <w:r w:rsidR="00681304" w:rsidRPr="00C4271E">
        <w:rPr>
          <w:lang w:val="en-CA"/>
        </w:rPr>
        <w:t xml:space="preserve">under section 35 of the </w:t>
      </w:r>
      <w:r w:rsidR="00681304" w:rsidRPr="00C4271E">
        <w:rPr>
          <w:i/>
          <w:iCs/>
          <w:lang w:val="en-CA"/>
        </w:rPr>
        <w:t>Constitution Act, 1982</w:t>
      </w:r>
      <w:r w:rsidR="00681304" w:rsidRPr="00C4271E">
        <w:rPr>
          <w:lang w:val="en-CA"/>
        </w:rPr>
        <w:t xml:space="preserve">, the </w:t>
      </w:r>
      <w:r w:rsidR="006862AF">
        <w:rPr>
          <w:lang w:val="en-CA"/>
        </w:rPr>
        <w:t>Council</w:t>
      </w:r>
      <w:r w:rsidR="00681304" w:rsidRPr="00C4271E">
        <w:rPr>
          <w:lang w:val="en-CA"/>
        </w:rPr>
        <w:t xml:space="preserve"> is not a </w:t>
      </w:r>
      <w:r w:rsidR="00562129" w:rsidRPr="00C4271E">
        <w:rPr>
          <w:lang w:val="en-CA"/>
        </w:rPr>
        <w:t>federal board, commission or other tribunal</w:t>
      </w:r>
      <w:r w:rsidR="00681304" w:rsidRPr="00C4271E">
        <w:rPr>
          <w:lang w:val="en-CA"/>
        </w:rPr>
        <w:t xml:space="preserve"> and the Superior Court, as a court of original general jurisdiction</w:t>
      </w:r>
      <w:r w:rsidR="00651F4A" w:rsidRPr="00C4271E">
        <w:rPr>
          <w:lang w:val="en-CA"/>
        </w:rPr>
        <w:t>,</w:t>
      </w:r>
      <w:r w:rsidR="00681304" w:rsidRPr="00C4271E">
        <w:rPr>
          <w:lang w:val="en-CA"/>
        </w:rPr>
        <w:t xml:space="preserve"> has jurisdiction in first instance to hear the plaintiffs’ claim, which is not formally and exclusively attributed to another jurisdiction or jurisdictional body.</w:t>
      </w:r>
    </w:p>
    <w:p w14:paraId="0537201A" w14:textId="1E5BCF36" w:rsidR="00540118" w:rsidRPr="00AA33C4" w:rsidRDefault="00681304" w:rsidP="00540118">
      <w:pPr>
        <w:pStyle w:val="Citationenretrait"/>
        <w:jc w:val="right"/>
        <w:rPr>
          <w:lang w:val="en-CA"/>
        </w:rPr>
      </w:pPr>
      <w:r w:rsidRPr="00AA33C4">
        <w:rPr>
          <w:lang w:val="en-CA"/>
        </w:rPr>
        <w:t>[</w:t>
      </w:r>
      <w:r w:rsidR="00651F4A" w:rsidRPr="00AA33C4">
        <w:rPr>
          <w:lang w:val="en-CA"/>
        </w:rPr>
        <w:t>References</w:t>
      </w:r>
      <w:r w:rsidRPr="00AA33C4">
        <w:rPr>
          <w:lang w:val="en-CA"/>
        </w:rPr>
        <w:t xml:space="preserve"> omitted]</w:t>
      </w:r>
    </w:p>
    <w:p w14:paraId="2ED73673" w14:textId="749C54F2" w:rsidR="00540118" w:rsidRPr="00C4271E" w:rsidRDefault="00681304" w:rsidP="00540118">
      <w:pPr>
        <w:pStyle w:val="Paragraphe"/>
        <w:spacing w:line="240" w:lineRule="auto"/>
        <w:rPr>
          <w:kern w:val="24"/>
          <w:szCs w:val="24"/>
          <w:lang w:val="en-CA"/>
        </w:rPr>
      </w:pPr>
      <w:r w:rsidRPr="00C4271E">
        <w:rPr>
          <w:lang w:val="en-CA"/>
        </w:rPr>
        <w:lastRenderedPageBreak/>
        <w:t xml:space="preserve">The difficulty in this case lies in the fact that 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defines itself as both the band council </w:t>
      </w:r>
      <w:r w:rsidR="006862AF">
        <w:rPr>
          <w:lang w:val="en-CA"/>
        </w:rPr>
        <w:t>for the purposes of</w:t>
      </w:r>
      <w:r w:rsidR="006862AF" w:rsidRPr="00C4271E">
        <w:rPr>
          <w:lang w:val="en-CA"/>
        </w:rPr>
        <w:t xml:space="preserve"> </w:t>
      </w:r>
      <w:r w:rsidRPr="00C4271E">
        <w:rPr>
          <w:lang w:val="en-CA"/>
        </w:rPr>
        <w:t xml:space="preserve">the </w:t>
      </w:r>
      <w:r w:rsidRPr="00C4271E">
        <w:rPr>
          <w:i/>
          <w:lang w:val="en-CA"/>
        </w:rPr>
        <w:t>I.A.</w:t>
      </w:r>
      <w:r w:rsidRPr="00C4271E">
        <w:rPr>
          <w:lang w:val="en-CA"/>
        </w:rPr>
        <w:t xml:space="preserve"> and the political body representing the First Nation for the </w:t>
      </w:r>
      <w:r w:rsidR="001031D1" w:rsidRPr="00C4271E">
        <w:rPr>
          <w:lang w:val="en-CA"/>
        </w:rPr>
        <w:t>purposes</w:t>
      </w:r>
      <w:r w:rsidRPr="00C4271E">
        <w:rPr>
          <w:lang w:val="en-CA"/>
        </w:rPr>
        <w:t xml:space="preserve"> of section 35 of the </w:t>
      </w:r>
      <w:r w:rsidRPr="00C4271E">
        <w:rPr>
          <w:i/>
          <w:lang w:val="en-CA"/>
        </w:rPr>
        <w:t>Constitutional Act, 198</w:t>
      </w:r>
      <w:r w:rsidRPr="00C4271E">
        <w:rPr>
          <w:lang w:val="en-CA"/>
        </w:rPr>
        <w:t>2.</w:t>
      </w:r>
    </w:p>
    <w:p w14:paraId="1150ABAD" w14:textId="075692D4" w:rsidR="00540118" w:rsidRPr="00C4271E" w:rsidRDefault="00114D15" w:rsidP="00540118">
      <w:pPr>
        <w:pStyle w:val="Paragraphe"/>
        <w:spacing w:line="240" w:lineRule="auto"/>
        <w:rPr>
          <w:lang w:val="en-CA"/>
        </w:rPr>
      </w:pPr>
      <w:r>
        <w:rPr>
          <w:lang w:val="en-CA"/>
        </w:rPr>
        <w:t>I</w:t>
      </w:r>
      <w:r w:rsidR="0047196B" w:rsidRPr="00C4271E">
        <w:rPr>
          <w:lang w:val="en-CA"/>
        </w:rPr>
        <w:t xml:space="preserve"> conclude, as did the</w:t>
      </w:r>
      <w:r>
        <w:rPr>
          <w:lang w:val="en-CA"/>
        </w:rPr>
        <w:t xml:space="preserve"> trial</w:t>
      </w:r>
      <w:r w:rsidR="0047196B" w:rsidRPr="00C4271E">
        <w:rPr>
          <w:lang w:val="en-CA"/>
        </w:rPr>
        <w:t xml:space="preserve"> judge, that the dispute does not fall under the </w:t>
      </w:r>
      <w:r w:rsidR="0047196B" w:rsidRPr="00C4271E">
        <w:rPr>
          <w:i/>
          <w:lang w:val="en-CA"/>
        </w:rPr>
        <w:t>I.A.</w:t>
      </w:r>
      <w:r w:rsidR="0047196B" w:rsidRPr="00C4271E">
        <w:rPr>
          <w:lang w:val="en-CA"/>
        </w:rPr>
        <w:t xml:space="preserve"> because the respondents ask the Superior Court to declare that the </w:t>
      </w:r>
      <w:r w:rsidR="000A5EE9" w:rsidRPr="00C4271E">
        <w:rPr>
          <w:lang w:val="en-CA"/>
        </w:rPr>
        <w:t>B</w:t>
      </w:r>
      <w:r w:rsidR="0047196B" w:rsidRPr="00C4271E">
        <w:rPr>
          <w:lang w:val="en-CA"/>
        </w:rPr>
        <w:t xml:space="preserve">and </w:t>
      </w:r>
      <w:r w:rsidR="000A5EE9" w:rsidRPr="00C4271E">
        <w:rPr>
          <w:lang w:val="en-CA"/>
        </w:rPr>
        <w:t>C</w:t>
      </w:r>
      <w:r w:rsidR="0047196B" w:rsidRPr="00C4271E">
        <w:rPr>
          <w:lang w:val="en-CA"/>
        </w:rPr>
        <w:t xml:space="preserve">ouncil cannot act on behalf of the First Nation when it claims rights guaranteed under section 35 of the </w:t>
      </w:r>
      <w:r w:rsidR="0047196B" w:rsidRPr="00C4271E">
        <w:rPr>
          <w:i/>
          <w:lang w:val="en-CA"/>
        </w:rPr>
        <w:t>Constitution Act, 1982</w:t>
      </w:r>
      <w:r w:rsidR="0047196B" w:rsidRPr="00C4271E">
        <w:rPr>
          <w:lang w:val="en-CA"/>
        </w:rPr>
        <w:t>.</w:t>
      </w:r>
      <w:r w:rsidR="00E6443C" w:rsidRPr="00C4271E">
        <w:rPr>
          <w:lang w:val="en-CA"/>
        </w:rPr>
        <w:t xml:space="preserve"> </w:t>
      </w:r>
      <w:r w:rsidR="0047196B" w:rsidRPr="00C4271E">
        <w:rPr>
          <w:lang w:val="en-CA"/>
        </w:rPr>
        <w:t xml:space="preserve">In this context, it is not a judicial application concerning the </w:t>
      </w:r>
      <w:r w:rsidR="000A5EE9" w:rsidRPr="00C4271E">
        <w:rPr>
          <w:lang w:val="en-CA"/>
        </w:rPr>
        <w:t>B</w:t>
      </w:r>
      <w:r w:rsidR="0047196B" w:rsidRPr="00C4271E">
        <w:rPr>
          <w:lang w:val="en-CA"/>
        </w:rPr>
        <w:t xml:space="preserve">and </w:t>
      </w:r>
      <w:r w:rsidR="000A5EE9" w:rsidRPr="00C4271E">
        <w:rPr>
          <w:lang w:val="en-CA"/>
        </w:rPr>
        <w:t>C</w:t>
      </w:r>
      <w:r w:rsidR="0047196B" w:rsidRPr="00C4271E">
        <w:rPr>
          <w:lang w:val="en-CA"/>
        </w:rPr>
        <w:t xml:space="preserve">ouncil acting under the </w:t>
      </w:r>
      <w:r w:rsidR="0047196B" w:rsidRPr="00C4271E">
        <w:rPr>
          <w:i/>
          <w:iCs/>
          <w:lang w:val="en-CA"/>
        </w:rPr>
        <w:t>I.A.</w:t>
      </w:r>
      <w:r w:rsidR="0047196B" w:rsidRPr="00C4271E">
        <w:rPr>
          <w:lang w:val="en-CA"/>
        </w:rPr>
        <w:t xml:space="preserve"> It is not, therefore</w:t>
      </w:r>
      <w:r w:rsidR="003339BB" w:rsidRPr="00C4271E">
        <w:rPr>
          <w:lang w:val="en-CA"/>
        </w:rPr>
        <w:t>,</w:t>
      </w:r>
      <w:r w:rsidR="0047196B" w:rsidRPr="00C4271E">
        <w:rPr>
          <w:lang w:val="en-CA"/>
        </w:rPr>
        <w:t xml:space="preserve"> a dispute fundamentally concerning </w:t>
      </w:r>
      <w:r w:rsidR="00D66A88">
        <w:rPr>
          <w:lang w:val="en-CA"/>
        </w:rPr>
        <w:t>an Act of Parliament</w:t>
      </w:r>
      <w:r w:rsidR="0047196B" w:rsidRPr="00C4271E">
        <w:rPr>
          <w:lang w:val="en-CA"/>
        </w:rPr>
        <w:t>.</w:t>
      </w:r>
      <w:r w:rsidR="00E6443C" w:rsidRPr="00C4271E">
        <w:rPr>
          <w:lang w:val="en-CA"/>
        </w:rPr>
        <w:t xml:space="preserve"> </w:t>
      </w:r>
    </w:p>
    <w:p w14:paraId="5ED6D3C7" w14:textId="122D776F" w:rsidR="00540118" w:rsidRPr="00C4271E" w:rsidRDefault="00EF238C" w:rsidP="00540118">
      <w:pPr>
        <w:pStyle w:val="Paragraphe"/>
        <w:spacing w:line="240" w:lineRule="auto"/>
        <w:rPr>
          <w:lang w:val="en-CA"/>
        </w:rPr>
      </w:pPr>
      <w:r w:rsidRPr="00C4271E">
        <w:rPr>
          <w:lang w:val="en-CA"/>
        </w:rPr>
        <w:t>It follows that the Federal Court does not hold exclusive jurisdiction over the dispute.</w:t>
      </w:r>
      <w:r w:rsidR="00E6443C" w:rsidRPr="00C4271E">
        <w:rPr>
          <w:lang w:val="en-CA"/>
        </w:rPr>
        <w:t xml:space="preserve"> </w:t>
      </w:r>
      <w:r w:rsidRPr="00C4271E">
        <w:rPr>
          <w:lang w:val="en-CA"/>
        </w:rPr>
        <w:t>Admittedly, the respondents seek to obtain injuncti</w:t>
      </w:r>
      <w:r w:rsidR="00064194" w:rsidRPr="00C4271E">
        <w:rPr>
          <w:lang w:val="en-CA"/>
        </w:rPr>
        <w:t>ve orders</w:t>
      </w:r>
      <w:r w:rsidRPr="00C4271E">
        <w:rPr>
          <w:lang w:val="en-CA"/>
        </w:rPr>
        <w:t xml:space="preserve"> against the </w:t>
      </w:r>
      <w:r w:rsidR="000A5EE9" w:rsidRPr="00C4271E">
        <w:rPr>
          <w:lang w:val="en-CA"/>
        </w:rPr>
        <w:t>B</w:t>
      </w:r>
      <w:r w:rsidRPr="00C4271E">
        <w:rPr>
          <w:lang w:val="en-CA"/>
        </w:rPr>
        <w:t xml:space="preserve">and </w:t>
      </w:r>
      <w:r w:rsidR="000A5EE9" w:rsidRPr="00C4271E">
        <w:rPr>
          <w:lang w:val="en-CA"/>
        </w:rPr>
        <w:t>C</w:t>
      </w:r>
      <w:r w:rsidRPr="00C4271E">
        <w:rPr>
          <w:lang w:val="en-CA"/>
        </w:rPr>
        <w:t>ouncil, but that is not because it is a “</w:t>
      </w:r>
      <w:r w:rsidR="00562129" w:rsidRPr="00C4271E">
        <w:rPr>
          <w:lang w:val="en-CA"/>
        </w:rPr>
        <w:t>federal board, commission or other tribunal</w:t>
      </w:r>
      <w:r w:rsidRPr="00C4271E">
        <w:rPr>
          <w:lang w:val="en-CA"/>
        </w:rPr>
        <w:t xml:space="preserve">” created and acting under the </w:t>
      </w:r>
      <w:r w:rsidRPr="00C4271E">
        <w:rPr>
          <w:i/>
          <w:iCs/>
          <w:lang w:val="en-CA"/>
        </w:rPr>
        <w:t>I.A.</w:t>
      </w:r>
      <w:r w:rsidRPr="00C4271E">
        <w:rPr>
          <w:lang w:val="en-CA"/>
        </w:rPr>
        <w:t xml:space="preserve"> but because they argue that it does not have the power to act as a representative of the Première Nation de Pessamit under section 35 of the </w:t>
      </w:r>
      <w:r w:rsidRPr="00C4271E">
        <w:rPr>
          <w:i/>
          <w:lang w:val="en-CA"/>
        </w:rPr>
        <w:t>Constitution Act, 1982</w:t>
      </w:r>
      <w:r w:rsidRPr="00C4271E">
        <w:rPr>
          <w:lang w:val="en-CA"/>
        </w:rPr>
        <w:t>.</w:t>
      </w:r>
    </w:p>
    <w:p w14:paraId="72876184" w14:textId="4CD58B9A" w:rsidR="00540118" w:rsidRPr="00C4271E" w:rsidRDefault="00EF238C" w:rsidP="00540118">
      <w:pPr>
        <w:pStyle w:val="Paragraphe"/>
        <w:spacing w:line="240" w:lineRule="auto"/>
        <w:rPr>
          <w:lang w:val="en-CA"/>
        </w:rPr>
      </w:pPr>
      <w:r w:rsidRPr="00C4271E">
        <w:rPr>
          <w:lang w:val="en-CA"/>
        </w:rPr>
        <w:t xml:space="preserve">The claim is not an application for judicial review and does not arise from a decision </w:t>
      </w:r>
      <w:r w:rsidR="000E66D8" w:rsidRPr="00C4271E">
        <w:rPr>
          <w:lang w:val="en-CA"/>
        </w:rPr>
        <w:t>made</w:t>
      </w:r>
      <w:r w:rsidRPr="00C4271E">
        <w:rPr>
          <w:lang w:val="en-CA"/>
        </w:rPr>
        <w:t xml:space="preserve"> by the </w:t>
      </w:r>
      <w:r w:rsidR="000A5EE9" w:rsidRPr="00C4271E">
        <w:rPr>
          <w:lang w:val="en-CA"/>
        </w:rPr>
        <w:t>B</w:t>
      </w:r>
      <w:r w:rsidRPr="00C4271E">
        <w:rPr>
          <w:lang w:val="en-CA"/>
        </w:rPr>
        <w:t xml:space="preserve">and </w:t>
      </w:r>
      <w:r w:rsidR="000A5EE9" w:rsidRPr="00C4271E">
        <w:rPr>
          <w:lang w:val="en-CA"/>
        </w:rPr>
        <w:t>C</w:t>
      </w:r>
      <w:r w:rsidRPr="00C4271E">
        <w:rPr>
          <w:lang w:val="en-CA"/>
        </w:rPr>
        <w:t>ouncil as a “</w:t>
      </w:r>
      <w:r w:rsidR="00562129" w:rsidRPr="00C4271E">
        <w:rPr>
          <w:lang w:val="en-CA"/>
        </w:rPr>
        <w:t>federal board, commission or other tribunal</w:t>
      </w:r>
      <w:r w:rsidRPr="00C4271E">
        <w:rPr>
          <w:lang w:val="en-CA"/>
        </w:rPr>
        <w:t>”.</w:t>
      </w:r>
      <w:r w:rsidR="00E6443C" w:rsidRPr="00C4271E">
        <w:rPr>
          <w:lang w:val="en-CA"/>
        </w:rPr>
        <w:t xml:space="preserve"> </w:t>
      </w:r>
      <w:r w:rsidRPr="00C4271E">
        <w:rPr>
          <w:lang w:val="en-CA"/>
        </w:rPr>
        <w:t xml:space="preserve">Thus, it does not fall under the exclusive jurisdiction </w:t>
      </w:r>
      <w:r w:rsidR="00064194" w:rsidRPr="00C4271E">
        <w:rPr>
          <w:lang w:val="en-CA"/>
        </w:rPr>
        <w:t>of</w:t>
      </w:r>
      <w:r w:rsidRPr="00C4271E">
        <w:rPr>
          <w:lang w:val="en-CA"/>
        </w:rPr>
        <w:t xml:space="preserve"> the Federal Court over such a board</w:t>
      </w:r>
      <w:r w:rsidR="00437554">
        <w:rPr>
          <w:lang w:val="en-CA"/>
        </w:rPr>
        <w:t>, commission or other tribunal</w:t>
      </w:r>
      <w:r w:rsidRPr="00C4271E">
        <w:rPr>
          <w:lang w:val="en-CA"/>
        </w:rPr>
        <w:t>.</w:t>
      </w:r>
      <w:r w:rsidRPr="00AA33C4">
        <w:rPr>
          <w:vertAlign w:val="superscript"/>
          <w:lang w:val="en-CA"/>
        </w:rPr>
        <w:footnoteReference w:id="34"/>
      </w:r>
    </w:p>
    <w:p w14:paraId="4EB4F831" w14:textId="244CB30A" w:rsidR="00540118" w:rsidRPr="00C4271E" w:rsidRDefault="00EF238C" w:rsidP="00540118">
      <w:pPr>
        <w:pStyle w:val="Paragraphe"/>
        <w:spacing w:line="240" w:lineRule="auto"/>
        <w:rPr>
          <w:kern w:val="24"/>
          <w:szCs w:val="24"/>
          <w:lang w:val="en-CA"/>
        </w:rPr>
      </w:pPr>
      <w:r w:rsidRPr="00C4271E">
        <w:rPr>
          <w:lang w:val="en-CA"/>
        </w:rPr>
        <w:t xml:space="preserve">In their originating application, the respondents </w:t>
      </w:r>
      <w:r w:rsidRPr="00114D15">
        <w:rPr>
          <w:lang w:val="en-CA"/>
        </w:rPr>
        <w:t>impugn</w:t>
      </w:r>
      <w:r w:rsidRPr="00C4271E">
        <w:rPr>
          <w:lang w:val="en-CA"/>
        </w:rPr>
        <w:t xml:space="preserve"> the exercise of rights recognized by section 35 of the </w:t>
      </w:r>
      <w:r w:rsidRPr="00C4271E">
        <w:rPr>
          <w:i/>
          <w:lang w:val="en-CA"/>
        </w:rPr>
        <w:t>Constitution Act, 1982</w:t>
      </w:r>
      <w:r w:rsidRPr="00C4271E">
        <w:rPr>
          <w:lang w:val="en-CA"/>
        </w:rPr>
        <w:t>, not the exercise of the</w:t>
      </w:r>
      <w:r w:rsidR="000A5EE9" w:rsidRPr="00C4271E">
        <w:rPr>
          <w:lang w:val="en-CA"/>
        </w:rPr>
        <w:t xml:space="preserve"> B</w:t>
      </w:r>
      <w:r w:rsidRPr="00C4271E">
        <w:rPr>
          <w:lang w:val="en-CA"/>
        </w:rPr>
        <w:t xml:space="preserve">and </w:t>
      </w:r>
      <w:r w:rsidR="000A5EE9" w:rsidRPr="00C4271E">
        <w:rPr>
          <w:lang w:val="en-CA"/>
        </w:rPr>
        <w:t>C</w:t>
      </w:r>
      <w:r w:rsidRPr="00C4271E">
        <w:rPr>
          <w:lang w:val="en-CA"/>
        </w:rPr>
        <w:t xml:space="preserve">ouncil’s powers under the </w:t>
      </w:r>
      <w:r w:rsidRPr="00C4271E">
        <w:rPr>
          <w:i/>
          <w:lang w:val="en-CA"/>
        </w:rPr>
        <w:t>I.A</w:t>
      </w:r>
      <w:r w:rsidRPr="00C4271E">
        <w:rPr>
          <w:lang w:val="en-CA"/>
        </w:rPr>
        <w:t>.</w:t>
      </w:r>
      <w:r w:rsidR="00E6443C" w:rsidRPr="00C4271E">
        <w:rPr>
          <w:lang w:val="en-CA"/>
        </w:rPr>
        <w:t xml:space="preserve"> </w:t>
      </w:r>
      <w:r w:rsidRPr="00C4271E">
        <w:rPr>
          <w:lang w:val="en-CA"/>
        </w:rPr>
        <w:t xml:space="preserve">The issue of the claim does not concern the </w:t>
      </w:r>
      <w:r w:rsidRPr="00C4271E">
        <w:rPr>
          <w:i/>
          <w:lang w:val="en-CA"/>
        </w:rPr>
        <w:t>I.A</w:t>
      </w:r>
      <w:r w:rsidRPr="00C4271E">
        <w:rPr>
          <w:lang w:val="en-CA"/>
        </w:rPr>
        <w:t xml:space="preserve">. The issue is knowing who can speak on behalf of the First Nation when section 35 of the </w:t>
      </w:r>
      <w:r w:rsidRPr="00C4271E">
        <w:rPr>
          <w:i/>
          <w:lang w:val="en-CA"/>
        </w:rPr>
        <w:t>Constitution Act, 1982</w:t>
      </w:r>
      <w:r w:rsidRPr="00C4271E">
        <w:rPr>
          <w:lang w:val="en-CA"/>
        </w:rPr>
        <w:t xml:space="preserve"> is invoked.</w:t>
      </w:r>
    </w:p>
    <w:p w14:paraId="0FA257BB" w14:textId="7B6CC9D2" w:rsidR="00540118" w:rsidRPr="00C4271E" w:rsidRDefault="00EF238C" w:rsidP="00540118">
      <w:pPr>
        <w:pStyle w:val="Paragraphe"/>
        <w:spacing w:line="240" w:lineRule="auto"/>
        <w:rPr>
          <w:kern w:val="24"/>
          <w:szCs w:val="24"/>
          <w:lang w:val="en-CA"/>
        </w:rPr>
      </w:pPr>
      <w:bookmarkStart w:id="23" w:name="_Hlk178194551"/>
      <w:r w:rsidRPr="00C4271E">
        <w:rPr>
          <w:lang w:val="en-CA"/>
        </w:rPr>
        <w:t xml:space="preserve">In this case, when 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w:t>
      </w:r>
      <w:r w:rsidR="00114D15">
        <w:rPr>
          <w:lang w:val="en-CA"/>
        </w:rPr>
        <w:t>claims by way of a</w:t>
      </w:r>
      <w:r w:rsidRPr="00C4271E">
        <w:rPr>
          <w:lang w:val="en-CA"/>
        </w:rPr>
        <w:t xml:space="preserve"> resolution</w:t>
      </w:r>
      <w:r w:rsidRPr="00AA33C4">
        <w:rPr>
          <w:rStyle w:val="Appelnotedebasdep"/>
          <w:lang w:val="en-CA"/>
        </w:rPr>
        <w:footnoteReference w:id="35"/>
      </w:r>
      <w:r w:rsidRPr="00C4271E">
        <w:rPr>
          <w:lang w:val="en-CA"/>
        </w:rPr>
        <w:t xml:space="preserve"> that it is the sole political </w:t>
      </w:r>
      <w:r w:rsidR="00064194" w:rsidRPr="00C4271E">
        <w:rPr>
          <w:lang w:val="en-CA"/>
        </w:rPr>
        <w:t>entity</w:t>
      </w:r>
      <w:r w:rsidRPr="00C4271E">
        <w:rPr>
          <w:lang w:val="en-CA"/>
        </w:rPr>
        <w:t xml:space="preserve"> representing the First Nation for the purposes of section 35 of the </w:t>
      </w:r>
      <w:r w:rsidRPr="00C4271E">
        <w:rPr>
          <w:i/>
          <w:lang w:val="en-CA"/>
        </w:rPr>
        <w:t>Constitution Act, 1982</w:t>
      </w:r>
      <w:r w:rsidRPr="00C4271E">
        <w:rPr>
          <w:lang w:val="en-CA"/>
        </w:rPr>
        <w:t xml:space="preserve">, it is not </w:t>
      </w:r>
      <w:r w:rsidR="00114D15">
        <w:rPr>
          <w:lang w:val="en-CA"/>
        </w:rPr>
        <w:t xml:space="preserve">acting </w:t>
      </w:r>
      <w:r w:rsidRPr="00C4271E">
        <w:rPr>
          <w:lang w:val="en-CA"/>
        </w:rPr>
        <w:t xml:space="preserve">under the </w:t>
      </w:r>
      <w:r w:rsidRPr="00C4271E">
        <w:rPr>
          <w:i/>
          <w:lang w:val="en-CA"/>
        </w:rPr>
        <w:t>I.A</w:t>
      </w:r>
      <w:r w:rsidRPr="00C4271E">
        <w:rPr>
          <w:lang w:val="en-CA"/>
        </w:rPr>
        <w:t xml:space="preserve">. In other words, what the respondents seek is a declaration stating that 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cannot act on behalf of the First </w:t>
      </w:r>
      <w:r w:rsidR="005173BB" w:rsidRPr="00C4271E">
        <w:rPr>
          <w:lang w:val="en-CA"/>
        </w:rPr>
        <w:t>N</w:t>
      </w:r>
      <w:r w:rsidRPr="00C4271E">
        <w:rPr>
          <w:lang w:val="en-CA"/>
        </w:rPr>
        <w:t xml:space="preserve">ation to make claims based on section 35 of the </w:t>
      </w:r>
      <w:r w:rsidRPr="00C4271E">
        <w:rPr>
          <w:i/>
          <w:lang w:val="en-CA"/>
        </w:rPr>
        <w:t>Constitution Act, 1982</w:t>
      </w:r>
      <w:r w:rsidRPr="00C4271E">
        <w:rPr>
          <w:lang w:val="en-CA"/>
        </w:rPr>
        <w:t>.</w:t>
      </w:r>
      <w:r w:rsidR="00E6443C" w:rsidRPr="00C4271E">
        <w:rPr>
          <w:lang w:val="en-CA"/>
        </w:rPr>
        <w:t xml:space="preserve"> </w:t>
      </w:r>
      <w:bookmarkEnd w:id="23"/>
      <w:r w:rsidRPr="00C4271E">
        <w:rPr>
          <w:lang w:val="en-CA"/>
        </w:rPr>
        <w:t xml:space="preserve">It is not a dispute arising </w:t>
      </w:r>
      <w:r w:rsidR="005173BB" w:rsidRPr="00C4271E">
        <w:rPr>
          <w:lang w:val="en-CA"/>
        </w:rPr>
        <w:t>under</w:t>
      </w:r>
      <w:r w:rsidRPr="00C4271E">
        <w:rPr>
          <w:lang w:val="en-CA"/>
        </w:rPr>
        <w:t xml:space="preserve"> the </w:t>
      </w:r>
      <w:r w:rsidRPr="00C4271E">
        <w:rPr>
          <w:i/>
          <w:lang w:val="en-CA"/>
        </w:rPr>
        <w:t>I.A</w:t>
      </w:r>
      <w:r w:rsidRPr="00C4271E">
        <w:rPr>
          <w:lang w:val="en-CA"/>
        </w:rPr>
        <w:t>.</w:t>
      </w:r>
    </w:p>
    <w:p w14:paraId="620C51EF" w14:textId="659C8B96" w:rsidR="00540118" w:rsidRPr="00C4271E" w:rsidRDefault="00EF238C" w:rsidP="00540118">
      <w:pPr>
        <w:pStyle w:val="Paragraphe"/>
        <w:spacing w:line="240" w:lineRule="auto"/>
        <w:rPr>
          <w:kern w:val="24"/>
          <w:szCs w:val="24"/>
          <w:lang w:val="en-CA"/>
        </w:rPr>
      </w:pPr>
      <w:r w:rsidRPr="00C4271E">
        <w:rPr>
          <w:lang w:val="en-CA"/>
        </w:rPr>
        <w:t xml:space="preserve">It is common ground that the word “Canada” in section 101 of the </w:t>
      </w:r>
      <w:r w:rsidRPr="00C4271E">
        <w:rPr>
          <w:i/>
          <w:iCs/>
          <w:lang w:val="en-CA"/>
        </w:rPr>
        <w:t>Constitution Act, 1867</w:t>
      </w:r>
      <w:r w:rsidRPr="00C4271E">
        <w:rPr>
          <w:lang w:val="en-CA"/>
        </w:rPr>
        <w:t xml:space="preserve">, refers only to the federal level such that </w:t>
      </w:r>
      <w:r w:rsidR="005173BB" w:rsidRPr="00C4271E">
        <w:rPr>
          <w:lang w:val="en-CA"/>
        </w:rPr>
        <w:t>the</w:t>
      </w:r>
      <w:r w:rsidRPr="00C4271E">
        <w:rPr>
          <w:lang w:val="en-CA"/>
        </w:rPr>
        <w:t xml:space="preserve"> Constitution, which includes the </w:t>
      </w:r>
      <w:r w:rsidRPr="00C4271E">
        <w:rPr>
          <w:i/>
          <w:iCs/>
          <w:lang w:val="en-CA"/>
        </w:rPr>
        <w:t>Constitution Act, 1982</w:t>
      </w:r>
      <w:r w:rsidRPr="00C4271E">
        <w:rPr>
          <w:lang w:val="en-CA"/>
        </w:rPr>
        <w:t>, is not a “law of Canada”.</w:t>
      </w:r>
      <w:r w:rsidRPr="00AA33C4">
        <w:rPr>
          <w:rStyle w:val="Appelnotedebasdep"/>
          <w:lang w:val="en-CA"/>
        </w:rPr>
        <w:footnoteReference w:id="36"/>
      </w:r>
    </w:p>
    <w:p w14:paraId="0DB03616" w14:textId="0FFEFE31" w:rsidR="00540118" w:rsidRPr="00C4271E" w:rsidRDefault="00EF238C" w:rsidP="00DF74E5">
      <w:pPr>
        <w:pStyle w:val="Paragraphe"/>
        <w:keepNext/>
        <w:keepLines/>
        <w:spacing w:line="240" w:lineRule="auto"/>
        <w:rPr>
          <w:kern w:val="24"/>
          <w:szCs w:val="24"/>
          <w:lang w:val="en-CA"/>
        </w:rPr>
      </w:pPr>
      <w:r w:rsidRPr="00C4271E">
        <w:rPr>
          <w:lang w:val="en-CA"/>
        </w:rPr>
        <w:lastRenderedPageBreak/>
        <w:t xml:space="preserve">For example, one of the conclusions of the originating application states: </w:t>
      </w:r>
      <w:r w:rsidR="000253A8" w:rsidRPr="00C4271E">
        <w:rPr>
          <w:lang w:val="en-CA"/>
        </w:rPr>
        <w:t>[</w:t>
      </w:r>
      <w:r w:rsidR="000253A8" w:rsidRPr="00C4271E">
        <w:rPr>
          <w:smallCaps/>
          <w:lang w:val="en-CA"/>
        </w:rPr>
        <w:t>translation</w:t>
      </w:r>
      <w:r w:rsidR="000253A8" w:rsidRPr="00C4271E">
        <w:rPr>
          <w:lang w:val="en-CA"/>
        </w:rPr>
        <w:t>] “</w:t>
      </w:r>
      <w:r w:rsidRPr="00C4271E">
        <w:rPr>
          <w:lang w:val="en-CA"/>
        </w:rPr>
        <w:t xml:space="preserve">PROHIBIT the </w:t>
      </w:r>
      <w:r w:rsidR="000A5EE9" w:rsidRPr="00C4271E">
        <w:rPr>
          <w:lang w:val="en-CA"/>
        </w:rPr>
        <w:t>Conseil de bande de</w:t>
      </w:r>
      <w:r w:rsidRPr="00C4271E">
        <w:rPr>
          <w:lang w:val="en-CA"/>
        </w:rPr>
        <w:t xml:space="preserve"> Pessamit from making representations or taking action </w:t>
      </w:r>
      <w:r w:rsidR="00C81B6C">
        <w:rPr>
          <w:lang w:val="en-CA"/>
        </w:rPr>
        <w:t>with respect to</w:t>
      </w:r>
      <w:r w:rsidR="00C81B6C" w:rsidRPr="00C4271E">
        <w:rPr>
          <w:lang w:val="en-CA"/>
        </w:rPr>
        <w:t xml:space="preserve"> </w:t>
      </w:r>
      <w:r w:rsidRPr="00C4271E">
        <w:rPr>
          <w:lang w:val="en-CA"/>
        </w:rPr>
        <w:t>the Nitassinan of Pessamit”.</w:t>
      </w:r>
      <w:r w:rsidR="00E6443C" w:rsidRPr="00C4271E">
        <w:rPr>
          <w:lang w:val="en-CA"/>
        </w:rPr>
        <w:t xml:space="preserve"> </w:t>
      </w:r>
      <w:r w:rsidRPr="00C4271E">
        <w:rPr>
          <w:lang w:val="en-CA"/>
        </w:rPr>
        <w:t>The b</w:t>
      </w:r>
      <w:r w:rsidR="000253A8" w:rsidRPr="00C4271E">
        <w:rPr>
          <w:lang w:val="en-CA"/>
        </w:rPr>
        <w:t>a</w:t>
      </w:r>
      <w:r w:rsidRPr="00C4271E">
        <w:rPr>
          <w:lang w:val="en-CA"/>
        </w:rPr>
        <w:t xml:space="preserve">sis of that conclusion is that 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cannot </w:t>
      </w:r>
      <w:r w:rsidR="00C81B6C">
        <w:rPr>
          <w:lang w:val="en-CA"/>
        </w:rPr>
        <w:t>purport</w:t>
      </w:r>
      <w:r w:rsidR="00C81B6C" w:rsidRPr="00C4271E">
        <w:rPr>
          <w:lang w:val="en-CA"/>
        </w:rPr>
        <w:t xml:space="preserve"> </w:t>
      </w:r>
      <w:r w:rsidRPr="00C4271E">
        <w:rPr>
          <w:lang w:val="en-CA"/>
        </w:rPr>
        <w:t xml:space="preserve">to be acting on behalf of the First Nation when it invokes section 35 of the </w:t>
      </w:r>
      <w:r w:rsidRPr="00C4271E">
        <w:rPr>
          <w:i/>
          <w:iCs/>
          <w:lang w:val="en-CA"/>
        </w:rPr>
        <w:t>Constitution Act, 1982</w:t>
      </w:r>
      <w:r w:rsidRPr="00C4271E">
        <w:rPr>
          <w:lang w:val="en-CA"/>
        </w:rPr>
        <w:t xml:space="preserve"> to assert </w:t>
      </w:r>
      <w:r w:rsidR="00D956B0" w:rsidRPr="00C4271E">
        <w:rPr>
          <w:lang w:val="en-CA"/>
        </w:rPr>
        <w:t>Aboriginal</w:t>
      </w:r>
      <w:r w:rsidRPr="00C4271E">
        <w:rPr>
          <w:lang w:val="en-CA"/>
        </w:rPr>
        <w:t xml:space="preserve"> title.</w:t>
      </w:r>
      <w:r w:rsidR="00E6443C" w:rsidRPr="00C4271E">
        <w:rPr>
          <w:lang w:val="en-CA"/>
        </w:rPr>
        <w:t xml:space="preserve"> </w:t>
      </w:r>
      <w:r w:rsidRPr="00C4271E">
        <w:rPr>
          <w:lang w:val="en-CA"/>
        </w:rPr>
        <w:t xml:space="preserve">It is not a question concerning the </w:t>
      </w:r>
      <w:r w:rsidRPr="00C4271E">
        <w:rPr>
          <w:i/>
          <w:lang w:val="en-CA"/>
        </w:rPr>
        <w:t>I.A</w:t>
      </w:r>
      <w:r w:rsidRPr="00C4271E">
        <w:rPr>
          <w:lang w:val="en-CA"/>
        </w:rPr>
        <w:t>.</w:t>
      </w:r>
    </w:p>
    <w:p w14:paraId="3C17B1ED" w14:textId="1774A5E7" w:rsidR="00540118" w:rsidRPr="00C4271E" w:rsidRDefault="00EF238C" w:rsidP="00540118">
      <w:pPr>
        <w:pStyle w:val="Paragraphe"/>
        <w:spacing w:line="240" w:lineRule="auto"/>
        <w:rPr>
          <w:kern w:val="24"/>
          <w:szCs w:val="24"/>
          <w:lang w:val="en-CA"/>
        </w:rPr>
      </w:pPr>
      <w:r w:rsidRPr="00C4271E">
        <w:rPr>
          <w:lang w:val="en-CA"/>
        </w:rPr>
        <w:t xml:space="preserve">In fact, 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does not contest that the dispute concerns section 35 of the </w:t>
      </w:r>
      <w:r w:rsidRPr="00C4271E">
        <w:rPr>
          <w:i/>
          <w:lang w:val="en-CA"/>
        </w:rPr>
        <w:t>Constitution Act, 1982</w:t>
      </w:r>
      <w:r w:rsidRPr="00C4271E">
        <w:rPr>
          <w:lang w:val="en-CA"/>
        </w:rPr>
        <w:t xml:space="preserve"> rather than the </w:t>
      </w:r>
      <w:r w:rsidRPr="00C4271E">
        <w:rPr>
          <w:i/>
          <w:lang w:val="en-CA"/>
        </w:rPr>
        <w:t>I.A</w:t>
      </w:r>
      <w:r w:rsidRPr="00C4271E">
        <w:rPr>
          <w:lang w:val="en-CA"/>
        </w:rPr>
        <w:t xml:space="preserve">. Instead, it argues that a customary band council is a </w:t>
      </w:r>
      <w:r w:rsidR="00562129" w:rsidRPr="00C4271E">
        <w:rPr>
          <w:lang w:val="en-CA"/>
        </w:rPr>
        <w:t>federal board, commission or other tribunal</w:t>
      </w:r>
      <w:r w:rsidRPr="00C4271E">
        <w:rPr>
          <w:lang w:val="en-CA"/>
        </w:rPr>
        <w:t xml:space="preserve"> within the meaning of the </w:t>
      </w:r>
      <w:r w:rsidR="004C3E30" w:rsidRPr="00C4271E">
        <w:rPr>
          <w:i/>
          <w:lang w:val="en-CA"/>
        </w:rPr>
        <w:t>F.C. Act</w:t>
      </w:r>
      <w:r w:rsidR="00CA1E57">
        <w:rPr>
          <w:iCs/>
          <w:lang w:val="en-CA"/>
        </w:rPr>
        <w:t>.</w:t>
      </w:r>
      <w:r w:rsidR="00E6443C" w:rsidRPr="00C4271E">
        <w:rPr>
          <w:lang w:val="en-CA"/>
        </w:rPr>
        <w:t xml:space="preserve"> </w:t>
      </w:r>
      <w:r w:rsidRPr="00C4271E">
        <w:rPr>
          <w:lang w:val="en-CA"/>
        </w:rPr>
        <w:t xml:space="preserve">In other words, it argues that a band council (or any other Aboriginal political </w:t>
      </w:r>
      <w:r w:rsidR="00C81B6C">
        <w:rPr>
          <w:lang w:val="en-CA"/>
        </w:rPr>
        <w:t>organization</w:t>
      </w:r>
      <w:r w:rsidRPr="00C4271E">
        <w:rPr>
          <w:lang w:val="en-CA"/>
        </w:rPr>
        <w:t xml:space="preserve">) invoking section 35 of the </w:t>
      </w:r>
      <w:r w:rsidRPr="00AA33C4">
        <w:rPr>
          <w:i/>
          <w:iCs/>
          <w:lang w:val="en-CA"/>
        </w:rPr>
        <w:t>Constitution Act, 1982</w:t>
      </w:r>
      <w:r w:rsidRPr="00C4271E">
        <w:rPr>
          <w:lang w:val="en-CA"/>
        </w:rPr>
        <w:t xml:space="preserve"> is a “</w:t>
      </w:r>
      <w:r w:rsidR="00562129" w:rsidRPr="00C4271E">
        <w:rPr>
          <w:lang w:val="en-CA"/>
        </w:rPr>
        <w:t>federal board, commission or other tribunal</w:t>
      </w:r>
      <w:r w:rsidRPr="00C4271E">
        <w:rPr>
          <w:lang w:val="en-CA"/>
        </w:rPr>
        <w:t>” subject to the Federal Court’s exclusive jurisdiction.</w:t>
      </w:r>
      <w:r w:rsidR="00E6443C" w:rsidRPr="00C4271E">
        <w:rPr>
          <w:lang w:val="en-CA"/>
        </w:rPr>
        <w:t xml:space="preserve"> </w:t>
      </w:r>
    </w:p>
    <w:p w14:paraId="741192F5" w14:textId="2998ACBA" w:rsidR="00540118" w:rsidRPr="00C4271E" w:rsidRDefault="00EF238C" w:rsidP="00540118">
      <w:pPr>
        <w:pStyle w:val="Paragraphe"/>
        <w:keepNext/>
        <w:keepLines/>
        <w:spacing w:line="240" w:lineRule="auto"/>
        <w:rPr>
          <w:kern w:val="24"/>
          <w:szCs w:val="24"/>
          <w:lang w:val="en-CA"/>
        </w:rPr>
      </w:pPr>
      <w:r w:rsidRPr="00C4271E">
        <w:rPr>
          <w:lang w:val="en-CA"/>
        </w:rPr>
        <w:t xml:space="preserve">The </w:t>
      </w:r>
      <w:r w:rsidR="000A5EE9" w:rsidRPr="00C4271E">
        <w:rPr>
          <w:lang w:val="en-CA"/>
        </w:rPr>
        <w:t>B</w:t>
      </w:r>
      <w:r w:rsidRPr="00C4271E">
        <w:rPr>
          <w:lang w:val="en-CA"/>
        </w:rPr>
        <w:t xml:space="preserve">and </w:t>
      </w:r>
      <w:r w:rsidR="000A5EE9" w:rsidRPr="00C4271E">
        <w:rPr>
          <w:lang w:val="en-CA"/>
        </w:rPr>
        <w:t>C</w:t>
      </w:r>
      <w:r w:rsidRPr="00C4271E">
        <w:rPr>
          <w:lang w:val="en-CA"/>
        </w:rPr>
        <w:t xml:space="preserve">ouncil thereby asks the Court to recognize that the Federal Court has exclusive jurisdiction over not only an Aboriginal </w:t>
      </w:r>
      <w:r w:rsidR="00C81B6C">
        <w:rPr>
          <w:lang w:val="en-CA"/>
        </w:rPr>
        <w:t>organization</w:t>
      </w:r>
      <w:r w:rsidR="00C81B6C" w:rsidRPr="00C4271E">
        <w:rPr>
          <w:lang w:val="en-CA"/>
        </w:rPr>
        <w:t xml:space="preserve"> </w:t>
      </w:r>
      <w:r w:rsidRPr="00C4271E">
        <w:rPr>
          <w:lang w:val="en-CA"/>
        </w:rPr>
        <w:t xml:space="preserve">exercising a power under the </w:t>
      </w:r>
      <w:r w:rsidRPr="00C4271E">
        <w:rPr>
          <w:i/>
          <w:iCs/>
          <w:lang w:val="en-CA"/>
        </w:rPr>
        <w:t>I.A</w:t>
      </w:r>
      <w:r w:rsidRPr="00C4271E">
        <w:rPr>
          <w:lang w:val="en-CA"/>
        </w:rPr>
        <w:t>., but also over such a</w:t>
      </w:r>
      <w:r w:rsidR="00C81B6C">
        <w:rPr>
          <w:lang w:val="en-CA"/>
        </w:rPr>
        <w:t>n</w:t>
      </w:r>
      <w:r w:rsidRPr="00C4271E">
        <w:rPr>
          <w:lang w:val="en-CA"/>
        </w:rPr>
        <w:t xml:space="preserve"> </w:t>
      </w:r>
      <w:r w:rsidR="00C81B6C">
        <w:rPr>
          <w:lang w:val="en-CA"/>
        </w:rPr>
        <w:t>organization</w:t>
      </w:r>
      <w:r w:rsidR="00C81B6C" w:rsidRPr="00C4271E">
        <w:rPr>
          <w:lang w:val="en-CA"/>
        </w:rPr>
        <w:t xml:space="preserve"> </w:t>
      </w:r>
      <w:r w:rsidRPr="00C4271E">
        <w:rPr>
          <w:lang w:val="en-CA"/>
        </w:rPr>
        <w:t xml:space="preserve">when it invokes a right recognized </w:t>
      </w:r>
      <w:r w:rsidR="001504B5" w:rsidRPr="00C4271E">
        <w:rPr>
          <w:lang w:val="en-CA"/>
        </w:rPr>
        <w:t>under</w:t>
      </w:r>
      <w:r w:rsidRPr="00C4271E">
        <w:rPr>
          <w:lang w:val="en-CA"/>
        </w:rPr>
        <w:t xml:space="preserve"> section 35 of the </w:t>
      </w:r>
      <w:r w:rsidRPr="00C4271E">
        <w:rPr>
          <w:i/>
          <w:iCs/>
          <w:lang w:val="en-CA"/>
        </w:rPr>
        <w:t>Constitution Act, 1982</w:t>
      </w:r>
      <w:r w:rsidRPr="00C4271E">
        <w:rPr>
          <w:lang w:val="en-CA"/>
        </w:rPr>
        <w:t xml:space="preserve">, </w:t>
      </w:r>
      <w:r w:rsidR="001504B5" w:rsidRPr="00C4271E">
        <w:rPr>
          <w:lang w:val="en-CA"/>
        </w:rPr>
        <w:t>even though</w:t>
      </w:r>
      <w:r w:rsidRPr="00C4271E">
        <w:rPr>
          <w:lang w:val="en-CA"/>
        </w:rPr>
        <w:t xml:space="preserve"> the applicable law is to the contrary, as Grammond, J. concluded in </w:t>
      </w:r>
      <w:r w:rsidRPr="00C4271E">
        <w:rPr>
          <w:i/>
          <w:lang w:val="en-CA"/>
        </w:rPr>
        <w:t>George c. Première Nation Heiltsuk</w:t>
      </w:r>
      <w:r w:rsidRPr="00C4271E">
        <w:rPr>
          <w:lang w:val="en-CA"/>
        </w:rPr>
        <w:t>: </w:t>
      </w:r>
      <w:r w:rsidR="00E6443C" w:rsidRPr="00C4271E">
        <w:rPr>
          <w:lang w:val="en-CA"/>
        </w:rPr>
        <w:t xml:space="preserve"> </w:t>
      </w:r>
    </w:p>
    <w:p w14:paraId="613FB43E" w14:textId="79EE7012" w:rsidR="00540118" w:rsidRPr="00C4271E" w:rsidRDefault="00E6443C" w:rsidP="00540118">
      <w:pPr>
        <w:pStyle w:val="Citationenretrait"/>
        <w:rPr>
          <w:lang w:val="en-CA"/>
        </w:rPr>
      </w:pPr>
      <w:r w:rsidRPr="00C4271E">
        <w:rPr>
          <w:lang w:val="en-CA"/>
        </w:rPr>
        <w:t xml:space="preserve">[39] </w:t>
      </w:r>
      <w:r w:rsidRPr="00C4271E">
        <w:rPr>
          <w:lang w:val="en-CA"/>
        </w:rPr>
        <w:tab/>
      </w:r>
      <w:r w:rsidR="00EF238C" w:rsidRPr="00C4271E">
        <w:rPr>
          <w:lang w:val="en-CA"/>
        </w:rPr>
        <w:t>It is trite law that First Nations, their councils or bodies created by them are “federal boards, commissions or other tribunals” where they exercise powers conferred by the Indian Act or other federal legislation.</w:t>
      </w:r>
      <w:r w:rsidRPr="00C4271E">
        <w:rPr>
          <w:lang w:val="en-CA"/>
        </w:rPr>
        <w:t xml:space="preserve"> </w:t>
      </w:r>
      <w:r w:rsidR="00EF238C" w:rsidRPr="00C4271E">
        <w:rPr>
          <w:lang w:val="en-CA"/>
        </w:rPr>
        <w:t xml:space="preserve">This is also the case where they exercise powers conferred by Indigenous law regarding the selection of leaders, including what are often called “custom election codes:” </w:t>
      </w:r>
      <w:r w:rsidR="00EF238C" w:rsidRPr="00C4271E">
        <w:rPr>
          <w:i/>
          <w:iCs/>
          <w:lang w:val="en-CA"/>
        </w:rPr>
        <w:t>Canatonquin v Gabriel</w:t>
      </w:r>
      <w:r w:rsidR="00EF238C" w:rsidRPr="00C4271E">
        <w:rPr>
          <w:lang w:val="en-CA"/>
        </w:rPr>
        <w:t xml:space="preserve">, [1980] 2 FC 792 (CA). </w:t>
      </w:r>
      <w:r w:rsidR="001504B5" w:rsidRPr="00C4271E">
        <w:rPr>
          <w:lang w:val="en-CA"/>
        </w:rPr>
        <w:t>W</w:t>
      </w:r>
      <w:r w:rsidR="00EF238C" w:rsidRPr="00C4271E">
        <w:rPr>
          <w:lang w:val="en-CA"/>
        </w:rPr>
        <w:t>hile our understanding of Indigenous law has changed considerably since 1980, the better explanation of this holding in today’s context seems to be that the Indian Act’s recognition of Indigenous laws (or “customs”) with respect to the selection of leaders is sufficient to conclude that these laws have been made pursuant to a “jurisdiction or powers conferred by or under an Act of Parliament.”</w:t>
      </w:r>
    </w:p>
    <w:p w14:paraId="63F29672" w14:textId="5FABAC24" w:rsidR="00540118" w:rsidRPr="00C4271E" w:rsidRDefault="00E6443C" w:rsidP="00540118">
      <w:pPr>
        <w:pStyle w:val="Citationenretrait"/>
        <w:rPr>
          <w:lang w:val="en-CA"/>
        </w:rPr>
      </w:pPr>
      <w:r w:rsidRPr="00C4271E">
        <w:rPr>
          <w:lang w:val="en-CA"/>
        </w:rPr>
        <w:t xml:space="preserve">[40] </w:t>
      </w:r>
      <w:r w:rsidRPr="00C4271E">
        <w:rPr>
          <w:lang w:val="en-CA"/>
        </w:rPr>
        <w:tab/>
      </w:r>
      <w:r w:rsidR="00EF238C" w:rsidRPr="00C4271E">
        <w:rPr>
          <w:u w:val="single"/>
          <w:lang w:val="en-CA"/>
        </w:rPr>
        <w:t>However, where the council of a First Nation exercises powers that are not granted or recognized by the Indian Act or other federal legislation, it does not act as a “federal board, commission or other tribunal” and its decisions are not reviewable in the Federal Court</w:t>
      </w:r>
      <w:r w:rsidR="00EF238C" w:rsidRPr="00C4271E">
        <w:rPr>
          <w:lang w:val="en-CA"/>
        </w:rPr>
        <w:t xml:space="preserve">: </w:t>
      </w:r>
      <w:r w:rsidR="00EF238C" w:rsidRPr="00C4271E">
        <w:rPr>
          <w:i/>
          <w:lang w:val="en-CA"/>
        </w:rPr>
        <w:t>Devil’s Gap Cottagers (1982) Ltd v Rat Portage Band No 38B</w:t>
      </w:r>
      <w:r w:rsidR="00EF238C" w:rsidRPr="00C4271E">
        <w:rPr>
          <w:lang w:val="en-CA"/>
        </w:rPr>
        <w:t>, 2008 FC 812 at paragraph 45, [2009] 2 FCR 276 [</w:t>
      </w:r>
      <w:r w:rsidR="00EF238C" w:rsidRPr="00C4271E">
        <w:rPr>
          <w:i/>
          <w:lang w:val="en-CA"/>
        </w:rPr>
        <w:t>Devil’s Gap</w:t>
      </w:r>
      <w:r w:rsidR="00EF238C" w:rsidRPr="00C4271E">
        <w:rPr>
          <w:lang w:val="en-CA"/>
        </w:rPr>
        <w:t>].</w:t>
      </w:r>
      <w:r w:rsidRPr="00AA33C4">
        <w:rPr>
          <w:rStyle w:val="Appelnotedebasdep"/>
          <w:lang w:val="en-CA"/>
        </w:rPr>
        <w:footnoteReference w:id="37"/>
      </w:r>
    </w:p>
    <w:p w14:paraId="6C829124" w14:textId="4B4E576D" w:rsidR="00540118" w:rsidRPr="00AA33C4" w:rsidRDefault="00EF238C" w:rsidP="00540118">
      <w:pPr>
        <w:pStyle w:val="Citationenretrait"/>
        <w:jc w:val="right"/>
        <w:rPr>
          <w:lang w:val="en-CA"/>
        </w:rPr>
      </w:pPr>
      <w:r w:rsidRPr="00AA33C4">
        <w:rPr>
          <w:lang w:val="en-CA"/>
        </w:rPr>
        <w:t>[Emphasis added]</w:t>
      </w:r>
    </w:p>
    <w:p w14:paraId="68070A56" w14:textId="2388694B" w:rsidR="00540118" w:rsidRPr="00C4271E" w:rsidRDefault="00903176" w:rsidP="00540118">
      <w:pPr>
        <w:pStyle w:val="Paragraphe"/>
        <w:spacing w:line="240" w:lineRule="auto"/>
        <w:rPr>
          <w:kern w:val="24"/>
          <w:szCs w:val="24"/>
          <w:lang w:val="en-CA"/>
        </w:rPr>
      </w:pPr>
      <w:r w:rsidRPr="00C4271E">
        <w:rPr>
          <w:lang w:val="en-CA"/>
        </w:rPr>
        <w:t>These paragraphs aptly summarize the state of the law on this jurisdictional issue.</w:t>
      </w:r>
    </w:p>
    <w:p w14:paraId="7124739C" w14:textId="75DDC1B5" w:rsidR="00540118" w:rsidRPr="00C4271E" w:rsidRDefault="00903176" w:rsidP="00540118">
      <w:pPr>
        <w:pStyle w:val="Paragraphe"/>
        <w:spacing w:line="240" w:lineRule="auto"/>
        <w:rPr>
          <w:kern w:val="24"/>
          <w:szCs w:val="24"/>
          <w:lang w:val="en-CA"/>
        </w:rPr>
      </w:pPr>
      <w:r w:rsidRPr="00C4271E">
        <w:rPr>
          <w:lang w:val="en-CA"/>
        </w:rPr>
        <w:lastRenderedPageBreak/>
        <w:t xml:space="preserve">The powers and jurisdictions granted the appellant under the </w:t>
      </w:r>
      <w:r w:rsidRPr="00091D00">
        <w:rPr>
          <w:i/>
          <w:iCs/>
          <w:lang w:val="en-CA"/>
        </w:rPr>
        <w:t>I.A.</w:t>
      </w:r>
      <w:r w:rsidRPr="00C4271E">
        <w:rPr>
          <w:lang w:val="en-CA"/>
        </w:rPr>
        <w:t xml:space="preserve">, which apply </w:t>
      </w:r>
      <w:r w:rsidR="00B80C81">
        <w:rPr>
          <w:lang w:val="en-CA"/>
        </w:rPr>
        <w:t xml:space="preserve">within </w:t>
      </w:r>
      <w:r w:rsidRPr="00C4271E">
        <w:rPr>
          <w:lang w:val="en-CA"/>
        </w:rPr>
        <w:t xml:space="preserve">the reserve, are not contested by </w:t>
      </w:r>
      <w:r w:rsidR="001504B5" w:rsidRPr="00C4271E">
        <w:rPr>
          <w:lang w:val="en-CA"/>
        </w:rPr>
        <w:t>the</w:t>
      </w:r>
      <w:r w:rsidRPr="00C4271E">
        <w:rPr>
          <w:lang w:val="en-CA"/>
        </w:rPr>
        <w:t xml:space="preserve"> respondents.</w:t>
      </w:r>
      <w:r w:rsidR="00E6443C" w:rsidRPr="00C4271E">
        <w:rPr>
          <w:lang w:val="en-CA"/>
        </w:rPr>
        <w:t xml:space="preserve"> </w:t>
      </w:r>
      <w:r w:rsidRPr="00C4271E">
        <w:rPr>
          <w:lang w:val="en-CA"/>
        </w:rPr>
        <w:t xml:space="preserve">The dispute fundamentally concerns section 35 of the </w:t>
      </w:r>
      <w:r w:rsidRPr="00C4271E">
        <w:rPr>
          <w:i/>
          <w:lang w:val="en-CA"/>
        </w:rPr>
        <w:t>Constitution Act, 1982</w:t>
      </w:r>
      <w:r w:rsidRPr="00C4271E">
        <w:rPr>
          <w:lang w:val="en-CA"/>
        </w:rPr>
        <w:t xml:space="preserve">, not the </w:t>
      </w:r>
      <w:r w:rsidRPr="00C4271E">
        <w:rPr>
          <w:i/>
          <w:lang w:val="en-CA"/>
        </w:rPr>
        <w:t>I.A</w:t>
      </w:r>
      <w:r w:rsidRPr="00C4271E">
        <w:rPr>
          <w:lang w:val="en-CA"/>
        </w:rPr>
        <w:t xml:space="preserve">. It follows that the Federal Court does not have exclusive </w:t>
      </w:r>
      <w:r w:rsidR="001504B5" w:rsidRPr="00C4271E">
        <w:rPr>
          <w:lang w:val="en-CA"/>
        </w:rPr>
        <w:t>jurisdiction</w:t>
      </w:r>
      <w:r w:rsidRPr="00C4271E">
        <w:rPr>
          <w:lang w:val="en-CA"/>
        </w:rPr>
        <w:t xml:space="preserve"> over the dispute.</w:t>
      </w:r>
      <w:r w:rsidR="00E6443C" w:rsidRPr="00C4271E">
        <w:rPr>
          <w:kern w:val="24"/>
          <w:szCs w:val="24"/>
          <w:lang w:val="en-CA"/>
        </w:rPr>
        <w:t xml:space="preserve"> </w:t>
      </w:r>
      <w:r w:rsidRPr="00C4271E">
        <w:rPr>
          <w:lang w:val="en-CA"/>
        </w:rPr>
        <w:t>Th</w:t>
      </w:r>
      <w:r w:rsidR="00C07DF0">
        <w:rPr>
          <w:lang w:val="en-CA"/>
        </w:rPr>
        <w:t>is</w:t>
      </w:r>
      <w:r w:rsidRPr="00C4271E">
        <w:rPr>
          <w:lang w:val="en-CA"/>
        </w:rPr>
        <w:t xml:space="preserve"> is enough to dismiss the declinatory exception and dismiss the appeal on that issue.</w:t>
      </w:r>
    </w:p>
    <w:p w14:paraId="1E7416DE" w14:textId="32433F78" w:rsidR="00540118" w:rsidRPr="00AA33C4" w:rsidRDefault="00903176" w:rsidP="00B61572">
      <w:pPr>
        <w:pStyle w:val="Titre2"/>
        <w:keepNext/>
        <w:keepLines/>
        <w:rPr>
          <w:lang w:val="en-CA"/>
        </w:rPr>
      </w:pPr>
      <w:r w:rsidRPr="00AA33C4">
        <w:rPr>
          <w:lang w:val="en-CA"/>
        </w:rPr>
        <w:t>B.</w:t>
      </w:r>
      <w:r w:rsidR="00E6443C" w:rsidRPr="00AA33C4">
        <w:rPr>
          <w:lang w:val="en-CA"/>
        </w:rPr>
        <w:t xml:space="preserve"> </w:t>
      </w:r>
      <w:r w:rsidR="00D520B4" w:rsidRPr="00AA33C4">
        <w:rPr>
          <w:lang w:val="en-CA"/>
        </w:rPr>
        <w:t>Exception to dismiss</w:t>
      </w:r>
    </w:p>
    <w:p w14:paraId="669E0B67" w14:textId="6ECCBF7C" w:rsidR="00540118" w:rsidRPr="00C4271E" w:rsidRDefault="00B80C81" w:rsidP="00540118">
      <w:pPr>
        <w:pStyle w:val="Paragraphe"/>
        <w:spacing w:line="240" w:lineRule="auto"/>
        <w:rPr>
          <w:lang w:val="en-CA"/>
        </w:rPr>
      </w:pPr>
      <w:r>
        <w:rPr>
          <w:lang w:val="en-CA"/>
        </w:rPr>
        <w:t>I</w:t>
      </w:r>
      <w:r w:rsidR="004F6C7D" w:rsidRPr="00C4271E">
        <w:rPr>
          <w:lang w:val="en-CA"/>
        </w:rPr>
        <w:t xml:space="preserve"> will now</w:t>
      </w:r>
      <w:r w:rsidR="00903176" w:rsidRPr="00C4271E">
        <w:rPr>
          <w:lang w:val="en-CA"/>
        </w:rPr>
        <w:t xml:space="preserve"> examine the ground of appeal </w:t>
      </w:r>
      <w:r w:rsidR="004F6C7D" w:rsidRPr="00C4271E">
        <w:rPr>
          <w:lang w:val="en-CA"/>
        </w:rPr>
        <w:t>invoked by</w:t>
      </w:r>
      <w:r w:rsidR="00903176" w:rsidRPr="00C4271E">
        <w:rPr>
          <w:lang w:val="en-CA"/>
        </w:rPr>
        <w:t xml:space="preserve"> the </w:t>
      </w:r>
      <w:r w:rsidR="000A5EE9" w:rsidRPr="00C4271E">
        <w:rPr>
          <w:lang w:val="en-CA"/>
        </w:rPr>
        <w:t>B</w:t>
      </w:r>
      <w:r w:rsidR="00903176" w:rsidRPr="00C4271E">
        <w:rPr>
          <w:lang w:val="en-CA"/>
        </w:rPr>
        <w:t xml:space="preserve">and </w:t>
      </w:r>
      <w:r w:rsidR="000A5EE9" w:rsidRPr="00C4271E">
        <w:rPr>
          <w:lang w:val="en-CA"/>
        </w:rPr>
        <w:t>C</w:t>
      </w:r>
      <w:r w:rsidR="00903176" w:rsidRPr="00C4271E">
        <w:rPr>
          <w:lang w:val="en-CA"/>
        </w:rPr>
        <w:t xml:space="preserve">ouncil </w:t>
      </w:r>
      <w:r w:rsidR="004F6C7D" w:rsidRPr="00C4271E">
        <w:rPr>
          <w:lang w:val="en-CA"/>
        </w:rPr>
        <w:t xml:space="preserve">to </w:t>
      </w:r>
      <w:r w:rsidR="00903176" w:rsidRPr="00C4271E">
        <w:rPr>
          <w:lang w:val="en-CA"/>
        </w:rPr>
        <w:t xml:space="preserve">impugn the </w:t>
      </w:r>
      <w:r w:rsidR="00DE1970" w:rsidRPr="00C4271E">
        <w:rPr>
          <w:lang w:val="en-CA"/>
        </w:rPr>
        <w:t>judge</w:t>
      </w:r>
      <w:r w:rsidR="00DE1970">
        <w:rPr>
          <w:lang w:val="en-CA"/>
        </w:rPr>
        <w:t>’</w:t>
      </w:r>
      <w:r w:rsidR="00DE1970" w:rsidRPr="00C4271E">
        <w:rPr>
          <w:lang w:val="en-CA"/>
        </w:rPr>
        <w:t xml:space="preserve">s </w:t>
      </w:r>
      <w:r w:rsidR="00903176" w:rsidRPr="00C4271E">
        <w:rPr>
          <w:lang w:val="en-CA"/>
        </w:rPr>
        <w:t xml:space="preserve">decision that the respondents had </w:t>
      </w:r>
      <w:r w:rsidR="004F6C7D" w:rsidRPr="00C4271E">
        <w:rPr>
          <w:lang w:val="en-CA"/>
        </w:rPr>
        <w:t>sufficient</w:t>
      </w:r>
      <w:r w:rsidR="00903176" w:rsidRPr="00C4271E">
        <w:rPr>
          <w:lang w:val="en-CA"/>
        </w:rPr>
        <w:t xml:space="preserve"> interest to act under section 85 </w:t>
      </w:r>
      <w:r w:rsidR="00903176" w:rsidRPr="00C4271E">
        <w:rPr>
          <w:i/>
          <w:lang w:val="en-CA"/>
        </w:rPr>
        <w:t>C.C.P</w:t>
      </w:r>
      <w:r w:rsidR="00903176" w:rsidRPr="00C4271E">
        <w:rPr>
          <w:lang w:val="en-CA"/>
        </w:rPr>
        <w:t>. to represent the First Nation.</w:t>
      </w:r>
    </w:p>
    <w:p w14:paraId="58285691" w14:textId="69BAB3C0" w:rsidR="00540118" w:rsidRPr="00C4271E" w:rsidRDefault="00903176" w:rsidP="00540118">
      <w:pPr>
        <w:pStyle w:val="Paragraphe"/>
        <w:spacing w:line="240" w:lineRule="auto"/>
        <w:rPr>
          <w:szCs w:val="24"/>
          <w:lang w:val="en-CA"/>
        </w:rPr>
      </w:pPr>
      <w:r w:rsidRPr="00C4271E">
        <w:rPr>
          <w:szCs w:val="24"/>
          <w:lang w:val="en-CA"/>
        </w:rPr>
        <w:t xml:space="preserve">To examine this ground of appeal, it is important to keep in mind that </w:t>
      </w:r>
      <w:r w:rsidR="00B80C81">
        <w:rPr>
          <w:szCs w:val="24"/>
          <w:lang w:val="en-CA"/>
        </w:rPr>
        <w:t>the</w:t>
      </w:r>
      <w:r w:rsidR="00B80C81" w:rsidRPr="00C4271E">
        <w:rPr>
          <w:szCs w:val="24"/>
          <w:lang w:val="en-CA"/>
        </w:rPr>
        <w:t xml:space="preserve"> </w:t>
      </w:r>
      <w:r w:rsidR="00B80C81">
        <w:rPr>
          <w:szCs w:val="24"/>
          <w:lang w:val="en-CA"/>
        </w:rPr>
        <w:t>c</w:t>
      </w:r>
      <w:r w:rsidRPr="00C4271E">
        <w:rPr>
          <w:szCs w:val="24"/>
          <w:lang w:val="en-CA"/>
        </w:rPr>
        <w:t xml:space="preserve">ourt seized of an application </w:t>
      </w:r>
      <w:r w:rsidR="00B80C81">
        <w:rPr>
          <w:szCs w:val="24"/>
          <w:lang w:val="en-CA"/>
        </w:rPr>
        <w:t xml:space="preserve">to </w:t>
      </w:r>
      <w:r w:rsidR="0055220D">
        <w:rPr>
          <w:szCs w:val="24"/>
          <w:lang w:val="en-CA"/>
        </w:rPr>
        <w:t xml:space="preserve">dismiss </w:t>
      </w:r>
      <w:r w:rsidRPr="00C4271E">
        <w:rPr>
          <w:szCs w:val="24"/>
          <w:lang w:val="en-CA"/>
        </w:rPr>
        <w:t>(art.</w:t>
      </w:r>
      <w:r w:rsidR="00E6443C" w:rsidRPr="00C4271E">
        <w:rPr>
          <w:szCs w:val="24"/>
          <w:lang w:val="en-CA"/>
        </w:rPr>
        <w:t xml:space="preserve"> </w:t>
      </w:r>
      <w:r w:rsidRPr="00C4271E">
        <w:rPr>
          <w:szCs w:val="24"/>
          <w:lang w:val="en-CA"/>
        </w:rPr>
        <w:t xml:space="preserve">168 </w:t>
      </w:r>
      <w:r w:rsidRPr="00C4271E">
        <w:rPr>
          <w:i/>
          <w:iCs/>
          <w:szCs w:val="24"/>
          <w:lang w:val="en-CA"/>
        </w:rPr>
        <w:t>C.C.P</w:t>
      </w:r>
      <w:r w:rsidRPr="00C4271E">
        <w:rPr>
          <w:szCs w:val="24"/>
          <w:lang w:val="en-CA"/>
        </w:rPr>
        <w:t>.</w:t>
      </w:r>
      <w:r w:rsidR="004F6C7D" w:rsidRPr="00C4271E">
        <w:rPr>
          <w:szCs w:val="24"/>
          <w:lang w:val="en-CA"/>
        </w:rPr>
        <w:t>)</w:t>
      </w:r>
      <w:r w:rsidRPr="00C4271E">
        <w:rPr>
          <w:szCs w:val="24"/>
          <w:lang w:val="en-CA"/>
        </w:rPr>
        <w:t>, must exercise caution, considering the obvious consequences that a premature summary dismissal could cause to the party against whom the application is made, when that party has not yet had the opportunity to present arguments on the merits.</w:t>
      </w:r>
      <w:r w:rsidRPr="00AA33C4">
        <w:rPr>
          <w:szCs w:val="24"/>
          <w:vertAlign w:val="superscript"/>
          <w:lang w:val="en-CA"/>
        </w:rPr>
        <w:footnoteReference w:id="38"/>
      </w:r>
    </w:p>
    <w:p w14:paraId="1E8DE4F3" w14:textId="6B04580A" w:rsidR="00540118" w:rsidRPr="00C4271E" w:rsidRDefault="00903176" w:rsidP="00B61572">
      <w:pPr>
        <w:pStyle w:val="Paragraphe"/>
        <w:spacing w:line="280" w:lineRule="exact"/>
        <w:rPr>
          <w:lang w:val="en-CA"/>
        </w:rPr>
      </w:pPr>
      <w:r w:rsidRPr="00C4271E">
        <w:rPr>
          <w:lang w:val="en-CA"/>
        </w:rPr>
        <w:t xml:space="preserve">Article 85 </w:t>
      </w:r>
      <w:r w:rsidRPr="00C4271E">
        <w:rPr>
          <w:i/>
          <w:lang w:val="en-CA"/>
        </w:rPr>
        <w:t>C.C.P</w:t>
      </w:r>
      <w:r w:rsidRPr="00C4271E">
        <w:rPr>
          <w:lang w:val="en-CA"/>
        </w:rPr>
        <w:t>. is worded as follows:</w:t>
      </w:r>
    </w:p>
    <w:tbl>
      <w:tblPr>
        <w:tblW w:w="0" w:type="auto"/>
        <w:tblCellMar>
          <w:left w:w="70" w:type="dxa"/>
          <w:right w:w="70" w:type="dxa"/>
        </w:tblCellMar>
        <w:tblLook w:val="0000" w:firstRow="0" w:lastRow="0" w:firstColumn="0" w:lastColumn="0" w:noHBand="0" w:noVBand="0"/>
      </w:tblPr>
      <w:tblGrid>
        <w:gridCol w:w="4323"/>
        <w:gridCol w:w="4317"/>
      </w:tblGrid>
      <w:tr w:rsidR="00243820" w:rsidRPr="00075953" w14:paraId="64073B93" w14:textId="77777777" w:rsidTr="00140899">
        <w:tc>
          <w:tcPr>
            <w:tcW w:w="4323" w:type="dxa"/>
          </w:tcPr>
          <w:p w14:paraId="449503D0" w14:textId="2DE6A704" w:rsidR="00540118" w:rsidRPr="00C4271E" w:rsidRDefault="00E6443C" w:rsidP="00140899">
            <w:pPr>
              <w:pStyle w:val="Citationenretrait"/>
              <w:spacing w:after="0"/>
              <w:ind w:right="0"/>
              <w:rPr>
                <w:lang w:val="en-CA"/>
              </w:rPr>
            </w:pPr>
            <w:r w:rsidRPr="00C4271E">
              <w:rPr>
                <w:b/>
                <w:bCs/>
                <w:lang w:val="en-CA"/>
              </w:rPr>
              <w:t xml:space="preserve">85. </w:t>
            </w:r>
            <w:r w:rsidR="00903176" w:rsidRPr="00C4271E">
              <w:rPr>
                <w:lang w:val="en-CA"/>
              </w:rPr>
              <w:t>To bring a judicial application, a person must have a sufficient interest.</w:t>
            </w:r>
          </w:p>
          <w:p w14:paraId="23C00B9F" w14:textId="77777777" w:rsidR="00540118" w:rsidRPr="00C4271E" w:rsidRDefault="00540118" w:rsidP="00140899">
            <w:pPr>
              <w:pStyle w:val="Citationenretrait"/>
              <w:spacing w:before="0" w:after="0"/>
              <w:ind w:right="0"/>
              <w:rPr>
                <w:lang w:val="en-CA"/>
              </w:rPr>
            </w:pPr>
          </w:p>
          <w:p w14:paraId="198A8A10" w14:textId="4C0B2DC3" w:rsidR="00540118" w:rsidRPr="00C4271E" w:rsidRDefault="00903176" w:rsidP="00140899">
            <w:pPr>
              <w:pStyle w:val="Citationenretrait"/>
              <w:spacing w:before="0"/>
              <w:ind w:right="-2"/>
              <w:rPr>
                <w:b/>
                <w:bCs/>
                <w:lang w:val="en-CA"/>
              </w:rPr>
            </w:pPr>
            <w:r w:rsidRPr="00C4271E">
              <w:rPr>
                <w:lang w:val="en-CA"/>
              </w:rPr>
              <w:t>The interest of a plaintiff who intends to raise a public interest issue is assessed on the basis of whether the interest is genuine, whether the issue is a serious one that can be validly resolved by the court and whether there is no other effective way to bring the issue before the court.</w:t>
            </w:r>
          </w:p>
        </w:tc>
        <w:tc>
          <w:tcPr>
            <w:tcW w:w="4317" w:type="dxa"/>
          </w:tcPr>
          <w:p w14:paraId="72DF3D3C" w14:textId="41F50E8B" w:rsidR="00540118" w:rsidRPr="00402233" w:rsidRDefault="00E6443C" w:rsidP="00140899">
            <w:pPr>
              <w:pStyle w:val="Citationenretrait"/>
              <w:spacing w:after="0"/>
              <w:ind w:left="289" w:right="207"/>
            </w:pPr>
            <w:r w:rsidRPr="00402233">
              <w:rPr>
                <w:b/>
                <w:bCs/>
              </w:rPr>
              <w:t>85.</w:t>
            </w:r>
            <w:r w:rsidRPr="00402233">
              <w:t xml:space="preserve"> </w:t>
            </w:r>
            <w:r w:rsidR="00903176" w:rsidRPr="00402233">
              <w:t>La personne qui forme une demande en justice doit y avoir un intérêt suffisant.</w:t>
            </w:r>
          </w:p>
          <w:p w14:paraId="793D1430" w14:textId="77777777" w:rsidR="00540118" w:rsidRPr="00402233" w:rsidRDefault="00540118" w:rsidP="00140899">
            <w:pPr>
              <w:pStyle w:val="Citationenretrait"/>
              <w:spacing w:before="0" w:after="0"/>
              <w:ind w:left="289" w:right="207"/>
            </w:pPr>
          </w:p>
          <w:p w14:paraId="373C7D22" w14:textId="77777777" w:rsidR="00540118" w:rsidRPr="00402233" w:rsidRDefault="00540118" w:rsidP="00140899">
            <w:pPr>
              <w:pStyle w:val="Citationenretrait"/>
              <w:spacing w:before="0" w:after="0"/>
              <w:ind w:left="289" w:right="207"/>
            </w:pPr>
          </w:p>
          <w:p w14:paraId="26995965" w14:textId="2F0109B7" w:rsidR="00540118" w:rsidRPr="00402233" w:rsidRDefault="00903176" w:rsidP="00140899">
            <w:pPr>
              <w:pStyle w:val="Citationenretrait"/>
              <w:spacing w:before="0"/>
              <w:ind w:left="289" w:right="207"/>
            </w:pPr>
            <w:r w:rsidRPr="00402233">
              <w:t>L’intérêt du demandeur qui entend soulever une question d’intérêt public s’apprécie en tenant compte de son intérêt véritable, de l’existence d’une question sérieuse qui puisse être valablement résolue par le tribunal et de l’absence d’un autre moyen efficace de saisir celui-ci de la question.</w:t>
            </w:r>
          </w:p>
        </w:tc>
      </w:tr>
    </w:tbl>
    <w:p w14:paraId="048565F9" w14:textId="186FD16B" w:rsidR="00540118" w:rsidRPr="00C4271E" w:rsidRDefault="00A728AF" w:rsidP="00540118">
      <w:pPr>
        <w:pStyle w:val="Paragraphe"/>
        <w:spacing w:line="240" w:lineRule="auto"/>
        <w:rPr>
          <w:szCs w:val="24"/>
          <w:lang w:val="en-CA"/>
        </w:rPr>
      </w:pPr>
      <w:r w:rsidRPr="00C4271E">
        <w:rPr>
          <w:lang w:val="en-CA"/>
        </w:rPr>
        <w:t>As the respondents invoke an interest to act in the public interest, the criteria developed by case law allow a citizen, an association or any other legal entity, except the government, to bring a proceeding in</w:t>
      </w:r>
      <w:r w:rsidR="004F6C7D" w:rsidRPr="00C4271E">
        <w:rPr>
          <w:lang w:val="en-CA"/>
        </w:rPr>
        <w:t xml:space="preserve"> </w:t>
      </w:r>
      <w:r w:rsidRPr="00C4271E">
        <w:rPr>
          <w:lang w:val="en-CA"/>
        </w:rPr>
        <w:t xml:space="preserve">the public interest without having to show harm that is present, actual, personal, and direct, distinct from the harm suffered by the </w:t>
      </w:r>
      <w:r w:rsidRPr="00C4271E">
        <w:rPr>
          <w:lang w:val="en-CA"/>
        </w:rPr>
        <w:lastRenderedPageBreak/>
        <w:t>community.</w:t>
      </w:r>
      <w:bookmarkStart w:id="24" w:name="_Ref181792809"/>
      <w:r w:rsidRPr="00AA33C4">
        <w:rPr>
          <w:vertAlign w:val="superscript"/>
          <w:lang w:val="en-CA"/>
        </w:rPr>
        <w:footnoteReference w:id="39"/>
      </w:r>
      <w:bookmarkEnd w:id="24"/>
      <w:r w:rsidR="00E6443C" w:rsidRPr="00C4271E">
        <w:rPr>
          <w:lang w:val="en-CA"/>
        </w:rPr>
        <w:t xml:space="preserve"> </w:t>
      </w:r>
      <w:r w:rsidRPr="00C4271E">
        <w:rPr>
          <w:lang w:val="en-CA"/>
        </w:rPr>
        <w:t xml:space="preserve">In </w:t>
      </w:r>
      <w:r w:rsidRPr="00C4271E">
        <w:rPr>
          <w:i/>
          <w:lang w:val="en-CA"/>
        </w:rPr>
        <w:t>Canada (Attorney General) v. Downtown Eastside Sex Workers United Against Violence Society</w:t>
      </w:r>
      <w:r w:rsidRPr="00C4271E">
        <w:rPr>
          <w:lang w:val="en-CA"/>
        </w:rPr>
        <w:t>, the Supreme Court added:</w:t>
      </w:r>
    </w:p>
    <w:p w14:paraId="0CA5C6B2" w14:textId="1CC92C4D" w:rsidR="00540118" w:rsidRPr="00C4271E" w:rsidRDefault="00E6443C" w:rsidP="00540118">
      <w:pPr>
        <w:pStyle w:val="Citationenretrait"/>
        <w:keepNext/>
        <w:rPr>
          <w:lang w:val="en-CA"/>
        </w:rPr>
      </w:pPr>
      <w:r w:rsidRPr="00C4271E">
        <w:rPr>
          <w:lang w:val="en-CA"/>
        </w:rPr>
        <w:t xml:space="preserve">[2] </w:t>
      </w:r>
      <w:r w:rsidRPr="00C4271E">
        <w:rPr>
          <w:lang w:val="en-CA"/>
        </w:rPr>
        <w:tab/>
      </w:r>
      <w:r w:rsidR="00A728AF" w:rsidRPr="00C4271E">
        <w:rPr>
          <w:lang w:val="en-CA"/>
        </w:rPr>
        <w:t>In exercising their discretion with respect to standing, the courts weigh three factors in light of these underlying purposes and of the particular circumstances.</w:t>
      </w:r>
      <w:r w:rsidRPr="00C4271E">
        <w:rPr>
          <w:lang w:val="en-CA"/>
        </w:rPr>
        <w:t xml:space="preserve"> </w:t>
      </w:r>
      <w:r w:rsidR="00A728AF" w:rsidRPr="00C4271E">
        <w:rPr>
          <w:lang w:val="en-CA"/>
        </w:rPr>
        <w:t xml:space="preserve">The courts consider whether the case raises a serious justiciable issue, whether the party bringing the action has a real stake or a genuine interest in its outcome </w:t>
      </w:r>
      <w:r w:rsidR="00A728AF" w:rsidRPr="00C4271E">
        <w:rPr>
          <w:u w:val="single"/>
          <w:lang w:val="en-CA"/>
        </w:rPr>
        <w:t>and whether, having regard to a number of factors, the proposed suit is a reasonable and effective means to bring the case to court</w:t>
      </w:r>
      <w:r w:rsidR="00A728AF" w:rsidRPr="00C4271E">
        <w:rPr>
          <w:lang w:val="en-CA"/>
        </w:rPr>
        <w:t xml:space="preserve">: </w:t>
      </w:r>
      <w:r w:rsidR="00A728AF" w:rsidRPr="00C4271E">
        <w:rPr>
          <w:i/>
          <w:lang w:val="en-CA"/>
        </w:rPr>
        <w:t>Canadian Council of Churches v. Canada (Minister of Employment and Immigration)</w:t>
      </w:r>
      <w:r w:rsidR="00A728AF" w:rsidRPr="00C4271E">
        <w:rPr>
          <w:lang w:val="en-CA"/>
        </w:rPr>
        <w:t xml:space="preserve">, [1992] 1 S.C.R. 236, at p. 253. </w:t>
      </w:r>
      <w:bookmarkStart w:id="25" w:name="_Ref179205631"/>
      <w:r w:rsidR="00A728AF" w:rsidRPr="00C4271E">
        <w:rPr>
          <w:lang w:val="en-CA"/>
        </w:rPr>
        <w:t>The courts exercise this discretion to grant or refuse standing in a “liberal and generous manner” (p. 253).</w:t>
      </w:r>
      <w:r w:rsidRPr="003572C4">
        <w:rPr>
          <w:rStyle w:val="Appelnotedebasdep"/>
          <w:lang w:val="en-CA"/>
        </w:rPr>
        <w:footnoteReference w:id="40"/>
      </w:r>
      <w:bookmarkEnd w:id="25"/>
    </w:p>
    <w:p w14:paraId="4EC447D8" w14:textId="48F4C17F" w:rsidR="00540118" w:rsidRPr="003572C4" w:rsidRDefault="00EF238C" w:rsidP="00540118">
      <w:pPr>
        <w:pStyle w:val="Citationenretrait"/>
        <w:keepNext/>
        <w:jc w:val="right"/>
        <w:rPr>
          <w:lang w:val="en-CA"/>
        </w:rPr>
      </w:pPr>
      <w:r w:rsidRPr="003572C4">
        <w:rPr>
          <w:lang w:val="en-CA"/>
        </w:rPr>
        <w:t>[Emphasis added]</w:t>
      </w:r>
    </w:p>
    <w:p w14:paraId="5B05179D" w14:textId="618F6372" w:rsidR="00540118" w:rsidRPr="00C4271E" w:rsidRDefault="002E06B5" w:rsidP="00540118">
      <w:pPr>
        <w:pStyle w:val="Paragraphe"/>
        <w:spacing w:line="240" w:lineRule="auto"/>
        <w:rPr>
          <w:lang w:val="en-CA"/>
        </w:rPr>
      </w:pPr>
      <w:r w:rsidRPr="00C4271E">
        <w:rPr>
          <w:rFonts w:cs="Arial"/>
          <w:szCs w:val="24"/>
          <w:lang w:val="en-CA"/>
        </w:rPr>
        <w:t>The Supreme Court teaches that whe</w:t>
      </w:r>
      <w:r w:rsidR="00251506" w:rsidRPr="00C4271E">
        <w:rPr>
          <w:rFonts w:cs="Arial"/>
          <w:szCs w:val="24"/>
          <w:lang w:val="en-CA"/>
        </w:rPr>
        <w:t>re the issue is whether there is an</w:t>
      </w:r>
      <w:r w:rsidRPr="00C4271E">
        <w:rPr>
          <w:rFonts w:cs="Arial"/>
          <w:szCs w:val="24"/>
          <w:lang w:val="en-CA"/>
        </w:rPr>
        <w:t xml:space="preserve"> interest to act in the public interest, it is appropriate to use the notion of “standing”.</w:t>
      </w:r>
      <w:r w:rsidRPr="003572C4">
        <w:rPr>
          <w:rStyle w:val="Appelnotedebasdep"/>
          <w:lang w:val="en-CA"/>
        </w:rPr>
        <w:footnoteReference w:id="41"/>
      </w:r>
      <w:r w:rsidR="00E6443C" w:rsidRPr="00C4271E">
        <w:rPr>
          <w:rFonts w:cs="Arial"/>
          <w:szCs w:val="24"/>
          <w:lang w:val="en-CA"/>
        </w:rPr>
        <w:t xml:space="preserve"> </w:t>
      </w:r>
      <w:r w:rsidR="00D926C9" w:rsidRPr="00C4271E">
        <w:rPr>
          <w:rFonts w:cs="Arial"/>
          <w:szCs w:val="24"/>
          <w:lang w:val="en-CA"/>
        </w:rPr>
        <w:t xml:space="preserve">It is also what this Court, under the pen of Marcotte, J.A. emphasized, while </w:t>
      </w:r>
      <w:r w:rsidR="00251506" w:rsidRPr="00C4271E">
        <w:rPr>
          <w:rFonts w:cs="Arial"/>
          <w:szCs w:val="24"/>
          <w:lang w:val="en-CA"/>
        </w:rPr>
        <w:t>adding</w:t>
      </w:r>
      <w:r w:rsidR="00D926C9" w:rsidRPr="00C4271E">
        <w:rPr>
          <w:rFonts w:cs="Arial"/>
          <w:szCs w:val="24"/>
          <w:lang w:val="en-CA"/>
        </w:rPr>
        <w:t xml:space="preserve"> that [</w:t>
      </w:r>
      <w:r w:rsidR="00D926C9" w:rsidRPr="00C4271E">
        <w:rPr>
          <w:rFonts w:cs="Arial"/>
          <w:smallCaps/>
          <w:szCs w:val="24"/>
          <w:lang w:val="en-CA"/>
        </w:rPr>
        <w:t>translation</w:t>
      </w:r>
      <w:r w:rsidR="00D926C9" w:rsidRPr="00C4271E">
        <w:rPr>
          <w:rFonts w:cs="Arial"/>
          <w:szCs w:val="24"/>
          <w:lang w:val="en-CA"/>
        </w:rPr>
        <w:t xml:space="preserve">] </w:t>
      </w:r>
      <w:r w:rsidR="009E0D76">
        <w:rPr>
          <w:rFonts w:cs="Arial"/>
          <w:szCs w:val="24"/>
          <w:lang w:val="en-CA"/>
        </w:rPr>
        <w:t>“</w:t>
      </w:r>
      <w:r w:rsidR="009E0D76" w:rsidRPr="00C4271E">
        <w:rPr>
          <w:rFonts w:cs="Arial"/>
          <w:szCs w:val="24"/>
          <w:lang w:val="en-CA"/>
        </w:rPr>
        <w:t>[</w:t>
      </w:r>
      <w:r w:rsidR="00D926C9" w:rsidRPr="00C4271E">
        <w:rPr>
          <w:rFonts w:cs="Arial"/>
          <w:szCs w:val="24"/>
          <w:lang w:val="en-CA"/>
        </w:rPr>
        <w:t>w]hen it comes to the public interest, the principles of case law group the two concepts [interest to act and standing] under the notion of ‘standing</w:t>
      </w:r>
      <w:r w:rsidR="00251506" w:rsidRPr="00C4271E">
        <w:rPr>
          <w:rFonts w:cs="Arial"/>
          <w:szCs w:val="24"/>
          <w:lang w:val="en-CA"/>
        </w:rPr>
        <w:t xml:space="preserve"> to act</w:t>
      </w:r>
      <w:r w:rsidR="00D926C9" w:rsidRPr="00C4271E">
        <w:rPr>
          <w:rFonts w:cs="Arial"/>
          <w:szCs w:val="24"/>
          <w:lang w:val="en-CA"/>
        </w:rPr>
        <w:t xml:space="preserve"> in the public interest’</w:t>
      </w:r>
      <w:r w:rsidR="009E0D76">
        <w:rPr>
          <w:rFonts w:cs="Arial"/>
          <w:szCs w:val="24"/>
          <w:lang w:val="en-CA"/>
        </w:rPr>
        <w:t>”</w:t>
      </w:r>
      <w:r w:rsidR="00D926C9" w:rsidRPr="00C4271E">
        <w:rPr>
          <w:rFonts w:cs="Arial"/>
          <w:szCs w:val="24"/>
          <w:lang w:val="en-CA"/>
        </w:rPr>
        <w:t>.</w:t>
      </w:r>
      <w:r w:rsidR="00D926C9" w:rsidRPr="003572C4">
        <w:rPr>
          <w:rStyle w:val="Appelnotedebasdep"/>
          <w:rFonts w:cs="Arial"/>
          <w:szCs w:val="24"/>
          <w:lang w:val="en-CA"/>
        </w:rPr>
        <w:footnoteReference w:id="42"/>
      </w:r>
    </w:p>
    <w:p w14:paraId="6D67BC52" w14:textId="0EB3AAB9" w:rsidR="00540118" w:rsidRPr="00C4271E" w:rsidRDefault="00D926C9" w:rsidP="00540118">
      <w:pPr>
        <w:pStyle w:val="Paragraphe"/>
        <w:spacing w:line="240" w:lineRule="auto"/>
        <w:rPr>
          <w:lang w:val="en-CA"/>
        </w:rPr>
      </w:pPr>
      <w:r w:rsidRPr="00C4271E">
        <w:rPr>
          <w:lang w:val="en-CA"/>
        </w:rPr>
        <w:t xml:space="preserve">In </w:t>
      </w:r>
      <w:r w:rsidRPr="00C4271E">
        <w:rPr>
          <w:i/>
          <w:lang w:val="en-CA"/>
        </w:rPr>
        <w:t>Canada (Attorney General) v. Downtown Eastside Sex Workers United Against Violence Society</w:t>
      </w:r>
      <w:r w:rsidRPr="00C4271E">
        <w:rPr>
          <w:lang w:val="en-CA"/>
        </w:rPr>
        <w:t>, the Supreme Court outline</w:t>
      </w:r>
      <w:r w:rsidR="00251506" w:rsidRPr="00C4271E">
        <w:rPr>
          <w:lang w:val="en-CA"/>
        </w:rPr>
        <w:t>d</w:t>
      </w:r>
      <w:r w:rsidRPr="00C4271E">
        <w:rPr>
          <w:lang w:val="en-CA"/>
        </w:rPr>
        <w:t xml:space="preserve"> three criteria to determine if a person has standing to act in the public interest:</w:t>
      </w:r>
    </w:p>
    <w:p w14:paraId="3FB09145" w14:textId="6DD24A02" w:rsidR="00540118" w:rsidRPr="00C4271E" w:rsidRDefault="00D926C9" w:rsidP="00540118">
      <w:pPr>
        <w:pStyle w:val="Citationenretrait"/>
        <w:rPr>
          <w:lang w:val="en-CA"/>
        </w:rPr>
      </w:pPr>
      <w:r w:rsidRPr="00C4271E">
        <w:rPr>
          <w:lang w:val="en-CA"/>
        </w:rPr>
        <w:t>(1) whether there is a serious justiciable issue raised;</w:t>
      </w:r>
    </w:p>
    <w:p w14:paraId="73C1EB17" w14:textId="4D24A834" w:rsidR="00540118" w:rsidRPr="00C4271E" w:rsidRDefault="00D926C9" w:rsidP="00540118">
      <w:pPr>
        <w:pStyle w:val="Citationenretrait"/>
        <w:rPr>
          <w:lang w:val="en-CA"/>
        </w:rPr>
      </w:pPr>
      <w:r w:rsidRPr="00C4271E">
        <w:rPr>
          <w:lang w:val="en-CA"/>
        </w:rPr>
        <w:t>(2) whether the plaintiff has a real stake or a genuine interest in it; and</w:t>
      </w:r>
      <w:r w:rsidR="00E6443C" w:rsidRPr="00C4271E">
        <w:rPr>
          <w:lang w:val="en-CA"/>
        </w:rPr>
        <w:t xml:space="preserve"> </w:t>
      </w:r>
    </w:p>
    <w:p w14:paraId="7164C830" w14:textId="13C13DAC" w:rsidR="00540118" w:rsidRPr="00C4271E" w:rsidRDefault="00D926C9" w:rsidP="00540118">
      <w:pPr>
        <w:pStyle w:val="Citationenretrait"/>
        <w:rPr>
          <w:szCs w:val="24"/>
          <w:lang w:val="en-CA"/>
        </w:rPr>
      </w:pPr>
      <w:r w:rsidRPr="00C4271E">
        <w:rPr>
          <w:lang w:val="en-CA"/>
        </w:rPr>
        <w:lastRenderedPageBreak/>
        <w:t>(3) whether, in all the circumstances, the proposed suit is a reasonable and effective way to bring the issue before the courts.</w:t>
      </w:r>
      <w:r w:rsidR="00E6443C" w:rsidRPr="003572C4">
        <w:rPr>
          <w:rStyle w:val="Appelnotedebasdep"/>
          <w:lang w:val="en-CA"/>
        </w:rPr>
        <w:footnoteReference w:id="43"/>
      </w:r>
    </w:p>
    <w:p w14:paraId="4260DCF0" w14:textId="7303DB06" w:rsidR="00540118" w:rsidRPr="00C4271E" w:rsidRDefault="00D926C9" w:rsidP="00540118">
      <w:pPr>
        <w:pStyle w:val="Paragraphe"/>
        <w:spacing w:line="240" w:lineRule="auto"/>
        <w:rPr>
          <w:kern w:val="24"/>
          <w:szCs w:val="24"/>
          <w:lang w:val="en-CA"/>
        </w:rPr>
      </w:pPr>
      <w:r w:rsidRPr="00C4271E">
        <w:rPr>
          <w:lang w:val="en-CA"/>
        </w:rPr>
        <w:t xml:space="preserve">It recalls that these factors, which are </w:t>
      </w:r>
      <w:r w:rsidR="00BA4423">
        <w:rPr>
          <w:lang w:val="en-CA"/>
        </w:rPr>
        <w:t>interrelated</w:t>
      </w:r>
      <w:r w:rsidRPr="00C4271E">
        <w:rPr>
          <w:lang w:val="en-CA"/>
        </w:rPr>
        <w:t xml:space="preserve">, should be weighed cumulatively and applied in a </w:t>
      </w:r>
      <w:r w:rsidRPr="00CB402F">
        <w:rPr>
          <w:lang w:val="en-CA"/>
        </w:rPr>
        <w:t>flexible and generous</w:t>
      </w:r>
      <w:r w:rsidRPr="00C4271E">
        <w:rPr>
          <w:lang w:val="en-CA"/>
        </w:rPr>
        <w:t xml:space="preserve"> manner.</w:t>
      </w:r>
      <w:r w:rsidRPr="003572C4">
        <w:rPr>
          <w:rStyle w:val="Appelnotedebasdep"/>
          <w:lang w:val="en-CA"/>
        </w:rPr>
        <w:footnoteReference w:id="44"/>
      </w:r>
    </w:p>
    <w:p w14:paraId="1908B4A3" w14:textId="465EDE8B" w:rsidR="00540118" w:rsidRPr="003572C4" w:rsidRDefault="00591040" w:rsidP="00540118">
      <w:pPr>
        <w:pStyle w:val="Paragraphe"/>
        <w:spacing w:line="240" w:lineRule="auto"/>
        <w:rPr>
          <w:lang w:val="en-CA"/>
        </w:rPr>
      </w:pPr>
      <w:r w:rsidRPr="00C4271E">
        <w:rPr>
          <w:lang w:val="en-CA"/>
        </w:rPr>
        <w:t>A “purposive approach” must be taken to assess these three criteria.</w:t>
      </w:r>
      <w:r w:rsidR="00E6443C" w:rsidRPr="00C4271E">
        <w:rPr>
          <w:lang w:val="en-CA"/>
        </w:rPr>
        <w:t xml:space="preserve"> </w:t>
      </w:r>
      <w:r w:rsidRPr="003572C4">
        <w:rPr>
          <w:lang w:val="en-CA"/>
        </w:rPr>
        <w:t>It is useful to recall that:</w:t>
      </w:r>
    </w:p>
    <w:p w14:paraId="7E0695B2" w14:textId="20CA7BBC" w:rsidR="00540118" w:rsidRPr="00C4271E" w:rsidRDefault="00E6443C" w:rsidP="00540118">
      <w:pPr>
        <w:pStyle w:val="Citationenretrait"/>
        <w:rPr>
          <w:lang w:val="en-CA"/>
        </w:rPr>
      </w:pPr>
      <w:r w:rsidRPr="00C4271E">
        <w:rPr>
          <w:lang w:val="en-CA"/>
        </w:rPr>
        <w:t>[23]</w:t>
      </w:r>
      <w:r w:rsidRPr="00C4271E">
        <w:rPr>
          <w:lang w:val="en-CA"/>
        </w:rPr>
        <w:tab/>
      </w:r>
      <w:r w:rsidR="00591040" w:rsidRPr="00C4271E">
        <w:rPr>
          <w:lang w:val="en-CA"/>
        </w:rPr>
        <w:t xml:space="preserve">This Court has taken a purposive approach to the development of the law of standing in public law cases. In determining whether to grant standing, courts should exercise </w:t>
      </w:r>
      <w:r w:rsidR="00591040" w:rsidRPr="00C4271E">
        <w:rPr>
          <w:u w:val="single"/>
          <w:lang w:val="en-CA"/>
        </w:rPr>
        <w:t>their discretion and balance</w:t>
      </w:r>
      <w:r w:rsidR="00591040" w:rsidRPr="00C4271E">
        <w:rPr>
          <w:lang w:val="en-CA"/>
        </w:rPr>
        <w:t xml:space="preserve"> the underlying rationale for restricting standing with the important role of the courts in assessing the legality of government action.</w:t>
      </w:r>
      <w:r w:rsidRPr="00C4271E">
        <w:rPr>
          <w:lang w:val="en-CA"/>
        </w:rPr>
        <w:t xml:space="preserve"> </w:t>
      </w:r>
      <w:r w:rsidR="00591040" w:rsidRPr="00C4271E">
        <w:rPr>
          <w:u w:val="single"/>
          <w:lang w:val="en-CA"/>
        </w:rPr>
        <w:t>At the root of the law of standing is the need to strike a balance “between ensuring access to the courts and preserving judicial resources</w:t>
      </w:r>
      <w:r w:rsidR="00591040" w:rsidRPr="00C4271E">
        <w:rPr>
          <w:lang w:val="en-CA"/>
        </w:rPr>
        <w:t xml:space="preserve">”: </w:t>
      </w:r>
      <w:r w:rsidR="00591040" w:rsidRPr="00C4271E">
        <w:rPr>
          <w:i/>
          <w:lang w:val="en-CA"/>
        </w:rPr>
        <w:t>Canadian Council of Churches</w:t>
      </w:r>
      <w:r w:rsidR="00591040" w:rsidRPr="00C4271E">
        <w:rPr>
          <w:lang w:val="en-CA"/>
        </w:rPr>
        <w:t>, at p. 252.</w:t>
      </w:r>
      <w:r w:rsidRPr="003572C4">
        <w:rPr>
          <w:rStyle w:val="Appelnotedebasdep"/>
          <w:lang w:val="en-CA"/>
        </w:rPr>
        <w:footnoteReference w:id="45"/>
      </w:r>
    </w:p>
    <w:p w14:paraId="5DA9CE9D" w14:textId="12E8A725" w:rsidR="00540118" w:rsidRPr="003572C4" w:rsidRDefault="00987300" w:rsidP="00540118">
      <w:pPr>
        <w:pStyle w:val="Citationenretrait"/>
        <w:jc w:val="right"/>
        <w:rPr>
          <w:lang w:val="en-CA"/>
        </w:rPr>
      </w:pPr>
      <w:r w:rsidRPr="003572C4">
        <w:rPr>
          <w:lang w:val="en-CA"/>
        </w:rPr>
        <w:t>[Emphasis added]</w:t>
      </w:r>
    </w:p>
    <w:p w14:paraId="56684E1A" w14:textId="77777777" w:rsidR="00540118" w:rsidRPr="003572C4" w:rsidRDefault="00E6443C" w:rsidP="00540118">
      <w:pPr>
        <w:pStyle w:val="paragraphe0"/>
        <w:jc w:val="center"/>
        <w:rPr>
          <w:rFonts w:ascii="Arial" w:hAnsi="Arial" w:cs="Arial"/>
          <w:lang w:val="en-CA"/>
        </w:rPr>
      </w:pPr>
      <w:r w:rsidRPr="003572C4">
        <w:rPr>
          <w:rFonts w:ascii="Arial" w:hAnsi="Arial" w:cs="Arial"/>
          <w:lang w:val="en-CA"/>
        </w:rPr>
        <w:t>***</w:t>
      </w:r>
    </w:p>
    <w:p w14:paraId="7A8918F4" w14:textId="0DECF2E4" w:rsidR="00540118" w:rsidRPr="00C4271E" w:rsidRDefault="00591040" w:rsidP="00540118">
      <w:pPr>
        <w:pStyle w:val="Paragraphe"/>
        <w:spacing w:line="240" w:lineRule="auto"/>
        <w:rPr>
          <w:lang w:val="en-CA"/>
        </w:rPr>
      </w:pPr>
      <w:r w:rsidRPr="00C4271E">
        <w:rPr>
          <w:lang w:val="en-CA"/>
        </w:rPr>
        <w:t xml:space="preserve">In this case, </w:t>
      </w:r>
      <w:r w:rsidR="00C56418" w:rsidRPr="00C4271E">
        <w:rPr>
          <w:lang w:val="en-CA"/>
        </w:rPr>
        <w:t>is</w:t>
      </w:r>
      <w:r w:rsidRPr="00C4271E">
        <w:rPr>
          <w:lang w:val="en-CA"/>
        </w:rPr>
        <w:t xml:space="preserve"> the proceeding brought by the respondents “in all circumstances, a reasonable and effective means of bringing the matter before the court”,</w:t>
      </w:r>
      <w:r w:rsidRPr="003572C4">
        <w:rPr>
          <w:rStyle w:val="Appelnotedebasdep"/>
          <w:lang w:val="en-CA"/>
        </w:rPr>
        <w:footnoteReference w:id="46"/>
      </w:r>
      <w:r w:rsidRPr="00C4271E">
        <w:rPr>
          <w:lang w:val="en-CA"/>
        </w:rPr>
        <w:t xml:space="preserve"> it being understood that this “factor, like the other two, must be assessed in a flexible and </w:t>
      </w:r>
      <w:r w:rsidR="00C56418" w:rsidRPr="00C4271E">
        <w:rPr>
          <w:lang w:val="en-CA"/>
        </w:rPr>
        <w:t>purposive</w:t>
      </w:r>
      <w:r w:rsidRPr="00C4271E">
        <w:rPr>
          <w:lang w:val="en-CA"/>
        </w:rPr>
        <w:t xml:space="preserve"> manner and weighed in light of the other factors”.</w:t>
      </w:r>
      <w:r w:rsidRPr="003572C4">
        <w:rPr>
          <w:rStyle w:val="Appelnotedebasdep"/>
          <w:lang w:val="en-CA"/>
        </w:rPr>
        <w:footnoteReference w:id="47"/>
      </w:r>
      <w:r w:rsidR="00E6443C" w:rsidRPr="00C4271E">
        <w:rPr>
          <w:lang w:val="en-CA"/>
        </w:rPr>
        <w:t xml:space="preserve"> </w:t>
      </w:r>
    </w:p>
    <w:p w14:paraId="788F3CDA" w14:textId="640E97F1" w:rsidR="00540118" w:rsidRPr="00C4271E" w:rsidRDefault="00591040" w:rsidP="00540118">
      <w:pPr>
        <w:pStyle w:val="Paragraphe"/>
        <w:spacing w:line="240" w:lineRule="auto"/>
        <w:rPr>
          <w:lang w:val="en-CA"/>
        </w:rPr>
      </w:pPr>
      <w:r w:rsidRPr="00C4271E">
        <w:rPr>
          <w:lang w:val="en-CA"/>
        </w:rPr>
        <w:t xml:space="preserve">First, it is important to point out that with respect to </w:t>
      </w:r>
      <w:r w:rsidR="00BC2935">
        <w:rPr>
          <w:lang w:val="en-CA"/>
        </w:rPr>
        <w:t>exceptions to dismiss</w:t>
      </w:r>
      <w:r w:rsidRPr="00C4271E">
        <w:rPr>
          <w:lang w:val="en-CA"/>
        </w:rPr>
        <w:t xml:space="preserve">, </w:t>
      </w:r>
      <w:r w:rsidR="00C56418" w:rsidRPr="00C4271E">
        <w:rPr>
          <w:lang w:val="en-CA"/>
        </w:rPr>
        <w:t>[</w:t>
      </w:r>
      <w:r w:rsidR="00C56418" w:rsidRPr="00C4271E">
        <w:rPr>
          <w:smallCaps/>
          <w:lang w:val="en-CA"/>
        </w:rPr>
        <w:t>translation</w:t>
      </w:r>
      <w:r w:rsidR="00C56418" w:rsidRPr="00C4271E">
        <w:rPr>
          <w:lang w:val="en-CA"/>
        </w:rPr>
        <w:t xml:space="preserve">] </w:t>
      </w:r>
      <w:r w:rsidRPr="00C4271E">
        <w:rPr>
          <w:lang w:val="en-CA"/>
        </w:rPr>
        <w:t xml:space="preserve">“the standard of review is that of correctness as it examines a question of law in a context where the facts in the originating application and the exhibits in support thereof must be </w:t>
      </w:r>
      <w:r w:rsidR="00C56418" w:rsidRPr="00C4271E">
        <w:rPr>
          <w:lang w:val="en-CA"/>
        </w:rPr>
        <w:t>assumed to be true</w:t>
      </w:r>
      <w:r w:rsidRPr="00C4271E">
        <w:rPr>
          <w:lang w:val="en-CA"/>
        </w:rPr>
        <w:t>”.</w:t>
      </w:r>
      <w:r w:rsidRPr="003572C4">
        <w:rPr>
          <w:rStyle w:val="Appelnotedebasdep"/>
          <w:lang w:val="en-CA"/>
        </w:rPr>
        <w:footnoteReference w:id="48"/>
      </w:r>
    </w:p>
    <w:p w14:paraId="2A1E6CE9" w14:textId="35DE0F9B" w:rsidR="00540118" w:rsidRPr="00C4271E" w:rsidRDefault="00591040" w:rsidP="00540118">
      <w:pPr>
        <w:pStyle w:val="Paragraphe"/>
        <w:keepNext/>
        <w:keepLines/>
        <w:spacing w:line="240" w:lineRule="auto"/>
        <w:rPr>
          <w:lang w:val="en-CA"/>
        </w:rPr>
      </w:pPr>
      <w:r w:rsidRPr="00C4271E">
        <w:rPr>
          <w:lang w:val="en-CA"/>
        </w:rPr>
        <w:lastRenderedPageBreak/>
        <w:t>It is appropriate to recall the reasons of the judgment in first instance with respect to the respondents’ standing:</w:t>
      </w:r>
    </w:p>
    <w:p w14:paraId="404D6612" w14:textId="7ED0B84C" w:rsidR="002C4E1B" w:rsidRPr="00C4271E" w:rsidRDefault="002C4E1B" w:rsidP="002C4E1B">
      <w:pPr>
        <w:pStyle w:val="Paragraphe"/>
        <w:keepNext/>
        <w:keepLines/>
        <w:numPr>
          <w:ilvl w:val="0"/>
          <w:numId w:val="0"/>
        </w:numPr>
        <w:spacing w:line="240" w:lineRule="auto"/>
        <w:ind w:left="720"/>
        <w:rPr>
          <w:lang w:val="en-CA"/>
        </w:rPr>
      </w:pPr>
      <w:r w:rsidRPr="00C4271E">
        <w:rPr>
          <w:lang w:val="en-CA"/>
        </w:rPr>
        <w:t>[</w:t>
      </w:r>
      <w:r w:rsidRPr="00C4271E">
        <w:rPr>
          <w:smallCaps/>
          <w:lang w:val="en-CA"/>
        </w:rPr>
        <w:t>translation</w:t>
      </w:r>
      <w:r w:rsidRPr="00C4271E">
        <w:rPr>
          <w:lang w:val="en-CA"/>
        </w:rPr>
        <w:t>]</w:t>
      </w:r>
    </w:p>
    <w:p w14:paraId="6C44E7E8" w14:textId="59F07487" w:rsidR="00540118" w:rsidRPr="00C4271E" w:rsidRDefault="00E6443C" w:rsidP="00540118">
      <w:pPr>
        <w:pStyle w:val="Citationenretrait"/>
        <w:keepNext/>
        <w:keepLines/>
        <w:rPr>
          <w:lang w:val="en-CA"/>
        </w:rPr>
      </w:pPr>
      <w:r w:rsidRPr="00C4271E">
        <w:rPr>
          <w:lang w:val="en-CA"/>
        </w:rPr>
        <w:t>[19]</w:t>
      </w:r>
      <w:r w:rsidRPr="00C4271E">
        <w:rPr>
          <w:lang w:val="en-CA"/>
        </w:rPr>
        <w:tab/>
      </w:r>
      <w:r w:rsidR="0099431D" w:rsidRPr="00C4271E">
        <w:rPr>
          <w:lang w:val="en-CA"/>
        </w:rPr>
        <w:t xml:space="preserve">The defendant submits that the plaintiffs do not have standing or </w:t>
      </w:r>
      <w:r w:rsidR="002C4E1B" w:rsidRPr="00C4271E">
        <w:rPr>
          <w:lang w:val="en-CA"/>
        </w:rPr>
        <w:t>sufficient</w:t>
      </w:r>
      <w:r w:rsidR="0099431D" w:rsidRPr="00C4271E">
        <w:rPr>
          <w:lang w:val="en-CA"/>
        </w:rPr>
        <w:t xml:space="preserve"> legal interest to argue a question arising from Aboriginal rights and the right to </w:t>
      </w:r>
      <w:r w:rsidR="0099431D" w:rsidRPr="00374701">
        <w:rPr>
          <w:lang w:val="en-CA"/>
        </w:rPr>
        <w:t>self-</w:t>
      </w:r>
      <w:r w:rsidR="00D6725F" w:rsidRPr="00374701">
        <w:rPr>
          <w:lang w:val="en-CA"/>
        </w:rPr>
        <w:t xml:space="preserve">government </w:t>
      </w:r>
      <w:r w:rsidR="0099431D" w:rsidRPr="00374701">
        <w:rPr>
          <w:lang w:val="en-CA"/>
        </w:rPr>
        <w:t>without first being authorized to act for and on behalf</w:t>
      </w:r>
      <w:r w:rsidR="0099431D" w:rsidRPr="00C4271E">
        <w:rPr>
          <w:lang w:val="en-CA"/>
        </w:rPr>
        <w:t xml:space="preserve"> of the Première Nation de Pessamit. </w:t>
      </w:r>
    </w:p>
    <w:p w14:paraId="2A819124" w14:textId="1B3F15F9" w:rsidR="00540118" w:rsidRPr="00C4271E" w:rsidRDefault="00E6443C" w:rsidP="00540118">
      <w:pPr>
        <w:pStyle w:val="Citationenretrait"/>
        <w:rPr>
          <w:lang w:val="en-CA"/>
        </w:rPr>
      </w:pPr>
      <w:r w:rsidRPr="00C4271E">
        <w:rPr>
          <w:lang w:val="en-CA"/>
        </w:rPr>
        <w:t>[20]</w:t>
      </w:r>
      <w:r w:rsidRPr="00C4271E">
        <w:rPr>
          <w:lang w:val="en-CA"/>
        </w:rPr>
        <w:tab/>
      </w:r>
      <w:r w:rsidR="0099431D" w:rsidRPr="00C4271E">
        <w:rPr>
          <w:lang w:val="en-CA"/>
        </w:rPr>
        <w:t xml:space="preserve">What </w:t>
      </w:r>
      <w:r w:rsidR="002C4E1B" w:rsidRPr="00C4271E">
        <w:rPr>
          <w:lang w:val="en-CA"/>
        </w:rPr>
        <w:t>appears</w:t>
      </w:r>
      <w:r w:rsidR="0099431D" w:rsidRPr="00C4271E">
        <w:rPr>
          <w:lang w:val="en-CA"/>
        </w:rPr>
        <w:t xml:space="preserve"> from the originating application for a permanent injunction is that the plaintiffs do not </w:t>
      </w:r>
      <w:r w:rsidR="00D6725F">
        <w:rPr>
          <w:lang w:val="en-CA"/>
        </w:rPr>
        <w:t>purport</w:t>
      </w:r>
      <w:r w:rsidR="00D6725F" w:rsidRPr="00C4271E">
        <w:rPr>
          <w:lang w:val="en-CA"/>
        </w:rPr>
        <w:t xml:space="preserve"> </w:t>
      </w:r>
      <w:r w:rsidR="0099431D" w:rsidRPr="00C4271E">
        <w:rPr>
          <w:lang w:val="en-CA"/>
        </w:rPr>
        <w:t xml:space="preserve">to be acting on behalf of the Première Nation de Pessamit, but rather as members of that First Nation. </w:t>
      </w:r>
      <w:r w:rsidRPr="00C4271E">
        <w:rPr>
          <w:lang w:val="en-CA"/>
        </w:rPr>
        <w:t xml:space="preserve"> </w:t>
      </w:r>
    </w:p>
    <w:p w14:paraId="47A9CE3F" w14:textId="38392EAE" w:rsidR="00540118" w:rsidRPr="00C4271E" w:rsidRDefault="00E6443C" w:rsidP="00540118">
      <w:pPr>
        <w:pStyle w:val="Citationenretrait"/>
        <w:rPr>
          <w:lang w:val="en-CA"/>
        </w:rPr>
      </w:pPr>
      <w:r w:rsidRPr="00C4271E">
        <w:rPr>
          <w:lang w:val="en-CA"/>
        </w:rPr>
        <w:t>[21]</w:t>
      </w:r>
      <w:r w:rsidRPr="00C4271E">
        <w:rPr>
          <w:lang w:val="en-CA"/>
        </w:rPr>
        <w:tab/>
      </w:r>
      <w:r w:rsidR="0099431D" w:rsidRPr="00C4271E">
        <w:rPr>
          <w:lang w:val="en-CA"/>
        </w:rPr>
        <w:t xml:space="preserve">They are certainly entitled, as members of that First Nation, to argue that their </w:t>
      </w:r>
      <w:r w:rsidR="00027F5E" w:rsidRPr="00C4271E">
        <w:rPr>
          <w:lang w:val="en-CA"/>
        </w:rPr>
        <w:t>B</w:t>
      </w:r>
      <w:r w:rsidR="0099431D" w:rsidRPr="00C4271E">
        <w:rPr>
          <w:lang w:val="en-CA"/>
        </w:rPr>
        <w:t xml:space="preserve">and </w:t>
      </w:r>
      <w:r w:rsidR="00027F5E" w:rsidRPr="00C4271E">
        <w:rPr>
          <w:lang w:val="en-CA"/>
        </w:rPr>
        <w:t>C</w:t>
      </w:r>
      <w:r w:rsidR="0099431D" w:rsidRPr="00C4271E">
        <w:rPr>
          <w:lang w:val="en-CA"/>
        </w:rPr>
        <w:t xml:space="preserve">ouncil is wrongfully interfering with rights </w:t>
      </w:r>
      <w:r w:rsidR="002C4E1B" w:rsidRPr="00C4271E">
        <w:rPr>
          <w:lang w:val="en-CA"/>
        </w:rPr>
        <w:t xml:space="preserve">that </w:t>
      </w:r>
      <w:r w:rsidR="0099431D" w:rsidRPr="00C4271E">
        <w:rPr>
          <w:lang w:val="en-CA"/>
        </w:rPr>
        <w:t xml:space="preserve">devolve to </w:t>
      </w:r>
      <w:r w:rsidR="002C4E1B" w:rsidRPr="00C4271E">
        <w:rPr>
          <w:lang w:val="en-CA"/>
        </w:rPr>
        <w:t>the First Nation</w:t>
      </w:r>
      <w:r w:rsidR="0099431D" w:rsidRPr="00C4271E">
        <w:rPr>
          <w:lang w:val="en-CA"/>
        </w:rPr>
        <w:t xml:space="preserve"> pursuant to Aboriginal rights.</w:t>
      </w:r>
    </w:p>
    <w:p w14:paraId="585A1B41" w14:textId="77777777" w:rsidR="00540118" w:rsidRPr="00C4271E" w:rsidRDefault="00E6443C" w:rsidP="00540118">
      <w:pPr>
        <w:pStyle w:val="Citationenretrait"/>
        <w:rPr>
          <w:lang w:val="en-CA"/>
        </w:rPr>
      </w:pPr>
      <w:r w:rsidRPr="00C4271E">
        <w:rPr>
          <w:lang w:val="en-CA"/>
        </w:rPr>
        <w:t>[…]</w:t>
      </w:r>
      <w:r w:rsidRPr="00C4271E">
        <w:rPr>
          <w:lang w:val="en-CA"/>
        </w:rPr>
        <w:tab/>
      </w:r>
    </w:p>
    <w:p w14:paraId="13D47AB0" w14:textId="6E52CED9" w:rsidR="00540118" w:rsidRPr="00C4271E" w:rsidRDefault="00E6443C" w:rsidP="00540118">
      <w:pPr>
        <w:pStyle w:val="Citationenretrait"/>
        <w:rPr>
          <w:lang w:val="en-CA"/>
        </w:rPr>
      </w:pPr>
      <w:r w:rsidRPr="00C4271E">
        <w:rPr>
          <w:lang w:val="en-CA"/>
        </w:rPr>
        <w:t>[23]</w:t>
      </w:r>
      <w:r w:rsidRPr="00C4271E">
        <w:rPr>
          <w:lang w:val="en-CA"/>
        </w:rPr>
        <w:tab/>
      </w:r>
      <w:r w:rsidR="0099431D" w:rsidRPr="00C4271E">
        <w:rPr>
          <w:lang w:val="en-CA"/>
        </w:rPr>
        <w:t>T</w:t>
      </w:r>
      <w:r w:rsidR="002C4E1B" w:rsidRPr="00C4271E">
        <w:rPr>
          <w:lang w:val="en-CA"/>
        </w:rPr>
        <w:t>h</w:t>
      </w:r>
      <w:r w:rsidR="0099431D" w:rsidRPr="00C4271E">
        <w:rPr>
          <w:lang w:val="en-CA"/>
        </w:rPr>
        <w:t xml:space="preserve">ey raise a question of public interest that can be assessed, which in fact should be resolved, that is, determining the scope of the powers held by the Conseil des Innus de Pessamit in connection to its intervening on the Aboriginal rights of the Nation it represents. </w:t>
      </w:r>
    </w:p>
    <w:p w14:paraId="59735EE5" w14:textId="79D64A79" w:rsidR="00540118" w:rsidRPr="00C4271E" w:rsidRDefault="00E6443C" w:rsidP="00540118">
      <w:pPr>
        <w:pStyle w:val="Citationenretrait"/>
        <w:rPr>
          <w:lang w:val="en-CA"/>
        </w:rPr>
      </w:pPr>
      <w:r w:rsidRPr="00C4271E">
        <w:rPr>
          <w:lang w:val="en-CA"/>
        </w:rPr>
        <w:t>[24]</w:t>
      </w:r>
      <w:r w:rsidRPr="00C4271E">
        <w:rPr>
          <w:lang w:val="en-CA"/>
        </w:rPr>
        <w:tab/>
      </w:r>
      <w:r w:rsidR="0099431D" w:rsidRPr="00C4271E">
        <w:rPr>
          <w:lang w:val="en-CA"/>
        </w:rPr>
        <w:t>A cour</w:t>
      </w:r>
      <w:r w:rsidR="002C4E1B" w:rsidRPr="00C4271E">
        <w:rPr>
          <w:lang w:val="en-CA"/>
        </w:rPr>
        <w:t>t</w:t>
      </w:r>
      <w:r w:rsidR="0099431D" w:rsidRPr="00C4271E">
        <w:rPr>
          <w:lang w:val="en-CA"/>
        </w:rPr>
        <w:t xml:space="preserve"> cannot restrict the right of individuals to address the Court.</w:t>
      </w:r>
    </w:p>
    <w:p w14:paraId="3A0C506F" w14:textId="38A94A9F" w:rsidR="00540118" w:rsidRPr="00C4271E" w:rsidRDefault="00724A37" w:rsidP="00540118">
      <w:pPr>
        <w:pStyle w:val="Paragraphe"/>
        <w:spacing w:line="240" w:lineRule="auto"/>
        <w:rPr>
          <w:lang w:val="en-CA"/>
        </w:rPr>
      </w:pPr>
      <w:r w:rsidRPr="00C4271E">
        <w:rPr>
          <w:lang w:val="en-CA"/>
        </w:rPr>
        <w:t xml:space="preserve">The Band Council </w:t>
      </w:r>
      <w:r w:rsidR="00D6725F" w:rsidRPr="00C4271E">
        <w:rPr>
          <w:lang w:val="en-CA"/>
        </w:rPr>
        <w:t>argue</w:t>
      </w:r>
      <w:r w:rsidR="00D6725F">
        <w:rPr>
          <w:lang w:val="en-CA"/>
        </w:rPr>
        <w:t>s</w:t>
      </w:r>
      <w:r w:rsidR="00D6725F" w:rsidRPr="00C4271E">
        <w:rPr>
          <w:lang w:val="en-CA"/>
        </w:rPr>
        <w:t xml:space="preserve"> </w:t>
      </w:r>
      <w:r w:rsidRPr="00C4271E">
        <w:rPr>
          <w:lang w:val="en-CA"/>
        </w:rPr>
        <w:t xml:space="preserve">that the conclusion of the </w:t>
      </w:r>
      <w:r w:rsidR="00D6725F">
        <w:rPr>
          <w:lang w:val="en-CA"/>
        </w:rPr>
        <w:t xml:space="preserve">trial </w:t>
      </w:r>
      <w:r w:rsidRPr="00C4271E">
        <w:rPr>
          <w:lang w:val="en-CA"/>
        </w:rPr>
        <w:t xml:space="preserve">judge </w:t>
      </w:r>
      <w:r w:rsidR="00D6725F">
        <w:rPr>
          <w:lang w:val="en-CA"/>
        </w:rPr>
        <w:t>wa</w:t>
      </w:r>
      <w:r w:rsidR="00D6725F" w:rsidRPr="00C4271E">
        <w:rPr>
          <w:lang w:val="en-CA"/>
        </w:rPr>
        <w:t xml:space="preserve">s </w:t>
      </w:r>
      <w:r w:rsidRPr="00C4271E">
        <w:rPr>
          <w:lang w:val="en-CA"/>
        </w:rPr>
        <w:t>erroneous.</w:t>
      </w:r>
      <w:r w:rsidR="00E6443C" w:rsidRPr="00C4271E">
        <w:rPr>
          <w:lang w:val="en-CA"/>
        </w:rPr>
        <w:t xml:space="preserve"> </w:t>
      </w:r>
      <w:r w:rsidRPr="00C4271E">
        <w:rPr>
          <w:lang w:val="en-CA"/>
        </w:rPr>
        <w:t>It argues that the respondents do not have standing</w:t>
      </w:r>
      <w:r w:rsidR="000A577F">
        <w:rPr>
          <w:lang w:val="en-CA"/>
        </w:rPr>
        <w:t>,</w:t>
      </w:r>
      <w:r w:rsidRPr="00C4271E">
        <w:rPr>
          <w:lang w:val="en-CA"/>
        </w:rPr>
        <w:t xml:space="preserve"> because they </w:t>
      </w:r>
      <w:r w:rsidR="000A577F">
        <w:rPr>
          <w:lang w:val="en-CA"/>
        </w:rPr>
        <w:t>are asserting</w:t>
      </w:r>
      <w:r w:rsidR="000A577F" w:rsidRPr="00C4271E">
        <w:rPr>
          <w:lang w:val="en-CA"/>
        </w:rPr>
        <w:t xml:space="preserve"> </w:t>
      </w:r>
      <w:r w:rsidRPr="00C4271E">
        <w:rPr>
          <w:lang w:val="en-CA"/>
        </w:rPr>
        <w:t xml:space="preserve">collective rights belonging to all members of the First Nation without having been authorized by the First </w:t>
      </w:r>
      <w:r w:rsidR="00D6725F">
        <w:rPr>
          <w:lang w:val="en-CA"/>
        </w:rPr>
        <w:t>N</w:t>
      </w:r>
      <w:r w:rsidRPr="00C4271E">
        <w:rPr>
          <w:lang w:val="en-CA"/>
        </w:rPr>
        <w:t>ation to act on its behalf in this proceeding.</w:t>
      </w:r>
    </w:p>
    <w:p w14:paraId="0576729E" w14:textId="478F0789" w:rsidR="00540118" w:rsidRPr="00C4271E" w:rsidRDefault="00724A37" w:rsidP="00540118">
      <w:pPr>
        <w:pStyle w:val="Paragraphe"/>
        <w:spacing w:line="240" w:lineRule="auto"/>
        <w:rPr>
          <w:lang w:val="en-CA"/>
        </w:rPr>
      </w:pPr>
      <w:r w:rsidRPr="00C4271E">
        <w:rPr>
          <w:lang w:val="en-CA"/>
        </w:rPr>
        <w:t xml:space="preserve">The respondents </w:t>
      </w:r>
      <w:r w:rsidR="000A577F" w:rsidRPr="00C4271E">
        <w:rPr>
          <w:lang w:val="en-CA"/>
        </w:rPr>
        <w:t>repl</w:t>
      </w:r>
      <w:r w:rsidR="000A577F">
        <w:rPr>
          <w:lang w:val="en-CA"/>
        </w:rPr>
        <w:t>y</w:t>
      </w:r>
      <w:r w:rsidR="000A577F" w:rsidRPr="00C4271E">
        <w:rPr>
          <w:lang w:val="en-CA"/>
        </w:rPr>
        <w:t xml:space="preserve"> </w:t>
      </w:r>
      <w:r w:rsidRPr="00C4271E">
        <w:rPr>
          <w:lang w:val="en-CA"/>
        </w:rPr>
        <w:t>that they have standing to assert these rights.</w:t>
      </w:r>
      <w:r w:rsidR="00E6443C" w:rsidRPr="00C4271E">
        <w:rPr>
          <w:lang w:val="en-CA"/>
        </w:rPr>
        <w:t xml:space="preserve"> </w:t>
      </w:r>
      <w:r w:rsidRPr="00C4271E">
        <w:rPr>
          <w:lang w:val="en-CA"/>
        </w:rPr>
        <w:t xml:space="preserve">They </w:t>
      </w:r>
      <w:r w:rsidR="000A577F">
        <w:rPr>
          <w:lang w:val="en-CA"/>
        </w:rPr>
        <w:t>submit</w:t>
      </w:r>
      <w:r w:rsidR="000A577F" w:rsidRPr="00C4271E">
        <w:rPr>
          <w:lang w:val="en-CA"/>
        </w:rPr>
        <w:t xml:space="preserve"> </w:t>
      </w:r>
      <w:r w:rsidRPr="00C4271E">
        <w:rPr>
          <w:lang w:val="en-CA"/>
        </w:rPr>
        <w:t xml:space="preserve">that even if the rights guaranteed under section 35 of the </w:t>
      </w:r>
      <w:r w:rsidRPr="00C4271E">
        <w:rPr>
          <w:i/>
          <w:lang w:val="en-CA"/>
        </w:rPr>
        <w:t>Constitution Act, 1982</w:t>
      </w:r>
      <w:r w:rsidRPr="00C4271E">
        <w:rPr>
          <w:lang w:val="en-CA"/>
        </w:rPr>
        <w:t xml:space="preserve"> are collective rights, they have sufficient interest to assert them judicially, in the public interest.</w:t>
      </w:r>
      <w:r w:rsidR="00E6443C" w:rsidRPr="00C4271E">
        <w:rPr>
          <w:lang w:val="en-CA"/>
        </w:rPr>
        <w:t xml:space="preserve"> </w:t>
      </w:r>
    </w:p>
    <w:p w14:paraId="2C17C508" w14:textId="1D360FEB" w:rsidR="00540118" w:rsidRPr="00C4271E" w:rsidRDefault="00724A37" w:rsidP="00540118">
      <w:pPr>
        <w:pStyle w:val="Paragraphe"/>
        <w:spacing w:line="240" w:lineRule="auto"/>
        <w:rPr>
          <w:lang w:val="en-CA"/>
        </w:rPr>
      </w:pPr>
      <w:r w:rsidRPr="00C4271E">
        <w:rPr>
          <w:lang w:val="en-CA"/>
        </w:rPr>
        <w:t xml:space="preserve">The </w:t>
      </w:r>
      <w:r w:rsidR="005F55F3" w:rsidRPr="00C4271E">
        <w:rPr>
          <w:lang w:val="en-CA"/>
        </w:rPr>
        <w:t>respondent</w:t>
      </w:r>
      <w:r w:rsidR="005F55F3">
        <w:rPr>
          <w:lang w:val="en-CA"/>
        </w:rPr>
        <w:t>’</w:t>
      </w:r>
      <w:r w:rsidR="005F55F3" w:rsidRPr="00C4271E">
        <w:rPr>
          <w:lang w:val="en-CA"/>
        </w:rPr>
        <w:t xml:space="preserve">s </w:t>
      </w:r>
      <w:r w:rsidRPr="00C4271E">
        <w:rPr>
          <w:lang w:val="en-CA"/>
        </w:rPr>
        <w:t>proceeding is based on</w:t>
      </w:r>
      <w:r w:rsidR="000A577F">
        <w:rPr>
          <w:lang w:val="en-CA"/>
        </w:rPr>
        <w:t xml:space="preserve"> the</w:t>
      </w:r>
      <w:r w:rsidRPr="00C4271E">
        <w:rPr>
          <w:lang w:val="en-CA"/>
        </w:rPr>
        <w:t xml:space="preserve"> First Nation</w:t>
      </w:r>
      <w:r w:rsidR="000A577F">
        <w:rPr>
          <w:lang w:val="en-CA"/>
        </w:rPr>
        <w:t>’s</w:t>
      </w:r>
      <w:r w:rsidRPr="00C4271E">
        <w:rPr>
          <w:lang w:val="en-CA"/>
        </w:rPr>
        <w:t xml:space="preserve"> </w:t>
      </w:r>
      <w:r w:rsidRPr="000A577F">
        <w:rPr>
          <w:lang w:val="en-CA"/>
        </w:rPr>
        <w:t>A</w:t>
      </w:r>
      <w:r w:rsidRPr="00C4271E">
        <w:rPr>
          <w:lang w:val="en-CA"/>
        </w:rPr>
        <w:t xml:space="preserve">boriginal rights, which are collective rights recognized under section 35 of the </w:t>
      </w:r>
      <w:r w:rsidRPr="00C4271E">
        <w:rPr>
          <w:i/>
          <w:lang w:val="en-CA"/>
        </w:rPr>
        <w:t>Constitution Act, 1982</w:t>
      </w:r>
      <w:r w:rsidRPr="00C4271E">
        <w:rPr>
          <w:lang w:val="en-CA"/>
        </w:rPr>
        <w:t xml:space="preserve">—as stated by the Supreme Court in </w:t>
      </w:r>
      <w:r w:rsidRPr="00C4271E">
        <w:rPr>
          <w:i/>
          <w:lang w:val="en-CA"/>
        </w:rPr>
        <w:t>Behn v. Moulton Contracting Ltd</w:t>
      </w:r>
      <w:r w:rsidRPr="00C4271E">
        <w:rPr>
          <w:lang w:val="en-CA"/>
        </w:rPr>
        <w:t>.</w:t>
      </w:r>
      <w:bookmarkStart w:id="29" w:name="_Ref181864272"/>
      <w:r w:rsidRPr="003572C4">
        <w:rPr>
          <w:rStyle w:val="Appelnotedebasdep"/>
          <w:lang w:val="en-CA"/>
        </w:rPr>
        <w:footnoteReference w:id="49"/>
      </w:r>
      <w:bookmarkEnd w:id="29"/>
      <w:r w:rsidRPr="00C4271E">
        <w:rPr>
          <w:lang w:val="en-CA"/>
        </w:rPr>
        <w:t>—and belonging to all members of a First Nation.</w:t>
      </w:r>
      <w:r w:rsidR="00E6443C" w:rsidRPr="00C4271E">
        <w:rPr>
          <w:lang w:val="en-CA"/>
        </w:rPr>
        <w:t xml:space="preserve"> </w:t>
      </w:r>
      <w:r w:rsidRPr="00C4271E">
        <w:rPr>
          <w:lang w:val="en-CA"/>
        </w:rPr>
        <w:t>It is common ground that these rights cannot generally be invoked by individual members of a First Nation, subject to certain exceptions, even though collective rights may sometimes include an individual component, in particular in the following situations:</w:t>
      </w:r>
    </w:p>
    <w:p w14:paraId="26EE8F23" w14:textId="114ECB39" w:rsidR="00540118" w:rsidRPr="00C4271E" w:rsidRDefault="00724A37" w:rsidP="00540118">
      <w:pPr>
        <w:pStyle w:val="Paragraphe"/>
        <w:numPr>
          <w:ilvl w:val="0"/>
          <w:numId w:val="27"/>
        </w:numPr>
        <w:spacing w:line="240" w:lineRule="auto"/>
        <w:ind w:left="1077"/>
        <w:rPr>
          <w:lang w:val="en-CA"/>
        </w:rPr>
      </w:pPr>
      <w:r w:rsidRPr="00C4271E">
        <w:rPr>
          <w:lang w:val="en-CA"/>
        </w:rPr>
        <w:lastRenderedPageBreak/>
        <w:t>when they are raised in defence of proceedings relating to criminal offences or regulations;</w:t>
      </w:r>
      <w:bookmarkStart w:id="30" w:name="_Ref181864550"/>
      <w:r w:rsidRPr="003572C4">
        <w:rPr>
          <w:rStyle w:val="Appelnotedebasdep"/>
          <w:lang w:val="en-CA"/>
        </w:rPr>
        <w:footnoteReference w:id="50"/>
      </w:r>
      <w:bookmarkEnd w:id="30"/>
      <w:r w:rsidR="00E6443C" w:rsidRPr="00C4271E">
        <w:rPr>
          <w:lang w:val="en-CA"/>
        </w:rPr>
        <w:t xml:space="preserve"> </w:t>
      </w:r>
    </w:p>
    <w:p w14:paraId="28F5F347" w14:textId="1DF9719C" w:rsidR="00540118" w:rsidRPr="00C4271E" w:rsidRDefault="00724A37" w:rsidP="00540118">
      <w:pPr>
        <w:pStyle w:val="Paragraphe"/>
        <w:numPr>
          <w:ilvl w:val="0"/>
          <w:numId w:val="27"/>
        </w:numPr>
        <w:spacing w:line="240" w:lineRule="auto"/>
        <w:ind w:left="1077"/>
        <w:rPr>
          <w:lang w:val="en-CA"/>
        </w:rPr>
      </w:pPr>
      <w:r w:rsidRPr="00C4271E">
        <w:rPr>
          <w:lang w:val="en-CA"/>
        </w:rPr>
        <w:t xml:space="preserve">when an individual or </w:t>
      </w:r>
      <w:r w:rsidR="002D29E8" w:rsidRPr="00C4271E">
        <w:rPr>
          <w:lang w:val="en-CA"/>
        </w:rPr>
        <w:t>organization</w:t>
      </w:r>
      <w:r w:rsidRPr="00C4271E">
        <w:rPr>
          <w:lang w:val="en-CA"/>
        </w:rPr>
        <w:t xml:space="preserve"> is authorized by </w:t>
      </w:r>
      <w:r w:rsidR="002D29E8" w:rsidRPr="00C4271E">
        <w:rPr>
          <w:lang w:val="en-CA"/>
        </w:rPr>
        <w:t>an Aboriginal group</w:t>
      </w:r>
      <w:r w:rsidRPr="00C4271E">
        <w:rPr>
          <w:lang w:val="en-CA"/>
        </w:rPr>
        <w:t xml:space="preserve"> to assert these collective rights on </w:t>
      </w:r>
      <w:r w:rsidR="002D29E8" w:rsidRPr="00C4271E">
        <w:rPr>
          <w:lang w:val="en-CA"/>
        </w:rPr>
        <w:t>its</w:t>
      </w:r>
      <w:r w:rsidRPr="00C4271E">
        <w:rPr>
          <w:lang w:val="en-CA"/>
        </w:rPr>
        <w:t xml:space="preserve"> behalf.</w:t>
      </w:r>
      <w:r w:rsidRPr="003572C4">
        <w:rPr>
          <w:rStyle w:val="Appelnotedebasdep"/>
          <w:lang w:val="en-CA"/>
        </w:rPr>
        <w:footnoteReference w:id="51"/>
      </w:r>
      <w:r w:rsidR="00E6443C" w:rsidRPr="00C4271E">
        <w:rPr>
          <w:lang w:val="en-CA"/>
        </w:rPr>
        <w:t xml:space="preserve"> </w:t>
      </w:r>
    </w:p>
    <w:p w14:paraId="7E82C228" w14:textId="44F02D05" w:rsidR="00540118" w:rsidRPr="00C4271E" w:rsidRDefault="00724A37" w:rsidP="00DF74E5">
      <w:pPr>
        <w:pStyle w:val="Paragraphe"/>
        <w:keepNext/>
        <w:keepLines/>
        <w:spacing w:line="240" w:lineRule="auto"/>
        <w:rPr>
          <w:lang w:val="en-CA"/>
        </w:rPr>
      </w:pPr>
      <w:r w:rsidRPr="00C4271E">
        <w:rPr>
          <w:lang w:val="en-CA"/>
        </w:rPr>
        <w:t xml:space="preserve">In </w:t>
      </w:r>
      <w:r w:rsidRPr="00C4271E">
        <w:rPr>
          <w:i/>
          <w:lang w:val="en-CA"/>
        </w:rPr>
        <w:t>Behn v. Moulton Contracting Ltd</w:t>
      </w:r>
      <w:r w:rsidRPr="00C4271E">
        <w:rPr>
          <w:lang w:val="en-CA"/>
        </w:rPr>
        <w:t>., LeBel, J. recognized these situations and explained that the collective rights could, to a point, include individual aspects, while refraining from categorizing them:</w:t>
      </w:r>
    </w:p>
    <w:p w14:paraId="795F70CA" w14:textId="1EFCEDA5" w:rsidR="00540118" w:rsidRPr="0065104E" w:rsidRDefault="00E6443C" w:rsidP="00540118">
      <w:pPr>
        <w:pStyle w:val="citationenretrait0"/>
        <w:spacing w:before="120" w:beforeAutospacing="0" w:after="120" w:afterAutospacing="0"/>
        <w:ind w:left="720" w:right="720"/>
        <w:jc w:val="both"/>
        <w:rPr>
          <w:rFonts w:ascii="Arial" w:hAnsi="Arial" w:cs="Arial"/>
          <w:color w:val="000000"/>
          <w:sz w:val="22"/>
          <w:szCs w:val="22"/>
          <w:lang w:val="en-CA"/>
        </w:rPr>
      </w:pPr>
      <w:r w:rsidRPr="00C4271E">
        <w:rPr>
          <w:rFonts w:ascii="Arial" w:hAnsi="Arial" w:cs="Arial"/>
          <w:sz w:val="22"/>
          <w:szCs w:val="22"/>
          <w:lang w:val="en-CA"/>
        </w:rPr>
        <w:t>[33]</w:t>
      </w:r>
      <w:r w:rsidRPr="00C4271E">
        <w:rPr>
          <w:rFonts w:ascii="Arial" w:hAnsi="Arial" w:cs="Arial"/>
          <w:sz w:val="22"/>
          <w:szCs w:val="22"/>
          <w:lang w:val="en-CA"/>
        </w:rPr>
        <w:tab/>
      </w:r>
      <w:r w:rsidR="00724A37" w:rsidRPr="0065104E">
        <w:rPr>
          <w:rFonts w:ascii="Arial" w:hAnsi="Arial" w:cs="Arial"/>
          <w:sz w:val="22"/>
          <w:szCs w:val="22"/>
          <w:lang w:val="en-CA"/>
        </w:rPr>
        <w:t>The Crown argues that claims in relation to treaty rights must be brought by, or on behalf of, the Aboriginal community.</w:t>
      </w:r>
      <w:r w:rsidRPr="0065104E">
        <w:rPr>
          <w:rFonts w:ascii="Arial" w:hAnsi="Arial" w:cs="Arial"/>
          <w:sz w:val="22"/>
          <w:szCs w:val="22"/>
          <w:lang w:val="en-CA"/>
        </w:rPr>
        <w:t xml:space="preserve"> </w:t>
      </w:r>
      <w:r w:rsidR="00724A37" w:rsidRPr="0065104E">
        <w:rPr>
          <w:rFonts w:ascii="Arial" w:hAnsi="Arial" w:cs="Arial"/>
          <w:sz w:val="22"/>
          <w:szCs w:val="22"/>
          <w:lang w:val="en-CA"/>
        </w:rPr>
        <w:t xml:space="preserve">This general proposition is too narrow. </w:t>
      </w:r>
      <w:r w:rsidRPr="0065104E">
        <w:rPr>
          <w:rFonts w:ascii="Arial" w:hAnsi="Arial" w:cs="Arial"/>
          <w:sz w:val="22"/>
          <w:szCs w:val="22"/>
          <w:lang w:val="en-CA"/>
        </w:rPr>
        <w:t xml:space="preserve"> </w:t>
      </w:r>
      <w:r w:rsidR="00724A37" w:rsidRPr="0065104E">
        <w:rPr>
          <w:rFonts w:ascii="Arial" w:hAnsi="Arial" w:cs="Arial"/>
          <w:sz w:val="22"/>
          <w:szCs w:val="22"/>
          <w:lang w:val="en-CA"/>
        </w:rPr>
        <w:t xml:space="preserve">It is true that Aboriginal and treaty rights are collective in nature: see </w:t>
      </w:r>
      <w:r w:rsidR="00724A37" w:rsidRPr="0065104E">
        <w:rPr>
          <w:rFonts w:ascii="Arial" w:hAnsi="Arial" w:cs="Arial"/>
          <w:i/>
          <w:sz w:val="22"/>
          <w:szCs w:val="22"/>
          <w:lang w:val="en-CA"/>
        </w:rPr>
        <w:t>R. v. Sparrow</w:t>
      </w:r>
      <w:r w:rsidR="00724A37" w:rsidRPr="0065104E">
        <w:rPr>
          <w:rFonts w:ascii="Arial" w:hAnsi="Arial" w:cs="Arial"/>
          <w:sz w:val="22"/>
          <w:szCs w:val="22"/>
          <w:lang w:val="en-CA"/>
        </w:rPr>
        <w:t>, 1990 CanLII 104 (SCC), [1990] 1 S.C.R.</w:t>
      </w:r>
      <w:r w:rsidRPr="0065104E">
        <w:rPr>
          <w:rFonts w:ascii="Arial" w:hAnsi="Arial" w:cs="Arial"/>
          <w:sz w:val="22"/>
          <w:szCs w:val="22"/>
          <w:lang w:val="en-CA"/>
        </w:rPr>
        <w:t xml:space="preserve"> </w:t>
      </w:r>
      <w:r w:rsidR="00724A37" w:rsidRPr="0065104E">
        <w:rPr>
          <w:rFonts w:ascii="Arial" w:hAnsi="Arial" w:cs="Arial"/>
          <w:sz w:val="22"/>
          <w:szCs w:val="22"/>
          <w:lang w:val="en-CA"/>
        </w:rPr>
        <w:t xml:space="preserve">1075, at p. 1112; </w:t>
      </w:r>
      <w:r w:rsidR="00724A37" w:rsidRPr="0065104E">
        <w:rPr>
          <w:rFonts w:ascii="Arial" w:hAnsi="Arial" w:cs="Arial"/>
          <w:i/>
          <w:sz w:val="22"/>
          <w:szCs w:val="22"/>
          <w:lang w:val="en-CA"/>
        </w:rPr>
        <w:t>Delgamuukw</w:t>
      </w:r>
      <w:r w:rsidR="00724A37" w:rsidRPr="0065104E">
        <w:rPr>
          <w:rFonts w:ascii="Arial" w:hAnsi="Arial" w:cs="Arial"/>
          <w:sz w:val="22"/>
          <w:szCs w:val="22"/>
          <w:lang w:val="en-CA"/>
        </w:rPr>
        <w:t xml:space="preserve">, at para. </w:t>
      </w:r>
      <w:hyperlink r:id="rId10" w:history="1">
        <w:r w:rsidR="00724A37" w:rsidRPr="0065104E">
          <w:rPr>
            <w:rStyle w:val="Hyperlien"/>
            <w:rFonts w:ascii="Arial" w:hAnsi="Arial" w:cs="Arial"/>
            <w:color w:val="auto"/>
            <w:sz w:val="22"/>
            <w:szCs w:val="22"/>
            <w:u w:val="none"/>
            <w:lang w:val="en-CA"/>
          </w:rPr>
          <w:t>115</w:t>
        </w:r>
      </w:hyperlink>
      <w:r w:rsidR="00724A37" w:rsidRPr="003572C4">
        <w:rPr>
          <w:rFonts w:ascii="Arial" w:hAnsi="Arial" w:cs="Arial"/>
          <w:sz w:val="22"/>
          <w:szCs w:val="22"/>
          <w:lang w:val="en-CA"/>
        </w:rPr>
        <w:t xml:space="preserve">; </w:t>
      </w:r>
      <w:r w:rsidR="00724A37" w:rsidRPr="003572C4">
        <w:rPr>
          <w:rFonts w:ascii="Arial" w:hAnsi="Arial" w:cs="Arial"/>
          <w:i/>
          <w:iCs/>
          <w:sz w:val="22"/>
          <w:szCs w:val="22"/>
          <w:lang w:val="en-CA"/>
        </w:rPr>
        <w:t>R. v. Sundown</w:t>
      </w:r>
      <w:r w:rsidR="00724A37" w:rsidRPr="003572C4">
        <w:rPr>
          <w:rFonts w:ascii="Arial" w:hAnsi="Arial" w:cs="Arial"/>
          <w:sz w:val="22"/>
          <w:szCs w:val="22"/>
          <w:lang w:val="en-CA"/>
        </w:rPr>
        <w:t>, 1999 CanLII 673 (SCC), [1999] 1 S.C.R.</w:t>
      </w:r>
      <w:r w:rsidRPr="0065104E">
        <w:rPr>
          <w:rFonts w:ascii="Arial" w:hAnsi="Arial" w:cs="Arial"/>
          <w:sz w:val="22"/>
          <w:szCs w:val="22"/>
          <w:lang w:val="en-CA"/>
        </w:rPr>
        <w:t xml:space="preserve"> </w:t>
      </w:r>
      <w:r w:rsidR="00724A37" w:rsidRPr="0065104E">
        <w:rPr>
          <w:rFonts w:ascii="Arial" w:hAnsi="Arial" w:cs="Arial"/>
          <w:sz w:val="22"/>
          <w:szCs w:val="22"/>
          <w:lang w:val="en-CA"/>
        </w:rPr>
        <w:t xml:space="preserve">393, at para. </w:t>
      </w:r>
      <w:hyperlink r:id="rId11" w:history="1">
        <w:r w:rsidR="00724A37" w:rsidRPr="0065104E">
          <w:rPr>
            <w:rStyle w:val="Hyperlien"/>
            <w:rFonts w:ascii="Arial" w:hAnsi="Arial" w:cs="Arial"/>
            <w:color w:val="auto"/>
            <w:sz w:val="22"/>
            <w:szCs w:val="22"/>
            <w:u w:val="none"/>
            <w:lang w:val="en-CA"/>
          </w:rPr>
          <w:t>36</w:t>
        </w:r>
      </w:hyperlink>
      <w:r w:rsidR="00724A37" w:rsidRPr="003572C4">
        <w:rPr>
          <w:rFonts w:ascii="Arial" w:hAnsi="Arial" w:cs="Arial"/>
          <w:sz w:val="22"/>
          <w:szCs w:val="22"/>
          <w:lang w:val="en-CA"/>
        </w:rPr>
        <w:t xml:space="preserve">; </w:t>
      </w:r>
      <w:r w:rsidR="00724A37" w:rsidRPr="003572C4">
        <w:rPr>
          <w:rFonts w:ascii="Arial" w:hAnsi="Arial" w:cs="Arial"/>
          <w:i/>
          <w:sz w:val="22"/>
          <w:szCs w:val="22"/>
          <w:lang w:val="en-CA"/>
        </w:rPr>
        <w:t>R. v. Marshall</w:t>
      </w:r>
      <w:r w:rsidR="00724A37" w:rsidRPr="003572C4">
        <w:rPr>
          <w:rFonts w:ascii="Arial" w:hAnsi="Arial" w:cs="Arial"/>
          <w:sz w:val="22"/>
          <w:szCs w:val="22"/>
          <w:lang w:val="en-CA"/>
        </w:rPr>
        <w:t xml:space="preserve">, 1999 CanLII 666 (SCC), [1999] 3 S.C.R. </w:t>
      </w:r>
      <w:r w:rsidR="00724A37" w:rsidRPr="0065104E">
        <w:rPr>
          <w:rFonts w:ascii="Arial" w:hAnsi="Arial" w:cs="Arial"/>
          <w:sz w:val="22"/>
          <w:szCs w:val="22"/>
          <w:lang w:val="en-CA"/>
        </w:rPr>
        <w:t xml:space="preserve">533, at paras. </w:t>
      </w:r>
      <w:hyperlink r:id="rId12" w:history="1">
        <w:r w:rsidR="00724A37" w:rsidRPr="0065104E">
          <w:rPr>
            <w:rStyle w:val="Hyperlien"/>
            <w:rFonts w:ascii="Arial" w:hAnsi="Arial" w:cs="Arial"/>
            <w:color w:val="auto"/>
            <w:sz w:val="22"/>
            <w:szCs w:val="22"/>
            <w:u w:val="none"/>
            <w:lang w:val="en-CA"/>
          </w:rPr>
          <w:t>17 and 37</w:t>
        </w:r>
      </w:hyperlink>
      <w:r w:rsidR="00724A37" w:rsidRPr="003572C4">
        <w:rPr>
          <w:rFonts w:ascii="Arial" w:hAnsi="Arial" w:cs="Arial"/>
          <w:sz w:val="22"/>
          <w:szCs w:val="22"/>
          <w:lang w:val="en-CA"/>
        </w:rPr>
        <w:t xml:space="preserve">; </w:t>
      </w:r>
      <w:r w:rsidR="00724A37" w:rsidRPr="003572C4">
        <w:rPr>
          <w:rFonts w:ascii="Arial" w:hAnsi="Arial" w:cs="Arial"/>
          <w:i/>
          <w:sz w:val="22"/>
          <w:szCs w:val="22"/>
          <w:lang w:val="en-CA"/>
        </w:rPr>
        <w:t>R. v. Sappier</w:t>
      </w:r>
      <w:r w:rsidR="00724A37" w:rsidRPr="003572C4">
        <w:rPr>
          <w:rFonts w:ascii="Arial" w:hAnsi="Arial" w:cs="Arial"/>
          <w:sz w:val="22"/>
          <w:szCs w:val="22"/>
          <w:lang w:val="en-CA"/>
        </w:rPr>
        <w:t xml:space="preserve">, 2006 SCC 54, [2006] 2 S.C.R. </w:t>
      </w:r>
      <w:r w:rsidR="00724A37" w:rsidRPr="0065104E">
        <w:rPr>
          <w:rFonts w:ascii="Arial" w:hAnsi="Arial" w:cs="Arial"/>
          <w:sz w:val="22"/>
          <w:szCs w:val="22"/>
          <w:lang w:val="en-CA"/>
        </w:rPr>
        <w:t xml:space="preserve">686, at para. </w:t>
      </w:r>
      <w:hyperlink r:id="rId13" w:history="1">
        <w:r w:rsidR="00724A37" w:rsidRPr="0065104E">
          <w:rPr>
            <w:rStyle w:val="Hyperlien"/>
            <w:rFonts w:ascii="Arial" w:hAnsi="Arial" w:cs="Arial"/>
            <w:color w:val="auto"/>
            <w:sz w:val="22"/>
            <w:szCs w:val="22"/>
            <w:u w:val="none"/>
            <w:lang w:val="en-CA"/>
          </w:rPr>
          <w:t>31</w:t>
        </w:r>
      </w:hyperlink>
      <w:r w:rsidR="00724A37" w:rsidRPr="003572C4">
        <w:rPr>
          <w:rFonts w:ascii="Arial" w:hAnsi="Arial" w:cs="Arial"/>
          <w:sz w:val="22"/>
          <w:szCs w:val="22"/>
          <w:lang w:val="en-CA"/>
        </w:rPr>
        <w:t xml:space="preserve">; </w:t>
      </w:r>
      <w:r w:rsidR="00724A37" w:rsidRPr="003572C4">
        <w:rPr>
          <w:rFonts w:ascii="Arial" w:hAnsi="Arial" w:cs="Arial"/>
          <w:i/>
          <w:iCs/>
          <w:sz w:val="22"/>
          <w:szCs w:val="22"/>
          <w:lang w:val="en-CA"/>
        </w:rPr>
        <w:t>Beckman</w:t>
      </w:r>
      <w:r w:rsidR="00724A37" w:rsidRPr="003572C4">
        <w:rPr>
          <w:rFonts w:ascii="Arial" w:hAnsi="Arial" w:cs="Arial"/>
          <w:sz w:val="22"/>
          <w:szCs w:val="22"/>
          <w:lang w:val="en-CA"/>
        </w:rPr>
        <w:t>, at para. 35.</w:t>
      </w:r>
      <w:r w:rsidRPr="0065104E">
        <w:rPr>
          <w:rFonts w:ascii="Arial" w:hAnsi="Arial" w:cs="Arial"/>
          <w:sz w:val="22"/>
          <w:szCs w:val="22"/>
          <w:lang w:val="en-CA"/>
        </w:rPr>
        <w:t xml:space="preserve"> </w:t>
      </w:r>
      <w:r w:rsidR="00724A37" w:rsidRPr="0065104E">
        <w:rPr>
          <w:rFonts w:ascii="Arial" w:hAnsi="Arial" w:cs="Arial"/>
          <w:sz w:val="22"/>
          <w:szCs w:val="22"/>
          <w:u w:val="single"/>
          <w:lang w:val="en-CA"/>
        </w:rPr>
        <w:t>However, certain rights, despite being held by the Aboriginal community, are nonetheless exercised by individual members or assigned to them. These rights may therefore have both collective and individual aspects</w:t>
      </w:r>
      <w:r w:rsidR="00724A37" w:rsidRPr="0065104E">
        <w:rPr>
          <w:rFonts w:ascii="Arial" w:hAnsi="Arial" w:cs="Arial"/>
          <w:color w:val="000000"/>
          <w:sz w:val="22"/>
          <w:szCs w:val="22"/>
          <w:lang w:val="en-CA"/>
        </w:rPr>
        <w:t>.</w:t>
      </w:r>
      <w:r w:rsidRPr="0065104E">
        <w:rPr>
          <w:rFonts w:ascii="Arial" w:hAnsi="Arial" w:cs="Arial"/>
          <w:color w:val="000000"/>
          <w:sz w:val="22"/>
          <w:szCs w:val="22"/>
          <w:u w:val="single"/>
          <w:lang w:val="en-CA"/>
        </w:rPr>
        <w:t xml:space="preserve"> </w:t>
      </w:r>
      <w:r w:rsidR="00724A37" w:rsidRPr="0065104E">
        <w:rPr>
          <w:rFonts w:ascii="Arial" w:hAnsi="Arial" w:cs="Arial"/>
          <w:color w:val="000000"/>
          <w:sz w:val="22"/>
          <w:szCs w:val="22"/>
          <w:u w:val="single"/>
          <w:lang w:val="en-CA"/>
        </w:rPr>
        <w:t>Individual members of a community may have a vested interest in the protection of these rights.</w:t>
      </w:r>
      <w:r w:rsidRPr="0065104E">
        <w:rPr>
          <w:rFonts w:ascii="Arial" w:hAnsi="Arial" w:cs="Arial"/>
          <w:color w:val="000000"/>
          <w:sz w:val="22"/>
          <w:szCs w:val="22"/>
          <w:u w:val="single"/>
          <w:lang w:val="en-CA"/>
        </w:rPr>
        <w:t xml:space="preserve"> </w:t>
      </w:r>
      <w:r w:rsidR="00724A37" w:rsidRPr="0065104E">
        <w:rPr>
          <w:rFonts w:ascii="Arial" w:hAnsi="Arial" w:cs="Arial"/>
          <w:color w:val="000000"/>
          <w:sz w:val="22"/>
          <w:szCs w:val="22"/>
          <w:u w:val="single"/>
          <w:lang w:val="en-CA"/>
        </w:rPr>
        <w:t>It may well be that, in appropriate circumstances, individual members can assert certain Aboriginal or treaty rights, as some of the interveners have proposed</w:t>
      </w:r>
      <w:r w:rsidR="00724A37" w:rsidRPr="0065104E">
        <w:rPr>
          <w:rFonts w:ascii="Arial" w:hAnsi="Arial" w:cs="Arial"/>
          <w:color w:val="000000"/>
          <w:sz w:val="22"/>
          <w:szCs w:val="22"/>
          <w:lang w:val="en-CA"/>
        </w:rPr>
        <w:t>.</w:t>
      </w:r>
    </w:p>
    <w:p w14:paraId="5D76E3C0" w14:textId="7B390177" w:rsidR="00540118" w:rsidRPr="00C4271E" w:rsidRDefault="00E6443C" w:rsidP="00540118">
      <w:pPr>
        <w:pStyle w:val="citationenretrait0"/>
        <w:spacing w:before="120" w:beforeAutospacing="0" w:after="120" w:afterAutospacing="0"/>
        <w:ind w:left="720" w:right="720"/>
        <w:jc w:val="both"/>
        <w:rPr>
          <w:rFonts w:ascii="Arial" w:hAnsi="Arial" w:cs="Arial"/>
          <w:color w:val="000000"/>
          <w:sz w:val="22"/>
          <w:szCs w:val="22"/>
          <w:lang w:val="en-CA"/>
        </w:rPr>
      </w:pPr>
      <w:r w:rsidRPr="00C4271E">
        <w:rPr>
          <w:rFonts w:ascii="Arial" w:hAnsi="Arial" w:cs="Arial"/>
          <w:color w:val="000000"/>
          <w:sz w:val="22"/>
          <w:szCs w:val="22"/>
          <w:lang w:val="en-CA"/>
        </w:rPr>
        <w:t xml:space="preserve">[34] </w:t>
      </w:r>
      <w:r w:rsidRPr="00C4271E">
        <w:rPr>
          <w:rFonts w:ascii="Arial" w:hAnsi="Arial" w:cs="Arial"/>
          <w:color w:val="000000"/>
          <w:sz w:val="22"/>
          <w:szCs w:val="22"/>
          <w:lang w:val="en-CA"/>
        </w:rPr>
        <w:tab/>
      </w:r>
      <w:r w:rsidR="00724A37" w:rsidRPr="00C4271E">
        <w:rPr>
          <w:rFonts w:ascii="Arial" w:hAnsi="Arial" w:cs="Arial"/>
          <w:color w:val="000000"/>
          <w:sz w:val="22"/>
          <w:szCs w:val="22"/>
          <w:lang w:val="en-CA"/>
        </w:rPr>
        <w:t>Some interesting suggestions have been made in respect of the classification of Aboriginal and treaty rights. For example, the interveners Grand Council of the Crees and Cree Regional Authority propose in their factum, at para.</w:t>
      </w:r>
      <w:r w:rsidRPr="00C4271E">
        <w:rPr>
          <w:rFonts w:ascii="Arial" w:hAnsi="Arial" w:cs="Arial"/>
          <w:color w:val="000000"/>
          <w:sz w:val="22"/>
          <w:szCs w:val="22"/>
          <w:lang w:val="en-CA"/>
        </w:rPr>
        <w:t xml:space="preserve"> </w:t>
      </w:r>
      <w:r w:rsidR="00724A37" w:rsidRPr="00C4271E">
        <w:rPr>
          <w:rFonts w:ascii="Arial" w:hAnsi="Arial" w:cs="Arial"/>
          <w:color w:val="000000"/>
          <w:sz w:val="22"/>
          <w:szCs w:val="22"/>
          <w:lang w:val="en-CA"/>
        </w:rPr>
        <w:t>that a distinction be made between three types of Aboriginal and treaty rights: (a) rights that are exclusively collective; (b) rights that are mixed; and (c) rights that are predominantly individual.</w:t>
      </w:r>
      <w:r w:rsidRPr="00C4271E">
        <w:rPr>
          <w:rFonts w:ascii="Arial" w:hAnsi="Arial" w:cs="Arial"/>
          <w:color w:val="000000"/>
          <w:sz w:val="22"/>
          <w:szCs w:val="22"/>
          <w:lang w:val="en-CA"/>
        </w:rPr>
        <w:t xml:space="preserve"> </w:t>
      </w:r>
      <w:r w:rsidR="00724A37" w:rsidRPr="00C4271E">
        <w:rPr>
          <w:rFonts w:ascii="Arial" w:hAnsi="Arial" w:cs="Arial"/>
          <w:color w:val="000000"/>
          <w:sz w:val="22"/>
          <w:szCs w:val="22"/>
          <w:lang w:val="en-CA"/>
        </w:rPr>
        <w:t>These interveners also attempt to classify a variety of rights on the basis of these three categories.</w:t>
      </w:r>
    </w:p>
    <w:p w14:paraId="350C2C05" w14:textId="001347D4" w:rsidR="00540118" w:rsidRPr="00C4271E" w:rsidRDefault="00E6443C" w:rsidP="00540118">
      <w:pPr>
        <w:pStyle w:val="citationenretrait0"/>
        <w:spacing w:before="120" w:beforeAutospacing="0" w:after="120" w:afterAutospacing="0"/>
        <w:ind w:left="720" w:right="720"/>
        <w:jc w:val="both"/>
        <w:rPr>
          <w:rFonts w:ascii="Arial" w:hAnsi="Arial" w:cs="Arial"/>
          <w:color w:val="000000"/>
          <w:sz w:val="22"/>
          <w:szCs w:val="22"/>
          <w:lang w:val="en-CA"/>
        </w:rPr>
      </w:pPr>
      <w:r w:rsidRPr="00C4271E">
        <w:rPr>
          <w:rFonts w:ascii="Arial" w:hAnsi="Arial" w:cs="Arial"/>
          <w:color w:val="000000"/>
          <w:sz w:val="22"/>
          <w:szCs w:val="22"/>
          <w:lang w:val="en-CA"/>
        </w:rPr>
        <w:t>[35]</w:t>
      </w:r>
      <w:r w:rsidRPr="00C4271E">
        <w:rPr>
          <w:rFonts w:ascii="Arial" w:hAnsi="Arial" w:cs="Arial"/>
          <w:color w:val="000000"/>
          <w:sz w:val="14"/>
          <w:szCs w:val="14"/>
          <w:lang w:val="en-CA"/>
        </w:rPr>
        <w:t> </w:t>
      </w:r>
      <w:r w:rsidRPr="00C4271E">
        <w:rPr>
          <w:rFonts w:ascii="Arial" w:hAnsi="Arial" w:cs="Arial"/>
          <w:color w:val="000000"/>
          <w:sz w:val="14"/>
          <w:szCs w:val="14"/>
          <w:lang w:val="en-CA"/>
        </w:rPr>
        <w:tab/>
      </w:r>
      <w:r w:rsidR="00724A37" w:rsidRPr="00C4271E">
        <w:rPr>
          <w:rFonts w:ascii="Arial" w:hAnsi="Arial" w:cs="Arial"/>
          <w:color w:val="000000"/>
          <w:sz w:val="22"/>
          <w:szCs w:val="22"/>
          <w:lang w:val="en-CA"/>
        </w:rPr>
        <w:t>These suggestions bear witness to the diversity of Aboriginal and treaty rights. But I would not, on the occasion of this appeal and at this stage of the development of the law, try to develop broad categories for these rights and to slot each right in the appropriate one.</w:t>
      </w:r>
      <w:r w:rsidRPr="00C4271E">
        <w:rPr>
          <w:rFonts w:ascii="Arial" w:hAnsi="Arial" w:cs="Arial"/>
          <w:color w:val="000000"/>
          <w:sz w:val="22"/>
          <w:szCs w:val="22"/>
          <w:lang w:val="en-CA"/>
        </w:rPr>
        <w:t xml:space="preserve"> </w:t>
      </w:r>
      <w:r w:rsidR="00724A37" w:rsidRPr="00C4271E">
        <w:rPr>
          <w:rFonts w:ascii="Arial" w:hAnsi="Arial" w:cs="Arial"/>
          <w:color w:val="000000"/>
          <w:sz w:val="22"/>
          <w:szCs w:val="22"/>
          <w:u w:val="single"/>
          <w:lang w:val="en-CA"/>
        </w:rPr>
        <w:t xml:space="preserve">It will suffice to acknowledge that, despite the critical importance of the collective aspect of Aboriginal and treaty rights, rights may sometimes be assigned to or exercised by individual members of Aboriginal communities, and entitlements may sometimes be created in their favour. In a broad sense, it could be said that these rights might belong to them or that they </w:t>
      </w:r>
      <w:r w:rsidR="00724A37" w:rsidRPr="00C4271E">
        <w:rPr>
          <w:rFonts w:ascii="Arial" w:hAnsi="Arial" w:cs="Arial"/>
          <w:color w:val="000000"/>
          <w:sz w:val="22"/>
          <w:szCs w:val="22"/>
          <w:u w:val="single"/>
          <w:lang w:val="en-CA"/>
        </w:rPr>
        <w:lastRenderedPageBreak/>
        <w:t>have an individual aspect regardless of their collective nature</w:t>
      </w:r>
      <w:r w:rsidR="00724A37" w:rsidRPr="00C4271E">
        <w:rPr>
          <w:rFonts w:ascii="Arial" w:hAnsi="Arial" w:cs="Arial"/>
          <w:color w:val="000000"/>
          <w:sz w:val="22"/>
          <w:szCs w:val="22"/>
          <w:lang w:val="en-CA"/>
        </w:rPr>
        <w:t>.</w:t>
      </w:r>
      <w:r w:rsidRPr="00C4271E">
        <w:rPr>
          <w:rFonts w:ascii="Arial" w:hAnsi="Arial" w:cs="Arial"/>
          <w:color w:val="000000"/>
          <w:sz w:val="22"/>
          <w:szCs w:val="22"/>
          <w:lang w:val="en-CA"/>
        </w:rPr>
        <w:t xml:space="preserve"> </w:t>
      </w:r>
      <w:r w:rsidR="00724A37" w:rsidRPr="00C4271E">
        <w:rPr>
          <w:rFonts w:ascii="Arial" w:hAnsi="Arial" w:cs="Arial"/>
          <w:color w:val="000000"/>
          <w:sz w:val="22"/>
          <w:szCs w:val="22"/>
          <w:lang w:val="en-CA"/>
        </w:rPr>
        <w:t>Nothing more need be said at this time.</w:t>
      </w:r>
      <w:bookmarkStart w:id="31" w:name="_Ref179202471"/>
      <w:r w:rsidR="00724A37" w:rsidRPr="003572C4">
        <w:rPr>
          <w:rStyle w:val="Appelnotedebasdep"/>
          <w:rFonts w:ascii="Arial" w:hAnsi="Arial" w:cs="Arial"/>
          <w:sz w:val="22"/>
          <w:szCs w:val="22"/>
          <w:lang w:val="en-CA"/>
        </w:rPr>
        <w:footnoteReference w:id="52"/>
      </w:r>
      <w:bookmarkEnd w:id="31"/>
    </w:p>
    <w:p w14:paraId="2F018B8B" w14:textId="36B42E73" w:rsidR="00540118" w:rsidRPr="00C4271E" w:rsidRDefault="00987300" w:rsidP="00540118">
      <w:pPr>
        <w:pStyle w:val="Citationenretrait"/>
        <w:jc w:val="right"/>
        <w:rPr>
          <w:lang w:val="en-CA"/>
        </w:rPr>
      </w:pPr>
      <w:r w:rsidRPr="00C4271E">
        <w:rPr>
          <w:lang w:val="en-CA"/>
        </w:rPr>
        <w:t>[Emphasis added]</w:t>
      </w:r>
    </w:p>
    <w:p w14:paraId="69531129" w14:textId="568790BF" w:rsidR="00540118" w:rsidRPr="00C4271E" w:rsidRDefault="00636C9A" w:rsidP="00DF74E5">
      <w:pPr>
        <w:pStyle w:val="Paragraphe"/>
        <w:keepNext/>
        <w:keepLines/>
        <w:spacing w:line="240" w:lineRule="auto"/>
        <w:rPr>
          <w:rStyle w:val="cf01"/>
          <w:rFonts w:ascii="Arial" w:hAnsi="Arial" w:cs="Arial"/>
          <w:sz w:val="24"/>
          <w:szCs w:val="24"/>
          <w:lang w:val="en-CA"/>
        </w:rPr>
      </w:pPr>
      <w:r w:rsidRPr="00C4271E">
        <w:rPr>
          <w:rStyle w:val="cf01"/>
          <w:rFonts w:ascii="Arial" w:hAnsi="Arial" w:cs="Arial"/>
          <w:sz w:val="24"/>
          <w:szCs w:val="24"/>
          <w:lang w:val="en-CA"/>
        </w:rPr>
        <w:t xml:space="preserve">Citing the reasons of LeBel, J., this Court, in </w:t>
      </w:r>
      <w:r w:rsidRPr="00CA00B6">
        <w:rPr>
          <w:rStyle w:val="cf01"/>
          <w:rFonts w:ascii="Arial" w:hAnsi="Arial" w:cs="Arial"/>
          <w:i/>
          <w:sz w:val="24"/>
          <w:szCs w:val="24"/>
          <w:lang w:val="en-CA"/>
        </w:rPr>
        <w:t>Rice v. Agence du revenu du Québec</w:t>
      </w:r>
      <w:r w:rsidRPr="00CA00B6">
        <w:rPr>
          <w:rStyle w:val="cf01"/>
          <w:rFonts w:ascii="Arial" w:hAnsi="Arial" w:cs="Arial"/>
          <w:sz w:val="24"/>
          <w:szCs w:val="24"/>
          <w:lang w:val="en-CA"/>
        </w:rPr>
        <w:t>,</w:t>
      </w:r>
      <w:r w:rsidRPr="003572C4">
        <w:rPr>
          <w:rStyle w:val="Appelnotedebasdep"/>
          <w:rFonts w:eastAsia="Calibri" w:cs="Arial"/>
          <w:kern w:val="0"/>
          <w:szCs w:val="24"/>
          <w:shd w:val="clear" w:color="auto" w:fill="FFFFFF"/>
          <w:lang w:val="en-CA" w:eastAsia="en-US"/>
          <w14:ligatures w14:val="standardContextual"/>
        </w:rPr>
        <w:footnoteReference w:id="53"/>
      </w:r>
      <w:r w:rsidRPr="00C4271E">
        <w:rPr>
          <w:rFonts w:eastAsia="Calibri" w:cs="Arial"/>
          <w:kern w:val="0"/>
          <w:szCs w:val="24"/>
          <w:shd w:val="clear" w:color="auto" w:fill="FFFFFF"/>
          <w:lang w:val="en-CA" w:eastAsia="en-US"/>
          <w14:ligatures w14:val="standardContextual"/>
        </w:rPr>
        <w:t xml:space="preserve"> discussed the fact that collective rights </w:t>
      </w:r>
      <w:r w:rsidR="009A6DBE">
        <w:rPr>
          <w:rFonts w:eastAsia="Calibri" w:cs="Arial"/>
          <w:kern w:val="0"/>
          <w:szCs w:val="24"/>
          <w:shd w:val="clear" w:color="auto" w:fill="FFFFFF"/>
          <w:lang w:val="en-CA" w:eastAsia="en-US"/>
          <w14:ligatures w14:val="standardContextual"/>
        </w:rPr>
        <w:t>c</w:t>
      </w:r>
      <w:r w:rsidRPr="00C4271E">
        <w:rPr>
          <w:rFonts w:eastAsia="Calibri" w:cs="Arial"/>
          <w:kern w:val="0"/>
          <w:szCs w:val="24"/>
          <w:shd w:val="clear" w:color="auto" w:fill="FFFFFF"/>
          <w:lang w:val="en-CA" w:eastAsia="en-US"/>
          <w14:ligatures w14:val="standardContextual"/>
        </w:rPr>
        <w:t>an have an individual aspect and concluded that, in the particular case before it, the appellants had a greater interest than other members of the community:</w:t>
      </w:r>
    </w:p>
    <w:p w14:paraId="32C63E8B" w14:textId="2C6C712E" w:rsidR="00540118" w:rsidRPr="00C4271E" w:rsidRDefault="00E6443C" w:rsidP="00540118">
      <w:pPr>
        <w:pStyle w:val="Citationenretrait"/>
        <w:rPr>
          <w:lang w:val="en-CA"/>
        </w:rPr>
      </w:pPr>
      <w:r w:rsidRPr="00C4271E">
        <w:rPr>
          <w:lang w:val="en-CA"/>
        </w:rPr>
        <w:t>[</w:t>
      </w:r>
      <w:bookmarkStart w:id="32" w:name="par126"/>
      <w:r w:rsidRPr="00C4271E">
        <w:rPr>
          <w:lang w:val="en-CA"/>
        </w:rPr>
        <w:t>126</w:t>
      </w:r>
      <w:bookmarkEnd w:id="32"/>
      <w:r w:rsidRPr="00C4271E">
        <w:rPr>
          <w:lang w:val="en-CA"/>
        </w:rPr>
        <w:t>]</w:t>
      </w:r>
      <w:r w:rsidRPr="00C4271E">
        <w:rPr>
          <w:lang w:val="en-CA"/>
        </w:rPr>
        <w:tab/>
      </w:r>
      <w:r w:rsidR="00636C9A" w:rsidRPr="00C4271E">
        <w:rPr>
          <w:lang w:val="en-CA"/>
        </w:rPr>
        <w:t>So it is with the appellants.</w:t>
      </w:r>
      <w:r w:rsidRPr="00C4271E">
        <w:rPr>
          <w:lang w:val="en-CA"/>
        </w:rPr>
        <w:t xml:space="preserve"> </w:t>
      </w:r>
      <w:r w:rsidR="00636C9A" w:rsidRPr="00C4271E">
        <w:rPr>
          <w:lang w:val="en-CA"/>
        </w:rPr>
        <w:t>The rights they assert “have an individual aspect regardless of their collective nature”.</w:t>
      </w:r>
      <w:r w:rsidRPr="00C4271E">
        <w:rPr>
          <w:lang w:val="en-CA"/>
        </w:rPr>
        <w:t xml:space="preserve"> </w:t>
      </w:r>
      <w:r w:rsidR="00636C9A" w:rsidRPr="00C4271E">
        <w:rPr>
          <w:lang w:val="en-CA"/>
        </w:rPr>
        <w:t>Such aspects give them the necessary interest to enjoy standing.</w:t>
      </w:r>
      <w:r w:rsidRPr="00C4271E">
        <w:rPr>
          <w:lang w:val="en-CA"/>
        </w:rPr>
        <w:t xml:space="preserve"> </w:t>
      </w:r>
      <w:r w:rsidR="00636C9A" w:rsidRPr="00C4271E">
        <w:rPr>
          <w:lang w:val="en-CA"/>
        </w:rPr>
        <w:t xml:space="preserve">Indeed, </w:t>
      </w:r>
      <w:r w:rsidR="00636C9A" w:rsidRPr="00C4271E">
        <w:rPr>
          <w:u w:val="single"/>
          <w:lang w:val="en-CA"/>
        </w:rPr>
        <w:t>as gasoline retailers</w:t>
      </w:r>
      <w:r w:rsidR="00636C9A" w:rsidRPr="00C4271E">
        <w:rPr>
          <w:lang w:val="en-CA"/>
        </w:rPr>
        <w:t xml:space="preserve"> they come from amongst </w:t>
      </w:r>
      <w:r w:rsidR="00636C9A" w:rsidRPr="00C4271E">
        <w:rPr>
          <w:u w:val="single"/>
          <w:lang w:val="en-CA"/>
        </w:rPr>
        <w:t>the principal traders on the Reserve</w:t>
      </w:r>
      <w:r w:rsidR="00636C9A" w:rsidRPr="00C4271E">
        <w:rPr>
          <w:lang w:val="en-CA"/>
        </w:rPr>
        <w:t>.</w:t>
      </w:r>
      <w:r w:rsidRPr="00C4271E">
        <w:rPr>
          <w:u w:val="single"/>
          <w:lang w:val="en-CA"/>
        </w:rPr>
        <w:t xml:space="preserve"> </w:t>
      </w:r>
      <w:r w:rsidR="00636C9A" w:rsidRPr="00C4271E">
        <w:rPr>
          <w:u w:val="single"/>
          <w:lang w:val="en-CA"/>
        </w:rPr>
        <w:t>Accordingly, they have a greater interest, juridical or otherwise, than other members of the community or the community as a whole</w:t>
      </w:r>
      <w:r w:rsidR="00636C9A" w:rsidRPr="00C4271E">
        <w:rPr>
          <w:lang w:val="en-CA"/>
        </w:rPr>
        <w:t>.</w:t>
      </w:r>
      <w:r w:rsidRPr="00C4271E">
        <w:rPr>
          <w:lang w:val="en-CA"/>
        </w:rPr>
        <w:t xml:space="preserve"> </w:t>
      </w:r>
      <w:r w:rsidR="00636C9A" w:rsidRPr="00C4271E">
        <w:rPr>
          <w:lang w:val="en-CA"/>
        </w:rPr>
        <w:t>The Court therefore concludes that the appellants had the necessary standing to initiate their declaratory proceedings in order to determine whether the Aboriginal rights they asserted applied to them in the particular circumstances they alleged.</w:t>
      </w:r>
      <w:r w:rsidRPr="003572C4">
        <w:rPr>
          <w:rStyle w:val="Appelnotedebasdep"/>
          <w:lang w:val="en-CA"/>
        </w:rPr>
        <w:footnoteReference w:id="54"/>
      </w:r>
    </w:p>
    <w:p w14:paraId="7A5A1C81" w14:textId="533C095F" w:rsidR="00540118" w:rsidRPr="003572C4" w:rsidRDefault="00987300" w:rsidP="00540118">
      <w:pPr>
        <w:pStyle w:val="Citationenretrait"/>
        <w:jc w:val="right"/>
        <w:rPr>
          <w:lang w:val="en-CA"/>
        </w:rPr>
      </w:pPr>
      <w:r w:rsidRPr="003572C4">
        <w:rPr>
          <w:lang w:val="en-CA"/>
        </w:rPr>
        <w:t>[Emphasis added]</w:t>
      </w:r>
    </w:p>
    <w:p w14:paraId="6E04820A" w14:textId="11F516ED" w:rsidR="00540118" w:rsidRPr="00C4271E" w:rsidRDefault="001D01A5" w:rsidP="00540118">
      <w:pPr>
        <w:pStyle w:val="Paragraphe"/>
        <w:spacing w:line="240" w:lineRule="auto"/>
        <w:rPr>
          <w:lang w:val="en-CA"/>
        </w:rPr>
      </w:pPr>
      <w:r w:rsidRPr="00C4271E">
        <w:rPr>
          <w:lang w:val="en-CA"/>
        </w:rPr>
        <w:t xml:space="preserve">In this case, contrary to the situation in </w:t>
      </w:r>
      <w:r w:rsidRPr="00C4271E">
        <w:rPr>
          <w:i/>
          <w:lang w:val="en-CA"/>
        </w:rPr>
        <w:t>Rice</w:t>
      </w:r>
      <w:r w:rsidRPr="00C4271E">
        <w:rPr>
          <w:lang w:val="en-CA"/>
        </w:rPr>
        <w:t>,</w:t>
      </w:r>
      <w:r w:rsidRPr="003572C4">
        <w:rPr>
          <w:rStyle w:val="Appelnotedebasdep"/>
          <w:lang w:val="en-CA"/>
        </w:rPr>
        <w:footnoteReference w:id="55"/>
      </w:r>
      <w:r w:rsidRPr="00C4271E">
        <w:rPr>
          <w:lang w:val="en-CA"/>
        </w:rPr>
        <w:t xml:space="preserve"> the respondents do not have a greater legal interest than other members of the First Nation as a </w:t>
      </w:r>
      <w:r w:rsidR="005A797D" w:rsidRPr="00C4271E">
        <w:rPr>
          <w:lang w:val="en-CA"/>
        </w:rPr>
        <w:t>group</w:t>
      </w:r>
      <w:r w:rsidRPr="00C4271E">
        <w:rPr>
          <w:lang w:val="en-CA"/>
        </w:rPr>
        <w:t xml:space="preserve"> to assert the rights </w:t>
      </w:r>
      <w:r w:rsidR="005A797D" w:rsidRPr="00C4271E">
        <w:rPr>
          <w:lang w:val="en-CA"/>
        </w:rPr>
        <w:t>in relation to</w:t>
      </w:r>
      <w:r w:rsidRPr="00C4271E">
        <w:rPr>
          <w:lang w:val="en-CA"/>
        </w:rPr>
        <w:t xml:space="preserve"> which they seek a declaratory judgment with assorted injunctive orders.</w:t>
      </w:r>
      <w:r w:rsidR="00E6443C" w:rsidRPr="00C4271E">
        <w:rPr>
          <w:lang w:val="en-CA"/>
        </w:rPr>
        <w:t xml:space="preserve"> </w:t>
      </w:r>
      <w:r w:rsidR="00916A24" w:rsidRPr="00C4271E">
        <w:rPr>
          <w:lang w:val="en-CA"/>
        </w:rPr>
        <w:t xml:space="preserve">Because the </w:t>
      </w:r>
      <w:r w:rsidR="005A797D" w:rsidRPr="00C4271E">
        <w:rPr>
          <w:lang w:val="en-CA"/>
        </w:rPr>
        <w:t>respondents</w:t>
      </w:r>
      <w:r w:rsidR="00916A24" w:rsidRPr="00C4271E">
        <w:rPr>
          <w:lang w:val="en-CA"/>
        </w:rPr>
        <w:t xml:space="preserve"> were not mandated by these members to represent them, they cannot, for example ask that the </w:t>
      </w:r>
      <w:r w:rsidR="005A797D" w:rsidRPr="00C4271E">
        <w:rPr>
          <w:lang w:val="en-CA"/>
        </w:rPr>
        <w:t>Court</w:t>
      </w:r>
      <w:r w:rsidR="00916A24" w:rsidRPr="00C4271E">
        <w:rPr>
          <w:lang w:val="en-CA"/>
        </w:rPr>
        <w:t xml:space="preserve"> grant this conclusion they are seeking to “</w:t>
      </w:r>
      <w:r w:rsidR="00874F1F" w:rsidRPr="00C4271E">
        <w:rPr>
          <w:lang w:val="en-CA"/>
        </w:rPr>
        <w:t xml:space="preserve">ORDER the Conseil de bande de Pessamit to immediately remit to the Première Nation de Pessamit </w:t>
      </w:r>
      <w:r w:rsidR="00874F1F" w:rsidRPr="00C4271E">
        <w:rPr>
          <w:bCs/>
          <w:lang w:val="en-CA"/>
        </w:rPr>
        <w:t xml:space="preserve">any moneys it is managing, except for “Indian moneys” within the meaning of the </w:t>
      </w:r>
      <w:r w:rsidR="00874F1F" w:rsidRPr="00C4271E">
        <w:rPr>
          <w:bCs/>
          <w:i/>
          <w:lang w:val="en-CA"/>
        </w:rPr>
        <w:t>Indian Act</w:t>
      </w:r>
      <w:r w:rsidR="00916A24" w:rsidRPr="00C4271E">
        <w:rPr>
          <w:lang w:val="en-CA"/>
        </w:rPr>
        <w:t>”.</w:t>
      </w:r>
      <w:r w:rsidR="00916A24" w:rsidRPr="003572C4">
        <w:rPr>
          <w:rStyle w:val="Appelnotedebasdep"/>
          <w:lang w:val="en-CA"/>
        </w:rPr>
        <w:footnoteReference w:id="56"/>
      </w:r>
    </w:p>
    <w:p w14:paraId="3DFD992B" w14:textId="772F6B8D" w:rsidR="00540118" w:rsidRPr="00C4271E" w:rsidRDefault="00916A24" w:rsidP="00540118">
      <w:pPr>
        <w:pStyle w:val="Paragraphe"/>
        <w:spacing w:line="240" w:lineRule="auto"/>
        <w:rPr>
          <w:lang w:val="en-CA"/>
        </w:rPr>
      </w:pPr>
      <w:r w:rsidRPr="00C4271E">
        <w:rPr>
          <w:lang w:val="en-CA"/>
        </w:rPr>
        <w:t>The</w:t>
      </w:r>
      <w:r w:rsidR="00CA00B6">
        <w:rPr>
          <w:lang w:val="en-CA"/>
        </w:rPr>
        <w:t xml:space="preserve"> trial</w:t>
      </w:r>
      <w:r w:rsidRPr="00C4271E">
        <w:rPr>
          <w:lang w:val="en-CA"/>
        </w:rPr>
        <w:t xml:space="preserve"> judge pointed out that the respondents do not </w:t>
      </w:r>
      <w:r w:rsidR="00CA00B6">
        <w:rPr>
          <w:lang w:val="en-CA"/>
        </w:rPr>
        <w:t>purport to be</w:t>
      </w:r>
      <w:r w:rsidRPr="00C4271E">
        <w:rPr>
          <w:lang w:val="en-CA"/>
        </w:rPr>
        <w:t xml:space="preserve"> acting on behalf of the First Nation but as members thereof,</w:t>
      </w:r>
      <w:r w:rsidRPr="003572C4">
        <w:rPr>
          <w:rStyle w:val="Appelnotedebasdep"/>
          <w:lang w:val="en-CA"/>
        </w:rPr>
        <w:footnoteReference w:id="57"/>
      </w:r>
      <w:r w:rsidRPr="00C4271E">
        <w:rPr>
          <w:lang w:val="en-CA"/>
        </w:rPr>
        <w:t xml:space="preserve"> </w:t>
      </w:r>
      <w:r w:rsidR="0086080B" w:rsidRPr="00C4271E">
        <w:rPr>
          <w:lang w:val="en-CA"/>
        </w:rPr>
        <w:t>before concluding</w:t>
      </w:r>
      <w:r w:rsidRPr="00C4271E">
        <w:rPr>
          <w:lang w:val="en-CA"/>
        </w:rPr>
        <w:t xml:space="preserve"> that they are certainly entitled to argue that the Band </w:t>
      </w:r>
      <w:r w:rsidR="00027F5E" w:rsidRPr="00C4271E">
        <w:rPr>
          <w:lang w:val="en-CA"/>
        </w:rPr>
        <w:t>C</w:t>
      </w:r>
      <w:r w:rsidRPr="00C4271E">
        <w:rPr>
          <w:lang w:val="en-CA"/>
        </w:rPr>
        <w:t>ouncil is wrongfully interfering with claims relating to Aboriginal rights held by the First Nation.</w:t>
      </w:r>
      <w:r w:rsidRPr="003572C4">
        <w:rPr>
          <w:rStyle w:val="Appelnotedebasdep"/>
          <w:lang w:val="en-CA"/>
        </w:rPr>
        <w:footnoteReference w:id="58"/>
      </w:r>
      <w:r w:rsidR="00E6443C" w:rsidRPr="00C4271E">
        <w:rPr>
          <w:lang w:val="en-CA"/>
        </w:rPr>
        <w:t xml:space="preserve"> </w:t>
      </w:r>
      <w:r w:rsidRPr="00C4271E">
        <w:rPr>
          <w:lang w:val="en-CA"/>
        </w:rPr>
        <w:t xml:space="preserve">With respect, </w:t>
      </w:r>
      <w:r w:rsidR="00E06CF4">
        <w:rPr>
          <w:lang w:val="en-CA"/>
        </w:rPr>
        <w:t>I</w:t>
      </w:r>
      <w:r w:rsidRPr="00C4271E">
        <w:rPr>
          <w:lang w:val="en-CA"/>
        </w:rPr>
        <w:t xml:space="preserve"> find that this </w:t>
      </w:r>
      <w:r w:rsidR="00902953" w:rsidRPr="00C4271E">
        <w:rPr>
          <w:lang w:val="en-CA"/>
        </w:rPr>
        <w:t>is tantamount</w:t>
      </w:r>
      <w:r w:rsidRPr="00C4271E">
        <w:rPr>
          <w:lang w:val="en-CA"/>
        </w:rPr>
        <w:t xml:space="preserve"> to allowing the respondents to invoke, on behalf of the First Nation, the </w:t>
      </w:r>
      <w:r w:rsidRPr="00C4271E">
        <w:rPr>
          <w:lang w:val="en-CA"/>
        </w:rPr>
        <w:lastRenderedPageBreak/>
        <w:t xml:space="preserve">collective rights of that First Nation when they have </w:t>
      </w:r>
      <w:r w:rsidR="00902953" w:rsidRPr="00C4271E">
        <w:rPr>
          <w:lang w:val="en-CA"/>
        </w:rPr>
        <w:t>not been mandated</w:t>
      </w:r>
      <w:r w:rsidRPr="00C4271E">
        <w:rPr>
          <w:lang w:val="en-CA"/>
        </w:rPr>
        <w:t xml:space="preserve"> to do so, which they can</w:t>
      </w:r>
      <w:r w:rsidR="00902953" w:rsidRPr="00C4271E">
        <w:rPr>
          <w:lang w:val="en-CA"/>
        </w:rPr>
        <w:t>not</w:t>
      </w:r>
      <w:r w:rsidRPr="00C4271E">
        <w:rPr>
          <w:lang w:val="en-CA"/>
        </w:rPr>
        <w:t xml:space="preserve"> do, as the Supreme Court pointed out:</w:t>
      </w:r>
    </w:p>
    <w:p w14:paraId="44E9D0E0" w14:textId="077B6C07" w:rsidR="00540118" w:rsidRPr="003572C4" w:rsidRDefault="00E6443C" w:rsidP="00540118">
      <w:pPr>
        <w:pStyle w:val="Citationenretrait"/>
        <w:rPr>
          <w:rFonts w:eastAsia="Calibri"/>
          <w:lang w:val="en-CA"/>
        </w:rPr>
      </w:pPr>
      <w:r w:rsidRPr="00C4271E">
        <w:rPr>
          <w:rFonts w:eastAsia="Calibri"/>
          <w:lang w:val="en-CA"/>
        </w:rPr>
        <w:t>[</w:t>
      </w:r>
      <w:bookmarkStart w:id="33" w:name="par30"/>
      <w:r w:rsidRPr="00C4271E">
        <w:rPr>
          <w:rFonts w:eastAsia="Calibri"/>
          <w:lang w:val="en-CA"/>
        </w:rPr>
        <w:t>30</w:t>
      </w:r>
      <w:bookmarkEnd w:id="33"/>
      <w:r w:rsidRPr="00C4271E">
        <w:rPr>
          <w:rFonts w:eastAsia="Calibri"/>
          <w:lang w:val="en-CA"/>
        </w:rPr>
        <w:t>]</w:t>
      </w:r>
      <w:r w:rsidRPr="00C4271E">
        <w:rPr>
          <w:rFonts w:eastAsia="Calibri"/>
          <w:sz w:val="14"/>
          <w:szCs w:val="14"/>
          <w:lang w:val="en-CA"/>
        </w:rPr>
        <w:tab/>
      </w:r>
      <w:r w:rsidR="00916A24" w:rsidRPr="00C4271E">
        <w:rPr>
          <w:rFonts w:eastAsia="Calibri"/>
          <w:lang w:val="en-CA"/>
        </w:rPr>
        <w:t>The duty to consult exists to protect the collective rights of Aboriginal peoples.</w:t>
      </w:r>
      <w:r w:rsidRPr="00C4271E">
        <w:rPr>
          <w:rFonts w:eastAsia="Calibri"/>
          <w:lang w:val="en-CA"/>
        </w:rPr>
        <w:t> </w:t>
      </w:r>
      <w:r w:rsidR="00916A24" w:rsidRPr="00C4271E">
        <w:rPr>
          <w:rFonts w:eastAsia="Calibri"/>
          <w:lang w:val="en-CA"/>
        </w:rPr>
        <w:t>For this reason, it is owed to the Aboriginal group that holds the s.</w:t>
      </w:r>
      <w:r w:rsidRPr="00C4271E">
        <w:rPr>
          <w:rFonts w:eastAsia="Calibri"/>
          <w:lang w:val="en-CA"/>
        </w:rPr>
        <w:t> </w:t>
      </w:r>
      <w:r w:rsidR="00916A24" w:rsidRPr="00C4271E">
        <w:rPr>
          <w:rFonts w:eastAsia="Calibri"/>
          <w:lang w:val="en-CA"/>
        </w:rPr>
        <w:t xml:space="preserve">35 rights, which are collective in nature: </w:t>
      </w:r>
      <w:r w:rsidR="00916A24" w:rsidRPr="009A6DBE">
        <w:rPr>
          <w:rFonts w:eastAsia="Calibri"/>
          <w:i/>
          <w:iCs/>
          <w:lang w:val="en-CA"/>
        </w:rPr>
        <w:t>Beckman</w:t>
      </w:r>
      <w:r w:rsidR="00916A24" w:rsidRPr="00C4271E">
        <w:rPr>
          <w:rFonts w:eastAsia="Calibri"/>
          <w:lang w:val="en-CA"/>
        </w:rPr>
        <w:t xml:space="preserve">, at para. 35; </w:t>
      </w:r>
      <w:r w:rsidR="00916A24" w:rsidRPr="009A6DBE">
        <w:rPr>
          <w:rFonts w:eastAsia="Calibri"/>
          <w:i/>
          <w:iCs/>
          <w:lang w:val="en-CA"/>
        </w:rPr>
        <w:t>Woodward</w:t>
      </w:r>
      <w:r w:rsidR="00916A24" w:rsidRPr="00C4271E">
        <w:rPr>
          <w:rFonts w:eastAsia="Calibri"/>
          <w:lang w:val="en-CA"/>
        </w:rPr>
        <w:t xml:space="preserve">, at p. 5-55. </w:t>
      </w:r>
      <w:r w:rsidRPr="00C4271E">
        <w:rPr>
          <w:rFonts w:eastAsia="Calibri"/>
          <w:lang w:val="en-CA"/>
        </w:rPr>
        <w:t> </w:t>
      </w:r>
      <w:r w:rsidR="00916A24" w:rsidRPr="00C4271E">
        <w:rPr>
          <w:rFonts w:eastAsia="Calibri"/>
          <w:lang w:val="en-CA"/>
        </w:rPr>
        <w:t>But an Aboriginal group can authorize an individual or an organization to represent it for the purpose of asserting its s.</w:t>
      </w:r>
      <w:r w:rsidRPr="00C4271E">
        <w:rPr>
          <w:rFonts w:eastAsia="Calibri"/>
          <w:lang w:val="en-CA"/>
        </w:rPr>
        <w:t> </w:t>
      </w:r>
      <w:r w:rsidR="00916A24" w:rsidRPr="00C4271E">
        <w:rPr>
          <w:rFonts w:eastAsia="Calibri"/>
          <w:lang w:val="en-CA"/>
        </w:rPr>
        <w:t xml:space="preserve">35 rights: see, e.g., </w:t>
      </w:r>
      <w:r w:rsidR="00916A24" w:rsidRPr="00C4271E">
        <w:rPr>
          <w:rFonts w:eastAsia="Calibri"/>
          <w:i/>
          <w:lang w:val="en-CA"/>
        </w:rPr>
        <w:t>Komoyue Heritage Society v. British Columbia (Attorney General)</w:t>
      </w:r>
      <w:r w:rsidR="00916A24" w:rsidRPr="00C4271E">
        <w:rPr>
          <w:rFonts w:eastAsia="Calibri"/>
          <w:lang w:val="en-CA"/>
        </w:rPr>
        <w:t xml:space="preserve">, </w:t>
      </w:r>
      <w:hyperlink r:id="rId14" w:history="1">
        <w:r w:rsidR="00916A24" w:rsidRPr="00C4271E">
          <w:rPr>
            <w:rFonts w:eastAsia="Calibri"/>
            <w:lang w:val="en-CA"/>
          </w:rPr>
          <w:t>2006 BCSC 1517</w:t>
        </w:r>
      </w:hyperlink>
      <w:r w:rsidR="00916A24" w:rsidRPr="00C4271E">
        <w:rPr>
          <w:lang w:val="en-CA"/>
        </w:rPr>
        <w:t>, 55 Admin.</w:t>
      </w:r>
      <w:r w:rsidRPr="00C4271E">
        <w:rPr>
          <w:rFonts w:eastAsia="Calibri"/>
          <w:lang w:val="en-CA"/>
        </w:rPr>
        <w:t xml:space="preserve"> </w:t>
      </w:r>
      <w:r w:rsidR="00916A24" w:rsidRPr="003572C4">
        <w:rPr>
          <w:rFonts w:eastAsia="Calibri"/>
          <w:lang w:val="en-CA"/>
        </w:rPr>
        <w:t>L.R. (4th) 236.</w:t>
      </w:r>
      <w:r w:rsidRPr="003572C4">
        <w:rPr>
          <w:rStyle w:val="Appelnotedebasdep"/>
          <w:lang w:val="en-CA"/>
        </w:rPr>
        <w:footnoteReference w:id="59"/>
      </w:r>
    </w:p>
    <w:p w14:paraId="58FEFB70" w14:textId="39CCA73F" w:rsidR="00540118" w:rsidRPr="00C4271E" w:rsidRDefault="00322EE2" w:rsidP="00540118">
      <w:pPr>
        <w:pStyle w:val="Paragraphe"/>
        <w:spacing w:line="240" w:lineRule="auto"/>
        <w:rPr>
          <w:szCs w:val="24"/>
          <w:lang w:val="en-CA"/>
        </w:rPr>
      </w:pPr>
      <w:r w:rsidRPr="00C4271E">
        <w:rPr>
          <w:lang w:val="en-CA"/>
        </w:rPr>
        <w:t xml:space="preserve">Can the respondents benefit from </w:t>
      </w:r>
      <w:r w:rsidR="00E06442">
        <w:rPr>
          <w:lang w:val="en-CA"/>
        </w:rPr>
        <w:t>the</w:t>
      </w:r>
      <w:r w:rsidR="00E06442" w:rsidRPr="00C4271E">
        <w:rPr>
          <w:lang w:val="en-CA"/>
        </w:rPr>
        <w:t xml:space="preserve"> </w:t>
      </w:r>
      <w:r w:rsidRPr="00C4271E">
        <w:rPr>
          <w:lang w:val="en-CA"/>
        </w:rPr>
        <w:t>“flexible” approach emphasi</w:t>
      </w:r>
      <w:r w:rsidR="00E06442">
        <w:rPr>
          <w:lang w:val="en-CA"/>
        </w:rPr>
        <w:t>zing</w:t>
      </w:r>
      <w:r w:rsidRPr="00C4271E">
        <w:rPr>
          <w:lang w:val="en-CA"/>
        </w:rPr>
        <w:t xml:space="preserve"> the </w:t>
      </w:r>
      <w:r w:rsidR="00902953" w:rsidRPr="00C4271E">
        <w:rPr>
          <w:lang w:val="en-CA"/>
        </w:rPr>
        <w:t>discretionary</w:t>
      </w:r>
      <w:r w:rsidRPr="00C4271E">
        <w:rPr>
          <w:lang w:val="en-CA"/>
        </w:rPr>
        <w:t xml:space="preserve"> nature of the</w:t>
      </w:r>
      <w:r w:rsidR="00E06442">
        <w:rPr>
          <w:lang w:val="en-CA"/>
        </w:rPr>
        <w:t xml:space="preserve"> standing</w:t>
      </w:r>
      <w:r w:rsidRPr="00C4271E">
        <w:rPr>
          <w:lang w:val="en-CA"/>
        </w:rPr>
        <w:t xml:space="preserve"> decision, </w:t>
      </w:r>
      <w:r w:rsidR="00001A06">
        <w:rPr>
          <w:lang w:val="en-CA"/>
        </w:rPr>
        <w:t>so</w:t>
      </w:r>
      <w:r w:rsidR="00001A06" w:rsidRPr="00C4271E">
        <w:rPr>
          <w:lang w:val="en-CA"/>
        </w:rPr>
        <w:t xml:space="preserve"> </w:t>
      </w:r>
      <w:r w:rsidRPr="00C4271E">
        <w:rPr>
          <w:lang w:val="en-CA"/>
        </w:rPr>
        <w:t xml:space="preserve">that their </w:t>
      </w:r>
      <w:r w:rsidR="00E06442">
        <w:rPr>
          <w:lang w:val="en-CA"/>
        </w:rPr>
        <w:t>interest</w:t>
      </w:r>
      <w:r w:rsidR="00E06442" w:rsidRPr="00C4271E">
        <w:rPr>
          <w:lang w:val="en-CA"/>
        </w:rPr>
        <w:t xml:space="preserve"> </w:t>
      </w:r>
      <w:r w:rsidRPr="00C4271E">
        <w:rPr>
          <w:lang w:val="en-CA"/>
        </w:rPr>
        <w:t>is recognized?</w:t>
      </w:r>
    </w:p>
    <w:p w14:paraId="4900DE44" w14:textId="4C05FD88" w:rsidR="00540118" w:rsidRPr="00C4271E" w:rsidRDefault="00322EE2" w:rsidP="00540118">
      <w:pPr>
        <w:pStyle w:val="Paragraphe"/>
        <w:spacing w:line="240" w:lineRule="auto"/>
        <w:rPr>
          <w:lang w:val="en-CA"/>
        </w:rPr>
      </w:pPr>
      <w:r w:rsidRPr="00C4271E">
        <w:rPr>
          <w:lang w:val="en-CA"/>
        </w:rPr>
        <w:t xml:space="preserve">On the face of the proceeding, it </w:t>
      </w:r>
      <w:r w:rsidR="00902953" w:rsidRPr="00C4271E">
        <w:rPr>
          <w:lang w:val="en-CA"/>
        </w:rPr>
        <w:t>is clear</w:t>
      </w:r>
      <w:r w:rsidRPr="00C4271E">
        <w:rPr>
          <w:lang w:val="en-CA"/>
        </w:rPr>
        <w:t xml:space="preserve"> that the respondents </w:t>
      </w:r>
      <w:r w:rsidR="00902953" w:rsidRPr="00C4271E">
        <w:rPr>
          <w:lang w:val="en-CA"/>
        </w:rPr>
        <w:t xml:space="preserve">are </w:t>
      </w:r>
      <w:r w:rsidRPr="00C4271E">
        <w:rPr>
          <w:lang w:val="en-CA"/>
        </w:rPr>
        <w:t>argu</w:t>
      </w:r>
      <w:r w:rsidR="00902953" w:rsidRPr="00C4271E">
        <w:rPr>
          <w:lang w:val="en-CA"/>
        </w:rPr>
        <w:t>ing</w:t>
      </w:r>
      <w:r w:rsidRPr="00C4271E">
        <w:rPr>
          <w:lang w:val="en-CA"/>
        </w:rPr>
        <w:t xml:space="preserve"> for others</w:t>
      </w:r>
      <w:r w:rsidR="00902953" w:rsidRPr="00C4271E">
        <w:rPr>
          <w:lang w:val="en-CA"/>
        </w:rPr>
        <w:t>,</w:t>
      </w:r>
      <w:r w:rsidRPr="00C4271E">
        <w:rPr>
          <w:lang w:val="en-CA"/>
        </w:rPr>
        <w:t xml:space="preserve"> without a mandate.</w:t>
      </w:r>
      <w:r w:rsidR="00E6443C" w:rsidRPr="00C4271E">
        <w:rPr>
          <w:lang w:val="en-CA"/>
        </w:rPr>
        <w:t xml:space="preserve"> </w:t>
      </w:r>
      <w:r w:rsidRPr="00C4271E">
        <w:rPr>
          <w:lang w:val="en-CA"/>
        </w:rPr>
        <w:t xml:space="preserve">If the </w:t>
      </w:r>
      <w:r w:rsidR="00902953" w:rsidRPr="00C4271E">
        <w:rPr>
          <w:lang w:val="en-CA"/>
        </w:rPr>
        <w:t>respondents</w:t>
      </w:r>
      <w:r w:rsidRPr="00C4271E">
        <w:rPr>
          <w:lang w:val="en-CA"/>
        </w:rPr>
        <w:t xml:space="preserve"> wish to bring such a proceeding, they must first obtain a mandate from the First Nation.</w:t>
      </w:r>
      <w:r w:rsidR="00E6443C" w:rsidRPr="00C4271E">
        <w:rPr>
          <w:lang w:val="en-CA"/>
        </w:rPr>
        <w:t xml:space="preserve"> </w:t>
      </w:r>
    </w:p>
    <w:p w14:paraId="415BA3BB" w14:textId="62AE37AF" w:rsidR="00540118" w:rsidRPr="00C4271E" w:rsidRDefault="00322EE2" w:rsidP="00540118">
      <w:pPr>
        <w:pStyle w:val="Paragraphe"/>
        <w:spacing w:line="240" w:lineRule="auto"/>
        <w:rPr>
          <w:lang w:val="en-CA"/>
        </w:rPr>
      </w:pPr>
      <w:r w:rsidRPr="00C4271E">
        <w:rPr>
          <w:lang w:val="en-CA"/>
        </w:rPr>
        <w:t xml:space="preserve">The respondents’ proceeding is a </w:t>
      </w:r>
      <w:r w:rsidR="00001A06">
        <w:rPr>
          <w:lang w:val="en-CA"/>
        </w:rPr>
        <w:t>challenge</w:t>
      </w:r>
      <w:r w:rsidR="00001A06" w:rsidRPr="00C4271E">
        <w:rPr>
          <w:lang w:val="en-CA"/>
        </w:rPr>
        <w:t xml:space="preserve"> </w:t>
      </w:r>
      <w:r w:rsidR="00C14A6B">
        <w:rPr>
          <w:lang w:val="en-CA"/>
        </w:rPr>
        <w:t>to</w:t>
      </w:r>
      <w:r w:rsidR="00C14A6B" w:rsidRPr="00C4271E">
        <w:rPr>
          <w:lang w:val="en-CA"/>
        </w:rPr>
        <w:t xml:space="preserve"> </w:t>
      </w:r>
      <w:r w:rsidRPr="00C4271E">
        <w:rPr>
          <w:lang w:val="en-CA"/>
        </w:rPr>
        <w:t xml:space="preserve">the </w:t>
      </w:r>
      <w:r w:rsidR="00D73FCC">
        <w:rPr>
          <w:lang w:val="en-CA"/>
        </w:rPr>
        <w:t>standing</w:t>
      </w:r>
      <w:r w:rsidR="00D73FCC" w:rsidRPr="00C4271E">
        <w:rPr>
          <w:lang w:val="en-CA"/>
        </w:rPr>
        <w:t xml:space="preserve"> </w:t>
      </w:r>
      <w:r w:rsidRPr="00C4271E">
        <w:rPr>
          <w:lang w:val="en-CA"/>
        </w:rPr>
        <w:t>th</w:t>
      </w:r>
      <w:r w:rsidR="00902953" w:rsidRPr="00C4271E">
        <w:rPr>
          <w:lang w:val="en-CA"/>
        </w:rPr>
        <w:t>e</w:t>
      </w:r>
      <w:r w:rsidRPr="00C4271E">
        <w:rPr>
          <w:lang w:val="en-CA"/>
        </w:rPr>
        <w:t xml:space="preserve"> Band </w:t>
      </w:r>
      <w:r w:rsidR="00027F5E" w:rsidRPr="00C4271E">
        <w:rPr>
          <w:lang w:val="en-CA"/>
        </w:rPr>
        <w:t>C</w:t>
      </w:r>
      <w:r w:rsidRPr="00C4271E">
        <w:rPr>
          <w:lang w:val="en-CA"/>
        </w:rPr>
        <w:t xml:space="preserve">ouncil </w:t>
      </w:r>
      <w:r w:rsidR="00001A06">
        <w:rPr>
          <w:lang w:val="en-CA"/>
        </w:rPr>
        <w:t>purports</w:t>
      </w:r>
      <w:r w:rsidR="00001A06" w:rsidRPr="00C4271E">
        <w:rPr>
          <w:lang w:val="en-CA"/>
        </w:rPr>
        <w:t xml:space="preserve"> </w:t>
      </w:r>
      <w:r w:rsidRPr="00C4271E">
        <w:rPr>
          <w:lang w:val="en-CA"/>
        </w:rPr>
        <w:t xml:space="preserve">to have to represent the First Nation in connection with the rights recognized and confirmed by section 35 of the </w:t>
      </w:r>
      <w:r w:rsidRPr="00C4271E">
        <w:rPr>
          <w:i/>
          <w:lang w:val="en-CA"/>
        </w:rPr>
        <w:t>Constitution Act, 1982</w:t>
      </w:r>
      <w:r w:rsidRPr="00C4271E">
        <w:rPr>
          <w:lang w:val="en-CA"/>
        </w:rPr>
        <w:t>.</w:t>
      </w:r>
      <w:r w:rsidR="00E6443C" w:rsidRPr="00C4271E">
        <w:rPr>
          <w:lang w:val="en-CA"/>
        </w:rPr>
        <w:t xml:space="preserve"> </w:t>
      </w:r>
      <w:r w:rsidR="000B2E8B" w:rsidRPr="00C4271E">
        <w:rPr>
          <w:lang w:val="en-CA"/>
        </w:rPr>
        <w:t xml:space="preserve">It is also a </w:t>
      </w:r>
      <w:r w:rsidR="00001A06">
        <w:rPr>
          <w:lang w:val="en-CA"/>
        </w:rPr>
        <w:t>challenge</w:t>
      </w:r>
      <w:r w:rsidR="00001A06" w:rsidRPr="00C4271E">
        <w:rPr>
          <w:lang w:val="en-CA"/>
        </w:rPr>
        <w:t xml:space="preserve"> </w:t>
      </w:r>
      <w:r w:rsidR="00C14A6B">
        <w:rPr>
          <w:lang w:val="en-CA"/>
        </w:rPr>
        <w:t>to</w:t>
      </w:r>
      <w:r w:rsidR="00C14A6B" w:rsidRPr="00C4271E">
        <w:rPr>
          <w:lang w:val="en-CA"/>
        </w:rPr>
        <w:t xml:space="preserve"> </w:t>
      </w:r>
      <w:r w:rsidR="000B2E8B" w:rsidRPr="00C4271E">
        <w:rPr>
          <w:lang w:val="en-CA"/>
        </w:rPr>
        <w:t xml:space="preserve">the way the Band </w:t>
      </w:r>
      <w:r w:rsidR="00027F5E" w:rsidRPr="00C4271E">
        <w:rPr>
          <w:lang w:val="en-CA"/>
        </w:rPr>
        <w:t>C</w:t>
      </w:r>
      <w:r w:rsidR="000B2E8B" w:rsidRPr="00C4271E">
        <w:rPr>
          <w:lang w:val="en-CA"/>
        </w:rPr>
        <w:t xml:space="preserve">ouncil exercises its rights in connection with the First Nation the respondents </w:t>
      </w:r>
      <w:r w:rsidR="00001A06">
        <w:rPr>
          <w:lang w:val="en-CA"/>
        </w:rPr>
        <w:t>purport</w:t>
      </w:r>
      <w:r w:rsidR="00001A06" w:rsidRPr="00C4271E">
        <w:rPr>
          <w:lang w:val="en-CA"/>
        </w:rPr>
        <w:t xml:space="preserve"> </w:t>
      </w:r>
      <w:r w:rsidR="000B2E8B" w:rsidRPr="00C4271E">
        <w:rPr>
          <w:lang w:val="en-CA"/>
        </w:rPr>
        <w:t xml:space="preserve">to represent, without </w:t>
      </w:r>
      <w:r w:rsidR="00902953" w:rsidRPr="00C4271E">
        <w:rPr>
          <w:lang w:val="en-CA"/>
        </w:rPr>
        <w:t>being</w:t>
      </w:r>
      <w:r w:rsidR="000B2E8B" w:rsidRPr="00C4271E">
        <w:rPr>
          <w:lang w:val="en-CA"/>
        </w:rPr>
        <w:t xml:space="preserve"> justifi</w:t>
      </w:r>
      <w:r w:rsidR="00902953" w:rsidRPr="00C4271E">
        <w:rPr>
          <w:lang w:val="en-CA"/>
        </w:rPr>
        <w:t>ed by</w:t>
      </w:r>
      <w:r w:rsidR="000B2E8B" w:rsidRPr="00C4271E">
        <w:rPr>
          <w:lang w:val="en-CA"/>
        </w:rPr>
        <w:t xml:space="preserve"> mandate</w:t>
      </w:r>
      <w:r w:rsidR="00902953" w:rsidRPr="00C4271E">
        <w:rPr>
          <w:lang w:val="en-CA"/>
        </w:rPr>
        <w:t xml:space="preserve"> to do so</w:t>
      </w:r>
      <w:r w:rsidR="000B2E8B" w:rsidRPr="00C4271E">
        <w:rPr>
          <w:lang w:val="en-CA"/>
        </w:rPr>
        <w:t>.</w:t>
      </w:r>
    </w:p>
    <w:p w14:paraId="73A50C48" w14:textId="78E04B42" w:rsidR="00540118" w:rsidRPr="00C4271E" w:rsidRDefault="000B2E8B" w:rsidP="00540118">
      <w:pPr>
        <w:pStyle w:val="Paragraphe"/>
        <w:spacing w:line="240" w:lineRule="auto"/>
        <w:rPr>
          <w:rFonts w:cs="Arial"/>
          <w:sz w:val="22"/>
          <w:szCs w:val="22"/>
          <w:lang w:val="en-CA"/>
        </w:rPr>
      </w:pPr>
      <w:r w:rsidRPr="00C4271E">
        <w:rPr>
          <w:rFonts w:cs="Arial"/>
          <w:szCs w:val="24"/>
          <w:lang w:val="en-CA"/>
        </w:rPr>
        <w:t xml:space="preserve">The respondents do not allege that they hold this mandate or </w:t>
      </w:r>
      <w:r w:rsidR="009A6DBE">
        <w:rPr>
          <w:rFonts w:cs="Arial"/>
          <w:szCs w:val="24"/>
          <w:lang w:val="en-CA"/>
        </w:rPr>
        <w:t xml:space="preserve">even </w:t>
      </w:r>
      <w:r w:rsidRPr="00C4271E">
        <w:rPr>
          <w:rFonts w:cs="Arial"/>
          <w:szCs w:val="24"/>
          <w:lang w:val="en-CA"/>
        </w:rPr>
        <w:t>that they tried to obtain it.</w:t>
      </w:r>
    </w:p>
    <w:p w14:paraId="1DD50DB6" w14:textId="770A0B57" w:rsidR="00540118" w:rsidRPr="00C4271E" w:rsidRDefault="000B2E8B" w:rsidP="00540118">
      <w:pPr>
        <w:pStyle w:val="Paragraphe"/>
        <w:spacing w:line="240" w:lineRule="auto"/>
        <w:rPr>
          <w:rFonts w:cs="Arial"/>
          <w:szCs w:val="24"/>
          <w:lang w:val="en-CA"/>
        </w:rPr>
      </w:pPr>
      <w:r w:rsidRPr="00C4271E">
        <w:rPr>
          <w:rFonts w:cs="Arial"/>
          <w:szCs w:val="24"/>
          <w:lang w:val="en-CA" w:eastAsia="fr-CA"/>
        </w:rPr>
        <w:t>Here, not only do the respondents argue on behalf of the First Nation without referring to any mandate granted to them by the First Nation or its members and without defining the First Nation in their proceeding, but they also fail to establish their genuine interest in the outcome of the issue they raise.</w:t>
      </w:r>
      <w:r w:rsidR="00E6443C" w:rsidRPr="00C4271E">
        <w:rPr>
          <w:rFonts w:cs="Arial"/>
          <w:szCs w:val="24"/>
          <w:lang w:val="en-CA" w:eastAsia="fr-CA"/>
        </w:rPr>
        <w:t xml:space="preserve"> </w:t>
      </w:r>
      <w:r w:rsidR="00815FC0" w:rsidRPr="00C4271E">
        <w:rPr>
          <w:rFonts w:cs="Arial"/>
          <w:szCs w:val="24"/>
          <w:lang w:val="en-CA" w:eastAsia="fr-CA"/>
        </w:rPr>
        <w:t xml:space="preserve">They therefore </w:t>
      </w:r>
      <w:r w:rsidR="00FF72EB" w:rsidRPr="00C4271E">
        <w:rPr>
          <w:rFonts w:cs="Arial"/>
          <w:szCs w:val="24"/>
          <w:lang w:val="en-CA" w:eastAsia="fr-CA"/>
        </w:rPr>
        <w:t>failed to meet</w:t>
      </w:r>
      <w:r w:rsidR="00815FC0" w:rsidRPr="00C4271E">
        <w:rPr>
          <w:rFonts w:cs="Arial"/>
          <w:szCs w:val="24"/>
          <w:lang w:val="en-CA" w:eastAsia="fr-CA"/>
        </w:rPr>
        <w:t xml:space="preserve"> two important conditions of article 85 </w:t>
      </w:r>
      <w:r w:rsidR="00815FC0" w:rsidRPr="00091D00">
        <w:rPr>
          <w:rFonts w:cs="Arial"/>
          <w:i/>
          <w:iCs/>
          <w:szCs w:val="24"/>
          <w:lang w:val="en-CA" w:eastAsia="fr-CA"/>
        </w:rPr>
        <w:t>C.C.P.</w:t>
      </w:r>
      <w:r w:rsidR="00815FC0" w:rsidRPr="00C4271E">
        <w:rPr>
          <w:rFonts w:cs="Arial"/>
          <w:szCs w:val="24"/>
          <w:lang w:val="en-CA" w:eastAsia="fr-CA"/>
        </w:rPr>
        <w:t xml:space="preserve"> and have failed to convince that their proceeding, in light of all the circumstances, constitutes a reasonable and effective way to submit the question to the </w:t>
      </w:r>
      <w:r w:rsidR="00FF72EB" w:rsidRPr="00C4271E">
        <w:rPr>
          <w:rFonts w:cs="Arial"/>
          <w:szCs w:val="24"/>
          <w:lang w:val="en-CA" w:eastAsia="fr-CA"/>
        </w:rPr>
        <w:t>courts</w:t>
      </w:r>
      <w:r w:rsidR="00815FC0" w:rsidRPr="00C4271E">
        <w:rPr>
          <w:rFonts w:cs="Arial"/>
          <w:szCs w:val="24"/>
          <w:lang w:val="en-CA" w:eastAsia="fr-CA"/>
        </w:rPr>
        <w:t>.</w:t>
      </w:r>
    </w:p>
    <w:p w14:paraId="117BB3CC" w14:textId="6537B104" w:rsidR="00540118" w:rsidRPr="00C4271E" w:rsidRDefault="00815FC0" w:rsidP="00540118">
      <w:pPr>
        <w:pStyle w:val="Paragraphe"/>
        <w:spacing w:line="240" w:lineRule="auto"/>
        <w:rPr>
          <w:lang w:val="en-CA"/>
        </w:rPr>
      </w:pPr>
      <w:r w:rsidRPr="00C4271E">
        <w:rPr>
          <w:lang w:val="en-CA"/>
        </w:rPr>
        <w:t xml:space="preserve">Even considering the concern for the rule of law, underlying the question the respondents wish to debate before the courts, that question cannot be submitted judiciously by the </w:t>
      </w:r>
      <w:r w:rsidR="00FF72EB" w:rsidRPr="00C4271E">
        <w:rPr>
          <w:lang w:val="en-CA"/>
        </w:rPr>
        <w:t>respondents</w:t>
      </w:r>
      <w:r w:rsidR="00C14A6B">
        <w:rPr>
          <w:lang w:val="en-CA"/>
        </w:rPr>
        <w:t>,</w:t>
      </w:r>
      <w:r w:rsidRPr="00C4271E">
        <w:rPr>
          <w:lang w:val="en-CA"/>
        </w:rPr>
        <w:t xml:space="preserve"> on behalf of </w:t>
      </w:r>
      <w:r w:rsidR="00FF72EB" w:rsidRPr="00C4271E">
        <w:rPr>
          <w:lang w:val="en-CA"/>
        </w:rPr>
        <w:t>the</w:t>
      </w:r>
      <w:r w:rsidRPr="00C4271E">
        <w:rPr>
          <w:lang w:val="en-CA"/>
        </w:rPr>
        <w:t xml:space="preserve"> First Nation</w:t>
      </w:r>
      <w:r w:rsidR="00C14A6B">
        <w:rPr>
          <w:lang w:val="en-CA"/>
        </w:rPr>
        <w:t>,</w:t>
      </w:r>
      <w:r w:rsidRPr="00C4271E">
        <w:rPr>
          <w:lang w:val="en-CA"/>
        </w:rPr>
        <w:t xml:space="preserve"> </w:t>
      </w:r>
      <w:r w:rsidR="00FF72EB" w:rsidRPr="00C4271E">
        <w:rPr>
          <w:lang w:val="en-CA"/>
        </w:rPr>
        <w:t>without</w:t>
      </w:r>
      <w:r w:rsidRPr="00C4271E">
        <w:rPr>
          <w:lang w:val="en-CA"/>
        </w:rPr>
        <w:t xml:space="preserve"> a mandate to do so, in the context of their proceeding as initiated in first instance.</w:t>
      </w:r>
      <w:r w:rsidR="00E6443C" w:rsidRPr="00C4271E">
        <w:rPr>
          <w:lang w:val="en-CA"/>
        </w:rPr>
        <w:t xml:space="preserve"> </w:t>
      </w:r>
      <w:r w:rsidRPr="00C4271E">
        <w:rPr>
          <w:lang w:val="en-CA"/>
        </w:rPr>
        <w:t>Recognizing the respondents’ standing would not respect the balance “between ensuring access to the courts and preserving judicial resources”.</w:t>
      </w:r>
      <w:r w:rsidRPr="003572C4">
        <w:rPr>
          <w:rStyle w:val="Appelnotedebasdep"/>
          <w:lang w:val="en-CA"/>
        </w:rPr>
        <w:footnoteReference w:id="60"/>
      </w:r>
    </w:p>
    <w:p w14:paraId="51AD40D2" w14:textId="6576FF14" w:rsidR="00540118" w:rsidRPr="00C4271E" w:rsidRDefault="00815FC0" w:rsidP="00540118">
      <w:pPr>
        <w:pStyle w:val="Paragraphe"/>
        <w:spacing w:after="240" w:line="240" w:lineRule="auto"/>
        <w:rPr>
          <w:lang w:val="en-CA"/>
        </w:rPr>
      </w:pPr>
      <w:r w:rsidRPr="00C4271E">
        <w:rPr>
          <w:lang w:val="en-CA"/>
        </w:rPr>
        <w:lastRenderedPageBreak/>
        <w:t xml:space="preserve">For these reasons, </w:t>
      </w:r>
      <w:r w:rsidR="005F20FC">
        <w:rPr>
          <w:lang w:val="en-CA"/>
        </w:rPr>
        <w:t>I</w:t>
      </w:r>
      <w:r w:rsidRPr="00C4271E">
        <w:rPr>
          <w:lang w:val="en-CA"/>
        </w:rPr>
        <w:t xml:space="preserve"> suggest granting leave to appeal on the conclusion of the judgment in first instance dismissing the exception to dismiss presented by the appellant and allow</w:t>
      </w:r>
      <w:r w:rsidR="00FF72EB" w:rsidRPr="00C4271E">
        <w:rPr>
          <w:lang w:val="en-CA"/>
        </w:rPr>
        <w:t>ing</w:t>
      </w:r>
      <w:r w:rsidRPr="00C4271E">
        <w:rPr>
          <w:lang w:val="en-CA"/>
        </w:rPr>
        <w:t xml:space="preserve"> the appeal on that question, with legal costs in both instances.</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4682"/>
        <w:gridCol w:w="4680"/>
      </w:tblGrid>
      <w:tr w:rsidR="00243820" w:rsidRPr="00091D00" w14:paraId="7439BAB1" w14:textId="77777777" w:rsidTr="00140899">
        <w:trPr>
          <w:trHeight w:val="283"/>
        </w:trPr>
        <w:tc>
          <w:tcPr>
            <w:tcW w:w="4682" w:type="dxa"/>
            <w:tcBorders>
              <w:top w:val="nil"/>
            </w:tcBorders>
          </w:tcPr>
          <w:p w14:paraId="7E9C9C77" w14:textId="77777777" w:rsidR="00540118" w:rsidRPr="00C4271E" w:rsidRDefault="00540118" w:rsidP="00140899">
            <w:pPr>
              <w:keepNext/>
              <w:rPr>
                <w:lang w:val="en-CA"/>
              </w:rPr>
            </w:pPr>
          </w:p>
        </w:tc>
        <w:tc>
          <w:tcPr>
            <w:tcW w:w="4680" w:type="dxa"/>
            <w:tcBorders>
              <w:top w:val="nil"/>
            </w:tcBorders>
          </w:tcPr>
          <w:p w14:paraId="592B7BD0" w14:textId="77777777" w:rsidR="00540118" w:rsidRPr="00C4271E" w:rsidRDefault="00540118" w:rsidP="00140899">
            <w:pPr>
              <w:keepNext/>
              <w:rPr>
                <w:lang w:val="en-CA"/>
              </w:rPr>
            </w:pPr>
          </w:p>
        </w:tc>
      </w:tr>
      <w:tr w:rsidR="00243820" w:rsidRPr="00091D00" w14:paraId="4A334A63" w14:textId="77777777" w:rsidTr="00140899">
        <w:trPr>
          <w:trHeight w:val="283"/>
        </w:trPr>
        <w:tc>
          <w:tcPr>
            <w:tcW w:w="4682" w:type="dxa"/>
            <w:tcBorders>
              <w:top w:val="nil"/>
              <w:bottom w:val="nil"/>
            </w:tcBorders>
          </w:tcPr>
          <w:p w14:paraId="65BC1A39" w14:textId="77777777" w:rsidR="00540118" w:rsidRPr="00C4271E" w:rsidRDefault="00540118" w:rsidP="00140899">
            <w:pPr>
              <w:keepNext/>
              <w:rPr>
                <w:rFonts w:cs="Arial"/>
                <w:szCs w:val="24"/>
                <w:lang w:val="en-CA"/>
              </w:rPr>
            </w:pPr>
          </w:p>
        </w:tc>
        <w:tc>
          <w:tcPr>
            <w:tcW w:w="4680" w:type="dxa"/>
            <w:tcBorders>
              <w:top w:val="nil"/>
              <w:bottom w:val="single" w:sz="8" w:space="0" w:color="auto"/>
            </w:tcBorders>
          </w:tcPr>
          <w:p w14:paraId="7C46FBB5" w14:textId="77777777" w:rsidR="00540118" w:rsidRPr="00C4271E" w:rsidRDefault="00540118" w:rsidP="00140899">
            <w:pPr>
              <w:keepNext/>
              <w:rPr>
                <w:rFonts w:cs="Arial"/>
                <w:szCs w:val="24"/>
                <w:lang w:val="en-CA"/>
              </w:rPr>
            </w:pPr>
          </w:p>
        </w:tc>
      </w:tr>
      <w:tr w:rsidR="00243820" w:rsidRPr="00075953" w14:paraId="0229E5CD" w14:textId="77777777" w:rsidTr="00140899">
        <w:trPr>
          <w:trHeight w:val="283"/>
        </w:trPr>
        <w:tc>
          <w:tcPr>
            <w:tcW w:w="4682" w:type="dxa"/>
            <w:tcBorders>
              <w:top w:val="nil"/>
            </w:tcBorders>
          </w:tcPr>
          <w:p w14:paraId="2CB986B7" w14:textId="77777777" w:rsidR="00540118" w:rsidRPr="00C4271E" w:rsidRDefault="00540118" w:rsidP="00140899">
            <w:pPr>
              <w:keepNext/>
              <w:rPr>
                <w:rFonts w:cs="Arial"/>
                <w:szCs w:val="24"/>
                <w:lang w:val="en-CA"/>
              </w:rPr>
            </w:pPr>
          </w:p>
        </w:tc>
        <w:tc>
          <w:tcPr>
            <w:tcW w:w="4680" w:type="dxa"/>
            <w:tcBorders>
              <w:top w:val="single" w:sz="8" w:space="0" w:color="auto"/>
            </w:tcBorders>
          </w:tcPr>
          <w:p w14:paraId="6471F0A5" w14:textId="38C91657" w:rsidR="00540118" w:rsidRPr="003572C4" w:rsidRDefault="005C25DB" w:rsidP="00140899">
            <w:pPr>
              <w:keepNext/>
              <w:rPr>
                <w:rFonts w:cs="Arial"/>
                <w:szCs w:val="24"/>
                <w:lang w:val="en-CA"/>
              </w:rPr>
            </w:pPr>
            <w:r w:rsidRPr="003572C4">
              <w:rPr>
                <w:rFonts w:cs="Arial"/>
                <w:szCs w:val="24"/>
                <w:lang w:val="en-CA"/>
              </w:rPr>
              <w:t>SOPHIE LAVALLÉE, J.A.</w:t>
            </w:r>
          </w:p>
        </w:tc>
      </w:tr>
      <w:tr w:rsidR="00243820" w:rsidRPr="00075953" w14:paraId="1920A191" w14:textId="77777777" w:rsidTr="00140899">
        <w:trPr>
          <w:trHeight w:val="283"/>
        </w:trPr>
        <w:tc>
          <w:tcPr>
            <w:tcW w:w="4682" w:type="dxa"/>
            <w:tcBorders>
              <w:top w:val="nil"/>
            </w:tcBorders>
          </w:tcPr>
          <w:p w14:paraId="1C61A69E" w14:textId="77777777" w:rsidR="00540118" w:rsidRPr="003572C4" w:rsidRDefault="00540118" w:rsidP="00140899">
            <w:pPr>
              <w:keepNext/>
              <w:rPr>
                <w:rFonts w:cs="Arial"/>
                <w:szCs w:val="24"/>
                <w:lang w:val="en-CA"/>
              </w:rPr>
            </w:pPr>
          </w:p>
        </w:tc>
        <w:tc>
          <w:tcPr>
            <w:tcW w:w="4680" w:type="dxa"/>
            <w:tcBorders>
              <w:top w:val="nil"/>
            </w:tcBorders>
          </w:tcPr>
          <w:p w14:paraId="6941B744" w14:textId="77777777" w:rsidR="00540118" w:rsidRPr="003572C4" w:rsidRDefault="00540118" w:rsidP="00140899">
            <w:pPr>
              <w:keepNext/>
              <w:rPr>
                <w:rFonts w:cs="Arial"/>
                <w:szCs w:val="24"/>
                <w:lang w:val="en-CA"/>
              </w:rPr>
            </w:pPr>
          </w:p>
        </w:tc>
      </w:tr>
    </w:tbl>
    <w:p w14:paraId="13E306CE" w14:textId="77777777" w:rsidR="00540118" w:rsidRPr="003572C4" w:rsidRDefault="00540118" w:rsidP="00540118">
      <w:pPr>
        <w:rPr>
          <w:lang w:val="en-CA"/>
        </w:rPr>
      </w:pPr>
    </w:p>
    <w:p w14:paraId="0788B91F" w14:textId="77777777" w:rsidR="00540118" w:rsidRPr="003572C4" w:rsidRDefault="00540118" w:rsidP="00540118">
      <w:pPr>
        <w:rPr>
          <w:lang w:val="en-CA"/>
        </w:rPr>
      </w:pPr>
    </w:p>
    <w:p w14:paraId="67D34BC1" w14:textId="77777777" w:rsidR="00740A17" w:rsidRPr="003572C4" w:rsidRDefault="00740A17" w:rsidP="006D475A">
      <w:pPr>
        <w:rPr>
          <w:lang w:val="en-CA"/>
        </w:rPr>
      </w:pPr>
    </w:p>
    <w:sectPr w:rsidR="00740A17" w:rsidRPr="003572C4" w:rsidSect="00DF74E5">
      <w:headerReference w:type="even" r:id="rId15"/>
      <w:headerReference w:type="default" r:id="rId16"/>
      <w:footerReference w:type="even" r:id="rId17"/>
      <w:footerReference w:type="default" r:id="rId18"/>
      <w:headerReference w:type="first" r:id="rId19"/>
      <w:footerReference w:type="first" r:id="rId20"/>
      <w:pgSz w:w="12242" w:h="15842" w:code="1"/>
      <w:pgMar w:top="1440" w:right="1008" w:bottom="1440" w:left="1872" w:header="1440" w:footer="79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893E" w14:textId="77777777" w:rsidR="00E6443C" w:rsidRDefault="00E6443C">
      <w:pPr>
        <w:spacing w:line="240" w:lineRule="auto"/>
      </w:pPr>
      <w:r>
        <w:separator/>
      </w:r>
    </w:p>
  </w:endnote>
  <w:endnote w:type="continuationSeparator" w:id="0">
    <w:p w14:paraId="21E0DA29" w14:textId="77777777" w:rsidR="00E6443C" w:rsidRDefault="00E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BB0A" w14:textId="77777777" w:rsidR="00520E23" w:rsidRDefault="00520E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8044" w14:textId="30DD1B19" w:rsidR="00520E23" w:rsidRPr="00B9670E" w:rsidRDefault="00B9670E" w:rsidP="00B9670E">
    <w:pPr>
      <w:jc w:val="right"/>
      <w:rPr>
        <w:b/>
        <w:bCs/>
        <w:lang w:val="en-CA"/>
      </w:rPr>
    </w:pPr>
    <w:r w:rsidRPr="00B9670E">
      <w:rPr>
        <w:b/>
        <w:bCs/>
        <w:lang w:val="en-CA"/>
      </w:rPr>
      <w:t>English translation of the judgment of the Court by SOQUIJ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992D" w14:textId="77777777" w:rsidR="00520E23" w:rsidRDefault="00520E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FF00" w14:textId="77777777" w:rsidR="006D475A" w:rsidRDefault="00E6443C">
      <w:r>
        <w:separator/>
      </w:r>
    </w:p>
  </w:footnote>
  <w:footnote w:type="continuationSeparator" w:id="0">
    <w:p w14:paraId="055A7B58" w14:textId="77777777" w:rsidR="006D475A" w:rsidRDefault="00E6443C">
      <w:r>
        <w:continuationSeparator/>
      </w:r>
    </w:p>
  </w:footnote>
  <w:footnote w:id="1">
    <w:p w14:paraId="5ADD319B" w14:textId="520D931B" w:rsidR="002631B8" w:rsidRPr="00815FC0" w:rsidRDefault="002631B8" w:rsidP="002631B8">
      <w:pPr>
        <w:pStyle w:val="Notedebasdepage"/>
        <w:tabs>
          <w:tab w:val="left" w:pos="426"/>
        </w:tabs>
        <w:ind w:left="357" w:hanging="357"/>
        <w:rPr>
          <w:rFonts w:cs="Arial"/>
          <w:lang w:val="en-CA"/>
        </w:rPr>
      </w:pPr>
      <w:r w:rsidRPr="008E7874">
        <w:rPr>
          <w:rStyle w:val="Appelnotedebasdep"/>
          <w:rFonts w:cs="Arial"/>
        </w:rPr>
        <w:footnoteRef/>
      </w:r>
      <w:r w:rsidRPr="008E7874">
        <w:rPr>
          <w:rFonts w:cs="Arial"/>
        </w:rPr>
        <w:t xml:space="preserve"> </w:t>
      </w:r>
      <w:r w:rsidRPr="008E7874">
        <w:rPr>
          <w:rFonts w:cs="Arial"/>
        </w:rPr>
        <w:tab/>
      </w:r>
      <w:r w:rsidR="00815FC0" w:rsidRPr="00815FC0">
        <w:rPr>
          <w:rFonts w:cs="Arial"/>
          <w:i/>
        </w:rPr>
        <w:t>Rock</w:t>
      </w:r>
      <w:r w:rsidR="00815FC0" w:rsidRPr="00815FC0">
        <w:rPr>
          <w:rFonts w:cs="Arial"/>
        </w:rPr>
        <w:t xml:space="preserve"> </w:t>
      </w:r>
      <w:r w:rsidR="00815FC0" w:rsidRPr="00815FC0">
        <w:rPr>
          <w:rFonts w:cs="Arial"/>
          <w:i/>
        </w:rPr>
        <w:t>c.</w:t>
      </w:r>
      <w:r w:rsidR="00815FC0" w:rsidRPr="00815FC0">
        <w:rPr>
          <w:rFonts w:cs="Arial"/>
        </w:rPr>
        <w:t xml:space="preserve"> </w:t>
      </w:r>
      <w:r w:rsidR="00815FC0" w:rsidRPr="00815FC0">
        <w:rPr>
          <w:rFonts w:cs="Arial"/>
          <w:i/>
        </w:rPr>
        <w:t>Conseil de bande de Pessamit</w:t>
      </w:r>
      <w:r w:rsidR="00815FC0" w:rsidRPr="00815FC0">
        <w:rPr>
          <w:rFonts w:cs="Arial"/>
        </w:rPr>
        <w:t xml:space="preserve">, </w:t>
      </w:r>
      <w:hyperlink r:id="rId1" w:history="1">
        <w:r w:rsidR="00815FC0" w:rsidRPr="00815FC0">
          <w:rPr>
            <w:rStyle w:val="Hyperlien"/>
            <w:rFonts w:cs="Arial"/>
            <w:color w:val="auto"/>
            <w:u w:val="none"/>
          </w:rPr>
          <w:t>2023 QCCS 3806</w:t>
        </w:r>
      </w:hyperlink>
      <w:r w:rsidR="00815FC0" w:rsidRPr="00815FC0">
        <w:t xml:space="preserve"> [Judgment under appeal].</w:t>
      </w:r>
      <w:r w:rsidRPr="008E7874">
        <w:rPr>
          <w:rFonts w:cs="Arial"/>
        </w:rPr>
        <w:t xml:space="preserve"> </w:t>
      </w:r>
      <w:r w:rsidR="00815FC0" w:rsidRPr="00815FC0">
        <w:rPr>
          <w:rFonts w:cs="Arial"/>
          <w:lang w:val="en-CA"/>
        </w:rPr>
        <w:t xml:space="preserve">The conclusion of the judgment under appeal dismissing the appellant’s application to have the </w:t>
      </w:r>
      <w:r w:rsidR="00286420" w:rsidRPr="00815FC0">
        <w:rPr>
          <w:rFonts w:cs="Arial"/>
          <w:lang w:val="en-CA"/>
        </w:rPr>
        <w:t>respondents</w:t>
      </w:r>
      <w:r w:rsidR="00815FC0" w:rsidRPr="00815FC0">
        <w:rPr>
          <w:rFonts w:cs="Arial"/>
          <w:lang w:val="en-CA"/>
        </w:rPr>
        <w:t xml:space="preserve">’ counsel disqualified is not </w:t>
      </w:r>
      <w:r w:rsidR="00286420">
        <w:rPr>
          <w:rFonts w:cs="Arial"/>
          <w:lang w:val="en-CA"/>
        </w:rPr>
        <w:t>challenged</w:t>
      </w:r>
      <w:r w:rsidR="00815FC0" w:rsidRPr="00815FC0">
        <w:rPr>
          <w:rFonts w:cs="Arial"/>
          <w:lang w:val="en-CA"/>
        </w:rPr>
        <w:t xml:space="preserve"> in this appeal.</w:t>
      </w:r>
    </w:p>
  </w:footnote>
  <w:footnote w:id="2">
    <w:p w14:paraId="09D6E5EB" w14:textId="6DD157A9" w:rsidR="002631B8" w:rsidRPr="005F20FC" w:rsidRDefault="002631B8" w:rsidP="002631B8">
      <w:pPr>
        <w:pStyle w:val="Notedebasdepage"/>
        <w:tabs>
          <w:tab w:val="left" w:pos="426"/>
        </w:tabs>
        <w:rPr>
          <w:rFonts w:cs="Arial"/>
        </w:rPr>
      </w:pPr>
      <w:r w:rsidRPr="008E7874">
        <w:rPr>
          <w:rStyle w:val="Appelnotedebasdep"/>
          <w:rFonts w:cs="Arial"/>
        </w:rPr>
        <w:footnoteRef/>
      </w:r>
      <w:r w:rsidRPr="008E7874">
        <w:rPr>
          <w:rFonts w:cs="Arial"/>
        </w:rPr>
        <w:t xml:space="preserve"> </w:t>
      </w:r>
      <w:r w:rsidRPr="008E7874">
        <w:rPr>
          <w:rFonts w:cs="Arial"/>
        </w:rPr>
        <w:tab/>
      </w:r>
      <w:r w:rsidR="00815FC0" w:rsidRPr="00815FC0">
        <w:rPr>
          <w:i/>
        </w:rPr>
        <w:t>Conseil de bande de Pessamit</w:t>
      </w:r>
      <w:r w:rsidR="00815FC0" w:rsidRPr="00815FC0">
        <w:t xml:space="preserve"> c. </w:t>
      </w:r>
      <w:r w:rsidR="00815FC0" w:rsidRPr="00815FC0">
        <w:rPr>
          <w:i/>
        </w:rPr>
        <w:t>René Rock et al.</w:t>
      </w:r>
      <w:r w:rsidR="00815FC0" w:rsidRPr="00815FC0">
        <w:t xml:space="preserve">, </w:t>
      </w:r>
      <w:hyperlink r:id="rId2" w:history="1">
        <w:r w:rsidR="00815FC0" w:rsidRPr="00815FC0">
          <w:t>2023 QCCA 1470</w:t>
        </w:r>
      </w:hyperlink>
      <w:r w:rsidR="00815FC0" w:rsidRPr="00815FC0">
        <w:t>, November 24, 2023, para.</w:t>
      </w:r>
      <w:r w:rsidRPr="008E7874">
        <w:t xml:space="preserve"> </w:t>
      </w:r>
      <w:r w:rsidR="00815FC0" w:rsidRPr="005F20FC">
        <w:t>13 (Gagné, J.A.).</w:t>
      </w:r>
    </w:p>
  </w:footnote>
  <w:footnote w:id="3">
    <w:p w14:paraId="0CE06503" w14:textId="326CC15B" w:rsidR="002631B8" w:rsidRPr="005F20FC" w:rsidRDefault="002631B8" w:rsidP="002631B8">
      <w:pPr>
        <w:pStyle w:val="Notedebasdepage"/>
        <w:tabs>
          <w:tab w:val="left" w:pos="426"/>
        </w:tabs>
        <w:rPr>
          <w:rFonts w:cs="Arial"/>
        </w:rPr>
      </w:pPr>
      <w:r w:rsidRPr="008E7874">
        <w:rPr>
          <w:rStyle w:val="Appelnotedebasdep"/>
          <w:rFonts w:cs="Arial"/>
        </w:rPr>
        <w:footnoteRef/>
      </w:r>
      <w:r w:rsidRPr="005F20FC">
        <w:rPr>
          <w:rFonts w:cs="Arial"/>
        </w:rPr>
        <w:t xml:space="preserve"> </w:t>
      </w:r>
      <w:r w:rsidRPr="005F20FC">
        <w:rPr>
          <w:rFonts w:cs="Arial"/>
        </w:rPr>
        <w:tab/>
      </w:r>
      <w:r w:rsidR="00815FC0" w:rsidRPr="005F20FC">
        <w:rPr>
          <w:rFonts w:cs="Arial"/>
          <w:i/>
          <w:iCs/>
        </w:rPr>
        <w:t>Indian Act</w:t>
      </w:r>
      <w:r w:rsidR="00815FC0" w:rsidRPr="005F20FC">
        <w:rPr>
          <w:rFonts w:cs="Arial"/>
          <w:iCs/>
        </w:rPr>
        <w:t>, R.S.C. (1985), c.</w:t>
      </w:r>
      <w:r w:rsidRPr="005F20FC">
        <w:rPr>
          <w:rFonts w:cs="Arial"/>
        </w:rPr>
        <w:t xml:space="preserve"> </w:t>
      </w:r>
      <w:r w:rsidR="00815FC0" w:rsidRPr="005F20FC">
        <w:rPr>
          <w:rFonts w:cs="Arial"/>
        </w:rPr>
        <w:t>I-5</w:t>
      </w:r>
      <w:r w:rsidR="00286420" w:rsidRPr="005F20FC">
        <w:rPr>
          <w:rFonts w:cs="Arial"/>
        </w:rPr>
        <w:t>,</w:t>
      </w:r>
      <w:r w:rsidR="00815FC0" w:rsidRPr="005F20FC">
        <w:rPr>
          <w:rFonts w:cs="Arial"/>
        </w:rPr>
        <w:t xml:space="preserve"> para.</w:t>
      </w:r>
      <w:r w:rsidRPr="005F20FC">
        <w:rPr>
          <w:rStyle w:val="Hyperlien"/>
          <w:rFonts w:cs="Arial"/>
          <w:color w:val="auto"/>
          <w:u w:val="none"/>
        </w:rPr>
        <w:t xml:space="preserve"> 2(1).</w:t>
      </w:r>
    </w:p>
  </w:footnote>
  <w:footnote w:id="4">
    <w:p w14:paraId="79BB8270" w14:textId="00428722" w:rsidR="00540118" w:rsidRPr="005F20FC" w:rsidRDefault="00E6443C" w:rsidP="00540118">
      <w:pPr>
        <w:pStyle w:val="Notedebasdepage"/>
      </w:pPr>
      <w:r w:rsidRPr="008E7874">
        <w:rPr>
          <w:rStyle w:val="Appelnotedebasdep"/>
          <w:rFonts w:cs="Arial"/>
        </w:rPr>
        <w:footnoteRef/>
      </w:r>
      <w:r w:rsidRPr="005F20FC">
        <w:rPr>
          <w:rFonts w:cs="Arial"/>
        </w:rPr>
        <w:t xml:space="preserve"> </w:t>
      </w:r>
      <w:r w:rsidRPr="005F20FC">
        <w:rPr>
          <w:rFonts w:cs="Arial"/>
        </w:rPr>
        <w:tab/>
      </w:r>
      <w:r w:rsidR="00815FC0" w:rsidRPr="005F20FC">
        <w:rPr>
          <w:rFonts w:cs="Arial"/>
          <w:i/>
          <w:iCs/>
        </w:rPr>
        <w:t>Public Service Alliance of Canada v. Francis et al</w:t>
      </w:r>
      <w:r w:rsidR="00815FC0" w:rsidRPr="005F20FC">
        <w:rPr>
          <w:rFonts w:cs="Arial"/>
          <w:iCs/>
        </w:rPr>
        <w:t>., [1982] 2 SCR 72</w:t>
      </w:r>
      <w:r w:rsidR="00E76C76" w:rsidRPr="005F20FC">
        <w:rPr>
          <w:rFonts w:cs="Arial"/>
          <w:iCs/>
        </w:rPr>
        <w:t>, p.</w:t>
      </w:r>
      <w:r w:rsidR="00815FC0" w:rsidRPr="005F20FC">
        <w:rPr>
          <w:rFonts w:cs="Arial"/>
          <w:iCs/>
        </w:rPr>
        <w:t xml:space="preserve"> 76.</w:t>
      </w:r>
    </w:p>
  </w:footnote>
  <w:footnote w:id="5">
    <w:p w14:paraId="03CC22DD" w14:textId="5D49009D" w:rsidR="002631B8" w:rsidRPr="000A5EE9" w:rsidRDefault="002631B8" w:rsidP="002631B8">
      <w:pPr>
        <w:pStyle w:val="Notedebasdepage"/>
        <w:tabs>
          <w:tab w:val="left" w:pos="426"/>
        </w:tabs>
        <w:rPr>
          <w:rFonts w:cs="Arial"/>
          <w:i/>
          <w:iCs/>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815FC0">
        <w:rPr>
          <w:rFonts w:cs="Arial"/>
          <w:lang w:val="en-CA"/>
        </w:rPr>
        <w:t xml:space="preserve">On the subject-matter jurisdiction of band councils, see: </w:t>
      </w:r>
      <w:r w:rsidR="00815FC0" w:rsidRPr="00815FC0">
        <w:rPr>
          <w:rFonts w:cs="Arial"/>
          <w:i/>
          <w:lang w:val="en-CA"/>
        </w:rPr>
        <w:t>R</w:t>
      </w:r>
      <w:r w:rsidR="00815FC0" w:rsidRPr="00815FC0">
        <w:rPr>
          <w:rFonts w:cs="Arial"/>
          <w:lang w:val="en-CA"/>
        </w:rPr>
        <w:t xml:space="preserve">. </w:t>
      </w:r>
      <w:r w:rsidR="00815FC0" w:rsidRPr="00815FC0">
        <w:rPr>
          <w:rFonts w:cs="Arial"/>
          <w:i/>
          <w:lang w:val="en-CA"/>
        </w:rPr>
        <w:t>v.</w:t>
      </w:r>
      <w:r w:rsidR="00815FC0" w:rsidRPr="00815FC0">
        <w:rPr>
          <w:rFonts w:cs="Arial"/>
          <w:lang w:val="en-CA"/>
        </w:rPr>
        <w:t xml:space="preserve"> </w:t>
      </w:r>
      <w:r w:rsidR="00815FC0" w:rsidRPr="00815FC0">
        <w:rPr>
          <w:rFonts w:cs="Arial"/>
          <w:i/>
          <w:lang w:val="en-CA"/>
        </w:rPr>
        <w:t>Paul Band</w:t>
      </w:r>
      <w:r w:rsidR="00815FC0" w:rsidRPr="00815FC0">
        <w:rPr>
          <w:rFonts w:cs="Arial"/>
          <w:lang w:val="en-CA"/>
        </w:rPr>
        <w:t>, 1983 ABCA 308</w:t>
      </w:r>
      <w:r w:rsidR="00B5195C">
        <w:rPr>
          <w:rFonts w:cs="Arial"/>
          <w:lang w:val="en-CA"/>
        </w:rPr>
        <w:t>,</w:t>
      </w:r>
      <w:r w:rsidR="00815FC0" w:rsidRPr="00815FC0">
        <w:rPr>
          <w:rFonts w:cs="Arial"/>
          <w:lang w:val="en-CA"/>
        </w:rPr>
        <w:t xml:space="preserve"> para.</w:t>
      </w:r>
      <w:r w:rsidRPr="00815FC0">
        <w:rPr>
          <w:rFonts w:cs="Arial"/>
          <w:lang w:val="en-CA"/>
        </w:rPr>
        <w:t> </w:t>
      </w:r>
      <w:r w:rsidR="00815FC0" w:rsidRPr="00815FC0">
        <w:rPr>
          <w:rFonts w:cs="Arial"/>
          <w:lang w:val="en-CA"/>
        </w:rPr>
        <w:t xml:space="preserve">20; </w:t>
      </w:r>
      <w:r w:rsidR="00815FC0" w:rsidRPr="00815FC0">
        <w:rPr>
          <w:rFonts w:cs="Arial"/>
          <w:i/>
          <w:lang w:val="en-CA"/>
        </w:rPr>
        <w:t>Whitebear Band Council v.</w:t>
      </w:r>
      <w:r w:rsidR="00815FC0" w:rsidRPr="00815FC0">
        <w:rPr>
          <w:rFonts w:cs="Arial"/>
          <w:lang w:val="en-CA"/>
        </w:rPr>
        <w:t xml:space="preserve"> </w:t>
      </w:r>
      <w:r w:rsidR="00815FC0" w:rsidRPr="00815FC0">
        <w:rPr>
          <w:rFonts w:cs="Arial"/>
          <w:i/>
          <w:lang w:val="en-CA"/>
        </w:rPr>
        <w:t>Carpenters Council of Saskatchewan</w:t>
      </w:r>
      <w:r w:rsidR="00815FC0" w:rsidRPr="00815FC0">
        <w:rPr>
          <w:rFonts w:cs="Arial"/>
          <w:lang w:val="en-CA"/>
        </w:rPr>
        <w:t>, [1982] 135 D.L.R.</w:t>
      </w:r>
      <w:r w:rsidRPr="008E7874">
        <w:rPr>
          <w:rFonts w:cs="Arial"/>
          <w:lang w:val="en-CA"/>
        </w:rPr>
        <w:t xml:space="preserve"> </w:t>
      </w:r>
      <w:r w:rsidR="00815FC0">
        <w:rPr>
          <w:rFonts w:cs="Arial"/>
          <w:lang w:val="en-CA"/>
        </w:rPr>
        <w:t>(3d) 128, 1982 CanLII 2582</w:t>
      </w:r>
      <w:r w:rsidR="00A4767E">
        <w:rPr>
          <w:rFonts w:cs="Arial"/>
          <w:lang w:val="en-CA"/>
        </w:rPr>
        <w:t>,</w:t>
      </w:r>
      <w:r w:rsidR="00815FC0">
        <w:rPr>
          <w:rFonts w:cs="Arial"/>
          <w:lang w:val="en-CA"/>
        </w:rPr>
        <w:t xml:space="preserve"> para.</w:t>
      </w:r>
      <w:r w:rsidRPr="008E7874">
        <w:rPr>
          <w:rFonts w:cs="Arial"/>
          <w:lang w:val="en-CA"/>
        </w:rPr>
        <w:t xml:space="preserve"> </w:t>
      </w:r>
      <w:r w:rsidR="00815FC0" w:rsidRPr="00975DAB">
        <w:rPr>
          <w:rFonts w:cs="Arial"/>
        </w:rPr>
        <w:t>19 (C.A. Sask.).</w:t>
      </w:r>
      <w:r w:rsidRPr="00975DAB">
        <w:rPr>
          <w:rFonts w:cs="Arial"/>
        </w:rPr>
        <w:t xml:space="preserve"> </w:t>
      </w:r>
      <w:r w:rsidR="00815FC0" w:rsidRPr="00A4767E">
        <w:rPr>
          <w:rFonts w:cs="Arial"/>
        </w:rPr>
        <w:t xml:space="preserve">On the territorial jurisdiction of band councils, see: </w:t>
      </w:r>
      <w:r w:rsidR="00815FC0" w:rsidRPr="00A4767E">
        <w:rPr>
          <w:rFonts w:cs="Arial"/>
          <w:i/>
        </w:rPr>
        <w:t>Domaine du lac des Coeurs inc</w:t>
      </w:r>
      <w:r w:rsidR="00815FC0" w:rsidRPr="00A4767E">
        <w:rPr>
          <w:rFonts w:cs="Arial"/>
        </w:rPr>
        <w:t xml:space="preserve">. c. </w:t>
      </w:r>
      <w:r w:rsidR="00815FC0" w:rsidRPr="00A4767E">
        <w:rPr>
          <w:rFonts w:cs="Arial"/>
          <w:i/>
        </w:rPr>
        <w:t>Corporation municipale de Les Escoumins</w:t>
      </w:r>
      <w:r w:rsidR="00815FC0" w:rsidRPr="00A4767E">
        <w:rPr>
          <w:rFonts w:cs="Arial"/>
        </w:rPr>
        <w:t>, [1994] R.L.</w:t>
      </w:r>
      <w:r w:rsidRPr="00A4767E">
        <w:rPr>
          <w:rFonts w:cs="Arial"/>
        </w:rPr>
        <w:t xml:space="preserve"> </w:t>
      </w:r>
      <w:r w:rsidR="00815FC0" w:rsidRPr="00A4767E">
        <w:rPr>
          <w:rFonts w:cs="Arial"/>
        </w:rPr>
        <w:t>615, 1994 CanLII 5342 (C.A.)</w:t>
      </w:r>
      <w:r w:rsidR="00A4767E" w:rsidRPr="00A4767E">
        <w:rPr>
          <w:rFonts w:cs="Arial"/>
        </w:rPr>
        <w:t>,</w:t>
      </w:r>
      <w:r w:rsidR="00815FC0" w:rsidRPr="00A4767E">
        <w:rPr>
          <w:rFonts w:cs="Arial"/>
        </w:rPr>
        <w:t xml:space="preserve"> para.</w:t>
      </w:r>
      <w:r w:rsidRPr="00A4767E">
        <w:rPr>
          <w:rFonts w:cs="Arial"/>
        </w:rPr>
        <w:t xml:space="preserve"> </w:t>
      </w:r>
      <w:r w:rsidRPr="000A5EE9">
        <w:rPr>
          <w:rFonts w:cs="Arial"/>
          <w:lang w:val="en-CA"/>
        </w:rPr>
        <w:t>13.</w:t>
      </w:r>
    </w:p>
  </w:footnote>
  <w:footnote w:id="6">
    <w:p w14:paraId="7C6590B3" w14:textId="44A9BBAC" w:rsidR="00841510" w:rsidRPr="00815FC0" w:rsidRDefault="00841510" w:rsidP="00841510">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i/>
          <w:iCs/>
          <w:szCs w:val="24"/>
          <w:lang w:val="en-CA" w:eastAsia="fr-CA"/>
        </w:rPr>
        <w:t>The Constitution Act, 1982</w:t>
      </w:r>
      <w:r w:rsidR="00815FC0" w:rsidRPr="00B9670E">
        <w:rPr>
          <w:iCs/>
          <w:szCs w:val="24"/>
          <w:lang w:val="en-CA" w:eastAsia="fr-CA"/>
        </w:rPr>
        <w:t xml:space="preserve">, </w:t>
      </w:r>
      <w:r w:rsidR="00815FC0" w:rsidRPr="00B9670E">
        <w:rPr>
          <w:i/>
          <w:iCs/>
          <w:szCs w:val="24"/>
          <w:lang w:val="en-CA" w:eastAsia="fr-CA"/>
        </w:rPr>
        <w:t>Schedule B to the Canada Act 1982 (UK)</w:t>
      </w:r>
      <w:r w:rsidR="00815FC0" w:rsidRPr="00B9670E">
        <w:rPr>
          <w:iCs/>
          <w:szCs w:val="24"/>
          <w:lang w:val="en-CA" w:eastAsia="fr-CA"/>
        </w:rPr>
        <w:t>, 1982, c 11.</w:t>
      </w:r>
    </w:p>
  </w:footnote>
  <w:footnote w:id="7">
    <w:p w14:paraId="170C70BC" w14:textId="37FCC719" w:rsidR="00841510" w:rsidRPr="00815FC0" w:rsidRDefault="00841510" w:rsidP="00841510">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shd w:val="clear" w:color="auto" w:fill="FFFFFF"/>
          <w:lang w:val="en-CA"/>
        </w:rPr>
        <w:t>R.S.C. 1985, c.</w:t>
      </w:r>
      <w:r w:rsidRPr="00815FC0">
        <w:rPr>
          <w:rFonts w:cs="Arial"/>
          <w:shd w:val="clear" w:color="auto" w:fill="FFFFFF"/>
          <w:lang w:val="en-CA"/>
        </w:rPr>
        <w:t xml:space="preserve"> </w:t>
      </w:r>
      <w:r w:rsidR="00815FC0" w:rsidRPr="00815FC0">
        <w:rPr>
          <w:rFonts w:cs="Arial"/>
          <w:shd w:val="clear" w:color="auto" w:fill="FFFFFF"/>
          <w:lang w:val="en-CA"/>
        </w:rPr>
        <w:t>F-7.</w:t>
      </w:r>
    </w:p>
  </w:footnote>
  <w:footnote w:id="8">
    <w:p w14:paraId="5373B891" w14:textId="2C865249" w:rsidR="00D520B4" w:rsidRPr="00975DAB" w:rsidRDefault="00D520B4" w:rsidP="00D520B4">
      <w:pPr>
        <w:pStyle w:val="Notedebasdepage"/>
        <w:tabs>
          <w:tab w:val="left" w:pos="426"/>
        </w:tabs>
        <w:rPr>
          <w:rFonts w:cs="Arial"/>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lang w:val="en-CA"/>
        </w:rPr>
        <w:t>Judgment under appeal</w:t>
      </w:r>
      <w:r w:rsidR="00CB592B">
        <w:rPr>
          <w:rFonts w:cs="Arial"/>
          <w:lang w:val="en-CA"/>
        </w:rPr>
        <w:t>,</w:t>
      </w:r>
      <w:r w:rsidR="00815FC0" w:rsidRPr="00B9670E">
        <w:rPr>
          <w:rFonts w:cs="Arial"/>
          <w:lang w:val="en-CA"/>
        </w:rPr>
        <w:t xml:space="preserve"> para</w:t>
      </w:r>
      <w:r w:rsidR="00CB592B">
        <w:rPr>
          <w:rFonts w:cs="Arial"/>
          <w:lang w:val="en-CA"/>
        </w:rPr>
        <w:t>s</w:t>
      </w:r>
      <w:r w:rsidR="00815FC0" w:rsidRPr="00B9670E">
        <w:rPr>
          <w:rFonts w:cs="Arial"/>
          <w:lang w:val="en-CA"/>
        </w:rPr>
        <w:t>.</w:t>
      </w:r>
      <w:r w:rsidRPr="00815FC0">
        <w:rPr>
          <w:rFonts w:cs="Arial"/>
          <w:lang w:val="en-CA"/>
        </w:rPr>
        <w:t xml:space="preserve"> </w:t>
      </w:r>
      <w:r w:rsidRPr="00975DAB">
        <w:rPr>
          <w:rFonts w:cs="Arial"/>
        </w:rPr>
        <w:t>10</w:t>
      </w:r>
      <w:r w:rsidR="00CB592B" w:rsidRPr="00975DAB">
        <w:rPr>
          <w:rFonts w:cs="Arial"/>
        </w:rPr>
        <w:t>–</w:t>
      </w:r>
      <w:r w:rsidRPr="00975DAB">
        <w:rPr>
          <w:rFonts w:cs="Arial"/>
        </w:rPr>
        <w:t>18.</w:t>
      </w:r>
    </w:p>
  </w:footnote>
  <w:footnote w:id="9">
    <w:p w14:paraId="5ED1BBE3" w14:textId="12419C35" w:rsidR="00D520B4" w:rsidRPr="008E7874" w:rsidRDefault="00D520B4" w:rsidP="00D520B4">
      <w:pPr>
        <w:pStyle w:val="Notedebasdepage"/>
        <w:tabs>
          <w:tab w:val="left" w:pos="426"/>
        </w:tabs>
        <w:rPr>
          <w:rFonts w:cs="Arial"/>
        </w:rPr>
      </w:pPr>
      <w:r w:rsidRPr="008E7874">
        <w:rPr>
          <w:rStyle w:val="Appelnotedebasdep"/>
          <w:rFonts w:cs="Arial"/>
        </w:rPr>
        <w:footnoteRef/>
      </w:r>
      <w:r w:rsidRPr="00975DAB">
        <w:rPr>
          <w:rFonts w:cs="Arial"/>
        </w:rPr>
        <w:t xml:space="preserve"> </w:t>
      </w:r>
      <w:r w:rsidRPr="00975DAB">
        <w:rPr>
          <w:rFonts w:cs="Arial"/>
        </w:rPr>
        <w:tab/>
      </w:r>
      <w:r w:rsidR="00815FC0" w:rsidRPr="00975DAB">
        <w:rPr>
          <w:rFonts w:cs="Arial"/>
          <w:i/>
          <w:iCs/>
        </w:rPr>
        <w:t>Id</w:t>
      </w:r>
      <w:r w:rsidR="00815FC0" w:rsidRPr="00975DAB">
        <w:rPr>
          <w:rFonts w:cs="Arial"/>
        </w:rPr>
        <w:t>.,</w:t>
      </w:r>
      <w:r w:rsidR="00815FC0" w:rsidRPr="00975DAB">
        <w:rPr>
          <w:rFonts w:cs="Arial"/>
          <w:i/>
          <w:iCs/>
        </w:rPr>
        <w:t xml:space="preserve"> </w:t>
      </w:r>
      <w:r w:rsidR="00815FC0" w:rsidRPr="00975DAB">
        <w:rPr>
          <w:rFonts w:cs="Arial"/>
        </w:rPr>
        <w:t>para</w:t>
      </w:r>
      <w:r w:rsidR="00CB592B" w:rsidRPr="00975DAB">
        <w:rPr>
          <w:rFonts w:cs="Arial"/>
        </w:rPr>
        <w:t>s</w:t>
      </w:r>
      <w:r w:rsidR="00815FC0" w:rsidRPr="00975DAB">
        <w:rPr>
          <w:rFonts w:cs="Arial"/>
        </w:rPr>
        <w:t>.</w:t>
      </w:r>
      <w:r w:rsidRPr="00975DAB">
        <w:rPr>
          <w:rFonts w:cs="Arial"/>
        </w:rPr>
        <w:t xml:space="preserve"> </w:t>
      </w:r>
      <w:r w:rsidRPr="008E7874">
        <w:rPr>
          <w:rFonts w:cs="Arial"/>
        </w:rPr>
        <w:t>19</w:t>
      </w:r>
      <w:r w:rsidR="00CB592B">
        <w:rPr>
          <w:rFonts w:cs="Arial"/>
        </w:rPr>
        <w:t>–</w:t>
      </w:r>
      <w:r w:rsidRPr="008E7874">
        <w:rPr>
          <w:rFonts w:cs="Arial"/>
        </w:rPr>
        <w:t>24.</w:t>
      </w:r>
    </w:p>
  </w:footnote>
  <w:footnote w:id="10">
    <w:p w14:paraId="21394D67" w14:textId="2C60D4C1" w:rsidR="00752C19" w:rsidRPr="008E7874" w:rsidRDefault="00752C19" w:rsidP="00752C19">
      <w:pPr>
        <w:pStyle w:val="Notedebasdepage"/>
      </w:pPr>
      <w:r w:rsidRPr="008E7874">
        <w:rPr>
          <w:rStyle w:val="Appelnotedebasdep"/>
        </w:rPr>
        <w:footnoteRef/>
      </w:r>
      <w:r w:rsidRPr="008E7874">
        <w:t xml:space="preserve"> </w:t>
      </w:r>
      <w:r w:rsidRPr="008E7874">
        <w:tab/>
      </w:r>
      <w:r w:rsidR="00815FC0" w:rsidRPr="00815FC0">
        <w:rPr>
          <w:i/>
          <w:iCs/>
        </w:rPr>
        <w:t>Conseil des Innus de Pessamit c. Boulianne</w:t>
      </w:r>
      <w:r w:rsidR="00815FC0" w:rsidRPr="00815FC0">
        <w:rPr>
          <w:iCs/>
        </w:rPr>
        <w:t>, 2020 QCCS 1410.</w:t>
      </w:r>
    </w:p>
  </w:footnote>
  <w:footnote w:id="11">
    <w:p w14:paraId="6297FECA" w14:textId="4FAFE8F4" w:rsidR="00752C19" w:rsidRPr="003572C4" w:rsidRDefault="00752C19" w:rsidP="00752C19">
      <w:pPr>
        <w:pStyle w:val="Notedebasdepage"/>
        <w:tabs>
          <w:tab w:val="left" w:pos="426"/>
        </w:tabs>
        <w:rPr>
          <w:rFonts w:cs="Arial"/>
        </w:rPr>
      </w:pPr>
      <w:r w:rsidRPr="008E7874">
        <w:rPr>
          <w:rStyle w:val="Appelnotedebasdep"/>
          <w:rFonts w:cs="Arial"/>
        </w:rPr>
        <w:footnoteRef/>
      </w:r>
      <w:r w:rsidRPr="003572C4">
        <w:rPr>
          <w:rFonts w:cs="Arial"/>
        </w:rPr>
        <w:t xml:space="preserve"> </w:t>
      </w:r>
      <w:r w:rsidRPr="003572C4">
        <w:rPr>
          <w:rFonts w:cs="Arial"/>
        </w:rPr>
        <w:tab/>
      </w:r>
      <w:r w:rsidR="00815FC0" w:rsidRPr="003572C4">
        <w:rPr>
          <w:rFonts w:cs="Arial"/>
          <w:i/>
          <w:iCs/>
        </w:rPr>
        <w:t>Id.</w:t>
      </w:r>
      <w:r w:rsidR="00815FC0" w:rsidRPr="00521A15">
        <w:rPr>
          <w:rFonts w:cs="Arial"/>
        </w:rPr>
        <w:t>, para</w:t>
      </w:r>
      <w:r w:rsidR="005F5F45" w:rsidRPr="00521A15">
        <w:rPr>
          <w:rFonts w:cs="Arial"/>
        </w:rPr>
        <w:t>s</w:t>
      </w:r>
      <w:r w:rsidR="00815FC0" w:rsidRPr="00521A15">
        <w:rPr>
          <w:rFonts w:cs="Arial"/>
        </w:rPr>
        <w:t>.</w:t>
      </w:r>
      <w:r w:rsidRPr="00521A15">
        <w:rPr>
          <w:rFonts w:cs="Arial"/>
        </w:rPr>
        <w:t xml:space="preserve"> </w:t>
      </w:r>
      <w:r w:rsidRPr="003572C4">
        <w:rPr>
          <w:rFonts w:cs="Arial"/>
        </w:rPr>
        <w:t>25–27.</w:t>
      </w:r>
    </w:p>
  </w:footnote>
  <w:footnote w:id="12">
    <w:p w14:paraId="02F88843" w14:textId="1BD90EE9" w:rsidR="00752C19" w:rsidRPr="000A5EE9" w:rsidRDefault="00752C19" w:rsidP="00752C19">
      <w:pPr>
        <w:pStyle w:val="Notedebasdepage"/>
        <w:tabs>
          <w:tab w:val="left" w:pos="426"/>
        </w:tabs>
        <w:rPr>
          <w:rFonts w:cs="Arial"/>
        </w:rPr>
      </w:pPr>
      <w:r w:rsidRPr="008E7874">
        <w:rPr>
          <w:rStyle w:val="Appelnotedebasdep"/>
          <w:rFonts w:cs="Arial"/>
        </w:rPr>
        <w:footnoteRef/>
      </w:r>
      <w:r w:rsidRPr="000A5EE9">
        <w:rPr>
          <w:rFonts w:cs="Arial"/>
        </w:rPr>
        <w:t xml:space="preserve"> </w:t>
      </w:r>
      <w:r w:rsidRPr="000A5EE9">
        <w:rPr>
          <w:rFonts w:cs="Arial"/>
        </w:rPr>
        <w:tab/>
      </w:r>
      <w:r w:rsidR="00815FC0" w:rsidRPr="000A5EE9">
        <w:rPr>
          <w:rFonts w:cs="Arial"/>
          <w:i/>
          <w:iCs/>
          <w:shd w:val="clear" w:color="auto" w:fill="FFFFFF"/>
        </w:rPr>
        <w:t>Conseil de bande de Pessamit c. Rock, supra</w:t>
      </w:r>
      <w:r w:rsidR="00815FC0" w:rsidRPr="000A5EE9">
        <w:rPr>
          <w:rFonts w:cs="Arial"/>
          <w:iCs/>
          <w:shd w:val="clear" w:color="auto" w:fill="FFFFFF"/>
        </w:rPr>
        <w:t>, note</w:t>
      </w:r>
      <w:r w:rsidRPr="000A5EE9">
        <w:rPr>
          <w:rFonts w:cs="Arial"/>
          <w:shd w:val="clear" w:color="auto" w:fill="FFFFFF"/>
        </w:rPr>
        <w:t xml:space="preserve"> </w:t>
      </w:r>
      <w:r w:rsidRPr="008E7874">
        <w:rPr>
          <w:rFonts w:cs="Arial"/>
          <w:shd w:val="clear" w:color="auto" w:fill="FFFFFF"/>
        </w:rPr>
        <w:fldChar w:fldCharType="begin"/>
      </w:r>
      <w:r w:rsidRPr="000A5EE9">
        <w:rPr>
          <w:rFonts w:cs="Arial"/>
          <w:shd w:val="clear" w:color="auto" w:fill="FFFFFF"/>
        </w:rPr>
        <w:instrText xml:space="preserve"> NOTEREF _Ref181094577 \h  \* MERGEFORMAT </w:instrText>
      </w:r>
      <w:r w:rsidRPr="008E7874">
        <w:rPr>
          <w:rFonts w:cs="Arial"/>
          <w:shd w:val="clear" w:color="auto" w:fill="FFFFFF"/>
        </w:rPr>
      </w:r>
      <w:r w:rsidRPr="008E7874">
        <w:rPr>
          <w:rFonts w:cs="Arial"/>
          <w:shd w:val="clear" w:color="auto" w:fill="FFFFFF"/>
        </w:rPr>
        <w:fldChar w:fldCharType="separate"/>
      </w:r>
      <w:r w:rsidR="005F20FC">
        <w:rPr>
          <w:rFonts w:cs="Arial"/>
          <w:shd w:val="clear" w:color="auto" w:fill="FFFFFF"/>
        </w:rPr>
        <w:t>2</w:t>
      </w:r>
      <w:r w:rsidRPr="008E7874">
        <w:rPr>
          <w:rFonts w:cs="Arial"/>
          <w:shd w:val="clear" w:color="auto" w:fill="FFFFFF"/>
        </w:rPr>
        <w:fldChar w:fldCharType="end"/>
      </w:r>
      <w:r w:rsidRPr="000A5EE9">
        <w:rPr>
          <w:rFonts w:cs="Arial"/>
          <w:shd w:val="clear" w:color="auto" w:fill="FFFFFF"/>
        </w:rPr>
        <w:t xml:space="preserve">. </w:t>
      </w:r>
    </w:p>
  </w:footnote>
  <w:footnote w:id="13">
    <w:p w14:paraId="746F68B7" w14:textId="6B7F62EF" w:rsidR="00795261" w:rsidRPr="00815FC0" w:rsidRDefault="00795261" w:rsidP="00795261">
      <w:pPr>
        <w:pStyle w:val="Notedebasdepage"/>
        <w:tabs>
          <w:tab w:val="left" w:pos="426"/>
        </w:tabs>
        <w:rPr>
          <w:rFonts w:cs="Arial"/>
          <w:lang w:val="en-CA"/>
        </w:rPr>
      </w:pPr>
      <w:r w:rsidRPr="008E7874">
        <w:rPr>
          <w:rStyle w:val="Appelnotedebasdep"/>
          <w:rFonts w:cs="Arial"/>
        </w:rPr>
        <w:footnoteRef/>
      </w:r>
      <w:r w:rsidRPr="000A5EE9">
        <w:rPr>
          <w:rFonts w:cs="Arial"/>
          <w:lang w:val="es-ES"/>
        </w:rPr>
        <w:t xml:space="preserve"> </w:t>
      </w:r>
      <w:r w:rsidRPr="000A5EE9">
        <w:rPr>
          <w:rFonts w:cs="Arial"/>
          <w:lang w:val="es-ES"/>
        </w:rPr>
        <w:tab/>
      </w:r>
      <w:r w:rsidR="00815FC0" w:rsidRPr="000A5EE9">
        <w:rPr>
          <w:rFonts w:cs="Arial"/>
          <w:i/>
          <w:lang w:val="es-ES"/>
        </w:rPr>
        <w:t xml:space="preserve">Canada </w:t>
      </w:r>
      <w:r w:rsidR="007E39C7">
        <w:rPr>
          <w:rFonts w:cs="Arial"/>
          <w:i/>
          <w:lang w:val="es-ES"/>
        </w:rPr>
        <w:t>v</w:t>
      </w:r>
      <w:r w:rsidR="00815FC0" w:rsidRPr="000A5EE9">
        <w:rPr>
          <w:rFonts w:cs="Arial"/>
          <w:i/>
          <w:lang w:val="es-ES"/>
        </w:rPr>
        <w:t>. Domtar Inc.</w:t>
      </w:r>
      <w:r w:rsidR="00815FC0" w:rsidRPr="000A5EE9">
        <w:rPr>
          <w:rFonts w:cs="Arial"/>
          <w:lang w:val="es-ES"/>
        </w:rPr>
        <w:t>, 2009 FCA 218, para.</w:t>
      </w:r>
      <w:r w:rsidRPr="000A5EE9">
        <w:rPr>
          <w:rFonts w:cs="Arial"/>
          <w:lang w:val="es-ES"/>
        </w:rPr>
        <w:t xml:space="preserve"> </w:t>
      </w:r>
      <w:r w:rsidR="00815FC0" w:rsidRPr="00815FC0">
        <w:rPr>
          <w:rFonts w:cs="Arial"/>
          <w:lang w:val="en-CA"/>
        </w:rPr>
        <w:t xml:space="preserve">28, citing </w:t>
      </w:r>
      <w:r w:rsidR="00815FC0" w:rsidRPr="00815FC0">
        <w:rPr>
          <w:rFonts w:cs="Arial"/>
          <w:i/>
          <w:lang w:val="en-CA"/>
        </w:rPr>
        <w:t>Canada v. Roitman</w:t>
      </w:r>
      <w:r w:rsidR="00815FC0" w:rsidRPr="00815FC0">
        <w:rPr>
          <w:rFonts w:cs="Arial"/>
          <w:lang w:val="en-CA"/>
        </w:rPr>
        <w:t xml:space="preserve">, 2006 FCA 266, application for leave to appeal to the Supreme Court </w:t>
      </w:r>
      <w:r w:rsidR="00CB402F">
        <w:rPr>
          <w:rFonts w:cs="Arial"/>
          <w:lang w:val="en-CA"/>
        </w:rPr>
        <w:t>dismissed</w:t>
      </w:r>
      <w:r w:rsidR="00815FC0" w:rsidRPr="00815FC0">
        <w:rPr>
          <w:rFonts w:cs="Arial"/>
          <w:lang w:val="en-CA"/>
        </w:rPr>
        <w:t>, December 7, 2006</w:t>
      </w:r>
      <w:r w:rsidR="00815FC0" w:rsidRPr="00374701">
        <w:rPr>
          <w:rFonts w:cs="Arial"/>
          <w:lang w:val="en-CA"/>
        </w:rPr>
        <w:t xml:space="preserve">, </w:t>
      </w:r>
      <w:r w:rsidR="00815FC0" w:rsidRPr="00CB402F">
        <w:rPr>
          <w:rFonts w:cs="Arial"/>
          <w:lang w:val="en-CA"/>
        </w:rPr>
        <w:t>N</w:t>
      </w:r>
      <w:r w:rsidR="00D929C5" w:rsidRPr="00091D00">
        <w:rPr>
          <w:rFonts w:cs="Arial"/>
          <w:lang w:val="en-CA"/>
        </w:rPr>
        <w:t>o.</w:t>
      </w:r>
      <w:r w:rsidR="00815FC0" w:rsidRPr="00815FC0">
        <w:rPr>
          <w:rFonts w:cs="Arial"/>
          <w:lang w:val="en-CA"/>
        </w:rPr>
        <w:t xml:space="preserve"> 31634, repeated in </w:t>
      </w:r>
      <w:r w:rsidR="00815FC0" w:rsidRPr="00815FC0">
        <w:rPr>
          <w:rFonts w:cs="Arial"/>
          <w:i/>
          <w:lang w:val="en-CA"/>
        </w:rPr>
        <w:t>Stephkan Holdings Inc. c. Agence du revenu du Canada</w:t>
      </w:r>
      <w:r w:rsidR="00815FC0" w:rsidRPr="00815FC0">
        <w:rPr>
          <w:rFonts w:cs="Arial"/>
          <w:lang w:val="en-CA"/>
        </w:rPr>
        <w:t>, 2013 QCCA 1651</w:t>
      </w:r>
      <w:r w:rsidR="007E39C7">
        <w:rPr>
          <w:rFonts w:cs="Arial"/>
          <w:lang w:val="en-CA"/>
        </w:rPr>
        <w:t>,</w:t>
      </w:r>
      <w:r w:rsidR="00815FC0" w:rsidRPr="00815FC0">
        <w:rPr>
          <w:rFonts w:cs="Arial"/>
          <w:lang w:val="en-CA"/>
        </w:rPr>
        <w:t xml:space="preserve"> para.</w:t>
      </w:r>
      <w:r w:rsidRPr="00815FC0">
        <w:rPr>
          <w:rFonts w:cs="Arial"/>
          <w:lang w:val="en-CA"/>
        </w:rPr>
        <w:t xml:space="preserve"> 8.</w:t>
      </w:r>
    </w:p>
  </w:footnote>
  <w:footnote w:id="14">
    <w:p w14:paraId="349058B0" w14:textId="6389409C" w:rsidR="00917CA3" w:rsidRPr="000A5EE9" w:rsidRDefault="00917CA3" w:rsidP="00917CA3">
      <w:pPr>
        <w:pStyle w:val="Notedebasdepage"/>
        <w:tabs>
          <w:tab w:val="left" w:pos="426"/>
        </w:tabs>
        <w:rPr>
          <w:rFonts w:cs="Arial"/>
          <w:lang w:val="es-ES"/>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815FC0">
        <w:rPr>
          <w:rFonts w:cs="Arial"/>
          <w:i/>
          <w:lang w:val="en-CA"/>
        </w:rPr>
        <w:t>MC Commercial inc. c. Collerette</w:t>
      </w:r>
      <w:r w:rsidR="00815FC0" w:rsidRPr="00815FC0">
        <w:rPr>
          <w:rFonts w:cs="Arial"/>
          <w:lang w:val="en-CA"/>
        </w:rPr>
        <w:t>, 2020 QCCA 305, para.</w:t>
      </w:r>
      <w:r w:rsidRPr="00815FC0">
        <w:rPr>
          <w:rFonts w:cs="Arial"/>
          <w:lang w:val="en-CA"/>
        </w:rPr>
        <w:t xml:space="preserve"> </w:t>
      </w:r>
      <w:r w:rsidR="00815FC0" w:rsidRPr="00815FC0">
        <w:rPr>
          <w:rFonts w:cs="Arial"/>
          <w:lang w:val="en-CA"/>
        </w:rPr>
        <w:t xml:space="preserve">1, application for leave to appeal to the Supreme Court </w:t>
      </w:r>
      <w:r w:rsidR="00CB402F">
        <w:rPr>
          <w:rFonts w:cs="Arial"/>
          <w:lang w:val="en-CA"/>
        </w:rPr>
        <w:t>dismissed</w:t>
      </w:r>
      <w:r w:rsidR="00815FC0" w:rsidRPr="00815FC0">
        <w:rPr>
          <w:rFonts w:cs="Arial"/>
          <w:lang w:val="en-CA"/>
        </w:rPr>
        <w:t xml:space="preserve">, December 10, 2020, No. 39148, citing </w:t>
      </w:r>
      <w:r w:rsidR="00815FC0" w:rsidRPr="00815FC0">
        <w:rPr>
          <w:rFonts w:cs="Arial"/>
          <w:i/>
          <w:lang w:val="en-CA"/>
        </w:rPr>
        <w:t>Parisien c. Hôtel du Lac Tremblant inc.</w:t>
      </w:r>
      <w:r w:rsidR="00815FC0" w:rsidRPr="00815FC0">
        <w:rPr>
          <w:rFonts w:cs="Arial"/>
          <w:lang w:val="en-CA"/>
        </w:rPr>
        <w:t>, 2018 QCCA 2217, para</w:t>
      </w:r>
      <w:r w:rsidR="007E39C7">
        <w:rPr>
          <w:rFonts w:cs="Arial"/>
          <w:lang w:val="en-CA"/>
        </w:rPr>
        <w:t>s</w:t>
      </w:r>
      <w:r w:rsidR="00815FC0" w:rsidRPr="00815FC0">
        <w:rPr>
          <w:rFonts w:cs="Arial"/>
          <w:lang w:val="en-CA"/>
        </w:rPr>
        <w:t>.</w:t>
      </w:r>
      <w:r w:rsidRPr="00815FC0">
        <w:rPr>
          <w:rFonts w:cs="Arial"/>
          <w:lang w:val="en-CA"/>
        </w:rPr>
        <w:t xml:space="preserve"> </w:t>
      </w:r>
      <w:r w:rsidR="00815FC0" w:rsidRPr="00815FC0">
        <w:rPr>
          <w:rFonts w:cs="Arial"/>
        </w:rPr>
        <w:t xml:space="preserve">5–6, </w:t>
      </w:r>
      <w:r w:rsidR="007E39C7">
        <w:rPr>
          <w:rFonts w:cs="Arial"/>
        </w:rPr>
        <w:t>itself</w:t>
      </w:r>
      <w:r w:rsidR="00815FC0" w:rsidRPr="00815FC0">
        <w:rPr>
          <w:rFonts w:cs="Arial"/>
        </w:rPr>
        <w:t xml:space="preserve"> citing </w:t>
      </w:r>
      <w:r w:rsidR="00815FC0" w:rsidRPr="00815FC0">
        <w:rPr>
          <w:rFonts w:cs="Arial"/>
          <w:i/>
        </w:rPr>
        <w:t>St-Eustache (Ville de) c. Régie intermunicipale Argenteuil Deux-Montagnes</w:t>
      </w:r>
      <w:r w:rsidR="00815FC0" w:rsidRPr="00815FC0">
        <w:rPr>
          <w:rFonts w:cs="Arial"/>
        </w:rPr>
        <w:t>, 2011 QCCA 227, para.</w:t>
      </w:r>
      <w:r w:rsidRPr="008E7874">
        <w:rPr>
          <w:rFonts w:cs="Arial"/>
        </w:rPr>
        <w:t xml:space="preserve"> </w:t>
      </w:r>
      <w:r w:rsidRPr="000A5EE9">
        <w:rPr>
          <w:rFonts w:cs="Arial"/>
          <w:lang w:val="es-ES"/>
        </w:rPr>
        <w:t xml:space="preserve">25. </w:t>
      </w:r>
    </w:p>
  </w:footnote>
  <w:footnote w:id="15">
    <w:p w14:paraId="62F44F66" w14:textId="498DD69B" w:rsidR="00917CA3" w:rsidRPr="000A5EE9" w:rsidRDefault="00917CA3" w:rsidP="00917CA3">
      <w:pPr>
        <w:pStyle w:val="Notedebasdepage"/>
        <w:tabs>
          <w:tab w:val="left" w:pos="426"/>
        </w:tabs>
        <w:rPr>
          <w:rFonts w:cs="Arial"/>
          <w:lang w:val="es-ES"/>
        </w:rPr>
      </w:pPr>
      <w:r w:rsidRPr="008E7874">
        <w:rPr>
          <w:rStyle w:val="Appelnotedebasdep"/>
          <w:rFonts w:cs="Arial"/>
        </w:rPr>
        <w:footnoteRef/>
      </w:r>
      <w:r w:rsidRPr="000A5EE9">
        <w:rPr>
          <w:rFonts w:cs="Arial"/>
          <w:lang w:val="es-ES"/>
        </w:rPr>
        <w:t xml:space="preserve"> </w:t>
      </w:r>
      <w:r w:rsidRPr="000A5EE9">
        <w:rPr>
          <w:rFonts w:cs="Arial"/>
          <w:lang w:val="es-ES"/>
        </w:rPr>
        <w:tab/>
      </w:r>
      <w:r w:rsidR="00815FC0" w:rsidRPr="000A5EE9">
        <w:rPr>
          <w:rFonts w:cs="Arial"/>
          <w:i/>
          <w:iCs/>
          <w:lang w:val="es-ES"/>
        </w:rPr>
        <w:t>Canada (Attorney General) v. TeleZone Inc</w:t>
      </w:r>
      <w:r w:rsidR="00815FC0" w:rsidRPr="000A5EE9">
        <w:rPr>
          <w:rFonts w:cs="Arial"/>
          <w:iCs/>
          <w:lang w:val="es-ES"/>
        </w:rPr>
        <w:t>., 2010 SCC 62, para.</w:t>
      </w:r>
      <w:r w:rsidRPr="000A5EE9">
        <w:rPr>
          <w:rFonts w:cs="Arial"/>
          <w:lang w:val="es-ES"/>
        </w:rPr>
        <w:t xml:space="preserve"> 78.</w:t>
      </w:r>
    </w:p>
  </w:footnote>
  <w:footnote w:id="16">
    <w:p w14:paraId="43F50B98" w14:textId="3994BDAC" w:rsidR="00917CA3" w:rsidRPr="00815FC0" w:rsidRDefault="00917CA3" w:rsidP="00917CA3">
      <w:pPr>
        <w:pStyle w:val="Notedebasdepage"/>
        <w:tabs>
          <w:tab w:val="left" w:pos="426"/>
        </w:tabs>
        <w:rPr>
          <w:rFonts w:cs="Arial"/>
          <w:lang w:val="es-ES"/>
        </w:rPr>
      </w:pPr>
      <w:r w:rsidRPr="008E7874">
        <w:rPr>
          <w:rStyle w:val="Appelnotedebasdep"/>
          <w:rFonts w:cs="Arial"/>
        </w:rPr>
        <w:footnoteRef/>
      </w:r>
      <w:r w:rsidRPr="00815FC0">
        <w:rPr>
          <w:rFonts w:cs="Arial"/>
          <w:lang w:val="es-ES"/>
        </w:rPr>
        <w:t xml:space="preserve"> </w:t>
      </w:r>
      <w:r w:rsidRPr="00815FC0">
        <w:rPr>
          <w:rFonts w:cs="Arial"/>
          <w:lang w:val="es-ES"/>
        </w:rPr>
        <w:tab/>
      </w:r>
      <w:r w:rsidR="00815FC0" w:rsidRPr="00B9670E">
        <w:rPr>
          <w:rFonts w:cs="Arial"/>
          <w:i/>
          <w:lang w:val="es-ES"/>
        </w:rPr>
        <w:t>Weber v. Ontario Hydro</w:t>
      </w:r>
      <w:r w:rsidR="00815FC0" w:rsidRPr="00B9670E">
        <w:rPr>
          <w:rFonts w:cs="Arial"/>
          <w:lang w:val="es-ES"/>
        </w:rPr>
        <w:t>, [1995] 2 S.C.R.</w:t>
      </w:r>
      <w:r w:rsidRPr="00815FC0">
        <w:rPr>
          <w:rFonts w:cs="Arial"/>
          <w:lang w:val="es-ES"/>
        </w:rPr>
        <w:t xml:space="preserve"> 929.</w:t>
      </w:r>
    </w:p>
  </w:footnote>
  <w:footnote w:id="17">
    <w:p w14:paraId="6F0A6830" w14:textId="16725471" w:rsidR="00917CA3" w:rsidRPr="00815FC0" w:rsidRDefault="00917CA3" w:rsidP="00917CA3">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i/>
          <w:lang w:val="en-CA"/>
        </w:rPr>
        <w:t>Id</w:t>
      </w:r>
      <w:r w:rsidR="00815FC0" w:rsidRPr="00743A80">
        <w:rPr>
          <w:rFonts w:cs="Arial"/>
          <w:iCs/>
          <w:lang w:val="en-CA"/>
        </w:rPr>
        <w:t>., at para</w:t>
      </w:r>
      <w:r w:rsidR="00743A80" w:rsidRPr="00743A80">
        <w:rPr>
          <w:rFonts w:cs="Arial"/>
          <w:iCs/>
          <w:lang w:val="en-CA"/>
        </w:rPr>
        <w:t>s</w:t>
      </w:r>
      <w:r w:rsidR="00815FC0" w:rsidRPr="00743A80">
        <w:rPr>
          <w:rFonts w:cs="Arial"/>
          <w:iCs/>
          <w:lang w:val="en-CA"/>
        </w:rPr>
        <w:t>.</w:t>
      </w:r>
      <w:r w:rsidRPr="00815FC0">
        <w:rPr>
          <w:rFonts w:cs="Arial"/>
          <w:lang w:val="en-CA"/>
        </w:rPr>
        <w:t xml:space="preserve"> </w:t>
      </w:r>
      <w:r w:rsidR="00815FC0" w:rsidRPr="00815FC0">
        <w:rPr>
          <w:rFonts w:cs="Arial"/>
          <w:lang w:val="en-CA"/>
        </w:rPr>
        <w:t>57 and 67.</w:t>
      </w:r>
      <w:r w:rsidRPr="00815FC0">
        <w:rPr>
          <w:rFonts w:cs="Arial"/>
          <w:lang w:val="en-CA"/>
        </w:rPr>
        <w:t xml:space="preserve"> </w:t>
      </w:r>
      <w:r w:rsidR="00815FC0" w:rsidRPr="00975DAB">
        <w:rPr>
          <w:rFonts w:cs="Arial"/>
          <w:lang w:val="en-CA"/>
        </w:rPr>
        <w:t xml:space="preserve">See also: </w:t>
      </w:r>
      <w:r w:rsidR="00815FC0" w:rsidRPr="00975DAB">
        <w:rPr>
          <w:rFonts w:cs="Arial"/>
          <w:i/>
          <w:lang w:val="en-CA"/>
        </w:rPr>
        <w:t>Procureur général du Québec c. Groleau</w:t>
      </w:r>
      <w:r w:rsidR="00815FC0" w:rsidRPr="00975DAB">
        <w:rPr>
          <w:rFonts w:cs="Arial"/>
          <w:lang w:val="en-CA"/>
        </w:rPr>
        <w:t>, 2022 QCCA 545, para</w:t>
      </w:r>
      <w:r w:rsidR="00743A80" w:rsidRPr="00975DAB">
        <w:rPr>
          <w:rFonts w:cs="Arial"/>
          <w:lang w:val="en-CA"/>
        </w:rPr>
        <w:t>s</w:t>
      </w:r>
      <w:r w:rsidR="00815FC0" w:rsidRPr="00975DAB">
        <w:rPr>
          <w:rFonts w:cs="Arial"/>
          <w:lang w:val="en-CA"/>
        </w:rPr>
        <w:t>.</w:t>
      </w:r>
      <w:r w:rsidRPr="00975DAB">
        <w:rPr>
          <w:rFonts w:cs="Arial"/>
          <w:lang w:val="en-CA"/>
        </w:rPr>
        <w:t> </w:t>
      </w:r>
      <w:r w:rsidR="00815FC0" w:rsidRPr="00B9670E">
        <w:rPr>
          <w:rFonts w:cs="Arial"/>
          <w:lang w:val="en-CA"/>
        </w:rPr>
        <w:t xml:space="preserve">22–23, application for leave to appeal to the Supreme Court </w:t>
      </w:r>
      <w:r w:rsidR="00CB402F">
        <w:rPr>
          <w:rFonts w:cs="Arial"/>
          <w:lang w:val="en-CA"/>
        </w:rPr>
        <w:t>dismissed</w:t>
      </w:r>
      <w:r w:rsidR="00815FC0" w:rsidRPr="00B9670E">
        <w:rPr>
          <w:rFonts w:cs="Arial"/>
          <w:lang w:val="en-CA"/>
        </w:rPr>
        <w:t xml:space="preserve">, March 16, 2023, </w:t>
      </w:r>
      <w:r w:rsidR="00815FC0" w:rsidRPr="00D929C5">
        <w:rPr>
          <w:rFonts w:cs="Arial"/>
          <w:lang w:val="en-CA"/>
        </w:rPr>
        <w:t>No.</w:t>
      </w:r>
      <w:r w:rsidR="00815FC0" w:rsidRPr="00B9670E">
        <w:rPr>
          <w:rFonts w:cs="Arial"/>
          <w:lang w:val="en-CA"/>
        </w:rPr>
        <w:t xml:space="preserve"> 40264.</w:t>
      </w:r>
    </w:p>
  </w:footnote>
  <w:footnote w:id="18">
    <w:p w14:paraId="4F9FA90D" w14:textId="252CD92F" w:rsidR="00D5759B" w:rsidRPr="00815FC0" w:rsidRDefault="00D5759B" w:rsidP="00D5759B">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815FC0">
        <w:rPr>
          <w:rFonts w:cs="Arial"/>
          <w:i/>
          <w:iCs/>
          <w:lang w:val="en-CA"/>
        </w:rPr>
        <w:t>ITO-Int'l Terminal Operators v. Miida Electronics</w:t>
      </w:r>
      <w:r w:rsidR="00815FC0" w:rsidRPr="00815FC0">
        <w:rPr>
          <w:rFonts w:cs="Arial"/>
          <w:iCs/>
          <w:lang w:val="en-CA"/>
        </w:rPr>
        <w:t>, [1986] 1 S.C.R.</w:t>
      </w:r>
      <w:r w:rsidRPr="00815FC0">
        <w:rPr>
          <w:rFonts w:cs="Arial"/>
          <w:lang w:val="en-CA"/>
        </w:rPr>
        <w:t xml:space="preserve"> 752.</w:t>
      </w:r>
    </w:p>
  </w:footnote>
  <w:footnote w:id="19">
    <w:p w14:paraId="03D76267" w14:textId="49150C91" w:rsidR="00540118" w:rsidRPr="008E7874" w:rsidRDefault="00E6443C" w:rsidP="00540118">
      <w:pPr>
        <w:pStyle w:val="Notedebasdepage"/>
        <w:tabs>
          <w:tab w:val="left" w:pos="426"/>
        </w:tabs>
        <w:rPr>
          <w:rFonts w:cs="Arial"/>
          <w:lang w:val="en-CA"/>
        </w:rPr>
      </w:pPr>
      <w:r w:rsidRPr="008E7874">
        <w:rPr>
          <w:rStyle w:val="Appelnotedebasdep"/>
          <w:rFonts w:cs="Arial"/>
        </w:rPr>
        <w:footnoteRef/>
      </w:r>
      <w:r w:rsidRPr="008E7874">
        <w:rPr>
          <w:rFonts w:cs="Arial"/>
          <w:lang w:val="en-CA"/>
        </w:rPr>
        <w:t xml:space="preserve"> </w:t>
      </w:r>
      <w:r w:rsidRPr="008E7874">
        <w:rPr>
          <w:rFonts w:cs="Arial"/>
          <w:lang w:val="en-CA"/>
        </w:rPr>
        <w:tab/>
      </w:r>
      <w:r w:rsidR="00815FC0" w:rsidRPr="00B9670E">
        <w:rPr>
          <w:rFonts w:cs="Arial"/>
          <w:i/>
          <w:iCs/>
          <w:lang w:val="en-CA"/>
        </w:rPr>
        <w:t>Id.</w:t>
      </w:r>
      <w:r w:rsidR="00815FC0" w:rsidRPr="00B9670E">
        <w:rPr>
          <w:rFonts w:cs="Arial"/>
          <w:iCs/>
          <w:lang w:val="en-CA"/>
        </w:rPr>
        <w:t>, 766.</w:t>
      </w:r>
    </w:p>
  </w:footnote>
  <w:footnote w:id="20">
    <w:p w14:paraId="78E6BCF7" w14:textId="1D9C2387" w:rsidR="00540118" w:rsidRPr="008E7874" w:rsidRDefault="00E6443C" w:rsidP="00540118">
      <w:pPr>
        <w:pStyle w:val="Notedebasdepage"/>
        <w:tabs>
          <w:tab w:val="left" w:pos="426"/>
        </w:tabs>
        <w:rPr>
          <w:rFonts w:cs="Arial"/>
          <w:lang w:val="en-CA"/>
        </w:rPr>
      </w:pPr>
      <w:r w:rsidRPr="008E7874">
        <w:rPr>
          <w:rStyle w:val="Appelnotedebasdep"/>
          <w:rFonts w:cs="Arial"/>
        </w:rPr>
        <w:footnoteRef/>
      </w:r>
      <w:r w:rsidRPr="008E7874">
        <w:rPr>
          <w:rFonts w:cs="Arial"/>
          <w:lang w:val="en-CA"/>
        </w:rPr>
        <w:t xml:space="preserve"> </w:t>
      </w:r>
      <w:r w:rsidRPr="008E7874">
        <w:rPr>
          <w:rFonts w:cs="Arial"/>
          <w:lang w:val="en-CA"/>
        </w:rPr>
        <w:tab/>
      </w:r>
      <w:r w:rsidR="00815FC0" w:rsidRPr="00815FC0">
        <w:rPr>
          <w:rFonts w:cs="Arial"/>
          <w:i/>
          <w:iCs/>
          <w:lang w:val="en-CA"/>
        </w:rPr>
        <w:t>Windsor (City) v. Canadian Transit Co</w:t>
      </w:r>
      <w:r w:rsidR="00815FC0" w:rsidRPr="00815FC0">
        <w:rPr>
          <w:rFonts w:cs="Arial"/>
          <w:iCs/>
          <w:lang w:val="en-CA"/>
        </w:rPr>
        <w:t>., 2016 SCC 54, para.</w:t>
      </w:r>
      <w:r w:rsidRPr="008E7874">
        <w:rPr>
          <w:rFonts w:cs="Arial"/>
          <w:lang w:val="en-CA"/>
        </w:rPr>
        <w:t xml:space="preserve"> </w:t>
      </w:r>
      <w:bookmarkStart w:id="17" w:name="_Hlk169949027"/>
      <w:r w:rsidR="00815FC0" w:rsidRPr="00815FC0">
        <w:rPr>
          <w:rFonts w:cs="Arial"/>
          <w:lang w:val="en-CA"/>
        </w:rPr>
        <w:t xml:space="preserve">34, citing </w:t>
      </w:r>
      <w:r w:rsidR="00815FC0" w:rsidRPr="00815FC0">
        <w:rPr>
          <w:rFonts w:cs="Arial"/>
          <w:i/>
          <w:lang w:val="en-CA"/>
        </w:rPr>
        <w:t>ITO-Int’l Terminal Operators v. Miida Electronics</w:t>
      </w:r>
      <w:r w:rsidR="00815FC0" w:rsidRPr="00815FC0">
        <w:rPr>
          <w:rFonts w:cs="Arial"/>
          <w:lang w:val="en-CA"/>
        </w:rPr>
        <w:t xml:space="preserve">, </w:t>
      </w:r>
      <w:r w:rsidR="00815FC0" w:rsidRPr="00815FC0">
        <w:rPr>
          <w:rFonts w:cs="Arial"/>
          <w:i/>
          <w:lang w:val="en-CA"/>
        </w:rPr>
        <w:t>supra</w:t>
      </w:r>
      <w:r w:rsidR="00815FC0" w:rsidRPr="00815FC0">
        <w:rPr>
          <w:rFonts w:cs="Arial"/>
          <w:lang w:val="en-CA"/>
        </w:rPr>
        <w:t>, note</w:t>
      </w:r>
      <w:r w:rsidRPr="008E7874">
        <w:rPr>
          <w:rFonts w:cs="Arial"/>
          <w:lang w:val="en-CA"/>
        </w:rPr>
        <w:t xml:space="preserve"> </w:t>
      </w:r>
      <w:r w:rsidRPr="008E7874">
        <w:rPr>
          <w:rFonts w:cs="Arial"/>
          <w:lang w:val="en-CA"/>
        </w:rPr>
        <w:fldChar w:fldCharType="begin"/>
      </w:r>
      <w:r w:rsidRPr="008E7874">
        <w:rPr>
          <w:rFonts w:cs="Arial"/>
          <w:lang w:val="en-CA"/>
        </w:rPr>
        <w:instrText xml:space="preserve"> NOTEREF _Ref177561863 \h  \* MERGEFORMAT </w:instrText>
      </w:r>
      <w:r w:rsidRPr="008E7874">
        <w:rPr>
          <w:rFonts w:cs="Arial"/>
          <w:lang w:val="en-CA"/>
        </w:rPr>
      </w:r>
      <w:r w:rsidRPr="008E7874">
        <w:rPr>
          <w:rFonts w:cs="Arial"/>
          <w:lang w:val="en-CA"/>
        </w:rPr>
        <w:fldChar w:fldCharType="separate"/>
      </w:r>
      <w:r w:rsidR="005F20FC">
        <w:rPr>
          <w:rFonts w:cs="Arial"/>
          <w:lang w:val="en-CA"/>
        </w:rPr>
        <w:t>18</w:t>
      </w:r>
      <w:r w:rsidRPr="008E7874">
        <w:rPr>
          <w:rFonts w:cs="Arial"/>
          <w:lang w:val="en-CA"/>
        </w:rPr>
        <w:fldChar w:fldCharType="end"/>
      </w:r>
      <w:bookmarkEnd w:id="17"/>
      <w:r w:rsidR="001B7780">
        <w:rPr>
          <w:rFonts w:cs="Arial"/>
          <w:lang w:val="en-CA"/>
        </w:rPr>
        <w:t xml:space="preserve"> </w:t>
      </w:r>
      <w:r w:rsidR="00815FC0" w:rsidRPr="00B9670E">
        <w:rPr>
          <w:rFonts w:cs="Arial"/>
          <w:lang w:val="en-CA"/>
        </w:rPr>
        <w:t>at 766.</w:t>
      </w:r>
    </w:p>
  </w:footnote>
  <w:footnote w:id="21">
    <w:p w14:paraId="2224010A" w14:textId="3676FBEA" w:rsidR="00E33D6F" w:rsidRPr="000A5EE9" w:rsidRDefault="00E33D6F" w:rsidP="00E33D6F">
      <w:pPr>
        <w:pStyle w:val="Notedebasdepage"/>
        <w:tabs>
          <w:tab w:val="left" w:pos="426"/>
        </w:tabs>
        <w:rPr>
          <w:rFonts w:cs="Arial"/>
          <w:lang w:val="en-CA"/>
        </w:rPr>
      </w:pPr>
      <w:r w:rsidRPr="008E7874">
        <w:rPr>
          <w:rStyle w:val="Appelnotedebasdep"/>
          <w:rFonts w:cs="Arial"/>
        </w:rPr>
        <w:footnoteRef/>
      </w:r>
      <w:r w:rsidRPr="008E7874">
        <w:rPr>
          <w:rFonts w:cs="Arial"/>
          <w:lang w:val="en-CA"/>
        </w:rPr>
        <w:t xml:space="preserve"> </w:t>
      </w:r>
      <w:r w:rsidRPr="008E7874">
        <w:rPr>
          <w:rFonts w:cs="Arial"/>
          <w:lang w:val="en-CA"/>
        </w:rPr>
        <w:tab/>
      </w:r>
      <w:r w:rsidR="00815FC0" w:rsidRPr="00815FC0">
        <w:rPr>
          <w:rFonts w:cs="Arial"/>
          <w:i/>
          <w:iCs/>
          <w:lang w:val="en-CA"/>
        </w:rPr>
        <w:t>Highwood Congregation of Jehovah’s Witnesses (Judicial Committee) v. Wall</w:t>
      </w:r>
      <w:r w:rsidR="00815FC0" w:rsidRPr="00815FC0">
        <w:rPr>
          <w:rFonts w:cs="Arial"/>
          <w:iCs/>
          <w:lang w:val="en-CA"/>
        </w:rPr>
        <w:t>, 2018 SCC 26, para.</w:t>
      </w:r>
      <w:r w:rsidRPr="008E7874">
        <w:rPr>
          <w:rFonts w:cs="Arial"/>
          <w:lang w:val="en-CA"/>
        </w:rPr>
        <w:t> </w:t>
      </w:r>
      <w:r w:rsidR="00815FC0" w:rsidRPr="00815FC0">
        <w:rPr>
          <w:rFonts w:cs="Arial"/>
          <w:lang w:val="en-CA"/>
        </w:rPr>
        <w:t>14 “</w:t>
      </w:r>
      <w:r w:rsidR="00A11C17">
        <w:rPr>
          <w:rFonts w:cs="Arial"/>
          <w:lang w:val="en-CA"/>
        </w:rPr>
        <w:t>[</w:t>
      </w:r>
      <w:r w:rsidR="00815FC0" w:rsidRPr="00815FC0">
        <w:rPr>
          <w:rFonts w:cs="Arial"/>
          <w:lang w:val="en-CA"/>
        </w:rPr>
        <w:t>...</w:t>
      </w:r>
      <w:r w:rsidR="00A11C17">
        <w:rPr>
          <w:rFonts w:cs="Arial"/>
          <w:lang w:val="en-CA"/>
        </w:rPr>
        <w:t>]</w:t>
      </w:r>
      <w:r w:rsidR="00815FC0" w:rsidRPr="00815FC0">
        <w:rPr>
          <w:rFonts w:cs="Arial"/>
          <w:lang w:val="en-CA"/>
        </w:rPr>
        <w:t xml:space="preserve"> Judicial review is only available where there is an exercise of state authority and where that exercise is of a sufficiently public character.</w:t>
      </w:r>
      <w:r w:rsidRPr="00815FC0">
        <w:rPr>
          <w:rFonts w:cs="Arial"/>
          <w:lang w:val="en-CA"/>
        </w:rPr>
        <w:t xml:space="preserve"> </w:t>
      </w:r>
      <w:r w:rsidRPr="000A5EE9">
        <w:rPr>
          <w:rFonts w:cs="Arial"/>
          <w:lang w:val="en-CA"/>
        </w:rPr>
        <w:t>[…]</w:t>
      </w:r>
      <w:r w:rsidR="00A11C17">
        <w:rPr>
          <w:rFonts w:cs="Arial"/>
          <w:lang w:val="en-CA"/>
        </w:rPr>
        <w:t>”</w:t>
      </w:r>
      <w:r w:rsidRPr="000A5EE9">
        <w:rPr>
          <w:rFonts w:cs="Arial"/>
          <w:lang w:val="en-CA"/>
        </w:rPr>
        <w:t>.</w:t>
      </w:r>
    </w:p>
  </w:footnote>
  <w:footnote w:id="22">
    <w:p w14:paraId="7BF98804" w14:textId="0D1D292E" w:rsidR="00E33D6F" w:rsidRPr="008E7874" w:rsidRDefault="00E33D6F" w:rsidP="00E33D6F">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815FC0">
        <w:rPr>
          <w:rFonts w:cs="Arial"/>
          <w:lang w:val="en-CA"/>
        </w:rPr>
        <w:t xml:space="preserve">For a characterization of a band council, see: </w:t>
      </w:r>
      <w:r w:rsidR="00815FC0" w:rsidRPr="00815FC0">
        <w:rPr>
          <w:rFonts w:cs="Arial"/>
          <w:i/>
          <w:lang w:val="en-CA"/>
        </w:rPr>
        <w:t>Air Liaison inc. c. Conseil des Innus de Unamen Shipu</w:t>
      </w:r>
      <w:r w:rsidR="00815FC0" w:rsidRPr="00815FC0">
        <w:rPr>
          <w:rFonts w:cs="Arial"/>
          <w:lang w:val="en-CA"/>
        </w:rPr>
        <w:t>, 2014 QCCS 2299, para.</w:t>
      </w:r>
      <w:r w:rsidRPr="00815FC0">
        <w:rPr>
          <w:rFonts w:cs="Arial"/>
          <w:lang w:val="en-CA"/>
        </w:rPr>
        <w:t xml:space="preserve"> 25. </w:t>
      </w:r>
      <w:r w:rsidR="00815FC0" w:rsidRPr="00815FC0">
        <w:rPr>
          <w:rFonts w:cs="Arial"/>
          <w:lang w:val="en-CA"/>
        </w:rPr>
        <w:t xml:space="preserve">To the same effect, see also: </w:t>
      </w:r>
      <w:r w:rsidR="00815FC0" w:rsidRPr="00815FC0">
        <w:rPr>
          <w:rFonts w:cs="Arial"/>
          <w:i/>
          <w:lang w:val="en-CA"/>
        </w:rPr>
        <w:t>Horseman v. Horse Lake First Nation</w:t>
      </w:r>
      <w:r w:rsidR="00815FC0" w:rsidRPr="00815FC0">
        <w:rPr>
          <w:rFonts w:cs="Arial"/>
          <w:lang w:val="en-CA"/>
        </w:rPr>
        <w:t>, 2013 FCA 159, para.</w:t>
      </w:r>
      <w:r w:rsidRPr="00815FC0">
        <w:rPr>
          <w:rFonts w:cs="Arial"/>
          <w:lang w:val="en-CA"/>
        </w:rPr>
        <w:t> </w:t>
      </w:r>
      <w:r w:rsidR="00815FC0" w:rsidRPr="00815FC0">
        <w:rPr>
          <w:rFonts w:cs="Arial"/>
          <w:lang w:val="en-CA"/>
        </w:rPr>
        <w:t xml:space="preserve">6; </w:t>
      </w:r>
      <w:r w:rsidR="00815FC0" w:rsidRPr="00815FC0">
        <w:rPr>
          <w:rFonts w:cs="Arial"/>
          <w:i/>
          <w:lang w:val="en-CA"/>
        </w:rPr>
        <w:t>Felix Sr. c. Sturgeon Lake First Nation</w:t>
      </w:r>
      <w:r w:rsidR="00815FC0" w:rsidRPr="00815FC0">
        <w:rPr>
          <w:rFonts w:cs="Arial"/>
          <w:lang w:val="en-CA"/>
        </w:rPr>
        <w:t>, 2011 FC 1139, para.</w:t>
      </w:r>
      <w:r w:rsidRPr="00815FC0">
        <w:rPr>
          <w:rFonts w:cs="Arial"/>
          <w:lang w:val="en-CA"/>
        </w:rPr>
        <w:t> </w:t>
      </w:r>
      <w:r w:rsidR="00815FC0" w:rsidRPr="00815FC0">
        <w:rPr>
          <w:rFonts w:cs="Arial"/>
          <w:lang w:val="en-CA"/>
        </w:rPr>
        <w:t xml:space="preserve">15; </w:t>
      </w:r>
      <w:r w:rsidR="00815FC0" w:rsidRPr="00815FC0">
        <w:rPr>
          <w:rFonts w:cs="Arial"/>
          <w:i/>
          <w:lang w:val="en-CA"/>
        </w:rPr>
        <w:t>Pitawanakwat v. Wikwemikong Tribal Police Service</w:t>
      </w:r>
      <w:r w:rsidR="00815FC0" w:rsidRPr="00815FC0">
        <w:rPr>
          <w:rFonts w:cs="Arial"/>
          <w:lang w:val="en-CA"/>
        </w:rPr>
        <w:t>, 2010 FC 917, para.</w:t>
      </w:r>
      <w:r w:rsidRPr="00815FC0">
        <w:rPr>
          <w:rFonts w:cs="Arial"/>
          <w:lang w:val="en-CA"/>
        </w:rPr>
        <w:t xml:space="preserve"> </w:t>
      </w:r>
      <w:r w:rsidRPr="008E7874">
        <w:rPr>
          <w:rFonts w:cs="Arial"/>
          <w:lang w:val="en-CA"/>
        </w:rPr>
        <w:t>26.</w:t>
      </w:r>
    </w:p>
  </w:footnote>
  <w:footnote w:id="23">
    <w:p w14:paraId="66500425" w14:textId="3D4BAFBC" w:rsidR="00540118" w:rsidRPr="00815FC0" w:rsidRDefault="00E6443C" w:rsidP="00540118">
      <w:pPr>
        <w:pStyle w:val="Notedebasdepage"/>
        <w:tabs>
          <w:tab w:val="left" w:pos="426"/>
        </w:tabs>
        <w:rPr>
          <w:rFonts w:cs="Arial"/>
          <w:lang w:val="en-CA"/>
        </w:rPr>
      </w:pPr>
      <w:r w:rsidRPr="008E7874">
        <w:rPr>
          <w:rStyle w:val="Appelnotedebasdep"/>
          <w:rFonts w:cs="Arial"/>
        </w:rPr>
        <w:footnoteRef/>
      </w:r>
      <w:r w:rsidRPr="008E7874">
        <w:rPr>
          <w:rFonts w:cs="Arial"/>
          <w:lang w:val="en-CA"/>
        </w:rPr>
        <w:t xml:space="preserve"> </w:t>
      </w:r>
      <w:r w:rsidRPr="008E7874">
        <w:rPr>
          <w:rFonts w:cs="Arial"/>
          <w:lang w:val="en-CA"/>
        </w:rPr>
        <w:tab/>
      </w:r>
      <w:r w:rsidR="00815FC0" w:rsidRPr="00815FC0">
        <w:rPr>
          <w:rFonts w:cs="Arial"/>
          <w:i/>
          <w:iCs/>
          <w:lang w:val="en-CA"/>
        </w:rPr>
        <w:t>Bellegarde v. Carry the Kettle First Nation</w:t>
      </w:r>
      <w:r w:rsidR="00815FC0" w:rsidRPr="00815FC0">
        <w:rPr>
          <w:rFonts w:cs="Arial"/>
          <w:iCs/>
          <w:lang w:val="en-CA"/>
        </w:rPr>
        <w:t>, 2024 FC 699, para.</w:t>
      </w:r>
      <w:r w:rsidRPr="008E7874">
        <w:rPr>
          <w:rFonts w:cs="Arial"/>
          <w:lang w:val="en-CA"/>
        </w:rPr>
        <w:t xml:space="preserve"> </w:t>
      </w:r>
      <w:r w:rsidRPr="00591040">
        <w:rPr>
          <w:rFonts w:cs="Arial"/>
          <w:lang w:val="en-CA"/>
        </w:rPr>
        <w:t xml:space="preserve">29. </w:t>
      </w:r>
      <w:r w:rsidR="00815FC0" w:rsidRPr="00815FC0">
        <w:rPr>
          <w:rFonts w:cs="Arial"/>
          <w:lang w:val="en-CA"/>
        </w:rPr>
        <w:t xml:space="preserve">See also: </w:t>
      </w:r>
      <w:r w:rsidR="00815FC0" w:rsidRPr="00815FC0">
        <w:rPr>
          <w:rFonts w:cs="Arial"/>
          <w:i/>
          <w:lang w:val="en-CA"/>
        </w:rPr>
        <w:t>Marie-Jewell v. Salt River First Nation #195</w:t>
      </w:r>
      <w:r w:rsidR="00815FC0" w:rsidRPr="00815FC0">
        <w:rPr>
          <w:rFonts w:cs="Arial"/>
          <w:lang w:val="en-CA"/>
        </w:rPr>
        <w:t>, 2024 FC 192, para.</w:t>
      </w:r>
      <w:r w:rsidRPr="00591040">
        <w:rPr>
          <w:rFonts w:cs="Arial"/>
          <w:lang w:val="en-CA"/>
        </w:rPr>
        <w:t xml:space="preserve"> </w:t>
      </w:r>
      <w:r w:rsidR="00815FC0" w:rsidRPr="00815FC0">
        <w:rPr>
          <w:rFonts w:cs="Arial"/>
          <w:lang w:val="en-CA"/>
        </w:rPr>
        <w:t xml:space="preserve">24; </w:t>
      </w:r>
      <w:r w:rsidR="00815FC0" w:rsidRPr="00815FC0">
        <w:rPr>
          <w:rFonts w:cs="Arial"/>
          <w:i/>
          <w:lang w:val="en-CA"/>
        </w:rPr>
        <w:t>Vollant v. Sioui</w:t>
      </w:r>
      <w:r w:rsidR="00815FC0" w:rsidRPr="00815FC0">
        <w:rPr>
          <w:rFonts w:cs="Arial"/>
          <w:lang w:val="en-CA"/>
        </w:rPr>
        <w:t>, 2006 FC 487, para.</w:t>
      </w:r>
      <w:r w:rsidRPr="00815FC0">
        <w:rPr>
          <w:rFonts w:cs="Arial"/>
          <w:lang w:val="en-CA"/>
        </w:rPr>
        <w:t xml:space="preserve"> 25. </w:t>
      </w:r>
      <w:r w:rsidR="00815FC0" w:rsidRPr="00815FC0">
        <w:rPr>
          <w:rFonts w:cs="Arial"/>
          <w:lang w:val="en-CA"/>
        </w:rPr>
        <w:t xml:space="preserve">On the existence of a “custom” and its legal value, see: </w:t>
      </w:r>
      <w:r w:rsidR="00815FC0" w:rsidRPr="00815FC0">
        <w:rPr>
          <w:rFonts w:cs="Arial"/>
          <w:i/>
          <w:lang w:val="en-CA"/>
        </w:rPr>
        <w:t>Bertrand v. Acho Dene Koe First Nation</w:t>
      </w:r>
      <w:r w:rsidR="00815FC0" w:rsidRPr="00815FC0">
        <w:rPr>
          <w:rFonts w:cs="Arial"/>
          <w:lang w:val="en-CA"/>
        </w:rPr>
        <w:t>, 2021 FC 287, para</w:t>
      </w:r>
      <w:r w:rsidR="00A11C17">
        <w:rPr>
          <w:rFonts w:cs="Arial"/>
          <w:lang w:val="en-CA"/>
        </w:rPr>
        <w:t>s</w:t>
      </w:r>
      <w:r w:rsidR="00815FC0" w:rsidRPr="00815FC0">
        <w:rPr>
          <w:rFonts w:cs="Arial"/>
          <w:lang w:val="en-CA"/>
        </w:rPr>
        <w:t>.</w:t>
      </w:r>
      <w:r w:rsidRPr="00815FC0">
        <w:rPr>
          <w:rFonts w:cs="Arial"/>
          <w:lang w:val="en-CA"/>
        </w:rPr>
        <w:t> 41</w:t>
      </w:r>
      <w:r w:rsidR="00A11C17">
        <w:rPr>
          <w:rFonts w:cs="Arial"/>
          <w:lang w:val="en-CA"/>
        </w:rPr>
        <w:t>–</w:t>
      </w:r>
      <w:r w:rsidRPr="00815FC0">
        <w:rPr>
          <w:rFonts w:cs="Arial"/>
          <w:lang w:val="en-CA"/>
        </w:rPr>
        <w:t xml:space="preserve">42. </w:t>
      </w:r>
      <w:r w:rsidR="00815FC0" w:rsidRPr="00815FC0">
        <w:rPr>
          <w:rFonts w:cs="Arial"/>
          <w:lang w:val="en-CA"/>
        </w:rPr>
        <w:t xml:space="preserve">On the difference between “Aboriginal law” and “Canadian law”, see: </w:t>
      </w:r>
      <w:r w:rsidR="00815FC0" w:rsidRPr="00815FC0">
        <w:rPr>
          <w:rFonts w:cs="Arial"/>
          <w:i/>
          <w:lang w:val="en-CA"/>
        </w:rPr>
        <w:t>George v. Heiltsuk First Nation</w:t>
      </w:r>
      <w:r w:rsidR="00815FC0" w:rsidRPr="00815FC0">
        <w:rPr>
          <w:rFonts w:cs="Arial"/>
          <w:lang w:val="en-CA"/>
        </w:rPr>
        <w:t>, 2023 FC 1705, para</w:t>
      </w:r>
      <w:r w:rsidR="00A11C17">
        <w:rPr>
          <w:rFonts w:cs="Arial"/>
          <w:lang w:val="en-CA"/>
        </w:rPr>
        <w:t>s</w:t>
      </w:r>
      <w:r w:rsidR="00815FC0" w:rsidRPr="00815FC0">
        <w:rPr>
          <w:rFonts w:cs="Arial"/>
          <w:lang w:val="en-CA"/>
        </w:rPr>
        <w:t>.</w:t>
      </w:r>
      <w:r w:rsidRPr="00815FC0">
        <w:rPr>
          <w:rFonts w:cs="Arial"/>
          <w:lang w:val="en-CA"/>
        </w:rPr>
        <w:t> 25</w:t>
      </w:r>
      <w:r w:rsidR="00A11C17">
        <w:rPr>
          <w:rFonts w:cs="Arial"/>
          <w:lang w:val="en-CA"/>
        </w:rPr>
        <w:t>–</w:t>
      </w:r>
      <w:r w:rsidRPr="00815FC0">
        <w:rPr>
          <w:rFonts w:cs="Arial"/>
          <w:lang w:val="en-CA"/>
        </w:rPr>
        <w:t>29.</w:t>
      </w:r>
    </w:p>
  </w:footnote>
  <w:footnote w:id="24">
    <w:p w14:paraId="26BBEA11" w14:textId="30372C41" w:rsidR="00540118" w:rsidRPr="00815FC0" w:rsidRDefault="00E6443C" w:rsidP="00540118">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815FC0">
        <w:rPr>
          <w:rFonts w:cs="Arial"/>
          <w:i/>
          <w:iCs/>
          <w:lang w:val="en-CA"/>
        </w:rPr>
        <w:t>Air Canada v. Toronto Port Authority</w:t>
      </w:r>
      <w:r w:rsidR="00815FC0" w:rsidRPr="00815FC0">
        <w:rPr>
          <w:rFonts w:cs="Arial"/>
          <w:iCs/>
          <w:lang w:val="en-CA"/>
        </w:rPr>
        <w:t xml:space="preserve">, 2011 FCA 347, para. </w:t>
      </w:r>
      <w:r w:rsidRPr="00815FC0">
        <w:rPr>
          <w:rFonts w:cs="Arial"/>
          <w:lang w:val="en-CA"/>
        </w:rPr>
        <w:t>24.</w:t>
      </w:r>
    </w:p>
  </w:footnote>
  <w:footnote w:id="25">
    <w:p w14:paraId="5B0A6728" w14:textId="12EA20AB" w:rsidR="00F668F8" w:rsidRPr="00815FC0" w:rsidRDefault="00F668F8" w:rsidP="00F668F8">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i/>
          <w:iCs/>
          <w:lang w:val="en-CA"/>
        </w:rPr>
        <w:t>Ibid</w:t>
      </w:r>
      <w:r w:rsidR="00815FC0" w:rsidRPr="00B9670E">
        <w:rPr>
          <w:rFonts w:cs="Arial"/>
          <w:iCs/>
          <w:lang w:val="en-CA"/>
        </w:rPr>
        <w:t>.</w:t>
      </w:r>
    </w:p>
  </w:footnote>
  <w:footnote w:id="26">
    <w:p w14:paraId="7110F5E9" w14:textId="2B910923" w:rsidR="00540118" w:rsidRPr="003572C4" w:rsidRDefault="00E6443C" w:rsidP="00540118">
      <w:pPr>
        <w:pStyle w:val="Notedebasdepage"/>
        <w:tabs>
          <w:tab w:val="left" w:pos="426"/>
        </w:tabs>
        <w:rPr>
          <w:rFonts w:cs="Arial"/>
          <w:lang w:val="en-CA"/>
        </w:rPr>
      </w:pPr>
      <w:r w:rsidRPr="008E7874">
        <w:rPr>
          <w:rStyle w:val="Appelnotedebasdep"/>
          <w:rFonts w:cs="Arial"/>
        </w:rPr>
        <w:footnoteRef/>
      </w:r>
      <w:r w:rsidRPr="003572C4">
        <w:rPr>
          <w:rFonts w:cs="Arial"/>
          <w:lang w:val="es-ES"/>
        </w:rPr>
        <w:t xml:space="preserve"> </w:t>
      </w:r>
      <w:r w:rsidRPr="003572C4">
        <w:rPr>
          <w:rFonts w:cs="Arial"/>
          <w:lang w:val="es-ES"/>
        </w:rPr>
        <w:tab/>
      </w:r>
      <w:r w:rsidR="00815FC0" w:rsidRPr="003572C4">
        <w:rPr>
          <w:rFonts w:cs="Arial"/>
          <w:i/>
          <w:iCs/>
          <w:color w:val="000000"/>
          <w:lang w:val="es-ES"/>
        </w:rPr>
        <w:t>Canada (Attorney General) v. TeleZone Inc</w:t>
      </w:r>
      <w:r w:rsidR="00815FC0" w:rsidRPr="003572C4">
        <w:rPr>
          <w:rFonts w:cs="Arial"/>
          <w:iCs/>
          <w:color w:val="000000"/>
          <w:lang w:val="es-ES"/>
        </w:rPr>
        <w:t xml:space="preserve">., </w:t>
      </w:r>
      <w:r w:rsidR="00815FC0" w:rsidRPr="003572C4">
        <w:rPr>
          <w:rFonts w:cs="Arial"/>
          <w:i/>
          <w:iCs/>
          <w:color w:val="000000"/>
          <w:lang w:val="es-ES"/>
        </w:rPr>
        <w:t>supra</w:t>
      </w:r>
      <w:r w:rsidR="00815FC0" w:rsidRPr="003572C4">
        <w:rPr>
          <w:rFonts w:cs="Arial"/>
          <w:iCs/>
          <w:color w:val="000000"/>
          <w:lang w:val="es-ES"/>
        </w:rPr>
        <w:t>, note</w:t>
      </w:r>
      <w:r w:rsidRPr="003572C4">
        <w:rPr>
          <w:rStyle w:val="sccrespondentforindexchar"/>
          <w:rFonts w:cs="Arial"/>
          <w:color w:val="000000"/>
          <w:lang w:val="es-ES"/>
        </w:rPr>
        <w:t xml:space="preserve"> </w:t>
      </w:r>
      <w:r w:rsidRPr="008E7874">
        <w:rPr>
          <w:rStyle w:val="sccrespondentforindexchar"/>
          <w:rFonts w:cs="Arial"/>
          <w:color w:val="000000"/>
        </w:rPr>
        <w:fldChar w:fldCharType="begin"/>
      </w:r>
      <w:r w:rsidRPr="003572C4">
        <w:rPr>
          <w:rStyle w:val="sccrespondentforindexchar"/>
          <w:rFonts w:cs="Arial"/>
          <w:color w:val="000000"/>
          <w:lang w:val="es-ES"/>
        </w:rPr>
        <w:instrText xml:space="preserve"> NOTEREF _Ref177561679 \h  \* MERGEFORMAT </w:instrText>
      </w:r>
      <w:r w:rsidRPr="008E7874">
        <w:rPr>
          <w:rStyle w:val="sccrespondentforindexchar"/>
          <w:rFonts w:cs="Arial"/>
          <w:color w:val="000000"/>
        </w:rPr>
      </w:r>
      <w:r w:rsidRPr="008E7874">
        <w:rPr>
          <w:rStyle w:val="sccrespondentforindexchar"/>
          <w:rFonts w:cs="Arial"/>
          <w:color w:val="000000"/>
        </w:rPr>
        <w:fldChar w:fldCharType="separate"/>
      </w:r>
      <w:r w:rsidR="005F20FC">
        <w:rPr>
          <w:rStyle w:val="sccrespondentforindexchar"/>
          <w:rFonts w:cs="Arial"/>
          <w:color w:val="000000"/>
          <w:lang w:val="es-ES"/>
        </w:rPr>
        <w:t>15</w:t>
      </w:r>
      <w:r w:rsidRPr="008E7874">
        <w:rPr>
          <w:rStyle w:val="sccrespondentforindexchar"/>
          <w:rFonts w:cs="Arial"/>
          <w:color w:val="000000"/>
        </w:rPr>
        <w:fldChar w:fldCharType="end"/>
      </w:r>
      <w:r w:rsidR="00815FC0" w:rsidRPr="003572C4">
        <w:rPr>
          <w:rFonts w:cs="Arial"/>
          <w:lang w:val="es-ES"/>
        </w:rPr>
        <w:t>, para.</w:t>
      </w:r>
      <w:r w:rsidRPr="003572C4">
        <w:rPr>
          <w:rFonts w:cs="Arial"/>
          <w:lang w:val="es-ES"/>
        </w:rPr>
        <w:t xml:space="preserve"> </w:t>
      </w:r>
      <w:r w:rsidRPr="00815FC0">
        <w:rPr>
          <w:rFonts w:cs="Arial"/>
          <w:lang w:val="en-CA"/>
        </w:rPr>
        <w:t xml:space="preserve">52. </w:t>
      </w:r>
      <w:r w:rsidR="00815FC0" w:rsidRPr="00815FC0">
        <w:rPr>
          <w:rFonts w:cs="Arial"/>
          <w:lang w:val="en-CA"/>
        </w:rPr>
        <w:t xml:space="preserve">See also: </w:t>
      </w:r>
      <w:r w:rsidR="00815FC0" w:rsidRPr="00815FC0">
        <w:rPr>
          <w:rFonts w:cs="Arial"/>
          <w:i/>
          <w:lang w:val="en-CA"/>
        </w:rPr>
        <w:t>Key First Nation v. Lavallee</w:t>
      </w:r>
      <w:r w:rsidR="00815FC0" w:rsidRPr="00815FC0">
        <w:rPr>
          <w:rFonts w:cs="Arial"/>
          <w:lang w:val="en-CA"/>
        </w:rPr>
        <w:t>, 2021 FCA 123, para.</w:t>
      </w:r>
      <w:r w:rsidRPr="00815FC0">
        <w:rPr>
          <w:rFonts w:cs="Arial"/>
          <w:lang w:val="en-CA"/>
        </w:rPr>
        <w:t> </w:t>
      </w:r>
      <w:r w:rsidR="00815FC0" w:rsidRPr="000A5EE9">
        <w:rPr>
          <w:rFonts w:cs="Arial"/>
          <w:lang w:val="en-CA"/>
        </w:rPr>
        <w:t xml:space="preserve">34; </w:t>
      </w:r>
      <w:r w:rsidR="00815FC0" w:rsidRPr="000A5EE9">
        <w:rPr>
          <w:rFonts w:cs="Arial"/>
          <w:i/>
          <w:lang w:val="en-CA"/>
        </w:rPr>
        <w:t xml:space="preserve">Air Canada </w:t>
      </w:r>
      <w:r w:rsidR="00A03AD4">
        <w:rPr>
          <w:rFonts w:cs="Arial"/>
          <w:i/>
          <w:lang w:val="en-CA"/>
        </w:rPr>
        <w:t>v</w:t>
      </w:r>
      <w:r w:rsidR="00815FC0" w:rsidRPr="000A5EE9">
        <w:rPr>
          <w:rFonts w:cs="Arial"/>
          <w:i/>
          <w:lang w:val="en-CA"/>
        </w:rPr>
        <w:t>. Toronto Port Authority</w:t>
      </w:r>
      <w:r w:rsidR="00815FC0" w:rsidRPr="000A5EE9">
        <w:rPr>
          <w:rFonts w:cs="Arial"/>
          <w:lang w:val="en-CA"/>
        </w:rPr>
        <w:t xml:space="preserve">, </w:t>
      </w:r>
      <w:r w:rsidR="00815FC0" w:rsidRPr="000A5EE9">
        <w:rPr>
          <w:rFonts w:cs="Arial"/>
          <w:i/>
          <w:lang w:val="en-CA"/>
        </w:rPr>
        <w:t>supra</w:t>
      </w:r>
      <w:r w:rsidR="00815FC0" w:rsidRPr="000A5EE9">
        <w:rPr>
          <w:rFonts w:cs="Arial"/>
          <w:lang w:val="en-CA"/>
        </w:rPr>
        <w:t>, note</w:t>
      </w:r>
      <w:r w:rsidRPr="000A5EE9">
        <w:rPr>
          <w:rFonts w:cs="Arial"/>
          <w:lang w:val="en-CA"/>
        </w:rPr>
        <w:t xml:space="preserve"> </w:t>
      </w:r>
      <w:r w:rsidRPr="008E7874">
        <w:rPr>
          <w:rFonts w:cs="Arial"/>
        </w:rPr>
        <w:fldChar w:fldCharType="begin"/>
      </w:r>
      <w:r w:rsidRPr="000A5EE9">
        <w:rPr>
          <w:rFonts w:cs="Arial"/>
          <w:lang w:val="en-CA"/>
        </w:rPr>
        <w:instrText xml:space="preserve"> NOTEREF _Ref169096991 \h  \* MERGEFORMAT </w:instrText>
      </w:r>
      <w:r w:rsidRPr="008E7874">
        <w:rPr>
          <w:rFonts w:cs="Arial"/>
        </w:rPr>
      </w:r>
      <w:r w:rsidRPr="008E7874">
        <w:rPr>
          <w:rFonts w:cs="Arial"/>
        </w:rPr>
        <w:fldChar w:fldCharType="separate"/>
      </w:r>
      <w:r w:rsidR="005F20FC">
        <w:rPr>
          <w:rFonts w:cs="Arial"/>
          <w:lang w:val="en-CA"/>
        </w:rPr>
        <w:t>24</w:t>
      </w:r>
      <w:r w:rsidRPr="008E7874">
        <w:rPr>
          <w:rFonts w:cs="Arial"/>
        </w:rPr>
        <w:fldChar w:fldCharType="end"/>
      </w:r>
      <w:r w:rsidR="00815FC0" w:rsidRPr="000A5EE9">
        <w:rPr>
          <w:rFonts w:cs="Arial"/>
          <w:lang w:val="en-CA"/>
        </w:rPr>
        <w:t>, para.</w:t>
      </w:r>
      <w:r w:rsidRPr="000A5EE9">
        <w:rPr>
          <w:rFonts w:cs="Arial"/>
          <w:lang w:val="en-CA"/>
        </w:rPr>
        <w:t xml:space="preserve"> </w:t>
      </w:r>
      <w:r w:rsidR="00815FC0" w:rsidRPr="003572C4">
        <w:rPr>
          <w:rFonts w:cs="Arial"/>
          <w:lang w:val="en-CA"/>
        </w:rPr>
        <w:t xml:space="preserve">24; </w:t>
      </w:r>
      <w:r w:rsidR="00815FC0" w:rsidRPr="003572C4">
        <w:rPr>
          <w:rFonts w:cs="Arial"/>
          <w:i/>
          <w:lang w:val="en-CA"/>
        </w:rPr>
        <w:t>Krause v. Canada</w:t>
      </w:r>
      <w:r w:rsidR="00815FC0" w:rsidRPr="003572C4">
        <w:rPr>
          <w:rFonts w:cs="Arial"/>
          <w:lang w:val="en-CA"/>
        </w:rPr>
        <w:t xml:space="preserve"> (C.A.), [1999] 2 F.C.</w:t>
      </w:r>
      <w:r w:rsidRPr="003572C4">
        <w:rPr>
          <w:rFonts w:cs="Arial"/>
          <w:lang w:val="en-CA"/>
        </w:rPr>
        <w:t xml:space="preserve"> </w:t>
      </w:r>
      <w:r w:rsidR="00815FC0" w:rsidRPr="003572C4">
        <w:rPr>
          <w:rFonts w:cs="Arial"/>
          <w:lang w:val="en-CA"/>
        </w:rPr>
        <w:t>476 (</w:t>
      </w:r>
      <w:r w:rsidR="004C3E30" w:rsidRPr="003572C4">
        <w:rPr>
          <w:rFonts w:cs="Arial"/>
          <w:i/>
          <w:iCs/>
          <w:lang w:val="en-CA"/>
        </w:rPr>
        <w:t>F</w:t>
      </w:r>
      <w:r w:rsidR="003417EC" w:rsidRPr="003572C4">
        <w:rPr>
          <w:rFonts w:cs="Arial"/>
          <w:i/>
          <w:iCs/>
          <w:lang w:val="en-CA"/>
        </w:rPr>
        <w:t>.</w:t>
      </w:r>
      <w:r w:rsidR="004C3E30" w:rsidRPr="003572C4">
        <w:rPr>
          <w:rFonts w:cs="Arial"/>
          <w:i/>
          <w:iCs/>
          <w:lang w:val="en-CA"/>
        </w:rPr>
        <w:t>C</w:t>
      </w:r>
      <w:r w:rsidR="003417EC" w:rsidRPr="003572C4">
        <w:rPr>
          <w:rFonts w:cs="Arial"/>
          <w:i/>
          <w:iCs/>
          <w:lang w:val="en-CA"/>
        </w:rPr>
        <w:t>.</w:t>
      </w:r>
      <w:r w:rsidR="004C3E30" w:rsidRPr="003572C4">
        <w:rPr>
          <w:rFonts w:cs="Arial"/>
          <w:i/>
          <w:iCs/>
          <w:lang w:val="en-CA"/>
        </w:rPr>
        <w:t>A</w:t>
      </w:r>
      <w:r w:rsidR="003417EC" w:rsidRPr="003572C4">
        <w:rPr>
          <w:rFonts w:cs="Arial"/>
          <w:i/>
          <w:iCs/>
          <w:lang w:val="en-CA"/>
        </w:rPr>
        <w:t>.</w:t>
      </w:r>
      <w:r w:rsidR="00815FC0" w:rsidRPr="003572C4">
        <w:rPr>
          <w:rFonts w:cs="Arial"/>
          <w:lang w:val="en-CA"/>
        </w:rPr>
        <w:t>).</w:t>
      </w:r>
    </w:p>
  </w:footnote>
  <w:footnote w:id="27">
    <w:p w14:paraId="403EC696" w14:textId="1B3774D5" w:rsidR="00B61F1B" w:rsidRPr="00815FC0" w:rsidRDefault="00B61F1B" w:rsidP="00B61F1B">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Style w:val="sccappellantforindexchar"/>
          <w:rFonts w:cs="Arial"/>
          <w:iCs/>
          <w:color w:val="000000"/>
          <w:lang w:val="en-CA"/>
        </w:rPr>
        <w:t xml:space="preserve"> </w:t>
      </w:r>
      <w:r w:rsidR="00815FC0" w:rsidRPr="00B9670E">
        <w:rPr>
          <w:rStyle w:val="sccappellantforindexchar"/>
          <w:rFonts w:cs="Arial"/>
          <w:i/>
          <w:iCs/>
          <w:color w:val="000000"/>
          <w:lang w:val="en-CA"/>
        </w:rPr>
        <w:t>Canada (Attorney General) v. TeleZone Inc</w:t>
      </w:r>
      <w:r w:rsidR="00815FC0" w:rsidRPr="00B9670E">
        <w:rPr>
          <w:rStyle w:val="sccappellantforindexchar"/>
          <w:rFonts w:cs="Arial"/>
          <w:iCs/>
          <w:color w:val="000000"/>
          <w:lang w:val="en-CA"/>
        </w:rPr>
        <w:t xml:space="preserve">., </w:t>
      </w:r>
      <w:r w:rsidR="00815FC0" w:rsidRPr="00B9670E">
        <w:rPr>
          <w:rStyle w:val="sccappellantforindexchar"/>
          <w:rFonts w:cs="Arial"/>
          <w:i/>
          <w:iCs/>
          <w:color w:val="000000"/>
          <w:lang w:val="en-CA"/>
        </w:rPr>
        <w:t>supra</w:t>
      </w:r>
      <w:r w:rsidR="00815FC0" w:rsidRPr="00B9670E">
        <w:rPr>
          <w:rStyle w:val="sccappellantforindexchar"/>
          <w:rFonts w:cs="Arial"/>
          <w:iCs/>
          <w:color w:val="000000"/>
          <w:lang w:val="en-CA"/>
        </w:rPr>
        <w:t>, note</w:t>
      </w:r>
      <w:r w:rsidRPr="00815FC0">
        <w:rPr>
          <w:rStyle w:val="sccrespondentforindexchar"/>
          <w:rFonts w:cs="Arial"/>
          <w:color w:val="000000"/>
          <w:lang w:val="en-CA"/>
        </w:rPr>
        <w:t xml:space="preserve"> </w:t>
      </w:r>
      <w:r w:rsidRPr="008E7874">
        <w:rPr>
          <w:rStyle w:val="sccrespondentforindexchar"/>
          <w:rFonts w:cs="Arial"/>
          <w:color w:val="000000"/>
        </w:rPr>
        <w:fldChar w:fldCharType="begin"/>
      </w:r>
      <w:r w:rsidRPr="00815FC0">
        <w:rPr>
          <w:rStyle w:val="sccrespondentforindexchar"/>
          <w:rFonts w:cs="Arial"/>
          <w:color w:val="000000"/>
          <w:lang w:val="en-CA"/>
        </w:rPr>
        <w:instrText xml:space="preserve"> NOTEREF _Ref177561679 \h  \* MERGEFORMAT </w:instrText>
      </w:r>
      <w:r w:rsidRPr="008E7874">
        <w:rPr>
          <w:rStyle w:val="sccrespondentforindexchar"/>
          <w:rFonts w:cs="Arial"/>
          <w:color w:val="000000"/>
        </w:rPr>
      </w:r>
      <w:r w:rsidRPr="008E7874">
        <w:rPr>
          <w:rStyle w:val="sccrespondentforindexchar"/>
          <w:rFonts w:cs="Arial"/>
          <w:color w:val="000000"/>
        </w:rPr>
        <w:fldChar w:fldCharType="separate"/>
      </w:r>
      <w:r w:rsidR="005F20FC">
        <w:rPr>
          <w:rStyle w:val="sccrespondentforindexchar"/>
          <w:rFonts w:cs="Arial"/>
          <w:color w:val="000000"/>
          <w:lang w:val="en-CA"/>
        </w:rPr>
        <w:t>15</w:t>
      </w:r>
      <w:r w:rsidRPr="008E7874">
        <w:rPr>
          <w:rStyle w:val="sccrespondentforindexchar"/>
          <w:rFonts w:cs="Arial"/>
          <w:color w:val="000000"/>
        </w:rPr>
        <w:fldChar w:fldCharType="end"/>
      </w:r>
      <w:r w:rsidRPr="00815FC0">
        <w:rPr>
          <w:rStyle w:val="sccrespondentforindexchar"/>
          <w:rFonts w:cs="Arial"/>
          <w:color w:val="000000"/>
          <w:lang w:val="en-CA"/>
        </w:rPr>
        <w:t>.</w:t>
      </w:r>
    </w:p>
  </w:footnote>
  <w:footnote w:id="28">
    <w:p w14:paraId="44C8737C" w14:textId="41281EF5" w:rsidR="00B61F1B" w:rsidRPr="00815FC0" w:rsidRDefault="00B61F1B" w:rsidP="00B61F1B">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i/>
          <w:iCs/>
          <w:lang w:val="en-CA"/>
        </w:rPr>
        <w:t>Id.</w:t>
      </w:r>
      <w:r w:rsidR="00815FC0" w:rsidRPr="00B52643">
        <w:rPr>
          <w:rFonts w:cs="Arial"/>
          <w:lang w:val="en-CA"/>
        </w:rPr>
        <w:t>, at para</w:t>
      </w:r>
      <w:r w:rsidR="003417EC" w:rsidRPr="00B52643">
        <w:rPr>
          <w:rFonts w:cs="Arial"/>
          <w:lang w:val="en-CA"/>
        </w:rPr>
        <w:t>s</w:t>
      </w:r>
      <w:r w:rsidR="00815FC0" w:rsidRPr="00B52643">
        <w:rPr>
          <w:rFonts w:cs="Arial"/>
          <w:lang w:val="en-CA"/>
        </w:rPr>
        <w:t>.</w:t>
      </w:r>
      <w:r w:rsidRPr="00B52643">
        <w:rPr>
          <w:rFonts w:cs="Arial"/>
          <w:lang w:val="en-CA"/>
        </w:rPr>
        <w:t xml:space="preserve"> </w:t>
      </w:r>
      <w:r w:rsidRPr="00815FC0">
        <w:rPr>
          <w:rFonts w:cs="Arial"/>
          <w:lang w:val="en-CA"/>
        </w:rPr>
        <w:t>14</w:t>
      </w:r>
      <w:r w:rsidR="003417EC">
        <w:rPr>
          <w:rFonts w:cs="Arial"/>
          <w:lang w:val="en-CA"/>
        </w:rPr>
        <w:t>–</w:t>
      </w:r>
      <w:r w:rsidRPr="00815FC0">
        <w:rPr>
          <w:rFonts w:cs="Arial"/>
          <w:lang w:val="en-CA"/>
        </w:rPr>
        <w:t>25.</w:t>
      </w:r>
    </w:p>
  </w:footnote>
  <w:footnote w:id="29">
    <w:p w14:paraId="6B99EC98" w14:textId="743EC627" w:rsidR="00623E97" w:rsidRPr="00815FC0" w:rsidRDefault="00623E97" w:rsidP="00623E97">
      <w:pPr>
        <w:pStyle w:val="Notedebasdepage"/>
        <w:tabs>
          <w:tab w:val="left" w:pos="426"/>
        </w:tabs>
        <w:rPr>
          <w:rFonts w:cs="Arial"/>
          <w:lang w:val="en-CA"/>
        </w:rPr>
      </w:pPr>
      <w:r w:rsidRPr="008E7874">
        <w:rPr>
          <w:rStyle w:val="Appelnotedebasdep"/>
          <w:rFonts w:cs="Arial"/>
        </w:rPr>
        <w:footnoteRef/>
      </w:r>
      <w:r w:rsidRPr="00154164">
        <w:rPr>
          <w:rFonts w:cs="Arial"/>
          <w:lang w:val="en-CA"/>
        </w:rPr>
        <w:t xml:space="preserve"> </w:t>
      </w:r>
      <w:r w:rsidRPr="00154164">
        <w:rPr>
          <w:rFonts w:cs="Arial"/>
          <w:lang w:val="en-CA"/>
        </w:rPr>
        <w:tab/>
      </w:r>
      <w:r w:rsidR="001241C2" w:rsidRPr="001241C2">
        <w:rPr>
          <w:rFonts w:cs="Arial"/>
          <w:i/>
          <w:iCs/>
          <w:lang w:val="en-CA"/>
        </w:rPr>
        <w:t>Bellegarde v. Carry the Kettle First Nation</w:t>
      </w:r>
      <w:r w:rsidR="001241C2" w:rsidRPr="001241C2">
        <w:rPr>
          <w:rFonts w:cs="Arial"/>
          <w:iCs/>
          <w:lang w:val="en-CA"/>
        </w:rPr>
        <w:t xml:space="preserve">, </w:t>
      </w:r>
      <w:r w:rsidR="001241C2" w:rsidRPr="001241C2">
        <w:rPr>
          <w:rFonts w:cs="Arial"/>
          <w:i/>
          <w:iCs/>
          <w:lang w:val="en-CA"/>
        </w:rPr>
        <w:t>supra</w:t>
      </w:r>
      <w:r w:rsidR="001241C2" w:rsidRPr="001241C2">
        <w:rPr>
          <w:rFonts w:cs="Arial"/>
          <w:iCs/>
          <w:lang w:val="en-CA"/>
        </w:rPr>
        <w:t>, note</w:t>
      </w:r>
      <w:r w:rsidRPr="00154164">
        <w:rPr>
          <w:rFonts w:cs="Arial"/>
          <w:lang w:val="en-CA"/>
        </w:rPr>
        <w:t xml:space="preserve"> </w:t>
      </w:r>
      <w:r w:rsidRPr="008E7874">
        <w:rPr>
          <w:rFonts w:cs="Arial"/>
          <w:lang w:val="en-CA"/>
        </w:rPr>
        <w:fldChar w:fldCharType="begin"/>
      </w:r>
      <w:r w:rsidRPr="00154164">
        <w:rPr>
          <w:rFonts w:cs="Arial"/>
          <w:lang w:val="en-CA"/>
        </w:rPr>
        <w:instrText xml:space="preserve"> NOTEREF _Ref177562209 \h  \* MERGEFORMAT </w:instrText>
      </w:r>
      <w:r w:rsidRPr="008E7874">
        <w:rPr>
          <w:rFonts w:cs="Arial"/>
          <w:lang w:val="en-CA"/>
        </w:rPr>
      </w:r>
      <w:r w:rsidRPr="008E7874">
        <w:rPr>
          <w:rFonts w:cs="Arial"/>
          <w:lang w:val="en-CA"/>
        </w:rPr>
        <w:fldChar w:fldCharType="separate"/>
      </w:r>
      <w:r w:rsidR="005F20FC">
        <w:rPr>
          <w:rFonts w:cs="Arial"/>
          <w:lang w:val="en-CA"/>
        </w:rPr>
        <w:t>23</w:t>
      </w:r>
      <w:r w:rsidRPr="008E7874">
        <w:rPr>
          <w:rFonts w:cs="Arial"/>
          <w:lang w:val="en-CA"/>
        </w:rPr>
        <w:fldChar w:fldCharType="end"/>
      </w:r>
      <w:r w:rsidR="00815FC0" w:rsidRPr="00B9670E">
        <w:rPr>
          <w:rFonts w:cs="Arial"/>
          <w:lang w:val="en-CA"/>
        </w:rPr>
        <w:t>, para.</w:t>
      </w:r>
      <w:r w:rsidRPr="00154164">
        <w:rPr>
          <w:rFonts w:cs="Arial"/>
          <w:lang w:val="en-CA"/>
        </w:rPr>
        <w:t xml:space="preserve"> </w:t>
      </w:r>
      <w:r w:rsidRPr="00815FC0">
        <w:rPr>
          <w:rFonts w:cs="Arial"/>
          <w:lang w:val="en-CA"/>
        </w:rPr>
        <w:t>29.</w:t>
      </w:r>
    </w:p>
  </w:footnote>
  <w:footnote w:id="30">
    <w:p w14:paraId="64B257B5" w14:textId="110883E4" w:rsidR="00623E97" w:rsidRPr="00815FC0" w:rsidRDefault="00623E97" w:rsidP="00623E97">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1241C2" w:rsidRPr="00B9670E">
        <w:rPr>
          <w:rFonts w:cs="Arial"/>
          <w:i/>
          <w:iCs/>
          <w:lang w:val="en-CA"/>
        </w:rPr>
        <w:t>ITO-Int’l Terminal Operators v. Miida Electronics</w:t>
      </w:r>
      <w:r w:rsidR="001241C2" w:rsidRPr="00B9670E">
        <w:rPr>
          <w:rFonts w:cs="Arial"/>
          <w:iCs/>
          <w:lang w:val="en-CA"/>
        </w:rPr>
        <w:t xml:space="preserve">, </w:t>
      </w:r>
      <w:r w:rsidR="001241C2" w:rsidRPr="00B9670E">
        <w:rPr>
          <w:rFonts w:cs="Arial"/>
          <w:i/>
          <w:iCs/>
          <w:lang w:val="en-CA"/>
        </w:rPr>
        <w:t>supra</w:t>
      </w:r>
      <w:r w:rsidR="001241C2" w:rsidRPr="00B9670E">
        <w:rPr>
          <w:rFonts w:cs="Arial"/>
          <w:iCs/>
          <w:lang w:val="en-CA"/>
        </w:rPr>
        <w:t>, note</w:t>
      </w:r>
      <w:r w:rsidRPr="00815FC0">
        <w:rPr>
          <w:rFonts w:cs="Arial"/>
          <w:lang w:val="en-CA"/>
        </w:rPr>
        <w:t xml:space="preserve"> </w:t>
      </w:r>
      <w:r w:rsidRPr="008E7874">
        <w:rPr>
          <w:rFonts w:cs="Arial"/>
          <w:lang w:val="en-CA"/>
        </w:rPr>
        <w:fldChar w:fldCharType="begin"/>
      </w:r>
      <w:r w:rsidRPr="00815FC0">
        <w:rPr>
          <w:rFonts w:cs="Arial"/>
          <w:lang w:val="en-CA"/>
        </w:rPr>
        <w:instrText xml:space="preserve"> NOTEREF _Ref177561863 \h  \* MERGEFORMAT </w:instrText>
      </w:r>
      <w:r w:rsidRPr="008E7874">
        <w:rPr>
          <w:rFonts w:cs="Arial"/>
          <w:lang w:val="en-CA"/>
        </w:rPr>
      </w:r>
      <w:r w:rsidRPr="008E7874">
        <w:rPr>
          <w:rFonts w:cs="Arial"/>
          <w:lang w:val="en-CA"/>
        </w:rPr>
        <w:fldChar w:fldCharType="separate"/>
      </w:r>
      <w:r w:rsidR="005F20FC">
        <w:rPr>
          <w:rFonts w:cs="Arial"/>
          <w:lang w:val="en-CA"/>
        </w:rPr>
        <w:t>18</w:t>
      </w:r>
      <w:r w:rsidRPr="008E7874">
        <w:rPr>
          <w:rFonts w:cs="Arial"/>
          <w:lang w:val="en-CA"/>
        </w:rPr>
        <w:fldChar w:fldCharType="end"/>
      </w:r>
      <w:r w:rsidR="00703EAC">
        <w:rPr>
          <w:rFonts w:cs="Arial"/>
          <w:lang w:val="en-CA"/>
        </w:rPr>
        <w:t>, p.</w:t>
      </w:r>
      <w:r w:rsidR="00815FC0" w:rsidRPr="00B9670E">
        <w:rPr>
          <w:rFonts w:cs="Arial"/>
          <w:lang w:val="en-CA"/>
        </w:rPr>
        <w:t xml:space="preserve"> 766.</w:t>
      </w:r>
    </w:p>
  </w:footnote>
  <w:footnote w:id="31">
    <w:p w14:paraId="48CAA910" w14:textId="5AA522AD" w:rsidR="00E6443C" w:rsidRPr="000A5EE9" w:rsidRDefault="00E6443C" w:rsidP="00E6443C">
      <w:pPr>
        <w:pStyle w:val="Notedebasdepage"/>
        <w:tabs>
          <w:tab w:val="left" w:pos="426"/>
        </w:tabs>
        <w:rPr>
          <w:rFonts w:cs="Arial"/>
          <w:lang w:val="en-CA"/>
        </w:rPr>
      </w:pPr>
      <w:r w:rsidRPr="008E7874">
        <w:rPr>
          <w:rStyle w:val="Appelnotedebasdep"/>
          <w:rFonts w:cs="Arial"/>
        </w:rPr>
        <w:footnoteRef/>
      </w:r>
      <w:r w:rsidRPr="001241C2">
        <w:rPr>
          <w:rFonts w:cs="Arial"/>
          <w:lang w:val="en-CA"/>
        </w:rPr>
        <w:t xml:space="preserve"> </w:t>
      </w:r>
      <w:r w:rsidRPr="001241C2">
        <w:rPr>
          <w:rFonts w:cs="Arial"/>
          <w:lang w:val="en-CA"/>
        </w:rPr>
        <w:tab/>
      </w:r>
      <w:r w:rsidR="001241C2" w:rsidRPr="001241C2">
        <w:rPr>
          <w:rFonts w:cs="Arial"/>
          <w:i/>
          <w:iCs/>
          <w:lang w:val="en-CA"/>
        </w:rPr>
        <w:t>Shanks v. Salt River First Nation #195</w:t>
      </w:r>
      <w:r w:rsidR="001241C2" w:rsidRPr="00703EAC">
        <w:rPr>
          <w:rFonts w:cs="Arial"/>
          <w:lang w:val="en-CA"/>
        </w:rPr>
        <w:t>, 2023 FC 690, para.</w:t>
      </w:r>
      <w:r w:rsidRPr="001241C2">
        <w:rPr>
          <w:rFonts w:cs="Arial"/>
          <w:lang w:val="en-CA"/>
        </w:rPr>
        <w:t xml:space="preserve"> 36. </w:t>
      </w:r>
      <w:r w:rsidR="001241C2" w:rsidRPr="001241C2">
        <w:rPr>
          <w:rFonts w:cs="Arial"/>
          <w:lang w:val="en-CA"/>
        </w:rPr>
        <w:t xml:space="preserve">See also: </w:t>
      </w:r>
      <w:r w:rsidR="001241C2" w:rsidRPr="001241C2">
        <w:rPr>
          <w:rFonts w:cs="Arial"/>
          <w:i/>
          <w:lang w:val="en-CA"/>
        </w:rPr>
        <w:t>Air Canada v. Toronto Port Authority</w:t>
      </w:r>
      <w:r w:rsidR="001241C2" w:rsidRPr="001241C2">
        <w:rPr>
          <w:rFonts w:cs="Arial"/>
          <w:lang w:val="en-CA"/>
        </w:rPr>
        <w:t xml:space="preserve">, </w:t>
      </w:r>
      <w:r w:rsidR="001241C2" w:rsidRPr="001241C2">
        <w:rPr>
          <w:rFonts w:cs="Arial"/>
          <w:i/>
          <w:lang w:val="en-CA"/>
        </w:rPr>
        <w:t>supra</w:t>
      </w:r>
      <w:r w:rsidR="001241C2" w:rsidRPr="001241C2">
        <w:rPr>
          <w:rFonts w:cs="Arial"/>
          <w:lang w:val="en-CA"/>
        </w:rPr>
        <w:t>, note</w:t>
      </w:r>
      <w:r w:rsidRPr="001241C2">
        <w:rPr>
          <w:rFonts w:cs="Arial"/>
          <w:lang w:val="en-CA"/>
        </w:rPr>
        <w:t xml:space="preserve"> </w:t>
      </w:r>
      <w:r w:rsidRPr="008E7874">
        <w:rPr>
          <w:rFonts w:cs="Arial"/>
        </w:rPr>
        <w:fldChar w:fldCharType="begin"/>
      </w:r>
      <w:r w:rsidRPr="001241C2">
        <w:rPr>
          <w:rFonts w:cs="Arial"/>
          <w:lang w:val="en-CA"/>
        </w:rPr>
        <w:instrText xml:space="preserve"> NOTEREF _Ref169096991 \h  \* MERGEFORMAT </w:instrText>
      </w:r>
      <w:r w:rsidRPr="008E7874">
        <w:rPr>
          <w:rFonts w:cs="Arial"/>
        </w:rPr>
      </w:r>
      <w:r w:rsidRPr="008E7874">
        <w:rPr>
          <w:rFonts w:cs="Arial"/>
        </w:rPr>
        <w:fldChar w:fldCharType="separate"/>
      </w:r>
      <w:r w:rsidR="005F20FC">
        <w:rPr>
          <w:rFonts w:cs="Arial"/>
          <w:lang w:val="en-CA"/>
        </w:rPr>
        <w:t>24</w:t>
      </w:r>
      <w:r w:rsidRPr="008E7874">
        <w:rPr>
          <w:rFonts w:cs="Arial"/>
        </w:rPr>
        <w:fldChar w:fldCharType="end"/>
      </w:r>
      <w:r w:rsidR="00815FC0" w:rsidRPr="00B9670E">
        <w:rPr>
          <w:rFonts w:cs="Arial"/>
          <w:lang w:val="en-CA"/>
        </w:rPr>
        <w:t>, para</w:t>
      </w:r>
      <w:r w:rsidR="00703EAC">
        <w:rPr>
          <w:rFonts w:cs="Arial"/>
          <w:lang w:val="en-CA"/>
        </w:rPr>
        <w:t>s</w:t>
      </w:r>
      <w:r w:rsidR="00815FC0" w:rsidRPr="00B9670E">
        <w:rPr>
          <w:rFonts w:cs="Arial"/>
          <w:lang w:val="en-CA"/>
        </w:rPr>
        <w:t>.</w:t>
      </w:r>
      <w:r w:rsidRPr="001241C2">
        <w:rPr>
          <w:rFonts w:cs="Arial"/>
          <w:lang w:val="en-CA"/>
        </w:rPr>
        <w:t xml:space="preserve"> </w:t>
      </w:r>
      <w:r w:rsidR="001241C2" w:rsidRPr="001241C2">
        <w:rPr>
          <w:rFonts w:cs="Arial"/>
          <w:lang w:val="en-CA"/>
        </w:rPr>
        <w:t xml:space="preserve">52–60, cited with approval in </w:t>
      </w:r>
      <w:r w:rsidR="001241C2" w:rsidRPr="001241C2">
        <w:rPr>
          <w:rFonts w:cs="Arial"/>
          <w:i/>
          <w:lang w:val="en-CA"/>
        </w:rPr>
        <w:t>Highwood Congregation of Jehovah’s Witnesses (Judicial Committee) c. Wall</w:t>
      </w:r>
      <w:r w:rsidR="001241C2" w:rsidRPr="001241C2">
        <w:rPr>
          <w:rFonts w:cs="Arial"/>
          <w:lang w:val="en-CA"/>
        </w:rPr>
        <w:t>,</w:t>
      </w:r>
      <w:r w:rsidR="001241C2" w:rsidRPr="001241C2">
        <w:rPr>
          <w:rFonts w:cs="Arial"/>
          <w:i/>
          <w:lang w:val="en-CA"/>
        </w:rPr>
        <w:t xml:space="preserve"> supra</w:t>
      </w:r>
      <w:r w:rsidR="001241C2" w:rsidRPr="001241C2">
        <w:rPr>
          <w:rFonts w:cs="Arial"/>
          <w:lang w:val="en-CA"/>
        </w:rPr>
        <w:t>, note</w:t>
      </w:r>
      <w:r w:rsidRPr="001241C2">
        <w:rPr>
          <w:rFonts w:cs="Arial"/>
          <w:lang w:val="en-CA"/>
        </w:rPr>
        <w:t xml:space="preserve"> </w:t>
      </w:r>
      <w:r w:rsidRPr="008E7874">
        <w:rPr>
          <w:rFonts w:cs="Arial"/>
          <w:lang w:val="en-CA"/>
        </w:rPr>
        <w:fldChar w:fldCharType="begin"/>
      </w:r>
      <w:r w:rsidRPr="001241C2">
        <w:rPr>
          <w:rFonts w:cs="Arial"/>
          <w:lang w:val="en-CA"/>
        </w:rPr>
        <w:instrText xml:space="preserve"> NOTEREF _Ref168686314 \h  \* MERGEFORMAT </w:instrText>
      </w:r>
      <w:r w:rsidRPr="008E7874">
        <w:rPr>
          <w:rFonts w:cs="Arial"/>
          <w:lang w:val="en-CA"/>
        </w:rPr>
      </w:r>
      <w:r w:rsidRPr="008E7874">
        <w:rPr>
          <w:rFonts w:cs="Arial"/>
          <w:lang w:val="en-CA"/>
        </w:rPr>
        <w:fldChar w:fldCharType="separate"/>
      </w:r>
      <w:r w:rsidR="005F20FC">
        <w:rPr>
          <w:rFonts w:cs="Arial"/>
          <w:lang w:val="en-CA"/>
        </w:rPr>
        <w:t>21</w:t>
      </w:r>
      <w:r w:rsidRPr="008E7874">
        <w:rPr>
          <w:rFonts w:cs="Arial"/>
          <w:lang w:val="en-CA"/>
        </w:rPr>
        <w:fldChar w:fldCharType="end"/>
      </w:r>
      <w:r w:rsidR="00815FC0" w:rsidRPr="00B9670E">
        <w:rPr>
          <w:rFonts w:cs="Arial"/>
          <w:lang w:val="en-CA"/>
        </w:rPr>
        <w:t>, para.</w:t>
      </w:r>
      <w:r w:rsidRPr="001241C2">
        <w:rPr>
          <w:rFonts w:cs="Arial"/>
          <w:lang w:val="en-CA"/>
        </w:rPr>
        <w:t xml:space="preserve"> </w:t>
      </w:r>
      <w:r w:rsidRPr="000A5EE9">
        <w:rPr>
          <w:rFonts w:cs="Arial"/>
          <w:lang w:val="en-CA"/>
        </w:rPr>
        <w:t xml:space="preserve">14. </w:t>
      </w:r>
    </w:p>
  </w:footnote>
  <w:footnote w:id="32">
    <w:p w14:paraId="2B04E616" w14:textId="2E7F64CF" w:rsidR="00154164" w:rsidRPr="001241C2" w:rsidRDefault="00154164" w:rsidP="00154164">
      <w:pPr>
        <w:pStyle w:val="Notedebasdepage"/>
        <w:tabs>
          <w:tab w:val="left" w:pos="426"/>
        </w:tabs>
        <w:rPr>
          <w:rFonts w:cs="Arial"/>
          <w:lang w:val="en-CA"/>
        </w:rPr>
      </w:pPr>
      <w:r w:rsidRPr="008E7874">
        <w:rPr>
          <w:rStyle w:val="Appelnotedebasdep"/>
          <w:rFonts w:cs="Arial"/>
        </w:rPr>
        <w:footnoteRef/>
      </w:r>
      <w:r w:rsidRPr="001241C2">
        <w:rPr>
          <w:rFonts w:cs="Arial"/>
          <w:lang w:val="en-CA"/>
        </w:rPr>
        <w:t xml:space="preserve"> </w:t>
      </w:r>
      <w:r w:rsidRPr="001241C2">
        <w:rPr>
          <w:rFonts w:cs="Arial"/>
          <w:lang w:val="en-CA"/>
        </w:rPr>
        <w:tab/>
      </w:r>
      <w:r w:rsidR="001241C2" w:rsidRPr="00B9670E">
        <w:rPr>
          <w:rFonts w:cs="Arial"/>
          <w:i/>
          <w:iCs/>
          <w:lang w:val="en-CA"/>
        </w:rPr>
        <w:t>ITO-Int’l Terminal Operators v. Miida Electronics</w:t>
      </w:r>
      <w:r w:rsidR="001241C2" w:rsidRPr="00B9670E">
        <w:rPr>
          <w:rFonts w:cs="Arial"/>
          <w:iCs/>
          <w:lang w:val="en-CA"/>
        </w:rPr>
        <w:t xml:space="preserve">, </w:t>
      </w:r>
      <w:r w:rsidR="001241C2" w:rsidRPr="00B9670E">
        <w:rPr>
          <w:rFonts w:cs="Arial"/>
          <w:i/>
          <w:iCs/>
          <w:lang w:val="en-CA"/>
        </w:rPr>
        <w:t>supra</w:t>
      </w:r>
      <w:r w:rsidR="001241C2" w:rsidRPr="00B9670E">
        <w:rPr>
          <w:rFonts w:cs="Arial"/>
          <w:iCs/>
          <w:lang w:val="en-CA"/>
        </w:rPr>
        <w:t>, note</w:t>
      </w:r>
      <w:r w:rsidRPr="001241C2">
        <w:rPr>
          <w:rFonts w:cs="Arial"/>
          <w:lang w:val="en-CA"/>
        </w:rPr>
        <w:t xml:space="preserve"> </w:t>
      </w:r>
      <w:r w:rsidRPr="008E7874">
        <w:rPr>
          <w:rFonts w:cs="Arial"/>
          <w:lang w:val="en-CA"/>
        </w:rPr>
        <w:fldChar w:fldCharType="begin"/>
      </w:r>
      <w:r w:rsidRPr="001241C2">
        <w:rPr>
          <w:rFonts w:cs="Arial"/>
          <w:lang w:val="en-CA"/>
        </w:rPr>
        <w:instrText xml:space="preserve"> NOTEREF _Ref177561863 \h  \* MERGEFORMAT </w:instrText>
      </w:r>
      <w:r w:rsidRPr="008E7874">
        <w:rPr>
          <w:rFonts w:cs="Arial"/>
          <w:lang w:val="en-CA"/>
        </w:rPr>
      </w:r>
      <w:r w:rsidRPr="008E7874">
        <w:rPr>
          <w:rFonts w:cs="Arial"/>
          <w:lang w:val="en-CA"/>
        </w:rPr>
        <w:fldChar w:fldCharType="separate"/>
      </w:r>
      <w:r w:rsidR="005F20FC">
        <w:rPr>
          <w:rFonts w:cs="Arial"/>
          <w:lang w:val="en-CA"/>
        </w:rPr>
        <w:t>18</w:t>
      </w:r>
      <w:r w:rsidRPr="008E7874">
        <w:rPr>
          <w:rFonts w:cs="Arial"/>
          <w:lang w:val="en-CA"/>
        </w:rPr>
        <w:fldChar w:fldCharType="end"/>
      </w:r>
      <w:r w:rsidR="00703EAC">
        <w:rPr>
          <w:rFonts w:cs="Arial"/>
          <w:lang w:val="en-CA"/>
        </w:rPr>
        <w:t>, p.</w:t>
      </w:r>
      <w:r w:rsidR="00815FC0" w:rsidRPr="00B9670E">
        <w:rPr>
          <w:rFonts w:cs="Arial"/>
          <w:lang w:val="en-CA"/>
        </w:rPr>
        <w:t xml:space="preserve"> 766.</w:t>
      </w:r>
    </w:p>
  </w:footnote>
  <w:footnote w:id="33">
    <w:p w14:paraId="438B8137" w14:textId="46481B80" w:rsidR="00540118" w:rsidRPr="001241C2" w:rsidRDefault="00E6443C" w:rsidP="00540118">
      <w:pPr>
        <w:pStyle w:val="Notedebasdepage"/>
        <w:tabs>
          <w:tab w:val="left" w:pos="426"/>
        </w:tabs>
        <w:rPr>
          <w:rFonts w:cs="Arial"/>
          <w:lang w:val="en-CA"/>
        </w:rPr>
      </w:pPr>
      <w:r w:rsidRPr="008E7874">
        <w:rPr>
          <w:rStyle w:val="Appelnotedebasdep"/>
          <w:rFonts w:cs="Arial"/>
        </w:rPr>
        <w:footnoteRef/>
      </w:r>
      <w:r w:rsidRPr="001241C2">
        <w:rPr>
          <w:rFonts w:cs="Arial"/>
          <w:lang w:val="en-CA"/>
        </w:rPr>
        <w:t xml:space="preserve"> </w:t>
      </w:r>
      <w:r w:rsidRPr="001241C2">
        <w:rPr>
          <w:rFonts w:cs="Arial"/>
          <w:lang w:val="en-CA"/>
        </w:rPr>
        <w:tab/>
      </w:r>
      <w:r w:rsidR="001241C2" w:rsidRPr="00B9670E">
        <w:rPr>
          <w:rFonts w:cs="Arial"/>
          <w:lang w:val="en-CA"/>
        </w:rPr>
        <w:t xml:space="preserve">Originating application </w:t>
      </w:r>
      <w:r w:rsidR="00651F4A">
        <w:rPr>
          <w:rFonts w:cs="Arial"/>
          <w:lang w:val="en-CA"/>
        </w:rPr>
        <w:t>for</w:t>
      </w:r>
      <w:r w:rsidR="001241C2" w:rsidRPr="00B9670E">
        <w:rPr>
          <w:rFonts w:cs="Arial"/>
          <w:lang w:val="en-CA"/>
        </w:rPr>
        <w:t xml:space="preserve"> a </w:t>
      </w:r>
      <w:r w:rsidR="000A5EE9" w:rsidRPr="00B9670E">
        <w:rPr>
          <w:rFonts w:cs="Arial"/>
          <w:lang w:val="en-CA"/>
        </w:rPr>
        <w:t>permanent</w:t>
      </w:r>
      <w:r w:rsidR="001241C2" w:rsidRPr="00B9670E">
        <w:rPr>
          <w:rFonts w:cs="Arial"/>
          <w:lang w:val="en-CA"/>
        </w:rPr>
        <w:t xml:space="preserve"> injunction, January 18, 2023, conclusions sought, </w:t>
      </w:r>
      <w:r w:rsidR="00651F4A">
        <w:rPr>
          <w:rFonts w:cs="Arial"/>
          <w:lang w:val="en-CA"/>
        </w:rPr>
        <w:t>pp.</w:t>
      </w:r>
      <w:r w:rsidR="001241C2" w:rsidRPr="00B9670E">
        <w:rPr>
          <w:rFonts w:cs="Arial"/>
          <w:lang w:val="en-CA"/>
        </w:rPr>
        <w:t>14–15.</w:t>
      </w:r>
    </w:p>
  </w:footnote>
  <w:footnote w:id="34">
    <w:p w14:paraId="080D6926" w14:textId="757142F0" w:rsidR="00EF238C" w:rsidRPr="000A5EE9" w:rsidRDefault="00EF238C" w:rsidP="00EF238C">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lang w:val="en-CA"/>
        </w:rPr>
        <w:t>Judgment under appeal at para</w:t>
      </w:r>
      <w:r w:rsidR="005173BB">
        <w:rPr>
          <w:rFonts w:cs="Arial"/>
          <w:lang w:val="en-CA"/>
        </w:rPr>
        <w:t>s</w:t>
      </w:r>
      <w:r w:rsidR="00815FC0" w:rsidRPr="00B9670E">
        <w:rPr>
          <w:rFonts w:cs="Arial"/>
          <w:lang w:val="en-CA"/>
        </w:rPr>
        <w:t>.</w:t>
      </w:r>
      <w:r w:rsidRPr="00815FC0">
        <w:rPr>
          <w:rFonts w:cs="Arial"/>
          <w:lang w:val="en-CA"/>
        </w:rPr>
        <w:t xml:space="preserve"> </w:t>
      </w:r>
      <w:r w:rsidRPr="000A5EE9">
        <w:rPr>
          <w:rFonts w:cs="Arial"/>
          <w:lang w:val="en-CA"/>
        </w:rPr>
        <w:t>13</w:t>
      </w:r>
      <w:r w:rsidR="005173BB">
        <w:rPr>
          <w:rFonts w:cs="Arial"/>
          <w:lang w:val="en-CA"/>
        </w:rPr>
        <w:t>–</w:t>
      </w:r>
      <w:r w:rsidRPr="000A5EE9">
        <w:rPr>
          <w:rFonts w:cs="Arial"/>
          <w:lang w:val="en-CA"/>
        </w:rPr>
        <w:t>18.</w:t>
      </w:r>
    </w:p>
  </w:footnote>
  <w:footnote w:id="35">
    <w:p w14:paraId="64789AD8" w14:textId="2FC558AD" w:rsidR="00EF238C" w:rsidRPr="00EF238C" w:rsidRDefault="00EF238C" w:rsidP="00EF238C">
      <w:pPr>
        <w:pStyle w:val="Notedebasdepage"/>
        <w:tabs>
          <w:tab w:val="left" w:pos="567"/>
        </w:tabs>
        <w:ind w:left="426" w:hanging="426"/>
        <w:rPr>
          <w:rFonts w:cs="Arial"/>
          <w:lang w:val="en-CA"/>
        </w:rPr>
      </w:pPr>
      <w:r w:rsidRPr="008E7874">
        <w:rPr>
          <w:rStyle w:val="Appelnotedebasdep"/>
          <w:rFonts w:cs="Arial"/>
        </w:rPr>
        <w:footnoteRef/>
      </w:r>
      <w:r w:rsidRPr="00DE7982">
        <w:rPr>
          <w:rFonts w:cs="Arial"/>
          <w:lang w:val="en-CA"/>
        </w:rPr>
        <w:t xml:space="preserve"> </w:t>
      </w:r>
      <w:r w:rsidRPr="00DE7982">
        <w:rPr>
          <w:rFonts w:cs="Arial"/>
          <w:lang w:val="en-CA"/>
        </w:rPr>
        <w:tab/>
      </w:r>
      <w:r w:rsidR="00DE7982" w:rsidRPr="00B9670E">
        <w:rPr>
          <w:rFonts w:cs="Arial"/>
          <w:lang w:val="en-CA"/>
        </w:rPr>
        <w:t>Exhibit P-8, Resolution of June 3, 2022, not reproduced on appeal, cited in the judgment under appeal, para.</w:t>
      </w:r>
      <w:r w:rsidRPr="00DE7982">
        <w:rPr>
          <w:rFonts w:cs="Arial"/>
          <w:lang w:val="en-CA"/>
        </w:rPr>
        <w:t> </w:t>
      </w:r>
      <w:r w:rsidRPr="00EF238C">
        <w:rPr>
          <w:rFonts w:cs="Arial"/>
          <w:lang w:val="en-CA"/>
        </w:rPr>
        <w:t>14.</w:t>
      </w:r>
    </w:p>
  </w:footnote>
  <w:footnote w:id="36">
    <w:p w14:paraId="44D5412C" w14:textId="243A631D" w:rsidR="00EF238C" w:rsidRPr="003572C4" w:rsidRDefault="00EF238C" w:rsidP="00EF238C">
      <w:pPr>
        <w:tabs>
          <w:tab w:val="left" w:pos="426"/>
        </w:tabs>
        <w:spacing w:before="1"/>
        <w:jc w:val="both"/>
        <w:rPr>
          <w:rFonts w:cs="Arial"/>
          <w:sz w:val="20"/>
          <w:lang w:val="en-CA"/>
        </w:rPr>
      </w:pPr>
      <w:r w:rsidRPr="008E7874">
        <w:rPr>
          <w:rStyle w:val="Appelnotedebasdep"/>
          <w:rFonts w:cs="Arial"/>
          <w:sz w:val="20"/>
        </w:rPr>
        <w:footnoteRef/>
      </w:r>
      <w:r w:rsidRPr="008E7874">
        <w:rPr>
          <w:rFonts w:cs="Arial"/>
          <w:sz w:val="20"/>
          <w:lang w:val="en-CA"/>
        </w:rPr>
        <w:t xml:space="preserve"> </w:t>
      </w:r>
      <w:r w:rsidRPr="008E7874">
        <w:rPr>
          <w:rFonts w:cs="Arial"/>
          <w:sz w:val="20"/>
          <w:lang w:val="en-CA"/>
        </w:rPr>
        <w:tab/>
      </w:r>
      <w:r w:rsidR="00DE7982" w:rsidRPr="00DE7982">
        <w:rPr>
          <w:rFonts w:cs="Arial"/>
          <w:i/>
          <w:sz w:val="20"/>
          <w:lang w:val="en-CA"/>
        </w:rPr>
        <w:t>Windsor (City) v.</w:t>
      </w:r>
      <w:r w:rsidR="00DE7982" w:rsidRPr="00DE7982">
        <w:rPr>
          <w:rFonts w:cs="Arial"/>
          <w:sz w:val="20"/>
          <w:lang w:val="en-CA"/>
        </w:rPr>
        <w:t xml:space="preserve"> </w:t>
      </w:r>
      <w:r w:rsidR="00DE7982" w:rsidRPr="00DE7982">
        <w:rPr>
          <w:rFonts w:cs="Arial"/>
          <w:i/>
          <w:sz w:val="20"/>
          <w:lang w:val="en-CA"/>
        </w:rPr>
        <w:t>Canadian Transit Co</w:t>
      </w:r>
      <w:r w:rsidR="00DE7982" w:rsidRPr="00DE7982">
        <w:rPr>
          <w:rFonts w:cs="Arial"/>
          <w:sz w:val="20"/>
          <w:lang w:val="en-CA"/>
        </w:rPr>
        <w:t xml:space="preserve">., </w:t>
      </w:r>
      <w:r w:rsidR="00DE7982" w:rsidRPr="00DE7982">
        <w:rPr>
          <w:rFonts w:cs="Arial"/>
          <w:i/>
          <w:sz w:val="20"/>
          <w:lang w:val="en-CA"/>
        </w:rPr>
        <w:t>supra</w:t>
      </w:r>
      <w:r w:rsidR="00DE7982" w:rsidRPr="00DE7982">
        <w:rPr>
          <w:rFonts w:cs="Arial"/>
          <w:sz w:val="20"/>
          <w:lang w:val="en-CA"/>
        </w:rPr>
        <w:t>, note</w:t>
      </w:r>
      <w:r w:rsidRPr="008E7874">
        <w:rPr>
          <w:rFonts w:cs="Arial"/>
          <w:sz w:val="20"/>
          <w:lang w:val="en-CA"/>
        </w:rPr>
        <w:t xml:space="preserve"> </w:t>
      </w:r>
      <w:r w:rsidRPr="008E7874">
        <w:rPr>
          <w:rFonts w:cs="Arial"/>
          <w:sz w:val="20"/>
          <w:lang w:val="en-CA"/>
        </w:rPr>
        <w:fldChar w:fldCharType="begin"/>
      </w:r>
      <w:r>
        <w:rPr>
          <w:rFonts w:cs="Arial"/>
          <w:sz w:val="20"/>
          <w:lang w:val="en-CA"/>
        </w:rPr>
        <w:instrText xml:space="preserve"> NOTEREF _Ref181863080 \h  \* MERGEFORMAT </w:instrText>
      </w:r>
      <w:r w:rsidRPr="008E7874">
        <w:rPr>
          <w:rFonts w:cs="Arial"/>
          <w:sz w:val="20"/>
          <w:lang w:val="en-CA"/>
        </w:rPr>
      </w:r>
      <w:r w:rsidRPr="008E7874">
        <w:rPr>
          <w:rFonts w:cs="Arial"/>
          <w:sz w:val="20"/>
          <w:lang w:val="en-CA"/>
        </w:rPr>
        <w:fldChar w:fldCharType="separate"/>
      </w:r>
      <w:r w:rsidR="005F20FC">
        <w:rPr>
          <w:rFonts w:cs="Arial"/>
          <w:sz w:val="20"/>
          <w:lang w:val="en-CA"/>
        </w:rPr>
        <w:t>20</w:t>
      </w:r>
      <w:r w:rsidRPr="008E7874">
        <w:rPr>
          <w:rFonts w:cs="Arial"/>
          <w:sz w:val="20"/>
          <w:lang w:val="en-CA"/>
        </w:rPr>
        <w:fldChar w:fldCharType="end"/>
      </w:r>
      <w:r w:rsidR="00815FC0" w:rsidRPr="00B9670E">
        <w:rPr>
          <w:rFonts w:cs="Arial"/>
          <w:sz w:val="20"/>
          <w:lang w:val="en-CA"/>
        </w:rPr>
        <w:t>, para</w:t>
      </w:r>
      <w:r w:rsidR="005173BB">
        <w:rPr>
          <w:rFonts w:cs="Arial"/>
          <w:sz w:val="20"/>
          <w:lang w:val="en-CA"/>
        </w:rPr>
        <w:t>s</w:t>
      </w:r>
      <w:r w:rsidR="00815FC0" w:rsidRPr="00B9670E">
        <w:rPr>
          <w:rFonts w:cs="Arial"/>
          <w:sz w:val="20"/>
          <w:lang w:val="en-CA"/>
        </w:rPr>
        <w:t>.</w:t>
      </w:r>
      <w:r w:rsidRPr="008E7874">
        <w:rPr>
          <w:rFonts w:cs="Arial"/>
          <w:spacing w:val="-6"/>
          <w:sz w:val="20"/>
          <w:lang w:val="en-CA"/>
        </w:rPr>
        <w:t xml:space="preserve"> </w:t>
      </w:r>
      <w:r w:rsidRPr="003572C4">
        <w:rPr>
          <w:rFonts w:cs="Arial"/>
          <w:sz w:val="20"/>
          <w:lang w:val="en-CA"/>
        </w:rPr>
        <w:t>62</w:t>
      </w:r>
      <w:r w:rsidR="005173BB" w:rsidRPr="003572C4">
        <w:rPr>
          <w:rFonts w:cs="Arial"/>
          <w:sz w:val="20"/>
          <w:lang w:val="en-CA"/>
        </w:rPr>
        <w:t>–</w:t>
      </w:r>
      <w:r w:rsidRPr="003572C4">
        <w:rPr>
          <w:rFonts w:cs="Arial"/>
          <w:spacing w:val="-5"/>
          <w:sz w:val="20"/>
          <w:lang w:val="en-CA"/>
        </w:rPr>
        <w:t>63.</w:t>
      </w:r>
    </w:p>
  </w:footnote>
  <w:footnote w:id="37">
    <w:p w14:paraId="65A03EA1" w14:textId="651757AE" w:rsidR="00540118" w:rsidRPr="005F20FC" w:rsidRDefault="00E6443C" w:rsidP="00540118">
      <w:pPr>
        <w:pStyle w:val="Notedebasdepage"/>
        <w:tabs>
          <w:tab w:val="left" w:pos="426"/>
        </w:tabs>
        <w:rPr>
          <w:rFonts w:cs="Arial"/>
        </w:rPr>
      </w:pPr>
      <w:r w:rsidRPr="008E7874">
        <w:rPr>
          <w:rStyle w:val="Appelnotedebasdep"/>
          <w:rFonts w:cs="Arial"/>
        </w:rPr>
        <w:footnoteRef/>
      </w:r>
      <w:r w:rsidRPr="003572C4">
        <w:rPr>
          <w:rFonts w:cs="Arial"/>
          <w:lang w:val="en-CA"/>
        </w:rPr>
        <w:t xml:space="preserve"> </w:t>
      </w:r>
      <w:r w:rsidRPr="003572C4">
        <w:rPr>
          <w:rFonts w:cs="Arial"/>
          <w:lang w:val="en-CA"/>
        </w:rPr>
        <w:tab/>
      </w:r>
      <w:r w:rsidR="00DE7982" w:rsidRPr="003572C4">
        <w:rPr>
          <w:rFonts w:cs="Arial"/>
          <w:i/>
          <w:iCs/>
          <w:lang w:val="en-CA"/>
        </w:rPr>
        <w:t>George v. Heiltsuk First Nation</w:t>
      </w:r>
      <w:r w:rsidR="00DE7982" w:rsidRPr="003572C4">
        <w:rPr>
          <w:rFonts w:cs="Arial"/>
          <w:iCs/>
          <w:lang w:val="en-CA"/>
        </w:rPr>
        <w:t xml:space="preserve">, </w:t>
      </w:r>
      <w:r w:rsidR="00DE7982" w:rsidRPr="003572C4">
        <w:rPr>
          <w:rFonts w:cs="Arial"/>
          <w:i/>
          <w:iCs/>
          <w:lang w:val="en-CA"/>
        </w:rPr>
        <w:t>supra</w:t>
      </w:r>
      <w:r w:rsidR="00DE7982" w:rsidRPr="003572C4">
        <w:rPr>
          <w:rFonts w:cs="Arial"/>
          <w:iCs/>
          <w:lang w:val="en-CA"/>
        </w:rPr>
        <w:t>, note</w:t>
      </w:r>
      <w:r w:rsidR="00B50951" w:rsidRPr="003572C4">
        <w:rPr>
          <w:rFonts w:cs="Arial"/>
          <w:lang w:val="en-CA"/>
        </w:rPr>
        <w:t xml:space="preserve"> </w:t>
      </w:r>
      <w:r w:rsidR="00B50951">
        <w:rPr>
          <w:rFonts w:cs="Arial"/>
        </w:rPr>
        <w:fldChar w:fldCharType="begin"/>
      </w:r>
      <w:r w:rsidR="00B50951" w:rsidRPr="003572C4">
        <w:rPr>
          <w:rFonts w:cs="Arial"/>
          <w:lang w:val="en-CA"/>
        </w:rPr>
        <w:instrText xml:space="preserve"> NOTEREF _Ref177562209 \h </w:instrText>
      </w:r>
      <w:r w:rsidR="00B50951">
        <w:rPr>
          <w:rFonts w:cs="Arial"/>
        </w:rPr>
      </w:r>
      <w:r w:rsidR="00B50951">
        <w:rPr>
          <w:rFonts w:cs="Arial"/>
        </w:rPr>
        <w:fldChar w:fldCharType="separate"/>
      </w:r>
      <w:r w:rsidR="005F20FC">
        <w:rPr>
          <w:rFonts w:cs="Arial"/>
          <w:lang w:val="en-CA"/>
        </w:rPr>
        <w:t>23</w:t>
      </w:r>
      <w:r w:rsidR="00B50951">
        <w:rPr>
          <w:rFonts w:cs="Arial"/>
        </w:rPr>
        <w:fldChar w:fldCharType="end"/>
      </w:r>
      <w:r w:rsidR="00815FC0" w:rsidRPr="003572C4">
        <w:rPr>
          <w:rFonts w:cs="Arial"/>
          <w:lang w:val="en-CA"/>
        </w:rPr>
        <w:t>, para</w:t>
      </w:r>
      <w:r w:rsidR="001504B5" w:rsidRPr="003572C4">
        <w:rPr>
          <w:rFonts w:cs="Arial"/>
          <w:lang w:val="en-CA"/>
        </w:rPr>
        <w:t>s</w:t>
      </w:r>
      <w:r w:rsidR="00815FC0" w:rsidRPr="003572C4">
        <w:rPr>
          <w:rFonts w:cs="Arial"/>
          <w:lang w:val="en-CA"/>
        </w:rPr>
        <w:t>.</w:t>
      </w:r>
      <w:r w:rsidRPr="003572C4">
        <w:rPr>
          <w:rFonts w:cs="Arial"/>
          <w:lang w:val="en-CA"/>
        </w:rPr>
        <w:t xml:space="preserve"> </w:t>
      </w:r>
      <w:r w:rsidRPr="005F20FC">
        <w:rPr>
          <w:rFonts w:cs="Arial"/>
        </w:rPr>
        <w:t>39</w:t>
      </w:r>
      <w:r w:rsidR="001504B5" w:rsidRPr="005F20FC">
        <w:rPr>
          <w:rFonts w:cs="Arial"/>
        </w:rPr>
        <w:t>–</w:t>
      </w:r>
      <w:r w:rsidRPr="005F20FC">
        <w:rPr>
          <w:rFonts w:cs="Arial"/>
        </w:rPr>
        <w:t>40.</w:t>
      </w:r>
    </w:p>
  </w:footnote>
  <w:footnote w:id="38">
    <w:p w14:paraId="7197A754" w14:textId="56489DFB" w:rsidR="00903176" w:rsidRPr="008E7874" w:rsidRDefault="00903176" w:rsidP="00903176">
      <w:pPr>
        <w:pStyle w:val="Notedebasdepage"/>
        <w:tabs>
          <w:tab w:val="left" w:pos="426"/>
        </w:tabs>
        <w:rPr>
          <w:rFonts w:cs="Arial"/>
        </w:rPr>
      </w:pPr>
      <w:r w:rsidRPr="008E7874">
        <w:rPr>
          <w:rStyle w:val="Appelnotedebasdep"/>
          <w:rFonts w:cs="Arial"/>
        </w:rPr>
        <w:footnoteRef/>
      </w:r>
      <w:r w:rsidRPr="005F20FC">
        <w:rPr>
          <w:rFonts w:cs="Arial"/>
        </w:rPr>
        <w:t xml:space="preserve"> </w:t>
      </w:r>
      <w:r w:rsidRPr="005F20FC">
        <w:rPr>
          <w:rFonts w:cs="Arial"/>
        </w:rPr>
        <w:tab/>
      </w:r>
      <w:r w:rsidR="00DE7982" w:rsidRPr="005F20FC">
        <w:rPr>
          <w:rFonts w:cs="Arial"/>
          <w:i/>
        </w:rPr>
        <w:t>Bohémier</w:t>
      </w:r>
      <w:r w:rsidR="00DE7982" w:rsidRPr="005F20FC">
        <w:rPr>
          <w:rFonts w:cs="Arial"/>
        </w:rPr>
        <w:t xml:space="preserve"> </w:t>
      </w:r>
      <w:r w:rsidR="00DE7982" w:rsidRPr="005F20FC">
        <w:rPr>
          <w:rFonts w:cs="Arial"/>
          <w:i/>
        </w:rPr>
        <w:t>c.</w:t>
      </w:r>
      <w:r w:rsidR="00DE7982" w:rsidRPr="005F20FC">
        <w:rPr>
          <w:rFonts w:cs="Arial"/>
        </w:rPr>
        <w:t xml:space="preserve"> </w:t>
      </w:r>
      <w:r w:rsidR="00DE7982" w:rsidRPr="005F20FC">
        <w:rPr>
          <w:rFonts w:cs="Arial"/>
          <w:i/>
        </w:rPr>
        <w:t>Barreau du Québec</w:t>
      </w:r>
      <w:r w:rsidR="00DE7982" w:rsidRPr="005F20FC">
        <w:rPr>
          <w:rFonts w:cs="Arial"/>
        </w:rPr>
        <w:t xml:space="preserve">, </w:t>
      </w:r>
      <w:hyperlink r:id="rId3" w:history="1">
        <w:r w:rsidR="00DE7982" w:rsidRPr="005F20FC">
          <w:rPr>
            <w:rStyle w:val="Hyperlien"/>
            <w:rFonts w:cs="Arial"/>
            <w:color w:val="auto"/>
            <w:u w:val="none"/>
          </w:rPr>
          <w:t>2012 QCCA 308</w:t>
        </w:r>
      </w:hyperlink>
      <w:r w:rsidR="00DE7982" w:rsidRPr="005F20FC">
        <w:t>, para.</w:t>
      </w:r>
      <w:r w:rsidRPr="005F20FC">
        <w:rPr>
          <w:rFonts w:cs="Arial"/>
        </w:rPr>
        <w:t xml:space="preserve"> 17. </w:t>
      </w:r>
      <w:r w:rsidR="00DE7982" w:rsidRPr="005F20FC">
        <w:rPr>
          <w:rFonts w:cs="Arial"/>
        </w:rPr>
        <w:t xml:space="preserve">See also: </w:t>
      </w:r>
      <w:r w:rsidR="00DE7982" w:rsidRPr="005F20FC">
        <w:rPr>
          <w:rFonts w:cs="Arial"/>
          <w:i/>
        </w:rPr>
        <w:t>Giroux c. Hydro-Québec</w:t>
      </w:r>
      <w:r w:rsidR="00DE7982" w:rsidRPr="005F20FC">
        <w:rPr>
          <w:rFonts w:cs="Arial"/>
        </w:rPr>
        <w:t>, [2003] R.J.Q.</w:t>
      </w:r>
      <w:r w:rsidRPr="005F20FC">
        <w:rPr>
          <w:rFonts w:cs="Arial"/>
        </w:rPr>
        <w:t xml:space="preserve"> </w:t>
      </w:r>
      <w:r w:rsidR="00DE7982" w:rsidRPr="005F20FC">
        <w:rPr>
          <w:rFonts w:cs="Arial"/>
        </w:rPr>
        <w:t>346, 2003 CanLII 11338, para.</w:t>
      </w:r>
      <w:r w:rsidR="004F6C7D" w:rsidRPr="005F20FC">
        <w:rPr>
          <w:rFonts w:cs="Arial"/>
        </w:rPr>
        <w:t xml:space="preserve"> </w:t>
      </w:r>
      <w:r w:rsidR="004F6C7D" w:rsidRPr="004F6C7D">
        <w:rPr>
          <w:rFonts w:cs="Arial"/>
        </w:rPr>
        <w:t>65 (C.A.</w:t>
      </w:r>
      <w:r w:rsidR="004F6C7D">
        <w:rPr>
          <w:rFonts w:cs="Arial"/>
        </w:rPr>
        <w:t xml:space="preserve">); </w:t>
      </w:r>
      <w:r w:rsidR="00DE7982" w:rsidRPr="00DE7982">
        <w:rPr>
          <w:rFonts w:cs="Arial"/>
          <w:i/>
        </w:rPr>
        <w:t>Lord</w:t>
      </w:r>
      <w:r w:rsidR="00DE7982" w:rsidRPr="00DE7982">
        <w:rPr>
          <w:rFonts w:cs="Arial"/>
        </w:rPr>
        <w:t xml:space="preserve"> </w:t>
      </w:r>
      <w:r w:rsidR="00DE7982" w:rsidRPr="00DE7982">
        <w:rPr>
          <w:rFonts w:cs="Arial"/>
          <w:i/>
        </w:rPr>
        <w:t>c.</w:t>
      </w:r>
      <w:r w:rsidR="00DE7982" w:rsidRPr="00DE7982">
        <w:rPr>
          <w:rFonts w:cs="Arial"/>
        </w:rPr>
        <w:t xml:space="preserve"> </w:t>
      </w:r>
      <w:r w:rsidR="00DE7982" w:rsidRPr="00DE7982">
        <w:rPr>
          <w:rFonts w:cs="Arial"/>
          <w:i/>
        </w:rPr>
        <w:t>Tu</w:t>
      </w:r>
      <w:r w:rsidR="00DE7982" w:rsidRPr="00DE7982">
        <w:rPr>
          <w:rFonts w:cs="Arial"/>
        </w:rPr>
        <w:t>, 2021 QCCS 996, para.</w:t>
      </w:r>
      <w:r w:rsidRPr="008E7874">
        <w:rPr>
          <w:rFonts w:cs="Arial"/>
        </w:rPr>
        <w:t> 8.</w:t>
      </w:r>
    </w:p>
  </w:footnote>
  <w:footnote w:id="39">
    <w:p w14:paraId="3186136F" w14:textId="2BE70A6C" w:rsidR="00A728AF" w:rsidRPr="005C25DB" w:rsidRDefault="00A728AF" w:rsidP="00A728AF">
      <w:pPr>
        <w:pStyle w:val="Notedebasdepage"/>
        <w:tabs>
          <w:tab w:val="left" w:pos="426"/>
        </w:tabs>
        <w:rPr>
          <w:rFonts w:cs="Arial"/>
          <w:lang w:val="en-CA"/>
        </w:rPr>
      </w:pPr>
      <w:r w:rsidRPr="008E7874">
        <w:rPr>
          <w:rStyle w:val="Appelnotedebasdep"/>
          <w:rFonts w:cs="Arial"/>
        </w:rPr>
        <w:footnoteRef/>
      </w:r>
      <w:r w:rsidRPr="008E7874">
        <w:rPr>
          <w:rFonts w:cs="Arial"/>
        </w:rPr>
        <w:t xml:space="preserve"> </w:t>
      </w:r>
      <w:r w:rsidRPr="008E7874">
        <w:rPr>
          <w:rFonts w:cs="Arial"/>
        </w:rPr>
        <w:tab/>
      </w:r>
      <w:r w:rsidR="00DE7982" w:rsidRPr="00DE7982">
        <w:rPr>
          <w:rFonts w:cs="Arial"/>
        </w:rPr>
        <w:t>Luc Chamberland (</w:t>
      </w:r>
      <w:r w:rsidR="00251506">
        <w:rPr>
          <w:rFonts w:cs="Arial"/>
        </w:rPr>
        <w:t>E</w:t>
      </w:r>
      <w:r w:rsidR="00DE7982" w:rsidRPr="00DE7982">
        <w:rPr>
          <w:rFonts w:cs="Arial"/>
        </w:rPr>
        <w:t xml:space="preserve">d.), </w:t>
      </w:r>
      <w:r w:rsidR="00DE7982" w:rsidRPr="00DE7982">
        <w:rPr>
          <w:rFonts w:cs="Arial"/>
          <w:i/>
        </w:rPr>
        <w:t>Le Grand collectif : Code de procédure civile, Commentaires et annotations</w:t>
      </w:r>
      <w:r w:rsidR="00DE7982" w:rsidRPr="00DE7982">
        <w:rPr>
          <w:rFonts w:cs="Arial"/>
        </w:rPr>
        <w:t>, 8</w:t>
      </w:r>
      <w:r w:rsidR="00DE7982" w:rsidRPr="00DE7982">
        <w:rPr>
          <w:rFonts w:cs="Arial"/>
          <w:vertAlign w:val="superscript"/>
        </w:rPr>
        <w:t>th</w:t>
      </w:r>
      <w:r w:rsidR="00DE7982" w:rsidRPr="00DE7982">
        <w:rPr>
          <w:rFonts w:cs="Arial"/>
        </w:rPr>
        <w:t xml:space="preserve"> ed., Montreal, Yvon-Blais, 2023, art.</w:t>
      </w:r>
      <w:r w:rsidRPr="008E7874">
        <w:rPr>
          <w:rFonts w:cs="Arial"/>
        </w:rPr>
        <w:t xml:space="preserve"> 85. </w:t>
      </w:r>
      <w:r w:rsidR="00DE7982" w:rsidRPr="00DE7982">
        <w:rPr>
          <w:rFonts w:cs="Arial"/>
          <w:lang w:val="en-CA"/>
        </w:rPr>
        <w:t xml:space="preserve">See also: </w:t>
      </w:r>
      <w:r w:rsidR="00DE7982" w:rsidRPr="00DE7982">
        <w:rPr>
          <w:rFonts w:cs="Arial"/>
          <w:i/>
          <w:lang w:val="en-CA"/>
        </w:rPr>
        <w:t>Manitoba Metis Federation Inc. v. Canada (Attorney General)</w:t>
      </w:r>
      <w:r w:rsidR="00DE7982" w:rsidRPr="00DE7982">
        <w:rPr>
          <w:rFonts w:cs="Arial"/>
          <w:lang w:val="en-CA"/>
        </w:rPr>
        <w:t xml:space="preserve">, </w:t>
      </w:r>
      <w:r w:rsidR="00DE7982" w:rsidRPr="00653F54">
        <w:rPr>
          <w:rFonts w:cs="Arial"/>
          <w:lang w:val="en-CA"/>
        </w:rPr>
        <w:t>2013 SCC 14</w:t>
      </w:r>
      <w:r w:rsidR="00DE7982" w:rsidRPr="00DE7982">
        <w:rPr>
          <w:lang w:val="en-CA"/>
        </w:rPr>
        <w:t xml:space="preserve">, para. </w:t>
      </w:r>
      <w:r w:rsidR="00DE7982" w:rsidRPr="00B9670E">
        <w:rPr>
          <w:rFonts w:cs="Arial"/>
          <w:lang w:val="en-CA"/>
        </w:rPr>
        <w:t xml:space="preserve">43; </w:t>
      </w:r>
      <w:r w:rsidR="00DE7982" w:rsidRPr="00B9670E">
        <w:rPr>
          <w:rFonts w:cs="Arial"/>
          <w:i/>
          <w:lang w:val="en-CA"/>
        </w:rPr>
        <w:t>Canada (Attorney General) v. Downtown Eastside Sex Workers United Against Violence Society</w:t>
      </w:r>
      <w:r w:rsidR="00DE7982" w:rsidRPr="00B9670E">
        <w:rPr>
          <w:rFonts w:cs="Arial"/>
          <w:lang w:val="en-CA"/>
        </w:rPr>
        <w:t>, 2012 SCC 45, para.</w:t>
      </w:r>
      <w:r w:rsidRPr="008E7874">
        <w:rPr>
          <w:rFonts w:cs="Arial"/>
          <w:lang w:val="en-CA"/>
        </w:rPr>
        <w:t xml:space="preserve"> </w:t>
      </w:r>
      <w:r w:rsidR="00DE7982" w:rsidRPr="000A5EE9">
        <w:rPr>
          <w:rFonts w:cs="Arial"/>
          <w:lang w:val="en-CA"/>
        </w:rPr>
        <w:t xml:space="preserve">37; </w:t>
      </w:r>
      <w:r w:rsidR="00DE7982" w:rsidRPr="000A5EE9">
        <w:rPr>
          <w:rFonts w:cs="Arial"/>
          <w:i/>
          <w:lang w:val="en-CA"/>
        </w:rPr>
        <w:t>Chaoulli v. Quebec (Attorney General)</w:t>
      </w:r>
      <w:r w:rsidR="00DE7982" w:rsidRPr="000A5EE9">
        <w:rPr>
          <w:rFonts w:cs="Arial"/>
          <w:lang w:val="en-CA"/>
        </w:rPr>
        <w:t xml:space="preserve">, </w:t>
      </w:r>
      <w:r w:rsidR="00DE7982" w:rsidRPr="00653F54">
        <w:rPr>
          <w:rFonts w:cs="Arial"/>
          <w:lang w:val="en-CA"/>
        </w:rPr>
        <w:t>2005 SCC 35</w:t>
      </w:r>
      <w:r w:rsidR="00DE7982" w:rsidRPr="000A5EE9">
        <w:rPr>
          <w:lang w:val="en-CA"/>
        </w:rPr>
        <w:t xml:space="preserve">, para. </w:t>
      </w:r>
      <w:r w:rsidR="00DE7982" w:rsidRPr="00DE7982">
        <w:rPr>
          <w:lang w:val="en-CA"/>
        </w:rPr>
        <w:t xml:space="preserve">35; </w:t>
      </w:r>
      <w:r w:rsidR="00DE7982" w:rsidRPr="00DE7982">
        <w:rPr>
          <w:i/>
          <w:lang w:val="en-CA"/>
        </w:rPr>
        <w:t>Canadian Council of Churches v. Canada (Minister of Employment and Immigration)</w:t>
      </w:r>
      <w:r w:rsidR="00DE7982" w:rsidRPr="00DE7982">
        <w:rPr>
          <w:lang w:val="en-CA"/>
        </w:rPr>
        <w:t xml:space="preserve">, </w:t>
      </w:r>
      <w:r w:rsidR="00DE7982" w:rsidRPr="00653F54">
        <w:rPr>
          <w:rFonts w:cs="Arial"/>
          <w:lang w:val="en-CA"/>
        </w:rPr>
        <w:t>[1992] 1 S.C.R.</w:t>
      </w:r>
      <w:r w:rsidR="00251506" w:rsidRPr="00251506">
        <w:rPr>
          <w:lang w:val="en-CA"/>
        </w:rPr>
        <w:t xml:space="preserve"> </w:t>
      </w:r>
      <w:r w:rsidR="00DE7982" w:rsidRPr="00653F54">
        <w:rPr>
          <w:rFonts w:cs="Arial"/>
          <w:lang w:val="en-CA"/>
        </w:rPr>
        <w:t>236</w:t>
      </w:r>
      <w:r w:rsidR="00DE7982" w:rsidRPr="00DE7982">
        <w:rPr>
          <w:lang w:val="en-CA"/>
        </w:rPr>
        <w:t xml:space="preserve">, </w:t>
      </w:r>
      <w:r w:rsidR="00251506">
        <w:rPr>
          <w:lang w:val="en-CA"/>
        </w:rPr>
        <w:t>p.</w:t>
      </w:r>
      <w:r w:rsidR="00DE7982" w:rsidRPr="00DE7982">
        <w:rPr>
          <w:lang w:val="en-CA"/>
        </w:rPr>
        <w:t xml:space="preserve"> 2</w:t>
      </w:r>
      <w:r w:rsidR="00251506">
        <w:rPr>
          <w:lang w:val="en-CA"/>
        </w:rPr>
        <w:t>5</w:t>
      </w:r>
      <w:r w:rsidR="00DE7982" w:rsidRPr="00DE7982">
        <w:rPr>
          <w:lang w:val="en-CA"/>
        </w:rPr>
        <w:t xml:space="preserve">3; </w:t>
      </w:r>
      <w:r w:rsidR="00DE7982" w:rsidRPr="00DE7982">
        <w:rPr>
          <w:i/>
          <w:lang w:val="en-CA"/>
        </w:rPr>
        <w:t>Finlay v. Canada (Minister of Finance)</w:t>
      </w:r>
      <w:r w:rsidR="00DE7982" w:rsidRPr="00DE7982">
        <w:rPr>
          <w:lang w:val="en-CA"/>
        </w:rPr>
        <w:t xml:space="preserve">, </w:t>
      </w:r>
      <w:hyperlink r:id="rId4" w:history="1">
        <w:r w:rsidR="00DE7982" w:rsidRPr="00DE7982">
          <w:rPr>
            <w:rStyle w:val="Hyperlien"/>
            <w:rFonts w:cs="Arial"/>
            <w:color w:val="auto"/>
            <w:u w:val="none"/>
            <w:lang w:val="en-CA"/>
          </w:rPr>
          <w:t>[1986] 2 S.C.R.</w:t>
        </w:r>
      </w:hyperlink>
      <w:hyperlink r:id="rId5" w:history="1">
        <w:r w:rsidRPr="005C25DB">
          <w:rPr>
            <w:rStyle w:val="Hyperlien"/>
            <w:rFonts w:cs="Arial"/>
            <w:color w:val="auto"/>
            <w:u w:val="none"/>
            <w:lang w:val="en-CA"/>
          </w:rPr>
          <w:t> </w:t>
        </w:r>
      </w:hyperlink>
      <w:hyperlink r:id="rId6" w:history="1">
        <w:r w:rsidR="00DE7982" w:rsidRPr="00DE7982">
          <w:rPr>
            <w:rStyle w:val="Hyperlien"/>
            <w:rFonts w:cs="Arial"/>
            <w:color w:val="auto"/>
            <w:u w:val="none"/>
            <w:lang w:val="en-CA"/>
          </w:rPr>
          <w:t>607</w:t>
        </w:r>
      </w:hyperlink>
      <w:r w:rsidR="00DE7982" w:rsidRPr="00DE7982">
        <w:rPr>
          <w:lang w:val="en-CA"/>
        </w:rPr>
        <w:t xml:space="preserve">, </w:t>
      </w:r>
      <w:r w:rsidR="00251506">
        <w:rPr>
          <w:lang w:val="en-CA"/>
        </w:rPr>
        <w:t>pp.</w:t>
      </w:r>
      <w:r w:rsidR="00DE7982" w:rsidRPr="00DE7982">
        <w:rPr>
          <w:lang w:val="en-CA"/>
        </w:rPr>
        <w:t xml:space="preserve"> 614–615; </w:t>
      </w:r>
      <w:r w:rsidR="00DE7982" w:rsidRPr="00DE7982">
        <w:rPr>
          <w:i/>
          <w:lang w:val="en-CA"/>
        </w:rPr>
        <w:t>Minister of Justice (Can.) v. Borowski</w:t>
      </w:r>
      <w:r w:rsidR="00DE7982" w:rsidRPr="00DE7982">
        <w:rPr>
          <w:lang w:val="en-CA"/>
        </w:rPr>
        <w:t xml:space="preserve">, </w:t>
      </w:r>
      <w:hyperlink r:id="rId7" w:history="1">
        <w:r w:rsidR="00DE7982" w:rsidRPr="00DE7982">
          <w:rPr>
            <w:rStyle w:val="Hyperlien"/>
            <w:rFonts w:cs="Arial"/>
            <w:color w:val="auto"/>
            <w:u w:val="none"/>
            <w:lang w:val="en-CA"/>
          </w:rPr>
          <w:t>[1981] 2 S.C.R.</w:t>
        </w:r>
      </w:hyperlink>
      <w:hyperlink r:id="rId8" w:history="1">
        <w:r w:rsidRPr="005C25DB">
          <w:rPr>
            <w:rStyle w:val="Hyperlien"/>
            <w:rFonts w:cs="Arial"/>
            <w:color w:val="auto"/>
            <w:u w:val="none"/>
            <w:lang w:val="en-CA"/>
          </w:rPr>
          <w:t xml:space="preserve"> </w:t>
        </w:r>
      </w:hyperlink>
      <w:hyperlink r:id="rId9" w:history="1">
        <w:r w:rsidR="00DE7982" w:rsidRPr="00DE7982">
          <w:rPr>
            <w:rStyle w:val="Hyperlien"/>
            <w:rFonts w:cs="Arial"/>
            <w:color w:val="auto"/>
            <w:u w:val="none"/>
            <w:lang w:val="en-CA"/>
          </w:rPr>
          <w:t>575</w:t>
        </w:r>
      </w:hyperlink>
      <w:r w:rsidR="00DE7982" w:rsidRPr="00DE7982">
        <w:rPr>
          <w:lang w:val="en-CA"/>
        </w:rPr>
        <w:t xml:space="preserve">, </w:t>
      </w:r>
      <w:r w:rsidR="00251506">
        <w:rPr>
          <w:lang w:val="en-CA"/>
        </w:rPr>
        <w:t>p.</w:t>
      </w:r>
      <w:r w:rsidR="00DE7982" w:rsidRPr="00DE7982">
        <w:rPr>
          <w:lang w:val="en-CA"/>
        </w:rPr>
        <w:t xml:space="preserve"> 598; </w:t>
      </w:r>
      <w:r w:rsidR="00DE7982" w:rsidRPr="00DE7982">
        <w:rPr>
          <w:i/>
          <w:lang w:val="en-CA"/>
        </w:rPr>
        <w:t>Nova Scotia Board of Censors</w:t>
      </w:r>
      <w:r w:rsidR="00DE7982" w:rsidRPr="00DE7982">
        <w:rPr>
          <w:lang w:val="en-CA"/>
        </w:rPr>
        <w:t xml:space="preserve"> </w:t>
      </w:r>
      <w:r w:rsidR="00DE7982" w:rsidRPr="00DE7982">
        <w:rPr>
          <w:i/>
          <w:lang w:val="en-CA"/>
        </w:rPr>
        <w:t>c.</w:t>
      </w:r>
      <w:r w:rsidR="00DE7982" w:rsidRPr="00DE7982">
        <w:rPr>
          <w:lang w:val="en-CA"/>
        </w:rPr>
        <w:t xml:space="preserve"> </w:t>
      </w:r>
      <w:r w:rsidR="00DE7982" w:rsidRPr="00DE7982">
        <w:rPr>
          <w:i/>
          <w:lang w:val="en-CA"/>
        </w:rPr>
        <w:t>McNeil</w:t>
      </w:r>
      <w:r w:rsidR="00DE7982" w:rsidRPr="00DE7982">
        <w:rPr>
          <w:lang w:val="en-CA"/>
        </w:rPr>
        <w:t>, [1976] 2 S.</w:t>
      </w:r>
      <w:r w:rsidR="00251506">
        <w:rPr>
          <w:lang w:val="en-CA"/>
        </w:rPr>
        <w:t>C.R.</w:t>
      </w:r>
      <w:hyperlink r:id="rId10" w:history="1">
        <w:r w:rsidRPr="005C25DB">
          <w:rPr>
            <w:rStyle w:val="Hyperlien"/>
            <w:rFonts w:cs="Arial"/>
            <w:color w:val="auto"/>
            <w:u w:val="none"/>
            <w:lang w:val="en-CA"/>
          </w:rPr>
          <w:t xml:space="preserve"> </w:t>
        </w:r>
      </w:hyperlink>
      <w:hyperlink r:id="rId11" w:history="1">
        <w:r w:rsidR="00DE7982" w:rsidRPr="00DE7982">
          <w:rPr>
            <w:rStyle w:val="Hyperlien"/>
            <w:rFonts w:cs="Arial"/>
            <w:color w:val="auto"/>
            <w:u w:val="none"/>
            <w:lang w:val="en-CA"/>
          </w:rPr>
          <w:t>265</w:t>
        </w:r>
      </w:hyperlink>
      <w:r w:rsidR="00DE7982" w:rsidRPr="00DE7982">
        <w:rPr>
          <w:lang w:val="en-CA"/>
        </w:rPr>
        <w:t xml:space="preserve">, </w:t>
      </w:r>
      <w:r w:rsidR="00EB3160">
        <w:rPr>
          <w:lang w:val="en-CA"/>
        </w:rPr>
        <w:t>pp.</w:t>
      </w:r>
      <w:r w:rsidR="00DE7982" w:rsidRPr="00DE7982">
        <w:rPr>
          <w:lang w:val="en-CA"/>
        </w:rPr>
        <w:t xml:space="preserve"> 267–271; </w:t>
      </w:r>
      <w:r w:rsidR="00DE7982" w:rsidRPr="00DE7982">
        <w:rPr>
          <w:i/>
          <w:lang w:val="en-CA"/>
        </w:rPr>
        <w:t>Thorson v. Attorney General of Canada</w:t>
      </w:r>
      <w:r w:rsidR="00DE7982" w:rsidRPr="00DE7982">
        <w:rPr>
          <w:lang w:val="en-CA"/>
        </w:rPr>
        <w:t xml:space="preserve">, </w:t>
      </w:r>
      <w:hyperlink r:id="rId12" w:history="1">
        <w:r w:rsidR="00DE7982" w:rsidRPr="00DE7982">
          <w:rPr>
            <w:rStyle w:val="Hyperlien"/>
            <w:rFonts w:cs="Arial"/>
            <w:color w:val="auto"/>
            <w:u w:val="none"/>
            <w:lang w:val="en-CA"/>
          </w:rPr>
          <w:t>[1975] 1 S.C.R.</w:t>
        </w:r>
      </w:hyperlink>
      <w:hyperlink r:id="rId13" w:history="1">
        <w:r w:rsidRPr="005C25DB">
          <w:rPr>
            <w:rStyle w:val="Hyperlien"/>
            <w:rFonts w:cs="Arial"/>
            <w:color w:val="auto"/>
            <w:u w:val="none"/>
            <w:lang w:val="en-CA"/>
          </w:rPr>
          <w:t xml:space="preserve"> </w:t>
        </w:r>
      </w:hyperlink>
      <w:hyperlink r:id="rId14" w:history="1">
        <w:r w:rsidRPr="005C25DB">
          <w:rPr>
            <w:rStyle w:val="Hyperlien"/>
            <w:rFonts w:cs="Arial"/>
            <w:color w:val="auto"/>
            <w:u w:val="none"/>
            <w:lang w:val="en-CA"/>
          </w:rPr>
          <w:t>138</w:t>
        </w:r>
      </w:hyperlink>
      <w:r w:rsidRPr="005C25DB">
        <w:rPr>
          <w:rFonts w:cs="Arial"/>
          <w:lang w:val="en-CA"/>
        </w:rPr>
        <w:t>.</w:t>
      </w:r>
    </w:p>
  </w:footnote>
  <w:footnote w:id="40">
    <w:p w14:paraId="3E90CCE4" w14:textId="430BEB1A" w:rsidR="00540118" w:rsidRPr="008E7874" w:rsidRDefault="00E6443C" w:rsidP="00540118">
      <w:pPr>
        <w:pStyle w:val="Notedebasdepage"/>
        <w:tabs>
          <w:tab w:val="left" w:pos="426"/>
        </w:tabs>
        <w:rPr>
          <w:rFonts w:cs="Arial"/>
        </w:rPr>
      </w:pPr>
      <w:r w:rsidRPr="008E7874">
        <w:rPr>
          <w:rStyle w:val="Appelnotedebasdep"/>
          <w:rFonts w:cs="Arial"/>
        </w:rPr>
        <w:footnoteRef/>
      </w:r>
      <w:r w:rsidRPr="008E7874">
        <w:rPr>
          <w:rFonts w:cs="Arial"/>
          <w:lang w:val="en-CA"/>
        </w:rPr>
        <w:t xml:space="preserve"> </w:t>
      </w:r>
      <w:r w:rsidRPr="008E7874">
        <w:rPr>
          <w:rFonts w:cs="Arial"/>
          <w:lang w:val="en-CA"/>
        </w:rPr>
        <w:tab/>
      </w:r>
      <w:bookmarkStart w:id="26" w:name="_Hlk178527150"/>
      <w:r w:rsidR="00DE7982" w:rsidRPr="00B9670E">
        <w:rPr>
          <w:rFonts w:cs="Arial"/>
          <w:i/>
          <w:iCs/>
          <w:color w:val="000000"/>
          <w:lang w:val="en-CA"/>
        </w:rPr>
        <w:t>Canada (Attorney General) v. Downtown Eastside Sex Workers United Against Violence Society</w:t>
      </w:r>
      <w:r w:rsidR="00DE7982" w:rsidRPr="00B9670E">
        <w:rPr>
          <w:rFonts w:cs="Arial"/>
          <w:iCs/>
          <w:color w:val="000000"/>
          <w:lang w:val="en-CA"/>
        </w:rPr>
        <w:t xml:space="preserve">, </w:t>
      </w:r>
      <w:r w:rsidR="00DE7982" w:rsidRPr="00B9670E">
        <w:rPr>
          <w:rFonts w:cs="Arial"/>
          <w:i/>
          <w:iCs/>
          <w:color w:val="000000"/>
          <w:lang w:val="en-CA"/>
        </w:rPr>
        <w:t>supra</w:t>
      </w:r>
      <w:r w:rsidR="00DE7982" w:rsidRPr="00B9670E">
        <w:rPr>
          <w:rFonts w:cs="Arial"/>
          <w:iCs/>
          <w:color w:val="000000"/>
          <w:lang w:val="en-CA"/>
        </w:rPr>
        <w:t>, note</w:t>
      </w:r>
      <w:r w:rsidRPr="008E7874">
        <w:rPr>
          <w:rFonts w:cs="Arial"/>
          <w:color w:val="000000"/>
          <w:lang w:val="en-CA"/>
        </w:rPr>
        <w:t xml:space="preserve"> </w:t>
      </w:r>
      <w:r w:rsidRPr="008E7874">
        <w:rPr>
          <w:rFonts w:cs="Arial"/>
          <w:color w:val="000000"/>
          <w:lang w:val="en-CA"/>
        </w:rPr>
        <w:fldChar w:fldCharType="begin"/>
      </w:r>
      <w:r>
        <w:rPr>
          <w:rFonts w:cs="Arial"/>
          <w:color w:val="000000"/>
          <w:lang w:val="en-CA"/>
        </w:rPr>
        <w:instrText xml:space="preserve"> NOTEREF _Ref181792809 \h  \* MERGEFORMAT </w:instrText>
      </w:r>
      <w:r w:rsidRPr="008E7874">
        <w:rPr>
          <w:rFonts w:cs="Arial"/>
          <w:color w:val="000000"/>
          <w:lang w:val="en-CA"/>
        </w:rPr>
      </w:r>
      <w:r w:rsidRPr="008E7874">
        <w:rPr>
          <w:rFonts w:cs="Arial"/>
          <w:color w:val="000000"/>
          <w:lang w:val="en-CA"/>
        </w:rPr>
        <w:fldChar w:fldCharType="separate"/>
      </w:r>
      <w:r w:rsidR="005F20FC">
        <w:rPr>
          <w:rFonts w:cs="Arial"/>
          <w:color w:val="000000"/>
          <w:lang w:val="en-CA"/>
        </w:rPr>
        <w:t>39</w:t>
      </w:r>
      <w:r w:rsidRPr="008E7874">
        <w:rPr>
          <w:rFonts w:cs="Arial"/>
          <w:color w:val="000000"/>
          <w:lang w:val="en-CA"/>
        </w:rPr>
        <w:fldChar w:fldCharType="end"/>
      </w:r>
      <w:bookmarkEnd w:id="26"/>
      <w:r w:rsidR="00815FC0" w:rsidRPr="00B9670E">
        <w:rPr>
          <w:rFonts w:cs="Arial"/>
          <w:color w:val="000000"/>
          <w:lang w:val="en-CA"/>
        </w:rPr>
        <w:t>, para.</w:t>
      </w:r>
      <w:r w:rsidRPr="008E7874">
        <w:rPr>
          <w:rFonts w:cs="Arial"/>
          <w:lang w:val="en-CA"/>
        </w:rPr>
        <w:t> </w:t>
      </w:r>
      <w:r w:rsidRPr="008E7874">
        <w:rPr>
          <w:rFonts w:cs="Arial"/>
        </w:rPr>
        <w:t>2.</w:t>
      </w:r>
    </w:p>
  </w:footnote>
  <w:footnote w:id="41">
    <w:p w14:paraId="1BE33079" w14:textId="04288555" w:rsidR="002E06B5" w:rsidRPr="008E7874" w:rsidRDefault="002E06B5" w:rsidP="002E06B5">
      <w:pPr>
        <w:pStyle w:val="Notedebasdepage"/>
      </w:pPr>
      <w:r w:rsidRPr="008E7874">
        <w:rPr>
          <w:rStyle w:val="Appelnotedebasdep"/>
        </w:rPr>
        <w:footnoteRef/>
      </w:r>
      <w:r w:rsidRPr="008E7874">
        <w:t xml:space="preserve"> </w:t>
      </w:r>
      <w:r w:rsidRPr="008E7874">
        <w:tab/>
      </w:r>
      <w:r w:rsidR="00DE7982" w:rsidRPr="00B9670E">
        <w:rPr>
          <w:i/>
          <w:iCs/>
        </w:rPr>
        <w:t>R. v. Brunelle</w:t>
      </w:r>
      <w:r w:rsidR="00DE7982" w:rsidRPr="00B9670E">
        <w:rPr>
          <w:iCs/>
        </w:rPr>
        <w:t>, 2024 SCC 3, para</w:t>
      </w:r>
      <w:r w:rsidR="00EB3160">
        <w:rPr>
          <w:iCs/>
        </w:rPr>
        <w:t>s</w:t>
      </w:r>
      <w:r w:rsidR="00DE7982" w:rsidRPr="00B9670E">
        <w:rPr>
          <w:iCs/>
        </w:rPr>
        <w:t>.</w:t>
      </w:r>
      <w:r w:rsidRPr="008E7874">
        <w:t xml:space="preserve"> 41</w:t>
      </w:r>
      <w:r w:rsidR="00EB3160">
        <w:t>–</w:t>
      </w:r>
      <w:r w:rsidRPr="008E7874">
        <w:t>42</w:t>
      </w:r>
      <w:bookmarkStart w:id="27" w:name="_Hlk179297406"/>
      <w:r w:rsidRPr="008E7874">
        <w:t>.</w:t>
      </w:r>
      <w:bookmarkEnd w:id="27"/>
    </w:p>
  </w:footnote>
  <w:footnote w:id="42">
    <w:p w14:paraId="2FD5628E" w14:textId="4F2C8733" w:rsidR="00D926C9" w:rsidRPr="00DE7982" w:rsidRDefault="00D926C9" w:rsidP="00D926C9">
      <w:pPr>
        <w:pStyle w:val="Notedebasdepage"/>
        <w:rPr>
          <w:lang w:val="en-CA"/>
        </w:rPr>
      </w:pPr>
      <w:r w:rsidRPr="008E7874">
        <w:rPr>
          <w:rStyle w:val="Appelnotedebasdep"/>
        </w:rPr>
        <w:footnoteRef/>
      </w:r>
      <w:r w:rsidRPr="008E7874">
        <w:t xml:space="preserve"> </w:t>
      </w:r>
      <w:r w:rsidRPr="008E7874">
        <w:tab/>
      </w:r>
      <w:r w:rsidR="00DE7982" w:rsidRPr="00DE7982">
        <w:rPr>
          <w:i/>
          <w:iCs/>
        </w:rPr>
        <w:t>Coroner en chef du Québec c. Duhamel</w:t>
      </w:r>
      <w:r w:rsidR="00DE7982" w:rsidRPr="00DE7982">
        <w:rPr>
          <w:iCs/>
        </w:rPr>
        <w:t>, 2021 QCCA 796, para.</w:t>
      </w:r>
      <w:r w:rsidRPr="008E7874">
        <w:t xml:space="preserve"> </w:t>
      </w:r>
      <w:r w:rsidR="00DE7982" w:rsidRPr="00B9670E">
        <w:rPr>
          <w:lang w:val="en-CA"/>
        </w:rPr>
        <w:t xml:space="preserve">64; application for leave to appeal to the Supreme Court </w:t>
      </w:r>
      <w:r w:rsidR="005F20FC">
        <w:rPr>
          <w:lang w:val="en-CA"/>
        </w:rPr>
        <w:t>dismissed</w:t>
      </w:r>
      <w:r w:rsidR="00DE7982" w:rsidRPr="00B9670E">
        <w:rPr>
          <w:lang w:val="en-CA"/>
        </w:rPr>
        <w:t>, February 17, 2022, No. 39760.</w:t>
      </w:r>
    </w:p>
  </w:footnote>
  <w:footnote w:id="43">
    <w:p w14:paraId="4A499754" w14:textId="31E32DE2" w:rsidR="00540118" w:rsidRPr="00154164" w:rsidRDefault="00E6443C" w:rsidP="00540118">
      <w:pPr>
        <w:pStyle w:val="Notedebasdepage"/>
        <w:tabs>
          <w:tab w:val="left" w:pos="426"/>
        </w:tabs>
        <w:rPr>
          <w:rFonts w:cs="Arial"/>
          <w:lang w:val="en-CA"/>
        </w:rPr>
      </w:pPr>
      <w:r w:rsidRPr="008E7874">
        <w:rPr>
          <w:rStyle w:val="Appelnotedebasdep"/>
          <w:rFonts w:cs="Arial"/>
        </w:rPr>
        <w:footnoteRef/>
      </w:r>
      <w:r w:rsidRPr="00DE7982">
        <w:rPr>
          <w:rFonts w:cs="Arial"/>
          <w:lang w:val="en-CA"/>
        </w:rPr>
        <w:t xml:space="preserve"> </w:t>
      </w:r>
      <w:r w:rsidRPr="00DE7982">
        <w:rPr>
          <w:rFonts w:cs="Arial"/>
          <w:lang w:val="en-CA"/>
        </w:rPr>
        <w:tab/>
      </w:r>
      <w:r w:rsidR="00DE7982" w:rsidRPr="00B9670E">
        <w:rPr>
          <w:rFonts w:cs="Arial"/>
          <w:i/>
          <w:iCs/>
          <w:color w:val="000000"/>
          <w:lang w:val="en-CA"/>
        </w:rPr>
        <w:t>Canada (Attorney General) v. Downtown Eastside Sex Workers United Against Violence Society</w:t>
      </w:r>
      <w:r w:rsidR="00DE7982" w:rsidRPr="00B9670E">
        <w:rPr>
          <w:rFonts w:cs="Arial"/>
          <w:iCs/>
          <w:color w:val="000000"/>
          <w:lang w:val="en-CA"/>
        </w:rPr>
        <w:t xml:space="preserve">, </w:t>
      </w:r>
      <w:r w:rsidR="00DE7982" w:rsidRPr="00B9670E">
        <w:rPr>
          <w:rFonts w:cs="Arial"/>
          <w:i/>
          <w:iCs/>
          <w:color w:val="000000"/>
          <w:lang w:val="en-CA"/>
        </w:rPr>
        <w:t>supra</w:t>
      </w:r>
      <w:r w:rsidR="00DE7982" w:rsidRPr="00B9670E">
        <w:rPr>
          <w:rFonts w:cs="Arial"/>
          <w:iCs/>
          <w:color w:val="000000"/>
          <w:lang w:val="en-CA"/>
        </w:rPr>
        <w:t>, note</w:t>
      </w:r>
      <w:r w:rsidRPr="00DE7982">
        <w:rPr>
          <w:rFonts w:cs="Arial"/>
          <w:color w:val="000000"/>
          <w:lang w:val="en-CA"/>
        </w:rPr>
        <w:t xml:space="preserve"> </w:t>
      </w:r>
      <w:r w:rsidRPr="008E7874">
        <w:rPr>
          <w:rFonts w:cs="Arial"/>
          <w:color w:val="000000"/>
          <w:lang w:val="en-CA"/>
        </w:rPr>
        <w:fldChar w:fldCharType="begin"/>
      </w:r>
      <w:r w:rsidRPr="00DE7982">
        <w:rPr>
          <w:rFonts w:cs="Arial"/>
          <w:color w:val="000000"/>
          <w:lang w:val="en-CA"/>
        </w:rPr>
        <w:instrText xml:space="preserve"> NOTEREF _Ref181792809 \h  \* MERGEFORMAT </w:instrText>
      </w:r>
      <w:r w:rsidRPr="008E7874">
        <w:rPr>
          <w:rFonts w:cs="Arial"/>
          <w:color w:val="000000"/>
          <w:lang w:val="en-CA"/>
        </w:rPr>
      </w:r>
      <w:r w:rsidRPr="008E7874">
        <w:rPr>
          <w:rFonts w:cs="Arial"/>
          <w:color w:val="000000"/>
          <w:lang w:val="en-CA"/>
        </w:rPr>
        <w:fldChar w:fldCharType="separate"/>
      </w:r>
      <w:r w:rsidR="005F20FC">
        <w:rPr>
          <w:rFonts w:cs="Arial"/>
          <w:color w:val="000000"/>
          <w:lang w:val="en-CA"/>
        </w:rPr>
        <w:t>39</w:t>
      </w:r>
      <w:r w:rsidRPr="008E7874">
        <w:rPr>
          <w:rFonts w:cs="Arial"/>
          <w:color w:val="000000"/>
          <w:lang w:val="en-CA"/>
        </w:rPr>
        <w:fldChar w:fldCharType="end"/>
      </w:r>
      <w:r w:rsidR="00815FC0" w:rsidRPr="00B9670E">
        <w:rPr>
          <w:rFonts w:cs="Arial"/>
          <w:lang w:val="en-CA"/>
        </w:rPr>
        <w:t>, para.</w:t>
      </w:r>
      <w:r w:rsidRPr="00DE7982">
        <w:rPr>
          <w:rFonts w:cs="Arial"/>
          <w:lang w:val="en-CA"/>
        </w:rPr>
        <w:t xml:space="preserve"> </w:t>
      </w:r>
      <w:r w:rsidRPr="00154164">
        <w:rPr>
          <w:rFonts w:cs="Arial"/>
          <w:lang w:val="en-CA"/>
        </w:rPr>
        <w:t>37.</w:t>
      </w:r>
    </w:p>
  </w:footnote>
  <w:footnote w:id="44">
    <w:p w14:paraId="2BC130AE" w14:textId="3FED9D3E" w:rsidR="00D926C9" w:rsidRPr="00154164" w:rsidRDefault="00D926C9" w:rsidP="00D926C9">
      <w:pPr>
        <w:pStyle w:val="Notedebasdepage"/>
        <w:rPr>
          <w:lang w:val="en-CA"/>
        </w:rPr>
      </w:pPr>
      <w:r w:rsidRPr="008E7874">
        <w:rPr>
          <w:rStyle w:val="Appelnotedebasdep"/>
        </w:rPr>
        <w:footnoteRef/>
      </w:r>
      <w:r w:rsidRPr="00154164">
        <w:rPr>
          <w:lang w:val="en-CA"/>
        </w:rPr>
        <w:t xml:space="preserve"> </w:t>
      </w:r>
      <w:r w:rsidRPr="00154164">
        <w:rPr>
          <w:lang w:val="en-CA"/>
        </w:rPr>
        <w:tab/>
      </w:r>
      <w:r w:rsidR="00815FC0" w:rsidRPr="00B9670E">
        <w:rPr>
          <w:rFonts w:cs="Arial"/>
          <w:i/>
          <w:iCs/>
          <w:lang w:val="en-CA"/>
        </w:rPr>
        <w:t>Id.</w:t>
      </w:r>
      <w:r w:rsidR="00815FC0" w:rsidRPr="00C56418">
        <w:rPr>
          <w:rFonts w:cs="Arial"/>
          <w:lang w:val="en-CA"/>
        </w:rPr>
        <w:t>, at para.</w:t>
      </w:r>
      <w:r w:rsidRPr="00C56418">
        <w:rPr>
          <w:rFonts w:cs="Arial"/>
          <w:lang w:val="en-CA"/>
        </w:rPr>
        <w:t xml:space="preserve"> </w:t>
      </w:r>
      <w:r w:rsidRPr="00154164">
        <w:rPr>
          <w:rFonts w:cs="Arial"/>
          <w:lang w:val="en-CA"/>
        </w:rPr>
        <w:t>20.</w:t>
      </w:r>
    </w:p>
  </w:footnote>
  <w:footnote w:id="45">
    <w:p w14:paraId="0D657AC6" w14:textId="7E83C89B" w:rsidR="00540118" w:rsidRPr="00154164" w:rsidRDefault="00E6443C" w:rsidP="00540118">
      <w:pPr>
        <w:pStyle w:val="Notedebasdepage"/>
        <w:tabs>
          <w:tab w:val="left" w:pos="426"/>
        </w:tabs>
        <w:rPr>
          <w:rFonts w:cs="Arial"/>
          <w:lang w:val="en-CA"/>
        </w:rPr>
      </w:pPr>
      <w:r w:rsidRPr="008E7874">
        <w:rPr>
          <w:rStyle w:val="Appelnotedebasdep"/>
          <w:rFonts w:cs="Arial"/>
        </w:rPr>
        <w:footnoteRef/>
      </w:r>
      <w:r w:rsidRPr="00154164">
        <w:rPr>
          <w:rFonts w:cs="Arial"/>
          <w:lang w:val="en-CA"/>
        </w:rPr>
        <w:t xml:space="preserve"> </w:t>
      </w:r>
      <w:r w:rsidRPr="00154164">
        <w:rPr>
          <w:rFonts w:cs="Arial"/>
          <w:lang w:val="en-CA"/>
        </w:rPr>
        <w:tab/>
      </w:r>
      <w:bookmarkStart w:id="28" w:name="_Hlk178527910"/>
      <w:r w:rsidR="00815FC0" w:rsidRPr="00B9670E">
        <w:rPr>
          <w:rFonts w:cs="Arial"/>
          <w:i/>
          <w:iCs/>
          <w:color w:val="000000"/>
          <w:lang w:val="en-CA"/>
        </w:rPr>
        <w:t>Id.</w:t>
      </w:r>
      <w:r w:rsidR="00815FC0" w:rsidRPr="00C56418">
        <w:rPr>
          <w:rFonts w:cs="Arial"/>
          <w:color w:val="000000"/>
          <w:lang w:val="en-CA"/>
        </w:rPr>
        <w:t>, at para.</w:t>
      </w:r>
      <w:r w:rsidRPr="00C56418">
        <w:rPr>
          <w:rFonts w:cs="Arial"/>
          <w:color w:val="000000"/>
          <w:lang w:val="en-CA"/>
        </w:rPr>
        <w:t xml:space="preserve"> </w:t>
      </w:r>
      <w:r w:rsidRPr="00154164">
        <w:rPr>
          <w:rFonts w:cs="Arial"/>
          <w:color w:val="000000"/>
          <w:lang w:val="en-CA"/>
        </w:rPr>
        <w:t>23.</w:t>
      </w:r>
      <w:bookmarkEnd w:id="28"/>
    </w:p>
  </w:footnote>
  <w:footnote w:id="46">
    <w:p w14:paraId="3DDBDC87" w14:textId="30F70279" w:rsidR="00591040" w:rsidRPr="00154164" w:rsidRDefault="00591040" w:rsidP="00591040">
      <w:pPr>
        <w:pStyle w:val="Notedebasdepage"/>
        <w:tabs>
          <w:tab w:val="left" w:pos="426"/>
        </w:tabs>
        <w:rPr>
          <w:rFonts w:cs="Arial"/>
          <w:lang w:val="en-CA"/>
        </w:rPr>
      </w:pPr>
      <w:r w:rsidRPr="008E7874">
        <w:rPr>
          <w:rStyle w:val="Appelnotedebasdep"/>
          <w:rFonts w:cs="Arial"/>
        </w:rPr>
        <w:footnoteRef/>
      </w:r>
      <w:r w:rsidRPr="00154164">
        <w:rPr>
          <w:rFonts w:cs="Arial"/>
          <w:lang w:val="en-CA"/>
        </w:rPr>
        <w:t xml:space="preserve"> </w:t>
      </w:r>
      <w:r w:rsidRPr="00154164">
        <w:rPr>
          <w:rFonts w:cs="Arial"/>
          <w:lang w:val="en-CA"/>
        </w:rPr>
        <w:tab/>
      </w:r>
      <w:r w:rsidR="00815FC0" w:rsidRPr="00B9670E">
        <w:rPr>
          <w:rFonts w:cs="Arial"/>
          <w:i/>
          <w:iCs/>
          <w:color w:val="000000"/>
          <w:lang w:val="en-CA"/>
        </w:rPr>
        <w:t>Id.</w:t>
      </w:r>
      <w:r w:rsidR="00815FC0" w:rsidRPr="00C56418">
        <w:rPr>
          <w:rFonts w:cs="Arial"/>
          <w:color w:val="000000"/>
          <w:lang w:val="en-CA"/>
        </w:rPr>
        <w:t>, at para.</w:t>
      </w:r>
      <w:r w:rsidRPr="00C56418">
        <w:rPr>
          <w:rFonts w:cs="Arial"/>
          <w:lang w:val="en-CA"/>
        </w:rPr>
        <w:t xml:space="preserve"> </w:t>
      </w:r>
      <w:r w:rsidRPr="00154164">
        <w:rPr>
          <w:rFonts w:cs="Arial"/>
          <w:lang w:val="en-CA"/>
        </w:rPr>
        <w:t xml:space="preserve">52. </w:t>
      </w:r>
    </w:p>
  </w:footnote>
  <w:footnote w:id="47">
    <w:p w14:paraId="4D04A087" w14:textId="71D54E3B" w:rsidR="00591040" w:rsidRPr="000A5EE9" w:rsidRDefault="00591040" w:rsidP="00591040">
      <w:pPr>
        <w:pStyle w:val="Notedebasdepage"/>
        <w:tabs>
          <w:tab w:val="left" w:pos="426"/>
        </w:tabs>
        <w:rPr>
          <w:rFonts w:cs="Arial"/>
          <w:lang w:val="en-CA"/>
        </w:rPr>
      </w:pPr>
      <w:r w:rsidRPr="008E7874">
        <w:rPr>
          <w:rStyle w:val="Appelnotedebasdep"/>
          <w:rFonts w:cs="Arial"/>
        </w:rPr>
        <w:footnoteRef/>
      </w:r>
      <w:r w:rsidRPr="000A5EE9">
        <w:rPr>
          <w:rFonts w:cs="Arial"/>
          <w:lang w:val="en-CA"/>
        </w:rPr>
        <w:t xml:space="preserve"> </w:t>
      </w:r>
      <w:r w:rsidRPr="000A5EE9">
        <w:rPr>
          <w:rFonts w:cs="Arial"/>
          <w:lang w:val="en-CA"/>
        </w:rPr>
        <w:tab/>
      </w:r>
      <w:r w:rsidR="00815FC0" w:rsidRPr="000A5EE9">
        <w:rPr>
          <w:rFonts w:cs="Arial"/>
          <w:i/>
          <w:iCs/>
          <w:lang w:val="en-CA"/>
        </w:rPr>
        <w:t>Ibid</w:t>
      </w:r>
      <w:r w:rsidR="00815FC0" w:rsidRPr="000A5EE9">
        <w:rPr>
          <w:rFonts w:cs="Arial"/>
          <w:iCs/>
          <w:lang w:val="en-CA"/>
        </w:rPr>
        <w:t>.</w:t>
      </w:r>
      <w:r w:rsidRPr="000A5EE9">
        <w:rPr>
          <w:rFonts w:cs="Arial"/>
          <w:lang w:val="en-CA"/>
        </w:rPr>
        <w:t xml:space="preserve"> </w:t>
      </w:r>
    </w:p>
  </w:footnote>
  <w:footnote w:id="48">
    <w:p w14:paraId="1E271543" w14:textId="2AC5B2EB" w:rsidR="00591040" w:rsidRPr="000A5EE9" w:rsidRDefault="00591040" w:rsidP="00591040">
      <w:pPr>
        <w:pStyle w:val="Notedebasdepage"/>
        <w:rPr>
          <w:lang w:val="en-CA"/>
        </w:rPr>
      </w:pPr>
      <w:r w:rsidRPr="008E7874">
        <w:rPr>
          <w:rStyle w:val="Appelnotedebasdep"/>
        </w:rPr>
        <w:footnoteRef/>
      </w:r>
      <w:r w:rsidRPr="00591040">
        <w:t xml:space="preserve"> </w:t>
      </w:r>
      <w:r w:rsidRPr="00591040">
        <w:tab/>
      </w:r>
      <w:r w:rsidR="00DE7982" w:rsidRPr="00DE7982">
        <w:rPr>
          <w:i/>
          <w:iCs/>
        </w:rPr>
        <w:t>Chapman c. Procureure générale du Québec</w:t>
      </w:r>
      <w:r w:rsidR="00DE7982" w:rsidRPr="00DE7982">
        <w:rPr>
          <w:iCs/>
        </w:rPr>
        <w:t>, 2018 QCCA 2013, para.</w:t>
      </w:r>
      <w:r w:rsidRPr="00591040">
        <w:t xml:space="preserve"> </w:t>
      </w:r>
      <w:r w:rsidRPr="000A5EE9">
        <w:rPr>
          <w:lang w:val="en-CA"/>
        </w:rPr>
        <w:t>32.</w:t>
      </w:r>
    </w:p>
  </w:footnote>
  <w:footnote w:id="49">
    <w:p w14:paraId="434C7A36" w14:textId="4FABEA78" w:rsidR="00724A37" w:rsidRPr="00DE7982" w:rsidRDefault="00724A37" w:rsidP="00724A37">
      <w:pPr>
        <w:ind w:left="426" w:hanging="426"/>
        <w:jc w:val="both"/>
        <w:rPr>
          <w:rFonts w:cs="Arial"/>
          <w:sz w:val="20"/>
          <w:lang w:val="en-CA"/>
        </w:rPr>
      </w:pPr>
      <w:r w:rsidRPr="008E7874">
        <w:rPr>
          <w:rStyle w:val="Appelnotedebasdep"/>
          <w:rFonts w:cs="Arial"/>
          <w:sz w:val="20"/>
        </w:rPr>
        <w:footnoteRef/>
      </w:r>
      <w:r w:rsidRPr="00DE7982">
        <w:rPr>
          <w:rFonts w:cs="Arial"/>
          <w:sz w:val="20"/>
          <w:lang w:val="en-CA"/>
        </w:rPr>
        <w:t xml:space="preserve"> </w:t>
      </w:r>
      <w:r w:rsidRPr="00DE7982">
        <w:rPr>
          <w:rFonts w:cs="Arial"/>
          <w:sz w:val="20"/>
          <w:lang w:val="en-CA"/>
        </w:rPr>
        <w:tab/>
      </w:r>
      <w:r w:rsidR="00DE7982" w:rsidRPr="00DE7982">
        <w:rPr>
          <w:rFonts w:cs="Arial"/>
          <w:i/>
          <w:sz w:val="20"/>
          <w:lang w:val="en-CA"/>
        </w:rPr>
        <w:t>Behn v. Moulton Contracting Ltd</w:t>
      </w:r>
      <w:r w:rsidR="00DE7982" w:rsidRPr="00DE7982">
        <w:rPr>
          <w:rFonts w:cs="Arial"/>
          <w:sz w:val="20"/>
          <w:lang w:val="en-CA"/>
        </w:rPr>
        <w:t>., 2013 SCC 26, para</w:t>
      </w:r>
      <w:r w:rsidR="00E96624">
        <w:rPr>
          <w:rFonts w:cs="Arial"/>
          <w:sz w:val="20"/>
          <w:lang w:val="en-CA"/>
        </w:rPr>
        <w:t>s</w:t>
      </w:r>
      <w:r w:rsidR="00DE7982" w:rsidRPr="00DE7982">
        <w:rPr>
          <w:rFonts w:cs="Arial"/>
          <w:sz w:val="20"/>
          <w:lang w:val="en-CA"/>
        </w:rPr>
        <w:t>.</w:t>
      </w:r>
      <w:r w:rsidRPr="00DE7982">
        <w:rPr>
          <w:rFonts w:cs="Arial"/>
          <w:spacing w:val="-5"/>
          <w:sz w:val="20"/>
          <w:lang w:val="en-CA"/>
        </w:rPr>
        <w:t xml:space="preserve"> </w:t>
      </w:r>
      <w:r w:rsidR="00DE7982" w:rsidRPr="00DE7982">
        <w:rPr>
          <w:rFonts w:cs="Arial"/>
          <w:sz w:val="20"/>
          <w:lang w:val="en-CA"/>
        </w:rPr>
        <w:t>30 and 33.</w:t>
      </w:r>
    </w:p>
  </w:footnote>
  <w:footnote w:id="50">
    <w:p w14:paraId="1E9E0233" w14:textId="29F6794C" w:rsidR="00724A37" w:rsidRPr="000A5EE9" w:rsidRDefault="00724A37" w:rsidP="00724A37">
      <w:pPr>
        <w:tabs>
          <w:tab w:val="left" w:pos="426"/>
        </w:tabs>
        <w:spacing w:line="240" w:lineRule="auto"/>
        <w:ind w:left="425" w:hanging="425"/>
        <w:jc w:val="both"/>
        <w:rPr>
          <w:rFonts w:cs="Arial"/>
          <w:sz w:val="20"/>
          <w:lang w:val="en-CA"/>
        </w:rPr>
      </w:pPr>
      <w:r w:rsidRPr="008E7874">
        <w:rPr>
          <w:rStyle w:val="Appelnotedebasdep"/>
          <w:rFonts w:cs="Arial"/>
          <w:sz w:val="20"/>
        </w:rPr>
        <w:footnoteRef/>
      </w:r>
      <w:r w:rsidRPr="00DE7982">
        <w:rPr>
          <w:rFonts w:cs="Arial"/>
          <w:sz w:val="20"/>
          <w:lang w:val="en-CA"/>
        </w:rPr>
        <w:t xml:space="preserve"> </w:t>
      </w:r>
      <w:r w:rsidRPr="00DE7982">
        <w:rPr>
          <w:rFonts w:cs="Arial"/>
          <w:sz w:val="20"/>
          <w:lang w:val="en-CA"/>
        </w:rPr>
        <w:tab/>
      </w:r>
      <w:r w:rsidR="00DE7982">
        <w:rPr>
          <w:rFonts w:cs="Arial"/>
          <w:sz w:val="20"/>
          <w:lang w:val="en-CA"/>
        </w:rPr>
        <w:t xml:space="preserve">As noted by the Supreme Court, several </w:t>
      </w:r>
      <w:r w:rsidR="00E96624">
        <w:rPr>
          <w:rFonts w:cs="Arial"/>
          <w:sz w:val="20"/>
          <w:lang w:val="en-CA"/>
        </w:rPr>
        <w:t>judgments</w:t>
      </w:r>
      <w:r w:rsidR="00DE7982">
        <w:rPr>
          <w:rFonts w:cs="Arial"/>
          <w:sz w:val="20"/>
          <w:lang w:val="en-CA"/>
        </w:rPr>
        <w:t xml:space="preserve"> in connection with rights recognized under s.</w:t>
      </w:r>
      <w:r w:rsidRPr="00DE7982">
        <w:rPr>
          <w:rFonts w:cs="Arial"/>
          <w:sz w:val="20"/>
          <w:lang w:val="en-CA"/>
        </w:rPr>
        <w:t xml:space="preserve"> </w:t>
      </w:r>
      <w:r w:rsidR="00DE7982" w:rsidRPr="00DE7982">
        <w:rPr>
          <w:rFonts w:cs="Arial"/>
          <w:sz w:val="20"/>
          <w:lang w:val="en-CA"/>
        </w:rPr>
        <w:t xml:space="preserve">35 of the </w:t>
      </w:r>
      <w:r w:rsidR="00DE7982" w:rsidRPr="00DE7982">
        <w:rPr>
          <w:rFonts w:cs="Arial"/>
          <w:i/>
          <w:sz w:val="20"/>
          <w:lang w:val="en-CA"/>
        </w:rPr>
        <w:t>Constitution Act, 1982</w:t>
      </w:r>
      <w:r w:rsidR="00DE7982" w:rsidRPr="00DE7982">
        <w:rPr>
          <w:rFonts w:cs="Arial"/>
          <w:sz w:val="20"/>
          <w:lang w:val="en-CA"/>
        </w:rPr>
        <w:t xml:space="preserve"> were rendered in such a context, see: </w:t>
      </w:r>
      <w:r w:rsidR="00DE7982" w:rsidRPr="00DE7982">
        <w:rPr>
          <w:rFonts w:cs="Arial"/>
          <w:i/>
          <w:sz w:val="20"/>
          <w:lang w:val="en-CA"/>
        </w:rPr>
        <w:t>R. v. Marshall; R. v. Bernard</w:t>
      </w:r>
      <w:r w:rsidR="00DE7982" w:rsidRPr="00DE7982">
        <w:rPr>
          <w:rFonts w:cs="Arial"/>
          <w:sz w:val="20"/>
          <w:lang w:val="en-CA"/>
        </w:rPr>
        <w:t>, 2005 SCC 43, para</w:t>
      </w:r>
      <w:r w:rsidR="00E96624">
        <w:rPr>
          <w:rFonts w:cs="Arial"/>
          <w:sz w:val="20"/>
          <w:lang w:val="en-CA"/>
        </w:rPr>
        <w:t>s</w:t>
      </w:r>
      <w:r w:rsidR="00DE7982" w:rsidRPr="00DE7982">
        <w:rPr>
          <w:rFonts w:cs="Arial"/>
          <w:sz w:val="20"/>
          <w:lang w:val="en-CA"/>
        </w:rPr>
        <w:t>.</w:t>
      </w:r>
      <w:r w:rsidRPr="00DE7982">
        <w:rPr>
          <w:rFonts w:cs="Arial"/>
          <w:sz w:val="20"/>
          <w:lang w:val="en-CA"/>
        </w:rPr>
        <w:t> </w:t>
      </w:r>
      <w:r w:rsidR="00DE7982" w:rsidRPr="00DE7982">
        <w:rPr>
          <w:rFonts w:cs="Arial"/>
          <w:sz w:val="20"/>
          <w:lang w:val="en-CA"/>
        </w:rPr>
        <w:t xml:space="preserve">142–143 (concurring reasons of LeBel, J.); </w:t>
      </w:r>
      <w:r w:rsidR="00DE7982" w:rsidRPr="00DE7982">
        <w:rPr>
          <w:rFonts w:cs="Arial"/>
          <w:i/>
          <w:sz w:val="20"/>
          <w:lang w:val="en-CA"/>
        </w:rPr>
        <w:t>R. v. Powley</w:t>
      </w:r>
      <w:r w:rsidR="00DE7982" w:rsidRPr="00DE7982">
        <w:rPr>
          <w:rFonts w:cs="Arial"/>
          <w:sz w:val="20"/>
          <w:lang w:val="en-CA"/>
        </w:rPr>
        <w:t xml:space="preserve">, 2003 SCC 43; </w:t>
      </w:r>
      <w:r w:rsidR="00DE7982" w:rsidRPr="00DE7982">
        <w:rPr>
          <w:rFonts w:cs="Arial"/>
          <w:i/>
          <w:sz w:val="20"/>
          <w:lang w:val="en-CA"/>
        </w:rPr>
        <w:t>Rice v. Agence du revenu du Québec</w:t>
      </w:r>
      <w:r w:rsidR="00DE7982" w:rsidRPr="00DE7982">
        <w:rPr>
          <w:rFonts w:cs="Arial"/>
          <w:sz w:val="20"/>
          <w:lang w:val="en-CA"/>
        </w:rPr>
        <w:t>, 2016 QCCA 666, para.</w:t>
      </w:r>
      <w:r w:rsidRPr="00DE7982">
        <w:rPr>
          <w:rFonts w:cs="Arial"/>
          <w:sz w:val="20"/>
          <w:lang w:val="en-CA"/>
        </w:rPr>
        <w:t xml:space="preserve"> </w:t>
      </w:r>
      <w:r w:rsidR="00DE7982" w:rsidRPr="00DE7982">
        <w:rPr>
          <w:rFonts w:cs="Arial"/>
          <w:sz w:val="20"/>
          <w:lang w:val="en-CA"/>
        </w:rPr>
        <w:t xml:space="preserve">121, application for leave to appeal to the Supreme Court </w:t>
      </w:r>
      <w:r w:rsidR="000A577F">
        <w:rPr>
          <w:rFonts w:cs="Arial"/>
          <w:sz w:val="20"/>
          <w:lang w:val="en-CA"/>
        </w:rPr>
        <w:t>dismissed</w:t>
      </w:r>
      <w:r w:rsidR="00DE7982" w:rsidRPr="00DE7982">
        <w:rPr>
          <w:rFonts w:cs="Arial"/>
          <w:sz w:val="20"/>
          <w:lang w:val="en-CA"/>
        </w:rPr>
        <w:t xml:space="preserve">, December 22, 2016, </w:t>
      </w:r>
      <w:r w:rsidR="00DE7982" w:rsidRPr="000A577F">
        <w:rPr>
          <w:rFonts w:cs="Arial"/>
          <w:sz w:val="20"/>
          <w:lang w:val="en-CA"/>
        </w:rPr>
        <w:t>No.</w:t>
      </w:r>
      <w:r w:rsidR="00DE7982" w:rsidRPr="00DE7982">
        <w:rPr>
          <w:rFonts w:cs="Arial"/>
          <w:sz w:val="20"/>
          <w:lang w:val="en-CA"/>
        </w:rPr>
        <w:t xml:space="preserve"> 37077.</w:t>
      </w:r>
      <w:r w:rsidRPr="00DE7982">
        <w:rPr>
          <w:rFonts w:cs="Arial"/>
          <w:sz w:val="20"/>
          <w:lang w:val="en-CA"/>
        </w:rPr>
        <w:t xml:space="preserve"> </w:t>
      </w:r>
      <w:r w:rsidR="00DE7982" w:rsidRPr="000A5EE9">
        <w:rPr>
          <w:rFonts w:cs="Arial"/>
          <w:sz w:val="20"/>
          <w:lang w:val="en-CA"/>
        </w:rPr>
        <w:t xml:space="preserve">See also: </w:t>
      </w:r>
      <w:r w:rsidR="00DE7982" w:rsidRPr="000A5EE9">
        <w:rPr>
          <w:rFonts w:cs="Arial"/>
          <w:i/>
          <w:sz w:val="20"/>
          <w:lang w:val="en-CA"/>
        </w:rPr>
        <w:t>Francis v. Canada</w:t>
      </w:r>
      <w:r w:rsidR="00DE7982" w:rsidRPr="000A5EE9">
        <w:rPr>
          <w:rFonts w:cs="Arial"/>
          <w:sz w:val="20"/>
          <w:lang w:val="en-CA"/>
        </w:rPr>
        <w:t>, 2018 FC 49, para.</w:t>
      </w:r>
      <w:r w:rsidRPr="000A5EE9">
        <w:rPr>
          <w:rFonts w:cs="Arial"/>
          <w:spacing w:val="-6"/>
          <w:sz w:val="20"/>
          <w:lang w:val="en-CA"/>
        </w:rPr>
        <w:t xml:space="preserve"> </w:t>
      </w:r>
      <w:r w:rsidRPr="000A5EE9">
        <w:rPr>
          <w:rFonts w:cs="Arial"/>
          <w:spacing w:val="-5"/>
          <w:sz w:val="20"/>
          <w:lang w:val="en-CA"/>
        </w:rPr>
        <w:t>26.</w:t>
      </w:r>
    </w:p>
  </w:footnote>
  <w:footnote w:id="51">
    <w:p w14:paraId="27EB598C" w14:textId="5F47121A" w:rsidR="00724A37" w:rsidRPr="00091D00" w:rsidRDefault="00724A37" w:rsidP="00724A37">
      <w:pPr>
        <w:pStyle w:val="Notedebasdepage"/>
        <w:tabs>
          <w:tab w:val="left" w:pos="426"/>
        </w:tabs>
        <w:rPr>
          <w:rFonts w:cs="Arial"/>
        </w:rPr>
      </w:pPr>
      <w:r w:rsidRPr="008E7874">
        <w:rPr>
          <w:rStyle w:val="Appelnotedebasdep"/>
          <w:rFonts w:cs="Arial"/>
        </w:rPr>
        <w:footnoteRef/>
      </w:r>
      <w:r w:rsidRPr="000A5EE9">
        <w:rPr>
          <w:rFonts w:cs="Arial"/>
          <w:lang w:val="en-CA"/>
        </w:rPr>
        <w:t xml:space="preserve"> </w:t>
      </w:r>
      <w:r w:rsidRPr="000A5EE9">
        <w:rPr>
          <w:rFonts w:cs="Arial"/>
          <w:lang w:val="en-CA"/>
        </w:rPr>
        <w:tab/>
        <w:t xml:space="preserve"> </w:t>
      </w:r>
      <w:r w:rsidR="00DE7982" w:rsidRPr="000A5EE9">
        <w:rPr>
          <w:rFonts w:cs="Arial"/>
          <w:i/>
          <w:lang w:val="en-CA"/>
        </w:rPr>
        <w:t>Behn v. Moulton Contracting Ltd.</w:t>
      </w:r>
      <w:r w:rsidR="00DE7982" w:rsidRPr="000A5EE9">
        <w:rPr>
          <w:rFonts w:cs="Arial"/>
          <w:lang w:val="en-CA"/>
        </w:rPr>
        <w:t xml:space="preserve">, </w:t>
      </w:r>
      <w:r w:rsidR="00DE7982" w:rsidRPr="000A5EE9">
        <w:rPr>
          <w:rFonts w:cs="Arial"/>
          <w:i/>
          <w:lang w:val="en-CA"/>
        </w:rPr>
        <w:t>supra</w:t>
      </w:r>
      <w:r w:rsidR="00DE7982" w:rsidRPr="000A5EE9">
        <w:rPr>
          <w:rFonts w:cs="Arial"/>
          <w:lang w:val="en-CA"/>
        </w:rPr>
        <w:t>, note</w:t>
      </w:r>
      <w:r w:rsidRPr="000A5EE9">
        <w:rPr>
          <w:rFonts w:cs="Arial"/>
          <w:lang w:val="en-CA"/>
        </w:rPr>
        <w:t xml:space="preserve"> </w:t>
      </w:r>
      <w:r w:rsidRPr="008E7874">
        <w:rPr>
          <w:rFonts w:cs="Arial"/>
        </w:rPr>
        <w:fldChar w:fldCharType="begin"/>
      </w:r>
      <w:r w:rsidRPr="000A5EE9">
        <w:rPr>
          <w:rFonts w:cs="Arial"/>
          <w:lang w:val="en-CA"/>
        </w:rPr>
        <w:instrText xml:space="preserve"> NOTEREF _Ref181864272 \h  \* MERGEFORMAT </w:instrText>
      </w:r>
      <w:r w:rsidRPr="008E7874">
        <w:rPr>
          <w:rFonts w:cs="Arial"/>
        </w:rPr>
      </w:r>
      <w:r w:rsidRPr="008E7874">
        <w:rPr>
          <w:rFonts w:cs="Arial"/>
        </w:rPr>
        <w:fldChar w:fldCharType="separate"/>
      </w:r>
      <w:r w:rsidR="005F20FC">
        <w:rPr>
          <w:rFonts w:cs="Arial"/>
          <w:lang w:val="en-CA"/>
        </w:rPr>
        <w:t>49</w:t>
      </w:r>
      <w:r w:rsidRPr="008E7874">
        <w:rPr>
          <w:rFonts w:cs="Arial"/>
        </w:rPr>
        <w:fldChar w:fldCharType="end"/>
      </w:r>
      <w:r w:rsidR="00815FC0" w:rsidRPr="000A5EE9">
        <w:rPr>
          <w:rFonts w:cs="Arial"/>
          <w:lang w:val="en-CA"/>
        </w:rPr>
        <w:t>, para.</w:t>
      </w:r>
      <w:r w:rsidRPr="000A5EE9">
        <w:rPr>
          <w:rFonts w:cs="Arial"/>
          <w:lang w:val="en-CA"/>
        </w:rPr>
        <w:t xml:space="preserve"> </w:t>
      </w:r>
      <w:r w:rsidRPr="00091D00">
        <w:rPr>
          <w:rFonts w:cs="Arial"/>
        </w:rPr>
        <w:t>30.</w:t>
      </w:r>
    </w:p>
  </w:footnote>
  <w:footnote w:id="52">
    <w:p w14:paraId="34BFB36A" w14:textId="257B1AB5" w:rsidR="00724A37" w:rsidRPr="00902953" w:rsidRDefault="00724A37" w:rsidP="00724A37">
      <w:pPr>
        <w:pStyle w:val="Notedebasdepage"/>
        <w:tabs>
          <w:tab w:val="left" w:pos="426"/>
        </w:tabs>
        <w:rPr>
          <w:rFonts w:cs="Arial"/>
        </w:rPr>
      </w:pPr>
      <w:r w:rsidRPr="008E7874">
        <w:rPr>
          <w:rStyle w:val="Appelnotedebasdep"/>
          <w:rFonts w:cs="Arial"/>
        </w:rPr>
        <w:footnoteRef/>
      </w:r>
      <w:r w:rsidRPr="00091D00">
        <w:rPr>
          <w:rFonts w:cs="Arial"/>
        </w:rPr>
        <w:t xml:space="preserve"> </w:t>
      </w:r>
      <w:r w:rsidRPr="00091D00">
        <w:rPr>
          <w:rFonts w:cs="Arial"/>
        </w:rPr>
        <w:tab/>
      </w:r>
      <w:r w:rsidR="00DE7982" w:rsidRPr="00091D00">
        <w:rPr>
          <w:rFonts w:cs="Arial"/>
          <w:i/>
        </w:rPr>
        <w:t>Behn v. Moulton Contracting Ltd.</w:t>
      </w:r>
      <w:r w:rsidR="00DE7982" w:rsidRPr="00091D00">
        <w:rPr>
          <w:rFonts w:cs="Arial"/>
        </w:rPr>
        <w:t xml:space="preserve">, </w:t>
      </w:r>
      <w:r w:rsidR="00DE7982" w:rsidRPr="00091D00">
        <w:rPr>
          <w:rFonts w:cs="Arial"/>
          <w:i/>
        </w:rPr>
        <w:t>supra</w:t>
      </w:r>
      <w:r w:rsidR="00DE7982" w:rsidRPr="00091D00">
        <w:rPr>
          <w:rFonts w:cs="Arial"/>
        </w:rPr>
        <w:t>, note</w:t>
      </w:r>
      <w:r w:rsidRPr="00091D00">
        <w:rPr>
          <w:rFonts w:cs="Arial"/>
        </w:rPr>
        <w:t xml:space="preserve"> </w:t>
      </w:r>
      <w:r w:rsidRPr="008E7874">
        <w:rPr>
          <w:rFonts w:cs="Arial"/>
        </w:rPr>
        <w:fldChar w:fldCharType="begin"/>
      </w:r>
      <w:r w:rsidRPr="00091D00">
        <w:rPr>
          <w:rFonts w:cs="Arial"/>
        </w:rPr>
        <w:instrText xml:space="preserve"> NOTEREF _Ref181864272 \h  \* MERGEFORMAT </w:instrText>
      </w:r>
      <w:r w:rsidRPr="008E7874">
        <w:rPr>
          <w:rFonts w:cs="Arial"/>
        </w:rPr>
      </w:r>
      <w:r w:rsidRPr="008E7874">
        <w:rPr>
          <w:rFonts w:cs="Arial"/>
        </w:rPr>
        <w:fldChar w:fldCharType="separate"/>
      </w:r>
      <w:r w:rsidR="005F20FC" w:rsidRPr="00091D00">
        <w:rPr>
          <w:rFonts w:cs="Arial"/>
        </w:rPr>
        <w:t>49</w:t>
      </w:r>
      <w:r w:rsidRPr="008E7874">
        <w:rPr>
          <w:rFonts w:cs="Arial"/>
        </w:rPr>
        <w:fldChar w:fldCharType="end"/>
      </w:r>
      <w:r w:rsidR="00815FC0" w:rsidRPr="00091D00">
        <w:rPr>
          <w:rFonts w:cs="Arial"/>
        </w:rPr>
        <w:t>, para</w:t>
      </w:r>
      <w:r w:rsidR="00902953" w:rsidRPr="00091D00">
        <w:rPr>
          <w:rFonts w:cs="Arial"/>
        </w:rPr>
        <w:t>s</w:t>
      </w:r>
      <w:r w:rsidR="00815FC0" w:rsidRPr="00091D00">
        <w:rPr>
          <w:rFonts w:cs="Arial"/>
        </w:rPr>
        <w:t>.</w:t>
      </w:r>
      <w:r w:rsidRPr="00091D00">
        <w:rPr>
          <w:rFonts w:cs="Arial"/>
          <w:spacing w:val="-3"/>
        </w:rPr>
        <w:t xml:space="preserve"> </w:t>
      </w:r>
      <w:r w:rsidRPr="00902953">
        <w:rPr>
          <w:rFonts w:cs="Arial"/>
        </w:rPr>
        <w:t>33</w:t>
      </w:r>
      <w:r w:rsidR="00902953" w:rsidRPr="00902953">
        <w:rPr>
          <w:rFonts w:cs="Arial"/>
        </w:rPr>
        <w:t>–</w:t>
      </w:r>
      <w:r w:rsidRPr="00902953">
        <w:rPr>
          <w:rFonts w:cs="Arial"/>
          <w:spacing w:val="-5"/>
        </w:rPr>
        <w:t>35.</w:t>
      </w:r>
    </w:p>
  </w:footnote>
  <w:footnote w:id="53">
    <w:p w14:paraId="57DA976F" w14:textId="131E5787" w:rsidR="00636C9A" w:rsidRPr="00DE7982" w:rsidRDefault="00636C9A" w:rsidP="00636C9A">
      <w:pPr>
        <w:pStyle w:val="Notedebasdepage"/>
        <w:rPr>
          <w:lang w:val="en-CA"/>
        </w:rPr>
      </w:pPr>
      <w:r w:rsidRPr="008E7874">
        <w:rPr>
          <w:rStyle w:val="Appelnotedebasdep"/>
        </w:rPr>
        <w:footnoteRef/>
      </w:r>
      <w:r w:rsidRPr="008E7874">
        <w:t xml:space="preserve"> </w:t>
      </w:r>
      <w:r w:rsidRPr="008E7874">
        <w:tab/>
      </w:r>
      <w:r w:rsidR="00DE7982" w:rsidRPr="00DE7982">
        <w:rPr>
          <w:rFonts w:eastAsia="Calibri" w:cs="Arial"/>
          <w:i/>
          <w:iCs/>
          <w:shd w:val="clear" w:color="auto" w:fill="FFFFFF"/>
          <w:lang w:eastAsia="en-US"/>
          <w14:ligatures w14:val="standardContextual"/>
        </w:rPr>
        <w:t xml:space="preserve">Rice </w:t>
      </w:r>
      <w:r w:rsidR="00DE7982" w:rsidRPr="00CA00B6">
        <w:rPr>
          <w:rFonts w:eastAsia="Calibri" w:cs="Arial"/>
          <w:i/>
          <w:iCs/>
          <w:shd w:val="clear" w:color="auto" w:fill="FFFFFF"/>
          <w:lang w:eastAsia="en-US"/>
          <w14:ligatures w14:val="standardContextual"/>
        </w:rPr>
        <w:t>v.</w:t>
      </w:r>
      <w:r w:rsidR="00DE7982" w:rsidRPr="00DE7982">
        <w:rPr>
          <w:rFonts w:eastAsia="Calibri" w:cs="Arial"/>
          <w:i/>
          <w:iCs/>
          <w:shd w:val="clear" w:color="auto" w:fill="FFFFFF"/>
          <w:lang w:eastAsia="en-US"/>
          <w14:ligatures w14:val="standardContextual"/>
        </w:rPr>
        <w:t xml:space="preserve"> Agence du revenu du Québec</w:t>
      </w:r>
      <w:r w:rsidR="00DE7982" w:rsidRPr="00DE7982">
        <w:rPr>
          <w:rFonts w:eastAsia="Calibri" w:cs="Arial"/>
          <w:iCs/>
          <w:shd w:val="clear" w:color="auto" w:fill="FFFFFF"/>
          <w:lang w:eastAsia="en-US"/>
          <w14:ligatures w14:val="standardContextual"/>
        </w:rPr>
        <w:t xml:space="preserve">, </w:t>
      </w:r>
      <w:r w:rsidR="00DE7982" w:rsidRPr="00DE7982">
        <w:rPr>
          <w:rFonts w:eastAsia="Calibri" w:cs="Arial"/>
          <w:i/>
          <w:iCs/>
          <w:shd w:val="clear" w:color="auto" w:fill="FFFFFF"/>
          <w:lang w:eastAsia="en-US"/>
          <w14:ligatures w14:val="standardContextual"/>
        </w:rPr>
        <w:t>supra</w:t>
      </w:r>
      <w:r w:rsidR="00DE7982" w:rsidRPr="00DE7982">
        <w:rPr>
          <w:rFonts w:eastAsia="Calibri" w:cs="Arial"/>
          <w:iCs/>
          <w:shd w:val="clear" w:color="auto" w:fill="FFFFFF"/>
          <w:lang w:eastAsia="en-US"/>
          <w14:ligatures w14:val="standardContextual"/>
        </w:rPr>
        <w:t>, note</w:t>
      </w:r>
      <w:r w:rsidRPr="00976352">
        <w:t xml:space="preserve"> </w:t>
      </w:r>
      <w:r w:rsidRPr="00976352">
        <w:fldChar w:fldCharType="begin"/>
      </w:r>
      <w:r w:rsidRPr="00976352">
        <w:instrText xml:space="preserve"> NOTEREF _Ref181864550 \h  \* MERGEFORMAT </w:instrText>
      </w:r>
      <w:r w:rsidRPr="00976352">
        <w:fldChar w:fldCharType="separate"/>
      </w:r>
      <w:r w:rsidR="005F20FC">
        <w:t>50</w:t>
      </w:r>
      <w:r w:rsidRPr="00976352">
        <w:fldChar w:fldCharType="end"/>
      </w:r>
      <w:r w:rsidR="00815FC0" w:rsidRPr="00B9670E">
        <w:t>, para</w:t>
      </w:r>
      <w:r w:rsidR="00902953">
        <w:t>s</w:t>
      </w:r>
      <w:r w:rsidR="00815FC0" w:rsidRPr="00B9670E">
        <w:t>.</w:t>
      </w:r>
      <w:r w:rsidRPr="00976352">
        <w:t xml:space="preserve"> </w:t>
      </w:r>
      <w:r w:rsidRPr="000A5EE9">
        <w:rPr>
          <w:lang w:val="en-CA"/>
        </w:rPr>
        <w:t>114</w:t>
      </w:r>
      <w:r w:rsidR="00902953">
        <w:rPr>
          <w:lang w:val="en-CA"/>
        </w:rPr>
        <w:t>–</w:t>
      </w:r>
      <w:r w:rsidRPr="000A5EE9">
        <w:rPr>
          <w:lang w:val="en-CA"/>
        </w:rPr>
        <w:t xml:space="preserve">126. </w:t>
      </w:r>
      <w:r w:rsidR="00DE7982" w:rsidRPr="00B9670E">
        <w:rPr>
          <w:lang w:val="en-CA"/>
        </w:rPr>
        <w:t xml:space="preserve">Application for leave to appeal to the Supreme Court </w:t>
      </w:r>
      <w:r w:rsidR="005F20FC">
        <w:rPr>
          <w:lang w:val="en-CA"/>
        </w:rPr>
        <w:t>dismissed</w:t>
      </w:r>
      <w:r w:rsidR="00DE7982" w:rsidRPr="00B9670E">
        <w:rPr>
          <w:lang w:val="en-CA"/>
        </w:rPr>
        <w:t>, December 22, 2016, No. 37077.</w:t>
      </w:r>
    </w:p>
  </w:footnote>
  <w:footnote w:id="54">
    <w:p w14:paraId="7625183C" w14:textId="5BF0BB15" w:rsidR="00540118" w:rsidRPr="000A5EE9" w:rsidRDefault="00E6443C" w:rsidP="00540118">
      <w:pPr>
        <w:pStyle w:val="Notedebasdepage"/>
        <w:rPr>
          <w:lang w:val="en-CA"/>
        </w:rPr>
      </w:pPr>
      <w:r w:rsidRPr="008E7874">
        <w:rPr>
          <w:rStyle w:val="Appelnotedebasdep"/>
        </w:rPr>
        <w:footnoteRef/>
      </w:r>
      <w:r w:rsidRPr="000A5EE9">
        <w:rPr>
          <w:lang w:val="en-CA"/>
        </w:rPr>
        <w:t xml:space="preserve"> </w:t>
      </w:r>
      <w:r w:rsidRPr="000A5EE9">
        <w:rPr>
          <w:lang w:val="en-CA"/>
        </w:rPr>
        <w:tab/>
      </w:r>
      <w:r w:rsidR="00815FC0" w:rsidRPr="000A5EE9">
        <w:rPr>
          <w:i/>
          <w:iCs/>
          <w:lang w:val="en-CA"/>
        </w:rPr>
        <w:t>Id.</w:t>
      </w:r>
      <w:r w:rsidR="00815FC0" w:rsidRPr="009A6DBE">
        <w:rPr>
          <w:lang w:val="en-CA"/>
        </w:rPr>
        <w:t xml:space="preserve">, </w:t>
      </w:r>
      <w:r w:rsidR="00815FC0" w:rsidRPr="00902953">
        <w:rPr>
          <w:lang w:val="en-CA"/>
        </w:rPr>
        <w:t>at para.</w:t>
      </w:r>
      <w:r w:rsidRPr="00902953">
        <w:rPr>
          <w:lang w:val="en-CA"/>
        </w:rPr>
        <w:t xml:space="preserve"> </w:t>
      </w:r>
      <w:r w:rsidRPr="000A5EE9">
        <w:rPr>
          <w:lang w:val="en-CA"/>
        </w:rPr>
        <w:t>126.</w:t>
      </w:r>
    </w:p>
  </w:footnote>
  <w:footnote w:id="55">
    <w:p w14:paraId="35F6B446" w14:textId="7223B1A3" w:rsidR="001D01A5" w:rsidRPr="00DE7982" w:rsidRDefault="001D01A5" w:rsidP="001D01A5">
      <w:pPr>
        <w:pStyle w:val="Notedebasdepage"/>
        <w:rPr>
          <w:lang w:val="en-CA"/>
        </w:rPr>
      </w:pPr>
      <w:r w:rsidRPr="008E7874">
        <w:rPr>
          <w:rStyle w:val="Appelnotedebasdep"/>
        </w:rPr>
        <w:footnoteRef/>
      </w:r>
      <w:r w:rsidRPr="00DE7982">
        <w:rPr>
          <w:lang w:val="en-CA"/>
        </w:rPr>
        <w:t xml:space="preserve"> </w:t>
      </w:r>
      <w:r w:rsidRPr="00DE7982">
        <w:rPr>
          <w:lang w:val="en-CA"/>
        </w:rPr>
        <w:tab/>
      </w:r>
      <w:r w:rsidR="00815FC0" w:rsidRPr="00B9670E">
        <w:rPr>
          <w:i/>
          <w:iCs/>
          <w:lang w:val="en-CA"/>
        </w:rPr>
        <w:t>Ibid</w:t>
      </w:r>
      <w:r w:rsidR="00815FC0" w:rsidRPr="00B9670E">
        <w:rPr>
          <w:iCs/>
          <w:lang w:val="en-CA"/>
        </w:rPr>
        <w:t>.</w:t>
      </w:r>
    </w:p>
  </w:footnote>
  <w:footnote w:id="56">
    <w:p w14:paraId="4FE2EAEF" w14:textId="0D68C452" w:rsidR="00916A24" w:rsidRPr="00DE7982" w:rsidRDefault="00916A24" w:rsidP="00916A24">
      <w:pPr>
        <w:pStyle w:val="Notedebasdepage"/>
        <w:ind w:left="284" w:hanging="284"/>
        <w:rPr>
          <w:lang w:val="en-CA"/>
        </w:rPr>
      </w:pPr>
      <w:r w:rsidRPr="008E7874">
        <w:rPr>
          <w:rStyle w:val="Appelnotedebasdep"/>
        </w:rPr>
        <w:footnoteRef/>
      </w:r>
      <w:r w:rsidRPr="00DE7982">
        <w:rPr>
          <w:lang w:val="en-CA"/>
        </w:rPr>
        <w:t xml:space="preserve"> </w:t>
      </w:r>
      <w:r w:rsidR="00DE7982" w:rsidRPr="00B9670E">
        <w:rPr>
          <w:lang w:val="en-CA"/>
        </w:rPr>
        <w:t xml:space="preserve">Originating application </w:t>
      </w:r>
      <w:r w:rsidR="00902953">
        <w:rPr>
          <w:lang w:val="en-CA"/>
        </w:rPr>
        <w:t>for</w:t>
      </w:r>
      <w:r w:rsidR="00DE7982" w:rsidRPr="00B9670E">
        <w:rPr>
          <w:lang w:val="en-CA"/>
        </w:rPr>
        <w:t xml:space="preserve"> a permanent injunction, January 18, 2023, conclusions sought, </w:t>
      </w:r>
      <w:r w:rsidR="00902953">
        <w:rPr>
          <w:lang w:val="en-CA"/>
        </w:rPr>
        <w:t>p.</w:t>
      </w:r>
      <w:r w:rsidR="00DE7982" w:rsidRPr="00B9670E">
        <w:rPr>
          <w:lang w:val="en-CA"/>
        </w:rPr>
        <w:t xml:space="preserve"> 15.</w:t>
      </w:r>
    </w:p>
  </w:footnote>
  <w:footnote w:id="57">
    <w:p w14:paraId="616E960E" w14:textId="52AA0775" w:rsidR="00916A24" w:rsidRPr="00902953" w:rsidRDefault="00916A24" w:rsidP="00916A24">
      <w:pPr>
        <w:pStyle w:val="Notedebasdepage"/>
        <w:tabs>
          <w:tab w:val="left" w:pos="426"/>
        </w:tabs>
        <w:rPr>
          <w:rFonts w:cs="Arial"/>
          <w:lang w:val="en-CA"/>
        </w:rPr>
      </w:pPr>
      <w:r w:rsidRPr="008E7874">
        <w:rPr>
          <w:rStyle w:val="Appelnotedebasdep"/>
          <w:rFonts w:cs="Arial"/>
        </w:rPr>
        <w:footnoteRef/>
      </w:r>
      <w:r w:rsidRPr="00815FC0">
        <w:rPr>
          <w:rFonts w:cs="Arial"/>
          <w:lang w:val="en-CA"/>
        </w:rPr>
        <w:t xml:space="preserve"> </w:t>
      </w:r>
      <w:r w:rsidRPr="00815FC0">
        <w:rPr>
          <w:rFonts w:cs="Arial"/>
          <w:lang w:val="en-CA"/>
        </w:rPr>
        <w:tab/>
      </w:r>
      <w:r w:rsidR="00815FC0" w:rsidRPr="00B9670E">
        <w:rPr>
          <w:rFonts w:cs="Arial"/>
          <w:lang w:val="en-CA"/>
        </w:rPr>
        <w:t>Judgment under appeal</w:t>
      </w:r>
      <w:r w:rsidR="00902953">
        <w:rPr>
          <w:rFonts w:cs="Arial"/>
          <w:lang w:val="en-CA"/>
        </w:rPr>
        <w:t>,</w:t>
      </w:r>
      <w:r w:rsidR="00815FC0" w:rsidRPr="00B9670E">
        <w:rPr>
          <w:rFonts w:cs="Arial"/>
          <w:lang w:val="en-CA"/>
        </w:rPr>
        <w:t xml:space="preserve"> para.</w:t>
      </w:r>
      <w:r w:rsidRPr="00815FC0">
        <w:rPr>
          <w:rFonts w:cs="Arial"/>
          <w:lang w:val="en-CA"/>
        </w:rPr>
        <w:t xml:space="preserve"> </w:t>
      </w:r>
      <w:r w:rsidRPr="00902953">
        <w:rPr>
          <w:rFonts w:cs="Arial"/>
          <w:lang w:val="en-CA"/>
        </w:rPr>
        <w:t>20.</w:t>
      </w:r>
    </w:p>
  </w:footnote>
  <w:footnote w:id="58">
    <w:p w14:paraId="423E4465" w14:textId="3E75A7CB" w:rsidR="00916A24" w:rsidRPr="00902953" w:rsidRDefault="00916A24" w:rsidP="00916A24">
      <w:pPr>
        <w:pStyle w:val="Notedebasdepage"/>
        <w:tabs>
          <w:tab w:val="left" w:pos="426"/>
        </w:tabs>
        <w:rPr>
          <w:rFonts w:cs="Arial"/>
          <w:lang w:val="en-CA"/>
        </w:rPr>
      </w:pPr>
      <w:r w:rsidRPr="008E7874">
        <w:rPr>
          <w:rStyle w:val="Appelnotedebasdep"/>
          <w:rFonts w:cs="Arial"/>
        </w:rPr>
        <w:footnoteRef/>
      </w:r>
      <w:r w:rsidRPr="00902953">
        <w:rPr>
          <w:rFonts w:cs="Arial"/>
          <w:lang w:val="en-CA"/>
        </w:rPr>
        <w:t xml:space="preserve"> </w:t>
      </w:r>
      <w:r w:rsidRPr="00902953">
        <w:rPr>
          <w:rFonts w:cs="Arial"/>
          <w:lang w:val="en-CA"/>
        </w:rPr>
        <w:tab/>
      </w:r>
      <w:r w:rsidR="00815FC0" w:rsidRPr="00902953">
        <w:rPr>
          <w:rFonts w:cs="Arial"/>
          <w:i/>
          <w:iCs/>
          <w:lang w:val="en-CA"/>
        </w:rPr>
        <w:t>Id.</w:t>
      </w:r>
      <w:r w:rsidR="00815FC0" w:rsidRPr="00FF72EB">
        <w:rPr>
          <w:rFonts w:cs="Arial"/>
          <w:lang w:val="en-CA"/>
        </w:rPr>
        <w:t>, at para.</w:t>
      </w:r>
      <w:r w:rsidRPr="00FF72EB">
        <w:rPr>
          <w:rFonts w:cs="Arial"/>
          <w:lang w:val="en-CA"/>
        </w:rPr>
        <w:t xml:space="preserve"> </w:t>
      </w:r>
      <w:r w:rsidRPr="00902953">
        <w:rPr>
          <w:rFonts w:cs="Arial"/>
          <w:lang w:val="en-CA"/>
        </w:rPr>
        <w:t>21.</w:t>
      </w:r>
    </w:p>
  </w:footnote>
  <w:footnote w:id="59">
    <w:p w14:paraId="16C16BF0" w14:textId="74EF5166" w:rsidR="00540118" w:rsidRPr="00902953" w:rsidRDefault="00E6443C" w:rsidP="00540118">
      <w:pPr>
        <w:pStyle w:val="Notedebasdepage"/>
        <w:tabs>
          <w:tab w:val="left" w:pos="426"/>
        </w:tabs>
        <w:rPr>
          <w:rFonts w:cs="Arial"/>
          <w:lang w:val="en-CA"/>
        </w:rPr>
      </w:pPr>
      <w:r w:rsidRPr="008E7874">
        <w:rPr>
          <w:rStyle w:val="Appelnotedebasdep"/>
          <w:rFonts w:cs="Arial"/>
        </w:rPr>
        <w:footnoteRef/>
      </w:r>
      <w:r w:rsidRPr="00902953">
        <w:rPr>
          <w:rStyle w:val="sccappellantforindexchar"/>
          <w:rFonts w:cs="Arial"/>
          <w:i/>
          <w:iCs/>
          <w:color w:val="000000"/>
          <w:lang w:val="en-CA"/>
        </w:rPr>
        <w:t xml:space="preserve"> </w:t>
      </w:r>
      <w:r w:rsidRPr="00902953">
        <w:rPr>
          <w:rStyle w:val="sccappellantforindexchar"/>
          <w:rFonts w:cs="Arial"/>
          <w:i/>
          <w:iCs/>
          <w:color w:val="000000"/>
          <w:lang w:val="en-CA"/>
        </w:rPr>
        <w:tab/>
      </w:r>
      <w:r w:rsidR="00DE7982" w:rsidRPr="00902953">
        <w:rPr>
          <w:rFonts w:cs="Arial"/>
          <w:i/>
          <w:lang w:val="en-CA"/>
        </w:rPr>
        <w:t>Behn v. Moulton Contracting Ltd.</w:t>
      </w:r>
      <w:r w:rsidR="00DE7982" w:rsidRPr="00902953">
        <w:rPr>
          <w:rFonts w:cs="Arial"/>
          <w:lang w:val="en-CA"/>
        </w:rPr>
        <w:t xml:space="preserve">, </w:t>
      </w:r>
      <w:r w:rsidR="00DE7982" w:rsidRPr="00902953">
        <w:rPr>
          <w:rFonts w:cs="Arial"/>
          <w:i/>
          <w:lang w:val="en-CA"/>
        </w:rPr>
        <w:t>supra</w:t>
      </w:r>
      <w:r w:rsidR="00DE7982" w:rsidRPr="00902953">
        <w:rPr>
          <w:rFonts w:cs="Arial"/>
          <w:lang w:val="en-CA"/>
        </w:rPr>
        <w:t>, note</w:t>
      </w:r>
      <w:r w:rsidRPr="00902953">
        <w:rPr>
          <w:rFonts w:cs="Arial"/>
          <w:lang w:val="en-CA"/>
        </w:rPr>
        <w:t xml:space="preserve"> </w:t>
      </w:r>
      <w:r w:rsidRPr="008E7874">
        <w:rPr>
          <w:rFonts w:cs="Arial"/>
          <w:lang w:val="en-CA"/>
        </w:rPr>
        <w:fldChar w:fldCharType="begin"/>
      </w:r>
      <w:r w:rsidRPr="00902953">
        <w:rPr>
          <w:rFonts w:cs="Arial"/>
          <w:lang w:val="en-CA"/>
        </w:rPr>
        <w:instrText xml:space="preserve"> NOTEREF _Ref181864272 \h  \* MERGEFORMAT </w:instrText>
      </w:r>
      <w:r w:rsidRPr="008E7874">
        <w:rPr>
          <w:rFonts w:cs="Arial"/>
          <w:lang w:val="en-CA"/>
        </w:rPr>
      </w:r>
      <w:r w:rsidRPr="008E7874">
        <w:rPr>
          <w:rFonts w:cs="Arial"/>
          <w:lang w:val="en-CA"/>
        </w:rPr>
        <w:fldChar w:fldCharType="separate"/>
      </w:r>
      <w:r w:rsidR="005F20FC">
        <w:rPr>
          <w:rFonts w:cs="Arial"/>
          <w:lang w:val="en-CA"/>
        </w:rPr>
        <w:t>49</w:t>
      </w:r>
      <w:r w:rsidRPr="008E7874">
        <w:rPr>
          <w:rFonts w:cs="Arial"/>
          <w:lang w:val="en-CA"/>
        </w:rPr>
        <w:fldChar w:fldCharType="end"/>
      </w:r>
      <w:r w:rsidR="00815FC0" w:rsidRPr="00902953">
        <w:rPr>
          <w:rFonts w:cs="Arial"/>
          <w:color w:val="000000"/>
          <w:lang w:val="en-CA"/>
        </w:rPr>
        <w:t>, para.</w:t>
      </w:r>
      <w:r w:rsidRPr="00902953">
        <w:rPr>
          <w:rFonts w:cs="Arial"/>
          <w:color w:val="000000"/>
          <w:lang w:val="en-CA"/>
        </w:rPr>
        <w:t xml:space="preserve"> 30.</w:t>
      </w:r>
    </w:p>
  </w:footnote>
  <w:footnote w:id="60">
    <w:p w14:paraId="5B78F7F4" w14:textId="14CA1505" w:rsidR="00815FC0" w:rsidRPr="00D17D49" w:rsidRDefault="00815FC0" w:rsidP="00815FC0">
      <w:pPr>
        <w:pStyle w:val="Notedebasdepage"/>
        <w:tabs>
          <w:tab w:val="left" w:pos="426"/>
        </w:tabs>
        <w:rPr>
          <w:rFonts w:cs="Arial"/>
          <w:lang w:val="en-CA"/>
        </w:rPr>
      </w:pPr>
      <w:r w:rsidRPr="008E7874">
        <w:rPr>
          <w:rStyle w:val="Appelnotedebasdep"/>
          <w:rFonts w:cs="Arial"/>
        </w:rPr>
        <w:footnoteRef/>
      </w:r>
      <w:r w:rsidRPr="008E7874">
        <w:rPr>
          <w:rFonts w:cs="Arial"/>
          <w:lang w:val="en-CA"/>
        </w:rPr>
        <w:t xml:space="preserve"> </w:t>
      </w:r>
      <w:r w:rsidRPr="008E7874">
        <w:rPr>
          <w:rFonts w:cs="Arial"/>
          <w:lang w:val="en-CA"/>
        </w:rPr>
        <w:tab/>
      </w:r>
      <w:r w:rsidR="00DE7982" w:rsidRPr="00B9670E">
        <w:rPr>
          <w:rFonts w:cs="Arial"/>
          <w:i/>
          <w:iCs/>
          <w:lang w:val="en-CA"/>
        </w:rPr>
        <w:t>Canada (Attorney General) v. Downtown Eastside Sex Workers United Against Violence Society</w:t>
      </w:r>
      <w:r w:rsidR="00DE7982" w:rsidRPr="00B9670E">
        <w:rPr>
          <w:rFonts w:cs="Arial"/>
          <w:iCs/>
          <w:lang w:val="en-CA"/>
        </w:rPr>
        <w:t xml:space="preserve">, </w:t>
      </w:r>
      <w:r w:rsidR="00DE7982" w:rsidRPr="00B9670E">
        <w:rPr>
          <w:rFonts w:cs="Arial"/>
          <w:i/>
          <w:iCs/>
          <w:lang w:val="en-CA"/>
        </w:rPr>
        <w:t>supra</w:t>
      </w:r>
      <w:r w:rsidR="00DE7982" w:rsidRPr="00B9670E">
        <w:rPr>
          <w:rFonts w:cs="Arial"/>
          <w:iCs/>
          <w:lang w:val="en-CA"/>
        </w:rPr>
        <w:t>, note</w:t>
      </w:r>
      <w:r w:rsidRPr="00976352">
        <w:rPr>
          <w:rFonts w:cs="Arial"/>
          <w:lang w:val="en-CA"/>
        </w:rPr>
        <w:t xml:space="preserve"> </w:t>
      </w:r>
      <w:r w:rsidRPr="00976352">
        <w:rPr>
          <w:rFonts w:cs="Arial"/>
          <w:lang w:val="en-CA"/>
        </w:rPr>
        <w:fldChar w:fldCharType="begin"/>
      </w:r>
      <w:r w:rsidRPr="00976352">
        <w:rPr>
          <w:rFonts w:cs="Arial"/>
          <w:lang w:val="en-CA"/>
        </w:rPr>
        <w:instrText xml:space="preserve"> NOTEREF _Ref181792809 \h  \* MERGEFORMAT </w:instrText>
      </w:r>
      <w:r w:rsidRPr="00976352">
        <w:rPr>
          <w:rFonts w:cs="Arial"/>
          <w:lang w:val="en-CA"/>
        </w:rPr>
      </w:r>
      <w:r w:rsidRPr="00976352">
        <w:rPr>
          <w:rFonts w:cs="Arial"/>
          <w:lang w:val="en-CA"/>
        </w:rPr>
        <w:fldChar w:fldCharType="separate"/>
      </w:r>
      <w:r w:rsidR="005F20FC">
        <w:rPr>
          <w:rFonts w:cs="Arial"/>
          <w:lang w:val="en-CA"/>
        </w:rPr>
        <w:t>39</w:t>
      </w:r>
      <w:r w:rsidRPr="00976352">
        <w:rPr>
          <w:rFonts w:cs="Arial"/>
          <w:lang w:val="en-CA"/>
        </w:rPr>
        <w:fldChar w:fldCharType="end"/>
      </w:r>
      <w:r w:rsidRPr="00B9670E">
        <w:rPr>
          <w:rFonts w:cs="Arial"/>
          <w:lang w:val="en-CA"/>
        </w:rPr>
        <w:t>, para.</w:t>
      </w:r>
      <w:r w:rsidRPr="00DC4EC4">
        <w:rPr>
          <w:rFonts w:cs="Arial"/>
          <w:lang w:val="en-CA"/>
        </w:rPr>
        <w:t xml:space="preserve">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D370" w14:textId="77777777" w:rsidR="00520E23" w:rsidRDefault="00520E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08A1" w14:textId="611A4DBB" w:rsidR="007E33E4" w:rsidRDefault="00E6443C" w:rsidP="00540118">
    <w:pPr>
      <w:tabs>
        <w:tab w:val="center" w:pos="4709"/>
        <w:tab w:val="right" w:pos="9360"/>
      </w:tabs>
      <w:spacing w:after="240" w:line="360" w:lineRule="auto"/>
      <w:ind w:right="524"/>
    </w:pPr>
    <w:bookmarkStart w:id="34" w:name="EntDossier"/>
    <w:r>
      <w:t>200-09-010687-231</w:t>
    </w:r>
    <w:bookmarkEnd w:id="34"/>
    <w:r>
      <w:t xml:space="preserve"> </w:t>
    </w:r>
    <w:r>
      <w:tab/>
    </w:r>
    <w:r>
      <w:tab/>
    </w:r>
    <w:r w:rsidR="00DE7982" w:rsidRPr="00B9670E">
      <w:t>PAGE:</w:t>
    </w:r>
    <w:r>
      <w:t xml:space="preserve"> </w:t>
    </w:r>
    <w:r>
      <w:fldChar w:fldCharType="begin"/>
    </w:r>
    <w:r>
      <w:instrText xml:space="preserve"> PAGE </w:instrText>
    </w:r>
    <w:r>
      <w:fldChar w:fldCharType="separate"/>
    </w:r>
    <w:r w:rsidR="008D18FC">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DAFA" w14:textId="77777777" w:rsidR="00520E23" w:rsidRDefault="00520E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4947"/>
    <w:multiLevelType w:val="hybridMultilevel"/>
    <w:tmpl w:val="81006828"/>
    <w:lvl w:ilvl="0" w:tplc="6DFA7C26">
      <w:start w:val="1"/>
      <w:numFmt w:val="lowerLetter"/>
      <w:lvlText w:val="(%1)"/>
      <w:lvlJc w:val="left"/>
      <w:pPr>
        <w:ind w:left="504" w:hanging="360"/>
      </w:pPr>
      <w:rPr>
        <w:rFonts w:hint="default"/>
        <w:b/>
        <w:bCs/>
      </w:rPr>
    </w:lvl>
    <w:lvl w:ilvl="1" w:tplc="550AE6D6" w:tentative="1">
      <w:start w:val="1"/>
      <w:numFmt w:val="lowerLetter"/>
      <w:lvlText w:val="%2."/>
      <w:lvlJc w:val="left"/>
      <w:pPr>
        <w:ind w:left="1224" w:hanging="360"/>
      </w:pPr>
    </w:lvl>
    <w:lvl w:ilvl="2" w:tplc="668803B8" w:tentative="1">
      <w:start w:val="1"/>
      <w:numFmt w:val="lowerRoman"/>
      <w:lvlText w:val="%3."/>
      <w:lvlJc w:val="right"/>
      <w:pPr>
        <w:ind w:left="1944" w:hanging="180"/>
      </w:pPr>
    </w:lvl>
    <w:lvl w:ilvl="3" w:tplc="EE329E76" w:tentative="1">
      <w:start w:val="1"/>
      <w:numFmt w:val="decimal"/>
      <w:lvlText w:val="%4."/>
      <w:lvlJc w:val="left"/>
      <w:pPr>
        <w:ind w:left="2664" w:hanging="360"/>
      </w:pPr>
    </w:lvl>
    <w:lvl w:ilvl="4" w:tplc="B704ADCE" w:tentative="1">
      <w:start w:val="1"/>
      <w:numFmt w:val="lowerLetter"/>
      <w:lvlText w:val="%5."/>
      <w:lvlJc w:val="left"/>
      <w:pPr>
        <w:ind w:left="3384" w:hanging="360"/>
      </w:pPr>
    </w:lvl>
    <w:lvl w:ilvl="5" w:tplc="304AF2BC" w:tentative="1">
      <w:start w:val="1"/>
      <w:numFmt w:val="lowerRoman"/>
      <w:lvlText w:val="%6."/>
      <w:lvlJc w:val="right"/>
      <w:pPr>
        <w:ind w:left="4104" w:hanging="180"/>
      </w:pPr>
    </w:lvl>
    <w:lvl w:ilvl="6" w:tplc="AE3EFEA8" w:tentative="1">
      <w:start w:val="1"/>
      <w:numFmt w:val="decimal"/>
      <w:lvlText w:val="%7."/>
      <w:lvlJc w:val="left"/>
      <w:pPr>
        <w:ind w:left="4824" w:hanging="360"/>
      </w:pPr>
    </w:lvl>
    <w:lvl w:ilvl="7" w:tplc="FF9CD27A" w:tentative="1">
      <w:start w:val="1"/>
      <w:numFmt w:val="lowerLetter"/>
      <w:lvlText w:val="%8."/>
      <w:lvlJc w:val="left"/>
      <w:pPr>
        <w:ind w:left="5544" w:hanging="360"/>
      </w:pPr>
    </w:lvl>
    <w:lvl w:ilvl="8" w:tplc="4F8638D0" w:tentative="1">
      <w:start w:val="1"/>
      <w:numFmt w:val="lowerRoman"/>
      <w:lvlText w:val="%9."/>
      <w:lvlJc w:val="right"/>
      <w:pPr>
        <w:ind w:left="6264" w:hanging="180"/>
      </w:pPr>
    </w:lvl>
  </w:abstractNum>
  <w:abstractNum w:abstractNumId="11" w15:restartNumberingAfterBreak="0">
    <w:nsid w:val="029F3BB7"/>
    <w:multiLevelType w:val="hybridMultilevel"/>
    <w:tmpl w:val="F14EFCFE"/>
    <w:lvl w:ilvl="0" w:tplc="90BCE50A">
      <w:start w:val="1"/>
      <w:numFmt w:val="upperLetter"/>
      <w:lvlText w:val="%1."/>
      <w:lvlJc w:val="left"/>
      <w:pPr>
        <w:ind w:left="1080" w:hanging="360"/>
      </w:pPr>
      <w:rPr>
        <w:rFonts w:eastAsiaTheme="minorHAnsi" w:cs="Times New Roman" w:hint="default"/>
        <w:color w:val="auto"/>
      </w:rPr>
    </w:lvl>
    <w:lvl w:ilvl="1" w:tplc="7226746C" w:tentative="1">
      <w:start w:val="1"/>
      <w:numFmt w:val="lowerLetter"/>
      <w:lvlText w:val="%2."/>
      <w:lvlJc w:val="left"/>
      <w:pPr>
        <w:ind w:left="1800" w:hanging="360"/>
      </w:pPr>
    </w:lvl>
    <w:lvl w:ilvl="2" w:tplc="F89621CE" w:tentative="1">
      <w:start w:val="1"/>
      <w:numFmt w:val="lowerRoman"/>
      <w:lvlText w:val="%3."/>
      <w:lvlJc w:val="right"/>
      <w:pPr>
        <w:ind w:left="2520" w:hanging="180"/>
      </w:pPr>
    </w:lvl>
    <w:lvl w:ilvl="3" w:tplc="3CB8CF42" w:tentative="1">
      <w:start w:val="1"/>
      <w:numFmt w:val="decimal"/>
      <w:lvlText w:val="%4."/>
      <w:lvlJc w:val="left"/>
      <w:pPr>
        <w:ind w:left="3240" w:hanging="360"/>
      </w:pPr>
    </w:lvl>
    <w:lvl w:ilvl="4" w:tplc="C032ECA2" w:tentative="1">
      <w:start w:val="1"/>
      <w:numFmt w:val="lowerLetter"/>
      <w:lvlText w:val="%5."/>
      <w:lvlJc w:val="left"/>
      <w:pPr>
        <w:ind w:left="3960" w:hanging="360"/>
      </w:pPr>
    </w:lvl>
    <w:lvl w:ilvl="5" w:tplc="C7F466FA" w:tentative="1">
      <w:start w:val="1"/>
      <w:numFmt w:val="lowerRoman"/>
      <w:lvlText w:val="%6."/>
      <w:lvlJc w:val="right"/>
      <w:pPr>
        <w:ind w:left="4680" w:hanging="180"/>
      </w:pPr>
    </w:lvl>
    <w:lvl w:ilvl="6" w:tplc="20C20C1A" w:tentative="1">
      <w:start w:val="1"/>
      <w:numFmt w:val="decimal"/>
      <w:lvlText w:val="%7."/>
      <w:lvlJc w:val="left"/>
      <w:pPr>
        <w:ind w:left="5400" w:hanging="360"/>
      </w:pPr>
    </w:lvl>
    <w:lvl w:ilvl="7" w:tplc="B7F60662" w:tentative="1">
      <w:start w:val="1"/>
      <w:numFmt w:val="lowerLetter"/>
      <w:lvlText w:val="%8."/>
      <w:lvlJc w:val="left"/>
      <w:pPr>
        <w:ind w:left="6120" w:hanging="360"/>
      </w:pPr>
    </w:lvl>
    <w:lvl w:ilvl="8" w:tplc="23BC28C0" w:tentative="1">
      <w:start w:val="1"/>
      <w:numFmt w:val="lowerRoman"/>
      <w:lvlText w:val="%9."/>
      <w:lvlJc w:val="right"/>
      <w:pPr>
        <w:ind w:left="6840" w:hanging="180"/>
      </w:pPr>
    </w:lvl>
  </w:abstractNum>
  <w:abstractNum w:abstractNumId="12" w15:restartNumberingAfterBreak="0">
    <w:nsid w:val="04A268F0"/>
    <w:multiLevelType w:val="hybridMultilevel"/>
    <w:tmpl w:val="E416E06E"/>
    <w:lvl w:ilvl="0" w:tplc="94FC1B28">
      <w:start w:val="1"/>
      <w:numFmt w:val="lowerLetter"/>
      <w:lvlText w:val="(%1)"/>
      <w:lvlJc w:val="left"/>
      <w:pPr>
        <w:ind w:left="1080" w:hanging="360"/>
      </w:pPr>
      <w:rPr>
        <w:rFonts w:hint="default"/>
        <w:b/>
        <w:bCs/>
        <w:u w:val="single"/>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0A30012B"/>
    <w:multiLevelType w:val="hybridMultilevel"/>
    <w:tmpl w:val="4032223A"/>
    <w:lvl w:ilvl="0" w:tplc="2494AFBE">
      <w:start w:val="3"/>
      <w:numFmt w:val="bullet"/>
      <w:lvlText w:val="-"/>
      <w:lvlJc w:val="left"/>
      <w:pPr>
        <w:ind w:left="1080" w:hanging="360"/>
      </w:pPr>
      <w:rPr>
        <w:rFonts w:ascii="Arial" w:eastAsia="Times New Roman" w:hAnsi="Arial" w:cs="Arial" w:hint="default"/>
      </w:rPr>
    </w:lvl>
    <w:lvl w:ilvl="1" w:tplc="8F983768" w:tentative="1">
      <w:start w:val="1"/>
      <w:numFmt w:val="bullet"/>
      <w:lvlText w:val="o"/>
      <w:lvlJc w:val="left"/>
      <w:pPr>
        <w:ind w:left="1800" w:hanging="360"/>
      </w:pPr>
      <w:rPr>
        <w:rFonts w:ascii="Courier New" w:hAnsi="Courier New" w:cs="Courier New" w:hint="default"/>
      </w:rPr>
    </w:lvl>
    <w:lvl w:ilvl="2" w:tplc="F0A0AA70" w:tentative="1">
      <w:start w:val="1"/>
      <w:numFmt w:val="bullet"/>
      <w:lvlText w:val=""/>
      <w:lvlJc w:val="left"/>
      <w:pPr>
        <w:ind w:left="2520" w:hanging="360"/>
      </w:pPr>
      <w:rPr>
        <w:rFonts w:ascii="Wingdings" w:hAnsi="Wingdings" w:hint="default"/>
      </w:rPr>
    </w:lvl>
    <w:lvl w:ilvl="3" w:tplc="1CE24E84" w:tentative="1">
      <w:start w:val="1"/>
      <w:numFmt w:val="bullet"/>
      <w:lvlText w:val=""/>
      <w:lvlJc w:val="left"/>
      <w:pPr>
        <w:ind w:left="3240" w:hanging="360"/>
      </w:pPr>
      <w:rPr>
        <w:rFonts w:ascii="Symbol" w:hAnsi="Symbol" w:hint="default"/>
      </w:rPr>
    </w:lvl>
    <w:lvl w:ilvl="4" w:tplc="B4907E74" w:tentative="1">
      <w:start w:val="1"/>
      <w:numFmt w:val="bullet"/>
      <w:lvlText w:val="o"/>
      <w:lvlJc w:val="left"/>
      <w:pPr>
        <w:ind w:left="3960" w:hanging="360"/>
      </w:pPr>
      <w:rPr>
        <w:rFonts w:ascii="Courier New" w:hAnsi="Courier New" w:cs="Courier New" w:hint="default"/>
      </w:rPr>
    </w:lvl>
    <w:lvl w:ilvl="5" w:tplc="C534D32A" w:tentative="1">
      <w:start w:val="1"/>
      <w:numFmt w:val="bullet"/>
      <w:lvlText w:val=""/>
      <w:lvlJc w:val="left"/>
      <w:pPr>
        <w:ind w:left="4680" w:hanging="360"/>
      </w:pPr>
      <w:rPr>
        <w:rFonts w:ascii="Wingdings" w:hAnsi="Wingdings" w:hint="default"/>
      </w:rPr>
    </w:lvl>
    <w:lvl w:ilvl="6" w:tplc="AEF21FD0" w:tentative="1">
      <w:start w:val="1"/>
      <w:numFmt w:val="bullet"/>
      <w:lvlText w:val=""/>
      <w:lvlJc w:val="left"/>
      <w:pPr>
        <w:ind w:left="5400" w:hanging="360"/>
      </w:pPr>
      <w:rPr>
        <w:rFonts w:ascii="Symbol" w:hAnsi="Symbol" w:hint="default"/>
      </w:rPr>
    </w:lvl>
    <w:lvl w:ilvl="7" w:tplc="D4BA861E" w:tentative="1">
      <w:start w:val="1"/>
      <w:numFmt w:val="bullet"/>
      <w:lvlText w:val="o"/>
      <w:lvlJc w:val="left"/>
      <w:pPr>
        <w:ind w:left="6120" w:hanging="360"/>
      </w:pPr>
      <w:rPr>
        <w:rFonts w:ascii="Courier New" w:hAnsi="Courier New" w:cs="Courier New" w:hint="default"/>
      </w:rPr>
    </w:lvl>
    <w:lvl w:ilvl="8" w:tplc="A4364012" w:tentative="1">
      <w:start w:val="1"/>
      <w:numFmt w:val="bullet"/>
      <w:lvlText w:val=""/>
      <w:lvlJc w:val="left"/>
      <w:pPr>
        <w:ind w:left="6840" w:hanging="360"/>
      </w:pPr>
      <w:rPr>
        <w:rFonts w:ascii="Wingdings" w:hAnsi="Wingdings" w:hint="default"/>
      </w:rPr>
    </w:lvl>
  </w:abstractNum>
  <w:abstractNum w:abstractNumId="14" w15:restartNumberingAfterBreak="0">
    <w:nsid w:val="1AFA2941"/>
    <w:multiLevelType w:val="hybridMultilevel"/>
    <w:tmpl w:val="3ACAD89C"/>
    <w:lvl w:ilvl="0" w:tplc="AA26E9D4">
      <w:start w:val="1"/>
      <w:numFmt w:val="lowerLetter"/>
      <w:lvlText w:val="%1)"/>
      <w:lvlJc w:val="left"/>
      <w:pPr>
        <w:ind w:left="1080" w:hanging="360"/>
      </w:pPr>
      <w:rPr>
        <w:rFonts w:hint="default"/>
        <w:b/>
        <w:bCs/>
      </w:rPr>
    </w:lvl>
    <w:lvl w:ilvl="1" w:tplc="0420BA56" w:tentative="1">
      <w:start w:val="1"/>
      <w:numFmt w:val="lowerLetter"/>
      <w:lvlText w:val="%2."/>
      <w:lvlJc w:val="left"/>
      <w:pPr>
        <w:ind w:left="1800" w:hanging="360"/>
      </w:pPr>
    </w:lvl>
    <w:lvl w:ilvl="2" w:tplc="13308EAA" w:tentative="1">
      <w:start w:val="1"/>
      <w:numFmt w:val="lowerRoman"/>
      <w:lvlText w:val="%3."/>
      <w:lvlJc w:val="right"/>
      <w:pPr>
        <w:ind w:left="2520" w:hanging="180"/>
      </w:pPr>
    </w:lvl>
    <w:lvl w:ilvl="3" w:tplc="A25401C4" w:tentative="1">
      <w:start w:val="1"/>
      <w:numFmt w:val="decimal"/>
      <w:lvlText w:val="%4."/>
      <w:lvlJc w:val="left"/>
      <w:pPr>
        <w:ind w:left="3240" w:hanging="360"/>
      </w:pPr>
    </w:lvl>
    <w:lvl w:ilvl="4" w:tplc="136EEA04" w:tentative="1">
      <w:start w:val="1"/>
      <w:numFmt w:val="lowerLetter"/>
      <w:lvlText w:val="%5."/>
      <w:lvlJc w:val="left"/>
      <w:pPr>
        <w:ind w:left="3960" w:hanging="360"/>
      </w:pPr>
    </w:lvl>
    <w:lvl w:ilvl="5" w:tplc="23C45956" w:tentative="1">
      <w:start w:val="1"/>
      <w:numFmt w:val="lowerRoman"/>
      <w:lvlText w:val="%6."/>
      <w:lvlJc w:val="right"/>
      <w:pPr>
        <w:ind w:left="4680" w:hanging="180"/>
      </w:pPr>
    </w:lvl>
    <w:lvl w:ilvl="6" w:tplc="CCFEEA6C" w:tentative="1">
      <w:start w:val="1"/>
      <w:numFmt w:val="decimal"/>
      <w:lvlText w:val="%7."/>
      <w:lvlJc w:val="left"/>
      <w:pPr>
        <w:ind w:left="5400" w:hanging="360"/>
      </w:pPr>
    </w:lvl>
    <w:lvl w:ilvl="7" w:tplc="B39870DC" w:tentative="1">
      <w:start w:val="1"/>
      <w:numFmt w:val="lowerLetter"/>
      <w:lvlText w:val="%8."/>
      <w:lvlJc w:val="left"/>
      <w:pPr>
        <w:ind w:left="6120" w:hanging="360"/>
      </w:pPr>
    </w:lvl>
    <w:lvl w:ilvl="8" w:tplc="461617E8" w:tentative="1">
      <w:start w:val="1"/>
      <w:numFmt w:val="lowerRoman"/>
      <w:lvlText w:val="%9."/>
      <w:lvlJc w:val="right"/>
      <w:pPr>
        <w:ind w:left="6840" w:hanging="180"/>
      </w:pPr>
    </w:lvl>
  </w:abstractNum>
  <w:abstractNum w:abstractNumId="15" w15:restartNumberingAfterBreak="0">
    <w:nsid w:val="1B216E04"/>
    <w:multiLevelType w:val="hybridMultilevel"/>
    <w:tmpl w:val="F6D27924"/>
    <w:lvl w:ilvl="0" w:tplc="D7BCF242">
      <w:start w:val="1"/>
      <w:numFmt w:val="lowerLetter"/>
      <w:lvlText w:val="%1)"/>
      <w:lvlJc w:val="left"/>
      <w:pPr>
        <w:ind w:left="924" w:hanging="360"/>
      </w:pPr>
      <w:rPr>
        <w:rFonts w:hint="default"/>
        <w:b/>
        <w:bCs/>
        <w:u w:val="single"/>
      </w:rPr>
    </w:lvl>
    <w:lvl w:ilvl="1" w:tplc="0C0C0019" w:tentative="1">
      <w:start w:val="1"/>
      <w:numFmt w:val="lowerLetter"/>
      <w:lvlText w:val="%2."/>
      <w:lvlJc w:val="left"/>
      <w:pPr>
        <w:ind w:left="1644" w:hanging="360"/>
      </w:pPr>
    </w:lvl>
    <w:lvl w:ilvl="2" w:tplc="0C0C001B" w:tentative="1">
      <w:start w:val="1"/>
      <w:numFmt w:val="lowerRoman"/>
      <w:lvlText w:val="%3."/>
      <w:lvlJc w:val="right"/>
      <w:pPr>
        <w:ind w:left="2364" w:hanging="180"/>
      </w:pPr>
    </w:lvl>
    <w:lvl w:ilvl="3" w:tplc="0C0C000F" w:tentative="1">
      <w:start w:val="1"/>
      <w:numFmt w:val="decimal"/>
      <w:lvlText w:val="%4."/>
      <w:lvlJc w:val="left"/>
      <w:pPr>
        <w:ind w:left="3084" w:hanging="360"/>
      </w:pPr>
    </w:lvl>
    <w:lvl w:ilvl="4" w:tplc="0C0C0019" w:tentative="1">
      <w:start w:val="1"/>
      <w:numFmt w:val="lowerLetter"/>
      <w:lvlText w:val="%5."/>
      <w:lvlJc w:val="left"/>
      <w:pPr>
        <w:ind w:left="3804" w:hanging="360"/>
      </w:pPr>
    </w:lvl>
    <w:lvl w:ilvl="5" w:tplc="0C0C001B" w:tentative="1">
      <w:start w:val="1"/>
      <w:numFmt w:val="lowerRoman"/>
      <w:lvlText w:val="%6."/>
      <w:lvlJc w:val="right"/>
      <w:pPr>
        <w:ind w:left="4524" w:hanging="180"/>
      </w:pPr>
    </w:lvl>
    <w:lvl w:ilvl="6" w:tplc="0C0C000F" w:tentative="1">
      <w:start w:val="1"/>
      <w:numFmt w:val="decimal"/>
      <w:lvlText w:val="%7."/>
      <w:lvlJc w:val="left"/>
      <w:pPr>
        <w:ind w:left="5244" w:hanging="360"/>
      </w:pPr>
    </w:lvl>
    <w:lvl w:ilvl="7" w:tplc="0C0C0019" w:tentative="1">
      <w:start w:val="1"/>
      <w:numFmt w:val="lowerLetter"/>
      <w:lvlText w:val="%8."/>
      <w:lvlJc w:val="left"/>
      <w:pPr>
        <w:ind w:left="5964" w:hanging="360"/>
      </w:pPr>
    </w:lvl>
    <w:lvl w:ilvl="8" w:tplc="0C0C001B" w:tentative="1">
      <w:start w:val="1"/>
      <w:numFmt w:val="lowerRoman"/>
      <w:lvlText w:val="%9."/>
      <w:lvlJc w:val="right"/>
      <w:pPr>
        <w:ind w:left="6684" w:hanging="180"/>
      </w:pPr>
    </w:lvl>
  </w:abstractNum>
  <w:abstractNum w:abstractNumId="16" w15:restartNumberingAfterBreak="0">
    <w:nsid w:val="28BB52DE"/>
    <w:multiLevelType w:val="multilevel"/>
    <w:tmpl w:val="46324876"/>
    <w:lvl w:ilvl="0">
      <w:start w:val="1"/>
      <w:numFmt w:val="decimal"/>
      <w:pStyle w:val="Paragraphe"/>
      <w:lvlText w:val="[%1]"/>
      <w:lvlJc w:val="left"/>
      <w:pPr>
        <w:tabs>
          <w:tab w:val="num" w:pos="720"/>
        </w:tabs>
        <w:ind w:left="0" w:firstLine="0"/>
      </w:pPr>
      <w:rPr>
        <w:rFonts w:hint="default"/>
        <w:sz w:val="24"/>
        <w:szCs w:val="24"/>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D1C51EA"/>
    <w:multiLevelType w:val="hybridMultilevel"/>
    <w:tmpl w:val="32E83B68"/>
    <w:lvl w:ilvl="0" w:tplc="52F03B86">
      <w:start w:val="1"/>
      <w:numFmt w:val="lowerLetter"/>
      <w:lvlText w:val="%1)"/>
      <w:lvlJc w:val="left"/>
      <w:pPr>
        <w:ind w:left="1080" w:hanging="360"/>
      </w:pPr>
      <w:rPr>
        <w:rFonts w:hint="default"/>
        <w:b/>
        <w:bCs/>
      </w:rPr>
    </w:lvl>
    <w:lvl w:ilvl="1" w:tplc="D0363EC6" w:tentative="1">
      <w:start w:val="1"/>
      <w:numFmt w:val="lowerLetter"/>
      <w:lvlText w:val="%2."/>
      <w:lvlJc w:val="left"/>
      <w:pPr>
        <w:ind w:left="1800" w:hanging="360"/>
      </w:pPr>
    </w:lvl>
    <w:lvl w:ilvl="2" w:tplc="9F6A2E3E" w:tentative="1">
      <w:start w:val="1"/>
      <w:numFmt w:val="lowerRoman"/>
      <w:lvlText w:val="%3."/>
      <w:lvlJc w:val="right"/>
      <w:pPr>
        <w:ind w:left="2520" w:hanging="180"/>
      </w:pPr>
    </w:lvl>
    <w:lvl w:ilvl="3" w:tplc="60AC416C" w:tentative="1">
      <w:start w:val="1"/>
      <w:numFmt w:val="decimal"/>
      <w:lvlText w:val="%4."/>
      <w:lvlJc w:val="left"/>
      <w:pPr>
        <w:ind w:left="3240" w:hanging="360"/>
      </w:pPr>
    </w:lvl>
    <w:lvl w:ilvl="4" w:tplc="5B88C7DC" w:tentative="1">
      <w:start w:val="1"/>
      <w:numFmt w:val="lowerLetter"/>
      <w:lvlText w:val="%5."/>
      <w:lvlJc w:val="left"/>
      <w:pPr>
        <w:ind w:left="3960" w:hanging="360"/>
      </w:pPr>
    </w:lvl>
    <w:lvl w:ilvl="5" w:tplc="C97E9224" w:tentative="1">
      <w:start w:val="1"/>
      <w:numFmt w:val="lowerRoman"/>
      <w:lvlText w:val="%6."/>
      <w:lvlJc w:val="right"/>
      <w:pPr>
        <w:ind w:left="4680" w:hanging="180"/>
      </w:pPr>
    </w:lvl>
    <w:lvl w:ilvl="6" w:tplc="E63C450E" w:tentative="1">
      <w:start w:val="1"/>
      <w:numFmt w:val="decimal"/>
      <w:lvlText w:val="%7."/>
      <w:lvlJc w:val="left"/>
      <w:pPr>
        <w:ind w:left="5400" w:hanging="360"/>
      </w:pPr>
    </w:lvl>
    <w:lvl w:ilvl="7" w:tplc="93EC42F2" w:tentative="1">
      <w:start w:val="1"/>
      <w:numFmt w:val="lowerLetter"/>
      <w:lvlText w:val="%8."/>
      <w:lvlJc w:val="left"/>
      <w:pPr>
        <w:ind w:left="6120" w:hanging="360"/>
      </w:pPr>
    </w:lvl>
    <w:lvl w:ilvl="8" w:tplc="9682A452" w:tentative="1">
      <w:start w:val="1"/>
      <w:numFmt w:val="lowerRoman"/>
      <w:lvlText w:val="%9."/>
      <w:lvlJc w:val="right"/>
      <w:pPr>
        <w:ind w:left="6840" w:hanging="180"/>
      </w:pPr>
    </w:lvl>
  </w:abstractNum>
  <w:abstractNum w:abstractNumId="18" w15:restartNumberingAfterBreak="0">
    <w:nsid w:val="37921EB1"/>
    <w:multiLevelType w:val="hybridMultilevel"/>
    <w:tmpl w:val="179287AE"/>
    <w:lvl w:ilvl="0" w:tplc="0A9C8714">
      <w:start w:val="1"/>
      <w:numFmt w:val="lowerLetter"/>
      <w:lvlText w:val="(%1)"/>
      <w:lvlJc w:val="left"/>
      <w:pPr>
        <w:ind w:left="564" w:hanging="420"/>
      </w:pPr>
      <w:rPr>
        <w:rFonts w:hint="default"/>
        <w:b/>
        <w:bCs/>
      </w:rPr>
    </w:lvl>
    <w:lvl w:ilvl="1" w:tplc="B484ACC4" w:tentative="1">
      <w:start w:val="1"/>
      <w:numFmt w:val="lowerLetter"/>
      <w:lvlText w:val="%2."/>
      <w:lvlJc w:val="left"/>
      <w:pPr>
        <w:ind w:left="1224" w:hanging="360"/>
      </w:pPr>
    </w:lvl>
    <w:lvl w:ilvl="2" w:tplc="75C8FF1A" w:tentative="1">
      <w:start w:val="1"/>
      <w:numFmt w:val="lowerRoman"/>
      <w:lvlText w:val="%3."/>
      <w:lvlJc w:val="right"/>
      <w:pPr>
        <w:ind w:left="1944" w:hanging="180"/>
      </w:pPr>
    </w:lvl>
    <w:lvl w:ilvl="3" w:tplc="2272BB28" w:tentative="1">
      <w:start w:val="1"/>
      <w:numFmt w:val="decimal"/>
      <w:lvlText w:val="%4."/>
      <w:lvlJc w:val="left"/>
      <w:pPr>
        <w:ind w:left="2664" w:hanging="360"/>
      </w:pPr>
    </w:lvl>
    <w:lvl w:ilvl="4" w:tplc="760ABA3E" w:tentative="1">
      <w:start w:val="1"/>
      <w:numFmt w:val="lowerLetter"/>
      <w:lvlText w:val="%5."/>
      <w:lvlJc w:val="left"/>
      <w:pPr>
        <w:ind w:left="3384" w:hanging="360"/>
      </w:pPr>
    </w:lvl>
    <w:lvl w:ilvl="5" w:tplc="781C6B98" w:tentative="1">
      <w:start w:val="1"/>
      <w:numFmt w:val="lowerRoman"/>
      <w:lvlText w:val="%6."/>
      <w:lvlJc w:val="right"/>
      <w:pPr>
        <w:ind w:left="4104" w:hanging="180"/>
      </w:pPr>
    </w:lvl>
    <w:lvl w:ilvl="6" w:tplc="0DC23B58" w:tentative="1">
      <w:start w:val="1"/>
      <w:numFmt w:val="decimal"/>
      <w:lvlText w:val="%7."/>
      <w:lvlJc w:val="left"/>
      <w:pPr>
        <w:ind w:left="4824" w:hanging="360"/>
      </w:pPr>
    </w:lvl>
    <w:lvl w:ilvl="7" w:tplc="28B05576" w:tentative="1">
      <w:start w:val="1"/>
      <w:numFmt w:val="lowerLetter"/>
      <w:lvlText w:val="%8."/>
      <w:lvlJc w:val="left"/>
      <w:pPr>
        <w:ind w:left="5544" w:hanging="360"/>
      </w:pPr>
    </w:lvl>
    <w:lvl w:ilvl="8" w:tplc="F8D8F9DC" w:tentative="1">
      <w:start w:val="1"/>
      <w:numFmt w:val="lowerRoman"/>
      <w:lvlText w:val="%9."/>
      <w:lvlJc w:val="right"/>
      <w:pPr>
        <w:ind w:left="6264" w:hanging="180"/>
      </w:pPr>
    </w:lvl>
  </w:abstractNum>
  <w:abstractNum w:abstractNumId="19" w15:restartNumberingAfterBreak="0">
    <w:nsid w:val="47BE7953"/>
    <w:multiLevelType w:val="hybridMultilevel"/>
    <w:tmpl w:val="BC06C13A"/>
    <w:lvl w:ilvl="0" w:tplc="BF0E078A">
      <w:start w:val="1"/>
      <w:numFmt w:val="lowerLetter"/>
      <w:lvlText w:val="%1)"/>
      <w:lvlJc w:val="left"/>
      <w:pPr>
        <w:ind w:left="1080" w:hanging="360"/>
      </w:pPr>
      <w:rPr>
        <w:rFonts w:hint="default"/>
        <w:b/>
        <w:bCs/>
      </w:rPr>
    </w:lvl>
    <w:lvl w:ilvl="1" w:tplc="737260B4" w:tentative="1">
      <w:start w:val="1"/>
      <w:numFmt w:val="lowerLetter"/>
      <w:lvlText w:val="%2."/>
      <w:lvlJc w:val="left"/>
      <w:pPr>
        <w:ind w:left="1800" w:hanging="360"/>
      </w:pPr>
    </w:lvl>
    <w:lvl w:ilvl="2" w:tplc="690EA136" w:tentative="1">
      <w:start w:val="1"/>
      <w:numFmt w:val="lowerRoman"/>
      <w:lvlText w:val="%3."/>
      <w:lvlJc w:val="right"/>
      <w:pPr>
        <w:ind w:left="2520" w:hanging="180"/>
      </w:pPr>
    </w:lvl>
    <w:lvl w:ilvl="3" w:tplc="24120B5C" w:tentative="1">
      <w:start w:val="1"/>
      <w:numFmt w:val="decimal"/>
      <w:lvlText w:val="%4."/>
      <w:lvlJc w:val="left"/>
      <w:pPr>
        <w:ind w:left="3240" w:hanging="360"/>
      </w:pPr>
    </w:lvl>
    <w:lvl w:ilvl="4" w:tplc="0DBC5496" w:tentative="1">
      <w:start w:val="1"/>
      <w:numFmt w:val="lowerLetter"/>
      <w:lvlText w:val="%5."/>
      <w:lvlJc w:val="left"/>
      <w:pPr>
        <w:ind w:left="3960" w:hanging="360"/>
      </w:pPr>
    </w:lvl>
    <w:lvl w:ilvl="5" w:tplc="69684844" w:tentative="1">
      <w:start w:val="1"/>
      <w:numFmt w:val="lowerRoman"/>
      <w:lvlText w:val="%6."/>
      <w:lvlJc w:val="right"/>
      <w:pPr>
        <w:ind w:left="4680" w:hanging="180"/>
      </w:pPr>
    </w:lvl>
    <w:lvl w:ilvl="6" w:tplc="B8842F92" w:tentative="1">
      <w:start w:val="1"/>
      <w:numFmt w:val="decimal"/>
      <w:lvlText w:val="%7."/>
      <w:lvlJc w:val="left"/>
      <w:pPr>
        <w:ind w:left="5400" w:hanging="360"/>
      </w:pPr>
    </w:lvl>
    <w:lvl w:ilvl="7" w:tplc="6E0A0282" w:tentative="1">
      <w:start w:val="1"/>
      <w:numFmt w:val="lowerLetter"/>
      <w:lvlText w:val="%8."/>
      <w:lvlJc w:val="left"/>
      <w:pPr>
        <w:ind w:left="6120" w:hanging="360"/>
      </w:pPr>
    </w:lvl>
    <w:lvl w:ilvl="8" w:tplc="77A44E02" w:tentative="1">
      <w:start w:val="1"/>
      <w:numFmt w:val="lowerRoman"/>
      <w:lvlText w:val="%9."/>
      <w:lvlJc w:val="right"/>
      <w:pPr>
        <w:ind w:left="6840" w:hanging="180"/>
      </w:pPr>
    </w:lvl>
  </w:abstractNum>
  <w:abstractNum w:abstractNumId="20"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FF5080"/>
    <w:multiLevelType w:val="hybridMultilevel"/>
    <w:tmpl w:val="D96C8884"/>
    <w:lvl w:ilvl="0" w:tplc="E0220DDA">
      <w:start w:val="2"/>
      <w:numFmt w:val="upperLetter"/>
      <w:lvlText w:val="%1."/>
      <w:lvlJc w:val="left"/>
      <w:pPr>
        <w:ind w:left="1440" w:hanging="360"/>
      </w:pPr>
      <w:rPr>
        <w:rFonts w:hint="default"/>
      </w:rPr>
    </w:lvl>
    <w:lvl w:ilvl="1" w:tplc="A42A7632" w:tentative="1">
      <w:start w:val="1"/>
      <w:numFmt w:val="lowerLetter"/>
      <w:lvlText w:val="%2."/>
      <w:lvlJc w:val="left"/>
      <w:pPr>
        <w:ind w:left="2160" w:hanging="360"/>
      </w:pPr>
    </w:lvl>
    <w:lvl w:ilvl="2" w:tplc="DF289B10" w:tentative="1">
      <w:start w:val="1"/>
      <w:numFmt w:val="lowerRoman"/>
      <w:lvlText w:val="%3."/>
      <w:lvlJc w:val="right"/>
      <w:pPr>
        <w:ind w:left="2880" w:hanging="180"/>
      </w:pPr>
    </w:lvl>
    <w:lvl w:ilvl="3" w:tplc="54CC681A" w:tentative="1">
      <w:start w:val="1"/>
      <w:numFmt w:val="decimal"/>
      <w:lvlText w:val="%4."/>
      <w:lvlJc w:val="left"/>
      <w:pPr>
        <w:ind w:left="3600" w:hanging="360"/>
      </w:pPr>
    </w:lvl>
    <w:lvl w:ilvl="4" w:tplc="0F58FB88" w:tentative="1">
      <w:start w:val="1"/>
      <w:numFmt w:val="lowerLetter"/>
      <w:lvlText w:val="%5."/>
      <w:lvlJc w:val="left"/>
      <w:pPr>
        <w:ind w:left="4320" w:hanging="360"/>
      </w:pPr>
    </w:lvl>
    <w:lvl w:ilvl="5" w:tplc="45B0E174" w:tentative="1">
      <w:start w:val="1"/>
      <w:numFmt w:val="lowerRoman"/>
      <w:lvlText w:val="%6."/>
      <w:lvlJc w:val="right"/>
      <w:pPr>
        <w:ind w:left="5040" w:hanging="180"/>
      </w:pPr>
    </w:lvl>
    <w:lvl w:ilvl="6" w:tplc="BA9A2DCE" w:tentative="1">
      <w:start w:val="1"/>
      <w:numFmt w:val="decimal"/>
      <w:lvlText w:val="%7."/>
      <w:lvlJc w:val="left"/>
      <w:pPr>
        <w:ind w:left="5760" w:hanging="360"/>
      </w:pPr>
    </w:lvl>
    <w:lvl w:ilvl="7" w:tplc="87B6D352" w:tentative="1">
      <w:start w:val="1"/>
      <w:numFmt w:val="lowerLetter"/>
      <w:lvlText w:val="%8."/>
      <w:lvlJc w:val="left"/>
      <w:pPr>
        <w:ind w:left="6480" w:hanging="360"/>
      </w:pPr>
    </w:lvl>
    <w:lvl w:ilvl="8" w:tplc="71183D7E" w:tentative="1">
      <w:start w:val="1"/>
      <w:numFmt w:val="lowerRoman"/>
      <w:lvlText w:val="%9."/>
      <w:lvlJc w:val="right"/>
      <w:pPr>
        <w:ind w:left="7200" w:hanging="180"/>
      </w:pPr>
    </w:lvl>
  </w:abstractNum>
  <w:abstractNum w:abstractNumId="22" w15:restartNumberingAfterBreak="0">
    <w:nsid w:val="5BC42720"/>
    <w:multiLevelType w:val="hybridMultilevel"/>
    <w:tmpl w:val="D44CF21E"/>
    <w:lvl w:ilvl="0" w:tplc="1832ACEC">
      <w:start w:val="1"/>
      <w:numFmt w:val="decimal"/>
      <w:lvlText w:val="%1)"/>
      <w:lvlJc w:val="left"/>
      <w:pPr>
        <w:ind w:left="1080" w:hanging="360"/>
      </w:pPr>
      <w:rPr>
        <w:rFonts w:hint="default"/>
      </w:rPr>
    </w:lvl>
    <w:lvl w:ilvl="1" w:tplc="858245B8" w:tentative="1">
      <w:start w:val="1"/>
      <w:numFmt w:val="lowerLetter"/>
      <w:lvlText w:val="%2."/>
      <w:lvlJc w:val="left"/>
      <w:pPr>
        <w:ind w:left="1800" w:hanging="360"/>
      </w:pPr>
    </w:lvl>
    <w:lvl w:ilvl="2" w:tplc="28FEECFC" w:tentative="1">
      <w:start w:val="1"/>
      <w:numFmt w:val="lowerRoman"/>
      <w:lvlText w:val="%3."/>
      <w:lvlJc w:val="right"/>
      <w:pPr>
        <w:ind w:left="2520" w:hanging="180"/>
      </w:pPr>
    </w:lvl>
    <w:lvl w:ilvl="3" w:tplc="FCE204C2" w:tentative="1">
      <w:start w:val="1"/>
      <w:numFmt w:val="decimal"/>
      <w:lvlText w:val="%4."/>
      <w:lvlJc w:val="left"/>
      <w:pPr>
        <w:ind w:left="3240" w:hanging="360"/>
      </w:pPr>
    </w:lvl>
    <w:lvl w:ilvl="4" w:tplc="C448B326" w:tentative="1">
      <w:start w:val="1"/>
      <w:numFmt w:val="lowerLetter"/>
      <w:lvlText w:val="%5."/>
      <w:lvlJc w:val="left"/>
      <w:pPr>
        <w:ind w:left="3960" w:hanging="360"/>
      </w:pPr>
    </w:lvl>
    <w:lvl w:ilvl="5" w:tplc="3604C2DE" w:tentative="1">
      <w:start w:val="1"/>
      <w:numFmt w:val="lowerRoman"/>
      <w:lvlText w:val="%6."/>
      <w:lvlJc w:val="right"/>
      <w:pPr>
        <w:ind w:left="4680" w:hanging="180"/>
      </w:pPr>
    </w:lvl>
    <w:lvl w:ilvl="6" w:tplc="46045D74" w:tentative="1">
      <w:start w:val="1"/>
      <w:numFmt w:val="decimal"/>
      <w:lvlText w:val="%7."/>
      <w:lvlJc w:val="left"/>
      <w:pPr>
        <w:ind w:left="5400" w:hanging="360"/>
      </w:pPr>
    </w:lvl>
    <w:lvl w:ilvl="7" w:tplc="BE98783A" w:tentative="1">
      <w:start w:val="1"/>
      <w:numFmt w:val="lowerLetter"/>
      <w:lvlText w:val="%8."/>
      <w:lvlJc w:val="left"/>
      <w:pPr>
        <w:ind w:left="6120" w:hanging="360"/>
      </w:pPr>
    </w:lvl>
    <w:lvl w:ilvl="8" w:tplc="C7465A5A" w:tentative="1">
      <w:start w:val="1"/>
      <w:numFmt w:val="lowerRoman"/>
      <w:lvlText w:val="%9."/>
      <w:lvlJc w:val="right"/>
      <w:pPr>
        <w:ind w:left="6840" w:hanging="180"/>
      </w:pPr>
    </w:lvl>
  </w:abstractNum>
  <w:abstractNum w:abstractNumId="23"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0AA336B"/>
    <w:multiLevelType w:val="hybridMultilevel"/>
    <w:tmpl w:val="CA9C5A76"/>
    <w:lvl w:ilvl="0" w:tplc="E13665E6">
      <w:start w:val="1"/>
      <w:numFmt w:val="lowerLetter"/>
      <w:lvlText w:val="(%1)"/>
      <w:lvlJc w:val="left"/>
      <w:pPr>
        <w:ind w:left="549" w:hanging="405"/>
      </w:pPr>
      <w:rPr>
        <w:rFonts w:hint="default"/>
        <w:b/>
        <w:bCs/>
      </w:rPr>
    </w:lvl>
    <w:lvl w:ilvl="1" w:tplc="9DDEBB60" w:tentative="1">
      <w:start w:val="1"/>
      <w:numFmt w:val="lowerLetter"/>
      <w:lvlText w:val="%2."/>
      <w:lvlJc w:val="left"/>
      <w:pPr>
        <w:ind w:left="1224" w:hanging="360"/>
      </w:pPr>
    </w:lvl>
    <w:lvl w:ilvl="2" w:tplc="C7E8A270" w:tentative="1">
      <w:start w:val="1"/>
      <w:numFmt w:val="lowerRoman"/>
      <w:lvlText w:val="%3."/>
      <w:lvlJc w:val="right"/>
      <w:pPr>
        <w:ind w:left="1944" w:hanging="180"/>
      </w:pPr>
    </w:lvl>
    <w:lvl w:ilvl="3" w:tplc="21A887E6" w:tentative="1">
      <w:start w:val="1"/>
      <w:numFmt w:val="decimal"/>
      <w:lvlText w:val="%4."/>
      <w:lvlJc w:val="left"/>
      <w:pPr>
        <w:ind w:left="2664" w:hanging="360"/>
      </w:pPr>
    </w:lvl>
    <w:lvl w:ilvl="4" w:tplc="20FCC5BC" w:tentative="1">
      <w:start w:val="1"/>
      <w:numFmt w:val="lowerLetter"/>
      <w:lvlText w:val="%5."/>
      <w:lvlJc w:val="left"/>
      <w:pPr>
        <w:ind w:left="3384" w:hanging="360"/>
      </w:pPr>
    </w:lvl>
    <w:lvl w:ilvl="5" w:tplc="61125D92" w:tentative="1">
      <w:start w:val="1"/>
      <w:numFmt w:val="lowerRoman"/>
      <w:lvlText w:val="%6."/>
      <w:lvlJc w:val="right"/>
      <w:pPr>
        <w:ind w:left="4104" w:hanging="180"/>
      </w:pPr>
    </w:lvl>
    <w:lvl w:ilvl="6" w:tplc="465A706E" w:tentative="1">
      <w:start w:val="1"/>
      <w:numFmt w:val="decimal"/>
      <w:lvlText w:val="%7."/>
      <w:lvlJc w:val="left"/>
      <w:pPr>
        <w:ind w:left="4824" w:hanging="360"/>
      </w:pPr>
    </w:lvl>
    <w:lvl w:ilvl="7" w:tplc="A52AB804" w:tentative="1">
      <w:start w:val="1"/>
      <w:numFmt w:val="lowerLetter"/>
      <w:lvlText w:val="%8."/>
      <w:lvlJc w:val="left"/>
      <w:pPr>
        <w:ind w:left="5544" w:hanging="360"/>
      </w:pPr>
    </w:lvl>
    <w:lvl w:ilvl="8" w:tplc="187CBAA0" w:tentative="1">
      <w:start w:val="1"/>
      <w:numFmt w:val="lowerRoman"/>
      <w:lvlText w:val="%9."/>
      <w:lvlJc w:val="right"/>
      <w:pPr>
        <w:ind w:left="6264" w:hanging="180"/>
      </w:pPr>
    </w:lvl>
  </w:abstractNum>
  <w:num w:numId="1" w16cid:durableId="1419473850">
    <w:abstractNumId w:val="23"/>
  </w:num>
  <w:num w:numId="2" w16cid:durableId="1814054829">
    <w:abstractNumId w:val="23"/>
  </w:num>
  <w:num w:numId="3" w16cid:durableId="1891532582">
    <w:abstractNumId w:val="23"/>
  </w:num>
  <w:num w:numId="4" w16cid:durableId="1796022673">
    <w:abstractNumId w:val="8"/>
  </w:num>
  <w:num w:numId="5" w16cid:durableId="1939865863">
    <w:abstractNumId w:val="3"/>
  </w:num>
  <w:num w:numId="6" w16cid:durableId="1541819187">
    <w:abstractNumId w:val="2"/>
  </w:num>
  <w:num w:numId="7" w16cid:durableId="2122719546">
    <w:abstractNumId w:val="1"/>
  </w:num>
  <w:num w:numId="8" w16cid:durableId="1314988664">
    <w:abstractNumId w:val="0"/>
  </w:num>
  <w:num w:numId="9" w16cid:durableId="937106883">
    <w:abstractNumId w:val="9"/>
  </w:num>
  <w:num w:numId="10" w16cid:durableId="2056468361">
    <w:abstractNumId w:val="7"/>
  </w:num>
  <w:num w:numId="11" w16cid:durableId="1884561671">
    <w:abstractNumId w:val="6"/>
  </w:num>
  <w:num w:numId="12" w16cid:durableId="24983187">
    <w:abstractNumId w:val="5"/>
  </w:num>
  <w:num w:numId="13" w16cid:durableId="1992051768">
    <w:abstractNumId w:val="4"/>
  </w:num>
  <w:num w:numId="14" w16cid:durableId="1049256639">
    <w:abstractNumId w:val="23"/>
  </w:num>
  <w:num w:numId="15" w16cid:durableId="137111814">
    <w:abstractNumId w:val="23"/>
  </w:num>
  <w:num w:numId="16" w16cid:durableId="1763262053">
    <w:abstractNumId w:val="23"/>
  </w:num>
  <w:num w:numId="17" w16cid:durableId="845754651">
    <w:abstractNumId w:val="20"/>
  </w:num>
  <w:num w:numId="18" w16cid:durableId="259216925">
    <w:abstractNumId w:val="16"/>
  </w:num>
  <w:num w:numId="19" w16cid:durableId="817303867">
    <w:abstractNumId w:val="19"/>
  </w:num>
  <w:num w:numId="20" w16cid:durableId="701245173">
    <w:abstractNumId w:val="18"/>
  </w:num>
  <w:num w:numId="21" w16cid:durableId="1324772261">
    <w:abstractNumId w:val="17"/>
  </w:num>
  <w:num w:numId="22" w16cid:durableId="1285884074">
    <w:abstractNumId w:val="14"/>
  </w:num>
  <w:num w:numId="23" w16cid:durableId="1175536775">
    <w:abstractNumId w:val="10"/>
  </w:num>
  <w:num w:numId="24" w16cid:durableId="667177059">
    <w:abstractNumId w:val="24"/>
  </w:num>
  <w:num w:numId="25" w16cid:durableId="1332370613">
    <w:abstractNumId w:val="13"/>
  </w:num>
  <w:num w:numId="26" w16cid:durableId="971713767">
    <w:abstractNumId w:val="11"/>
  </w:num>
  <w:num w:numId="27" w16cid:durableId="1612666611">
    <w:abstractNumId w:val="22"/>
  </w:num>
  <w:num w:numId="28" w16cid:durableId="99036752">
    <w:abstractNumId w:val="21"/>
  </w:num>
  <w:num w:numId="29" w16cid:durableId="634600037">
    <w:abstractNumId w:val="15"/>
  </w:num>
  <w:num w:numId="30" w16cid:durableId="3297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NBChoix" w:val="3"/>
    <w:docVar w:name="MotifJuge1" w:val="MOTIFS DU JUGE"/>
    <w:docVar w:name="MotifJuge2" w:val="MOTIFS DE LA JUGE"/>
    <w:docVar w:name="MotifJuge3" w:val="MOTIFS DU JUGE"/>
    <w:docVar w:name="NomFamJuge1" w:val="GAGNON"/>
    <w:docVar w:name="NomFamJuge2" w:val="LAVALLÉE"/>
    <w:docVar w:name="NomFamJuge3" w:val="KALICHMAN"/>
    <w:docVar w:name="NomFamJuge4" w:val="MAILHOT"/>
    <w:docVar w:name="NomFamJuge5" w:val="BAUDOUIN"/>
    <w:docVar w:name="QteJuge1" w:val=", J.C.A."/>
    <w:docVar w:name="QteJuge2" w:val=", J.C.A."/>
    <w:docVar w:name="QteJuge3" w:val=", J.C.A."/>
    <w:docVar w:name="stPremiereFois" w:val="Non"/>
  </w:docVars>
  <w:rsids>
    <w:rsidRoot w:val="006D475A"/>
    <w:rsid w:val="00001A06"/>
    <w:rsid w:val="000131E1"/>
    <w:rsid w:val="000159C3"/>
    <w:rsid w:val="000253A8"/>
    <w:rsid w:val="00027F5E"/>
    <w:rsid w:val="0004394C"/>
    <w:rsid w:val="00046823"/>
    <w:rsid w:val="00053691"/>
    <w:rsid w:val="00064194"/>
    <w:rsid w:val="00075953"/>
    <w:rsid w:val="000870BB"/>
    <w:rsid w:val="00091D00"/>
    <w:rsid w:val="000A02C4"/>
    <w:rsid w:val="000A577F"/>
    <w:rsid w:val="000A5EE9"/>
    <w:rsid w:val="000A7516"/>
    <w:rsid w:val="000B27C8"/>
    <w:rsid w:val="000B2E8B"/>
    <w:rsid w:val="000B42AF"/>
    <w:rsid w:val="000B4AAE"/>
    <w:rsid w:val="000C4E06"/>
    <w:rsid w:val="000E66D8"/>
    <w:rsid w:val="000F7919"/>
    <w:rsid w:val="001031D1"/>
    <w:rsid w:val="00110B53"/>
    <w:rsid w:val="00112321"/>
    <w:rsid w:val="00114D15"/>
    <w:rsid w:val="00117914"/>
    <w:rsid w:val="001241C2"/>
    <w:rsid w:val="00130052"/>
    <w:rsid w:val="0013028C"/>
    <w:rsid w:val="00140899"/>
    <w:rsid w:val="001504B5"/>
    <w:rsid w:val="00154164"/>
    <w:rsid w:val="0015610F"/>
    <w:rsid w:val="00160B31"/>
    <w:rsid w:val="00161DC1"/>
    <w:rsid w:val="00171A26"/>
    <w:rsid w:val="0017616B"/>
    <w:rsid w:val="001807C8"/>
    <w:rsid w:val="00181F56"/>
    <w:rsid w:val="00187B55"/>
    <w:rsid w:val="00190FA7"/>
    <w:rsid w:val="00190FF8"/>
    <w:rsid w:val="001972F2"/>
    <w:rsid w:val="001B7780"/>
    <w:rsid w:val="001B7D7A"/>
    <w:rsid w:val="001C14DF"/>
    <w:rsid w:val="001D01A5"/>
    <w:rsid w:val="001E0677"/>
    <w:rsid w:val="001F4B9E"/>
    <w:rsid w:val="00205DC4"/>
    <w:rsid w:val="002069CC"/>
    <w:rsid w:val="0021548E"/>
    <w:rsid w:val="00216465"/>
    <w:rsid w:val="002273F5"/>
    <w:rsid w:val="00232F14"/>
    <w:rsid w:val="00243820"/>
    <w:rsid w:val="00251506"/>
    <w:rsid w:val="002631B8"/>
    <w:rsid w:val="002737FF"/>
    <w:rsid w:val="00286420"/>
    <w:rsid w:val="002B4A07"/>
    <w:rsid w:val="002C4107"/>
    <w:rsid w:val="002C4E1B"/>
    <w:rsid w:val="002C54FE"/>
    <w:rsid w:val="002D29E8"/>
    <w:rsid w:val="002D4A55"/>
    <w:rsid w:val="002E06B5"/>
    <w:rsid w:val="002E1F0E"/>
    <w:rsid w:val="002E229C"/>
    <w:rsid w:val="002E51F1"/>
    <w:rsid w:val="002E5FCA"/>
    <w:rsid w:val="002F1350"/>
    <w:rsid w:val="002F598C"/>
    <w:rsid w:val="002F6136"/>
    <w:rsid w:val="00302F8D"/>
    <w:rsid w:val="0030640D"/>
    <w:rsid w:val="003122DD"/>
    <w:rsid w:val="00322DE0"/>
    <w:rsid w:val="00322EE2"/>
    <w:rsid w:val="0032363D"/>
    <w:rsid w:val="0033037C"/>
    <w:rsid w:val="0033190E"/>
    <w:rsid w:val="003339BB"/>
    <w:rsid w:val="003417EC"/>
    <w:rsid w:val="003469FC"/>
    <w:rsid w:val="003509B0"/>
    <w:rsid w:val="003572C4"/>
    <w:rsid w:val="00357536"/>
    <w:rsid w:val="00361325"/>
    <w:rsid w:val="00374701"/>
    <w:rsid w:val="00374888"/>
    <w:rsid w:val="00374E40"/>
    <w:rsid w:val="003900D0"/>
    <w:rsid w:val="003910CB"/>
    <w:rsid w:val="003929E7"/>
    <w:rsid w:val="003C2ED5"/>
    <w:rsid w:val="003D487D"/>
    <w:rsid w:val="003E3239"/>
    <w:rsid w:val="003E3E3C"/>
    <w:rsid w:val="00402233"/>
    <w:rsid w:val="00423DF1"/>
    <w:rsid w:val="00430C58"/>
    <w:rsid w:val="004331C4"/>
    <w:rsid w:val="0043564D"/>
    <w:rsid w:val="00437554"/>
    <w:rsid w:val="00441C25"/>
    <w:rsid w:val="00446452"/>
    <w:rsid w:val="0047196B"/>
    <w:rsid w:val="00472DC8"/>
    <w:rsid w:val="004761A6"/>
    <w:rsid w:val="00477AE5"/>
    <w:rsid w:val="004802EC"/>
    <w:rsid w:val="00484F6D"/>
    <w:rsid w:val="00487822"/>
    <w:rsid w:val="004A28EA"/>
    <w:rsid w:val="004A29F1"/>
    <w:rsid w:val="004A6641"/>
    <w:rsid w:val="004B1E94"/>
    <w:rsid w:val="004B33FF"/>
    <w:rsid w:val="004C3E30"/>
    <w:rsid w:val="004D2F69"/>
    <w:rsid w:val="004E4FBA"/>
    <w:rsid w:val="004F6C7D"/>
    <w:rsid w:val="00512A37"/>
    <w:rsid w:val="00512B99"/>
    <w:rsid w:val="005131F1"/>
    <w:rsid w:val="0051484F"/>
    <w:rsid w:val="00516B3E"/>
    <w:rsid w:val="005173BB"/>
    <w:rsid w:val="00520E23"/>
    <w:rsid w:val="00521A15"/>
    <w:rsid w:val="005262C9"/>
    <w:rsid w:val="00531D70"/>
    <w:rsid w:val="00540118"/>
    <w:rsid w:val="00545E45"/>
    <w:rsid w:val="00547E10"/>
    <w:rsid w:val="0055220D"/>
    <w:rsid w:val="00552A26"/>
    <w:rsid w:val="005532D3"/>
    <w:rsid w:val="00562129"/>
    <w:rsid w:val="00566BF6"/>
    <w:rsid w:val="00583434"/>
    <w:rsid w:val="0058349F"/>
    <w:rsid w:val="00591040"/>
    <w:rsid w:val="00595EB5"/>
    <w:rsid w:val="005A78BF"/>
    <w:rsid w:val="005A797D"/>
    <w:rsid w:val="005B3C3B"/>
    <w:rsid w:val="005B6B4C"/>
    <w:rsid w:val="005C0F79"/>
    <w:rsid w:val="005C25DB"/>
    <w:rsid w:val="005C7516"/>
    <w:rsid w:val="005D1522"/>
    <w:rsid w:val="005D5D5A"/>
    <w:rsid w:val="005E5440"/>
    <w:rsid w:val="005F04BF"/>
    <w:rsid w:val="005F20FC"/>
    <w:rsid w:val="005F55F3"/>
    <w:rsid w:val="005F5F45"/>
    <w:rsid w:val="005F5F5F"/>
    <w:rsid w:val="00623E97"/>
    <w:rsid w:val="00624770"/>
    <w:rsid w:val="00636C9A"/>
    <w:rsid w:val="00640670"/>
    <w:rsid w:val="0064250B"/>
    <w:rsid w:val="00650A85"/>
    <w:rsid w:val="0065104E"/>
    <w:rsid w:val="00651F4A"/>
    <w:rsid w:val="00653F54"/>
    <w:rsid w:val="0066248E"/>
    <w:rsid w:val="0067017A"/>
    <w:rsid w:val="00681304"/>
    <w:rsid w:val="006826AA"/>
    <w:rsid w:val="0068356A"/>
    <w:rsid w:val="006862AF"/>
    <w:rsid w:val="006A0DB0"/>
    <w:rsid w:val="006A6629"/>
    <w:rsid w:val="006C4B0A"/>
    <w:rsid w:val="006D25F5"/>
    <w:rsid w:val="006D475A"/>
    <w:rsid w:val="006D6D65"/>
    <w:rsid w:val="00700F62"/>
    <w:rsid w:val="00703EAC"/>
    <w:rsid w:val="00724A37"/>
    <w:rsid w:val="00732DB1"/>
    <w:rsid w:val="00734BAF"/>
    <w:rsid w:val="00740A17"/>
    <w:rsid w:val="00743A80"/>
    <w:rsid w:val="007462D6"/>
    <w:rsid w:val="0074738B"/>
    <w:rsid w:val="00752C19"/>
    <w:rsid w:val="0076062E"/>
    <w:rsid w:val="00760A07"/>
    <w:rsid w:val="00764D38"/>
    <w:rsid w:val="007823C8"/>
    <w:rsid w:val="00786B2C"/>
    <w:rsid w:val="00795261"/>
    <w:rsid w:val="007953F3"/>
    <w:rsid w:val="007A19CF"/>
    <w:rsid w:val="007A7803"/>
    <w:rsid w:val="007B061E"/>
    <w:rsid w:val="007B48D5"/>
    <w:rsid w:val="007C74A6"/>
    <w:rsid w:val="007D087C"/>
    <w:rsid w:val="007E33E4"/>
    <w:rsid w:val="007E39C7"/>
    <w:rsid w:val="007E4CC9"/>
    <w:rsid w:val="008001F3"/>
    <w:rsid w:val="00800D23"/>
    <w:rsid w:val="00815FC0"/>
    <w:rsid w:val="00816263"/>
    <w:rsid w:val="00816273"/>
    <w:rsid w:val="0082717B"/>
    <w:rsid w:val="00827B04"/>
    <w:rsid w:val="0083032E"/>
    <w:rsid w:val="00841510"/>
    <w:rsid w:val="00841907"/>
    <w:rsid w:val="00857A8A"/>
    <w:rsid w:val="0086036A"/>
    <w:rsid w:val="0086080B"/>
    <w:rsid w:val="00862CFF"/>
    <w:rsid w:val="008653A3"/>
    <w:rsid w:val="008657A2"/>
    <w:rsid w:val="00866565"/>
    <w:rsid w:val="00866645"/>
    <w:rsid w:val="00867F6B"/>
    <w:rsid w:val="00874F1F"/>
    <w:rsid w:val="00882210"/>
    <w:rsid w:val="008A6185"/>
    <w:rsid w:val="008A6D9C"/>
    <w:rsid w:val="008C1FE9"/>
    <w:rsid w:val="008C5D21"/>
    <w:rsid w:val="008C7DCE"/>
    <w:rsid w:val="008D15E4"/>
    <w:rsid w:val="008D18FC"/>
    <w:rsid w:val="008D2AFF"/>
    <w:rsid w:val="008D398B"/>
    <w:rsid w:val="008D7E49"/>
    <w:rsid w:val="008E7874"/>
    <w:rsid w:val="008F364A"/>
    <w:rsid w:val="008F3F53"/>
    <w:rsid w:val="00902953"/>
    <w:rsid w:val="00903176"/>
    <w:rsid w:val="00913E03"/>
    <w:rsid w:val="00916A24"/>
    <w:rsid w:val="00917CA3"/>
    <w:rsid w:val="009229E9"/>
    <w:rsid w:val="00926953"/>
    <w:rsid w:val="00932703"/>
    <w:rsid w:val="00936469"/>
    <w:rsid w:val="009400B7"/>
    <w:rsid w:val="00940BF6"/>
    <w:rsid w:val="00947F77"/>
    <w:rsid w:val="00954DC2"/>
    <w:rsid w:val="009565AD"/>
    <w:rsid w:val="0095744F"/>
    <w:rsid w:val="00957B92"/>
    <w:rsid w:val="00962BEA"/>
    <w:rsid w:val="00967082"/>
    <w:rsid w:val="00970966"/>
    <w:rsid w:val="00974442"/>
    <w:rsid w:val="00975DAB"/>
    <w:rsid w:val="00976352"/>
    <w:rsid w:val="009819ED"/>
    <w:rsid w:val="00987300"/>
    <w:rsid w:val="0099431D"/>
    <w:rsid w:val="009A35BA"/>
    <w:rsid w:val="009A6DBE"/>
    <w:rsid w:val="009B1565"/>
    <w:rsid w:val="009B3528"/>
    <w:rsid w:val="009C2D01"/>
    <w:rsid w:val="009D43E2"/>
    <w:rsid w:val="009D78BC"/>
    <w:rsid w:val="009E0D76"/>
    <w:rsid w:val="009F1F69"/>
    <w:rsid w:val="009F2B20"/>
    <w:rsid w:val="00A03AD4"/>
    <w:rsid w:val="00A0674B"/>
    <w:rsid w:val="00A11C17"/>
    <w:rsid w:val="00A23BF4"/>
    <w:rsid w:val="00A2593B"/>
    <w:rsid w:val="00A34E05"/>
    <w:rsid w:val="00A43D8B"/>
    <w:rsid w:val="00A454F1"/>
    <w:rsid w:val="00A4767E"/>
    <w:rsid w:val="00A53922"/>
    <w:rsid w:val="00A543CC"/>
    <w:rsid w:val="00A728AF"/>
    <w:rsid w:val="00A74130"/>
    <w:rsid w:val="00A93CFF"/>
    <w:rsid w:val="00AA1926"/>
    <w:rsid w:val="00AA33C4"/>
    <w:rsid w:val="00AB7DD2"/>
    <w:rsid w:val="00AF0C7C"/>
    <w:rsid w:val="00AF59E8"/>
    <w:rsid w:val="00AF5E7E"/>
    <w:rsid w:val="00B01D86"/>
    <w:rsid w:val="00B07E4E"/>
    <w:rsid w:val="00B11FD1"/>
    <w:rsid w:val="00B129E2"/>
    <w:rsid w:val="00B137E9"/>
    <w:rsid w:val="00B30EA2"/>
    <w:rsid w:val="00B36ED3"/>
    <w:rsid w:val="00B50951"/>
    <w:rsid w:val="00B513C9"/>
    <w:rsid w:val="00B5195C"/>
    <w:rsid w:val="00B52643"/>
    <w:rsid w:val="00B56EF4"/>
    <w:rsid w:val="00B61572"/>
    <w:rsid w:val="00B61F1B"/>
    <w:rsid w:val="00B70485"/>
    <w:rsid w:val="00B77A97"/>
    <w:rsid w:val="00B80C81"/>
    <w:rsid w:val="00B82A13"/>
    <w:rsid w:val="00B86608"/>
    <w:rsid w:val="00B9175A"/>
    <w:rsid w:val="00B9670E"/>
    <w:rsid w:val="00BA4423"/>
    <w:rsid w:val="00BC2935"/>
    <w:rsid w:val="00BF0188"/>
    <w:rsid w:val="00BF6AB6"/>
    <w:rsid w:val="00C02AF8"/>
    <w:rsid w:val="00C043E7"/>
    <w:rsid w:val="00C07DF0"/>
    <w:rsid w:val="00C14806"/>
    <w:rsid w:val="00C14A6B"/>
    <w:rsid w:val="00C157F7"/>
    <w:rsid w:val="00C1673A"/>
    <w:rsid w:val="00C17E01"/>
    <w:rsid w:val="00C31AC4"/>
    <w:rsid w:val="00C409BE"/>
    <w:rsid w:val="00C423CA"/>
    <w:rsid w:val="00C4271E"/>
    <w:rsid w:val="00C5312F"/>
    <w:rsid w:val="00C55ED5"/>
    <w:rsid w:val="00C56418"/>
    <w:rsid w:val="00C652ED"/>
    <w:rsid w:val="00C7793C"/>
    <w:rsid w:val="00C81B6C"/>
    <w:rsid w:val="00C878E2"/>
    <w:rsid w:val="00C939A8"/>
    <w:rsid w:val="00C97145"/>
    <w:rsid w:val="00CA00B6"/>
    <w:rsid w:val="00CA1E57"/>
    <w:rsid w:val="00CA6A52"/>
    <w:rsid w:val="00CA7C9A"/>
    <w:rsid w:val="00CB206A"/>
    <w:rsid w:val="00CB402F"/>
    <w:rsid w:val="00CB4575"/>
    <w:rsid w:val="00CB592B"/>
    <w:rsid w:val="00CD42E4"/>
    <w:rsid w:val="00D010FD"/>
    <w:rsid w:val="00D02812"/>
    <w:rsid w:val="00D17D49"/>
    <w:rsid w:val="00D20056"/>
    <w:rsid w:val="00D2204E"/>
    <w:rsid w:val="00D33E21"/>
    <w:rsid w:val="00D520B4"/>
    <w:rsid w:val="00D5759B"/>
    <w:rsid w:val="00D6116A"/>
    <w:rsid w:val="00D66A88"/>
    <w:rsid w:val="00D6725F"/>
    <w:rsid w:val="00D714C2"/>
    <w:rsid w:val="00D73FCC"/>
    <w:rsid w:val="00D7477B"/>
    <w:rsid w:val="00D926C9"/>
    <w:rsid w:val="00D929C5"/>
    <w:rsid w:val="00D956B0"/>
    <w:rsid w:val="00DA2649"/>
    <w:rsid w:val="00DA4915"/>
    <w:rsid w:val="00DB2119"/>
    <w:rsid w:val="00DB7A11"/>
    <w:rsid w:val="00DC05BC"/>
    <w:rsid w:val="00DC3F12"/>
    <w:rsid w:val="00DC49B4"/>
    <w:rsid w:val="00DC4EC4"/>
    <w:rsid w:val="00DD3A24"/>
    <w:rsid w:val="00DD6B8D"/>
    <w:rsid w:val="00DE1970"/>
    <w:rsid w:val="00DE7982"/>
    <w:rsid w:val="00DF3516"/>
    <w:rsid w:val="00DF74E5"/>
    <w:rsid w:val="00E0301B"/>
    <w:rsid w:val="00E03C07"/>
    <w:rsid w:val="00E06442"/>
    <w:rsid w:val="00E06CF4"/>
    <w:rsid w:val="00E1758A"/>
    <w:rsid w:val="00E20E3C"/>
    <w:rsid w:val="00E241BC"/>
    <w:rsid w:val="00E24C64"/>
    <w:rsid w:val="00E33D6F"/>
    <w:rsid w:val="00E36290"/>
    <w:rsid w:val="00E4626F"/>
    <w:rsid w:val="00E6443C"/>
    <w:rsid w:val="00E742B1"/>
    <w:rsid w:val="00E74EF7"/>
    <w:rsid w:val="00E76C76"/>
    <w:rsid w:val="00E81E61"/>
    <w:rsid w:val="00E848B4"/>
    <w:rsid w:val="00E91417"/>
    <w:rsid w:val="00E92281"/>
    <w:rsid w:val="00E94329"/>
    <w:rsid w:val="00E96624"/>
    <w:rsid w:val="00EB1377"/>
    <w:rsid w:val="00EB3160"/>
    <w:rsid w:val="00EC1E33"/>
    <w:rsid w:val="00EE22DA"/>
    <w:rsid w:val="00EE7A4A"/>
    <w:rsid w:val="00EF238C"/>
    <w:rsid w:val="00F07022"/>
    <w:rsid w:val="00F1119E"/>
    <w:rsid w:val="00F33776"/>
    <w:rsid w:val="00F33E30"/>
    <w:rsid w:val="00F35A34"/>
    <w:rsid w:val="00F4054A"/>
    <w:rsid w:val="00F40882"/>
    <w:rsid w:val="00F43559"/>
    <w:rsid w:val="00F43718"/>
    <w:rsid w:val="00F53EAD"/>
    <w:rsid w:val="00F5789B"/>
    <w:rsid w:val="00F668F8"/>
    <w:rsid w:val="00F75AAB"/>
    <w:rsid w:val="00F75C76"/>
    <w:rsid w:val="00F8624F"/>
    <w:rsid w:val="00F9682E"/>
    <w:rsid w:val="00FB5BF2"/>
    <w:rsid w:val="00FC720B"/>
    <w:rsid w:val="00FD1E56"/>
    <w:rsid w:val="00FE3FE9"/>
    <w:rsid w:val="00FE6A10"/>
    <w:rsid w:val="00FF72E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CD0E"/>
  <w15:chartTrackingRefBased/>
  <w15:docId w15:val="{431C73D9-1077-41B9-BB6D-A8787C6B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link w:val="Titre1Car"/>
    <w:qFormat/>
    <w:rsid w:val="00540118"/>
    <w:pPr>
      <w:keepNext/>
      <w:spacing w:before="120" w:after="120" w:line="500" w:lineRule="exact"/>
      <w:outlineLvl w:val="0"/>
    </w:pPr>
    <w:rPr>
      <w:b/>
      <w:kern w:val="28"/>
      <w:szCs w:val="24"/>
    </w:rPr>
  </w:style>
  <w:style w:type="paragraph" w:styleId="Titre2">
    <w:name w:val="heading 2"/>
    <w:basedOn w:val="Normal"/>
    <w:next w:val="Normal"/>
    <w:link w:val="Titre2Car"/>
    <w:qFormat/>
    <w:rsid w:val="00540118"/>
    <w:pPr>
      <w:spacing w:before="120" w:after="120"/>
      <w:ind w:firstLine="720"/>
      <w:jc w:val="both"/>
      <w:outlineLvl w:val="1"/>
    </w:pPr>
    <w:rPr>
      <w:i/>
      <w:iCs/>
      <w:kern w:val="28"/>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rsid w:val="00540118"/>
    <w:pPr>
      <w:spacing w:before="120" w:after="120"/>
      <w:ind w:firstLine="720"/>
      <w:jc w:val="both"/>
      <w:outlineLvl w:val="3"/>
    </w:pPr>
    <w:rPr>
      <w:b/>
      <w:bCs/>
      <w:kern w:val="28"/>
      <w:szCs w:val="24"/>
      <w:lang w:eastAsia="fr-CA"/>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link w:val="CitationenretraitCar"/>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Char1 Char1 Char Char,Char1 Char2 Char,Footnote Text Char Char1,Char1 Char1 Char1,Char1 Char3,fn, Char1 Char1 Char Char, Char1 Char2 Char, Char1 Char1 Char1"/>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Hyperlien">
    <w:name w:val="Hyperlink"/>
    <w:basedOn w:val="Policepardfaut"/>
    <w:uiPriority w:val="99"/>
    <w:unhideWhenUsed/>
    <w:rsid w:val="00540118"/>
    <w:rPr>
      <w:color w:val="0000FF"/>
      <w:u w:val="single"/>
    </w:rPr>
  </w:style>
  <w:style w:type="character" w:customStyle="1" w:styleId="NotedebasdepageCar">
    <w:name w:val="Note de bas de page Car"/>
    <w:aliases w:val="Footnote Text Char2 Car,Footnote Text Char1 Char Car,Footnote Text Char Char Char Car,Char1 Char1 Char Char Car,Char1 Char2 Char Car,Footnote Text Char Char1 Car,Char1 Char1 Char1 Car,Char1 Char3 Car,fn Car, Char1 Char2 Char Car"/>
    <w:basedOn w:val="Policepardfaut"/>
    <w:link w:val="Notedebasdepage"/>
    <w:locked/>
    <w:rsid w:val="00540118"/>
    <w:rPr>
      <w:rFonts w:ascii="Arial" w:hAnsi="Arial"/>
      <w:lang w:eastAsia="fr-FR"/>
    </w:rPr>
  </w:style>
  <w:style w:type="character" w:customStyle="1" w:styleId="ParagrapheCar">
    <w:name w:val="Paragraphe Car"/>
    <w:link w:val="Paragraphe"/>
    <w:qFormat/>
    <w:locked/>
    <w:rsid w:val="00540118"/>
    <w:rPr>
      <w:rFonts w:ascii="Arial" w:hAnsi="Arial"/>
      <w:kern w:val="28"/>
      <w:sz w:val="24"/>
      <w:lang w:eastAsia="fr-FR"/>
    </w:rPr>
  </w:style>
  <w:style w:type="paragraph" w:styleId="Paragraphedeliste">
    <w:name w:val="List Paragraph"/>
    <w:basedOn w:val="Normal"/>
    <w:uiPriority w:val="1"/>
    <w:qFormat/>
    <w:rsid w:val="00540118"/>
    <w:pPr>
      <w:spacing w:line="240" w:lineRule="auto"/>
      <w:ind w:left="720"/>
      <w:contextualSpacing/>
      <w:jc w:val="both"/>
    </w:pPr>
    <w:rPr>
      <w:lang w:val="fr-FR"/>
    </w:rPr>
  </w:style>
  <w:style w:type="character" w:customStyle="1" w:styleId="CitationenretraitCar">
    <w:name w:val="Citation en retrait Car"/>
    <w:basedOn w:val="Policepardfaut"/>
    <w:link w:val="Citationenretrait"/>
    <w:locked/>
    <w:rsid w:val="00540118"/>
    <w:rPr>
      <w:rFonts w:ascii="Arial" w:hAnsi="Arial"/>
      <w:kern w:val="24"/>
      <w:sz w:val="22"/>
      <w:lang w:eastAsia="fr-FR"/>
    </w:rPr>
  </w:style>
  <w:style w:type="paragraph" w:customStyle="1" w:styleId="paragraphe0">
    <w:name w:val="paragraphe"/>
    <w:basedOn w:val="Normal"/>
    <w:rsid w:val="00540118"/>
    <w:pPr>
      <w:spacing w:before="100" w:beforeAutospacing="1" w:after="100" w:afterAutospacing="1" w:line="240" w:lineRule="auto"/>
    </w:pPr>
    <w:rPr>
      <w:rFonts w:ascii="Times New Roman" w:hAnsi="Times New Roman"/>
      <w:szCs w:val="24"/>
      <w:lang w:eastAsia="fr-CA"/>
    </w:rPr>
  </w:style>
  <w:style w:type="character" w:customStyle="1" w:styleId="sccappellantforindexchar">
    <w:name w:val="sccappellantforindexchar"/>
    <w:basedOn w:val="Policepardfaut"/>
    <w:rsid w:val="00540118"/>
  </w:style>
  <w:style w:type="character" w:customStyle="1" w:styleId="sccrespondentforindexchar">
    <w:name w:val="sccrespondentforindexchar"/>
    <w:basedOn w:val="Policepardfaut"/>
    <w:rsid w:val="00540118"/>
  </w:style>
  <w:style w:type="character" w:customStyle="1" w:styleId="sccrespondentforrunningheadchar">
    <w:name w:val="sccrespondentforrunningheadchar"/>
    <w:basedOn w:val="Policepardfaut"/>
    <w:rsid w:val="00540118"/>
  </w:style>
  <w:style w:type="character" w:customStyle="1" w:styleId="Mentionnonrsolue1">
    <w:name w:val="Mention non résolue1"/>
    <w:basedOn w:val="Policepardfaut"/>
    <w:uiPriority w:val="99"/>
    <w:semiHidden/>
    <w:unhideWhenUsed/>
    <w:rsid w:val="00540118"/>
    <w:rPr>
      <w:color w:val="605E5C"/>
      <w:shd w:val="clear" w:color="auto" w:fill="E1DFDD"/>
    </w:rPr>
  </w:style>
  <w:style w:type="character" w:styleId="lev">
    <w:name w:val="Strong"/>
    <w:basedOn w:val="Policepardfaut"/>
    <w:uiPriority w:val="22"/>
    <w:qFormat/>
    <w:rsid w:val="00540118"/>
    <w:rPr>
      <w:b/>
      <w:bCs/>
    </w:rPr>
  </w:style>
  <w:style w:type="character" w:styleId="CitationHTML">
    <w:name w:val="HTML Cite"/>
    <w:basedOn w:val="Policepardfaut"/>
    <w:uiPriority w:val="99"/>
    <w:semiHidden/>
    <w:unhideWhenUsed/>
    <w:rsid w:val="00540118"/>
    <w:rPr>
      <w:i/>
      <w:iCs/>
    </w:rPr>
  </w:style>
  <w:style w:type="paragraph" w:customStyle="1" w:styleId="CitationdecitationFR">
    <w:name w:val="Citation de citation FR"/>
    <w:basedOn w:val="Normal"/>
    <w:rsid w:val="00540118"/>
    <w:pPr>
      <w:spacing w:before="120" w:after="120"/>
      <w:ind w:left="1440" w:right="720"/>
      <w:jc w:val="both"/>
    </w:pPr>
    <w:rPr>
      <w:kern w:val="24"/>
      <w:sz w:val="19"/>
      <w:szCs w:val="19"/>
    </w:rPr>
  </w:style>
  <w:style w:type="character" w:customStyle="1" w:styleId="reflex2-link">
    <w:name w:val="reflex2-link"/>
    <w:basedOn w:val="Policepardfaut"/>
    <w:rsid w:val="00540118"/>
  </w:style>
  <w:style w:type="paragraph" w:styleId="Rvision">
    <w:name w:val="Revision"/>
    <w:hidden/>
    <w:uiPriority w:val="99"/>
    <w:semiHidden/>
    <w:rsid w:val="00540118"/>
    <w:rPr>
      <w:rFonts w:ascii="Arial" w:hAnsi="Arial"/>
      <w:sz w:val="24"/>
      <w:lang w:eastAsia="fr-FR"/>
    </w:rPr>
  </w:style>
  <w:style w:type="character" w:styleId="Marquedecommentaire">
    <w:name w:val="annotation reference"/>
    <w:basedOn w:val="Policepardfaut"/>
    <w:uiPriority w:val="99"/>
    <w:semiHidden/>
    <w:unhideWhenUsed/>
    <w:rsid w:val="00540118"/>
    <w:rPr>
      <w:sz w:val="16"/>
      <w:szCs w:val="16"/>
    </w:rPr>
  </w:style>
  <w:style w:type="paragraph" w:styleId="Commentaire">
    <w:name w:val="annotation text"/>
    <w:basedOn w:val="Normal"/>
    <w:link w:val="CommentaireCar"/>
    <w:uiPriority w:val="99"/>
    <w:unhideWhenUsed/>
    <w:rsid w:val="00540118"/>
    <w:pPr>
      <w:spacing w:line="240" w:lineRule="auto"/>
    </w:pPr>
    <w:rPr>
      <w:sz w:val="20"/>
    </w:rPr>
  </w:style>
  <w:style w:type="character" w:customStyle="1" w:styleId="CommentaireCar">
    <w:name w:val="Commentaire Car"/>
    <w:basedOn w:val="Policepardfaut"/>
    <w:link w:val="Commentaire"/>
    <w:uiPriority w:val="99"/>
    <w:rsid w:val="00540118"/>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540118"/>
    <w:rPr>
      <w:b/>
      <w:bCs/>
    </w:rPr>
  </w:style>
  <w:style w:type="character" w:customStyle="1" w:styleId="ObjetducommentaireCar">
    <w:name w:val="Objet du commentaire Car"/>
    <w:basedOn w:val="CommentaireCar"/>
    <w:link w:val="Objetducommentaire"/>
    <w:uiPriority w:val="99"/>
    <w:semiHidden/>
    <w:rsid w:val="00540118"/>
    <w:rPr>
      <w:rFonts w:ascii="Arial" w:hAnsi="Arial"/>
      <w:b/>
      <w:bCs/>
      <w:lang w:eastAsia="fr-FR"/>
    </w:rPr>
  </w:style>
  <w:style w:type="character" w:customStyle="1" w:styleId="Titre1Car">
    <w:name w:val="Titre 1 Car"/>
    <w:basedOn w:val="Policepardfaut"/>
    <w:link w:val="Titre1"/>
    <w:rsid w:val="00540118"/>
    <w:rPr>
      <w:rFonts w:ascii="Arial" w:hAnsi="Arial"/>
      <w:b/>
      <w:kern w:val="28"/>
      <w:sz w:val="24"/>
      <w:szCs w:val="24"/>
      <w:lang w:eastAsia="fr-FR"/>
    </w:rPr>
  </w:style>
  <w:style w:type="character" w:customStyle="1" w:styleId="Titre2Car">
    <w:name w:val="Titre 2 Car"/>
    <w:basedOn w:val="Policepardfaut"/>
    <w:link w:val="Titre2"/>
    <w:rsid w:val="00540118"/>
    <w:rPr>
      <w:rFonts w:ascii="Arial" w:hAnsi="Arial"/>
      <w:i/>
      <w:iCs/>
      <w:kern w:val="28"/>
      <w:sz w:val="24"/>
      <w:lang w:eastAsia="fr-FR"/>
    </w:rPr>
  </w:style>
  <w:style w:type="character" w:customStyle="1" w:styleId="cf01">
    <w:name w:val="cf01"/>
    <w:basedOn w:val="Policepardfaut"/>
    <w:rsid w:val="00540118"/>
    <w:rPr>
      <w:rFonts w:ascii="Segoe UI" w:hAnsi="Segoe UI" w:cs="Segoe UI" w:hint="default"/>
      <w:sz w:val="18"/>
      <w:szCs w:val="18"/>
    </w:rPr>
  </w:style>
  <w:style w:type="character" w:customStyle="1" w:styleId="cf11">
    <w:name w:val="cf11"/>
    <w:basedOn w:val="Policepardfaut"/>
    <w:rsid w:val="00540118"/>
    <w:rPr>
      <w:rFonts w:ascii="Segoe UI" w:hAnsi="Segoe UI" w:cs="Segoe UI" w:hint="default"/>
      <w:sz w:val="18"/>
      <w:szCs w:val="18"/>
    </w:rPr>
  </w:style>
  <w:style w:type="paragraph" w:customStyle="1" w:styleId="citationenretrait0">
    <w:name w:val="citationenretrait"/>
    <w:basedOn w:val="Normal"/>
    <w:rsid w:val="00540118"/>
    <w:pPr>
      <w:spacing w:before="100" w:beforeAutospacing="1" w:after="100" w:afterAutospacing="1" w:line="240" w:lineRule="auto"/>
    </w:pPr>
    <w:rPr>
      <w:rFonts w:ascii="Times New Roman" w:hAnsi="Times New Roman"/>
      <w:szCs w:val="24"/>
      <w:lang w:eastAsia="fr-CA"/>
    </w:rPr>
  </w:style>
  <w:style w:type="character" w:styleId="Mentionnonrsolue">
    <w:name w:val="Unresolved Mention"/>
    <w:basedOn w:val="Policepardfaut"/>
    <w:uiPriority w:val="99"/>
    <w:semiHidden/>
    <w:unhideWhenUsed/>
    <w:rsid w:val="002631B8"/>
    <w:rPr>
      <w:color w:val="605E5C"/>
      <w:shd w:val="clear" w:color="auto" w:fill="E1DFDD"/>
    </w:rPr>
  </w:style>
  <w:style w:type="character" w:styleId="Lienvisit">
    <w:name w:val="FollowedHyperlink"/>
    <w:basedOn w:val="Policepardfaut"/>
    <w:uiPriority w:val="99"/>
    <w:semiHidden/>
    <w:unhideWhenUsed/>
    <w:rsid w:val="00640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fr/ca/legis/lois/lrc-1985-c-f-7/derniere/lrc-1985-c-f-7.html" TargetMode="External"/><Relationship Id="rId13" Type="http://schemas.openxmlformats.org/officeDocument/2006/relationships/hyperlink" Target="https://www.canlii.org/fr/ca/csc/doc/2006/2006csc54/2006csc54.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nlii.org/fr/ca/csc/doc/1999/1999canlii666/1999canlii666.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fr/ca/csc/doc/1999/1999canlii673/1999canlii673.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nlii.org/fr/ca/csc/doc/1997/1997canlii302/1997canlii302.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qweri.lexum.com/w/calegis/30---31-victoria-c-3-fr" TargetMode="External"/><Relationship Id="rId14" Type="http://schemas.openxmlformats.org/officeDocument/2006/relationships/hyperlink" Target="https://www.canlii.org/en/bc/bcsc/doc/2006/2006bcsc1517/2006bcsc1517.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nlii.org/fr/ca/csc/doc/1981/1981canlii34/1981canlii34.html?resultIndex=1&amp;resultId=54cfac8bba2c4684b1c82a51354bd7bf&amp;searchId=2024-05-14T09:59:01:002/fb883de28d7645faa365354620c92847" TargetMode="External"/><Relationship Id="rId13" Type="http://schemas.openxmlformats.org/officeDocument/2006/relationships/hyperlink" Target="https://www.canlii.org/fr/ca/csc/doc/1974/1974canlii6/1974canlii6.html?resultIndex=1&amp;resultId=5b9da6655f6c4bbfba19b5efa69e54bc&amp;searchId=2024-05-14T10:03:27:337/342b5eacccc945b1b75c69c81005f68a" TargetMode="External"/><Relationship Id="rId3" Type="http://schemas.openxmlformats.org/officeDocument/2006/relationships/hyperlink" Target="https://www.canlii.org/fr/qc/qcca/doc/2012/2012qcca308/2012qcca308.html?autocompleteStr=Boh%C3%A9mi&amp;autocompletePos=1&amp;resultId=f3c4992f233643529b1911bc9dea5e87&amp;searchId=2024-05-15T16:26:27:604/63e720fcf35c421eb7a2930fd83e5212" TargetMode="External"/><Relationship Id="rId7" Type="http://schemas.openxmlformats.org/officeDocument/2006/relationships/hyperlink" Target="https://www.canlii.org/fr/ca/csc/doc/1981/1981canlii34/1981canlii34.html?resultIndex=1&amp;resultId=54cfac8bba2c4684b1c82a51354bd7bf&amp;searchId=2024-05-14T09:59:01:002/fb883de28d7645faa365354620c92847" TargetMode="External"/><Relationship Id="rId12" Type="http://schemas.openxmlformats.org/officeDocument/2006/relationships/hyperlink" Target="https://www.canlii.org/fr/ca/csc/doc/1974/1974canlii6/1974canlii6.html?resultIndex=1&amp;resultId=5b9da6655f6c4bbfba19b5efa69e54bc&amp;searchId=2024-05-14T10:03:27:337/342b5eacccc945b1b75c69c81005f68a" TargetMode="External"/><Relationship Id="rId2" Type="http://schemas.openxmlformats.org/officeDocument/2006/relationships/hyperlink" Target="https://www.canlii.org/fr/qc/qcca/doc/2023/2023qcca1470/2023qcca1470.html?resultIndex=1&amp;resultId=b4063bbd97944a759804ef8bfdcd8d96&amp;searchId=2024-05-22T09:35:33:767/88505646abe040f7b5085cb246b0cc49" TargetMode="External"/><Relationship Id="rId1" Type="http://schemas.openxmlformats.org/officeDocument/2006/relationships/hyperlink" Target="https://www.canlii.org/fr/qc/qccs/doc/2023/2023qccs3806/2023qccs3806.html?resultIndex=3&amp;resultId=bd99b79e70734240bf4e0b0f4b8ab286&amp;searchId=2024-05-13T14:00:18:884/eeb12e5fecf54113bcd22a87106203a0&amp;searchUrlHash=AAAAAQATIjY1NS0xNy0wMDA5MDQtMjMwIgAAAAAB" TargetMode="External"/><Relationship Id="rId6" Type="http://schemas.openxmlformats.org/officeDocument/2006/relationships/hyperlink" Target="https://www.canlii.org/fr/ca/csc/doc/1986/1986canlii6/1986canlii6.pdf" TargetMode="External"/><Relationship Id="rId11" Type="http://schemas.openxmlformats.org/officeDocument/2006/relationships/hyperlink" Target="https://www.canlii.org/fr/ca/csc/doc/1975/1975canlii14/1975canlii14.html" TargetMode="External"/><Relationship Id="rId5" Type="http://schemas.openxmlformats.org/officeDocument/2006/relationships/hyperlink" Target="https://www.canlii.org/fr/ca/csc/doc/1986/1986canlii6/1986canlii6.pdf" TargetMode="External"/><Relationship Id="rId10" Type="http://schemas.openxmlformats.org/officeDocument/2006/relationships/hyperlink" Target="https://www.canlii.org/fr/ca/csc/doc/1975/1975canlii14/1975canlii14.html" TargetMode="External"/><Relationship Id="rId4" Type="http://schemas.openxmlformats.org/officeDocument/2006/relationships/hyperlink" Target="https://www.canlii.org/fr/ca/csc/doc/1986/1986canlii6/1986canlii6.pdf" TargetMode="External"/><Relationship Id="rId9" Type="http://schemas.openxmlformats.org/officeDocument/2006/relationships/hyperlink" Target="https://www.canlii.org/fr/ca/csc/doc/1981/1981canlii34/1981canlii34.html?resultIndex=1&amp;resultId=54cfac8bba2c4684b1c82a51354bd7bf&amp;searchId=2024-05-14T09:59:01:002/fb883de28d7645faa365354620c92847" TargetMode="External"/><Relationship Id="rId14" Type="http://schemas.openxmlformats.org/officeDocument/2006/relationships/hyperlink" Target="https://www.canlii.org/fr/ca/csc/doc/1974/1974canlii6/1974canlii6.html?resultIndex=1&amp;resultId=5b9da6655f6c4bbfba19b5efa69e54bc&amp;searchId=2024-05-14T10:03:27:337/342b5eacccc945b1b75c69c81005f6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5700-8C0B-4DFC-A624-BEC62449973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25</Pages>
  <Words>8040</Words>
  <Characters>41812</Characters>
  <Application>Microsoft Office Word</Application>
  <DocSecurity>4</DocSecurity>
  <Lines>348</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 Fournier</dc:creator>
  <cp:lastModifiedBy>Traduction</cp:lastModifiedBy>
  <cp:revision>2</cp:revision>
  <dcterms:created xsi:type="dcterms:W3CDTF">2026-06-11T15:17:00Z</dcterms:created>
  <dcterms:modified xsi:type="dcterms:W3CDTF">2026-06-11T15:17:00Z</dcterms:modified>
</cp:coreProperties>
</file>