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8176" w14:textId="01ACD6ED" w:rsidR="00E362E3" w:rsidRPr="00E362E3" w:rsidRDefault="00E362E3">
      <w:pPr>
        <w:rPr>
          <w:b/>
          <w:bCs/>
          <w:lang w:val="en-CA"/>
        </w:rPr>
      </w:pPr>
      <w:r w:rsidRPr="00E362E3">
        <w:rPr>
          <w:b/>
          <w:bCs/>
          <w:lang w:val="en-CA"/>
        </w:rPr>
        <w:t>English translation of the judgment of the Court</w:t>
      </w:r>
    </w:p>
    <w:p w14:paraId="4AF565F9" w14:textId="77777777" w:rsidR="00E362E3" w:rsidRDefault="00E362E3"/>
    <w:tbl>
      <w:tblPr>
        <w:tblW w:w="9360" w:type="dxa"/>
        <w:tblLayout w:type="fixed"/>
        <w:tblCellMar>
          <w:left w:w="0" w:type="dxa"/>
          <w:right w:w="0" w:type="dxa"/>
        </w:tblCellMar>
        <w:tblLook w:val="0000" w:firstRow="0" w:lastRow="0" w:firstColumn="0" w:lastColumn="0" w:noHBand="0" w:noVBand="0"/>
      </w:tblPr>
      <w:tblGrid>
        <w:gridCol w:w="1030"/>
        <w:gridCol w:w="388"/>
        <w:gridCol w:w="1134"/>
        <w:gridCol w:w="1418"/>
        <w:gridCol w:w="3402"/>
        <w:gridCol w:w="1988"/>
      </w:tblGrid>
      <w:tr w:rsidR="00815D3B" w:rsidRPr="00820DA0" w14:paraId="50852B54" w14:textId="77777777" w:rsidTr="008D18FC">
        <w:trPr>
          <w:trHeight w:val="248"/>
        </w:trPr>
        <w:tc>
          <w:tcPr>
            <w:tcW w:w="7372" w:type="dxa"/>
            <w:gridSpan w:val="5"/>
          </w:tcPr>
          <w:p w14:paraId="50852B52" w14:textId="5866FB6A" w:rsidR="008F364A" w:rsidRPr="000B3ECE" w:rsidRDefault="00E362E3">
            <w:pPr>
              <w:pStyle w:val="zSoquijdatRepertorie"/>
              <w:rPr>
                <w:sz w:val="24"/>
                <w:lang w:val="en-CA"/>
              </w:rPr>
            </w:pPr>
            <w:r>
              <w:rPr>
                <w:rFonts w:cs="Arial"/>
              </w:rPr>
              <w:t>Procureur général du Québec c. Théâtre du Trident inc.</w:t>
            </w:r>
          </w:p>
        </w:tc>
        <w:tc>
          <w:tcPr>
            <w:tcW w:w="1988" w:type="dxa"/>
          </w:tcPr>
          <w:p w14:paraId="50852B53" w14:textId="727AE82C" w:rsidR="008F364A" w:rsidRPr="00B120AE" w:rsidRDefault="00E362E3" w:rsidP="00E362E3">
            <w:pPr>
              <w:pStyle w:val="zSoquijdatRefNeutre"/>
              <w:jc w:val="right"/>
              <w:rPr>
                <w:lang w:val="en-CA"/>
              </w:rPr>
            </w:pPr>
            <w:r w:rsidRPr="001830B2">
              <w:rPr>
                <w:rFonts w:cs="Arial"/>
              </w:rPr>
              <w:t>2026 QCCA 529</w:t>
            </w:r>
          </w:p>
        </w:tc>
      </w:tr>
      <w:tr w:rsidR="00815D3B" w:rsidRPr="00B120AE" w14:paraId="50852B56" w14:textId="77777777" w:rsidTr="008D18FC">
        <w:trPr>
          <w:trHeight w:val="247"/>
        </w:trPr>
        <w:tc>
          <w:tcPr>
            <w:tcW w:w="9360" w:type="dxa"/>
            <w:gridSpan w:val="6"/>
          </w:tcPr>
          <w:p w14:paraId="50852B55" w14:textId="77777777" w:rsidR="008F364A" w:rsidRPr="00B120AE" w:rsidRDefault="001C0031">
            <w:pPr>
              <w:pStyle w:val="zSoquijlblCour"/>
              <w:rPr>
                <w:lang w:val="en-CA"/>
              </w:rPr>
            </w:pPr>
            <w:r w:rsidRPr="00B120AE">
              <w:rPr>
                <w:bCs/>
                <w:lang w:val="en-CA"/>
              </w:rPr>
              <w:t>COURT OF APPEAL</w:t>
            </w:r>
          </w:p>
        </w:tc>
      </w:tr>
      <w:tr w:rsidR="00815D3B" w:rsidRPr="00B120AE" w14:paraId="50852B58" w14:textId="77777777" w:rsidTr="008D18FC">
        <w:trPr>
          <w:trHeight w:val="540"/>
        </w:trPr>
        <w:tc>
          <w:tcPr>
            <w:tcW w:w="9360" w:type="dxa"/>
            <w:gridSpan w:val="6"/>
          </w:tcPr>
          <w:p w14:paraId="50852B57" w14:textId="77777777" w:rsidR="008F364A" w:rsidRPr="00B120AE" w:rsidRDefault="008F364A">
            <w:pPr>
              <w:pStyle w:val="zSoquijdatDivision"/>
              <w:rPr>
                <w:lang w:val="en-CA"/>
              </w:rPr>
            </w:pPr>
          </w:p>
        </w:tc>
      </w:tr>
      <w:tr w:rsidR="00815D3B" w:rsidRPr="00B120AE" w14:paraId="50852B5A" w14:textId="77777777" w:rsidTr="008D18FC">
        <w:tc>
          <w:tcPr>
            <w:tcW w:w="9360" w:type="dxa"/>
            <w:gridSpan w:val="6"/>
          </w:tcPr>
          <w:p w14:paraId="50852B59" w14:textId="77777777" w:rsidR="008F364A" w:rsidRPr="00B120AE" w:rsidRDefault="001C0031">
            <w:pPr>
              <w:pStyle w:val="zSoquijlblPays"/>
              <w:rPr>
                <w:lang w:val="en-CA"/>
              </w:rPr>
            </w:pPr>
            <w:r w:rsidRPr="00B120AE">
              <w:rPr>
                <w:lang w:val="en-CA"/>
              </w:rPr>
              <w:t>CANADA</w:t>
            </w:r>
          </w:p>
        </w:tc>
      </w:tr>
      <w:tr w:rsidR="00815D3B" w:rsidRPr="00B120AE" w14:paraId="50852B5C" w14:textId="77777777" w:rsidTr="008D18FC">
        <w:tc>
          <w:tcPr>
            <w:tcW w:w="9360" w:type="dxa"/>
            <w:gridSpan w:val="6"/>
          </w:tcPr>
          <w:p w14:paraId="50852B5B" w14:textId="77777777" w:rsidR="008F364A" w:rsidRPr="00B120AE" w:rsidRDefault="001C0031">
            <w:pPr>
              <w:pStyle w:val="zSoquijlblProvince"/>
              <w:rPr>
                <w:lang w:val="en-CA"/>
              </w:rPr>
            </w:pPr>
            <w:r w:rsidRPr="00B120AE">
              <w:rPr>
                <w:lang w:val="en-CA"/>
              </w:rPr>
              <w:t>PROVINCE OF QUEBEC</w:t>
            </w:r>
          </w:p>
        </w:tc>
      </w:tr>
      <w:tr w:rsidR="00815D3B" w:rsidRPr="00B120AE" w14:paraId="50852B60" w14:textId="77777777" w:rsidTr="006B37C1">
        <w:tc>
          <w:tcPr>
            <w:tcW w:w="2552" w:type="dxa"/>
            <w:gridSpan w:val="3"/>
          </w:tcPr>
          <w:p w14:paraId="50852B5D" w14:textId="50A540A8" w:rsidR="008F364A" w:rsidRPr="00B120AE" w:rsidRDefault="006B37C1">
            <w:pPr>
              <w:pStyle w:val="zSoquijlblGreffe"/>
              <w:rPr>
                <w:lang w:val="en-CA"/>
              </w:rPr>
            </w:pPr>
            <w:r w:rsidRPr="006B37C1">
              <w:rPr>
                <w:lang w:val="en-CA"/>
              </w:rPr>
              <w:t>QUEBEC CITY SEAT</w:t>
            </w:r>
          </w:p>
          <w:p w14:paraId="50852B5E" w14:textId="77777777" w:rsidR="008F364A" w:rsidRPr="00B120AE" w:rsidRDefault="008F364A">
            <w:pPr>
              <w:pStyle w:val="zSoquijlblGreffe"/>
              <w:rPr>
                <w:lang w:val="en-CA"/>
              </w:rPr>
            </w:pPr>
          </w:p>
        </w:tc>
        <w:tc>
          <w:tcPr>
            <w:tcW w:w="6808" w:type="dxa"/>
            <w:gridSpan w:val="3"/>
          </w:tcPr>
          <w:p w14:paraId="50852B5F" w14:textId="5F772236" w:rsidR="008F364A" w:rsidRPr="00B120AE" w:rsidRDefault="008F364A" w:rsidP="00AE1B6D">
            <w:pPr>
              <w:pStyle w:val="zSoquijdatGreffe"/>
              <w:ind w:left="-22"/>
              <w:rPr>
                <w:lang w:val="en-CA"/>
              </w:rPr>
            </w:pPr>
          </w:p>
        </w:tc>
      </w:tr>
      <w:tr w:rsidR="00815D3B" w:rsidRPr="00B120AE" w14:paraId="50852B63" w14:textId="77777777" w:rsidTr="008D18FC">
        <w:tc>
          <w:tcPr>
            <w:tcW w:w="1030" w:type="dxa"/>
          </w:tcPr>
          <w:p w14:paraId="50852B61" w14:textId="77777777" w:rsidR="008F364A" w:rsidRPr="00B120AE" w:rsidRDefault="001C0031">
            <w:pPr>
              <w:pStyle w:val="zSoquijlblNoDossier"/>
              <w:rPr>
                <w:lang w:val="en-CA"/>
              </w:rPr>
            </w:pPr>
            <w:r w:rsidRPr="00B120AE">
              <w:rPr>
                <w:lang w:val="en-CA"/>
              </w:rPr>
              <w:t>No.:</w:t>
            </w:r>
          </w:p>
        </w:tc>
        <w:tc>
          <w:tcPr>
            <w:tcW w:w="8330" w:type="dxa"/>
            <w:gridSpan w:val="5"/>
          </w:tcPr>
          <w:p w14:paraId="50852B62" w14:textId="3BA42432" w:rsidR="008F364A" w:rsidRPr="00B120AE" w:rsidRDefault="001C0031">
            <w:pPr>
              <w:pStyle w:val="zSoquijdatNoDossier"/>
              <w:rPr>
                <w:lang w:val="en-CA"/>
              </w:rPr>
            </w:pPr>
            <w:bookmarkStart w:id="0" w:name="NoDossier"/>
            <w:r w:rsidRPr="00B120AE">
              <w:rPr>
                <w:lang w:val="en-CA"/>
              </w:rPr>
              <w:t>200</w:t>
            </w:r>
            <w:r w:rsidR="00720901">
              <w:rPr>
                <w:lang w:val="en-CA"/>
              </w:rPr>
              <w:noBreakHyphen/>
            </w:r>
            <w:r w:rsidRPr="00B120AE">
              <w:rPr>
                <w:lang w:val="en-CA"/>
              </w:rPr>
              <w:t>10</w:t>
            </w:r>
            <w:r w:rsidR="00720901">
              <w:rPr>
                <w:lang w:val="en-CA"/>
              </w:rPr>
              <w:noBreakHyphen/>
            </w:r>
            <w:r w:rsidRPr="00B120AE">
              <w:rPr>
                <w:lang w:val="en-CA"/>
              </w:rPr>
              <w:t>004139</w:t>
            </w:r>
            <w:r w:rsidR="00720901">
              <w:rPr>
                <w:lang w:val="en-CA"/>
              </w:rPr>
              <w:noBreakHyphen/>
            </w:r>
            <w:r w:rsidRPr="00B120AE">
              <w:rPr>
                <w:lang w:val="en-CA"/>
              </w:rPr>
              <w:t>247</w:t>
            </w:r>
            <w:bookmarkEnd w:id="0"/>
          </w:p>
        </w:tc>
      </w:tr>
      <w:tr w:rsidR="00815D3B" w:rsidRPr="00B120AE" w14:paraId="50852B66" w14:textId="77777777" w:rsidTr="008D18FC">
        <w:tc>
          <w:tcPr>
            <w:tcW w:w="9360" w:type="dxa"/>
            <w:gridSpan w:val="6"/>
          </w:tcPr>
          <w:p w14:paraId="50852B64" w14:textId="104959F6" w:rsidR="00256CAA" w:rsidRPr="00B120AE" w:rsidRDefault="001C0031" w:rsidP="00FF5D92">
            <w:pPr>
              <w:pStyle w:val="zSoquijdatNoDossierAnt"/>
              <w:rPr>
                <w:lang w:val="en-CA"/>
              </w:rPr>
            </w:pPr>
            <w:r w:rsidRPr="00B120AE">
              <w:rPr>
                <w:lang w:val="en-CA"/>
              </w:rPr>
              <w:t>(200</w:t>
            </w:r>
            <w:r w:rsidR="00720901">
              <w:rPr>
                <w:lang w:val="en-CA"/>
              </w:rPr>
              <w:noBreakHyphen/>
            </w:r>
            <w:r w:rsidRPr="00B120AE">
              <w:rPr>
                <w:lang w:val="en-CA"/>
              </w:rPr>
              <w:t>36</w:t>
            </w:r>
            <w:r w:rsidR="00720901">
              <w:rPr>
                <w:lang w:val="en-CA"/>
              </w:rPr>
              <w:noBreakHyphen/>
            </w:r>
            <w:r w:rsidRPr="00B120AE">
              <w:rPr>
                <w:lang w:val="en-CA"/>
              </w:rPr>
              <w:t>003116</w:t>
            </w:r>
            <w:r w:rsidR="00720901">
              <w:rPr>
                <w:lang w:val="en-CA"/>
              </w:rPr>
              <w:noBreakHyphen/>
            </w:r>
            <w:r w:rsidRPr="00B120AE">
              <w:rPr>
                <w:lang w:val="en-CA"/>
              </w:rPr>
              <w:t>217) (200</w:t>
            </w:r>
            <w:r w:rsidR="00720901">
              <w:rPr>
                <w:lang w:val="en-CA"/>
              </w:rPr>
              <w:noBreakHyphen/>
            </w:r>
            <w:r w:rsidRPr="00B120AE">
              <w:rPr>
                <w:lang w:val="en-CA"/>
              </w:rPr>
              <w:t>61</w:t>
            </w:r>
            <w:r w:rsidR="00720901">
              <w:rPr>
                <w:lang w:val="en-CA"/>
              </w:rPr>
              <w:noBreakHyphen/>
            </w:r>
            <w:r w:rsidRPr="00B120AE">
              <w:rPr>
                <w:lang w:val="en-CA"/>
              </w:rPr>
              <w:t>218356</w:t>
            </w:r>
            <w:r w:rsidR="00720901">
              <w:rPr>
                <w:lang w:val="en-CA"/>
              </w:rPr>
              <w:noBreakHyphen/>
            </w:r>
            <w:r w:rsidRPr="00B120AE">
              <w:rPr>
                <w:lang w:val="en-CA"/>
              </w:rPr>
              <w:t>184) (200</w:t>
            </w:r>
            <w:r w:rsidR="00720901">
              <w:rPr>
                <w:lang w:val="en-CA"/>
              </w:rPr>
              <w:noBreakHyphen/>
            </w:r>
            <w:r w:rsidRPr="00B120AE">
              <w:rPr>
                <w:lang w:val="en-CA"/>
              </w:rPr>
              <w:t>61</w:t>
            </w:r>
            <w:r w:rsidR="00720901">
              <w:rPr>
                <w:lang w:val="en-CA"/>
              </w:rPr>
              <w:noBreakHyphen/>
            </w:r>
            <w:r w:rsidRPr="00B120AE">
              <w:rPr>
                <w:lang w:val="en-CA"/>
              </w:rPr>
              <w:t>230456</w:t>
            </w:r>
            <w:r w:rsidR="00720901">
              <w:rPr>
                <w:lang w:val="en-CA"/>
              </w:rPr>
              <w:noBreakHyphen/>
            </w:r>
            <w:r w:rsidRPr="00B120AE">
              <w:rPr>
                <w:lang w:val="en-CA"/>
              </w:rPr>
              <w:t xml:space="preserve">194) </w:t>
            </w:r>
          </w:p>
          <w:p w14:paraId="50852B65" w14:textId="49F489DC" w:rsidR="00FF5D92" w:rsidRPr="00B120AE" w:rsidRDefault="001C0031" w:rsidP="00FF5D92">
            <w:pPr>
              <w:pStyle w:val="zSoquijdatNoDossierAnt"/>
              <w:rPr>
                <w:lang w:val="en-CA"/>
              </w:rPr>
            </w:pPr>
            <w:r w:rsidRPr="00B120AE">
              <w:rPr>
                <w:lang w:val="en-CA"/>
              </w:rPr>
              <w:t>(200</w:t>
            </w:r>
            <w:r w:rsidR="00720901">
              <w:rPr>
                <w:lang w:val="en-CA"/>
              </w:rPr>
              <w:noBreakHyphen/>
            </w:r>
            <w:r w:rsidRPr="00B120AE">
              <w:rPr>
                <w:lang w:val="en-CA"/>
              </w:rPr>
              <w:t>61</w:t>
            </w:r>
            <w:r w:rsidR="00720901">
              <w:rPr>
                <w:lang w:val="en-CA"/>
              </w:rPr>
              <w:noBreakHyphen/>
            </w:r>
            <w:r w:rsidRPr="00B120AE">
              <w:rPr>
                <w:lang w:val="en-CA"/>
              </w:rPr>
              <w:t>232730</w:t>
            </w:r>
            <w:r w:rsidR="00720901">
              <w:rPr>
                <w:lang w:val="en-CA"/>
              </w:rPr>
              <w:noBreakHyphen/>
            </w:r>
            <w:r w:rsidRPr="00B120AE">
              <w:rPr>
                <w:lang w:val="en-CA"/>
              </w:rPr>
              <w:t>190)</w:t>
            </w:r>
          </w:p>
        </w:tc>
      </w:tr>
      <w:tr w:rsidR="00815D3B" w:rsidRPr="00B120AE" w14:paraId="50852B68" w14:textId="77777777" w:rsidTr="008D18FC">
        <w:tc>
          <w:tcPr>
            <w:tcW w:w="9360" w:type="dxa"/>
            <w:gridSpan w:val="6"/>
          </w:tcPr>
          <w:p w14:paraId="50852B67" w14:textId="77777777" w:rsidR="008F364A" w:rsidRPr="00B120AE" w:rsidRDefault="008F364A">
            <w:pPr>
              <w:rPr>
                <w:lang w:val="en-CA"/>
              </w:rPr>
            </w:pPr>
          </w:p>
        </w:tc>
      </w:tr>
      <w:tr w:rsidR="00815D3B" w:rsidRPr="00B120AE" w14:paraId="50852B6B" w14:textId="77777777" w:rsidTr="008D18FC">
        <w:tc>
          <w:tcPr>
            <w:tcW w:w="1030" w:type="dxa"/>
          </w:tcPr>
          <w:p w14:paraId="50852B69" w14:textId="77777777" w:rsidR="008F364A" w:rsidRPr="00B120AE" w:rsidRDefault="001C0031">
            <w:pPr>
              <w:pStyle w:val="zSoquijlblDateJugement"/>
              <w:rPr>
                <w:lang w:val="en-CA"/>
              </w:rPr>
            </w:pPr>
            <w:r w:rsidRPr="00B120AE">
              <w:rPr>
                <w:lang w:val="en-CA"/>
              </w:rPr>
              <w:t>DATE:</w:t>
            </w:r>
          </w:p>
        </w:tc>
        <w:tc>
          <w:tcPr>
            <w:tcW w:w="8330" w:type="dxa"/>
            <w:gridSpan w:val="5"/>
          </w:tcPr>
          <w:p w14:paraId="50852B6A" w14:textId="77777777" w:rsidR="008F364A" w:rsidRPr="00B120AE" w:rsidRDefault="001C0031">
            <w:pPr>
              <w:pStyle w:val="zSoquijdatDateJugement"/>
              <w:rPr>
                <w:lang w:val="en-CA"/>
              </w:rPr>
            </w:pPr>
            <w:r w:rsidRPr="00B120AE">
              <w:rPr>
                <w:lang w:val="en-CA"/>
              </w:rPr>
              <w:t>April 22, 2026</w:t>
            </w:r>
          </w:p>
        </w:tc>
      </w:tr>
      <w:tr w:rsidR="00815D3B" w:rsidRPr="00B120AE" w14:paraId="50852B6D" w14:textId="77777777" w:rsidTr="008D18FC">
        <w:tc>
          <w:tcPr>
            <w:tcW w:w="9360" w:type="dxa"/>
            <w:gridSpan w:val="6"/>
            <w:tcBorders>
              <w:bottom w:val="single" w:sz="8" w:space="0" w:color="auto"/>
            </w:tcBorders>
          </w:tcPr>
          <w:p w14:paraId="50852B6C" w14:textId="77777777" w:rsidR="008F364A" w:rsidRPr="00B120AE" w:rsidRDefault="008F364A">
            <w:pPr>
              <w:rPr>
                <w:lang w:val="en-CA"/>
              </w:rPr>
            </w:pPr>
          </w:p>
        </w:tc>
      </w:tr>
      <w:tr w:rsidR="00815D3B" w:rsidRPr="00B120AE" w14:paraId="50852B6F" w14:textId="77777777" w:rsidTr="008D18FC">
        <w:tc>
          <w:tcPr>
            <w:tcW w:w="9360" w:type="dxa"/>
            <w:gridSpan w:val="6"/>
            <w:tcBorders>
              <w:top w:val="single" w:sz="8" w:space="0" w:color="auto"/>
            </w:tcBorders>
          </w:tcPr>
          <w:p w14:paraId="50852B6E" w14:textId="77777777" w:rsidR="008F364A" w:rsidRPr="00B120AE" w:rsidRDefault="008F364A">
            <w:pPr>
              <w:rPr>
                <w:lang w:val="en-CA"/>
              </w:rPr>
            </w:pPr>
          </w:p>
        </w:tc>
      </w:tr>
      <w:tr w:rsidR="00815D3B" w:rsidRPr="00B120AE" w14:paraId="50852B75" w14:textId="77777777" w:rsidTr="009D7057">
        <w:tc>
          <w:tcPr>
            <w:tcW w:w="1418" w:type="dxa"/>
            <w:gridSpan w:val="2"/>
          </w:tcPr>
          <w:p w14:paraId="50852B70" w14:textId="77777777" w:rsidR="008F364A" w:rsidRPr="00B120AE" w:rsidRDefault="001C0031" w:rsidP="00423DF1">
            <w:pPr>
              <w:pStyle w:val="zSoquijlblJuge"/>
              <w:ind w:right="-142"/>
              <w:rPr>
                <w:lang w:val="en-CA"/>
              </w:rPr>
            </w:pPr>
            <w:bookmarkStart w:id="1" w:name="FORMATION"/>
            <w:r w:rsidRPr="00B120AE">
              <w:rPr>
                <w:bCs/>
                <w:lang w:val="en-CA"/>
              </w:rPr>
              <w:t>CORAM:</w:t>
            </w:r>
            <w:bookmarkEnd w:id="1"/>
          </w:p>
        </w:tc>
        <w:tc>
          <w:tcPr>
            <w:tcW w:w="2552" w:type="dxa"/>
            <w:gridSpan w:val="2"/>
          </w:tcPr>
          <w:p w14:paraId="50852B71" w14:textId="77777777" w:rsidR="008F364A" w:rsidRPr="00B120AE" w:rsidRDefault="001C0031">
            <w:pPr>
              <w:pStyle w:val="zSoquijdatQteJuge"/>
              <w:rPr>
                <w:lang w:val="en-CA"/>
              </w:rPr>
            </w:pPr>
            <w:bookmarkStart w:id="2" w:name="Honorables"/>
            <w:r w:rsidRPr="00B120AE">
              <w:rPr>
                <w:bCs/>
                <w:lang w:val="en-CA"/>
              </w:rPr>
              <w:t>THE HONOURABLE</w:t>
            </w:r>
            <w:bookmarkEnd w:id="2"/>
          </w:p>
        </w:tc>
        <w:tc>
          <w:tcPr>
            <w:tcW w:w="5390" w:type="dxa"/>
            <w:gridSpan w:val="2"/>
          </w:tcPr>
          <w:p w14:paraId="50852B72" w14:textId="77777777" w:rsidR="008F364A" w:rsidRPr="00116DBB" w:rsidRDefault="001C0031">
            <w:pPr>
              <w:pStyle w:val="zSoquijdatJuge"/>
            </w:pPr>
            <w:bookmarkStart w:id="3" w:name="NomJuge1"/>
            <w:r w:rsidRPr="00116DBB">
              <w:rPr>
                <w:bCs/>
              </w:rPr>
              <w:t>JULIE DUTIL, J.A.</w:t>
            </w:r>
            <w:bookmarkEnd w:id="3"/>
          </w:p>
          <w:p w14:paraId="50852B73" w14:textId="77777777" w:rsidR="008F364A" w:rsidRPr="00116DBB" w:rsidRDefault="001C0031">
            <w:pPr>
              <w:pStyle w:val="zSoquijdatJuge"/>
            </w:pPr>
            <w:bookmarkStart w:id="4" w:name="NomJuge2"/>
            <w:r w:rsidRPr="00116DBB">
              <w:rPr>
                <w:bCs/>
              </w:rPr>
              <w:t>SOPHIE LAVALLÉE, J.A.</w:t>
            </w:r>
            <w:bookmarkEnd w:id="4"/>
          </w:p>
          <w:p w14:paraId="50852B74" w14:textId="77777777" w:rsidR="005A78BF" w:rsidRPr="00B120AE" w:rsidRDefault="001C0031" w:rsidP="00FF5D92">
            <w:pPr>
              <w:pStyle w:val="zSoquijdatJuge"/>
              <w:rPr>
                <w:lang w:val="en-CA"/>
              </w:rPr>
            </w:pPr>
            <w:bookmarkStart w:id="5" w:name="_Hlt520513784"/>
            <w:bookmarkStart w:id="6" w:name="NomJuge3"/>
            <w:bookmarkEnd w:id="5"/>
            <w:r w:rsidRPr="00B120AE">
              <w:rPr>
                <w:bCs/>
                <w:lang w:val="en-CA"/>
              </w:rPr>
              <w:t>JUDITH HARVIE, J.A.</w:t>
            </w:r>
            <w:bookmarkEnd w:id="6"/>
          </w:p>
        </w:tc>
      </w:tr>
      <w:tr w:rsidR="00815D3B" w:rsidRPr="00B120AE" w14:paraId="50852B77" w14:textId="77777777" w:rsidTr="008D18FC">
        <w:tc>
          <w:tcPr>
            <w:tcW w:w="9360" w:type="dxa"/>
            <w:gridSpan w:val="6"/>
            <w:tcBorders>
              <w:bottom w:val="single" w:sz="8" w:space="0" w:color="auto"/>
            </w:tcBorders>
          </w:tcPr>
          <w:p w14:paraId="50852B76" w14:textId="77777777" w:rsidR="008F364A" w:rsidRPr="00B120AE" w:rsidRDefault="008F364A">
            <w:pPr>
              <w:rPr>
                <w:lang w:val="en-CA"/>
              </w:rPr>
            </w:pPr>
          </w:p>
        </w:tc>
      </w:tr>
      <w:tr w:rsidR="00815D3B" w:rsidRPr="00B120AE" w14:paraId="50852B79" w14:textId="77777777" w:rsidTr="008D18FC">
        <w:tc>
          <w:tcPr>
            <w:tcW w:w="9360" w:type="dxa"/>
            <w:gridSpan w:val="6"/>
          </w:tcPr>
          <w:p w14:paraId="50852B78" w14:textId="77777777" w:rsidR="008F364A" w:rsidRPr="00B120AE" w:rsidRDefault="008F364A">
            <w:pPr>
              <w:pStyle w:val="zSoquijlblTitrePartie"/>
              <w:rPr>
                <w:lang w:val="en-CA"/>
              </w:rPr>
            </w:pPr>
          </w:p>
        </w:tc>
      </w:tr>
      <w:tr w:rsidR="00815D3B" w:rsidRPr="00B120AE" w14:paraId="50852B7B" w14:textId="77777777" w:rsidTr="008D18FC">
        <w:tc>
          <w:tcPr>
            <w:tcW w:w="9360" w:type="dxa"/>
            <w:gridSpan w:val="6"/>
          </w:tcPr>
          <w:p w14:paraId="50852B7A" w14:textId="77777777" w:rsidR="008F364A" w:rsidRPr="00B120AE" w:rsidRDefault="001C0031">
            <w:pPr>
              <w:pStyle w:val="zSoquijdatNomPartieDem"/>
              <w:rPr>
                <w:lang w:val="en-CA"/>
              </w:rPr>
            </w:pPr>
            <w:r w:rsidRPr="00B120AE">
              <w:rPr>
                <w:lang w:val="en-CA"/>
              </w:rPr>
              <w:t>ATTORNEY GENERAL OF QUEBEC</w:t>
            </w:r>
          </w:p>
        </w:tc>
      </w:tr>
      <w:tr w:rsidR="00815D3B" w:rsidRPr="00B120AE" w14:paraId="50852B7D" w14:textId="77777777" w:rsidTr="008D18FC">
        <w:tc>
          <w:tcPr>
            <w:tcW w:w="9360" w:type="dxa"/>
            <w:gridSpan w:val="6"/>
          </w:tcPr>
          <w:p w14:paraId="50852B7C" w14:textId="77777777" w:rsidR="008F364A" w:rsidRPr="00B120AE" w:rsidRDefault="001C0031">
            <w:pPr>
              <w:pStyle w:val="zSoquijdatQtePartieDem"/>
              <w:rPr>
                <w:lang w:val="en-CA"/>
              </w:rPr>
            </w:pPr>
            <w:r w:rsidRPr="00B120AE">
              <w:rPr>
                <w:lang w:val="en-CA"/>
              </w:rPr>
              <w:t>APPELLANT – Intervenor</w:t>
            </w:r>
          </w:p>
        </w:tc>
      </w:tr>
      <w:tr w:rsidR="00815D3B" w:rsidRPr="00B120AE" w14:paraId="50852B7F" w14:textId="77777777" w:rsidTr="008D18FC">
        <w:tc>
          <w:tcPr>
            <w:tcW w:w="9360" w:type="dxa"/>
            <w:gridSpan w:val="6"/>
          </w:tcPr>
          <w:p w14:paraId="50852B7E" w14:textId="77777777" w:rsidR="008F364A" w:rsidRPr="00B120AE" w:rsidRDefault="001C0031">
            <w:pPr>
              <w:pStyle w:val="zSoquijlblLienParties"/>
              <w:rPr>
                <w:lang w:val="en-CA"/>
              </w:rPr>
            </w:pPr>
            <w:r w:rsidRPr="00B120AE">
              <w:rPr>
                <w:lang w:val="en-CA"/>
              </w:rPr>
              <w:t>v.</w:t>
            </w:r>
          </w:p>
        </w:tc>
      </w:tr>
      <w:tr w:rsidR="00815D3B" w:rsidRPr="00B120AE" w14:paraId="50852B81" w14:textId="77777777" w:rsidTr="008D18FC">
        <w:tc>
          <w:tcPr>
            <w:tcW w:w="9360" w:type="dxa"/>
            <w:gridSpan w:val="6"/>
          </w:tcPr>
          <w:p w14:paraId="50852B80" w14:textId="77777777" w:rsidR="008F364A" w:rsidRPr="00B120AE" w:rsidRDefault="008F364A">
            <w:pPr>
              <w:rPr>
                <w:lang w:val="en-CA"/>
              </w:rPr>
            </w:pPr>
          </w:p>
        </w:tc>
      </w:tr>
      <w:tr w:rsidR="00815D3B" w:rsidRPr="00B120AE" w14:paraId="50852B83" w14:textId="77777777" w:rsidTr="008D18FC">
        <w:tc>
          <w:tcPr>
            <w:tcW w:w="9360" w:type="dxa"/>
            <w:gridSpan w:val="6"/>
          </w:tcPr>
          <w:p w14:paraId="50852B82" w14:textId="77777777" w:rsidR="008F364A" w:rsidRPr="00116DBB" w:rsidRDefault="001C0031">
            <w:pPr>
              <w:pStyle w:val="zSoquijdatNomPartieDef"/>
            </w:pPr>
            <w:r w:rsidRPr="00116DBB">
              <w:t>LE THÉÂTRE DU TRIDENT INC.</w:t>
            </w:r>
          </w:p>
        </w:tc>
      </w:tr>
      <w:tr w:rsidR="00815D3B" w:rsidRPr="00B120AE" w14:paraId="50852B85" w14:textId="77777777" w:rsidTr="008D18FC">
        <w:tc>
          <w:tcPr>
            <w:tcW w:w="9360" w:type="dxa"/>
            <w:gridSpan w:val="6"/>
          </w:tcPr>
          <w:p w14:paraId="50852B84" w14:textId="77777777" w:rsidR="00FF5D92" w:rsidRPr="00116DBB" w:rsidRDefault="001C0031">
            <w:pPr>
              <w:pStyle w:val="zSoquijdatNomPartieDef"/>
            </w:pPr>
            <w:r w:rsidRPr="00116DBB">
              <w:t>LE THÉÂTRE DE LA BORDÉE INC.</w:t>
            </w:r>
          </w:p>
        </w:tc>
      </w:tr>
      <w:tr w:rsidR="00815D3B" w:rsidRPr="00B120AE" w14:paraId="50852B87" w14:textId="77777777" w:rsidTr="008D18FC">
        <w:tc>
          <w:tcPr>
            <w:tcW w:w="9360" w:type="dxa"/>
            <w:gridSpan w:val="6"/>
          </w:tcPr>
          <w:p w14:paraId="50852B86" w14:textId="77777777" w:rsidR="00FF5D92" w:rsidRPr="00B120AE" w:rsidRDefault="001C0031">
            <w:pPr>
              <w:pStyle w:val="zSoquijdatNomPartieDef"/>
              <w:rPr>
                <w:lang w:val="en-CA"/>
              </w:rPr>
            </w:pPr>
            <w:r w:rsidRPr="00B120AE">
              <w:rPr>
                <w:lang w:val="en-CA"/>
              </w:rPr>
              <w:t>PREMIER ACTE INC.</w:t>
            </w:r>
          </w:p>
        </w:tc>
      </w:tr>
      <w:tr w:rsidR="00815D3B" w:rsidRPr="00B120AE" w14:paraId="50852B89" w14:textId="77777777" w:rsidTr="008D18FC">
        <w:tc>
          <w:tcPr>
            <w:tcW w:w="9360" w:type="dxa"/>
            <w:gridSpan w:val="6"/>
          </w:tcPr>
          <w:p w14:paraId="50852B88" w14:textId="77777777" w:rsidR="008F364A" w:rsidRPr="00B120AE" w:rsidRDefault="001C0031">
            <w:pPr>
              <w:pStyle w:val="zSoquijdatQtePartieDef"/>
              <w:rPr>
                <w:lang w:val="en-CA"/>
              </w:rPr>
            </w:pPr>
            <w:r w:rsidRPr="00B120AE">
              <w:rPr>
                <w:lang w:val="en-CA"/>
              </w:rPr>
              <w:t>RESPONDENTS – Accused Persons</w:t>
            </w:r>
          </w:p>
        </w:tc>
      </w:tr>
      <w:tr w:rsidR="00815D3B" w:rsidRPr="00B120AE" w14:paraId="50852B8B" w14:textId="77777777" w:rsidTr="008D18FC">
        <w:tc>
          <w:tcPr>
            <w:tcW w:w="9360" w:type="dxa"/>
            <w:gridSpan w:val="6"/>
          </w:tcPr>
          <w:p w14:paraId="50852B8A" w14:textId="77777777" w:rsidR="00FF5D92" w:rsidRPr="00B120AE" w:rsidRDefault="001C0031" w:rsidP="00FF5D92">
            <w:pPr>
              <w:rPr>
                <w:lang w:val="en-CA"/>
              </w:rPr>
            </w:pPr>
            <w:r w:rsidRPr="00B120AE">
              <w:rPr>
                <w:lang w:val="en-CA"/>
              </w:rPr>
              <w:t>and</w:t>
            </w:r>
          </w:p>
        </w:tc>
      </w:tr>
      <w:tr w:rsidR="00815D3B" w:rsidRPr="00820DA0" w14:paraId="50852B8D" w14:textId="77777777" w:rsidTr="008D18FC">
        <w:tc>
          <w:tcPr>
            <w:tcW w:w="9360" w:type="dxa"/>
            <w:gridSpan w:val="6"/>
          </w:tcPr>
          <w:p w14:paraId="50852B8C" w14:textId="77777777" w:rsidR="00FF5D92" w:rsidRPr="00B120AE" w:rsidRDefault="001C0031" w:rsidP="00FF5D92">
            <w:pPr>
              <w:pStyle w:val="zSoquijdatNomPartieDef"/>
              <w:rPr>
                <w:lang w:val="en-CA"/>
              </w:rPr>
            </w:pPr>
            <w:r w:rsidRPr="00B120AE">
              <w:rPr>
                <w:lang w:val="en-CA"/>
              </w:rPr>
              <w:t>DIRECTOR OF CRIMINAL AND PENAL PROSECUTIONS</w:t>
            </w:r>
          </w:p>
        </w:tc>
      </w:tr>
      <w:tr w:rsidR="00815D3B" w:rsidRPr="00B120AE" w14:paraId="50852B8F" w14:textId="77777777" w:rsidTr="008D18FC">
        <w:tc>
          <w:tcPr>
            <w:tcW w:w="9360" w:type="dxa"/>
            <w:gridSpan w:val="6"/>
          </w:tcPr>
          <w:p w14:paraId="50852B8E" w14:textId="77777777" w:rsidR="00FF5D92" w:rsidRPr="00B120AE" w:rsidRDefault="001C0031" w:rsidP="00FF5D92">
            <w:pPr>
              <w:pStyle w:val="zSoquijdatQtePartieDef"/>
              <w:rPr>
                <w:lang w:val="en-CA"/>
              </w:rPr>
            </w:pPr>
            <w:r w:rsidRPr="00B120AE">
              <w:rPr>
                <w:lang w:val="en-CA"/>
              </w:rPr>
              <w:t>IMPLEADED PARTY – Prosecutor</w:t>
            </w:r>
          </w:p>
        </w:tc>
      </w:tr>
      <w:tr w:rsidR="00815D3B" w:rsidRPr="00B120AE" w14:paraId="50852B91" w14:textId="77777777" w:rsidTr="008D18FC">
        <w:tc>
          <w:tcPr>
            <w:tcW w:w="9360" w:type="dxa"/>
            <w:gridSpan w:val="6"/>
          </w:tcPr>
          <w:p w14:paraId="50852B90" w14:textId="77777777" w:rsidR="008F364A" w:rsidRPr="00B120AE" w:rsidRDefault="008F364A">
            <w:pPr>
              <w:rPr>
                <w:lang w:val="en-CA"/>
              </w:rPr>
            </w:pPr>
          </w:p>
        </w:tc>
      </w:tr>
      <w:tr w:rsidR="00815D3B" w:rsidRPr="00B120AE" w14:paraId="50852B93" w14:textId="77777777" w:rsidTr="008D18FC">
        <w:tc>
          <w:tcPr>
            <w:tcW w:w="9360" w:type="dxa"/>
            <w:gridSpan w:val="6"/>
            <w:tcBorders>
              <w:top w:val="single" w:sz="8" w:space="0" w:color="auto"/>
            </w:tcBorders>
          </w:tcPr>
          <w:p w14:paraId="50852B92" w14:textId="77777777" w:rsidR="008F364A" w:rsidRPr="00B120AE" w:rsidRDefault="008F364A">
            <w:pPr>
              <w:rPr>
                <w:lang w:val="en-CA"/>
              </w:rPr>
            </w:pPr>
            <w:bookmarkStart w:id="7" w:name="Arret"/>
          </w:p>
        </w:tc>
      </w:tr>
      <w:tr w:rsidR="00815D3B" w:rsidRPr="00B120AE" w14:paraId="50852B95" w14:textId="77777777" w:rsidTr="008D18FC">
        <w:tc>
          <w:tcPr>
            <w:tcW w:w="9360" w:type="dxa"/>
            <w:gridSpan w:val="6"/>
          </w:tcPr>
          <w:p w14:paraId="50852B94" w14:textId="77777777" w:rsidR="008F364A" w:rsidRPr="00B120AE" w:rsidRDefault="001C0031">
            <w:pPr>
              <w:pStyle w:val="zSoquijlblTypeDocument"/>
              <w:rPr>
                <w:lang w:val="en-CA"/>
              </w:rPr>
            </w:pPr>
            <w:bookmarkStart w:id="8" w:name="TitreDocument"/>
            <w:r w:rsidRPr="00B120AE">
              <w:rPr>
                <w:lang w:val="en-CA"/>
              </w:rPr>
              <w:t>JUDGMENT</w:t>
            </w:r>
            <w:bookmarkEnd w:id="8"/>
          </w:p>
        </w:tc>
      </w:tr>
      <w:tr w:rsidR="00815D3B" w:rsidRPr="00B120AE" w14:paraId="50852B97" w14:textId="77777777" w:rsidTr="008D18FC">
        <w:tc>
          <w:tcPr>
            <w:tcW w:w="9360" w:type="dxa"/>
            <w:gridSpan w:val="6"/>
            <w:tcBorders>
              <w:bottom w:val="single" w:sz="8" w:space="0" w:color="auto"/>
            </w:tcBorders>
          </w:tcPr>
          <w:p w14:paraId="50852B96" w14:textId="77777777" w:rsidR="008F364A" w:rsidRPr="00B120AE" w:rsidRDefault="008F364A">
            <w:pPr>
              <w:rPr>
                <w:lang w:val="en-CA"/>
              </w:rPr>
            </w:pPr>
          </w:p>
        </w:tc>
      </w:tr>
      <w:tr w:rsidR="00815D3B" w:rsidRPr="00B120AE" w14:paraId="50852B99" w14:textId="77777777" w:rsidTr="008D18FC">
        <w:tc>
          <w:tcPr>
            <w:tcW w:w="9360" w:type="dxa"/>
            <w:gridSpan w:val="6"/>
            <w:tcBorders>
              <w:top w:val="single" w:sz="8" w:space="0" w:color="auto"/>
            </w:tcBorders>
          </w:tcPr>
          <w:p w14:paraId="50852B98" w14:textId="77777777" w:rsidR="008F364A" w:rsidRPr="00B120AE" w:rsidRDefault="008F364A">
            <w:pPr>
              <w:rPr>
                <w:lang w:val="en-CA"/>
              </w:rPr>
            </w:pPr>
          </w:p>
        </w:tc>
      </w:tr>
    </w:tbl>
    <w:p w14:paraId="50852B9A" w14:textId="3EE71127" w:rsidR="00B417FE" w:rsidRPr="00B120AE" w:rsidRDefault="001C0031" w:rsidP="00846DE8">
      <w:pPr>
        <w:pStyle w:val="Paragraphe"/>
        <w:spacing w:line="240" w:lineRule="auto"/>
        <w:rPr>
          <w:lang w:val="en-CA"/>
        </w:rPr>
      </w:pPr>
      <w:r w:rsidRPr="00B120AE">
        <w:rPr>
          <w:lang w:val="en-CA"/>
        </w:rPr>
        <w:t>The appellant, the Attorney General of Quebec, appeals against a judgment rendered on May</w:t>
      </w:r>
      <w:r w:rsidR="006F7B90">
        <w:rPr>
          <w:lang w:val="en-CA"/>
        </w:rPr>
        <w:t> </w:t>
      </w:r>
      <w:r w:rsidRPr="00B120AE">
        <w:rPr>
          <w:lang w:val="en-CA"/>
        </w:rPr>
        <w:t>29,</w:t>
      </w:r>
      <w:r w:rsidR="006F7B90">
        <w:rPr>
          <w:lang w:val="en-CA"/>
        </w:rPr>
        <w:t> </w:t>
      </w:r>
      <w:r w:rsidRPr="00B120AE">
        <w:rPr>
          <w:lang w:val="en-CA"/>
        </w:rPr>
        <w:t>2024, by the Superior Court (the Honourable Jean</w:t>
      </w:r>
      <w:r w:rsidR="00720901">
        <w:rPr>
          <w:lang w:val="en-CA"/>
        </w:rPr>
        <w:noBreakHyphen/>
      </w:r>
      <w:r w:rsidRPr="00B120AE">
        <w:rPr>
          <w:lang w:val="en-CA"/>
        </w:rPr>
        <w:t xml:space="preserve">François Émond), which declared the words </w:t>
      </w:r>
      <w:r w:rsidR="00282C6C">
        <w:rPr>
          <w:lang w:val="en-CA"/>
        </w:rPr>
        <w:t>“</w:t>
      </w:r>
      <w:r w:rsidRPr="00B120AE">
        <w:rPr>
          <w:lang w:val="en-CA"/>
        </w:rPr>
        <w:t>cultural or artistic</w:t>
      </w:r>
      <w:r w:rsidR="00282C6C">
        <w:rPr>
          <w:lang w:val="en-CA"/>
        </w:rPr>
        <w:t>”</w:t>
      </w:r>
      <w:r w:rsidRPr="00B120AE">
        <w:rPr>
          <w:lang w:val="en-CA"/>
        </w:rPr>
        <w:t xml:space="preserve"> set out in </w:t>
      </w:r>
      <w:r w:rsidR="008742D0">
        <w:rPr>
          <w:lang w:val="en-CA"/>
        </w:rPr>
        <w:t>s. 2</w:t>
      </w:r>
      <w:r w:rsidR="006F7B90">
        <w:rPr>
          <w:lang w:val="en-CA"/>
        </w:rPr>
        <w:t> </w:t>
      </w:r>
      <w:r w:rsidRPr="00B120AE">
        <w:rPr>
          <w:lang w:val="en-CA"/>
        </w:rPr>
        <w:t>par</w:t>
      </w:r>
      <w:r w:rsidR="008742D0">
        <w:rPr>
          <w:lang w:val="en-CA"/>
        </w:rPr>
        <w:t>a. 1</w:t>
      </w:r>
      <w:r w:rsidRPr="00B120AE">
        <w:rPr>
          <w:lang w:val="en-CA"/>
        </w:rPr>
        <w:t>(5) of the </w:t>
      </w:r>
      <w:r w:rsidRPr="00B120AE">
        <w:rPr>
          <w:i/>
          <w:iCs/>
          <w:lang w:val="en-CA"/>
        </w:rPr>
        <w:t>Tobacco Control Act</w:t>
      </w:r>
      <w:r w:rsidRPr="00B120AE">
        <w:rPr>
          <w:lang w:val="en-CA"/>
        </w:rPr>
        <w:t>, CQLR, c.</w:t>
      </w:r>
      <w:r w:rsidR="006F7B90">
        <w:rPr>
          <w:lang w:val="en-CA"/>
        </w:rPr>
        <w:t> </w:t>
      </w:r>
      <w:r w:rsidRPr="00B120AE">
        <w:rPr>
          <w:lang w:val="en-CA"/>
        </w:rPr>
        <w:t>L</w:t>
      </w:r>
      <w:r w:rsidR="00720901">
        <w:rPr>
          <w:lang w:val="en-CA"/>
        </w:rPr>
        <w:noBreakHyphen/>
      </w:r>
      <w:r w:rsidRPr="00B120AE">
        <w:rPr>
          <w:lang w:val="en-CA"/>
        </w:rPr>
        <w:t xml:space="preserve">6.2, as well as </w:t>
      </w:r>
      <w:r w:rsidR="008742D0">
        <w:rPr>
          <w:lang w:val="en-CA"/>
        </w:rPr>
        <w:t>s. 1</w:t>
      </w:r>
      <w:r w:rsidRPr="00B120AE">
        <w:rPr>
          <w:lang w:val="en-CA"/>
        </w:rPr>
        <w:t xml:space="preserve"> of the </w:t>
      </w:r>
      <w:r w:rsidRPr="00B120AE">
        <w:rPr>
          <w:i/>
          <w:iCs/>
          <w:lang w:val="en-CA"/>
        </w:rPr>
        <w:t>Regulation under the Tobacco Control Act</w:t>
      </w:r>
      <w:r w:rsidRPr="00B120AE">
        <w:rPr>
          <w:lang w:val="en-CA"/>
        </w:rPr>
        <w:t>, CQLR, c.</w:t>
      </w:r>
      <w:r w:rsidR="006F7B90">
        <w:rPr>
          <w:lang w:val="en-CA"/>
        </w:rPr>
        <w:t> </w:t>
      </w:r>
      <w:r w:rsidRPr="00B120AE">
        <w:rPr>
          <w:lang w:val="en-CA"/>
        </w:rPr>
        <w:t>L</w:t>
      </w:r>
      <w:r w:rsidR="00720901">
        <w:rPr>
          <w:lang w:val="en-CA"/>
        </w:rPr>
        <w:noBreakHyphen/>
      </w:r>
      <w:r w:rsidRPr="00B120AE">
        <w:rPr>
          <w:lang w:val="en-CA"/>
        </w:rPr>
        <w:t>6.2, r.</w:t>
      </w:r>
      <w:r w:rsidR="006F7B90">
        <w:rPr>
          <w:lang w:val="en-CA"/>
        </w:rPr>
        <w:t> </w:t>
      </w:r>
      <w:r w:rsidRPr="00B120AE">
        <w:rPr>
          <w:lang w:val="en-CA"/>
        </w:rPr>
        <w:t xml:space="preserve">1, to be invalid and of no force or effect, </w:t>
      </w:r>
      <w:r w:rsidRPr="00B120AE">
        <w:rPr>
          <w:lang w:val="en-CA"/>
        </w:rPr>
        <w:lastRenderedPageBreak/>
        <w:t>suspended the declaration of invalidity for a period of one year and acquitted the respondents.</w:t>
      </w:r>
    </w:p>
    <w:p w14:paraId="50852B9B" w14:textId="77777777" w:rsidR="00B417FE" w:rsidRPr="00B120AE" w:rsidRDefault="001C0031" w:rsidP="00846DE8">
      <w:pPr>
        <w:pStyle w:val="Paragraphe"/>
        <w:spacing w:line="240" w:lineRule="auto"/>
        <w:rPr>
          <w:lang w:val="en-CA"/>
        </w:rPr>
      </w:pPr>
      <w:r w:rsidRPr="00B120AE">
        <w:rPr>
          <w:lang w:val="en-CA"/>
        </w:rPr>
        <w:t xml:space="preserve">For the reasons of Harvie, J.A., with which Dutil and Lavallée, JJ.A. agree, </w:t>
      </w:r>
      <w:r w:rsidRPr="00B120AE">
        <w:rPr>
          <w:b/>
          <w:bCs/>
          <w:lang w:val="en-CA"/>
        </w:rPr>
        <w:t>THE COURT</w:t>
      </w:r>
      <w:r w:rsidRPr="00B120AE">
        <w:rPr>
          <w:lang w:val="en-CA"/>
        </w:rPr>
        <w:t xml:space="preserve">: </w:t>
      </w:r>
    </w:p>
    <w:p w14:paraId="50852B9C" w14:textId="77777777" w:rsidR="00B417FE" w:rsidRPr="00B120AE" w:rsidRDefault="001C0031" w:rsidP="00846DE8">
      <w:pPr>
        <w:pStyle w:val="Paragraphe"/>
        <w:spacing w:line="240" w:lineRule="auto"/>
        <w:rPr>
          <w:lang w:val="en-CA"/>
        </w:rPr>
      </w:pPr>
      <w:r w:rsidRPr="00B120AE">
        <w:rPr>
          <w:b/>
          <w:bCs/>
          <w:lang w:val="en-CA"/>
        </w:rPr>
        <w:t>ALLOWS</w:t>
      </w:r>
      <w:r w:rsidRPr="00B120AE">
        <w:rPr>
          <w:lang w:val="en-CA"/>
        </w:rPr>
        <w:t xml:space="preserve"> the appeal in part, with legal costs in favour of the respondents, Théâtre du Trident inc., Théâtre de la </w:t>
      </w:r>
      <w:proofErr w:type="spellStart"/>
      <w:r w:rsidRPr="00B120AE">
        <w:rPr>
          <w:lang w:val="en-CA"/>
        </w:rPr>
        <w:t>Bordée</w:t>
      </w:r>
      <w:proofErr w:type="spellEnd"/>
      <w:r w:rsidRPr="00B120AE">
        <w:rPr>
          <w:lang w:val="en-CA"/>
        </w:rPr>
        <w:t xml:space="preserve"> inc. and Premier </w:t>
      </w:r>
      <w:proofErr w:type="spellStart"/>
      <w:r w:rsidRPr="00B120AE">
        <w:rPr>
          <w:lang w:val="en-CA"/>
        </w:rPr>
        <w:t>Acte</w:t>
      </w:r>
      <w:proofErr w:type="spellEnd"/>
      <w:r w:rsidRPr="00B120AE">
        <w:rPr>
          <w:lang w:val="en-CA"/>
        </w:rPr>
        <w:t xml:space="preserve"> inc., given the </w:t>
      </w:r>
      <w:proofErr w:type="gramStart"/>
      <w:r w:rsidRPr="00B120AE">
        <w:rPr>
          <w:lang w:val="en-CA"/>
        </w:rPr>
        <w:t>outcome;</w:t>
      </w:r>
      <w:proofErr w:type="gramEnd"/>
      <w:r w:rsidRPr="00B120AE">
        <w:rPr>
          <w:lang w:val="en-CA"/>
        </w:rPr>
        <w:t xml:space="preserve"> </w:t>
      </w:r>
    </w:p>
    <w:p w14:paraId="50852B9D" w14:textId="03F284C9" w:rsidR="00E91F2A" w:rsidRPr="00B120AE" w:rsidRDefault="001C0031" w:rsidP="00846DE8">
      <w:pPr>
        <w:pStyle w:val="Paragraphe"/>
        <w:spacing w:line="240" w:lineRule="auto"/>
        <w:rPr>
          <w:lang w:val="en-CA"/>
        </w:rPr>
      </w:pPr>
      <w:r w:rsidRPr="00B120AE">
        <w:rPr>
          <w:b/>
          <w:bCs/>
          <w:lang w:val="en-CA"/>
        </w:rPr>
        <w:t>REVERSES</w:t>
      </w:r>
      <w:r w:rsidRPr="00B120AE">
        <w:rPr>
          <w:lang w:val="en-CA"/>
        </w:rPr>
        <w:t xml:space="preserve"> the judgment of the Superior Court and, rendering the judgment that should have been rendered, </w:t>
      </w:r>
      <w:r w:rsidRPr="00B120AE">
        <w:rPr>
          <w:b/>
          <w:bCs/>
          <w:lang w:val="en-CA"/>
        </w:rPr>
        <w:t>REPLACES</w:t>
      </w:r>
      <w:r w:rsidRPr="00B120AE">
        <w:rPr>
          <w:lang w:val="en-CA"/>
        </w:rPr>
        <w:t xml:space="preserve"> paragraphs 81 to 84 of the judgment</w:t>
      </w:r>
      <w:r w:rsidR="00282C6C">
        <w:rPr>
          <w:lang w:val="en-CA"/>
        </w:rPr>
        <w:t>’</w:t>
      </w:r>
      <w:r w:rsidRPr="00B120AE">
        <w:rPr>
          <w:lang w:val="en-CA"/>
        </w:rPr>
        <w:t xml:space="preserve">s conclusions with the following: </w:t>
      </w:r>
    </w:p>
    <w:p w14:paraId="50852B9E" w14:textId="63428A1E" w:rsidR="00E91F2A" w:rsidRPr="00B120AE" w:rsidRDefault="001C0031" w:rsidP="00846DE8">
      <w:pPr>
        <w:pStyle w:val="Citationenretrait"/>
        <w:spacing w:line="240" w:lineRule="auto"/>
        <w:rPr>
          <w:sz w:val="24"/>
          <w:szCs w:val="24"/>
          <w:lang w:val="en-CA"/>
        </w:rPr>
      </w:pPr>
      <w:r w:rsidRPr="00B120AE">
        <w:rPr>
          <w:sz w:val="24"/>
          <w:szCs w:val="24"/>
          <w:lang w:val="en-CA"/>
        </w:rPr>
        <w:t>[81]</w:t>
      </w:r>
      <w:r w:rsidRPr="00B120AE">
        <w:rPr>
          <w:sz w:val="24"/>
          <w:szCs w:val="24"/>
          <w:lang w:val="en-CA"/>
        </w:rPr>
        <w:tab/>
      </w:r>
      <w:r w:rsidRPr="00B120AE">
        <w:rPr>
          <w:b/>
          <w:bCs/>
          <w:sz w:val="24"/>
          <w:szCs w:val="24"/>
          <w:lang w:val="en-CA"/>
        </w:rPr>
        <w:t>DECLARES</w:t>
      </w:r>
      <w:r w:rsidRPr="00B120AE">
        <w:rPr>
          <w:sz w:val="24"/>
          <w:szCs w:val="24"/>
          <w:lang w:val="en-CA"/>
        </w:rPr>
        <w:t xml:space="preserve"> that </w:t>
      </w:r>
      <w:r w:rsidR="008742D0">
        <w:rPr>
          <w:sz w:val="24"/>
          <w:szCs w:val="24"/>
          <w:lang w:val="en-CA"/>
        </w:rPr>
        <w:t>s. 2</w:t>
      </w:r>
      <w:r w:rsidR="00C163CE">
        <w:rPr>
          <w:sz w:val="24"/>
          <w:szCs w:val="24"/>
          <w:lang w:val="en-CA"/>
        </w:rPr>
        <w:t> </w:t>
      </w:r>
      <w:r w:rsidRPr="00B120AE">
        <w:rPr>
          <w:sz w:val="24"/>
          <w:szCs w:val="24"/>
          <w:lang w:val="en-CA"/>
        </w:rPr>
        <w:t>par</w:t>
      </w:r>
      <w:r w:rsidR="008742D0">
        <w:rPr>
          <w:sz w:val="24"/>
          <w:szCs w:val="24"/>
          <w:lang w:val="en-CA"/>
        </w:rPr>
        <w:t>a. 1</w:t>
      </w:r>
      <w:r w:rsidRPr="00B120AE">
        <w:rPr>
          <w:sz w:val="24"/>
          <w:szCs w:val="24"/>
          <w:lang w:val="en-CA"/>
        </w:rPr>
        <w:t xml:space="preserve">(5) of the </w:t>
      </w:r>
      <w:r w:rsidRPr="00B120AE">
        <w:rPr>
          <w:i/>
          <w:iCs/>
          <w:sz w:val="24"/>
          <w:szCs w:val="24"/>
          <w:lang w:val="en-CA"/>
        </w:rPr>
        <w:t>Tobacco Control Act</w:t>
      </w:r>
      <w:r w:rsidRPr="00B120AE">
        <w:rPr>
          <w:sz w:val="24"/>
          <w:szCs w:val="24"/>
          <w:lang w:val="en-CA"/>
        </w:rPr>
        <w:t xml:space="preserve"> is invalid and of no force or effect insofar as it applies to actors within the scope of a cultural or artistic </w:t>
      </w:r>
      <w:proofErr w:type="gramStart"/>
      <w:r w:rsidRPr="00B120AE">
        <w:rPr>
          <w:sz w:val="24"/>
          <w:szCs w:val="24"/>
          <w:lang w:val="en-CA"/>
        </w:rPr>
        <w:t>performance;</w:t>
      </w:r>
      <w:proofErr w:type="gramEnd"/>
      <w:r w:rsidRPr="00B120AE">
        <w:rPr>
          <w:sz w:val="24"/>
          <w:szCs w:val="24"/>
          <w:lang w:val="en-CA"/>
        </w:rPr>
        <w:t xml:space="preserve"> </w:t>
      </w:r>
    </w:p>
    <w:p w14:paraId="50852B9F" w14:textId="327D4D18" w:rsidR="001A5942" w:rsidRPr="00116DBB" w:rsidRDefault="001C0031" w:rsidP="00846DE8">
      <w:pPr>
        <w:pStyle w:val="Citationenretrait"/>
        <w:spacing w:line="240" w:lineRule="auto"/>
      </w:pPr>
      <w:r w:rsidRPr="00116DBB">
        <w:rPr>
          <w:sz w:val="24"/>
          <w:szCs w:val="24"/>
        </w:rPr>
        <w:t>[82]</w:t>
      </w:r>
      <w:r w:rsidRPr="00116DBB">
        <w:rPr>
          <w:sz w:val="24"/>
          <w:szCs w:val="24"/>
        </w:rPr>
        <w:tab/>
      </w:r>
      <w:r w:rsidRPr="00116DBB">
        <w:rPr>
          <w:b/>
          <w:bCs/>
          <w:sz w:val="24"/>
          <w:szCs w:val="24"/>
        </w:rPr>
        <w:t>ACQUITS</w:t>
      </w:r>
      <w:r w:rsidRPr="00116DBB">
        <w:rPr>
          <w:sz w:val="24"/>
          <w:szCs w:val="24"/>
        </w:rPr>
        <w:t xml:space="preserve"> Théâtre du Trident inc., Théâtre de la Bordée inc. and Premier Acte inc.</w:t>
      </w:r>
      <w:r w:rsidR="009738A3" w:rsidRPr="00116DBB">
        <w:rPr>
          <w:sz w:val="24"/>
          <w:szCs w:val="24"/>
        </w:rPr>
        <w:t>;</w:t>
      </w:r>
    </w:p>
    <w:p w14:paraId="50852BA0" w14:textId="77777777" w:rsidR="001A5942" w:rsidRPr="00B120AE" w:rsidRDefault="001C0031" w:rsidP="00846DE8">
      <w:pPr>
        <w:pStyle w:val="Citationenretrait"/>
        <w:spacing w:line="240" w:lineRule="auto"/>
        <w:rPr>
          <w:sz w:val="24"/>
          <w:szCs w:val="24"/>
          <w:lang w:val="en-CA"/>
        </w:rPr>
      </w:pPr>
      <w:r w:rsidRPr="00B120AE">
        <w:rPr>
          <w:lang w:val="en-CA"/>
        </w:rPr>
        <w:t>[83]</w:t>
      </w:r>
      <w:r w:rsidRPr="00B120AE">
        <w:rPr>
          <w:lang w:val="en-CA"/>
        </w:rPr>
        <w:tab/>
      </w:r>
      <w:r w:rsidRPr="009738A3">
        <w:rPr>
          <w:b/>
          <w:bCs/>
          <w:sz w:val="24"/>
          <w:lang w:val="en-CA"/>
        </w:rPr>
        <w:t>WITH LEGAL COSTS</w:t>
      </w:r>
      <w:r w:rsidRPr="00B120AE">
        <w:rPr>
          <w:lang w:val="en-CA"/>
        </w:rPr>
        <w:t>.</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15D3B" w:rsidRPr="00B120AE" w14:paraId="50852BA2" w14:textId="77777777" w:rsidTr="003E3239">
        <w:trPr>
          <w:trHeight w:val="576"/>
        </w:trPr>
        <w:tc>
          <w:tcPr>
            <w:tcW w:w="9362" w:type="dxa"/>
            <w:gridSpan w:val="3"/>
            <w:tcBorders>
              <w:top w:val="nil"/>
              <w:bottom w:val="nil"/>
            </w:tcBorders>
          </w:tcPr>
          <w:p w14:paraId="50852BA1" w14:textId="77777777" w:rsidR="008F364A" w:rsidRPr="00B120AE" w:rsidRDefault="008F364A">
            <w:pPr>
              <w:keepNext/>
              <w:rPr>
                <w:lang w:val="en-CA"/>
              </w:rPr>
            </w:pPr>
          </w:p>
        </w:tc>
      </w:tr>
      <w:tr w:rsidR="00815D3B" w:rsidRPr="00B120AE" w14:paraId="50852BA5" w14:textId="77777777" w:rsidTr="00117914">
        <w:trPr>
          <w:trHeight w:val="283"/>
        </w:trPr>
        <w:tc>
          <w:tcPr>
            <w:tcW w:w="4682" w:type="dxa"/>
            <w:gridSpan w:val="2"/>
            <w:tcBorders>
              <w:top w:val="nil"/>
              <w:bottom w:val="nil"/>
            </w:tcBorders>
          </w:tcPr>
          <w:p w14:paraId="50852BA3" w14:textId="77777777" w:rsidR="008F364A" w:rsidRPr="00B120AE" w:rsidRDefault="008F364A">
            <w:pPr>
              <w:keepNext/>
              <w:rPr>
                <w:lang w:val="en-CA"/>
              </w:rPr>
            </w:pPr>
          </w:p>
        </w:tc>
        <w:tc>
          <w:tcPr>
            <w:tcW w:w="4680" w:type="dxa"/>
            <w:tcBorders>
              <w:top w:val="nil"/>
              <w:bottom w:val="single" w:sz="8" w:space="0" w:color="auto"/>
            </w:tcBorders>
          </w:tcPr>
          <w:p w14:paraId="50852BA4" w14:textId="77777777" w:rsidR="008F364A" w:rsidRPr="00B120AE" w:rsidRDefault="008F364A">
            <w:pPr>
              <w:keepNext/>
              <w:rPr>
                <w:lang w:val="en-CA"/>
              </w:rPr>
            </w:pPr>
          </w:p>
        </w:tc>
      </w:tr>
      <w:tr w:rsidR="00815D3B" w:rsidRPr="00B120AE" w14:paraId="50852BA8" w14:textId="77777777" w:rsidTr="00117914">
        <w:trPr>
          <w:trHeight w:val="283"/>
        </w:trPr>
        <w:tc>
          <w:tcPr>
            <w:tcW w:w="4682" w:type="dxa"/>
            <w:gridSpan w:val="2"/>
            <w:tcBorders>
              <w:top w:val="nil"/>
            </w:tcBorders>
          </w:tcPr>
          <w:p w14:paraId="50852BA6" w14:textId="77777777" w:rsidR="008F364A" w:rsidRPr="00B120AE" w:rsidRDefault="008F364A">
            <w:pPr>
              <w:keepNext/>
              <w:rPr>
                <w:lang w:val="en-CA"/>
              </w:rPr>
            </w:pPr>
          </w:p>
        </w:tc>
        <w:tc>
          <w:tcPr>
            <w:tcW w:w="4680" w:type="dxa"/>
            <w:tcBorders>
              <w:top w:val="single" w:sz="8" w:space="0" w:color="auto"/>
            </w:tcBorders>
          </w:tcPr>
          <w:p w14:paraId="50852BA7" w14:textId="4A7E3895" w:rsidR="008F364A" w:rsidRPr="00B120AE" w:rsidRDefault="001C0031">
            <w:pPr>
              <w:rPr>
                <w:lang w:val="en-CA"/>
              </w:rPr>
            </w:pPr>
            <w:r w:rsidRPr="00B120AE">
              <w:rPr>
                <w:lang w:val="en-CA"/>
              </w:rPr>
              <w:fldChar w:fldCharType="begin"/>
            </w:r>
            <w:r w:rsidRPr="00B120AE">
              <w:rPr>
                <w:lang w:val="en-CA"/>
              </w:rPr>
              <w:instrText xml:space="preserve"> REF NomJuge1  \* MERGEFORMAT </w:instrText>
            </w:r>
            <w:r w:rsidRPr="00B120AE">
              <w:rPr>
                <w:lang w:val="en-CA"/>
              </w:rPr>
              <w:fldChar w:fldCharType="separate"/>
            </w:r>
            <w:r w:rsidR="00D7102E" w:rsidRPr="00D7102E">
              <w:rPr>
                <w:lang w:val="en-CA"/>
              </w:rPr>
              <w:t>JULIE DUTIL, J.A.</w:t>
            </w:r>
            <w:r w:rsidRPr="00B120AE">
              <w:rPr>
                <w:lang w:val="en-CA"/>
              </w:rPr>
              <w:fldChar w:fldCharType="end"/>
            </w:r>
          </w:p>
        </w:tc>
      </w:tr>
      <w:tr w:rsidR="00815D3B" w:rsidRPr="00B120AE" w14:paraId="50852BAB" w14:textId="77777777" w:rsidTr="00117914">
        <w:trPr>
          <w:trHeight w:val="283"/>
        </w:trPr>
        <w:tc>
          <w:tcPr>
            <w:tcW w:w="4682" w:type="dxa"/>
            <w:gridSpan w:val="2"/>
            <w:tcBorders>
              <w:top w:val="nil"/>
            </w:tcBorders>
          </w:tcPr>
          <w:p w14:paraId="50852BA9" w14:textId="77777777" w:rsidR="008F364A" w:rsidRPr="00B120AE" w:rsidRDefault="008F364A">
            <w:pPr>
              <w:keepNext/>
              <w:rPr>
                <w:lang w:val="en-CA"/>
              </w:rPr>
            </w:pPr>
            <w:bookmarkStart w:id="9" w:name="Signature2"/>
          </w:p>
        </w:tc>
        <w:tc>
          <w:tcPr>
            <w:tcW w:w="4680" w:type="dxa"/>
            <w:tcBorders>
              <w:top w:val="nil"/>
            </w:tcBorders>
          </w:tcPr>
          <w:p w14:paraId="50852BAA" w14:textId="77777777" w:rsidR="008F364A" w:rsidRPr="00B120AE" w:rsidRDefault="008F364A">
            <w:pPr>
              <w:keepNext/>
              <w:rPr>
                <w:lang w:val="en-CA"/>
              </w:rPr>
            </w:pPr>
          </w:p>
        </w:tc>
      </w:tr>
      <w:tr w:rsidR="00815D3B" w:rsidRPr="00B120AE" w14:paraId="50852BAE" w14:textId="77777777" w:rsidTr="00117914">
        <w:trPr>
          <w:trHeight w:val="283"/>
        </w:trPr>
        <w:tc>
          <w:tcPr>
            <w:tcW w:w="4682" w:type="dxa"/>
            <w:gridSpan w:val="2"/>
            <w:tcBorders>
              <w:top w:val="nil"/>
              <w:bottom w:val="nil"/>
            </w:tcBorders>
          </w:tcPr>
          <w:p w14:paraId="50852BAC" w14:textId="77777777" w:rsidR="008F364A" w:rsidRPr="00B120AE" w:rsidRDefault="008F364A">
            <w:pPr>
              <w:keepNext/>
              <w:rPr>
                <w:lang w:val="en-CA"/>
              </w:rPr>
            </w:pPr>
          </w:p>
        </w:tc>
        <w:tc>
          <w:tcPr>
            <w:tcW w:w="4680" w:type="dxa"/>
            <w:tcBorders>
              <w:top w:val="nil"/>
              <w:bottom w:val="single" w:sz="8" w:space="0" w:color="auto"/>
            </w:tcBorders>
          </w:tcPr>
          <w:p w14:paraId="50852BAD" w14:textId="77777777" w:rsidR="008F364A" w:rsidRPr="00B120AE" w:rsidRDefault="008F364A">
            <w:pPr>
              <w:keepNext/>
              <w:rPr>
                <w:lang w:val="en-CA"/>
              </w:rPr>
            </w:pPr>
          </w:p>
        </w:tc>
      </w:tr>
      <w:tr w:rsidR="00815D3B" w:rsidRPr="00B120AE" w14:paraId="50852BB1" w14:textId="77777777" w:rsidTr="00117914">
        <w:trPr>
          <w:trHeight w:val="283"/>
        </w:trPr>
        <w:tc>
          <w:tcPr>
            <w:tcW w:w="4682" w:type="dxa"/>
            <w:gridSpan w:val="2"/>
            <w:tcBorders>
              <w:top w:val="nil"/>
            </w:tcBorders>
          </w:tcPr>
          <w:p w14:paraId="50852BAF" w14:textId="77777777" w:rsidR="008F364A" w:rsidRPr="00B120AE" w:rsidRDefault="008F364A">
            <w:pPr>
              <w:keepNext/>
              <w:rPr>
                <w:lang w:val="en-CA"/>
              </w:rPr>
            </w:pPr>
          </w:p>
        </w:tc>
        <w:tc>
          <w:tcPr>
            <w:tcW w:w="4680" w:type="dxa"/>
            <w:tcBorders>
              <w:top w:val="single" w:sz="8" w:space="0" w:color="auto"/>
            </w:tcBorders>
          </w:tcPr>
          <w:p w14:paraId="50852BB0" w14:textId="39844E12" w:rsidR="008F364A" w:rsidRPr="00B120AE" w:rsidRDefault="001C0031">
            <w:pPr>
              <w:keepNext/>
              <w:rPr>
                <w:lang w:val="en-CA"/>
              </w:rPr>
            </w:pPr>
            <w:r w:rsidRPr="00B120AE">
              <w:rPr>
                <w:lang w:val="en-CA"/>
              </w:rPr>
              <w:fldChar w:fldCharType="begin"/>
            </w:r>
            <w:r w:rsidRPr="00B120AE">
              <w:rPr>
                <w:lang w:val="en-CA"/>
              </w:rPr>
              <w:instrText xml:space="preserve"> REF NomJuge2  \* MERGEFORMAT </w:instrText>
            </w:r>
            <w:r w:rsidRPr="00B120AE">
              <w:rPr>
                <w:lang w:val="en-CA"/>
              </w:rPr>
              <w:fldChar w:fldCharType="separate"/>
            </w:r>
            <w:r w:rsidR="00D7102E" w:rsidRPr="00D7102E">
              <w:rPr>
                <w:lang w:val="en-CA"/>
              </w:rPr>
              <w:t>SOPHIE LAVALLÉE, J.A.</w:t>
            </w:r>
            <w:r w:rsidRPr="00B120AE">
              <w:rPr>
                <w:lang w:val="en-CA"/>
              </w:rPr>
              <w:fldChar w:fldCharType="end"/>
            </w:r>
          </w:p>
        </w:tc>
      </w:tr>
      <w:tr w:rsidR="00815D3B" w:rsidRPr="00B120AE" w14:paraId="50852BB4" w14:textId="77777777" w:rsidTr="00117914">
        <w:trPr>
          <w:trHeight w:val="283"/>
        </w:trPr>
        <w:tc>
          <w:tcPr>
            <w:tcW w:w="4682" w:type="dxa"/>
            <w:gridSpan w:val="2"/>
            <w:tcBorders>
              <w:top w:val="nil"/>
            </w:tcBorders>
          </w:tcPr>
          <w:p w14:paraId="50852BB2" w14:textId="77777777" w:rsidR="008F364A" w:rsidRPr="00B120AE" w:rsidRDefault="008F364A">
            <w:pPr>
              <w:keepNext/>
              <w:rPr>
                <w:lang w:val="en-CA"/>
              </w:rPr>
            </w:pPr>
            <w:bookmarkStart w:id="10" w:name="Signature3"/>
            <w:bookmarkEnd w:id="9"/>
          </w:p>
        </w:tc>
        <w:tc>
          <w:tcPr>
            <w:tcW w:w="4680" w:type="dxa"/>
            <w:tcBorders>
              <w:top w:val="nil"/>
            </w:tcBorders>
          </w:tcPr>
          <w:p w14:paraId="50852BB3" w14:textId="77777777" w:rsidR="008F364A" w:rsidRPr="00B120AE" w:rsidRDefault="008F364A">
            <w:pPr>
              <w:keepNext/>
              <w:rPr>
                <w:lang w:val="en-CA"/>
              </w:rPr>
            </w:pPr>
          </w:p>
        </w:tc>
      </w:tr>
      <w:tr w:rsidR="00815D3B" w:rsidRPr="00B120AE" w14:paraId="50852BB7" w14:textId="77777777" w:rsidTr="00117914">
        <w:trPr>
          <w:trHeight w:val="283"/>
        </w:trPr>
        <w:tc>
          <w:tcPr>
            <w:tcW w:w="4682" w:type="dxa"/>
            <w:gridSpan w:val="2"/>
            <w:tcBorders>
              <w:top w:val="nil"/>
              <w:bottom w:val="nil"/>
            </w:tcBorders>
          </w:tcPr>
          <w:p w14:paraId="50852BB5" w14:textId="77777777" w:rsidR="008F364A" w:rsidRPr="00B120AE" w:rsidRDefault="008F364A">
            <w:pPr>
              <w:keepNext/>
              <w:rPr>
                <w:lang w:val="en-CA"/>
              </w:rPr>
            </w:pPr>
          </w:p>
        </w:tc>
        <w:tc>
          <w:tcPr>
            <w:tcW w:w="4680" w:type="dxa"/>
            <w:tcBorders>
              <w:top w:val="nil"/>
              <w:bottom w:val="single" w:sz="8" w:space="0" w:color="auto"/>
            </w:tcBorders>
          </w:tcPr>
          <w:p w14:paraId="50852BB6" w14:textId="77777777" w:rsidR="008F364A" w:rsidRPr="00B120AE" w:rsidRDefault="008F364A">
            <w:pPr>
              <w:keepNext/>
              <w:rPr>
                <w:lang w:val="en-CA"/>
              </w:rPr>
            </w:pPr>
          </w:p>
        </w:tc>
      </w:tr>
      <w:tr w:rsidR="00815D3B" w:rsidRPr="00B120AE" w14:paraId="50852BBA" w14:textId="77777777" w:rsidTr="00117914">
        <w:trPr>
          <w:trHeight w:val="283"/>
        </w:trPr>
        <w:tc>
          <w:tcPr>
            <w:tcW w:w="4682" w:type="dxa"/>
            <w:gridSpan w:val="2"/>
            <w:tcBorders>
              <w:top w:val="nil"/>
            </w:tcBorders>
          </w:tcPr>
          <w:p w14:paraId="50852BB8" w14:textId="77777777" w:rsidR="008F364A" w:rsidRPr="00B120AE" w:rsidRDefault="008F364A">
            <w:pPr>
              <w:keepNext/>
              <w:rPr>
                <w:lang w:val="en-CA"/>
              </w:rPr>
            </w:pPr>
          </w:p>
        </w:tc>
        <w:tc>
          <w:tcPr>
            <w:tcW w:w="4680" w:type="dxa"/>
            <w:tcBorders>
              <w:top w:val="single" w:sz="8" w:space="0" w:color="auto"/>
            </w:tcBorders>
          </w:tcPr>
          <w:p w14:paraId="50852BB9" w14:textId="5E5F8221" w:rsidR="008F364A" w:rsidRPr="00B120AE" w:rsidRDefault="001C0031">
            <w:pPr>
              <w:keepNext/>
              <w:rPr>
                <w:lang w:val="en-CA"/>
              </w:rPr>
            </w:pPr>
            <w:r w:rsidRPr="00B120AE">
              <w:rPr>
                <w:lang w:val="en-CA"/>
              </w:rPr>
              <w:fldChar w:fldCharType="begin"/>
            </w:r>
            <w:r w:rsidRPr="00B120AE">
              <w:rPr>
                <w:lang w:val="en-CA"/>
              </w:rPr>
              <w:instrText xml:space="preserve"> REF NomJuge3  \* MERGEFORMAT </w:instrText>
            </w:r>
            <w:r w:rsidRPr="00B120AE">
              <w:rPr>
                <w:lang w:val="en-CA"/>
              </w:rPr>
              <w:fldChar w:fldCharType="separate"/>
            </w:r>
            <w:r w:rsidR="00D7102E" w:rsidRPr="00D7102E">
              <w:rPr>
                <w:lang w:val="en-CA"/>
              </w:rPr>
              <w:t>JUDITH HARVIE, J.A.</w:t>
            </w:r>
            <w:r w:rsidRPr="00B120AE">
              <w:rPr>
                <w:lang w:val="en-CA"/>
              </w:rPr>
              <w:fldChar w:fldCharType="end"/>
            </w:r>
          </w:p>
        </w:tc>
      </w:tr>
      <w:bookmarkEnd w:id="10"/>
      <w:tr w:rsidR="00815D3B" w:rsidRPr="00B120AE" w14:paraId="50852BBC" w14:textId="77777777" w:rsidTr="00423DF1">
        <w:tc>
          <w:tcPr>
            <w:tcW w:w="9362" w:type="dxa"/>
            <w:gridSpan w:val="3"/>
          </w:tcPr>
          <w:p w14:paraId="50852BBB" w14:textId="77777777" w:rsidR="005A78BF" w:rsidRPr="00B120AE" w:rsidRDefault="005A78BF" w:rsidP="005A78BF">
            <w:pPr>
              <w:rPr>
                <w:lang w:val="en-CA"/>
              </w:rPr>
            </w:pPr>
          </w:p>
        </w:tc>
      </w:tr>
      <w:tr w:rsidR="00815D3B" w:rsidRPr="00B120AE" w14:paraId="50852BBE" w14:textId="77777777" w:rsidTr="00423DF1">
        <w:tc>
          <w:tcPr>
            <w:tcW w:w="9362" w:type="dxa"/>
            <w:gridSpan w:val="3"/>
          </w:tcPr>
          <w:p w14:paraId="50852BBD" w14:textId="1A652DF3" w:rsidR="005A78BF" w:rsidRPr="00B120AE" w:rsidRDefault="001C0031" w:rsidP="005A78BF">
            <w:pPr>
              <w:pStyle w:val="zSoquijdatNomProcureurDem"/>
              <w:rPr>
                <w:lang w:val="en-CA"/>
              </w:rPr>
            </w:pPr>
            <w:proofErr w:type="spellStart"/>
            <w:r w:rsidRPr="00B120AE">
              <w:rPr>
                <w:lang w:val="en-CA"/>
              </w:rPr>
              <w:t>Mtre</w:t>
            </w:r>
            <w:proofErr w:type="spellEnd"/>
            <w:r w:rsidRPr="00B120AE">
              <w:rPr>
                <w:lang w:val="en-CA"/>
              </w:rPr>
              <w:t xml:space="preserve"> Marie</w:t>
            </w:r>
            <w:r w:rsidR="00720901">
              <w:rPr>
                <w:lang w:val="en-CA"/>
              </w:rPr>
              <w:noBreakHyphen/>
            </w:r>
            <w:r w:rsidRPr="00B120AE">
              <w:rPr>
                <w:lang w:val="en-CA"/>
              </w:rPr>
              <w:t>Ève Pelletier</w:t>
            </w:r>
          </w:p>
        </w:tc>
      </w:tr>
      <w:tr w:rsidR="00815D3B" w:rsidRPr="00B120AE" w14:paraId="50852BC0" w14:textId="77777777" w:rsidTr="00423DF1">
        <w:tc>
          <w:tcPr>
            <w:tcW w:w="9362" w:type="dxa"/>
            <w:gridSpan w:val="3"/>
          </w:tcPr>
          <w:p w14:paraId="50852BBF" w14:textId="488D9288" w:rsidR="00FF5D92" w:rsidRPr="00B120AE" w:rsidRDefault="001C0031" w:rsidP="005A78BF">
            <w:pPr>
              <w:pStyle w:val="zSoquijdatNomProcureurDem"/>
              <w:rPr>
                <w:lang w:val="en-CA"/>
              </w:rPr>
            </w:pPr>
            <w:proofErr w:type="spellStart"/>
            <w:r w:rsidRPr="00B120AE">
              <w:rPr>
                <w:lang w:val="en-CA"/>
              </w:rPr>
              <w:t>Mtre</w:t>
            </w:r>
            <w:proofErr w:type="spellEnd"/>
            <w:r w:rsidRPr="00B120AE">
              <w:rPr>
                <w:lang w:val="en-CA"/>
              </w:rPr>
              <w:t xml:space="preserve"> Marc</w:t>
            </w:r>
            <w:r w:rsidR="00720901">
              <w:rPr>
                <w:lang w:val="en-CA"/>
              </w:rPr>
              <w:noBreakHyphen/>
            </w:r>
            <w:r w:rsidRPr="00B120AE">
              <w:rPr>
                <w:lang w:val="en-CA"/>
              </w:rPr>
              <w:t>Antoine Patenaude</w:t>
            </w:r>
          </w:p>
        </w:tc>
      </w:tr>
      <w:tr w:rsidR="00815D3B" w:rsidRPr="00B120AE" w14:paraId="50852BC2" w14:textId="77777777" w:rsidTr="00423DF1">
        <w:tc>
          <w:tcPr>
            <w:tcW w:w="9362" w:type="dxa"/>
            <w:gridSpan w:val="3"/>
          </w:tcPr>
          <w:p w14:paraId="50852BC1" w14:textId="4D41460D" w:rsidR="005A78BF" w:rsidRPr="00B120AE" w:rsidRDefault="001C0031" w:rsidP="005A78BF">
            <w:pPr>
              <w:pStyle w:val="zSoquijdatCabinetProcureurDem"/>
              <w:rPr>
                <w:lang w:val="en-CA"/>
              </w:rPr>
            </w:pPr>
            <w:r w:rsidRPr="00B120AE">
              <w:rPr>
                <w:lang w:val="en-CA"/>
              </w:rPr>
              <w:t>LAVOIE, ROUSSEAU (JUSTICE</w:t>
            </w:r>
            <w:r w:rsidR="00720901">
              <w:rPr>
                <w:lang w:val="en-CA"/>
              </w:rPr>
              <w:noBreakHyphen/>
            </w:r>
            <w:r w:rsidRPr="00B120AE">
              <w:rPr>
                <w:lang w:val="en-CA"/>
              </w:rPr>
              <w:t>QUÉBEC)</w:t>
            </w:r>
          </w:p>
        </w:tc>
      </w:tr>
      <w:tr w:rsidR="00815D3B" w:rsidRPr="00B120AE" w14:paraId="50852BC4" w14:textId="77777777" w:rsidTr="00423DF1">
        <w:tc>
          <w:tcPr>
            <w:tcW w:w="9362" w:type="dxa"/>
            <w:gridSpan w:val="3"/>
          </w:tcPr>
          <w:p w14:paraId="50852BC3" w14:textId="77777777" w:rsidR="005A78BF" w:rsidRPr="00B120AE" w:rsidRDefault="001C0031" w:rsidP="005A78BF">
            <w:pPr>
              <w:pStyle w:val="zSoquijlblProcureurDem"/>
              <w:rPr>
                <w:lang w:val="en-CA"/>
              </w:rPr>
            </w:pPr>
            <w:r w:rsidRPr="00B120AE">
              <w:rPr>
                <w:lang w:val="en-CA"/>
              </w:rPr>
              <w:t>For the appellant</w:t>
            </w:r>
          </w:p>
        </w:tc>
      </w:tr>
      <w:tr w:rsidR="00815D3B" w:rsidRPr="00B120AE" w14:paraId="50852BC6" w14:textId="77777777" w:rsidTr="00423DF1">
        <w:tc>
          <w:tcPr>
            <w:tcW w:w="9362" w:type="dxa"/>
            <w:gridSpan w:val="3"/>
          </w:tcPr>
          <w:p w14:paraId="50852BC5" w14:textId="77777777" w:rsidR="00FD0F20" w:rsidRPr="00B120AE" w:rsidRDefault="00FD0F20" w:rsidP="005A78BF">
            <w:pPr>
              <w:rPr>
                <w:lang w:val="en-CA"/>
              </w:rPr>
            </w:pPr>
          </w:p>
        </w:tc>
      </w:tr>
      <w:tr w:rsidR="00815D3B" w:rsidRPr="00B120AE" w14:paraId="50852BC8" w14:textId="77777777" w:rsidTr="00423DF1">
        <w:tc>
          <w:tcPr>
            <w:tcW w:w="9362" w:type="dxa"/>
            <w:gridSpan w:val="3"/>
          </w:tcPr>
          <w:p w14:paraId="50852BC7" w14:textId="77777777" w:rsidR="00FD0F20" w:rsidRPr="00B120AE" w:rsidRDefault="001C0031" w:rsidP="00FD0F20">
            <w:pPr>
              <w:pStyle w:val="zSoquijdatNomProcureurDem"/>
              <w:rPr>
                <w:lang w:val="en-CA"/>
              </w:rPr>
            </w:pPr>
            <w:proofErr w:type="spellStart"/>
            <w:r w:rsidRPr="00B120AE">
              <w:rPr>
                <w:lang w:val="en-CA"/>
              </w:rPr>
              <w:t>Mtre</w:t>
            </w:r>
            <w:proofErr w:type="spellEnd"/>
            <w:r w:rsidRPr="00B120AE">
              <w:rPr>
                <w:lang w:val="en-CA"/>
              </w:rPr>
              <w:t xml:space="preserve"> Caroline Renaud</w:t>
            </w:r>
          </w:p>
        </w:tc>
      </w:tr>
      <w:tr w:rsidR="00815D3B" w:rsidRPr="00B120AE" w14:paraId="50852BCA" w14:textId="77777777" w:rsidTr="00423DF1">
        <w:tc>
          <w:tcPr>
            <w:tcW w:w="9362" w:type="dxa"/>
            <w:gridSpan w:val="3"/>
          </w:tcPr>
          <w:p w14:paraId="50852BC9" w14:textId="77777777" w:rsidR="00FD0F20" w:rsidRPr="00116DBB" w:rsidRDefault="001C0031" w:rsidP="00FD0F20">
            <w:pPr>
              <w:pStyle w:val="zSoquijdatCabinetProcureurDem"/>
            </w:pPr>
            <w:r w:rsidRPr="00116DBB">
              <w:t>DIRECTION DU DROIT CONSTITUTIONNEL ET AUTOCHTONE – MINISTÈRE DE LA JUSTICE</w:t>
            </w:r>
          </w:p>
        </w:tc>
      </w:tr>
      <w:tr w:rsidR="00815D3B" w:rsidRPr="00B120AE" w14:paraId="50852BCC" w14:textId="77777777" w:rsidTr="00423DF1">
        <w:tc>
          <w:tcPr>
            <w:tcW w:w="9362" w:type="dxa"/>
            <w:gridSpan w:val="3"/>
          </w:tcPr>
          <w:p w14:paraId="50852BCB" w14:textId="77777777" w:rsidR="00FD0F20" w:rsidRPr="00B120AE" w:rsidRDefault="001C0031" w:rsidP="00FD0F20">
            <w:pPr>
              <w:pStyle w:val="zSoquijlblProcureurDem"/>
              <w:rPr>
                <w:lang w:val="en-CA"/>
              </w:rPr>
            </w:pPr>
            <w:r w:rsidRPr="00B120AE">
              <w:rPr>
                <w:lang w:val="en-CA"/>
              </w:rPr>
              <w:t>For the appellant</w:t>
            </w:r>
          </w:p>
        </w:tc>
      </w:tr>
      <w:tr w:rsidR="00815D3B" w:rsidRPr="00B120AE" w14:paraId="50852BCE" w14:textId="77777777" w:rsidTr="00423DF1">
        <w:tc>
          <w:tcPr>
            <w:tcW w:w="9362" w:type="dxa"/>
            <w:gridSpan w:val="3"/>
          </w:tcPr>
          <w:p w14:paraId="50852BCD" w14:textId="77777777" w:rsidR="005A78BF" w:rsidRPr="00B120AE" w:rsidRDefault="005A78BF" w:rsidP="005A78BF">
            <w:pPr>
              <w:rPr>
                <w:lang w:val="en-CA"/>
              </w:rPr>
            </w:pPr>
          </w:p>
        </w:tc>
      </w:tr>
      <w:tr w:rsidR="00815D3B" w:rsidRPr="00B120AE" w14:paraId="50852BD0" w14:textId="77777777" w:rsidTr="00423DF1">
        <w:tc>
          <w:tcPr>
            <w:tcW w:w="9362" w:type="dxa"/>
            <w:gridSpan w:val="3"/>
          </w:tcPr>
          <w:p w14:paraId="50852BCF" w14:textId="77777777" w:rsidR="005A78BF" w:rsidRPr="00B120AE" w:rsidRDefault="001C0031" w:rsidP="005A78BF">
            <w:pPr>
              <w:pStyle w:val="zSoquijdatNomProcureurDef"/>
              <w:rPr>
                <w:lang w:val="en-CA"/>
              </w:rPr>
            </w:pPr>
            <w:proofErr w:type="spellStart"/>
            <w:r w:rsidRPr="00B120AE">
              <w:rPr>
                <w:lang w:val="en-CA"/>
              </w:rPr>
              <w:lastRenderedPageBreak/>
              <w:t>Mtre</w:t>
            </w:r>
            <w:proofErr w:type="spellEnd"/>
            <w:r w:rsidRPr="00B120AE">
              <w:rPr>
                <w:lang w:val="en-CA"/>
              </w:rPr>
              <w:t xml:space="preserve"> Benjamin Bolduc</w:t>
            </w:r>
          </w:p>
        </w:tc>
      </w:tr>
      <w:tr w:rsidR="00815D3B" w:rsidRPr="00B120AE" w14:paraId="50852BD2" w14:textId="77777777" w:rsidTr="00423DF1">
        <w:tc>
          <w:tcPr>
            <w:tcW w:w="9362" w:type="dxa"/>
            <w:gridSpan w:val="3"/>
          </w:tcPr>
          <w:p w14:paraId="50852BD1" w14:textId="77777777" w:rsidR="005A78BF" w:rsidRPr="00B120AE" w:rsidRDefault="001C0031" w:rsidP="005A78BF">
            <w:pPr>
              <w:pStyle w:val="zSoquijdatCabinetProcureurDef"/>
              <w:rPr>
                <w:lang w:val="en-CA"/>
              </w:rPr>
            </w:pPr>
            <w:r w:rsidRPr="00B120AE">
              <w:rPr>
                <w:lang w:val="en-CA"/>
              </w:rPr>
              <w:t>TREMBLAY BOIS</w:t>
            </w:r>
          </w:p>
        </w:tc>
      </w:tr>
      <w:tr w:rsidR="00815D3B" w:rsidRPr="00B120AE" w14:paraId="50852BD4" w14:textId="77777777" w:rsidTr="00423DF1">
        <w:tc>
          <w:tcPr>
            <w:tcW w:w="9362" w:type="dxa"/>
            <w:gridSpan w:val="3"/>
          </w:tcPr>
          <w:p w14:paraId="50852BD3" w14:textId="77777777" w:rsidR="005A78BF" w:rsidRPr="00B120AE" w:rsidRDefault="001C0031" w:rsidP="005A78BF">
            <w:pPr>
              <w:pStyle w:val="zSoquijlblProcureurDef"/>
              <w:rPr>
                <w:lang w:val="en-CA"/>
              </w:rPr>
            </w:pPr>
            <w:r w:rsidRPr="00B120AE">
              <w:rPr>
                <w:lang w:val="en-CA"/>
              </w:rPr>
              <w:t>For the respondents</w:t>
            </w:r>
          </w:p>
        </w:tc>
      </w:tr>
      <w:tr w:rsidR="00815D3B" w:rsidRPr="00B120AE" w14:paraId="50852BD6" w14:textId="77777777" w:rsidTr="00846DE8">
        <w:tc>
          <w:tcPr>
            <w:tcW w:w="9362" w:type="dxa"/>
            <w:gridSpan w:val="3"/>
            <w:tcBorders>
              <w:bottom w:val="nil"/>
            </w:tcBorders>
          </w:tcPr>
          <w:p w14:paraId="50852BD5" w14:textId="77777777" w:rsidR="00FD0F20" w:rsidRPr="00B120AE" w:rsidRDefault="00FD0F20" w:rsidP="005A78BF">
            <w:pPr>
              <w:rPr>
                <w:lang w:val="en-CA"/>
              </w:rPr>
            </w:pPr>
          </w:p>
        </w:tc>
      </w:tr>
      <w:tr w:rsidR="00815D3B" w:rsidRPr="00B120AE" w14:paraId="50852BD8" w14:textId="77777777" w:rsidTr="00846DE8">
        <w:tc>
          <w:tcPr>
            <w:tcW w:w="9362" w:type="dxa"/>
            <w:gridSpan w:val="3"/>
            <w:tcBorders>
              <w:top w:val="nil"/>
            </w:tcBorders>
          </w:tcPr>
          <w:p w14:paraId="50852BD7" w14:textId="36BDE0B5" w:rsidR="00FD0F20" w:rsidRPr="00B120AE" w:rsidRDefault="001C0031" w:rsidP="00FD0F20">
            <w:pPr>
              <w:pStyle w:val="zSoquijdatNomProcureurDef"/>
              <w:rPr>
                <w:lang w:val="en-CA"/>
              </w:rPr>
            </w:pPr>
            <w:proofErr w:type="spellStart"/>
            <w:r w:rsidRPr="00B120AE">
              <w:rPr>
                <w:lang w:val="en-CA"/>
              </w:rPr>
              <w:t>Mtre</w:t>
            </w:r>
            <w:proofErr w:type="spellEnd"/>
            <w:r w:rsidRPr="00B120AE">
              <w:rPr>
                <w:lang w:val="en-CA"/>
              </w:rPr>
              <w:t xml:space="preserve"> Louis</w:t>
            </w:r>
            <w:r w:rsidR="00720901">
              <w:rPr>
                <w:lang w:val="en-CA"/>
              </w:rPr>
              <w:noBreakHyphen/>
            </w:r>
            <w:r w:rsidRPr="00B120AE">
              <w:rPr>
                <w:lang w:val="en-CA"/>
              </w:rPr>
              <w:t>Philippe Lampron</w:t>
            </w:r>
          </w:p>
        </w:tc>
      </w:tr>
      <w:tr w:rsidR="00815D3B" w:rsidRPr="00B120AE" w14:paraId="50852BDA" w14:textId="77777777" w:rsidTr="00423DF1">
        <w:tc>
          <w:tcPr>
            <w:tcW w:w="9362" w:type="dxa"/>
            <w:gridSpan w:val="3"/>
          </w:tcPr>
          <w:p w14:paraId="50852BD9" w14:textId="77777777" w:rsidR="00FD0F20" w:rsidRPr="00B120AE" w:rsidRDefault="001C0031" w:rsidP="00FD0F20">
            <w:pPr>
              <w:pStyle w:val="zSoquijdatNomProcureurDef"/>
              <w:rPr>
                <w:lang w:val="en-CA"/>
              </w:rPr>
            </w:pPr>
            <w:proofErr w:type="spellStart"/>
            <w:r w:rsidRPr="00B120AE">
              <w:rPr>
                <w:lang w:val="en-CA"/>
              </w:rPr>
              <w:t>Mtre</w:t>
            </w:r>
            <w:proofErr w:type="spellEnd"/>
            <w:r w:rsidRPr="00B120AE">
              <w:rPr>
                <w:lang w:val="en-CA"/>
              </w:rPr>
              <w:t xml:space="preserve"> Antoine Pellerin</w:t>
            </w:r>
          </w:p>
        </w:tc>
      </w:tr>
      <w:tr w:rsidR="00815D3B" w:rsidRPr="00B120AE" w14:paraId="50852BDC" w14:textId="77777777" w:rsidTr="00423DF1">
        <w:tc>
          <w:tcPr>
            <w:tcW w:w="9362" w:type="dxa"/>
            <w:gridSpan w:val="3"/>
          </w:tcPr>
          <w:p w14:paraId="50852BDB" w14:textId="77777777" w:rsidR="00FD0F20" w:rsidRPr="00116DBB" w:rsidRDefault="001C0031" w:rsidP="00FD0F20">
            <w:pPr>
              <w:pStyle w:val="zSoquijdatCabinetProcureurDef"/>
            </w:pPr>
            <w:r w:rsidRPr="00116DBB">
              <w:t>UNIVERSITÉ LAVAL – FACULTÉ DE DROIT</w:t>
            </w:r>
          </w:p>
        </w:tc>
      </w:tr>
      <w:tr w:rsidR="00815D3B" w:rsidRPr="00B120AE" w14:paraId="50852BDE" w14:textId="77777777" w:rsidTr="00423DF1">
        <w:tc>
          <w:tcPr>
            <w:tcW w:w="9362" w:type="dxa"/>
            <w:gridSpan w:val="3"/>
          </w:tcPr>
          <w:p w14:paraId="50852BDD" w14:textId="77777777" w:rsidR="00FD0F20" w:rsidRPr="00B120AE" w:rsidRDefault="001C0031" w:rsidP="00FD0F20">
            <w:pPr>
              <w:pStyle w:val="zSoquijlblProcureurDef"/>
              <w:rPr>
                <w:lang w:val="en-CA"/>
              </w:rPr>
            </w:pPr>
            <w:r w:rsidRPr="00B120AE">
              <w:rPr>
                <w:lang w:val="en-CA"/>
              </w:rPr>
              <w:t>For the respondents</w:t>
            </w:r>
          </w:p>
        </w:tc>
      </w:tr>
      <w:tr w:rsidR="00815D3B" w:rsidRPr="00B120AE" w14:paraId="50852BE0" w14:textId="77777777" w:rsidTr="00423DF1">
        <w:tc>
          <w:tcPr>
            <w:tcW w:w="9362" w:type="dxa"/>
            <w:gridSpan w:val="3"/>
          </w:tcPr>
          <w:p w14:paraId="50852BDF" w14:textId="77777777" w:rsidR="00FD0F20" w:rsidRPr="00B120AE" w:rsidRDefault="00FD0F20" w:rsidP="005A78BF">
            <w:pPr>
              <w:rPr>
                <w:lang w:val="en-CA"/>
              </w:rPr>
            </w:pPr>
          </w:p>
        </w:tc>
      </w:tr>
      <w:tr w:rsidR="00815D3B" w:rsidRPr="00B120AE" w14:paraId="50852BE2" w14:textId="77777777" w:rsidTr="00423DF1">
        <w:tc>
          <w:tcPr>
            <w:tcW w:w="9362" w:type="dxa"/>
            <w:gridSpan w:val="3"/>
          </w:tcPr>
          <w:p w14:paraId="50852BE1" w14:textId="2F1444E9" w:rsidR="00FD0F20" w:rsidRPr="00B120AE" w:rsidRDefault="001C0031" w:rsidP="00FD0F20">
            <w:pPr>
              <w:pStyle w:val="zSoquijdatNomProcureurDef"/>
              <w:rPr>
                <w:lang w:val="en-CA"/>
              </w:rPr>
            </w:pPr>
            <w:proofErr w:type="spellStart"/>
            <w:r w:rsidRPr="00B120AE">
              <w:rPr>
                <w:lang w:val="en-CA"/>
              </w:rPr>
              <w:t>Mtre</w:t>
            </w:r>
            <w:proofErr w:type="spellEnd"/>
            <w:r w:rsidRPr="00B120AE">
              <w:rPr>
                <w:lang w:val="en-CA"/>
              </w:rPr>
              <w:t xml:space="preserve"> Alyson Mace</w:t>
            </w:r>
            <w:r w:rsidR="00720901">
              <w:rPr>
                <w:lang w:val="en-CA"/>
              </w:rPr>
              <w:noBreakHyphen/>
            </w:r>
            <w:r w:rsidRPr="00B120AE">
              <w:rPr>
                <w:lang w:val="en-CA"/>
              </w:rPr>
              <w:t>Reardon</w:t>
            </w:r>
          </w:p>
        </w:tc>
      </w:tr>
      <w:tr w:rsidR="00815D3B" w:rsidRPr="00820DA0" w14:paraId="50852BE4" w14:textId="77777777" w:rsidTr="00423DF1">
        <w:tc>
          <w:tcPr>
            <w:tcW w:w="9362" w:type="dxa"/>
            <w:gridSpan w:val="3"/>
          </w:tcPr>
          <w:p w14:paraId="50852BE3" w14:textId="77777777" w:rsidR="00FD0F20" w:rsidRPr="00B120AE" w:rsidRDefault="001C0031" w:rsidP="00FD0F20">
            <w:pPr>
              <w:pStyle w:val="zSoquijdatCabinetProcureurDef"/>
              <w:rPr>
                <w:lang w:val="en-CA"/>
              </w:rPr>
            </w:pPr>
            <w:r w:rsidRPr="00B120AE">
              <w:rPr>
                <w:lang w:val="en-CA"/>
              </w:rPr>
              <w:t>DIRECTOR OF CRIMINAL AND PENAL PROSECUTIONS</w:t>
            </w:r>
          </w:p>
        </w:tc>
      </w:tr>
      <w:tr w:rsidR="00815D3B" w:rsidRPr="00B120AE" w14:paraId="50852BE6" w14:textId="77777777" w:rsidTr="00423DF1">
        <w:tc>
          <w:tcPr>
            <w:tcW w:w="9362" w:type="dxa"/>
            <w:gridSpan w:val="3"/>
          </w:tcPr>
          <w:p w14:paraId="50852BE5" w14:textId="77777777" w:rsidR="00FD0F20" w:rsidRPr="00B120AE" w:rsidRDefault="001C0031" w:rsidP="00FD0F20">
            <w:pPr>
              <w:pStyle w:val="zSoquijlblProcureurDef"/>
              <w:rPr>
                <w:lang w:val="en-CA"/>
              </w:rPr>
            </w:pPr>
            <w:r w:rsidRPr="00B120AE">
              <w:rPr>
                <w:lang w:val="en-CA"/>
              </w:rPr>
              <w:t>For the impleaded party</w:t>
            </w:r>
          </w:p>
        </w:tc>
      </w:tr>
      <w:tr w:rsidR="00815D3B" w:rsidRPr="00B120AE" w14:paraId="50852BE8" w14:textId="77777777" w:rsidTr="00423DF1">
        <w:tc>
          <w:tcPr>
            <w:tcW w:w="9362" w:type="dxa"/>
            <w:gridSpan w:val="3"/>
          </w:tcPr>
          <w:p w14:paraId="50852BE7" w14:textId="77777777" w:rsidR="005A78BF" w:rsidRPr="00B120AE" w:rsidRDefault="005A78BF" w:rsidP="005A78BF">
            <w:pPr>
              <w:rPr>
                <w:lang w:val="en-CA"/>
              </w:rPr>
            </w:pPr>
          </w:p>
        </w:tc>
      </w:tr>
      <w:tr w:rsidR="00815D3B" w:rsidRPr="00B120AE" w14:paraId="50852BEB" w14:textId="77777777" w:rsidTr="00423DF1">
        <w:tc>
          <w:tcPr>
            <w:tcW w:w="1997" w:type="dxa"/>
          </w:tcPr>
          <w:p w14:paraId="50852BE9" w14:textId="77777777" w:rsidR="005A78BF" w:rsidRPr="00B120AE" w:rsidRDefault="001C0031" w:rsidP="005A78BF">
            <w:pPr>
              <w:pStyle w:val="zSoquijlblDateAudience"/>
              <w:rPr>
                <w:lang w:val="en-CA"/>
              </w:rPr>
            </w:pPr>
            <w:r w:rsidRPr="00B120AE">
              <w:rPr>
                <w:lang w:val="en-CA"/>
              </w:rPr>
              <w:t>Date of hearing:</w:t>
            </w:r>
          </w:p>
        </w:tc>
        <w:tc>
          <w:tcPr>
            <w:tcW w:w="7365" w:type="dxa"/>
            <w:gridSpan w:val="2"/>
          </w:tcPr>
          <w:p w14:paraId="50852BEA" w14:textId="77777777" w:rsidR="005A78BF" w:rsidRPr="00B120AE" w:rsidRDefault="001C0031" w:rsidP="005A78BF">
            <w:pPr>
              <w:pStyle w:val="zSoquijdatDateAudience"/>
              <w:rPr>
                <w:lang w:val="en-CA"/>
              </w:rPr>
            </w:pPr>
            <w:r w:rsidRPr="00B120AE">
              <w:rPr>
                <w:lang w:val="en-CA"/>
              </w:rPr>
              <w:t>June 16, 2025</w:t>
            </w:r>
          </w:p>
        </w:tc>
      </w:tr>
      <w:bookmarkEnd w:id="7"/>
    </w:tbl>
    <w:p w14:paraId="50852BEC" w14:textId="77777777" w:rsidR="00846DE8" w:rsidRPr="00B120AE" w:rsidRDefault="001C0031">
      <w:pPr>
        <w:spacing w:line="240" w:lineRule="auto"/>
        <w:rPr>
          <w:lang w:val="en-CA"/>
        </w:rPr>
      </w:pPr>
      <w:r w:rsidRPr="00B120AE">
        <w:rPr>
          <w:lang w:val="en-CA"/>
        </w:rPr>
        <w:br w:type="page"/>
      </w:r>
    </w:p>
    <w:tbl>
      <w:tblPr>
        <w:tblW w:w="0" w:type="auto"/>
        <w:tblLayout w:type="fixed"/>
        <w:tblCellMar>
          <w:left w:w="0" w:type="dxa"/>
          <w:right w:w="0" w:type="dxa"/>
        </w:tblCellMar>
        <w:tblLook w:val="0000" w:firstRow="0" w:lastRow="0" w:firstColumn="0" w:lastColumn="0" w:noHBand="0" w:noVBand="0"/>
      </w:tblPr>
      <w:tblGrid>
        <w:gridCol w:w="9360"/>
      </w:tblGrid>
      <w:tr w:rsidR="00815D3B" w:rsidRPr="00B120AE" w14:paraId="50852BEE" w14:textId="77777777" w:rsidTr="00843B9D">
        <w:tc>
          <w:tcPr>
            <w:tcW w:w="9360" w:type="dxa"/>
          </w:tcPr>
          <w:p w14:paraId="50852BED" w14:textId="77777777" w:rsidR="00843B9D" w:rsidRPr="00B120AE" w:rsidRDefault="00843B9D" w:rsidP="00E524EA">
            <w:pPr>
              <w:rPr>
                <w:lang w:val="en-CA"/>
              </w:rPr>
            </w:pPr>
          </w:p>
        </w:tc>
      </w:tr>
      <w:tr w:rsidR="00815D3B" w:rsidRPr="00B120AE" w14:paraId="50852BF0" w14:textId="77777777" w:rsidTr="00673117">
        <w:tc>
          <w:tcPr>
            <w:tcW w:w="9360" w:type="dxa"/>
            <w:tcBorders>
              <w:top w:val="single" w:sz="8" w:space="0" w:color="auto"/>
            </w:tcBorders>
          </w:tcPr>
          <w:p w14:paraId="50852BEF" w14:textId="77777777" w:rsidR="00E524EA" w:rsidRPr="00B120AE" w:rsidRDefault="00E524EA" w:rsidP="00E524EA">
            <w:pPr>
              <w:rPr>
                <w:lang w:val="en-CA"/>
              </w:rPr>
            </w:pPr>
          </w:p>
        </w:tc>
      </w:tr>
      <w:tr w:rsidR="00815D3B" w:rsidRPr="00820DA0" w14:paraId="50852BF2" w14:textId="77777777" w:rsidTr="00673117">
        <w:tc>
          <w:tcPr>
            <w:tcW w:w="9360" w:type="dxa"/>
          </w:tcPr>
          <w:p w14:paraId="50852BF1" w14:textId="7B504867" w:rsidR="00E524EA" w:rsidRPr="00B120AE" w:rsidRDefault="00A91B9A" w:rsidP="00E524EA">
            <w:pPr>
              <w:jc w:val="center"/>
              <w:rPr>
                <w:lang w:val="en-CA"/>
              </w:rPr>
            </w:pPr>
            <w:r>
              <w:rPr>
                <w:lang w:val="en-CA"/>
              </w:rPr>
              <w:t xml:space="preserve">REASONS OF </w:t>
            </w:r>
            <w:r w:rsidRPr="00A91B9A">
              <w:rPr>
                <w:lang w:val="en-CA"/>
              </w:rPr>
              <w:t>HARVIE</w:t>
            </w:r>
            <w:r>
              <w:rPr>
                <w:lang w:val="en-CA"/>
              </w:rPr>
              <w:t>, J.A.</w:t>
            </w:r>
          </w:p>
        </w:tc>
      </w:tr>
      <w:tr w:rsidR="00815D3B" w:rsidRPr="00820DA0" w14:paraId="50852BF4" w14:textId="77777777" w:rsidTr="00673117">
        <w:tc>
          <w:tcPr>
            <w:tcW w:w="9360" w:type="dxa"/>
            <w:tcBorders>
              <w:bottom w:val="single" w:sz="8" w:space="0" w:color="auto"/>
            </w:tcBorders>
          </w:tcPr>
          <w:p w14:paraId="50852BF3" w14:textId="77777777" w:rsidR="00E524EA" w:rsidRPr="00B120AE" w:rsidRDefault="00E524EA" w:rsidP="00E524EA">
            <w:pPr>
              <w:rPr>
                <w:lang w:val="en-CA"/>
              </w:rPr>
            </w:pPr>
          </w:p>
        </w:tc>
      </w:tr>
      <w:tr w:rsidR="00815D3B" w:rsidRPr="00820DA0" w14:paraId="50852BF6" w14:textId="77777777" w:rsidTr="00673117">
        <w:tc>
          <w:tcPr>
            <w:tcW w:w="9360" w:type="dxa"/>
            <w:tcBorders>
              <w:top w:val="single" w:sz="8" w:space="0" w:color="auto"/>
            </w:tcBorders>
          </w:tcPr>
          <w:p w14:paraId="50852BF5" w14:textId="77777777" w:rsidR="00E524EA" w:rsidRPr="00B120AE" w:rsidRDefault="00E524EA" w:rsidP="00E524EA">
            <w:pPr>
              <w:rPr>
                <w:lang w:val="en-CA"/>
              </w:rPr>
            </w:pPr>
          </w:p>
        </w:tc>
      </w:tr>
    </w:tbl>
    <w:p w14:paraId="50852BF7" w14:textId="56449D3D" w:rsidR="00E524EA" w:rsidRPr="00B120AE" w:rsidRDefault="001C0031" w:rsidP="00F01120">
      <w:pPr>
        <w:numPr>
          <w:ilvl w:val="0"/>
          <w:numId w:val="18"/>
        </w:numPr>
        <w:tabs>
          <w:tab w:val="clear" w:pos="720"/>
          <w:tab w:val="num" w:pos="993"/>
        </w:tabs>
        <w:spacing w:before="80" w:after="80" w:line="240" w:lineRule="auto"/>
        <w:jc w:val="both"/>
        <w:rPr>
          <w:kern w:val="28"/>
          <w:lang w:val="en-CA"/>
        </w:rPr>
      </w:pPr>
      <w:r w:rsidRPr="00B120AE">
        <w:rPr>
          <w:kern w:val="28"/>
          <w:lang w:val="en-CA"/>
        </w:rPr>
        <w:t xml:space="preserve">The appeal pertains to the effects of certain provisions of the </w:t>
      </w:r>
      <w:r w:rsidRPr="00B120AE">
        <w:rPr>
          <w:i/>
          <w:iCs/>
          <w:kern w:val="28"/>
          <w:lang w:val="en-CA"/>
        </w:rPr>
        <w:t>Tobacco Control Act</w:t>
      </w:r>
      <w:r w:rsidRPr="00B120AE">
        <w:rPr>
          <w:kern w:val="28"/>
          <w:vertAlign w:val="superscript"/>
          <w:lang w:val="en-CA"/>
        </w:rPr>
        <w:footnoteReference w:id="1"/>
      </w:r>
      <w:r w:rsidRPr="00B120AE">
        <w:rPr>
          <w:kern w:val="28"/>
          <w:lang w:val="en-CA"/>
        </w:rPr>
        <w:t xml:space="preserve"> (the </w:t>
      </w:r>
      <w:r w:rsidR="00282C6C">
        <w:rPr>
          <w:kern w:val="28"/>
          <w:lang w:val="en-CA"/>
        </w:rPr>
        <w:t>“</w:t>
      </w:r>
      <w:r w:rsidRPr="00B120AE">
        <w:rPr>
          <w:b/>
          <w:bCs/>
          <w:i/>
          <w:iCs/>
          <w:kern w:val="28"/>
          <w:lang w:val="en-CA"/>
        </w:rPr>
        <w:t>Act</w:t>
      </w:r>
      <w:r w:rsidR="00282C6C">
        <w:rPr>
          <w:kern w:val="28"/>
          <w:lang w:val="en-CA"/>
        </w:rPr>
        <w:t>”</w:t>
      </w:r>
      <w:r w:rsidRPr="00B120AE">
        <w:rPr>
          <w:kern w:val="28"/>
          <w:lang w:val="en-CA"/>
        </w:rPr>
        <w:t xml:space="preserve"> or </w:t>
      </w:r>
      <w:r w:rsidR="00282C6C">
        <w:rPr>
          <w:kern w:val="28"/>
          <w:lang w:val="en-CA"/>
        </w:rPr>
        <w:t>“</w:t>
      </w:r>
      <w:r w:rsidRPr="00B120AE">
        <w:rPr>
          <w:b/>
          <w:bCs/>
          <w:i/>
          <w:iCs/>
          <w:kern w:val="28"/>
          <w:lang w:val="en-CA"/>
        </w:rPr>
        <w:t>TCA</w:t>
      </w:r>
      <w:r w:rsidR="00282C6C">
        <w:rPr>
          <w:kern w:val="28"/>
          <w:lang w:val="en-CA"/>
        </w:rPr>
        <w:t>”</w:t>
      </w:r>
      <w:r w:rsidRPr="00B120AE">
        <w:rPr>
          <w:kern w:val="28"/>
          <w:lang w:val="en-CA"/>
        </w:rPr>
        <w:t xml:space="preserve">) and of the </w:t>
      </w:r>
      <w:r w:rsidRPr="00B120AE">
        <w:rPr>
          <w:i/>
          <w:iCs/>
          <w:kern w:val="28"/>
          <w:lang w:val="en-CA"/>
        </w:rPr>
        <w:t>Regulation under the Tobacco Control Act</w:t>
      </w:r>
      <w:r w:rsidRPr="00B120AE">
        <w:rPr>
          <w:kern w:val="28"/>
          <w:vertAlign w:val="superscript"/>
          <w:lang w:val="en-CA"/>
        </w:rPr>
        <w:footnoteReference w:id="2"/>
      </w:r>
      <w:r w:rsidRPr="00B120AE">
        <w:rPr>
          <w:kern w:val="28"/>
          <w:lang w:val="en-CA"/>
        </w:rPr>
        <w:t xml:space="preserve"> (the</w:t>
      </w:r>
      <w:r w:rsidR="002B10BC">
        <w:rPr>
          <w:kern w:val="28"/>
          <w:lang w:val="en-CA"/>
        </w:rPr>
        <w:t> </w:t>
      </w:r>
      <w:r w:rsidR="00282C6C">
        <w:rPr>
          <w:kern w:val="28"/>
          <w:lang w:val="en-CA"/>
        </w:rPr>
        <w:t>“</w:t>
      </w:r>
      <w:r w:rsidRPr="00B120AE">
        <w:rPr>
          <w:b/>
          <w:bCs/>
          <w:i/>
          <w:iCs/>
          <w:kern w:val="28"/>
          <w:lang w:val="en-CA"/>
        </w:rPr>
        <w:t>Regulation</w:t>
      </w:r>
      <w:r w:rsidR="00282C6C">
        <w:rPr>
          <w:kern w:val="28"/>
          <w:lang w:val="en-CA"/>
        </w:rPr>
        <w:t>”</w:t>
      </w:r>
      <w:r w:rsidRPr="00B120AE">
        <w:rPr>
          <w:kern w:val="28"/>
          <w:lang w:val="en-CA"/>
        </w:rPr>
        <w:t xml:space="preserve"> or </w:t>
      </w:r>
      <w:r w:rsidR="00282C6C">
        <w:rPr>
          <w:kern w:val="28"/>
          <w:lang w:val="en-CA"/>
        </w:rPr>
        <w:t>“</w:t>
      </w:r>
      <w:r w:rsidRPr="00B120AE">
        <w:rPr>
          <w:b/>
          <w:bCs/>
          <w:i/>
          <w:iCs/>
          <w:kern w:val="28"/>
          <w:lang w:val="en-CA"/>
        </w:rPr>
        <w:t>RTCA</w:t>
      </w:r>
      <w:r w:rsidR="00282C6C">
        <w:rPr>
          <w:kern w:val="28"/>
          <w:lang w:val="en-CA"/>
        </w:rPr>
        <w:t>”</w:t>
      </w:r>
      <w:r w:rsidRPr="00B120AE">
        <w:rPr>
          <w:kern w:val="28"/>
          <w:lang w:val="en-CA"/>
        </w:rPr>
        <w:t xml:space="preserve">) on a performing art, more specifically theatre. The issue is whether the provisions that prohibit smoking in enclosed spaces where activities of a cultural or artistic nature are presented, which provisions apply regardless of whether or not the smoking takes place within the scope of a theatrical performance, infringe freedom of artistic expression and, if so, whether such infringement is justified in a free and democratic society within the meaning of </w:t>
      </w:r>
      <w:r w:rsidR="008742D0">
        <w:rPr>
          <w:kern w:val="28"/>
          <w:lang w:val="en-CA"/>
        </w:rPr>
        <w:t>s. 1</w:t>
      </w:r>
      <w:r w:rsidRPr="00B120AE">
        <w:rPr>
          <w:kern w:val="28"/>
          <w:lang w:val="en-CA"/>
        </w:rPr>
        <w:t xml:space="preserve"> of the </w:t>
      </w:r>
      <w:r w:rsidRPr="00B120AE">
        <w:rPr>
          <w:i/>
          <w:iCs/>
          <w:kern w:val="28"/>
          <w:lang w:val="en-CA"/>
        </w:rPr>
        <w:t>Canadian Charter of Rights and Freedoms</w:t>
      </w:r>
      <w:r w:rsidRPr="00B120AE">
        <w:rPr>
          <w:rFonts w:cs="Arial"/>
          <w:kern w:val="28"/>
          <w:vertAlign w:val="superscript"/>
          <w:lang w:val="en-CA"/>
        </w:rPr>
        <w:footnoteReference w:id="3"/>
      </w:r>
      <w:r w:rsidRPr="00B120AE">
        <w:rPr>
          <w:kern w:val="28"/>
          <w:lang w:val="en-CA"/>
        </w:rPr>
        <w:t xml:space="preserve"> (the </w:t>
      </w:r>
      <w:r w:rsidR="00282C6C">
        <w:rPr>
          <w:kern w:val="28"/>
          <w:lang w:val="en-CA"/>
        </w:rPr>
        <w:t>“</w:t>
      </w:r>
      <w:r w:rsidRPr="00B120AE">
        <w:rPr>
          <w:b/>
          <w:bCs/>
          <w:i/>
          <w:iCs/>
          <w:kern w:val="28"/>
          <w:lang w:val="en-CA"/>
        </w:rPr>
        <w:t>Canadian Charter</w:t>
      </w:r>
      <w:r w:rsidR="00282C6C">
        <w:rPr>
          <w:kern w:val="28"/>
          <w:lang w:val="en-CA"/>
        </w:rPr>
        <w:t>”</w:t>
      </w:r>
      <w:r w:rsidRPr="00B120AE">
        <w:rPr>
          <w:kern w:val="28"/>
          <w:lang w:val="en-CA"/>
        </w:rPr>
        <w:t>).</w:t>
      </w:r>
    </w:p>
    <w:p w14:paraId="50852BF8" w14:textId="7D250C0A" w:rsidR="00E524EA" w:rsidRPr="00B120AE" w:rsidRDefault="001C0031" w:rsidP="00F01120">
      <w:pPr>
        <w:numPr>
          <w:ilvl w:val="0"/>
          <w:numId w:val="18"/>
        </w:numPr>
        <w:tabs>
          <w:tab w:val="clear" w:pos="720"/>
          <w:tab w:val="num" w:pos="993"/>
        </w:tabs>
        <w:spacing w:before="80" w:after="80" w:line="240" w:lineRule="auto"/>
        <w:jc w:val="both"/>
        <w:rPr>
          <w:kern w:val="28"/>
          <w:lang w:val="en-CA"/>
        </w:rPr>
      </w:pPr>
      <w:r w:rsidRPr="00B120AE">
        <w:rPr>
          <w:kern w:val="28"/>
          <w:lang w:val="en-CA"/>
        </w:rPr>
        <w:t xml:space="preserve">The matter at hand is therefore not a challenge to the general ban on smoking in enclosed public spaces, nor does it call into question the harmful effects of devices that can be used to inhale smoke. No one is arguing that smoking for personal purposes should be permitted in a place where cultural or artistic activities are presented, be it smoking by staff working there or by the public. The dispute, in fact, </w:t>
      </w:r>
      <w:r w:rsidR="008C07C6" w:rsidRPr="008C07C6">
        <w:rPr>
          <w:kern w:val="28"/>
          <w:lang w:val="en-CA"/>
        </w:rPr>
        <w:t>concerns the ban on performers smoking on stage for the purposes of the performance</w:t>
      </w:r>
      <w:r w:rsidRPr="00B120AE">
        <w:rPr>
          <w:kern w:val="28"/>
          <w:lang w:val="en-CA"/>
        </w:rPr>
        <w:t xml:space="preserve">. The Superior Court judge eloquently summarized the issues raised by this appeal: </w:t>
      </w:r>
    </w:p>
    <w:p w14:paraId="3839A09E" w14:textId="77777777" w:rsidR="00C6498C" w:rsidRDefault="001C0031" w:rsidP="00F01120">
      <w:pPr>
        <w:tabs>
          <w:tab w:val="num" w:pos="993"/>
        </w:tabs>
        <w:spacing w:before="80" w:after="80" w:line="240" w:lineRule="auto"/>
        <w:ind w:left="720" w:right="720"/>
        <w:jc w:val="both"/>
        <w:rPr>
          <w:kern w:val="24"/>
          <w:sz w:val="22"/>
          <w:lang w:val="en-CA"/>
        </w:rPr>
      </w:pPr>
      <w:r w:rsidRPr="00B120AE">
        <w:rPr>
          <w:kern w:val="24"/>
          <w:sz w:val="22"/>
          <w:lang w:val="en-CA"/>
        </w:rPr>
        <w:t>[</w:t>
      </w:r>
      <w:r w:rsidR="004D6ECE" w:rsidRPr="000456CB">
        <w:rPr>
          <w:smallCaps/>
          <w:kern w:val="24"/>
          <w:sz w:val="22"/>
          <w:lang w:val="en-CA"/>
        </w:rPr>
        <w:t>translation</w:t>
      </w:r>
      <w:r w:rsidRPr="00B120AE">
        <w:rPr>
          <w:kern w:val="24"/>
          <w:sz w:val="22"/>
          <w:lang w:val="en-CA"/>
        </w:rPr>
        <w:t>]</w:t>
      </w:r>
    </w:p>
    <w:p w14:paraId="50852BF9" w14:textId="15D38EF7" w:rsidR="00E524EA" w:rsidRPr="00B120AE" w:rsidRDefault="001C0031" w:rsidP="00F01120">
      <w:pPr>
        <w:tabs>
          <w:tab w:val="num" w:pos="993"/>
        </w:tabs>
        <w:spacing w:before="80" w:after="80" w:line="240" w:lineRule="auto"/>
        <w:ind w:left="720" w:right="720"/>
        <w:jc w:val="both"/>
        <w:rPr>
          <w:kern w:val="24"/>
          <w:sz w:val="22"/>
          <w:lang w:val="en-CA"/>
        </w:rPr>
      </w:pPr>
      <w:r w:rsidRPr="00B120AE">
        <w:rPr>
          <w:kern w:val="24"/>
          <w:sz w:val="22"/>
          <w:lang w:val="en-CA"/>
        </w:rPr>
        <w:t>[</w:t>
      </w:r>
      <w:bookmarkStart w:id="11" w:name="par1"/>
      <w:r w:rsidRPr="00B120AE">
        <w:rPr>
          <w:kern w:val="24"/>
          <w:sz w:val="22"/>
          <w:lang w:val="en-CA"/>
        </w:rPr>
        <w:t>1</w:t>
      </w:r>
      <w:bookmarkEnd w:id="11"/>
      <w:r w:rsidRPr="00B120AE">
        <w:rPr>
          <w:kern w:val="24"/>
          <w:sz w:val="22"/>
          <w:lang w:val="en-CA"/>
        </w:rPr>
        <w:t>]</w:t>
      </w:r>
      <w:r w:rsidRPr="00B120AE">
        <w:rPr>
          <w:kern w:val="24"/>
          <w:sz w:val="22"/>
          <w:lang w:val="en-CA"/>
        </w:rPr>
        <w:tab/>
      </w:r>
      <w:r w:rsidRPr="00B120AE">
        <w:rPr>
          <w:kern w:val="24"/>
          <w:sz w:val="22"/>
          <w:lang w:val="en-CA"/>
        </w:rPr>
        <w:tab/>
        <w:t xml:space="preserve">Does the artistic choice of a playwright, set designer or director to have actors smoke on the theatre stage when playing a role, and the fully conscious choice of the performers or actors to smoke on stage when playing their role, in accordance with the artistic choice of the creators, constitute an expressive activity protected by the right to freedom of expression [...]? In other words, does </w:t>
      </w:r>
      <w:bookmarkStart w:id="12" w:name="_Hlk152062450"/>
      <w:r w:rsidRPr="00B120AE">
        <w:rPr>
          <w:kern w:val="24"/>
          <w:sz w:val="22"/>
          <w:lang w:val="en-CA"/>
        </w:rPr>
        <w:t>the act of smoking on a theatre stage in the specific context of a play constitute an expressive activity when, in both form and content, this act is intended to convey meaning?</w:t>
      </w:r>
      <w:bookmarkEnd w:id="12"/>
      <w:r w:rsidRPr="00B120AE">
        <w:rPr>
          <w:kern w:val="24"/>
          <w:sz w:val="22"/>
          <w:lang w:val="en-CA"/>
        </w:rPr>
        <w:t xml:space="preserve"> If so, does the absolute prohibition against smoking in a public place that is imposed on everyone [...], when applied to an actor who smokes on a theatre stage because of an artistic choice, infringe the artistic [...] freedom of expression of creators and artists in the theatre and the arts? If that is the case, is the infringement justifiable in a free and democratic society?</w:t>
      </w:r>
      <w:r w:rsidRPr="00B120AE">
        <w:rPr>
          <w:kern w:val="24"/>
          <w:sz w:val="22"/>
          <w:vertAlign w:val="superscript"/>
          <w:lang w:val="en-CA"/>
        </w:rPr>
        <w:footnoteReference w:id="4"/>
      </w:r>
    </w:p>
    <w:p w14:paraId="50852BFA" w14:textId="77777777" w:rsidR="00E524EA" w:rsidRPr="00B120AE" w:rsidRDefault="001C0031" w:rsidP="00E524EA">
      <w:pPr>
        <w:tabs>
          <w:tab w:val="num" w:pos="993"/>
        </w:tabs>
        <w:spacing w:before="120" w:after="120" w:line="240" w:lineRule="auto"/>
        <w:ind w:left="720" w:right="720"/>
        <w:jc w:val="right"/>
        <w:rPr>
          <w:kern w:val="24"/>
          <w:sz w:val="22"/>
          <w:lang w:val="en-CA"/>
        </w:rPr>
      </w:pPr>
      <w:r w:rsidRPr="00B120AE">
        <w:rPr>
          <w:kern w:val="24"/>
          <w:sz w:val="22"/>
          <w:lang w:val="en-CA"/>
        </w:rPr>
        <w:t>[References omitted]</w:t>
      </w:r>
    </w:p>
    <w:p w14:paraId="50852BFB" w14:textId="77777777" w:rsidR="00E524EA" w:rsidRPr="00B120AE" w:rsidRDefault="001C0031" w:rsidP="00E524EA">
      <w:pPr>
        <w:keepNext/>
        <w:tabs>
          <w:tab w:val="num" w:pos="993"/>
        </w:tabs>
        <w:spacing w:before="120" w:after="120" w:line="240" w:lineRule="auto"/>
        <w:outlineLvl w:val="0"/>
        <w:rPr>
          <w:b/>
          <w:kern w:val="28"/>
          <w:sz w:val="28"/>
          <w:lang w:val="en-CA"/>
        </w:rPr>
      </w:pPr>
      <w:r w:rsidRPr="00B120AE">
        <w:rPr>
          <w:b/>
          <w:bCs/>
          <w:kern w:val="28"/>
          <w:sz w:val="28"/>
          <w:lang w:val="en-CA"/>
        </w:rPr>
        <w:lastRenderedPageBreak/>
        <w:t>BACKGROUND</w:t>
      </w:r>
    </w:p>
    <w:p w14:paraId="50852BFC" w14:textId="3C4FF77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116DBB">
        <w:rPr>
          <w:kern w:val="28"/>
        </w:rPr>
        <w:t xml:space="preserve">The </w:t>
      </w:r>
      <w:proofErr w:type="spellStart"/>
      <w:r w:rsidRPr="00116DBB">
        <w:rPr>
          <w:kern w:val="28"/>
        </w:rPr>
        <w:t>respondents</w:t>
      </w:r>
      <w:proofErr w:type="spellEnd"/>
      <w:r w:rsidRPr="00116DBB">
        <w:rPr>
          <w:kern w:val="28"/>
        </w:rPr>
        <w:t>, Théâtre du Trident inc. (</w:t>
      </w:r>
      <w:r w:rsidR="00282C6C" w:rsidRPr="00116DBB">
        <w:rPr>
          <w:kern w:val="28"/>
        </w:rPr>
        <w:t>“</w:t>
      </w:r>
      <w:r w:rsidRPr="00116DBB">
        <w:rPr>
          <w:b/>
          <w:bCs/>
          <w:kern w:val="28"/>
        </w:rPr>
        <w:t>Théâtre du Trident</w:t>
      </w:r>
      <w:r w:rsidR="00282C6C" w:rsidRPr="00116DBB">
        <w:rPr>
          <w:kern w:val="28"/>
        </w:rPr>
        <w:t>”</w:t>
      </w:r>
      <w:r w:rsidRPr="00116DBB">
        <w:rPr>
          <w:kern w:val="28"/>
        </w:rPr>
        <w:t xml:space="preserve">), Théâtre de la Bordée inc. </w:t>
      </w:r>
      <w:r w:rsidRPr="00B120AE">
        <w:rPr>
          <w:kern w:val="28"/>
          <w:lang w:val="en-CA"/>
        </w:rPr>
        <w:t>(</w:t>
      </w:r>
      <w:r w:rsidR="00282C6C">
        <w:rPr>
          <w:kern w:val="28"/>
          <w:lang w:val="en-CA"/>
        </w:rPr>
        <w:t>“</w:t>
      </w:r>
      <w:r w:rsidRPr="00B120AE">
        <w:rPr>
          <w:b/>
          <w:bCs/>
          <w:kern w:val="28"/>
          <w:lang w:val="en-CA"/>
        </w:rPr>
        <w:t xml:space="preserve">Théâtre de la </w:t>
      </w:r>
      <w:proofErr w:type="spellStart"/>
      <w:r w:rsidRPr="00B120AE">
        <w:rPr>
          <w:b/>
          <w:bCs/>
          <w:kern w:val="28"/>
          <w:lang w:val="en-CA"/>
        </w:rPr>
        <w:t>Bordée</w:t>
      </w:r>
      <w:proofErr w:type="spellEnd"/>
      <w:r w:rsidR="00282C6C">
        <w:rPr>
          <w:kern w:val="28"/>
          <w:lang w:val="en-CA"/>
        </w:rPr>
        <w:t>”</w:t>
      </w:r>
      <w:r w:rsidRPr="00B120AE">
        <w:rPr>
          <w:kern w:val="28"/>
          <w:lang w:val="en-CA"/>
        </w:rPr>
        <w:t xml:space="preserve">) and Premier </w:t>
      </w:r>
      <w:proofErr w:type="spellStart"/>
      <w:r w:rsidRPr="00B120AE">
        <w:rPr>
          <w:kern w:val="28"/>
          <w:lang w:val="en-CA"/>
        </w:rPr>
        <w:t>Acte</w:t>
      </w:r>
      <w:proofErr w:type="spellEnd"/>
      <w:r w:rsidRPr="00B120AE">
        <w:rPr>
          <w:kern w:val="28"/>
          <w:lang w:val="en-CA"/>
        </w:rPr>
        <w:t xml:space="preserve"> inc. (</w:t>
      </w:r>
      <w:r w:rsidR="00282C6C">
        <w:rPr>
          <w:kern w:val="28"/>
          <w:lang w:val="en-CA"/>
        </w:rPr>
        <w:t>“</w:t>
      </w:r>
      <w:r w:rsidRPr="00B120AE">
        <w:rPr>
          <w:b/>
          <w:bCs/>
          <w:kern w:val="28"/>
          <w:lang w:val="en-CA"/>
        </w:rPr>
        <w:t>Théâtre</w:t>
      </w:r>
      <w:r w:rsidRPr="00B120AE">
        <w:rPr>
          <w:kern w:val="28"/>
          <w:lang w:val="en-CA"/>
        </w:rPr>
        <w:t xml:space="preserve"> </w:t>
      </w:r>
      <w:r w:rsidRPr="00B120AE">
        <w:rPr>
          <w:b/>
          <w:bCs/>
          <w:kern w:val="28"/>
          <w:lang w:val="en-CA"/>
        </w:rPr>
        <w:t xml:space="preserve">Premier </w:t>
      </w:r>
      <w:proofErr w:type="spellStart"/>
      <w:r w:rsidRPr="00B120AE">
        <w:rPr>
          <w:b/>
          <w:bCs/>
          <w:kern w:val="28"/>
          <w:lang w:val="en-CA"/>
        </w:rPr>
        <w:t>Acte</w:t>
      </w:r>
      <w:proofErr w:type="spellEnd"/>
      <w:r w:rsidR="00282C6C">
        <w:rPr>
          <w:kern w:val="28"/>
          <w:lang w:val="en-CA"/>
        </w:rPr>
        <w:t>”</w:t>
      </w:r>
      <w:r w:rsidRPr="00B120AE">
        <w:rPr>
          <w:kern w:val="28"/>
          <w:lang w:val="en-CA"/>
        </w:rPr>
        <w:t xml:space="preserve">) (collectively, the </w:t>
      </w:r>
      <w:r w:rsidR="00282C6C">
        <w:rPr>
          <w:kern w:val="28"/>
          <w:lang w:val="en-CA"/>
        </w:rPr>
        <w:t>“</w:t>
      </w:r>
      <w:r w:rsidRPr="00B120AE">
        <w:rPr>
          <w:b/>
          <w:bCs/>
          <w:kern w:val="28"/>
          <w:lang w:val="en-CA"/>
        </w:rPr>
        <w:t>Theatres</w:t>
      </w:r>
      <w:r w:rsidR="00282C6C">
        <w:rPr>
          <w:kern w:val="28"/>
          <w:lang w:val="en-CA"/>
        </w:rPr>
        <w:t>”</w:t>
      </w:r>
      <w:r w:rsidRPr="00B120AE">
        <w:rPr>
          <w:kern w:val="28"/>
          <w:lang w:val="en-CA"/>
        </w:rPr>
        <w:t xml:space="preserve">), are three cultural organizations involved in theatre in the Quebec City region. Théâtre du Trident was founded in 1971, when three companies joined forces to create an institutional theatre in Quebec City. Its main mission is to present classical and contemporary works on stage, as well as new creations. Théâtre de la </w:t>
      </w:r>
      <w:proofErr w:type="spellStart"/>
      <w:r w:rsidRPr="00B120AE">
        <w:rPr>
          <w:kern w:val="28"/>
          <w:lang w:val="en-CA"/>
        </w:rPr>
        <w:t>Bordée</w:t>
      </w:r>
      <w:proofErr w:type="spellEnd"/>
      <w:r w:rsidRPr="00B120AE">
        <w:rPr>
          <w:kern w:val="28"/>
          <w:lang w:val="en-CA"/>
        </w:rPr>
        <w:t>, which was founded in 1976 by a group of young actors from the Conservatoire d</w:t>
      </w:r>
      <w:r w:rsidR="00282C6C">
        <w:rPr>
          <w:kern w:val="28"/>
          <w:lang w:val="en-CA"/>
        </w:rPr>
        <w:t>’</w:t>
      </w:r>
      <w:r w:rsidRPr="00B120AE">
        <w:rPr>
          <w:kern w:val="28"/>
          <w:lang w:val="en-CA"/>
        </w:rPr>
        <w:t xml:space="preserve">art dramatique de Québec, specializes in the production of contemporary dramatic works from around the world and from Quebec, as well as new creations. Lastly, Théâtre Premier </w:t>
      </w:r>
      <w:proofErr w:type="spellStart"/>
      <w:r w:rsidRPr="00B120AE">
        <w:rPr>
          <w:kern w:val="28"/>
          <w:lang w:val="en-CA"/>
        </w:rPr>
        <w:t>Acte</w:t>
      </w:r>
      <w:proofErr w:type="spellEnd"/>
      <w:r w:rsidRPr="00B120AE">
        <w:rPr>
          <w:kern w:val="28"/>
          <w:lang w:val="en-CA"/>
        </w:rPr>
        <w:t xml:space="preserve"> was founded in 1994 by three collectives comprising the next generation of theatre artists. It sought to bring together the projects of emerging companies under one roof, and its mission is to promote the presentation of works by young artists and self</w:t>
      </w:r>
      <w:r w:rsidR="00720901">
        <w:rPr>
          <w:kern w:val="28"/>
          <w:lang w:val="en-CA"/>
        </w:rPr>
        <w:noBreakHyphen/>
      </w:r>
      <w:r w:rsidRPr="00B120AE">
        <w:rPr>
          <w:kern w:val="28"/>
          <w:lang w:val="en-CA"/>
        </w:rPr>
        <w:t xml:space="preserve">managed projects by pooling financial, human and technical resources. </w:t>
      </w:r>
    </w:p>
    <w:p w14:paraId="50852BFD" w14:textId="29DD2232"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Between 2017 and 2019, the three Theatres received statements of offence imposing a fine of $500 (plus costs) for having </w:t>
      </w:r>
      <w:r w:rsidR="0078033F" w:rsidRPr="0078033F">
        <w:rPr>
          <w:smallCaps/>
          <w:kern w:val="28"/>
          <w:lang w:val="en-CA"/>
        </w:rPr>
        <w:t>[translation] </w:t>
      </w:r>
      <w:r w:rsidR="00282C6C">
        <w:rPr>
          <w:kern w:val="28"/>
          <w:lang w:val="en-CA"/>
        </w:rPr>
        <w:t>“</w:t>
      </w:r>
      <w:r w:rsidRPr="00B120AE">
        <w:rPr>
          <w:kern w:val="28"/>
          <w:lang w:val="en-CA"/>
        </w:rPr>
        <w:t>tolerated smoking in an area where smoking is prohibited</w:t>
      </w:r>
      <w:r w:rsidR="00282C6C">
        <w:rPr>
          <w:kern w:val="28"/>
          <w:lang w:val="en-CA"/>
        </w:rPr>
        <w:t>”</w:t>
      </w:r>
      <w:r w:rsidRPr="00B120AE">
        <w:rPr>
          <w:kern w:val="28"/>
          <w:lang w:val="en-CA"/>
        </w:rPr>
        <w:t xml:space="preserve">, contrary to </w:t>
      </w:r>
      <w:r w:rsidR="008742D0">
        <w:rPr>
          <w:kern w:val="28"/>
          <w:lang w:val="en-CA"/>
        </w:rPr>
        <w:t>s. 1</w:t>
      </w:r>
      <w:r w:rsidRPr="00B120AE">
        <w:rPr>
          <w:kern w:val="28"/>
          <w:lang w:val="en-CA"/>
        </w:rPr>
        <w:t xml:space="preserve">1 of the </w:t>
      </w:r>
      <w:r w:rsidRPr="00B120AE">
        <w:rPr>
          <w:i/>
          <w:iCs/>
          <w:kern w:val="28"/>
          <w:lang w:val="en-CA"/>
        </w:rPr>
        <w:t>Act</w:t>
      </w:r>
      <w:r w:rsidRPr="00B120AE">
        <w:rPr>
          <w:kern w:val="28"/>
          <w:lang w:val="en-CA"/>
        </w:rPr>
        <w:t xml:space="preserve">, which must be read in conjunction with </w:t>
      </w:r>
      <w:r w:rsidR="008742D0">
        <w:rPr>
          <w:kern w:val="28"/>
          <w:lang w:val="en-CA"/>
        </w:rPr>
        <w:t>s. 2</w:t>
      </w:r>
      <w:r w:rsidRPr="00B120AE">
        <w:rPr>
          <w:kern w:val="28"/>
          <w:lang w:val="en-CA"/>
        </w:rPr>
        <w:t xml:space="preserve"> par</w:t>
      </w:r>
      <w:r w:rsidR="008742D0">
        <w:rPr>
          <w:kern w:val="28"/>
          <w:lang w:val="en-CA"/>
        </w:rPr>
        <w:t>a. 1</w:t>
      </w:r>
      <w:r w:rsidRPr="00B120AE">
        <w:rPr>
          <w:kern w:val="28"/>
          <w:lang w:val="en-CA"/>
        </w:rPr>
        <w:t xml:space="preserve">(5) of the </w:t>
      </w:r>
      <w:r w:rsidRPr="00B120AE">
        <w:rPr>
          <w:i/>
          <w:iCs/>
          <w:kern w:val="28"/>
          <w:lang w:val="en-CA"/>
        </w:rPr>
        <w:t>Act</w:t>
      </w:r>
      <w:r w:rsidRPr="00B120AE">
        <w:rPr>
          <w:kern w:val="28"/>
          <w:lang w:val="en-CA"/>
        </w:rPr>
        <w:t xml:space="preserve"> and </w:t>
      </w:r>
      <w:r w:rsidR="008742D0">
        <w:rPr>
          <w:kern w:val="28"/>
          <w:lang w:val="en-CA"/>
        </w:rPr>
        <w:t>s. 1</w:t>
      </w:r>
      <w:r w:rsidRPr="00B120AE">
        <w:rPr>
          <w:kern w:val="28"/>
          <w:lang w:val="en-CA"/>
        </w:rPr>
        <w:t xml:space="preserve"> of the </w:t>
      </w:r>
      <w:r w:rsidRPr="00B120AE">
        <w:rPr>
          <w:i/>
          <w:iCs/>
          <w:kern w:val="28"/>
          <w:lang w:val="en-CA"/>
        </w:rPr>
        <w:t>Regulation</w:t>
      </w:r>
      <w:r w:rsidRPr="00B120AE">
        <w:rPr>
          <w:kern w:val="28"/>
          <w:lang w:val="en-CA"/>
        </w:rPr>
        <w:t>.</w:t>
      </w:r>
      <w:r w:rsidRPr="00B120AE">
        <w:rPr>
          <w:kern w:val="28"/>
          <w:vertAlign w:val="superscript"/>
          <w:lang w:val="en-CA"/>
        </w:rPr>
        <w:footnoteReference w:id="5"/>
      </w:r>
      <w:r w:rsidRPr="00B120AE">
        <w:rPr>
          <w:kern w:val="28"/>
          <w:lang w:val="en-CA"/>
        </w:rPr>
        <w:t xml:space="preserve"> The parties rely on the Superior Court judge</w:t>
      </w:r>
      <w:r w:rsidR="00282C6C">
        <w:rPr>
          <w:kern w:val="28"/>
          <w:lang w:val="en-CA"/>
        </w:rPr>
        <w:t>’</w:t>
      </w:r>
      <w:r w:rsidRPr="00B120AE">
        <w:rPr>
          <w:kern w:val="28"/>
          <w:lang w:val="en-CA"/>
        </w:rPr>
        <w:t>s summary of the facts:</w:t>
      </w:r>
    </w:p>
    <w:p w14:paraId="24A8A62C" w14:textId="77777777" w:rsidR="00C6498C" w:rsidRDefault="001C0031" w:rsidP="00E524EA">
      <w:pPr>
        <w:tabs>
          <w:tab w:val="left" w:pos="1418"/>
        </w:tabs>
        <w:spacing w:before="120" w:after="120" w:line="240" w:lineRule="auto"/>
        <w:ind w:left="720" w:right="720"/>
        <w:jc w:val="both"/>
        <w:rPr>
          <w:kern w:val="24"/>
          <w:sz w:val="22"/>
          <w:lang w:val="en-CA" w:eastAsia="fr-CA"/>
        </w:rPr>
      </w:pPr>
      <w:bookmarkStart w:id="13" w:name="_Hlk147935001"/>
      <w:r w:rsidRPr="00B120AE">
        <w:rPr>
          <w:kern w:val="24"/>
          <w:sz w:val="22"/>
          <w:lang w:val="en-CA" w:eastAsia="fr-CA"/>
        </w:rPr>
        <w:t>[</w:t>
      </w:r>
      <w:r w:rsidR="004D6ECE" w:rsidRPr="006D7A10">
        <w:rPr>
          <w:smallCaps/>
          <w:kern w:val="24"/>
          <w:sz w:val="22"/>
          <w:lang w:val="en-CA" w:eastAsia="fr-CA"/>
        </w:rPr>
        <w:t>translation</w:t>
      </w:r>
      <w:r w:rsidRPr="00B120AE">
        <w:rPr>
          <w:kern w:val="24"/>
          <w:sz w:val="22"/>
          <w:lang w:val="en-CA" w:eastAsia="fr-CA"/>
        </w:rPr>
        <w:t>]</w:t>
      </w:r>
    </w:p>
    <w:p w14:paraId="50852BFE" w14:textId="310A2746" w:rsidR="00E524EA" w:rsidRPr="00B120AE" w:rsidRDefault="001C0031" w:rsidP="00E524EA">
      <w:pPr>
        <w:tabs>
          <w:tab w:val="left" w:pos="1418"/>
        </w:tabs>
        <w:spacing w:before="120" w:after="120" w:line="240" w:lineRule="auto"/>
        <w:ind w:left="720" w:right="720"/>
        <w:jc w:val="both"/>
        <w:rPr>
          <w:kern w:val="24"/>
          <w:sz w:val="22"/>
          <w:lang w:val="en-CA" w:eastAsia="fr-CA"/>
        </w:rPr>
      </w:pPr>
      <w:r w:rsidRPr="00B120AE">
        <w:rPr>
          <w:kern w:val="24"/>
          <w:sz w:val="22"/>
          <w:lang w:val="en-CA" w:eastAsia="fr-CA"/>
        </w:rPr>
        <w:t>[</w:t>
      </w:r>
      <w:bookmarkStart w:id="14" w:name="par5"/>
      <w:bookmarkEnd w:id="14"/>
      <w:r w:rsidRPr="00B120AE">
        <w:rPr>
          <w:kern w:val="24"/>
          <w:sz w:val="22"/>
          <w:lang w:val="en-CA" w:eastAsia="fr-CA"/>
        </w:rPr>
        <w:t>5]</w:t>
      </w:r>
      <w:r w:rsidRPr="00B120AE">
        <w:rPr>
          <w:kern w:val="24"/>
          <w:sz w:val="22"/>
          <w:lang w:val="en-CA" w:eastAsia="fr-CA"/>
        </w:rPr>
        <w:tab/>
        <w:t xml:space="preserve">In the fall of 2017, appellant Le Théâtre du Trident inc. presented the play </w:t>
      </w:r>
      <w:r w:rsidR="00282C6C">
        <w:rPr>
          <w:kern w:val="24"/>
          <w:sz w:val="22"/>
          <w:lang w:val="en-CA" w:eastAsia="fr-CA"/>
        </w:rPr>
        <w:t>“</w:t>
      </w:r>
      <w:r w:rsidRPr="00B120AE">
        <w:rPr>
          <w:i/>
          <w:iCs/>
          <w:kern w:val="24"/>
          <w:sz w:val="22"/>
          <w:lang w:val="en-CA" w:eastAsia="fr-CA"/>
        </w:rPr>
        <w:t xml:space="preserve">Le </w:t>
      </w:r>
      <w:proofErr w:type="spellStart"/>
      <w:r w:rsidRPr="00B120AE">
        <w:rPr>
          <w:i/>
          <w:iCs/>
          <w:kern w:val="24"/>
          <w:sz w:val="22"/>
          <w:lang w:val="en-CA" w:eastAsia="fr-CA"/>
        </w:rPr>
        <w:t>cas</w:t>
      </w:r>
      <w:proofErr w:type="spellEnd"/>
      <w:r w:rsidRPr="00B120AE">
        <w:rPr>
          <w:i/>
          <w:iCs/>
          <w:kern w:val="24"/>
          <w:sz w:val="22"/>
          <w:lang w:val="en-CA" w:eastAsia="fr-CA"/>
        </w:rPr>
        <w:t xml:space="preserve"> de </w:t>
      </w:r>
      <w:proofErr w:type="spellStart"/>
      <w:r w:rsidRPr="00B120AE">
        <w:rPr>
          <w:i/>
          <w:iCs/>
          <w:kern w:val="24"/>
          <w:sz w:val="22"/>
          <w:lang w:val="en-CA" w:eastAsia="fr-CA"/>
        </w:rPr>
        <w:t>Joé</w:t>
      </w:r>
      <w:proofErr w:type="spellEnd"/>
      <w:r w:rsidRPr="00B120AE">
        <w:rPr>
          <w:i/>
          <w:iCs/>
          <w:kern w:val="24"/>
          <w:sz w:val="22"/>
          <w:lang w:val="en-CA" w:eastAsia="fr-CA"/>
        </w:rPr>
        <w:t xml:space="preserve"> Ferguson</w:t>
      </w:r>
      <w:r w:rsidR="00282C6C">
        <w:rPr>
          <w:kern w:val="24"/>
          <w:sz w:val="22"/>
          <w:lang w:val="en-CA" w:eastAsia="fr-CA"/>
        </w:rPr>
        <w:t>”</w:t>
      </w:r>
      <w:r w:rsidRPr="00B120AE">
        <w:rPr>
          <w:kern w:val="24"/>
          <w:sz w:val="22"/>
          <w:lang w:val="en-CA" w:eastAsia="fr-CA"/>
        </w:rPr>
        <w:t xml:space="preserve"> in the Octave</w:t>
      </w:r>
      <w:r w:rsidR="00720901">
        <w:rPr>
          <w:kern w:val="24"/>
          <w:sz w:val="22"/>
          <w:lang w:val="en-CA" w:eastAsia="fr-CA"/>
        </w:rPr>
        <w:noBreakHyphen/>
      </w:r>
      <w:r w:rsidRPr="00B120AE">
        <w:rPr>
          <w:kern w:val="24"/>
          <w:sz w:val="22"/>
          <w:lang w:val="en-CA" w:eastAsia="fr-CA"/>
        </w:rPr>
        <w:t>Crémazie hall of the Grand Théâtre de Québec. The work is by author Isabelle Hubert. The play was staged by director Jean</w:t>
      </w:r>
      <w:r w:rsidR="00720901">
        <w:rPr>
          <w:kern w:val="24"/>
          <w:sz w:val="22"/>
          <w:lang w:val="en-CA" w:eastAsia="fr-CA"/>
        </w:rPr>
        <w:noBreakHyphen/>
      </w:r>
      <w:r w:rsidRPr="00B120AE">
        <w:rPr>
          <w:kern w:val="24"/>
          <w:sz w:val="22"/>
          <w:lang w:val="en-CA" w:eastAsia="fr-CA"/>
        </w:rPr>
        <w:t>Sébastien Ouellet. The roles were played by actors Joëlle Bond, Sylvie Drapeau, Valérie Laroche and Steven Lee Potvin. The play illustrates the self</w:t>
      </w:r>
      <w:r w:rsidR="00720901">
        <w:rPr>
          <w:kern w:val="24"/>
          <w:sz w:val="22"/>
          <w:lang w:val="en-CA" w:eastAsia="fr-CA"/>
        </w:rPr>
        <w:noBreakHyphen/>
      </w:r>
      <w:r w:rsidRPr="00B120AE">
        <w:rPr>
          <w:kern w:val="24"/>
          <w:sz w:val="22"/>
          <w:lang w:val="en-CA" w:eastAsia="fr-CA"/>
        </w:rPr>
        <w:t>destructive behaviour of a once popular singer. In the play, actors smoke two herbal cigarettes. The choice to have the performers smoke by using realistic props is a conscious one. It serves to create a universe and convey a message.</w:t>
      </w:r>
      <w:bookmarkEnd w:id="13"/>
      <w:r w:rsidRPr="00B120AE">
        <w:rPr>
          <w:kern w:val="24"/>
          <w:sz w:val="22"/>
          <w:lang w:val="en-CA" w:eastAsia="fr-CA"/>
        </w:rPr>
        <w:t xml:space="preserve"> </w:t>
      </w:r>
    </w:p>
    <w:p w14:paraId="50852BFF" w14:textId="7F5F83D8" w:rsidR="00E524EA" w:rsidRPr="00B120AE" w:rsidRDefault="001C0031" w:rsidP="00E524EA">
      <w:pPr>
        <w:tabs>
          <w:tab w:val="left" w:pos="1418"/>
        </w:tabs>
        <w:spacing w:before="120" w:after="120" w:line="240" w:lineRule="auto"/>
        <w:ind w:left="720" w:right="720"/>
        <w:jc w:val="both"/>
        <w:rPr>
          <w:kern w:val="24"/>
          <w:sz w:val="22"/>
          <w:lang w:val="en-CA"/>
        </w:rPr>
      </w:pPr>
      <w:r w:rsidRPr="00B120AE">
        <w:rPr>
          <w:kern w:val="24"/>
          <w:sz w:val="22"/>
          <w:lang w:val="en-CA"/>
        </w:rPr>
        <w:t>[</w:t>
      </w:r>
      <w:bookmarkStart w:id="15" w:name="par6"/>
      <w:r w:rsidRPr="00B120AE">
        <w:rPr>
          <w:kern w:val="24"/>
          <w:sz w:val="22"/>
          <w:lang w:val="en-CA"/>
        </w:rPr>
        <w:t>6</w:t>
      </w:r>
      <w:bookmarkEnd w:id="15"/>
      <w:r w:rsidRPr="00B120AE">
        <w:rPr>
          <w:kern w:val="24"/>
          <w:sz w:val="22"/>
          <w:lang w:val="en-CA"/>
        </w:rPr>
        <w:t>]</w:t>
      </w:r>
      <w:r w:rsidRPr="00B120AE">
        <w:rPr>
          <w:kern w:val="24"/>
          <w:sz w:val="14"/>
          <w:szCs w:val="14"/>
          <w:lang w:val="en-CA"/>
        </w:rPr>
        <w:tab/>
      </w:r>
      <w:r w:rsidRPr="00B120AE">
        <w:rPr>
          <w:kern w:val="24"/>
          <w:sz w:val="22"/>
          <w:lang w:val="en-CA"/>
        </w:rPr>
        <w:t xml:space="preserve">Following a visit by inspectors, a statement of offence was issued against appellant Le Théâtre du Trident inc. It was charged with tolerating smoking in a public area where smoking is prohibited. </w:t>
      </w:r>
      <w:bookmarkStart w:id="16" w:name="_Hlk152056133"/>
      <w:r w:rsidRPr="00B120AE">
        <w:rPr>
          <w:kern w:val="24"/>
          <w:sz w:val="22"/>
          <w:lang w:val="en-CA"/>
        </w:rPr>
        <w:t xml:space="preserve">The act in question was that of performers </w:t>
      </w:r>
      <w:bookmarkEnd w:id="16"/>
      <w:r w:rsidRPr="00B120AE">
        <w:rPr>
          <w:kern w:val="24"/>
          <w:sz w:val="22"/>
          <w:lang w:val="en-CA"/>
        </w:rPr>
        <w:t xml:space="preserve">who </w:t>
      </w:r>
      <w:r w:rsidR="003F456E">
        <w:rPr>
          <w:kern w:val="24"/>
          <w:sz w:val="22"/>
          <w:lang w:val="en-CA"/>
        </w:rPr>
        <w:t xml:space="preserve">portrayed </w:t>
      </w:r>
      <w:r w:rsidRPr="00B120AE">
        <w:rPr>
          <w:kern w:val="24"/>
          <w:sz w:val="22"/>
          <w:lang w:val="en-CA"/>
        </w:rPr>
        <w:t>the action of smoking on stage in the Octave</w:t>
      </w:r>
      <w:r w:rsidR="00720901">
        <w:rPr>
          <w:kern w:val="24"/>
          <w:sz w:val="22"/>
          <w:lang w:val="en-CA"/>
        </w:rPr>
        <w:noBreakHyphen/>
      </w:r>
      <w:r w:rsidRPr="00B120AE">
        <w:rPr>
          <w:kern w:val="24"/>
          <w:sz w:val="22"/>
          <w:lang w:val="en-CA"/>
        </w:rPr>
        <w:t>Crémazie hall.</w:t>
      </w:r>
    </w:p>
    <w:p w14:paraId="50852C00" w14:textId="77777777" w:rsidR="00E524EA" w:rsidRPr="00B120AE" w:rsidRDefault="001C0031" w:rsidP="00E524EA">
      <w:pPr>
        <w:tabs>
          <w:tab w:val="left" w:pos="1418"/>
        </w:tabs>
        <w:spacing w:before="120" w:after="120" w:line="240" w:lineRule="auto"/>
        <w:ind w:left="720" w:right="720"/>
        <w:jc w:val="center"/>
        <w:rPr>
          <w:kern w:val="24"/>
          <w:sz w:val="27"/>
          <w:szCs w:val="27"/>
          <w:lang w:val="en-CA"/>
        </w:rPr>
      </w:pPr>
      <w:r w:rsidRPr="00B120AE">
        <w:rPr>
          <w:kern w:val="24"/>
          <w:sz w:val="22"/>
          <w:lang w:val="en-CA"/>
        </w:rPr>
        <w:t>*</w:t>
      </w:r>
    </w:p>
    <w:p w14:paraId="50852C01" w14:textId="51E06CB7" w:rsidR="00E524EA" w:rsidRPr="00B120AE" w:rsidRDefault="001C0031" w:rsidP="00E524EA">
      <w:pPr>
        <w:tabs>
          <w:tab w:val="left" w:pos="1418"/>
        </w:tabs>
        <w:spacing w:before="120" w:after="120" w:line="240" w:lineRule="auto"/>
        <w:ind w:left="720" w:right="720"/>
        <w:jc w:val="both"/>
        <w:rPr>
          <w:kern w:val="24"/>
          <w:sz w:val="22"/>
          <w:szCs w:val="24"/>
          <w:lang w:val="en-CA"/>
        </w:rPr>
      </w:pPr>
      <w:r w:rsidRPr="00B120AE">
        <w:rPr>
          <w:kern w:val="24"/>
          <w:sz w:val="22"/>
          <w:szCs w:val="24"/>
          <w:lang w:val="en-CA"/>
        </w:rPr>
        <w:lastRenderedPageBreak/>
        <w:t>[</w:t>
      </w:r>
      <w:bookmarkStart w:id="17" w:name="par7"/>
      <w:r w:rsidRPr="00B120AE">
        <w:rPr>
          <w:kern w:val="24"/>
          <w:sz w:val="22"/>
          <w:szCs w:val="24"/>
          <w:lang w:val="en-CA"/>
        </w:rPr>
        <w:t>7</w:t>
      </w:r>
      <w:bookmarkEnd w:id="17"/>
      <w:r w:rsidRPr="00B120AE">
        <w:rPr>
          <w:kern w:val="24"/>
          <w:sz w:val="22"/>
          <w:szCs w:val="24"/>
          <w:lang w:val="en-CA"/>
        </w:rPr>
        <w:t>]</w:t>
      </w:r>
      <w:r w:rsidRPr="00B120AE">
        <w:rPr>
          <w:kern w:val="24"/>
          <w:sz w:val="14"/>
          <w:szCs w:val="14"/>
          <w:lang w:val="en-CA"/>
        </w:rPr>
        <w:tab/>
      </w:r>
      <w:r w:rsidRPr="00B120AE">
        <w:rPr>
          <w:kern w:val="24"/>
          <w:sz w:val="22"/>
          <w:szCs w:val="24"/>
          <w:lang w:val="en-CA"/>
        </w:rPr>
        <w:t xml:space="preserve">In the fall of 2018, appellant Premier </w:t>
      </w:r>
      <w:proofErr w:type="spellStart"/>
      <w:r w:rsidRPr="00B120AE">
        <w:rPr>
          <w:kern w:val="24"/>
          <w:sz w:val="22"/>
          <w:szCs w:val="24"/>
          <w:lang w:val="en-CA"/>
        </w:rPr>
        <w:t>Acte</w:t>
      </w:r>
      <w:proofErr w:type="spellEnd"/>
      <w:r w:rsidRPr="00B120AE">
        <w:rPr>
          <w:kern w:val="24"/>
          <w:sz w:val="22"/>
          <w:szCs w:val="24"/>
          <w:lang w:val="en-CA"/>
        </w:rPr>
        <w:t xml:space="preserve"> inc. presented the play </w:t>
      </w:r>
      <w:r w:rsidR="00282C6C">
        <w:rPr>
          <w:kern w:val="24"/>
          <w:sz w:val="22"/>
          <w:szCs w:val="24"/>
          <w:lang w:val="en-CA"/>
        </w:rPr>
        <w:t>“</w:t>
      </w:r>
      <w:r w:rsidRPr="00B120AE">
        <w:rPr>
          <w:i/>
          <w:iCs/>
          <w:kern w:val="24"/>
          <w:sz w:val="22"/>
          <w:szCs w:val="24"/>
          <w:lang w:val="en-CA"/>
        </w:rPr>
        <w:t xml:space="preserve">Conversations avec </w:t>
      </w:r>
      <w:proofErr w:type="spellStart"/>
      <w:r w:rsidRPr="00B120AE">
        <w:rPr>
          <w:i/>
          <w:iCs/>
          <w:kern w:val="24"/>
          <w:sz w:val="22"/>
          <w:szCs w:val="24"/>
          <w:lang w:val="en-CA"/>
        </w:rPr>
        <w:t>mon</w:t>
      </w:r>
      <w:proofErr w:type="spellEnd"/>
      <w:r w:rsidRPr="00B120AE">
        <w:rPr>
          <w:i/>
          <w:iCs/>
          <w:kern w:val="24"/>
          <w:sz w:val="22"/>
          <w:szCs w:val="24"/>
          <w:lang w:val="en-CA"/>
        </w:rPr>
        <w:t xml:space="preserve"> </w:t>
      </w:r>
      <w:proofErr w:type="spellStart"/>
      <w:r w:rsidRPr="00B120AE">
        <w:rPr>
          <w:i/>
          <w:iCs/>
          <w:kern w:val="24"/>
          <w:sz w:val="22"/>
          <w:szCs w:val="24"/>
          <w:lang w:val="en-CA"/>
        </w:rPr>
        <w:t>pénis</w:t>
      </w:r>
      <w:proofErr w:type="spellEnd"/>
      <w:r w:rsidR="00282C6C">
        <w:rPr>
          <w:kern w:val="24"/>
          <w:sz w:val="22"/>
          <w:szCs w:val="24"/>
          <w:lang w:val="en-CA"/>
        </w:rPr>
        <w:t>”</w:t>
      </w:r>
      <w:r w:rsidRPr="00B120AE">
        <w:rPr>
          <w:kern w:val="24"/>
          <w:sz w:val="22"/>
          <w:szCs w:val="24"/>
          <w:lang w:val="en-CA"/>
        </w:rPr>
        <w:t>. The work is by Dean Hewison. The play was directed by David Strasbourg. The roles were played by actors Marc</w:t>
      </w:r>
      <w:r w:rsidR="00720901">
        <w:rPr>
          <w:kern w:val="24"/>
          <w:sz w:val="22"/>
          <w:szCs w:val="24"/>
          <w:lang w:val="en-CA"/>
        </w:rPr>
        <w:noBreakHyphen/>
      </w:r>
      <w:r w:rsidRPr="00B120AE">
        <w:rPr>
          <w:kern w:val="24"/>
          <w:sz w:val="22"/>
          <w:szCs w:val="24"/>
          <w:lang w:val="en-CA"/>
        </w:rPr>
        <w:t>André Thibault and Mary</w:t>
      </w:r>
      <w:r w:rsidR="00720901">
        <w:rPr>
          <w:kern w:val="24"/>
          <w:sz w:val="22"/>
          <w:szCs w:val="24"/>
          <w:lang w:val="en-CA"/>
        </w:rPr>
        <w:noBreakHyphen/>
      </w:r>
      <w:r w:rsidRPr="00B120AE">
        <w:rPr>
          <w:kern w:val="24"/>
          <w:sz w:val="22"/>
          <w:szCs w:val="24"/>
          <w:lang w:val="en-CA"/>
        </w:rPr>
        <w:t>Lee Picknell. The play deals with a case of existential crisis, sexual dissatisfaction and self</w:t>
      </w:r>
      <w:r w:rsidR="00720901">
        <w:rPr>
          <w:kern w:val="24"/>
          <w:sz w:val="22"/>
          <w:szCs w:val="24"/>
          <w:lang w:val="en-CA"/>
        </w:rPr>
        <w:noBreakHyphen/>
      </w:r>
      <w:r w:rsidRPr="00B120AE">
        <w:rPr>
          <w:kern w:val="24"/>
          <w:sz w:val="22"/>
          <w:szCs w:val="24"/>
          <w:lang w:val="en-CA"/>
        </w:rPr>
        <w:t xml:space="preserve">destructive behaviour. </w:t>
      </w:r>
      <w:bookmarkStart w:id="18" w:name="_Hlk152056302"/>
      <w:r w:rsidRPr="00B120AE">
        <w:rPr>
          <w:kern w:val="24"/>
          <w:sz w:val="22"/>
          <w:szCs w:val="24"/>
          <w:lang w:val="en-CA"/>
        </w:rPr>
        <w:t>In the play</w:t>
      </w:r>
      <w:bookmarkEnd w:id="18"/>
      <w:r w:rsidRPr="00B120AE">
        <w:rPr>
          <w:kern w:val="24"/>
          <w:sz w:val="22"/>
          <w:szCs w:val="24"/>
          <w:lang w:val="en-CA"/>
        </w:rPr>
        <w:t>, a performer smokes an herbal cigarette. Spectators are informed about this in advance. The choice of the director and the actors to depict the act of smoking on stage is deliberate. Here, again, the use of a realistic accessory serves to create a universe and convey a message.</w:t>
      </w:r>
    </w:p>
    <w:p w14:paraId="50852C02" w14:textId="77777777" w:rsidR="00E524EA" w:rsidRPr="00B120AE" w:rsidRDefault="001C0031" w:rsidP="00E524EA">
      <w:pPr>
        <w:tabs>
          <w:tab w:val="left" w:pos="1418"/>
        </w:tabs>
        <w:spacing w:before="120" w:after="120" w:line="240" w:lineRule="auto"/>
        <w:ind w:left="720" w:right="720"/>
        <w:jc w:val="both"/>
        <w:rPr>
          <w:kern w:val="24"/>
          <w:sz w:val="22"/>
          <w:lang w:val="en-CA"/>
        </w:rPr>
      </w:pPr>
      <w:r w:rsidRPr="00B120AE">
        <w:rPr>
          <w:kern w:val="24"/>
          <w:sz w:val="22"/>
          <w:lang w:val="en-CA"/>
        </w:rPr>
        <w:t>[</w:t>
      </w:r>
      <w:bookmarkStart w:id="19" w:name="par8"/>
      <w:r w:rsidRPr="00B120AE">
        <w:rPr>
          <w:kern w:val="24"/>
          <w:sz w:val="22"/>
          <w:lang w:val="en-CA"/>
        </w:rPr>
        <w:t>8</w:t>
      </w:r>
      <w:bookmarkEnd w:id="19"/>
      <w:r w:rsidRPr="00B120AE">
        <w:rPr>
          <w:kern w:val="24"/>
          <w:sz w:val="22"/>
          <w:lang w:val="en-CA"/>
        </w:rPr>
        <w:t>]</w:t>
      </w:r>
      <w:r w:rsidRPr="00B120AE">
        <w:rPr>
          <w:kern w:val="24"/>
          <w:sz w:val="14"/>
          <w:szCs w:val="14"/>
          <w:lang w:val="en-CA"/>
        </w:rPr>
        <w:tab/>
      </w:r>
      <w:r w:rsidRPr="00B120AE">
        <w:rPr>
          <w:kern w:val="24"/>
          <w:sz w:val="22"/>
          <w:lang w:val="en-CA"/>
        </w:rPr>
        <w:t xml:space="preserve">Following a visit by inspectors during one of the performances, a statement of offence was issued against appellant Premier </w:t>
      </w:r>
      <w:proofErr w:type="spellStart"/>
      <w:r w:rsidRPr="00B120AE">
        <w:rPr>
          <w:kern w:val="24"/>
          <w:sz w:val="22"/>
          <w:lang w:val="en-CA"/>
        </w:rPr>
        <w:t>Acte</w:t>
      </w:r>
      <w:proofErr w:type="spellEnd"/>
      <w:r w:rsidRPr="00B120AE">
        <w:rPr>
          <w:kern w:val="24"/>
          <w:sz w:val="22"/>
          <w:lang w:val="en-CA"/>
        </w:rPr>
        <w:t xml:space="preserve">. It was charged with tolerating smoking in a public area where smoking is prohibited. </w:t>
      </w:r>
      <w:bookmarkStart w:id="20" w:name="_Hlk152056965"/>
      <w:r w:rsidRPr="00B120AE">
        <w:rPr>
          <w:kern w:val="24"/>
          <w:sz w:val="22"/>
          <w:lang w:val="en-CA"/>
        </w:rPr>
        <w:t>The act in question was that of the performer who portrayed the action of smoking on stage</w:t>
      </w:r>
      <w:bookmarkEnd w:id="20"/>
      <w:r w:rsidRPr="00B120AE">
        <w:rPr>
          <w:kern w:val="24"/>
          <w:sz w:val="22"/>
          <w:lang w:val="en-CA"/>
        </w:rPr>
        <w:t>.</w:t>
      </w:r>
    </w:p>
    <w:p w14:paraId="50852C03" w14:textId="77777777" w:rsidR="00E524EA" w:rsidRPr="00B120AE" w:rsidRDefault="001C0031" w:rsidP="00E524EA">
      <w:pPr>
        <w:tabs>
          <w:tab w:val="left" w:pos="1418"/>
        </w:tabs>
        <w:spacing w:before="120" w:after="120" w:line="240" w:lineRule="auto"/>
        <w:ind w:left="720" w:right="720"/>
        <w:jc w:val="center"/>
        <w:rPr>
          <w:kern w:val="24"/>
          <w:sz w:val="27"/>
          <w:szCs w:val="27"/>
          <w:lang w:val="en-CA"/>
        </w:rPr>
      </w:pPr>
      <w:r w:rsidRPr="00B120AE">
        <w:rPr>
          <w:kern w:val="24"/>
          <w:sz w:val="22"/>
          <w:lang w:val="en-CA"/>
        </w:rPr>
        <w:t>*</w:t>
      </w:r>
    </w:p>
    <w:p w14:paraId="50852C04" w14:textId="5CD8093A" w:rsidR="00E524EA" w:rsidRPr="00B120AE" w:rsidRDefault="001C0031" w:rsidP="00E524EA">
      <w:pPr>
        <w:tabs>
          <w:tab w:val="left" w:pos="1418"/>
        </w:tabs>
        <w:spacing w:before="120" w:after="120" w:line="240" w:lineRule="auto"/>
        <w:ind w:left="720" w:right="720"/>
        <w:jc w:val="both"/>
        <w:rPr>
          <w:kern w:val="24"/>
          <w:sz w:val="22"/>
          <w:szCs w:val="24"/>
          <w:lang w:val="en-CA"/>
        </w:rPr>
      </w:pPr>
      <w:r w:rsidRPr="00B120AE">
        <w:rPr>
          <w:kern w:val="24"/>
          <w:sz w:val="22"/>
          <w:szCs w:val="24"/>
          <w:lang w:val="en-CA"/>
        </w:rPr>
        <w:t>[</w:t>
      </w:r>
      <w:bookmarkStart w:id="21" w:name="par9"/>
      <w:r w:rsidRPr="00B120AE">
        <w:rPr>
          <w:kern w:val="24"/>
          <w:sz w:val="22"/>
          <w:szCs w:val="24"/>
          <w:lang w:val="en-CA"/>
        </w:rPr>
        <w:t>9</w:t>
      </w:r>
      <w:bookmarkEnd w:id="21"/>
      <w:r w:rsidRPr="00B120AE">
        <w:rPr>
          <w:kern w:val="24"/>
          <w:sz w:val="22"/>
          <w:szCs w:val="24"/>
          <w:lang w:val="en-CA"/>
        </w:rPr>
        <w:t>]</w:t>
      </w:r>
      <w:r w:rsidRPr="00B120AE">
        <w:rPr>
          <w:kern w:val="24"/>
          <w:sz w:val="14"/>
          <w:szCs w:val="14"/>
          <w:lang w:val="en-CA"/>
        </w:rPr>
        <w:tab/>
      </w:r>
      <w:r w:rsidRPr="00B120AE">
        <w:rPr>
          <w:kern w:val="24"/>
          <w:sz w:val="22"/>
          <w:szCs w:val="24"/>
          <w:lang w:val="en-CA"/>
        </w:rPr>
        <w:t xml:space="preserve">In early 2019, appellant Le Théâtre de la </w:t>
      </w:r>
      <w:proofErr w:type="spellStart"/>
      <w:r w:rsidRPr="00B120AE">
        <w:rPr>
          <w:kern w:val="24"/>
          <w:sz w:val="22"/>
          <w:szCs w:val="24"/>
          <w:lang w:val="en-CA"/>
        </w:rPr>
        <w:t>Bordée</w:t>
      </w:r>
      <w:proofErr w:type="spellEnd"/>
      <w:r w:rsidRPr="00B120AE">
        <w:rPr>
          <w:kern w:val="24"/>
          <w:sz w:val="22"/>
          <w:szCs w:val="24"/>
          <w:lang w:val="en-CA"/>
        </w:rPr>
        <w:t xml:space="preserve"> inc. presented the play </w:t>
      </w:r>
      <w:r w:rsidR="00282C6C">
        <w:rPr>
          <w:kern w:val="24"/>
          <w:sz w:val="22"/>
          <w:szCs w:val="24"/>
          <w:lang w:val="en-CA"/>
        </w:rPr>
        <w:t>“</w:t>
      </w:r>
      <w:r w:rsidRPr="00B120AE">
        <w:rPr>
          <w:i/>
          <w:iCs/>
          <w:kern w:val="24"/>
          <w:sz w:val="22"/>
          <w:szCs w:val="24"/>
          <w:lang w:val="en-CA"/>
        </w:rPr>
        <w:t>Rotterdam</w:t>
      </w:r>
      <w:r w:rsidR="00282C6C">
        <w:rPr>
          <w:kern w:val="24"/>
          <w:sz w:val="22"/>
          <w:szCs w:val="24"/>
          <w:lang w:val="en-CA"/>
        </w:rPr>
        <w:t>”</w:t>
      </w:r>
      <w:r w:rsidRPr="00B120AE">
        <w:rPr>
          <w:kern w:val="24"/>
          <w:sz w:val="22"/>
          <w:szCs w:val="24"/>
          <w:lang w:val="en-CA"/>
        </w:rPr>
        <w:t>. The work is by Jon Britton. The play was directed by Édith Patenaude. The roles were played by actors Charles</w:t>
      </w:r>
      <w:r w:rsidR="00720901">
        <w:rPr>
          <w:kern w:val="24"/>
          <w:sz w:val="22"/>
          <w:szCs w:val="24"/>
          <w:lang w:val="en-CA"/>
        </w:rPr>
        <w:noBreakHyphen/>
      </w:r>
      <w:r w:rsidRPr="00B120AE">
        <w:rPr>
          <w:kern w:val="24"/>
          <w:sz w:val="22"/>
          <w:szCs w:val="24"/>
          <w:lang w:val="en-CA"/>
        </w:rPr>
        <w:t>Étienne Beaulne, Ariane Côté</w:t>
      </w:r>
      <w:r w:rsidR="00720901">
        <w:rPr>
          <w:kern w:val="24"/>
          <w:sz w:val="22"/>
          <w:szCs w:val="24"/>
          <w:lang w:val="en-CA"/>
        </w:rPr>
        <w:noBreakHyphen/>
      </w:r>
      <w:r w:rsidRPr="00B120AE">
        <w:rPr>
          <w:kern w:val="24"/>
          <w:sz w:val="22"/>
          <w:szCs w:val="24"/>
          <w:lang w:val="en-CA"/>
        </w:rPr>
        <w:t>Lavoie, Marie</w:t>
      </w:r>
      <w:r w:rsidR="00720901">
        <w:rPr>
          <w:kern w:val="24"/>
          <w:sz w:val="22"/>
          <w:szCs w:val="24"/>
          <w:lang w:val="en-CA"/>
        </w:rPr>
        <w:noBreakHyphen/>
      </w:r>
      <w:r w:rsidRPr="00B120AE">
        <w:rPr>
          <w:kern w:val="24"/>
          <w:sz w:val="22"/>
          <w:szCs w:val="24"/>
          <w:lang w:val="en-CA"/>
        </w:rPr>
        <w:t>Hélène Gendreau and Pascale Renaud</w:t>
      </w:r>
      <w:r w:rsidR="00720901">
        <w:rPr>
          <w:kern w:val="24"/>
          <w:sz w:val="22"/>
          <w:szCs w:val="24"/>
          <w:lang w:val="en-CA"/>
        </w:rPr>
        <w:noBreakHyphen/>
      </w:r>
      <w:r w:rsidRPr="00B120AE">
        <w:rPr>
          <w:kern w:val="24"/>
          <w:sz w:val="22"/>
          <w:szCs w:val="24"/>
          <w:lang w:val="en-CA"/>
        </w:rPr>
        <w:t xml:space="preserve">Hébert. During the play, two herbal cigarettes and two herbal simulated joints are smoked. Spectators are informed about this before the performance begins. As with the preceding plays, the choice to have the performers smoke is deliberate. Here, too, the act of smoking on stage serves to create a convincing universe and convey a message. </w:t>
      </w:r>
    </w:p>
    <w:p w14:paraId="50852C05" w14:textId="77777777" w:rsidR="00E524EA" w:rsidRPr="00B120AE" w:rsidRDefault="001C0031" w:rsidP="00E524EA">
      <w:pPr>
        <w:tabs>
          <w:tab w:val="left" w:pos="1418"/>
        </w:tabs>
        <w:spacing w:before="120" w:after="120" w:line="240" w:lineRule="auto"/>
        <w:ind w:left="720" w:right="720"/>
        <w:jc w:val="both"/>
        <w:rPr>
          <w:kern w:val="24"/>
          <w:sz w:val="22"/>
          <w:lang w:val="en-CA"/>
        </w:rPr>
      </w:pPr>
      <w:r w:rsidRPr="00B120AE">
        <w:rPr>
          <w:kern w:val="24"/>
          <w:sz w:val="22"/>
          <w:lang w:val="en-CA"/>
        </w:rPr>
        <w:t>[</w:t>
      </w:r>
      <w:bookmarkStart w:id="22" w:name="par10"/>
      <w:r w:rsidRPr="00B120AE">
        <w:rPr>
          <w:kern w:val="24"/>
          <w:sz w:val="22"/>
          <w:lang w:val="en-CA"/>
        </w:rPr>
        <w:t>10</w:t>
      </w:r>
      <w:bookmarkEnd w:id="22"/>
      <w:r w:rsidRPr="00B120AE">
        <w:rPr>
          <w:kern w:val="24"/>
          <w:sz w:val="22"/>
          <w:lang w:val="en-CA"/>
        </w:rPr>
        <w:t>]</w:t>
      </w:r>
      <w:r w:rsidRPr="00B120AE">
        <w:rPr>
          <w:kern w:val="24"/>
          <w:sz w:val="14"/>
          <w:szCs w:val="14"/>
          <w:lang w:val="en-CA"/>
        </w:rPr>
        <w:tab/>
      </w:r>
      <w:r w:rsidRPr="00B120AE">
        <w:rPr>
          <w:kern w:val="24"/>
          <w:sz w:val="22"/>
          <w:lang w:val="en-CA"/>
        </w:rPr>
        <w:t xml:space="preserve">Following a visit by inspectors during one of the performances, a statement of offence was issued against appellant Le Théâtre de la </w:t>
      </w:r>
      <w:proofErr w:type="spellStart"/>
      <w:r w:rsidRPr="00B120AE">
        <w:rPr>
          <w:kern w:val="24"/>
          <w:sz w:val="22"/>
          <w:lang w:val="en-CA"/>
        </w:rPr>
        <w:t>Bordée</w:t>
      </w:r>
      <w:proofErr w:type="spellEnd"/>
      <w:r w:rsidRPr="00B120AE">
        <w:rPr>
          <w:kern w:val="24"/>
          <w:sz w:val="22"/>
          <w:lang w:val="en-CA"/>
        </w:rPr>
        <w:t xml:space="preserve"> inc. It was charged with tolerating smoking in a public area where smoking is prohibited. The act in question was that of the performer who portrayed the action of smoking on stage.</w:t>
      </w:r>
      <w:r w:rsidRPr="00B120AE">
        <w:rPr>
          <w:kern w:val="24"/>
          <w:sz w:val="22"/>
          <w:vertAlign w:val="superscript"/>
          <w:lang w:val="en-CA"/>
        </w:rPr>
        <w:footnoteReference w:id="6"/>
      </w:r>
    </w:p>
    <w:p w14:paraId="50852C06" w14:textId="2E52373E"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Theatres pleaded not guilty</w:t>
      </w:r>
      <w:r w:rsidR="0000318B">
        <w:rPr>
          <w:kern w:val="28"/>
          <w:lang w:val="en-CA"/>
        </w:rPr>
        <w:t>,</w:t>
      </w:r>
      <w:r w:rsidRPr="00B120AE">
        <w:rPr>
          <w:kern w:val="28"/>
          <w:lang w:val="en-CA"/>
        </w:rPr>
        <w:t xml:space="preserve"> and the three cases were heard together by a presiding justice of the peace of the Court of Québec. At the hearing, </w:t>
      </w:r>
      <w:r w:rsidR="0000318B">
        <w:rPr>
          <w:kern w:val="28"/>
          <w:lang w:val="en-CA"/>
        </w:rPr>
        <w:t xml:space="preserve">the Theatres </w:t>
      </w:r>
      <w:r w:rsidRPr="00B120AE">
        <w:rPr>
          <w:kern w:val="28"/>
          <w:lang w:val="en-CA"/>
        </w:rPr>
        <w:t>acknowledged the essential elements of the offences and were found guilty, but without prejudice to their application to have the provisions in question declared invalid based on an infringement of artistic freedom of expression.</w:t>
      </w:r>
      <w:r w:rsidRPr="00B120AE">
        <w:rPr>
          <w:kern w:val="28"/>
          <w:vertAlign w:val="superscript"/>
          <w:lang w:val="en-CA"/>
        </w:rPr>
        <w:footnoteReference w:id="7"/>
      </w:r>
    </w:p>
    <w:p w14:paraId="50852C07" w14:textId="740FAF7B"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 xml:space="preserve">In early November 2021, the presiding justice of the peace dismissed </w:t>
      </w:r>
      <w:r w:rsidR="007E3DEC">
        <w:rPr>
          <w:kern w:val="28"/>
          <w:lang w:val="en-CA"/>
        </w:rPr>
        <w:t xml:space="preserve">that </w:t>
      </w:r>
      <w:r w:rsidRPr="00B120AE">
        <w:rPr>
          <w:kern w:val="28"/>
          <w:lang w:val="en-CA"/>
        </w:rPr>
        <w:t xml:space="preserve">application, concluding that there was no infringement of the freedom of artistic expression protected by the Canadian and Quebec Charters, since </w:t>
      </w:r>
      <w:r w:rsidR="0078033F" w:rsidRPr="0078033F">
        <w:rPr>
          <w:smallCaps/>
          <w:kern w:val="28"/>
          <w:lang w:val="en-CA"/>
        </w:rPr>
        <w:t>[translation] </w:t>
      </w:r>
      <w:r w:rsidR="00282C6C">
        <w:rPr>
          <w:kern w:val="28"/>
          <w:lang w:val="en-CA"/>
        </w:rPr>
        <w:t>“</w:t>
      </w:r>
      <w:r w:rsidRPr="00B120AE">
        <w:rPr>
          <w:kern w:val="28"/>
          <w:lang w:val="en-CA"/>
        </w:rPr>
        <w:t>inhaling or breathing in the smoke produced by tobacco or by a substance considered to be tobacco does not inherently have expressive content</w:t>
      </w:r>
      <w:r w:rsidR="00282C6C">
        <w:rPr>
          <w:kern w:val="28"/>
          <w:lang w:val="en-CA"/>
        </w:rPr>
        <w:t>”</w:t>
      </w:r>
      <w:r w:rsidRPr="00B120AE">
        <w:rPr>
          <w:kern w:val="28"/>
          <w:lang w:val="en-CA"/>
        </w:rPr>
        <w:t>.</w:t>
      </w:r>
      <w:r w:rsidRPr="00B120AE">
        <w:rPr>
          <w:kern w:val="28"/>
          <w:vertAlign w:val="superscript"/>
          <w:lang w:val="en-CA"/>
        </w:rPr>
        <w:footnoteReference w:id="8"/>
      </w:r>
      <w:r w:rsidRPr="00B120AE">
        <w:rPr>
          <w:kern w:val="28"/>
          <w:lang w:val="en-CA"/>
        </w:rPr>
        <w:t xml:space="preserve"> He added: </w:t>
      </w:r>
    </w:p>
    <w:p w14:paraId="766E50AE" w14:textId="77777777" w:rsidR="00C6498C" w:rsidRDefault="001C0031" w:rsidP="00E524EA">
      <w:pPr>
        <w:tabs>
          <w:tab w:val="num" w:pos="1418"/>
        </w:tabs>
        <w:spacing w:before="120" w:after="120" w:line="240" w:lineRule="auto"/>
        <w:ind w:left="720" w:right="720"/>
        <w:jc w:val="both"/>
        <w:rPr>
          <w:kern w:val="24"/>
          <w:sz w:val="22"/>
          <w:lang w:val="en-CA"/>
        </w:rPr>
      </w:pPr>
      <w:r w:rsidRPr="00B120AE">
        <w:rPr>
          <w:kern w:val="24"/>
          <w:sz w:val="22"/>
          <w:lang w:val="en-CA"/>
        </w:rPr>
        <w:t>[</w:t>
      </w:r>
      <w:r w:rsidR="004D6ECE" w:rsidRPr="00D02D7A">
        <w:rPr>
          <w:smallCaps/>
          <w:kern w:val="24"/>
          <w:sz w:val="22"/>
          <w:lang w:val="en-CA"/>
        </w:rPr>
        <w:t>translation</w:t>
      </w:r>
      <w:r w:rsidRPr="00B120AE">
        <w:rPr>
          <w:kern w:val="24"/>
          <w:sz w:val="22"/>
          <w:lang w:val="en-CA"/>
        </w:rPr>
        <w:t>]</w:t>
      </w:r>
    </w:p>
    <w:p w14:paraId="50852C08" w14:textId="011A0B71" w:rsidR="00E524EA" w:rsidRPr="00B120AE" w:rsidRDefault="001C0031" w:rsidP="00E524EA">
      <w:pPr>
        <w:tabs>
          <w:tab w:val="num" w:pos="1418"/>
        </w:tabs>
        <w:spacing w:before="120" w:after="120" w:line="240" w:lineRule="auto"/>
        <w:ind w:left="720" w:right="720"/>
        <w:jc w:val="both"/>
        <w:rPr>
          <w:kern w:val="24"/>
          <w:sz w:val="22"/>
          <w:lang w:val="en-CA"/>
        </w:rPr>
      </w:pPr>
      <w:r w:rsidRPr="00B120AE">
        <w:rPr>
          <w:kern w:val="24"/>
          <w:sz w:val="22"/>
          <w:lang w:val="en-CA"/>
        </w:rPr>
        <w:t>[</w:t>
      </w:r>
      <w:bookmarkStart w:id="23" w:name="par18"/>
      <w:r w:rsidRPr="00B120AE">
        <w:rPr>
          <w:kern w:val="24"/>
          <w:sz w:val="22"/>
          <w:lang w:val="en-CA"/>
        </w:rPr>
        <w:t>18</w:t>
      </w:r>
      <w:bookmarkEnd w:id="23"/>
      <w:r w:rsidRPr="00B120AE">
        <w:rPr>
          <w:kern w:val="24"/>
          <w:sz w:val="22"/>
          <w:lang w:val="en-CA"/>
        </w:rPr>
        <w:t>]</w:t>
      </w:r>
      <w:r w:rsidRPr="00B120AE">
        <w:rPr>
          <w:kern w:val="24"/>
          <w:sz w:val="22"/>
          <w:lang w:val="en-CA"/>
        </w:rPr>
        <w:tab/>
        <w:t>The Act and its regulations do not prevent an actor from simulating smoking on stage in different ways by using various props, devices, or special effects. Moreover, the evidence shows that some stage directors have chosen to use prop cigarettes. Nothing in the legislation at issue prevents the exercise of artistic freedoms or hampers</w:t>
      </w:r>
      <w:r w:rsidR="005B739D">
        <w:rPr>
          <w:kern w:val="24"/>
          <w:sz w:val="22"/>
          <w:lang w:val="en-CA"/>
        </w:rPr>
        <w:t xml:space="preserve"> </w:t>
      </w:r>
      <w:r w:rsidRPr="00B120AE">
        <w:rPr>
          <w:kern w:val="24"/>
          <w:sz w:val="22"/>
          <w:lang w:val="en-CA"/>
        </w:rPr>
        <w:t>the ability to convey the spirit of a theatrical performance.</w:t>
      </w:r>
    </w:p>
    <w:p w14:paraId="50852C09" w14:textId="77777777" w:rsidR="00E524EA" w:rsidRPr="00B120AE" w:rsidRDefault="001C0031" w:rsidP="00E524EA">
      <w:pPr>
        <w:tabs>
          <w:tab w:val="num" w:pos="1418"/>
        </w:tabs>
        <w:spacing w:before="120" w:after="120" w:line="240" w:lineRule="auto"/>
        <w:ind w:left="720" w:right="720"/>
        <w:jc w:val="both"/>
        <w:rPr>
          <w:kern w:val="24"/>
          <w:sz w:val="22"/>
          <w:lang w:val="en-CA"/>
        </w:rPr>
      </w:pPr>
      <w:r w:rsidRPr="00B120AE">
        <w:rPr>
          <w:kern w:val="24"/>
          <w:sz w:val="22"/>
          <w:lang w:val="en-CA"/>
        </w:rPr>
        <w:t>[</w:t>
      </w:r>
      <w:bookmarkStart w:id="24" w:name="par19"/>
      <w:r w:rsidRPr="00B120AE">
        <w:rPr>
          <w:kern w:val="24"/>
          <w:sz w:val="22"/>
          <w:lang w:val="en-CA"/>
        </w:rPr>
        <w:t>19</w:t>
      </w:r>
      <w:bookmarkEnd w:id="24"/>
      <w:r w:rsidRPr="00B120AE">
        <w:rPr>
          <w:kern w:val="24"/>
          <w:sz w:val="22"/>
          <w:lang w:val="en-CA"/>
        </w:rPr>
        <w:t>]</w:t>
      </w:r>
      <w:r w:rsidRPr="00B120AE">
        <w:rPr>
          <w:kern w:val="24"/>
          <w:sz w:val="22"/>
          <w:lang w:val="en-CA"/>
        </w:rPr>
        <w:tab/>
        <w:t>The performance of acts prohibited by other laws is commonplace in theatre, such as simulations of murder, of using a weapon, of taking drugs, or of using violence.</w:t>
      </w:r>
    </w:p>
    <w:p w14:paraId="50852C0A" w14:textId="135B64B5" w:rsidR="00E524EA" w:rsidRPr="00B120AE" w:rsidRDefault="001C0031" w:rsidP="00E524EA">
      <w:pPr>
        <w:tabs>
          <w:tab w:val="num" w:pos="1418"/>
        </w:tabs>
        <w:spacing w:before="120" w:after="120" w:line="240" w:lineRule="auto"/>
        <w:ind w:left="720" w:right="720"/>
        <w:jc w:val="both"/>
        <w:rPr>
          <w:kern w:val="24"/>
          <w:sz w:val="22"/>
          <w:lang w:val="en-CA"/>
        </w:rPr>
      </w:pPr>
      <w:r w:rsidRPr="00B120AE">
        <w:rPr>
          <w:kern w:val="24"/>
          <w:sz w:val="22"/>
          <w:lang w:val="en-CA"/>
        </w:rPr>
        <w:t>[</w:t>
      </w:r>
      <w:bookmarkStart w:id="25" w:name="par20"/>
      <w:r w:rsidRPr="00B120AE">
        <w:rPr>
          <w:kern w:val="24"/>
          <w:sz w:val="22"/>
          <w:lang w:val="en-CA"/>
        </w:rPr>
        <w:t>20</w:t>
      </w:r>
      <w:bookmarkEnd w:id="25"/>
      <w:r w:rsidRPr="00B120AE">
        <w:rPr>
          <w:kern w:val="24"/>
          <w:sz w:val="22"/>
          <w:lang w:val="en-CA"/>
        </w:rPr>
        <w:t>]</w:t>
      </w:r>
      <w:r w:rsidRPr="00B120AE">
        <w:rPr>
          <w:kern w:val="24"/>
          <w:sz w:val="22"/>
          <w:lang w:val="en-CA"/>
        </w:rPr>
        <w:tab/>
        <w:t>The Act and its regulations allow for portraying, simulating, playing, or acting the part of a person who smokes, which constitutes expressive content that is not prohibited. The prohibition consists of projecting or inhaling smoke from a tobacco product in a public place.</w:t>
      </w:r>
      <w:r w:rsidRPr="00B120AE">
        <w:rPr>
          <w:kern w:val="24"/>
          <w:sz w:val="22"/>
          <w:vertAlign w:val="superscript"/>
          <w:lang w:val="en-CA"/>
        </w:rPr>
        <w:t xml:space="preserve"> </w:t>
      </w:r>
      <w:r w:rsidRPr="00B120AE">
        <w:rPr>
          <w:kern w:val="24"/>
          <w:sz w:val="22"/>
          <w:lang w:val="en-CA"/>
        </w:rPr>
        <w:t>[…]</w:t>
      </w:r>
      <w:r w:rsidR="00F95FD6">
        <w:rPr>
          <w:kern w:val="24"/>
          <w:sz w:val="22"/>
          <w:lang w:val="en-CA"/>
        </w:rPr>
        <w:t>.</w:t>
      </w:r>
      <w:r w:rsidRPr="00B120AE">
        <w:rPr>
          <w:kern w:val="24"/>
          <w:sz w:val="22"/>
          <w:vertAlign w:val="superscript"/>
          <w:lang w:val="en-CA"/>
        </w:rPr>
        <w:footnoteReference w:id="9"/>
      </w:r>
    </w:p>
    <w:p w14:paraId="50852C0B" w14:textId="665CE89B"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Theatres appealed this decision in the Superior Court and sought to have s</w:t>
      </w:r>
      <w:r w:rsidR="008742D0">
        <w:rPr>
          <w:kern w:val="28"/>
          <w:lang w:val="en-CA"/>
        </w:rPr>
        <w:t>s. 1</w:t>
      </w:r>
      <w:r w:rsidRPr="00B120AE">
        <w:rPr>
          <w:kern w:val="28"/>
          <w:lang w:val="en-CA"/>
        </w:rPr>
        <w:t xml:space="preserve">, 2 and 11 of the </w:t>
      </w:r>
      <w:r w:rsidRPr="00B120AE">
        <w:rPr>
          <w:i/>
          <w:iCs/>
          <w:kern w:val="28"/>
          <w:lang w:val="en-CA"/>
        </w:rPr>
        <w:t>Act</w:t>
      </w:r>
      <w:r w:rsidRPr="00B120AE">
        <w:rPr>
          <w:kern w:val="28"/>
          <w:lang w:val="en-CA"/>
        </w:rPr>
        <w:t xml:space="preserve"> and </w:t>
      </w:r>
      <w:r w:rsidR="008742D0">
        <w:rPr>
          <w:kern w:val="28"/>
          <w:lang w:val="en-CA"/>
        </w:rPr>
        <w:t>s. 1</w:t>
      </w:r>
      <w:r w:rsidRPr="00B120AE">
        <w:rPr>
          <w:kern w:val="28"/>
          <w:lang w:val="en-CA"/>
        </w:rPr>
        <w:t xml:space="preserve"> of the </w:t>
      </w:r>
      <w:r w:rsidRPr="00B120AE">
        <w:rPr>
          <w:i/>
          <w:iCs/>
          <w:kern w:val="28"/>
          <w:lang w:val="en-CA"/>
        </w:rPr>
        <w:t>Regulation</w:t>
      </w:r>
      <w:r w:rsidRPr="00B120AE">
        <w:rPr>
          <w:kern w:val="28"/>
          <w:lang w:val="en-CA"/>
        </w:rPr>
        <w:t xml:space="preserve"> declared invalid </w:t>
      </w:r>
      <w:r w:rsidR="0078033F" w:rsidRPr="0078033F">
        <w:rPr>
          <w:smallCaps/>
          <w:kern w:val="28"/>
          <w:lang w:val="en-CA"/>
        </w:rPr>
        <w:t>[translation] </w:t>
      </w:r>
      <w:r w:rsidR="00282C6C">
        <w:rPr>
          <w:kern w:val="28"/>
          <w:lang w:val="en-CA"/>
        </w:rPr>
        <w:t>“</w:t>
      </w:r>
      <w:r w:rsidRPr="00B120AE">
        <w:rPr>
          <w:kern w:val="28"/>
          <w:lang w:val="en-CA"/>
        </w:rPr>
        <w:t>with respect to participants in and organizers of an artistic or cultural performance taking place in a place or business covered by the Act</w:t>
      </w:r>
      <w:r w:rsidR="00282C6C">
        <w:rPr>
          <w:kern w:val="28"/>
          <w:lang w:val="en-CA"/>
        </w:rPr>
        <w:t>”</w:t>
      </w:r>
      <w:r w:rsidRPr="00B120AE">
        <w:rPr>
          <w:kern w:val="28"/>
          <w:lang w:val="en-CA"/>
        </w:rPr>
        <w:t xml:space="preserve"> or, subsidiarily, inoperative with respect to said persons.</w:t>
      </w:r>
      <w:r w:rsidRPr="00B120AE">
        <w:rPr>
          <w:kern w:val="28"/>
          <w:vertAlign w:val="superscript"/>
          <w:lang w:val="en-CA"/>
        </w:rPr>
        <w:footnoteReference w:id="10"/>
      </w:r>
    </w:p>
    <w:p w14:paraId="50852C0C" w14:textId="77777777" w:rsidR="00E524EA" w:rsidRPr="00B120AE" w:rsidRDefault="001C0031" w:rsidP="00E524EA">
      <w:pPr>
        <w:keepNext/>
        <w:tabs>
          <w:tab w:val="num" w:pos="993"/>
        </w:tabs>
        <w:spacing w:before="120" w:after="120" w:line="240" w:lineRule="auto"/>
        <w:outlineLvl w:val="0"/>
        <w:rPr>
          <w:b/>
          <w:kern w:val="28"/>
          <w:sz w:val="28"/>
          <w:lang w:val="en-CA"/>
        </w:rPr>
      </w:pPr>
      <w:r w:rsidRPr="00B120AE">
        <w:rPr>
          <w:b/>
          <w:bCs/>
          <w:kern w:val="28"/>
          <w:sz w:val="28"/>
          <w:lang w:val="en-CA"/>
        </w:rPr>
        <w:t>JUDGMENT UNDER APPEAL</w:t>
      </w:r>
    </w:p>
    <w:p w14:paraId="50852C0D" w14:textId="6273B78D"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At the end of May 2024, the judge allowed the appeal and reversed the judgment. He analyzed the principles applicable to freedom of expression, then concluded that the presiding justice of the peace had erred in considering that the act of smoking on stage during a theatrical performance is not protected expression. In his view, the creators were conveying a message to the audience by having the performers smoke on stage, as this act expressed </w:t>
      </w:r>
      <w:r w:rsidR="0078033F" w:rsidRPr="0078033F">
        <w:rPr>
          <w:smallCaps/>
          <w:kern w:val="28"/>
          <w:lang w:val="en-CA"/>
        </w:rPr>
        <w:t>[translation] </w:t>
      </w:r>
      <w:r w:rsidR="00282C6C">
        <w:rPr>
          <w:kern w:val="28"/>
          <w:lang w:val="en-CA"/>
        </w:rPr>
        <w:t>“</w:t>
      </w:r>
      <w:r w:rsidRPr="00B120AE">
        <w:rPr>
          <w:kern w:val="28"/>
          <w:lang w:val="en-CA"/>
        </w:rPr>
        <w:t>the psychological and existential distress experienced by people facing certain difficulties</w:t>
      </w:r>
      <w:r w:rsidR="00282C6C">
        <w:rPr>
          <w:kern w:val="28"/>
          <w:lang w:val="en-CA"/>
        </w:rPr>
        <w:t>”</w:t>
      </w:r>
      <w:r w:rsidRPr="00B120AE">
        <w:rPr>
          <w:kern w:val="28"/>
          <w:lang w:val="en-CA"/>
        </w:rPr>
        <w:t xml:space="preserve"> and served the values underlying </w:t>
      </w:r>
      <w:r w:rsidRPr="00B120AE">
        <w:rPr>
          <w:kern w:val="28"/>
          <w:lang w:val="en-CA"/>
        </w:rPr>
        <w:lastRenderedPageBreak/>
        <w:t>freedom of expression.</w:t>
      </w:r>
      <w:r w:rsidRPr="00B120AE">
        <w:rPr>
          <w:kern w:val="28"/>
          <w:vertAlign w:val="superscript"/>
          <w:lang w:val="en-CA"/>
        </w:rPr>
        <w:footnoteReference w:id="11"/>
      </w:r>
      <w:r w:rsidRPr="00B120AE">
        <w:rPr>
          <w:kern w:val="28"/>
          <w:lang w:val="en-CA"/>
        </w:rPr>
        <w:t xml:space="preserve"> Consequently, he found that he combined effect of the </w:t>
      </w:r>
      <w:r w:rsidRPr="00B120AE">
        <w:rPr>
          <w:i/>
          <w:iCs/>
          <w:kern w:val="28"/>
          <w:lang w:val="en-CA"/>
        </w:rPr>
        <w:t>Act</w:t>
      </w:r>
      <w:r w:rsidRPr="00B120AE">
        <w:rPr>
          <w:kern w:val="28"/>
          <w:lang w:val="en-CA"/>
        </w:rPr>
        <w:t xml:space="preserve"> and the </w:t>
      </w:r>
      <w:r w:rsidRPr="00B120AE">
        <w:rPr>
          <w:i/>
          <w:iCs/>
          <w:kern w:val="28"/>
          <w:lang w:val="en-CA"/>
        </w:rPr>
        <w:t>Regulation</w:t>
      </w:r>
      <w:r w:rsidRPr="00B120AE">
        <w:rPr>
          <w:kern w:val="28"/>
          <w:lang w:val="en-CA"/>
        </w:rPr>
        <w:t xml:space="preserve"> indirectly infringes freedom of expression.</w:t>
      </w:r>
      <w:r w:rsidRPr="00B120AE">
        <w:rPr>
          <w:kern w:val="28"/>
          <w:vertAlign w:val="superscript"/>
          <w:lang w:val="en-CA"/>
        </w:rPr>
        <w:footnoteReference w:id="12"/>
      </w:r>
    </w:p>
    <w:p w14:paraId="50852C0E" w14:textId="4648ADDB"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At the request of the parties, who advocated for the sound administration of judicial resources, the judge then analyzed whether this infringement is justified in a free and democratic society, even though the presiding justice of the peace had not addressed this aspect in his decision. </w:t>
      </w:r>
      <w:r w:rsidR="00C64778">
        <w:rPr>
          <w:kern w:val="28"/>
          <w:lang w:val="en-CA"/>
        </w:rPr>
        <w:t>The judge</w:t>
      </w:r>
      <w:r w:rsidRPr="00B120AE">
        <w:rPr>
          <w:kern w:val="28"/>
          <w:lang w:val="en-CA"/>
        </w:rPr>
        <w:t xml:space="preserve"> acknowledged that, in enacting the </w:t>
      </w:r>
      <w:r w:rsidRPr="00B120AE">
        <w:rPr>
          <w:i/>
          <w:iCs/>
          <w:kern w:val="28"/>
          <w:lang w:val="en-CA"/>
        </w:rPr>
        <w:t>Act</w:t>
      </w:r>
      <w:r w:rsidRPr="00B120AE">
        <w:rPr>
          <w:kern w:val="28"/>
          <w:lang w:val="en-CA"/>
        </w:rPr>
        <w:t xml:space="preserve"> and the </w:t>
      </w:r>
      <w:r w:rsidRPr="00B120AE">
        <w:rPr>
          <w:i/>
          <w:iCs/>
          <w:kern w:val="28"/>
          <w:lang w:val="en-CA"/>
        </w:rPr>
        <w:t>Regulation</w:t>
      </w:r>
      <w:r w:rsidRPr="00B120AE">
        <w:rPr>
          <w:kern w:val="28"/>
          <w:lang w:val="en-CA"/>
        </w:rPr>
        <w:t xml:space="preserve">, the legislature sought to respond to a pressing and substantial objective — namely, the protection of public health. He found that there is a rational connection between this objective and the ban, as the evidence presented demonstrated that </w:t>
      </w:r>
      <w:r w:rsidR="0078033F" w:rsidRPr="0078033F">
        <w:rPr>
          <w:smallCaps/>
          <w:kern w:val="28"/>
          <w:lang w:val="en-CA"/>
        </w:rPr>
        <w:t>[translation] </w:t>
      </w:r>
      <w:r w:rsidR="00282C6C">
        <w:rPr>
          <w:kern w:val="28"/>
          <w:lang w:val="en-CA"/>
        </w:rPr>
        <w:t>“</w:t>
      </w:r>
      <w:r w:rsidRPr="00B120AE">
        <w:rPr>
          <w:kern w:val="28"/>
          <w:lang w:val="en-CA"/>
        </w:rPr>
        <w:t>a single cigarette smoked in a public place [can] have an impact on public health</w:t>
      </w:r>
      <w:r w:rsidR="00282C6C">
        <w:rPr>
          <w:kern w:val="28"/>
          <w:lang w:val="en-CA"/>
        </w:rPr>
        <w:t>”</w:t>
      </w:r>
      <w:r w:rsidRPr="00B120AE">
        <w:rPr>
          <w:kern w:val="28"/>
          <w:lang w:val="en-CA"/>
        </w:rPr>
        <w:t>.</w:t>
      </w:r>
      <w:r w:rsidRPr="00B120AE">
        <w:rPr>
          <w:kern w:val="28"/>
          <w:vertAlign w:val="superscript"/>
          <w:lang w:val="en-CA"/>
        </w:rPr>
        <w:footnoteReference w:id="13"/>
      </w:r>
      <w:r w:rsidRPr="00B120AE">
        <w:rPr>
          <w:kern w:val="28"/>
          <w:lang w:val="en-CA"/>
        </w:rPr>
        <w:t xml:space="preserve"> However, he did not consider this to be a minimal impairment, despite recognizing that the dangers associated with tobacco use require significant measures:</w:t>
      </w:r>
    </w:p>
    <w:p w14:paraId="25941FF6" w14:textId="77777777" w:rsidR="00C6498C" w:rsidRDefault="001C0031" w:rsidP="00E524EA">
      <w:pPr>
        <w:tabs>
          <w:tab w:val="num" w:pos="993"/>
        </w:tabs>
        <w:spacing w:before="120" w:after="120" w:line="240" w:lineRule="auto"/>
        <w:ind w:left="720" w:right="720"/>
        <w:jc w:val="both"/>
        <w:rPr>
          <w:kern w:val="24"/>
          <w:sz w:val="22"/>
          <w:lang w:val="en-CA"/>
        </w:rPr>
      </w:pPr>
      <w:r w:rsidRPr="00B120AE">
        <w:rPr>
          <w:kern w:val="24"/>
          <w:sz w:val="22"/>
          <w:lang w:val="en-CA"/>
        </w:rPr>
        <w:t>[</w:t>
      </w:r>
      <w:r w:rsidR="004D6ECE" w:rsidRPr="00B93E81">
        <w:rPr>
          <w:smallCaps/>
          <w:kern w:val="24"/>
          <w:sz w:val="22"/>
          <w:lang w:val="en-CA"/>
        </w:rPr>
        <w:t>translation</w:t>
      </w:r>
      <w:r w:rsidRPr="00B120AE">
        <w:rPr>
          <w:kern w:val="24"/>
          <w:sz w:val="22"/>
          <w:lang w:val="en-CA"/>
        </w:rPr>
        <w:t>]</w:t>
      </w:r>
    </w:p>
    <w:p w14:paraId="50852C0F" w14:textId="53B86462" w:rsidR="00E524EA" w:rsidRPr="00B120AE" w:rsidRDefault="001C0031" w:rsidP="00E524EA">
      <w:pPr>
        <w:tabs>
          <w:tab w:val="num" w:pos="993"/>
        </w:tabs>
        <w:spacing w:before="120" w:after="120" w:line="240" w:lineRule="auto"/>
        <w:ind w:left="720" w:right="720"/>
        <w:jc w:val="both"/>
        <w:rPr>
          <w:kern w:val="24"/>
          <w:sz w:val="22"/>
          <w:lang w:val="en-CA"/>
        </w:rPr>
      </w:pPr>
      <w:r w:rsidRPr="00B120AE">
        <w:rPr>
          <w:kern w:val="24"/>
          <w:sz w:val="22"/>
          <w:lang w:val="en-CA"/>
        </w:rPr>
        <w:t>[</w:t>
      </w:r>
      <w:bookmarkStart w:id="27" w:name="par63"/>
      <w:r w:rsidRPr="00B120AE">
        <w:rPr>
          <w:kern w:val="24"/>
          <w:sz w:val="22"/>
          <w:lang w:val="en-CA"/>
        </w:rPr>
        <w:t>63</w:t>
      </w:r>
      <w:bookmarkEnd w:id="27"/>
      <w:r w:rsidRPr="00B120AE">
        <w:rPr>
          <w:kern w:val="24"/>
          <w:sz w:val="22"/>
          <w:lang w:val="en-CA"/>
        </w:rPr>
        <w:t>]</w:t>
      </w:r>
      <w:r w:rsidRPr="00B120AE">
        <w:rPr>
          <w:kern w:val="24"/>
          <w:sz w:val="22"/>
          <w:lang w:val="en-CA"/>
        </w:rPr>
        <w:tab/>
        <w:t xml:space="preserve">[…] It does not appear reasonable to completely prohibit the act of smoking a cigarette </w:t>
      </w:r>
      <w:r w:rsidR="006C1F18">
        <w:rPr>
          <w:kern w:val="24"/>
          <w:sz w:val="22"/>
          <w:lang w:val="en-CA"/>
        </w:rPr>
        <w:t xml:space="preserve">under </w:t>
      </w:r>
      <w:r w:rsidRPr="00B120AE">
        <w:rPr>
          <w:kern w:val="24"/>
          <w:sz w:val="22"/>
          <w:lang w:val="en-CA"/>
        </w:rPr>
        <w:t>all circumstances in the context of a theatrical performance. This ban fails to address, in a rational and sensible manner, the issues surrounding tobacco use and the objectives pursued by the legislature in this respect.</w:t>
      </w:r>
    </w:p>
    <w:p w14:paraId="50852C10" w14:textId="29DB85E1"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As for proportionality, the judge concluded that the balance </w:t>
      </w:r>
      <w:r w:rsidR="0078033F" w:rsidRPr="0078033F">
        <w:rPr>
          <w:smallCaps/>
          <w:kern w:val="28"/>
          <w:lang w:val="en-CA"/>
        </w:rPr>
        <w:t>[translation] </w:t>
      </w:r>
      <w:r w:rsidR="00282C6C">
        <w:rPr>
          <w:kern w:val="28"/>
          <w:lang w:val="en-CA"/>
        </w:rPr>
        <w:t>“</w:t>
      </w:r>
      <w:bookmarkStart w:id="28" w:name="_Hlk229663518"/>
      <w:r w:rsidRPr="00B120AE">
        <w:rPr>
          <w:kern w:val="28"/>
          <w:lang w:val="en-CA"/>
        </w:rPr>
        <w:t xml:space="preserve">clearly </w:t>
      </w:r>
      <w:r w:rsidR="008E67D7">
        <w:rPr>
          <w:kern w:val="28"/>
          <w:lang w:val="en-CA"/>
        </w:rPr>
        <w:t xml:space="preserve">tips in </w:t>
      </w:r>
      <w:r w:rsidRPr="00B120AE">
        <w:rPr>
          <w:kern w:val="28"/>
          <w:lang w:val="en-CA"/>
        </w:rPr>
        <w:t>favour</w:t>
      </w:r>
      <w:r w:rsidR="008E67D7">
        <w:rPr>
          <w:kern w:val="28"/>
          <w:lang w:val="en-CA"/>
        </w:rPr>
        <w:t xml:space="preserve"> of</w:t>
      </w:r>
      <w:r w:rsidRPr="00B120AE">
        <w:rPr>
          <w:kern w:val="28"/>
          <w:lang w:val="en-CA"/>
        </w:rPr>
        <w:t xml:space="preserve"> the right to freedom of artistic expression</w:t>
      </w:r>
      <w:bookmarkEnd w:id="28"/>
      <w:r w:rsidR="00282C6C">
        <w:rPr>
          <w:kern w:val="28"/>
          <w:lang w:val="en-CA"/>
        </w:rPr>
        <w:t>”</w:t>
      </w:r>
      <w:r w:rsidRPr="00B120AE">
        <w:rPr>
          <w:kern w:val="28"/>
          <w:lang w:val="en-CA"/>
        </w:rPr>
        <w:t>.</w:t>
      </w:r>
      <w:r w:rsidRPr="00B120AE">
        <w:rPr>
          <w:kern w:val="28"/>
          <w:vertAlign w:val="superscript"/>
          <w:lang w:val="en-CA"/>
        </w:rPr>
        <w:footnoteReference w:id="14"/>
      </w:r>
      <w:r w:rsidRPr="00B120AE">
        <w:rPr>
          <w:kern w:val="28"/>
          <w:lang w:val="en-CA"/>
        </w:rPr>
        <w:t xml:space="preserve"> </w:t>
      </w:r>
    </w:p>
    <w:p w14:paraId="50852C11" w14:textId="7D60FC20"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judge applied the technique of severance and struck the words </w:t>
      </w:r>
      <w:r w:rsidR="00282C6C">
        <w:rPr>
          <w:kern w:val="28"/>
          <w:lang w:val="en-CA"/>
        </w:rPr>
        <w:t>“</w:t>
      </w:r>
      <w:r w:rsidRPr="00B120AE">
        <w:rPr>
          <w:kern w:val="28"/>
          <w:lang w:val="en-CA"/>
        </w:rPr>
        <w:t>cultural or artistic</w:t>
      </w:r>
      <w:r w:rsidR="00282C6C">
        <w:rPr>
          <w:kern w:val="28"/>
          <w:lang w:val="en-CA"/>
        </w:rPr>
        <w:t>”</w:t>
      </w:r>
      <w:r w:rsidRPr="00B120AE">
        <w:rPr>
          <w:kern w:val="28"/>
          <w:lang w:val="en-CA"/>
        </w:rPr>
        <w:t xml:space="preserve"> from the provision banning smoking in enclosed spaces, invalidating those words as well as </w:t>
      </w:r>
      <w:r w:rsidR="008742D0">
        <w:rPr>
          <w:kern w:val="28"/>
          <w:lang w:val="en-CA"/>
        </w:rPr>
        <w:t>s. 1</w:t>
      </w:r>
      <w:r w:rsidRPr="00B120AE">
        <w:rPr>
          <w:kern w:val="28"/>
          <w:lang w:val="en-CA"/>
        </w:rPr>
        <w:t xml:space="preserve"> of the </w:t>
      </w:r>
      <w:r w:rsidRPr="00B120AE">
        <w:rPr>
          <w:i/>
          <w:iCs/>
          <w:kern w:val="28"/>
          <w:lang w:val="en-CA"/>
        </w:rPr>
        <w:t>Regulation</w:t>
      </w:r>
      <w:r w:rsidRPr="00B120AE">
        <w:rPr>
          <w:kern w:val="28"/>
          <w:lang w:val="en-CA"/>
        </w:rPr>
        <w:t xml:space="preserve">. He then suspended the declaration of invalidity for a period of one year </w:t>
      </w:r>
      <w:proofErr w:type="gramStart"/>
      <w:r w:rsidRPr="00B120AE">
        <w:rPr>
          <w:kern w:val="28"/>
          <w:lang w:val="en-CA"/>
        </w:rPr>
        <w:t>in order to</w:t>
      </w:r>
      <w:proofErr w:type="gramEnd"/>
      <w:r w:rsidRPr="00B120AE">
        <w:rPr>
          <w:kern w:val="28"/>
          <w:lang w:val="en-CA"/>
        </w:rPr>
        <w:t xml:space="preserve"> afford the legislature the opportunity to establish conditions applicable to the arts. Lastly, he acquitted the Theatres.</w:t>
      </w:r>
    </w:p>
    <w:p w14:paraId="50852C12" w14:textId="77777777" w:rsidR="00E524EA" w:rsidRPr="00B120AE" w:rsidRDefault="001C0031" w:rsidP="00E524EA">
      <w:pPr>
        <w:keepNext/>
        <w:tabs>
          <w:tab w:val="num" w:pos="993"/>
        </w:tabs>
        <w:spacing w:before="120" w:after="120" w:line="240" w:lineRule="auto"/>
        <w:outlineLvl w:val="0"/>
        <w:rPr>
          <w:b/>
          <w:kern w:val="28"/>
          <w:sz w:val="28"/>
          <w:lang w:val="en-CA"/>
        </w:rPr>
      </w:pPr>
      <w:r w:rsidRPr="00B120AE">
        <w:rPr>
          <w:b/>
          <w:bCs/>
          <w:kern w:val="28"/>
          <w:sz w:val="28"/>
          <w:lang w:val="en-CA"/>
        </w:rPr>
        <w:t>GROUNDS OF APPEAL</w:t>
      </w:r>
      <w:r w:rsidRPr="00B120AE">
        <w:rPr>
          <w:kern w:val="28"/>
          <w:sz w:val="28"/>
          <w:lang w:val="en-CA"/>
        </w:rPr>
        <w:t xml:space="preserve"> </w:t>
      </w:r>
    </w:p>
    <w:p w14:paraId="50852C13" w14:textId="56B77F2E"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Attorney General of Quebec (</w:t>
      </w:r>
      <w:r w:rsidR="00282C6C">
        <w:rPr>
          <w:kern w:val="28"/>
          <w:lang w:val="en-CA"/>
        </w:rPr>
        <w:t>“</w:t>
      </w:r>
      <w:r w:rsidRPr="00B120AE">
        <w:rPr>
          <w:b/>
          <w:bCs/>
          <w:kern w:val="28"/>
          <w:lang w:val="en-CA"/>
        </w:rPr>
        <w:t>AGQ</w:t>
      </w:r>
      <w:r w:rsidR="00282C6C">
        <w:rPr>
          <w:kern w:val="28"/>
          <w:lang w:val="en-CA"/>
        </w:rPr>
        <w:t>”</w:t>
      </w:r>
      <w:r w:rsidRPr="00B120AE">
        <w:rPr>
          <w:kern w:val="28"/>
          <w:lang w:val="en-CA"/>
        </w:rPr>
        <w:t>) raises three grounds against the judgment under appeal. In his view, the judge erred: (1)</w:t>
      </w:r>
      <w:r w:rsidR="0024185A">
        <w:rPr>
          <w:kern w:val="28"/>
          <w:lang w:val="en-CA"/>
        </w:rPr>
        <w:t> </w:t>
      </w:r>
      <w:r w:rsidRPr="00B120AE">
        <w:rPr>
          <w:kern w:val="28"/>
          <w:lang w:val="en-CA"/>
        </w:rPr>
        <w:t>in concluding that the provisions at issue infringe the respondents</w:t>
      </w:r>
      <w:r w:rsidR="00282C6C">
        <w:rPr>
          <w:kern w:val="28"/>
          <w:lang w:val="en-CA"/>
        </w:rPr>
        <w:t>’</w:t>
      </w:r>
      <w:r w:rsidRPr="00B120AE">
        <w:rPr>
          <w:kern w:val="28"/>
          <w:lang w:val="en-CA"/>
        </w:rPr>
        <w:t xml:space="preserve"> freedom of expression; (2)</w:t>
      </w:r>
      <w:r w:rsidR="0024185A">
        <w:rPr>
          <w:kern w:val="28"/>
          <w:lang w:val="en-CA"/>
        </w:rPr>
        <w:t> </w:t>
      </w:r>
      <w:r w:rsidRPr="00B120AE">
        <w:rPr>
          <w:kern w:val="28"/>
          <w:lang w:val="en-CA"/>
        </w:rPr>
        <w:t>in concluding that the infringement is not justified in a free and democratic society; and (3)</w:t>
      </w:r>
      <w:r w:rsidR="0024185A">
        <w:rPr>
          <w:kern w:val="28"/>
          <w:lang w:val="en-CA"/>
        </w:rPr>
        <w:t> </w:t>
      </w:r>
      <w:r w:rsidRPr="00B120AE">
        <w:rPr>
          <w:kern w:val="28"/>
          <w:lang w:val="en-CA"/>
        </w:rPr>
        <w:t xml:space="preserve">in granting the constitutional remedy. </w:t>
      </w:r>
    </w:p>
    <w:p w14:paraId="50852C14" w14:textId="77777777" w:rsidR="00E524EA" w:rsidRPr="00B120AE" w:rsidRDefault="001C0031" w:rsidP="00E524EA">
      <w:pPr>
        <w:keepNext/>
        <w:tabs>
          <w:tab w:val="num" w:pos="993"/>
        </w:tabs>
        <w:spacing w:before="120" w:after="120" w:line="240" w:lineRule="auto"/>
        <w:outlineLvl w:val="0"/>
        <w:rPr>
          <w:b/>
          <w:kern w:val="28"/>
          <w:sz w:val="28"/>
          <w:lang w:val="en-CA"/>
        </w:rPr>
      </w:pPr>
      <w:r w:rsidRPr="00B120AE">
        <w:rPr>
          <w:b/>
          <w:bCs/>
          <w:kern w:val="28"/>
          <w:sz w:val="28"/>
          <w:lang w:val="en-CA"/>
        </w:rPr>
        <w:lastRenderedPageBreak/>
        <w:t>ANALYSIS</w:t>
      </w:r>
    </w:p>
    <w:p w14:paraId="50852C15" w14:textId="77777777" w:rsidR="00E524EA" w:rsidRPr="00B120AE" w:rsidRDefault="001C0031" w:rsidP="00E524EA">
      <w:pPr>
        <w:keepNext/>
        <w:spacing w:before="120" w:after="120" w:line="240" w:lineRule="auto"/>
        <w:outlineLvl w:val="1"/>
        <w:rPr>
          <w:b/>
          <w:i/>
          <w:lang w:val="en-CA"/>
        </w:rPr>
      </w:pPr>
      <w:r w:rsidRPr="00B120AE">
        <w:rPr>
          <w:b/>
          <w:bCs/>
          <w:i/>
          <w:iCs/>
          <w:lang w:val="en-CA"/>
        </w:rPr>
        <w:t>I. Freedom of expression</w:t>
      </w:r>
    </w:p>
    <w:p w14:paraId="50852C16" w14:textId="434CF22D"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AGQ argues that neither the purpose nor the effect of the </w:t>
      </w:r>
      <w:r w:rsidRPr="00B120AE">
        <w:rPr>
          <w:i/>
          <w:iCs/>
          <w:kern w:val="28"/>
          <w:lang w:val="en-CA"/>
        </w:rPr>
        <w:t>Act</w:t>
      </w:r>
      <w:r w:rsidRPr="00B120AE">
        <w:rPr>
          <w:kern w:val="28"/>
          <w:lang w:val="en-CA"/>
        </w:rPr>
        <w:t xml:space="preserve"> and the </w:t>
      </w:r>
      <w:r w:rsidRPr="00B120AE">
        <w:rPr>
          <w:i/>
          <w:iCs/>
          <w:kern w:val="28"/>
          <w:lang w:val="en-CA"/>
        </w:rPr>
        <w:t>Regulation</w:t>
      </w:r>
      <w:r w:rsidRPr="00B120AE">
        <w:rPr>
          <w:kern w:val="28"/>
          <w:lang w:val="en-CA"/>
        </w:rPr>
        <w:t xml:space="preserve"> is to limit artistic expression. They regulate the use of tobacco products, as well as the use of products considered to be tobacco, in enclosed spaces that are open to the public. Moreover, they do not prevent the use of </w:t>
      </w:r>
      <w:r w:rsidR="00282C6C">
        <w:rPr>
          <w:kern w:val="28"/>
          <w:lang w:val="en-CA"/>
        </w:rPr>
        <w:t>“</w:t>
      </w:r>
      <w:r w:rsidRPr="00B120AE">
        <w:rPr>
          <w:kern w:val="28"/>
          <w:lang w:val="en-CA"/>
        </w:rPr>
        <w:t>conventions</w:t>
      </w:r>
      <w:r w:rsidR="00282C6C">
        <w:rPr>
          <w:kern w:val="28"/>
          <w:lang w:val="en-CA"/>
        </w:rPr>
        <w:t>”</w:t>
      </w:r>
      <w:r w:rsidRPr="00B120AE">
        <w:rPr>
          <w:kern w:val="28"/>
          <w:lang w:val="en-CA"/>
        </w:rPr>
        <w:t xml:space="preserve"> to simulate the act of smoking and convey the desired message. The AGQ characterizes the Theatres</w:t>
      </w:r>
      <w:r w:rsidR="00282C6C">
        <w:rPr>
          <w:kern w:val="28"/>
          <w:lang w:val="en-CA"/>
        </w:rPr>
        <w:t>’</w:t>
      </w:r>
      <w:r w:rsidRPr="00B120AE">
        <w:rPr>
          <w:kern w:val="28"/>
          <w:lang w:val="en-CA"/>
        </w:rPr>
        <w:t xml:space="preserve"> allegations that the use of contrivances, such as prop cigarettes without inhalation, lacks credibility as a personal assessment. Subsidiarily, he argues that the infringement is less significant than the judge held, since it is still permissible to depict the act of smoking. </w:t>
      </w:r>
    </w:p>
    <w:p w14:paraId="50852C17" w14:textId="33FB8CF0"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proofErr w:type="gramStart"/>
      <w:r w:rsidRPr="00B120AE">
        <w:rPr>
          <w:kern w:val="28"/>
          <w:lang w:val="en-CA"/>
        </w:rPr>
        <w:t>For the reasons that</w:t>
      </w:r>
      <w:proofErr w:type="gramEnd"/>
      <w:r w:rsidRPr="00B120AE">
        <w:rPr>
          <w:kern w:val="28"/>
          <w:lang w:val="en-CA"/>
        </w:rPr>
        <w:t xml:space="preserve"> follow, I do not accept these arguments. In my view, the judge correctly stated the applicable principles, and his conclusion is well founded. Before turning to the analysis, I will set out the relevant provisions of the </w:t>
      </w:r>
      <w:r w:rsidRPr="00B120AE">
        <w:rPr>
          <w:i/>
          <w:iCs/>
          <w:kern w:val="28"/>
          <w:lang w:val="en-CA"/>
        </w:rPr>
        <w:t>Act</w:t>
      </w:r>
      <w:r w:rsidRPr="00B120AE">
        <w:rPr>
          <w:kern w:val="28"/>
          <w:lang w:val="en-CA"/>
        </w:rPr>
        <w:t xml:space="preserve"> and the </w:t>
      </w:r>
      <w:r w:rsidRPr="00B120AE">
        <w:rPr>
          <w:i/>
          <w:iCs/>
          <w:kern w:val="28"/>
          <w:lang w:val="en-CA"/>
        </w:rPr>
        <w:t>Regulation</w:t>
      </w:r>
      <w:r w:rsidRPr="00B120AE">
        <w:rPr>
          <w:kern w:val="28"/>
          <w:lang w:val="en-CA"/>
        </w:rPr>
        <w:t>, as well as the applicable principles.</w:t>
      </w:r>
    </w:p>
    <w:p w14:paraId="50852C18" w14:textId="77777777" w:rsidR="00E524EA" w:rsidRPr="00B120AE" w:rsidRDefault="001C0031" w:rsidP="00E524EA">
      <w:pPr>
        <w:keepNext/>
        <w:numPr>
          <w:ilvl w:val="0"/>
          <w:numId w:val="21"/>
        </w:numPr>
        <w:tabs>
          <w:tab w:val="num" w:pos="993"/>
        </w:tabs>
        <w:spacing w:before="120" w:after="120" w:line="240" w:lineRule="auto"/>
        <w:outlineLvl w:val="2"/>
        <w:rPr>
          <w:b/>
          <w:bCs/>
          <w:lang w:val="en-CA"/>
        </w:rPr>
      </w:pPr>
      <w:r w:rsidRPr="00B120AE">
        <w:rPr>
          <w:b/>
          <w:bCs/>
          <w:lang w:val="en-CA"/>
        </w:rPr>
        <w:t>Applicable provisions</w:t>
      </w:r>
    </w:p>
    <w:p w14:paraId="50852C19" w14:textId="598C8C89"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bookmarkStart w:id="29" w:name="_Ref223778453"/>
      <w:r w:rsidRPr="00B120AE">
        <w:rPr>
          <w:kern w:val="28"/>
          <w:lang w:val="en-CA"/>
        </w:rPr>
        <w:t xml:space="preserve">The </w:t>
      </w:r>
      <w:r w:rsidRPr="00B120AE">
        <w:rPr>
          <w:i/>
          <w:iCs/>
          <w:kern w:val="28"/>
          <w:lang w:val="en-CA"/>
        </w:rPr>
        <w:t>Act</w:t>
      </w:r>
      <w:r w:rsidRPr="00B120AE">
        <w:rPr>
          <w:kern w:val="28"/>
          <w:lang w:val="en-CA"/>
        </w:rPr>
        <w:t xml:space="preserve"> prohibits smoking in enclosed public spaces. More specifically, its </w:t>
      </w:r>
      <w:r w:rsidR="008742D0">
        <w:rPr>
          <w:kern w:val="28"/>
          <w:lang w:val="en-CA"/>
        </w:rPr>
        <w:t>s. 2</w:t>
      </w:r>
      <w:r w:rsidRPr="00B120AE">
        <w:rPr>
          <w:kern w:val="28"/>
          <w:lang w:val="en-CA"/>
        </w:rPr>
        <w:t xml:space="preserve"> enacts an absolute ban on smoking in enclosed spaces where activities of a cultural or artistic nature are presented:</w:t>
      </w:r>
      <w:r w:rsidRPr="00B120AE">
        <w:rPr>
          <w:kern w:val="28"/>
          <w:vertAlign w:val="superscript"/>
          <w:lang w:val="en-CA"/>
        </w:rPr>
        <w:footnoteReference w:id="15"/>
      </w:r>
      <w:bookmarkEnd w:id="29"/>
    </w:p>
    <w:tbl>
      <w:tblPr>
        <w:tblW w:w="0" w:type="auto"/>
        <w:tblCellMar>
          <w:left w:w="70" w:type="dxa"/>
          <w:right w:w="70" w:type="dxa"/>
        </w:tblCellMar>
        <w:tblLook w:val="0000" w:firstRow="0" w:lastRow="0" w:firstColumn="0" w:lastColumn="0" w:noHBand="0" w:noVBand="0"/>
      </w:tblPr>
      <w:tblGrid>
        <w:gridCol w:w="4680"/>
        <w:gridCol w:w="4682"/>
      </w:tblGrid>
      <w:tr w:rsidR="00815D3B" w:rsidRPr="00B120AE" w14:paraId="50852C2C" w14:textId="77777777" w:rsidTr="00673117">
        <w:trPr>
          <w:trHeight w:val="474"/>
        </w:trPr>
        <w:tc>
          <w:tcPr>
            <w:tcW w:w="4680" w:type="dxa"/>
          </w:tcPr>
          <w:p w14:paraId="50852C1A" w14:textId="77777777" w:rsidR="00E524EA" w:rsidRPr="00B120AE" w:rsidRDefault="001C0031" w:rsidP="00A707BB">
            <w:pPr>
              <w:spacing w:line="240" w:lineRule="auto"/>
              <w:ind w:left="720" w:right="144"/>
              <w:jc w:val="both"/>
              <w:rPr>
                <w:sz w:val="22"/>
                <w:lang w:val="en-CA"/>
              </w:rPr>
            </w:pPr>
            <w:r w:rsidRPr="00B120AE">
              <w:rPr>
                <w:b/>
                <w:bCs/>
                <w:sz w:val="22"/>
                <w:lang w:val="en-CA"/>
              </w:rPr>
              <w:t>2.</w:t>
            </w:r>
            <w:r w:rsidRPr="00B120AE">
              <w:rPr>
                <w:sz w:val="22"/>
                <w:lang w:val="en-CA"/>
              </w:rPr>
              <w:t> Subject to sections 3 to 12, smoking is prohibited in the following enclosed spaces:</w:t>
            </w:r>
          </w:p>
          <w:p w14:paraId="50852C1B" w14:textId="77777777" w:rsidR="00A707BB" w:rsidRPr="00B120AE" w:rsidRDefault="00A707BB" w:rsidP="00710FF5">
            <w:pPr>
              <w:spacing w:line="240" w:lineRule="auto"/>
              <w:ind w:left="720" w:right="144"/>
              <w:jc w:val="both"/>
              <w:rPr>
                <w:sz w:val="22"/>
                <w:lang w:val="en-CA"/>
              </w:rPr>
            </w:pPr>
          </w:p>
          <w:p w14:paraId="50852C1C" w14:textId="77777777" w:rsidR="00E524EA" w:rsidRPr="00B120AE" w:rsidRDefault="001C0031" w:rsidP="00710FF5">
            <w:pPr>
              <w:spacing w:line="240" w:lineRule="auto"/>
              <w:ind w:left="720" w:right="144"/>
              <w:jc w:val="both"/>
              <w:rPr>
                <w:sz w:val="22"/>
                <w:lang w:val="en-CA"/>
              </w:rPr>
            </w:pPr>
            <w:r w:rsidRPr="00B120AE">
              <w:rPr>
                <w:sz w:val="22"/>
                <w:lang w:val="en-CA"/>
              </w:rPr>
              <w:t>[…]</w:t>
            </w:r>
          </w:p>
          <w:p w14:paraId="50852C1D" w14:textId="77777777" w:rsidR="00E524EA" w:rsidRPr="00B120AE" w:rsidRDefault="00E524EA" w:rsidP="00710FF5">
            <w:pPr>
              <w:spacing w:line="240" w:lineRule="auto"/>
              <w:ind w:left="720" w:right="144"/>
              <w:jc w:val="both"/>
              <w:rPr>
                <w:sz w:val="22"/>
                <w:lang w:val="en-CA"/>
              </w:rPr>
            </w:pPr>
          </w:p>
          <w:p w14:paraId="50852C1E" w14:textId="77777777" w:rsidR="00E524EA" w:rsidRPr="00B120AE" w:rsidRDefault="001C0031" w:rsidP="00A707BB">
            <w:pPr>
              <w:spacing w:line="240" w:lineRule="auto"/>
              <w:ind w:left="720" w:right="142"/>
              <w:jc w:val="both"/>
              <w:rPr>
                <w:sz w:val="22"/>
                <w:lang w:val="en-CA"/>
              </w:rPr>
            </w:pPr>
            <w:r w:rsidRPr="00B120AE">
              <w:rPr>
                <w:sz w:val="22"/>
                <w:lang w:val="en-CA"/>
              </w:rPr>
              <w:t xml:space="preserve">(5) enclosed spaces where activities of a sports or recreational, judicial, cultural or artistic nature are presented, or where conferences, conventions or other similar events are </w:t>
            </w:r>
            <w:proofErr w:type="gramStart"/>
            <w:r w:rsidRPr="00B120AE">
              <w:rPr>
                <w:sz w:val="22"/>
                <w:lang w:val="en-CA"/>
              </w:rPr>
              <w:t>held;</w:t>
            </w:r>
            <w:proofErr w:type="gramEnd"/>
          </w:p>
          <w:p w14:paraId="50852C1F" w14:textId="77777777" w:rsidR="00A707BB" w:rsidRPr="00B120AE" w:rsidRDefault="00A707BB" w:rsidP="00710FF5">
            <w:pPr>
              <w:spacing w:line="240" w:lineRule="auto"/>
              <w:ind w:left="720" w:right="142"/>
              <w:jc w:val="both"/>
              <w:rPr>
                <w:sz w:val="22"/>
                <w:lang w:val="en-CA"/>
              </w:rPr>
            </w:pPr>
          </w:p>
          <w:p w14:paraId="50852C20" w14:textId="77777777" w:rsidR="00E524EA" w:rsidRPr="00B120AE" w:rsidRDefault="001C0031" w:rsidP="00A707BB">
            <w:pPr>
              <w:spacing w:line="240" w:lineRule="auto"/>
              <w:ind w:left="720" w:right="144"/>
              <w:jc w:val="both"/>
              <w:rPr>
                <w:sz w:val="22"/>
                <w:lang w:val="en-CA"/>
              </w:rPr>
            </w:pPr>
            <w:r w:rsidRPr="00B120AE">
              <w:rPr>
                <w:sz w:val="22"/>
                <w:lang w:val="en-CA"/>
              </w:rPr>
              <w:t>[…]</w:t>
            </w:r>
          </w:p>
          <w:p w14:paraId="50852C21" w14:textId="77777777" w:rsidR="00A707BB" w:rsidRPr="00B120AE" w:rsidRDefault="00A707BB" w:rsidP="00710FF5">
            <w:pPr>
              <w:spacing w:line="240" w:lineRule="auto"/>
              <w:ind w:left="720" w:right="144"/>
              <w:jc w:val="both"/>
              <w:rPr>
                <w:sz w:val="22"/>
                <w:lang w:val="en-CA"/>
              </w:rPr>
            </w:pPr>
          </w:p>
          <w:p w14:paraId="50852C22" w14:textId="77777777" w:rsidR="00E524EA" w:rsidRPr="00B120AE" w:rsidRDefault="001C0031" w:rsidP="00710FF5">
            <w:pPr>
              <w:spacing w:line="240" w:lineRule="auto"/>
              <w:ind w:left="720" w:right="144"/>
              <w:jc w:val="both"/>
              <w:rPr>
                <w:sz w:val="22"/>
                <w:lang w:val="en-CA"/>
              </w:rPr>
            </w:pPr>
            <w:r w:rsidRPr="00B120AE">
              <w:rPr>
                <w:sz w:val="22"/>
                <w:lang w:val="en-CA"/>
              </w:rPr>
              <w:t>(12) all other enclosed spaces to which the public has admittance.</w:t>
            </w:r>
          </w:p>
        </w:tc>
        <w:tc>
          <w:tcPr>
            <w:tcW w:w="4682" w:type="dxa"/>
          </w:tcPr>
          <w:p w14:paraId="50852C23" w14:textId="77777777" w:rsidR="00E524EA" w:rsidRPr="003F068E" w:rsidRDefault="001C0031" w:rsidP="00A707BB">
            <w:pPr>
              <w:spacing w:line="240" w:lineRule="auto"/>
              <w:ind w:left="144" w:right="720"/>
              <w:jc w:val="both"/>
              <w:rPr>
                <w:sz w:val="22"/>
              </w:rPr>
            </w:pPr>
            <w:r w:rsidRPr="003F068E">
              <w:rPr>
                <w:b/>
                <w:bCs/>
                <w:sz w:val="22"/>
              </w:rPr>
              <w:t>2.</w:t>
            </w:r>
            <w:r w:rsidRPr="003F068E">
              <w:rPr>
                <w:sz w:val="22"/>
              </w:rPr>
              <w:t xml:space="preserve"> Sous réserve des articles 3 à 12, il est interdit de fumer dans tous les lieux fermés suivants : </w:t>
            </w:r>
          </w:p>
          <w:p w14:paraId="50852C24" w14:textId="77777777" w:rsidR="00A707BB" w:rsidRPr="003F068E" w:rsidRDefault="00A707BB" w:rsidP="00710FF5">
            <w:pPr>
              <w:spacing w:line="240" w:lineRule="auto"/>
              <w:ind w:left="144" w:right="720"/>
              <w:jc w:val="both"/>
              <w:rPr>
                <w:sz w:val="22"/>
              </w:rPr>
            </w:pPr>
          </w:p>
          <w:p w14:paraId="50852C25" w14:textId="77777777" w:rsidR="00E524EA" w:rsidRPr="003F068E" w:rsidRDefault="001C0031" w:rsidP="00710FF5">
            <w:pPr>
              <w:spacing w:line="240" w:lineRule="auto"/>
              <w:ind w:left="144" w:right="720"/>
              <w:jc w:val="both"/>
              <w:rPr>
                <w:sz w:val="22"/>
              </w:rPr>
            </w:pPr>
            <w:r w:rsidRPr="003F068E">
              <w:rPr>
                <w:sz w:val="22"/>
              </w:rPr>
              <w:t>[…]</w:t>
            </w:r>
          </w:p>
          <w:p w14:paraId="50852C26" w14:textId="77777777" w:rsidR="00E524EA" w:rsidRPr="003F068E" w:rsidRDefault="00E524EA" w:rsidP="00710FF5">
            <w:pPr>
              <w:spacing w:line="240" w:lineRule="auto"/>
              <w:ind w:left="144" w:right="720"/>
              <w:jc w:val="both"/>
              <w:rPr>
                <w:sz w:val="22"/>
              </w:rPr>
            </w:pPr>
          </w:p>
          <w:p w14:paraId="50852C27" w14:textId="77777777" w:rsidR="00E524EA" w:rsidRPr="003F068E" w:rsidRDefault="001C0031" w:rsidP="00A707BB">
            <w:pPr>
              <w:spacing w:line="240" w:lineRule="auto"/>
              <w:ind w:left="144" w:right="720"/>
              <w:jc w:val="both"/>
              <w:rPr>
                <w:sz w:val="22"/>
              </w:rPr>
            </w:pPr>
            <w:r w:rsidRPr="003F068E">
              <w:rPr>
                <w:sz w:val="22"/>
              </w:rPr>
              <w:t>5° ceux où se déroulent des activités sportives ou de loisirs, judiciaires, culturelles ou artistiques, des colloques ou des congrès ou autres activités semblables;</w:t>
            </w:r>
          </w:p>
          <w:p w14:paraId="50852C28" w14:textId="77777777" w:rsidR="00A707BB" w:rsidRDefault="00A707BB" w:rsidP="00710FF5">
            <w:pPr>
              <w:spacing w:line="240" w:lineRule="auto"/>
              <w:ind w:left="144" w:right="720"/>
              <w:jc w:val="both"/>
              <w:rPr>
                <w:sz w:val="22"/>
              </w:rPr>
            </w:pPr>
          </w:p>
          <w:p w14:paraId="6E4F25C5" w14:textId="77777777" w:rsidR="00763BDE" w:rsidRPr="003F068E" w:rsidRDefault="00763BDE" w:rsidP="00710FF5">
            <w:pPr>
              <w:spacing w:line="240" w:lineRule="auto"/>
              <w:ind w:left="144" w:right="720"/>
              <w:jc w:val="both"/>
              <w:rPr>
                <w:sz w:val="22"/>
              </w:rPr>
            </w:pPr>
          </w:p>
          <w:p w14:paraId="50852C29" w14:textId="77777777" w:rsidR="00E524EA" w:rsidRPr="003F068E" w:rsidRDefault="001C0031" w:rsidP="00A707BB">
            <w:pPr>
              <w:spacing w:line="240" w:lineRule="auto"/>
              <w:ind w:left="144" w:right="720"/>
              <w:jc w:val="both"/>
              <w:rPr>
                <w:sz w:val="22"/>
              </w:rPr>
            </w:pPr>
            <w:r w:rsidRPr="003F068E">
              <w:rPr>
                <w:sz w:val="22"/>
              </w:rPr>
              <w:t>[…]</w:t>
            </w:r>
          </w:p>
          <w:p w14:paraId="50852C2A" w14:textId="77777777" w:rsidR="00A707BB" w:rsidRPr="003F068E" w:rsidRDefault="00A707BB" w:rsidP="00710FF5">
            <w:pPr>
              <w:spacing w:line="240" w:lineRule="auto"/>
              <w:ind w:left="144" w:right="720"/>
              <w:jc w:val="both"/>
              <w:rPr>
                <w:sz w:val="22"/>
              </w:rPr>
            </w:pPr>
          </w:p>
          <w:p w14:paraId="50852C2B" w14:textId="77777777" w:rsidR="00E524EA" w:rsidRPr="003F068E" w:rsidRDefault="001C0031" w:rsidP="00710FF5">
            <w:pPr>
              <w:spacing w:line="240" w:lineRule="auto"/>
              <w:ind w:left="144" w:right="720"/>
              <w:jc w:val="both"/>
              <w:rPr>
                <w:sz w:val="22"/>
              </w:rPr>
            </w:pPr>
            <w:r w:rsidRPr="003F068E">
              <w:rPr>
                <w:sz w:val="22"/>
              </w:rPr>
              <w:t>12° tous les autres lieux fermés qui accueillent le public.</w:t>
            </w:r>
          </w:p>
        </w:tc>
      </w:tr>
    </w:tbl>
    <w:p w14:paraId="50852C2D" w14:textId="24788BDF"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This smoking ban applies not only to traditional cigarettes containing tobacco, but also to any product that emits an inhalable substance when put to one</w:t>
      </w:r>
      <w:r w:rsidR="00282C6C">
        <w:rPr>
          <w:kern w:val="28"/>
          <w:lang w:val="en-CA"/>
        </w:rPr>
        <w:t>’</w:t>
      </w:r>
      <w:r w:rsidRPr="00B120AE">
        <w:rPr>
          <w:kern w:val="28"/>
          <w:lang w:val="en-CA"/>
        </w:rPr>
        <w:t>s mouth, as provided for in s</w:t>
      </w:r>
      <w:r w:rsidR="008742D0">
        <w:rPr>
          <w:kern w:val="28"/>
          <w:lang w:val="en-CA"/>
        </w:rPr>
        <w:t>s. 1</w:t>
      </w:r>
      <w:r w:rsidRPr="00B120AE">
        <w:rPr>
          <w:kern w:val="28"/>
          <w:lang w:val="en-CA"/>
        </w:rPr>
        <w:t xml:space="preserve"> and 1.1 of the </w:t>
      </w:r>
      <w:r w:rsidRPr="00B120AE">
        <w:rPr>
          <w:i/>
          <w:iCs/>
          <w:kern w:val="28"/>
          <w:lang w:val="en-CA"/>
        </w:rPr>
        <w:t>Act</w:t>
      </w:r>
      <w:r w:rsidRPr="00B120AE">
        <w:rPr>
          <w:kern w:val="28"/>
          <w:lang w:val="en-CA"/>
        </w:rPr>
        <w:t>:</w:t>
      </w:r>
    </w:p>
    <w:tbl>
      <w:tblPr>
        <w:tblW w:w="0" w:type="auto"/>
        <w:tblCellMar>
          <w:left w:w="70" w:type="dxa"/>
          <w:right w:w="70" w:type="dxa"/>
        </w:tblCellMar>
        <w:tblLook w:val="0000" w:firstRow="0" w:lastRow="0" w:firstColumn="0" w:lastColumn="0" w:noHBand="0" w:noVBand="0"/>
      </w:tblPr>
      <w:tblGrid>
        <w:gridCol w:w="4667"/>
        <w:gridCol w:w="4660"/>
      </w:tblGrid>
      <w:tr w:rsidR="00815D3B" w:rsidRPr="00B120AE" w14:paraId="50852C41" w14:textId="77777777" w:rsidTr="00673117">
        <w:trPr>
          <w:trHeight w:val="726"/>
        </w:trPr>
        <w:tc>
          <w:tcPr>
            <w:tcW w:w="4667" w:type="dxa"/>
          </w:tcPr>
          <w:p w14:paraId="50852C2E" w14:textId="5782A132" w:rsidR="00E524EA" w:rsidRPr="00B120AE" w:rsidRDefault="001C0031" w:rsidP="00710FF5">
            <w:pPr>
              <w:spacing w:before="120" w:line="240" w:lineRule="auto"/>
              <w:ind w:left="720" w:right="142"/>
              <w:jc w:val="both"/>
              <w:rPr>
                <w:sz w:val="22"/>
                <w:lang w:val="en-CA"/>
              </w:rPr>
            </w:pPr>
            <w:r w:rsidRPr="00B120AE">
              <w:rPr>
                <w:b/>
                <w:bCs/>
                <w:sz w:val="22"/>
                <w:lang w:val="en-CA"/>
              </w:rPr>
              <w:t>1.</w:t>
            </w:r>
            <w:r w:rsidRPr="00B120AE">
              <w:rPr>
                <w:sz w:val="22"/>
                <w:lang w:val="en-CA"/>
              </w:rPr>
              <w:t xml:space="preserve"> This Act applies to harvested tobacco in any processed or unprocessed form, however presented. The term </w:t>
            </w:r>
            <w:r w:rsidR="00282C6C">
              <w:rPr>
                <w:sz w:val="22"/>
                <w:lang w:val="en-CA"/>
              </w:rPr>
              <w:t>“</w:t>
            </w:r>
            <w:r w:rsidRPr="00B120AE">
              <w:rPr>
                <w:sz w:val="22"/>
                <w:lang w:val="en-CA"/>
              </w:rPr>
              <w:t>tobacco</w:t>
            </w:r>
            <w:r w:rsidR="00282C6C">
              <w:rPr>
                <w:sz w:val="22"/>
                <w:lang w:val="en-CA"/>
              </w:rPr>
              <w:t>”</w:t>
            </w:r>
            <w:r w:rsidRPr="00B120AE">
              <w:rPr>
                <w:sz w:val="22"/>
                <w:lang w:val="en-CA"/>
              </w:rPr>
              <w:t xml:space="preserve"> includes any product containing tobacco, electronic cigarettes and any other devices of that nature that are put to one</w:t>
            </w:r>
            <w:r w:rsidR="00282C6C">
              <w:rPr>
                <w:sz w:val="22"/>
                <w:lang w:val="en-CA"/>
              </w:rPr>
              <w:t>’</w:t>
            </w:r>
            <w:r w:rsidRPr="00B120AE">
              <w:rPr>
                <w:sz w:val="22"/>
                <w:lang w:val="en-CA"/>
              </w:rPr>
              <w:t>s mouth to inhale any substance that may or may not contain nicotine, including their components and accessories, and any other product or class of product considered to be tobacco under a government regulation.</w:t>
            </w:r>
          </w:p>
          <w:p w14:paraId="50852C2F" w14:textId="77777777" w:rsidR="00A707BB" w:rsidRPr="00B120AE" w:rsidRDefault="00A707BB" w:rsidP="00A707BB">
            <w:pPr>
              <w:spacing w:line="240" w:lineRule="auto"/>
              <w:ind w:left="720" w:right="144"/>
              <w:jc w:val="both"/>
              <w:rPr>
                <w:sz w:val="22"/>
                <w:lang w:val="en-CA"/>
              </w:rPr>
            </w:pPr>
          </w:p>
          <w:p w14:paraId="0A54367C" w14:textId="77777777" w:rsidR="00484361" w:rsidRDefault="00484361" w:rsidP="00A707BB">
            <w:pPr>
              <w:spacing w:line="240" w:lineRule="auto"/>
              <w:ind w:left="720" w:right="144"/>
              <w:jc w:val="both"/>
              <w:rPr>
                <w:sz w:val="22"/>
                <w:lang w:val="en-CA"/>
              </w:rPr>
            </w:pPr>
          </w:p>
          <w:p w14:paraId="50852C30" w14:textId="1ECBC513" w:rsidR="00E524EA" w:rsidRPr="00B120AE" w:rsidRDefault="001C0031" w:rsidP="00A707BB">
            <w:pPr>
              <w:spacing w:line="240" w:lineRule="auto"/>
              <w:ind w:left="720" w:right="144"/>
              <w:jc w:val="both"/>
              <w:rPr>
                <w:sz w:val="22"/>
                <w:lang w:val="en-CA"/>
              </w:rPr>
            </w:pPr>
            <w:r w:rsidRPr="00B120AE">
              <w:rPr>
                <w:sz w:val="22"/>
                <w:lang w:val="en-CA"/>
              </w:rPr>
              <w:t>This Act is binding on the State.</w:t>
            </w:r>
          </w:p>
          <w:p w14:paraId="50852C31" w14:textId="77777777" w:rsidR="00A707BB" w:rsidRPr="00B120AE" w:rsidRDefault="00A707BB" w:rsidP="00A707BB">
            <w:pPr>
              <w:spacing w:line="240" w:lineRule="auto"/>
              <w:ind w:left="720" w:right="144"/>
              <w:jc w:val="both"/>
              <w:rPr>
                <w:sz w:val="22"/>
                <w:lang w:val="en-CA"/>
              </w:rPr>
            </w:pPr>
          </w:p>
          <w:p w14:paraId="50852C32" w14:textId="77777777" w:rsidR="00E524EA" w:rsidRPr="00B120AE" w:rsidRDefault="001C0031" w:rsidP="00A707BB">
            <w:pPr>
              <w:spacing w:line="240" w:lineRule="auto"/>
              <w:ind w:left="720" w:right="144"/>
              <w:jc w:val="both"/>
              <w:rPr>
                <w:sz w:val="22"/>
                <w:lang w:val="en-CA"/>
              </w:rPr>
            </w:pPr>
            <w:r w:rsidRPr="00B120AE">
              <w:rPr>
                <w:b/>
                <w:bCs/>
                <w:sz w:val="22"/>
                <w:lang w:val="en-CA"/>
              </w:rPr>
              <w:t>1.1.</w:t>
            </w:r>
            <w:r w:rsidRPr="00B120AE">
              <w:rPr>
                <w:sz w:val="22"/>
                <w:lang w:val="en-CA"/>
              </w:rPr>
              <w:t> For the purposes of this Act, unless the context indicates otherwise,</w:t>
            </w:r>
          </w:p>
          <w:p w14:paraId="50852C33" w14:textId="77777777" w:rsidR="00A707BB" w:rsidRPr="00B120AE" w:rsidRDefault="00A707BB" w:rsidP="00A707BB">
            <w:pPr>
              <w:spacing w:line="240" w:lineRule="auto"/>
              <w:ind w:left="720" w:right="144"/>
              <w:jc w:val="both"/>
              <w:rPr>
                <w:sz w:val="22"/>
                <w:lang w:val="en-CA"/>
              </w:rPr>
            </w:pPr>
          </w:p>
          <w:p w14:paraId="50852C34" w14:textId="6955C193" w:rsidR="00E524EA" w:rsidRPr="00B120AE" w:rsidRDefault="00282C6C" w:rsidP="00A707BB">
            <w:pPr>
              <w:spacing w:line="240" w:lineRule="auto"/>
              <w:ind w:left="720" w:right="144"/>
              <w:jc w:val="both"/>
              <w:rPr>
                <w:sz w:val="22"/>
                <w:lang w:val="en-CA"/>
              </w:rPr>
            </w:pPr>
            <w:r>
              <w:rPr>
                <w:sz w:val="22"/>
                <w:lang w:val="en-CA"/>
              </w:rPr>
              <w:t>“</w:t>
            </w:r>
            <w:r w:rsidR="001C0031" w:rsidRPr="00B120AE">
              <w:rPr>
                <w:sz w:val="22"/>
                <w:lang w:val="en-CA"/>
              </w:rPr>
              <w:t>smoking</w:t>
            </w:r>
            <w:r>
              <w:rPr>
                <w:sz w:val="22"/>
                <w:lang w:val="en-CA"/>
              </w:rPr>
              <w:t>”</w:t>
            </w:r>
            <w:r w:rsidR="001C0031" w:rsidRPr="00B120AE">
              <w:rPr>
                <w:sz w:val="22"/>
                <w:lang w:val="en-CA"/>
              </w:rPr>
              <w:t xml:space="preserve"> also covers the use of an electronic cigarette or of any other device of that </w:t>
            </w:r>
            <w:proofErr w:type="gramStart"/>
            <w:r w:rsidR="001C0031" w:rsidRPr="00B120AE">
              <w:rPr>
                <w:sz w:val="22"/>
                <w:lang w:val="en-CA"/>
              </w:rPr>
              <w:t>nature;</w:t>
            </w:r>
            <w:proofErr w:type="gramEnd"/>
          </w:p>
          <w:p w14:paraId="50852C35" w14:textId="77777777" w:rsidR="00A707BB" w:rsidRPr="00B120AE" w:rsidRDefault="00A707BB" w:rsidP="00A707BB">
            <w:pPr>
              <w:spacing w:line="240" w:lineRule="auto"/>
              <w:ind w:left="720" w:right="144"/>
              <w:jc w:val="both"/>
              <w:rPr>
                <w:sz w:val="22"/>
                <w:lang w:val="en-CA"/>
              </w:rPr>
            </w:pPr>
          </w:p>
          <w:p w14:paraId="50852C36" w14:textId="3B8F110B" w:rsidR="00E524EA" w:rsidRPr="00B120AE" w:rsidRDefault="00282C6C" w:rsidP="00A707BB">
            <w:pPr>
              <w:spacing w:line="240" w:lineRule="auto"/>
              <w:ind w:left="720" w:right="144"/>
              <w:jc w:val="both"/>
              <w:rPr>
                <w:sz w:val="22"/>
                <w:lang w:val="en-CA"/>
              </w:rPr>
            </w:pPr>
            <w:r>
              <w:rPr>
                <w:sz w:val="22"/>
                <w:lang w:val="en-CA"/>
              </w:rPr>
              <w:t>“</w:t>
            </w:r>
            <w:r w:rsidR="001C0031" w:rsidRPr="00B120AE">
              <w:rPr>
                <w:sz w:val="22"/>
                <w:lang w:val="en-CA"/>
              </w:rPr>
              <w:t>tobacco</w:t>
            </w:r>
            <w:r>
              <w:rPr>
                <w:sz w:val="22"/>
                <w:lang w:val="en-CA"/>
              </w:rPr>
              <w:t>”</w:t>
            </w:r>
            <w:r w:rsidR="001C0031" w:rsidRPr="00B120AE">
              <w:rPr>
                <w:sz w:val="22"/>
                <w:lang w:val="en-CA"/>
              </w:rPr>
              <w:t xml:space="preserve"> also includes the following accessories: cigarette tubes, rolling paper and filters, pipes, including their components, and cigarette holders.</w:t>
            </w:r>
          </w:p>
        </w:tc>
        <w:tc>
          <w:tcPr>
            <w:tcW w:w="4660" w:type="dxa"/>
          </w:tcPr>
          <w:p w14:paraId="50852C38" w14:textId="79DE9471" w:rsidR="00A707BB" w:rsidRPr="003F068E" w:rsidRDefault="001C0031" w:rsidP="00484361">
            <w:pPr>
              <w:spacing w:before="120" w:line="240" w:lineRule="auto"/>
              <w:ind w:left="142" w:right="720"/>
              <w:jc w:val="both"/>
              <w:rPr>
                <w:sz w:val="22"/>
              </w:rPr>
            </w:pPr>
            <w:r w:rsidRPr="003F068E">
              <w:rPr>
                <w:b/>
                <w:bCs/>
                <w:sz w:val="22"/>
              </w:rPr>
              <w:t>1</w:t>
            </w:r>
            <w:r w:rsidRPr="003F068E">
              <w:rPr>
                <w:sz w:val="22"/>
              </w:rPr>
              <w:t>. La présente loi s</w:t>
            </w:r>
            <w:r w:rsidR="00282C6C" w:rsidRPr="003F068E">
              <w:rPr>
                <w:sz w:val="22"/>
              </w:rPr>
              <w:t>’</w:t>
            </w:r>
            <w:r w:rsidRPr="003F068E">
              <w:rPr>
                <w:sz w:val="22"/>
              </w:rPr>
              <w:t>applique au tabac récolté, qu</w:t>
            </w:r>
            <w:r w:rsidR="00282C6C" w:rsidRPr="003F068E">
              <w:rPr>
                <w:sz w:val="22"/>
              </w:rPr>
              <w:t>’</w:t>
            </w:r>
            <w:r w:rsidRPr="003F068E">
              <w:rPr>
                <w:sz w:val="22"/>
              </w:rPr>
              <w:t>il soit traité ou non et quelles que soient sa forme et sa présentation. Est assimilé à du tabac, tout produit qui contient du tabac, la cigarette électronique et tout autre dispositif de cette nature que l</w:t>
            </w:r>
            <w:r w:rsidR="00282C6C" w:rsidRPr="003F068E">
              <w:rPr>
                <w:sz w:val="22"/>
              </w:rPr>
              <w:t>’</w:t>
            </w:r>
            <w:r w:rsidRPr="003F068E">
              <w:rPr>
                <w:sz w:val="22"/>
              </w:rPr>
              <w:t xml:space="preserve">on porte à la bouche pour inhaler toute </w:t>
            </w:r>
            <w:proofErr w:type="gramStart"/>
            <w:r w:rsidRPr="003F068E">
              <w:rPr>
                <w:sz w:val="22"/>
              </w:rPr>
              <w:t>substance contenant</w:t>
            </w:r>
            <w:proofErr w:type="gramEnd"/>
            <w:r w:rsidRPr="003F068E">
              <w:rPr>
                <w:sz w:val="22"/>
              </w:rPr>
              <w:t xml:space="preserve"> ou non de la nicotine, y compris leurs composantes et leurs accessoires, ainsi que tout autre produit ou catégorie de produit qui, au terme d</w:t>
            </w:r>
            <w:r w:rsidR="00282C6C" w:rsidRPr="003F068E">
              <w:rPr>
                <w:sz w:val="22"/>
              </w:rPr>
              <w:t>’</w:t>
            </w:r>
            <w:r w:rsidRPr="003F068E">
              <w:rPr>
                <w:sz w:val="22"/>
              </w:rPr>
              <w:t>un règlement du gouvernement, y est assimilé.</w:t>
            </w:r>
          </w:p>
          <w:p w14:paraId="50852C39" w14:textId="2BB1B9C4" w:rsidR="00E524EA" w:rsidRPr="003F068E" w:rsidRDefault="001C0031" w:rsidP="00710FF5">
            <w:pPr>
              <w:spacing w:before="240" w:line="240" w:lineRule="auto"/>
              <w:ind w:left="142" w:right="720"/>
              <w:jc w:val="both"/>
              <w:rPr>
                <w:sz w:val="22"/>
              </w:rPr>
            </w:pPr>
            <w:r w:rsidRPr="003F068E">
              <w:rPr>
                <w:sz w:val="22"/>
              </w:rPr>
              <w:t>La présente loi lie l</w:t>
            </w:r>
            <w:r w:rsidR="00282C6C" w:rsidRPr="003F068E">
              <w:rPr>
                <w:sz w:val="22"/>
              </w:rPr>
              <w:t>’</w:t>
            </w:r>
            <w:r w:rsidRPr="003F068E">
              <w:rPr>
                <w:sz w:val="22"/>
              </w:rPr>
              <w:t>État.</w:t>
            </w:r>
          </w:p>
          <w:p w14:paraId="50852C3A" w14:textId="77777777" w:rsidR="00A707BB" w:rsidRPr="003F068E" w:rsidRDefault="00A707BB" w:rsidP="00A707BB">
            <w:pPr>
              <w:spacing w:line="240" w:lineRule="auto"/>
              <w:ind w:left="144" w:right="720"/>
              <w:jc w:val="both"/>
              <w:rPr>
                <w:sz w:val="22"/>
              </w:rPr>
            </w:pPr>
          </w:p>
          <w:p w14:paraId="50852C3B" w14:textId="44AD7F33" w:rsidR="00E524EA" w:rsidRPr="003F068E" w:rsidRDefault="001C0031" w:rsidP="00A707BB">
            <w:pPr>
              <w:spacing w:line="240" w:lineRule="auto"/>
              <w:ind w:left="144" w:right="720"/>
              <w:jc w:val="both"/>
              <w:rPr>
                <w:sz w:val="22"/>
              </w:rPr>
            </w:pPr>
            <w:r w:rsidRPr="003F068E">
              <w:rPr>
                <w:b/>
                <w:bCs/>
                <w:sz w:val="22"/>
              </w:rPr>
              <w:t>1.1.</w:t>
            </w:r>
            <w:r w:rsidRPr="003F068E">
              <w:rPr>
                <w:sz w:val="22"/>
              </w:rPr>
              <w:t> Aux fins de la présente loi, à moins que le contexte ne s</w:t>
            </w:r>
            <w:r w:rsidR="00282C6C" w:rsidRPr="003F068E">
              <w:rPr>
                <w:sz w:val="22"/>
              </w:rPr>
              <w:t>’</w:t>
            </w:r>
            <w:r w:rsidRPr="003F068E">
              <w:rPr>
                <w:sz w:val="22"/>
              </w:rPr>
              <w:t>y oppose, le mot :</w:t>
            </w:r>
          </w:p>
          <w:p w14:paraId="50852C3C" w14:textId="77777777" w:rsidR="00A707BB" w:rsidRPr="003F068E" w:rsidRDefault="00A707BB" w:rsidP="00A707BB">
            <w:pPr>
              <w:spacing w:line="240" w:lineRule="auto"/>
              <w:ind w:left="144" w:right="720"/>
              <w:jc w:val="both"/>
              <w:rPr>
                <w:sz w:val="22"/>
              </w:rPr>
            </w:pPr>
          </w:p>
          <w:p w14:paraId="50852C3D" w14:textId="0C7DD006" w:rsidR="00E524EA" w:rsidRPr="003F068E" w:rsidRDefault="001C0031" w:rsidP="00A707BB">
            <w:pPr>
              <w:spacing w:line="240" w:lineRule="auto"/>
              <w:ind w:left="144" w:right="720"/>
              <w:jc w:val="both"/>
              <w:rPr>
                <w:sz w:val="22"/>
              </w:rPr>
            </w:pPr>
            <w:r w:rsidRPr="003F068E">
              <w:rPr>
                <w:sz w:val="22"/>
              </w:rPr>
              <w:t>« </w:t>
            </w:r>
            <w:proofErr w:type="gramStart"/>
            <w:r w:rsidRPr="003F068E">
              <w:rPr>
                <w:sz w:val="22"/>
              </w:rPr>
              <w:t>fumer</w:t>
            </w:r>
            <w:proofErr w:type="gramEnd"/>
            <w:r w:rsidRPr="003F068E">
              <w:rPr>
                <w:sz w:val="22"/>
              </w:rPr>
              <w:t> » vise également l</w:t>
            </w:r>
            <w:r w:rsidR="00282C6C" w:rsidRPr="003F068E">
              <w:rPr>
                <w:sz w:val="22"/>
              </w:rPr>
              <w:t>’</w:t>
            </w:r>
            <w:r w:rsidRPr="003F068E">
              <w:rPr>
                <w:sz w:val="22"/>
              </w:rPr>
              <w:t>usage d</w:t>
            </w:r>
            <w:r w:rsidR="00282C6C" w:rsidRPr="003F068E">
              <w:rPr>
                <w:sz w:val="22"/>
              </w:rPr>
              <w:t>’</w:t>
            </w:r>
            <w:r w:rsidRPr="003F068E">
              <w:rPr>
                <w:sz w:val="22"/>
              </w:rPr>
              <w:t>une cigarette électronique ou de tout autre dispositif de cette nature;</w:t>
            </w:r>
          </w:p>
          <w:p w14:paraId="50852C3E" w14:textId="77777777" w:rsidR="00A707BB" w:rsidRPr="003F068E" w:rsidRDefault="00A707BB" w:rsidP="00A707BB">
            <w:pPr>
              <w:spacing w:line="240" w:lineRule="auto"/>
              <w:ind w:left="144" w:right="720"/>
              <w:jc w:val="both"/>
              <w:rPr>
                <w:sz w:val="22"/>
              </w:rPr>
            </w:pPr>
          </w:p>
          <w:p w14:paraId="50852C3F" w14:textId="3FCE6ECD" w:rsidR="00E524EA" w:rsidRPr="003F068E" w:rsidRDefault="001C0031" w:rsidP="00A707BB">
            <w:pPr>
              <w:spacing w:line="240" w:lineRule="auto"/>
              <w:ind w:left="144" w:right="720"/>
              <w:jc w:val="both"/>
              <w:rPr>
                <w:sz w:val="22"/>
              </w:rPr>
            </w:pPr>
            <w:r w:rsidRPr="003F068E">
              <w:rPr>
                <w:sz w:val="22"/>
              </w:rPr>
              <w:t>« </w:t>
            </w:r>
            <w:proofErr w:type="gramStart"/>
            <w:r w:rsidRPr="003F068E">
              <w:rPr>
                <w:sz w:val="22"/>
              </w:rPr>
              <w:t>tabac</w:t>
            </w:r>
            <w:proofErr w:type="gramEnd"/>
            <w:r w:rsidRPr="003F068E">
              <w:rPr>
                <w:sz w:val="22"/>
              </w:rPr>
              <w:t> » comprend également les accessoires suivants : les tubes, papiers et filtres à cigarette, les pipes, y compris leurs composantes, et les fume</w:t>
            </w:r>
            <w:r w:rsidR="00720901">
              <w:rPr>
                <w:sz w:val="22"/>
              </w:rPr>
              <w:noBreakHyphen/>
            </w:r>
            <w:r w:rsidRPr="003F068E">
              <w:rPr>
                <w:sz w:val="22"/>
              </w:rPr>
              <w:t>cigarettes.</w:t>
            </w:r>
          </w:p>
          <w:p w14:paraId="50852C40" w14:textId="77777777" w:rsidR="00E524EA" w:rsidRPr="00116DBB" w:rsidRDefault="00E524EA" w:rsidP="00710FF5">
            <w:pPr>
              <w:tabs>
                <w:tab w:val="num" w:pos="993"/>
              </w:tabs>
              <w:spacing w:before="240" w:after="120" w:line="240" w:lineRule="auto"/>
              <w:ind w:left="85" w:right="720"/>
              <w:jc w:val="right"/>
              <w:rPr>
                <w:sz w:val="22"/>
              </w:rPr>
            </w:pPr>
          </w:p>
        </w:tc>
      </w:tr>
    </w:tbl>
    <w:p w14:paraId="50852C42" w14:textId="77777777" w:rsidR="00E524EA" w:rsidRPr="00B120AE" w:rsidRDefault="001C0031" w:rsidP="00C514A5">
      <w:pPr>
        <w:numPr>
          <w:ilvl w:val="0"/>
          <w:numId w:val="18"/>
        </w:numPr>
        <w:tabs>
          <w:tab w:val="clear" w:pos="720"/>
          <w:tab w:val="num" w:pos="993"/>
        </w:tabs>
        <w:spacing w:before="120" w:after="120" w:line="240" w:lineRule="auto"/>
        <w:jc w:val="both"/>
        <w:rPr>
          <w:kern w:val="28"/>
          <w:lang w:val="en-CA"/>
        </w:rPr>
      </w:pPr>
      <w:bookmarkStart w:id="30" w:name="_Ref223778469"/>
      <w:r w:rsidRPr="00B120AE">
        <w:rPr>
          <w:kern w:val="28"/>
          <w:lang w:val="en-CA"/>
        </w:rPr>
        <w:t xml:space="preserve">The </w:t>
      </w:r>
      <w:r w:rsidRPr="00B120AE">
        <w:rPr>
          <w:i/>
          <w:iCs/>
          <w:kern w:val="28"/>
          <w:lang w:val="en-CA"/>
        </w:rPr>
        <w:t>Regulation</w:t>
      </w:r>
      <w:r w:rsidRPr="00B120AE">
        <w:rPr>
          <w:kern w:val="28"/>
          <w:lang w:val="en-CA"/>
        </w:rPr>
        <w:t xml:space="preserve"> specifies the scope of the </w:t>
      </w:r>
      <w:r w:rsidRPr="00B120AE">
        <w:rPr>
          <w:i/>
          <w:iCs/>
          <w:kern w:val="28"/>
          <w:lang w:val="en-CA"/>
        </w:rPr>
        <w:t>Act</w:t>
      </w:r>
      <w:r w:rsidRPr="00B120AE">
        <w:rPr>
          <w:kern w:val="28"/>
          <w:lang w:val="en-CA"/>
        </w:rPr>
        <w:t xml:space="preserve"> by reiterating that the ban also applies to products that do not contain tobacco but are intended to be smoked:</w:t>
      </w:r>
      <w:bookmarkEnd w:id="30"/>
    </w:p>
    <w:tbl>
      <w:tblPr>
        <w:tblW w:w="0" w:type="auto"/>
        <w:tblCellMar>
          <w:left w:w="70" w:type="dxa"/>
          <w:right w:w="70" w:type="dxa"/>
        </w:tblCellMar>
        <w:tblLook w:val="0000" w:firstRow="0" w:lastRow="0" w:firstColumn="0" w:lastColumn="0" w:noHBand="0" w:noVBand="0"/>
      </w:tblPr>
      <w:tblGrid>
        <w:gridCol w:w="4681"/>
        <w:gridCol w:w="4681"/>
      </w:tblGrid>
      <w:tr w:rsidR="00815D3B" w:rsidRPr="00B120AE" w14:paraId="50852C49" w14:textId="77777777" w:rsidTr="00673117">
        <w:tc>
          <w:tcPr>
            <w:tcW w:w="4751" w:type="dxa"/>
          </w:tcPr>
          <w:p w14:paraId="50852C43" w14:textId="015993F7" w:rsidR="00E524EA" w:rsidRPr="00B120AE" w:rsidRDefault="001C0031" w:rsidP="001A2C66">
            <w:pPr>
              <w:spacing w:line="240" w:lineRule="auto"/>
              <w:ind w:left="720" w:right="144"/>
              <w:jc w:val="both"/>
              <w:rPr>
                <w:sz w:val="22"/>
                <w:lang w:val="en-CA"/>
              </w:rPr>
            </w:pPr>
            <w:r w:rsidRPr="00B120AE">
              <w:rPr>
                <w:b/>
                <w:bCs/>
                <w:sz w:val="22"/>
                <w:lang w:val="en-CA"/>
              </w:rPr>
              <w:t>1</w:t>
            </w:r>
            <w:r w:rsidRPr="00B120AE">
              <w:rPr>
                <w:sz w:val="22"/>
                <w:lang w:val="en-CA"/>
              </w:rPr>
              <w:t>. For the purposes of the Tobacco Control Act (chapter L</w:t>
            </w:r>
            <w:r w:rsidR="00720901">
              <w:rPr>
                <w:sz w:val="22"/>
                <w:lang w:val="en-CA"/>
              </w:rPr>
              <w:noBreakHyphen/>
            </w:r>
            <w:r w:rsidRPr="00B120AE">
              <w:rPr>
                <w:sz w:val="22"/>
                <w:lang w:val="en-CA"/>
              </w:rPr>
              <w:t xml:space="preserve">6.2), any product that does not contain tobacco and is intended to be smoked </w:t>
            </w:r>
            <w:proofErr w:type="gramStart"/>
            <w:r w:rsidRPr="00B120AE">
              <w:rPr>
                <w:sz w:val="22"/>
                <w:lang w:val="en-CA"/>
              </w:rPr>
              <w:t>is considered to be</w:t>
            </w:r>
            <w:proofErr w:type="gramEnd"/>
            <w:r w:rsidRPr="00B120AE">
              <w:rPr>
                <w:sz w:val="22"/>
                <w:lang w:val="en-CA"/>
              </w:rPr>
              <w:t xml:space="preserve"> tobacco.</w:t>
            </w:r>
          </w:p>
          <w:p w14:paraId="50852C44" w14:textId="77777777" w:rsidR="00E524EA" w:rsidRPr="00B120AE" w:rsidRDefault="00E524EA" w:rsidP="001A2C66">
            <w:pPr>
              <w:spacing w:line="240" w:lineRule="auto"/>
              <w:ind w:left="720" w:right="144"/>
              <w:jc w:val="both"/>
              <w:rPr>
                <w:sz w:val="22"/>
                <w:lang w:val="en-CA"/>
              </w:rPr>
            </w:pPr>
          </w:p>
          <w:p w14:paraId="50852C45" w14:textId="3CB09757" w:rsidR="00E524EA" w:rsidRPr="00B120AE" w:rsidRDefault="001C0031" w:rsidP="001A2C66">
            <w:pPr>
              <w:spacing w:line="240" w:lineRule="auto"/>
              <w:ind w:left="720" w:right="144"/>
              <w:jc w:val="both"/>
              <w:rPr>
                <w:sz w:val="22"/>
                <w:lang w:val="en-CA"/>
              </w:rPr>
            </w:pPr>
            <w:r w:rsidRPr="00B120AE">
              <w:rPr>
                <w:sz w:val="22"/>
                <w:lang w:val="en-CA"/>
              </w:rPr>
              <w:lastRenderedPageBreak/>
              <w:t>Except for sections 2, 2.1 and 2.2 of the Act, the first paragraph does not apply to cannabis within the meaning of the Cannabis Regulation Act (chapter C</w:t>
            </w:r>
            <w:r w:rsidR="00720901">
              <w:rPr>
                <w:sz w:val="22"/>
                <w:lang w:val="en-CA"/>
              </w:rPr>
              <w:noBreakHyphen/>
            </w:r>
            <w:r w:rsidRPr="00B120AE">
              <w:rPr>
                <w:sz w:val="22"/>
                <w:lang w:val="en-CA"/>
              </w:rPr>
              <w:t>5.3).</w:t>
            </w:r>
          </w:p>
        </w:tc>
        <w:tc>
          <w:tcPr>
            <w:tcW w:w="4751" w:type="dxa"/>
          </w:tcPr>
          <w:p w14:paraId="50852C46" w14:textId="787EA26C" w:rsidR="00E524EA" w:rsidRPr="003F068E" w:rsidRDefault="001C0031" w:rsidP="001A2C66">
            <w:pPr>
              <w:spacing w:line="240" w:lineRule="auto"/>
              <w:ind w:left="144" w:right="720"/>
              <w:jc w:val="both"/>
              <w:rPr>
                <w:sz w:val="22"/>
              </w:rPr>
            </w:pPr>
            <w:r w:rsidRPr="003F068E">
              <w:rPr>
                <w:b/>
                <w:bCs/>
                <w:sz w:val="22"/>
              </w:rPr>
              <w:lastRenderedPageBreak/>
              <w:t>1.</w:t>
            </w:r>
            <w:r w:rsidRPr="003F068E">
              <w:rPr>
                <w:sz w:val="22"/>
              </w:rPr>
              <w:t> Aux fins de la Loi concernant la lutte contre le tabagisme (chapitre L</w:t>
            </w:r>
            <w:r w:rsidR="00720901">
              <w:rPr>
                <w:sz w:val="22"/>
              </w:rPr>
              <w:noBreakHyphen/>
            </w:r>
            <w:r w:rsidRPr="003F068E">
              <w:rPr>
                <w:sz w:val="22"/>
              </w:rPr>
              <w:t>6.2), est assimilé à du tabac, tout produit qui ne contient pas de tabac et qui est destiné à être fumé.</w:t>
            </w:r>
          </w:p>
          <w:p w14:paraId="50852C47" w14:textId="77777777" w:rsidR="00E524EA" w:rsidRPr="003F068E" w:rsidRDefault="00E524EA" w:rsidP="001A2C66">
            <w:pPr>
              <w:spacing w:line="240" w:lineRule="auto"/>
              <w:ind w:left="144" w:right="720"/>
              <w:jc w:val="both"/>
              <w:rPr>
                <w:sz w:val="22"/>
              </w:rPr>
            </w:pPr>
          </w:p>
          <w:p w14:paraId="50852C48" w14:textId="3F12525F" w:rsidR="00E524EA" w:rsidRPr="003F068E" w:rsidRDefault="001C0031" w:rsidP="00710FF5">
            <w:pPr>
              <w:spacing w:after="120" w:line="240" w:lineRule="auto"/>
              <w:ind w:left="142" w:right="720"/>
              <w:jc w:val="both"/>
              <w:rPr>
                <w:sz w:val="22"/>
              </w:rPr>
            </w:pPr>
            <w:r w:rsidRPr="003F068E">
              <w:rPr>
                <w:sz w:val="22"/>
              </w:rPr>
              <w:lastRenderedPageBreak/>
              <w:t>À l</w:t>
            </w:r>
            <w:r w:rsidR="00282C6C" w:rsidRPr="003F068E">
              <w:rPr>
                <w:sz w:val="22"/>
              </w:rPr>
              <w:t>’</w:t>
            </w:r>
            <w:r w:rsidRPr="003F068E">
              <w:rPr>
                <w:sz w:val="22"/>
              </w:rPr>
              <w:t>exception des articles 2, 2.1 et 2.2 de la Loi, le premier alinéa ne s</w:t>
            </w:r>
            <w:r w:rsidR="00282C6C" w:rsidRPr="003F068E">
              <w:rPr>
                <w:sz w:val="22"/>
              </w:rPr>
              <w:t>’</w:t>
            </w:r>
            <w:r w:rsidRPr="003F068E">
              <w:rPr>
                <w:sz w:val="22"/>
              </w:rPr>
              <w:t>applique pas au cannabis au sens de la Loi encadrant le cannabis (chapitre C</w:t>
            </w:r>
            <w:r w:rsidR="00720901">
              <w:rPr>
                <w:sz w:val="22"/>
              </w:rPr>
              <w:noBreakHyphen/>
            </w:r>
            <w:r w:rsidRPr="003F068E">
              <w:rPr>
                <w:sz w:val="22"/>
              </w:rPr>
              <w:t>5.3).</w:t>
            </w:r>
          </w:p>
        </w:tc>
      </w:tr>
    </w:tbl>
    <w:p w14:paraId="50852C4A" w14:textId="154C435D" w:rsidR="00E524EA" w:rsidRPr="00B120AE" w:rsidRDefault="001C0031" w:rsidP="00C514A5">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 xml:space="preserve">Thus, the legislation prohibits smoking any substance, </w:t>
      </w:r>
      <w:proofErr w:type="gramStart"/>
      <w:r w:rsidRPr="00B120AE">
        <w:rPr>
          <w:kern w:val="28"/>
          <w:lang w:val="en-CA"/>
        </w:rPr>
        <w:t>whether or not</w:t>
      </w:r>
      <w:proofErr w:type="gramEnd"/>
      <w:r w:rsidRPr="00B120AE">
        <w:rPr>
          <w:kern w:val="28"/>
          <w:lang w:val="en-CA"/>
        </w:rPr>
        <w:t xml:space="preserve"> it contains nicotine, by means of a device that is brought to one</w:t>
      </w:r>
      <w:r w:rsidR="00282C6C">
        <w:rPr>
          <w:kern w:val="28"/>
          <w:lang w:val="en-CA"/>
        </w:rPr>
        <w:t>’</w:t>
      </w:r>
      <w:r w:rsidRPr="00B120AE">
        <w:rPr>
          <w:kern w:val="28"/>
          <w:lang w:val="en-CA"/>
        </w:rPr>
        <w:t>s mouth for inhalation, in an enclosed space where activities of a cultural or artistic nature are presented. In addition to traditional tobacco cigarettes, the ban on smoking in enclosed spaces also applies to electronic cigarettes, even when they are nicotine</w:t>
      </w:r>
      <w:r w:rsidR="00720901">
        <w:rPr>
          <w:kern w:val="28"/>
          <w:lang w:val="en-CA"/>
        </w:rPr>
        <w:noBreakHyphen/>
      </w:r>
      <w:r w:rsidRPr="00B120AE">
        <w:rPr>
          <w:kern w:val="28"/>
          <w:lang w:val="en-CA"/>
        </w:rPr>
        <w:t>free and emit odourless second</w:t>
      </w:r>
      <w:r w:rsidR="00720901">
        <w:rPr>
          <w:kern w:val="28"/>
          <w:lang w:val="en-CA"/>
        </w:rPr>
        <w:noBreakHyphen/>
      </w:r>
      <w:r w:rsidRPr="00B120AE">
        <w:rPr>
          <w:kern w:val="28"/>
          <w:lang w:val="en-CA"/>
        </w:rPr>
        <w:t xml:space="preserve">hand smoke, and to herbal cigarettes, which are frequently used in the theatre. These are similar to traditional tobacco </w:t>
      </w:r>
      <w:proofErr w:type="gramStart"/>
      <w:r w:rsidRPr="00B120AE">
        <w:rPr>
          <w:kern w:val="28"/>
          <w:lang w:val="en-CA"/>
        </w:rPr>
        <w:t>cigarettes, but</w:t>
      </w:r>
      <w:proofErr w:type="gramEnd"/>
      <w:r w:rsidRPr="00B120AE">
        <w:rPr>
          <w:kern w:val="28"/>
          <w:lang w:val="en-CA"/>
        </w:rPr>
        <w:t xml:space="preserve"> contain no addictive nicotine. Nonetheless, according to the uncontradicted evidence submitted by the AGQ, they are just as harmful to the health of the smoker and of those who inhale the second</w:t>
      </w:r>
      <w:r w:rsidR="00720901">
        <w:rPr>
          <w:kern w:val="28"/>
          <w:lang w:val="en-CA"/>
        </w:rPr>
        <w:noBreakHyphen/>
      </w:r>
      <w:r w:rsidRPr="00B120AE">
        <w:rPr>
          <w:kern w:val="28"/>
          <w:lang w:val="en-CA"/>
        </w:rPr>
        <w:t>hand smoke.</w:t>
      </w:r>
      <w:r w:rsidRPr="00B120AE">
        <w:rPr>
          <w:kern w:val="28"/>
          <w:vertAlign w:val="superscript"/>
          <w:lang w:val="en-CA"/>
        </w:rPr>
        <w:footnoteReference w:id="16"/>
      </w:r>
      <w:r w:rsidRPr="00B120AE">
        <w:rPr>
          <w:kern w:val="28"/>
          <w:lang w:val="en-CA"/>
        </w:rPr>
        <w:t xml:space="preserve"> Only prop cigarettes, which cannot be lit and do not emit inhalable smoke, comply with the law. There are no exceptions for artistic performances of any kind. </w:t>
      </w:r>
    </w:p>
    <w:p w14:paraId="50852C4B" w14:textId="2A7BABDE"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Finally, </w:t>
      </w:r>
      <w:r w:rsidR="008742D0">
        <w:rPr>
          <w:kern w:val="28"/>
          <w:lang w:val="en-CA"/>
        </w:rPr>
        <w:t>s. 1</w:t>
      </w:r>
      <w:r w:rsidRPr="00B120AE">
        <w:rPr>
          <w:kern w:val="28"/>
          <w:lang w:val="en-CA"/>
        </w:rPr>
        <w:t xml:space="preserve">1 of the </w:t>
      </w:r>
      <w:r w:rsidRPr="00B120AE">
        <w:rPr>
          <w:i/>
          <w:iCs/>
          <w:kern w:val="28"/>
          <w:lang w:val="en-CA"/>
        </w:rPr>
        <w:t>Act</w:t>
      </w:r>
      <w:r w:rsidRPr="00B120AE">
        <w:rPr>
          <w:kern w:val="28"/>
          <w:lang w:val="en-CA"/>
        </w:rPr>
        <w:t xml:space="preserve"> provides, first, that an operator of an enclosed place accessible to the public must not tolerate smoking therein and, second, that the operator</w:t>
      </w:r>
      <w:r w:rsidR="00282C6C">
        <w:rPr>
          <w:kern w:val="28"/>
          <w:lang w:val="en-CA"/>
        </w:rPr>
        <w:t>’</w:t>
      </w:r>
      <w:r w:rsidRPr="00B120AE">
        <w:rPr>
          <w:kern w:val="28"/>
          <w:lang w:val="en-CA"/>
        </w:rPr>
        <w:t>s liability is presumed, unless due diligence is established:</w:t>
      </w:r>
    </w:p>
    <w:tbl>
      <w:tblPr>
        <w:tblW w:w="0" w:type="auto"/>
        <w:tblCellMar>
          <w:left w:w="70" w:type="dxa"/>
          <w:right w:w="70" w:type="dxa"/>
        </w:tblCellMar>
        <w:tblLook w:val="0000" w:firstRow="0" w:lastRow="0" w:firstColumn="0" w:lastColumn="0" w:noHBand="0" w:noVBand="0"/>
      </w:tblPr>
      <w:tblGrid>
        <w:gridCol w:w="4677"/>
        <w:gridCol w:w="4685"/>
      </w:tblGrid>
      <w:tr w:rsidR="00815D3B" w:rsidRPr="00B120AE" w14:paraId="50852C53" w14:textId="77777777" w:rsidTr="00673117">
        <w:tc>
          <w:tcPr>
            <w:tcW w:w="4751" w:type="dxa"/>
          </w:tcPr>
          <w:p w14:paraId="50852C4C" w14:textId="77777777" w:rsidR="00E524EA" w:rsidRPr="00B120AE" w:rsidRDefault="001C0031" w:rsidP="00710FF5">
            <w:pPr>
              <w:spacing w:line="240" w:lineRule="auto"/>
              <w:ind w:left="720" w:right="144"/>
              <w:jc w:val="both"/>
              <w:rPr>
                <w:sz w:val="22"/>
                <w:lang w:val="en-CA"/>
              </w:rPr>
            </w:pPr>
            <w:r w:rsidRPr="00B120AE">
              <w:rPr>
                <w:b/>
                <w:bCs/>
                <w:sz w:val="22"/>
                <w:lang w:val="en-CA"/>
              </w:rPr>
              <w:t>11.</w:t>
            </w:r>
            <w:r w:rsidRPr="00B120AE">
              <w:rPr>
                <w:sz w:val="22"/>
                <w:lang w:val="en-CA"/>
              </w:rPr>
              <w:t> The operator of a place or business to which this chapter or a regulation made under the third paragraph of section 2.1 applies shall not tolerate smoking in an area where smoking is prohibited.</w:t>
            </w:r>
          </w:p>
          <w:p w14:paraId="50852C4D" w14:textId="77777777" w:rsidR="00E524EA" w:rsidRDefault="00E524EA" w:rsidP="00710FF5">
            <w:pPr>
              <w:spacing w:line="240" w:lineRule="auto"/>
              <w:ind w:left="720" w:right="144"/>
              <w:jc w:val="both"/>
              <w:rPr>
                <w:sz w:val="22"/>
                <w:lang w:val="en-CA"/>
              </w:rPr>
            </w:pPr>
          </w:p>
          <w:p w14:paraId="60C8E76A" w14:textId="77777777" w:rsidR="00874680" w:rsidRPr="00B120AE" w:rsidRDefault="00874680" w:rsidP="00710FF5">
            <w:pPr>
              <w:spacing w:line="240" w:lineRule="auto"/>
              <w:ind w:left="720" w:right="144"/>
              <w:jc w:val="both"/>
              <w:rPr>
                <w:sz w:val="22"/>
                <w:lang w:val="en-CA"/>
              </w:rPr>
            </w:pPr>
          </w:p>
          <w:p w14:paraId="50852C4E" w14:textId="77777777" w:rsidR="00E524EA" w:rsidRPr="00B120AE" w:rsidRDefault="001C0031" w:rsidP="00710FF5">
            <w:pPr>
              <w:spacing w:line="240" w:lineRule="auto"/>
              <w:ind w:left="720" w:right="144"/>
              <w:jc w:val="both"/>
              <w:rPr>
                <w:sz w:val="22"/>
                <w:lang w:val="en-CA"/>
              </w:rPr>
            </w:pPr>
            <w:r w:rsidRPr="00B120AE">
              <w:rPr>
                <w:sz w:val="22"/>
                <w:lang w:val="en-CA"/>
              </w:rPr>
              <w:t>In penal proceedings for an offence under the first paragraph, proof that a person smoked in an area where smoking is prohibited is sufficient to establish that the operator of the place or business tolerated a person smoking in that area unless it is established that the operator exercised due diligence and took all necessary precautions to prevent its commission, in particular, by posting clearly visible notices stipulating that smoking is prohibited and by having no ashtrays.</w:t>
            </w:r>
          </w:p>
        </w:tc>
        <w:tc>
          <w:tcPr>
            <w:tcW w:w="4751" w:type="dxa"/>
          </w:tcPr>
          <w:p w14:paraId="50852C4F" w14:textId="7112BA56" w:rsidR="00E524EA" w:rsidRPr="00394517" w:rsidRDefault="001C0031" w:rsidP="00710FF5">
            <w:pPr>
              <w:spacing w:line="240" w:lineRule="auto"/>
              <w:ind w:left="144" w:right="720"/>
              <w:jc w:val="both"/>
              <w:rPr>
                <w:sz w:val="22"/>
              </w:rPr>
            </w:pPr>
            <w:r w:rsidRPr="00394517">
              <w:rPr>
                <w:b/>
                <w:bCs/>
                <w:sz w:val="22"/>
              </w:rPr>
              <w:t>11.</w:t>
            </w:r>
            <w:r w:rsidRPr="00394517">
              <w:rPr>
                <w:sz w:val="22"/>
              </w:rPr>
              <w:t> L</w:t>
            </w:r>
            <w:r w:rsidR="00282C6C" w:rsidRPr="00394517">
              <w:rPr>
                <w:sz w:val="22"/>
              </w:rPr>
              <w:t>’</w:t>
            </w:r>
            <w:r w:rsidRPr="00394517">
              <w:rPr>
                <w:sz w:val="22"/>
              </w:rPr>
              <w:t>exploitant d</w:t>
            </w:r>
            <w:r w:rsidR="00282C6C" w:rsidRPr="00394517">
              <w:rPr>
                <w:sz w:val="22"/>
              </w:rPr>
              <w:t>’</w:t>
            </w:r>
            <w:r w:rsidRPr="00394517">
              <w:rPr>
                <w:sz w:val="22"/>
              </w:rPr>
              <w:t>un lieu ou d</w:t>
            </w:r>
            <w:r w:rsidR="00282C6C" w:rsidRPr="00394517">
              <w:rPr>
                <w:sz w:val="22"/>
              </w:rPr>
              <w:t>’</w:t>
            </w:r>
            <w:r w:rsidRPr="00394517">
              <w:rPr>
                <w:sz w:val="22"/>
              </w:rPr>
              <w:t>un commerce visé au présent chapitre ou à un règlement pris en application du troisième alinéa de l</w:t>
            </w:r>
            <w:r w:rsidR="00282C6C" w:rsidRPr="00394517">
              <w:rPr>
                <w:sz w:val="22"/>
              </w:rPr>
              <w:t>’</w:t>
            </w:r>
            <w:r w:rsidRPr="00394517">
              <w:rPr>
                <w:sz w:val="22"/>
              </w:rPr>
              <w:t>article 2.1 ne doit pas tolérer qu</w:t>
            </w:r>
            <w:r w:rsidR="00282C6C" w:rsidRPr="00394517">
              <w:rPr>
                <w:sz w:val="22"/>
              </w:rPr>
              <w:t>’</w:t>
            </w:r>
            <w:r w:rsidRPr="00394517">
              <w:rPr>
                <w:sz w:val="22"/>
              </w:rPr>
              <w:t>une personne fume dans un endroit où il est interdit de le faire.</w:t>
            </w:r>
          </w:p>
          <w:p w14:paraId="50852C50" w14:textId="77777777" w:rsidR="00E524EA" w:rsidRPr="00394517" w:rsidRDefault="00E524EA" w:rsidP="00710FF5">
            <w:pPr>
              <w:spacing w:line="240" w:lineRule="auto"/>
              <w:ind w:left="144" w:right="720"/>
              <w:jc w:val="both"/>
              <w:rPr>
                <w:sz w:val="22"/>
              </w:rPr>
            </w:pPr>
          </w:p>
          <w:p w14:paraId="50852C52" w14:textId="673F7A51" w:rsidR="00E524EA" w:rsidRPr="00394517" w:rsidRDefault="001C0031" w:rsidP="00710FF5">
            <w:pPr>
              <w:spacing w:line="240" w:lineRule="auto"/>
              <w:ind w:left="144" w:right="720"/>
              <w:jc w:val="both"/>
              <w:rPr>
                <w:sz w:val="22"/>
              </w:rPr>
            </w:pPr>
            <w:r w:rsidRPr="00394517">
              <w:rPr>
                <w:sz w:val="22"/>
              </w:rPr>
              <w:t>Dans une poursuite pénale intentée pour une infraction au premier alinéa, la preuve qu</w:t>
            </w:r>
            <w:r w:rsidR="00282C6C" w:rsidRPr="00394517">
              <w:rPr>
                <w:sz w:val="22"/>
              </w:rPr>
              <w:t>’</w:t>
            </w:r>
            <w:r w:rsidRPr="00394517">
              <w:rPr>
                <w:sz w:val="22"/>
              </w:rPr>
              <w:t>une personne a fumé dans un endroit où il est interdit de le faire suffit à établir que l</w:t>
            </w:r>
            <w:r w:rsidR="00282C6C" w:rsidRPr="00394517">
              <w:rPr>
                <w:sz w:val="22"/>
              </w:rPr>
              <w:t>’</w:t>
            </w:r>
            <w:r w:rsidRPr="00394517">
              <w:rPr>
                <w:sz w:val="22"/>
              </w:rPr>
              <w:t>exploitant du lieu ou du commerce a toléré qu</w:t>
            </w:r>
            <w:r w:rsidR="00282C6C" w:rsidRPr="00394517">
              <w:rPr>
                <w:sz w:val="22"/>
              </w:rPr>
              <w:t>’</w:t>
            </w:r>
            <w:r w:rsidRPr="00394517">
              <w:rPr>
                <w:sz w:val="22"/>
              </w:rPr>
              <w:t>une personne fume dans cet endroit, à moins qu</w:t>
            </w:r>
            <w:r w:rsidR="00282C6C" w:rsidRPr="00394517">
              <w:rPr>
                <w:sz w:val="22"/>
              </w:rPr>
              <w:t>’</w:t>
            </w:r>
            <w:r w:rsidRPr="00394517">
              <w:rPr>
                <w:sz w:val="22"/>
              </w:rPr>
              <w:t>il n</w:t>
            </w:r>
            <w:r w:rsidR="00282C6C" w:rsidRPr="00394517">
              <w:rPr>
                <w:sz w:val="22"/>
              </w:rPr>
              <w:t>’</w:t>
            </w:r>
            <w:r w:rsidRPr="00394517">
              <w:rPr>
                <w:sz w:val="22"/>
              </w:rPr>
              <w:t>établisse qu</w:t>
            </w:r>
            <w:r w:rsidR="00282C6C" w:rsidRPr="00394517">
              <w:rPr>
                <w:sz w:val="22"/>
              </w:rPr>
              <w:t>’</w:t>
            </w:r>
            <w:r w:rsidRPr="00394517">
              <w:rPr>
                <w:sz w:val="22"/>
              </w:rPr>
              <w:t>il a fait preuve de diligence raisonnable en prenant toutes les précautions nécessaires pour en prévenir la perpétration notamment la présence d</w:t>
            </w:r>
            <w:r w:rsidR="00282C6C" w:rsidRPr="00394517">
              <w:rPr>
                <w:sz w:val="22"/>
              </w:rPr>
              <w:t>’</w:t>
            </w:r>
            <w:r w:rsidRPr="00394517">
              <w:rPr>
                <w:sz w:val="22"/>
              </w:rPr>
              <w:t>affiches clairement visibles stipulant l</w:t>
            </w:r>
            <w:r w:rsidR="00282C6C" w:rsidRPr="00394517">
              <w:rPr>
                <w:sz w:val="22"/>
              </w:rPr>
              <w:t>’</w:t>
            </w:r>
            <w:r w:rsidRPr="00394517">
              <w:rPr>
                <w:sz w:val="22"/>
              </w:rPr>
              <w:t>interdiction de fumer et l</w:t>
            </w:r>
            <w:r w:rsidR="00282C6C" w:rsidRPr="00394517">
              <w:rPr>
                <w:sz w:val="22"/>
              </w:rPr>
              <w:t>’</w:t>
            </w:r>
            <w:r w:rsidRPr="00394517">
              <w:rPr>
                <w:sz w:val="22"/>
              </w:rPr>
              <w:t>absence de cendriers.</w:t>
            </w:r>
          </w:p>
        </w:tc>
      </w:tr>
    </w:tbl>
    <w:p w14:paraId="50852C54" w14:textId="77777777" w:rsidR="00E524EA" w:rsidRPr="00B120AE" w:rsidRDefault="001C0031" w:rsidP="00E524EA">
      <w:pPr>
        <w:keepNext/>
        <w:numPr>
          <w:ilvl w:val="0"/>
          <w:numId w:val="21"/>
        </w:numPr>
        <w:tabs>
          <w:tab w:val="num" w:pos="993"/>
        </w:tabs>
        <w:spacing w:before="120" w:after="120" w:line="240" w:lineRule="auto"/>
        <w:outlineLvl w:val="2"/>
        <w:rPr>
          <w:b/>
          <w:bCs/>
          <w:lang w:val="en-CA"/>
        </w:rPr>
      </w:pPr>
      <w:r w:rsidRPr="00B120AE">
        <w:rPr>
          <w:b/>
          <w:bCs/>
          <w:lang w:val="en-CA"/>
        </w:rPr>
        <w:lastRenderedPageBreak/>
        <w:t>Applicable principles</w:t>
      </w:r>
    </w:p>
    <w:p w14:paraId="50852C55" w14:textId="5B1653D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Freedom of expression is guaranteed under </w:t>
      </w:r>
      <w:r w:rsidR="008742D0">
        <w:rPr>
          <w:kern w:val="28"/>
          <w:lang w:val="en-CA"/>
        </w:rPr>
        <w:t>s. 2</w:t>
      </w:r>
      <w:r w:rsidRPr="00B120AE">
        <w:rPr>
          <w:kern w:val="28"/>
          <w:lang w:val="en-CA"/>
        </w:rPr>
        <w:t>(</w:t>
      </w:r>
      <w:r w:rsidRPr="00B120AE">
        <w:rPr>
          <w:i/>
          <w:iCs/>
          <w:kern w:val="28"/>
          <w:lang w:val="en-CA"/>
        </w:rPr>
        <w:t>b</w:t>
      </w:r>
      <w:r w:rsidRPr="00B120AE">
        <w:rPr>
          <w:kern w:val="28"/>
          <w:lang w:val="en-CA"/>
        </w:rPr>
        <w:t xml:space="preserve">) of the </w:t>
      </w:r>
      <w:r w:rsidRPr="00B120AE">
        <w:rPr>
          <w:i/>
          <w:iCs/>
          <w:kern w:val="28"/>
          <w:lang w:val="en-CA"/>
        </w:rPr>
        <w:t>Canadian Charter</w:t>
      </w:r>
      <w:r w:rsidRPr="00B120AE">
        <w:rPr>
          <w:kern w:val="28"/>
          <w:lang w:val="en-CA"/>
        </w:rPr>
        <w:t xml:space="preserve"> and </w:t>
      </w:r>
      <w:r w:rsidR="008742D0">
        <w:rPr>
          <w:kern w:val="28"/>
          <w:lang w:val="en-CA"/>
        </w:rPr>
        <w:t>s. 3</w:t>
      </w:r>
      <w:r w:rsidRPr="00B120AE">
        <w:rPr>
          <w:kern w:val="28"/>
          <w:lang w:val="en-CA"/>
        </w:rPr>
        <w:t xml:space="preserve"> of the </w:t>
      </w:r>
      <w:r w:rsidRPr="00B120AE">
        <w:rPr>
          <w:i/>
          <w:iCs/>
          <w:kern w:val="28"/>
          <w:lang w:val="en-CA"/>
        </w:rPr>
        <w:t>Charter of Human Rights and Freedoms</w:t>
      </w:r>
      <w:r w:rsidRPr="00B120AE">
        <w:rPr>
          <w:rFonts w:cs="Arial"/>
          <w:kern w:val="28"/>
          <w:vertAlign w:val="superscript"/>
          <w:lang w:val="en-CA"/>
        </w:rPr>
        <w:footnoteReference w:id="17"/>
      </w:r>
      <w:r w:rsidRPr="00B120AE">
        <w:rPr>
          <w:kern w:val="28"/>
          <w:lang w:val="en-CA"/>
        </w:rPr>
        <w:t xml:space="preserve"> (the </w:t>
      </w:r>
      <w:r w:rsidR="00282C6C">
        <w:rPr>
          <w:kern w:val="28"/>
          <w:lang w:val="en-CA"/>
        </w:rPr>
        <w:t>“</w:t>
      </w:r>
      <w:r w:rsidRPr="00B120AE">
        <w:rPr>
          <w:b/>
          <w:bCs/>
          <w:i/>
          <w:iCs/>
          <w:kern w:val="28"/>
          <w:lang w:val="en-CA"/>
        </w:rPr>
        <w:t>Quebec Charter</w:t>
      </w:r>
      <w:r w:rsidR="00282C6C">
        <w:rPr>
          <w:kern w:val="28"/>
          <w:lang w:val="en-CA"/>
        </w:rPr>
        <w:t>”</w:t>
      </w:r>
      <w:r w:rsidRPr="00B120AE">
        <w:rPr>
          <w:kern w:val="28"/>
          <w:lang w:val="en-CA"/>
        </w:rPr>
        <w:t xml:space="preserve">), which state: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80"/>
      </w:tblGrid>
      <w:tr w:rsidR="00815D3B" w:rsidRPr="00B120AE" w14:paraId="50852C63" w14:textId="77777777" w:rsidTr="00673117">
        <w:tc>
          <w:tcPr>
            <w:tcW w:w="4681" w:type="dxa"/>
          </w:tcPr>
          <w:p w14:paraId="50852C56" w14:textId="77777777" w:rsidR="00E524EA" w:rsidRPr="00B120AE" w:rsidRDefault="001C0031" w:rsidP="001A2C66">
            <w:pPr>
              <w:spacing w:line="240" w:lineRule="auto"/>
              <w:ind w:left="720" w:right="144"/>
              <w:jc w:val="both"/>
              <w:rPr>
                <w:b/>
                <w:bCs/>
                <w:sz w:val="22"/>
                <w:lang w:val="en-CA"/>
              </w:rPr>
            </w:pPr>
            <w:r w:rsidRPr="00B120AE">
              <w:rPr>
                <w:b/>
                <w:bCs/>
                <w:i/>
                <w:iCs/>
                <w:sz w:val="22"/>
                <w:lang w:val="en-CA"/>
              </w:rPr>
              <w:t>Canadian Charter</w:t>
            </w:r>
          </w:p>
          <w:p w14:paraId="50852C57" w14:textId="77777777" w:rsidR="00E524EA" w:rsidRPr="00B120AE" w:rsidRDefault="00E524EA" w:rsidP="001A2C66">
            <w:pPr>
              <w:spacing w:line="240" w:lineRule="auto"/>
              <w:ind w:left="720" w:right="144"/>
              <w:jc w:val="both"/>
              <w:rPr>
                <w:sz w:val="22"/>
                <w:lang w:val="en-CA"/>
              </w:rPr>
            </w:pPr>
          </w:p>
          <w:p w14:paraId="50852C58" w14:textId="77777777" w:rsidR="00E524EA" w:rsidRPr="00B120AE" w:rsidRDefault="001C0031" w:rsidP="001A2C66">
            <w:pPr>
              <w:spacing w:line="240" w:lineRule="auto"/>
              <w:ind w:left="720" w:right="144"/>
              <w:jc w:val="both"/>
              <w:rPr>
                <w:sz w:val="22"/>
                <w:lang w:val="en-CA"/>
              </w:rPr>
            </w:pPr>
            <w:r w:rsidRPr="00B120AE">
              <w:rPr>
                <w:b/>
                <w:bCs/>
                <w:sz w:val="22"/>
                <w:lang w:val="en-CA"/>
              </w:rPr>
              <w:t>2.</w:t>
            </w:r>
            <w:r w:rsidRPr="00B120AE">
              <w:rPr>
                <w:sz w:val="22"/>
                <w:lang w:val="en-CA"/>
              </w:rPr>
              <w:t xml:space="preserve"> Everyone has the following fundamental freedoms:</w:t>
            </w:r>
          </w:p>
          <w:p w14:paraId="50852C59" w14:textId="77777777" w:rsidR="00E524EA" w:rsidRPr="00B120AE" w:rsidRDefault="001C0031" w:rsidP="001A2C66">
            <w:pPr>
              <w:spacing w:line="240" w:lineRule="auto"/>
              <w:ind w:left="720" w:right="144"/>
              <w:jc w:val="both"/>
              <w:rPr>
                <w:sz w:val="22"/>
                <w:lang w:val="en-CA"/>
              </w:rPr>
            </w:pPr>
            <w:r w:rsidRPr="00B120AE">
              <w:rPr>
                <w:sz w:val="22"/>
                <w:lang w:val="en-CA"/>
              </w:rPr>
              <w:t>[…]</w:t>
            </w:r>
          </w:p>
          <w:p w14:paraId="50852C5A" w14:textId="77777777" w:rsidR="00E524EA" w:rsidRPr="00B120AE" w:rsidRDefault="00E524EA" w:rsidP="001A2C66">
            <w:pPr>
              <w:spacing w:line="240" w:lineRule="auto"/>
              <w:ind w:left="720" w:right="144"/>
              <w:jc w:val="both"/>
              <w:rPr>
                <w:sz w:val="22"/>
                <w:lang w:val="en-CA"/>
              </w:rPr>
            </w:pPr>
          </w:p>
          <w:p w14:paraId="50852C5B" w14:textId="77777777" w:rsidR="00E524EA" w:rsidRPr="00B120AE" w:rsidRDefault="001C0031" w:rsidP="001A2C66">
            <w:pPr>
              <w:spacing w:line="240" w:lineRule="auto"/>
              <w:ind w:left="720" w:right="144"/>
              <w:jc w:val="both"/>
              <w:rPr>
                <w:sz w:val="22"/>
                <w:lang w:val="en-CA"/>
              </w:rPr>
            </w:pPr>
            <w:r w:rsidRPr="00B120AE">
              <w:rPr>
                <w:sz w:val="22"/>
                <w:lang w:val="en-CA"/>
              </w:rPr>
              <w:t xml:space="preserve">(b) </w:t>
            </w:r>
            <w:r w:rsidRPr="00B120AE">
              <w:rPr>
                <w:sz w:val="22"/>
                <w:u w:val="single"/>
                <w:lang w:val="en-CA"/>
              </w:rPr>
              <w:t>freedom</w:t>
            </w:r>
            <w:r w:rsidRPr="00B120AE">
              <w:rPr>
                <w:sz w:val="22"/>
                <w:lang w:val="en-CA"/>
              </w:rPr>
              <w:t xml:space="preserve"> of thought, belief, opinion and </w:t>
            </w:r>
            <w:r w:rsidRPr="00B120AE">
              <w:rPr>
                <w:sz w:val="22"/>
                <w:u w:val="single"/>
                <w:lang w:val="en-CA"/>
              </w:rPr>
              <w:t>expression</w:t>
            </w:r>
            <w:r w:rsidRPr="00B120AE">
              <w:rPr>
                <w:sz w:val="22"/>
                <w:lang w:val="en-CA"/>
              </w:rPr>
              <w:t xml:space="preserve">, including freedom of the press and other media of </w:t>
            </w:r>
            <w:proofErr w:type="gramStart"/>
            <w:r w:rsidRPr="00B120AE">
              <w:rPr>
                <w:sz w:val="22"/>
                <w:lang w:val="en-CA"/>
              </w:rPr>
              <w:t>communication;</w:t>
            </w:r>
            <w:proofErr w:type="gramEnd"/>
          </w:p>
          <w:p w14:paraId="50852C5C" w14:textId="77777777" w:rsidR="00E524EA" w:rsidRPr="00B120AE" w:rsidRDefault="00E524EA" w:rsidP="001A2C66">
            <w:pPr>
              <w:spacing w:line="240" w:lineRule="auto"/>
              <w:ind w:left="720" w:right="144"/>
              <w:rPr>
                <w:sz w:val="22"/>
                <w:lang w:val="en-CA"/>
              </w:rPr>
            </w:pPr>
          </w:p>
        </w:tc>
        <w:tc>
          <w:tcPr>
            <w:tcW w:w="4681" w:type="dxa"/>
          </w:tcPr>
          <w:p w14:paraId="50852C5D" w14:textId="77777777" w:rsidR="00E524EA" w:rsidRPr="00394517" w:rsidRDefault="001C0031" w:rsidP="001A2C66">
            <w:pPr>
              <w:spacing w:line="240" w:lineRule="auto"/>
              <w:ind w:left="144" w:right="720"/>
              <w:jc w:val="both"/>
              <w:rPr>
                <w:b/>
                <w:bCs/>
                <w:sz w:val="22"/>
              </w:rPr>
            </w:pPr>
            <w:r w:rsidRPr="00394517">
              <w:rPr>
                <w:b/>
                <w:bCs/>
                <w:i/>
                <w:iCs/>
                <w:sz w:val="22"/>
              </w:rPr>
              <w:t>Charte canadienne</w:t>
            </w:r>
          </w:p>
          <w:p w14:paraId="50852C5E" w14:textId="77777777" w:rsidR="00E524EA" w:rsidRPr="00394517" w:rsidRDefault="00E524EA" w:rsidP="001A2C66">
            <w:pPr>
              <w:spacing w:line="240" w:lineRule="auto"/>
              <w:ind w:left="144" w:right="720"/>
              <w:jc w:val="both"/>
              <w:rPr>
                <w:sz w:val="22"/>
              </w:rPr>
            </w:pPr>
          </w:p>
          <w:p w14:paraId="50852C5F" w14:textId="77777777" w:rsidR="00E524EA" w:rsidRPr="00394517" w:rsidRDefault="001C0031" w:rsidP="001A2C66">
            <w:pPr>
              <w:spacing w:line="240" w:lineRule="auto"/>
              <w:ind w:left="144" w:right="720"/>
              <w:jc w:val="both"/>
              <w:rPr>
                <w:sz w:val="22"/>
              </w:rPr>
            </w:pPr>
            <w:r w:rsidRPr="00394517">
              <w:rPr>
                <w:b/>
                <w:bCs/>
                <w:sz w:val="22"/>
              </w:rPr>
              <w:t>2.</w:t>
            </w:r>
            <w:r w:rsidRPr="00394517">
              <w:rPr>
                <w:sz w:val="22"/>
              </w:rPr>
              <w:t xml:space="preserve"> Chacun a les libertés fondamentales suivantes :</w:t>
            </w:r>
          </w:p>
          <w:p w14:paraId="50852C60" w14:textId="77777777" w:rsidR="00E524EA" w:rsidRPr="00394517" w:rsidRDefault="001C0031" w:rsidP="001A2C66">
            <w:pPr>
              <w:spacing w:line="240" w:lineRule="auto"/>
              <w:ind w:left="144" w:right="720"/>
              <w:jc w:val="both"/>
              <w:rPr>
                <w:sz w:val="22"/>
              </w:rPr>
            </w:pPr>
            <w:r w:rsidRPr="00394517">
              <w:rPr>
                <w:sz w:val="22"/>
              </w:rPr>
              <w:t>[…]</w:t>
            </w:r>
          </w:p>
          <w:p w14:paraId="50852C61" w14:textId="77777777" w:rsidR="00E524EA" w:rsidRPr="00394517" w:rsidRDefault="00E524EA" w:rsidP="001A2C66">
            <w:pPr>
              <w:spacing w:line="240" w:lineRule="auto"/>
              <w:ind w:left="144" w:right="720"/>
              <w:jc w:val="both"/>
              <w:rPr>
                <w:sz w:val="22"/>
              </w:rPr>
            </w:pPr>
          </w:p>
          <w:p w14:paraId="50852C62" w14:textId="216DE31A" w:rsidR="00E524EA" w:rsidRPr="00394517" w:rsidRDefault="001C0031" w:rsidP="001A2C66">
            <w:pPr>
              <w:spacing w:line="240" w:lineRule="auto"/>
              <w:ind w:left="144" w:right="720"/>
              <w:jc w:val="both"/>
              <w:rPr>
                <w:sz w:val="22"/>
              </w:rPr>
            </w:pPr>
            <w:r w:rsidRPr="00394517">
              <w:rPr>
                <w:sz w:val="22"/>
              </w:rPr>
              <w:t xml:space="preserve">b) </w:t>
            </w:r>
            <w:r w:rsidRPr="00394517">
              <w:rPr>
                <w:sz w:val="22"/>
                <w:u w:val="single"/>
              </w:rPr>
              <w:t>liberté</w:t>
            </w:r>
            <w:r w:rsidRPr="00394517">
              <w:rPr>
                <w:sz w:val="22"/>
              </w:rPr>
              <w:t xml:space="preserve"> de pensée, de croyance, d</w:t>
            </w:r>
            <w:r w:rsidR="00282C6C" w:rsidRPr="00394517">
              <w:rPr>
                <w:sz w:val="22"/>
              </w:rPr>
              <w:t>’</w:t>
            </w:r>
            <w:r w:rsidRPr="00394517">
              <w:rPr>
                <w:sz w:val="22"/>
              </w:rPr>
              <w:t xml:space="preserve">opinion et </w:t>
            </w:r>
            <w:r w:rsidRPr="00394517">
              <w:rPr>
                <w:sz w:val="22"/>
                <w:u w:val="single"/>
              </w:rPr>
              <w:t>d</w:t>
            </w:r>
            <w:r w:rsidR="00282C6C" w:rsidRPr="00394517">
              <w:rPr>
                <w:sz w:val="22"/>
                <w:u w:val="single"/>
              </w:rPr>
              <w:t>’</w:t>
            </w:r>
            <w:r w:rsidRPr="00394517">
              <w:rPr>
                <w:sz w:val="22"/>
                <w:u w:val="single"/>
              </w:rPr>
              <w:t>expression</w:t>
            </w:r>
            <w:r w:rsidRPr="00394517">
              <w:rPr>
                <w:sz w:val="22"/>
              </w:rPr>
              <w:t>, y compris la liberté de la presse et des autres moyens de communication;</w:t>
            </w:r>
          </w:p>
        </w:tc>
      </w:tr>
      <w:tr w:rsidR="00815D3B" w:rsidRPr="00B120AE" w14:paraId="50852C6C" w14:textId="77777777" w:rsidTr="00673117">
        <w:tc>
          <w:tcPr>
            <w:tcW w:w="4683" w:type="dxa"/>
          </w:tcPr>
          <w:p w14:paraId="50852C64" w14:textId="77777777" w:rsidR="00E524EA" w:rsidRPr="00B120AE" w:rsidRDefault="001C0031" w:rsidP="001A2C66">
            <w:pPr>
              <w:spacing w:line="240" w:lineRule="auto"/>
              <w:ind w:left="720" w:right="144"/>
              <w:jc w:val="both"/>
              <w:rPr>
                <w:b/>
                <w:bCs/>
                <w:sz w:val="22"/>
                <w:lang w:val="en-CA"/>
              </w:rPr>
            </w:pPr>
            <w:r w:rsidRPr="00B120AE">
              <w:rPr>
                <w:b/>
                <w:bCs/>
                <w:i/>
                <w:iCs/>
                <w:sz w:val="22"/>
                <w:lang w:val="en-CA"/>
              </w:rPr>
              <w:t>Quebec Charter</w:t>
            </w:r>
          </w:p>
          <w:p w14:paraId="50852C65" w14:textId="77777777" w:rsidR="00E524EA" w:rsidRPr="00B120AE" w:rsidRDefault="00E524EA" w:rsidP="001A2C66">
            <w:pPr>
              <w:spacing w:line="240" w:lineRule="auto"/>
              <w:ind w:left="720" w:right="144"/>
              <w:jc w:val="both"/>
              <w:rPr>
                <w:sz w:val="22"/>
                <w:lang w:val="en-CA"/>
              </w:rPr>
            </w:pPr>
          </w:p>
          <w:p w14:paraId="50852C66" w14:textId="77777777" w:rsidR="00E524EA" w:rsidRPr="00B120AE" w:rsidRDefault="001C0031" w:rsidP="001A2C66">
            <w:pPr>
              <w:spacing w:line="240" w:lineRule="auto"/>
              <w:ind w:left="720" w:right="144"/>
              <w:jc w:val="both"/>
              <w:rPr>
                <w:sz w:val="22"/>
                <w:lang w:val="en-CA"/>
              </w:rPr>
            </w:pPr>
            <w:r w:rsidRPr="00B120AE">
              <w:rPr>
                <w:b/>
                <w:bCs/>
                <w:sz w:val="22"/>
                <w:lang w:val="en-CA"/>
              </w:rPr>
              <w:t>3.</w:t>
            </w:r>
            <w:r w:rsidRPr="00B120AE">
              <w:rPr>
                <w:sz w:val="22"/>
                <w:lang w:val="en-CA"/>
              </w:rPr>
              <w:t xml:space="preserve"> Every person is the possessor of the fundamental freedoms, including freedom of conscience, freedom of religion, freedom of opinion, </w:t>
            </w:r>
            <w:r w:rsidRPr="00B120AE">
              <w:rPr>
                <w:sz w:val="22"/>
                <w:u w:val="single"/>
                <w:lang w:val="en-CA"/>
              </w:rPr>
              <w:t>freedom of expression</w:t>
            </w:r>
            <w:r w:rsidRPr="00B120AE">
              <w:rPr>
                <w:sz w:val="22"/>
                <w:lang w:val="en-CA"/>
              </w:rPr>
              <w:t>, freedom of peaceful assembly and freedom of association.</w:t>
            </w:r>
          </w:p>
        </w:tc>
        <w:tc>
          <w:tcPr>
            <w:tcW w:w="4679" w:type="dxa"/>
          </w:tcPr>
          <w:p w14:paraId="50852C67" w14:textId="77777777" w:rsidR="00E524EA" w:rsidRPr="00394517" w:rsidRDefault="001C0031" w:rsidP="001A2C66">
            <w:pPr>
              <w:spacing w:line="240" w:lineRule="auto"/>
              <w:ind w:left="144" w:right="720"/>
              <w:jc w:val="both"/>
              <w:rPr>
                <w:b/>
                <w:bCs/>
                <w:sz w:val="22"/>
              </w:rPr>
            </w:pPr>
            <w:r w:rsidRPr="00394517">
              <w:rPr>
                <w:b/>
                <w:bCs/>
                <w:i/>
                <w:iCs/>
                <w:sz w:val="22"/>
              </w:rPr>
              <w:t>Charte québécoise</w:t>
            </w:r>
          </w:p>
          <w:p w14:paraId="50852C68" w14:textId="77777777" w:rsidR="00E524EA" w:rsidRPr="00394517" w:rsidRDefault="00E524EA" w:rsidP="001A2C66">
            <w:pPr>
              <w:spacing w:line="240" w:lineRule="auto"/>
              <w:ind w:left="144" w:right="720"/>
              <w:jc w:val="both"/>
              <w:rPr>
                <w:sz w:val="22"/>
              </w:rPr>
            </w:pPr>
          </w:p>
          <w:p w14:paraId="50852C69" w14:textId="07827097" w:rsidR="00E524EA" w:rsidRPr="00394517" w:rsidRDefault="001C0031" w:rsidP="001A2C66">
            <w:pPr>
              <w:spacing w:line="240" w:lineRule="auto"/>
              <w:ind w:left="144" w:right="720"/>
              <w:jc w:val="both"/>
              <w:rPr>
                <w:sz w:val="22"/>
              </w:rPr>
            </w:pPr>
            <w:r w:rsidRPr="00394517">
              <w:rPr>
                <w:b/>
                <w:bCs/>
                <w:sz w:val="22"/>
              </w:rPr>
              <w:t>3.</w:t>
            </w:r>
            <w:r w:rsidRPr="00394517">
              <w:rPr>
                <w:sz w:val="22"/>
              </w:rPr>
              <w:t xml:space="preserve"> Toute personne est titulaire des libertés fondamentales </w:t>
            </w:r>
            <w:proofErr w:type="gramStart"/>
            <w:r w:rsidRPr="00394517">
              <w:rPr>
                <w:sz w:val="22"/>
              </w:rPr>
              <w:t>telles la liberté</w:t>
            </w:r>
            <w:proofErr w:type="gramEnd"/>
            <w:r w:rsidRPr="00394517">
              <w:rPr>
                <w:sz w:val="22"/>
              </w:rPr>
              <w:t xml:space="preserve"> de conscience, la liberté de religion, la liberté d</w:t>
            </w:r>
            <w:r w:rsidR="00282C6C" w:rsidRPr="00394517">
              <w:rPr>
                <w:sz w:val="22"/>
              </w:rPr>
              <w:t>’</w:t>
            </w:r>
            <w:r w:rsidRPr="00394517">
              <w:rPr>
                <w:sz w:val="22"/>
              </w:rPr>
              <w:t xml:space="preserve">opinion, </w:t>
            </w:r>
            <w:r w:rsidRPr="00394517">
              <w:rPr>
                <w:sz w:val="22"/>
                <w:u w:val="single"/>
              </w:rPr>
              <w:t>la liberté d</w:t>
            </w:r>
            <w:r w:rsidR="00282C6C" w:rsidRPr="00394517">
              <w:rPr>
                <w:sz w:val="22"/>
                <w:u w:val="single"/>
              </w:rPr>
              <w:t>’</w:t>
            </w:r>
            <w:r w:rsidRPr="00394517">
              <w:rPr>
                <w:sz w:val="22"/>
                <w:u w:val="single"/>
              </w:rPr>
              <w:t>expression</w:t>
            </w:r>
            <w:r w:rsidRPr="00394517">
              <w:rPr>
                <w:sz w:val="22"/>
              </w:rPr>
              <w:t>, la liberté de réunion pacifique et la liberté d</w:t>
            </w:r>
            <w:r w:rsidR="00282C6C" w:rsidRPr="00394517">
              <w:rPr>
                <w:sz w:val="22"/>
              </w:rPr>
              <w:t>’</w:t>
            </w:r>
            <w:r w:rsidRPr="00394517">
              <w:rPr>
                <w:sz w:val="22"/>
              </w:rPr>
              <w:t>association.</w:t>
            </w:r>
          </w:p>
          <w:p w14:paraId="50852C6A" w14:textId="77777777" w:rsidR="00E524EA" w:rsidRPr="00394517" w:rsidRDefault="00E524EA" w:rsidP="001A2C66">
            <w:pPr>
              <w:spacing w:line="240" w:lineRule="auto"/>
              <w:ind w:left="144" w:right="720"/>
              <w:jc w:val="both"/>
              <w:rPr>
                <w:sz w:val="22"/>
              </w:rPr>
            </w:pPr>
          </w:p>
          <w:p w14:paraId="50852C6B" w14:textId="77777777" w:rsidR="00E524EA" w:rsidRPr="00394517" w:rsidRDefault="001C0031" w:rsidP="001A2C66">
            <w:pPr>
              <w:spacing w:line="240" w:lineRule="auto"/>
              <w:ind w:left="144" w:right="720"/>
              <w:jc w:val="right"/>
              <w:rPr>
                <w:sz w:val="22"/>
                <w:lang w:val="en-CA"/>
              </w:rPr>
            </w:pPr>
            <w:r w:rsidRPr="00394517">
              <w:rPr>
                <w:sz w:val="22"/>
                <w:lang w:val="en-CA"/>
              </w:rPr>
              <w:t>[Underlining added]</w:t>
            </w:r>
          </w:p>
        </w:tc>
      </w:tr>
    </w:tbl>
    <w:p w14:paraId="50852C6D" w14:textId="4A852793" w:rsidR="00E524EA" w:rsidRPr="003A2DA6" w:rsidRDefault="001C0031" w:rsidP="00C2153F">
      <w:pPr>
        <w:keepNext/>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These two provisions </w:t>
      </w:r>
      <w:r w:rsidR="0078033F" w:rsidRPr="0078033F">
        <w:rPr>
          <w:smallCaps/>
          <w:kern w:val="28"/>
          <w:lang w:val="en-CA"/>
        </w:rPr>
        <w:t>[translation] </w:t>
      </w:r>
      <w:r w:rsidR="00282C6C">
        <w:rPr>
          <w:kern w:val="28"/>
          <w:lang w:val="en-CA"/>
        </w:rPr>
        <w:t>“</w:t>
      </w:r>
      <w:r w:rsidRPr="00B120AE">
        <w:rPr>
          <w:kern w:val="28"/>
          <w:lang w:val="en-CA"/>
        </w:rPr>
        <w:t>are, in practice, subject to the same analysis</w:t>
      </w:r>
      <w:r w:rsidR="00282C6C">
        <w:rPr>
          <w:kern w:val="28"/>
          <w:lang w:val="en-CA"/>
        </w:rPr>
        <w:t>”</w:t>
      </w:r>
      <w:r w:rsidRPr="00B120AE">
        <w:rPr>
          <w:kern w:val="28"/>
          <w:lang w:val="en-CA"/>
        </w:rPr>
        <w:t>.</w:t>
      </w:r>
      <w:r w:rsidRPr="00B120AE">
        <w:rPr>
          <w:kern w:val="28"/>
          <w:vertAlign w:val="superscript"/>
          <w:lang w:val="en-CA"/>
        </w:rPr>
        <w:footnoteReference w:id="18"/>
      </w:r>
      <w:r w:rsidRPr="00B120AE">
        <w:rPr>
          <w:kern w:val="28"/>
          <w:lang w:val="en-CA"/>
        </w:rPr>
        <w:t xml:space="preserve"> Freedom of expression, like the other rights and freedoms guaranteed under the charters, is interpreted broadly and generously.</w:t>
      </w:r>
      <w:r w:rsidRPr="00B120AE">
        <w:rPr>
          <w:kern w:val="28"/>
          <w:vertAlign w:val="superscript"/>
          <w:lang w:val="en-CA"/>
        </w:rPr>
        <w:footnoteReference w:id="19"/>
      </w:r>
      <w:r w:rsidRPr="00B120AE">
        <w:rPr>
          <w:kern w:val="28"/>
          <w:lang w:val="en-CA"/>
        </w:rPr>
        <w:t xml:space="preserve"> Moreover, an important body of case law recognizes the fundamental nature of this freedom in a free and democratic society, considering the value placed on diversity of opinions and ideas, both for individuals and for the community.</w:t>
      </w:r>
      <w:r w:rsidRPr="003A2DA6">
        <w:rPr>
          <w:kern w:val="28"/>
          <w:vertAlign w:val="superscript"/>
          <w:lang w:val="en-CA"/>
        </w:rPr>
        <w:footnoteReference w:id="20"/>
      </w:r>
      <w:r w:rsidRPr="003A2DA6">
        <w:rPr>
          <w:kern w:val="28"/>
          <w:lang w:val="en-CA"/>
        </w:rPr>
        <w:t xml:space="preserve"> As the majority of the Supreme Court emphasized as </w:t>
      </w:r>
      <w:r w:rsidR="003A2DA6" w:rsidRPr="003A2DA6">
        <w:rPr>
          <w:kern w:val="28"/>
          <w:lang w:val="en-CA"/>
        </w:rPr>
        <w:t>early as in</w:t>
      </w:r>
      <w:r w:rsidRPr="003A2DA6">
        <w:rPr>
          <w:kern w:val="28"/>
          <w:lang w:val="en-CA"/>
        </w:rPr>
        <w:t xml:space="preserve"> </w:t>
      </w:r>
      <w:r w:rsidRPr="003A2DA6">
        <w:rPr>
          <w:i/>
          <w:iCs/>
          <w:kern w:val="28"/>
          <w:lang w:val="en-CA"/>
        </w:rPr>
        <w:t>Irwin Toy</w:t>
      </w:r>
      <w:r w:rsidRPr="003A2DA6">
        <w:rPr>
          <w:kern w:val="28"/>
          <w:lang w:val="en-CA"/>
        </w:rPr>
        <w:t>:</w:t>
      </w:r>
    </w:p>
    <w:p w14:paraId="50852C6E" w14:textId="77777777" w:rsidR="00E524EA" w:rsidRPr="00B120AE" w:rsidRDefault="001C0031" w:rsidP="00C2153F">
      <w:pPr>
        <w:keepNext/>
        <w:tabs>
          <w:tab w:val="num" w:pos="993"/>
        </w:tabs>
        <w:spacing w:before="120" w:after="120" w:line="240" w:lineRule="auto"/>
        <w:ind w:left="720" w:right="720"/>
        <w:jc w:val="both"/>
        <w:rPr>
          <w:kern w:val="24"/>
          <w:sz w:val="22"/>
          <w:lang w:val="en-CA"/>
        </w:rPr>
      </w:pPr>
      <w:r w:rsidRPr="00B120AE">
        <w:rPr>
          <w:kern w:val="24"/>
          <w:sz w:val="22"/>
          <w:lang w:val="en-CA"/>
        </w:rPr>
        <w:t xml:space="preserve">Freedom of expression was entrenched in our Constitution and is guaranteed in the Quebec </w:t>
      </w:r>
      <w:r w:rsidRPr="00B120AE">
        <w:rPr>
          <w:i/>
          <w:iCs/>
          <w:kern w:val="24"/>
          <w:sz w:val="22"/>
          <w:lang w:val="en-CA"/>
        </w:rPr>
        <w:t>Charter</w:t>
      </w:r>
      <w:r w:rsidRPr="00B120AE">
        <w:rPr>
          <w:kern w:val="24"/>
          <w:sz w:val="22"/>
          <w:lang w:val="en-CA"/>
        </w:rPr>
        <w:t xml:space="preserve"> </w:t>
      </w:r>
      <w:proofErr w:type="gramStart"/>
      <w:r w:rsidRPr="00B120AE">
        <w:rPr>
          <w:kern w:val="24"/>
          <w:sz w:val="22"/>
          <w:lang w:val="en-CA"/>
        </w:rPr>
        <w:t>so as to</w:t>
      </w:r>
      <w:proofErr w:type="gramEnd"/>
      <w:r w:rsidRPr="00B120AE">
        <w:rPr>
          <w:kern w:val="24"/>
          <w:sz w:val="22"/>
          <w:lang w:val="en-CA"/>
        </w:rPr>
        <w:t xml:space="preserve"> ensure that everyone can manifest their thoughts, </w:t>
      </w:r>
      <w:r w:rsidRPr="00B120AE">
        <w:rPr>
          <w:kern w:val="24"/>
          <w:sz w:val="22"/>
          <w:lang w:val="en-CA"/>
        </w:rPr>
        <w:lastRenderedPageBreak/>
        <w:t>opinions, beliefs, indeed all expressions of the heart and mind, however unpopular, distasteful or contrary to the mainstream.</w:t>
      </w:r>
      <w:r w:rsidRPr="00B120AE">
        <w:rPr>
          <w:kern w:val="24"/>
          <w:sz w:val="22"/>
          <w:vertAlign w:val="superscript"/>
          <w:lang w:val="en-CA"/>
        </w:rPr>
        <w:footnoteReference w:id="21"/>
      </w:r>
      <w:r w:rsidRPr="00B120AE">
        <w:rPr>
          <w:kern w:val="24"/>
          <w:sz w:val="22"/>
          <w:lang w:val="en-CA"/>
        </w:rPr>
        <w:t xml:space="preserve"> </w:t>
      </w:r>
    </w:p>
    <w:p w14:paraId="50852C6F"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values underlying freedom of expression were set out by the Supreme Court in </w:t>
      </w:r>
      <w:r w:rsidRPr="00B120AE">
        <w:rPr>
          <w:i/>
          <w:iCs/>
          <w:kern w:val="28"/>
          <w:lang w:val="en-CA"/>
        </w:rPr>
        <w:t>Ford</w:t>
      </w:r>
      <w:r w:rsidRPr="00B120AE">
        <w:rPr>
          <w:kern w:val="28"/>
          <w:lang w:val="en-CA"/>
        </w:rPr>
        <w:t>,</w:t>
      </w:r>
      <w:r w:rsidRPr="00B120AE">
        <w:rPr>
          <w:kern w:val="28"/>
          <w:vertAlign w:val="superscript"/>
          <w:lang w:val="en-CA"/>
        </w:rPr>
        <w:footnoteReference w:id="22"/>
      </w:r>
      <w:r w:rsidRPr="00B120AE">
        <w:rPr>
          <w:kern w:val="28"/>
          <w:lang w:val="en-CA"/>
        </w:rPr>
        <w:t xml:space="preserve"> and were subsequently summarized by the majority in </w:t>
      </w:r>
      <w:r w:rsidRPr="00B120AE">
        <w:rPr>
          <w:i/>
          <w:iCs/>
          <w:kern w:val="28"/>
          <w:lang w:val="en-CA"/>
        </w:rPr>
        <w:t>Irwin Toy</w:t>
      </w:r>
      <w:r w:rsidRPr="00B120AE">
        <w:rPr>
          <w:kern w:val="28"/>
          <w:lang w:val="en-CA"/>
        </w:rPr>
        <w:t>:</w:t>
      </w:r>
    </w:p>
    <w:p w14:paraId="50852C70" w14:textId="77864D78" w:rsidR="00E524EA" w:rsidRPr="00B120AE" w:rsidRDefault="001C0031" w:rsidP="00E524EA">
      <w:pPr>
        <w:tabs>
          <w:tab w:val="num" w:pos="993"/>
        </w:tabs>
        <w:spacing w:before="120" w:after="120" w:line="240" w:lineRule="auto"/>
        <w:ind w:left="720" w:right="720"/>
        <w:jc w:val="both"/>
        <w:rPr>
          <w:kern w:val="24"/>
          <w:sz w:val="22"/>
          <w:lang w:val="en-CA"/>
        </w:rPr>
      </w:pPr>
      <w:r w:rsidRPr="00B120AE">
        <w:rPr>
          <w:kern w:val="24"/>
          <w:sz w:val="22"/>
          <w:lang w:val="en-CA"/>
        </w:rPr>
        <w:t>[…] (1)</w:t>
      </w:r>
      <w:r w:rsidR="0000121C">
        <w:rPr>
          <w:kern w:val="24"/>
          <w:sz w:val="22"/>
          <w:lang w:val="en-CA"/>
        </w:rPr>
        <w:t> </w:t>
      </w:r>
      <w:r w:rsidRPr="00B120AE">
        <w:rPr>
          <w:kern w:val="24"/>
          <w:sz w:val="22"/>
          <w:lang w:val="en-CA"/>
        </w:rPr>
        <w:t>seeking and attaining the truth is an inherently good activity; (2)</w:t>
      </w:r>
      <w:r w:rsidR="0000121C">
        <w:rPr>
          <w:kern w:val="24"/>
          <w:sz w:val="22"/>
          <w:lang w:val="en-CA"/>
        </w:rPr>
        <w:t> </w:t>
      </w:r>
      <w:r w:rsidRPr="00B120AE">
        <w:rPr>
          <w:kern w:val="24"/>
          <w:sz w:val="22"/>
          <w:lang w:val="en-CA"/>
        </w:rPr>
        <w:t>participation in social and political decision</w:t>
      </w:r>
      <w:r w:rsidR="00720901">
        <w:rPr>
          <w:kern w:val="24"/>
          <w:sz w:val="22"/>
          <w:lang w:val="en-CA"/>
        </w:rPr>
        <w:noBreakHyphen/>
      </w:r>
      <w:r w:rsidRPr="00B120AE">
        <w:rPr>
          <w:kern w:val="24"/>
          <w:sz w:val="22"/>
          <w:lang w:val="en-CA"/>
        </w:rPr>
        <w:t>making is to be fostered and encouraged; and (3)</w:t>
      </w:r>
      <w:r w:rsidR="0000121C">
        <w:rPr>
          <w:kern w:val="24"/>
          <w:sz w:val="22"/>
          <w:lang w:val="en-CA"/>
        </w:rPr>
        <w:t> </w:t>
      </w:r>
      <w:r w:rsidRPr="00B120AE">
        <w:rPr>
          <w:kern w:val="24"/>
          <w:sz w:val="22"/>
          <w:lang w:val="en-CA"/>
        </w:rPr>
        <w:t>the diversity in forms of individual self</w:t>
      </w:r>
      <w:r w:rsidR="00720901">
        <w:rPr>
          <w:kern w:val="24"/>
          <w:sz w:val="22"/>
          <w:lang w:val="en-CA"/>
        </w:rPr>
        <w:noBreakHyphen/>
      </w:r>
      <w:r w:rsidRPr="00B120AE">
        <w:rPr>
          <w:kern w:val="24"/>
          <w:sz w:val="22"/>
          <w:lang w:val="en-CA"/>
        </w:rPr>
        <w:t>fulfillment and human flourishing ought to be cultivated in an essentially tolerant, indeed welcoming, environment not only for the sake of those who convey a meaning, but also for the sake of those to whom it is conveyed.</w:t>
      </w:r>
      <w:r w:rsidRPr="00B120AE">
        <w:rPr>
          <w:kern w:val="24"/>
          <w:sz w:val="22"/>
          <w:vertAlign w:val="superscript"/>
          <w:lang w:val="en-CA"/>
        </w:rPr>
        <w:footnoteReference w:id="23"/>
      </w:r>
    </w:p>
    <w:p w14:paraId="50852C71" w14:textId="704548F8"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Although freedom of artistic expression has no </w:t>
      </w:r>
      <w:r w:rsidR="00E07A13">
        <w:rPr>
          <w:kern w:val="28"/>
          <w:lang w:val="en-CA"/>
        </w:rPr>
        <w:t xml:space="preserve">specific </w:t>
      </w:r>
      <w:r w:rsidRPr="00B120AE">
        <w:rPr>
          <w:kern w:val="28"/>
          <w:lang w:val="en-CA"/>
        </w:rPr>
        <w:t>status,</w:t>
      </w:r>
      <w:r w:rsidRPr="00B120AE">
        <w:rPr>
          <w:kern w:val="28"/>
          <w:vertAlign w:val="superscript"/>
          <w:lang w:val="en-CA"/>
        </w:rPr>
        <w:footnoteReference w:id="24"/>
      </w:r>
      <w:r w:rsidRPr="00B120AE">
        <w:rPr>
          <w:kern w:val="28"/>
          <w:lang w:val="en-CA"/>
        </w:rPr>
        <w:t xml:space="preserve"> it is at the heart of these values.</w:t>
      </w:r>
      <w:r w:rsidRPr="00B120AE">
        <w:rPr>
          <w:kern w:val="28"/>
          <w:vertAlign w:val="superscript"/>
          <w:lang w:val="en-CA"/>
        </w:rPr>
        <w:footnoteReference w:id="25"/>
      </w:r>
      <w:r w:rsidRPr="00B120AE">
        <w:rPr>
          <w:kern w:val="28"/>
          <w:lang w:val="en-CA"/>
        </w:rPr>
        <w:t xml:space="preserve"> As the majority of the Supreme Court emphasized in </w:t>
      </w:r>
      <w:r w:rsidRPr="00B120AE">
        <w:rPr>
          <w:i/>
          <w:iCs/>
          <w:kern w:val="28"/>
          <w:lang w:val="en-CA"/>
        </w:rPr>
        <w:t>Ward</w:t>
      </w:r>
      <w:r w:rsidRPr="00B120AE">
        <w:rPr>
          <w:kern w:val="28"/>
          <w:lang w:val="en-CA"/>
        </w:rPr>
        <w:t xml:space="preserve">, </w:t>
      </w:r>
      <w:r w:rsidR="00282C6C">
        <w:rPr>
          <w:kern w:val="28"/>
          <w:lang w:val="en-CA"/>
        </w:rPr>
        <w:t>“</w:t>
      </w:r>
      <w:r w:rsidRPr="00B120AE">
        <w:rPr>
          <w:kern w:val="28"/>
          <w:lang w:val="en-CA"/>
        </w:rPr>
        <w:t>[e]</w:t>
      </w:r>
      <w:proofErr w:type="spellStart"/>
      <w:r w:rsidRPr="00B120AE">
        <w:rPr>
          <w:kern w:val="28"/>
          <w:lang w:val="en-CA"/>
        </w:rPr>
        <w:t>ver</w:t>
      </w:r>
      <w:proofErr w:type="spellEnd"/>
      <w:r w:rsidRPr="00B120AE">
        <w:rPr>
          <w:kern w:val="28"/>
          <w:lang w:val="en-CA"/>
        </w:rPr>
        <w:t xml:space="preserve"> since </w:t>
      </w:r>
      <w:r w:rsidRPr="00B120AE">
        <w:rPr>
          <w:i/>
          <w:iCs/>
          <w:kern w:val="28"/>
          <w:lang w:val="en-CA"/>
        </w:rPr>
        <w:t>Brodie, Dansky and Rubin v. The Queen</w:t>
      </w:r>
      <w:r w:rsidRPr="00B120AE">
        <w:rPr>
          <w:kern w:val="28"/>
          <w:lang w:val="en-CA"/>
        </w:rPr>
        <w:t xml:space="preserve">, [1962] S.C.R. 681, which concerned the censorship of </w:t>
      </w:r>
      <w:r w:rsidRPr="00B120AE">
        <w:rPr>
          <w:i/>
          <w:iCs/>
          <w:kern w:val="28"/>
          <w:lang w:val="en-CA"/>
        </w:rPr>
        <w:t>Lady Chatterley</w:t>
      </w:r>
      <w:r w:rsidR="00282C6C">
        <w:rPr>
          <w:i/>
          <w:iCs/>
          <w:kern w:val="28"/>
          <w:lang w:val="en-CA"/>
        </w:rPr>
        <w:t>’</w:t>
      </w:r>
      <w:r w:rsidRPr="00B120AE">
        <w:rPr>
          <w:i/>
          <w:iCs/>
          <w:kern w:val="28"/>
          <w:lang w:val="en-CA"/>
        </w:rPr>
        <w:t>s Lover</w:t>
      </w:r>
      <w:r w:rsidRPr="00B120AE">
        <w:rPr>
          <w:kern w:val="28"/>
          <w:lang w:val="en-CA"/>
        </w:rPr>
        <w:t>, a novel by D. H. Lawrence, this Court has been very reluctant to hinder the development of arts and literature</w:t>
      </w:r>
      <w:r w:rsidR="00282C6C">
        <w:rPr>
          <w:kern w:val="28"/>
          <w:lang w:val="en-CA"/>
        </w:rPr>
        <w:t>”</w:t>
      </w:r>
      <w:r w:rsidRPr="00B120AE">
        <w:rPr>
          <w:kern w:val="28"/>
          <w:lang w:val="en-CA"/>
        </w:rPr>
        <w:t>.</w:t>
      </w:r>
      <w:r w:rsidRPr="00B120AE">
        <w:rPr>
          <w:kern w:val="28"/>
          <w:vertAlign w:val="superscript"/>
          <w:lang w:val="en-CA"/>
        </w:rPr>
        <w:footnoteReference w:id="26"/>
      </w:r>
      <w:r w:rsidRPr="00B120AE">
        <w:rPr>
          <w:kern w:val="28"/>
          <w:lang w:val="en-CA"/>
        </w:rPr>
        <w:t xml:space="preserve"> </w:t>
      </w:r>
    </w:p>
    <w:p w14:paraId="50852C72" w14:textId="30ABDBFC"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In analyzing whether freedom of expression has been infringed in the context of a claim </w:t>
      </w:r>
      <w:r w:rsidR="00282C6C">
        <w:rPr>
          <w:kern w:val="28"/>
          <w:lang w:val="en-CA"/>
        </w:rPr>
        <w:t>“</w:t>
      </w:r>
      <w:r w:rsidRPr="00B120AE">
        <w:rPr>
          <w:kern w:val="28"/>
          <w:lang w:val="en-CA"/>
        </w:rPr>
        <w:t>characterized as negative</w:t>
      </w:r>
      <w:r w:rsidR="00282C6C">
        <w:rPr>
          <w:kern w:val="28"/>
          <w:lang w:val="en-CA"/>
        </w:rPr>
        <w:t>”</w:t>
      </w:r>
      <w:r w:rsidRPr="00B120AE">
        <w:rPr>
          <w:kern w:val="28"/>
          <w:lang w:val="en-CA"/>
        </w:rPr>
        <w:t xml:space="preserve"> — namely, where the claimant seeks freedom from restraints on its activities</w:t>
      </w:r>
      <w:r w:rsidRPr="00B120AE">
        <w:rPr>
          <w:kern w:val="28"/>
          <w:vertAlign w:val="superscript"/>
          <w:lang w:val="en-CA"/>
        </w:rPr>
        <w:footnoteReference w:id="27"/>
      </w:r>
      <w:r w:rsidR="00804B6B" w:rsidRPr="00804B6B">
        <w:rPr>
          <w:kern w:val="28"/>
          <w:lang w:val="en-CA"/>
        </w:rPr>
        <w:t xml:space="preserve"> —</w:t>
      </w:r>
      <w:r w:rsidRPr="00B120AE">
        <w:rPr>
          <w:kern w:val="28"/>
          <w:lang w:val="en-CA"/>
        </w:rPr>
        <w:t xml:space="preserve"> courts must follow a two</w:t>
      </w:r>
      <w:r w:rsidR="00720901">
        <w:rPr>
          <w:kern w:val="28"/>
          <w:lang w:val="en-CA"/>
        </w:rPr>
        <w:noBreakHyphen/>
      </w:r>
      <w:r w:rsidRPr="00B120AE">
        <w:rPr>
          <w:kern w:val="28"/>
          <w:lang w:val="en-CA"/>
        </w:rPr>
        <w:t>step process.</w:t>
      </w:r>
      <w:r w:rsidRPr="00B120AE">
        <w:rPr>
          <w:kern w:val="28"/>
          <w:vertAlign w:val="superscript"/>
          <w:lang w:val="en-CA"/>
        </w:rPr>
        <w:footnoteReference w:id="28"/>
      </w:r>
      <w:r w:rsidRPr="00B120AE">
        <w:rPr>
          <w:kern w:val="28"/>
          <w:lang w:val="en-CA"/>
        </w:rPr>
        <w:t xml:space="preserve"> First, the court must ask whether the activity in question falls within the protection afforded to freedom of expression by determining: (1)</w:t>
      </w:r>
      <w:r w:rsidR="007F215A">
        <w:rPr>
          <w:kern w:val="28"/>
          <w:lang w:val="en-CA"/>
        </w:rPr>
        <w:t> </w:t>
      </w:r>
      <w:r w:rsidRPr="00B120AE">
        <w:rPr>
          <w:kern w:val="28"/>
          <w:lang w:val="en-CA"/>
        </w:rPr>
        <w:t>whether the activity at issue has expressive content that brings it within the scope of that protection; and (2)</w:t>
      </w:r>
      <w:r w:rsidR="007F215A">
        <w:rPr>
          <w:kern w:val="28"/>
          <w:lang w:val="en-CA"/>
        </w:rPr>
        <w:t> </w:t>
      </w:r>
      <w:r w:rsidRPr="00B120AE">
        <w:rPr>
          <w:kern w:val="28"/>
          <w:lang w:val="en-CA"/>
        </w:rPr>
        <w:t>whether the activity is excluded from that protection because of the activity</w:t>
      </w:r>
      <w:r w:rsidR="00282C6C">
        <w:rPr>
          <w:kern w:val="28"/>
          <w:lang w:val="en-CA"/>
        </w:rPr>
        <w:t>’</w:t>
      </w:r>
      <w:r w:rsidRPr="00B120AE">
        <w:rPr>
          <w:kern w:val="28"/>
          <w:lang w:val="en-CA"/>
        </w:rPr>
        <w:t>s location or its method of expression.</w:t>
      </w:r>
      <w:r w:rsidRPr="00B120AE">
        <w:rPr>
          <w:kern w:val="28"/>
          <w:vertAlign w:val="superscript"/>
          <w:lang w:val="en-CA"/>
        </w:rPr>
        <w:footnoteReference w:id="29"/>
      </w:r>
      <w:r w:rsidRPr="00B120AE">
        <w:rPr>
          <w:kern w:val="28"/>
          <w:lang w:val="en-CA"/>
        </w:rPr>
        <w:t xml:space="preserve"> If the first step is satisfied, the court turns to the second step, which is to determine whether either the purpose or the effect of the provisions results in an infringement of the protected right. The party alleging the infringement bears the burden of proving it.</w:t>
      </w:r>
      <w:r w:rsidRPr="00B120AE">
        <w:rPr>
          <w:kern w:val="28"/>
          <w:vertAlign w:val="superscript"/>
          <w:lang w:val="en-CA"/>
        </w:rPr>
        <w:footnoteReference w:id="30"/>
      </w:r>
      <w:r w:rsidRPr="00B120AE">
        <w:rPr>
          <w:kern w:val="28"/>
          <w:lang w:val="en-CA"/>
        </w:rPr>
        <w:t xml:space="preserve"> </w:t>
      </w:r>
    </w:p>
    <w:p w14:paraId="50852C73" w14:textId="22C6630C"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An activity will be considered to be expressive if it aims to convey a message in any form, including through gestures.</w:t>
      </w:r>
      <w:r w:rsidRPr="00B120AE">
        <w:rPr>
          <w:kern w:val="28"/>
          <w:vertAlign w:val="superscript"/>
          <w:lang w:val="en-CA"/>
        </w:rPr>
        <w:footnoteReference w:id="31"/>
      </w:r>
      <w:r w:rsidRPr="00B120AE">
        <w:rPr>
          <w:kern w:val="28"/>
          <w:lang w:val="en-CA"/>
        </w:rPr>
        <w:t xml:space="preserve"> Some physical activities do not </w:t>
      </w:r>
      <w:r w:rsidRPr="00B120AE">
        <w:rPr>
          <w:i/>
          <w:iCs/>
          <w:kern w:val="28"/>
          <w:lang w:val="en-CA"/>
        </w:rPr>
        <w:t>a priori</w:t>
      </w:r>
      <w:r w:rsidRPr="00B120AE">
        <w:rPr>
          <w:kern w:val="28"/>
          <w:lang w:val="en-CA"/>
        </w:rPr>
        <w:t xml:space="preserve"> have a message, but may acquire one as a result of the context in which they are performed.</w:t>
      </w:r>
      <w:r w:rsidRPr="00B120AE">
        <w:rPr>
          <w:kern w:val="28"/>
          <w:vertAlign w:val="superscript"/>
          <w:lang w:val="en-CA"/>
        </w:rPr>
        <w:footnoteReference w:id="32"/>
      </w:r>
      <w:r w:rsidRPr="00B120AE">
        <w:rPr>
          <w:kern w:val="28"/>
          <w:lang w:val="en-CA"/>
        </w:rPr>
        <w:t xml:space="preserve"> A walk for health purposes has no particular meaning, but a parade of protesters on a public road conveys a message. In</w:t>
      </w:r>
      <w:r w:rsidRPr="00B120AE">
        <w:rPr>
          <w:i/>
          <w:iCs/>
          <w:kern w:val="28"/>
          <w:lang w:val="en-CA"/>
        </w:rPr>
        <w:t xml:space="preserve"> R v. Butler</w:t>
      </w:r>
      <w:r w:rsidRPr="00B120AE">
        <w:rPr>
          <w:kern w:val="28"/>
          <w:lang w:val="en-CA"/>
        </w:rPr>
        <w:t xml:space="preserve">, which analyzed the constitutionality of crimes related to obscene audiovisual material, </w:t>
      </w:r>
      <w:proofErr w:type="spellStart"/>
      <w:r w:rsidRPr="00B120AE">
        <w:rPr>
          <w:kern w:val="28"/>
          <w:lang w:val="en-CA"/>
        </w:rPr>
        <w:t>Sopinka</w:t>
      </w:r>
      <w:proofErr w:type="spellEnd"/>
      <w:r w:rsidRPr="00B120AE">
        <w:rPr>
          <w:kern w:val="28"/>
          <w:lang w:val="en-CA"/>
        </w:rPr>
        <w:t>,</w:t>
      </w:r>
      <w:r w:rsidR="007F215A">
        <w:rPr>
          <w:kern w:val="28"/>
          <w:lang w:val="en-CA"/>
        </w:rPr>
        <w:t> </w:t>
      </w:r>
      <w:r w:rsidRPr="00B120AE">
        <w:rPr>
          <w:kern w:val="28"/>
          <w:lang w:val="en-CA"/>
        </w:rPr>
        <w:t xml:space="preserve">J., writing for the majority of the Supreme Court, stated: </w:t>
      </w:r>
    </w:p>
    <w:p w14:paraId="50852C74" w14:textId="77777777" w:rsidR="00E524EA" w:rsidRPr="00B120AE" w:rsidRDefault="001C0031" w:rsidP="00C2153F">
      <w:pPr>
        <w:tabs>
          <w:tab w:val="num" w:pos="993"/>
        </w:tabs>
        <w:spacing w:before="80" w:after="80" w:line="240" w:lineRule="auto"/>
        <w:ind w:left="720" w:right="720"/>
        <w:jc w:val="both"/>
        <w:rPr>
          <w:kern w:val="24"/>
          <w:sz w:val="22"/>
          <w:lang w:val="en-CA"/>
        </w:rPr>
      </w:pPr>
      <w:r w:rsidRPr="00B120AE">
        <w:rPr>
          <w:kern w:val="24"/>
          <w:sz w:val="22"/>
          <w:lang w:val="en-CA"/>
        </w:rPr>
        <w:t xml:space="preserve">First, I cannot agree with the premise that purely physical activity, such as sexual activity, cannot be expression. Second, in creating a film, regardless of its content, </w:t>
      </w:r>
      <w:r w:rsidRPr="00B120AE">
        <w:rPr>
          <w:kern w:val="24"/>
          <w:sz w:val="22"/>
          <w:u w:val="single"/>
          <w:lang w:val="en-CA"/>
        </w:rPr>
        <w:t xml:space="preserve">the maker of the film is consciously choosing the </w:t>
      </w:r>
      <w:proofErr w:type="gramStart"/>
      <w:r w:rsidRPr="00B120AE">
        <w:rPr>
          <w:kern w:val="24"/>
          <w:sz w:val="22"/>
          <w:u w:val="single"/>
          <w:lang w:val="en-CA"/>
        </w:rPr>
        <w:t>particular images</w:t>
      </w:r>
      <w:proofErr w:type="gramEnd"/>
      <w:r w:rsidRPr="00B120AE">
        <w:rPr>
          <w:kern w:val="24"/>
          <w:sz w:val="22"/>
          <w:u w:val="single"/>
          <w:lang w:val="en-CA"/>
        </w:rPr>
        <w:t xml:space="preserve"> which together constitute the film. In choosing his or her images, the creator of the film is attempting to convey some meaning</w:t>
      </w:r>
      <w:r w:rsidRPr="00B120AE">
        <w:rPr>
          <w:kern w:val="24"/>
          <w:sz w:val="22"/>
          <w:lang w:val="en-CA"/>
        </w:rPr>
        <w:t xml:space="preserve">. The meaning to be ascribed to the work cannot be measured by the reaction of the audience, which, in some cases, may amount to no more than physical arousal or shock. </w:t>
      </w:r>
      <w:r w:rsidRPr="00B120AE">
        <w:rPr>
          <w:kern w:val="24"/>
          <w:sz w:val="22"/>
          <w:u w:val="single"/>
          <w:lang w:val="en-CA"/>
        </w:rPr>
        <w:t>Rather, the meaning of the work derives from the fact that it has been intentionally created by its author.</w:t>
      </w:r>
      <w:r w:rsidRPr="00B120AE">
        <w:rPr>
          <w:kern w:val="24"/>
          <w:sz w:val="22"/>
          <w:lang w:val="en-CA"/>
        </w:rPr>
        <w:t xml:space="preserve"> To use an example, it may very well be said that a blank wall </w:t>
      </w:r>
      <w:proofErr w:type="gramStart"/>
      <w:r w:rsidRPr="00B120AE">
        <w:rPr>
          <w:kern w:val="24"/>
          <w:sz w:val="22"/>
          <w:lang w:val="en-CA"/>
        </w:rPr>
        <w:t>in itself conveys</w:t>
      </w:r>
      <w:proofErr w:type="gramEnd"/>
      <w:r w:rsidRPr="00B120AE">
        <w:rPr>
          <w:kern w:val="24"/>
          <w:sz w:val="22"/>
          <w:lang w:val="en-CA"/>
        </w:rPr>
        <w:t xml:space="preserve"> no meaning. However, </w:t>
      </w:r>
      <w:r w:rsidRPr="00B120AE">
        <w:rPr>
          <w:kern w:val="24"/>
          <w:sz w:val="22"/>
          <w:u w:val="single"/>
          <w:lang w:val="en-CA"/>
        </w:rPr>
        <w:t>if one deliberately chooses to capture that image by the medium of film, the work necessarily has some meaning for its author and thereby constitutes expression</w:t>
      </w:r>
      <w:r w:rsidRPr="00B120AE">
        <w:rPr>
          <w:kern w:val="24"/>
          <w:sz w:val="22"/>
          <w:lang w:val="en-CA"/>
        </w:rPr>
        <w:t>. The same would apply to the depiction of persons engaged in purely sexual activity.</w:t>
      </w:r>
      <w:r w:rsidRPr="00B120AE">
        <w:rPr>
          <w:kern w:val="24"/>
          <w:sz w:val="22"/>
          <w:vertAlign w:val="superscript"/>
          <w:lang w:val="en-CA"/>
        </w:rPr>
        <w:footnoteReference w:id="33"/>
      </w:r>
    </w:p>
    <w:p w14:paraId="50852C75" w14:textId="77777777" w:rsidR="00E524EA" w:rsidRPr="00B120AE" w:rsidRDefault="001C0031" w:rsidP="00C2153F">
      <w:pPr>
        <w:tabs>
          <w:tab w:val="num" w:pos="993"/>
        </w:tabs>
        <w:spacing w:before="80" w:after="120" w:line="240" w:lineRule="auto"/>
        <w:ind w:left="720" w:right="720"/>
        <w:jc w:val="right"/>
        <w:rPr>
          <w:kern w:val="24"/>
          <w:sz w:val="22"/>
          <w:lang w:val="en-CA"/>
        </w:rPr>
      </w:pPr>
      <w:r w:rsidRPr="00B120AE">
        <w:rPr>
          <w:kern w:val="24"/>
          <w:sz w:val="22"/>
          <w:lang w:val="en-CA"/>
        </w:rPr>
        <w:t>[Underlining added]</w:t>
      </w:r>
    </w:p>
    <w:p w14:paraId="50852C76"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On the other hand, forms of expression that undermine the values underlying freedom of expression do not enjoy protection, as in the case of violence, which prevents the free exchange of ideas, individual self‑fulfilment and truth seeking.</w:t>
      </w:r>
      <w:r w:rsidRPr="00B120AE">
        <w:rPr>
          <w:kern w:val="28"/>
          <w:vertAlign w:val="superscript"/>
          <w:lang w:val="en-CA"/>
        </w:rPr>
        <w:footnoteReference w:id="34"/>
      </w:r>
      <w:r w:rsidRPr="00B120AE">
        <w:rPr>
          <w:kern w:val="28"/>
          <w:lang w:val="en-CA"/>
        </w:rPr>
        <w:t xml:space="preserve"> The same is true of places that are not conducive to certain forms of expression, such that the result is a conflict with the protected values.</w:t>
      </w:r>
      <w:r w:rsidRPr="00B120AE">
        <w:rPr>
          <w:kern w:val="28"/>
          <w:vertAlign w:val="superscript"/>
          <w:lang w:val="en-CA"/>
        </w:rPr>
        <w:footnoteReference w:id="35"/>
      </w:r>
      <w:r w:rsidRPr="00B120AE">
        <w:rPr>
          <w:kern w:val="28"/>
          <w:lang w:val="en-CA"/>
        </w:rPr>
        <w:t xml:space="preserve"> </w:t>
      </w:r>
    </w:p>
    <w:p w14:paraId="50852C77" w14:textId="25643A2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At the second stage, the court must examine whether the purpose or effect of the provisions is to restrict the expressive activity by prohibiting or controlling attempts to convey the message.</w:t>
      </w:r>
      <w:r w:rsidRPr="00B120AE">
        <w:rPr>
          <w:kern w:val="28"/>
          <w:vertAlign w:val="superscript"/>
          <w:lang w:val="en-CA"/>
        </w:rPr>
        <w:footnoteReference w:id="36"/>
      </w:r>
      <w:r w:rsidRPr="00B120AE">
        <w:rPr>
          <w:kern w:val="28"/>
          <w:lang w:val="en-CA"/>
        </w:rPr>
        <w:t xml:space="preserve"> In order to convince a court that the provisions have the effect of restricting freedom of expression, the party invoking that freedom must demonstrate that its expressive activity promotes at least one of the values underlying the protected right. The majority of the Supreme Court laid down the foundation of this line of reasoning in </w:t>
      </w:r>
      <w:r w:rsidRPr="00B120AE">
        <w:rPr>
          <w:i/>
          <w:iCs/>
          <w:kern w:val="28"/>
          <w:lang w:val="en-CA"/>
        </w:rPr>
        <w:t>Irwin Toy</w:t>
      </w:r>
      <w:r w:rsidRPr="00B120AE">
        <w:rPr>
          <w:kern w:val="28"/>
          <w:lang w:val="en-CA"/>
        </w:rPr>
        <w:t xml:space="preserve">: </w:t>
      </w:r>
    </w:p>
    <w:p w14:paraId="50852C78" w14:textId="02E90043" w:rsidR="00E524EA" w:rsidRPr="00B120AE" w:rsidRDefault="001C0031" w:rsidP="00E524EA">
      <w:pPr>
        <w:tabs>
          <w:tab w:val="num" w:pos="993"/>
        </w:tabs>
        <w:spacing w:before="120" w:after="120" w:line="240" w:lineRule="auto"/>
        <w:ind w:left="720" w:right="720"/>
        <w:jc w:val="both"/>
        <w:rPr>
          <w:kern w:val="24"/>
          <w:sz w:val="22"/>
          <w:lang w:val="en-CA"/>
        </w:rPr>
      </w:pPr>
      <w:r w:rsidRPr="00B120AE">
        <w:rPr>
          <w:kern w:val="24"/>
          <w:sz w:val="22"/>
          <w:lang w:val="en-CA"/>
        </w:rPr>
        <w:t xml:space="preserve">[…] If the plaintiff challenges the effect of government action to control noise, presuming that action to have a purpose neutral as to expression, she must show </w:t>
      </w:r>
      <w:r w:rsidRPr="00B120AE">
        <w:rPr>
          <w:kern w:val="24"/>
          <w:sz w:val="22"/>
          <w:lang w:val="en-CA"/>
        </w:rPr>
        <w:lastRenderedPageBreak/>
        <w:t xml:space="preserve">that her aim was to convey a meaning reflective of the principles underlying freedom of expression. The precise and complete articulation of what kinds of activity promote these principles is, of course, a matter for judicial appreciation to be developed on a </w:t>
      </w:r>
      <w:proofErr w:type="gramStart"/>
      <w:r w:rsidRPr="00B120AE">
        <w:rPr>
          <w:kern w:val="24"/>
          <w:sz w:val="22"/>
          <w:lang w:val="en-CA"/>
        </w:rPr>
        <w:t>case by case</w:t>
      </w:r>
      <w:proofErr w:type="gramEnd"/>
      <w:r w:rsidRPr="00B120AE">
        <w:rPr>
          <w:kern w:val="24"/>
          <w:sz w:val="22"/>
          <w:lang w:val="en-CA"/>
        </w:rPr>
        <w:t xml:space="preserve"> basis. But the plaintiff must at least identify the meaning being conveyed and how it relates to the pursuit of truth, participation in the community, or individual self</w:t>
      </w:r>
      <w:r w:rsidR="00720901">
        <w:rPr>
          <w:kern w:val="24"/>
          <w:sz w:val="22"/>
          <w:lang w:val="en-CA"/>
        </w:rPr>
        <w:noBreakHyphen/>
      </w:r>
      <w:r w:rsidRPr="00B120AE">
        <w:rPr>
          <w:kern w:val="24"/>
          <w:sz w:val="22"/>
          <w:lang w:val="en-CA"/>
        </w:rPr>
        <w:t>fulfillment and human flourishing.</w:t>
      </w:r>
      <w:r w:rsidRPr="00B120AE">
        <w:rPr>
          <w:kern w:val="24"/>
          <w:sz w:val="22"/>
          <w:vertAlign w:val="superscript"/>
          <w:lang w:val="en-CA"/>
        </w:rPr>
        <w:footnoteReference w:id="37"/>
      </w:r>
    </w:p>
    <w:p w14:paraId="50852C79" w14:textId="1BCF7BA5"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fact that a message can be conveyed by another method does not neutralize the infringement if the choice of communication mode itself conveys a message. In </w:t>
      </w:r>
      <w:r w:rsidRPr="00B120AE">
        <w:rPr>
          <w:i/>
          <w:iCs/>
          <w:kern w:val="28"/>
          <w:lang w:val="en-CA"/>
        </w:rPr>
        <w:t>Ford</w:t>
      </w:r>
      <w:r w:rsidRPr="00B120AE">
        <w:rPr>
          <w:kern w:val="28"/>
          <w:lang w:val="en-CA"/>
        </w:rPr>
        <w:t xml:space="preserve">, the Supreme Court held that </w:t>
      </w:r>
      <w:r w:rsidR="00282C6C">
        <w:rPr>
          <w:kern w:val="28"/>
          <w:lang w:val="en-CA"/>
        </w:rPr>
        <w:t>“</w:t>
      </w:r>
      <w:r w:rsidRPr="00B120AE">
        <w:rPr>
          <w:kern w:val="28"/>
          <w:lang w:val="en-CA"/>
        </w:rPr>
        <w:t>there cannot be true freedom of expression by means of language if one is prohibited from using the language of one</w:t>
      </w:r>
      <w:r w:rsidR="00282C6C">
        <w:rPr>
          <w:kern w:val="28"/>
          <w:lang w:val="en-CA"/>
        </w:rPr>
        <w:t>’</w:t>
      </w:r>
      <w:r w:rsidRPr="00B120AE">
        <w:rPr>
          <w:kern w:val="28"/>
          <w:lang w:val="en-CA"/>
        </w:rPr>
        <w:t>s choice</w:t>
      </w:r>
      <w:r w:rsidR="00282C6C">
        <w:rPr>
          <w:kern w:val="28"/>
          <w:lang w:val="en-CA"/>
        </w:rPr>
        <w:t>”</w:t>
      </w:r>
      <w:r w:rsidRPr="00B120AE">
        <w:rPr>
          <w:kern w:val="28"/>
          <w:lang w:val="en-CA"/>
        </w:rPr>
        <w:t>.</w:t>
      </w:r>
      <w:r w:rsidRPr="00B120AE">
        <w:rPr>
          <w:kern w:val="28"/>
          <w:vertAlign w:val="superscript"/>
          <w:lang w:val="en-CA"/>
        </w:rPr>
        <w:footnoteReference w:id="38"/>
      </w:r>
      <w:r w:rsidRPr="00B120AE">
        <w:rPr>
          <w:kern w:val="28"/>
          <w:lang w:val="en-CA"/>
        </w:rPr>
        <w:t xml:space="preserve"> Indeed, the language of expression </w:t>
      </w:r>
      <w:r w:rsidR="00282C6C">
        <w:rPr>
          <w:kern w:val="28"/>
          <w:lang w:val="en-CA"/>
        </w:rPr>
        <w:t>“</w:t>
      </w:r>
      <w:r w:rsidRPr="00B120AE">
        <w:rPr>
          <w:kern w:val="28"/>
          <w:lang w:val="en-CA"/>
        </w:rPr>
        <w:t>colours the content and meaning of expression</w:t>
      </w:r>
      <w:r w:rsidR="00282C6C">
        <w:rPr>
          <w:kern w:val="28"/>
          <w:lang w:val="en-CA"/>
        </w:rPr>
        <w:t>”</w:t>
      </w:r>
      <w:r w:rsidRPr="00B120AE">
        <w:rPr>
          <w:kern w:val="28"/>
          <w:lang w:val="en-CA"/>
        </w:rPr>
        <w:t>,</w:t>
      </w:r>
      <w:r w:rsidRPr="00B120AE">
        <w:rPr>
          <w:kern w:val="28"/>
          <w:vertAlign w:val="superscript"/>
          <w:lang w:val="en-CA"/>
        </w:rPr>
        <w:footnoteReference w:id="39"/>
      </w:r>
      <w:r w:rsidRPr="00B120AE">
        <w:rPr>
          <w:kern w:val="28"/>
          <w:lang w:val="en-CA"/>
        </w:rPr>
        <w:t xml:space="preserve"> even if the message can be conveyed in another language and can be translated.</w:t>
      </w:r>
      <w:r w:rsidRPr="00B120AE">
        <w:rPr>
          <w:kern w:val="28"/>
          <w:vertAlign w:val="superscript"/>
          <w:lang w:val="en-CA"/>
        </w:rPr>
        <w:footnoteReference w:id="40"/>
      </w:r>
      <w:r w:rsidRPr="00B120AE">
        <w:rPr>
          <w:kern w:val="28"/>
          <w:lang w:val="en-CA"/>
        </w:rPr>
        <w:t xml:space="preserve"> In </w:t>
      </w:r>
      <w:r w:rsidRPr="00B120AE">
        <w:rPr>
          <w:i/>
          <w:iCs/>
          <w:kern w:val="28"/>
          <w:lang w:val="en-CA"/>
        </w:rPr>
        <w:t>CBC</w:t>
      </w:r>
      <w:r w:rsidRPr="00B120AE">
        <w:rPr>
          <w:kern w:val="28"/>
          <w:lang w:val="en-CA"/>
        </w:rPr>
        <w:t xml:space="preserve">, which dealt with the constitutionality of provisions prohibiting the broadcasting of official audio recordings of Superior Court hearings, the Supreme Court emphasized that the content of hearings can be reported in a variety of ways, but </w:t>
      </w:r>
      <w:r w:rsidR="00026895">
        <w:rPr>
          <w:kern w:val="28"/>
          <w:lang w:val="en-CA"/>
        </w:rPr>
        <w:t xml:space="preserve">it </w:t>
      </w:r>
      <w:r w:rsidRPr="00B120AE">
        <w:rPr>
          <w:kern w:val="28"/>
          <w:lang w:val="en-CA"/>
        </w:rPr>
        <w:t>added that the broadcasting of official recordings of hearings carries a distinct message:</w:t>
      </w:r>
    </w:p>
    <w:p w14:paraId="50852C7A" w14:textId="77777777" w:rsidR="00E524EA" w:rsidRPr="00B120AE" w:rsidRDefault="001C0031" w:rsidP="00E524EA">
      <w:pPr>
        <w:tabs>
          <w:tab w:val="num" w:pos="993"/>
        </w:tabs>
        <w:spacing w:before="120" w:after="120" w:line="240" w:lineRule="auto"/>
        <w:ind w:left="720" w:right="720"/>
        <w:jc w:val="both"/>
        <w:rPr>
          <w:kern w:val="24"/>
          <w:sz w:val="22"/>
          <w:lang w:val="en-CA"/>
        </w:rPr>
      </w:pPr>
      <w:r w:rsidRPr="00B120AE">
        <w:rPr>
          <w:kern w:val="24"/>
          <w:sz w:val="22"/>
          <w:lang w:val="en-CA"/>
        </w:rPr>
        <w:t xml:space="preserve">[52] […] The content of the message the media organizations wish to convey consists of testimony, examinations, submissions, judgments and other sounds captured by courthouse equipment during hearings. This content can be conveyed in </w:t>
      </w:r>
      <w:proofErr w:type="gramStart"/>
      <w:r w:rsidRPr="00B120AE">
        <w:rPr>
          <w:kern w:val="24"/>
          <w:sz w:val="22"/>
          <w:lang w:val="en-CA"/>
        </w:rPr>
        <w:t>many different ways</w:t>
      </w:r>
      <w:proofErr w:type="gramEnd"/>
      <w:r w:rsidRPr="00B120AE">
        <w:rPr>
          <w:kern w:val="24"/>
          <w:sz w:val="22"/>
          <w:lang w:val="en-CA"/>
        </w:rPr>
        <w:t xml:space="preserve">, whether by broadcasting the official audio recordings of hearings, by publishing written reports, by transcribing what is said at hearings or by broadcasting oral reports by journalists. </w:t>
      </w:r>
      <w:r w:rsidRPr="00B120AE">
        <w:rPr>
          <w:kern w:val="24"/>
          <w:sz w:val="22"/>
          <w:u w:val="single"/>
          <w:lang w:val="en-CA"/>
        </w:rPr>
        <w:t>But it must be conceded that the message conveyed by broadcasting the official audio recordings of hearings is not the same as one conveyed using another method of expression</w:t>
      </w:r>
      <w:r w:rsidRPr="00B120AE">
        <w:rPr>
          <w:kern w:val="24"/>
          <w:sz w:val="22"/>
          <w:lang w:val="en-CA"/>
        </w:rPr>
        <w:t xml:space="preserve">. In the case at bar, I agree with Bich J.A. that </w:t>
      </w:r>
      <w:r w:rsidRPr="00B120AE">
        <w:rPr>
          <w:kern w:val="24"/>
          <w:sz w:val="22"/>
          <w:u w:val="single"/>
          <w:lang w:val="en-CA"/>
        </w:rPr>
        <w:t>the informative content conveyed by the method of expression the media organizations wish to use is not the same as when a transcript is used or even when the most accurate possible description is given</w:t>
      </w:r>
      <w:r w:rsidRPr="00B120AE">
        <w:rPr>
          <w:kern w:val="24"/>
          <w:sz w:val="22"/>
          <w:lang w:val="en-CA"/>
        </w:rPr>
        <w:t>.</w:t>
      </w:r>
      <w:r w:rsidRPr="00B120AE">
        <w:rPr>
          <w:kern w:val="24"/>
          <w:sz w:val="22"/>
          <w:vertAlign w:val="superscript"/>
          <w:lang w:val="en-CA"/>
        </w:rPr>
        <w:footnoteReference w:id="41"/>
      </w:r>
    </w:p>
    <w:p w14:paraId="50852C7B" w14:textId="77777777" w:rsidR="00E524EA" w:rsidRPr="00B120AE" w:rsidRDefault="001C0031" w:rsidP="00E524EA">
      <w:pPr>
        <w:tabs>
          <w:tab w:val="num" w:pos="993"/>
        </w:tabs>
        <w:spacing w:before="120" w:after="120" w:line="240" w:lineRule="auto"/>
        <w:ind w:left="720" w:right="720"/>
        <w:jc w:val="right"/>
        <w:rPr>
          <w:kern w:val="24"/>
          <w:sz w:val="22"/>
          <w:lang w:val="en-CA"/>
        </w:rPr>
      </w:pPr>
      <w:r w:rsidRPr="00B120AE">
        <w:rPr>
          <w:kern w:val="24"/>
          <w:sz w:val="22"/>
          <w:lang w:val="en-CA"/>
        </w:rPr>
        <w:t xml:space="preserve">[Underlining added] </w:t>
      </w:r>
    </w:p>
    <w:p w14:paraId="50852C7C" w14:textId="77777777" w:rsidR="00E524EA" w:rsidRPr="00BD7078" w:rsidRDefault="001C0031" w:rsidP="00E524EA">
      <w:pPr>
        <w:keepNext/>
        <w:numPr>
          <w:ilvl w:val="0"/>
          <w:numId w:val="21"/>
        </w:numPr>
        <w:tabs>
          <w:tab w:val="num" w:pos="993"/>
        </w:tabs>
        <w:spacing w:before="120" w:after="120" w:line="240" w:lineRule="auto"/>
        <w:outlineLvl w:val="2"/>
        <w:rPr>
          <w:b/>
          <w:bCs/>
          <w:lang w:val="en-CA"/>
        </w:rPr>
      </w:pPr>
      <w:r w:rsidRPr="00BD7078">
        <w:rPr>
          <w:b/>
          <w:bCs/>
          <w:lang w:val="en-CA"/>
        </w:rPr>
        <w:t>Analysis</w:t>
      </w:r>
    </w:p>
    <w:p w14:paraId="50852C7D"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parties agree that the purpose of the provisions is not to restrict expression, but to prohibit smoking in certain enclosed spaces. The issue is the effect these provisions have on artistic performances. </w:t>
      </w:r>
    </w:p>
    <w:p w14:paraId="50852C7E" w14:textId="04DEE01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Superior Court judge was justified in concluding that the presiding justice of the peace erred when he stated that the act of smoking during the theatrical performances </w:t>
      </w:r>
      <w:r w:rsidRPr="00B120AE">
        <w:rPr>
          <w:kern w:val="28"/>
          <w:lang w:val="en-CA"/>
        </w:rPr>
        <w:lastRenderedPageBreak/>
        <w:t>had no expressive content.</w:t>
      </w:r>
      <w:r w:rsidRPr="00B120AE">
        <w:rPr>
          <w:kern w:val="28"/>
          <w:vertAlign w:val="superscript"/>
          <w:lang w:val="en-CA"/>
        </w:rPr>
        <w:footnoteReference w:id="42"/>
      </w:r>
      <w:r w:rsidRPr="00B120AE">
        <w:rPr>
          <w:kern w:val="28"/>
          <w:lang w:val="en-CA"/>
        </w:rPr>
        <w:t xml:space="preserve"> As </w:t>
      </w:r>
      <w:r w:rsidR="0064770E">
        <w:rPr>
          <w:kern w:val="28"/>
          <w:lang w:val="en-CA"/>
        </w:rPr>
        <w:t xml:space="preserve">the judge </w:t>
      </w:r>
      <w:r w:rsidRPr="00B120AE">
        <w:rPr>
          <w:kern w:val="28"/>
          <w:lang w:val="en-CA"/>
        </w:rPr>
        <w:t xml:space="preserve">pointed out, the question, rather, was </w:t>
      </w:r>
      <w:r w:rsidR="0078033F" w:rsidRPr="0078033F">
        <w:rPr>
          <w:smallCaps/>
          <w:kern w:val="28"/>
          <w:lang w:val="en-CA"/>
        </w:rPr>
        <w:t>[translation] </w:t>
      </w:r>
      <w:r w:rsidR="00282C6C">
        <w:rPr>
          <w:kern w:val="28"/>
          <w:lang w:val="en-CA"/>
        </w:rPr>
        <w:t>“</w:t>
      </w:r>
      <w:r w:rsidRPr="00B120AE">
        <w:rPr>
          <w:kern w:val="28"/>
          <w:lang w:val="en-CA"/>
        </w:rPr>
        <w:t>first, whether by having the performers smoke on stage, the creators sought to convey a meaningful message to the public and, second, whether this activity tended to serve the three major values underlying freedom of expression or, on the contrary, to undermine them</w:t>
      </w:r>
      <w:r w:rsidR="00282C6C">
        <w:rPr>
          <w:kern w:val="28"/>
          <w:lang w:val="en-CA"/>
        </w:rPr>
        <w:t>”</w:t>
      </w:r>
      <w:r w:rsidRPr="00B120AE">
        <w:rPr>
          <w:kern w:val="28"/>
          <w:lang w:val="en-CA"/>
        </w:rPr>
        <w:t>.</w:t>
      </w:r>
      <w:r w:rsidRPr="00B120AE">
        <w:rPr>
          <w:kern w:val="28"/>
          <w:vertAlign w:val="superscript"/>
          <w:lang w:val="en-CA"/>
        </w:rPr>
        <w:footnoteReference w:id="43"/>
      </w:r>
      <w:r w:rsidRPr="00B120AE">
        <w:rPr>
          <w:kern w:val="28"/>
          <w:lang w:val="en-CA"/>
        </w:rPr>
        <w:t xml:space="preserve"> The judge correctly answered these questions, noting the following:</w:t>
      </w:r>
    </w:p>
    <w:p w14:paraId="7F7F14B7" w14:textId="77777777" w:rsidR="00C6498C" w:rsidRDefault="001C0031" w:rsidP="00E524EA">
      <w:pPr>
        <w:tabs>
          <w:tab w:val="num" w:pos="993"/>
          <w:tab w:val="left" w:pos="1276"/>
        </w:tabs>
        <w:spacing w:before="120" w:after="120" w:line="240" w:lineRule="auto"/>
        <w:ind w:left="720" w:right="720"/>
        <w:jc w:val="both"/>
        <w:rPr>
          <w:kern w:val="24"/>
          <w:sz w:val="22"/>
          <w:lang w:val="en-CA"/>
        </w:rPr>
      </w:pPr>
      <w:r w:rsidRPr="00B120AE">
        <w:rPr>
          <w:kern w:val="24"/>
          <w:sz w:val="22"/>
          <w:lang w:val="en-CA"/>
        </w:rPr>
        <w:t>[</w:t>
      </w:r>
      <w:r w:rsidR="004D6ECE" w:rsidRPr="008757B0">
        <w:rPr>
          <w:smallCaps/>
          <w:kern w:val="24"/>
          <w:sz w:val="22"/>
          <w:lang w:val="en-CA"/>
        </w:rPr>
        <w:t>translation</w:t>
      </w:r>
      <w:r w:rsidRPr="00B120AE">
        <w:rPr>
          <w:kern w:val="24"/>
          <w:sz w:val="22"/>
          <w:lang w:val="en-CA"/>
        </w:rPr>
        <w:t>]</w:t>
      </w:r>
    </w:p>
    <w:p w14:paraId="50852C7F" w14:textId="494A9E1A" w:rsidR="00E524EA" w:rsidRPr="00B120AE" w:rsidRDefault="001C0031" w:rsidP="00E524EA">
      <w:pPr>
        <w:tabs>
          <w:tab w:val="num" w:pos="993"/>
          <w:tab w:val="left" w:pos="1276"/>
        </w:tabs>
        <w:spacing w:before="120" w:after="120" w:line="240" w:lineRule="auto"/>
        <w:ind w:left="720" w:right="720"/>
        <w:jc w:val="both"/>
        <w:rPr>
          <w:kern w:val="24"/>
          <w:sz w:val="22"/>
          <w:lang w:val="en-CA"/>
        </w:rPr>
      </w:pPr>
      <w:r w:rsidRPr="00B120AE">
        <w:rPr>
          <w:kern w:val="24"/>
          <w:sz w:val="22"/>
          <w:lang w:val="en-CA"/>
        </w:rPr>
        <w:t>[44]</w:t>
      </w:r>
      <w:r w:rsidRPr="00B120AE">
        <w:rPr>
          <w:kern w:val="24"/>
          <w:sz w:val="22"/>
          <w:lang w:val="en-CA"/>
        </w:rPr>
        <w:tab/>
        <w:t>[...] The creators</w:t>
      </w:r>
      <w:r w:rsidR="00282C6C">
        <w:rPr>
          <w:kern w:val="24"/>
          <w:sz w:val="22"/>
          <w:lang w:val="en-CA"/>
        </w:rPr>
        <w:t>’</w:t>
      </w:r>
      <w:r w:rsidRPr="00B120AE">
        <w:rPr>
          <w:kern w:val="24"/>
          <w:sz w:val="22"/>
          <w:lang w:val="en-CA"/>
        </w:rPr>
        <w:t xml:space="preserve"> choice to show a cigarette being smoked on stage had an expressive content. The gesture was meant to convey a meaning. […]</w:t>
      </w:r>
    </w:p>
    <w:p w14:paraId="50852C80" w14:textId="77777777" w:rsidR="00E524EA" w:rsidRPr="00B120AE" w:rsidRDefault="001C0031" w:rsidP="00E524EA">
      <w:pPr>
        <w:tabs>
          <w:tab w:val="num" w:pos="993"/>
          <w:tab w:val="left" w:pos="1276"/>
        </w:tabs>
        <w:spacing w:before="120" w:after="120" w:line="240" w:lineRule="auto"/>
        <w:ind w:left="720" w:right="720"/>
        <w:jc w:val="both"/>
        <w:rPr>
          <w:kern w:val="24"/>
          <w:sz w:val="22"/>
          <w:lang w:val="en-CA"/>
        </w:rPr>
      </w:pPr>
      <w:r w:rsidRPr="00B120AE">
        <w:rPr>
          <w:kern w:val="24"/>
          <w:sz w:val="22"/>
          <w:lang w:val="en-CA"/>
        </w:rPr>
        <w:t>[…]</w:t>
      </w:r>
    </w:p>
    <w:p w14:paraId="50852C81" w14:textId="77777777" w:rsidR="00E524EA" w:rsidRPr="00B120AE" w:rsidRDefault="001C0031" w:rsidP="00E524EA">
      <w:pPr>
        <w:tabs>
          <w:tab w:val="num" w:pos="993"/>
          <w:tab w:val="left" w:pos="1276"/>
        </w:tabs>
        <w:spacing w:before="120" w:after="120" w:line="240" w:lineRule="auto"/>
        <w:ind w:left="720" w:right="720"/>
        <w:jc w:val="both"/>
        <w:rPr>
          <w:kern w:val="24"/>
          <w:sz w:val="22"/>
          <w:lang w:val="en-CA"/>
        </w:rPr>
      </w:pPr>
      <w:r w:rsidRPr="00B120AE">
        <w:rPr>
          <w:kern w:val="24"/>
          <w:sz w:val="22"/>
          <w:lang w:val="en-CA"/>
        </w:rPr>
        <w:t>[</w:t>
      </w:r>
      <w:bookmarkStart w:id="31" w:name="par47"/>
      <w:r w:rsidRPr="00B120AE">
        <w:rPr>
          <w:kern w:val="24"/>
          <w:sz w:val="22"/>
          <w:lang w:val="en-CA"/>
        </w:rPr>
        <w:t>47</w:t>
      </w:r>
      <w:bookmarkEnd w:id="31"/>
      <w:r w:rsidRPr="00B120AE">
        <w:rPr>
          <w:kern w:val="24"/>
          <w:sz w:val="22"/>
          <w:lang w:val="en-CA"/>
        </w:rPr>
        <w:t>]</w:t>
      </w:r>
      <w:r w:rsidRPr="00B120AE">
        <w:rPr>
          <w:kern w:val="24"/>
          <w:sz w:val="22"/>
          <w:lang w:val="en-CA"/>
        </w:rPr>
        <w:tab/>
        <w:t>As to whether the act of smoking and the location where it took place undermined the values underlying the right to freedom of expression, the answer is obvious. In the context of the three plays, the gesture did not undermine these values. On the contrary, this act tended to serve these values, in a place conducive to communicating them.</w:t>
      </w:r>
      <w:r w:rsidRPr="00B120AE">
        <w:rPr>
          <w:kern w:val="24"/>
          <w:sz w:val="22"/>
          <w:vertAlign w:val="superscript"/>
          <w:lang w:val="en-CA"/>
        </w:rPr>
        <w:footnoteReference w:id="44"/>
      </w:r>
    </w:p>
    <w:p w14:paraId="50852C82" w14:textId="2C4ACE0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Clearly, a creator</w:t>
      </w:r>
      <w:r w:rsidR="00282C6C">
        <w:rPr>
          <w:kern w:val="28"/>
          <w:lang w:val="en-CA"/>
        </w:rPr>
        <w:t>’</w:t>
      </w:r>
      <w:r w:rsidRPr="00B120AE">
        <w:rPr>
          <w:kern w:val="28"/>
          <w:lang w:val="en-CA"/>
        </w:rPr>
        <w:t>s decision to have a character smoke in a play is distinct from the simple physical activity of smoking. Consequently, the jurisprudential precedents cited by the presiding justice of the peace, including the case in which it was decided that a ban on smoking in a bar does not infringe freedom of expression,</w:t>
      </w:r>
      <w:r w:rsidRPr="00B120AE">
        <w:rPr>
          <w:kern w:val="28"/>
          <w:vertAlign w:val="superscript"/>
          <w:lang w:val="en-CA"/>
        </w:rPr>
        <w:footnoteReference w:id="45"/>
      </w:r>
      <w:r w:rsidRPr="00B120AE">
        <w:rPr>
          <w:kern w:val="28"/>
          <w:lang w:val="en-CA"/>
        </w:rPr>
        <w:t xml:space="preserve"> must be distinguished.</w:t>
      </w:r>
    </w:p>
    <w:p w14:paraId="50852C83" w14:textId="425A8AF6"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AGQ recognizes that the act of smoking in a theatrical context has an expressive content protected by the charters. I agree, and I would add that the stage is the ideal place for artists to express themselves and deliver their message to the public. The AGQ is of the view that the restriction imposed by the provisions does not have the effect of limiting a means of communication that conveys a message, since it is possible to simulate the act of smoking, without inhaling smoke. Although the judge did not dwell on this argument, he concluded that actual smoking on stage conveys a message. I conclude that he is correct </w:t>
      </w:r>
      <w:proofErr w:type="gramStart"/>
      <w:r w:rsidRPr="00B120AE">
        <w:rPr>
          <w:kern w:val="28"/>
          <w:lang w:val="en-CA"/>
        </w:rPr>
        <w:t>in light of</w:t>
      </w:r>
      <w:proofErr w:type="gramEnd"/>
      <w:r w:rsidRPr="00B120AE">
        <w:rPr>
          <w:kern w:val="28"/>
          <w:lang w:val="en-CA"/>
        </w:rPr>
        <w:t xml:space="preserve"> the evidence presented. </w:t>
      </w:r>
      <w:r w:rsidR="002A4F72">
        <w:rPr>
          <w:kern w:val="28"/>
          <w:lang w:val="en-CA"/>
        </w:rPr>
        <w:t xml:space="preserve">Let me </w:t>
      </w:r>
      <w:r w:rsidRPr="00B120AE">
        <w:rPr>
          <w:kern w:val="28"/>
          <w:lang w:val="en-CA"/>
        </w:rPr>
        <w:t>explain.</w:t>
      </w:r>
      <w:r w:rsidR="00287AE9">
        <w:rPr>
          <w:kern w:val="28"/>
          <w:lang w:val="en-CA"/>
        </w:rPr>
        <w:t xml:space="preserve"> </w:t>
      </w:r>
    </w:p>
    <w:p w14:paraId="50852C84" w14:textId="43565FD1"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bookmarkStart w:id="32" w:name="_Ref223778391"/>
      <w:r w:rsidRPr="00B120AE">
        <w:rPr>
          <w:kern w:val="28"/>
          <w:lang w:val="en-CA"/>
        </w:rPr>
        <w:t xml:space="preserve">When testifying, the artistic directors and the stage directors described the significant creative work that goes into theatrical productions. First, they choose the plays to be presented by </w:t>
      </w:r>
      <w:proofErr w:type="gramStart"/>
      <w:r w:rsidRPr="00B120AE">
        <w:rPr>
          <w:kern w:val="28"/>
          <w:lang w:val="en-CA"/>
        </w:rPr>
        <w:t>taking into account</w:t>
      </w:r>
      <w:proofErr w:type="gramEnd"/>
      <w:r w:rsidRPr="00B120AE">
        <w:rPr>
          <w:kern w:val="28"/>
          <w:lang w:val="en-CA"/>
        </w:rPr>
        <w:t xml:space="preserve"> a number of criteria, including the theatre</w:t>
      </w:r>
      <w:r w:rsidR="00282C6C">
        <w:rPr>
          <w:kern w:val="28"/>
          <w:lang w:val="en-CA"/>
        </w:rPr>
        <w:t>’</w:t>
      </w:r>
      <w:r w:rsidRPr="00B120AE">
        <w:rPr>
          <w:kern w:val="28"/>
          <w:lang w:val="en-CA"/>
        </w:rPr>
        <w:t>s mission and the balance of the season as a whole. Many of the pieces selected reflect societies throughout the ages</w:t>
      </w:r>
      <w:r w:rsidR="002A499F">
        <w:rPr>
          <w:kern w:val="28"/>
          <w:lang w:val="en-CA"/>
        </w:rPr>
        <w:t xml:space="preserve"> —</w:t>
      </w:r>
      <w:r w:rsidRPr="00B120AE">
        <w:rPr>
          <w:kern w:val="28"/>
          <w:lang w:val="en-CA"/>
        </w:rPr>
        <w:t xml:space="preserve"> societies that have included and continue to include smokers in countless contexts. For example, people smoked to try to cure certain afflictions in a bygone era, to seal peace agreements in certain societies, to flaunt their social status, to </w:t>
      </w:r>
      <w:r w:rsidRPr="00B120AE">
        <w:rPr>
          <w:kern w:val="28"/>
          <w:lang w:val="en-CA"/>
        </w:rPr>
        <w:lastRenderedPageBreak/>
        <w:t>calm addictions, to assert their autonomy, to relax or even to manage their anxiety. In some cases, sharing a cigarette can create a bond or be the start of a close friendship. Other situations are more laden with meaning, such as the last cigarette of a person who has been sentenced to death. Finally, certain eras, certain milieus and many historical figures are inseparable from smoking, such as Winston Churchill or René Lévesque, to name but a few.</w:t>
      </w:r>
      <w:bookmarkEnd w:id="32"/>
    </w:p>
    <w:p w14:paraId="50852C85" w14:textId="7F6CBA9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In the stage directions — i.e., the stage descriptions in the text — the author of a play often specifies that a character is smoking. The Theatres filed a non</w:t>
      </w:r>
      <w:r w:rsidR="00720901">
        <w:rPr>
          <w:kern w:val="28"/>
          <w:lang w:val="en-CA"/>
        </w:rPr>
        <w:noBreakHyphen/>
      </w:r>
      <w:r w:rsidRPr="00B120AE">
        <w:rPr>
          <w:kern w:val="28"/>
          <w:lang w:val="en-CA"/>
        </w:rPr>
        <w:t>exhaustive list of over 250 plays in which the texts refer to the act of smoking.</w:t>
      </w:r>
      <w:r w:rsidRPr="00B120AE">
        <w:rPr>
          <w:kern w:val="28"/>
          <w:vertAlign w:val="superscript"/>
          <w:lang w:val="en-CA"/>
        </w:rPr>
        <w:footnoteReference w:id="46"/>
      </w:r>
      <w:r w:rsidRPr="00B120AE">
        <w:rPr>
          <w:kern w:val="28"/>
          <w:lang w:val="en-CA"/>
        </w:rPr>
        <w:t xml:space="preserve"> When authorizing the performance of a work, the author of the text, or in the event of the author</w:t>
      </w:r>
      <w:r w:rsidR="00282C6C">
        <w:rPr>
          <w:kern w:val="28"/>
          <w:lang w:val="en-CA"/>
        </w:rPr>
        <w:t>’</w:t>
      </w:r>
      <w:r w:rsidRPr="00B120AE">
        <w:rPr>
          <w:kern w:val="28"/>
          <w:lang w:val="en-CA"/>
        </w:rPr>
        <w:t xml:space="preserve">s death, his or her estate, may require that the stage directions be followed to the letter. Isabelle Hubert, author of the play </w:t>
      </w:r>
      <w:r w:rsidRPr="00B120AE">
        <w:rPr>
          <w:i/>
          <w:iCs/>
          <w:kern w:val="28"/>
          <w:lang w:val="en-CA"/>
        </w:rPr>
        <w:t xml:space="preserve">Le </w:t>
      </w:r>
      <w:proofErr w:type="spellStart"/>
      <w:r w:rsidRPr="00B120AE">
        <w:rPr>
          <w:i/>
          <w:iCs/>
          <w:kern w:val="28"/>
          <w:lang w:val="en-CA"/>
        </w:rPr>
        <w:t>cas</w:t>
      </w:r>
      <w:proofErr w:type="spellEnd"/>
      <w:r w:rsidRPr="00B120AE">
        <w:rPr>
          <w:i/>
          <w:iCs/>
          <w:kern w:val="28"/>
          <w:lang w:val="en-CA"/>
        </w:rPr>
        <w:t xml:space="preserve"> </w:t>
      </w:r>
      <w:proofErr w:type="spellStart"/>
      <w:r w:rsidRPr="00B120AE">
        <w:rPr>
          <w:i/>
          <w:iCs/>
          <w:kern w:val="28"/>
          <w:lang w:val="en-CA"/>
        </w:rPr>
        <w:t>Joé</w:t>
      </w:r>
      <w:proofErr w:type="spellEnd"/>
      <w:r w:rsidRPr="00B120AE">
        <w:rPr>
          <w:i/>
          <w:iCs/>
          <w:kern w:val="28"/>
          <w:lang w:val="en-CA"/>
        </w:rPr>
        <w:t xml:space="preserve"> Ferguson</w:t>
      </w:r>
      <w:r w:rsidRPr="00B120AE">
        <w:rPr>
          <w:kern w:val="28"/>
          <w:lang w:val="en-CA"/>
        </w:rPr>
        <w:t>, and Jean</w:t>
      </w:r>
      <w:r w:rsidR="00720901">
        <w:rPr>
          <w:kern w:val="28"/>
          <w:lang w:val="en-CA"/>
        </w:rPr>
        <w:noBreakHyphen/>
      </w:r>
      <w:r w:rsidRPr="00B120AE">
        <w:rPr>
          <w:kern w:val="28"/>
          <w:lang w:val="en-CA"/>
        </w:rPr>
        <w:t>Sébastien Ouellette, the play</w:t>
      </w:r>
      <w:r w:rsidR="00282C6C">
        <w:rPr>
          <w:kern w:val="28"/>
          <w:lang w:val="en-CA"/>
        </w:rPr>
        <w:t>’</w:t>
      </w:r>
      <w:r w:rsidRPr="00B120AE">
        <w:rPr>
          <w:kern w:val="28"/>
          <w:lang w:val="en-CA"/>
        </w:rPr>
        <w:t xml:space="preserve">s director, testified that smoking in the theatre is a </w:t>
      </w:r>
      <w:r w:rsidR="0078033F" w:rsidRPr="0078033F">
        <w:rPr>
          <w:smallCaps/>
          <w:kern w:val="28"/>
          <w:lang w:val="en-CA"/>
        </w:rPr>
        <w:t>[translation] </w:t>
      </w:r>
      <w:r w:rsidR="00282C6C">
        <w:rPr>
          <w:kern w:val="28"/>
          <w:lang w:val="en-CA"/>
        </w:rPr>
        <w:t>“</w:t>
      </w:r>
      <w:r w:rsidRPr="00B120AE">
        <w:rPr>
          <w:kern w:val="28"/>
          <w:lang w:val="en-CA"/>
        </w:rPr>
        <w:t>defining</w:t>
      </w:r>
      <w:r w:rsidR="00282C6C">
        <w:rPr>
          <w:kern w:val="28"/>
          <w:lang w:val="en-CA"/>
        </w:rPr>
        <w:t>”</w:t>
      </w:r>
      <w:r w:rsidRPr="00B120AE">
        <w:rPr>
          <w:kern w:val="28"/>
          <w:lang w:val="en-CA"/>
        </w:rPr>
        <w:t xml:space="preserve"> gesture</w:t>
      </w:r>
      <w:r w:rsidR="00EC24CA">
        <w:rPr>
          <w:kern w:val="28"/>
          <w:lang w:val="en-CA"/>
        </w:rPr>
        <w:t>, that is</w:t>
      </w:r>
      <w:r w:rsidRPr="00B120AE">
        <w:rPr>
          <w:kern w:val="28"/>
          <w:lang w:val="en-CA"/>
        </w:rPr>
        <w:t>,</w:t>
      </w:r>
      <w:r w:rsidR="00FD6EC2">
        <w:rPr>
          <w:kern w:val="28"/>
          <w:lang w:val="en-CA"/>
        </w:rPr>
        <w:t> </w:t>
      </w:r>
      <w:r w:rsidRPr="00B120AE">
        <w:rPr>
          <w:kern w:val="28"/>
          <w:lang w:val="en-CA"/>
        </w:rPr>
        <w:t>one that quickly informs the audience about several facets of a person or situation. In this regard</w:t>
      </w:r>
      <w:r w:rsidR="00EC24CA">
        <w:rPr>
          <w:kern w:val="28"/>
          <w:lang w:val="en-CA"/>
        </w:rPr>
        <w:t>,</w:t>
      </w:r>
      <w:r w:rsidRPr="00B120AE">
        <w:rPr>
          <w:kern w:val="28"/>
          <w:lang w:val="en-CA"/>
        </w:rPr>
        <w:t xml:space="preserve"> Ms. Hubert drew attention to the fact that actions often speak louder than words. </w:t>
      </w:r>
    </w:p>
    <w:p w14:paraId="50852C86" w14:textId="13EB2AC5"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In the realistic play </w:t>
      </w:r>
      <w:r w:rsidRPr="00B120AE">
        <w:rPr>
          <w:i/>
          <w:iCs/>
          <w:kern w:val="28"/>
          <w:lang w:val="en-CA"/>
        </w:rPr>
        <w:t>Rotterdam</w:t>
      </w:r>
      <w:r w:rsidRPr="00B120AE">
        <w:rPr>
          <w:kern w:val="28"/>
          <w:lang w:val="en-CA"/>
        </w:rPr>
        <w:t>, a young girl named Alice, who is reserved and discreet and hides her sexual orientation from her family, has just learned that her partner is transgender, which upsets her. Around the same time, a colleague named Lelani invites her for a drink. Although she would normally have refused this kind of proposal, she decides to accept it, considering her state of mind. In the city of Rotterdam, some bars allow customers to smoke cannabis cigarettes, and Lelani lights one up in Alice</w:t>
      </w:r>
      <w:r w:rsidR="00282C6C">
        <w:rPr>
          <w:kern w:val="28"/>
          <w:lang w:val="en-CA"/>
        </w:rPr>
        <w:t>’</w:t>
      </w:r>
      <w:r w:rsidRPr="00B120AE">
        <w:rPr>
          <w:kern w:val="28"/>
          <w:lang w:val="en-CA"/>
        </w:rPr>
        <w:t xml:space="preserve">s presence, offering to share it with her. The latter replies that she has never taken drugs, but feeling vulnerable and confused, she decides to try it and chokes. Lelani explains how to </w:t>
      </w:r>
      <w:proofErr w:type="gramStart"/>
      <w:r w:rsidRPr="00B120AE">
        <w:rPr>
          <w:kern w:val="28"/>
          <w:lang w:val="en-CA"/>
        </w:rPr>
        <w:t>inhale</w:t>
      </w:r>
      <w:proofErr w:type="gramEnd"/>
      <w:r w:rsidRPr="00B120AE">
        <w:rPr>
          <w:kern w:val="28"/>
          <w:lang w:val="en-CA"/>
        </w:rPr>
        <w:t xml:space="preserve"> and they pass the cigarette back and forth between them. In the following scene, the two protagonists are </w:t>
      </w:r>
      <w:proofErr w:type="gramStart"/>
      <w:r w:rsidRPr="00B120AE">
        <w:rPr>
          <w:kern w:val="28"/>
          <w:lang w:val="en-CA"/>
        </w:rPr>
        <w:t>outside</w:t>
      </w:r>
      <w:proofErr w:type="gramEnd"/>
      <w:r w:rsidRPr="00B120AE">
        <w:rPr>
          <w:kern w:val="28"/>
          <w:lang w:val="en-CA"/>
        </w:rPr>
        <w:t xml:space="preserve"> and, in a game of seduction, Lelani blows the cannabis smoke directly into Alice</w:t>
      </w:r>
      <w:r w:rsidR="00282C6C">
        <w:rPr>
          <w:kern w:val="28"/>
          <w:lang w:val="en-CA"/>
        </w:rPr>
        <w:t>’</w:t>
      </w:r>
      <w:r w:rsidRPr="00B120AE">
        <w:rPr>
          <w:kern w:val="28"/>
          <w:lang w:val="en-CA"/>
        </w:rPr>
        <w:t xml:space="preserve">s mouth, in a tender gesture that comes close to a kiss: </w:t>
      </w:r>
    </w:p>
    <w:p w14:paraId="50852C87" w14:textId="77777777" w:rsidR="00E524EA" w:rsidRPr="00B120AE" w:rsidRDefault="001C0031" w:rsidP="00E524EA">
      <w:pPr>
        <w:tabs>
          <w:tab w:val="num" w:pos="993"/>
        </w:tabs>
        <w:spacing w:before="120" w:after="120" w:line="240" w:lineRule="auto"/>
        <w:ind w:left="720" w:right="720"/>
        <w:jc w:val="both"/>
        <w:rPr>
          <w:kern w:val="24"/>
          <w:sz w:val="22"/>
          <w:lang w:val="en-CA"/>
        </w:rPr>
      </w:pPr>
      <w:r w:rsidRPr="00B120AE">
        <w:rPr>
          <w:kern w:val="24"/>
          <w:sz w:val="22"/>
          <w:lang w:val="en-CA"/>
        </w:rPr>
        <w:t>[…]</w:t>
      </w:r>
    </w:p>
    <w:p w14:paraId="50852C88" w14:textId="400EB91A" w:rsidR="00E524EA" w:rsidRPr="00B120AE" w:rsidRDefault="001C0031" w:rsidP="00E524EA">
      <w:pPr>
        <w:tabs>
          <w:tab w:val="num" w:pos="993"/>
        </w:tabs>
        <w:spacing w:before="120" w:after="120" w:line="240" w:lineRule="auto"/>
        <w:ind w:left="720" w:right="720"/>
        <w:jc w:val="both"/>
        <w:rPr>
          <w:kern w:val="24"/>
          <w:sz w:val="22"/>
          <w:lang w:val="en-CA"/>
        </w:rPr>
      </w:pPr>
      <w:r w:rsidRPr="00B120AE">
        <w:rPr>
          <w:b/>
          <w:bCs/>
          <w:kern w:val="24"/>
          <w:sz w:val="22"/>
          <w:lang w:val="en-CA"/>
        </w:rPr>
        <w:t>Alice</w:t>
      </w:r>
      <w:r w:rsidRPr="00B120AE">
        <w:rPr>
          <w:kern w:val="24"/>
          <w:sz w:val="22"/>
          <w:lang w:val="en-CA"/>
        </w:rPr>
        <w:t>. Oh my God, oh God, oh God, just – Give me that.</w:t>
      </w:r>
    </w:p>
    <w:p w14:paraId="50852C89" w14:textId="77777777" w:rsidR="00E524EA" w:rsidRPr="00B120AE" w:rsidRDefault="001C0031" w:rsidP="00E524EA">
      <w:pPr>
        <w:tabs>
          <w:tab w:val="num" w:pos="993"/>
        </w:tabs>
        <w:spacing w:before="120" w:after="120" w:line="240" w:lineRule="auto"/>
        <w:ind w:left="720" w:right="720"/>
        <w:jc w:val="both"/>
        <w:rPr>
          <w:i/>
          <w:iCs/>
          <w:kern w:val="24"/>
          <w:sz w:val="22"/>
          <w:lang w:val="en-CA"/>
        </w:rPr>
      </w:pPr>
      <w:r w:rsidRPr="00B120AE">
        <w:rPr>
          <w:i/>
          <w:iCs/>
          <w:kern w:val="24"/>
          <w:sz w:val="22"/>
          <w:lang w:val="en-CA"/>
        </w:rPr>
        <w:t xml:space="preserve">She snatches the joint off Lelani and takes a large drag. She immediately starts coughing again. </w:t>
      </w:r>
    </w:p>
    <w:p w14:paraId="50852C8A" w14:textId="77777777" w:rsidR="00E524EA" w:rsidRPr="00B120AE" w:rsidRDefault="001C0031" w:rsidP="00E524EA">
      <w:pPr>
        <w:tabs>
          <w:tab w:val="num" w:pos="993"/>
        </w:tabs>
        <w:spacing w:before="120" w:after="120" w:line="240" w:lineRule="auto"/>
        <w:ind w:left="720" w:right="720"/>
        <w:jc w:val="both"/>
        <w:rPr>
          <w:kern w:val="24"/>
          <w:sz w:val="22"/>
          <w:lang w:val="en-CA"/>
        </w:rPr>
      </w:pPr>
      <w:r w:rsidRPr="00B120AE">
        <w:rPr>
          <w:b/>
          <w:bCs/>
          <w:kern w:val="24"/>
          <w:sz w:val="22"/>
          <w:lang w:val="en-CA"/>
        </w:rPr>
        <w:t>Lelani</w:t>
      </w:r>
      <w:r w:rsidRPr="00B120AE">
        <w:rPr>
          <w:kern w:val="24"/>
          <w:sz w:val="22"/>
          <w:lang w:val="en-CA"/>
        </w:rPr>
        <w:t xml:space="preserve">. Okay, come here, give it to me. </w:t>
      </w:r>
    </w:p>
    <w:p w14:paraId="50852C8B" w14:textId="77777777" w:rsidR="00E524EA" w:rsidRPr="00B120AE" w:rsidRDefault="001C0031" w:rsidP="00E524EA">
      <w:pPr>
        <w:tabs>
          <w:tab w:val="num" w:pos="993"/>
        </w:tabs>
        <w:spacing w:before="120" w:after="120" w:line="240" w:lineRule="auto"/>
        <w:ind w:left="720" w:right="720"/>
        <w:jc w:val="both"/>
        <w:rPr>
          <w:i/>
          <w:iCs/>
          <w:kern w:val="24"/>
          <w:sz w:val="22"/>
          <w:lang w:val="en-CA"/>
        </w:rPr>
      </w:pPr>
      <w:r w:rsidRPr="00B120AE">
        <w:rPr>
          <w:i/>
          <w:iCs/>
          <w:kern w:val="24"/>
          <w:sz w:val="22"/>
          <w:lang w:val="en-CA"/>
        </w:rPr>
        <w:lastRenderedPageBreak/>
        <w:t xml:space="preserve">Lelani takes the joint off Alice. </w:t>
      </w:r>
    </w:p>
    <w:p w14:paraId="50852C8C" w14:textId="77777777" w:rsidR="00E524EA" w:rsidRPr="00B120AE" w:rsidRDefault="001C0031" w:rsidP="00E524EA">
      <w:pPr>
        <w:tabs>
          <w:tab w:val="num" w:pos="993"/>
        </w:tabs>
        <w:spacing w:before="120" w:after="120" w:line="240" w:lineRule="auto"/>
        <w:ind w:left="720" w:right="720"/>
        <w:jc w:val="both"/>
        <w:rPr>
          <w:kern w:val="24"/>
          <w:sz w:val="22"/>
          <w:lang w:val="en-CA"/>
        </w:rPr>
      </w:pPr>
      <w:r w:rsidRPr="00B120AE">
        <w:rPr>
          <w:b/>
          <w:bCs/>
          <w:kern w:val="24"/>
          <w:sz w:val="22"/>
          <w:lang w:val="en-CA"/>
        </w:rPr>
        <w:t>Lelani</w:t>
      </w:r>
      <w:r w:rsidRPr="00B120AE">
        <w:rPr>
          <w:kern w:val="24"/>
          <w:sz w:val="22"/>
          <w:lang w:val="en-CA"/>
        </w:rPr>
        <w:t xml:space="preserve">. Here, let me show you, just, here, cup your hands around your mouth. Like this. </w:t>
      </w:r>
    </w:p>
    <w:p w14:paraId="50852C8D" w14:textId="77777777" w:rsidR="00E524EA" w:rsidRPr="00B120AE" w:rsidRDefault="001C0031" w:rsidP="00E524EA">
      <w:pPr>
        <w:tabs>
          <w:tab w:val="num" w:pos="993"/>
        </w:tabs>
        <w:spacing w:before="120" w:after="120" w:line="240" w:lineRule="auto"/>
        <w:ind w:left="720" w:right="720"/>
        <w:jc w:val="both"/>
        <w:rPr>
          <w:i/>
          <w:iCs/>
          <w:kern w:val="24"/>
          <w:sz w:val="22"/>
          <w:lang w:val="en-CA"/>
        </w:rPr>
      </w:pPr>
      <w:r w:rsidRPr="00B120AE">
        <w:rPr>
          <w:i/>
          <w:iCs/>
          <w:kern w:val="24"/>
          <w:sz w:val="22"/>
          <w:lang w:val="en-CA"/>
        </w:rPr>
        <w:t xml:space="preserve">She demonstrates. Alice copies her. </w:t>
      </w:r>
    </w:p>
    <w:p w14:paraId="50852C8E" w14:textId="77777777" w:rsidR="00E524EA" w:rsidRPr="00B120AE" w:rsidRDefault="001C0031" w:rsidP="00E524EA">
      <w:pPr>
        <w:tabs>
          <w:tab w:val="num" w:pos="993"/>
        </w:tabs>
        <w:spacing w:before="120" w:after="120" w:line="240" w:lineRule="auto"/>
        <w:ind w:left="720" w:right="720"/>
        <w:jc w:val="both"/>
        <w:rPr>
          <w:kern w:val="24"/>
          <w:sz w:val="22"/>
          <w:lang w:val="en-CA"/>
        </w:rPr>
      </w:pPr>
      <w:r w:rsidRPr="00B120AE">
        <w:rPr>
          <w:b/>
          <w:bCs/>
          <w:kern w:val="24"/>
          <w:sz w:val="22"/>
          <w:lang w:val="en-CA"/>
        </w:rPr>
        <w:t>Lelani</w:t>
      </w:r>
      <w:r w:rsidRPr="00B120AE">
        <w:rPr>
          <w:kern w:val="24"/>
          <w:sz w:val="22"/>
          <w:lang w:val="en-CA"/>
        </w:rPr>
        <w:t xml:space="preserve">. Right, Now, all you need to do is just breathe in, OK? </w:t>
      </w:r>
    </w:p>
    <w:p w14:paraId="50852C8F" w14:textId="77777777" w:rsidR="00E524EA" w:rsidRPr="00B120AE" w:rsidRDefault="001C0031" w:rsidP="00E524EA">
      <w:pPr>
        <w:tabs>
          <w:tab w:val="num" w:pos="993"/>
        </w:tabs>
        <w:spacing w:before="120" w:after="120" w:line="240" w:lineRule="auto"/>
        <w:ind w:left="720" w:right="720"/>
        <w:jc w:val="both"/>
        <w:rPr>
          <w:kern w:val="24"/>
          <w:sz w:val="22"/>
          <w:lang w:val="en-CA"/>
        </w:rPr>
      </w:pPr>
      <w:r w:rsidRPr="00B120AE">
        <w:rPr>
          <w:b/>
          <w:bCs/>
          <w:kern w:val="24"/>
          <w:sz w:val="22"/>
          <w:lang w:val="en-CA"/>
        </w:rPr>
        <w:t>Alice</w:t>
      </w:r>
      <w:r w:rsidRPr="00B120AE">
        <w:rPr>
          <w:kern w:val="24"/>
          <w:sz w:val="22"/>
          <w:lang w:val="en-CA"/>
        </w:rPr>
        <w:t xml:space="preserve">. All I need to do when? </w:t>
      </w:r>
    </w:p>
    <w:p w14:paraId="50852C90" w14:textId="5989183D" w:rsidR="00E524EA" w:rsidRPr="00B120AE" w:rsidRDefault="001C0031" w:rsidP="00E524EA">
      <w:pPr>
        <w:tabs>
          <w:tab w:val="num" w:pos="993"/>
        </w:tabs>
        <w:spacing w:before="120" w:after="120" w:line="240" w:lineRule="auto"/>
        <w:ind w:left="720" w:right="720"/>
        <w:jc w:val="both"/>
        <w:rPr>
          <w:kern w:val="24"/>
          <w:sz w:val="22"/>
          <w:lang w:val="en-CA"/>
        </w:rPr>
      </w:pPr>
      <w:r w:rsidRPr="00B120AE">
        <w:rPr>
          <w:i/>
          <w:iCs/>
          <w:kern w:val="24"/>
          <w:sz w:val="22"/>
          <w:lang w:val="en-CA"/>
        </w:rPr>
        <w:t>Lelani takes a long drag of the joint. She cups her hands over Alice</w:t>
      </w:r>
      <w:r w:rsidR="00282C6C">
        <w:rPr>
          <w:i/>
          <w:iCs/>
          <w:kern w:val="24"/>
          <w:sz w:val="22"/>
          <w:lang w:val="en-CA"/>
        </w:rPr>
        <w:t>’</w:t>
      </w:r>
      <w:r w:rsidRPr="00B120AE">
        <w:rPr>
          <w:i/>
          <w:iCs/>
          <w:kern w:val="24"/>
          <w:sz w:val="22"/>
          <w:lang w:val="en-CA"/>
        </w:rPr>
        <w:t>s and puts her face into them. Their mouths very close, she breathes the smoke out for Alice to inhale. Then they part</w:t>
      </w:r>
      <w:r w:rsidRPr="00B120AE">
        <w:rPr>
          <w:kern w:val="24"/>
          <w:sz w:val="22"/>
          <w:lang w:val="en-CA"/>
        </w:rPr>
        <w:t>.</w:t>
      </w:r>
      <w:r w:rsidRPr="00B120AE">
        <w:rPr>
          <w:kern w:val="24"/>
          <w:sz w:val="22"/>
          <w:vertAlign w:val="superscript"/>
          <w:lang w:val="en-CA"/>
        </w:rPr>
        <w:footnoteReference w:id="47"/>
      </w:r>
    </w:p>
    <w:p w14:paraId="50852C91" w14:textId="154EAD96"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play</w:t>
      </w:r>
      <w:r w:rsidR="00282C6C">
        <w:rPr>
          <w:kern w:val="28"/>
          <w:lang w:val="en-CA"/>
        </w:rPr>
        <w:t>’</w:t>
      </w:r>
      <w:r w:rsidRPr="00B120AE">
        <w:rPr>
          <w:kern w:val="28"/>
          <w:lang w:val="en-CA"/>
        </w:rPr>
        <w:t>s director and translator, Édith Patenaude, testified that these scenes are fundamental to the action. They help us understand Alice</w:t>
      </w:r>
      <w:r w:rsidR="00282C6C">
        <w:rPr>
          <w:kern w:val="28"/>
          <w:lang w:val="en-CA"/>
        </w:rPr>
        <w:t>’</w:t>
      </w:r>
      <w:r w:rsidRPr="00B120AE">
        <w:rPr>
          <w:kern w:val="28"/>
          <w:lang w:val="en-CA"/>
        </w:rPr>
        <w:t>s personality, her state of mind and the rest of the story. They show the character</w:t>
      </w:r>
      <w:r w:rsidR="00282C6C">
        <w:rPr>
          <w:kern w:val="28"/>
          <w:lang w:val="en-CA"/>
        </w:rPr>
        <w:t>’</w:t>
      </w:r>
      <w:r w:rsidRPr="00B120AE">
        <w:rPr>
          <w:kern w:val="28"/>
          <w:lang w:val="en-CA"/>
        </w:rPr>
        <w:t>s change and development, as she allows herself a transgression. Through these few scenes, the audience comes to understand her euphoria, her loss of restraint and her emotional discovery. According to Ms.</w:t>
      </w:r>
      <w:r w:rsidR="00A115CB">
        <w:rPr>
          <w:kern w:val="28"/>
          <w:lang w:val="en-CA"/>
        </w:rPr>
        <w:t> </w:t>
      </w:r>
      <w:r w:rsidRPr="00B120AE">
        <w:rPr>
          <w:kern w:val="28"/>
          <w:lang w:val="en-CA"/>
        </w:rPr>
        <w:t>Patenaude, it was impossible to present the play without these scenes, as the work would lose all meaning.</w:t>
      </w:r>
    </w:p>
    <w:p w14:paraId="50852C92" w14:textId="6D70846D"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In fact, after the statement of offence was issued, Ms.</w:t>
      </w:r>
      <w:r w:rsidR="003D169A">
        <w:rPr>
          <w:kern w:val="28"/>
          <w:lang w:val="en-CA"/>
        </w:rPr>
        <w:t> </w:t>
      </w:r>
      <w:r w:rsidRPr="00B120AE">
        <w:rPr>
          <w:kern w:val="28"/>
          <w:lang w:val="en-CA"/>
        </w:rPr>
        <w:t xml:space="preserve">Patenaude and Théâtre de la </w:t>
      </w:r>
      <w:proofErr w:type="spellStart"/>
      <w:r w:rsidRPr="00B120AE">
        <w:rPr>
          <w:kern w:val="28"/>
          <w:lang w:val="en-CA"/>
        </w:rPr>
        <w:t>Bordée</w:t>
      </w:r>
      <w:r w:rsidR="00282C6C">
        <w:rPr>
          <w:kern w:val="28"/>
          <w:lang w:val="en-CA"/>
        </w:rPr>
        <w:t>’</w:t>
      </w:r>
      <w:r w:rsidRPr="00B120AE">
        <w:rPr>
          <w:kern w:val="28"/>
          <w:lang w:val="en-CA"/>
        </w:rPr>
        <w:t>s</w:t>
      </w:r>
      <w:proofErr w:type="spellEnd"/>
      <w:r w:rsidRPr="00B120AE">
        <w:rPr>
          <w:kern w:val="28"/>
          <w:lang w:val="en-CA"/>
        </w:rPr>
        <w:t xml:space="preserve"> artistic director, Michel Nadeau, decided to keep the scenes and let the characters smoke, since it was impossible to perform them credibly without inhaling. Ms.</w:t>
      </w:r>
      <w:r w:rsidR="003D169A">
        <w:rPr>
          <w:kern w:val="28"/>
          <w:lang w:val="en-CA"/>
        </w:rPr>
        <w:t> </w:t>
      </w:r>
      <w:r w:rsidRPr="00B120AE">
        <w:rPr>
          <w:kern w:val="28"/>
          <w:lang w:val="en-CA"/>
        </w:rPr>
        <w:t>Patenaude explained that the restriction imposed by the provisions limits her freedom of expression when creating theatrical works. She stated that she felt artistically constrained, whereas she had previously always considered the theatre stage as a space of freedom.</w:t>
      </w:r>
    </w:p>
    <w:p w14:paraId="50852C93" w14:textId="77777777" w:rsidR="00511D84" w:rsidRPr="00B120AE" w:rsidRDefault="001C0031" w:rsidP="00511D84">
      <w:pPr>
        <w:spacing w:before="120" w:after="120" w:line="240" w:lineRule="auto"/>
        <w:jc w:val="center"/>
        <w:rPr>
          <w:kern w:val="28"/>
          <w:lang w:val="en-CA"/>
        </w:rPr>
      </w:pPr>
      <w:r w:rsidRPr="00B120AE">
        <w:rPr>
          <w:kern w:val="28"/>
          <w:lang w:val="en-CA"/>
        </w:rPr>
        <w:t>* * *</w:t>
      </w:r>
    </w:p>
    <w:p w14:paraId="50852C94" w14:textId="1FECCAA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Once a play has been chosen, the director and </w:t>
      </w:r>
      <w:r w:rsidR="00983A5B">
        <w:rPr>
          <w:kern w:val="28"/>
          <w:lang w:val="en-CA"/>
        </w:rPr>
        <w:t xml:space="preserve">his or her </w:t>
      </w:r>
      <w:r w:rsidRPr="00B120AE">
        <w:rPr>
          <w:kern w:val="28"/>
          <w:lang w:val="en-CA"/>
        </w:rPr>
        <w:t>team make all the artistic and creative choices required to stage it, in collaboration with the theatre</w:t>
      </w:r>
      <w:r w:rsidR="00282C6C">
        <w:rPr>
          <w:kern w:val="28"/>
          <w:lang w:val="en-CA"/>
        </w:rPr>
        <w:t>’</w:t>
      </w:r>
      <w:r w:rsidRPr="00B120AE">
        <w:rPr>
          <w:kern w:val="28"/>
          <w:lang w:val="en-CA"/>
        </w:rPr>
        <w:t>s management. Sometimes, even when a play</w:t>
      </w:r>
      <w:r w:rsidR="00282C6C">
        <w:rPr>
          <w:kern w:val="28"/>
          <w:lang w:val="en-CA"/>
        </w:rPr>
        <w:t>’</w:t>
      </w:r>
      <w:r w:rsidRPr="00B120AE">
        <w:rPr>
          <w:kern w:val="28"/>
          <w:lang w:val="en-CA"/>
        </w:rPr>
        <w:t xml:space="preserve">s author does not specify it, the artistic team in charge of staging chooses to have a character smoke </w:t>
      </w:r>
      <w:proofErr w:type="gramStart"/>
      <w:r w:rsidRPr="00B120AE">
        <w:rPr>
          <w:kern w:val="28"/>
          <w:lang w:val="en-CA"/>
        </w:rPr>
        <w:t>in order to</w:t>
      </w:r>
      <w:proofErr w:type="gramEnd"/>
      <w:r w:rsidRPr="00B120AE">
        <w:rPr>
          <w:kern w:val="28"/>
          <w:lang w:val="en-CA"/>
        </w:rPr>
        <w:t xml:space="preserve"> convey certain information to the audience. For example, in the play </w:t>
      </w:r>
      <w:r w:rsidRPr="00B120AE">
        <w:rPr>
          <w:i/>
          <w:iCs/>
          <w:kern w:val="28"/>
          <w:lang w:val="en-CA"/>
        </w:rPr>
        <w:t xml:space="preserve">Conversations avec </w:t>
      </w:r>
      <w:proofErr w:type="spellStart"/>
      <w:r w:rsidRPr="00B120AE">
        <w:rPr>
          <w:i/>
          <w:iCs/>
          <w:kern w:val="28"/>
          <w:lang w:val="en-CA"/>
        </w:rPr>
        <w:t>mon</w:t>
      </w:r>
      <w:proofErr w:type="spellEnd"/>
      <w:r w:rsidRPr="00B120AE">
        <w:rPr>
          <w:i/>
          <w:iCs/>
          <w:kern w:val="28"/>
          <w:lang w:val="en-CA"/>
        </w:rPr>
        <w:t xml:space="preserve"> </w:t>
      </w:r>
      <w:proofErr w:type="spellStart"/>
      <w:r w:rsidRPr="00B120AE">
        <w:rPr>
          <w:i/>
          <w:iCs/>
          <w:kern w:val="28"/>
          <w:lang w:val="en-CA"/>
        </w:rPr>
        <w:t>pénis</w:t>
      </w:r>
      <w:proofErr w:type="spellEnd"/>
      <w:r w:rsidRPr="00B120AE">
        <w:rPr>
          <w:kern w:val="28"/>
          <w:lang w:val="en-CA"/>
        </w:rPr>
        <w:t>, which depicts the relationship between Tom and his penis, the latter played by an actress dressed in a life</w:t>
      </w:r>
      <w:r w:rsidR="00720901">
        <w:rPr>
          <w:kern w:val="28"/>
          <w:lang w:val="en-CA"/>
        </w:rPr>
        <w:noBreakHyphen/>
      </w:r>
      <w:r w:rsidRPr="00B120AE">
        <w:rPr>
          <w:kern w:val="28"/>
          <w:lang w:val="en-CA"/>
        </w:rPr>
        <w:t>sized realistic costume, the main character blames his penis for his erectile dysfunction. This altercation leads to a tense moment, one in which the play</w:t>
      </w:r>
      <w:r w:rsidR="00282C6C">
        <w:rPr>
          <w:kern w:val="28"/>
          <w:lang w:val="en-CA"/>
        </w:rPr>
        <w:t>’</w:t>
      </w:r>
      <w:r w:rsidRPr="00B120AE">
        <w:rPr>
          <w:kern w:val="28"/>
          <w:lang w:val="en-CA"/>
        </w:rPr>
        <w:t>s translator, Marc</w:t>
      </w:r>
      <w:r w:rsidR="00720901">
        <w:rPr>
          <w:kern w:val="28"/>
          <w:lang w:val="en-CA"/>
        </w:rPr>
        <w:noBreakHyphen/>
      </w:r>
      <w:r w:rsidRPr="00B120AE">
        <w:rPr>
          <w:kern w:val="28"/>
          <w:lang w:val="en-CA"/>
        </w:rPr>
        <w:t>André Thibault, who is also its lead actor, and director David Strasbourg, decided that Tom should light a cigarette and briefly smoke it. Through this decision, they wanted to communicate to the audience the character</w:t>
      </w:r>
      <w:r w:rsidR="00282C6C">
        <w:rPr>
          <w:kern w:val="28"/>
          <w:lang w:val="en-CA"/>
        </w:rPr>
        <w:t>’</w:t>
      </w:r>
      <w:r w:rsidRPr="00B120AE">
        <w:rPr>
          <w:kern w:val="28"/>
          <w:lang w:val="en-CA"/>
        </w:rPr>
        <w:t xml:space="preserve">s existential crisis, anxiety and </w:t>
      </w:r>
      <w:r w:rsidRPr="00B120AE">
        <w:rPr>
          <w:kern w:val="28"/>
          <w:lang w:val="en-CA"/>
        </w:rPr>
        <w:lastRenderedPageBreak/>
        <w:t xml:space="preserve">decline. Moreover, this gesture ties </w:t>
      </w:r>
      <w:proofErr w:type="gramStart"/>
      <w:r w:rsidRPr="00B120AE">
        <w:rPr>
          <w:kern w:val="28"/>
          <w:lang w:val="en-CA"/>
        </w:rPr>
        <w:t>in to</w:t>
      </w:r>
      <w:proofErr w:type="gramEnd"/>
      <w:r w:rsidRPr="00B120AE">
        <w:rPr>
          <w:kern w:val="28"/>
          <w:lang w:val="en-CA"/>
        </w:rPr>
        <w:t xml:space="preserve"> the rest of the story, as the character ultimately develops testicular cancer. </w:t>
      </w:r>
    </w:p>
    <w:p w14:paraId="50852C95" w14:textId="54AD2AD6"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After receiving the statement of offence related to this play, Théâtre Premier </w:t>
      </w:r>
      <w:proofErr w:type="spellStart"/>
      <w:r w:rsidRPr="00B120AE">
        <w:rPr>
          <w:kern w:val="28"/>
          <w:lang w:val="en-CA"/>
        </w:rPr>
        <w:t>Acte</w:t>
      </w:r>
      <w:r w:rsidR="00282C6C">
        <w:rPr>
          <w:kern w:val="28"/>
          <w:lang w:val="en-CA"/>
        </w:rPr>
        <w:t>’</w:t>
      </w:r>
      <w:r w:rsidRPr="00B120AE">
        <w:rPr>
          <w:kern w:val="28"/>
          <w:lang w:val="en-CA"/>
        </w:rPr>
        <w:t>s</w:t>
      </w:r>
      <w:proofErr w:type="spellEnd"/>
      <w:r w:rsidRPr="00B120AE">
        <w:rPr>
          <w:kern w:val="28"/>
          <w:lang w:val="en-CA"/>
        </w:rPr>
        <w:t xml:space="preserve"> artistic director, Marc Gourdeau, asked that cigarettes no longer be smoked during the play. The artistic team tried to change the scene so that the character takes a cigarette without lighting it, which did not credibly convey the information they sought to communicate. Reluctantly, they took the cigarette out of the scene in theatres that did not want to take a risk in that regard, but they felt censored.</w:t>
      </w:r>
    </w:p>
    <w:p w14:paraId="50852C96" w14:textId="762D316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Every staging establishes a proposition that aims to engage the audience. Team members use the best processes available to achieve the desired realism. While they evidently observe rules of safety and common sense, they nevertheless employ various techniques to create perfect illusions. If the play includes a battle, hours are spent choreographing the scene with precision and attention to detail. Similarly, when characters consume alcohol, cocaine or even heroin, these substances are carefully replaced with products that are similar in every respect. The actors observe real</w:t>
      </w:r>
      <w:r w:rsidR="00720901">
        <w:rPr>
          <w:kern w:val="28"/>
          <w:lang w:val="en-CA"/>
        </w:rPr>
        <w:noBreakHyphen/>
      </w:r>
      <w:r w:rsidRPr="00B120AE">
        <w:rPr>
          <w:kern w:val="28"/>
          <w:lang w:val="en-CA"/>
        </w:rPr>
        <w:t xml:space="preserve">life gestures </w:t>
      </w:r>
      <w:proofErr w:type="gramStart"/>
      <w:r w:rsidRPr="00B120AE">
        <w:rPr>
          <w:kern w:val="28"/>
          <w:lang w:val="en-CA"/>
        </w:rPr>
        <w:t>in order to</w:t>
      </w:r>
      <w:proofErr w:type="gramEnd"/>
      <w:r w:rsidRPr="00B120AE">
        <w:rPr>
          <w:kern w:val="28"/>
          <w:lang w:val="en-CA"/>
        </w:rPr>
        <w:t xml:space="preserve"> adjust their performances</w:t>
      </w:r>
      <w:r w:rsidR="00976B3E">
        <w:rPr>
          <w:kern w:val="28"/>
          <w:lang w:val="en-CA"/>
        </w:rPr>
        <w:t>,</w:t>
      </w:r>
      <w:r w:rsidRPr="00B120AE">
        <w:rPr>
          <w:kern w:val="28"/>
          <w:lang w:val="en-CA"/>
        </w:rPr>
        <w:t xml:space="preserve"> and they rehearse countless times so as to ensure credibility and avoid a loss of focus, both on their part and on the part of the audience. </w:t>
      </w:r>
      <w:proofErr w:type="gramStart"/>
      <w:r w:rsidRPr="00B120AE">
        <w:rPr>
          <w:kern w:val="28"/>
          <w:lang w:val="en-CA"/>
        </w:rPr>
        <w:t>All of</w:t>
      </w:r>
      <w:proofErr w:type="gramEnd"/>
      <w:r w:rsidRPr="00B120AE">
        <w:rPr>
          <w:kern w:val="28"/>
          <w:lang w:val="en-CA"/>
        </w:rPr>
        <w:t xml:space="preserve"> these steps help to keep the public engaged, despite the pretence. </w:t>
      </w:r>
    </w:p>
    <w:p w14:paraId="50852C97" w14:textId="008ACC9F"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act of smoking poses a problem. </w:t>
      </w:r>
      <w:proofErr w:type="gramStart"/>
      <w:r w:rsidRPr="00B120AE">
        <w:rPr>
          <w:kern w:val="28"/>
          <w:lang w:val="en-CA"/>
        </w:rPr>
        <w:t xml:space="preserve">All </w:t>
      </w:r>
      <w:r w:rsidR="004546F6">
        <w:rPr>
          <w:kern w:val="28"/>
          <w:lang w:val="en-CA"/>
        </w:rPr>
        <w:t>of</w:t>
      </w:r>
      <w:proofErr w:type="gramEnd"/>
      <w:r w:rsidR="004546F6">
        <w:rPr>
          <w:kern w:val="28"/>
          <w:lang w:val="en-CA"/>
        </w:rPr>
        <w:t xml:space="preserve"> </w:t>
      </w:r>
      <w:r w:rsidRPr="00B120AE">
        <w:rPr>
          <w:kern w:val="28"/>
          <w:lang w:val="en-CA"/>
        </w:rPr>
        <w:t>the theatre</w:t>
      </w:r>
      <w:r w:rsidR="00282C6C">
        <w:rPr>
          <w:kern w:val="28"/>
          <w:lang w:val="en-CA"/>
        </w:rPr>
        <w:t>’</w:t>
      </w:r>
      <w:r w:rsidRPr="00B120AE">
        <w:rPr>
          <w:kern w:val="28"/>
          <w:lang w:val="en-CA"/>
        </w:rPr>
        <w:t xml:space="preserve">s representatives stated that, despite all the research, thought and testing, no one has succeeded in finding a way to give the illusion of smoking other than by using herbal cigarettes. </w:t>
      </w:r>
    </w:p>
    <w:p w14:paraId="50852C98" w14:textId="57BBBD73"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Prop cigarettes cannot be lit, they do not glow when brought to one</w:t>
      </w:r>
      <w:r w:rsidR="00282C6C">
        <w:rPr>
          <w:kern w:val="28"/>
          <w:lang w:val="en-CA"/>
        </w:rPr>
        <w:t>’</w:t>
      </w:r>
      <w:r w:rsidRPr="00B120AE">
        <w:rPr>
          <w:kern w:val="28"/>
          <w:lang w:val="en-CA"/>
        </w:rPr>
        <w:t xml:space="preserve">s mouth, they do not burn down, and they do not produce ash nor do they produce smoke that can be inhaled and then exhaled in wisps, and they do not emit smoke from the tip of a lit cigarette. They have no odour, produce none of the sounds characteristic of the act of smoking, and cannot be stubbed out like real cigarettes. All in all, the witnesses explained that the illusion fails because the ruse is likely to be easily uncovered and the carefully constructed code </w:t>
      </w:r>
      <w:r w:rsidR="00925AF1">
        <w:rPr>
          <w:kern w:val="28"/>
          <w:lang w:val="en-CA"/>
        </w:rPr>
        <w:t>broken</w:t>
      </w:r>
      <w:r w:rsidRPr="00B120AE">
        <w:rPr>
          <w:kern w:val="28"/>
          <w:lang w:val="en-CA"/>
        </w:rPr>
        <w:t>. In such circumstances, the audience may lose its focus, and the actors may struggle to stay in character. In short, the entire work suffers.</w:t>
      </w:r>
      <w:r w:rsidRPr="00B120AE">
        <w:rPr>
          <w:kern w:val="28"/>
          <w:vertAlign w:val="superscript"/>
          <w:lang w:val="en-CA"/>
        </w:rPr>
        <w:footnoteReference w:id="48"/>
      </w:r>
      <w:r w:rsidRPr="00B120AE">
        <w:rPr>
          <w:kern w:val="28"/>
          <w:lang w:val="en-CA"/>
        </w:rPr>
        <w:t xml:space="preserve"> David Strasbourg, the director of the play </w:t>
      </w:r>
      <w:r w:rsidRPr="00B120AE">
        <w:rPr>
          <w:i/>
          <w:iCs/>
          <w:kern w:val="28"/>
          <w:lang w:val="en-CA"/>
        </w:rPr>
        <w:t xml:space="preserve">Conversations avec </w:t>
      </w:r>
      <w:proofErr w:type="spellStart"/>
      <w:r w:rsidRPr="00B120AE">
        <w:rPr>
          <w:i/>
          <w:iCs/>
          <w:kern w:val="28"/>
          <w:lang w:val="en-CA"/>
        </w:rPr>
        <w:t>mon</w:t>
      </w:r>
      <w:proofErr w:type="spellEnd"/>
      <w:r w:rsidRPr="00B120AE">
        <w:rPr>
          <w:i/>
          <w:iCs/>
          <w:kern w:val="28"/>
          <w:lang w:val="en-CA"/>
        </w:rPr>
        <w:t xml:space="preserve"> </w:t>
      </w:r>
      <w:proofErr w:type="spellStart"/>
      <w:r w:rsidRPr="00B120AE">
        <w:rPr>
          <w:i/>
          <w:iCs/>
          <w:kern w:val="28"/>
          <w:lang w:val="en-CA"/>
        </w:rPr>
        <w:t>pénis</w:t>
      </w:r>
      <w:proofErr w:type="spellEnd"/>
      <w:r w:rsidRPr="00B120AE">
        <w:rPr>
          <w:kern w:val="28"/>
          <w:lang w:val="en-CA"/>
        </w:rPr>
        <w:t xml:space="preserve">, who is also an actor, explained that he has never used prop cigarettes because </w:t>
      </w:r>
      <w:r w:rsidR="0078033F" w:rsidRPr="0078033F">
        <w:rPr>
          <w:smallCaps/>
          <w:kern w:val="28"/>
          <w:lang w:val="en-CA"/>
        </w:rPr>
        <w:t>[translation] </w:t>
      </w:r>
      <w:r w:rsidR="00282C6C">
        <w:rPr>
          <w:kern w:val="28"/>
          <w:lang w:val="en-CA"/>
        </w:rPr>
        <w:t>“</w:t>
      </w:r>
      <w:r w:rsidRPr="00B120AE">
        <w:rPr>
          <w:kern w:val="28"/>
          <w:lang w:val="en-CA"/>
        </w:rPr>
        <w:t>it</w:t>
      </w:r>
      <w:r w:rsidR="00282C6C">
        <w:rPr>
          <w:kern w:val="28"/>
          <w:lang w:val="en-CA"/>
        </w:rPr>
        <w:t>’</w:t>
      </w:r>
      <w:r w:rsidRPr="00B120AE">
        <w:rPr>
          <w:kern w:val="28"/>
          <w:lang w:val="en-CA"/>
        </w:rPr>
        <w:t xml:space="preserve">s obvious that </w:t>
      </w:r>
      <w:r w:rsidR="009C1982">
        <w:rPr>
          <w:kern w:val="28"/>
          <w:lang w:val="en-CA"/>
        </w:rPr>
        <w:t xml:space="preserve">they’re </w:t>
      </w:r>
      <w:r w:rsidRPr="00B120AE">
        <w:rPr>
          <w:kern w:val="28"/>
          <w:lang w:val="en-CA"/>
        </w:rPr>
        <w:t>not real […] it would be like having a character drink beer from a baby bottle</w:t>
      </w:r>
      <w:r w:rsidR="0095695C">
        <w:rPr>
          <w:kern w:val="28"/>
          <w:lang w:val="en-CA"/>
        </w:rPr>
        <w:t> </w:t>
      </w:r>
      <w:r w:rsidRPr="00B120AE">
        <w:rPr>
          <w:kern w:val="28"/>
          <w:lang w:val="en-CA"/>
        </w:rPr>
        <w:t>[...]</w:t>
      </w:r>
      <w:r w:rsidR="00282C6C">
        <w:rPr>
          <w:kern w:val="28"/>
          <w:lang w:val="en-CA"/>
        </w:rPr>
        <w:t>”</w:t>
      </w:r>
      <w:r w:rsidR="00700582">
        <w:rPr>
          <w:kern w:val="28"/>
          <w:lang w:val="en-CA"/>
        </w:rPr>
        <w:t>.</w:t>
      </w:r>
      <w:r w:rsidRPr="00B120AE">
        <w:rPr>
          <w:kern w:val="28"/>
          <w:vertAlign w:val="superscript"/>
          <w:lang w:val="en-CA"/>
        </w:rPr>
        <w:footnoteReference w:id="49"/>
      </w:r>
      <w:r w:rsidRPr="00B120AE">
        <w:rPr>
          <w:kern w:val="28"/>
          <w:lang w:val="en-CA"/>
        </w:rPr>
        <w:t xml:space="preserve"> The same applies to the choice of having characters hold real cigarettes, without lighting </w:t>
      </w:r>
      <w:r w:rsidRPr="00B120AE">
        <w:rPr>
          <w:kern w:val="28"/>
          <w:lang w:val="en-CA"/>
        </w:rPr>
        <w:lastRenderedPageBreak/>
        <w:t>them. It is generally implausible and inexplicable for a smoker to hold a cigarette without smoking it.</w:t>
      </w:r>
    </w:p>
    <w:p w14:paraId="50852C99" w14:textId="160C9E83"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According to the director of the play </w:t>
      </w:r>
      <w:r w:rsidRPr="00B120AE">
        <w:rPr>
          <w:i/>
          <w:iCs/>
          <w:kern w:val="28"/>
          <w:lang w:val="en-CA"/>
        </w:rPr>
        <w:t xml:space="preserve">Le </w:t>
      </w:r>
      <w:proofErr w:type="spellStart"/>
      <w:r w:rsidRPr="00B120AE">
        <w:rPr>
          <w:i/>
          <w:iCs/>
          <w:kern w:val="28"/>
          <w:lang w:val="en-CA"/>
        </w:rPr>
        <w:t>cas</w:t>
      </w:r>
      <w:proofErr w:type="spellEnd"/>
      <w:r w:rsidRPr="00B120AE">
        <w:rPr>
          <w:i/>
          <w:iCs/>
          <w:kern w:val="28"/>
          <w:lang w:val="en-CA"/>
        </w:rPr>
        <w:t xml:space="preserve"> </w:t>
      </w:r>
      <w:proofErr w:type="spellStart"/>
      <w:r w:rsidRPr="00B120AE">
        <w:rPr>
          <w:i/>
          <w:iCs/>
          <w:kern w:val="28"/>
          <w:lang w:val="en-CA"/>
        </w:rPr>
        <w:t>Joé</w:t>
      </w:r>
      <w:proofErr w:type="spellEnd"/>
      <w:r w:rsidRPr="00B120AE">
        <w:rPr>
          <w:i/>
          <w:iCs/>
          <w:kern w:val="28"/>
          <w:lang w:val="en-CA"/>
        </w:rPr>
        <w:t xml:space="preserve"> Ferguson</w:t>
      </w:r>
      <w:r w:rsidRPr="00B120AE">
        <w:rPr>
          <w:kern w:val="28"/>
          <w:lang w:val="en-CA"/>
        </w:rPr>
        <w:t>, Jean</w:t>
      </w:r>
      <w:r w:rsidR="00720901">
        <w:rPr>
          <w:kern w:val="28"/>
          <w:lang w:val="en-CA"/>
        </w:rPr>
        <w:noBreakHyphen/>
      </w:r>
      <w:r w:rsidRPr="00B120AE">
        <w:rPr>
          <w:kern w:val="28"/>
          <w:lang w:val="en-CA"/>
        </w:rPr>
        <w:t xml:space="preserve">Sébastien Ouellette, who is also an actor, it is more difficult to credibly portray ordinary everyday gestures with which everyone is familiar, without </w:t>
      </w:r>
      <w:proofErr w:type="gramStart"/>
      <w:r w:rsidRPr="00B120AE">
        <w:rPr>
          <w:kern w:val="28"/>
          <w:lang w:val="en-CA"/>
        </w:rPr>
        <w:t>actually performing</w:t>
      </w:r>
      <w:proofErr w:type="gramEnd"/>
      <w:r w:rsidRPr="00B120AE">
        <w:rPr>
          <w:kern w:val="28"/>
          <w:lang w:val="en-CA"/>
        </w:rPr>
        <w:t xml:space="preserve"> them. Thus, with respect to actions that audiences rarely witness, such as a battle, a death or a murder, it is easier to portray them without the pretence being jarring to the audience. However, it is difficult to pretend to eat, drink, kiss or smoke in a credible way. To be believed, these gestures must </w:t>
      </w:r>
      <w:proofErr w:type="gramStart"/>
      <w:r w:rsidRPr="00B120AE">
        <w:rPr>
          <w:kern w:val="28"/>
          <w:lang w:val="en-CA"/>
        </w:rPr>
        <w:t>actually be</w:t>
      </w:r>
      <w:proofErr w:type="gramEnd"/>
      <w:r w:rsidRPr="00B120AE">
        <w:rPr>
          <w:kern w:val="28"/>
          <w:lang w:val="en-CA"/>
        </w:rPr>
        <w:t xml:space="preserve"> carried out. On this subject, Édith Patenaude, the director and translator of the play </w:t>
      </w:r>
      <w:r w:rsidRPr="00B120AE">
        <w:rPr>
          <w:i/>
          <w:iCs/>
          <w:kern w:val="28"/>
          <w:lang w:val="en-CA"/>
        </w:rPr>
        <w:t>Rotterdam</w:t>
      </w:r>
      <w:r w:rsidRPr="00B120AE">
        <w:rPr>
          <w:kern w:val="28"/>
          <w:lang w:val="en-CA"/>
        </w:rPr>
        <w:t xml:space="preserve">, emphasized that </w:t>
      </w:r>
      <w:r w:rsidR="0078033F" w:rsidRPr="0078033F">
        <w:rPr>
          <w:smallCaps/>
          <w:kern w:val="28"/>
          <w:lang w:val="en-CA"/>
        </w:rPr>
        <w:t>[translation] </w:t>
      </w:r>
      <w:r w:rsidR="00282C6C">
        <w:rPr>
          <w:kern w:val="28"/>
          <w:lang w:val="en-CA"/>
        </w:rPr>
        <w:t>“</w:t>
      </w:r>
      <w:r w:rsidRPr="00B120AE">
        <w:rPr>
          <w:kern w:val="28"/>
          <w:lang w:val="en-CA"/>
        </w:rPr>
        <w:t>mime in the theatre is the best way to make the audience tune out</w:t>
      </w:r>
      <w:r w:rsidR="00282C6C">
        <w:rPr>
          <w:kern w:val="28"/>
          <w:lang w:val="en-CA"/>
        </w:rPr>
        <w:t>”</w:t>
      </w:r>
      <w:r w:rsidRPr="00B120AE">
        <w:rPr>
          <w:kern w:val="28"/>
          <w:lang w:val="en-CA"/>
        </w:rPr>
        <w:t>.</w:t>
      </w:r>
      <w:r w:rsidRPr="00B120AE">
        <w:rPr>
          <w:kern w:val="28"/>
          <w:vertAlign w:val="superscript"/>
          <w:lang w:val="en-CA"/>
        </w:rPr>
        <w:footnoteReference w:id="50"/>
      </w:r>
      <w:r w:rsidRPr="00B120AE">
        <w:rPr>
          <w:kern w:val="28"/>
          <w:lang w:val="en-CA"/>
        </w:rPr>
        <w:t xml:space="preserve"> </w:t>
      </w:r>
    </w:p>
    <w:p w14:paraId="50852C9A" w14:textId="3E049DF1"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Mr.</w:t>
      </w:r>
      <w:r w:rsidR="00BB6E87">
        <w:rPr>
          <w:kern w:val="28"/>
          <w:lang w:val="en-CA"/>
        </w:rPr>
        <w:t> </w:t>
      </w:r>
      <w:r w:rsidRPr="00B120AE">
        <w:rPr>
          <w:kern w:val="28"/>
          <w:lang w:val="en-CA"/>
        </w:rPr>
        <w:t xml:space="preserve">Gourdeau, the general and artistic director of Théâtre Premier </w:t>
      </w:r>
      <w:proofErr w:type="spellStart"/>
      <w:r w:rsidRPr="00B120AE">
        <w:rPr>
          <w:kern w:val="28"/>
          <w:lang w:val="en-CA"/>
        </w:rPr>
        <w:t>Acte</w:t>
      </w:r>
      <w:proofErr w:type="spellEnd"/>
      <w:r w:rsidRPr="00B120AE">
        <w:rPr>
          <w:kern w:val="28"/>
          <w:lang w:val="en-CA"/>
        </w:rPr>
        <w:t xml:space="preserve">, explained that the ban prevents him from presenting certain plays where smoking is indispensable. For example, he would refuse to again present the play </w:t>
      </w:r>
      <w:r w:rsidRPr="00B120AE">
        <w:rPr>
          <w:i/>
          <w:iCs/>
          <w:kern w:val="28"/>
          <w:lang w:val="en-CA"/>
        </w:rPr>
        <w:t>Madame G</w:t>
      </w:r>
      <w:r w:rsidRPr="00B120AE">
        <w:rPr>
          <w:kern w:val="28"/>
          <w:lang w:val="en-CA"/>
        </w:rPr>
        <w:t>, which is about a brothel keeper who is well known in the region — and who smoked as much as René Lévesque. Several witnesses testified in the same vein, underscoring the impossibility of presenting certain plays because of the ban.</w:t>
      </w:r>
    </w:p>
    <w:p w14:paraId="50852C9B" w14:textId="7549A7D0"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bookmarkStart w:id="33" w:name="_Ref223778419"/>
      <w:r w:rsidRPr="00B120AE">
        <w:rPr>
          <w:kern w:val="28"/>
          <w:lang w:val="en-CA"/>
        </w:rPr>
        <w:t>In short, the decision to have an actor smoke on stage clearly conveys a message and qualifies as expressive content. It is a gesture that cannot be credibly imitated on stage, without losing the audience</w:t>
      </w:r>
      <w:r w:rsidR="00282C6C">
        <w:rPr>
          <w:kern w:val="28"/>
          <w:lang w:val="en-CA"/>
        </w:rPr>
        <w:t>’</w:t>
      </w:r>
      <w:r w:rsidRPr="00B120AE">
        <w:rPr>
          <w:kern w:val="28"/>
          <w:lang w:val="en-CA"/>
        </w:rPr>
        <w:t>s engagement. Consequently, the ban on smoking on stage interferes with artistic expression in terms of creative choices, since it can lead to the decision to forgo a production when the creators consider the act of smoking to be indispensable, or it can lead to the decision to cut out scenes or expressive gestures from the work, thus encroaching on the expression of the artists involved.</w:t>
      </w:r>
      <w:bookmarkEnd w:id="33"/>
      <w:r w:rsidR="00287AE9">
        <w:rPr>
          <w:kern w:val="28"/>
          <w:lang w:val="en-CA"/>
        </w:rPr>
        <w:t xml:space="preserve"> </w:t>
      </w:r>
    </w:p>
    <w:p w14:paraId="50852C9C" w14:textId="198C9E0D"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This is a major infringement, as artistic expression lies at the very heart of the values being protected. These provisions have the effect of interfering in the creative process of the performing arts and restricting one of its modes of expression. Theatre occupies a </w:t>
      </w:r>
      <w:r w:rsidR="0060540F">
        <w:rPr>
          <w:kern w:val="28"/>
          <w:lang w:val="en-CA"/>
        </w:rPr>
        <w:t xml:space="preserve">central </w:t>
      </w:r>
      <w:r w:rsidRPr="00B120AE">
        <w:rPr>
          <w:kern w:val="28"/>
          <w:lang w:val="en-CA"/>
        </w:rPr>
        <w:t>place in society, as it contributes to the following, in particular: (1)</w:t>
      </w:r>
      <w:r w:rsidR="00651E8F">
        <w:rPr>
          <w:kern w:val="28"/>
          <w:lang w:val="en-CA"/>
        </w:rPr>
        <w:t> </w:t>
      </w:r>
      <w:r w:rsidRPr="00B120AE">
        <w:rPr>
          <w:kern w:val="28"/>
          <w:lang w:val="en-CA"/>
        </w:rPr>
        <w:t>the search for truth through the most accurate possible representation of history; (2)</w:t>
      </w:r>
      <w:r w:rsidR="00651E8F">
        <w:rPr>
          <w:kern w:val="28"/>
          <w:lang w:val="en-CA"/>
        </w:rPr>
        <w:t> </w:t>
      </w:r>
      <w:r w:rsidRPr="00B120AE">
        <w:rPr>
          <w:kern w:val="28"/>
          <w:lang w:val="en-CA"/>
        </w:rPr>
        <w:t>individual self‑fulfilment through cultural education; and (3)</w:t>
      </w:r>
      <w:r w:rsidR="00651E8F">
        <w:rPr>
          <w:kern w:val="28"/>
          <w:lang w:val="en-CA"/>
        </w:rPr>
        <w:t> </w:t>
      </w:r>
      <w:r w:rsidRPr="00B120AE">
        <w:rPr>
          <w:kern w:val="28"/>
          <w:lang w:val="en-CA"/>
        </w:rPr>
        <w:t xml:space="preserve">the enrichment of society, notably </w:t>
      </w:r>
      <w:r w:rsidR="00651E8F">
        <w:rPr>
          <w:kern w:val="28"/>
          <w:lang w:val="en-CA"/>
        </w:rPr>
        <w:t xml:space="preserve">by </w:t>
      </w:r>
      <w:r w:rsidRPr="00B120AE">
        <w:rPr>
          <w:kern w:val="28"/>
          <w:lang w:val="en-CA"/>
        </w:rPr>
        <w:t>questioning or challenging established social norms.</w:t>
      </w:r>
      <w:r w:rsidRPr="00B120AE">
        <w:rPr>
          <w:kern w:val="28"/>
          <w:vertAlign w:val="superscript"/>
          <w:lang w:val="en-CA"/>
        </w:rPr>
        <w:footnoteReference w:id="51"/>
      </w:r>
      <w:r w:rsidRPr="00B120AE">
        <w:rPr>
          <w:kern w:val="28"/>
          <w:lang w:val="en-CA"/>
        </w:rPr>
        <w:t xml:space="preserve"> The choice of having characters smoke contributes to these important objectives, and the infringement of freedom of expression should not be underestimated.</w:t>
      </w:r>
    </w:p>
    <w:p w14:paraId="50852C9D" w14:textId="5B7A359D"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 xml:space="preserve">I therefore now turn to an analysis of the justification for the infringement of freedom of expression. Although the presiding justice of the peace had not addressed this aspect, the parties persuaded the Superior Court judge to consider it, given his </w:t>
      </w:r>
      <w:r w:rsidR="0050400C">
        <w:rPr>
          <w:kern w:val="28"/>
          <w:lang w:val="en-CA"/>
        </w:rPr>
        <w:t xml:space="preserve">finding of </w:t>
      </w:r>
      <w:r w:rsidRPr="00B120AE">
        <w:rPr>
          <w:kern w:val="28"/>
          <w:lang w:val="en-CA"/>
        </w:rPr>
        <w:t>infringement. Under the circumstances, it is appropriate to rule on the appellant</w:t>
      </w:r>
      <w:r w:rsidR="00282C6C">
        <w:rPr>
          <w:kern w:val="28"/>
          <w:lang w:val="en-CA"/>
        </w:rPr>
        <w:t>’</w:t>
      </w:r>
      <w:r w:rsidRPr="00B120AE">
        <w:rPr>
          <w:kern w:val="28"/>
          <w:lang w:val="en-CA"/>
        </w:rPr>
        <w:t>s arguments on this aspect.</w:t>
      </w:r>
      <w:r w:rsidRPr="00B120AE">
        <w:rPr>
          <w:bCs/>
          <w:kern w:val="28"/>
          <w:vertAlign w:val="superscript"/>
          <w:lang w:val="en-CA"/>
        </w:rPr>
        <w:footnoteReference w:id="52"/>
      </w:r>
      <w:r w:rsidRPr="00B120AE">
        <w:rPr>
          <w:kern w:val="28"/>
          <w:lang w:val="en-CA"/>
        </w:rPr>
        <w:t xml:space="preserve"> </w:t>
      </w:r>
    </w:p>
    <w:p w14:paraId="50852C9E" w14:textId="77777777" w:rsidR="00E524EA" w:rsidRPr="00B120AE" w:rsidRDefault="001C0031" w:rsidP="00E524EA">
      <w:pPr>
        <w:keepNext/>
        <w:spacing w:before="120" w:after="120" w:line="240" w:lineRule="auto"/>
        <w:outlineLvl w:val="1"/>
        <w:rPr>
          <w:b/>
          <w:i/>
          <w:lang w:val="en-CA"/>
        </w:rPr>
      </w:pPr>
      <w:r w:rsidRPr="00B120AE">
        <w:rPr>
          <w:b/>
          <w:bCs/>
          <w:i/>
          <w:iCs/>
          <w:lang w:val="en-CA"/>
        </w:rPr>
        <w:t>II. Justification for the infringement</w:t>
      </w:r>
      <w:r w:rsidRPr="00B120AE">
        <w:rPr>
          <w:lang w:val="en-CA"/>
        </w:rPr>
        <w:t xml:space="preserve"> </w:t>
      </w:r>
    </w:p>
    <w:p w14:paraId="50852C9F" w14:textId="41E60B29"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AGQ argues that the judge erred in concluding that the infringement is not justified in a free and democratic society. In his view, the judge erred: (a)</w:t>
      </w:r>
      <w:r w:rsidR="003B7CF9">
        <w:rPr>
          <w:kern w:val="28"/>
          <w:lang w:val="en-CA"/>
        </w:rPr>
        <w:t> </w:t>
      </w:r>
      <w:r w:rsidRPr="00B120AE">
        <w:rPr>
          <w:kern w:val="28"/>
          <w:lang w:val="en-CA"/>
        </w:rPr>
        <w:t>through an overly broad definition of the legislative and regulatory objectives; (b)</w:t>
      </w:r>
      <w:r w:rsidR="003B7CF9">
        <w:rPr>
          <w:kern w:val="28"/>
          <w:lang w:val="en-CA"/>
        </w:rPr>
        <w:t> </w:t>
      </w:r>
      <w:r w:rsidRPr="00B120AE">
        <w:rPr>
          <w:kern w:val="28"/>
          <w:lang w:val="en-CA"/>
        </w:rPr>
        <w:t>through an overly restrictive analysis of minimal impairment; and (c)</w:t>
      </w:r>
      <w:r w:rsidR="003B7CF9">
        <w:rPr>
          <w:kern w:val="28"/>
          <w:lang w:val="en-CA"/>
        </w:rPr>
        <w:t> </w:t>
      </w:r>
      <w:r w:rsidRPr="00B120AE">
        <w:rPr>
          <w:kern w:val="28"/>
          <w:lang w:val="en-CA"/>
        </w:rPr>
        <w:t>through an incomplete analysis of the deleterious effects of the infringement and the</w:t>
      </w:r>
      <w:r w:rsidR="006A7990">
        <w:rPr>
          <w:kern w:val="28"/>
          <w:lang w:val="en-CA"/>
        </w:rPr>
        <w:t xml:space="preserve"> </w:t>
      </w:r>
      <w:r w:rsidRPr="00B120AE">
        <w:rPr>
          <w:kern w:val="28"/>
          <w:lang w:val="en-CA"/>
        </w:rPr>
        <w:t>benefits.</w:t>
      </w:r>
    </w:p>
    <w:p w14:paraId="50852CA0" w14:textId="732D7E5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Like the judgment under appeal, I conclude that the infringement is not justified. I will begin with a brief overview of the principles that apply when determining whether the infringement of a right protected by the charters is justified and then turn to the AGQ</w:t>
      </w:r>
      <w:r w:rsidR="00282C6C">
        <w:rPr>
          <w:kern w:val="28"/>
          <w:lang w:val="en-CA"/>
        </w:rPr>
        <w:t>’</w:t>
      </w:r>
      <w:r w:rsidRPr="00B120AE">
        <w:rPr>
          <w:kern w:val="28"/>
          <w:lang w:val="en-CA"/>
        </w:rPr>
        <w:t>s arguments.</w:t>
      </w:r>
    </w:p>
    <w:p w14:paraId="50852CA1" w14:textId="77777777" w:rsidR="00E524EA" w:rsidRPr="005E00FA" w:rsidRDefault="001C0031" w:rsidP="00E524EA">
      <w:pPr>
        <w:keepNext/>
        <w:numPr>
          <w:ilvl w:val="0"/>
          <w:numId w:val="22"/>
        </w:numPr>
        <w:tabs>
          <w:tab w:val="num" w:pos="993"/>
        </w:tabs>
        <w:spacing w:before="120" w:after="120" w:line="240" w:lineRule="auto"/>
        <w:outlineLvl w:val="2"/>
        <w:rPr>
          <w:b/>
          <w:bCs/>
          <w:lang w:val="en-CA"/>
        </w:rPr>
      </w:pPr>
      <w:r w:rsidRPr="005E00FA">
        <w:rPr>
          <w:b/>
          <w:bCs/>
          <w:lang w:val="en-CA"/>
        </w:rPr>
        <w:t>Applicable principles</w:t>
      </w:r>
    </w:p>
    <w:p w14:paraId="50852CA2" w14:textId="3832C995"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Section 1 of the </w:t>
      </w:r>
      <w:r w:rsidRPr="00B120AE">
        <w:rPr>
          <w:i/>
          <w:iCs/>
          <w:kern w:val="28"/>
          <w:lang w:val="en-CA"/>
        </w:rPr>
        <w:t>Canadian Charter</w:t>
      </w:r>
      <w:r w:rsidRPr="00B120AE">
        <w:rPr>
          <w:kern w:val="28"/>
          <w:lang w:val="en-CA"/>
        </w:rPr>
        <w:t xml:space="preserve"> and </w:t>
      </w:r>
      <w:r w:rsidR="008742D0">
        <w:rPr>
          <w:kern w:val="28"/>
          <w:lang w:val="en-CA"/>
        </w:rPr>
        <w:t>s. 9</w:t>
      </w:r>
      <w:r w:rsidRPr="00B120AE">
        <w:rPr>
          <w:kern w:val="28"/>
          <w:lang w:val="en-CA"/>
        </w:rPr>
        <w:t xml:space="preserve">.1 of the </w:t>
      </w:r>
      <w:r w:rsidRPr="00B120AE">
        <w:rPr>
          <w:i/>
          <w:iCs/>
          <w:kern w:val="28"/>
          <w:lang w:val="en-CA"/>
        </w:rPr>
        <w:t>Quebec Charter</w:t>
      </w:r>
      <w:r w:rsidRPr="00B120AE">
        <w:rPr>
          <w:kern w:val="28"/>
          <w:lang w:val="en-CA"/>
        </w:rPr>
        <w:t xml:space="preserve"> read as follows: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80"/>
      </w:tblGrid>
      <w:tr w:rsidR="00815D3B" w:rsidRPr="00B120AE" w14:paraId="50852CA8" w14:textId="77777777" w:rsidTr="00C06E74">
        <w:tc>
          <w:tcPr>
            <w:tcW w:w="4682" w:type="dxa"/>
          </w:tcPr>
          <w:p w14:paraId="50852CA4" w14:textId="77777777" w:rsidR="00E524EA" w:rsidRPr="00B120AE" w:rsidRDefault="001C0031" w:rsidP="00E524EA">
            <w:pPr>
              <w:spacing w:before="120" w:after="120" w:line="240" w:lineRule="auto"/>
              <w:ind w:left="720" w:right="144"/>
              <w:jc w:val="both"/>
              <w:rPr>
                <w:b/>
                <w:bCs/>
                <w:sz w:val="22"/>
                <w:lang w:val="en-CA"/>
              </w:rPr>
            </w:pPr>
            <w:r w:rsidRPr="00B120AE">
              <w:rPr>
                <w:b/>
                <w:bCs/>
                <w:i/>
                <w:iCs/>
                <w:sz w:val="22"/>
                <w:lang w:val="en-CA"/>
              </w:rPr>
              <w:t>Canadian Charter</w:t>
            </w:r>
            <w:r w:rsidRPr="00B120AE">
              <w:rPr>
                <w:bCs/>
                <w:sz w:val="22"/>
                <w:lang w:val="en-CA"/>
              </w:rPr>
              <w:t xml:space="preserve"> </w:t>
            </w:r>
          </w:p>
          <w:p w14:paraId="50852CA5" w14:textId="77777777" w:rsidR="00E524EA" w:rsidRPr="00B120AE" w:rsidRDefault="001C0031" w:rsidP="00E524EA">
            <w:pPr>
              <w:spacing w:before="120" w:after="120" w:line="240" w:lineRule="auto"/>
              <w:ind w:left="720" w:right="144"/>
              <w:jc w:val="both"/>
              <w:rPr>
                <w:rFonts w:cs="Arial"/>
                <w:sz w:val="22"/>
                <w:szCs w:val="22"/>
                <w:lang w:val="en-CA"/>
              </w:rPr>
            </w:pPr>
            <w:r w:rsidRPr="00B120AE">
              <w:rPr>
                <w:rFonts w:cs="Arial"/>
                <w:sz w:val="22"/>
                <w:szCs w:val="22"/>
                <w:lang w:val="en-CA"/>
              </w:rPr>
              <w:t>1. The Canadian Charter of Rights and Freedoms guarantees the rights and freedoms set out in it subject only to such reasonable limits prescribed by law as can be demonstrably justified in a free and democratic society.</w:t>
            </w:r>
          </w:p>
        </w:tc>
        <w:tc>
          <w:tcPr>
            <w:tcW w:w="4680" w:type="dxa"/>
          </w:tcPr>
          <w:p w14:paraId="50852CA6" w14:textId="77777777" w:rsidR="00E524EA" w:rsidRPr="00394517" w:rsidRDefault="001C0031" w:rsidP="00E524EA">
            <w:pPr>
              <w:spacing w:before="120" w:after="120" w:line="240" w:lineRule="auto"/>
              <w:ind w:left="144" w:right="720"/>
              <w:jc w:val="both"/>
              <w:rPr>
                <w:b/>
                <w:bCs/>
                <w:sz w:val="22"/>
              </w:rPr>
            </w:pPr>
            <w:r w:rsidRPr="00394517">
              <w:rPr>
                <w:b/>
                <w:bCs/>
                <w:i/>
                <w:iCs/>
                <w:sz w:val="22"/>
              </w:rPr>
              <w:t>Charte canadienne</w:t>
            </w:r>
            <w:r w:rsidRPr="00394517">
              <w:rPr>
                <w:bCs/>
                <w:sz w:val="22"/>
              </w:rPr>
              <w:t xml:space="preserve"> </w:t>
            </w:r>
          </w:p>
          <w:p w14:paraId="50852CA7" w14:textId="5AF24CC8" w:rsidR="00E524EA" w:rsidRPr="00394517" w:rsidRDefault="001C0031" w:rsidP="00E524EA">
            <w:pPr>
              <w:spacing w:before="120" w:after="120" w:line="240" w:lineRule="auto"/>
              <w:ind w:left="144" w:right="720"/>
              <w:jc w:val="both"/>
              <w:rPr>
                <w:sz w:val="22"/>
              </w:rPr>
            </w:pPr>
            <w:r w:rsidRPr="00394517">
              <w:rPr>
                <w:sz w:val="22"/>
              </w:rPr>
              <w:t>1. La Charte canadienne des droits et libertés garantit les droits et libertés qui y sont énoncés. Ils ne peuvent être restreints que par une règle de droit, dans des limites qui soient raisonnables et dont la justification puisse se démontrer dans le cadre d</w:t>
            </w:r>
            <w:r w:rsidR="00282C6C" w:rsidRPr="00394517">
              <w:rPr>
                <w:sz w:val="22"/>
              </w:rPr>
              <w:t>’</w:t>
            </w:r>
            <w:r w:rsidRPr="00394517">
              <w:rPr>
                <w:sz w:val="22"/>
              </w:rPr>
              <w:t>une société libre et démocratique.</w:t>
            </w:r>
          </w:p>
        </w:tc>
      </w:tr>
      <w:tr w:rsidR="00815D3B" w:rsidRPr="00B120AE" w14:paraId="50852CAF" w14:textId="77777777" w:rsidTr="00C06E74">
        <w:tc>
          <w:tcPr>
            <w:tcW w:w="4682" w:type="dxa"/>
          </w:tcPr>
          <w:p w14:paraId="50852CA9" w14:textId="77777777" w:rsidR="00E524EA" w:rsidRPr="00B120AE" w:rsidRDefault="001C0031" w:rsidP="00E524EA">
            <w:pPr>
              <w:spacing w:before="120" w:after="120" w:line="240" w:lineRule="auto"/>
              <w:ind w:left="720" w:right="144"/>
              <w:jc w:val="both"/>
              <w:rPr>
                <w:b/>
                <w:bCs/>
                <w:sz w:val="22"/>
                <w:lang w:val="en-CA"/>
              </w:rPr>
            </w:pPr>
            <w:r w:rsidRPr="00B120AE">
              <w:rPr>
                <w:b/>
                <w:bCs/>
                <w:i/>
                <w:iCs/>
                <w:sz w:val="22"/>
                <w:lang w:val="en-CA"/>
              </w:rPr>
              <w:t>Quebec Charter</w:t>
            </w:r>
          </w:p>
          <w:p w14:paraId="50852CAA" w14:textId="05C691C9" w:rsidR="00E524EA" w:rsidRPr="00B120AE" w:rsidRDefault="001C0031" w:rsidP="00E524EA">
            <w:pPr>
              <w:spacing w:before="120" w:after="120" w:line="240" w:lineRule="auto"/>
              <w:ind w:left="720" w:right="144"/>
              <w:jc w:val="both"/>
              <w:rPr>
                <w:sz w:val="22"/>
                <w:lang w:val="en-CA"/>
              </w:rPr>
            </w:pPr>
            <w:r w:rsidRPr="00B120AE">
              <w:rPr>
                <w:sz w:val="22"/>
                <w:lang w:val="en-CA"/>
              </w:rPr>
              <w:t xml:space="preserve">9.1. In exercising his human rights and freedoms, a person shall maintain a proper regard for democratic values, State laicity, the importance given to the protection of </w:t>
            </w:r>
            <w:r w:rsidRPr="00B120AE">
              <w:rPr>
                <w:sz w:val="22"/>
                <w:lang w:val="en-CA"/>
              </w:rPr>
              <w:lastRenderedPageBreak/>
              <w:t>French, public order and the general well</w:t>
            </w:r>
            <w:r w:rsidR="00720901">
              <w:rPr>
                <w:sz w:val="22"/>
                <w:lang w:val="en-CA"/>
              </w:rPr>
              <w:noBreakHyphen/>
            </w:r>
            <w:r w:rsidRPr="00B120AE">
              <w:rPr>
                <w:sz w:val="22"/>
                <w:lang w:val="en-CA"/>
              </w:rPr>
              <w:t>being of the citizens of Québec.</w:t>
            </w:r>
          </w:p>
          <w:p w14:paraId="50852CAB" w14:textId="77777777" w:rsidR="00E524EA" w:rsidRPr="00B120AE" w:rsidRDefault="001C0031" w:rsidP="00E524EA">
            <w:pPr>
              <w:spacing w:before="120" w:after="120" w:line="240" w:lineRule="auto"/>
              <w:ind w:left="720" w:right="144"/>
              <w:jc w:val="both"/>
              <w:rPr>
                <w:rFonts w:cs="Arial"/>
                <w:sz w:val="22"/>
                <w:szCs w:val="22"/>
                <w:lang w:val="en-CA" w:eastAsia="fr-CA"/>
              </w:rPr>
            </w:pPr>
            <w:r w:rsidRPr="00B120AE">
              <w:rPr>
                <w:rFonts w:cs="Arial"/>
                <w:sz w:val="22"/>
                <w:szCs w:val="22"/>
                <w:lang w:val="en-CA" w:eastAsia="fr-CA"/>
              </w:rPr>
              <w:t>In this respect, the scope of the freedoms and rights, and limits to their exercise, may be fixed by law.</w:t>
            </w:r>
            <w:r w:rsidRPr="00B120AE">
              <w:rPr>
                <w:rStyle w:val="Appelnotedebasdep"/>
                <w:sz w:val="22"/>
                <w:lang w:val="en-CA"/>
              </w:rPr>
              <w:footnoteReference w:id="53"/>
            </w:r>
          </w:p>
        </w:tc>
        <w:tc>
          <w:tcPr>
            <w:tcW w:w="4680" w:type="dxa"/>
          </w:tcPr>
          <w:p w14:paraId="50852CAC" w14:textId="77777777" w:rsidR="00E524EA" w:rsidRPr="00394517" w:rsidRDefault="001C0031" w:rsidP="00E524EA">
            <w:pPr>
              <w:spacing w:before="120" w:after="120" w:line="240" w:lineRule="auto"/>
              <w:ind w:left="144" w:right="720"/>
              <w:jc w:val="both"/>
              <w:rPr>
                <w:b/>
                <w:bCs/>
                <w:sz w:val="22"/>
              </w:rPr>
            </w:pPr>
            <w:r w:rsidRPr="00394517">
              <w:rPr>
                <w:b/>
                <w:bCs/>
                <w:i/>
                <w:iCs/>
                <w:sz w:val="22"/>
              </w:rPr>
              <w:lastRenderedPageBreak/>
              <w:t>Charte québécoise</w:t>
            </w:r>
            <w:r w:rsidRPr="00394517">
              <w:rPr>
                <w:bCs/>
                <w:sz w:val="22"/>
              </w:rPr>
              <w:t xml:space="preserve"> </w:t>
            </w:r>
          </w:p>
          <w:p w14:paraId="50852CAD" w14:textId="24732C76" w:rsidR="00E524EA" w:rsidRPr="00394517" w:rsidRDefault="001C0031" w:rsidP="00E524EA">
            <w:pPr>
              <w:spacing w:before="120" w:after="120" w:line="240" w:lineRule="auto"/>
              <w:ind w:left="144" w:right="720"/>
              <w:jc w:val="both"/>
              <w:rPr>
                <w:sz w:val="22"/>
              </w:rPr>
            </w:pPr>
            <w:r w:rsidRPr="00394517">
              <w:rPr>
                <w:sz w:val="22"/>
              </w:rPr>
              <w:t>9.1. Les droits et libertés de la personne s</w:t>
            </w:r>
            <w:r w:rsidR="00282C6C" w:rsidRPr="00394517">
              <w:rPr>
                <w:sz w:val="22"/>
              </w:rPr>
              <w:t>’</w:t>
            </w:r>
            <w:r w:rsidRPr="00394517">
              <w:rPr>
                <w:sz w:val="22"/>
              </w:rPr>
              <w:t>exercent dans le respect des valeurs démocratiques, de la laïcité de l</w:t>
            </w:r>
            <w:r w:rsidR="00282C6C" w:rsidRPr="00394517">
              <w:rPr>
                <w:sz w:val="22"/>
              </w:rPr>
              <w:t>’</w:t>
            </w:r>
            <w:r w:rsidRPr="00394517">
              <w:rPr>
                <w:sz w:val="22"/>
              </w:rPr>
              <w:t>État, de l</w:t>
            </w:r>
            <w:r w:rsidR="00282C6C" w:rsidRPr="00394517">
              <w:rPr>
                <w:sz w:val="22"/>
              </w:rPr>
              <w:t>’</w:t>
            </w:r>
            <w:r w:rsidRPr="00394517">
              <w:rPr>
                <w:sz w:val="22"/>
              </w:rPr>
              <w:t xml:space="preserve">importance accordée à la protection du français, </w:t>
            </w:r>
            <w:r w:rsidRPr="00394517">
              <w:rPr>
                <w:sz w:val="22"/>
              </w:rPr>
              <w:lastRenderedPageBreak/>
              <w:t>de l</w:t>
            </w:r>
            <w:r w:rsidR="00282C6C" w:rsidRPr="00394517">
              <w:rPr>
                <w:sz w:val="22"/>
              </w:rPr>
              <w:t>’</w:t>
            </w:r>
            <w:r w:rsidRPr="00394517">
              <w:rPr>
                <w:sz w:val="22"/>
              </w:rPr>
              <w:t>ordre public et du bien</w:t>
            </w:r>
            <w:r w:rsidR="00720901">
              <w:rPr>
                <w:sz w:val="22"/>
              </w:rPr>
              <w:noBreakHyphen/>
            </w:r>
            <w:r w:rsidRPr="00394517">
              <w:rPr>
                <w:sz w:val="22"/>
              </w:rPr>
              <w:t>être général des citoyens du Québec.</w:t>
            </w:r>
          </w:p>
          <w:p w14:paraId="50852CAE" w14:textId="389824B4" w:rsidR="00E524EA" w:rsidRPr="00394517" w:rsidRDefault="001C0031" w:rsidP="00E524EA">
            <w:pPr>
              <w:spacing w:before="120" w:after="120" w:line="240" w:lineRule="auto"/>
              <w:ind w:left="144" w:right="720"/>
              <w:jc w:val="both"/>
              <w:rPr>
                <w:sz w:val="22"/>
              </w:rPr>
            </w:pPr>
            <w:r w:rsidRPr="00394517">
              <w:rPr>
                <w:sz w:val="22"/>
              </w:rPr>
              <w:t>La loi peut, à cet égard, en fixer la portée et en aménager l</w:t>
            </w:r>
            <w:r w:rsidR="00282C6C" w:rsidRPr="00394517">
              <w:rPr>
                <w:sz w:val="22"/>
              </w:rPr>
              <w:t>’</w:t>
            </w:r>
            <w:r w:rsidRPr="00394517">
              <w:rPr>
                <w:sz w:val="22"/>
              </w:rPr>
              <w:t>exercice.</w:t>
            </w:r>
          </w:p>
        </w:tc>
      </w:tr>
    </w:tbl>
    <w:p w14:paraId="50852CB0" w14:textId="7195D1A7" w:rsidR="00E524EA" w:rsidRPr="00B120AE" w:rsidRDefault="00C93AE7" w:rsidP="00E524EA">
      <w:pPr>
        <w:numPr>
          <w:ilvl w:val="0"/>
          <w:numId w:val="18"/>
        </w:numPr>
        <w:tabs>
          <w:tab w:val="clear" w:pos="720"/>
          <w:tab w:val="num" w:pos="993"/>
        </w:tabs>
        <w:spacing w:before="120" w:after="120" w:line="240" w:lineRule="auto"/>
        <w:jc w:val="both"/>
        <w:rPr>
          <w:kern w:val="28"/>
          <w:lang w:val="en-CA"/>
        </w:rPr>
      </w:pPr>
      <w:r>
        <w:rPr>
          <w:kern w:val="28"/>
          <w:lang w:val="en-CA"/>
        </w:rPr>
        <w:lastRenderedPageBreak/>
        <w:t xml:space="preserve">Pursuant to </w:t>
      </w:r>
      <w:r w:rsidR="00612C2B">
        <w:rPr>
          <w:kern w:val="28"/>
          <w:lang w:val="en-CA"/>
        </w:rPr>
        <w:t>t</w:t>
      </w:r>
      <w:r w:rsidR="001C0031" w:rsidRPr="00B120AE">
        <w:rPr>
          <w:kern w:val="28"/>
          <w:lang w:val="en-CA"/>
        </w:rPr>
        <w:t>hese provisions</w:t>
      </w:r>
      <w:r>
        <w:rPr>
          <w:kern w:val="28"/>
          <w:lang w:val="en-CA"/>
        </w:rPr>
        <w:t xml:space="preserve">, </w:t>
      </w:r>
      <w:r w:rsidR="001C0031" w:rsidRPr="00B120AE">
        <w:rPr>
          <w:kern w:val="28"/>
          <w:lang w:val="en-CA"/>
        </w:rPr>
        <w:t>an infringement by a rule of law</w:t>
      </w:r>
      <w:r w:rsidR="001C0031" w:rsidRPr="00B120AE">
        <w:rPr>
          <w:kern w:val="28"/>
          <w:vertAlign w:val="superscript"/>
          <w:lang w:val="en-CA"/>
        </w:rPr>
        <w:footnoteReference w:id="54"/>
      </w:r>
      <w:r w:rsidR="001C0031" w:rsidRPr="00B120AE">
        <w:rPr>
          <w:kern w:val="28"/>
          <w:lang w:val="en-CA"/>
        </w:rPr>
        <w:t xml:space="preserve"> of a right protected under the charters</w:t>
      </w:r>
      <w:r>
        <w:rPr>
          <w:kern w:val="28"/>
          <w:lang w:val="en-CA"/>
        </w:rPr>
        <w:t xml:space="preserve"> may be justified</w:t>
      </w:r>
      <w:r w:rsidR="001C79F8">
        <w:rPr>
          <w:kern w:val="28"/>
          <w:lang w:val="en-CA"/>
        </w:rPr>
        <w:t xml:space="preserve"> through </w:t>
      </w:r>
      <w:r w:rsidR="001C0031" w:rsidRPr="00B120AE">
        <w:rPr>
          <w:kern w:val="28"/>
          <w:lang w:val="en-CA"/>
        </w:rPr>
        <w:t xml:space="preserve">an analysis that </w:t>
      </w:r>
      <w:r w:rsidR="001C79F8">
        <w:rPr>
          <w:kern w:val="28"/>
          <w:lang w:val="en-CA"/>
        </w:rPr>
        <w:t xml:space="preserve">may </w:t>
      </w:r>
      <w:r w:rsidR="001C0031" w:rsidRPr="00B120AE">
        <w:rPr>
          <w:kern w:val="28"/>
          <w:lang w:val="en-CA"/>
        </w:rPr>
        <w:t xml:space="preserve">be </w:t>
      </w:r>
      <w:r w:rsidR="001C79F8">
        <w:rPr>
          <w:kern w:val="28"/>
          <w:lang w:val="en-CA"/>
        </w:rPr>
        <w:t xml:space="preserve">conducted </w:t>
      </w:r>
      <w:r w:rsidR="001C0031" w:rsidRPr="00B120AE">
        <w:rPr>
          <w:kern w:val="28"/>
          <w:lang w:val="en-CA"/>
        </w:rPr>
        <w:t>jointly and under a similar framework.</w:t>
      </w:r>
      <w:r w:rsidR="001C0031" w:rsidRPr="00B120AE">
        <w:rPr>
          <w:kern w:val="28"/>
          <w:vertAlign w:val="superscript"/>
          <w:lang w:val="en-CA"/>
        </w:rPr>
        <w:footnoteReference w:id="55"/>
      </w:r>
      <w:r w:rsidR="001C0031" w:rsidRPr="00B120AE">
        <w:rPr>
          <w:kern w:val="28"/>
          <w:lang w:val="en-CA"/>
        </w:rPr>
        <w:t xml:space="preserve"> It is up to the party alleging that a limit is justified to demonstrate it, on a balance of probabilities.</w:t>
      </w:r>
      <w:r w:rsidR="001C0031" w:rsidRPr="00B120AE">
        <w:rPr>
          <w:kern w:val="28"/>
          <w:vertAlign w:val="superscript"/>
          <w:lang w:val="en-CA"/>
        </w:rPr>
        <w:footnoteReference w:id="56"/>
      </w:r>
      <w:r w:rsidR="001C0031" w:rsidRPr="00B120AE">
        <w:rPr>
          <w:kern w:val="28"/>
          <w:lang w:val="en-CA"/>
        </w:rPr>
        <w:t xml:space="preserve"> The criteria to be analyzed were established by the Supreme Court in </w:t>
      </w:r>
      <w:r w:rsidR="001C0031" w:rsidRPr="00B120AE">
        <w:rPr>
          <w:i/>
          <w:iCs/>
          <w:kern w:val="28"/>
          <w:lang w:val="en-CA"/>
        </w:rPr>
        <w:t>Oakes</w:t>
      </w:r>
      <w:r w:rsidR="001C0031" w:rsidRPr="00B120AE">
        <w:rPr>
          <w:kern w:val="28"/>
          <w:vertAlign w:val="superscript"/>
          <w:lang w:val="en-CA"/>
        </w:rPr>
        <w:footnoteReference w:id="57"/>
      </w:r>
      <w:r w:rsidR="001C0031" w:rsidRPr="00B120AE">
        <w:rPr>
          <w:kern w:val="28"/>
          <w:lang w:val="en-CA"/>
        </w:rPr>
        <w:t xml:space="preserve"> and have been reiterated and elaborated upon on numerous occasions.</w:t>
      </w:r>
      <w:r w:rsidR="001C0031" w:rsidRPr="00B120AE">
        <w:rPr>
          <w:kern w:val="28"/>
          <w:vertAlign w:val="superscript"/>
          <w:lang w:val="en-CA"/>
        </w:rPr>
        <w:footnoteReference w:id="58"/>
      </w:r>
      <w:r w:rsidR="001C0031" w:rsidRPr="00B120AE">
        <w:rPr>
          <w:kern w:val="28"/>
          <w:lang w:val="en-CA"/>
        </w:rPr>
        <w:t xml:space="preserve"> Thus, the party must first show that the limit has a sufficiently important, pressing and substantial objective.</w:t>
      </w:r>
      <w:r w:rsidR="001C0031" w:rsidRPr="00B120AE">
        <w:rPr>
          <w:kern w:val="28"/>
          <w:vertAlign w:val="superscript"/>
          <w:lang w:val="en-CA"/>
        </w:rPr>
        <w:footnoteReference w:id="59"/>
      </w:r>
      <w:r w:rsidR="001C0031" w:rsidRPr="00B120AE">
        <w:rPr>
          <w:kern w:val="28"/>
          <w:lang w:val="en-CA"/>
        </w:rPr>
        <w:t xml:space="preserve"> Second, the means chosen to attain the objective must be reasonable and it must be justified on the basis of a proportionality test comprised of three components: (</w:t>
      </w:r>
      <w:proofErr w:type="spellStart"/>
      <w:r w:rsidR="001C0031" w:rsidRPr="00B120AE">
        <w:rPr>
          <w:kern w:val="28"/>
          <w:lang w:val="en-CA"/>
        </w:rPr>
        <w:t>i</w:t>
      </w:r>
      <w:proofErr w:type="spellEnd"/>
      <w:r w:rsidR="001C0031" w:rsidRPr="00B120AE">
        <w:rPr>
          <w:kern w:val="28"/>
          <w:lang w:val="en-CA"/>
        </w:rPr>
        <w:t xml:space="preserve">) there must be a rational connection between the chosen measure and the objective; (ii) the chosen measure must be minimally impairing of the right in question, and (iii) there must be proportionality between the deleterious and salutary effects of the measure. </w:t>
      </w:r>
    </w:p>
    <w:p w14:paraId="50852CB1" w14:textId="5B170F8E" w:rsidR="00E524EA" w:rsidRPr="0043685F" w:rsidRDefault="001C0031" w:rsidP="00AA5FB2">
      <w:pPr>
        <w:keepNext/>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As the Supreme Court has noted, </w:t>
      </w:r>
      <w:r w:rsidR="00282C6C">
        <w:rPr>
          <w:kern w:val="28"/>
          <w:lang w:val="en-CA"/>
        </w:rPr>
        <w:t>“</w:t>
      </w:r>
      <w:r w:rsidRPr="00B120AE">
        <w:rPr>
          <w:kern w:val="28"/>
          <w:lang w:val="en-CA"/>
        </w:rPr>
        <w:t>[t]he proportionality inquiry is both normative and contextual, and requires that courts balance the interests of society with those of individuals and groups</w:t>
      </w:r>
      <w:r w:rsidR="00282C6C">
        <w:rPr>
          <w:kern w:val="28"/>
          <w:lang w:val="en-CA"/>
        </w:rPr>
        <w:t>”</w:t>
      </w:r>
      <w:r w:rsidRPr="00B120AE">
        <w:rPr>
          <w:kern w:val="28"/>
          <w:lang w:val="en-CA"/>
        </w:rPr>
        <w:t>.</w:t>
      </w:r>
      <w:r w:rsidRPr="00B120AE">
        <w:rPr>
          <w:kern w:val="28"/>
          <w:vertAlign w:val="superscript"/>
          <w:lang w:val="en-CA"/>
        </w:rPr>
        <w:footnoteReference w:id="60"/>
      </w:r>
      <w:r w:rsidRPr="00B120AE">
        <w:rPr>
          <w:kern w:val="28"/>
          <w:lang w:val="en-CA"/>
        </w:rPr>
        <w:t xml:space="preserve"> Within this contextual analysis, it will be more difficult to justify a violation of freedom of expression that </w:t>
      </w:r>
      <w:r w:rsidR="00506664">
        <w:rPr>
          <w:kern w:val="28"/>
          <w:lang w:val="en-CA"/>
        </w:rPr>
        <w:t xml:space="preserve">strikes at </w:t>
      </w:r>
      <w:r w:rsidRPr="00B120AE">
        <w:rPr>
          <w:kern w:val="28"/>
          <w:lang w:val="en-CA"/>
        </w:rPr>
        <w:t>the heart of the protected values.</w:t>
      </w:r>
      <w:r w:rsidRPr="00B120AE">
        <w:rPr>
          <w:kern w:val="28"/>
          <w:vertAlign w:val="superscript"/>
          <w:lang w:val="en-CA"/>
        </w:rPr>
        <w:footnoteReference w:id="61"/>
      </w:r>
      <w:r w:rsidRPr="00B120AE">
        <w:rPr>
          <w:kern w:val="28"/>
          <w:lang w:val="en-CA"/>
        </w:rPr>
        <w:t xml:space="preserve"> On this point, my collea</w:t>
      </w:r>
      <w:r w:rsidRPr="0043685F">
        <w:rPr>
          <w:kern w:val="28"/>
          <w:lang w:val="en-CA"/>
        </w:rPr>
        <w:t xml:space="preserve">gue Bich, J.A. noted the following in </w:t>
      </w:r>
      <w:r w:rsidRPr="0043685F">
        <w:rPr>
          <w:i/>
          <w:iCs/>
          <w:kern w:val="28"/>
          <w:lang w:val="en-CA"/>
        </w:rPr>
        <w:t>Bérubé c. Ville de Québec</w:t>
      </w:r>
      <w:r w:rsidRPr="0043685F">
        <w:rPr>
          <w:kern w:val="28"/>
          <w:lang w:val="en-CA"/>
        </w:rPr>
        <w:t>:</w:t>
      </w:r>
    </w:p>
    <w:p w14:paraId="0D8AF0C9" w14:textId="77777777" w:rsidR="00290F48" w:rsidRPr="0043685F" w:rsidRDefault="001C0031" w:rsidP="00AA5FB2">
      <w:pPr>
        <w:keepNext/>
        <w:spacing w:before="120" w:after="120" w:line="240" w:lineRule="auto"/>
        <w:ind w:left="720" w:right="720"/>
        <w:jc w:val="both"/>
        <w:rPr>
          <w:kern w:val="24"/>
          <w:sz w:val="22"/>
          <w:lang w:val="en-CA"/>
        </w:rPr>
      </w:pPr>
      <w:bookmarkStart w:id="35" w:name="_Ref17135058"/>
      <w:r w:rsidRPr="0043685F">
        <w:rPr>
          <w:kern w:val="24"/>
          <w:sz w:val="22"/>
          <w:lang w:val="en-CA"/>
        </w:rPr>
        <w:t>[</w:t>
      </w:r>
      <w:r w:rsidR="004D6ECE" w:rsidRPr="0043685F">
        <w:rPr>
          <w:smallCaps/>
          <w:kern w:val="24"/>
          <w:sz w:val="22"/>
          <w:lang w:val="en-CA"/>
        </w:rPr>
        <w:t>translation</w:t>
      </w:r>
      <w:r w:rsidRPr="0043685F">
        <w:rPr>
          <w:kern w:val="24"/>
          <w:sz w:val="22"/>
          <w:lang w:val="en-CA"/>
        </w:rPr>
        <w:t>]</w:t>
      </w:r>
    </w:p>
    <w:p w14:paraId="50852CB2" w14:textId="582B2EF2" w:rsidR="00E524EA" w:rsidRPr="00B120AE" w:rsidRDefault="001C0031" w:rsidP="00AA5FB2">
      <w:pPr>
        <w:keepNext/>
        <w:spacing w:before="120" w:after="120" w:line="240" w:lineRule="auto"/>
        <w:ind w:left="720" w:right="720"/>
        <w:jc w:val="both"/>
        <w:rPr>
          <w:kern w:val="24"/>
          <w:sz w:val="22"/>
          <w:lang w:val="en-CA"/>
        </w:rPr>
      </w:pPr>
      <w:r w:rsidRPr="00B120AE">
        <w:rPr>
          <w:kern w:val="24"/>
          <w:sz w:val="22"/>
          <w:lang w:val="en-CA"/>
        </w:rPr>
        <w:t>[</w:t>
      </w:r>
      <w:bookmarkStart w:id="36" w:name="par78"/>
      <w:bookmarkEnd w:id="36"/>
      <w:r w:rsidRPr="00B120AE">
        <w:rPr>
          <w:kern w:val="24"/>
          <w:sz w:val="22"/>
          <w:lang w:val="en-CA"/>
        </w:rPr>
        <w:t>78]</w:t>
      </w:r>
      <w:r w:rsidRPr="00B120AE">
        <w:rPr>
          <w:kern w:val="24"/>
          <w:sz w:val="22"/>
          <w:lang w:val="en-CA"/>
        </w:rPr>
        <w:tab/>
        <w:t xml:space="preserve">Where the issue, however, is a restriction on freedom of expression — whose social importance and privileged function as an instrument and pillar of the </w:t>
      </w:r>
      <w:r w:rsidRPr="00B120AE">
        <w:rPr>
          <w:kern w:val="24"/>
          <w:sz w:val="22"/>
          <w:lang w:val="en-CA"/>
        </w:rPr>
        <w:lastRenderedPageBreak/>
        <w:t>democratic order have repeatedly been emphasized in the case law</w:t>
      </w:r>
      <w:bookmarkStart w:id="37" w:name="_Ref15584289"/>
      <w:bookmarkEnd w:id="35"/>
      <w:bookmarkEnd w:id="37"/>
      <w:r w:rsidRPr="00B120AE">
        <w:rPr>
          <w:kern w:val="24"/>
          <w:sz w:val="22"/>
          <w:lang w:val="en-CA"/>
        </w:rPr>
        <w:t xml:space="preserve"> and in scholarly commentary</w:t>
      </w:r>
      <w:bookmarkStart w:id="38" w:name="_Ref16715861"/>
      <w:bookmarkEnd w:id="38"/>
      <w:r w:rsidRPr="00B120AE">
        <w:rPr>
          <w:kern w:val="24"/>
          <w:sz w:val="22"/>
          <w:lang w:val="en-CA"/>
        </w:rPr>
        <w:t xml:space="preserve"> — the Supreme Court, in a judgment written by McLachlin,</w:t>
      </w:r>
      <w:r w:rsidR="00FD33A8">
        <w:rPr>
          <w:kern w:val="24"/>
          <w:sz w:val="22"/>
          <w:lang w:val="en-CA"/>
        </w:rPr>
        <w:t> </w:t>
      </w:r>
      <w:r w:rsidRPr="00B120AE">
        <w:rPr>
          <w:kern w:val="24"/>
          <w:sz w:val="22"/>
          <w:lang w:val="en-CA"/>
        </w:rPr>
        <w:t xml:space="preserve">C.J., nevertheless noted that the foregoing test must be </w:t>
      </w:r>
      <w:r w:rsidRPr="00B120AE">
        <w:rPr>
          <w:kern w:val="24"/>
          <w:sz w:val="22"/>
          <w:u w:val="single"/>
          <w:lang w:val="en-CA"/>
        </w:rPr>
        <w:t>applied rigorously</w:t>
      </w:r>
      <w:r w:rsidRPr="00B120AE">
        <w:rPr>
          <w:kern w:val="24"/>
          <w:sz w:val="22"/>
          <w:lang w:val="en-CA"/>
        </w:rPr>
        <w:t>, particularly where freedom of political expression is being restricted […].</w:t>
      </w:r>
      <w:r w:rsidRPr="00B120AE">
        <w:rPr>
          <w:kern w:val="24"/>
          <w:sz w:val="22"/>
          <w:vertAlign w:val="superscript"/>
          <w:lang w:val="en-CA"/>
        </w:rPr>
        <w:footnoteReference w:id="62"/>
      </w:r>
    </w:p>
    <w:p w14:paraId="50852CB3" w14:textId="77777777" w:rsidR="00E524EA" w:rsidRPr="00B120AE" w:rsidRDefault="001C0031" w:rsidP="00E524EA">
      <w:pPr>
        <w:spacing w:before="120" w:after="120" w:line="240" w:lineRule="auto"/>
        <w:ind w:left="720" w:right="720"/>
        <w:jc w:val="right"/>
        <w:rPr>
          <w:kern w:val="24"/>
          <w:sz w:val="22"/>
          <w:lang w:val="en-CA"/>
        </w:rPr>
      </w:pPr>
      <w:r w:rsidRPr="00B120AE">
        <w:rPr>
          <w:kern w:val="24"/>
          <w:sz w:val="22"/>
          <w:lang w:val="en-CA"/>
        </w:rPr>
        <w:t>[References omitted; underlining added]</w:t>
      </w:r>
    </w:p>
    <w:p w14:paraId="50852CB4" w14:textId="7777777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I have no hesitation in concluding that the same rigour must apply when freedom of artistic expression is at stake.</w:t>
      </w:r>
      <w:r w:rsidRPr="00B120AE">
        <w:rPr>
          <w:kern w:val="28"/>
          <w:vertAlign w:val="superscript"/>
          <w:lang w:val="en-CA"/>
        </w:rPr>
        <w:footnoteReference w:id="63"/>
      </w:r>
      <w:r w:rsidRPr="00B120AE">
        <w:rPr>
          <w:kern w:val="28"/>
          <w:lang w:val="en-CA"/>
        </w:rPr>
        <w:t xml:space="preserve"> </w:t>
      </w:r>
    </w:p>
    <w:p w14:paraId="50852CB5" w14:textId="1AC28157" w:rsidR="00E524EA" w:rsidRPr="005E00FA" w:rsidRDefault="005E00FA" w:rsidP="00E524EA">
      <w:pPr>
        <w:keepNext/>
        <w:numPr>
          <w:ilvl w:val="0"/>
          <w:numId w:val="22"/>
        </w:numPr>
        <w:tabs>
          <w:tab w:val="num" w:pos="993"/>
        </w:tabs>
        <w:spacing w:before="120" w:after="120" w:line="240" w:lineRule="auto"/>
        <w:outlineLvl w:val="2"/>
        <w:rPr>
          <w:b/>
          <w:bCs/>
          <w:lang w:val="en-CA"/>
        </w:rPr>
      </w:pPr>
      <w:r>
        <w:rPr>
          <w:b/>
          <w:bCs/>
          <w:lang w:val="en-CA"/>
        </w:rPr>
        <w:t>L</w:t>
      </w:r>
      <w:r w:rsidR="001C0031" w:rsidRPr="005E00FA">
        <w:rPr>
          <w:b/>
          <w:bCs/>
          <w:lang w:val="en-CA"/>
        </w:rPr>
        <w:t>egislature</w:t>
      </w:r>
      <w:r w:rsidR="00282C6C" w:rsidRPr="005E00FA">
        <w:rPr>
          <w:b/>
          <w:bCs/>
          <w:lang w:val="en-CA"/>
        </w:rPr>
        <w:t>’</w:t>
      </w:r>
      <w:r w:rsidR="001C0031" w:rsidRPr="005E00FA">
        <w:rPr>
          <w:b/>
          <w:bCs/>
          <w:lang w:val="en-CA"/>
        </w:rPr>
        <w:t>s objective</w:t>
      </w:r>
    </w:p>
    <w:p w14:paraId="50852CB6" w14:textId="683481E4"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For the purposes of this assessment, it is the objective of the infringing measure — not that of all the provisions — that is relevant.</w:t>
      </w:r>
      <w:r w:rsidRPr="00B120AE">
        <w:rPr>
          <w:kern w:val="28"/>
          <w:vertAlign w:val="superscript"/>
          <w:lang w:val="en-CA"/>
        </w:rPr>
        <w:footnoteReference w:id="64"/>
      </w:r>
      <w:r w:rsidRPr="00B120AE">
        <w:rPr>
          <w:kern w:val="28"/>
          <w:lang w:val="en-CA"/>
        </w:rPr>
        <w:t xml:space="preserve"> Moreover, articulating the objective is central to the exercise, as misidentifying the objective can compromise the justification analysis.</w:t>
      </w:r>
      <w:r w:rsidRPr="00B120AE">
        <w:rPr>
          <w:kern w:val="28"/>
          <w:vertAlign w:val="superscript"/>
          <w:lang w:val="en-CA"/>
        </w:rPr>
        <w:footnoteReference w:id="65"/>
      </w:r>
      <w:r w:rsidRPr="00B120AE">
        <w:rPr>
          <w:kern w:val="28"/>
          <w:lang w:val="en-CA"/>
        </w:rPr>
        <w:t xml:space="preserve"> Indeed, as the majority of the Supreme Court stated in </w:t>
      </w:r>
      <w:r w:rsidRPr="00B120AE">
        <w:rPr>
          <w:i/>
          <w:iCs/>
          <w:kern w:val="28"/>
          <w:lang w:val="en-CA"/>
        </w:rPr>
        <w:t>Frank</w:t>
      </w:r>
      <w:r w:rsidRPr="00B120AE">
        <w:rPr>
          <w:kern w:val="28"/>
          <w:lang w:val="en-CA"/>
        </w:rPr>
        <w:t xml:space="preserve">, </w:t>
      </w:r>
      <w:r w:rsidR="00282C6C">
        <w:rPr>
          <w:kern w:val="28"/>
          <w:lang w:val="en-CA"/>
        </w:rPr>
        <w:t>“</w:t>
      </w:r>
      <w:r w:rsidRPr="00B120AE">
        <w:rPr>
          <w:kern w:val="28"/>
          <w:lang w:val="en-CA"/>
        </w:rPr>
        <w:t>[</w:t>
      </w:r>
      <w:proofErr w:type="spellStart"/>
      <w:r w:rsidRPr="00B120AE">
        <w:rPr>
          <w:kern w:val="28"/>
          <w:lang w:val="en-CA"/>
        </w:rPr>
        <w:t>i</w:t>
      </w:r>
      <w:proofErr w:type="spellEnd"/>
      <w:r w:rsidRPr="00B120AE">
        <w:rPr>
          <w:kern w:val="28"/>
          <w:lang w:val="en-CA"/>
        </w:rPr>
        <w:t>]f a legislative purpose is stated too broadly, the result may be to exaggerate the importance of the objective […]. Conversely, if the measure</w:t>
      </w:r>
      <w:r w:rsidR="00282C6C">
        <w:rPr>
          <w:kern w:val="28"/>
          <w:lang w:val="en-CA"/>
        </w:rPr>
        <w:t>’</w:t>
      </w:r>
      <w:r w:rsidRPr="00B120AE">
        <w:rPr>
          <w:kern w:val="28"/>
          <w:lang w:val="en-CA"/>
        </w:rPr>
        <w:t>s purpose is construed too narrowly, its articulation may merely reiterate the means chosen to achieve it</w:t>
      </w:r>
      <w:r w:rsidR="00282C6C">
        <w:rPr>
          <w:kern w:val="28"/>
          <w:lang w:val="en-CA"/>
        </w:rPr>
        <w:t>”</w:t>
      </w:r>
      <w:r w:rsidRPr="00B120AE">
        <w:rPr>
          <w:kern w:val="28"/>
          <w:lang w:val="en-CA"/>
        </w:rPr>
        <w:t>.</w:t>
      </w:r>
      <w:r w:rsidRPr="00B120AE">
        <w:rPr>
          <w:kern w:val="28"/>
          <w:vertAlign w:val="superscript"/>
          <w:lang w:val="en-CA"/>
        </w:rPr>
        <w:footnoteReference w:id="66"/>
      </w:r>
      <w:r w:rsidRPr="00B120AE">
        <w:rPr>
          <w:kern w:val="28"/>
          <w:lang w:val="en-CA"/>
        </w:rPr>
        <w:t xml:space="preserve"> Articulating the objective too generally must be avoided, since it would necessarily lead to the conclusion that there is a rational connection to the chosen means.</w:t>
      </w:r>
      <w:r w:rsidRPr="00B120AE">
        <w:rPr>
          <w:kern w:val="28"/>
          <w:vertAlign w:val="superscript"/>
          <w:lang w:val="en-CA"/>
        </w:rPr>
        <w:footnoteReference w:id="67"/>
      </w:r>
      <w:r w:rsidRPr="00B120AE">
        <w:rPr>
          <w:kern w:val="28"/>
          <w:lang w:val="en-CA"/>
        </w:rPr>
        <w:t xml:space="preserve"> Similarly, if the objective essentially reproduces the wording of the measure, </w:t>
      </w:r>
      <w:r w:rsidR="00282C6C">
        <w:rPr>
          <w:kern w:val="28"/>
          <w:lang w:val="en-CA"/>
        </w:rPr>
        <w:t>“</w:t>
      </w:r>
      <w:r w:rsidRPr="00B120AE">
        <w:rPr>
          <w:kern w:val="28"/>
          <w:lang w:val="en-CA"/>
        </w:rPr>
        <w:t>then the distinction between ends and means may be lost and the statement of purpose will effectively foreclose any separate inquiry into the connection between them</w:t>
      </w:r>
      <w:r w:rsidR="00282C6C">
        <w:rPr>
          <w:kern w:val="28"/>
          <w:lang w:val="en-CA"/>
        </w:rPr>
        <w:t>”</w:t>
      </w:r>
      <w:r w:rsidRPr="00B120AE">
        <w:rPr>
          <w:kern w:val="28"/>
          <w:lang w:val="en-CA"/>
        </w:rPr>
        <w:t>.</w:t>
      </w:r>
      <w:r w:rsidRPr="00B120AE">
        <w:rPr>
          <w:kern w:val="28"/>
          <w:vertAlign w:val="superscript"/>
          <w:lang w:val="en-CA"/>
        </w:rPr>
        <w:footnoteReference w:id="68"/>
      </w:r>
      <w:r w:rsidRPr="00B120AE">
        <w:rPr>
          <w:kern w:val="28"/>
          <w:lang w:val="en-CA"/>
        </w:rPr>
        <w:t xml:space="preserve"> I would add that conflating the means with the objective risks leading to the conclusion that the means is the least intrusive, since it corresponds exactly to the objective and necessarily makes it possible to achieve it in a real and substantial manner.</w:t>
      </w:r>
      <w:r w:rsidRPr="00B120AE">
        <w:rPr>
          <w:kern w:val="28"/>
          <w:vertAlign w:val="superscript"/>
          <w:lang w:val="en-CA"/>
        </w:rPr>
        <w:footnoteReference w:id="69"/>
      </w:r>
      <w:r w:rsidRPr="00B120AE">
        <w:rPr>
          <w:kern w:val="28"/>
          <w:lang w:val="en-CA"/>
        </w:rPr>
        <w:t xml:space="preserve"> </w:t>
      </w:r>
    </w:p>
    <w:p w14:paraId="50852CB7" w14:textId="77777777" w:rsidR="00E524EA" w:rsidRPr="00B120AE" w:rsidRDefault="001C0031" w:rsidP="00E524EA">
      <w:pPr>
        <w:spacing w:before="120" w:after="120" w:line="240" w:lineRule="auto"/>
        <w:jc w:val="center"/>
        <w:rPr>
          <w:kern w:val="28"/>
          <w:lang w:val="en-CA"/>
        </w:rPr>
      </w:pPr>
      <w:r w:rsidRPr="00B120AE">
        <w:rPr>
          <w:kern w:val="28"/>
          <w:lang w:val="en-CA"/>
        </w:rPr>
        <w:t>***</w:t>
      </w:r>
    </w:p>
    <w:p w14:paraId="50852CB8" w14:textId="66A3CD66"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judge concluded that the limit is imposed by a rule of law that pursues an important objective: </w:t>
      </w:r>
      <w:r w:rsidR="0078033F" w:rsidRPr="0078033F">
        <w:rPr>
          <w:smallCaps/>
          <w:kern w:val="28"/>
          <w:lang w:val="en-CA"/>
        </w:rPr>
        <w:t>[translation] </w:t>
      </w:r>
      <w:r w:rsidR="00282C6C">
        <w:rPr>
          <w:kern w:val="28"/>
          <w:lang w:val="en-CA"/>
        </w:rPr>
        <w:t>“</w:t>
      </w:r>
      <w:r w:rsidRPr="00B120AE">
        <w:rPr>
          <w:kern w:val="28"/>
          <w:lang w:val="en-CA"/>
        </w:rPr>
        <w:t>All agree that the limits invoked arise under the law, in this case the</w:t>
      </w:r>
      <w:r w:rsidR="007C3223" w:rsidRPr="007C3223">
        <w:rPr>
          <w:i/>
          <w:kern w:val="28"/>
          <w:lang w:val="en-CA"/>
        </w:rPr>
        <w:t> TCA</w:t>
      </w:r>
      <w:r w:rsidRPr="00B120AE">
        <w:rPr>
          <w:kern w:val="28"/>
          <w:lang w:val="en-CA"/>
        </w:rPr>
        <w:t xml:space="preserve"> and the </w:t>
      </w:r>
      <w:r w:rsidRPr="00B120AE">
        <w:rPr>
          <w:i/>
          <w:iCs/>
          <w:kern w:val="28"/>
          <w:lang w:val="en-CA"/>
        </w:rPr>
        <w:t>Regulation</w:t>
      </w:r>
      <w:r w:rsidRPr="00B120AE">
        <w:rPr>
          <w:kern w:val="28"/>
          <w:lang w:val="en-CA"/>
        </w:rPr>
        <w:t xml:space="preserve">, and that in enacting this </w:t>
      </w:r>
      <w:r w:rsidRPr="00B120AE">
        <w:rPr>
          <w:i/>
          <w:iCs/>
          <w:kern w:val="28"/>
          <w:lang w:val="en-CA"/>
        </w:rPr>
        <w:t>Act</w:t>
      </w:r>
      <w:r w:rsidRPr="00B120AE">
        <w:rPr>
          <w:kern w:val="28"/>
          <w:lang w:val="en-CA"/>
        </w:rPr>
        <w:t xml:space="preserve"> and this </w:t>
      </w:r>
      <w:r w:rsidRPr="00B120AE">
        <w:rPr>
          <w:i/>
          <w:iCs/>
          <w:kern w:val="28"/>
          <w:lang w:val="en-CA"/>
        </w:rPr>
        <w:t>Regulation</w:t>
      </w:r>
      <w:r w:rsidRPr="00B120AE">
        <w:rPr>
          <w:kern w:val="28"/>
          <w:lang w:val="en-CA"/>
        </w:rPr>
        <w:t xml:space="preserve">, </w:t>
      </w:r>
      <w:r w:rsidRPr="00B120AE">
        <w:rPr>
          <w:kern w:val="28"/>
          <w:lang w:val="en-CA"/>
        </w:rPr>
        <w:lastRenderedPageBreak/>
        <w:t xml:space="preserve">the state sought to meet a pressing and substantial </w:t>
      </w:r>
      <w:r w:rsidRPr="00B120AE">
        <w:rPr>
          <w:kern w:val="28"/>
          <w:u w:val="single"/>
          <w:lang w:val="en-CA"/>
        </w:rPr>
        <w:t>public health</w:t>
      </w:r>
      <w:r w:rsidRPr="00B120AE">
        <w:rPr>
          <w:kern w:val="28"/>
          <w:lang w:val="en-CA"/>
        </w:rPr>
        <w:t xml:space="preserve"> objective.</w:t>
      </w:r>
      <w:r w:rsidR="00282C6C">
        <w:rPr>
          <w:kern w:val="28"/>
          <w:lang w:val="en-CA"/>
        </w:rPr>
        <w:t>”</w:t>
      </w:r>
      <w:r w:rsidRPr="00B120AE">
        <w:rPr>
          <w:kern w:val="28"/>
          <w:vertAlign w:val="superscript"/>
          <w:lang w:val="en-CA"/>
        </w:rPr>
        <w:footnoteReference w:id="70"/>
      </w:r>
      <w:r w:rsidRPr="00B120AE">
        <w:rPr>
          <w:kern w:val="28"/>
          <w:lang w:val="en-CA"/>
        </w:rPr>
        <w:t xml:space="preserve"> The Theatres admit that this is a pressing and substantial objective. </w:t>
      </w:r>
    </w:p>
    <w:p w14:paraId="50852CB9" w14:textId="72156B26"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AGQ argues that the judge erred in characterizing </w:t>
      </w:r>
      <w:r w:rsidR="0078033F" w:rsidRPr="0078033F">
        <w:rPr>
          <w:smallCaps/>
          <w:kern w:val="28"/>
          <w:lang w:val="en-CA"/>
        </w:rPr>
        <w:t>[translation] </w:t>
      </w:r>
      <w:r w:rsidR="00282C6C">
        <w:rPr>
          <w:kern w:val="28"/>
          <w:lang w:val="en-CA"/>
        </w:rPr>
        <w:t>“</w:t>
      </w:r>
      <w:r w:rsidRPr="00B120AE">
        <w:rPr>
          <w:kern w:val="28"/>
          <w:lang w:val="en-CA"/>
        </w:rPr>
        <w:t>the legislative objective underlying the challenged provisions too broadly</w:t>
      </w:r>
      <w:r w:rsidR="00282C6C">
        <w:rPr>
          <w:kern w:val="28"/>
          <w:lang w:val="en-CA"/>
        </w:rPr>
        <w:t>”</w:t>
      </w:r>
      <w:r w:rsidRPr="00B120AE">
        <w:rPr>
          <w:kern w:val="28"/>
          <w:lang w:val="en-CA"/>
        </w:rPr>
        <w:t>,</w:t>
      </w:r>
      <w:r w:rsidRPr="00B120AE">
        <w:rPr>
          <w:kern w:val="28"/>
          <w:vertAlign w:val="superscript"/>
          <w:lang w:val="en-CA"/>
        </w:rPr>
        <w:footnoteReference w:id="71"/>
      </w:r>
      <w:r w:rsidRPr="00B120AE">
        <w:rPr>
          <w:kern w:val="28"/>
          <w:lang w:val="en-CA"/>
        </w:rPr>
        <w:t xml:space="preserve"> thereby </w:t>
      </w:r>
      <w:r w:rsidR="00B36AA9">
        <w:rPr>
          <w:kern w:val="28"/>
          <w:lang w:val="en-CA"/>
        </w:rPr>
        <w:t xml:space="preserve">creating </w:t>
      </w:r>
      <w:r w:rsidRPr="00B120AE">
        <w:rPr>
          <w:kern w:val="28"/>
          <w:lang w:val="en-CA"/>
        </w:rPr>
        <w:t>a gap that irremediably taints the minimal impairment and balancing analysis. Without concluding that this characterization entails such consequences,</w:t>
      </w:r>
      <w:r w:rsidRPr="00B120AE">
        <w:rPr>
          <w:kern w:val="28"/>
          <w:vertAlign w:val="superscript"/>
          <w:lang w:val="en-CA"/>
        </w:rPr>
        <w:footnoteReference w:id="72"/>
      </w:r>
      <w:r w:rsidRPr="00B120AE">
        <w:rPr>
          <w:kern w:val="28"/>
          <w:lang w:val="en-CA"/>
        </w:rPr>
        <w:t xml:space="preserve"> I agree that the objective identified in the judgment under appeal is more akin to the </w:t>
      </w:r>
      <w:r w:rsidR="00282C6C">
        <w:rPr>
          <w:kern w:val="28"/>
          <w:lang w:val="en-CA"/>
        </w:rPr>
        <w:t>“</w:t>
      </w:r>
      <w:r w:rsidRPr="00B120AE">
        <w:rPr>
          <w:kern w:val="28"/>
          <w:lang w:val="en-CA"/>
        </w:rPr>
        <w:t>animating social value</w:t>
      </w:r>
      <w:r w:rsidR="00282C6C">
        <w:rPr>
          <w:kern w:val="28"/>
          <w:lang w:val="en-CA"/>
        </w:rPr>
        <w:t>”</w:t>
      </w:r>
      <w:r w:rsidRPr="00B120AE">
        <w:rPr>
          <w:kern w:val="28"/>
          <w:lang w:val="en-CA"/>
        </w:rPr>
        <w:t xml:space="preserve"> at the heart of all the legislative measures enacted to combat smoking and that it warrants further refinement.</w:t>
      </w:r>
      <w:r w:rsidRPr="00B120AE">
        <w:rPr>
          <w:kern w:val="28"/>
          <w:vertAlign w:val="superscript"/>
          <w:lang w:val="en-CA"/>
        </w:rPr>
        <w:footnoteReference w:id="73"/>
      </w:r>
      <w:r w:rsidRPr="00B120AE">
        <w:rPr>
          <w:kern w:val="28"/>
          <w:lang w:val="en-CA"/>
        </w:rPr>
        <w:t xml:space="preserve"> </w:t>
      </w:r>
    </w:p>
    <w:p w14:paraId="50852CBA" w14:textId="58C2A96E"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In </w:t>
      </w:r>
      <w:r w:rsidRPr="00B120AE">
        <w:rPr>
          <w:i/>
          <w:iCs/>
          <w:kern w:val="28"/>
          <w:lang w:val="en-CA"/>
        </w:rPr>
        <w:t xml:space="preserve">Procureur </w:t>
      </w:r>
      <w:proofErr w:type="spellStart"/>
      <w:r w:rsidRPr="00B120AE">
        <w:rPr>
          <w:i/>
          <w:iCs/>
          <w:kern w:val="28"/>
          <w:lang w:val="en-CA"/>
        </w:rPr>
        <w:t>général</w:t>
      </w:r>
      <w:proofErr w:type="spellEnd"/>
      <w:r w:rsidRPr="00B120AE">
        <w:rPr>
          <w:i/>
          <w:iCs/>
          <w:kern w:val="28"/>
          <w:lang w:val="en-CA"/>
        </w:rPr>
        <w:t xml:space="preserve"> du Québec</w:t>
      </w:r>
      <w:r w:rsidRPr="00B120AE">
        <w:rPr>
          <w:kern w:val="28"/>
          <w:lang w:val="en-CA"/>
        </w:rPr>
        <w:t xml:space="preserve"> </w:t>
      </w:r>
      <w:r w:rsidRPr="00B120AE">
        <w:rPr>
          <w:i/>
          <w:iCs/>
          <w:kern w:val="28"/>
          <w:lang w:val="en-CA"/>
        </w:rPr>
        <w:t>c. Gallant</w:t>
      </w:r>
      <w:r w:rsidRPr="00B120AE">
        <w:rPr>
          <w:kern w:val="28"/>
          <w:lang w:val="en-CA"/>
        </w:rPr>
        <w:t>,</w:t>
      </w:r>
      <w:r w:rsidRPr="00B120AE">
        <w:rPr>
          <w:iCs/>
          <w:kern w:val="28"/>
          <w:vertAlign w:val="superscript"/>
          <w:lang w:val="en-CA"/>
        </w:rPr>
        <w:footnoteReference w:id="74"/>
      </w:r>
      <w:r w:rsidRPr="00B120AE">
        <w:rPr>
          <w:kern w:val="28"/>
          <w:lang w:val="en-CA"/>
        </w:rPr>
        <w:t xml:space="preserve"> which deals with the constitutionality of the provisions that prohibit, among other things, the testing of vaping products inside specialized stores and in smoking cessation clinics, my colleague Moore,</w:t>
      </w:r>
      <w:r w:rsidR="00EE5AF8">
        <w:rPr>
          <w:kern w:val="28"/>
          <w:lang w:val="en-CA"/>
        </w:rPr>
        <w:t> </w:t>
      </w:r>
      <w:r w:rsidRPr="00B120AE">
        <w:rPr>
          <w:kern w:val="28"/>
          <w:lang w:val="en-CA"/>
        </w:rPr>
        <w:t xml:space="preserve">J.A., writing for the Court, noted that the </w:t>
      </w:r>
      <w:r w:rsidRPr="00B120AE">
        <w:rPr>
          <w:i/>
          <w:iCs/>
          <w:kern w:val="28"/>
          <w:lang w:val="en-CA"/>
        </w:rPr>
        <w:t>Act</w:t>
      </w:r>
      <w:r w:rsidRPr="00B120AE">
        <w:rPr>
          <w:kern w:val="28"/>
          <w:lang w:val="en-CA"/>
        </w:rPr>
        <w:t xml:space="preserve"> </w:t>
      </w:r>
      <w:r w:rsidR="0078033F" w:rsidRPr="0078033F">
        <w:rPr>
          <w:smallCaps/>
          <w:kern w:val="28"/>
          <w:lang w:val="en-CA"/>
        </w:rPr>
        <w:t>[translation] </w:t>
      </w:r>
      <w:r w:rsidR="00282C6C">
        <w:rPr>
          <w:kern w:val="28"/>
          <w:lang w:val="en-CA"/>
        </w:rPr>
        <w:t>“</w:t>
      </w:r>
      <w:r w:rsidRPr="00B120AE">
        <w:rPr>
          <w:kern w:val="28"/>
          <w:lang w:val="en-CA"/>
        </w:rPr>
        <w:t>is based on three broad objectives: (1)</w:t>
      </w:r>
      <w:r w:rsidR="005556B8">
        <w:rPr>
          <w:kern w:val="28"/>
          <w:lang w:val="en-CA"/>
        </w:rPr>
        <w:t> </w:t>
      </w:r>
      <w:r w:rsidRPr="00B120AE">
        <w:rPr>
          <w:kern w:val="28"/>
          <w:lang w:val="en-CA"/>
        </w:rPr>
        <w:t>prevent the use of tobacco products, particularly by youth; (2)</w:t>
      </w:r>
      <w:r w:rsidR="005556B8">
        <w:rPr>
          <w:kern w:val="28"/>
          <w:lang w:val="en-CA"/>
        </w:rPr>
        <w:t> </w:t>
      </w:r>
      <w:r w:rsidRPr="00B120AE">
        <w:rPr>
          <w:kern w:val="28"/>
          <w:lang w:val="en-CA"/>
        </w:rPr>
        <w:t>encourage and support those who want to quit smoking; and (3)</w:t>
      </w:r>
      <w:r w:rsidR="005556B8">
        <w:rPr>
          <w:kern w:val="28"/>
          <w:lang w:val="en-CA"/>
        </w:rPr>
        <w:t> </w:t>
      </w:r>
      <w:r w:rsidRPr="00B120AE">
        <w:rPr>
          <w:kern w:val="28"/>
          <w:lang w:val="en-CA"/>
        </w:rPr>
        <w:t>protect non</w:t>
      </w:r>
      <w:r w:rsidR="00720901">
        <w:rPr>
          <w:kern w:val="28"/>
          <w:lang w:val="en-CA"/>
        </w:rPr>
        <w:noBreakHyphen/>
      </w:r>
      <w:r w:rsidRPr="00B120AE">
        <w:rPr>
          <w:kern w:val="28"/>
          <w:lang w:val="en-CA"/>
        </w:rPr>
        <w:t>smokers from exposure to second</w:t>
      </w:r>
      <w:r w:rsidR="00720901">
        <w:rPr>
          <w:kern w:val="28"/>
          <w:lang w:val="en-CA"/>
        </w:rPr>
        <w:noBreakHyphen/>
      </w:r>
      <w:r w:rsidRPr="00B120AE">
        <w:rPr>
          <w:kern w:val="28"/>
          <w:lang w:val="en-CA"/>
        </w:rPr>
        <w:t>hand smoke</w:t>
      </w:r>
      <w:r w:rsidR="00282C6C">
        <w:rPr>
          <w:kern w:val="28"/>
          <w:lang w:val="en-CA"/>
        </w:rPr>
        <w:t>”</w:t>
      </w:r>
      <w:r w:rsidRPr="00B120AE">
        <w:rPr>
          <w:kern w:val="28"/>
          <w:lang w:val="en-CA"/>
        </w:rPr>
        <w:t>.</w:t>
      </w:r>
      <w:r w:rsidRPr="00B120AE">
        <w:rPr>
          <w:kern w:val="28"/>
          <w:vertAlign w:val="superscript"/>
          <w:lang w:val="en-CA"/>
        </w:rPr>
        <w:footnoteReference w:id="75"/>
      </w:r>
      <w:r w:rsidRPr="00B120AE">
        <w:rPr>
          <w:kern w:val="28"/>
          <w:lang w:val="en-CA"/>
        </w:rPr>
        <w:t xml:space="preserve"> As for the specific provisions that were being challenged, which related to vaping, he reiterated these objectives, specifying that the legislature sought to prevent vaping from inducing people to smoke through mimicry or a gateway effect, and he then added: </w:t>
      </w:r>
      <w:r w:rsidR="0078033F" w:rsidRPr="0078033F">
        <w:rPr>
          <w:smallCaps/>
          <w:kern w:val="28"/>
          <w:lang w:val="en-CA"/>
        </w:rPr>
        <w:t>[translation] </w:t>
      </w:r>
      <w:r w:rsidR="00282C6C">
        <w:rPr>
          <w:kern w:val="28"/>
          <w:lang w:val="en-CA"/>
        </w:rPr>
        <w:t>“</w:t>
      </w:r>
      <w:r w:rsidRPr="00B120AE">
        <w:rPr>
          <w:kern w:val="28"/>
          <w:lang w:val="en-CA"/>
        </w:rPr>
        <w:t>The legislature also seeks to protect e</w:t>
      </w:r>
      <w:r w:rsidR="00720901">
        <w:rPr>
          <w:kern w:val="28"/>
          <w:lang w:val="en-CA"/>
        </w:rPr>
        <w:noBreakHyphen/>
      </w:r>
      <w:r w:rsidRPr="00B120AE">
        <w:rPr>
          <w:kern w:val="28"/>
          <w:lang w:val="en-CA"/>
        </w:rPr>
        <w:t>cigarette users and non</w:t>
      </w:r>
      <w:r w:rsidR="00720901">
        <w:rPr>
          <w:kern w:val="28"/>
          <w:lang w:val="en-CA"/>
        </w:rPr>
        <w:noBreakHyphen/>
      </w:r>
      <w:r w:rsidRPr="00B120AE">
        <w:rPr>
          <w:kern w:val="28"/>
          <w:lang w:val="en-CA"/>
        </w:rPr>
        <w:t>users from the inherent risks of e</w:t>
      </w:r>
      <w:r w:rsidR="00720901">
        <w:rPr>
          <w:kern w:val="28"/>
          <w:lang w:val="en-CA"/>
        </w:rPr>
        <w:noBreakHyphen/>
      </w:r>
      <w:r w:rsidRPr="00B120AE">
        <w:rPr>
          <w:kern w:val="28"/>
          <w:lang w:val="en-CA"/>
        </w:rPr>
        <w:t>cigarettes.</w:t>
      </w:r>
      <w:r w:rsidR="00282C6C">
        <w:rPr>
          <w:kern w:val="28"/>
          <w:lang w:val="en-CA"/>
        </w:rPr>
        <w:t>”</w:t>
      </w:r>
      <w:r w:rsidRPr="00B120AE">
        <w:rPr>
          <w:kern w:val="28"/>
          <w:vertAlign w:val="superscript"/>
          <w:lang w:val="en-CA"/>
        </w:rPr>
        <w:footnoteReference w:id="76"/>
      </w:r>
      <w:r w:rsidRPr="00B120AE">
        <w:rPr>
          <w:kern w:val="28"/>
          <w:lang w:val="en-CA"/>
        </w:rPr>
        <w:t xml:space="preserve"> </w:t>
      </w:r>
    </w:p>
    <w:p w14:paraId="50852CBB" w14:textId="6C2A9508"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Relying on this precedent, the AGQ argues that the objective of the impugned legislative provisions is to limit non</w:t>
      </w:r>
      <w:r w:rsidR="00720901">
        <w:rPr>
          <w:kern w:val="28"/>
          <w:lang w:val="en-CA"/>
        </w:rPr>
        <w:noBreakHyphen/>
      </w:r>
      <w:r w:rsidRPr="00B120AE">
        <w:rPr>
          <w:kern w:val="28"/>
          <w:lang w:val="en-CA"/>
        </w:rPr>
        <w:t>smokers</w:t>
      </w:r>
      <w:r w:rsidR="00282C6C">
        <w:rPr>
          <w:kern w:val="28"/>
          <w:lang w:val="en-CA"/>
        </w:rPr>
        <w:t>’</w:t>
      </w:r>
      <w:r w:rsidRPr="00B120AE">
        <w:rPr>
          <w:kern w:val="28"/>
          <w:lang w:val="en-CA"/>
        </w:rPr>
        <w:t xml:space="preserve"> exposure to second</w:t>
      </w:r>
      <w:r w:rsidR="00720901">
        <w:rPr>
          <w:kern w:val="28"/>
          <w:lang w:val="en-CA"/>
        </w:rPr>
        <w:noBreakHyphen/>
      </w:r>
      <w:r w:rsidRPr="00B120AE">
        <w:rPr>
          <w:kern w:val="28"/>
          <w:lang w:val="en-CA"/>
        </w:rPr>
        <w:t xml:space="preserve">hand smoke. He does not defend the infringing measure </w:t>
      </w:r>
      <w:proofErr w:type="gramStart"/>
      <w:r w:rsidRPr="00B120AE">
        <w:rPr>
          <w:kern w:val="28"/>
          <w:lang w:val="en-CA"/>
        </w:rPr>
        <w:t>on the basis of</w:t>
      </w:r>
      <w:proofErr w:type="gramEnd"/>
      <w:r w:rsidRPr="00B120AE">
        <w:rPr>
          <w:kern w:val="28"/>
          <w:lang w:val="en-CA"/>
        </w:rPr>
        <w:t xml:space="preserve"> the </w:t>
      </w:r>
      <w:r w:rsidRPr="00B120AE">
        <w:rPr>
          <w:i/>
          <w:iCs/>
          <w:kern w:val="28"/>
          <w:lang w:val="en-CA"/>
        </w:rPr>
        <w:t>Act</w:t>
      </w:r>
      <w:r w:rsidR="00282C6C">
        <w:rPr>
          <w:kern w:val="28"/>
          <w:lang w:val="en-CA"/>
        </w:rPr>
        <w:t>’</w:t>
      </w:r>
      <w:r w:rsidRPr="00B120AE">
        <w:rPr>
          <w:kern w:val="28"/>
          <w:lang w:val="en-CA"/>
        </w:rPr>
        <w:t>s other two objectives — i.e.,</w:t>
      </w:r>
      <w:r w:rsidR="00B1112E">
        <w:rPr>
          <w:kern w:val="28"/>
          <w:lang w:val="en-CA"/>
        </w:rPr>
        <w:t> </w:t>
      </w:r>
      <w:r w:rsidRPr="00B120AE">
        <w:rPr>
          <w:kern w:val="28"/>
          <w:lang w:val="en-CA"/>
        </w:rPr>
        <w:t xml:space="preserve">prevent the use of tobacco products, particularly by youth, and encourage those who want to quit smoking. Consequently, he did not present any evidence in connection with these objectives. I will nevertheless consider each of them. </w:t>
      </w:r>
    </w:p>
    <w:p w14:paraId="50852CBC" w14:textId="4B7D273C"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 xml:space="preserve">The prohibition against smoking in enclosed spaces where activities of a cultural or artistic nature are presented was introduced in 1986 </w:t>
      </w:r>
      <w:r w:rsidR="009D64E3">
        <w:rPr>
          <w:kern w:val="28"/>
          <w:lang w:val="en-CA"/>
        </w:rPr>
        <w:t>by</w:t>
      </w:r>
      <w:r w:rsidRPr="00B120AE">
        <w:rPr>
          <w:kern w:val="28"/>
          <w:lang w:val="en-CA"/>
        </w:rPr>
        <w:t xml:space="preserve"> </w:t>
      </w:r>
      <w:r w:rsidR="008742D0">
        <w:rPr>
          <w:kern w:val="28"/>
          <w:lang w:val="en-CA"/>
        </w:rPr>
        <w:t>s. 1</w:t>
      </w:r>
      <w:r w:rsidRPr="00B120AE">
        <w:rPr>
          <w:kern w:val="28"/>
          <w:lang w:val="en-CA"/>
        </w:rPr>
        <w:t xml:space="preserve">5 of the </w:t>
      </w:r>
      <w:r w:rsidRPr="00B120AE">
        <w:rPr>
          <w:i/>
          <w:iCs/>
          <w:kern w:val="28"/>
          <w:lang w:val="en-CA"/>
        </w:rPr>
        <w:t>Act respecting the protection of non</w:t>
      </w:r>
      <w:r w:rsidR="00720901">
        <w:rPr>
          <w:i/>
          <w:iCs/>
          <w:kern w:val="28"/>
          <w:lang w:val="en-CA"/>
        </w:rPr>
        <w:noBreakHyphen/>
      </w:r>
      <w:r w:rsidRPr="00B120AE">
        <w:rPr>
          <w:i/>
          <w:iCs/>
          <w:kern w:val="28"/>
          <w:lang w:val="en-CA"/>
        </w:rPr>
        <w:t>smokers in certain public places</w:t>
      </w:r>
      <w:r w:rsidRPr="00B120AE">
        <w:rPr>
          <w:kern w:val="28"/>
          <w:lang w:val="en-CA"/>
        </w:rPr>
        <w:t>.</w:t>
      </w:r>
      <w:r w:rsidRPr="00B120AE">
        <w:rPr>
          <w:kern w:val="28"/>
          <w:vertAlign w:val="superscript"/>
          <w:lang w:val="en-CA"/>
        </w:rPr>
        <w:footnoteReference w:id="77"/>
      </w:r>
      <w:r w:rsidRPr="00B120AE">
        <w:rPr>
          <w:kern w:val="28"/>
          <w:lang w:val="en-CA"/>
        </w:rPr>
        <w:t xml:space="preserve"> This provision appeared in Chapter</w:t>
      </w:r>
      <w:r w:rsidR="00D6391F">
        <w:rPr>
          <w:kern w:val="28"/>
          <w:lang w:val="en-CA"/>
        </w:rPr>
        <w:t> </w:t>
      </w:r>
      <w:r w:rsidRPr="00B120AE">
        <w:rPr>
          <w:kern w:val="28"/>
          <w:lang w:val="en-CA"/>
        </w:rPr>
        <w:t xml:space="preserve">II, entitled </w:t>
      </w:r>
      <w:r w:rsidR="00282C6C">
        <w:rPr>
          <w:kern w:val="28"/>
          <w:lang w:val="en-CA"/>
        </w:rPr>
        <w:t>“</w:t>
      </w:r>
      <w:r w:rsidRPr="00B120AE">
        <w:rPr>
          <w:kern w:val="28"/>
          <w:lang w:val="en-CA"/>
        </w:rPr>
        <w:t>Protection of Non‑Smokers</w:t>
      </w:r>
      <w:r w:rsidR="00282C6C">
        <w:rPr>
          <w:kern w:val="28"/>
          <w:lang w:val="en-CA"/>
        </w:rPr>
        <w:t>”</w:t>
      </w:r>
      <w:r w:rsidRPr="00B120AE">
        <w:rPr>
          <w:kern w:val="28"/>
          <w:lang w:val="en-CA"/>
        </w:rPr>
        <w:t>, under Division</w:t>
      </w:r>
      <w:r w:rsidR="00D6391F">
        <w:rPr>
          <w:kern w:val="28"/>
          <w:lang w:val="en-CA"/>
        </w:rPr>
        <w:t> </w:t>
      </w:r>
      <w:r w:rsidRPr="00B120AE">
        <w:rPr>
          <w:kern w:val="28"/>
          <w:lang w:val="en-CA"/>
        </w:rPr>
        <w:t xml:space="preserve">III, </w:t>
      </w:r>
      <w:r w:rsidR="00282C6C">
        <w:rPr>
          <w:kern w:val="28"/>
          <w:lang w:val="en-CA"/>
        </w:rPr>
        <w:t>“</w:t>
      </w:r>
      <w:r w:rsidRPr="00B120AE">
        <w:rPr>
          <w:kern w:val="28"/>
          <w:lang w:val="en-CA"/>
        </w:rPr>
        <w:t>Miscellaneous Places</w:t>
      </w:r>
      <w:r w:rsidR="00282C6C">
        <w:rPr>
          <w:kern w:val="28"/>
          <w:lang w:val="en-CA"/>
        </w:rPr>
        <w:t>”</w:t>
      </w:r>
      <w:r w:rsidRPr="00B120AE">
        <w:rPr>
          <w:kern w:val="28"/>
          <w:lang w:val="en-CA"/>
        </w:rPr>
        <w:t xml:space="preserve">. Section 1 specified that the object of the statute was to </w:t>
      </w:r>
      <w:r w:rsidR="00282C6C">
        <w:rPr>
          <w:kern w:val="28"/>
          <w:lang w:val="en-CA"/>
        </w:rPr>
        <w:t>“</w:t>
      </w:r>
      <w:r w:rsidRPr="00B120AE">
        <w:rPr>
          <w:kern w:val="28"/>
          <w:lang w:val="en-CA"/>
        </w:rPr>
        <w:t>regulate the use of tobacco in certain public places with a view to ensuring better protection for the health and well</w:t>
      </w:r>
      <w:r w:rsidR="00720901">
        <w:rPr>
          <w:kern w:val="28"/>
          <w:lang w:val="en-CA"/>
        </w:rPr>
        <w:noBreakHyphen/>
      </w:r>
      <w:r w:rsidRPr="00B120AE">
        <w:rPr>
          <w:kern w:val="28"/>
          <w:lang w:val="en-CA"/>
        </w:rPr>
        <w:t>being of non</w:t>
      </w:r>
      <w:r w:rsidR="00720901">
        <w:rPr>
          <w:kern w:val="28"/>
          <w:lang w:val="en-CA"/>
        </w:rPr>
        <w:noBreakHyphen/>
      </w:r>
      <w:r w:rsidRPr="00B120AE">
        <w:rPr>
          <w:kern w:val="28"/>
          <w:lang w:val="en-CA"/>
        </w:rPr>
        <w:t>smokers</w:t>
      </w:r>
      <w:r w:rsidR="00282C6C">
        <w:rPr>
          <w:kern w:val="28"/>
          <w:lang w:val="en-CA"/>
        </w:rPr>
        <w:t>”</w:t>
      </w:r>
      <w:r w:rsidRPr="00B120AE">
        <w:rPr>
          <w:kern w:val="28"/>
          <w:lang w:val="en-CA"/>
        </w:rPr>
        <w:t xml:space="preserve">. This ban was reiterated in 1998 in the </w:t>
      </w:r>
      <w:r w:rsidRPr="00B120AE">
        <w:rPr>
          <w:i/>
          <w:iCs/>
          <w:kern w:val="28"/>
          <w:lang w:val="en-CA"/>
        </w:rPr>
        <w:t>Tobacco Act</w:t>
      </w:r>
      <w:r w:rsidRPr="00B120AE">
        <w:rPr>
          <w:kern w:val="28"/>
          <w:lang w:val="en-CA"/>
        </w:rPr>
        <w:t>,</w:t>
      </w:r>
      <w:r w:rsidRPr="00B120AE">
        <w:rPr>
          <w:kern w:val="28"/>
          <w:vertAlign w:val="superscript"/>
          <w:lang w:val="en-CA"/>
        </w:rPr>
        <w:footnoteReference w:id="78"/>
      </w:r>
      <w:r w:rsidRPr="00B120AE">
        <w:rPr>
          <w:kern w:val="28"/>
          <w:lang w:val="en-CA"/>
        </w:rPr>
        <w:t xml:space="preserve"> whose title became the </w:t>
      </w:r>
      <w:r w:rsidRPr="00B120AE">
        <w:rPr>
          <w:i/>
          <w:iCs/>
          <w:kern w:val="28"/>
          <w:lang w:val="en-CA"/>
        </w:rPr>
        <w:t>Tobacco Control Act</w:t>
      </w:r>
      <w:r w:rsidRPr="00B120AE">
        <w:rPr>
          <w:kern w:val="28"/>
          <w:lang w:val="en-CA"/>
        </w:rPr>
        <w:t xml:space="preserve"> in 2015. The parliamentary debates at the various stages of the legislative process refer to this objective on numerous occasions. For example, in 1986, Clifford Lincoln, the then Minister of the Environment, emphasized: </w:t>
      </w:r>
    </w:p>
    <w:p w14:paraId="3BAC846F" w14:textId="77777777" w:rsidR="00290F48" w:rsidRDefault="001C0031" w:rsidP="00E524EA">
      <w:pPr>
        <w:spacing w:before="120" w:after="120" w:line="240" w:lineRule="auto"/>
        <w:ind w:left="720" w:right="720"/>
        <w:jc w:val="both"/>
        <w:rPr>
          <w:kern w:val="24"/>
          <w:sz w:val="22"/>
          <w:lang w:val="en-CA"/>
        </w:rPr>
      </w:pPr>
      <w:r w:rsidRPr="00B120AE">
        <w:rPr>
          <w:kern w:val="24"/>
          <w:sz w:val="22"/>
          <w:lang w:val="en-CA"/>
        </w:rPr>
        <w:t>[</w:t>
      </w:r>
      <w:r w:rsidR="004D6ECE" w:rsidRPr="00E4008E">
        <w:rPr>
          <w:smallCaps/>
          <w:kern w:val="24"/>
          <w:sz w:val="22"/>
          <w:lang w:val="en-CA"/>
        </w:rPr>
        <w:t>translation</w:t>
      </w:r>
      <w:r w:rsidRPr="00B120AE">
        <w:rPr>
          <w:kern w:val="24"/>
          <w:sz w:val="22"/>
          <w:lang w:val="en-CA"/>
        </w:rPr>
        <w:t>]</w:t>
      </w:r>
    </w:p>
    <w:p w14:paraId="50852CBD" w14:textId="3771F5D2"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 The intention is to regulate the use of tobacco in certain public places, and the objective of the Act is to preserve non</w:t>
      </w:r>
      <w:r w:rsidR="00720901">
        <w:rPr>
          <w:kern w:val="24"/>
          <w:sz w:val="22"/>
          <w:lang w:val="en-CA"/>
        </w:rPr>
        <w:noBreakHyphen/>
      </w:r>
      <w:r w:rsidRPr="00B120AE">
        <w:rPr>
          <w:kern w:val="24"/>
          <w:sz w:val="22"/>
          <w:lang w:val="en-CA"/>
        </w:rPr>
        <w:t>smokers</w:t>
      </w:r>
      <w:r w:rsidR="00282C6C">
        <w:rPr>
          <w:kern w:val="24"/>
          <w:sz w:val="22"/>
          <w:lang w:val="en-CA"/>
        </w:rPr>
        <w:t>’</w:t>
      </w:r>
      <w:r w:rsidRPr="00B120AE">
        <w:rPr>
          <w:kern w:val="24"/>
          <w:sz w:val="22"/>
          <w:lang w:val="en-CA"/>
        </w:rPr>
        <w:t xml:space="preserve"> rights to health and well</w:t>
      </w:r>
      <w:r w:rsidR="00720901">
        <w:rPr>
          <w:kern w:val="24"/>
          <w:sz w:val="22"/>
          <w:lang w:val="en-CA"/>
        </w:rPr>
        <w:noBreakHyphen/>
      </w:r>
      <w:r w:rsidRPr="00B120AE">
        <w:rPr>
          <w:kern w:val="24"/>
          <w:sz w:val="22"/>
          <w:lang w:val="en-CA"/>
        </w:rPr>
        <w:t>being, which is what they</w:t>
      </w:r>
      <w:r w:rsidR="00282C6C">
        <w:rPr>
          <w:kern w:val="24"/>
          <w:sz w:val="22"/>
          <w:lang w:val="en-CA"/>
        </w:rPr>
        <w:t>’</w:t>
      </w:r>
      <w:r w:rsidRPr="00B120AE">
        <w:rPr>
          <w:kern w:val="24"/>
          <w:sz w:val="22"/>
          <w:lang w:val="en-CA"/>
        </w:rPr>
        <w:t>re asking for. […]</w:t>
      </w:r>
    </w:p>
    <w:p w14:paraId="50852CBE" w14:textId="02225CA4"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 So it</w:t>
      </w:r>
      <w:r w:rsidR="00282C6C">
        <w:rPr>
          <w:kern w:val="24"/>
          <w:sz w:val="22"/>
          <w:lang w:val="en-CA"/>
        </w:rPr>
        <w:t>’</w:t>
      </w:r>
      <w:r w:rsidRPr="00B120AE">
        <w:rPr>
          <w:kern w:val="24"/>
          <w:sz w:val="22"/>
          <w:lang w:val="en-CA"/>
        </w:rPr>
        <w:t>s not a total ban, it</w:t>
      </w:r>
      <w:r w:rsidR="00282C6C">
        <w:rPr>
          <w:kern w:val="24"/>
          <w:sz w:val="22"/>
          <w:lang w:val="en-CA"/>
        </w:rPr>
        <w:t>’</w:t>
      </w:r>
      <w:r w:rsidRPr="00B120AE">
        <w:rPr>
          <w:kern w:val="24"/>
          <w:sz w:val="22"/>
          <w:lang w:val="en-CA"/>
        </w:rPr>
        <w:t>s a ban in certain places. It</w:t>
      </w:r>
      <w:r w:rsidR="00282C6C">
        <w:rPr>
          <w:kern w:val="24"/>
          <w:sz w:val="22"/>
          <w:lang w:val="en-CA"/>
        </w:rPr>
        <w:t>’</w:t>
      </w:r>
      <w:r w:rsidRPr="00B120AE">
        <w:rPr>
          <w:kern w:val="24"/>
          <w:sz w:val="22"/>
          <w:lang w:val="en-CA"/>
        </w:rPr>
        <w:t>s a permission in other places. That</w:t>
      </w:r>
      <w:r w:rsidR="00282C6C">
        <w:rPr>
          <w:kern w:val="24"/>
          <w:sz w:val="22"/>
          <w:lang w:val="en-CA"/>
        </w:rPr>
        <w:t>’</w:t>
      </w:r>
      <w:r w:rsidRPr="00B120AE">
        <w:rPr>
          <w:kern w:val="24"/>
          <w:sz w:val="22"/>
          <w:lang w:val="en-CA"/>
        </w:rPr>
        <w:t xml:space="preserve">s why </w:t>
      </w:r>
      <w:r w:rsidR="00282C6C">
        <w:rPr>
          <w:kern w:val="24"/>
          <w:sz w:val="22"/>
          <w:lang w:val="en-CA"/>
        </w:rPr>
        <w:t>“</w:t>
      </w:r>
      <w:r w:rsidRPr="00B120AE">
        <w:rPr>
          <w:kern w:val="24"/>
          <w:sz w:val="22"/>
          <w:lang w:val="en-CA"/>
        </w:rPr>
        <w:t>regulate</w:t>
      </w:r>
      <w:r w:rsidR="00282C6C">
        <w:rPr>
          <w:kern w:val="24"/>
          <w:sz w:val="22"/>
          <w:lang w:val="en-CA"/>
        </w:rPr>
        <w:t>”</w:t>
      </w:r>
      <w:r w:rsidRPr="00B120AE">
        <w:rPr>
          <w:kern w:val="24"/>
          <w:sz w:val="22"/>
          <w:lang w:val="en-CA"/>
        </w:rPr>
        <w:t xml:space="preserve"> was used, to indicate that it means to manage, to control, and to allow in certain cases, or exclude in others. […] The fundamental objective of the Act is to recognize certain rights for non‑smokers who are requesting them. That is the purpose of the Act. Those rights had not been recognized until now. That</w:t>
      </w:r>
      <w:r w:rsidR="00282C6C">
        <w:rPr>
          <w:kern w:val="24"/>
          <w:sz w:val="22"/>
          <w:lang w:val="en-CA"/>
        </w:rPr>
        <w:t>’</w:t>
      </w:r>
      <w:r w:rsidRPr="00B120AE">
        <w:rPr>
          <w:kern w:val="24"/>
          <w:sz w:val="22"/>
          <w:lang w:val="en-CA"/>
        </w:rPr>
        <w:t>s the very meaning of the Act. Otherwise</w:t>
      </w:r>
      <w:r w:rsidR="0041750A">
        <w:rPr>
          <w:kern w:val="24"/>
          <w:sz w:val="22"/>
          <w:lang w:val="en-CA"/>
        </w:rPr>
        <w:t>,</w:t>
      </w:r>
      <w:r w:rsidRPr="00B120AE">
        <w:rPr>
          <w:kern w:val="24"/>
          <w:sz w:val="22"/>
          <w:lang w:val="en-CA"/>
        </w:rPr>
        <w:t xml:space="preserve"> there would not have been an Act. Clearly, right now, without such a law, one could smoke anywhere. So that</w:t>
      </w:r>
      <w:r w:rsidR="00282C6C">
        <w:rPr>
          <w:kern w:val="24"/>
          <w:sz w:val="22"/>
          <w:lang w:val="en-CA"/>
        </w:rPr>
        <w:t>’</w:t>
      </w:r>
      <w:r w:rsidRPr="00B120AE">
        <w:rPr>
          <w:kern w:val="24"/>
          <w:sz w:val="22"/>
          <w:lang w:val="en-CA"/>
        </w:rPr>
        <w:t>s precisely the idea, to give non</w:t>
      </w:r>
      <w:r w:rsidR="00720901">
        <w:rPr>
          <w:kern w:val="24"/>
          <w:sz w:val="22"/>
          <w:lang w:val="en-CA"/>
        </w:rPr>
        <w:noBreakHyphen/>
      </w:r>
      <w:r w:rsidRPr="00B120AE">
        <w:rPr>
          <w:kern w:val="24"/>
          <w:sz w:val="22"/>
          <w:lang w:val="en-CA"/>
        </w:rPr>
        <w:t>smokers certain rights in certain places.</w:t>
      </w:r>
      <w:r w:rsidRPr="00B120AE">
        <w:rPr>
          <w:kern w:val="24"/>
          <w:sz w:val="22"/>
          <w:vertAlign w:val="superscript"/>
          <w:lang w:val="en-CA"/>
        </w:rPr>
        <w:footnoteReference w:id="79"/>
      </w:r>
    </w:p>
    <w:p w14:paraId="50852CBF" w14:textId="00CF8F0F"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Over the course of amendments, the legislature broadened the places and devices covered by the legislation in order to include, among other things, new enclosed public spaces as well as herbal cigarettes.</w:t>
      </w:r>
      <w:r w:rsidRPr="00B120AE">
        <w:rPr>
          <w:kern w:val="28"/>
          <w:vertAlign w:val="superscript"/>
          <w:lang w:val="en-CA"/>
        </w:rPr>
        <w:footnoteReference w:id="80"/>
      </w:r>
      <w:r w:rsidRPr="00B120AE">
        <w:rPr>
          <w:kern w:val="28"/>
          <w:lang w:val="en-CA"/>
        </w:rPr>
        <w:t xml:space="preserve"> In so doing, it maintained its objective, that of protecting the health and well</w:t>
      </w:r>
      <w:r w:rsidR="00720901">
        <w:rPr>
          <w:kern w:val="28"/>
          <w:lang w:val="en-CA"/>
        </w:rPr>
        <w:noBreakHyphen/>
      </w:r>
      <w:r w:rsidRPr="00B120AE">
        <w:rPr>
          <w:kern w:val="28"/>
          <w:lang w:val="en-CA"/>
        </w:rPr>
        <w:t>being of non</w:t>
      </w:r>
      <w:r w:rsidR="00720901">
        <w:rPr>
          <w:kern w:val="28"/>
          <w:lang w:val="en-CA"/>
        </w:rPr>
        <w:noBreakHyphen/>
      </w:r>
      <w:r w:rsidRPr="00B120AE">
        <w:rPr>
          <w:kern w:val="28"/>
          <w:lang w:val="en-CA"/>
        </w:rPr>
        <w:t>smokers by controlling second</w:t>
      </w:r>
      <w:r w:rsidR="00720901">
        <w:rPr>
          <w:kern w:val="28"/>
          <w:lang w:val="en-CA"/>
        </w:rPr>
        <w:noBreakHyphen/>
      </w:r>
      <w:r w:rsidRPr="00B120AE">
        <w:rPr>
          <w:kern w:val="28"/>
          <w:lang w:val="en-CA"/>
        </w:rPr>
        <w:t xml:space="preserve">hand smoke in enclosed public places, including those where cultural or artistic activities are </w:t>
      </w:r>
      <w:r w:rsidRPr="00B120AE">
        <w:rPr>
          <w:kern w:val="28"/>
          <w:lang w:val="en-CA"/>
        </w:rPr>
        <w:lastRenderedPageBreak/>
        <w:t>presented. I have no hesitation in concluding that this is an important, pressing and substantial objective.</w:t>
      </w:r>
      <w:r w:rsidRPr="00B120AE">
        <w:rPr>
          <w:kern w:val="28"/>
          <w:vertAlign w:val="superscript"/>
          <w:lang w:val="en-CA"/>
        </w:rPr>
        <w:footnoteReference w:id="81"/>
      </w:r>
    </w:p>
    <w:p w14:paraId="50852CC0" w14:textId="786F849B"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As for the objectives of supporting smoking cessation and preventing the use of tobacco products, particularly among young people, the judge emphasized in his reasons that </w:t>
      </w:r>
      <w:r w:rsidR="0078033F" w:rsidRPr="0078033F">
        <w:rPr>
          <w:smallCaps/>
          <w:kern w:val="28"/>
          <w:lang w:val="en-CA"/>
        </w:rPr>
        <w:t>[translation] </w:t>
      </w:r>
      <w:r w:rsidR="00282C6C">
        <w:rPr>
          <w:kern w:val="28"/>
          <w:lang w:val="en-CA"/>
        </w:rPr>
        <w:t>“</w:t>
      </w:r>
      <w:r w:rsidRPr="00B120AE">
        <w:rPr>
          <w:kern w:val="28"/>
          <w:lang w:val="en-CA"/>
        </w:rPr>
        <w:t>the act of smoking in a play</w:t>
      </w:r>
      <w:r w:rsidR="00282C6C">
        <w:rPr>
          <w:kern w:val="28"/>
          <w:lang w:val="en-CA"/>
        </w:rPr>
        <w:t>”</w:t>
      </w:r>
      <w:r w:rsidRPr="00B120AE">
        <w:rPr>
          <w:kern w:val="28"/>
          <w:lang w:val="en-CA"/>
        </w:rPr>
        <w:t xml:space="preserve"> must be weighed against </w:t>
      </w:r>
      <w:r w:rsidR="0078033F" w:rsidRPr="0078033F">
        <w:rPr>
          <w:smallCaps/>
          <w:kern w:val="28"/>
          <w:lang w:val="en-CA"/>
        </w:rPr>
        <w:t>[translation] </w:t>
      </w:r>
      <w:r w:rsidR="00282C6C">
        <w:rPr>
          <w:kern w:val="28"/>
          <w:lang w:val="en-CA"/>
        </w:rPr>
        <w:t>“</w:t>
      </w:r>
      <w:r w:rsidRPr="00B120AE">
        <w:rPr>
          <w:kern w:val="28"/>
          <w:lang w:val="en-CA"/>
        </w:rPr>
        <w:t>the risks that they [spectators] may be encouraged to smoke</w:t>
      </w:r>
      <w:r w:rsidR="00282C6C">
        <w:rPr>
          <w:kern w:val="28"/>
          <w:lang w:val="en-CA"/>
        </w:rPr>
        <w:t>”</w:t>
      </w:r>
      <w:r w:rsidRPr="00B120AE">
        <w:rPr>
          <w:kern w:val="28"/>
          <w:lang w:val="en-CA"/>
        </w:rPr>
        <w:t>.</w:t>
      </w:r>
      <w:r w:rsidRPr="00B120AE">
        <w:rPr>
          <w:kern w:val="28"/>
          <w:vertAlign w:val="superscript"/>
          <w:lang w:val="en-CA"/>
        </w:rPr>
        <w:footnoteReference w:id="82"/>
      </w:r>
      <w:r w:rsidRPr="00B120AE">
        <w:rPr>
          <w:kern w:val="28"/>
          <w:lang w:val="en-CA"/>
        </w:rPr>
        <w:t xml:space="preserve"> The ban, however, pertains to smoking a product that emits an inhalable substance, not to depicting the act of smoking, as the AGQ has acknowledged. Thus, the purpose cannot really be to support smoking cessation and prevent the use of tobacco products, since such a depiction can have the same effect. On this point, I note that the AGQ has presented no evidence to show that a character</w:t>
      </w:r>
      <w:r w:rsidR="00282C6C">
        <w:rPr>
          <w:kern w:val="28"/>
          <w:lang w:val="en-CA"/>
        </w:rPr>
        <w:t>’</w:t>
      </w:r>
      <w:r w:rsidRPr="00B120AE">
        <w:rPr>
          <w:kern w:val="28"/>
          <w:lang w:val="en-CA"/>
        </w:rPr>
        <w:t xml:space="preserve">s inhalation of smoke would have a greater influence than a depiction of the act of smoking, and </w:t>
      </w:r>
      <w:r w:rsidR="00340B55">
        <w:rPr>
          <w:kern w:val="28"/>
          <w:lang w:val="en-CA"/>
        </w:rPr>
        <w:t xml:space="preserve">I further note that </w:t>
      </w:r>
      <w:r w:rsidRPr="00B120AE">
        <w:rPr>
          <w:kern w:val="28"/>
          <w:lang w:val="en-CA"/>
        </w:rPr>
        <w:t>film and television productions are in no way restricted in this regard.</w:t>
      </w:r>
      <w:r w:rsidRPr="00B120AE">
        <w:rPr>
          <w:kern w:val="28"/>
          <w:vertAlign w:val="superscript"/>
          <w:lang w:val="en-CA"/>
        </w:rPr>
        <w:footnoteReference w:id="83"/>
      </w:r>
      <w:r w:rsidR="00287AE9">
        <w:rPr>
          <w:kern w:val="28"/>
          <w:lang w:val="en-CA"/>
        </w:rPr>
        <w:t xml:space="preserve"> </w:t>
      </w:r>
    </w:p>
    <w:p w14:paraId="50852CC1" w14:textId="6287151C"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In short, the record </w:t>
      </w:r>
      <w:proofErr w:type="gramStart"/>
      <w:r w:rsidRPr="00B120AE">
        <w:rPr>
          <w:kern w:val="28"/>
          <w:lang w:val="en-CA"/>
        </w:rPr>
        <w:t>as a whole supports</w:t>
      </w:r>
      <w:proofErr w:type="gramEnd"/>
      <w:r w:rsidRPr="00B120AE">
        <w:rPr>
          <w:kern w:val="28"/>
          <w:lang w:val="en-CA"/>
        </w:rPr>
        <w:t xml:space="preserve"> the conclusion that the objective of the infringing measure on which the analysis must focus is to ensure the protection of non</w:t>
      </w:r>
      <w:r w:rsidR="00720901">
        <w:rPr>
          <w:kern w:val="28"/>
          <w:lang w:val="en-CA"/>
        </w:rPr>
        <w:noBreakHyphen/>
      </w:r>
      <w:r w:rsidRPr="00B120AE">
        <w:rPr>
          <w:kern w:val="28"/>
          <w:lang w:val="en-CA"/>
        </w:rPr>
        <w:t>smokers from exposure to second</w:t>
      </w:r>
      <w:r w:rsidR="00720901">
        <w:rPr>
          <w:kern w:val="28"/>
          <w:lang w:val="en-CA"/>
        </w:rPr>
        <w:noBreakHyphen/>
      </w:r>
      <w:r w:rsidRPr="00B120AE">
        <w:rPr>
          <w:kern w:val="28"/>
          <w:lang w:val="en-CA"/>
        </w:rPr>
        <w:t xml:space="preserve">hand smoke, as the AGQ has pleaded, and that this is an important, pressing and substantial objective. </w:t>
      </w:r>
    </w:p>
    <w:p w14:paraId="50852CC2" w14:textId="77777777" w:rsidR="00E524EA" w:rsidRPr="00B120AE" w:rsidRDefault="001C0031" w:rsidP="00E524EA">
      <w:pPr>
        <w:keepNext/>
        <w:numPr>
          <w:ilvl w:val="0"/>
          <w:numId w:val="22"/>
        </w:numPr>
        <w:tabs>
          <w:tab w:val="num" w:pos="993"/>
        </w:tabs>
        <w:spacing w:before="120" w:after="120" w:line="240" w:lineRule="auto"/>
        <w:outlineLvl w:val="2"/>
        <w:rPr>
          <w:b/>
          <w:bCs/>
          <w:lang w:val="en-CA"/>
        </w:rPr>
      </w:pPr>
      <w:r w:rsidRPr="00B120AE">
        <w:rPr>
          <w:b/>
          <w:bCs/>
          <w:lang w:val="en-CA"/>
        </w:rPr>
        <w:t>Proportionality</w:t>
      </w:r>
    </w:p>
    <w:p w14:paraId="50852CC3" w14:textId="595EF4A1" w:rsidR="00E524EA" w:rsidRPr="00B120AE" w:rsidRDefault="00463E66" w:rsidP="00E524EA">
      <w:pPr>
        <w:numPr>
          <w:ilvl w:val="0"/>
          <w:numId w:val="18"/>
        </w:numPr>
        <w:tabs>
          <w:tab w:val="clear" w:pos="720"/>
          <w:tab w:val="num" w:pos="993"/>
        </w:tabs>
        <w:spacing w:before="120" w:after="120" w:line="240" w:lineRule="auto"/>
        <w:jc w:val="both"/>
        <w:rPr>
          <w:kern w:val="28"/>
          <w:lang w:val="en-CA"/>
        </w:rPr>
      </w:pPr>
      <w:r>
        <w:rPr>
          <w:kern w:val="28"/>
          <w:lang w:val="en-CA"/>
        </w:rPr>
        <w:t>The</w:t>
      </w:r>
      <w:r w:rsidR="001C0031" w:rsidRPr="00B120AE">
        <w:rPr>
          <w:kern w:val="28"/>
          <w:lang w:val="en-CA"/>
        </w:rPr>
        <w:t xml:space="preserve"> proportionality analysis </w:t>
      </w:r>
      <w:proofErr w:type="gramStart"/>
      <w:r w:rsidR="001C0031" w:rsidRPr="00B120AE">
        <w:rPr>
          <w:kern w:val="28"/>
          <w:lang w:val="en-CA"/>
        </w:rPr>
        <w:t>takes into account</w:t>
      </w:r>
      <w:proofErr w:type="gramEnd"/>
      <w:r w:rsidR="001C0031" w:rsidRPr="00B120AE">
        <w:rPr>
          <w:kern w:val="28"/>
          <w:lang w:val="en-CA"/>
        </w:rPr>
        <w:t xml:space="preserve"> the nature of the infringement and the means by which the legislature has chosen to pursue its objective. As part of this exercise, </w:t>
      </w:r>
      <w:r w:rsidR="00282C6C">
        <w:rPr>
          <w:kern w:val="28"/>
          <w:lang w:val="en-CA"/>
        </w:rPr>
        <w:t>“</w:t>
      </w:r>
      <w:r w:rsidR="001C0031" w:rsidRPr="00B120AE">
        <w:rPr>
          <w:kern w:val="28"/>
          <w:lang w:val="en-CA"/>
        </w:rPr>
        <w:t>[s]</w:t>
      </w:r>
      <w:proofErr w:type="spellStart"/>
      <w:r w:rsidR="001C0031" w:rsidRPr="00B120AE">
        <w:rPr>
          <w:kern w:val="28"/>
          <w:lang w:val="en-CA"/>
        </w:rPr>
        <w:t>ome</w:t>
      </w:r>
      <w:proofErr w:type="spellEnd"/>
      <w:r w:rsidR="001C0031" w:rsidRPr="00B120AE">
        <w:rPr>
          <w:kern w:val="28"/>
          <w:lang w:val="en-CA"/>
        </w:rPr>
        <w:t xml:space="preserve"> level of judicial deference is required, as </w:t>
      </w:r>
      <w:r w:rsidR="008742D0">
        <w:rPr>
          <w:kern w:val="28"/>
          <w:lang w:val="en-CA"/>
        </w:rPr>
        <w:t>s. 1</w:t>
      </w:r>
      <w:r w:rsidR="001C0031" w:rsidRPr="00B120AE">
        <w:rPr>
          <w:kern w:val="28"/>
          <w:lang w:val="en-CA"/>
        </w:rPr>
        <w:t xml:space="preserve"> merely requires that the limits be </w:t>
      </w:r>
      <w:r w:rsidR="00282C6C">
        <w:rPr>
          <w:kern w:val="28"/>
          <w:lang w:val="en-CA"/>
        </w:rPr>
        <w:t>‘</w:t>
      </w:r>
      <w:r w:rsidR="001C0031" w:rsidRPr="00B120AE">
        <w:rPr>
          <w:kern w:val="28"/>
          <w:lang w:val="en-CA"/>
        </w:rPr>
        <w:t>reasonable</w:t>
      </w:r>
      <w:r w:rsidR="00282C6C">
        <w:rPr>
          <w:kern w:val="28"/>
          <w:lang w:val="en-CA"/>
        </w:rPr>
        <w:t>’”</w:t>
      </w:r>
      <w:r w:rsidR="001C0031" w:rsidRPr="00B120AE">
        <w:rPr>
          <w:kern w:val="28"/>
          <w:lang w:val="en-CA"/>
        </w:rPr>
        <w:t>.</w:t>
      </w:r>
      <w:r w:rsidR="001C0031" w:rsidRPr="00B120AE">
        <w:rPr>
          <w:kern w:val="28"/>
          <w:vertAlign w:val="superscript"/>
          <w:lang w:val="en-CA"/>
        </w:rPr>
        <w:footnoteReference w:id="84"/>
      </w:r>
      <w:r w:rsidR="001C0031" w:rsidRPr="00B120AE">
        <w:rPr>
          <w:kern w:val="28"/>
          <w:lang w:val="en-CA"/>
        </w:rPr>
        <w:t xml:space="preserve"> However, an absolute ban on a fundamental right, such as the complete censorship of a mode of expression in the context of artistic freedom, which </w:t>
      </w:r>
      <w:r w:rsidR="00344414">
        <w:rPr>
          <w:kern w:val="28"/>
          <w:lang w:val="en-CA"/>
        </w:rPr>
        <w:t xml:space="preserve">lies at </w:t>
      </w:r>
      <w:r w:rsidR="001C0031" w:rsidRPr="00B120AE">
        <w:rPr>
          <w:kern w:val="28"/>
          <w:lang w:val="en-CA"/>
        </w:rPr>
        <w:t xml:space="preserve">the heart of the values protected by the charters, will require </w:t>
      </w:r>
      <w:r w:rsidR="009A0AB2">
        <w:rPr>
          <w:kern w:val="28"/>
          <w:lang w:val="en-CA"/>
        </w:rPr>
        <w:t xml:space="preserve">a </w:t>
      </w:r>
      <w:r w:rsidR="001C0031" w:rsidRPr="00B120AE">
        <w:rPr>
          <w:kern w:val="28"/>
          <w:lang w:val="en-CA"/>
        </w:rPr>
        <w:t xml:space="preserve">more rigorous analysis of the proportionality of the measure adopted by the legislature. </w:t>
      </w:r>
    </w:p>
    <w:p w14:paraId="50852CC4" w14:textId="0DD9FBB0"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In </w:t>
      </w:r>
      <w:r w:rsidRPr="00B120AE">
        <w:rPr>
          <w:i/>
          <w:iCs/>
          <w:kern w:val="28"/>
          <w:lang w:val="en-CA"/>
        </w:rPr>
        <w:t>RJR</w:t>
      </w:r>
      <w:r w:rsidRPr="00B120AE">
        <w:rPr>
          <w:kern w:val="28"/>
          <w:lang w:val="en-CA"/>
        </w:rPr>
        <w:t xml:space="preserve">, a case dealing with infringement of the freedom of expression arising from a law banning tobacco advertising, the majority of the Supreme Court noted that </w:t>
      </w:r>
      <w:r w:rsidR="00282C6C">
        <w:rPr>
          <w:kern w:val="28"/>
          <w:lang w:val="en-CA"/>
        </w:rPr>
        <w:t>“</w:t>
      </w:r>
      <w:r w:rsidRPr="00B120AE">
        <w:rPr>
          <w:kern w:val="28"/>
          <w:lang w:val="en-CA"/>
        </w:rPr>
        <w:t>it will be more difficult to justify a complete ban on a form of expression than a partial ban</w:t>
      </w:r>
      <w:r w:rsidR="00282C6C">
        <w:rPr>
          <w:kern w:val="28"/>
          <w:lang w:val="en-CA"/>
        </w:rPr>
        <w:t>”</w:t>
      </w:r>
      <w:r w:rsidRPr="00B120AE">
        <w:rPr>
          <w:kern w:val="28"/>
          <w:lang w:val="en-CA"/>
        </w:rPr>
        <w:t>.</w:t>
      </w:r>
      <w:r w:rsidRPr="00B120AE">
        <w:rPr>
          <w:kern w:val="28"/>
          <w:vertAlign w:val="superscript"/>
          <w:lang w:val="en-CA"/>
        </w:rPr>
        <w:footnoteReference w:id="85"/>
      </w:r>
      <w:r w:rsidRPr="00B120AE">
        <w:rPr>
          <w:kern w:val="28"/>
          <w:lang w:val="en-CA"/>
        </w:rPr>
        <w:t xml:space="preserve"> Similarly, in </w:t>
      </w:r>
      <w:r w:rsidRPr="00B120AE">
        <w:rPr>
          <w:i/>
          <w:iCs/>
          <w:kern w:val="28"/>
          <w:lang w:val="en-CA"/>
        </w:rPr>
        <w:t>Ramsden v.</w:t>
      </w:r>
      <w:r w:rsidRPr="00B120AE">
        <w:rPr>
          <w:kern w:val="28"/>
          <w:lang w:val="en-CA"/>
        </w:rPr>
        <w:t xml:space="preserve"> </w:t>
      </w:r>
      <w:r w:rsidRPr="00B120AE">
        <w:rPr>
          <w:i/>
          <w:iCs/>
          <w:kern w:val="28"/>
          <w:lang w:val="en-CA"/>
        </w:rPr>
        <w:t>Peterborough (City)</w:t>
      </w:r>
      <w:r w:rsidRPr="00B120AE">
        <w:rPr>
          <w:kern w:val="28"/>
          <w:lang w:val="en-CA"/>
        </w:rPr>
        <w:t>,</w:t>
      </w:r>
      <w:r w:rsidRPr="00B120AE">
        <w:rPr>
          <w:iCs/>
          <w:kern w:val="28"/>
          <w:vertAlign w:val="superscript"/>
          <w:lang w:val="en-CA"/>
        </w:rPr>
        <w:footnoteReference w:id="86"/>
      </w:r>
      <w:r w:rsidRPr="00B120AE">
        <w:rPr>
          <w:kern w:val="28"/>
          <w:lang w:val="en-CA"/>
        </w:rPr>
        <w:t xml:space="preserve"> Iacobucci, J., writing for a unanimous Supreme Court, concluded that a provision in a municipal by</w:t>
      </w:r>
      <w:r w:rsidR="00720901">
        <w:rPr>
          <w:kern w:val="28"/>
          <w:lang w:val="en-CA"/>
        </w:rPr>
        <w:noBreakHyphen/>
      </w:r>
      <w:r w:rsidRPr="00B120AE">
        <w:rPr>
          <w:kern w:val="28"/>
          <w:lang w:val="en-CA"/>
        </w:rPr>
        <w:t xml:space="preserve">law prohibiting postering on public property unjustifiably infringed freedom of expression, notably because it enacted </w:t>
      </w:r>
      <w:r w:rsidRPr="00B120AE">
        <w:rPr>
          <w:kern w:val="28"/>
          <w:lang w:val="en-CA"/>
        </w:rPr>
        <w:lastRenderedPageBreak/>
        <w:t xml:space="preserve">a complete ban on a form of communication. It is difficult for such a restriction to satisfy the proportionality test, </w:t>
      </w:r>
      <w:r w:rsidR="00282C6C">
        <w:rPr>
          <w:kern w:val="28"/>
          <w:lang w:val="en-CA"/>
        </w:rPr>
        <w:t>“</w:t>
      </w:r>
      <w:r w:rsidRPr="00B120AE">
        <w:rPr>
          <w:kern w:val="28"/>
          <w:lang w:val="en-CA"/>
        </w:rPr>
        <w:t>particularly the rational connection and minimal impairment branches</w:t>
      </w:r>
      <w:r w:rsidR="00282C6C">
        <w:rPr>
          <w:kern w:val="28"/>
          <w:lang w:val="en-CA"/>
        </w:rPr>
        <w:t>”</w:t>
      </w:r>
      <w:r w:rsidRPr="00B120AE">
        <w:rPr>
          <w:kern w:val="28"/>
          <w:lang w:val="en-CA"/>
        </w:rPr>
        <w:t>.</w:t>
      </w:r>
      <w:r w:rsidRPr="00B120AE">
        <w:rPr>
          <w:kern w:val="28"/>
          <w:vertAlign w:val="superscript"/>
          <w:lang w:val="en-CA"/>
        </w:rPr>
        <w:footnoteReference w:id="87"/>
      </w:r>
      <w:r w:rsidRPr="00B120AE">
        <w:rPr>
          <w:kern w:val="28"/>
          <w:lang w:val="en-CA"/>
        </w:rPr>
        <w:t xml:space="preserve"> Iacobucci, J. pointed out that there are less restrictive alternatives than a complete ban on postering, including regulations on the size </w:t>
      </w:r>
      <w:r w:rsidR="00492394">
        <w:rPr>
          <w:kern w:val="28"/>
          <w:lang w:val="en-CA"/>
        </w:rPr>
        <w:t xml:space="preserve">and location </w:t>
      </w:r>
      <w:r w:rsidRPr="00B120AE">
        <w:rPr>
          <w:kern w:val="28"/>
          <w:lang w:val="en-CA"/>
        </w:rPr>
        <w:t>of posters</w:t>
      </w:r>
      <w:r w:rsidR="00492394">
        <w:rPr>
          <w:kern w:val="28"/>
          <w:lang w:val="en-CA"/>
        </w:rPr>
        <w:t xml:space="preserve"> </w:t>
      </w:r>
      <w:r w:rsidRPr="00B120AE">
        <w:rPr>
          <w:kern w:val="28"/>
          <w:lang w:val="en-CA"/>
        </w:rPr>
        <w:t xml:space="preserve">and </w:t>
      </w:r>
      <w:r w:rsidR="00492394">
        <w:rPr>
          <w:kern w:val="28"/>
          <w:lang w:val="en-CA"/>
        </w:rPr>
        <w:t xml:space="preserve">on </w:t>
      </w:r>
      <w:r w:rsidRPr="00B120AE">
        <w:rPr>
          <w:kern w:val="28"/>
          <w:lang w:val="en-CA"/>
        </w:rPr>
        <w:t>the duration of postings. He went on to conclude:</w:t>
      </w:r>
    </w:p>
    <w:p w14:paraId="50852CC5" w14:textId="0A99FAA2"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These kinds of alternatives could control the concerns of litter and aesthetic blight in a manner which is far less restrictive than the by</w:t>
      </w:r>
      <w:r w:rsidR="00720901">
        <w:rPr>
          <w:kern w:val="24"/>
          <w:sz w:val="22"/>
          <w:lang w:val="en-CA"/>
        </w:rPr>
        <w:noBreakHyphen/>
      </w:r>
      <w:r w:rsidRPr="00B120AE">
        <w:rPr>
          <w:kern w:val="24"/>
          <w:sz w:val="22"/>
          <w:lang w:val="en-CA"/>
        </w:rPr>
        <w:t>law. In my view, the total ban on postering on public property does not impair the right as little as is reasonably possible, given the many alternatives available to the appellant.</w:t>
      </w:r>
      <w:r w:rsidRPr="00B120AE">
        <w:rPr>
          <w:kern w:val="24"/>
          <w:sz w:val="22"/>
          <w:vertAlign w:val="superscript"/>
          <w:lang w:val="en-CA"/>
        </w:rPr>
        <w:footnoteReference w:id="88"/>
      </w:r>
      <w:r w:rsidR="00287AE9">
        <w:rPr>
          <w:kern w:val="24"/>
          <w:sz w:val="22"/>
          <w:lang w:val="en-CA"/>
        </w:rPr>
        <w:t xml:space="preserve"> </w:t>
      </w:r>
    </w:p>
    <w:p w14:paraId="50852CC6"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Supreme Court came to this conclusion </w:t>
      </w:r>
      <w:proofErr w:type="gramStart"/>
      <w:r w:rsidRPr="00B120AE">
        <w:rPr>
          <w:kern w:val="28"/>
          <w:lang w:val="en-CA"/>
        </w:rPr>
        <w:t>despite the fact that</w:t>
      </w:r>
      <w:proofErr w:type="gramEnd"/>
      <w:r w:rsidRPr="00B120AE">
        <w:rPr>
          <w:kern w:val="28"/>
          <w:lang w:val="en-CA"/>
        </w:rPr>
        <w:t xml:space="preserve"> postering was still possible on private property within the municipality. </w:t>
      </w:r>
    </w:p>
    <w:p w14:paraId="50852CC7" w14:textId="2A9F6ED6"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As in those judgments, the impugned provisions completely prohibit a form of communication. Indeed, these provisions prohibit smoking any substance in an enclosed space where activities of an artistic or cultural nature are presented, regardless of the context. It is an absolute ban, </w:t>
      </w:r>
      <w:r w:rsidR="00492394">
        <w:rPr>
          <w:kern w:val="28"/>
          <w:lang w:val="en-CA"/>
        </w:rPr>
        <w:t xml:space="preserve">one that </w:t>
      </w:r>
      <w:r w:rsidRPr="00B120AE">
        <w:rPr>
          <w:kern w:val="28"/>
          <w:lang w:val="en-CA"/>
        </w:rPr>
        <w:t xml:space="preserve">gives no consideration to freedom of expression and has the effect of censoring artistic creators </w:t>
      </w:r>
      <w:proofErr w:type="gramStart"/>
      <w:r w:rsidRPr="00B120AE">
        <w:rPr>
          <w:kern w:val="28"/>
          <w:lang w:val="en-CA"/>
        </w:rPr>
        <w:t>with regard to</w:t>
      </w:r>
      <w:proofErr w:type="gramEnd"/>
      <w:r w:rsidRPr="00B120AE">
        <w:rPr>
          <w:kern w:val="28"/>
          <w:lang w:val="en-CA"/>
        </w:rPr>
        <w:t xml:space="preserve"> a form of expression. I would</w:t>
      </w:r>
      <w:r w:rsidR="00EB5155">
        <w:rPr>
          <w:kern w:val="28"/>
          <w:lang w:val="en-CA"/>
        </w:rPr>
        <w:t xml:space="preserve"> once again</w:t>
      </w:r>
      <w:r w:rsidRPr="00B120AE">
        <w:rPr>
          <w:kern w:val="28"/>
          <w:lang w:val="en-CA"/>
        </w:rPr>
        <w:t xml:space="preserve"> point out that freedom of expression is fundamental in a free and democratic society, including in the artistic sphere.</w:t>
      </w:r>
    </w:p>
    <w:p w14:paraId="50852CC8" w14:textId="4996ABDF"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The possibility of using cigarette substitutes does not mitigate this finding:</w:t>
      </w:r>
      <w:r w:rsidR="00492394">
        <w:rPr>
          <w:kern w:val="28"/>
          <w:lang w:val="en-CA"/>
        </w:rPr>
        <w:t> </w:t>
      </w:r>
      <w:r w:rsidRPr="00B120AE">
        <w:rPr>
          <w:kern w:val="28"/>
          <w:lang w:val="en-CA"/>
        </w:rPr>
        <w:t xml:space="preserve">depicting the act of smoking is not the equivalent of smoking. The complete ban on having a character smoke in a play therefore impairs the freedom of creators to choose a mode of expression. The effect of this prohibition should not be minimized by considering that it will be up to creators to find other means of conveying their message. Indeed, the evidence shows that the consequence of this absolute ban is that some creators will forgo staging certain scenes in their works or will choose not to produce certain plays. Such a finding highlights the importance of safeguarding a space for freedom in the creative arena, which is essential to its development. This freedom </w:t>
      </w:r>
      <w:r w:rsidR="00F071A9">
        <w:rPr>
          <w:kern w:val="28"/>
          <w:lang w:val="en-CA"/>
        </w:rPr>
        <w:t xml:space="preserve">must </w:t>
      </w:r>
      <w:r w:rsidRPr="00B120AE">
        <w:rPr>
          <w:kern w:val="28"/>
          <w:lang w:val="en-CA"/>
        </w:rPr>
        <w:t xml:space="preserve">not be lightly dismissed, and the complete ban on a mode of expression in an artistic context, which </w:t>
      </w:r>
      <w:r w:rsidR="006374B6">
        <w:rPr>
          <w:kern w:val="28"/>
          <w:lang w:val="en-CA"/>
        </w:rPr>
        <w:t xml:space="preserve">lies at </w:t>
      </w:r>
      <w:r w:rsidRPr="00B120AE">
        <w:rPr>
          <w:kern w:val="28"/>
          <w:lang w:val="en-CA"/>
        </w:rPr>
        <w:t xml:space="preserve">the heart of the values protected by the charters, requires a rigorous analysis of the proportionality of the measure adopted by the legislature. In </w:t>
      </w:r>
      <w:r w:rsidRPr="00B120AE">
        <w:rPr>
          <w:i/>
          <w:iCs/>
          <w:kern w:val="28"/>
          <w:lang w:val="en-CA"/>
        </w:rPr>
        <w:t>Little Sisters Book and Art Emporium v. Canada (Minister of Justice)</w:t>
      </w:r>
      <w:r w:rsidRPr="00B120AE">
        <w:rPr>
          <w:kern w:val="28"/>
          <w:lang w:val="en-CA"/>
        </w:rPr>
        <w:t xml:space="preserve">, Binnie, J., writing for the majority of the Supreme Court, stated: </w:t>
      </w:r>
    </w:p>
    <w:p w14:paraId="50852CC9" w14:textId="7E1821C9"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[144] Freedom of expression is central to our identity as individuals and to our collective well</w:t>
      </w:r>
      <w:r w:rsidR="00720901">
        <w:rPr>
          <w:kern w:val="24"/>
          <w:sz w:val="22"/>
          <w:lang w:val="en-CA"/>
        </w:rPr>
        <w:noBreakHyphen/>
      </w:r>
      <w:r w:rsidRPr="00B120AE">
        <w:rPr>
          <w:kern w:val="24"/>
          <w:sz w:val="22"/>
          <w:lang w:val="en-CA"/>
        </w:rPr>
        <w:t>being as a society. Doubt about justification should be resolved in its favour.</w:t>
      </w:r>
      <w:r w:rsidRPr="00B120AE">
        <w:rPr>
          <w:kern w:val="24"/>
          <w:sz w:val="22"/>
          <w:vertAlign w:val="superscript"/>
          <w:lang w:val="en-CA"/>
        </w:rPr>
        <w:footnoteReference w:id="89"/>
      </w:r>
    </w:p>
    <w:p w14:paraId="50852CCA" w14:textId="77777777" w:rsidR="00E524EA" w:rsidRPr="00B120AE" w:rsidRDefault="001C0031" w:rsidP="00E524EA">
      <w:pPr>
        <w:keepNext/>
        <w:numPr>
          <w:ilvl w:val="0"/>
          <w:numId w:val="23"/>
        </w:numPr>
        <w:tabs>
          <w:tab w:val="num" w:pos="993"/>
        </w:tabs>
        <w:spacing w:before="120" w:after="120" w:line="240" w:lineRule="auto"/>
        <w:outlineLvl w:val="3"/>
        <w:rPr>
          <w:b/>
          <w:lang w:val="en-CA"/>
        </w:rPr>
      </w:pPr>
      <w:r w:rsidRPr="00B120AE">
        <w:rPr>
          <w:b/>
          <w:bCs/>
          <w:lang w:val="en-CA"/>
        </w:rPr>
        <w:lastRenderedPageBreak/>
        <w:t>Rational connection</w:t>
      </w:r>
    </w:p>
    <w:p w14:paraId="50852CCB" w14:textId="3B0FEFA5"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It is sufficient for the AGQ to establish a causal connection between the limit and the objective in order to demonstrate that they are rationally connected.</w:t>
      </w:r>
      <w:r w:rsidRPr="00B120AE">
        <w:rPr>
          <w:kern w:val="28"/>
          <w:vertAlign w:val="superscript"/>
          <w:lang w:val="en-CA"/>
        </w:rPr>
        <w:footnoteReference w:id="90"/>
      </w:r>
      <w:r w:rsidRPr="00B120AE">
        <w:rPr>
          <w:kern w:val="28"/>
          <w:lang w:val="en-CA"/>
        </w:rPr>
        <w:t xml:space="preserve"> The judge concluded that the state had discharged its burden since it had presented uncontradicted evidence showing that a single cigarette smoked in a public place can </w:t>
      </w:r>
      <w:r w:rsidR="0078033F" w:rsidRPr="0078033F">
        <w:rPr>
          <w:smallCaps/>
          <w:kern w:val="28"/>
          <w:lang w:val="en-CA"/>
        </w:rPr>
        <w:t>[translation] </w:t>
      </w:r>
      <w:r w:rsidR="00282C6C">
        <w:rPr>
          <w:kern w:val="28"/>
          <w:lang w:val="en-CA"/>
        </w:rPr>
        <w:t>“</w:t>
      </w:r>
      <w:r w:rsidRPr="00B120AE">
        <w:rPr>
          <w:kern w:val="28"/>
          <w:lang w:val="en-CA"/>
        </w:rPr>
        <w:t>have an impact on public health</w:t>
      </w:r>
      <w:r w:rsidR="00282C6C">
        <w:rPr>
          <w:kern w:val="28"/>
          <w:lang w:val="en-CA"/>
        </w:rPr>
        <w:t>”</w:t>
      </w:r>
      <w:r w:rsidRPr="00B120AE">
        <w:rPr>
          <w:kern w:val="28"/>
          <w:lang w:val="en-CA"/>
        </w:rPr>
        <w:t>.</w:t>
      </w:r>
      <w:r w:rsidRPr="00B120AE">
        <w:rPr>
          <w:kern w:val="28"/>
          <w:vertAlign w:val="superscript"/>
          <w:lang w:val="en-CA"/>
        </w:rPr>
        <w:footnoteReference w:id="91"/>
      </w:r>
      <w:r w:rsidRPr="00B120AE">
        <w:rPr>
          <w:kern w:val="28"/>
          <w:lang w:val="en-CA"/>
        </w:rPr>
        <w:t xml:space="preserve"> He added that the rational connection is also based on reason and logic, and he went on to state that </w:t>
      </w:r>
      <w:r w:rsidR="0078033F" w:rsidRPr="0078033F">
        <w:rPr>
          <w:smallCaps/>
          <w:kern w:val="28"/>
          <w:lang w:val="en-CA"/>
        </w:rPr>
        <w:t>[translation] </w:t>
      </w:r>
      <w:r w:rsidR="00282C6C">
        <w:rPr>
          <w:kern w:val="28"/>
          <w:lang w:val="en-CA"/>
        </w:rPr>
        <w:t>“</w:t>
      </w:r>
      <w:r w:rsidRPr="00B120AE">
        <w:rPr>
          <w:kern w:val="28"/>
          <w:lang w:val="en-CA"/>
        </w:rPr>
        <w:t>[e]</w:t>
      </w:r>
      <w:proofErr w:type="spellStart"/>
      <w:r w:rsidRPr="00B120AE">
        <w:rPr>
          <w:kern w:val="28"/>
          <w:lang w:val="en-CA"/>
        </w:rPr>
        <w:t>ven</w:t>
      </w:r>
      <w:proofErr w:type="spellEnd"/>
      <w:r w:rsidRPr="00B120AE">
        <w:rPr>
          <w:kern w:val="28"/>
          <w:lang w:val="en-CA"/>
        </w:rPr>
        <w:t xml:space="preserve"> taking into account the effects of the measure on the freedom of expression of performing artists, the rational connection remains when one considers the importance of the prohibition in terms of public health</w:t>
      </w:r>
      <w:r w:rsidR="00282C6C">
        <w:rPr>
          <w:kern w:val="28"/>
          <w:lang w:val="en-CA"/>
        </w:rPr>
        <w:t>”</w:t>
      </w:r>
      <w:r w:rsidRPr="00B120AE">
        <w:rPr>
          <w:kern w:val="28"/>
          <w:lang w:val="en-CA"/>
        </w:rPr>
        <w:t>.</w:t>
      </w:r>
      <w:r w:rsidRPr="00B120AE">
        <w:rPr>
          <w:kern w:val="28"/>
          <w:vertAlign w:val="superscript"/>
          <w:lang w:val="en-CA"/>
        </w:rPr>
        <w:footnoteReference w:id="92"/>
      </w:r>
      <w:r w:rsidRPr="00B120AE">
        <w:rPr>
          <w:kern w:val="28"/>
          <w:lang w:val="en-CA"/>
        </w:rPr>
        <w:t xml:space="preserve"> The Theatres do not dispute the existence of a rational connection between the objective of the provisions and the complete ban on smoking in theatres. I agree that the rational connection has been demonstrated. </w:t>
      </w:r>
    </w:p>
    <w:p w14:paraId="50852CCC" w14:textId="0ED86F53"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uncontradicted scientific evidence submitted by the AGQ, including the Expert Report of Dr.</w:t>
      </w:r>
      <w:r w:rsidR="00890BCC">
        <w:rPr>
          <w:kern w:val="28"/>
          <w:lang w:val="en-CA"/>
        </w:rPr>
        <w:t> </w:t>
      </w:r>
      <w:r w:rsidRPr="00B120AE">
        <w:rPr>
          <w:kern w:val="28"/>
          <w:lang w:val="en-CA"/>
        </w:rPr>
        <w:t>Alain Desjardins, a pneumologist, demonstrates that there is no safe exposure threshold to second</w:t>
      </w:r>
      <w:r w:rsidR="00720901">
        <w:rPr>
          <w:kern w:val="28"/>
          <w:lang w:val="en-CA"/>
        </w:rPr>
        <w:noBreakHyphen/>
      </w:r>
      <w:r w:rsidRPr="00B120AE">
        <w:rPr>
          <w:kern w:val="28"/>
          <w:lang w:val="en-CA"/>
        </w:rPr>
        <w:t xml:space="preserve">hand smoke in enclosed spaces, whether from tobacco or </w:t>
      </w:r>
      <w:r w:rsidR="00890BCC">
        <w:rPr>
          <w:kern w:val="28"/>
          <w:lang w:val="en-CA"/>
        </w:rPr>
        <w:t xml:space="preserve">from </w:t>
      </w:r>
      <w:r w:rsidRPr="00B120AE">
        <w:rPr>
          <w:kern w:val="28"/>
          <w:lang w:val="en-CA"/>
        </w:rPr>
        <w:t xml:space="preserve">herbal cigarettes. While the latter do not contain addictive nicotine, when burned </w:t>
      </w:r>
      <w:r w:rsidR="00890BCC">
        <w:rPr>
          <w:kern w:val="28"/>
          <w:lang w:val="en-CA"/>
        </w:rPr>
        <w:t xml:space="preserve">they </w:t>
      </w:r>
      <w:r w:rsidRPr="00B120AE">
        <w:rPr>
          <w:kern w:val="28"/>
          <w:lang w:val="en-CA"/>
        </w:rPr>
        <w:t>produce fine particles and other chemical compounds that are harmful to human health, some of which are carcinogenic. Consequently, all second</w:t>
      </w:r>
      <w:r w:rsidR="00720901">
        <w:rPr>
          <w:kern w:val="28"/>
          <w:lang w:val="en-CA"/>
        </w:rPr>
        <w:noBreakHyphen/>
      </w:r>
      <w:r w:rsidRPr="00B120AE">
        <w:rPr>
          <w:kern w:val="28"/>
          <w:lang w:val="en-CA"/>
        </w:rPr>
        <w:t>hand smoke constitutes a risk, one that is heightened for vulnerable people, such as pregnant women or people with heart problems, chronic obstructive pulmonary disease or severe asthma.</w:t>
      </w:r>
    </w:p>
    <w:p w14:paraId="50852CCD" w14:textId="766C4420"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This evidence is sufficient to conclude that the rational connection requirement has been met. As the Supreme Court pointed out in </w:t>
      </w:r>
      <w:r w:rsidRPr="00B120AE">
        <w:rPr>
          <w:i/>
          <w:iCs/>
          <w:kern w:val="28"/>
          <w:lang w:val="en-CA"/>
        </w:rPr>
        <w:t>Carter</w:t>
      </w:r>
      <w:r w:rsidRPr="00B120AE">
        <w:rPr>
          <w:kern w:val="28"/>
          <w:lang w:val="en-CA"/>
        </w:rPr>
        <w:t xml:space="preserve">, </w:t>
      </w:r>
      <w:r w:rsidR="00282C6C">
        <w:rPr>
          <w:kern w:val="28"/>
          <w:lang w:val="en-CA"/>
        </w:rPr>
        <w:t>“</w:t>
      </w:r>
      <w:r w:rsidRPr="00B120AE">
        <w:rPr>
          <w:kern w:val="28"/>
          <w:lang w:val="en-CA"/>
        </w:rPr>
        <w:t>where an activity poses certain risks, prohibition of the activity in question is a rational method of curtailing the risks</w:t>
      </w:r>
      <w:r w:rsidR="00282C6C">
        <w:rPr>
          <w:kern w:val="28"/>
          <w:lang w:val="en-CA"/>
        </w:rPr>
        <w:t>”</w:t>
      </w:r>
      <w:r w:rsidRPr="00B120AE">
        <w:rPr>
          <w:kern w:val="28"/>
          <w:lang w:val="en-CA"/>
        </w:rPr>
        <w:t>.</w:t>
      </w:r>
      <w:r w:rsidRPr="00B120AE">
        <w:rPr>
          <w:kern w:val="28"/>
          <w:vertAlign w:val="superscript"/>
          <w:lang w:val="en-CA"/>
        </w:rPr>
        <w:footnoteReference w:id="93"/>
      </w:r>
    </w:p>
    <w:p w14:paraId="50852CCE" w14:textId="2335B16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bookmarkStart w:id="39" w:name="_Ref223778363"/>
      <w:r w:rsidRPr="00B120AE">
        <w:rPr>
          <w:kern w:val="28"/>
          <w:lang w:val="en-CA"/>
        </w:rPr>
        <w:t>While the rational connection has been demonstrated, it is worth noting that the AGQ did not provide evidence of public debate in relation to the use of cigarettes in theatrical performances during the period between the adoption of the ban in 1986 and the issuance of the statements of offence to the Theatres in 2017. In fact, Marc</w:t>
      </w:r>
      <w:r w:rsidR="00720901">
        <w:rPr>
          <w:kern w:val="28"/>
          <w:lang w:val="en-CA"/>
        </w:rPr>
        <w:noBreakHyphen/>
      </w:r>
      <w:r w:rsidRPr="00B120AE">
        <w:rPr>
          <w:kern w:val="28"/>
          <w:lang w:val="en-CA"/>
        </w:rPr>
        <w:t xml:space="preserve">André Thibault, the lead actor in the play </w:t>
      </w:r>
      <w:r w:rsidRPr="00B120AE">
        <w:rPr>
          <w:i/>
          <w:iCs/>
          <w:kern w:val="28"/>
          <w:lang w:val="en-CA"/>
        </w:rPr>
        <w:t xml:space="preserve">Conversations avec </w:t>
      </w:r>
      <w:proofErr w:type="spellStart"/>
      <w:r w:rsidRPr="00B120AE">
        <w:rPr>
          <w:i/>
          <w:iCs/>
          <w:kern w:val="28"/>
          <w:lang w:val="en-CA"/>
        </w:rPr>
        <w:t>mon</w:t>
      </w:r>
      <w:proofErr w:type="spellEnd"/>
      <w:r w:rsidRPr="00B120AE">
        <w:rPr>
          <w:i/>
          <w:iCs/>
          <w:kern w:val="28"/>
          <w:lang w:val="en-CA"/>
        </w:rPr>
        <w:t xml:space="preserve"> </w:t>
      </w:r>
      <w:proofErr w:type="spellStart"/>
      <w:r w:rsidRPr="00B120AE">
        <w:rPr>
          <w:i/>
          <w:iCs/>
          <w:kern w:val="28"/>
          <w:lang w:val="en-CA"/>
        </w:rPr>
        <w:t>pénis</w:t>
      </w:r>
      <w:proofErr w:type="spellEnd"/>
      <w:r w:rsidRPr="00B120AE">
        <w:rPr>
          <w:kern w:val="28"/>
          <w:lang w:val="en-CA"/>
        </w:rPr>
        <w:t>, testified that, to his knowledge, the theatres in which he is active in Montreal do not apply this prohibition to characters who smoke. I would add that there are no other similar known cases in Quebec jurisprudence in the last 40 years.</w:t>
      </w:r>
      <w:bookmarkEnd w:id="39"/>
    </w:p>
    <w:p w14:paraId="50852CCF" w14:textId="33460BEC"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 xml:space="preserve">In this regard, the comments of the majority of the Supreme Court in </w:t>
      </w:r>
      <w:r w:rsidRPr="00B120AE">
        <w:rPr>
          <w:i/>
          <w:iCs/>
          <w:kern w:val="28"/>
          <w:lang w:val="en-CA"/>
        </w:rPr>
        <w:t>Frank</w:t>
      </w:r>
      <w:r w:rsidRPr="00B120AE">
        <w:rPr>
          <w:kern w:val="28"/>
          <w:lang w:val="en-CA"/>
        </w:rPr>
        <w:t xml:space="preserve">, as to the impact of this finding on the </w:t>
      </w:r>
      <w:r w:rsidR="00650ED4">
        <w:rPr>
          <w:kern w:val="28"/>
          <w:lang w:val="en-CA"/>
        </w:rPr>
        <w:t>strength</w:t>
      </w:r>
      <w:r w:rsidRPr="00B120AE">
        <w:rPr>
          <w:kern w:val="28"/>
          <w:lang w:val="en-CA"/>
        </w:rPr>
        <w:t xml:space="preserve"> of the rational connection of the measure being analyzed, seem relevant: </w:t>
      </w:r>
    </w:p>
    <w:p w14:paraId="50852CD0" w14:textId="14FAE89C"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[63]</w:t>
      </w:r>
      <w:r w:rsidRPr="00B120AE">
        <w:rPr>
          <w:kern w:val="24"/>
          <w:sz w:val="22"/>
          <w:lang w:val="en-CA"/>
        </w:rPr>
        <w:tab/>
        <w:t xml:space="preserve">Finally, I would add that the AGC failed to adduce any evidence — either specific to the social contract theory or relating to electoral fairness more generally — to justify the objective of the impugned provisions. Simply put, </w:t>
      </w:r>
      <w:r w:rsidRPr="00B120AE">
        <w:rPr>
          <w:kern w:val="24"/>
          <w:sz w:val="22"/>
          <w:u w:val="single"/>
          <w:lang w:val="en-CA"/>
        </w:rPr>
        <w:t>there is no evidence of the harm that these voting restrictions are meant to address. It has now been possible to vote from outside Canada for over 20 years, and the AGC was unable to identify a single complaint that has been made with respect to voting by non</w:t>
      </w:r>
      <w:r w:rsidR="00720901">
        <w:rPr>
          <w:kern w:val="24"/>
          <w:sz w:val="22"/>
          <w:u w:val="single"/>
          <w:lang w:val="en-CA"/>
        </w:rPr>
        <w:noBreakHyphen/>
      </w:r>
      <w:r w:rsidRPr="00B120AE">
        <w:rPr>
          <w:kern w:val="24"/>
          <w:sz w:val="22"/>
          <w:u w:val="single"/>
          <w:lang w:val="en-CA"/>
        </w:rPr>
        <w:t>residents</w:t>
      </w:r>
      <w:r w:rsidRPr="00154586">
        <w:rPr>
          <w:kern w:val="24"/>
          <w:sz w:val="22"/>
          <w:u w:val="single"/>
          <w:lang w:val="en-CA"/>
        </w:rPr>
        <w:t xml:space="preserve">. </w:t>
      </w:r>
      <w:r w:rsidRPr="00B120AE">
        <w:rPr>
          <w:kern w:val="24"/>
          <w:sz w:val="22"/>
          <w:u w:val="single"/>
          <w:lang w:val="en-CA"/>
        </w:rPr>
        <w:t>The absence of any evidence or logical reasoning pointing to a specific problem that needs to be rectified weakens the argument that the limit on voting by non</w:t>
      </w:r>
      <w:r w:rsidR="00720901">
        <w:rPr>
          <w:kern w:val="24"/>
          <w:sz w:val="22"/>
          <w:u w:val="single"/>
          <w:lang w:val="en-CA"/>
        </w:rPr>
        <w:noBreakHyphen/>
      </w:r>
      <w:r w:rsidRPr="00B120AE">
        <w:rPr>
          <w:kern w:val="24"/>
          <w:sz w:val="22"/>
          <w:u w:val="single"/>
          <w:lang w:val="en-CA"/>
        </w:rPr>
        <w:t>residents is rationally connected to maintaining electoral fairness</w:t>
      </w:r>
      <w:r w:rsidRPr="00B120AE">
        <w:rPr>
          <w:kern w:val="24"/>
          <w:sz w:val="22"/>
          <w:lang w:val="en-CA"/>
        </w:rPr>
        <w:t>.</w:t>
      </w:r>
    </w:p>
    <w:p w14:paraId="50852CD1" w14:textId="77777777" w:rsidR="00E524EA" w:rsidRPr="00B120AE" w:rsidRDefault="001C0031" w:rsidP="00E524EA">
      <w:pPr>
        <w:spacing w:before="120" w:after="120" w:line="240" w:lineRule="auto"/>
        <w:ind w:left="720" w:right="720"/>
        <w:jc w:val="right"/>
        <w:rPr>
          <w:kern w:val="24"/>
          <w:sz w:val="22"/>
          <w:lang w:val="en-CA"/>
        </w:rPr>
      </w:pPr>
      <w:r w:rsidRPr="00B120AE">
        <w:rPr>
          <w:kern w:val="24"/>
          <w:sz w:val="22"/>
          <w:lang w:val="en-CA"/>
        </w:rPr>
        <w:t>[Underlining added]</w:t>
      </w:r>
    </w:p>
    <w:p w14:paraId="50852CD2" w14:textId="45D25CDA"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It must be acknowledged, however, that in that case, which dealt with the constitutionality of legislation generally prohibit</w:t>
      </w:r>
      <w:r w:rsidR="00FF2A7B">
        <w:rPr>
          <w:kern w:val="28"/>
          <w:lang w:val="en-CA"/>
        </w:rPr>
        <w:t>ing</w:t>
      </w:r>
      <w:r w:rsidRPr="00B120AE">
        <w:rPr>
          <w:kern w:val="28"/>
          <w:lang w:val="en-CA"/>
        </w:rPr>
        <w:t xml:space="preserve"> Canadians living abroad for more than five years from voting in federal elections, the Attorney General of Canada had presented </w:t>
      </w:r>
      <w:r w:rsidR="00282C6C">
        <w:rPr>
          <w:kern w:val="28"/>
          <w:lang w:val="en-CA"/>
        </w:rPr>
        <w:t>“</w:t>
      </w:r>
      <w:r w:rsidRPr="00B120AE">
        <w:rPr>
          <w:kern w:val="28"/>
          <w:lang w:val="en-CA"/>
        </w:rPr>
        <w:t>essentially no evidence</w:t>
      </w:r>
      <w:r w:rsidR="00282C6C">
        <w:rPr>
          <w:kern w:val="28"/>
          <w:lang w:val="en-CA"/>
        </w:rPr>
        <w:t>”</w:t>
      </w:r>
      <w:r w:rsidRPr="00B120AE">
        <w:rPr>
          <w:kern w:val="28"/>
          <w:lang w:val="en-CA"/>
        </w:rPr>
        <w:t>, let alone scientific evidence, to demonstrate the rational connection between the measure and the objective.</w:t>
      </w:r>
      <w:r w:rsidRPr="00B120AE">
        <w:rPr>
          <w:kern w:val="28"/>
          <w:vertAlign w:val="superscript"/>
          <w:lang w:val="en-CA"/>
        </w:rPr>
        <w:footnoteReference w:id="94"/>
      </w:r>
      <w:r w:rsidRPr="00B120AE">
        <w:rPr>
          <w:kern w:val="28"/>
          <w:lang w:val="en-CA"/>
        </w:rPr>
        <w:t xml:space="preserve"> In any event, the majority of the Supreme Court in that case concluded that the means did not satisfy the minimal impairment test. This brings me to my analysis of this element.</w:t>
      </w:r>
      <w:r w:rsidR="00287AE9">
        <w:rPr>
          <w:kern w:val="28"/>
          <w:lang w:val="en-CA"/>
        </w:rPr>
        <w:t xml:space="preserve"> </w:t>
      </w:r>
    </w:p>
    <w:p w14:paraId="50852CD3" w14:textId="77777777" w:rsidR="00E524EA" w:rsidRPr="00B120AE" w:rsidRDefault="001C0031" w:rsidP="00E524EA">
      <w:pPr>
        <w:keepNext/>
        <w:numPr>
          <w:ilvl w:val="0"/>
          <w:numId w:val="23"/>
        </w:numPr>
        <w:tabs>
          <w:tab w:val="num" w:pos="993"/>
        </w:tabs>
        <w:spacing w:before="120" w:after="120" w:line="240" w:lineRule="auto"/>
        <w:outlineLvl w:val="3"/>
        <w:rPr>
          <w:b/>
          <w:lang w:val="en-CA"/>
        </w:rPr>
      </w:pPr>
      <w:r w:rsidRPr="00B120AE">
        <w:rPr>
          <w:b/>
          <w:bCs/>
          <w:lang w:val="en-CA"/>
        </w:rPr>
        <w:t>Minimal impairment</w:t>
      </w:r>
    </w:p>
    <w:p w14:paraId="50852CD4" w14:textId="20A76CE4"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The AGQ argues that the judge erred in law by looking for a less intrusive measure than the impugned provisions, instead of determining whether they were among the reasonable measures for effectively achieving the objective. In his view, given that the uncontested evidence shows that there is no safe level of exposure to second</w:t>
      </w:r>
      <w:r w:rsidR="00720901">
        <w:rPr>
          <w:kern w:val="28"/>
          <w:lang w:val="en-CA"/>
        </w:rPr>
        <w:noBreakHyphen/>
      </w:r>
      <w:r w:rsidRPr="00B120AE">
        <w:rPr>
          <w:kern w:val="28"/>
          <w:lang w:val="en-CA"/>
        </w:rPr>
        <w:t xml:space="preserve">hand smoke, the legislation falls within a range of alternatives that can achieve this objective in a real way and can be said to be minimally impairing. Given the information available at the time the measure was drawn up, the legislature acted in a precautionary fashion by banning smoking in enclosed public spaces where activities of a cultural or artistic nature are presented. He submits that deference to the legislature is in order, as this is a complex issue involving competing interests. </w:t>
      </w:r>
    </w:p>
    <w:p w14:paraId="50852CD5" w14:textId="7777777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proofErr w:type="gramStart"/>
      <w:r w:rsidRPr="00B120AE">
        <w:rPr>
          <w:kern w:val="28"/>
          <w:lang w:val="en-CA"/>
        </w:rPr>
        <w:t>For the reasons that</w:t>
      </w:r>
      <w:proofErr w:type="gramEnd"/>
      <w:r w:rsidRPr="00B120AE">
        <w:rPr>
          <w:kern w:val="28"/>
          <w:lang w:val="en-CA"/>
        </w:rPr>
        <w:t xml:space="preserve"> follow, I do not accept these arguments. </w:t>
      </w:r>
    </w:p>
    <w:p w14:paraId="50852CD6" w14:textId="6B280433"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The judge correctly set out the applicable law by stating that he had to determine whether there are less intrusive means for </w:t>
      </w:r>
      <w:r w:rsidR="0078033F" w:rsidRPr="0078033F">
        <w:rPr>
          <w:smallCaps/>
          <w:kern w:val="28"/>
          <w:lang w:val="en-CA"/>
        </w:rPr>
        <w:t>[translation] </w:t>
      </w:r>
      <w:r w:rsidR="00282C6C">
        <w:rPr>
          <w:kern w:val="28"/>
          <w:lang w:val="en-CA"/>
        </w:rPr>
        <w:t>“</w:t>
      </w:r>
      <w:r w:rsidRPr="00B120AE">
        <w:rPr>
          <w:kern w:val="28"/>
          <w:lang w:val="en-CA"/>
        </w:rPr>
        <w:t>achieving the legislature</w:t>
      </w:r>
      <w:r w:rsidR="00282C6C">
        <w:rPr>
          <w:kern w:val="28"/>
          <w:lang w:val="en-CA"/>
        </w:rPr>
        <w:t>’</w:t>
      </w:r>
      <w:r w:rsidRPr="00B120AE">
        <w:rPr>
          <w:kern w:val="28"/>
          <w:lang w:val="en-CA"/>
        </w:rPr>
        <w:t xml:space="preserve">s </w:t>
      </w:r>
      <w:r w:rsidRPr="00B120AE">
        <w:rPr>
          <w:kern w:val="28"/>
          <w:lang w:val="en-CA"/>
        </w:rPr>
        <w:lastRenderedPageBreak/>
        <w:t>objectives in a real and substantial manner</w:t>
      </w:r>
      <w:r w:rsidR="00282C6C">
        <w:rPr>
          <w:kern w:val="28"/>
          <w:lang w:val="en-CA"/>
        </w:rPr>
        <w:t>”</w:t>
      </w:r>
      <w:r w:rsidRPr="00B120AE">
        <w:rPr>
          <w:kern w:val="28"/>
          <w:lang w:val="en-CA"/>
        </w:rPr>
        <w:t xml:space="preserve"> and whether it is reasonable to completely prohibit a character from smoking </w:t>
      </w:r>
      <w:r w:rsidR="00B5355E">
        <w:rPr>
          <w:kern w:val="28"/>
          <w:lang w:val="en-CA"/>
        </w:rPr>
        <w:t>on stage</w:t>
      </w:r>
      <w:r w:rsidRPr="00B120AE">
        <w:rPr>
          <w:kern w:val="28"/>
          <w:lang w:val="en-CA"/>
        </w:rPr>
        <w:t>.</w:t>
      </w:r>
      <w:r w:rsidRPr="00B120AE">
        <w:rPr>
          <w:kern w:val="28"/>
          <w:vertAlign w:val="superscript"/>
          <w:lang w:val="en-CA"/>
        </w:rPr>
        <w:footnoteReference w:id="95"/>
      </w:r>
      <w:r w:rsidRPr="00B120AE">
        <w:rPr>
          <w:kern w:val="28"/>
          <w:lang w:val="en-CA"/>
        </w:rPr>
        <w:t xml:space="preserve"> </w:t>
      </w:r>
    </w:p>
    <w:p w14:paraId="50852CD7" w14:textId="77CBB74F" w:rsidR="00E524EA" w:rsidRPr="006C2AA6"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He considered the uncontradicted evidence as to the absence of a safe level of exposure to second</w:t>
      </w:r>
      <w:r w:rsidR="00720901">
        <w:rPr>
          <w:kern w:val="28"/>
          <w:lang w:val="en-CA"/>
        </w:rPr>
        <w:noBreakHyphen/>
      </w:r>
      <w:r w:rsidRPr="00B120AE">
        <w:rPr>
          <w:kern w:val="28"/>
          <w:lang w:val="en-CA"/>
        </w:rPr>
        <w:t>hand smoke, as well as the AGQ</w:t>
      </w:r>
      <w:r w:rsidR="00282C6C">
        <w:rPr>
          <w:kern w:val="28"/>
          <w:lang w:val="en-CA"/>
        </w:rPr>
        <w:t>’</w:t>
      </w:r>
      <w:r w:rsidRPr="00B120AE">
        <w:rPr>
          <w:kern w:val="28"/>
          <w:lang w:val="en-CA"/>
        </w:rPr>
        <w:t xml:space="preserve">s argument in support of an absolute ban as a minimum impairment. He concluded that this measure is not </w:t>
      </w:r>
      <w:r w:rsidR="0078033F" w:rsidRPr="0078033F">
        <w:rPr>
          <w:smallCaps/>
          <w:kern w:val="28"/>
          <w:lang w:val="en-CA"/>
        </w:rPr>
        <w:t>[translation] </w:t>
      </w:r>
      <w:r w:rsidR="00282C6C">
        <w:rPr>
          <w:kern w:val="28"/>
          <w:lang w:val="en-CA"/>
        </w:rPr>
        <w:t>“</w:t>
      </w:r>
      <w:r w:rsidRPr="00B120AE">
        <w:rPr>
          <w:kern w:val="28"/>
          <w:lang w:val="en-CA"/>
        </w:rPr>
        <w:t>the least intrusive nor the only measure for achieving the legislature</w:t>
      </w:r>
      <w:r w:rsidR="00282C6C">
        <w:rPr>
          <w:kern w:val="28"/>
          <w:lang w:val="en-CA"/>
        </w:rPr>
        <w:t>’</w:t>
      </w:r>
      <w:r w:rsidRPr="00B120AE">
        <w:rPr>
          <w:kern w:val="28"/>
          <w:lang w:val="en-CA"/>
        </w:rPr>
        <w:t>s objectives in a real and substantial manner</w:t>
      </w:r>
      <w:r w:rsidR="00282C6C">
        <w:rPr>
          <w:kern w:val="28"/>
          <w:lang w:val="en-CA"/>
        </w:rPr>
        <w:t>”</w:t>
      </w:r>
      <w:r w:rsidRPr="00B120AE">
        <w:rPr>
          <w:kern w:val="28"/>
          <w:lang w:val="en-CA"/>
        </w:rPr>
        <w:t xml:space="preserve"> in the context of a fictional character in a play that uses this mod</w:t>
      </w:r>
      <w:r w:rsidRPr="006C2AA6">
        <w:rPr>
          <w:kern w:val="28"/>
          <w:lang w:val="en-CA"/>
        </w:rPr>
        <w:t>e of communication. He explained his reasoning as follows:</w:t>
      </w:r>
    </w:p>
    <w:p w14:paraId="5C313066" w14:textId="77777777" w:rsidR="00290F48" w:rsidRPr="006C2AA6" w:rsidRDefault="001C0031" w:rsidP="00E524EA">
      <w:pPr>
        <w:tabs>
          <w:tab w:val="left" w:pos="1276"/>
        </w:tabs>
        <w:spacing w:before="120" w:after="120" w:line="240" w:lineRule="auto"/>
        <w:ind w:left="720" w:right="720"/>
        <w:jc w:val="both"/>
        <w:rPr>
          <w:kern w:val="24"/>
          <w:sz w:val="22"/>
          <w:lang w:val="en-CA" w:eastAsia="fr-CA"/>
        </w:rPr>
      </w:pPr>
      <w:r w:rsidRPr="006C2AA6">
        <w:rPr>
          <w:kern w:val="24"/>
          <w:sz w:val="22"/>
          <w:lang w:val="en-CA" w:eastAsia="fr-CA"/>
        </w:rPr>
        <w:t>[</w:t>
      </w:r>
      <w:r w:rsidR="004D6ECE" w:rsidRPr="006C2AA6">
        <w:rPr>
          <w:smallCaps/>
          <w:kern w:val="24"/>
          <w:sz w:val="22"/>
          <w:lang w:val="en-CA" w:eastAsia="fr-CA"/>
        </w:rPr>
        <w:t>translation</w:t>
      </w:r>
      <w:r w:rsidRPr="006C2AA6">
        <w:rPr>
          <w:kern w:val="24"/>
          <w:sz w:val="22"/>
          <w:lang w:val="en-CA" w:eastAsia="fr-CA"/>
        </w:rPr>
        <w:t>]</w:t>
      </w:r>
    </w:p>
    <w:p w14:paraId="50852CD8" w14:textId="661AB3A3" w:rsidR="00E524EA" w:rsidRPr="00B120AE" w:rsidRDefault="001C0031" w:rsidP="00E524EA">
      <w:pPr>
        <w:tabs>
          <w:tab w:val="left" w:pos="1276"/>
        </w:tabs>
        <w:spacing w:before="120" w:after="120" w:line="240" w:lineRule="auto"/>
        <w:ind w:left="720" w:right="720"/>
        <w:jc w:val="both"/>
        <w:rPr>
          <w:kern w:val="24"/>
          <w:sz w:val="22"/>
          <w:lang w:val="en-CA" w:eastAsia="fr-CA"/>
        </w:rPr>
      </w:pPr>
      <w:r w:rsidRPr="006C2AA6">
        <w:rPr>
          <w:kern w:val="24"/>
          <w:sz w:val="22"/>
          <w:lang w:val="en-CA" w:eastAsia="fr-CA"/>
        </w:rPr>
        <w:t>[63]</w:t>
      </w:r>
      <w:r w:rsidRPr="006C2AA6">
        <w:rPr>
          <w:kern w:val="24"/>
          <w:sz w:val="22"/>
          <w:lang w:val="en-CA" w:eastAsia="fr-CA"/>
        </w:rPr>
        <w:tab/>
        <w:t>[…] It does not appear reasonable to completely prohibit the act of smoking a cigarette in all circumstances in the context of a theatrical performance. This ban is not a ratio</w:t>
      </w:r>
      <w:r w:rsidRPr="00B120AE">
        <w:rPr>
          <w:kern w:val="24"/>
          <w:sz w:val="22"/>
          <w:lang w:val="en-CA" w:eastAsia="fr-CA"/>
        </w:rPr>
        <w:t>nal and sensible approach to the issues surrounding tobacco use and to the objectives pursued by the legislature in this respect.</w:t>
      </w:r>
    </w:p>
    <w:p w14:paraId="50852CD9" w14:textId="7AA4D458"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w:t>
      </w:r>
      <w:bookmarkStart w:id="40" w:name="par64"/>
      <w:r w:rsidRPr="00B120AE">
        <w:rPr>
          <w:kern w:val="24"/>
          <w:sz w:val="22"/>
          <w:lang w:val="en-CA"/>
        </w:rPr>
        <w:t>64</w:t>
      </w:r>
      <w:bookmarkEnd w:id="40"/>
      <w:r w:rsidRPr="00B120AE">
        <w:rPr>
          <w:kern w:val="24"/>
          <w:sz w:val="22"/>
          <w:lang w:val="en-CA"/>
        </w:rPr>
        <w:t>]</w:t>
      </w:r>
      <w:r w:rsidRPr="00B120AE">
        <w:rPr>
          <w:kern w:val="24"/>
          <w:sz w:val="14"/>
          <w:szCs w:val="14"/>
          <w:lang w:val="en-CA"/>
        </w:rPr>
        <w:tab/>
      </w:r>
      <w:r w:rsidRPr="00B120AE">
        <w:rPr>
          <w:kern w:val="24"/>
          <w:sz w:val="22"/>
          <w:lang w:val="en-CA"/>
        </w:rPr>
        <w:t>The act of smoking in the context of a play does not substantially or significantly undermine the legislature</w:t>
      </w:r>
      <w:r w:rsidR="00282C6C">
        <w:rPr>
          <w:kern w:val="24"/>
          <w:sz w:val="22"/>
          <w:lang w:val="en-CA"/>
        </w:rPr>
        <w:t>’</w:t>
      </w:r>
      <w:r w:rsidRPr="00B120AE">
        <w:rPr>
          <w:kern w:val="24"/>
          <w:sz w:val="22"/>
          <w:lang w:val="en-CA"/>
        </w:rPr>
        <w:t xml:space="preserve">s objectives. Clearly, the dangers associated with tobacco use call for strong measures. The ban on smoking in public places is one such valid measure. </w:t>
      </w:r>
      <w:r w:rsidRPr="00B120AE">
        <w:rPr>
          <w:kern w:val="24"/>
          <w:sz w:val="22"/>
          <w:u w:val="single"/>
          <w:lang w:val="en-CA"/>
        </w:rPr>
        <w:t xml:space="preserve">But in the specific context of a theatrical performance, this prohibition does not further the objectives in a rational way. As the appellants submit, penalizing a theatre that presents a play in which an actor smokes a cigarette </w:t>
      </w:r>
      <w:proofErr w:type="gramStart"/>
      <w:r w:rsidRPr="00B120AE">
        <w:rPr>
          <w:kern w:val="24"/>
          <w:sz w:val="22"/>
          <w:u w:val="single"/>
          <w:lang w:val="en-CA"/>
        </w:rPr>
        <w:t>in order to</w:t>
      </w:r>
      <w:proofErr w:type="gramEnd"/>
      <w:r w:rsidRPr="00B120AE">
        <w:rPr>
          <w:kern w:val="24"/>
          <w:sz w:val="22"/>
          <w:u w:val="single"/>
          <w:lang w:val="en-CA"/>
        </w:rPr>
        <w:t xml:space="preserve"> convey a message is a gross departure from the legislature</w:t>
      </w:r>
      <w:r w:rsidR="00282C6C">
        <w:rPr>
          <w:kern w:val="24"/>
          <w:sz w:val="22"/>
          <w:u w:val="single"/>
          <w:lang w:val="en-CA"/>
        </w:rPr>
        <w:t>’</w:t>
      </w:r>
      <w:r w:rsidRPr="00B120AE">
        <w:rPr>
          <w:kern w:val="24"/>
          <w:sz w:val="22"/>
          <w:u w:val="single"/>
          <w:lang w:val="en-CA"/>
        </w:rPr>
        <w:t>s objectives, even when public‑health considerations are taken into account</w:t>
      </w:r>
      <w:r w:rsidRPr="00B120AE">
        <w:rPr>
          <w:kern w:val="24"/>
          <w:sz w:val="22"/>
          <w:lang w:val="en-CA"/>
        </w:rPr>
        <w:t>.</w:t>
      </w:r>
    </w:p>
    <w:p w14:paraId="50852CDA" w14:textId="77777777"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w:t>
      </w:r>
      <w:bookmarkStart w:id="41" w:name="par65"/>
      <w:r w:rsidRPr="00B120AE">
        <w:rPr>
          <w:kern w:val="24"/>
          <w:sz w:val="22"/>
          <w:lang w:val="en-CA"/>
        </w:rPr>
        <w:t>65</w:t>
      </w:r>
      <w:bookmarkEnd w:id="41"/>
      <w:r w:rsidRPr="00B120AE">
        <w:rPr>
          <w:kern w:val="24"/>
          <w:sz w:val="22"/>
          <w:lang w:val="en-CA"/>
        </w:rPr>
        <w:t>]</w:t>
      </w:r>
      <w:r w:rsidRPr="00B120AE">
        <w:rPr>
          <w:kern w:val="24"/>
          <w:sz w:val="14"/>
          <w:szCs w:val="14"/>
          <w:lang w:val="en-CA"/>
        </w:rPr>
        <w:tab/>
      </w:r>
      <w:r w:rsidRPr="00B120AE">
        <w:rPr>
          <w:kern w:val="24"/>
          <w:sz w:val="22"/>
          <w:lang w:val="en-CA"/>
        </w:rPr>
        <w:t xml:space="preserve">This seems </w:t>
      </w:r>
      <w:proofErr w:type="gramStart"/>
      <w:r w:rsidRPr="00B120AE">
        <w:rPr>
          <w:kern w:val="24"/>
          <w:sz w:val="22"/>
          <w:lang w:val="en-CA"/>
        </w:rPr>
        <w:t>all the more</w:t>
      </w:r>
      <w:proofErr w:type="gramEnd"/>
      <w:r w:rsidRPr="00B120AE">
        <w:rPr>
          <w:kern w:val="24"/>
          <w:sz w:val="22"/>
          <w:lang w:val="en-CA"/>
        </w:rPr>
        <w:t xml:space="preserve"> evident in cases where, as here, spectators are informed before the performance that cigarettes will be smoked during the play.</w:t>
      </w:r>
    </w:p>
    <w:p w14:paraId="50852CDB" w14:textId="73F906B7"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[66]</w:t>
      </w:r>
      <w:r w:rsidRPr="00B120AE">
        <w:rPr>
          <w:kern w:val="24"/>
          <w:sz w:val="14"/>
          <w:szCs w:val="14"/>
          <w:lang w:val="en-CA"/>
        </w:rPr>
        <w:tab/>
      </w:r>
      <w:r w:rsidRPr="00B120AE">
        <w:rPr>
          <w:kern w:val="24"/>
          <w:sz w:val="22"/>
          <w:lang w:val="en-CA"/>
        </w:rPr>
        <w:t>Those who choose to attend, many of whom are likely non</w:t>
      </w:r>
      <w:r w:rsidR="00720901">
        <w:rPr>
          <w:kern w:val="24"/>
          <w:sz w:val="22"/>
          <w:lang w:val="en-CA"/>
        </w:rPr>
        <w:noBreakHyphen/>
      </w:r>
      <w:r w:rsidRPr="00B120AE">
        <w:rPr>
          <w:kern w:val="24"/>
          <w:sz w:val="22"/>
          <w:lang w:val="en-CA"/>
        </w:rPr>
        <w:t xml:space="preserve">smokers, are </w:t>
      </w:r>
      <w:proofErr w:type="gramStart"/>
      <w:r w:rsidRPr="00B120AE">
        <w:rPr>
          <w:kern w:val="24"/>
          <w:sz w:val="22"/>
          <w:lang w:val="en-CA"/>
        </w:rPr>
        <w:t>in a position</w:t>
      </w:r>
      <w:proofErr w:type="gramEnd"/>
      <w:r w:rsidRPr="00B120AE">
        <w:rPr>
          <w:kern w:val="24"/>
          <w:sz w:val="22"/>
          <w:lang w:val="en-CA"/>
        </w:rPr>
        <w:t xml:space="preserve"> to understand the artistic nature of the gesture and, above all, the risks associated with this act of artistic expression. This choice is no different from that made by a person who agrees to visit a friend who smokes in their presence in a private space.</w:t>
      </w:r>
    </w:p>
    <w:p w14:paraId="50852CDC" w14:textId="77777777" w:rsidR="00E524EA" w:rsidRPr="00B120AE" w:rsidRDefault="001C0031" w:rsidP="00E524EA">
      <w:pPr>
        <w:spacing w:before="120" w:after="120" w:line="240" w:lineRule="auto"/>
        <w:ind w:left="720" w:right="720"/>
        <w:jc w:val="right"/>
        <w:rPr>
          <w:kern w:val="24"/>
          <w:sz w:val="22"/>
          <w:lang w:val="en-CA"/>
        </w:rPr>
      </w:pPr>
      <w:r w:rsidRPr="00B120AE">
        <w:rPr>
          <w:kern w:val="24"/>
          <w:sz w:val="22"/>
          <w:lang w:val="en-CA"/>
        </w:rPr>
        <w:t>[Underlining added]</w:t>
      </w:r>
    </w:p>
    <w:p w14:paraId="50852CDD" w14:textId="1CC35AE0"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I see no reviewable error in this reasoning, even though the judge noted that the legislative objective is the protection of public health. Indeed, even when the more narrowly defined objective is </w:t>
      </w:r>
      <w:proofErr w:type="gramStart"/>
      <w:r w:rsidRPr="00B120AE">
        <w:rPr>
          <w:kern w:val="28"/>
          <w:lang w:val="en-CA"/>
        </w:rPr>
        <w:t>taken into account</w:t>
      </w:r>
      <w:proofErr w:type="gramEnd"/>
      <w:r w:rsidRPr="00B120AE">
        <w:rPr>
          <w:kern w:val="28"/>
          <w:lang w:val="en-CA"/>
        </w:rPr>
        <w:t>, I am of the view that the impairment is not minimal. I will explain why.</w:t>
      </w:r>
      <w:r w:rsidR="00287AE9">
        <w:rPr>
          <w:kern w:val="28"/>
          <w:lang w:val="en-CA"/>
        </w:rPr>
        <w:t xml:space="preserve"> </w:t>
      </w:r>
    </w:p>
    <w:p w14:paraId="50852CDE" w14:textId="3A553E11"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At the minimal impairment stage, the AGQ must show that the limit on freedom of artistic expression is reasonable, considering the legislative objective, and that there is </w:t>
      </w:r>
      <w:r w:rsidRPr="00B120AE">
        <w:rPr>
          <w:kern w:val="28"/>
          <w:lang w:val="en-CA"/>
        </w:rPr>
        <w:lastRenderedPageBreak/>
        <w:t>no alternative, less harmful means of achieving the objective in a real and substantial manner.</w:t>
      </w:r>
      <w:r w:rsidRPr="00B120AE">
        <w:rPr>
          <w:kern w:val="28"/>
          <w:vertAlign w:val="superscript"/>
          <w:lang w:val="en-CA"/>
        </w:rPr>
        <w:footnoteReference w:id="96"/>
      </w:r>
      <w:r w:rsidRPr="00B120AE">
        <w:rPr>
          <w:kern w:val="28"/>
          <w:lang w:val="en-CA"/>
        </w:rPr>
        <w:t xml:space="preserve"> Thus, the provisions must be </w:t>
      </w:r>
      <w:r w:rsidR="00282C6C">
        <w:rPr>
          <w:kern w:val="28"/>
          <w:lang w:val="en-CA"/>
        </w:rPr>
        <w:t>“</w:t>
      </w:r>
      <w:r w:rsidRPr="00B120AE">
        <w:rPr>
          <w:kern w:val="28"/>
          <w:u w:val="single"/>
          <w:lang w:val="en-CA"/>
        </w:rPr>
        <w:t>carefully tailored</w:t>
      </w:r>
      <w:r w:rsidRPr="00B120AE">
        <w:rPr>
          <w:kern w:val="28"/>
          <w:lang w:val="en-CA"/>
        </w:rPr>
        <w:t xml:space="preserve"> so that rights are impaired no more than necessary</w:t>
      </w:r>
      <w:r w:rsidR="00282C6C">
        <w:rPr>
          <w:kern w:val="28"/>
          <w:lang w:val="en-CA"/>
        </w:rPr>
        <w:t>”</w:t>
      </w:r>
      <w:r w:rsidRPr="00B120AE">
        <w:rPr>
          <w:kern w:val="28"/>
          <w:lang w:val="en-CA"/>
        </w:rPr>
        <w:t>.</w:t>
      </w:r>
      <w:r w:rsidRPr="00B120AE">
        <w:rPr>
          <w:kern w:val="28"/>
          <w:vertAlign w:val="superscript"/>
          <w:lang w:val="en-CA"/>
        </w:rPr>
        <w:footnoteReference w:id="97"/>
      </w:r>
      <w:r w:rsidRPr="00B120AE">
        <w:rPr>
          <w:kern w:val="28"/>
          <w:lang w:val="en-CA"/>
        </w:rPr>
        <w:t xml:space="preserve"> Nonetheless, the legislature has some latitude in this area, and the fact that an alternative solution can be envisaged is not sufficient to conclude that the requirement has not been met.</w:t>
      </w:r>
      <w:r w:rsidRPr="00B120AE">
        <w:rPr>
          <w:kern w:val="28"/>
          <w:vertAlign w:val="superscript"/>
          <w:lang w:val="en-CA"/>
        </w:rPr>
        <w:footnoteReference w:id="98"/>
      </w:r>
      <w:r w:rsidRPr="00B120AE">
        <w:rPr>
          <w:kern w:val="28"/>
          <w:lang w:val="en-CA"/>
        </w:rPr>
        <w:t xml:space="preserve"> That said, in the recent ruling in </w:t>
      </w:r>
      <w:r w:rsidRPr="00B120AE">
        <w:rPr>
          <w:i/>
          <w:iCs/>
          <w:kern w:val="28"/>
          <w:lang w:val="en-CA"/>
        </w:rPr>
        <w:t>Taylor v. Newfoundland and Labrador</w:t>
      </w:r>
      <w:r w:rsidRPr="00B120AE">
        <w:rPr>
          <w:kern w:val="28"/>
          <w:lang w:val="en-CA"/>
        </w:rPr>
        <w:t>, Karakatsanis and Martin, JJ., writing for the majority of the Supreme Court, explained the following:</w:t>
      </w:r>
    </w:p>
    <w:p w14:paraId="50852CDF" w14:textId="4A689802"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w:t>
      </w:r>
      <w:bookmarkStart w:id="42" w:name="par234"/>
      <w:r w:rsidRPr="00B120AE">
        <w:rPr>
          <w:kern w:val="24"/>
          <w:sz w:val="22"/>
          <w:lang w:val="en-CA"/>
        </w:rPr>
        <w:t>234</w:t>
      </w:r>
      <w:bookmarkEnd w:id="42"/>
      <w:r w:rsidRPr="00B120AE">
        <w:rPr>
          <w:kern w:val="24"/>
          <w:sz w:val="22"/>
          <w:lang w:val="en-CA"/>
        </w:rPr>
        <w:t xml:space="preserve">] […] the right must be impaired as little as reasonably possible. Judicial deference should not extend to accepting any law </w:t>
      </w:r>
      <w:r w:rsidR="00282C6C">
        <w:rPr>
          <w:kern w:val="24"/>
          <w:sz w:val="22"/>
          <w:lang w:val="en-CA"/>
        </w:rPr>
        <w:t>“</w:t>
      </w:r>
      <w:r w:rsidRPr="00B120AE">
        <w:rPr>
          <w:kern w:val="24"/>
          <w:sz w:val="22"/>
          <w:lang w:val="en-CA"/>
        </w:rPr>
        <w:t>simply on the basis that the problem is serious and the solution difficult</w:t>
      </w:r>
      <w:r w:rsidR="00282C6C">
        <w:rPr>
          <w:kern w:val="24"/>
          <w:sz w:val="22"/>
          <w:lang w:val="en-CA"/>
        </w:rPr>
        <w:t>”</w:t>
      </w:r>
      <w:r w:rsidRPr="00B120AE">
        <w:rPr>
          <w:kern w:val="24"/>
          <w:sz w:val="22"/>
          <w:lang w:val="en-CA"/>
        </w:rPr>
        <w:t>.</w:t>
      </w:r>
    </w:p>
    <w:p w14:paraId="50852CE0" w14:textId="77777777" w:rsidR="00E524EA" w:rsidRPr="00B120AE" w:rsidRDefault="001C0031" w:rsidP="00E524EA">
      <w:pPr>
        <w:spacing w:before="120" w:after="120" w:line="240" w:lineRule="auto"/>
        <w:ind w:left="720" w:right="720"/>
        <w:jc w:val="right"/>
        <w:rPr>
          <w:kern w:val="24"/>
          <w:sz w:val="22"/>
          <w:lang w:val="en-CA"/>
        </w:rPr>
      </w:pPr>
      <w:r w:rsidRPr="00B120AE">
        <w:rPr>
          <w:kern w:val="24"/>
          <w:sz w:val="22"/>
          <w:lang w:val="en-CA"/>
        </w:rPr>
        <w:t>[References omitted]</w:t>
      </w:r>
    </w:p>
    <w:p w14:paraId="50852CE1" w14:textId="1160ABF5"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In </w:t>
      </w:r>
      <w:r w:rsidRPr="00B120AE">
        <w:rPr>
          <w:i/>
          <w:iCs/>
          <w:kern w:val="28"/>
          <w:lang w:val="en-CA"/>
        </w:rPr>
        <w:t>RJR</w:t>
      </w:r>
      <w:r w:rsidRPr="00B120AE">
        <w:rPr>
          <w:kern w:val="28"/>
          <w:lang w:val="en-CA"/>
        </w:rPr>
        <w:t xml:space="preserve">, the majority of the Supreme Court stated: </w:t>
      </w:r>
      <w:r w:rsidR="00282C6C">
        <w:rPr>
          <w:kern w:val="28"/>
          <w:lang w:val="en-CA"/>
        </w:rPr>
        <w:t>“</w:t>
      </w:r>
      <w:r w:rsidRPr="00B120AE">
        <w:rPr>
          <w:kern w:val="28"/>
          <w:lang w:val="en-CA"/>
        </w:rPr>
        <w:t>On the other hand, if the government fails to explain why a significantly less intrusive and equally effective measure was not chosen, the law may fail.</w:t>
      </w:r>
      <w:r w:rsidR="00282C6C">
        <w:rPr>
          <w:kern w:val="28"/>
          <w:lang w:val="en-CA"/>
        </w:rPr>
        <w:t>”</w:t>
      </w:r>
      <w:r w:rsidRPr="00B120AE">
        <w:rPr>
          <w:kern w:val="28"/>
          <w:vertAlign w:val="superscript"/>
          <w:lang w:val="en-CA"/>
        </w:rPr>
        <w:footnoteReference w:id="99"/>
      </w:r>
      <w:r w:rsidRPr="00B120AE">
        <w:rPr>
          <w:kern w:val="28"/>
          <w:lang w:val="en-CA"/>
        </w:rPr>
        <w:t xml:space="preserve"> As to the complete ban, it added: </w:t>
      </w:r>
    </w:p>
    <w:p w14:paraId="50852CE2" w14:textId="3591E875" w:rsidR="00142943" w:rsidRPr="00B120AE" w:rsidRDefault="001C0031" w:rsidP="00142943">
      <w:pPr>
        <w:tabs>
          <w:tab w:val="left" w:pos="1560"/>
        </w:tabs>
        <w:spacing w:before="120" w:after="120" w:line="240" w:lineRule="auto"/>
        <w:ind w:left="720" w:right="720"/>
        <w:jc w:val="both"/>
        <w:rPr>
          <w:kern w:val="24"/>
          <w:sz w:val="22"/>
          <w:lang w:val="en-CA"/>
        </w:rPr>
      </w:pPr>
      <w:bookmarkStart w:id="43" w:name="par.163"/>
      <w:r w:rsidRPr="00B120AE">
        <w:rPr>
          <w:kern w:val="24"/>
          <w:sz w:val="22"/>
          <w:lang w:val="en-CA"/>
        </w:rPr>
        <w:t xml:space="preserve">[163] […] A full prohibition will only be constitutionally acceptable under the minimal impairment stage of the analysis where </w:t>
      </w:r>
      <w:r w:rsidRPr="00B120AE">
        <w:rPr>
          <w:kern w:val="24"/>
          <w:sz w:val="22"/>
          <w:u w:val="single"/>
          <w:lang w:val="en-CA"/>
        </w:rPr>
        <w:t>the government can show that only a full prohibition will enable it to achieve its objective</w:t>
      </w:r>
      <w:r w:rsidRPr="00B120AE">
        <w:rPr>
          <w:kern w:val="24"/>
          <w:sz w:val="22"/>
          <w:lang w:val="en-CA"/>
        </w:rPr>
        <w:t xml:space="preserve">. Where, as here, no evidence is adduced to show that a partial ban would be less effective than a total ban, the justification required by </w:t>
      </w:r>
      <w:r w:rsidR="008742D0">
        <w:rPr>
          <w:kern w:val="24"/>
          <w:sz w:val="22"/>
          <w:lang w:val="en-CA"/>
        </w:rPr>
        <w:t>s. 1</w:t>
      </w:r>
      <w:r w:rsidRPr="00B120AE">
        <w:rPr>
          <w:kern w:val="24"/>
          <w:sz w:val="22"/>
          <w:lang w:val="en-CA"/>
        </w:rPr>
        <w:t xml:space="preserve"> to save the violation of free speech is not established.</w:t>
      </w:r>
      <w:bookmarkEnd w:id="43"/>
      <w:r w:rsidRPr="00B120AE">
        <w:rPr>
          <w:kern w:val="24"/>
          <w:sz w:val="22"/>
          <w:vertAlign w:val="superscript"/>
          <w:lang w:val="en-CA"/>
        </w:rPr>
        <w:footnoteReference w:id="100"/>
      </w:r>
    </w:p>
    <w:p w14:paraId="50852CE3" w14:textId="77777777" w:rsidR="00441B52" w:rsidRPr="00B120AE" w:rsidRDefault="001C0031" w:rsidP="00441B52">
      <w:pPr>
        <w:tabs>
          <w:tab w:val="left" w:pos="1560"/>
        </w:tabs>
        <w:spacing w:before="120" w:after="120" w:line="240" w:lineRule="auto"/>
        <w:ind w:left="720" w:right="720"/>
        <w:jc w:val="right"/>
        <w:rPr>
          <w:kern w:val="24"/>
          <w:sz w:val="22"/>
          <w:lang w:val="en-CA"/>
        </w:rPr>
      </w:pPr>
      <w:r w:rsidRPr="00B120AE">
        <w:rPr>
          <w:kern w:val="24"/>
          <w:sz w:val="22"/>
          <w:lang w:val="en-CA"/>
        </w:rPr>
        <w:t>[Underlining added]</w:t>
      </w:r>
    </w:p>
    <w:p w14:paraId="50852CE4" w14:textId="2C0B9F2C" w:rsidR="00E524EA" w:rsidRPr="00B120AE" w:rsidRDefault="001C0031" w:rsidP="00142943">
      <w:pPr>
        <w:numPr>
          <w:ilvl w:val="0"/>
          <w:numId w:val="18"/>
        </w:numPr>
        <w:tabs>
          <w:tab w:val="clear" w:pos="720"/>
          <w:tab w:val="num" w:pos="360"/>
        </w:tabs>
        <w:spacing w:before="120" w:after="120" w:line="240" w:lineRule="auto"/>
        <w:jc w:val="both"/>
        <w:rPr>
          <w:kern w:val="28"/>
          <w:lang w:val="en-CA"/>
        </w:rPr>
      </w:pPr>
      <w:r w:rsidRPr="00B120AE">
        <w:rPr>
          <w:kern w:val="28"/>
          <w:lang w:val="en-CA"/>
        </w:rPr>
        <w:t>In 1986, at the time of the enactment of the ban on smoking in publicly</w:t>
      </w:r>
      <w:r w:rsidR="00D967B1">
        <w:rPr>
          <w:kern w:val="28"/>
          <w:lang w:val="en-CA"/>
        </w:rPr>
        <w:t xml:space="preserve"> </w:t>
      </w:r>
      <w:r w:rsidRPr="00B120AE">
        <w:rPr>
          <w:kern w:val="28"/>
          <w:lang w:val="en-CA"/>
        </w:rPr>
        <w:t>accessible enclosed spaces where certain activities are held — including religious, sports, judicial, cultural and artistic activities</w:t>
      </w:r>
      <w:r w:rsidRPr="00B120AE">
        <w:rPr>
          <w:kern w:val="28"/>
          <w:vertAlign w:val="superscript"/>
          <w:lang w:val="en-CA"/>
        </w:rPr>
        <w:footnoteReference w:id="101"/>
      </w:r>
      <w:r w:rsidR="00112214" w:rsidRPr="00112214">
        <w:rPr>
          <w:kern w:val="28"/>
          <w:lang w:val="en-CA"/>
        </w:rPr>
        <w:t xml:space="preserve"> —</w:t>
      </w:r>
      <w:r w:rsidRPr="00B120AE">
        <w:rPr>
          <w:kern w:val="28"/>
          <w:lang w:val="en-CA"/>
        </w:rPr>
        <w:t xml:space="preserve"> there was no parliamentary debate on the effect of this restriction on freedom of artistic expression, which was neither mentioned nor considered. Rather, the parliamentary debates reflect the legislature</w:t>
      </w:r>
      <w:r w:rsidR="00282C6C">
        <w:rPr>
          <w:kern w:val="28"/>
          <w:lang w:val="en-CA"/>
        </w:rPr>
        <w:t>’</w:t>
      </w:r>
      <w:r w:rsidRPr="00B120AE">
        <w:rPr>
          <w:kern w:val="28"/>
          <w:lang w:val="en-CA"/>
        </w:rPr>
        <w:t>s concern about the exposure of non</w:t>
      </w:r>
      <w:r w:rsidR="00720901">
        <w:rPr>
          <w:kern w:val="28"/>
          <w:lang w:val="en-CA"/>
        </w:rPr>
        <w:noBreakHyphen/>
      </w:r>
      <w:r w:rsidRPr="00B120AE">
        <w:rPr>
          <w:kern w:val="28"/>
          <w:lang w:val="en-CA"/>
        </w:rPr>
        <w:t>smokers to second</w:t>
      </w:r>
      <w:r w:rsidR="00720901">
        <w:rPr>
          <w:kern w:val="28"/>
          <w:lang w:val="en-CA"/>
        </w:rPr>
        <w:noBreakHyphen/>
      </w:r>
      <w:r w:rsidRPr="00B120AE">
        <w:rPr>
          <w:kern w:val="28"/>
          <w:lang w:val="en-CA"/>
        </w:rPr>
        <w:t xml:space="preserve">hand smoke from smokers who frequent the enclosed places in question, without regard to cigarettes that may be smoked for the purposes of an artistic performance. Nor was this aspect addressed in the debates leading to the adoption of the legislative amendments expanding the prohibition, </w:t>
      </w:r>
      <w:proofErr w:type="gramStart"/>
      <w:r w:rsidRPr="00B120AE">
        <w:rPr>
          <w:kern w:val="28"/>
          <w:lang w:val="en-CA"/>
        </w:rPr>
        <w:t>despite the fact that</w:t>
      </w:r>
      <w:proofErr w:type="gramEnd"/>
      <w:r w:rsidRPr="00B120AE">
        <w:rPr>
          <w:kern w:val="28"/>
          <w:lang w:val="en-CA"/>
        </w:rPr>
        <w:t xml:space="preserve"> the ban was maintained for performance halls. As pointed out above, this silence can be explained by </w:t>
      </w:r>
      <w:r w:rsidRPr="00B120AE">
        <w:rPr>
          <w:kern w:val="28"/>
          <w:lang w:val="en-CA"/>
        </w:rPr>
        <w:lastRenderedPageBreak/>
        <w:t>the lack of public debate about the use of cigarettes in theatrical performances and the fact that such use was tolerated — until the issuance of the statements of offence in 2017.</w:t>
      </w:r>
      <w:r w:rsidRPr="00B120AE">
        <w:rPr>
          <w:kern w:val="28"/>
          <w:vertAlign w:val="superscript"/>
          <w:lang w:val="en-CA"/>
        </w:rPr>
        <w:footnoteReference w:id="102"/>
      </w:r>
      <w:r w:rsidRPr="00B120AE">
        <w:rPr>
          <w:kern w:val="28"/>
          <w:lang w:val="en-CA"/>
        </w:rPr>
        <w:t xml:space="preserve"> </w:t>
      </w:r>
    </w:p>
    <w:p w14:paraId="50852CE5" w14:textId="66DE86E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Despite this broad prohibition, cigarettes are still legal in certain enclosed spaces. Admittedly, over the years, the legislature has increasingly restricted smoking in publicly</w:t>
      </w:r>
      <w:r w:rsidR="00401E03">
        <w:rPr>
          <w:kern w:val="28"/>
          <w:lang w:val="en-CA"/>
        </w:rPr>
        <w:t xml:space="preserve"> </w:t>
      </w:r>
      <w:r w:rsidRPr="00B120AE">
        <w:rPr>
          <w:kern w:val="28"/>
          <w:lang w:val="en-CA"/>
        </w:rPr>
        <w:t>accessible places. To this day, smoking is still permitted in certain cigar rooms, subject to a number of conditions.</w:t>
      </w:r>
      <w:r w:rsidRPr="00B120AE">
        <w:rPr>
          <w:kern w:val="28"/>
          <w:vertAlign w:val="superscript"/>
          <w:lang w:val="en-CA"/>
        </w:rPr>
        <w:footnoteReference w:id="103"/>
      </w:r>
      <w:r w:rsidRPr="00B120AE">
        <w:rPr>
          <w:kern w:val="28"/>
          <w:lang w:val="en-CA"/>
        </w:rPr>
        <w:t xml:space="preserve"> Moreover, smoking is not prohibited in certain private spaces, including, for example, a private residence, a smoking room, certain social services centres,</w:t>
      </w:r>
      <w:r w:rsidRPr="00B120AE">
        <w:rPr>
          <w:kern w:val="28"/>
          <w:vertAlign w:val="superscript"/>
          <w:lang w:val="en-CA"/>
        </w:rPr>
        <w:footnoteReference w:id="104"/>
      </w:r>
      <w:r w:rsidRPr="00B120AE">
        <w:rPr>
          <w:kern w:val="28"/>
          <w:lang w:val="en-CA"/>
        </w:rPr>
        <w:t xml:space="preserve"> rooms where smoking is permitted in certain residential care facilities</w:t>
      </w:r>
      <w:r w:rsidRPr="00B120AE">
        <w:rPr>
          <w:kern w:val="28"/>
          <w:vertAlign w:val="superscript"/>
          <w:lang w:val="en-CA"/>
        </w:rPr>
        <w:footnoteReference w:id="105"/>
      </w:r>
      <w:r w:rsidRPr="00B120AE">
        <w:rPr>
          <w:kern w:val="28"/>
          <w:lang w:val="en-CA"/>
        </w:rPr>
        <w:t xml:space="preserve"> </w:t>
      </w:r>
      <w:r w:rsidR="007D0689">
        <w:rPr>
          <w:kern w:val="28"/>
          <w:lang w:val="en-CA"/>
        </w:rPr>
        <w:t>and</w:t>
      </w:r>
      <w:r w:rsidRPr="00B120AE">
        <w:rPr>
          <w:kern w:val="28"/>
          <w:lang w:val="en-CA"/>
        </w:rPr>
        <w:t xml:space="preserve"> a car that is not transporting anyone under the age of 16.</w:t>
      </w:r>
      <w:r w:rsidRPr="00B120AE">
        <w:rPr>
          <w:kern w:val="28"/>
          <w:vertAlign w:val="superscript"/>
          <w:lang w:val="en-CA"/>
        </w:rPr>
        <w:footnoteReference w:id="106"/>
      </w:r>
      <w:r w:rsidRPr="00B120AE">
        <w:rPr>
          <w:kern w:val="28"/>
          <w:lang w:val="en-CA"/>
        </w:rPr>
        <w:t xml:space="preserve"> In the June 2005 parliamentary debates held in connection with the clause</w:t>
      </w:r>
      <w:r w:rsidR="00720901">
        <w:rPr>
          <w:kern w:val="28"/>
          <w:lang w:val="en-CA"/>
        </w:rPr>
        <w:noBreakHyphen/>
      </w:r>
      <w:r w:rsidRPr="00B120AE">
        <w:rPr>
          <w:kern w:val="28"/>
          <w:lang w:val="en-CA"/>
        </w:rPr>
        <w:t>by</w:t>
      </w:r>
      <w:r w:rsidR="00720901">
        <w:rPr>
          <w:kern w:val="28"/>
          <w:lang w:val="en-CA"/>
        </w:rPr>
        <w:noBreakHyphen/>
      </w:r>
      <w:r w:rsidRPr="00B120AE">
        <w:rPr>
          <w:kern w:val="28"/>
          <w:lang w:val="en-CA"/>
        </w:rPr>
        <w:t xml:space="preserve">clause consideration of Bill 112 – </w:t>
      </w:r>
      <w:r w:rsidRPr="00B120AE">
        <w:rPr>
          <w:i/>
          <w:iCs/>
          <w:kern w:val="28"/>
          <w:lang w:val="en-CA"/>
        </w:rPr>
        <w:t>An Act to amend the Tobacco Act and other legislative provisions</w:t>
      </w:r>
      <w:r w:rsidRPr="00B120AE">
        <w:rPr>
          <w:kern w:val="28"/>
          <w:lang w:val="en-CA"/>
        </w:rPr>
        <w:t>,</w:t>
      </w:r>
      <w:r w:rsidRPr="00B120AE">
        <w:rPr>
          <w:kern w:val="28"/>
          <w:vertAlign w:val="superscript"/>
          <w:lang w:val="en-CA"/>
        </w:rPr>
        <w:footnoteReference w:id="107"/>
      </w:r>
      <w:r w:rsidRPr="00B120AE">
        <w:rPr>
          <w:kern w:val="28"/>
          <w:lang w:val="en-CA"/>
        </w:rPr>
        <w:t xml:space="preserve"> Philippe Couillard, the Minister of Health and Social Services, explained as follows:</w:t>
      </w:r>
    </w:p>
    <w:p w14:paraId="6F32B5E4" w14:textId="77777777" w:rsidR="00290F48" w:rsidRDefault="001C0031" w:rsidP="00E84882">
      <w:pPr>
        <w:spacing w:before="120" w:after="120" w:line="240" w:lineRule="auto"/>
        <w:ind w:left="720" w:right="720"/>
        <w:jc w:val="both"/>
        <w:rPr>
          <w:kern w:val="24"/>
          <w:sz w:val="22"/>
          <w:lang w:val="en-CA" w:eastAsia="fr-CA"/>
        </w:rPr>
      </w:pPr>
      <w:r w:rsidRPr="00B120AE">
        <w:rPr>
          <w:kern w:val="24"/>
          <w:sz w:val="22"/>
          <w:lang w:val="en-CA" w:eastAsia="fr-CA"/>
        </w:rPr>
        <w:t>[</w:t>
      </w:r>
      <w:r w:rsidR="004D6ECE" w:rsidRPr="00E4008E">
        <w:rPr>
          <w:smallCaps/>
          <w:kern w:val="24"/>
          <w:sz w:val="22"/>
          <w:lang w:val="en-CA" w:eastAsia="fr-CA"/>
        </w:rPr>
        <w:t>translation</w:t>
      </w:r>
      <w:r w:rsidRPr="00B120AE">
        <w:rPr>
          <w:kern w:val="24"/>
          <w:sz w:val="22"/>
          <w:lang w:val="en-CA" w:eastAsia="fr-CA"/>
        </w:rPr>
        <w:t>]</w:t>
      </w:r>
    </w:p>
    <w:p w14:paraId="50852CE6" w14:textId="29B76731" w:rsidR="00E84882" w:rsidRPr="00B120AE" w:rsidRDefault="001C0031" w:rsidP="00E84882">
      <w:pPr>
        <w:spacing w:before="120" w:after="120" w:line="240" w:lineRule="auto"/>
        <w:ind w:left="720" w:right="720"/>
        <w:jc w:val="both"/>
        <w:rPr>
          <w:kern w:val="24"/>
          <w:sz w:val="22"/>
          <w:lang w:val="en-CA" w:eastAsia="fr-CA"/>
        </w:rPr>
      </w:pPr>
      <w:r w:rsidRPr="00B120AE">
        <w:rPr>
          <w:kern w:val="24"/>
          <w:sz w:val="22"/>
          <w:lang w:val="en-CA" w:eastAsia="fr-CA"/>
        </w:rPr>
        <w:t xml:space="preserve">Of course, </w:t>
      </w:r>
      <w:r w:rsidRPr="00B120AE">
        <w:rPr>
          <w:kern w:val="24"/>
          <w:sz w:val="22"/>
          <w:u w:val="single"/>
          <w:lang w:val="en-CA" w:eastAsia="fr-CA"/>
        </w:rPr>
        <w:t>it is a matter of balance</w:t>
      </w:r>
      <w:r w:rsidRPr="00B120AE">
        <w:rPr>
          <w:kern w:val="24"/>
          <w:sz w:val="22"/>
          <w:lang w:val="en-CA" w:eastAsia="fr-CA"/>
        </w:rPr>
        <w:t xml:space="preserve">. Here, as elsewhere, one must strike a balance between the social norms we wish to see changed, </w:t>
      </w:r>
      <w:r w:rsidRPr="00B120AE">
        <w:rPr>
          <w:kern w:val="24"/>
          <w:sz w:val="22"/>
          <w:u w:val="single"/>
          <w:lang w:val="en-CA" w:eastAsia="fr-CA"/>
        </w:rPr>
        <w:t>the protection of health and the impact on certain types of businesses, as well as the issue of individual freedoms, so, of course, we must allow people who unfortunately make that choice</w:t>
      </w:r>
      <w:r w:rsidRPr="00B120AE">
        <w:rPr>
          <w:kern w:val="24"/>
          <w:sz w:val="22"/>
          <w:lang w:val="en-CA" w:eastAsia="fr-CA"/>
        </w:rPr>
        <w:t xml:space="preserve"> — although I would point out that the notion of choice in the case of tobacco use is extremely relative — </w:t>
      </w:r>
      <w:r w:rsidRPr="00B120AE">
        <w:rPr>
          <w:kern w:val="24"/>
          <w:sz w:val="22"/>
          <w:u w:val="single"/>
          <w:lang w:val="en-CA" w:eastAsia="fr-CA"/>
        </w:rPr>
        <w:t>to use tobacco products in their private residences, of course. There is absolutely no question of intervening in people</w:t>
      </w:r>
      <w:r w:rsidR="00282C6C">
        <w:rPr>
          <w:kern w:val="24"/>
          <w:sz w:val="22"/>
          <w:u w:val="single"/>
          <w:lang w:val="en-CA" w:eastAsia="fr-CA"/>
        </w:rPr>
        <w:t>’</w:t>
      </w:r>
      <w:r w:rsidRPr="00B120AE">
        <w:rPr>
          <w:kern w:val="24"/>
          <w:sz w:val="22"/>
          <w:u w:val="single"/>
          <w:lang w:val="en-CA" w:eastAsia="fr-CA"/>
        </w:rPr>
        <w:t>s private residences</w:t>
      </w:r>
      <w:r w:rsidRPr="00B120AE">
        <w:rPr>
          <w:kern w:val="24"/>
          <w:sz w:val="22"/>
          <w:lang w:val="en-CA" w:eastAsia="fr-CA"/>
        </w:rPr>
        <w:t xml:space="preserve">. And when we refer to </w:t>
      </w:r>
      <w:r w:rsidR="00282C6C">
        <w:rPr>
          <w:kern w:val="24"/>
          <w:sz w:val="22"/>
          <w:lang w:val="en-CA" w:eastAsia="fr-CA"/>
        </w:rPr>
        <w:t>“</w:t>
      </w:r>
      <w:r w:rsidRPr="00B120AE">
        <w:rPr>
          <w:kern w:val="24"/>
          <w:sz w:val="22"/>
          <w:lang w:val="en-CA" w:eastAsia="fr-CA"/>
        </w:rPr>
        <w:t>private residences</w:t>
      </w:r>
      <w:r w:rsidR="00282C6C">
        <w:rPr>
          <w:kern w:val="24"/>
          <w:sz w:val="22"/>
          <w:lang w:val="en-CA" w:eastAsia="fr-CA"/>
        </w:rPr>
        <w:t>”</w:t>
      </w:r>
      <w:r w:rsidRPr="00B120AE">
        <w:rPr>
          <w:kern w:val="24"/>
          <w:sz w:val="22"/>
          <w:lang w:val="en-CA" w:eastAsia="fr-CA"/>
        </w:rPr>
        <w:t>, we are also speaking of places, living environments, where, for example, elderly persons reside in residential care centres, or where persons who must be housed on a long‑term basis due to problems other than aging, for example, reside, such that we have provided for measures allowing up to a maximum of 40% of rooms to be reserved for persons who use tobacco, and this would also apply to tourist establishments, which will be able to continue to have smoking room floors.</w:t>
      </w:r>
      <w:r w:rsidRPr="00B120AE">
        <w:rPr>
          <w:kern w:val="24"/>
          <w:sz w:val="22"/>
          <w:vertAlign w:val="superscript"/>
          <w:lang w:val="en-CA" w:eastAsia="fr-CA"/>
        </w:rPr>
        <w:footnoteReference w:id="108"/>
      </w:r>
    </w:p>
    <w:p w14:paraId="50852CE7" w14:textId="77777777" w:rsidR="00142943" w:rsidRPr="00B120AE" w:rsidRDefault="001C0031" w:rsidP="00142943">
      <w:pPr>
        <w:spacing w:before="120" w:after="120" w:line="240" w:lineRule="auto"/>
        <w:ind w:left="720" w:right="720"/>
        <w:jc w:val="right"/>
        <w:rPr>
          <w:kern w:val="24"/>
          <w:sz w:val="22"/>
          <w:lang w:val="en-CA" w:eastAsia="fr-CA"/>
        </w:rPr>
      </w:pPr>
      <w:r w:rsidRPr="00B120AE">
        <w:rPr>
          <w:kern w:val="24"/>
          <w:sz w:val="22"/>
          <w:lang w:val="en-CA" w:eastAsia="fr-CA"/>
        </w:rPr>
        <w:t>[Underlining added]</w:t>
      </w:r>
    </w:p>
    <w:p w14:paraId="50852CE8" w14:textId="5A9FED18" w:rsidR="00E524EA" w:rsidRPr="00B120AE" w:rsidRDefault="001C0031" w:rsidP="00E84882">
      <w:pPr>
        <w:numPr>
          <w:ilvl w:val="0"/>
          <w:numId w:val="18"/>
        </w:numPr>
        <w:tabs>
          <w:tab w:val="clear" w:pos="720"/>
          <w:tab w:val="num" w:pos="360"/>
        </w:tabs>
        <w:spacing w:before="120" w:after="120" w:line="240" w:lineRule="auto"/>
        <w:jc w:val="both"/>
        <w:rPr>
          <w:lang w:val="en-CA"/>
        </w:rPr>
      </w:pPr>
      <w:r w:rsidRPr="00B120AE">
        <w:rPr>
          <w:lang w:val="en-CA"/>
        </w:rPr>
        <w:t>Consequently, non</w:t>
      </w:r>
      <w:r w:rsidR="00720901">
        <w:rPr>
          <w:lang w:val="en-CA"/>
        </w:rPr>
        <w:noBreakHyphen/>
      </w:r>
      <w:r w:rsidRPr="00B120AE">
        <w:rPr>
          <w:lang w:val="en-CA"/>
        </w:rPr>
        <w:t>smokers may be exposed to second</w:t>
      </w:r>
      <w:r w:rsidR="00720901">
        <w:rPr>
          <w:lang w:val="en-CA"/>
        </w:rPr>
        <w:noBreakHyphen/>
      </w:r>
      <w:r w:rsidRPr="00B120AE">
        <w:rPr>
          <w:lang w:val="en-CA"/>
        </w:rPr>
        <w:t xml:space="preserve">hand smoke by agreeing to visit a private residence where an active smoker lives, thereby assuming a certain health risk. Similarly, it is still possible to smoke outside a building at a certain distance </w:t>
      </w:r>
      <w:r w:rsidRPr="00B120AE">
        <w:rPr>
          <w:lang w:val="en-CA"/>
        </w:rPr>
        <w:lastRenderedPageBreak/>
        <w:t>from the entrance door,</w:t>
      </w:r>
      <w:r w:rsidRPr="00B120AE">
        <w:rPr>
          <w:vertAlign w:val="superscript"/>
          <w:lang w:val="en-CA"/>
        </w:rPr>
        <w:footnoteReference w:id="109"/>
      </w:r>
      <w:r w:rsidRPr="00B120AE">
        <w:rPr>
          <w:lang w:val="en-CA"/>
        </w:rPr>
        <w:t xml:space="preserve"> even if non</w:t>
      </w:r>
      <w:r w:rsidR="00720901">
        <w:rPr>
          <w:lang w:val="en-CA"/>
        </w:rPr>
        <w:noBreakHyphen/>
      </w:r>
      <w:r w:rsidRPr="00B120AE">
        <w:rPr>
          <w:lang w:val="en-CA"/>
        </w:rPr>
        <w:t xml:space="preserve">smokers </w:t>
      </w:r>
      <w:proofErr w:type="gramStart"/>
      <w:r w:rsidRPr="00B120AE">
        <w:rPr>
          <w:lang w:val="en-CA"/>
        </w:rPr>
        <w:t>have to</w:t>
      </w:r>
      <w:proofErr w:type="gramEnd"/>
      <w:r w:rsidRPr="00B120AE">
        <w:rPr>
          <w:lang w:val="en-CA"/>
        </w:rPr>
        <w:t xml:space="preserve"> pass nearby to enter the building. In short, these provisions demonstrate that the objective of protecting the health and well</w:t>
      </w:r>
      <w:r w:rsidR="00720901">
        <w:rPr>
          <w:lang w:val="en-CA"/>
        </w:rPr>
        <w:noBreakHyphen/>
      </w:r>
      <w:r w:rsidRPr="00B120AE">
        <w:rPr>
          <w:lang w:val="en-CA"/>
        </w:rPr>
        <w:t>being of non</w:t>
      </w:r>
      <w:r w:rsidR="00720901">
        <w:rPr>
          <w:lang w:val="en-CA"/>
        </w:rPr>
        <w:noBreakHyphen/>
      </w:r>
      <w:r w:rsidRPr="00B120AE">
        <w:rPr>
          <w:lang w:val="en-CA"/>
        </w:rPr>
        <w:t>smokers does not require preventing all contact with second</w:t>
      </w:r>
      <w:r w:rsidR="00720901">
        <w:rPr>
          <w:lang w:val="en-CA"/>
        </w:rPr>
        <w:noBreakHyphen/>
      </w:r>
      <w:r w:rsidRPr="00B120AE">
        <w:rPr>
          <w:lang w:val="en-CA"/>
        </w:rPr>
        <w:t>hand smoke. As I pointed out, the ban on smoking in theatres is the legislature</w:t>
      </w:r>
      <w:r w:rsidR="00282C6C">
        <w:rPr>
          <w:lang w:val="en-CA"/>
        </w:rPr>
        <w:t>’</w:t>
      </w:r>
      <w:r w:rsidRPr="00B120AE">
        <w:rPr>
          <w:lang w:val="en-CA"/>
        </w:rPr>
        <w:t xml:space="preserve">s means for achieving its objective, not the objective itself. </w:t>
      </w:r>
    </w:p>
    <w:p w14:paraId="50852CE9" w14:textId="1A7845C0"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I therefore conclude that the absolute restriction on smoking in theatres was not carefully designed </w:t>
      </w:r>
      <w:proofErr w:type="gramStart"/>
      <w:r w:rsidRPr="00B120AE">
        <w:rPr>
          <w:kern w:val="28"/>
          <w:lang w:val="en-CA"/>
        </w:rPr>
        <w:t>so as to</w:t>
      </w:r>
      <w:proofErr w:type="gramEnd"/>
      <w:r w:rsidRPr="00B120AE">
        <w:rPr>
          <w:kern w:val="28"/>
          <w:lang w:val="en-CA"/>
        </w:rPr>
        <w:t xml:space="preserve"> take freedom of artistic expression into account. Furthermore, the record is silent as to why the legislature gave no consideration whatsoever to less intrusive measures. Indeed, </w:t>
      </w:r>
      <w:proofErr w:type="gramStart"/>
      <w:r w:rsidRPr="00B120AE">
        <w:rPr>
          <w:kern w:val="28"/>
          <w:lang w:val="en-CA"/>
        </w:rPr>
        <w:t>it would seem that rather</w:t>
      </w:r>
      <w:proofErr w:type="gramEnd"/>
      <w:r w:rsidRPr="00B120AE">
        <w:rPr>
          <w:kern w:val="28"/>
          <w:lang w:val="en-CA"/>
        </w:rPr>
        <w:t xml:space="preserve"> than being a measure that was meticulously considered and carefully tailored to achieve the objective</w:t>
      </w:r>
      <w:r w:rsidR="00E33F07">
        <w:rPr>
          <w:kern w:val="28"/>
          <w:lang w:val="en-CA"/>
        </w:rPr>
        <w:t xml:space="preserve">, </w:t>
      </w:r>
      <w:r w:rsidR="00E33F07" w:rsidRPr="00E33F07">
        <w:rPr>
          <w:kern w:val="28"/>
          <w:lang w:val="en-CA"/>
        </w:rPr>
        <w:t>this consequence was overlooked</w:t>
      </w:r>
      <w:r w:rsidRPr="00B120AE">
        <w:rPr>
          <w:kern w:val="28"/>
          <w:lang w:val="en-CA"/>
        </w:rPr>
        <w:t>.</w:t>
      </w:r>
      <w:r w:rsidRPr="00B120AE">
        <w:rPr>
          <w:kern w:val="28"/>
          <w:vertAlign w:val="superscript"/>
          <w:lang w:val="en-CA"/>
        </w:rPr>
        <w:footnoteReference w:id="110"/>
      </w:r>
      <w:r w:rsidRPr="00B120AE">
        <w:rPr>
          <w:kern w:val="28"/>
          <w:lang w:val="en-CA"/>
        </w:rPr>
        <w:t xml:space="preserve"> </w:t>
      </w:r>
    </w:p>
    <w:p w14:paraId="50852CEA" w14:textId="2245EE63"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Admittedly, the legislature can explain </w:t>
      </w:r>
      <w:r w:rsidR="0078033F" w:rsidRPr="0078033F">
        <w:rPr>
          <w:smallCaps/>
          <w:kern w:val="28"/>
          <w:lang w:val="en-CA"/>
        </w:rPr>
        <w:t>[translation] </w:t>
      </w:r>
      <w:r w:rsidR="00282C6C">
        <w:rPr>
          <w:kern w:val="28"/>
          <w:lang w:val="en-CA"/>
        </w:rPr>
        <w:t>“</w:t>
      </w:r>
      <w:r w:rsidRPr="00B120AE">
        <w:rPr>
          <w:i/>
          <w:iCs/>
          <w:kern w:val="28"/>
          <w:lang w:val="en-CA"/>
        </w:rPr>
        <w:t>a posteriori</w:t>
      </w:r>
      <w:r w:rsidRPr="00B120AE">
        <w:rPr>
          <w:kern w:val="28"/>
          <w:lang w:val="en-CA"/>
        </w:rPr>
        <w:t xml:space="preserve"> […] why less restrictive measures […] would not have enabled it to achieve its objective</w:t>
      </w:r>
      <w:r w:rsidR="00282C6C">
        <w:rPr>
          <w:kern w:val="28"/>
          <w:lang w:val="en-CA"/>
        </w:rPr>
        <w:t>”</w:t>
      </w:r>
      <w:r w:rsidRPr="00B120AE">
        <w:rPr>
          <w:kern w:val="28"/>
          <w:lang w:val="en-CA"/>
        </w:rPr>
        <w:t>.</w:t>
      </w:r>
      <w:r w:rsidRPr="00B120AE">
        <w:rPr>
          <w:kern w:val="28"/>
          <w:vertAlign w:val="superscript"/>
          <w:lang w:val="en-CA"/>
        </w:rPr>
        <w:footnoteReference w:id="111"/>
      </w:r>
      <w:r w:rsidRPr="00B120AE">
        <w:rPr>
          <w:kern w:val="28"/>
          <w:lang w:val="en-CA"/>
        </w:rPr>
        <w:t xml:space="preserve"> To this end, the AGQ submitted into evidence </w:t>
      </w:r>
      <w:proofErr w:type="gramStart"/>
      <w:r w:rsidRPr="00B120AE">
        <w:rPr>
          <w:kern w:val="28"/>
          <w:lang w:val="en-CA"/>
        </w:rPr>
        <w:t>a number of</w:t>
      </w:r>
      <w:proofErr w:type="gramEnd"/>
      <w:r w:rsidRPr="00B120AE">
        <w:rPr>
          <w:kern w:val="28"/>
          <w:lang w:val="en-CA"/>
        </w:rPr>
        <w:t xml:space="preserve"> studies and scientific reports setting out the noxious effects of second</w:t>
      </w:r>
      <w:r w:rsidR="00720901">
        <w:rPr>
          <w:kern w:val="28"/>
          <w:lang w:val="en-CA"/>
        </w:rPr>
        <w:noBreakHyphen/>
      </w:r>
      <w:r w:rsidRPr="00B120AE">
        <w:rPr>
          <w:kern w:val="28"/>
          <w:lang w:val="en-CA"/>
        </w:rPr>
        <w:t>hand smoke on human health. I am of the view, however, that this evidence does not justify the need for an absolute ban to achieve the objective of protecting the health and well</w:t>
      </w:r>
      <w:r w:rsidR="00720901">
        <w:rPr>
          <w:kern w:val="28"/>
          <w:lang w:val="en-CA"/>
        </w:rPr>
        <w:noBreakHyphen/>
      </w:r>
      <w:r w:rsidRPr="00B120AE">
        <w:rPr>
          <w:kern w:val="28"/>
          <w:lang w:val="en-CA"/>
        </w:rPr>
        <w:t>being of non</w:t>
      </w:r>
      <w:r w:rsidR="00720901">
        <w:rPr>
          <w:kern w:val="28"/>
          <w:lang w:val="en-CA"/>
        </w:rPr>
        <w:noBreakHyphen/>
      </w:r>
      <w:r w:rsidRPr="00B120AE">
        <w:rPr>
          <w:kern w:val="28"/>
          <w:lang w:val="en-CA"/>
        </w:rPr>
        <w:t>smokers by controlling second</w:t>
      </w:r>
      <w:r w:rsidR="00720901">
        <w:rPr>
          <w:kern w:val="28"/>
          <w:lang w:val="en-CA"/>
        </w:rPr>
        <w:noBreakHyphen/>
      </w:r>
      <w:r w:rsidRPr="00B120AE">
        <w:rPr>
          <w:kern w:val="28"/>
          <w:lang w:val="en-CA"/>
        </w:rPr>
        <w:t xml:space="preserve">hand smoke. </w:t>
      </w:r>
    </w:p>
    <w:p w14:paraId="50852CEB" w14:textId="3C47E4B1"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The Theatres</w:t>
      </w:r>
      <w:r w:rsidR="00282C6C">
        <w:rPr>
          <w:kern w:val="28"/>
          <w:lang w:val="en-CA"/>
        </w:rPr>
        <w:t>’</w:t>
      </w:r>
      <w:r w:rsidRPr="00B120AE">
        <w:rPr>
          <w:kern w:val="28"/>
          <w:lang w:val="en-CA"/>
        </w:rPr>
        <w:t xml:space="preserve"> evidence shows that, apart from exceptional cases,</w:t>
      </w:r>
      <w:r w:rsidRPr="00B120AE">
        <w:rPr>
          <w:kern w:val="28"/>
          <w:vertAlign w:val="superscript"/>
          <w:lang w:val="en-CA"/>
        </w:rPr>
        <w:footnoteReference w:id="112"/>
      </w:r>
      <w:r w:rsidRPr="00B120AE">
        <w:rPr>
          <w:kern w:val="28"/>
          <w:lang w:val="en-CA"/>
        </w:rPr>
        <w:t xml:space="preserve"> in the vast majority of plays in which one or more characters smoke, the number of cigarettes and the duration of the act of smoking are very limited.</w:t>
      </w:r>
      <w:r w:rsidRPr="00B120AE">
        <w:rPr>
          <w:kern w:val="28"/>
          <w:vertAlign w:val="superscript"/>
          <w:lang w:val="en-CA"/>
        </w:rPr>
        <w:footnoteReference w:id="113"/>
      </w:r>
      <w:r w:rsidRPr="00B120AE">
        <w:rPr>
          <w:kern w:val="28"/>
          <w:lang w:val="en-CA"/>
        </w:rPr>
        <w:t xml:space="preserve"> Michel Nadeau, Théâtre de la </w:t>
      </w:r>
      <w:proofErr w:type="spellStart"/>
      <w:r w:rsidRPr="00B120AE">
        <w:rPr>
          <w:kern w:val="28"/>
          <w:lang w:val="en-CA"/>
        </w:rPr>
        <w:t>Bordée</w:t>
      </w:r>
      <w:r w:rsidR="00282C6C">
        <w:rPr>
          <w:kern w:val="28"/>
          <w:lang w:val="en-CA"/>
        </w:rPr>
        <w:t>’</w:t>
      </w:r>
      <w:r w:rsidRPr="00B120AE">
        <w:rPr>
          <w:kern w:val="28"/>
          <w:lang w:val="en-CA"/>
        </w:rPr>
        <w:t>s</w:t>
      </w:r>
      <w:proofErr w:type="spellEnd"/>
      <w:r w:rsidRPr="00B120AE">
        <w:rPr>
          <w:kern w:val="28"/>
          <w:lang w:val="en-CA"/>
        </w:rPr>
        <w:t xml:space="preserve"> artistic director, stated that, over every period of approximately two years, his </w:t>
      </w:r>
      <w:r w:rsidRPr="00B120AE">
        <w:rPr>
          <w:kern w:val="28"/>
          <w:lang w:val="en-CA"/>
        </w:rPr>
        <w:lastRenderedPageBreak/>
        <w:t>theatre presents only one play in which a character smokes. In addition, theatre halls are generally large and well</w:t>
      </w:r>
      <w:r w:rsidR="00720901">
        <w:rPr>
          <w:kern w:val="28"/>
          <w:lang w:val="en-CA"/>
        </w:rPr>
        <w:noBreakHyphen/>
      </w:r>
      <w:r w:rsidRPr="00B120AE">
        <w:rPr>
          <w:kern w:val="28"/>
          <w:lang w:val="en-CA"/>
        </w:rPr>
        <w:t>ventilated spaces.</w:t>
      </w:r>
      <w:r w:rsidRPr="00B120AE">
        <w:rPr>
          <w:kern w:val="28"/>
          <w:vertAlign w:val="superscript"/>
          <w:lang w:val="en-CA"/>
        </w:rPr>
        <w:footnoteReference w:id="114"/>
      </w:r>
      <w:r w:rsidRPr="00B120AE">
        <w:rPr>
          <w:kern w:val="28"/>
          <w:lang w:val="en-CA"/>
        </w:rPr>
        <w:t xml:space="preserve"> Considering </w:t>
      </w:r>
      <w:proofErr w:type="gramStart"/>
      <w:r w:rsidRPr="00B120AE">
        <w:rPr>
          <w:kern w:val="28"/>
          <w:lang w:val="en-CA"/>
        </w:rPr>
        <w:t>all of</w:t>
      </w:r>
      <w:proofErr w:type="gramEnd"/>
      <w:r w:rsidRPr="00B120AE">
        <w:rPr>
          <w:kern w:val="28"/>
          <w:lang w:val="en-CA"/>
        </w:rPr>
        <w:t xml:space="preserve"> the evidence, it appears that spectators</w:t>
      </w:r>
      <w:r w:rsidR="00282C6C">
        <w:rPr>
          <w:kern w:val="28"/>
          <w:lang w:val="en-CA"/>
        </w:rPr>
        <w:t>’</w:t>
      </w:r>
      <w:r w:rsidRPr="00B120AE">
        <w:rPr>
          <w:kern w:val="28"/>
          <w:lang w:val="en-CA"/>
        </w:rPr>
        <w:t xml:space="preserve"> exposure to second</w:t>
      </w:r>
      <w:r w:rsidR="00720901">
        <w:rPr>
          <w:kern w:val="28"/>
          <w:lang w:val="en-CA"/>
        </w:rPr>
        <w:noBreakHyphen/>
      </w:r>
      <w:r w:rsidRPr="00B120AE">
        <w:rPr>
          <w:kern w:val="28"/>
          <w:lang w:val="en-CA"/>
        </w:rPr>
        <w:t>hand smoke as a result of characters smoking in a play is generally minimal, if not negligible.</w:t>
      </w:r>
    </w:p>
    <w:p w14:paraId="50852CEC" w14:textId="31804E54" w:rsidR="00E524EA" w:rsidRPr="006C2AA6"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The AGQ</w:t>
      </w:r>
      <w:r w:rsidR="00282C6C">
        <w:rPr>
          <w:kern w:val="28"/>
          <w:lang w:val="en-CA"/>
        </w:rPr>
        <w:t>’</w:t>
      </w:r>
      <w:r w:rsidRPr="00B120AE">
        <w:rPr>
          <w:kern w:val="28"/>
          <w:lang w:val="en-CA"/>
        </w:rPr>
        <w:t>s minimal impairment argument is based on general evidence of the health risk posed by smoke from cigarettes (and other related products). This evidence does not specifically mention the health risk at concentrations as low as those emitted by a play</w:t>
      </w:r>
      <w:r w:rsidR="00282C6C">
        <w:rPr>
          <w:kern w:val="28"/>
          <w:lang w:val="en-CA"/>
        </w:rPr>
        <w:t>’</w:t>
      </w:r>
      <w:r w:rsidRPr="00B120AE">
        <w:rPr>
          <w:kern w:val="28"/>
          <w:lang w:val="en-CA"/>
        </w:rPr>
        <w:t>s characters in a theatre hall. The AGQ relied mainly on the Expert Report of Dr.</w:t>
      </w:r>
      <w:r w:rsidR="00934BE2">
        <w:rPr>
          <w:kern w:val="28"/>
          <w:lang w:val="en-CA"/>
        </w:rPr>
        <w:t> </w:t>
      </w:r>
      <w:r w:rsidRPr="00B120AE">
        <w:rPr>
          <w:kern w:val="28"/>
          <w:lang w:val="en-CA"/>
        </w:rPr>
        <w:t>Desjardins, which states that second</w:t>
      </w:r>
      <w:r w:rsidR="00720901">
        <w:rPr>
          <w:kern w:val="28"/>
          <w:lang w:val="en-CA"/>
        </w:rPr>
        <w:noBreakHyphen/>
      </w:r>
      <w:r w:rsidRPr="00B120AE">
        <w:rPr>
          <w:kern w:val="28"/>
          <w:lang w:val="en-CA"/>
        </w:rPr>
        <w:t>hand smoke comes from the mainstream smoke exhaled by a smoker (</w:t>
      </w:r>
      <w:r w:rsidRPr="006C2AA6">
        <w:rPr>
          <w:kern w:val="28"/>
          <w:lang w:val="en-CA"/>
        </w:rPr>
        <w:t xml:space="preserve">approximately 15%), combined with the </w:t>
      </w:r>
      <w:proofErr w:type="spellStart"/>
      <w:r w:rsidRPr="006C2AA6">
        <w:rPr>
          <w:kern w:val="28"/>
          <w:lang w:val="en-CA"/>
        </w:rPr>
        <w:t>sidestream</w:t>
      </w:r>
      <w:proofErr w:type="spellEnd"/>
      <w:r w:rsidRPr="006C2AA6">
        <w:rPr>
          <w:kern w:val="28"/>
          <w:lang w:val="en-CA"/>
        </w:rPr>
        <w:t xml:space="preserve"> smoke emitted by the cigarette as it burns between puffs (approximately 85%). Dr.</w:t>
      </w:r>
      <w:r w:rsidR="00DC0063" w:rsidRPr="006C2AA6">
        <w:rPr>
          <w:kern w:val="28"/>
          <w:lang w:val="en-CA"/>
        </w:rPr>
        <w:t> </w:t>
      </w:r>
      <w:r w:rsidRPr="006C2AA6">
        <w:rPr>
          <w:kern w:val="28"/>
          <w:lang w:val="en-CA"/>
        </w:rPr>
        <w:t xml:space="preserve">Desjardins writes: </w:t>
      </w:r>
    </w:p>
    <w:p w14:paraId="7B0F34FE" w14:textId="77777777" w:rsidR="00290F48" w:rsidRPr="006C2AA6" w:rsidRDefault="001C0031" w:rsidP="00E524EA">
      <w:pPr>
        <w:spacing w:before="120" w:after="120" w:line="240" w:lineRule="auto"/>
        <w:ind w:left="720" w:right="720"/>
        <w:jc w:val="both"/>
        <w:rPr>
          <w:kern w:val="24"/>
          <w:sz w:val="22"/>
          <w:lang w:val="en-CA"/>
        </w:rPr>
      </w:pPr>
      <w:r w:rsidRPr="006C2AA6">
        <w:rPr>
          <w:kern w:val="24"/>
          <w:sz w:val="22"/>
          <w:lang w:val="en-CA"/>
        </w:rPr>
        <w:t>[</w:t>
      </w:r>
      <w:r w:rsidR="004D6ECE" w:rsidRPr="006C2AA6">
        <w:rPr>
          <w:smallCaps/>
          <w:kern w:val="24"/>
          <w:sz w:val="22"/>
          <w:lang w:val="en-CA"/>
        </w:rPr>
        <w:t>translation</w:t>
      </w:r>
      <w:r w:rsidRPr="006C2AA6">
        <w:rPr>
          <w:kern w:val="24"/>
          <w:sz w:val="22"/>
          <w:lang w:val="en-CA"/>
        </w:rPr>
        <w:t>]</w:t>
      </w:r>
    </w:p>
    <w:p w14:paraId="50852CED" w14:textId="08B2F626" w:rsidR="00E524EA" w:rsidRPr="00B120AE" w:rsidRDefault="001C0031" w:rsidP="00E524EA">
      <w:pPr>
        <w:spacing w:before="120" w:after="120" w:line="240" w:lineRule="auto"/>
        <w:ind w:left="720" w:right="720"/>
        <w:jc w:val="both"/>
        <w:rPr>
          <w:kern w:val="24"/>
          <w:sz w:val="22"/>
          <w:lang w:val="en-CA"/>
        </w:rPr>
      </w:pPr>
      <w:r w:rsidRPr="006C2AA6">
        <w:rPr>
          <w:kern w:val="24"/>
          <w:sz w:val="22"/>
          <w:lang w:val="en-CA"/>
        </w:rPr>
        <w:t xml:space="preserve">Smokers inhale </w:t>
      </w:r>
      <w:r w:rsidRPr="00B120AE">
        <w:rPr>
          <w:kern w:val="24"/>
          <w:sz w:val="22"/>
          <w:lang w:val="en-CA"/>
        </w:rPr>
        <w:t>undiluted mainstream smoke directly into their lungs, whereas individuals passively exposed to second</w:t>
      </w:r>
      <w:r w:rsidR="00720901">
        <w:rPr>
          <w:kern w:val="24"/>
          <w:sz w:val="22"/>
          <w:lang w:val="en-CA"/>
        </w:rPr>
        <w:noBreakHyphen/>
      </w:r>
      <w:r w:rsidRPr="00B120AE">
        <w:rPr>
          <w:kern w:val="24"/>
          <w:sz w:val="22"/>
          <w:lang w:val="en-CA"/>
        </w:rPr>
        <w:t>hand smoke inhale the same chemicals, but in diluted form and therefore at lower concentrations.</w:t>
      </w:r>
      <w:r w:rsidRPr="00B120AE">
        <w:rPr>
          <w:kern w:val="24"/>
          <w:sz w:val="22"/>
          <w:vertAlign w:val="superscript"/>
          <w:lang w:val="en-CA"/>
        </w:rPr>
        <w:footnoteReference w:id="115"/>
      </w:r>
      <w:r w:rsidR="00287AE9">
        <w:rPr>
          <w:kern w:val="24"/>
          <w:sz w:val="22"/>
          <w:lang w:val="en-CA"/>
        </w:rPr>
        <w:t xml:space="preserve"> </w:t>
      </w:r>
    </w:p>
    <w:p w14:paraId="50852CEE" w14:textId="138891C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Dr.</w:t>
      </w:r>
      <w:r w:rsidR="003252BB">
        <w:rPr>
          <w:kern w:val="28"/>
          <w:lang w:val="en-CA"/>
        </w:rPr>
        <w:t> </w:t>
      </w:r>
      <w:r w:rsidRPr="00B120AE">
        <w:rPr>
          <w:kern w:val="28"/>
          <w:lang w:val="en-CA"/>
        </w:rPr>
        <w:t>Desjardins explains that second</w:t>
      </w:r>
      <w:r w:rsidR="00720901">
        <w:rPr>
          <w:kern w:val="28"/>
          <w:lang w:val="en-CA"/>
        </w:rPr>
        <w:noBreakHyphen/>
      </w:r>
      <w:r w:rsidRPr="00B120AE">
        <w:rPr>
          <w:kern w:val="28"/>
          <w:lang w:val="en-CA"/>
        </w:rPr>
        <w:t>hand tobacco smoke contains over 7,000 chemicals, of which 67 are carcinogenic and 172 are toxic. His report also establishes that herbal cigarettes, regardless of their composition, produce smoke containing several carcinogenic and toxic components, comparable to the smoke emitted by tobacco cigarettes.</w:t>
      </w:r>
      <w:r w:rsidRPr="00B120AE">
        <w:rPr>
          <w:kern w:val="28"/>
          <w:vertAlign w:val="superscript"/>
          <w:lang w:val="en-CA"/>
        </w:rPr>
        <w:footnoteReference w:id="116"/>
      </w:r>
      <w:r w:rsidRPr="00B120AE">
        <w:rPr>
          <w:kern w:val="28"/>
          <w:lang w:val="en-CA"/>
        </w:rPr>
        <w:t xml:space="preserve"> In his view, </w:t>
      </w:r>
      <w:r w:rsidR="0078033F" w:rsidRPr="0078033F">
        <w:rPr>
          <w:smallCaps/>
          <w:kern w:val="28"/>
          <w:lang w:val="en-CA"/>
        </w:rPr>
        <w:t>[translation] </w:t>
      </w:r>
      <w:r w:rsidR="00282C6C">
        <w:rPr>
          <w:kern w:val="28"/>
          <w:lang w:val="en-CA"/>
        </w:rPr>
        <w:t>“</w:t>
      </w:r>
      <w:r w:rsidRPr="00B120AE">
        <w:rPr>
          <w:kern w:val="28"/>
          <w:lang w:val="en-CA"/>
        </w:rPr>
        <w:t>the only solution that is both simple and effective for ensuring the well</w:t>
      </w:r>
      <w:r w:rsidR="00720901">
        <w:rPr>
          <w:kern w:val="28"/>
          <w:lang w:val="en-CA"/>
        </w:rPr>
        <w:noBreakHyphen/>
      </w:r>
      <w:r w:rsidRPr="00B120AE">
        <w:rPr>
          <w:kern w:val="28"/>
          <w:lang w:val="en-CA"/>
        </w:rPr>
        <w:t>being and promoting the health of all occupants of the premises is to ban smoking inside enclosed public spaces</w:t>
      </w:r>
      <w:r w:rsidR="00282C6C">
        <w:rPr>
          <w:kern w:val="28"/>
          <w:lang w:val="en-CA"/>
        </w:rPr>
        <w:t>”</w:t>
      </w:r>
      <w:r w:rsidRPr="00B120AE">
        <w:rPr>
          <w:kern w:val="28"/>
          <w:lang w:val="en-CA"/>
        </w:rPr>
        <w:t>.</w:t>
      </w:r>
      <w:r w:rsidRPr="00B120AE">
        <w:rPr>
          <w:kern w:val="28"/>
          <w:vertAlign w:val="superscript"/>
          <w:lang w:val="en-CA"/>
        </w:rPr>
        <w:footnoteReference w:id="117"/>
      </w:r>
    </w:p>
    <w:p w14:paraId="50852CEF" w14:textId="760933D3"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The majority of studies, however, pertain to much more severe and sustained exposures, such as the situation of non</w:t>
      </w:r>
      <w:r w:rsidR="00720901">
        <w:rPr>
          <w:kern w:val="28"/>
          <w:lang w:val="en-CA"/>
        </w:rPr>
        <w:noBreakHyphen/>
      </w:r>
      <w:r w:rsidRPr="00B120AE">
        <w:rPr>
          <w:kern w:val="28"/>
          <w:lang w:val="en-CA"/>
        </w:rPr>
        <w:t>smokers living with smokers.</w:t>
      </w:r>
      <w:r w:rsidRPr="00B120AE">
        <w:rPr>
          <w:kern w:val="28"/>
          <w:vertAlign w:val="superscript"/>
          <w:lang w:val="en-CA"/>
        </w:rPr>
        <w:footnoteReference w:id="118"/>
      </w:r>
      <w:r w:rsidRPr="00B120AE">
        <w:rPr>
          <w:kern w:val="28"/>
          <w:lang w:val="en-CA"/>
        </w:rPr>
        <w:t xml:space="preserve"> Dr.</w:t>
      </w:r>
      <w:r w:rsidR="00607548">
        <w:rPr>
          <w:kern w:val="28"/>
          <w:lang w:val="en-CA"/>
        </w:rPr>
        <w:t> </w:t>
      </w:r>
      <w:r w:rsidRPr="00B120AE">
        <w:rPr>
          <w:kern w:val="28"/>
          <w:lang w:val="en-CA"/>
        </w:rPr>
        <w:t xml:space="preserve">Desjardins cites a single study reporting secondary coronary vasoconstriction effects after a </w:t>
      </w:r>
      <w:r w:rsidR="0078033F" w:rsidRPr="0078033F">
        <w:rPr>
          <w:smallCaps/>
          <w:kern w:val="28"/>
          <w:lang w:val="en-CA"/>
        </w:rPr>
        <w:t>[translation] </w:t>
      </w:r>
      <w:r w:rsidR="00282C6C">
        <w:rPr>
          <w:kern w:val="28"/>
          <w:lang w:val="en-CA"/>
        </w:rPr>
        <w:t>“</w:t>
      </w:r>
      <w:r w:rsidRPr="00B120AE">
        <w:rPr>
          <w:kern w:val="28"/>
          <w:lang w:val="en-CA"/>
        </w:rPr>
        <w:t>brief 30</w:t>
      </w:r>
      <w:r w:rsidR="00720901">
        <w:rPr>
          <w:kern w:val="28"/>
          <w:lang w:val="en-CA"/>
        </w:rPr>
        <w:noBreakHyphen/>
      </w:r>
      <w:r w:rsidRPr="00B120AE">
        <w:rPr>
          <w:kern w:val="28"/>
          <w:lang w:val="en-CA"/>
        </w:rPr>
        <w:t>minute exposure to low concentrations of STS [second</w:t>
      </w:r>
      <w:r w:rsidR="00720901">
        <w:rPr>
          <w:kern w:val="28"/>
          <w:lang w:val="en-CA"/>
        </w:rPr>
        <w:noBreakHyphen/>
      </w:r>
      <w:r w:rsidRPr="00B120AE">
        <w:rPr>
          <w:kern w:val="28"/>
          <w:lang w:val="en-CA"/>
        </w:rPr>
        <w:t>hand tobacco smoke] in a smoking room</w:t>
      </w:r>
      <w:r w:rsidR="00282C6C">
        <w:rPr>
          <w:kern w:val="28"/>
          <w:lang w:val="en-CA"/>
        </w:rPr>
        <w:t>”</w:t>
      </w:r>
      <w:r w:rsidRPr="00B120AE">
        <w:rPr>
          <w:kern w:val="28"/>
          <w:lang w:val="en-CA"/>
        </w:rPr>
        <w:t>.</w:t>
      </w:r>
      <w:r w:rsidRPr="00B120AE">
        <w:rPr>
          <w:kern w:val="28"/>
          <w:vertAlign w:val="superscript"/>
          <w:lang w:val="en-CA"/>
        </w:rPr>
        <w:footnoteReference w:id="119"/>
      </w:r>
      <w:r w:rsidRPr="00B120AE">
        <w:rPr>
          <w:kern w:val="28"/>
          <w:lang w:val="en-CA"/>
        </w:rPr>
        <w:t xml:space="preserve"> The AGQ also filed excerpts from an American report by the Department of Health and Human Services entitled </w:t>
      </w:r>
      <w:r w:rsidR="00282C6C">
        <w:rPr>
          <w:kern w:val="28"/>
          <w:lang w:val="en-CA"/>
        </w:rPr>
        <w:t>“</w:t>
      </w:r>
      <w:r w:rsidRPr="00B120AE">
        <w:rPr>
          <w:i/>
          <w:iCs/>
          <w:kern w:val="28"/>
          <w:lang w:val="en-CA"/>
        </w:rPr>
        <w:t>The Health Consequences of Involuntary Exposure to Tobacco Smoke</w:t>
      </w:r>
      <w:r w:rsidR="00282C6C">
        <w:rPr>
          <w:kern w:val="28"/>
          <w:lang w:val="en-CA"/>
        </w:rPr>
        <w:t>”</w:t>
      </w:r>
      <w:r w:rsidRPr="00B120AE">
        <w:rPr>
          <w:kern w:val="28"/>
          <w:lang w:val="en-CA"/>
        </w:rPr>
        <w:t xml:space="preserve">, which concluded, among </w:t>
      </w:r>
      <w:r w:rsidRPr="00B120AE">
        <w:rPr>
          <w:kern w:val="28"/>
          <w:lang w:val="en-CA"/>
        </w:rPr>
        <w:lastRenderedPageBreak/>
        <w:t>other things, that: (1)</w:t>
      </w:r>
      <w:r w:rsidR="00607548">
        <w:rPr>
          <w:kern w:val="28"/>
          <w:lang w:val="en-CA"/>
        </w:rPr>
        <w:t> </w:t>
      </w:r>
      <w:r w:rsidRPr="00B120AE">
        <w:rPr>
          <w:kern w:val="28"/>
          <w:lang w:val="en-CA"/>
        </w:rPr>
        <w:t>second‑hand smoke exposes individuals to higher concentrations of certain toxic and carcinogenic chemicals; (2)</w:t>
      </w:r>
      <w:r w:rsidR="00607548">
        <w:rPr>
          <w:kern w:val="28"/>
          <w:lang w:val="en-CA"/>
        </w:rPr>
        <w:t> </w:t>
      </w:r>
      <w:r w:rsidRPr="00B120AE">
        <w:rPr>
          <w:kern w:val="28"/>
          <w:lang w:val="en-CA"/>
        </w:rPr>
        <w:t>short</w:t>
      </w:r>
      <w:r w:rsidR="00720901">
        <w:rPr>
          <w:kern w:val="28"/>
          <w:lang w:val="en-CA"/>
        </w:rPr>
        <w:noBreakHyphen/>
      </w:r>
      <w:r w:rsidRPr="00B120AE">
        <w:rPr>
          <w:kern w:val="28"/>
          <w:lang w:val="en-CA"/>
        </w:rPr>
        <w:t>term exposure can have adverse effects on the cardiovascular system; and (3)</w:t>
      </w:r>
      <w:r w:rsidR="001100CA">
        <w:rPr>
          <w:kern w:val="28"/>
          <w:lang w:val="en-CA"/>
        </w:rPr>
        <w:t> </w:t>
      </w:r>
      <w:r w:rsidRPr="00B120AE">
        <w:rPr>
          <w:kern w:val="28"/>
          <w:lang w:val="en-CA"/>
        </w:rPr>
        <w:t>there is no safe level of exposure to second</w:t>
      </w:r>
      <w:r w:rsidR="00720901">
        <w:rPr>
          <w:kern w:val="28"/>
          <w:lang w:val="en-CA"/>
        </w:rPr>
        <w:noBreakHyphen/>
      </w:r>
      <w:r w:rsidRPr="00B120AE">
        <w:rPr>
          <w:kern w:val="28"/>
          <w:lang w:val="en-CA"/>
        </w:rPr>
        <w:t xml:space="preserve">hand smoke. However, no indication is given as to what constitutes exposure characterized as </w:t>
      </w:r>
      <w:r w:rsidR="00282C6C">
        <w:rPr>
          <w:kern w:val="28"/>
          <w:lang w:val="en-CA"/>
        </w:rPr>
        <w:t>“</w:t>
      </w:r>
      <w:r w:rsidRPr="00B120AE">
        <w:rPr>
          <w:kern w:val="28"/>
          <w:lang w:val="en-CA"/>
        </w:rPr>
        <w:t>short</w:t>
      </w:r>
      <w:r w:rsidR="00720901">
        <w:rPr>
          <w:kern w:val="28"/>
          <w:lang w:val="en-CA"/>
        </w:rPr>
        <w:noBreakHyphen/>
      </w:r>
      <w:r w:rsidRPr="00B120AE">
        <w:rPr>
          <w:kern w:val="28"/>
          <w:lang w:val="en-CA"/>
        </w:rPr>
        <w:t>term</w:t>
      </w:r>
      <w:r w:rsidR="00282C6C">
        <w:rPr>
          <w:kern w:val="28"/>
          <w:lang w:val="en-CA"/>
        </w:rPr>
        <w:t>”</w:t>
      </w:r>
      <w:r w:rsidRPr="00B120AE">
        <w:rPr>
          <w:kern w:val="28"/>
          <w:lang w:val="en-CA"/>
        </w:rPr>
        <w:t>. Thus, as with the other studies cited, this report, of which we have only the conclusions, does no more than establish the general principle that there is no safe level of exposure to second</w:t>
      </w:r>
      <w:r w:rsidR="00720901">
        <w:rPr>
          <w:kern w:val="28"/>
          <w:lang w:val="en-CA"/>
        </w:rPr>
        <w:noBreakHyphen/>
      </w:r>
      <w:r w:rsidRPr="00B120AE">
        <w:rPr>
          <w:kern w:val="28"/>
          <w:lang w:val="en-CA"/>
        </w:rPr>
        <w:t xml:space="preserve">hand smoke, without providing details of the effects at low concentrations or over short exposure times. </w:t>
      </w:r>
    </w:p>
    <w:p w14:paraId="50852CF0" w14:textId="7777777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Without disregarding the evidence generally demonstrating the harmful effects of second‑hand smoke, it must be acknowledged that the probative value of the studies is limited with respect to exposures of the kind involved in the context of a theatrical performance and does not justify the conclusion that a total ban on smoking is required in order to effectively achieve the objective. </w:t>
      </w:r>
    </w:p>
    <w:p w14:paraId="50852CF1" w14:textId="68162747" w:rsidR="00E524EA" w:rsidRPr="006C2AA6"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In his testimony, Dr.</w:t>
      </w:r>
      <w:r w:rsidR="00763F5F">
        <w:rPr>
          <w:kern w:val="28"/>
          <w:lang w:val="en-CA"/>
        </w:rPr>
        <w:t> </w:t>
      </w:r>
      <w:r w:rsidRPr="00B120AE">
        <w:rPr>
          <w:kern w:val="28"/>
          <w:lang w:val="en-CA"/>
        </w:rPr>
        <w:t>Desjardins recognized that the risk of side effects increases with the intensity of exposure, which is characterized by the number of cigarettes producing second</w:t>
      </w:r>
      <w:r w:rsidR="00720901">
        <w:rPr>
          <w:kern w:val="28"/>
          <w:lang w:val="en-CA"/>
        </w:rPr>
        <w:noBreakHyphen/>
      </w:r>
      <w:r w:rsidRPr="00B120AE">
        <w:rPr>
          <w:kern w:val="28"/>
          <w:lang w:val="en-CA"/>
        </w:rPr>
        <w:t>hand smoke, the duration of the exposure and the size of the space in which they are lit. The more frequent the exposure and the closer it occurs to the cigarette</w:t>
      </w:r>
      <w:r w:rsidR="00282C6C">
        <w:rPr>
          <w:kern w:val="28"/>
          <w:lang w:val="en-CA"/>
        </w:rPr>
        <w:t>’</w:t>
      </w:r>
      <w:r w:rsidRPr="00B120AE">
        <w:rPr>
          <w:kern w:val="28"/>
          <w:lang w:val="en-CA"/>
        </w:rPr>
        <w:t>s combustion cone, the greater the risk. In this regard, the expert acknowledged that he had not analyzed the volume of the various theatre halls concerned, nor had he considered the quantity of second</w:t>
      </w:r>
      <w:r w:rsidR="00720901">
        <w:rPr>
          <w:kern w:val="28"/>
          <w:lang w:val="en-CA"/>
        </w:rPr>
        <w:noBreakHyphen/>
      </w:r>
      <w:r w:rsidRPr="00B120AE">
        <w:rPr>
          <w:kern w:val="28"/>
          <w:lang w:val="en-CA"/>
        </w:rPr>
        <w:t xml:space="preserve">hand smoke generated during the presentation of the plays in question. He did not know the </w:t>
      </w:r>
      <w:r w:rsidR="004B0B59">
        <w:rPr>
          <w:kern w:val="28"/>
          <w:lang w:val="en-CA"/>
        </w:rPr>
        <w:t xml:space="preserve">running time </w:t>
      </w:r>
      <w:r w:rsidRPr="00B120AE">
        <w:rPr>
          <w:kern w:val="28"/>
          <w:lang w:val="en-CA"/>
        </w:rPr>
        <w:t>of the plays nor the distance between the characters and the audience. Moreover, he had no information on the operation of the ventilation systems in the various halls. Nonetheless, Dr.</w:t>
      </w:r>
      <w:r w:rsidR="00BC2F05">
        <w:rPr>
          <w:kern w:val="28"/>
          <w:lang w:val="en-CA"/>
        </w:rPr>
        <w:t> </w:t>
      </w:r>
      <w:r w:rsidRPr="00B120AE">
        <w:rPr>
          <w:kern w:val="28"/>
          <w:lang w:val="en-CA"/>
        </w:rPr>
        <w:t>Desjardins pointed out that no ventilation system can</w:t>
      </w:r>
      <w:r w:rsidRPr="006C2AA6">
        <w:rPr>
          <w:kern w:val="28"/>
          <w:lang w:val="en-CA"/>
        </w:rPr>
        <w:t xml:space="preserve"> eliminate all second</w:t>
      </w:r>
      <w:r w:rsidR="00720901" w:rsidRPr="006C2AA6">
        <w:rPr>
          <w:kern w:val="28"/>
          <w:lang w:val="en-CA"/>
        </w:rPr>
        <w:noBreakHyphen/>
      </w:r>
      <w:r w:rsidRPr="006C2AA6">
        <w:rPr>
          <w:kern w:val="28"/>
          <w:lang w:val="en-CA"/>
        </w:rPr>
        <w:t xml:space="preserve">hand smoke in an enclosed space, as he had written in his report: </w:t>
      </w:r>
    </w:p>
    <w:p w14:paraId="7A875B55" w14:textId="77777777" w:rsidR="00290F48" w:rsidRPr="006C2AA6" w:rsidRDefault="001C0031" w:rsidP="00E524EA">
      <w:pPr>
        <w:spacing w:before="120" w:after="120" w:line="240" w:lineRule="auto"/>
        <w:ind w:left="720" w:right="720"/>
        <w:jc w:val="both"/>
        <w:rPr>
          <w:kern w:val="24"/>
          <w:sz w:val="22"/>
          <w:lang w:val="en-CA"/>
        </w:rPr>
      </w:pPr>
      <w:r w:rsidRPr="006C2AA6">
        <w:rPr>
          <w:kern w:val="24"/>
          <w:sz w:val="22"/>
          <w:lang w:val="en-CA"/>
        </w:rPr>
        <w:t>[</w:t>
      </w:r>
      <w:r w:rsidR="004D6ECE" w:rsidRPr="006C2AA6">
        <w:rPr>
          <w:smallCaps/>
          <w:kern w:val="24"/>
          <w:sz w:val="22"/>
          <w:lang w:val="en-CA"/>
        </w:rPr>
        <w:t>translation</w:t>
      </w:r>
      <w:r w:rsidRPr="006C2AA6">
        <w:rPr>
          <w:kern w:val="24"/>
          <w:sz w:val="22"/>
          <w:lang w:val="en-CA"/>
        </w:rPr>
        <w:t>]</w:t>
      </w:r>
    </w:p>
    <w:p w14:paraId="50852CF2" w14:textId="5CEA57CE" w:rsidR="00E524EA" w:rsidRPr="00B120AE" w:rsidRDefault="001C0031" w:rsidP="00E524EA">
      <w:pPr>
        <w:spacing w:before="120" w:after="120" w:line="240" w:lineRule="auto"/>
        <w:ind w:left="720" w:right="720"/>
        <w:jc w:val="both"/>
        <w:rPr>
          <w:kern w:val="24"/>
          <w:sz w:val="22"/>
          <w:lang w:val="en-CA"/>
        </w:rPr>
      </w:pPr>
      <w:r w:rsidRPr="006C2AA6">
        <w:rPr>
          <w:b/>
          <w:bCs/>
          <w:kern w:val="24"/>
          <w:sz w:val="22"/>
          <w:lang w:val="en-CA"/>
        </w:rPr>
        <w:t>However, ventilation systems in enclosed spaces have repeatedly been shown to be in</w:t>
      </w:r>
      <w:r w:rsidRPr="00B120AE">
        <w:rPr>
          <w:b/>
          <w:bCs/>
          <w:kern w:val="24"/>
          <w:sz w:val="22"/>
          <w:lang w:val="en-CA"/>
        </w:rPr>
        <w:t>effective in controlling exposure to second</w:t>
      </w:r>
      <w:r w:rsidR="00720901">
        <w:rPr>
          <w:b/>
          <w:bCs/>
          <w:kern w:val="24"/>
          <w:sz w:val="22"/>
          <w:lang w:val="en-CA"/>
        </w:rPr>
        <w:noBreakHyphen/>
      </w:r>
      <w:r w:rsidRPr="00B120AE">
        <w:rPr>
          <w:b/>
          <w:bCs/>
          <w:kern w:val="24"/>
          <w:sz w:val="22"/>
          <w:lang w:val="en-CA"/>
        </w:rPr>
        <w:t>hand tobacco smoke.</w:t>
      </w:r>
      <w:r w:rsidRPr="00B120AE">
        <w:rPr>
          <w:kern w:val="24"/>
          <w:sz w:val="22"/>
          <w:lang w:val="en-CA"/>
        </w:rPr>
        <w:t xml:space="preserve"> The air‑exchange rates required to remove second‑hand tobacco smoke and achieve acceptable indoor air quality are so high as to be generally unattainable. There is consensus among public health authorities […] that ventilation cannot eliminate the mortality and disease caused by exposure to second</w:t>
      </w:r>
      <w:r w:rsidR="00720901">
        <w:rPr>
          <w:kern w:val="24"/>
          <w:sz w:val="22"/>
          <w:lang w:val="en-CA"/>
        </w:rPr>
        <w:noBreakHyphen/>
      </w:r>
      <w:r w:rsidRPr="00B120AE">
        <w:rPr>
          <w:kern w:val="24"/>
          <w:sz w:val="22"/>
          <w:lang w:val="en-CA"/>
        </w:rPr>
        <w:t>hand tobacco smoke.</w:t>
      </w:r>
      <w:r w:rsidRPr="00B120AE">
        <w:rPr>
          <w:kern w:val="24"/>
          <w:sz w:val="22"/>
          <w:vertAlign w:val="superscript"/>
          <w:lang w:val="en-CA"/>
        </w:rPr>
        <w:footnoteReference w:id="120"/>
      </w:r>
    </w:p>
    <w:p w14:paraId="50852CF3" w14:textId="77777777" w:rsidR="00E524EA" w:rsidRPr="00B120AE" w:rsidRDefault="001C0031" w:rsidP="00E524EA">
      <w:pPr>
        <w:spacing w:before="120" w:after="120" w:line="240" w:lineRule="auto"/>
        <w:ind w:left="720" w:right="720"/>
        <w:jc w:val="right"/>
        <w:rPr>
          <w:kern w:val="24"/>
          <w:sz w:val="22"/>
          <w:lang w:val="en-CA"/>
        </w:rPr>
      </w:pPr>
      <w:r w:rsidRPr="00B120AE">
        <w:rPr>
          <w:kern w:val="24"/>
          <w:sz w:val="22"/>
          <w:lang w:val="en-CA"/>
        </w:rPr>
        <w:t>[Boldface in the original; reference omitted]</w:t>
      </w:r>
    </w:p>
    <w:p w14:paraId="50852CF4" w14:textId="27A7922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He also testified that even a minute amount of second</w:t>
      </w:r>
      <w:r w:rsidR="00720901">
        <w:rPr>
          <w:kern w:val="28"/>
          <w:lang w:val="en-CA"/>
        </w:rPr>
        <w:noBreakHyphen/>
      </w:r>
      <w:r w:rsidRPr="00B120AE">
        <w:rPr>
          <w:kern w:val="28"/>
          <w:lang w:val="en-CA"/>
        </w:rPr>
        <w:t>hand smoke can cause discomfort, due to its odour and irritating effects.</w:t>
      </w:r>
      <w:r w:rsidRPr="00B120AE">
        <w:rPr>
          <w:kern w:val="28"/>
          <w:vertAlign w:val="superscript"/>
          <w:lang w:val="en-CA"/>
        </w:rPr>
        <w:footnoteReference w:id="121"/>
      </w:r>
      <w:r w:rsidRPr="00B120AE">
        <w:rPr>
          <w:kern w:val="28"/>
          <w:lang w:val="en-CA"/>
        </w:rPr>
        <w:t xml:space="preserve"> He reiterated that there is no safe threshold for second</w:t>
      </w:r>
      <w:r w:rsidR="00720901">
        <w:rPr>
          <w:kern w:val="28"/>
          <w:lang w:val="en-CA"/>
        </w:rPr>
        <w:noBreakHyphen/>
      </w:r>
      <w:r w:rsidRPr="00B120AE">
        <w:rPr>
          <w:kern w:val="28"/>
          <w:lang w:val="en-CA"/>
        </w:rPr>
        <w:t>hand smoke, such that even a single cigarette is problematic.</w:t>
      </w:r>
    </w:p>
    <w:p w14:paraId="50852CF5" w14:textId="0F23CC2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fact remains that the concentration of second</w:t>
      </w:r>
      <w:r w:rsidR="00720901">
        <w:rPr>
          <w:kern w:val="28"/>
          <w:lang w:val="en-CA"/>
        </w:rPr>
        <w:noBreakHyphen/>
      </w:r>
      <w:r w:rsidRPr="00B120AE">
        <w:rPr>
          <w:kern w:val="28"/>
          <w:lang w:val="en-CA"/>
        </w:rPr>
        <w:t>hand smoke to which spectators were exposed was not assessed. In this context, one can hardly establish an epidemiological correlation between pathologies and second‑hand smoke at very low concentrations and frequencies, such as those at issue in the case of characters who smoke in a play.</w:t>
      </w:r>
    </w:p>
    <w:p w14:paraId="50852CF6" w14:textId="0D9304D6"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The AGQ argues that the precautionary principle justifies an absolute ban, as scientific uncertainty should not prevent the adoption of measures to prevent potential adverse health effects. Admittedly, case law has already recognized the need </w:t>
      </w:r>
      <w:r w:rsidR="0078033F" w:rsidRPr="0078033F">
        <w:rPr>
          <w:smallCaps/>
          <w:kern w:val="28"/>
          <w:lang w:val="en-CA"/>
        </w:rPr>
        <w:t>[translation] </w:t>
      </w:r>
      <w:r w:rsidR="00282C6C">
        <w:rPr>
          <w:kern w:val="28"/>
          <w:lang w:val="en-CA"/>
        </w:rPr>
        <w:t>“</w:t>
      </w:r>
      <w:r w:rsidRPr="00B120AE">
        <w:rPr>
          <w:kern w:val="28"/>
          <w:lang w:val="en-CA"/>
        </w:rPr>
        <w:t>to take into account the uncertainty or existence of a risk when assessing the government action and the deference it is owed</w:t>
      </w:r>
      <w:r w:rsidR="00282C6C">
        <w:rPr>
          <w:kern w:val="28"/>
          <w:lang w:val="en-CA"/>
        </w:rPr>
        <w:t>”</w:t>
      </w:r>
      <w:r w:rsidRPr="00B120AE">
        <w:rPr>
          <w:kern w:val="28"/>
          <w:lang w:val="en-CA"/>
        </w:rPr>
        <w:t>, particularly in the event of an inability to scientifically measure the harm in question or the efficacy of a measure.</w:t>
      </w:r>
      <w:r w:rsidRPr="00B120AE">
        <w:rPr>
          <w:kern w:val="28"/>
          <w:vertAlign w:val="superscript"/>
          <w:lang w:val="en-CA"/>
        </w:rPr>
        <w:footnoteReference w:id="122"/>
      </w:r>
      <w:r w:rsidRPr="00B120AE">
        <w:rPr>
          <w:kern w:val="28"/>
          <w:lang w:val="en-CA"/>
        </w:rPr>
        <w:t xml:space="preserve"> </w:t>
      </w:r>
    </w:p>
    <w:p w14:paraId="50852CF7" w14:textId="405C2863"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However, in </w:t>
      </w:r>
      <w:r w:rsidRPr="00B120AE">
        <w:rPr>
          <w:i/>
          <w:iCs/>
          <w:kern w:val="28"/>
          <w:lang w:val="en-CA"/>
        </w:rPr>
        <w:t>Taylor</w:t>
      </w:r>
      <w:r w:rsidRPr="00B120AE">
        <w:rPr>
          <w:kern w:val="28"/>
          <w:lang w:val="en-CA"/>
        </w:rPr>
        <w:t xml:space="preserve">, the majority of the Supreme Court explained that it is not necessary to incorporate the precautionary principle into the </w:t>
      </w:r>
      <w:r w:rsidR="008742D0">
        <w:rPr>
          <w:kern w:val="28"/>
          <w:lang w:val="en-CA"/>
        </w:rPr>
        <w:t>s. 1</w:t>
      </w:r>
      <w:r w:rsidRPr="00B120AE">
        <w:rPr>
          <w:kern w:val="28"/>
          <w:lang w:val="en-CA"/>
        </w:rPr>
        <w:t xml:space="preserve"> </w:t>
      </w:r>
      <w:r w:rsidRPr="00B120AE">
        <w:rPr>
          <w:i/>
          <w:iCs/>
          <w:kern w:val="28"/>
          <w:lang w:val="en-CA"/>
        </w:rPr>
        <w:t>Charter</w:t>
      </w:r>
      <w:r w:rsidRPr="00B120AE">
        <w:rPr>
          <w:kern w:val="28"/>
          <w:lang w:val="en-CA"/>
        </w:rPr>
        <w:t xml:space="preserve"> analysis, since the approach of judicial deference to the legislature</w:t>
      </w:r>
      <w:r w:rsidR="00282C6C">
        <w:rPr>
          <w:kern w:val="28"/>
          <w:lang w:val="en-CA"/>
        </w:rPr>
        <w:t>’</w:t>
      </w:r>
      <w:r w:rsidRPr="00B120AE">
        <w:rPr>
          <w:kern w:val="28"/>
          <w:lang w:val="en-CA"/>
        </w:rPr>
        <w:t xml:space="preserve">s choices already allows for flexibility in the justification analysis under </w:t>
      </w:r>
      <w:r w:rsidR="008742D0">
        <w:rPr>
          <w:kern w:val="28"/>
          <w:lang w:val="en-CA"/>
        </w:rPr>
        <w:t>s. 1</w:t>
      </w:r>
      <w:r w:rsidRPr="00B120AE">
        <w:rPr>
          <w:kern w:val="28"/>
          <w:lang w:val="en-CA"/>
        </w:rPr>
        <w:t xml:space="preserve">: </w:t>
      </w:r>
    </w:p>
    <w:p w14:paraId="50852CF8" w14:textId="125FCD53"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w:t>
      </w:r>
      <w:bookmarkStart w:id="44" w:name="par209"/>
      <w:r w:rsidRPr="00B120AE">
        <w:rPr>
          <w:kern w:val="24"/>
          <w:sz w:val="22"/>
          <w:lang w:val="en-CA"/>
        </w:rPr>
        <w:t>209</w:t>
      </w:r>
      <w:bookmarkEnd w:id="44"/>
      <w:r w:rsidRPr="00B120AE">
        <w:rPr>
          <w:kern w:val="24"/>
          <w:sz w:val="22"/>
          <w:lang w:val="en-CA"/>
        </w:rPr>
        <w:t>]</w:t>
      </w:r>
      <w:r w:rsidRPr="00B120AE">
        <w:rPr>
          <w:kern w:val="24"/>
          <w:sz w:val="14"/>
          <w:szCs w:val="14"/>
          <w:lang w:val="en-CA"/>
        </w:rPr>
        <w:tab/>
      </w:r>
      <w:r w:rsidRPr="00B120AE">
        <w:rPr>
          <w:kern w:val="24"/>
          <w:sz w:val="22"/>
          <w:lang w:val="en-CA"/>
        </w:rPr>
        <w:t xml:space="preserve">Courts recognize that governments enjoy a margin of appreciation, that a deferential approach can be applied to every stage of the </w:t>
      </w:r>
      <w:r w:rsidRPr="00B120AE">
        <w:rPr>
          <w:i/>
          <w:iCs/>
          <w:kern w:val="24"/>
          <w:sz w:val="22"/>
          <w:lang w:val="en-CA"/>
        </w:rPr>
        <w:t xml:space="preserve">Oakes </w:t>
      </w:r>
      <w:r w:rsidRPr="00B120AE">
        <w:rPr>
          <w:kern w:val="24"/>
          <w:sz w:val="22"/>
          <w:lang w:val="en-CA"/>
        </w:rPr>
        <w:t xml:space="preserve">test, and that each such stage contains a contextual standard. This recognition responds to the underlying concerns of the precautionary principle. </w:t>
      </w:r>
    </w:p>
    <w:p w14:paraId="50852CF9" w14:textId="77777777"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w:t>
      </w:r>
    </w:p>
    <w:p w14:paraId="50852CFA" w14:textId="7B931A6F"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w:t>
      </w:r>
      <w:bookmarkStart w:id="45" w:name="par214"/>
      <w:r w:rsidRPr="00B120AE">
        <w:rPr>
          <w:kern w:val="24"/>
          <w:sz w:val="22"/>
          <w:lang w:val="en-CA"/>
        </w:rPr>
        <w:t>214</w:t>
      </w:r>
      <w:bookmarkEnd w:id="45"/>
      <w:r w:rsidRPr="00B120AE">
        <w:rPr>
          <w:kern w:val="24"/>
          <w:sz w:val="22"/>
          <w:lang w:val="en-CA"/>
        </w:rPr>
        <w:t>]</w:t>
      </w:r>
      <w:r w:rsidRPr="00B120AE">
        <w:rPr>
          <w:kern w:val="24"/>
          <w:sz w:val="22"/>
          <w:lang w:val="en-CA"/>
        </w:rPr>
        <w:tab/>
        <w:t xml:space="preserve">As a whole, the </w:t>
      </w:r>
      <w:r w:rsidRPr="00B120AE">
        <w:rPr>
          <w:i/>
          <w:iCs/>
          <w:kern w:val="24"/>
          <w:sz w:val="22"/>
          <w:lang w:val="en-CA"/>
        </w:rPr>
        <w:t xml:space="preserve">Oakes </w:t>
      </w:r>
      <w:r w:rsidRPr="00B120AE">
        <w:rPr>
          <w:kern w:val="24"/>
          <w:sz w:val="22"/>
          <w:lang w:val="en-CA"/>
        </w:rPr>
        <w:t xml:space="preserve">test already captures any wisdom offered by the precautionary principle. We therefore conclude that the precautionary principle is not a part of the </w:t>
      </w:r>
      <w:r w:rsidR="008742D0">
        <w:rPr>
          <w:kern w:val="24"/>
          <w:sz w:val="22"/>
          <w:lang w:val="en-CA"/>
        </w:rPr>
        <w:t>s. 1</w:t>
      </w:r>
      <w:r w:rsidRPr="00B120AE">
        <w:rPr>
          <w:kern w:val="24"/>
          <w:sz w:val="22"/>
          <w:lang w:val="en-CA"/>
        </w:rPr>
        <w:t xml:space="preserve"> analysis, nor should it be inserted or injected into the analysis in the formal manner proposed. The </w:t>
      </w:r>
      <w:r w:rsidRPr="00B120AE">
        <w:rPr>
          <w:i/>
          <w:iCs/>
          <w:kern w:val="24"/>
          <w:sz w:val="22"/>
          <w:lang w:val="en-CA"/>
        </w:rPr>
        <w:t xml:space="preserve">Oakes </w:t>
      </w:r>
      <w:r w:rsidRPr="00B120AE">
        <w:rPr>
          <w:kern w:val="24"/>
          <w:sz w:val="22"/>
          <w:lang w:val="en-CA"/>
        </w:rPr>
        <w:t xml:space="preserve">test remains the governing </w:t>
      </w:r>
      <w:proofErr w:type="gramStart"/>
      <w:r w:rsidRPr="00B120AE">
        <w:rPr>
          <w:kern w:val="24"/>
          <w:sz w:val="22"/>
          <w:lang w:val="en-CA"/>
        </w:rPr>
        <w:t>test</w:t>
      </w:r>
      <w:proofErr w:type="gramEnd"/>
      <w:r w:rsidRPr="00B120AE">
        <w:rPr>
          <w:kern w:val="24"/>
          <w:sz w:val="22"/>
          <w:lang w:val="en-CA"/>
        </w:rPr>
        <w:t xml:space="preserve"> and it is a responsive, flexible and nuanced standard for assessing whether a limit on a </w:t>
      </w:r>
      <w:r w:rsidRPr="00B120AE">
        <w:rPr>
          <w:i/>
          <w:iCs/>
          <w:kern w:val="24"/>
          <w:sz w:val="22"/>
          <w:lang w:val="en-CA"/>
        </w:rPr>
        <w:t xml:space="preserve">Charter </w:t>
      </w:r>
      <w:r w:rsidRPr="00B120AE">
        <w:rPr>
          <w:kern w:val="24"/>
          <w:sz w:val="22"/>
          <w:lang w:val="en-CA"/>
        </w:rPr>
        <w:t>right or freedom, even one enacted in an emergency, is justified in a free and democratic society.</w:t>
      </w:r>
      <w:r w:rsidRPr="00B120AE">
        <w:rPr>
          <w:kern w:val="24"/>
          <w:sz w:val="22"/>
          <w:vertAlign w:val="superscript"/>
          <w:lang w:val="en-CA"/>
        </w:rPr>
        <w:footnoteReference w:id="123"/>
      </w:r>
    </w:p>
    <w:p w14:paraId="50852CFB" w14:textId="77777777" w:rsidR="00E524EA" w:rsidRPr="00B120AE" w:rsidRDefault="001C0031" w:rsidP="00EC6366">
      <w:pPr>
        <w:keepNext/>
        <w:numPr>
          <w:ilvl w:val="0"/>
          <w:numId w:val="18"/>
        </w:numPr>
        <w:tabs>
          <w:tab w:val="clear" w:pos="720"/>
          <w:tab w:val="num" w:pos="360"/>
        </w:tabs>
        <w:spacing w:before="120" w:after="120" w:line="240" w:lineRule="auto"/>
        <w:jc w:val="both"/>
        <w:rPr>
          <w:kern w:val="28"/>
          <w:lang w:val="en-CA"/>
        </w:rPr>
      </w:pPr>
      <w:r w:rsidRPr="00B120AE">
        <w:rPr>
          <w:kern w:val="28"/>
          <w:lang w:val="en-CA"/>
        </w:rPr>
        <w:lastRenderedPageBreak/>
        <w:t xml:space="preserve">In </w:t>
      </w:r>
      <w:r w:rsidRPr="00B120AE">
        <w:rPr>
          <w:i/>
          <w:iCs/>
          <w:kern w:val="28"/>
          <w:lang w:val="en-CA"/>
        </w:rPr>
        <w:t>Irwin Toy</w:t>
      </w:r>
      <w:r w:rsidRPr="00B120AE">
        <w:rPr>
          <w:kern w:val="28"/>
          <w:lang w:val="en-CA"/>
        </w:rPr>
        <w:t xml:space="preserve">, the majority of the Supreme Court explained the following in its analysis of the justification for the infringement: </w:t>
      </w:r>
    </w:p>
    <w:p w14:paraId="50852CFC" w14:textId="77777777" w:rsidR="00E524EA" w:rsidRPr="00B120AE" w:rsidRDefault="001C0031" w:rsidP="00EC6366">
      <w:pPr>
        <w:keepNext/>
        <w:spacing w:before="120" w:after="120" w:line="240" w:lineRule="auto"/>
        <w:ind w:left="720" w:right="720"/>
        <w:jc w:val="both"/>
        <w:rPr>
          <w:kern w:val="24"/>
          <w:sz w:val="22"/>
          <w:lang w:val="en-CA"/>
        </w:rPr>
      </w:pPr>
      <w:r w:rsidRPr="00B120AE">
        <w:rPr>
          <w:kern w:val="24"/>
          <w:sz w:val="22"/>
          <w:lang w:val="en-CA"/>
        </w:rPr>
        <w:t>If the legislature has made a reasonable assessment as to where the line is most properly drawn, especially if that assessment involves weighing conflicting scientific evidence and allocating scarce resources on this basis, it is not for the court to second guess. That would only be to substitute one estimate for another.</w:t>
      </w:r>
      <w:r w:rsidRPr="00B120AE">
        <w:rPr>
          <w:kern w:val="24"/>
          <w:sz w:val="22"/>
          <w:vertAlign w:val="superscript"/>
          <w:lang w:val="en-CA"/>
        </w:rPr>
        <w:footnoteReference w:id="124"/>
      </w:r>
    </w:p>
    <w:p w14:paraId="50852CFD" w14:textId="5BC1CCE4"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At the stage of justifying the provisions prohibiting smoking in an enclosed hall where activities of a cultural nature are presented, the evidence does not show that the legislature made a reasonable assessment when drawing the line. As I pointed out, it appears that the legislature did not consider the freedom of expression of artists. Less intrusive measures were not analyzed, nor was the ability of such measures to achieve the objective assessed. Moreover, the fact is that the risks associated with smoking have been known for many years and have already been the subject of </w:t>
      </w:r>
      <w:proofErr w:type="gramStart"/>
      <w:r w:rsidRPr="00B120AE">
        <w:rPr>
          <w:kern w:val="28"/>
          <w:lang w:val="en-CA"/>
        </w:rPr>
        <w:t>a number of</w:t>
      </w:r>
      <w:proofErr w:type="gramEnd"/>
      <w:r w:rsidRPr="00B120AE">
        <w:rPr>
          <w:kern w:val="28"/>
          <w:lang w:val="en-CA"/>
        </w:rPr>
        <w:t xml:space="preserve"> studies, </w:t>
      </w:r>
      <w:r w:rsidR="00DC053E">
        <w:rPr>
          <w:kern w:val="28"/>
          <w:lang w:val="en-CA"/>
        </w:rPr>
        <w:t xml:space="preserve">thereby </w:t>
      </w:r>
      <w:r w:rsidRPr="00B120AE">
        <w:rPr>
          <w:kern w:val="28"/>
          <w:lang w:val="en-CA"/>
        </w:rPr>
        <w:t>limit</w:t>
      </w:r>
      <w:r w:rsidR="00DC053E">
        <w:rPr>
          <w:kern w:val="28"/>
          <w:lang w:val="en-CA"/>
        </w:rPr>
        <w:t>ing</w:t>
      </w:r>
      <w:r w:rsidRPr="00B120AE">
        <w:rPr>
          <w:kern w:val="28"/>
          <w:lang w:val="en-CA"/>
        </w:rPr>
        <w:t xml:space="preserve"> scientific uncertainty in this field. The evidence shows that risks vary with the concentration of second</w:t>
      </w:r>
      <w:r w:rsidR="00720901">
        <w:rPr>
          <w:kern w:val="28"/>
          <w:lang w:val="en-CA"/>
        </w:rPr>
        <w:noBreakHyphen/>
      </w:r>
      <w:r w:rsidRPr="00B120AE">
        <w:rPr>
          <w:kern w:val="28"/>
          <w:lang w:val="en-CA"/>
        </w:rPr>
        <w:t>hand smoke. The AGQ has chosen not to specify the magnitude of spectator exposure in the case of the Theatres, whereas the general evidence presented leads to the conclusion that it is negligible. As a result, he has failed to demonstrate that the total ban is justified. In other words, demonstrating that there is no minimum safe level of exposure to second</w:t>
      </w:r>
      <w:r w:rsidR="00720901">
        <w:rPr>
          <w:kern w:val="28"/>
          <w:lang w:val="en-CA"/>
        </w:rPr>
        <w:noBreakHyphen/>
      </w:r>
      <w:r w:rsidRPr="00B120AE">
        <w:rPr>
          <w:kern w:val="28"/>
          <w:lang w:val="en-CA"/>
        </w:rPr>
        <w:t xml:space="preserve">hand smoke is not sufficient to establish that only an absolute ban can achieve the objective in a real and substantial manner. </w:t>
      </w:r>
    </w:p>
    <w:p w14:paraId="50852CFE" w14:textId="7777777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As the majority of the Supreme Court noted in </w:t>
      </w:r>
      <w:r w:rsidRPr="00B120AE">
        <w:rPr>
          <w:i/>
          <w:iCs/>
          <w:kern w:val="28"/>
          <w:lang w:val="en-CA"/>
        </w:rPr>
        <w:t>Hutterian</w:t>
      </w:r>
      <w:r w:rsidRPr="00B120AE">
        <w:rPr>
          <w:kern w:val="28"/>
          <w:lang w:val="en-CA"/>
        </w:rPr>
        <w:t xml:space="preserve">: </w:t>
      </w:r>
    </w:p>
    <w:p w14:paraId="50852CFF" w14:textId="125929A9"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[55]</w:t>
      </w:r>
      <w:r w:rsidRPr="00B120AE">
        <w:rPr>
          <w:kern w:val="24"/>
          <w:sz w:val="22"/>
          <w:lang w:val="en-CA"/>
        </w:rPr>
        <w:tab/>
        <w:t>I hasten to add that in considering whether the government</w:t>
      </w:r>
      <w:r w:rsidR="00282C6C">
        <w:rPr>
          <w:kern w:val="24"/>
          <w:sz w:val="22"/>
          <w:lang w:val="en-CA"/>
        </w:rPr>
        <w:t>’</w:t>
      </w:r>
      <w:r w:rsidRPr="00B120AE">
        <w:rPr>
          <w:kern w:val="24"/>
          <w:sz w:val="22"/>
          <w:lang w:val="en-CA"/>
        </w:rPr>
        <w:t xml:space="preserve">s objective could be achieved by other less drastic means, </w:t>
      </w:r>
      <w:r w:rsidRPr="00B120AE">
        <w:rPr>
          <w:kern w:val="24"/>
          <w:sz w:val="22"/>
          <w:u w:val="single"/>
          <w:lang w:val="en-CA"/>
        </w:rPr>
        <w:t xml:space="preserve">the court need not be satisfied that the alternative would satisfy the objective to </w:t>
      </w:r>
      <w:proofErr w:type="gramStart"/>
      <w:r w:rsidRPr="00B120AE">
        <w:rPr>
          <w:kern w:val="24"/>
          <w:sz w:val="22"/>
          <w:u w:val="single"/>
          <w:lang w:val="en-CA"/>
        </w:rPr>
        <w:t>exactly the same</w:t>
      </w:r>
      <w:proofErr w:type="gramEnd"/>
      <w:r w:rsidRPr="00B120AE">
        <w:rPr>
          <w:kern w:val="24"/>
          <w:sz w:val="22"/>
          <w:u w:val="single"/>
          <w:lang w:val="en-CA"/>
        </w:rPr>
        <w:t xml:space="preserve"> extent or degree as the impugned measure</w:t>
      </w:r>
      <w:r w:rsidRPr="00B120AE">
        <w:rPr>
          <w:kern w:val="24"/>
          <w:sz w:val="22"/>
          <w:lang w:val="en-CA"/>
        </w:rPr>
        <w:t xml:space="preserve">. In other words, the court </w:t>
      </w:r>
      <w:r w:rsidRPr="00B120AE">
        <w:rPr>
          <w:kern w:val="24"/>
          <w:sz w:val="22"/>
          <w:u w:val="single"/>
          <w:lang w:val="en-CA"/>
        </w:rPr>
        <w:t>should not accept an unrealistically exacting or precise formulation of the government</w:t>
      </w:r>
      <w:r w:rsidR="00282C6C">
        <w:rPr>
          <w:kern w:val="24"/>
          <w:sz w:val="22"/>
          <w:u w:val="single"/>
          <w:lang w:val="en-CA"/>
        </w:rPr>
        <w:t>’</w:t>
      </w:r>
      <w:r w:rsidRPr="00B120AE">
        <w:rPr>
          <w:kern w:val="24"/>
          <w:sz w:val="22"/>
          <w:u w:val="single"/>
          <w:lang w:val="en-CA"/>
        </w:rPr>
        <w:t>s objective which would effectively immunize the law from scrutiny at the minimal impairment stage</w:t>
      </w:r>
      <w:r w:rsidRPr="00B120AE">
        <w:rPr>
          <w:kern w:val="24"/>
          <w:sz w:val="22"/>
          <w:lang w:val="en-CA"/>
        </w:rPr>
        <w:t xml:space="preserve">. The requirement for an </w:t>
      </w:r>
      <w:r w:rsidR="00282C6C">
        <w:rPr>
          <w:kern w:val="24"/>
          <w:sz w:val="22"/>
          <w:lang w:val="en-CA"/>
        </w:rPr>
        <w:t>“</w:t>
      </w:r>
      <w:r w:rsidRPr="00B120AE">
        <w:rPr>
          <w:kern w:val="24"/>
          <w:sz w:val="22"/>
          <w:lang w:val="en-CA"/>
        </w:rPr>
        <w:t>equally effective</w:t>
      </w:r>
      <w:r w:rsidR="00282C6C">
        <w:rPr>
          <w:kern w:val="24"/>
          <w:sz w:val="22"/>
          <w:lang w:val="en-CA"/>
        </w:rPr>
        <w:t>”</w:t>
      </w:r>
      <w:r w:rsidRPr="00B120AE">
        <w:rPr>
          <w:kern w:val="24"/>
          <w:sz w:val="22"/>
          <w:lang w:val="en-CA"/>
        </w:rPr>
        <w:t xml:space="preserve"> alternative measure in the passage from </w:t>
      </w:r>
      <w:r w:rsidRPr="00B120AE">
        <w:rPr>
          <w:i/>
          <w:iCs/>
          <w:kern w:val="24"/>
          <w:sz w:val="22"/>
          <w:lang w:val="en-CA"/>
        </w:rPr>
        <w:t>RJR</w:t>
      </w:r>
      <w:r w:rsidR="00720901">
        <w:rPr>
          <w:rFonts w:ascii="Cambria Math" w:hAnsi="Cambria Math" w:cs="Cambria Math"/>
          <w:iCs/>
          <w:kern w:val="24"/>
          <w:sz w:val="22"/>
          <w:lang w:val="en-CA"/>
        </w:rPr>
        <w:noBreakHyphen/>
      </w:r>
      <w:r w:rsidRPr="00B120AE">
        <w:rPr>
          <w:i/>
          <w:iCs/>
          <w:kern w:val="24"/>
          <w:sz w:val="22"/>
          <w:lang w:val="en-CA"/>
        </w:rPr>
        <w:t>MacDonald</w:t>
      </w:r>
      <w:r w:rsidRPr="00B120AE">
        <w:rPr>
          <w:kern w:val="24"/>
          <w:sz w:val="22"/>
          <w:lang w:val="en-CA"/>
        </w:rPr>
        <w:t>, quoted above, should not be taken to an impractical extreme. It includes alternative measures that give sufficient protection, in all the circumstances, to the government</w:t>
      </w:r>
      <w:r w:rsidR="00282C6C">
        <w:rPr>
          <w:kern w:val="24"/>
          <w:sz w:val="22"/>
          <w:lang w:val="en-CA"/>
        </w:rPr>
        <w:t>’</w:t>
      </w:r>
      <w:r w:rsidRPr="00B120AE">
        <w:rPr>
          <w:kern w:val="24"/>
          <w:sz w:val="22"/>
          <w:lang w:val="en-CA"/>
        </w:rPr>
        <w:t xml:space="preserve">s goal […]. While the government is entitled to deference in formulating its objective, that deference is not blind or absolute. </w:t>
      </w:r>
      <w:r w:rsidRPr="00B120AE">
        <w:rPr>
          <w:kern w:val="24"/>
          <w:sz w:val="22"/>
          <w:u w:val="single"/>
          <w:lang w:val="en-CA"/>
        </w:rPr>
        <w:t>The test at the minimum impairment stage is whether there is an alternative, less drastic means of achieving the objective in a real and substantial manner</w:t>
      </w:r>
      <w:r w:rsidRPr="00B120AE">
        <w:rPr>
          <w:kern w:val="24"/>
          <w:sz w:val="22"/>
          <w:lang w:val="en-CA"/>
        </w:rPr>
        <w:t>. […]</w:t>
      </w:r>
      <w:r w:rsidRPr="00B120AE">
        <w:rPr>
          <w:kern w:val="24"/>
          <w:sz w:val="22"/>
          <w:vertAlign w:val="superscript"/>
          <w:lang w:val="en-CA"/>
        </w:rPr>
        <w:footnoteReference w:id="125"/>
      </w:r>
    </w:p>
    <w:p w14:paraId="50852D00" w14:textId="77777777" w:rsidR="00E524EA" w:rsidRPr="00B120AE" w:rsidRDefault="001C0031" w:rsidP="00E524EA">
      <w:pPr>
        <w:spacing w:before="120" w:after="120" w:line="240" w:lineRule="auto"/>
        <w:ind w:left="720" w:right="720"/>
        <w:jc w:val="right"/>
        <w:rPr>
          <w:kern w:val="24"/>
          <w:sz w:val="22"/>
          <w:lang w:val="en-CA"/>
        </w:rPr>
      </w:pPr>
      <w:r w:rsidRPr="00B120AE">
        <w:rPr>
          <w:kern w:val="24"/>
          <w:sz w:val="22"/>
          <w:lang w:val="en-CA"/>
        </w:rPr>
        <w:t xml:space="preserve">[Underlining </w:t>
      </w:r>
      <w:proofErr w:type="gramStart"/>
      <w:r w:rsidRPr="00B120AE">
        <w:rPr>
          <w:kern w:val="24"/>
          <w:sz w:val="22"/>
          <w:lang w:val="en-CA"/>
        </w:rPr>
        <w:t>added;</w:t>
      </w:r>
      <w:proofErr w:type="gramEnd"/>
      <w:r w:rsidRPr="00B120AE">
        <w:rPr>
          <w:kern w:val="24"/>
          <w:sz w:val="22"/>
          <w:lang w:val="en-CA"/>
        </w:rPr>
        <w:t xml:space="preserve"> italics in the original]</w:t>
      </w:r>
    </w:p>
    <w:p w14:paraId="50852D01" w14:textId="7777777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I conclude that by relying on general evidence, the AGQ has reversed the burden of proof and has failed to satisfy the minimal impairment test, as the Supreme Court </w:t>
      </w:r>
      <w:r w:rsidRPr="00B120AE">
        <w:rPr>
          <w:kern w:val="28"/>
          <w:lang w:val="en-CA"/>
        </w:rPr>
        <w:lastRenderedPageBreak/>
        <w:t xml:space="preserve">pointed out in </w:t>
      </w:r>
      <w:r w:rsidRPr="00B120AE">
        <w:rPr>
          <w:i/>
          <w:iCs/>
          <w:kern w:val="28"/>
          <w:lang w:val="en-CA"/>
        </w:rPr>
        <w:t>R. v. Ndhlovu</w:t>
      </w:r>
      <w:r w:rsidRPr="00B120AE">
        <w:rPr>
          <w:kern w:val="28"/>
          <w:lang w:val="en-CA"/>
        </w:rPr>
        <w:t xml:space="preserve">, where it analyzed the constitutionality of provisions relating to the national sex offender registry: </w:t>
      </w:r>
    </w:p>
    <w:p w14:paraId="50852D02" w14:textId="4B1FF3DE" w:rsidR="00E524EA" w:rsidRPr="00B120AE" w:rsidRDefault="001C0031" w:rsidP="00E524EA">
      <w:pPr>
        <w:spacing w:before="120" w:after="120" w:line="240" w:lineRule="auto"/>
        <w:ind w:left="720" w:right="720"/>
        <w:jc w:val="both"/>
        <w:rPr>
          <w:kern w:val="24"/>
          <w:sz w:val="22"/>
          <w:lang w:val="en-CA"/>
        </w:rPr>
      </w:pPr>
      <w:r w:rsidRPr="00B120AE">
        <w:rPr>
          <w:kern w:val="24"/>
          <w:sz w:val="22"/>
          <w:lang w:val="en-CA"/>
        </w:rPr>
        <w:t>[126]</w:t>
      </w:r>
      <w:r w:rsidRPr="00B120AE">
        <w:rPr>
          <w:kern w:val="24"/>
          <w:sz w:val="22"/>
          <w:lang w:val="en-CA"/>
        </w:rPr>
        <w:tab/>
        <w:t xml:space="preserve">[…] The unproven premise is that police can only effectively prevent and investigate sex offences if all designated offenders are registered. The assumption appears to be that if some are good, more is better, and all is best. </w:t>
      </w:r>
      <w:r w:rsidRPr="00B120AE">
        <w:rPr>
          <w:kern w:val="24"/>
          <w:sz w:val="22"/>
          <w:u w:val="single"/>
          <w:lang w:val="en-CA"/>
        </w:rPr>
        <w:t xml:space="preserve">The Court in </w:t>
      </w:r>
      <w:r w:rsidRPr="00B120AE">
        <w:rPr>
          <w:i/>
          <w:iCs/>
          <w:kern w:val="24"/>
          <w:sz w:val="22"/>
          <w:u w:val="single"/>
          <w:lang w:val="en-CA"/>
        </w:rPr>
        <w:t xml:space="preserve">Carter </w:t>
      </w:r>
      <w:r w:rsidRPr="00B120AE">
        <w:rPr>
          <w:kern w:val="24"/>
          <w:sz w:val="22"/>
          <w:u w:val="single"/>
          <w:lang w:val="en-CA"/>
        </w:rPr>
        <w:t xml:space="preserve">rejected a similar argument at the minimal impairment stage because it </w:t>
      </w:r>
      <w:r w:rsidR="00282C6C">
        <w:rPr>
          <w:kern w:val="24"/>
          <w:sz w:val="22"/>
          <w:u w:val="single"/>
          <w:lang w:val="en-CA"/>
        </w:rPr>
        <w:t>“</w:t>
      </w:r>
      <w:r w:rsidRPr="00B120AE">
        <w:rPr>
          <w:kern w:val="24"/>
          <w:sz w:val="22"/>
          <w:u w:val="single"/>
          <w:lang w:val="en-CA"/>
        </w:rPr>
        <w:t xml:space="preserve">effectively reverses the onus under </w:t>
      </w:r>
      <w:r w:rsidR="008742D0">
        <w:rPr>
          <w:kern w:val="24"/>
          <w:sz w:val="22"/>
          <w:u w:val="single"/>
          <w:lang w:val="en-CA"/>
        </w:rPr>
        <w:t>s. 1</w:t>
      </w:r>
      <w:r w:rsidRPr="00B120AE">
        <w:rPr>
          <w:kern w:val="24"/>
          <w:sz w:val="22"/>
          <w:u w:val="single"/>
          <w:lang w:val="en-CA"/>
        </w:rPr>
        <w:t>, requiring the claimant whose rights are infringed to prove less invasive ways of achieving the prohibition</w:t>
      </w:r>
      <w:r w:rsidR="00282C6C">
        <w:rPr>
          <w:kern w:val="24"/>
          <w:sz w:val="22"/>
          <w:u w:val="single"/>
          <w:lang w:val="en-CA"/>
        </w:rPr>
        <w:t>’</w:t>
      </w:r>
      <w:r w:rsidRPr="00B120AE">
        <w:rPr>
          <w:kern w:val="24"/>
          <w:sz w:val="22"/>
          <w:u w:val="single"/>
          <w:lang w:val="en-CA"/>
        </w:rPr>
        <w:t>s object</w:t>
      </w:r>
      <w:r w:rsidR="00282C6C">
        <w:rPr>
          <w:kern w:val="24"/>
          <w:sz w:val="22"/>
          <w:u w:val="single"/>
          <w:lang w:val="en-CA"/>
        </w:rPr>
        <w:t>”</w:t>
      </w:r>
      <w:r w:rsidRPr="00B120AE">
        <w:rPr>
          <w:kern w:val="24"/>
          <w:sz w:val="22"/>
          <w:u w:val="single"/>
          <w:lang w:val="en-CA"/>
        </w:rPr>
        <w:t xml:space="preserve"> (par</w:t>
      </w:r>
      <w:r w:rsidR="008742D0">
        <w:rPr>
          <w:kern w:val="24"/>
          <w:sz w:val="22"/>
          <w:u w:val="single"/>
          <w:lang w:val="en-CA"/>
        </w:rPr>
        <w:t>a. 1</w:t>
      </w:r>
      <w:r w:rsidRPr="00B120AE">
        <w:rPr>
          <w:kern w:val="24"/>
          <w:sz w:val="22"/>
          <w:u w:val="single"/>
          <w:lang w:val="en-CA"/>
        </w:rPr>
        <w:t xml:space="preserve">18). The same concern in </w:t>
      </w:r>
      <w:r w:rsidRPr="00B120AE">
        <w:rPr>
          <w:i/>
          <w:iCs/>
          <w:kern w:val="24"/>
          <w:sz w:val="22"/>
          <w:u w:val="single"/>
          <w:lang w:val="en-CA"/>
        </w:rPr>
        <w:t xml:space="preserve">Carter </w:t>
      </w:r>
      <w:r w:rsidRPr="00B120AE">
        <w:rPr>
          <w:kern w:val="24"/>
          <w:sz w:val="22"/>
          <w:u w:val="single"/>
          <w:lang w:val="en-CA"/>
        </w:rPr>
        <w:t>arises in this case. It is the Crown, not Mr.</w:t>
      </w:r>
      <w:r w:rsidR="00855528">
        <w:rPr>
          <w:kern w:val="24"/>
          <w:sz w:val="22"/>
          <w:u w:val="single"/>
          <w:lang w:val="en-CA"/>
        </w:rPr>
        <w:t> </w:t>
      </w:r>
      <w:r w:rsidRPr="00B120AE">
        <w:rPr>
          <w:kern w:val="24"/>
          <w:sz w:val="22"/>
          <w:u w:val="single"/>
          <w:lang w:val="en-CA"/>
        </w:rPr>
        <w:t xml:space="preserve">Ndhlovu, who bears the burden under </w:t>
      </w:r>
      <w:r w:rsidR="008742D0">
        <w:rPr>
          <w:kern w:val="24"/>
          <w:sz w:val="22"/>
          <w:u w:val="single"/>
          <w:lang w:val="en-CA"/>
        </w:rPr>
        <w:t>s. 1</w:t>
      </w:r>
      <w:r w:rsidRPr="00B120AE">
        <w:rPr>
          <w:kern w:val="24"/>
          <w:sz w:val="22"/>
          <w:u w:val="single"/>
          <w:lang w:val="en-CA"/>
        </w:rPr>
        <w:t xml:space="preserve">. Rather than call evidence that shows </w:t>
      </w:r>
      <w:proofErr w:type="gramStart"/>
      <w:r w:rsidRPr="00B120AE">
        <w:rPr>
          <w:kern w:val="24"/>
          <w:sz w:val="22"/>
          <w:u w:val="single"/>
          <w:lang w:val="en-CA"/>
        </w:rPr>
        <w:t>less</w:t>
      </w:r>
      <w:proofErr w:type="gramEnd"/>
      <w:r w:rsidRPr="00B120AE">
        <w:rPr>
          <w:kern w:val="24"/>
          <w:sz w:val="22"/>
          <w:u w:val="single"/>
          <w:lang w:val="en-CA"/>
        </w:rPr>
        <w:t xml:space="preserve"> infringing measures would fail to substantially achieve the measure</w:t>
      </w:r>
      <w:r w:rsidR="00282C6C">
        <w:rPr>
          <w:kern w:val="24"/>
          <w:sz w:val="22"/>
          <w:u w:val="single"/>
          <w:lang w:val="en-CA"/>
        </w:rPr>
        <w:t>’</w:t>
      </w:r>
      <w:r w:rsidRPr="00B120AE">
        <w:rPr>
          <w:kern w:val="24"/>
          <w:sz w:val="22"/>
          <w:u w:val="single"/>
          <w:lang w:val="en-CA"/>
        </w:rPr>
        <w:t xml:space="preserve">s objective, the Crown relies on assertion and conjecture. That is not enough to meet its burden under </w:t>
      </w:r>
      <w:r w:rsidR="008742D0">
        <w:rPr>
          <w:kern w:val="24"/>
          <w:sz w:val="22"/>
          <w:u w:val="single"/>
          <w:lang w:val="en-CA"/>
        </w:rPr>
        <w:t>s. 1</w:t>
      </w:r>
      <w:r w:rsidRPr="00B120AE">
        <w:rPr>
          <w:kern w:val="24"/>
          <w:sz w:val="22"/>
          <w:lang w:val="en-CA"/>
        </w:rPr>
        <w:t>.</w:t>
      </w:r>
      <w:r w:rsidRPr="00B120AE">
        <w:rPr>
          <w:kern w:val="24"/>
          <w:sz w:val="22"/>
          <w:vertAlign w:val="superscript"/>
          <w:lang w:val="en-CA"/>
        </w:rPr>
        <w:footnoteReference w:id="126"/>
      </w:r>
    </w:p>
    <w:p w14:paraId="50852D03" w14:textId="77777777" w:rsidR="00E524EA" w:rsidRPr="00B120AE" w:rsidRDefault="001C0031" w:rsidP="00E524EA">
      <w:pPr>
        <w:spacing w:before="120" w:after="120" w:line="240" w:lineRule="auto"/>
        <w:ind w:left="720" w:right="720"/>
        <w:jc w:val="right"/>
        <w:rPr>
          <w:kern w:val="24"/>
          <w:sz w:val="22"/>
          <w:lang w:val="en-CA"/>
        </w:rPr>
      </w:pPr>
      <w:r w:rsidRPr="00B120AE">
        <w:rPr>
          <w:kern w:val="24"/>
          <w:sz w:val="22"/>
          <w:lang w:val="en-CA"/>
        </w:rPr>
        <w:t>[Underlining added]</w:t>
      </w:r>
    </w:p>
    <w:p w14:paraId="50852D04" w14:textId="62D749DB"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The AGQ argues that several other legislatures in Canada have banned cigarettes and products likened thereto in enclosed public spaces.</w:t>
      </w:r>
      <w:r w:rsidRPr="00B120AE">
        <w:rPr>
          <w:kern w:val="28"/>
          <w:vertAlign w:val="superscript"/>
          <w:lang w:val="en-CA"/>
        </w:rPr>
        <w:footnoteReference w:id="127"/>
      </w:r>
      <w:r w:rsidRPr="00B120AE">
        <w:rPr>
          <w:kern w:val="28"/>
          <w:lang w:val="en-CA"/>
        </w:rPr>
        <w:t xml:space="preserve"> I would point out that Ontario has set out an exception to this prohibition for stage productions.</w:t>
      </w:r>
      <w:r w:rsidRPr="00B120AE">
        <w:rPr>
          <w:kern w:val="28"/>
          <w:vertAlign w:val="superscript"/>
          <w:lang w:val="en-CA"/>
        </w:rPr>
        <w:footnoteReference w:id="128"/>
      </w:r>
      <w:r w:rsidRPr="00B120AE">
        <w:rPr>
          <w:kern w:val="28"/>
          <w:lang w:val="en-CA"/>
        </w:rPr>
        <w:t xml:space="preserve"> While the existence of this exception enacted in another province is not decisive, it may be helpful for purposes of the analysis.</w:t>
      </w:r>
      <w:r w:rsidRPr="00B120AE">
        <w:rPr>
          <w:kern w:val="28"/>
          <w:vertAlign w:val="superscript"/>
          <w:lang w:val="en-CA"/>
        </w:rPr>
        <w:footnoteReference w:id="129"/>
      </w:r>
      <w:r w:rsidRPr="00B120AE">
        <w:rPr>
          <w:kern w:val="28"/>
          <w:lang w:val="en-CA"/>
        </w:rPr>
        <w:t xml:space="preserve"> In the matter at hand, it is a further indication that the ban imposed by the </w:t>
      </w:r>
      <w:r w:rsidRPr="00B120AE">
        <w:rPr>
          <w:i/>
          <w:iCs/>
          <w:kern w:val="28"/>
          <w:lang w:val="en-CA"/>
        </w:rPr>
        <w:t>Act</w:t>
      </w:r>
      <w:r w:rsidRPr="00B120AE">
        <w:rPr>
          <w:kern w:val="28"/>
          <w:lang w:val="en-CA"/>
        </w:rPr>
        <w:t xml:space="preserve"> is not the measure that is least intrusive on freedom of expression. As previously noted, I would point out that, in Quebec, the</w:t>
      </w:r>
      <w:r w:rsidR="007C3223" w:rsidRPr="007C3223">
        <w:rPr>
          <w:i/>
          <w:kern w:val="28"/>
          <w:lang w:val="en-CA"/>
        </w:rPr>
        <w:t> TCA</w:t>
      </w:r>
      <w:r w:rsidRPr="00B120AE">
        <w:rPr>
          <w:kern w:val="28"/>
          <w:lang w:val="en-CA"/>
        </w:rPr>
        <w:t xml:space="preserve"> prohibits smoking any product containing tobacco, as well as electronic cigarettes and any other devices of the same nature that are put to one</w:t>
      </w:r>
      <w:r w:rsidR="00282C6C">
        <w:rPr>
          <w:kern w:val="28"/>
          <w:lang w:val="en-CA"/>
        </w:rPr>
        <w:t>’</w:t>
      </w:r>
      <w:r w:rsidRPr="00B120AE">
        <w:rPr>
          <w:kern w:val="28"/>
          <w:lang w:val="en-CA"/>
        </w:rPr>
        <w:t xml:space="preserve">s mouth to inhale any substance, </w:t>
      </w:r>
      <w:proofErr w:type="gramStart"/>
      <w:r w:rsidRPr="00B120AE">
        <w:rPr>
          <w:kern w:val="28"/>
          <w:lang w:val="en-CA"/>
        </w:rPr>
        <w:t>whether or not</w:t>
      </w:r>
      <w:proofErr w:type="gramEnd"/>
      <w:r w:rsidRPr="00B120AE">
        <w:rPr>
          <w:kern w:val="28"/>
          <w:lang w:val="en-CA"/>
        </w:rPr>
        <w:t xml:space="preserve"> it contains nicotine. It appears that electronic cigarettes without nicotine, containing a </w:t>
      </w:r>
      <w:r w:rsidRPr="00B120AE">
        <w:rPr>
          <w:kern w:val="28"/>
          <w:lang w:val="en-CA"/>
        </w:rPr>
        <w:lastRenderedPageBreak/>
        <w:t>substance that emits odourless second</w:t>
      </w:r>
      <w:r w:rsidR="00720901">
        <w:rPr>
          <w:kern w:val="28"/>
          <w:lang w:val="en-CA"/>
        </w:rPr>
        <w:noBreakHyphen/>
      </w:r>
      <w:r w:rsidRPr="00B120AE">
        <w:rPr>
          <w:kern w:val="28"/>
          <w:lang w:val="en-CA"/>
        </w:rPr>
        <w:t>hand smoke, would be prohibited by the</w:t>
      </w:r>
      <w:r w:rsidR="007C3223" w:rsidRPr="007C3223">
        <w:rPr>
          <w:i/>
          <w:kern w:val="28"/>
          <w:lang w:val="en-CA"/>
        </w:rPr>
        <w:t> TCA</w:t>
      </w:r>
      <w:r w:rsidRPr="00B120AE">
        <w:rPr>
          <w:kern w:val="28"/>
          <w:lang w:val="en-CA"/>
        </w:rPr>
        <w:t xml:space="preserve">. There are no exceptions to the ban. </w:t>
      </w:r>
    </w:p>
    <w:p w14:paraId="50852D05" w14:textId="545E5930"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The AGQ argues that a ban is needed to protect actors from exposure to smoke when they portray characters who smoke. Théâtre du Trident</w:t>
      </w:r>
      <w:r w:rsidR="00282C6C">
        <w:rPr>
          <w:kern w:val="28"/>
          <w:lang w:val="en-CA"/>
        </w:rPr>
        <w:t>’</w:t>
      </w:r>
      <w:r w:rsidRPr="00B120AE">
        <w:rPr>
          <w:kern w:val="28"/>
          <w:lang w:val="en-CA"/>
        </w:rPr>
        <w:t>s artistic director, Anne</w:t>
      </w:r>
      <w:r w:rsidR="00720901">
        <w:rPr>
          <w:kern w:val="28"/>
          <w:lang w:val="en-CA"/>
        </w:rPr>
        <w:noBreakHyphen/>
      </w:r>
      <w:r w:rsidRPr="00B120AE">
        <w:rPr>
          <w:kern w:val="28"/>
          <w:lang w:val="en-CA"/>
        </w:rPr>
        <w:t>Marie Olivier, testified that she respects an actor</w:t>
      </w:r>
      <w:r w:rsidR="00282C6C">
        <w:rPr>
          <w:kern w:val="28"/>
          <w:lang w:val="en-CA"/>
        </w:rPr>
        <w:t>’</w:t>
      </w:r>
      <w:r w:rsidRPr="00B120AE">
        <w:rPr>
          <w:kern w:val="28"/>
          <w:lang w:val="en-CA"/>
        </w:rPr>
        <w:t xml:space="preserve">s choice not to play a character who smokes on stage, and that this is </w:t>
      </w:r>
      <w:proofErr w:type="gramStart"/>
      <w:r w:rsidRPr="00B120AE">
        <w:rPr>
          <w:kern w:val="28"/>
          <w:lang w:val="en-CA"/>
        </w:rPr>
        <w:t>taken into account</w:t>
      </w:r>
      <w:proofErr w:type="gramEnd"/>
      <w:r w:rsidRPr="00B120AE">
        <w:rPr>
          <w:kern w:val="28"/>
          <w:lang w:val="en-CA"/>
        </w:rPr>
        <w:t xml:space="preserve"> when the creative team makes the decision to have a character smoke. In addition, the Theatres showed that they reduce the consequences as much as possible by limiting the actual act of smoking to official performances and by using herbal cigarettes, which do not contain nicotine, so as not to trigger or rekindle an addiction. As for stage workers, their safety is protected, </w:t>
      </w:r>
      <w:r w:rsidR="000E1369">
        <w:rPr>
          <w:kern w:val="28"/>
          <w:lang w:val="en-CA"/>
        </w:rPr>
        <w:t xml:space="preserve">because </w:t>
      </w:r>
      <w:r w:rsidRPr="00B120AE">
        <w:rPr>
          <w:kern w:val="28"/>
          <w:lang w:val="en-CA"/>
        </w:rPr>
        <w:t>they can refuse to be exposed to second</w:t>
      </w:r>
      <w:r w:rsidR="00720901">
        <w:rPr>
          <w:kern w:val="28"/>
          <w:lang w:val="en-CA"/>
        </w:rPr>
        <w:noBreakHyphen/>
      </w:r>
      <w:r w:rsidRPr="00B120AE">
        <w:rPr>
          <w:kern w:val="28"/>
          <w:lang w:val="en-CA"/>
        </w:rPr>
        <w:t>hand smoke for the limited duration of the performances in which characters smoke.</w:t>
      </w:r>
      <w:r w:rsidRPr="00B120AE">
        <w:rPr>
          <w:kern w:val="28"/>
          <w:vertAlign w:val="superscript"/>
          <w:lang w:val="en-CA"/>
        </w:rPr>
        <w:footnoteReference w:id="130"/>
      </w:r>
      <w:r w:rsidRPr="00B120AE">
        <w:rPr>
          <w:kern w:val="28"/>
          <w:lang w:val="en-CA"/>
        </w:rPr>
        <w:t xml:space="preserve"> These measures can reduce the impairment, while avoiding an absolute ban on a form of expression. </w:t>
      </w:r>
    </w:p>
    <w:p w14:paraId="50852D06" w14:textId="4EED4006"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Moreover, the legislature could set out other measures to regulate the possibility of smoking on stage, which would avoid completely banning a mode of communication, while not significantly compromising the legislature</w:t>
      </w:r>
      <w:r w:rsidR="00282C6C">
        <w:rPr>
          <w:kern w:val="28"/>
          <w:lang w:val="en-CA"/>
        </w:rPr>
        <w:t>’</w:t>
      </w:r>
      <w:r w:rsidRPr="00B120AE">
        <w:rPr>
          <w:kern w:val="28"/>
          <w:lang w:val="en-CA"/>
        </w:rPr>
        <w:t>s objective.</w:t>
      </w:r>
      <w:r w:rsidRPr="00B120AE">
        <w:rPr>
          <w:kern w:val="28"/>
          <w:vertAlign w:val="superscript"/>
          <w:lang w:val="en-CA"/>
        </w:rPr>
        <w:footnoteReference w:id="131"/>
      </w:r>
      <w:r w:rsidRPr="00B120AE">
        <w:rPr>
          <w:kern w:val="28"/>
          <w:lang w:val="en-CA"/>
        </w:rPr>
        <w:t xml:space="preserve"> The Theatres acknowledge that measures to control second</w:t>
      </w:r>
      <w:r w:rsidR="00720901">
        <w:rPr>
          <w:kern w:val="28"/>
          <w:lang w:val="en-CA"/>
        </w:rPr>
        <w:noBreakHyphen/>
      </w:r>
      <w:r w:rsidRPr="00B120AE">
        <w:rPr>
          <w:kern w:val="28"/>
          <w:lang w:val="en-CA"/>
        </w:rPr>
        <w:t xml:space="preserve">hand smoke are required. They do not seek unconditional and unqualified acceptance. In their view, </w:t>
      </w:r>
      <w:r w:rsidR="0078033F" w:rsidRPr="0078033F">
        <w:rPr>
          <w:smallCaps/>
          <w:kern w:val="28"/>
          <w:lang w:val="en-CA"/>
        </w:rPr>
        <w:t>[translation] </w:t>
      </w:r>
      <w:r w:rsidR="00282C6C">
        <w:rPr>
          <w:kern w:val="28"/>
          <w:lang w:val="en-CA"/>
        </w:rPr>
        <w:t>“</w:t>
      </w:r>
      <w:r w:rsidRPr="00B120AE">
        <w:rPr>
          <w:kern w:val="28"/>
          <w:lang w:val="en-CA"/>
        </w:rPr>
        <w:t>parameters governing a possible artistic exemption to be integrated into the [</w:t>
      </w:r>
      <w:r w:rsidRPr="00B120AE">
        <w:rPr>
          <w:i/>
          <w:iCs/>
          <w:kern w:val="28"/>
          <w:lang w:val="en-CA"/>
        </w:rPr>
        <w:t>Act</w:t>
      </w:r>
      <w:r w:rsidRPr="00B120AE">
        <w:rPr>
          <w:kern w:val="28"/>
          <w:lang w:val="en-CA"/>
        </w:rPr>
        <w:t>] could constitute reasonable limits on their freedom of artistic expression</w:t>
      </w:r>
      <w:r w:rsidR="00282C6C">
        <w:rPr>
          <w:kern w:val="28"/>
          <w:lang w:val="en-CA"/>
        </w:rPr>
        <w:t>”</w:t>
      </w:r>
      <w:r w:rsidRPr="00B120AE">
        <w:rPr>
          <w:kern w:val="28"/>
          <w:lang w:val="en-CA"/>
        </w:rPr>
        <w:t>.</w:t>
      </w:r>
      <w:r w:rsidRPr="00B120AE">
        <w:rPr>
          <w:kern w:val="28"/>
          <w:vertAlign w:val="superscript"/>
          <w:lang w:val="en-CA"/>
        </w:rPr>
        <w:footnoteReference w:id="132"/>
      </w:r>
      <w:r w:rsidRPr="00B120AE">
        <w:rPr>
          <w:kern w:val="28"/>
          <w:lang w:val="en-CA"/>
        </w:rPr>
        <w:t xml:space="preserve"> For example, they suggest a notice to spectators which would give them the opportunity to decide </w:t>
      </w:r>
      <w:proofErr w:type="gramStart"/>
      <w:r w:rsidRPr="00B120AE">
        <w:rPr>
          <w:kern w:val="28"/>
          <w:lang w:val="en-CA"/>
        </w:rPr>
        <w:t>whether or not</w:t>
      </w:r>
      <w:proofErr w:type="gramEnd"/>
      <w:r w:rsidRPr="00B120AE">
        <w:rPr>
          <w:kern w:val="28"/>
          <w:lang w:val="en-CA"/>
        </w:rPr>
        <w:t xml:space="preserve"> to attend the play under those circumstances. The AGQ replies that such a measure would prevent non</w:t>
      </w:r>
      <w:r w:rsidR="00720901">
        <w:rPr>
          <w:kern w:val="28"/>
          <w:lang w:val="en-CA"/>
        </w:rPr>
        <w:noBreakHyphen/>
      </w:r>
      <w:r w:rsidRPr="00B120AE">
        <w:rPr>
          <w:kern w:val="28"/>
          <w:lang w:val="en-CA"/>
        </w:rPr>
        <w:t>smokers from attending certain plays. However, there is no protected right to attend a given performance, just as a theatre cannot be forced to produce a specific play.</w:t>
      </w:r>
      <w:r w:rsidRPr="00B120AE">
        <w:rPr>
          <w:kern w:val="28"/>
          <w:vertAlign w:val="superscript"/>
          <w:lang w:val="en-CA"/>
        </w:rPr>
        <w:footnoteReference w:id="133"/>
      </w:r>
      <w:r w:rsidRPr="00B120AE">
        <w:rPr>
          <w:kern w:val="28"/>
          <w:lang w:val="en-CA"/>
        </w:rPr>
        <w:t xml:space="preserve"> Freedom of expression includes the corollary right to hear what is expressed, but it does not, on that basis, entail the right to impose a form of expression on those expressing themselves; otherwise, little would remain of that freedom. </w:t>
      </w:r>
    </w:p>
    <w:p w14:paraId="50852D07" w14:textId="6513495F"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Lastly, the AGQ submits that the impairment resulting from the ban is minimal, since artists can use other means of expression to theatrically represent the act of smoking, either by using substitutes to mimic the gesture without </w:t>
      </w:r>
      <w:proofErr w:type="gramStart"/>
      <w:r w:rsidRPr="00B120AE">
        <w:rPr>
          <w:kern w:val="28"/>
          <w:lang w:val="en-CA"/>
        </w:rPr>
        <w:t>actually inhaling</w:t>
      </w:r>
      <w:proofErr w:type="gramEnd"/>
      <w:r w:rsidRPr="00B120AE">
        <w:rPr>
          <w:kern w:val="28"/>
          <w:lang w:val="en-CA"/>
        </w:rPr>
        <w:t xml:space="preserve">, or by evoking it artistically through projections, for example. This argument, which is </w:t>
      </w:r>
      <w:proofErr w:type="gramStart"/>
      <w:r w:rsidRPr="00B120AE">
        <w:rPr>
          <w:kern w:val="28"/>
          <w:lang w:val="en-CA"/>
        </w:rPr>
        <w:t>similar to</w:t>
      </w:r>
      <w:proofErr w:type="gramEnd"/>
      <w:r w:rsidRPr="00B120AE">
        <w:rPr>
          <w:kern w:val="28"/>
          <w:lang w:val="en-CA"/>
        </w:rPr>
        <w:t xml:space="preserve"> the one put forward to assert that there is no infringement of freedom of expression, is no </w:t>
      </w:r>
      <w:r w:rsidRPr="00B120AE">
        <w:rPr>
          <w:kern w:val="28"/>
          <w:lang w:val="en-CA"/>
        </w:rPr>
        <w:lastRenderedPageBreak/>
        <w:t xml:space="preserve">more convincing. In effect, a mode of artistic expression — which lies at the heart of the values protected by freedom of expression — remains completely prohibited, without the reasonableness of such a draconian measure for achieving the objective having been demonstrated. Under the impugned provisions, a character cannot take so much as a single puff while lighting an herbal cigarette, and then extinguish it, without contravening the </w:t>
      </w:r>
      <w:r w:rsidRPr="00B120AE">
        <w:rPr>
          <w:i/>
          <w:iCs/>
          <w:kern w:val="28"/>
          <w:lang w:val="en-CA"/>
        </w:rPr>
        <w:t>Act</w:t>
      </w:r>
      <w:r w:rsidRPr="00B120AE">
        <w:rPr>
          <w:kern w:val="28"/>
          <w:lang w:val="en-CA"/>
        </w:rPr>
        <w:t xml:space="preserve">. These provisions thus prohibit the expression on a theatre stage of a gesture that remains legal within our society. Far from demonstrating that the impairment is minimal, this argument instead shows that the means selected by the legislature was not chosen with the degree of care required for such an infringement that </w:t>
      </w:r>
      <w:r w:rsidR="00102950">
        <w:rPr>
          <w:kern w:val="28"/>
          <w:lang w:val="en-CA"/>
        </w:rPr>
        <w:t xml:space="preserve">strikes at </w:t>
      </w:r>
      <w:r w:rsidRPr="00B120AE">
        <w:rPr>
          <w:kern w:val="28"/>
          <w:lang w:val="en-CA"/>
        </w:rPr>
        <w:t>the heart of the values protected by freedom of artistic expression.</w:t>
      </w:r>
    </w:p>
    <w:p w14:paraId="50852D08" w14:textId="77777777" w:rsidR="00E524EA" w:rsidRPr="00B120AE" w:rsidRDefault="001C0031" w:rsidP="00E524EA">
      <w:pPr>
        <w:numPr>
          <w:ilvl w:val="0"/>
          <w:numId w:val="18"/>
        </w:numPr>
        <w:tabs>
          <w:tab w:val="clear" w:pos="720"/>
          <w:tab w:val="num" w:pos="360"/>
        </w:tabs>
        <w:spacing w:before="120" w:after="120" w:line="240" w:lineRule="auto"/>
        <w:jc w:val="both"/>
        <w:rPr>
          <w:kern w:val="28"/>
          <w:lang w:val="en-CA"/>
        </w:rPr>
      </w:pPr>
      <w:r w:rsidRPr="00B120AE">
        <w:rPr>
          <w:kern w:val="28"/>
          <w:lang w:val="en-CA"/>
        </w:rPr>
        <w:t xml:space="preserve">I therefore conclude that the provisions do not satisfy the minimal impairment test. I will nevertheless proceed to analyze the effects of the measure. </w:t>
      </w:r>
    </w:p>
    <w:p w14:paraId="50852D09" w14:textId="77777777" w:rsidR="00E524EA" w:rsidRPr="00B120AE" w:rsidRDefault="001C0031" w:rsidP="00E524EA">
      <w:pPr>
        <w:keepNext/>
        <w:numPr>
          <w:ilvl w:val="0"/>
          <w:numId w:val="23"/>
        </w:numPr>
        <w:tabs>
          <w:tab w:val="num" w:pos="993"/>
        </w:tabs>
        <w:spacing w:before="120" w:after="120" w:line="240" w:lineRule="auto"/>
        <w:outlineLvl w:val="3"/>
        <w:rPr>
          <w:b/>
          <w:lang w:val="en-CA"/>
        </w:rPr>
      </w:pPr>
      <w:r w:rsidRPr="00B120AE">
        <w:rPr>
          <w:b/>
          <w:bCs/>
          <w:lang w:val="en-CA"/>
        </w:rPr>
        <w:t>Proportionality between the salutary and deleterious effects</w:t>
      </w:r>
    </w:p>
    <w:p w14:paraId="50852D0A" w14:textId="40222B3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AGQ argues that the judge erred at this stage of the analysis by overestimating the measure</w:t>
      </w:r>
      <w:r w:rsidR="00282C6C">
        <w:rPr>
          <w:kern w:val="28"/>
          <w:lang w:val="en-CA"/>
        </w:rPr>
        <w:t>’</w:t>
      </w:r>
      <w:r w:rsidRPr="00B120AE">
        <w:rPr>
          <w:kern w:val="28"/>
          <w:lang w:val="en-CA"/>
        </w:rPr>
        <w:t>s deleterious effects on freedom of expression. He claims that the judge failed to consider that the ban only targets the actual act of smoking, without preventing a theatrical representation of the gesture. Furthermore, he allegedly failed to weigh the measure</w:t>
      </w:r>
      <w:r w:rsidR="00282C6C">
        <w:rPr>
          <w:kern w:val="28"/>
          <w:lang w:val="en-CA"/>
        </w:rPr>
        <w:t>’</w:t>
      </w:r>
      <w:r w:rsidRPr="00B120AE">
        <w:rPr>
          <w:kern w:val="28"/>
          <w:lang w:val="en-CA"/>
        </w:rPr>
        <w:t>s deleterious effects, which he overestimated, against its real and significant salutary effects on health through the protection of non</w:t>
      </w:r>
      <w:r w:rsidR="00720901">
        <w:rPr>
          <w:kern w:val="28"/>
          <w:lang w:val="en-CA"/>
        </w:rPr>
        <w:noBreakHyphen/>
      </w:r>
      <w:r w:rsidRPr="00B120AE">
        <w:rPr>
          <w:kern w:val="28"/>
          <w:lang w:val="en-CA"/>
        </w:rPr>
        <w:t>smokers from the harmful effects of second</w:t>
      </w:r>
      <w:r w:rsidR="00720901">
        <w:rPr>
          <w:kern w:val="28"/>
          <w:lang w:val="en-CA"/>
        </w:rPr>
        <w:noBreakHyphen/>
      </w:r>
      <w:r w:rsidRPr="00B120AE">
        <w:rPr>
          <w:kern w:val="28"/>
          <w:lang w:val="en-CA"/>
        </w:rPr>
        <w:t xml:space="preserve">hand smoke in enclosed public places. In so doing, </w:t>
      </w:r>
      <w:r w:rsidR="00107EDA">
        <w:rPr>
          <w:kern w:val="28"/>
          <w:lang w:val="en-CA"/>
        </w:rPr>
        <w:t>the AGQ</w:t>
      </w:r>
      <w:r w:rsidRPr="00B120AE">
        <w:rPr>
          <w:kern w:val="28"/>
          <w:lang w:val="en-CA"/>
        </w:rPr>
        <w:t xml:space="preserve"> posits, the judge irreparably skewed the analysis. </w:t>
      </w:r>
    </w:p>
    <w:p w14:paraId="50852D0B"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These arguments are unfounded. </w:t>
      </w:r>
    </w:p>
    <w:p w14:paraId="50852D0C" w14:textId="5941BAEE"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judge correctly set out the applicable test, stating that </w:t>
      </w:r>
      <w:r w:rsidR="0078033F" w:rsidRPr="0078033F">
        <w:rPr>
          <w:smallCaps/>
          <w:kern w:val="28"/>
          <w:lang w:val="en-CA"/>
        </w:rPr>
        <w:t>[translation] </w:t>
      </w:r>
      <w:r w:rsidR="00282C6C">
        <w:rPr>
          <w:kern w:val="28"/>
          <w:lang w:val="en-CA"/>
        </w:rPr>
        <w:t>“</w:t>
      </w:r>
      <w:r w:rsidRPr="00B120AE">
        <w:rPr>
          <w:kern w:val="28"/>
          <w:lang w:val="en-CA"/>
        </w:rPr>
        <w:t>it is necessary to weigh the disadvantages associated with the act of smoking in a play — namely, on the one hand, the adverse effects of smoke on the health of spectators who choose to attend, which effects are real, as well as the risk that they may be encouraged to smoke — against, on the other hand, the infringement of the right to freedom of artistic expression</w:t>
      </w:r>
      <w:r w:rsidR="00282C6C">
        <w:rPr>
          <w:kern w:val="28"/>
          <w:lang w:val="en-CA"/>
        </w:rPr>
        <w:t>”</w:t>
      </w:r>
      <w:r w:rsidRPr="00B120AE">
        <w:rPr>
          <w:kern w:val="28"/>
          <w:lang w:val="en-CA"/>
        </w:rPr>
        <w:t>.</w:t>
      </w:r>
      <w:r w:rsidRPr="00B120AE">
        <w:rPr>
          <w:kern w:val="28"/>
          <w:vertAlign w:val="superscript"/>
          <w:lang w:val="en-CA"/>
        </w:rPr>
        <w:footnoteReference w:id="134"/>
      </w:r>
      <w:r w:rsidRPr="00B120AE">
        <w:rPr>
          <w:kern w:val="28"/>
          <w:lang w:val="en-CA"/>
        </w:rPr>
        <w:t xml:space="preserve"> Indeed, as the Supreme Court pointed out in </w:t>
      </w:r>
      <w:r w:rsidRPr="00B120AE">
        <w:rPr>
          <w:i/>
          <w:iCs/>
          <w:kern w:val="28"/>
          <w:lang w:val="en-CA"/>
        </w:rPr>
        <w:t>Carter</w:t>
      </w:r>
      <w:r w:rsidRPr="00B120AE">
        <w:rPr>
          <w:kern w:val="28"/>
          <w:lang w:val="en-CA"/>
        </w:rPr>
        <w:t xml:space="preserve">, this branch of the analysis involves </w:t>
      </w:r>
      <w:r w:rsidR="00282C6C">
        <w:rPr>
          <w:kern w:val="28"/>
          <w:lang w:val="en-CA"/>
        </w:rPr>
        <w:t>“</w:t>
      </w:r>
      <w:r w:rsidRPr="00B120AE">
        <w:rPr>
          <w:kern w:val="28"/>
          <w:lang w:val="en-CA"/>
        </w:rPr>
        <w:t>weigh[</w:t>
      </w:r>
      <w:proofErr w:type="spellStart"/>
      <w:r w:rsidRPr="00B120AE">
        <w:rPr>
          <w:kern w:val="28"/>
          <w:lang w:val="en-CA"/>
        </w:rPr>
        <w:t>ing</w:t>
      </w:r>
      <w:proofErr w:type="spellEnd"/>
      <w:r w:rsidRPr="00B120AE">
        <w:rPr>
          <w:kern w:val="28"/>
          <w:lang w:val="en-CA"/>
        </w:rPr>
        <w:t>] the impact of the law on protected rights against the beneficial effect of the law in terms of the greater public good</w:t>
      </w:r>
      <w:r w:rsidR="00282C6C">
        <w:rPr>
          <w:kern w:val="28"/>
          <w:lang w:val="en-CA"/>
        </w:rPr>
        <w:t>”</w:t>
      </w:r>
      <w:r w:rsidRPr="00B120AE">
        <w:rPr>
          <w:kern w:val="28"/>
          <w:lang w:val="en-CA"/>
        </w:rPr>
        <w:t>.</w:t>
      </w:r>
      <w:r w:rsidRPr="00B120AE">
        <w:rPr>
          <w:kern w:val="28"/>
          <w:vertAlign w:val="superscript"/>
          <w:lang w:val="en-CA"/>
        </w:rPr>
        <w:footnoteReference w:id="135"/>
      </w:r>
      <w:r w:rsidRPr="00B120AE">
        <w:rPr>
          <w:kern w:val="28"/>
          <w:lang w:val="en-CA"/>
        </w:rPr>
        <w:t xml:space="preserve"> In </w:t>
      </w:r>
      <w:r w:rsidRPr="00B120AE">
        <w:rPr>
          <w:i/>
          <w:iCs/>
          <w:kern w:val="28"/>
          <w:lang w:val="en-CA"/>
        </w:rPr>
        <w:t>Taylor</w:t>
      </w:r>
      <w:r w:rsidRPr="00B120AE">
        <w:rPr>
          <w:kern w:val="28"/>
          <w:lang w:val="en-CA"/>
        </w:rPr>
        <w:t xml:space="preserve">, the majority of the Supreme Court reiterated, with regard to this prong of the test, that </w:t>
      </w:r>
      <w:r w:rsidR="00282C6C">
        <w:rPr>
          <w:kern w:val="28"/>
          <w:lang w:val="en-CA"/>
        </w:rPr>
        <w:t>“</w:t>
      </w:r>
      <w:r w:rsidRPr="00B120AE">
        <w:rPr>
          <w:kern w:val="28"/>
          <w:lang w:val="en-CA"/>
        </w:rPr>
        <w:t>[t]he more severe or deleterious the harms of a measure, the more beneficial its salutary effects must be</w:t>
      </w:r>
      <w:r w:rsidR="00282C6C">
        <w:rPr>
          <w:kern w:val="28"/>
          <w:lang w:val="en-CA"/>
        </w:rPr>
        <w:t>”</w:t>
      </w:r>
      <w:r w:rsidRPr="00B120AE">
        <w:rPr>
          <w:kern w:val="28"/>
          <w:lang w:val="en-CA"/>
        </w:rPr>
        <w:t>.</w:t>
      </w:r>
      <w:r w:rsidRPr="00B120AE">
        <w:rPr>
          <w:kern w:val="28"/>
          <w:vertAlign w:val="superscript"/>
          <w:lang w:val="en-CA"/>
        </w:rPr>
        <w:footnoteReference w:id="136"/>
      </w:r>
    </w:p>
    <w:p w14:paraId="50852D0D" w14:textId="50B351C8" w:rsidR="00E524EA" w:rsidRPr="00D46EBA"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negative effects of the ban on freedom of expression are significant and tangible, since the restriction can result in a play not being produced or certain aspects </w:t>
      </w:r>
      <w:r w:rsidRPr="00B120AE">
        <w:rPr>
          <w:kern w:val="28"/>
          <w:lang w:val="en-CA"/>
        </w:rPr>
        <w:lastRenderedPageBreak/>
        <w:t>of a work being censored.</w:t>
      </w:r>
      <w:r w:rsidRPr="00B120AE">
        <w:rPr>
          <w:kern w:val="28"/>
          <w:vertAlign w:val="superscript"/>
          <w:lang w:val="en-CA"/>
        </w:rPr>
        <w:footnoteReference w:id="137"/>
      </w:r>
      <w:r w:rsidRPr="00B120AE">
        <w:rPr>
          <w:kern w:val="28"/>
          <w:lang w:val="en-CA"/>
        </w:rPr>
        <w:t xml:space="preserve"> This is a serious negative effect not only on creators, but also on the </w:t>
      </w:r>
      <w:proofErr w:type="gramStart"/>
      <w:r w:rsidRPr="00B120AE">
        <w:rPr>
          <w:kern w:val="28"/>
          <w:lang w:val="en-CA"/>
        </w:rPr>
        <w:t>general public</w:t>
      </w:r>
      <w:proofErr w:type="gramEnd"/>
      <w:r w:rsidRPr="00B120AE">
        <w:rPr>
          <w:kern w:val="28"/>
          <w:lang w:val="en-CA"/>
        </w:rPr>
        <w:t xml:space="preserve"> that attends theatrical performances. With respect to the salutary effects, the AGQ bases </w:t>
      </w:r>
      <w:r w:rsidR="00EF6635">
        <w:rPr>
          <w:kern w:val="28"/>
          <w:lang w:val="en-CA"/>
        </w:rPr>
        <w:t xml:space="preserve">his </w:t>
      </w:r>
      <w:r w:rsidRPr="00B120AE">
        <w:rPr>
          <w:kern w:val="28"/>
          <w:lang w:val="en-CA"/>
        </w:rPr>
        <w:t>argument primarily on the evidence that there is no safe level of exposure to second</w:t>
      </w:r>
      <w:r w:rsidR="00720901">
        <w:rPr>
          <w:kern w:val="28"/>
          <w:lang w:val="en-CA"/>
        </w:rPr>
        <w:noBreakHyphen/>
      </w:r>
      <w:r w:rsidRPr="00B120AE">
        <w:rPr>
          <w:kern w:val="28"/>
          <w:lang w:val="en-CA"/>
        </w:rPr>
        <w:t>hand smoke in enclosed spaces. However, smoking during theatrical performances generally results in marginal exposure to second</w:t>
      </w:r>
      <w:r w:rsidR="00720901">
        <w:rPr>
          <w:kern w:val="28"/>
          <w:lang w:val="en-CA"/>
        </w:rPr>
        <w:noBreakHyphen/>
      </w:r>
      <w:r w:rsidRPr="00B120AE">
        <w:rPr>
          <w:kern w:val="28"/>
          <w:lang w:val="en-CA"/>
        </w:rPr>
        <w:t xml:space="preserve">hand smoke, whose main consequences are chiefly discomfort. </w:t>
      </w:r>
      <w:proofErr w:type="gramStart"/>
      <w:r w:rsidRPr="00B120AE">
        <w:rPr>
          <w:kern w:val="28"/>
          <w:lang w:val="en-CA"/>
        </w:rPr>
        <w:t>In light of</w:t>
      </w:r>
      <w:proofErr w:type="gramEnd"/>
      <w:r w:rsidRPr="00B120AE">
        <w:rPr>
          <w:kern w:val="28"/>
          <w:lang w:val="en-CA"/>
        </w:rPr>
        <w:t xml:space="preserve"> the evidence submitted, it appears that the beneficial effect of the ban is actually negligible.</w:t>
      </w:r>
      <w:r w:rsidRPr="00B120AE">
        <w:rPr>
          <w:kern w:val="28"/>
          <w:vertAlign w:val="superscript"/>
          <w:lang w:val="en-CA"/>
        </w:rPr>
        <w:footnoteReference w:id="138"/>
      </w:r>
      <w:r w:rsidRPr="00B120AE">
        <w:rPr>
          <w:kern w:val="28"/>
          <w:lang w:val="en-CA"/>
        </w:rPr>
        <w:t xml:space="preserve"> I agree with the judge on t</w:t>
      </w:r>
      <w:r w:rsidRPr="00D46EBA">
        <w:rPr>
          <w:kern w:val="28"/>
          <w:lang w:val="en-CA"/>
        </w:rPr>
        <w:t>his point:</w:t>
      </w:r>
      <w:r w:rsidR="00287AE9" w:rsidRPr="00D46EBA">
        <w:rPr>
          <w:kern w:val="28"/>
          <w:lang w:val="en-CA"/>
        </w:rPr>
        <w:t xml:space="preserve"> </w:t>
      </w:r>
    </w:p>
    <w:p w14:paraId="07C37D9E" w14:textId="77777777" w:rsidR="005B493D" w:rsidRPr="00D46EBA" w:rsidRDefault="001C0031" w:rsidP="00E524EA">
      <w:pPr>
        <w:tabs>
          <w:tab w:val="num" w:pos="993"/>
          <w:tab w:val="left" w:pos="1276"/>
        </w:tabs>
        <w:spacing w:before="120" w:after="120" w:line="240" w:lineRule="auto"/>
        <w:ind w:left="720" w:right="720"/>
        <w:jc w:val="both"/>
        <w:rPr>
          <w:kern w:val="24"/>
          <w:sz w:val="22"/>
          <w:lang w:val="en-CA"/>
        </w:rPr>
      </w:pPr>
      <w:r w:rsidRPr="00D46EBA">
        <w:rPr>
          <w:kern w:val="24"/>
          <w:sz w:val="22"/>
          <w:lang w:val="en-CA"/>
        </w:rPr>
        <w:t>[</w:t>
      </w:r>
      <w:r w:rsidR="004D6ECE" w:rsidRPr="00D46EBA">
        <w:rPr>
          <w:smallCaps/>
          <w:kern w:val="24"/>
          <w:sz w:val="22"/>
          <w:lang w:val="en-CA"/>
        </w:rPr>
        <w:t>translation</w:t>
      </w:r>
      <w:r w:rsidRPr="00D46EBA">
        <w:rPr>
          <w:kern w:val="24"/>
          <w:sz w:val="22"/>
          <w:lang w:val="en-CA"/>
        </w:rPr>
        <w:t>]</w:t>
      </w:r>
    </w:p>
    <w:p w14:paraId="50852D0E" w14:textId="77710D8B" w:rsidR="00E524EA" w:rsidRPr="00D46EBA" w:rsidRDefault="001C0031" w:rsidP="00E524EA">
      <w:pPr>
        <w:tabs>
          <w:tab w:val="num" w:pos="993"/>
          <w:tab w:val="left" w:pos="1276"/>
        </w:tabs>
        <w:spacing w:before="120" w:after="120" w:line="240" w:lineRule="auto"/>
        <w:ind w:left="720" w:right="720"/>
        <w:jc w:val="both"/>
        <w:rPr>
          <w:kern w:val="24"/>
          <w:sz w:val="22"/>
          <w:lang w:val="en-CA"/>
        </w:rPr>
      </w:pPr>
      <w:r w:rsidRPr="00D46EBA">
        <w:rPr>
          <w:kern w:val="24"/>
          <w:sz w:val="22"/>
          <w:lang w:val="en-CA"/>
        </w:rPr>
        <w:t>[71]</w:t>
      </w:r>
      <w:r w:rsidRPr="00D46EBA">
        <w:rPr>
          <w:kern w:val="24"/>
          <w:sz w:val="22"/>
          <w:lang w:val="en-CA"/>
        </w:rPr>
        <w:tab/>
        <w:t>In the Court</w:t>
      </w:r>
      <w:r w:rsidR="00282C6C" w:rsidRPr="00D46EBA">
        <w:rPr>
          <w:kern w:val="24"/>
          <w:sz w:val="22"/>
          <w:lang w:val="en-CA"/>
        </w:rPr>
        <w:t>’</w:t>
      </w:r>
      <w:r w:rsidRPr="00D46EBA">
        <w:rPr>
          <w:kern w:val="24"/>
          <w:sz w:val="22"/>
          <w:lang w:val="en-CA"/>
        </w:rPr>
        <w:t xml:space="preserve">s opinion, the balance of convenience clearly </w:t>
      </w:r>
      <w:r w:rsidR="0014729A" w:rsidRPr="00D46EBA">
        <w:rPr>
          <w:kern w:val="24"/>
          <w:sz w:val="22"/>
          <w:lang w:val="en-CA"/>
        </w:rPr>
        <w:t xml:space="preserve">tips in </w:t>
      </w:r>
      <w:r w:rsidRPr="00D46EBA">
        <w:rPr>
          <w:kern w:val="24"/>
          <w:sz w:val="22"/>
          <w:lang w:val="en-CA"/>
        </w:rPr>
        <w:t>favour</w:t>
      </w:r>
      <w:r w:rsidR="0014729A" w:rsidRPr="00D46EBA">
        <w:rPr>
          <w:kern w:val="24"/>
          <w:sz w:val="22"/>
          <w:lang w:val="en-CA"/>
        </w:rPr>
        <w:t xml:space="preserve"> of</w:t>
      </w:r>
      <w:r w:rsidRPr="00D46EBA">
        <w:rPr>
          <w:kern w:val="24"/>
          <w:sz w:val="22"/>
          <w:lang w:val="en-CA"/>
        </w:rPr>
        <w:t xml:space="preserve"> the right to freedom of artistic expression. Although public health is an important issue in our society and justifies a ban on smoking in public places, this measure must include exceptions in cases where the act of smoking is carried out by actors in the context of a play. The consequences of such a ban on a mode of artistic expression represent a serious infringement. This is </w:t>
      </w:r>
      <w:proofErr w:type="gramStart"/>
      <w:r w:rsidRPr="00D46EBA">
        <w:rPr>
          <w:kern w:val="24"/>
          <w:sz w:val="22"/>
          <w:lang w:val="en-CA"/>
        </w:rPr>
        <w:t>all the more</w:t>
      </w:r>
      <w:proofErr w:type="gramEnd"/>
      <w:r w:rsidRPr="00D46EBA">
        <w:rPr>
          <w:kern w:val="24"/>
          <w:sz w:val="22"/>
          <w:lang w:val="en-CA"/>
        </w:rPr>
        <w:t xml:space="preserve"> so in a tolerant society such as ours, where theatre, as a performing art, is one of the most important means of individual self</w:t>
      </w:r>
      <w:r w:rsidR="00720901" w:rsidRPr="00D46EBA">
        <w:rPr>
          <w:kern w:val="24"/>
          <w:sz w:val="22"/>
          <w:lang w:val="en-CA"/>
        </w:rPr>
        <w:noBreakHyphen/>
      </w:r>
      <w:r w:rsidRPr="00D46EBA">
        <w:rPr>
          <w:kern w:val="24"/>
          <w:sz w:val="22"/>
          <w:lang w:val="en-CA"/>
        </w:rPr>
        <w:t>fulfillment and human flourishing.</w:t>
      </w:r>
    </w:p>
    <w:p w14:paraId="50852D0F" w14:textId="227BF2BB" w:rsidR="00E524EA" w:rsidRPr="00D46EBA" w:rsidRDefault="001C0031" w:rsidP="00E524EA">
      <w:pPr>
        <w:tabs>
          <w:tab w:val="num" w:pos="993"/>
          <w:tab w:val="left" w:pos="1276"/>
        </w:tabs>
        <w:spacing w:before="120" w:after="120" w:line="240" w:lineRule="auto"/>
        <w:ind w:left="720" w:right="720"/>
        <w:jc w:val="both"/>
        <w:rPr>
          <w:kern w:val="24"/>
          <w:sz w:val="22"/>
          <w:lang w:val="en-CA"/>
        </w:rPr>
      </w:pPr>
      <w:r w:rsidRPr="00D46EBA">
        <w:rPr>
          <w:kern w:val="24"/>
          <w:sz w:val="22"/>
          <w:lang w:val="en-CA"/>
        </w:rPr>
        <w:t>[</w:t>
      </w:r>
      <w:bookmarkStart w:id="46" w:name="par72"/>
      <w:r w:rsidRPr="00D46EBA">
        <w:rPr>
          <w:kern w:val="24"/>
          <w:sz w:val="22"/>
          <w:lang w:val="en-CA"/>
        </w:rPr>
        <w:t>72</w:t>
      </w:r>
      <w:bookmarkEnd w:id="46"/>
      <w:r w:rsidRPr="00D46EBA">
        <w:rPr>
          <w:kern w:val="24"/>
          <w:sz w:val="22"/>
          <w:lang w:val="en-CA"/>
        </w:rPr>
        <w:t>]</w:t>
      </w:r>
      <w:r w:rsidRPr="00D46EBA">
        <w:rPr>
          <w:kern w:val="24"/>
          <w:sz w:val="22"/>
          <w:lang w:val="en-CA"/>
        </w:rPr>
        <w:tab/>
        <w:t xml:space="preserve">As a means of expression, theatre goes to the heart of the values underlying freedom of expression, in particular that of promoting diversity in </w:t>
      </w:r>
      <w:bookmarkStart w:id="47" w:name="_Hlk154740679"/>
      <w:r w:rsidRPr="00D46EBA">
        <w:rPr>
          <w:kern w:val="24"/>
          <w:sz w:val="22"/>
          <w:lang w:val="en-CA"/>
        </w:rPr>
        <w:t>forms of individual self</w:t>
      </w:r>
      <w:r w:rsidR="00720901" w:rsidRPr="00D46EBA">
        <w:rPr>
          <w:kern w:val="24"/>
          <w:sz w:val="22"/>
          <w:lang w:val="en-CA"/>
        </w:rPr>
        <w:noBreakHyphen/>
      </w:r>
      <w:r w:rsidRPr="00D46EBA">
        <w:rPr>
          <w:kern w:val="24"/>
          <w:sz w:val="22"/>
          <w:lang w:val="en-CA"/>
        </w:rPr>
        <w:t xml:space="preserve">fulfillment and human flourishing </w:t>
      </w:r>
      <w:bookmarkEnd w:id="47"/>
      <w:r w:rsidRPr="00D46EBA">
        <w:rPr>
          <w:kern w:val="24"/>
          <w:sz w:val="22"/>
          <w:lang w:val="en-CA"/>
        </w:rPr>
        <w:t xml:space="preserve">in a tolerant environment, for the sake of those who convey a meaning and for the sake of those to whom it is conveyed — a </w:t>
      </w:r>
      <w:r w:rsidR="008843C9" w:rsidRPr="00D46EBA">
        <w:rPr>
          <w:kern w:val="24"/>
          <w:sz w:val="22"/>
          <w:lang w:val="en-CA"/>
        </w:rPr>
        <w:t xml:space="preserve">freedom </w:t>
      </w:r>
      <w:r w:rsidRPr="00D46EBA">
        <w:rPr>
          <w:kern w:val="24"/>
          <w:sz w:val="22"/>
          <w:lang w:val="en-CA"/>
        </w:rPr>
        <w:t>that must not be limited, but on the contrary encouraged. Infringements of the right to freedom of artistic expression in all these forms are a cause for concern, given the importance our society attaches to it. Impingements on this freedom, whether direct or indirect, cannot be treated lightly, even in the face of public health concerns.</w:t>
      </w:r>
      <w:r w:rsidRPr="00D46EBA">
        <w:rPr>
          <w:kern w:val="24"/>
          <w:sz w:val="22"/>
          <w:vertAlign w:val="superscript"/>
          <w:lang w:val="en-CA"/>
        </w:rPr>
        <w:footnoteReference w:id="139"/>
      </w:r>
    </w:p>
    <w:p w14:paraId="50852D10" w14:textId="39432265" w:rsidR="00E524EA" w:rsidRPr="00D46EBA" w:rsidRDefault="001C0031" w:rsidP="00E524EA">
      <w:pPr>
        <w:numPr>
          <w:ilvl w:val="0"/>
          <w:numId w:val="18"/>
        </w:numPr>
        <w:tabs>
          <w:tab w:val="clear" w:pos="720"/>
          <w:tab w:val="num" w:pos="993"/>
        </w:tabs>
        <w:spacing w:before="120" w:after="120" w:line="240" w:lineRule="auto"/>
        <w:jc w:val="both"/>
        <w:rPr>
          <w:kern w:val="28"/>
          <w:lang w:val="en-CA"/>
        </w:rPr>
      </w:pPr>
      <w:proofErr w:type="gramStart"/>
      <w:r w:rsidRPr="00D46EBA">
        <w:rPr>
          <w:kern w:val="28"/>
          <w:lang w:val="en-CA"/>
        </w:rPr>
        <w:t>In light of</w:t>
      </w:r>
      <w:proofErr w:type="gramEnd"/>
      <w:r w:rsidRPr="00D46EBA">
        <w:rPr>
          <w:kern w:val="28"/>
          <w:lang w:val="en-CA"/>
        </w:rPr>
        <w:t xml:space="preserve"> the evidence presented by the AGQ, I consider that the </w:t>
      </w:r>
      <w:r w:rsidRPr="00D46EBA">
        <w:rPr>
          <w:i/>
          <w:iCs/>
          <w:kern w:val="28"/>
          <w:lang w:val="en-CA"/>
        </w:rPr>
        <w:t>Charter</w:t>
      </w:r>
      <w:r w:rsidRPr="00D46EBA">
        <w:rPr>
          <w:kern w:val="28"/>
          <w:lang w:val="en-CA"/>
        </w:rPr>
        <w:t xml:space="preserve"> violation entails </w:t>
      </w:r>
      <w:r w:rsidR="00282C6C" w:rsidRPr="00D46EBA">
        <w:rPr>
          <w:kern w:val="28"/>
          <w:lang w:val="en-CA"/>
        </w:rPr>
        <w:t>“</w:t>
      </w:r>
      <w:r w:rsidRPr="00D46EBA">
        <w:rPr>
          <w:kern w:val="28"/>
          <w:lang w:val="en-CA"/>
        </w:rPr>
        <w:t>too high a price to pay</w:t>
      </w:r>
      <w:r w:rsidR="00282C6C" w:rsidRPr="00D46EBA">
        <w:rPr>
          <w:kern w:val="28"/>
          <w:lang w:val="en-CA"/>
        </w:rPr>
        <w:t>”</w:t>
      </w:r>
      <w:r w:rsidRPr="00D46EBA">
        <w:rPr>
          <w:kern w:val="28"/>
          <w:lang w:val="en-CA"/>
        </w:rPr>
        <w:t xml:space="preserve"> for the resulting salutary effects.</w:t>
      </w:r>
      <w:r w:rsidRPr="00D46EBA">
        <w:rPr>
          <w:kern w:val="28"/>
          <w:vertAlign w:val="superscript"/>
          <w:lang w:val="en-CA"/>
        </w:rPr>
        <w:footnoteReference w:id="140"/>
      </w:r>
      <w:r w:rsidRPr="00D46EBA">
        <w:rPr>
          <w:kern w:val="28"/>
          <w:lang w:val="en-CA"/>
        </w:rPr>
        <w:t xml:space="preserve"> </w:t>
      </w:r>
    </w:p>
    <w:p w14:paraId="50852D11" w14:textId="5FE5290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I would reiterate that the Theatres do not seek absolute and unconditional respect for freedom of artistic expression. They are calling for a framework establishing conditions that rebalance the disproportionate deleterious effects of a total ban on smoking on stage against the realistic attainment of the sought</w:t>
      </w:r>
      <w:r w:rsidR="00720901">
        <w:rPr>
          <w:kern w:val="28"/>
          <w:lang w:val="en-CA"/>
        </w:rPr>
        <w:noBreakHyphen/>
      </w:r>
      <w:r w:rsidRPr="00B120AE">
        <w:rPr>
          <w:kern w:val="28"/>
          <w:lang w:val="en-CA"/>
        </w:rPr>
        <w:t>after salutary effects on the health and well</w:t>
      </w:r>
      <w:r w:rsidR="00720901">
        <w:rPr>
          <w:kern w:val="28"/>
          <w:lang w:val="en-CA"/>
        </w:rPr>
        <w:noBreakHyphen/>
      </w:r>
      <w:r w:rsidRPr="00B120AE">
        <w:rPr>
          <w:kern w:val="28"/>
          <w:lang w:val="en-CA"/>
        </w:rPr>
        <w:t>being of non</w:t>
      </w:r>
      <w:r w:rsidR="00720901">
        <w:rPr>
          <w:kern w:val="28"/>
          <w:lang w:val="en-CA"/>
        </w:rPr>
        <w:noBreakHyphen/>
      </w:r>
      <w:r w:rsidRPr="00B120AE">
        <w:rPr>
          <w:kern w:val="28"/>
          <w:lang w:val="en-CA"/>
        </w:rPr>
        <w:t xml:space="preserve">smokers, by means of measures that control second‑hand smoke generated by theatrical characters and are tailored to the context and to reality. </w:t>
      </w:r>
    </w:p>
    <w:p w14:paraId="50852D12"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lastRenderedPageBreak/>
        <w:t xml:space="preserve">I therefore conclude that the infringement is unjustified, and I now turn to a consideration of the appropriate remedy. </w:t>
      </w:r>
    </w:p>
    <w:p w14:paraId="50852D13" w14:textId="77777777" w:rsidR="00E524EA" w:rsidRPr="00B120AE" w:rsidRDefault="001C0031" w:rsidP="00E524EA">
      <w:pPr>
        <w:keepNext/>
        <w:tabs>
          <w:tab w:val="num" w:pos="993"/>
        </w:tabs>
        <w:spacing w:before="120" w:after="120" w:line="240" w:lineRule="auto"/>
        <w:outlineLvl w:val="1"/>
        <w:rPr>
          <w:b/>
          <w:i/>
          <w:lang w:val="en-CA"/>
        </w:rPr>
      </w:pPr>
      <w:r w:rsidRPr="00B120AE">
        <w:rPr>
          <w:b/>
          <w:bCs/>
          <w:i/>
          <w:iCs/>
          <w:lang w:val="en-CA"/>
        </w:rPr>
        <w:t>III. Remedy</w:t>
      </w:r>
    </w:p>
    <w:p w14:paraId="50852D14" w14:textId="65242A26"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judge concluded that s</w:t>
      </w:r>
      <w:r w:rsidR="008742D0">
        <w:rPr>
          <w:kern w:val="28"/>
          <w:lang w:val="en-CA"/>
        </w:rPr>
        <w:t>s. 1</w:t>
      </w:r>
      <w:r w:rsidRPr="00B120AE">
        <w:rPr>
          <w:kern w:val="28"/>
          <w:lang w:val="en-CA"/>
        </w:rPr>
        <w:t>, 2 and 11 of the</w:t>
      </w:r>
      <w:r w:rsidR="007C3223" w:rsidRPr="007C3223">
        <w:rPr>
          <w:i/>
          <w:kern w:val="28"/>
          <w:lang w:val="en-CA"/>
        </w:rPr>
        <w:t> TCA</w:t>
      </w:r>
      <w:r w:rsidRPr="00B120AE">
        <w:rPr>
          <w:kern w:val="28"/>
          <w:lang w:val="en-CA"/>
        </w:rPr>
        <w:t xml:space="preserve"> as well as </w:t>
      </w:r>
      <w:r w:rsidR="008742D0">
        <w:rPr>
          <w:kern w:val="28"/>
          <w:lang w:val="en-CA"/>
        </w:rPr>
        <w:t>s. 1</w:t>
      </w:r>
      <w:r w:rsidRPr="00B120AE">
        <w:rPr>
          <w:kern w:val="28"/>
          <w:lang w:val="en-CA"/>
        </w:rPr>
        <w:t xml:space="preserve"> of the </w:t>
      </w:r>
      <w:r w:rsidRPr="00B120AE">
        <w:rPr>
          <w:i/>
          <w:iCs/>
          <w:kern w:val="28"/>
          <w:lang w:val="en-CA"/>
        </w:rPr>
        <w:t>Regulation</w:t>
      </w:r>
      <w:r w:rsidRPr="00B120AE">
        <w:rPr>
          <w:kern w:val="28"/>
          <w:lang w:val="en-CA"/>
        </w:rPr>
        <w:t xml:space="preserve"> </w:t>
      </w:r>
      <w:r w:rsidR="0078033F" w:rsidRPr="0078033F">
        <w:rPr>
          <w:smallCaps/>
          <w:kern w:val="28"/>
          <w:lang w:val="en-CA"/>
        </w:rPr>
        <w:t>[translation] </w:t>
      </w:r>
      <w:r w:rsidR="00282C6C">
        <w:rPr>
          <w:kern w:val="28"/>
          <w:lang w:val="en-CA"/>
        </w:rPr>
        <w:t>“</w:t>
      </w:r>
      <w:r w:rsidRPr="00B120AE">
        <w:rPr>
          <w:kern w:val="28"/>
          <w:lang w:val="en-CA"/>
        </w:rPr>
        <w:t>are a source of unjustified infringement of freedom of artistic expression</w:t>
      </w:r>
      <w:r w:rsidR="00282C6C">
        <w:rPr>
          <w:kern w:val="28"/>
          <w:lang w:val="en-CA"/>
        </w:rPr>
        <w:t>”</w:t>
      </w:r>
      <w:r w:rsidRPr="00B120AE">
        <w:rPr>
          <w:kern w:val="28"/>
          <w:lang w:val="en-CA"/>
        </w:rPr>
        <w:t>.</w:t>
      </w:r>
      <w:r w:rsidRPr="00B120AE">
        <w:rPr>
          <w:kern w:val="28"/>
          <w:vertAlign w:val="superscript"/>
          <w:lang w:val="en-CA"/>
        </w:rPr>
        <w:footnoteReference w:id="141"/>
      </w:r>
      <w:r w:rsidRPr="00B120AE">
        <w:rPr>
          <w:kern w:val="28"/>
          <w:lang w:val="en-CA"/>
        </w:rPr>
        <w:t xml:space="preserve"> He added that he was not required to invalidate these four provisions in their entirety and, using his remedial discretion, he severed the inconsistent parts of the legislation by excising </w:t>
      </w:r>
      <w:r w:rsidR="0078033F" w:rsidRPr="0078033F">
        <w:rPr>
          <w:smallCaps/>
          <w:kern w:val="28"/>
          <w:lang w:val="en-CA"/>
        </w:rPr>
        <w:t>[translation] </w:t>
      </w:r>
      <w:r w:rsidR="00282C6C">
        <w:rPr>
          <w:kern w:val="28"/>
          <w:lang w:val="en-CA"/>
        </w:rPr>
        <w:t>“</w:t>
      </w:r>
      <w:r w:rsidRPr="00B120AE">
        <w:rPr>
          <w:kern w:val="28"/>
          <w:lang w:val="en-CA"/>
        </w:rPr>
        <w:t xml:space="preserve">the words </w:t>
      </w:r>
      <w:r w:rsidR="00282C6C">
        <w:rPr>
          <w:kern w:val="28"/>
          <w:lang w:val="en-CA"/>
        </w:rPr>
        <w:t>‘</w:t>
      </w:r>
      <w:r w:rsidRPr="00B120AE">
        <w:rPr>
          <w:kern w:val="28"/>
          <w:lang w:val="en-CA"/>
        </w:rPr>
        <w:t>cultural or artistic</w:t>
      </w:r>
      <w:r w:rsidR="00282C6C">
        <w:rPr>
          <w:kern w:val="28"/>
          <w:lang w:val="en-CA"/>
        </w:rPr>
        <w:t>’</w:t>
      </w:r>
      <w:r w:rsidRPr="00B120AE">
        <w:rPr>
          <w:kern w:val="28"/>
          <w:lang w:val="en-CA"/>
        </w:rPr>
        <w:t xml:space="preserve"> from paragraph 5 of </w:t>
      </w:r>
      <w:r w:rsidR="008742D0">
        <w:rPr>
          <w:kern w:val="28"/>
          <w:lang w:val="en-CA"/>
        </w:rPr>
        <w:t>s. 2</w:t>
      </w:r>
      <w:r w:rsidRPr="00B120AE">
        <w:rPr>
          <w:kern w:val="28"/>
          <w:lang w:val="en-CA"/>
        </w:rPr>
        <w:t xml:space="preserve"> of the</w:t>
      </w:r>
      <w:r w:rsidR="007C3223" w:rsidRPr="007C3223">
        <w:rPr>
          <w:i/>
          <w:kern w:val="28"/>
          <w:lang w:val="en-CA"/>
        </w:rPr>
        <w:t> TCA</w:t>
      </w:r>
      <w:r w:rsidR="00B65B59" w:rsidRPr="00B31CAA">
        <w:rPr>
          <w:iCs/>
          <w:kern w:val="28"/>
          <w:lang w:val="en-CA"/>
        </w:rPr>
        <w:t>”</w:t>
      </w:r>
      <w:r w:rsidRPr="00B120AE">
        <w:rPr>
          <w:kern w:val="28"/>
          <w:vertAlign w:val="superscript"/>
          <w:lang w:val="en-CA"/>
        </w:rPr>
        <w:footnoteReference w:id="142"/>
      </w:r>
      <w:r w:rsidRPr="00B120AE">
        <w:rPr>
          <w:kern w:val="28"/>
          <w:lang w:val="en-CA"/>
        </w:rPr>
        <w:t xml:space="preserve"> and invalidating </w:t>
      </w:r>
      <w:r w:rsidR="008742D0">
        <w:rPr>
          <w:kern w:val="28"/>
          <w:lang w:val="en-CA"/>
        </w:rPr>
        <w:t>s. 1</w:t>
      </w:r>
      <w:r w:rsidRPr="00B120AE">
        <w:rPr>
          <w:kern w:val="28"/>
          <w:lang w:val="en-CA"/>
        </w:rPr>
        <w:t xml:space="preserve"> of the </w:t>
      </w:r>
      <w:r w:rsidRPr="00B120AE">
        <w:rPr>
          <w:i/>
          <w:iCs/>
          <w:kern w:val="28"/>
          <w:lang w:val="en-CA"/>
        </w:rPr>
        <w:t>Regulation</w:t>
      </w:r>
      <w:r w:rsidRPr="00B120AE">
        <w:rPr>
          <w:kern w:val="28"/>
          <w:lang w:val="en-CA"/>
        </w:rPr>
        <w:t xml:space="preserve">, because they do not set out an exception for artistic performances. However, he suspended this declaration of invalidity for a period of one year </w:t>
      </w:r>
      <w:proofErr w:type="gramStart"/>
      <w:r w:rsidRPr="00B120AE">
        <w:rPr>
          <w:kern w:val="28"/>
          <w:lang w:val="en-CA"/>
        </w:rPr>
        <w:t>in order to</w:t>
      </w:r>
      <w:proofErr w:type="gramEnd"/>
      <w:r w:rsidRPr="00B120AE">
        <w:rPr>
          <w:kern w:val="28"/>
          <w:lang w:val="en-CA"/>
        </w:rPr>
        <w:t xml:space="preserve"> give the legislature a reasonable time to make amendments that provide for </w:t>
      </w:r>
      <w:r w:rsidR="0078033F" w:rsidRPr="0078033F">
        <w:rPr>
          <w:smallCaps/>
          <w:kern w:val="28"/>
          <w:lang w:val="en-CA"/>
        </w:rPr>
        <w:t>[translation] </w:t>
      </w:r>
      <w:r w:rsidR="00282C6C">
        <w:rPr>
          <w:kern w:val="28"/>
          <w:lang w:val="en-CA"/>
        </w:rPr>
        <w:t>“</w:t>
      </w:r>
      <w:r w:rsidRPr="00B120AE">
        <w:rPr>
          <w:kern w:val="28"/>
          <w:lang w:val="en-CA"/>
        </w:rPr>
        <w:t>exceptions, limits or other conditions applicable to the arts</w:t>
      </w:r>
      <w:r w:rsidR="00282C6C">
        <w:rPr>
          <w:kern w:val="28"/>
          <w:lang w:val="en-CA"/>
        </w:rPr>
        <w:t>”</w:t>
      </w:r>
      <w:r w:rsidRPr="00B120AE">
        <w:rPr>
          <w:kern w:val="28"/>
          <w:lang w:val="en-CA"/>
        </w:rPr>
        <w:t>.</w:t>
      </w:r>
      <w:r w:rsidRPr="00B120AE">
        <w:rPr>
          <w:kern w:val="28"/>
          <w:vertAlign w:val="superscript"/>
          <w:lang w:val="en-CA"/>
        </w:rPr>
        <w:footnoteReference w:id="143"/>
      </w:r>
      <w:r w:rsidRPr="00B120AE">
        <w:rPr>
          <w:kern w:val="28"/>
          <w:lang w:val="en-CA"/>
        </w:rPr>
        <w:t xml:space="preserve"> Finally, as a remedy, he granted the Theatres an exemption by acquitting them of the offences.</w:t>
      </w:r>
      <w:r w:rsidRPr="00B120AE">
        <w:rPr>
          <w:kern w:val="28"/>
          <w:vertAlign w:val="superscript"/>
          <w:lang w:val="en-CA"/>
        </w:rPr>
        <w:footnoteReference w:id="144"/>
      </w:r>
      <w:r w:rsidRPr="00B120AE">
        <w:rPr>
          <w:kern w:val="28"/>
          <w:lang w:val="en-CA"/>
        </w:rPr>
        <w:t xml:space="preserve"> </w:t>
      </w:r>
    </w:p>
    <w:p w14:paraId="50852D15" w14:textId="283C8903"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The AGQ challenges these conclusions. First, he argues that s</w:t>
      </w:r>
      <w:r w:rsidR="008742D0">
        <w:rPr>
          <w:kern w:val="28"/>
          <w:lang w:val="en-CA"/>
        </w:rPr>
        <w:t>s. 1</w:t>
      </w:r>
      <w:r w:rsidRPr="00B120AE">
        <w:rPr>
          <w:kern w:val="28"/>
          <w:lang w:val="en-CA"/>
        </w:rPr>
        <w:t xml:space="preserve"> and 11 of the</w:t>
      </w:r>
      <w:r w:rsidR="007C3223" w:rsidRPr="007C3223">
        <w:rPr>
          <w:i/>
          <w:kern w:val="28"/>
          <w:lang w:val="en-CA"/>
        </w:rPr>
        <w:t> TCA</w:t>
      </w:r>
      <w:r w:rsidRPr="00B120AE">
        <w:rPr>
          <w:kern w:val="28"/>
          <w:lang w:val="en-CA"/>
        </w:rPr>
        <w:t xml:space="preserve"> and </w:t>
      </w:r>
      <w:r w:rsidR="008742D0">
        <w:rPr>
          <w:kern w:val="28"/>
          <w:lang w:val="en-CA"/>
        </w:rPr>
        <w:t>s. 1</w:t>
      </w:r>
      <w:r w:rsidRPr="00B120AE">
        <w:rPr>
          <w:kern w:val="28"/>
          <w:lang w:val="en-CA"/>
        </w:rPr>
        <w:t xml:space="preserve"> of the </w:t>
      </w:r>
      <w:r w:rsidRPr="00B120AE">
        <w:rPr>
          <w:i/>
          <w:iCs/>
          <w:kern w:val="28"/>
          <w:lang w:val="en-CA"/>
        </w:rPr>
        <w:t>Regulation</w:t>
      </w:r>
      <w:r w:rsidRPr="00B120AE">
        <w:rPr>
          <w:kern w:val="28"/>
          <w:lang w:val="en-CA"/>
        </w:rPr>
        <w:t xml:space="preserve"> are not inconsistent with freedom of expression.</w:t>
      </w:r>
      <w:r w:rsidRPr="00B120AE">
        <w:rPr>
          <w:kern w:val="28"/>
          <w:vertAlign w:val="superscript"/>
          <w:lang w:val="en-CA"/>
        </w:rPr>
        <w:footnoteReference w:id="145"/>
      </w:r>
      <w:r w:rsidRPr="00B120AE">
        <w:rPr>
          <w:kern w:val="28"/>
          <w:lang w:val="en-CA"/>
        </w:rPr>
        <w:t xml:space="preserve"> He is correct. These provisions allow for the issuance of statements of offence to operators of a place or business covered by the legislation, because they define what constitutes tobacco, including products </w:t>
      </w:r>
      <w:r w:rsidR="00A9469A">
        <w:rPr>
          <w:kern w:val="28"/>
          <w:lang w:val="en-CA"/>
        </w:rPr>
        <w:t>considered to be tobacco</w:t>
      </w:r>
      <w:r w:rsidRPr="00B120AE">
        <w:rPr>
          <w:kern w:val="28"/>
          <w:lang w:val="en-CA"/>
        </w:rPr>
        <w:t xml:space="preserve">, as well as the obligations of operators of such a place, including operators of halls in which activities of a cultural or artistic nature are presented. These provisions are not the inconsistent ones, and the judge erred in declaring </w:t>
      </w:r>
      <w:r w:rsidR="008742D0">
        <w:rPr>
          <w:kern w:val="28"/>
          <w:lang w:val="en-CA"/>
        </w:rPr>
        <w:t>s. 1</w:t>
      </w:r>
      <w:r w:rsidRPr="00B120AE">
        <w:rPr>
          <w:kern w:val="28"/>
          <w:lang w:val="en-CA"/>
        </w:rPr>
        <w:t xml:space="preserve"> of the </w:t>
      </w:r>
      <w:r w:rsidRPr="00B120AE">
        <w:rPr>
          <w:i/>
          <w:iCs/>
          <w:kern w:val="28"/>
          <w:lang w:val="en-CA"/>
        </w:rPr>
        <w:t>Regulation</w:t>
      </w:r>
      <w:r w:rsidRPr="00B120AE">
        <w:rPr>
          <w:kern w:val="28"/>
          <w:lang w:val="en-CA"/>
        </w:rPr>
        <w:t xml:space="preserve"> invalid. Although the judge mentioned in his reasons that s</w:t>
      </w:r>
      <w:r w:rsidR="008742D0">
        <w:rPr>
          <w:kern w:val="28"/>
          <w:lang w:val="en-CA"/>
        </w:rPr>
        <w:t>s. 1</w:t>
      </w:r>
      <w:r w:rsidRPr="00B120AE">
        <w:rPr>
          <w:kern w:val="28"/>
          <w:lang w:val="en-CA"/>
        </w:rPr>
        <w:t xml:space="preserve"> and 11</w:t>
      </w:r>
      <w:r w:rsidR="007C3223" w:rsidRPr="007C3223">
        <w:rPr>
          <w:i/>
          <w:kern w:val="28"/>
          <w:lang w:val="en-CA"/>
        </w:rPr>
        <w:t> TCA</w:t>
      </w:r>
      <w:r w:rsidRPr="00B120AE">
        <w:rPr>
          <w:kern w:val="28"/>
          <w:lang w:val="en-CA"/>
        </w:rPr>
        <w:t xml:space="preserve"> </w:t>
      </w:r>
      <w:r w:rsidR="0078033F" w:rsidRPr="0078033F">
        <w:rPr>
          <w:smallCaps/>
          <w:kern w:val="28"/>
          <w:lang w:val="en-CA"/>
        </w:rPr>
        <w:t>[translation] </w:t>
      </w:r>
      <w:r w:rsidR="00282C6C">
        <w:rPr>
          <w:kern w:val="28"/>
          <w:lang w:val="en-CA"/>
        </w:rPr>
        <w:t>“</w:t>
      </w:r>
      <w:r w:rsidRPr="00B120AE">
        <w:rPr>
          <w:kern w:val="28"/>
          <w:lang w:val="en-CA"/>
        </w:rPr>
        <w:t>are a source of [...] infringement</w:t>
      </w:r>
      <w:r w:rsidR="00282C6C">
        <w:rPr>
          <w:kern w:val="28"/>
          <w:lang w:val="en-CA"/>
        </w:rPr>
        <w:t>”</w:t>
      </w:r>
      <w:r w:rsidRPr="00B120AE">
        <w:rPr>
          <w:kern w:val="28"/>
          <w:lang w:val="en-CA"/>
        </w:rPr>
        <w:t xml:space="preserve">, his judgement contains no conclusions with respect to these two sections. There is therefore no need to intervene in this regard. </w:t>
      </w:r>
    </w:p>
    <w:p w14:paraId="50852D16" w14:textId="7CA01E69"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As for </w:t>
      </w:r>
      <w:r w:rsidR="008742D0">
        <w:rPr>
          <w:kern w:val="28"/>
          <w:lang w:val="en-CA"/>
        </w:rPr>
        <w:t>s. 2</w:t>
      </w:r>
      <w:r w:rsidR="007C3223" w:rsidRPr="007C3223">
        <w:rPr>
          <w:i/>
          <w:kern w:val="28"/>
          <w:lang w:val="en-CA"/>
        </w:rPr>
        <w:t> TCA</w:t>
      </w:r>
      <w:r w:rsidRPr="00B120AE">
        <w:rPr>
          <w:kern w:val="28"/>
          <w:lang w:val="en-CA"/>
        </w:rPr>
        <w:t xml:space="preserve">, the AGQ argues that the relief granted is broader in scope than required to remedy the constitutional infringement found to exist. In his view, the effect of the severance coupled with the suspension ordered by the judge is that, once the suspension expires, anyone will be permitted to smoke in spaces where activities of a cultural or artistic nature are presented, without any applicable parameters. Instead, </w:t>
      </w:r>
      <w:r w:rsidR="00311435">
        <w:rPr>
          <w:kern w:val="28"/>
          <w:lang w:val="en-CA"/>
        </w:rPr>
        <w:t xml:space="preserve">the AGQ </w:t>
      </w:r>
      <w:r w:rsidR="000E6420">
        <w:rPr>
          <w:kern w:val="28"/>
          <w:lang w:val="en-CA"/>
        </w:rPr>
        <w:t>posits</w:t>
      </w:r>
      <w:r w:rsidR="00311435">
        <w:rPr>
          <w:kern w:val="28"/>
          <w:lang w:val="en-CA"/>
        </w:rPr>
        <w:t xml:space="preserve">, </w:t>
      </w:r>
      <w:r w:rsidRPr="00B120AE">
        <w:rPr>
          <w:kern w:val="28"/>
          <w:lang w:val="en-CA"/>
        </w:rPr>
        <w:t xml:space="preserve">the judge should have limited the remedy by declaring that the ban does not </w:t>
      </w:r>
      <w:r w:rsidRPr="00B120AE">
        <w:rPr>
          <w:kern w:val="28"/>
          <w:lang w:val="en-CA"/>
        </w:rPr>
        <w:lastRenderedPageBreak/>
        <w:t xml:space="preserve">cover </w:t>
      </w:r>
      <w:r w:rsidR="0078033F" w:rsidRPr="0078033F">
        <w:rPr>
          <w:smallCaps/>
          <w:kern w:val="28"/>
          <w:lang w:val="en-CA"/>
        </w:rPr>
        <w:t>[translation] </w:t>
      </w:r>
      <w:r w:rsidR="00282C6C">
        <w:rPr>
          <w:kern w:val="28"/>
          <w:lang w:val="en-CA"/>
        </w:rPr>
        <w:t>“</w:t>
      </w:r>
      <w:r w:rsidRPr="00B120AE">
        <w:rPr>
          <w:b/>
          <w:bCs/>
          <w:kern w:val="28"/>
          <w:lang w:val="en-CA"/>
        </w:rPr>
        <w:t>actors</w:t>
      </w:r>
      <w:r w:rsidRPr="00B120AE">
        <w:rPr>
          <w:kern w:val="28"/>
          <w:lang w:val="en-CA"/>
        </w:rPr>
        <w:t xml:space="preserve"> within the scope of a </w:t>
      </w:r>
      <w:r w:rsidRPr="00B120AE">
        <w:rPr>
          <w:b/>
          <w:bCs/>
          <w:kern w:val="28"/>
          <w:lang w:val="en-CA"/>
        </w:rPr>
        <w:t>theatrical performance</w:t>
      </w:r>
      <w:r w:rsidR="00282C6C" w:rsidRPr="00F95FD6">
        <w:rPr>
          <w:kern w:val="28"/>
          <w:lang w:val="en-CA"/>
        </w:rPr>
        <w:t>”</w:t>
      </w:r>
      <w:r w:rsidR="00F95FD6" w:rsidRPr="00F95FD6">
        <w:rPr>
          <w:kern w:val="28"/>
          <w:lang w:val="en-CA"/>
        </w:rPr>
        <w:t>.</w:t>
      </w:r>
      <w:r w:rsidRPr="00B120AE">
        <w:rPr>
          <w:kern w:val="28"/>
          <w:vertAlign w:val="superscript"/>
          <w:lang w:val="en-CA"/>
        </w:rPr>
        <w:footnoteReference w:id="146"/>
      </w:r>
      <w:r w:rsidRPr="00B120AE">
        <w:rPr>
          <w:kern w:val="28"/>
          <w:lang w:val="en-CA"/>
        </w:rPr>
        <w:t xml:space="preserve"> He further submits that his proposed remedy would not conflict with </w:t>
      </w:r>
      <w:r w:rsidR="008742D0">
        <w:rPr>
          <w:kern w:val="28"/>
          <w:lang w:val="en-CA"/>
        </w:rPr>
        <w:t>s. 2</w:t>
      </w:r>
      <w:r w:rsidRPr="00B120AE">
        <w:rPr>
          <w:kern w:val="28"/>
          <w:lang w:val="en-CA"/>
        </w:rPr>
        <w:t xml:space="preserve"> par</w:t>
      </w:r>
      <w:r w:rsidR="008742D0">
        <w:rPr>
          <w:kern w:val="28"/>
          <w:lang w:val="en-CA"/>
        </w:rPr>
        <w:t>a. 1</w:t>
      </w:r>
      <w:r w:rsidRPr="00B120AE">
        <w:rPr>
          <w:kern w:val="28"/>
          <w:lang w:val="en-CA"/>
        </w:rPr>
        <w:t>(12)</w:t>
      </w:r>
      <w:r w:rsidR="007C3223" w:rsidRPr="007C3223">
        <w:rPr>
          <w:i/>
          <w:kern w:val="28"/>
          <w:lang w:val="en-CA"/>
        </w:rPr>
        <w:t> TCA</w:t>
      </w:r>
      <w:r w:rsidRPr="00B120AE">
        <w:rPr>
          <w:kern w:val="28"/>
          <w:lang w:val="en-CA"/>
        </w:rPr>
        <w:t xml:space="preserve">, which prohibits smoking in </w:t>
      </w:r>
      <w:r w:rsidR="00282C6C">
        <w:rPr>
          <w:kern w:val="28"/>
          <w:lang w:val="en-CA"/>
        </w:rPr>
        <w:t>“</w:t>
      </w:r>
      <w:r w:rsidRPr="00B120AE">
        <w:rPr>
          <w:kern w:val="28"/>
          <w:lang w:val="en-CA"/>
        </w:rPr>
        <w:t>all other enclosed spaces to which the public has admittance</w:t>
      </w:r>
      <w:r w:rsidR="00282C6C">
        <w:rPr>
          <w:kern w:val="28"/>
          <w:lang w:val="en-CA"/>
        </w:rPr>
        <w:t>”</w:t>
      </w:r>
      <w:r w:rsidRPr="00B120AE">
        <w:rPr>
          <w:kern w:val="28"/>
          <w:lang w:val="en-CA"/>
        </w:rPr>
        <w:t>, unlike the judge</w:t>
      </w:r>
      <w:r w:rsidR="00282C6C">
        <w:rPr>
          <w:kern w:val="28"/>
          <w:lang w:val="en-CA"/>
        </w:rPr>
        <w:t>’</w:t>
      </w:r>
      <w:r w:rsidRPr="00B120AE">
        <w:rPr>
          <w:kern w:val="28"/>
          <w:lang w:val="en-CA"/>
        </w:rPr>
        <w:t xml:space="preserve">s order, which, </w:t>
      </w:r>
      <w:proofErr w:type="gramStart"/>
      <w:r w:rsidRPr="00B120AE">
        <w:rPr>
          <w:kern w:val="28"/>
          <w:lang w:val="en-CA"/>
        </w:rPr>
        <w:t>as a result of</w:t>
      </w:r>
      <w:proofErr w:type="gramEnd"/>
      <w:r w:rsidRPr="00B120AE">
        <w:rPr>
          <w:kern w:val="28"/>
          <w:lang w:val="en-CA"/>
        </w:rPr>
        <w:t xml:space="preserve"> this paragraph — a paragraph that was not considered — cannot produce any effect.</w:t>
      </w:r>
    </w:p>
    <w:p w14:paraId="50852D17"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I agree that the severance carried out by the judge is inconsistent with the core principles that must guide the exercise of remedial discretion in crafting an appropriate remedy:</w:t>
      </w:r>
    </w:p>
    <w:p w14:paraId="50852D18" w14:textId="77777777" w:rsidR="00E524EA" w:rsidRPr="00B120AE" w:rsidRDefault="001C0031" w:rsidP="00E524EA">
      <w:pPr>
        <w:tabs>
          <w:tab w:val="left" w:pos="1276"/>
        </w:tabs>
        <w:spacing w:before="120" w:after="120" w:line="240" w:lineRule="auto"/>
        <w:ind w:left="720" w:right="720"/>
        <w:jc w:val="both"/>
        <w:rPr>
          <w:rFonts w:ascii="Times New Roman" w:hAnsi="Times New Roman"/>
          <w:kern w:val="24"/>
          <w:sz w:val="22"/>
          <w:lang w:val="en-CA" w:eastAsia="fr-CA"/>
        </w:rPr>
      </w:pPr>
      <w:r w:rsidRPr="00B120AE">
        <w:rPr>
          <w:kern w:val="24"/>
          <w:sz w:val="22"/>
          <w:lang w:val="en-CA"/>
        </w:rPr>
        <w:t>A.</w:t>
      </w:r>
      <w:r w:rsidRPr="00B120AE">
        <w:rPr>
          <w:kern w:val="24"/>
          <w:sz w:val="14"/>
          <w:szCs w:val="14"/>
          <w:lang w:val="en-CA"/>
        </w:rPr>
        <w:tab/>
      </w:r>
      <w:r w:rsidRPr="00B120AE">
        <w:rPr>
          <w:i/>
          <w:iCs/>
          <w:kern w:val="24"/>
          <w:sz w:val="22"/>
          <w:lang w:val="en-CA"/>
        </w:rPr>
        <w:t xml:space="preserve">Charter </w:t>
      </w:r>
      <w:r w:rsidRPr="00B120AE">
        <w:rPr>
          <w:kern w:val="24"/>
          <w:sz w:val="22"/>
          <w:lang w:val="en-CA"/>
        </w:rPr>
        <w:t>rights should be safeguarded through effective remedies</w:t>
      </w:r>
      <w:r w:rsidRPr="00B120AE">
        <w:rPr>
          <w:i/>
          <w:iCs/>
          <w:kern w:val="24"/>
          <w:sz w:val="22"/>
          <w:lang w:val="en-CA"/>
        </w:rPr>
        <w:t>.</w:t>
      </w:r>
    </w:p>
    <w:p w14:paraId="50852D19" w14:textId="77777777"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B.</w:t>
      </w:r>
      <w:r w:rsidRPr="00B120AE">
        <w:rPr>
          <w:kern w:val="24"/>
          <w:sz w:val="14"/>
          <w:szCs w:val="14"/>
          <w:lang w:val="en-CA"/>
        </w:rPr>
        <w:tab/>
      </w:r>
      <w:r w:rsidRPr="00B120AE">
        <w:rPr>
          <w:kern w:val="24"/>
          <w:sz w:val="22"/>
          <w:lang w:val="en-CA"/>
        </w:rPr>
        <w:t>The public has an interest in the constitutional compliance of legislation.</w:t>
      </w:r>
    </w:p>
    <w:p w14:paraId="50852D1A" w14:textId="77777777"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C.</w:t>
      </w:r>
      <w:r w:rsidRPr="00B120AE">
        <w:rPr>
          <w:kern w:val="24"/>
          <w:sz w:val="14"/>
          <w:szCs w:val="14"/>
          <w:lang w:val="en-CA"/>
        </w:rPr>
        <w:tab/>
      </w:r>
      <w:r w:rsidRPr="00B120AE">
        <w:rPr>
          <w:kern w:val="24"/>
          <w:sz w:val="22"/>
          <w:lang w:val="en-CA"/>
        </w:rPr>
        <w:t>The public is entitled to the benefit of legislation.</w:t>
      </w:r>
    </w:p>
    <w:p w14:paraId="50852D1B" w14:textId="77777777" w:rsidR="00E524EA" w:rsidRPr="00B120AE" w:rsidRDefault="001C0031" w:rsidP="00E524EA">
      <w:pPr>
        <w:tabs>
          <w:tab w:val="left" w:pos="1276"/>
        </w:tabs>
        <w:spacing w:before="120" w:after="120" w:line="240" w:lineRule="auto"/>
        <w:ind w:left="720" w:right="720"/>
        <w:jc w:val="both"/>
        <w:rPr>
          <w:kern w:val="24"/>
          <w:sz w:val="22"/>
          <w:lang w:val="en-CA"/>
        </w:rPr>
      </w:pPr>
      <w:r w:rsidRPr="00B120AE">
        <w:rPr>
          <w:kern w:val="24"/>
          <w:sz w:val="22"/>
          <w:lang w:val="en-CA"/>
        </w:rPr>
        <w:t>D.</w:t>
      </w:r>
      <w:r w:rsidRPr="00B120AE">
        <w:rPr>
          <w:kern w:val="24"/>
          <w:sz w:val="14"/>
          <w:szCs w:val="14"/>
          <w:lang w:val="en-CA"/>
        </w:rPr>
        <w:tab/>
      </w:r>
      <w:r w:rsidRPr="00B120AE">
        <w:rPr>
          <w:kern w:val="24"/>
          <w:sz w:val="22"/>
          <w:lang w:val="en-CA"/>
        </w:rPr>
        <w:t>Courts and legislatures play different institutional roles.</w:t>
      </w:r>
      <w:r w:rsidRPr="00B120AE">
        <w:rPr>
          <w:kern w:val="24"/>
          <w:sz w:val="22"/>
          <w:vertAlign w:val="superscript"/>
          <w:lang w:val="en-CA"/>
        </w:rPr>
        <w:footnoteReference w:id="147"/>
      </w:r>
    </w:p>
    <w:p w14:paraId="50852D1C" w14:textId="3939C3A8" w:rsidR="00E524EA" w:rsidRPr="00B120AE" w:rsidRDefault="001C0031" w:rsidP="00C82726">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The legislature would never have enacted </w:t>
      </w:r>
      <w:r w:rsidR="008742D0">
        <w:rPr>
          <w:kern w:val="28"/>
          <w:lang w:val="en-CA"/>
        </w:rPr>
        <w:t>s. 2</w:t>
      </w:r>
      <w:r w:rsidRPr="00B120AE">
        <w:rPr>
          <w:kern w:val="28"/>
          <w:lang w:val="en-CA"/>
        </w:rPr>
        <w:t xml:space="preserve"> par</w:t>
      </w:r>
      <w:r w:rsidR="008742D0">
        <w:rPr>
          <w:kern w:val="28"/>
          <w:lang w:val="en-CA"/>
        </w:rPr>
        <w:t>a. 1</w:t>
      </w:r>
      <w:r w:rsidRPr="00B120AE">
        <w:rPr>
          <w:kern w:val="28"/>
          <w:lang w:val="en-CA"/>
        </w:rPr>
        <w:t>(5)</w:t>
      </w:r>
      <w:r w:rsidR="007C3223" w:rsidRPr="007C3223">
        <w:rPr>
          <w:i/>
          <w:kern w:val="28"/>
          <w:lang w:val="en-CA"/>
        </w:rPr>
        <w:t> TCA</w:t>
      </w:r>
      <w:r w:rsidRPr="00B120AE">
        <w:rPr>
          <w:kern w:val="28"/>
          <w:lang w:val="en-CA"/>
        </w:rPr>
        <w:t xml:space="preserve"> while entirely excluding its application to cultural and artistic spaces. Indeed, this remedy allows any person in a performance hall to smoke for their own needs, which runs directly counter to the legislature</w:t>
      </w:r>
      <w:r w:rsidR="00282C6C">
        <w:rPr>
          <w:kern w:val="28"/>
          <w:lang w:val="en-CA"/>
        </w:rPr>
        <w:t>’</w:t>
      </w:r>
      <w:r w:rsidRPr="00B120AE">
        <w:rPr>
          <w:kern w:val="28"/>
          <w:lang w:val="en-CA"/>
        </w:rPr>
        <w:t>s objective. This declaration of invalidity creates a situation that undermines the effectiveness of the legislature</w:t>
      </w:r>
      <w:r w:rsidR="00282C6C">
        <w:rPr>
          <w:kern w:val="28"/>
          <w:lang w:val="en-CA"/>
        </w:rPr>
        <w:t>’</w:t>
      </w:r>
      <w:r w:rsidRPr="00B120AE">
        <w:rPr>
          <w:kern w:val="28"/>
          <w:lang w:val="en-CA"/>
        </w:rPr>
        <w:t>s policy choices.</w:t>
      </w:r>
      <w:r w:rsidRPr="00B120AE">
        <w:rPr>
          <w:kern w:val="28"/>
          <w:vertAlign w:val="superscript"/>
          <w:lang w:val="en-CA"/>
        </w:rPr>
        <w:footnoteReference w:id="148"/>
      </w:r>
      <w:r w:rsidRPr="00B120AE">
        <w:rPr>
          <w:kern w:val="28"/>
          <w:lang w:val="en-CA"/>
        </w:rPr>
        <w:t xml:space="preserve"> The judge</w:t>
      </w:r>
      <w:r w:rsidR="00282C6C">
        <w:rPr>
          <w:kern w:val="28"/>
          <w:lang w:val="en-CA"/>
        </w:rPr>
        <w:t>’</w:t>
      </w:r>
      <w:r w:rsidRPr="00B120AE">
        <w:rPr>
          <w:kern w:val="28"/>
          <w:lang w:val="en-CA"/>
        </w:rPr>
        <w:t xml:space="preserve">s order mitigates this consequence by suspending the effect of the declaration of invalidity for one year. Nonetheless, its result is the continued application of unconstitutional provisions for a period of one year, despite the </w:t>
      </w:r>
      <w:r w:rsidR="00B147D1">
        <w:rPr>
          <w:kern w:val="28"/>
          <w:lang w:val="en-CA"/>
        </w:rPr>
        <w:t>infringement being highly circumscribed</w:t>
      </w:r>
      <w:r w:rsidRPr="00B120AE">
        <w:rPr>
          <w:kern w:val="28"/>
          <w:lang w:val="en-CA"/>
        </w:rPr>
        <w:t>.</w:t>
      </w:r>
    </w:p>
    <w:p w14:paraId="50852D1D" w14:textId="00182A5B"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It is not for the Court to add one or more exceptions to </w:t>
      </w:r>
      <w:r w:rsidR="008742D0">
        <w:rPr>
          <w:kern w:val="28"/>
          <w:lang w:val="en-CA"/>
        </w:rPr>
        <w:t>s. 2</w:t>
      </w:r>
      <w:r w:rsidRPr="00B120AE">
        <w:rPr>
          <w:kern w:val="28"/>
          <w:lang w:val="en-CA"/>
        </w:rPr>
        <w:t xml:space="preserve"> par</w:t>
      </w:r>
      <w:r w:rsidR="008742D0">
        <w:rPr>
          <w:kern w:val="28"/>
          <w:lang w:val="en-CA"/>
        </w:rPr>
        <w:t>a. 1</w:t>
      </w:r>
      <w:r w:rsidRPr="00B120AE">
        <w:rPr>
          <w:kern w:val="28"/>
          <w:lang w:val="en-CA"/>
        </w:rPr>
        <w:t>(5)</w:t>
      </w:r>
      <w:r w:rsidR="007C3223" w:rsidRPr="007C3223">
        <w:rPr>
          <w:i/>
          <w:kern w:val="28"/>
          <w:lang w:val="en-CA"/>
        </w:rPr>
        <w:t> TCA</w:t>
      </w:r>
      <w:r w:rsidRPr="00B120AE">
        <w:rPr>
          <w:kern w:val="28"/>
          <w:lang w:val="en-CA"/>
        </w:rPr>
        <w:t xml:space="preserve">, as this requires assessing the various possible solutions and determining the one best suited to society — a role that belongs to the legislature. As the majority of the Supreme Court noted in </w:t>
      </w:r>
      <w:r w:rsidRPr="00B120AE">
        <w:rPr>
          <w:i/>
          <w:iCs/>
          <w:kern w:val="28"/>
          <w:lang w:val="en-CA"/>
        </w:rPr>
        <w:t>G.</w:t>
      </w:r>
      <w:r w:rsidRPr="00B120AE">
        <w:rPr>
          <w:kern w:val="28"/>
          <w:lang w:val="en-CA"/>
        </w:rPr>
        <w:t xml:space="preserve">, such a remedy </w:t>
      </w:r>
      <w:r w:rsidR="00282C6C">
        <w:rPr>
          <w:kern w:val="28"/>
          <w:lang w:val="en-CA"/>
        </w:rPr>
        <w:t>“</w:t>
      </w:r>
      <w:r w:rsidRPr="00B120AE">
        <w:rPr>
          <w:kern w:val="28"/>
          <w:lang w:val="en-CA"/>
        </w:rPr>
        <w:t xml:space="preserve">would intrude on the legislative sphere — there are many ways to provide for such an assessment and </w:t>
      </w:r>
      <w:r w:rsidR="00282C6C">
        <w:rPr>
          <w:kern w:val="28"/>
          <w:lang w:val="en-CA"/>
        </w:rPr>
        <w:t>‘</w:t>
      </w:r>
      <w:r w:rsidRPr="00B120AE">
        <w:rPr>
          <w:kern w:val="28"/>
          <w:lang w:val="en-CA"/>
        </w:rPr>
        <w:t>it is the legislature</w:t>
      </w:r>
      <w:r w:rsidR="00282C6C">
        <w:rPr>
          <w:kern w:val="28"/>
          <w:lang w:val="en-CA"/>
        </w:rPr>
        <w:t>’</w:t>
      </w:r>
      <w:r w:rsidRPr="00B120AE">
        <w:rPr>
          <w:kern w:val="28"/>
          <w:lang w:val="en-CA"/>
        </w:rPr>
        <w:t>s role to fill in the gaps, not the court</w:t>
      </w:r>
      <w:r w:rsidR="00282C6C">
        <w:rPr>
          <w:kern w:val="28"/>
          <w:lang w:val="en-CA"/>
        </w:rPr>
        <w:t>’</w:t>
      </w:r>
      <w:r w:rsidRPr="00B120AE">
        <w:rPr>
          <w:kern w:val="28"/>
          <w:lang w:val="en-CA"/>
        </w:rPr>
        <w:t>s</w:t>
      </w:r>
      <w:r w:rsidR="00282C6C">
        <w:rPr>
          <w:kern w:val="28"/>
          <w:lang w:val="en-CA"/>
        </w:rPr>
        <w:t>’”</w:t>
      </w:r>
      <w:r w:rsidRPr="00B120AE">
        <w:rPr>
          <w:kern w:val="28"/>
          <w:lang w:val="en-CA"/>
        </w:rPr>
        <w:t>.</w:t>
      </w:r>
      <w:r w:rsidRPr="00B120AE">
        <w:rPr>
          <w:kern w:val="28"/>
          <w:vertAlign w:val="superscript"/>
          <w:lang w:val="en-CA"/>
        </w:rPr>
        <w:footnoteReference w:id="149"/>
      </w:r>
      <w:r w:rsidRPr="00B120AE">
        <w:rPr>
          <w:kern w:val="28"/>
          <w:lang w:val="en-CA"/>
        </w:rPr>
        <w:t xml:space="preserve"> </w:t>
      </w:r>
    </w:p>
    <w:p w14:paraId="50852D1E" w14:textId="06D82D7C" w:rsidR="00E524EA" w:rsidRPr="00B120AE" w:rsidRDefault="00FE3B0D" w:rsidP="00E524EA">
      <w:pPr>
        <w:numPr>
          <w:ilvl w:val="0"/>
          <w:numId w:val="18"/>
        </w:numPr>
        <w:tabs>
          <w:tab w:val="clear" w:pos="720"/>
          <w:tab w:val="num" w:pos="993"/>
        </w:tabs>
        <w:spacing w:before="120" w:after="120" w:line="240" w:lineRule="auto"/>
        <w:jc w:val="both"/>
        <w:rPr>
          <w:kern w:val="28"/>
          <w:lang w:val="en-CA"/>
        </w:rPr>
      </w:pPr>
      <w:r>
        <w:rPr>
          <w:kern w:val="28"/>
          <w:lang w:val="en-CA"/>
        </w:rPr>
        <w:t>That said, t</w:t>
      </w:r>
      <w:r w:rsidR="001C0031" w:rsidRPr="00B120AE">
        <w:rPr>
          <w:kern w:val="28"/>
          <w:lang w:val="en-CA"/>
        </w:rPr>
        <w:t xml:space="preserve">he appropriate remedy in the circumstances is a reading down of </w:t>
      </w:r>
      <w:r w:rsidR="008742D0">
        <w:rPr>
          <w:kern w:val="28"/>
          <w:lang w:val="en-CA"/>
        </w:rPr>
        <w:t>s. 2</w:t>
      </w:r>
      <w:r>
        <w:rPr>
          <w:kern w:val="28"/>
          <w:lang w:val="en-CA"/>
        </w:rPr>
        <w:t> </w:t>
      </w:r>
      <w:r w:rsidR="001C0031" w:rsidRPr="00B120AE">
        <w:rPr>
          <w:kern w:val="28"/>
          <w:lang w:val="en-CA"/>
        </w:rPr>
        <w:t>par</w:t>
      </w:r>
      <w:r w:rsidR="008742D0">
        <w:rPr>
          <w:kern w:val="28"/>
          <w:lang w:val="en-CA"/>
        </w:rPr>
        <w:t>a. 1</w:t>
      </w:r>
      <w:r w:rsidR="001C0031" w:rsidRPr="00B120AE">
        <w:rPr>
          <w:kern w:val="28"/>
          <w:lang w:val="en-CA"/>
        </w:rPr>
        <w:t>(5)</w:t>
      </w:r>
      <w:r w:rsidR="007C3223" w:rsidRPr="007C3223">
        <w:rPr>
          <w:i/>
          <w:kern w:val="28"/>
          <w:lang w:val="en-CA"/>
        </w:rPr>
        <w:t> TCA</w:t>
      </w:r>
      <w:r w:rsidR="001C0031" w:rsidRPr="00B120AE">
        <w:rPr>
          <w:kern w:val="28"/>
          <w:lang w:val="en-CA"/>
        </w:rPr>
        <w:t xml:space="preserve"> such that this provision is of no force or effect </w:t>
      </w:r>
      <w:r w:rsidR="00282C6C">
        <w:rPr>
          <w:kern w:val="28"/>
          <w:lang w:val="en-CA"/>
        </w:rPr>
        <w:t>“</w:t>
      </w:r>
      <w:r w:rsidR="001C0031" w:rsidRPr="00B120AE">
        <w:rPr>
          <w:kern w:val="28"/>
          <w:lang w:val="en-CA"/>
        </w:rPr>
        <w:t>to the extent it applies to everyone unconstitutionally affected</w:t>
      </w:r>
      <w:r w:rsidR="00282C6C">
        <w:rPr>
          <w:kern w:val="28"/>
          <w:lang w:val="en-CA"/>
        </w:rPr>
        <w:t>”</w:t>
      </w:r>
      <w:r w:rsidR="001C0031" w:rsidRPr="00B120AE">
        <w:rPr>
          <w:kern w:val="28"/>
          <w:vertAlign w:val="superscript"/>
          <w:lang w:val="en-CA"/>
        </w:rPr>
        <w:footnoteReference w:id="150"/>
      </w:r>
      <w:r w:rsidR="00287AE9">
        <w:rPr>
          <w:kern w:val="28"/>
          <w:lang w:val="en-CA"/>
        </w:rPr>
        <w:t xml:space="preserve"> </w:t>
      </w:r>
      <w:r w:rsidR="001C0031" w:rsidRPr="00B120AE">
        <w:rPr>
          <w:kern w:val="28"/>
          <w:lang w:val="en-CA"/>
        </w:rPr>
        <w:t xml:space="preserve">— that is, actors within the scope of a cultural or artistic performance. There is no justification for allowing all artists to be covered through the reading down, as this would open the door to an artist, who is not expressing any message by smoking, being permitted to smoke on stage for personal purposes </w:t>
      </w:r>
      <w:r w:rsidR="001C0031" w:rsidRPr="00B120AE">
        <w:rPr>
          <w:kern w:val="28"/>
          <w:lang w:val="en-CA"/>
        </w:rPr>
        <w:lastRenderedPageBreak/>
        <w:t xml:space="preserve">during a performance. As for the types of performances, it </w:t>
      </w:r>
      <w:r w:rsidR="00685772">
        <w:rPr>
          <w:kern w:val="28"/>
          <w:lang w:val="en-CA"/>
        </w:rPr>
        <w:t xml:space="preserve">may be that </w:t>
      </w:r>
      <w:r w:rsidR="001C0031" w:rsidRPr="00B120AE">
        <w:rPr>
          <w:kern w:val="28"/>
          <w:lang w:val="en-CA"/>
        </w:rPr>
        <w:t xml:space="preserve">an actor </w:t>
      </w:r>
      <w:r w:rsidR="00685772">
        <w:rPr>
          <w:kern w:val="28"/>
          <w:lang w:val="en-CA"/>
        </w:rPr>
        <w:t xml:space="preserve">will </w:t>
      </w:r>
      <w:r w:rsidR="00EB7071">
        <w:rPr>
          <w:kern w:val="28"/>
          <w:lang w:val="en-CA"/>
        </w:rPr>
        <w:t xml:space="preserve">portray </w:t>
      </w:r>
      <w:r w:rsidR="001C0031" w:rsidRPr="00B120AE">
        <w:rPr>
          <w:kern w:val="28"/>
          <w:lang w:val="en-CA"/>
        </w:rPr>
        <w:t xml:space="preserve">a character in a show that is not a play but still seek to communicate a message. The important element is that the performance be one in which the act of smoking is expressive, not personal. This conclusion avoids a conflicting interpretation with </w:t>
      </w:r>
      <w:r w:rsidR="008742D0">
        <w:rPr>
          <w:kern w:val="28"/>
          <w:lang w:val="en-CA"/>
        </w:rPr>
        <w:t>s. 2</w:t>
      </w:r>
      <w:r w:rsidR="005D72A7">
        <w:rPr>
          <w:kern w:val="28"/>
          <w:lang w:val="en-CA"/>
        </w:rPr>
        <w:t> </w:t>
      </w:r>
      <w:r w:rsidR="001C0031" w:rsidRPr="00B120AE">
        <w:rPr>
          <w:kern w:val="28"/>
          <w:lang w:val="en-CA"/>
        </w:rPr>
        <w:t>par</w:t>
      </w:r>
      <w:r w:rsidR="008742D0">
        <w:rPr>
          <w:kern w:val="28"/>
          <w:lang w:val="en-CA"/>
        </w:rPr>
        <w:t>a. 1</w:t>
      </w:r>
      <w:r w:rsidR="001C0031" w:rsidRPr="00B120AE">
        <w:rPr>
          <w:kern w:val="28"/>
          <w:lang w:val="en-CA"/>
        </w:rPr>
        <w:t>(12)</w:t>
      </w:r>
      <w:r w:rsidR="007C3223" w:rsidRPr="007C3223">
        <w:rPr>
          <w:i/>
          <w:kern w:val="28"/>
          <w:lang w:val="en-CA"/>
        </w:rPr>
        <w:t> TCA</w:t>
      </w:r>
      <w:r w:rsidR="001C0031" w:rsidRPr="00B120AE">
        <w:rPr>
          <w:kern w:val="28"/>
          <w:lang w:val="en-CA"/>
        </w:rPr>
        <w:t>.</w:t>
      </w:r>
    </w:p>
    <w:p w14:paraId="50852D1F" w14:textId="2CD1FD6A"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Finally, the reading down need not be suspended, as the AGQ has not demonstrated that making it immediately effective endangers </w:t>
      </w:r>
      <w:r w:rsidR="00282C6C">
        <w:rPr>
          <w:kern w:val="28"/>
          <w:lang w:val="en-CA"/>
        </w:rPr>
        <w:t>“</w:t>
      </w:r>
      <w:r w:rsidRPr="00B120AE">
        <w:rPr>
          <w:kern w:val="28"/>
          <w:lang w:val="en-CA"/>
        </w:rPr>
        <w:t xml:space="preserve">a compelling public interest that outweighs the importance of immediate constitutional compliance and an immediately effective remedy for those whose </w:t>
      </w:r>
      <w:r w:rsidRPr="00B120AE">
        <w:rPr>
          <w:i/>
          <w:iCs/>
          <w:kern w:val="28"/>
          <w:lang w:val="en-CA"/>
        </w:rPr>
        <w:t xml:space="preserve">Charter </w:t>
      </w:r>
      <w:r w:rsidRPr="00B120AE">
        <w:rPr>
          <w:kern w:val="28"/>
          <w:lang w:val="en-CA"/>
        </w:rPr>
        <w:t>rights will be violated</w:t>
      </w:r>
      <w:r w:rsidR="00282C6C">
        <w:rPr>
          <w:kern w:val="28"/>
          <w:lang w:val="en-CA"/>
        </w:rPr>
        <w:t>”</w:t>
      </w:r>
      <w:r w:rsidRPr="00B120AE">
        <w:rPr>
          <w:kern w:val="28"/>
          <w:lang w:val="en-CA"/>
        </w:rPr>
        <w:t>.</w:t>
      </w:r>
      <w:r w:rsidRPr="00B120AE">
        <w:rPr>
          <w:kern w:val="28"/>
          <w:vertAlign w:val="superscript"/>
          <w:lang w:val="en-CA"/>
        </w:rPr>
        <w:footnoteReference w:id="151"/>
      </w:r>
      <w:r w:rsidRPr="00B120AE">
        <w:rPr>
          <w:kern w:val="28"/>
          <w:lang w:val="en-CA"/>
        </w:rPr>
        <w:t xml:space="preserve"> The reading down does not </w:t>
      </w:r>
      <w:r w:rsidR="00282C6C">
        <w:rPr>
          <w:kern w:val="28"/>
          <w:lang w:val="en-CA"/>
        </w:rPr>
        <w:t>“</w:t>
      </w:r>
      <w:r w:rsidRPr="00B120AE">
        <w:rPr>
          <w:kern w:val="28"/>
          <w:lang w:val="en-CA"/>
        </w:rPr>
        <w:t>significantly impair the legislature</w:t>
      </w:r>
      <w:r w:rsidR="00282C6C">
        <w:rPr>
          <w:kern w:val="28"/>
          <w:lang w:val="en-CA"/>
        </w:rPr>
        <w:t>’</w:t>
      </w:r>
      <w:r w:rsidRPr="00B120AE">
        <w:rPr>
          <w:kern w:val="28"/>
          <w:lang w:val="en-CA"/>
        </w:rPr>
        <w:t>s democratic authority to set policy through legislation</w:t>
      </w:r>
      <w:r w:rsidR="00282C6C">
        <w:rPr>
          <w:kern w:val="28"/>
          <w:lang w:val="en-CA"/>
        </w:rPr>
        <w:t>”</w:t>
      </w:r>
      <w:r w:rsidRPr="00B120AE">
        <w:rPr>
          <w:kern w:val="28"/>
          <w:lang w:val="en-CA"/>
        </w:rPr>
        <w:t>.</w:t>
      </w:r>
      <w:r w:rsidRPr="00B120AE">
        <w:rPr>
          <w:kern w:val="28"/>
          <w:vertAlign w:val="superscript"/>
          <w:lang w:val="en-CA"/>
        </w:rPr>
        <w:footnoteReference w:id="152"/>
      </w:r>
      <w:r w:rsidRPr="00B120AE">
        <w:rPr>
          <w:kern w:val="28"/>
          <w:lang w:val="en-CA"/>
        </w:rPr>
        <w:t xml:space="preserve"> </w:t>
      </w:r>
    </w:p>
    <w:p w14:paraId="50852D20" w14:textId="77777777"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If it deems it appropriate, the legislature may decide to weigh the interests at stake and establish exceptions that strike a fair balance by regulating the use of cigarettes and other similar products on theatre stages during artistic performances.</w:t>
      </w:r>
    </w:p>
    <w:p w14:paraId="50852D21" w14:textId="77777777" w:rsidR="00E524EA" w:rsidRPr="00B120AE" w:rsidRDefault="001C0031" w:rsidP="00E524EA">
      <w:pPr>
        <w:spacing w:before="120" w:after="120" w:line="240" w:lineRule="auto"/>
        <w:jc w:val="center"/>
        <w:rPr>
          <w:kern w:val="28"/>
          <w:lang w:val="en-CA"/>
        </w:rPr>
      </w:pPr>
      <w:r w:rsidRPr="00B120AE">
        <w:rPr>
          <w:kern w:val="28"/>
          <w:lang w:val="en-CA"/>
        </w:rPr>
        <w:t>***</w:t>
      </w:r>
    </w:p>
    <w:p w14:paraId="50852D22" w14:textId="199663F2" w:rsidR="00E524EA" w:rsidRPr="00B120AE" w:rsidRDefault="001C0031" w:rsidP="00E524EA">
      <w:pPr>
        <w:numPr>
          <w:ilvl w:val="0"/>
          <w:numId w:val="18"/>
        </w:numPr>
        <w:tabs>
          <w:tab w:val="clear" w:pos="720"/>
          <w:tab w:val="num" w:pos="993"/>
        </w:tabs>
        <w:spacing w:before="120" w:after="120" w:line="240" w:lineRule="auto"/>
        <w:jc w:val="both"/>
        <w:rPr>
          <w:kern w:val="28"/>
          <w:lang w:val="en-CA"/>
        </w:rPr>
      </w:pPr>
      <w:r w:rsidRPr="00B120AE">
        <w:rPr>
          <w:kern w:val="28"/>
          <w:lang w:val="en-CA"/>
        </w:rPr>
        <w:t xml:space="preserve">For these reasons, I would allow the appeal in part, reverse the judgment under appeal for the sole purpose of modifying the remedy by declaring that </w:t>
      </w:r>
      <w:r w:rsidR="008742D0">
        <w:rPr>
          <w:kern w:val="28"/>
          <w:lang w:val="en-CA"/>
        </w:rPr>
        <w:t>s. 2</w:t>
      </w:r>
      <w:r w:rsidR="00B94AFD">
        <w:rPr>
          <w:kern w:val="28"/>
          <w:lang w:val="en-CA"/>
        </w:rPr>
        <w:t> </w:t>
      </w:r>
      <w:r w:rsidRPr="00B120AE">
        <w:rPr>
          <w:kern w:val="28"/>
          <w:lang w:val="en-CA"/>
        </w:rPr>
        <w:t>par</w:t>
      </w:r>
      <w:r w:rsidR="008742D0">
        <w:rPr>
          <w:kern w:val="28"/>
          <w:lang w:val="en-CA"/>
        </w:rPr>
        <w:t>a. 1</w:t>
      </w:r>
      <w:r w:rsidRPr="00B120AE">
        <w:rPr>
          <w:kern w:val="28"/>
          <w:lang w:val="en-CA"/>
        </w:rPr>
        <w:t>(5)</w:t>
      </w:r>
      <w:r w:rsidR="007C3223" w:rsidRPr="007C3223">
        <w:rPr>
          <w:i/>
          <w:kern w:val="28"/>
          <w:lang w:val="en-CA"/>
        </w:rPr>
        <w:t> TCA</w:t>
      </w:r>
      <w:r w:rsidRPr="00B120AE">
        <w:rPr>
          <w:kern w:val="28"/>
          <w:lang w:val="en-CA"/>
        </w:rPr>
        <w:t xml:space="preserve"> is invalid and of no force or effect insofar as it applies to actors within the scope of a cultural or artistic performance, without suspending the declaration, </w:t>
      </w:r>
      <w:r w:rsidR="009C5B2B">
        <w:rPr>
          <w:kern w:val="28"/>
          <w:lang w:val="en-CA"/>
        </w:rPr>
        <w:t xml:space="preserve">and I would award </w:t>
      </w:r>
      <w:r w:rsidRPr="00B120AE">
        <w:rPr>
          <w:kern w:val="28"/>
          <w:lang w:val="en-CA"/>
        </w:rPr>
        <w:t xml:space="preserve">legal costs in favour of the Theatres given the outcome. Evidently, I would uphold the acquittal of the Theatres. </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815D3B" w:rsidRPr="00B120AE" w14:paraId="50852D25" w14:textId="77777777" w:rsidTr="00673117">
        <w:trPr>
          <w:cantSplit/>
          <w:trHeight w:val="513"/>
        </w:trPr>
        <w:tc>
          <w:tcPr>
            <w:tcW w:w="9360" w:type="dxa"/>
            <w:gridSpan w:val="2"/>
          </w:tcPr>
          <w:p w14:paraId="50852D23" w14:textId="77777777" w:rsidR="00E524EA" w:rsidRPr="00B120AE" w:rsidRDefault="00E524EA" w:rsidP="00E524EA">
            <w:pPr>
              <w:tabs>
                <w:tab w:val="num" w:pos="993"/>
              </w:tabs>
              <w:spacing w:line="240" w:lineRule="auto"/>
              <w:rPr>
                <w:lang w:val="en-CA"/>
              </w:rPr>
            </w:pPr>
          </w:p>
          <w:p w14:paraId="50852D24" w14:textId="77777777" w:rsidR="00E524EA" w:rsidRPr="00B120AE" w:rsidRDefault="00E524EA" w:rsidP="00E524EA">
            <w:pPr>
              <w:tabs>
                <w:tab w:val="num" w:pos="993"/>
              </w:tabs>
              <w:spacing w:line="240" w:lineRule="auto"/>
              <w:rPr>
                <w:lang w:val="en-CA"/>
              </w:rPr>
            </w:pPr>
          </w:p>
        </w:tc>
      </w:tr>
      <w:tr w:rsidR="00815D3B" w:rsidRPr="00B120AE" w14:paraId="50852D28" w14:textId="77777777" w:rsidTr="00673117">
        <w:trPr>
          <w:cantSplit/>
          <w:trHeight w:val="277"/>
        </w:trPr>
        <w:tc>
          <w:tcPr>
            <w:tcW w:w="4735" w:type="dxa"/>
            <w:vMerge w:val="restart"/>
          </w:tcPr>
          <w:p w14:paraId="50852D26" w14:textId="77777777" w:rsidR="00E524EA" w:rsidRPr="00B120AE" w:rsidRDefault="00E524EA" w:rsidP="00E524EA">
            <w:pPr>
              <w:tabs>
                <w:tab w:val="num" w:pos="993"/>
              </w:tabs>
              <w:spacing w:before="120" w:after="120" w:line="240" w:lineRule="auto"/>
              <w:rPr>
                <w:lang w:val="en-CA"/>
              </w:rPr>
            </w:pPr>
          </w:p>
        </w:tc>
        <w:tc>
          <w:tcPr>
            <w:tcW w:w="4625" w:type="dxa"/>
            <w:tcBorders>
              <w:bottom w:val="single" w:sz="8" w:space="0" w:color="auto"/>
            </w:tcBorders>
          </w:tcPr>
          <w:p w14:paraId="50852D27" w14:textId="77777777" w:rsidR="00E524EA" w:rsidRPr="00B120AE" w:rsidRDefault="00E524EA" w:rsidP="00E524EA">
            <w:pPr>
              <w:tabs>
                <w:tab w:val="num" w:pos="993"/>
              </w:tabs>
              <w:spacing w:line="240" w:lineRule="auto"/>
              <w:rPr>
                <w:lang w:val="en-CA"/>
              </w:rPr>
            </w:pPr>
          </w:p>
        </w:tc>
      </w:tr>
      <w:tr w:rsidR="00815D3B" w:rsidRPr="00B120AE" w14:paraId="50852D2B" w14:textId="77777777" w:rsidTr="00673117">
        <w:trPr>
          <w:cantSplit/>
          <w:trHeight w:val="276"/>
        </w:trPr>
        <w:tc>
          <w:tcPr>
            <w:tcW w:w="4735" w:type="dxa"/>
            <w:vMerge/>
          </w:tcPr>
          <w:p w14:paraId="50852D29" w14:textId="77777777" w:rsidR="00E524EA" w:rsidRPr="00B120AE" w:rsidRDefault="00E524EA" w:rsidP="00E524EA">
            <w:pPr>
              <w:tabs>
                <w:tab w:val="num" w:pos="993"/>
              </w:tabs>
              <w:spacing w:before="120" w:after="120" w:line="240" w:lineRule="auto"/>
              <w:rPr>
                <w:lang w:val="en-CA"/>
              </w:rPr>
            </w:pPr>
          </w:p>
        </w:tc>
        <w:tc>
          <w:tcPr>
            <w:tcW w:w="4625" w:type="dxa"/>
          </w:tcPr>
          <w:p w14:paraId="50852D2A" w14:textId="09BABEDD" w:rsidR="00E524EA" w:rsidRPr="00B120AE" w:rsidRDefault="001C0031" w:rsidP="00E524EA">
            <w:pPr>
              <w:tabs>
                <w:tab w:val="num" w:pos="993"/>
              </w:tabs>
              <w:spacing w:line="240" w:lineRule="auto"/>
              <w:rPr>
                <w:lang w:val="en-CA"/>
              </w:rPr>
            </w:pPr>
            <w:r w:rsidRPr="00B120AE">
              <w:rPr>
                <w:lang w:val="en-CA"/>
              </w:rPr>
              <w:fldChar w:fldCharType="begin"/>
            </w:r>
            <w:r w:rsidRPr="00B120AE">
              <w:rPr>
                <w:lang w:val="en-CA"/>
              </w:rPr>
              <w:instrText xml:space="preserve"> REF NomJuge3  \* MERGEFORMAT </w:instrText>
            </w:r>
            <w:r w:rsidRPr="00B120AE">
              <w:rPr>
                <w:lang w:val="en-CA"/>
              </w:rPr>
              <w:fldChar w:fldCharType="separate"/>
            </w:r>
            <w:r w:rsidR="00D7102E" w:rsidRPr="00D7102E">
              <w:rPr>
                <w:lang w:val="en-CA"/>
              </w:rPr>
              <w:t>JUDITH HARVIE, J.A.</w:t>
            </w:r>
            <w:r w:rsidRPr="00B120AE">
              <w:rPr>
                <w:lang w:val="en-CA"/>
              </w:rPr>
              <w:fldChar w:fldCharType="end"/>
            </w:r>
          </w:p>
        </w:tc>
      </w:tr>
    </w:tbl>
    <w:p w14:paraId="50852D2C" w14:textId="77777777" w:rsidR="00E524EA" w:rsidRPr="00B120AE" w:rsidRDefault="00E524EA" w:rsidP="00E524EA">
      <w:pPr>
        <w:tabs>
          <w:tab w:val="num" w:pos="993"/>
        </w:tabs>
        <w:spacing w:before="120" w:after="120" w:line="240" w:lineRule="auto"/>
        <w:rPr>
          <w:lang w:val="en-CA"/>
        </w:rPr>
      </w:pPr>
    </w:p>
    <w:p w14:paraId="50852D2D" w14:textId="77777777" w:rsidR="00740A17" w:rsidRPr="00B120AE" w:rsidRDefault="00740A17" w:rsidP="00FF5D92">
      <w:pPr>
        <w:rPr>
          <w:lang w:val="en-CA"/>
        </w:rPr>
      </w:pPr>
    </w:p>
    <w:sectPr w:rsidR="00740A17" w:rsidRPr="00B120AE" w:rsidSect="00FF5D92">
      <w:headerReference w:type="even" r:id="rId8"/>
      <w:headerReference w:type="default" r:id="rId9"/>
      <w:footerReference w:type="even" r:id="rId10"/>
      <w:footerReference w:type="default" r:id="rId11"/>
      <w:headerReference w:type="first" r:id="rId12"/>
      <w:footerReference w:type="first" r:id="rId13"/>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F60B" w14:textId="77777777" w:rsidR="00066679" w:rsidRDefault="00066679">
      <w:pPr>
        <w:spacing w:line="240" w:lineRule="auto"/>
      </w:pPr>
      <w:r>
        <w:separator/>
      </w:r>
    </w:p>
  </w:endnote>
  <w:endnote w:type="continuationSeparator" w:id="0">
    <w:p w14:paraId="2436433A" w14:textId="77777777" w:rsidR="00066679" w:rsidRDefault="00066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4344" w14:textId="77777777" w:rsidR="00E841C9" w:rsidRDefault="00E841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EED9" w14:textId="45055EBE" w:rsidR="00C0594C" w:rsidRPr="00116DBB" w:rsidRDefault="00C0594C" w:rsidP="00C0594C">
    <w:pPr>
      <w:pStyle w:val="Pieddepage"/>
      <w:jc w:val="right"/>
      <w:rPr>
        <w:lang w:val="en-CA"/>
      </w:rPr>
    </w:pPr>
    <w:r>
      <w:rPr>
        <w:b/>
        <w:bCs/>
        <w:lang w:val="en-CA"/>
      </w:rPr>
      <w:t>English translation of the judgment of the Court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E22C" w14:textId="77777777" w:rsidR="00E841C9" w:rsidRDefault="00E841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56AE" w14:textId="77777777" w:rsidR="00066679" w:rsidRDefault="00066679">
      <w:r>
        <w:separator/>
      </w:r>
    </w:p>
  </w:footnote>
  <w:footnote w:type="continuationSeparator" w:id="0">
    <w:p w14:paraId="0154A7DA" w14:textId="77777777" w:rsidR="00066679" w:rsidRDefault="00066679">
      <w:r>
        <w:continuationSeparator/>
      </w:r>
    </w:p>
  </w:footnote>
  <w:footnote w:id="1">
    <w:p w14:paraId="50852D37" w14:textId="5770C66E"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CQLR, c. L</w:t>
      </w:r>
      <w:r w:rsidR="00720901">
        <w:rPr>
          <w:lang w:val="en-CA"/>
        </w:rPr>
        <w:noBreakHyphen/>
      </w:r>
      <w:r w:rsidRPr="00B120AE">
        <w:rPr>
          <w:lang w:val="en-CA"/>
        </w:rPr>
        <w:t>6.2.</w:t>
      </w:r>
    </w:p>
  </w:footnote>
  <w:footnote w:id="2">
    <w:p w14:paraId="50852D38" w14:textId="75166B0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CQLR, c. L</w:t>
      </w:r>
      <w:r w:rsidR="00720901">
        <w:rPr>
          <w:lang w:val="en-CA"/>
        </w:rPr>
        <w:noBreakHyphen/>
      </w:r>
      <w:r w:rsidRPr="00B120AE">
        <w:rPr>
          <w:lang w:val="en-CA"/>
        </w:rPr>
        <w:t>6.2, r. 1.</w:t>
      </w:r>
    </w:p>
  </w:footnote>
  <w:footnote w:id="3">
    <w:p w14:paraId="50852D39"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ab/>
      </w:r>
      <w:r w:rsidRPr="00B120AE">
        <w:rPr>
          <w:i/>
          <w:iCs/>
          <w:lang w:val="en-CA"/>
        </w:rPr>
        <w:t>Canadian Charter of Rights and Freedoms</w:t>
      </w:r>
      <w:r w:rsidRPr="00B120AE">
        <w:rPr>
          <w:lang w:val="en-CA"/>
        </w:rPr>
        <w:t xml:space="preserve">, Part I of the </w:t>
      </w:r>
      <w:r w:rsidRPr="00B120AE">
        <w:rPr>
          <w:i/>
          <w:iCs/>
          <w:lang w:val="en-CA"/>
        </w:rPr>
        <w:t>Constitution Act, 1982</w:t>
      </w:r>
      <w:r w:rsidRPr="00B120AE">
        <w:rPr>
          <w:lang w:val="en-CA"/>
        </w:rPr>
        <w:t xml:space="preserve">, being Schedule B to the </w:t>
      </w:r>
      <w:r w:rsidRPr="00B120AE">
        <w:rPr>
          <w:i/>
          <w:iCs/>
          <w:lang w:val="en-CA"/>
        </w:rPr>
        <w:t>Canada Act 1982</w:t>
      </w:r>
      <w:r w:rsidRPr="00B120AE">
        <w:rPr>
          <w:lang w:val="en-CA"/>
        </w:rPr>
        <w:t xml:space="preserve"> (U.K.), 1982, c. 11.</w:t>
      </w:r>
    </w:p>
  </w:footnote>
  <w:footnote w:id="4">
    <w:p w14:paraId="50852D3A" w14:textId="77777777"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Théâtre du Trident inc. c. Directeur des poursuites criminelles et pénales</w:t>
      </w:r>
      <w:r w:rsidRPr="00116DBB">
        <w:t>, 2024 QCCS 2001 [</w:t>
      </w:r>
      <w:proofErr w:type="spellStart"/>
      <w:r w:rsidRPr="00116DBB">
        <w:t>Judgment</w:t>
      </w:r>
      <w:proofErr w:type="spellEnd"/>
      <w:r w:rsidRPr="00116DBB">
        <w:t xml:space="preserve"> </w:t>
      </w:r>
      <w:proofErr w:type="spellStart"/>
      <w:r w:rsidRPr="00116DBB">
        <w:t>under</w:t>
      </w:r>
      <w:proofErr w:type="spellEnd"/>
      <w:r w:rsidRPr="00116DBB">
        <w:t xml:space="preserve"> </w:t>
      </w:r>
      <w:proofErr w:type="spellStart"/>
      <w:r w:rsidRPr="00116DBB">
        <w:t>appeal</w:t>
      </w:r>
      <w:proofErr w:type="spellEnd"/>
      <w:r w:rsidRPr="00116DBB">
        <w:t xml:space="preserve">]. </w:t>
      </w:r>
    </w:p>
  </w:footnote>
  <w:footnote w:id="5">
    <w:p w14:paraId="50852D3B" w14:textId="7AE18C08"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Statement of offence issued to Théâtre du Trident, November 24, 2017; </w:t>
      </w:r>
      <w:r w:rsidR="00B6350D">
        <w:rPr>
          <w:lang w:val="en-CA"/>
        </w:rPr>
        <w:t>s</w:t>
      </w:r>
      <w:r w:rsidRPr="00B120AE">
        <w:rPr>
          <w:lang w:val="en-CA"/>
        </w:rPr>
        <w:t xml:space="preserve">tatement of offence issued to Théâtre de la </w:t>
      </w:r>
      <w:proofErr w:type="spellStart"/>
      <w:r w:rsidRPr="00B120AE">
        <w:rPr>
          <w:lang w:val="en-CA"/>
        </w:rPr>
        <w:t>Bordée</w:t>
      </w:r>
      <w:proofErr w:type="spellEnd"/>
      <w:r w:rsidRPr="00B120AE">
        <w:rPr>
          <w:lang w:val="en-CA"/>
        </w:rPr>
        <w:t xml:space="preserve">, September 6, 2019; </w:t>
      </w:r>
      <w:r w:rsidR="00B6350D">
        <w:rPr>
          <w:lang w:val="en-CA"/>
        </w:rPr>
        <w:t>s</w:t>
      </w:r>
      <w:r w:rsidRPr="00B120AE">
        <w:rPr>
          <w:lang w:val="en-CA"/>
        </w:rPr>
        <w:t xml:space="preserve">tatement of offence issued to Théâtre Premier </w:t>
      </w:r>
      <w:proofErr w:type="spellStart"/>
      <w:r w:rsidRPr="00B120AE">
        <w:rPr>
          <w:lang w:val="en-CA"/>
        </w:rPr>
        <w:t>Acte</w:t>
      </w:r>
      <w:proofErr w:type="spellEnd"/>
      <w:r w:rsidRPr="00B120AE">
        <w:rPr>
          <w:lang w:val="en-CA"/>
        </w:rPr>
        <w:t xml:space="preserve">, April 11, 2019. </w:t>
      </w:r>
    </w:p>
  </w:footnote>
  <w:footnote w:id="6">
    <w:p w14:paraId="50852D3C" w14:textId="261D89EF"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Judgment under appeal. The undisputed evidence presented before the presiding justice of the peace in the Court of Québec shows that the cigarette smoked at Théâtre Premier </w:t>
      </w:r>
      <w:proofErr w:type="spellStart"/>
      <w:r w:rsidRPr="00B120AE">
        <w:rPr>
          <w:lang w:val="en-CA"/>
        </w:rPr>
        <w:t>Acte</w:t>
      </w:r>
      <w:proofErr w:type="spellEnd"/>
      <w:r w:rsidRPr="00B120AE">
        <w:rPr>
          <w:lang w:val="en-CA"/>
        </w:rPr>
        <w:t xml:space="preserve"> was a regular cigarette, not an herbal one.</w:t>
      </w:r>
      <w:r w:rsidR="00287AE9">
        <w:rPr>
          <w:lang w:val="en-CA"/>
        </w:rPr>
        <w:t xml:space="preserve"> </w:t>
      </w:r>
    </w:p>
  </w:footnote>
  <w:footnote w:id="7">
    <w:p w14:paraId="50852D3D" w14:textId="75B1D173" w:rsidR="00E524EA" w:rsidRPr="00116DBB"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t xml:space="preserve">The Theatres sought to have the provisions declared invalid </w:t>
      </w:r>
      <w:r w:rsidR="0078033F" w:rsidRPr="0078033F">
        <w:rPr>
          <w:smallCaps/>
          <w:lang w:val="en-CA"/>
        </w:rPr>
        <w:t>[translation] </w:t>
      </w:r>
      <w:r w:rsidR="00282C6C">
        <w:rPr>
          <w:lang w:val="en-CA"/>
        </w:rPr>
        <w:t>“</w:t>
      </w:r>
      <w:r w:rsidRPr="00B120AE">
        <w:rPr>
          <w:lang w:val="en-CA"/>
        </w:rPr>
        <w:t xml:space="preserve">with respect to the operator of a place or business where activities of a cultural or artistic nature covered by the </w:t>
      </w:r>
      <w:r w:rsidRPr="00DE17CF">
        <w:rPr>
          <w:lang w:val="en-CA"/>
        </w:rPr>
        <w:t>Act</w:t>
      </w:r>
      <w:r w:rsidRPr="00B120AE">
        <w:rPr>
          <w:lang w:val="en-CA"/>
        </w:rPr>
        <w:t xml:space="preserve"> are presented</w:t>
      </w:r>
      <w:r w:rsidR="00282C6C">
        <w:rPr>
          <w:lang w:val="en-CA"/>
        </w:rPr>
        <w:t>”</w:t>
      </w:r>
      <w:r w:rsidRPr="00B120AE">
        <w:rPr>
          <w:lang w:val="en-CA"/>
        </w:rPr>
        <w:t xml:space="preserve"> and, subsidiarily, to have the provisions declared of no force or effect to the same extent</w:t>
      </w:r>
      <w:r w:rsidR="000D3491">
        <w:rPr>
          <w:lang w:val="en-CA"/>
        </w:rPr>
        <w:t>,</w:t>
      </w:r>
      <w:r w:rsidR="00B6350D">
        <w:rPr>
          <w:lang w:val="en-CA"/>
        </w:rPr>
        <w:t xml:space="preserve"> </w:t>
      </w:r>
      <w:r w:rsidR="000D3491">
        <w:rPr>
          <w:lang w:val="en-CA"/>
        </w:rPr>
        <w:t>A</w:t>
      </w:r>
      <w:r w:rsidRPr="00B120AE">
        <w:rPr>
          <w:lang w:val="en-CA"/>
        </w:rPr>
        <w:t>mended application for a declaration of invalidity of s</w:t>
      </w:r>
      <w:r w:rsidR="008742D0">
        <w:rPr>
          <w:lang w:val="en-CA"/>
        </w:rPr>
        <w:t>s. 1</w:t>
      </w:r>
      <w:r w:rsidRPr="00B120AE">
        <w:rPr>
          <w:lang w:val="en-CA"/>
        </w:rPr>
        <w:t xml:space="preserve">, 2 and 11 of the </w:t>
      </w:r>
      <w:r w:rsidRPr="00B120AE">
        <w:rPr>
          <w:i/>
          <w:iCs/>
          <w:lang w:val="en-CA"/>
        </w:rPr>
        <w:t>Act</w:t>
      </w:r>
      <w:r w:rsidRPr="00B120AE">
        <w:rPr>
          <w:lang w:val="en-CA"/>
        </w:rPr>
        <w:t xml:space="preserve"> and </w:t>
      </w:r>
      <w:r w:rsidR="008742D0">
        <w:rPr>
          <w:lang w:val="en-CA"/>
        </w:rPr>
        <w:t>s. 1</w:t>
      </w:r>
      <w:r w:rsidRPr="00B120AE">
        <w:rPr>
          <w:lang w:val="en-CA"/>
        </w:rPr>
        <w:t xml:space="preserve"> of the </w:t>
      </w:r>
      <w:r w:rsidRPr="00B120AE">
        <w:rPr>
          <w:i/>
          <w:iCs/>
          <w:lang w:val="en-CA"/>
        </w:rPr>
        <w:t>Regulation</w:t>
      </w:r>
      <w:r w:rsidRPr="00B120AE">
        <w:rPr>
          <w:lang w:val="en-CA"/>
        </w:rPr>
        <w:t>, dated March 3, 2020. The jurisdiction of the presiding justice of the peace was limited to declaring the provisions to be constitutionally inapplicable to the respondents</w:t>
      </w:r>
      <w:r w:rsidR="00B6350D">
        <w:rPr>
          <w:lang w:val="en-CA"/>
        </w:rPr>
        <w:t>;</w:t>
      </w:r>
      <w:r w:rsidRPr="00B120AE">
        <w:rPr>
          <w:lang w:val="en-CA"/>
        </w:rPr>
        <w:t xml:space="preserve"> </w:t>
      </w:r>
      <w:proofErr w:type="gramStart"/>
      <w:r w:rsidRPr="00B120AE">
        <w:rPr>
          <w:lang w:val="en-CA"/>
        </w:rPr>
        <w:t>see:</w:t>
      </w:r>
      <w:proofErr w:type="gramEnd"/>
      <w:r w:rsidRPr="00B120AE">
        <w:rPr>
          <w:lang w:val="en-CA"/>
        </w:rPr>
        <w:t xml:space="preserve"> </w:t>
      </w:r>
      <w:r w:rsidRPr="00B120AE">
        <w:rPr>
          <w:i/>
          <w:iCs/>
          <w:lang w:val="en-CA"/>
        </w:rPr>
        <w:t>R. v. Lloyd</w:t>
      </w:r>
      <w:r w:rsidRPr="00B120AE">
        <w:rPr>
          <w:lang w:val="en-CA"/>
        </w:rPr>
        <w:t>, 2016 SCC 13, para</w:t>
      </w:r>
      <w:r w:rsidR="008742D0">
        <w:rPr>
          <w:lang w:val="en-CA"/>
        </w:rPr>
        <w:t>s. 1</w:t>
      </w:r>
      <w:r w:rsidRPr="00B120AE">
        <w:rPr>
          <w:lang w:val="en-CA"/>
        </w:rPr>
        <w:t>5 and 19, comments of McLachlin</w:t>
      </w:r>
      <w:r w:rsidR="00B6350D">
        <w:rPr>
          <w:lang w:val="en-CA"/>
        </w:rPr>
        <w:t>, C.J.</w:t>
      </w:r>
      <w:r w:rsidRPr="00B120AE">
        <w:rPr>
          <w:lang w:val="en-CA"/>
        </w:rPr>
        <w:t>, with which the minority also agreed. The invalidity, however, may be considered on appeal</w:t>
      </w:r>
      <w:r w:rsidR="001D17AB">
        <w:rPr>
          <w:lang w:val="en-CA"/>
        </w:rPr>
        <w:t>;</w:t>
      </w:r>
      <w:r w:rsidRPr="00B120AE">
        <w:rPr>
          <w:lang w:val="en-CA"/>
        </w:rPr>
        <w:t xml:space="preserve"> </w:t>
      </w:r>
      <w:proofErr w:type="gramStart"/>
      <w:r w:rsidRPr="00B120AE">
        <w:rPr>
          <w:lang w:val="en-CA"/>
        </w:rPr>
        <w:t>see:</w:t>
      </w:r>
      <w:proofErr w:type="gramEnd"/>
      <w:r w:rsidRPr="00B120AE">
        <w:rPr>
          <w:lang w:val="en-CA"/>
        </w:rPr>
        <w:t xml:space="preserve"> </w:t>
      </w:r>
      <w:r w:rsidRPr="00B120AE">
        <w:rPr>
          <w:i/>
          <w:iCs/>
          <w:lang w:val="en-CA"/>
        </w:rPr>
        <w:t>Denis c. R.</w:t>
      </w:r>
      <w:r w:rsidRPr="00B120AE">
        <w:rPr>
          <w:lang w:val="en-CA"/>
        </w:rPr>
        <w:t>, 2024 QCCA 647, para</w:t>
      </w:r>
      <w:r w:rsidR="008742D0">
        <w:rPr>
          <w:lang w:val="en-CA"/>
        </w:rPr>
        <w:t>s. </w:t>
      </w:r>
      <w:r w:rsidR="008742D0" w:rsidRPr="00116DBB">
        <w:t>5</w:t>
      </w:r>
      <w:r w:rsidRPr="00116DBB">
        <w:t>9</w:t>
      </w:r>
      <w:r w:rsidR="00720901" w:rsidRPr="00116DBB">
        <w:noBreakHyphen/>
      </w:r>
      <w:r w:rsidRPr="00116DBB">
        <w:t>70.</w:t>
      </w:r>
    </w:p>
  </w:footnote>
  <w:footnote w:id="8">
    <w:p w14:paraId="50852D3E" w14:textId="43E5F8B2"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Directeur des poursuites criminelles et pénales c. Théâtre du Trident inc.</w:t>
      </w:r>
      <w:r w:rsidRPr="00116DBB">
        <w:t>, 2021 QCCQ 11956, par</w:t>
      </w:r>
      <w:r w:rsidR="008742D0" w:rsidRPr="00116DBB">
        <w:t>a. 1</w:t>
      </w:r>
      <w:r w:rsidRPr="00116DBB">
        <w:t>6.</w:t>
      </w:r>
      <w:r w:rsidR="00287AE9" w:rsidRPr="00116DBB">
        <w:t xml:space="preserve"> </w:t>
      </w:r>
    </w:p>
  </w:footnote>
  <w:footnote w:id="9">
    <w:p w14:paraId="50852D3F" w14:textId="77777777"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Directeur des poursuites criminelles et pénales c. Théâtre du Trident inc.</w:t>
      </w:r>
      <w:r w:rsidRPr="00116DBB">
        <w:t>, 2021 QCCQ 11956.</w:t>
      </w:r>
    </w:p>
  </w:footnote>
  <w:footnote w:id="10">
    <w:p w14:paraId="50852D40"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Notice of appeal of the Theatres, amended on February 21, 2022. </w:t>
      </w:r>
    </w:p>
  </w:footnote>
  <w:footnote w:id="11">
    <w:p w14:paraId="50852D41" w14:textId="1F37982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w:t>
      </w:r>
      <w:r w:rsidR="008742D0">
        <w:rPr>
          <w:lang w:val="en-CA"/>
        </w:rPr>
        <w:t>a. 4</w:t>
      </w:r>
      <w:r w:rsidRPr="00B120AE">
        <w:rPr>
          <w:lang w:val="en-CA"/>
        </w:rPr>
        <w:t>4.</w:t>
      </w:r>
    </w:p>
  </w:footnote>
  <w:footnote w:id="12">
    <w:p w14:paraId="50852D42" w14:textId="340EE72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par</w:t>
      </w:r>
      <w:r w:rsidR="008742D0">
        <w:rPr>
          <w:lang w:val="en-CA"/>
        </w:rPr>
        <w:t>a. 5</w:t>
      </w:r>
      <w:r w:rsidRPr="00B120AE">
        <w:rPr>
          <w:lang w:val="en-CA"/>
        </w:rPr>
        <w:t>0.</w:t>
      </w:r>
    </w:p>
  </w:footnote>
  <w:footnote w:id="13">
    <w:p w14:paraId="50852D43" w14:textId="14176D9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bookmarkStart w:id="26" w:name="_Hlk226700508"/>
      <w:r w:rsidRPr="00B120AE">
        <w:rPr>
          <w:i/>
          <w:iCs/>
          <w:lang w:val="en-CA"/>
        </w:rPr>
        <w:t>Id.</w:t>
      </w:r>
      <w:bookmarkEnd w:id="26"/>
      <w:r w:rsidRPr="00B120AE">
        <w:rPr>
          <w:lang w:val="en-CA"/>
        </w:rPr>
        <w:t>, par</w:t>
      </w:r>
      <w:r w:rsidR="008742D0">
        <w:rPr>
          <w:lang w:val="en-CA"/>
        </w:rPr>
        <w:t>a. 5</w:t>
      </w:r>
      <w:r w:rsidRPr="00B120AE">
        <w:rPr>
          <w:lang w:val="en-CA"/>
        </w:rPr>
        <w:t xml:space="preserve">8. </w:t>
      </w:r>
    </w:p>
  </w:footnote>
  <w:footnote w:id="14">
    <w:p w14:paraId="50852D44" w14:textId="5AD5CD0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par</w:t>
      </w:r>
      <w:r w:rsidR="008742D0">
        <w:rPr>
          <w:lang w:val="en-CA"/>
        </w:rPr>
        <w:t>a. 7</w:t>
      </w:r>
      <w:r w:rsidRPr="00B120AE">
        <w:rPr>
          <w:lang w:val="en-CA"/>
        </w:rPr>
        <w:t>1.</w:t>
      </w:r>
    </w:p>
  </w:footnote>
  <w:footnote w:id="15">
    <w:p w14:paraId="50852D45" w14:textId="1F0EB2F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The legislature amended </w:t>
      </w:r>
      <w:r w:rsidR="008742D0">
        <w:rPr>
          <w:lang w:val="en-CA"/>
        </w:rPr>
        <w:t>s. 2</w:t>
      </w:r>
      <w:r w:rsidRPr="00B120AE">
        <w:rPr>
          <w:lang w:val="en-CA"/>
        </w:rPr>
        <w:t xml:space="preserve"> of the </w:t>
      </w:r>
      <w:r w:rsidRPr="00B120AE">
        <w:rPr>
          <w:i/>
          <w:iCs/>
          <w:lang w:val="en-CA"/>
        </w:rPr>
        <w:t>Act</w:t>
      </w:r>
      <w:r w:rsidRPr="00B120AE">
        <w:rPr>
          <w:lang w:val="en-CA"/>
        </w:rPr>
        <w:t xml:space="preserve"> on </w:t>
      </w:r>
      <w:proofErr w:type="gramStart"/>
      <w:r w:rsidRPr="00B120AE">
        <w:rPr>
          <w:lang w:val="en-CA"/>
        </w:rPr>
        <w:t>a number of</w:t>
      </w:r>
      <w:proofErr w:type="gramEnd"/>
      <w:r w:rsidRPr="00B120AE">
        <w:rPr>
          <w:lang w:val="en-CA"/>
        </w:rPr>
        <w:t xml:space="preserve"> occasions after 2017, but these amendments do not affect </w:t>
      </w:r>
      <w:r w:rsidRPr="00D86E81">
        <w:rPr>
          <w:lang w:val="en-CA"/>
        </w:rPr>
        <w:t xml:space="preserve">the paragraphs at </w:t>
      </w:r>
      <w:r w:rsidRPr="00B120AE">
        <w:rPr>
          <w:lang w:val="en-CA"/>
        </w:rPr>
        <w:t xml:space="preserve">issue here. </w:t>
      </w:r>
    </w:p>
  </w:footnote>
  <w:footnote w:id="16">
    <w:p w14:paraId="50852D46" w14:textId="4611D6A9"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Expert report of Dr. Alain Desjardins, pneumologist [Expert Report], pp. 18</w:t>
      </w:r>
      <w:r w:rsidR="00720901">
        <w:rPr>
          <w:lang w:val="en-CA"/>
        </w:rPr>
        <w:noBreakHyphen/>
      </w:r>
      <w:r w:rsidRPr="00B120AE">
        <w:rPr>
          <w:lang w:val="en-CA"/>
        </w:rPr>
        <w:t>22.</w:t>
      </w:r>
    </w:p>
  </w:footnote>
  <w:footnote w:id="17">
    <w:p w14:paraId="50852D47" w14:textId="7E13D246" w:rsidR="00E524EA" w:rsidRPr="00B120AE" w:rsidRDefault="001C0031" w:rsidP="00E524EA">
      <w:pPr>
        <w:pStyle w:val="Notedebasdepage"/>
        <w:rPr>
          <w:lang w:val="en-CA"/>
        </w:rPr>
      </w:pPr>
      <w:r w:rsidRPr="00B120AE">
        <w:rPr>
          <w:rStyle w:val="Appelnotedebasdep"/>
          <w:lang w:val="en-CA"/>
        </w:rPr>
        <w:footnoteRef/>
      </w:r>
      <w:r w:rsidRPr="00B120AE">
        <w:rPr>
          <w:lang w:val="en-CA"/>
        </w:rPr>
        <w:tab/>
      </w:r>
      <w:r w:rsidRPr="00B120AE">
        <w:rPr>
          <w:i/>
          <w:iCs/>
          <w:lang w:val="en-CA"/>
        </w:rPr>
        <w:t>Charter of Human Rights and Freedoms</w:t>
      </w:r>
      <w:r w:rsidRPr="00B120AE">
        <w:rPr>
          <w:lang w:val="en-CA"/>
        </w:rPr>
        <w:t>, CQLR, c. C</w:t>
      </w:r>
      <w:r w:rsidR="00720901">
        <w:rPr>
          <w:lang w:val="en-CA"/>
        </w:rPr>
        <w:noBreakHyphen/>
      </w:r>
      <w:r w:rsidRPr="00B120AE">
        <w:rPr>
          <w:lang w:val="en-CA"/>
        </w:rPr>
        <w:t>12.</w:t>
      </w:r>
    </w:p>
  </w:footnote>
  <w:footnote w:id="18">
    <w:p w14:paraId="50852D48" w14:textId="32771FBC" w:rsidR="00E524EA" w:rsidRPr="00B120AE" w:rsidRDefault="001C0031" w:rsidP="00E524EA">
      <w:pPr>
        <w:pStyle w:val="Notedebasdepage"/>
        <w:rPr>
          <w:lang w:val="en-CA"/>
        </w:rPr>
      </w:pPr>
      <w:r w:rsidRPr="00B120AE">
        <w:rPr>
          <w:rStyle w:val="Appelnotedebasdep"/>
          <w:lang w:val="en-CA"/>
        </w:rPr>
        <w:footnoteRef/>
      </w:r>
      <w:r w:rsidRPr="00116DBB">
        <w:t xml:space="preserve"> </w:t>
      </w:r>
      <w:r w:rsidRPr="00116DBB">
        <w:tab/>
      </w:r>
      <w:r w:rsidRPr="00116DBB">
        <w:rPr>
          <w:i/>
          <w:iCs/>
        </w:rPr>
        <w:t>Procureur général du Québec c. Gallant</w:t>
      </w:r>
      <w:r w:rsidRPr="00116DBB">
        <w:t>, 2021 QCCA 1701 [</w:t>
      </w:r>
      <w:r w:rsidRPr="00116DBB">
        <w:rPr>
          <w:i/>
          <w:iCs/>
        </w:rPr>
        <w:t>Gallant</w:t>
      </w:r>
      <w:r w:rsidRPr="00116DBB">
        <w:t>], par</w:t>
      </w:r>
      <w:r w:rsidR="008742D0" w:rsidRPr="00116DBB">
        <w:t>a. 2</w:t>
      </w:r>
      <w:r w:rsidRPr="00116DBB">
        <w:t xml:space="preserve">56, </w:t>
      </w:r>
      <w:proofErr w:type="spellStart"/>
      <w:r w:rsidRPr="00116DBB">
        <w:t>citing</w:t>
      </w:r>
      <w:proofErr w:type="spellEnd"/>
      <w:r w:rsidRPr="00116DBB">
        <w:t xml:space="preserve"> </w:t>
      </w:r>
      <w:r w:rsidRPr="00116DBB">
        <w:rPr>
          <w:i/>
          <w:iCs/>
        </w:rPr>
        <w:t>Ville de Montréal c. Astral Media Affichage</w:t>
      </w:r>
      <w:r w:rsidRPr="00116DBB">
        <w:t>, 2019 QCCA 1609, par</w:t>
      </w:r>
      <w:r w:rsidR="008742D0" w:rsidRPr="00116DBB">
        <w:t>a. </w:t>
      </w:r>
      <w:r w:rsidR="008742D0">
        <w:rPr>
          <w:lang w:val="en-CA"/>
        </w:rPr>
        <w:t>1</w:t>
      </w:r>
      <w:r w:rsidRPr="00B120AE">
        <w:rPr>
          <w:lang w:val="en-CA"/>
        </w:rPr>
        <w:t xml:space="preserve">03, application for leave to appeal to the Supreme Court dismissed, May 7, 2020, No. 38911. See also: </w:t>
      </w:r>
      <w:r w:rsidRPr="00B120AE">
        <w:rPr>
          <w:i/>
          <w:iCs/>
          <w:lang w:val="en-CA"/>
        </w:rPr>
        <w:t>Ford v. Québec (Attorney General)</w:t>
      </w:r>
      <w:r w:rsidRPr="00B120AE">
        <w:rPr>
          <w:lang w:val="en-CA"/>
        </w:rPr>
        <w:t>, [1988] 2</w:t>
      </w:r>
      <w:r w:rsidR="00D50AA0">
        <w:rPr>
          <w:lang w:val="en-CA"/>
        </w:rPr>
        <w:t> </w:t>
      </w:r>
      <w:r w:rsidRPr="00B120AE">
        <w:rPr>
          <w:lang w:val="en-CA"/>
        </w:rPr>
        <w:t>S.C.R. 712, p. 748 [</w:t>
      </w:r>
      <w:r w:rsidRPr="00B120AE">
        <w:rPr>
          <w:i/>
          <w:iCs/>
          <w:lang w:val="en-CA"/>
        </w:rPr>
        <w:t>Ford</w:t>
      </w:r>
      <w:r w:rsidRPr="00B120AE">
        <w:rPr>
          <w:lang w:val="en-CA"/>
        </w:rPr>
        <w:t>].</w:t>
      </w:r>
    </w:p>
  </w:footnote>
  <w:footnote w:id="19">
    <w:p w14:paraId="50852D49" w14:textId="18FEB1A4" w:rsidR="00E524EA" w:rsidRPr="00116DBB"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r>
      <w:r w:rsidRPr="00B120AE">
        <w:rPr>
          <w:i/>
          <w:iCs/>
          <w:lang w:val="en-CA"/>
        </w:rPr>
        <w:t>Greater Vancouver Transportation Authority v. Canadian Federation of Students — British Columbia Component</w:t>
      </w:r>
      <w:r w:rsidRPr="00B120AE">
        <w:rPr>
          <w:lang w:val="en-CA"/>
        </w:rPr>
        <w:t>, 2009 SCC 31, par</w:t>
      </w:r>
      <w:r w:rsidR="008742D0">
        <w:rPr>
          <w:lang w:val="en-CA"/>
        </w:rPr>
        <w:t>a. </w:t>
      </w:r>
      <w:r w:rsidR="008742D0" w:rsidRPr="00116DBB">
        <w:t>2</w:t>
      </w:r>
      <w:r w:rsidRPr="00116DBB">
        <w:t xml:space="preserve">7 and the case </w:t>
      </w:r>
      <w:proofErr w:type="spellStart"/>
      <w:r w:rsidRPr="00116DBB">
        <w:t>law</w:t>
      </w:r>
      <w:proofErr w:type="spellEnd"/>
      <w:r w:rsidRPr="00116DBB">
        <w:t xml:space="preserve"> </w:t>
      </w:r>
      <w:proofErr w:type="spellStart"/>
      <w:r w:rsidRPr="00116DBB">
        <w:t>cited</w:t>
      </w:r>
      <w:proofErr w:type="spellEnd"/>
      <w:r w:rsidRPr="00116DBB">
        <w:t xml:space="preserve"> </w:t>
      </w:r>
      <w:proofErr w:type="spellStart"/>
      <w:r w:rsidRPr="00116DBB">
        <w:t>therein</w:t>
      </w:r>
      <w:proofErr w:type="spellEnd"/>
      <w:r w:rsidRPr="00116DBB">
        <w:t xml:space="preserve">. </w:t>
      </w:r>
    </w:p>
  </w:footnote>
  <w:footnote w:id="20">
    <w:p w14:paraId="50852D4A" w14:textId="1432F7A2" w:rsidR="00E524EA" w:rsidRPr="00B120AE" w:rsidRDefault="001C0031" w:rsidP="00E524EA">
      <w:pPr>
        <w:pStyle w:val="Notedebasdepage"/>
        <w:rPr>
          <w:i/>
          <w:iCs/>
          <w:lang w:val="en-CA"/>
        </w:rPr>
      </w:pPr>
      <w:r w:rsidRPr="00B120AE">
        <w:rPr>
          <w:rStyle w:val="Appelnotedebasdep"/>
          <w:lang w:val="en-CA"/>
        </w:rPr>
        <w:footnoteRef/>
      </w:r>
      <w:r w:rsidRPr="00116DBB">
        <w:t xml:space="preserve"> </w:t>
      </w:r>
      <w:r w:rsidRPr="00116DBB">
        <w:tab/>
      </w:r>
      <w:proofErr w:type="spellStart"/>
      <w:r w:rsidRPr="00116DBB">
        <w:t>See</w:t>
      </w:r>
      <w:proofErr w:type="spellEnd"/>
      <w:r w:rsidRPr="00116DBB">
        <w:t xml:space="preserve">, for </w:t>
      </w:r>
      <w:proofErr w:type="spellStart"/>
      <w:r w:rsidRPr="00116DBB">
        <w:t>example</w:t>
      </w:r>
      <w:proofErr w:type="spellEnd"/>
      <w:r w:rsidRPr="00116DBB">
        <w:t xml:space="preserve">: </w:t>
      </w:r>
      <w:r w:rsidRPr="00116DBB">
        <w:rPr>
          <w:i/>
          <w:iCs/>
        </w:rPr>
        <w:t>Ward</w:t>
      </w:r>
      <w:r w:rsidRPr="00116DBB">
        <w:t xml:space="preserve"> v</w:t>
      </w:r>
      <w:r w:rsidRPr="00116DBB">
        <w:rPr>
          <w:i/>
          <w:iCs/>
        </w:rPr>
        <w:t>.</w:t>
      </w:r>
      <w:r w:rsidRPr="00116DBB">
        <w:t xml:space="preserve"> </w:t>
      </w:r>
      <w:r w:rsidRPr="00116DBB">
        <w:rPr>
          <w:i/>
          <w:iCs/>
        </w:rPr>
        <w:t>Québec (Commission des droits de la personne et des droits de la jeunesse)</w:t>
      </w:r>
      <w:r w:rsidRPr="00116DBB">
        <w:t>, 2021</w:t>
      </w:r>
      <w:r w:rsidR="00D50AA0" w:rsidRPr="00116DBB">
        <w:t> </w:t>
      </w:r>
      <w:r w:rsidRPr="00116DBB">
        <w:t>SCC</w:t>
      </w:r>
      <w:r w:rsidR="00D50AA0" w:rsidRPr="00116DBB">
        <w:t> </w:t>
      </w:r>
      <w:r w:rsidRPr="00116DBB">
        <w:t>43 [</w:t>
      </w:r>
      <w:r w:rsidRPr="00116DBB">
        <w:rPr>
          <w:i/>
          <w:iCs/>
        </w:rPr>
        <w:t>Ward</w:t>
      </w:r>
      <w:r w:rsidRPr="00116DBB">
        <w:t>], para</w:t>
      </w:r>
      <w:r w:rsidR="008742D0" w:rsidRPr="00116DBB">
        <w:t>s. </w:t>
      </w:r>
      <w:r w:rsidR="008742D0">
        <w:rPr>
          <w:lang w:val="en-CA"/>
        </w:rPr>
        <w:t>5</w:t>
      </w:r>
      <w:r w:rsidRPr="00B120AE">
        <w:rPr>
          <w:lang w:val="en-CA"/>
        </w:rPr>
        <w:t>9</w:t>
      </w:r>
      <w:r w:rsidR="00720901">
        <w:rPr>
          <w:lang w:val="en-CA"/>
        </w:rPr>
        <w:noBreakHyphen/>
      </w:r>
      <w:r w:rsidRPr="00B120AE">
        <w:rPr>
          <w:lang w:val="en-CA"/>
        </w:rPr>
        <w:t xml:space="preserve">60; </w:t>
      </w:r>
      <w:r w:rsidRPr="00B120AE">
        <w:rPr>
          <w:i/>
          <w:iCs/>
          <w:lang w:val="en-CA"/>
        </w:rPr>
        <w:t>Edmonton Journal v. Alberta (Attorney General)</w:t>
      </w:r>
      <w:r w:rsidRPr="00B120AE">
        <w:rPr>
          <w:lang w:val="en-CA"/>
        </w:rPr>
        <w:t>, [1989] 2</w:t>
      </w:r>
      <w:r w:rsidR="00D50AA0">
        <w:rPr>
          <w:lang w:val="en-CA"/>
        </w:rPr>
        <w:t> </w:t>
      </w:r>
      <w:r w:rsidRPr="00B120AE">
        <w:rPr>
          <w:lang w:val="en-CA"/>
        </w:rPr>
        <w:t xml:space="preserve">S.C.R. 1326, p. 1336; </w:t>
      </w:r>
      <w:r w:rsidRPr="00B120AE">
        <w:rPr>
          <w:i/>
          <w:iCs/>
          <w:lang w:val="en-CA"/>
        </w:rPr>
        <w:t>Irwin Toy Ltd. v. Quebec (Attorney General)</w:t>
      </w:r>
      <w:r w:rsidRPr="00B120AE">
        <w:rPr>
          <w:lang w:val="en-CA"/>
        </w:rPr>
        <w:t>, [1989] 1 S.C.R. 927 [</w:t>
      </w:r>
      <w:r w:rsidRPr="00B120AE">
        <w:rPr>
          <w:i/>
          <w:iCs/>
          <w:lang w:val="en-CA"/>
        </w:rPr>
        <w:t>Irwin Toy</w:t>
      </w:r>
      <w:r w:rsidRPr="00B120AE">
        <w:rPr>
          <w:lang w:val="en-CA"/>
        </w:rPr>
        <w:t xml:space="preserve">], p. 968; </w:t>
      </w:r>
      <w:proofErr w:type="spellStart"/>
      <w:r w:rsidRPr="00B120AE">
        <w:rPr>
          <w:i/>
          <w:iCs/>
          <w:lang w:val="en-CA"/>
        </w:rPr>
        <w:t>Switzman</w:t>
      </w:r>
      <w:proofErr w:type="spellEnd"/>
      <w:r w:rsidRPr="00B120AE">
        <w:rPr>
          <w:i/>
          <w:iCs/>
          <w:lang w:val="en-CA"/>
        </w:rPr>
        <w:t xml:space="preserve"> v. </w:t>
      </w:r>
      <w:proofErr w:type="spellStart"/>
      <w:r w:rsidRPr="00B120AE">
        <w:rPr>
          <w:i/>
          <w:iCs/>
          <w:lang w:val="en-CA"/>
        </w:rPr>
        <w:t>Elbling</w:t>
      </w:r>
      <w:proofErr w:type="spellEnd"/>
      <w:r w:rsidRPr="00B120AE">
        <w:rPr>
          <w:lang w:val="en-CA"/>
        </w:rPr>
        <w:t>, [1957] S.C.R. 285, pp. 358 and 369 as well as p. 306, reasons of Rand,</w:t>
      </w:r>
      <w:r w:rsidR="00D50AA0">
        <w:rPr>
          <w:lang w:val="en-CA"/>
        </w:rPr>
        <w:t> </w:t>
      </w:r>
      <w:r w:rsidRPr="00B120AE">
        <w:rPr>
          <w:lang w:val="en-CA"/>
        </w:rPr>
        <w:t xml:space="preserve">J., who underscored that freedom of expression is </w:t>
      </w:r>
      <w:r w:rsidR="00282C6C">
        <w:rPr>
          <w:lang w:val="en-CA"/>
        </w:rPr>
        <w:t>“</w:t>
      </w:r>
      <w:r w:rsidRPr="00B120AE">
        <w:rPr>
          <w:lang w:val="en-CA"/>
        </w:rPr>
        <w:t>little less vital to man</w:t>
      </w:r>
      <w:r w:rsidR="00282C6C">
        <w:rPr>
          <w:lang w:val="en-CA"/>
        </w:rPr>
        <w:t>’</w:t>
      </w:r>
      <w:r w:rsidRPr="00B120AE">
        <w:rPr>
          <w:lang w:val="en-CA"/>
        </w:rPr>
        <w:t>s mind and spirit than breathing is to his physical existence</w:t>
      </w:r>
      <w:r w:rsidR="00282C6C">
        <w:rPr>
          <w:lang w:val="en-CA"/>
        </w:rPr>
        <w:t>”</w:t>
      </w:r>
      <w:r w:rsidRPr="00B120AE">
        <w:rPr>
          <w:lang w:val="en-CA"/>
        </w:rPr>
        <w:t>.</w:t>
      </w:r>
    </w:p>
  </w:footnote>
  <w:footnote w:id="21">
    <w:p w14:paraId="50852D4B"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 xml:space="preserve">Irwin Toy, </w:t>
      </w:r>
      <w:r w:rsidRPr="00B120AE">
        <w:rPr>
          <w:lang w:val="en-CA"/>
        </w:rPr>
        <w:t>p. 968.</w:t>
      </w:r>
    </w:p>
  </w:footnote>
  <w:footnote w:id="22">
    <w:p w14:paraId="50852D4C"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Ford</w:t>
      </w:r>
      <w:r w:rsidRPr="00B120AE">
        <w:rPr>
          <w:lang w:val="en-CA"/>
        </w:rPr>
        <w:t xml:space="preserve">, p. 765. </w:t>
      </w:r>
    </w:p>
  </w:footnote>
  <w:footnote w:id="23">
    <w:p w14:paraId="50852D4D" w14:textId="77777777"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Irwin Toy</w:t>
      </w:r>
      <w:r w:rsidRPr="00116DBB">
        <w:t>, p. 976.</w:t>
      </w:r>
    </w:p>
  </w:footnote>
  <w:footnote w:id="24">
    <w:p w14:paraId="50852D4E" w14:textId="7B0AAF34" w:rsidR="00E524EA" w:rsidRPr="00B120AE" w:rsidRDefault="001C0031" w:rsidP="00E524EA">
      <w:pPr>
        <w:pStyle w:val="Notedebasdepage"/>
        <w:rPr>
          <w:lang w:val="en-CA"/>
        </w:rPr>
      </w:pPr>
      <w:r w:rsidRPr="00B120AE">
        <w:rPr>
          <w:rStyle w:val="Appelnotedebasdep"/>
          <w:lang w:val="en-CA"/>
        </w:rPr>
        <w:footnoteRef/>
      </w:r>
      <w:r w:rsidRPr="00116DBB">
        <w:t xml:space="preserve"> </w:t>
      </w:r>
      <w:r w:rsidRPr="00116DBB">
        <w:tab/>
      </w:r>
      <w:r w:rsidRPr="00116DBB">
        <w:rPr>
          <w:i/>
          <w:iCs/>
        </w:rPr>
        <w:t>Aubry</w:t>
      </w:r>
      <w:r w:rsidRPr="00116DBB">
        <w:t xml:space="preserve"> </w:t>
      </w:r>
      <w:r w:rsidRPr="00116DBB">
        <w:rPr>
          <w:i/>
          <w:iCs/>
        </w:rPr>
        <w:t>v.</w:t>
      </w:r>
      <w:r w:rsidRPr="00116DBB">
        <w:t xml:space="preserve"> </w:t>
      </w:r>
      <w:r w:rsidRPr="00116DBB">
        <w:rPr>
          <w:i/>
          <w:iCs/>
        </w:rPr>
        <w:t>Éditions Vice</w:t>
      </w:r>
      <w:r w:rsidR="00720901" w:rsidRPr="00116DBB">
        <w:rPr>
          <w:i/>
          <w:iCs/>
        </w:rPr>
        <w:noBreakHyphen/>
      </w:r>
      <w:r w:rsidRPr="00116DBB">
        <w:rPr>
          <w:i/>
          <w:iCs/>
        </w:rPr>
        <w:t>Versa inc.</w:t>
      </w:r>
      <w:r w:rsidRPr="00116DBB">
        <w:t>, [1998] 1 S.C.R. 591, par</w:t>
      </w:r>
      <w:r w:rsidR="008742D0" w:rsidRPr="00116DBB">
        <w:t>a. </w:t>
      </w:r>
      <w:r w:rsidR="008742D0">
        <w:rPr>
          <w:lang w:val="en-CA"/>
        </w:rPr>
        <w:t>5</w:t>
      </w:r>
      <w:r w:rsidRPr="00B120AE">
        <w:rPr>
          <w:lang w:val="en-CA"/>
        </w:rPr>
        <w:t xml:space="preserve">5. </w:t>
      </w:r>
    </w:p>
  </w:footnote>
  <w:footnote w:id="25">
    <w:p w14:paraId="50852D4F"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R. v. Butler</w:t>
      </w:r>
      <w:r w:rsidRPr="00B120AE">
        <w:rPr>
          <w:lang w:val="en-CA"/>
        </w:rPr>
        <w:t>, [1992] 1 S.C.R. 452 [</w:t>
      </w:r>
      <w:r w:rsidRPr="00B120AE">
        <w:rPr>
          <w:i/>
          <w:iCs/>
          <w:lang w:val="en-CA"/>
        </w:rPr>
        <w:t>Butler</w:t>
      </w:r>
      <w:r w:rsidRPr="00B120AE">
        <w:rPr>
          <w:lang w:val="en-CA"/>
        </w:rPr>
        <w:t>], p. 486.</w:t>
      </w:r>
    </w:p>
  </w:footnote>
  <w:footnote w:id="26">
    <w:p w14:paraId="50852D50" w14:textId="1C3D2288"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Ward</w:t>
      </w:r>
      <w:r w:rsidRPr="00B120AE">
        <w:rPr>
          <w:lang w:val="en-CA"/>
        </w:rPr>
        <w:t>, par</w:t>
      </w:r>
      <w:r w:rsidR="008742D0">
        <w:rPr>
          <w:lang w:val="en-CA"/>
        </w:rPr>
        <w:t>a. 6</w:t>
      </w:r>
      <w:r w:rsidRPr="00B120AE">
        <w:rPr>
          <w:lang w:val="en-CA"/>
        </w:rPr>
        <w:t xml:space="preserve">4. </w:t>
      </w:r>
    </w:p>
  </w:footnote>
  <w:footnote w:id="27">
    <w:p w14:paraId="50852D51" w14:textId="2B9B8088"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Toronto (City) v. Ontario (Attorney General)</w:t>
      </w:r>
      <w:r w:rsidRPr="00B120AE">
        <w:rPr>
          <w:lang w:val="en-CA"/>
        </w:rPr>
        <w:t>, 2021 SCC 34, par</w:t>
      </w:r>
      <w:r w:rsidR="008742D0">
        <w:rPr>
          <w:lang w:val="en-CA"/>
        </w:rPr>
        <w:t>a. 1</w:t>
      </w:r>
      <w:r w:rsidRPr="00B120AE">
        <w:rPr>
          <w:lang w:val="en-CA"/>
        </w:rPr>
        <w:t xml:space="preserve">6; </w:t>
      </w:r>
      <w:r w:rsidRPr="00B120AE">
        <w:rPr>
          <w:i/>
          <w:iCs/>
          <w:lang w:val="en-CA"/>
        </w:rPr>
        <w:t>Baier</w:t>
      </w:r>
      <w:r w:rsidRPr="00B120AE">
        <w:rPr>
          <w:lang w:val="en-CA"/>
        </w:rPr>
        <w:t xml:space="preserve"> v</w:t>
      </w:r>
      <w:r w:rsidRPr="00B120AE">
        <w:rPr>
          <w:i/>
          <w:iCs/>
          <w:lang w:val="en-CA"/>
        </w:rPr>
        <w:t>.</w:t>
      </w:r>
      <w:r w:rsidRPr="00B120AE">
        <w:rPr>
          <w:lang w:val="en-CA"/>
        </w:rPr>
        <w:t xml:space="preserve"> </w:t>
      </w:r>
      <w:r w:rsidRPr="00B120AE">
        <w:rPr>
          <w:i/>
          <w:iCs/>
          <w:lang w:val="en-CA"/>
        </w:rPr>
        <w:t>Alberta</w:t>
      </w:r>
      <w:r w:rsidRPr="00B120AE">
        <w:rPr>
          <w:lang w:val="en-CA"/>
        </w:rPr>
        <w:t>, 2007 SCC 31, par</w:t>
      </w:r>
      <w:r w:rsidR="008742D0">
        <w:rPr>
          <w:lang w:val="en-CA"/>
        </w:rPr>
        <w:t>a. 3</w:t>
      </w:r>
      <w:r w:rsidRPr="00B120AE">
        <w:rPr>
          <w:lang w:val="en-CA"/>
        </w:rPr>
        <w:t>5.</w:t>
      </w:r>
    </w:p>
  </w:footnote>
  <w:footnote w:id="28">
    <w:p w14:paraId="50852D52" w14:textId="6F2355D3"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Irwin Toy</w:t>
      </w:r>
      <w:r w:rsidRPr="00B120AE">
        <w:rPr>
          <w:lang w:val="en-CA"/>
        </w:rPr>
        <w:t xml:space="preserve">, pp. 967 and 971; </w:t>
      </w:r>
      <w:r w:rsidRPr="00B120AE">
        <w:rPr>
          <w:i/>
          <w:iCs/>
          <w:lang w:val="en-CA"/>
        </w:rPr>
        <w:t>Canadian Broadcasting Corp. v. Canada (Attorney General)</w:t>
      </w:r>
      <w:r w:rsidRPr="00B120AE">
        <w:rPr>
          <w:lang w:val="en-CA"/>
        </w:rPr>
        <w:t>, 2011 SCC 2 [</w:t>
      </w:r>
      <w:r w:rsidRPr="00B120AE">
        <w:rPr>
          <w:i/>
          <w:iCs/>
          <w:lang w:val="en-CA"/>
        </w:rPr>
        <w:t>CBC</w:t>
      </w:r>
      <w:r w:rsidRPr="00B120AE">
        <w:rPr>
          <w:lang w:val="en-CA"/>
        </w:rPr>
        <w:t>], par</w:t>
      </w:r>
      <w:r w:rsidR="008742D0">
        <w:rPr>
          <w:lang w:val="en-CA"/>
        </w:rPr>
        <w:t>a. 3</w:t>
      </w:r>
      <w:r w:rsidRPr="00B120AE">
        <w:rPr>
          <w:lang w:val="en-CA"/>
        </w:rPr>
        <w:t>3.</w:t>
      </w:r>
    </w:p>
  </w:footnote>
  <w:footnote w:id="29">
    <w:p w14:paraId="50852D53" w14:textId="0F3E37FF"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CBC</w:t>
      </w:r>
      <w:r w:rsidRPr="00B120AE">
        <w:rPr>
          <w:lang w:val="en-CA"/>
        </w:rPr>
        <w:t>, para</w:t>
      </w:r>
      <w:r w:rsidR="008742D0">
        <w:rPr>
          <w:lang w:val="en-CA"/>
        </w:rPr>
        <w:t>s. 3</w:t>
      </w:r>
      <w:r w:rsidRPr="00B120AE">
        <w:rPr>
          <w:lang w:val="en-CA"/>
        </w:rPr>
        <w:t>4</w:t>
      </w:r>
      <w:r w:rsidR="00720901">
        <w:rPr>
          <w:lang w:val="en-CA"/>
        </w:rPr>
        <w:noBreakHyphen/>
      </w:r>
      <w:r w:rsidRPr="00B120AE">
        <w:rPr>
          <w:lang w:val="en-CA"/>
        </w:rPr>
        <w:t xml:space="preserve">35; </w:t>
      </w:r>
      <w:r w:rsidRPr="00B120AE">
        <w:rPr>
          <w:i/>
          <w:iCs/>
          <w:lang w:val="en-CA"/>
        </w:rPr>
        <w:t>Montréal (City) v. 2952</w:t>
      </w:r>
      <w:r w:rsidR="00720901">
        <w:rPr>
          <w:i/>
          <w:iCs/>
          <w:lang w:val="en-CA"/>
        </w:rPr>
        <w:noBreakHyphen/>
      </w:r>
      <w:r w:rsidRPr="00B120AE">
        <w:rPr>
          <w:i/>
          <w:iCs/>
          <w:lang w:val="en-CA"/>
        </w:rPr>
        <w:t>1366 Québec Inc.</w:t>
      </w:r>
      <w:r w:rsidRPr="00B120AE">
        <w:rPr>
          <w:lang w:val="en-CA"/>
        </w:rPr>
        <w:t>, 2005 SCC 62 [</w:t>
      </w:r>
      <w:r w:rsidRPr="00B120AE">
        <w:rPr>
          <w:i/>
          <w:iCs/>
          <w:lang w:val="en-CA"/>
        </w:rPr>
        <w:t>City of Montréal</w:t>
      </w:r>
      <w:r w:rsidRPr="00B120AE">
        <w:rPr>
          <w:lang w:val="en-CA"/>
        </w:rPr>
        <w:t>], par</w:t>
      </w:r>
      <w:r w:rsidR="008742D0">
        <w:rPr>
          <w:lang w:val="en-CA"/>
        </w:rPr>
        <w:t>a. 6</w:t>
      </w:r>
      <w:r w:rsidRPr="00B120AE">
        <w:rPr>
          <w:lang w:val="en-CA"/>
        </w:rPr>
        <w:t>0.</w:t>
      </w:r>
    </w:p>
  </w:footnote>
  <w:footnote w:id="30">
    <w:p w14:paraId="50852D54"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Irwin Toy</w:t>
      </w:r>
      <w:r w:rsidRPr="00B120AE">
        <w:rPr>
          <w:lang w:val="en-CA"/>
        </w:rPr>
        <w:t>, p. 976.</w:t>
      </w:r>
    </w:p>
  </w:footnote>
  <w:footnote w:id="31">
    <w:p w14:paraId="50852D55" w14:textId="0A952BF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pp. 969</w:t>
      </w:r>
      <w:r w:rsidR="00720901">
        <w:rPr>
          <w:lang w:val="en-CA"/>
        </w:rPr>
        <w:noBreakHyphen/>
      </w:r>
      <w:r w:rsidRPr="00B120AE">
        <w:rPr>
          <w:lang w:val="en-CA"/>
        </w:rPr>
        <w:t>970.</w:t>
      </w:r>
    </w:p>
  </w:footnote>
  <w:footnote w:id="32">
    <w:p w14:paraId="50852D56"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 969.</w:t>
      </w:r>
    </w:p>
  </w:footnote>
  <w:footnote w:id="33">
    <w:p w14:paraId="50852D57" w14:textId="056B0AFA"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Butler</w:t>
      </w:r>
      <w:r w:rsidRPr="00B120AE">
        <w:rPr>
          <w:lang w:val="en-CA"/>
        </w:rPr>
        <w:t>, pp. 489</w:t>
      </w:r>
      <w:r w:rsidR="00720901">
        <w:rPr>
          <w:lang w:val="en-CA"/>
        </w:rPr>
        <w:noBreakHyphen/>
      </w:r>
      <w:r w:rsidRPr="00B120AE">
        <w:rPr>
          <w:lang w:val="en-CA"/>
        </w:rPr>
        <w:t>490.</w:t>
      </w:r>
    </w:p>
  </w:footnote>
  <w:footnote w:id="34">
    <w:p w14:paraId="50852D58" w14:textId="74EE6C25"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Irwin Toy</w:t>
      </w:r>
      <w:r w:rsidRPr="00B120AE">
        <w:rPr>
          <w:lang w:val="en-CA"/>
        </w:rPr>
        <w:t xml:space="preserve">, p. 970. </w:t>
      </w:r>
      <w:r w:rsidRPr="00B120AE">
        <w:rPr>
          <w:i/>
          <w:iCs/>
          <w:lang w:val="en-CA"/>
        </w:rPr>
        <w:t>City of Montréal</w:t>
      </w:r>
      <w:r w:rsidRPr="00B120AE">
        <w:rPr>
          <w:lang w:val="en-CA"/>
        </w:rPr>
        <w:t>, par</w:t>
      </w:r>
      <w:r w:rsidR="008742D0">
        <w:rPr>
          <w:lang w:val="en-CA"/>
        </w:rPr>
        <w:t>a. 7</w:t>
      </w:r>
      <w:r w:rsidRPr="00B120AE">
        <w:rPr>
          <w:lang w:val="en-CA"/>
        </w:rPr>
        <w:t xml:space="preserve">2. </w:t>
      </w:r>
    </w:p>
  </w:footnote>
  <w:footnote w:id="35">
    <w:p w14:paraId="50852D59" w14:textId="18704DC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CBC</w:t>
      </w:r>
      <w:r w:rsidRPr="00B120AE">
        <w:rPr>
          <w:lang w:val="en-CA"/>
        </w:rPr>
        <w:t>, par</w:t>
      </w:r>
      <w:r w:rsidR="008742D0">
        <w:rPr>
          <w:lang w:val="en-CA"/>
        </w:rPr>
        <w:t>a. 3</w:t>
      </w:r>
      <w:r w:rsidRPr="00B120AE">
        <w:rPr>
          <w:lang w:val="en-CA"/>
        </w:rPr>
        <w:t xml:space="preserve">7; </w:t>
      </w:r>
      <w:r w:rsidRPr="00B120AE">
        <w:rPr>
          <w:i/>
          <w:iCs/>
          <w:lang w:val="en-CA"/>
        </w:rPr>
        <w:t>City of Montréal</w:t>
      </w:r>
      <w:r w:rsidRPr="00B120AE">
        <w:rPr>
          <w:lang w:val="en-CA"/>
        </w:rPr>
        <w:t>, par</w:t>
      </w:r>
      <w:r w:rsidR="008742D0">
        <w:rPr>
          <w:lang w:val="en-CA"/>
        </w:rPr>
        <w:t>a. 7</w:t>
      </w:r>
      <w:r w:rsidRPr="00B120AE">
        <w:rPr>
          <w:lang w:val="en-CA"/>
        </w:rPr>
        <w:t>4.</w:t>
      </w:r>
    </w:p>
  </w:footnote>
  <w:footnote w:id="36">
    <w:p w14:paraId="50852D5A"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Irwin Toy</w:t>
      </w:r>
      <w:r w:rsidRPr="00B120AE">
        <w:rPr>
          <w:lang w:val="en-CA"/>
        </w:rPr>
        <w:t>, p. 972.</w:t>
      </w:r>
    </w:p>
  </w:footnote>
  <w:footnote w:id="37">
    <w:p w14:paraId="50852D5B" w14:textId="2AC6BF1F"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pp. 976</w:t>
      </w:r>
      <w:r w:rsidR="00720901">
        <w:rPr>
          <w:lang w:val="en-CA"/>
        </w:rPr>
        <w:noBreakHyphen/>
      </w:r>
      <w:r w:rsidRPr="00B120AE">
        <w:rPr>
          <w:lang w:val="en-CA"/>
        </w:rPr>
        <w:t>977.</w:t>
      </w:r>
    </w:p>
  </w:footnote>
  <w:footnote w:id="38">
    <w:p w14:paraId="50852D5C"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Ford</w:t>
      </w:r>
      <w:r w:rsidRPr="00B120AE">
        <w:rPr>
          <w:lang w:val="en-CA"/>
        </w:rPr>
        <w:t>, p. 748.</w:t>
      </w:r>
    </w:p>
  </w:footnote>
  <w:footnote w:id="39">
    <w:p w14:paraId="50852D5D"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Ibid.</w:t>
      </w:r>
    </w:p>
  </w:footnote>
  <w:footnote w:id="40">
    <w:p w14:paraId="50852D5E"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Ibid.</w:t>
      </w:r>
    </w:p>
  </w:footnote>
  <w:footnote w:id="41">
    <w:p w14:paraId="50852D5F" w14:textId="15C7025F"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CBC</w:t>
      </w:r>
      <w:r w:rsidRPr="00B120AE">
        <w:rPr>
          <w:lang w:val="en-CA"/>
        </w:rPr>
        <w:t>, par</w:t>
      </w:r>
      <w:r w:rsidR="008742D0">
        <w:rPr>
          <w:lang w:val="en-CA"/>
        </w:rPr>
        <w:t>a. 5</w:t>
      </w:r>
      <w:r w:rsidRPr="00B120AE">
        <w:rPr>
          <w:lang w:val="en-CA"/>
        </w:rPr>
        <w:t>2.</w:t>
      </w:r>
    </w:p>
  </w:footnote>
  <w:footnote w:id="42">
    <w:p w14:paraId="50852D60" w14:textId="2759C30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w:t>
      </w:r>
      <w:r w:rsidR="008742D0">
        <w:rPr>
          <w:lang w:val="en-CA"/>
        </w:rPr>
        <w:t>a. 4</w:t>
      </w:r>
      <w:r w:rsidRPr="00B120AE">
        <w:rPr>
          <w:lang w:val="en-CA"/>
        </w:rPr>
        <w:t xml:space="preserve">3. </w:t>
      </w:r>
    </w:p>
  </w:footnote>
  <w:footnote w:id="43">
    <w:p w14:paraId="50852D61" w14:textId="00480538"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par</w:t>
      </w:r>
      <w:r w:rsidR="008742D0">
        <w:rPr>
          <w:lang w:val="en-CA"/>
        </w:rPr>
        <w:t>a. 4</w:t>
      </w:r>
      <w:r w:rsidRPr="00B120AE">
        <w:rPr>
          <w:lang w:val="en-CA"/>
        </w:rPr>
        <w:t xml:space="preserve">4. </w:t>
      </w:r>
    </w:p>
  </w:footnote>
  <w:footnote w:id="44">
    <w:p w14:paraId="50852D62"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w:t>
      </w:r>
    </w:p>
  </w:footnote>
  <w:footnote w:id="45">
    <w:p w14:paraId="50852D63" w14:textId="7A86DDCA"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Yellowknife (City) v. Denny</w:t>
      </w:r>
      <w:r w:rsidRPr="00B120AE">
        <w:rPr>
          <w:lang w:val="en-CA"/>
        </w:rPr>
        <w:t>, 2004 NWTTC 2, par</w:t>
      </w:r>
      <w:r w:rsidR="008742D0">
        <w:rPr>
          <w:lang w:val="en-CA"/>
        </w:rPr>
        <w:t>a. 6</w:t>
      </w:r>
      <w:r w:rsidRPr="00B120AE">
        <w:rPr>
          <w:lang w:val="en-CA"/>
        </w:rPr>
        <w:t xml:space="preserve">5. </w:t>
      </w:r>
    </w:p>
  </w:footnote>
  <w:footnote w:id="46">
    <w:p w14:paraId="50852D64" w14:textId="307F5455"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The list includes all types of plays from various eras, ranging from Edmond Rostand</w:t>
      </w:r>
      <w:r w:rsidR="00282C6C">
        <w:rPr>
          <w:lang w:val="en-CA"/>
        </w:rPr>
        <w:t>’</w:t>
      </w:r>
      <w:r w:rsidRPr="00B120AE">
        <w:rPr>
          <w:lang w:val="en-CA"/>
        </w:rPr>
        <w:t xml:space="preserve">s </w:t>
      </w:r>
      <w:r w:rsidRPr="00B120AE">
        <w:rPr>
          <w:i/>
          <w:iCs/>
          <w:lang w:val="en-CA"/>
        </w:rPr>
        <w:t>Cyrano de Bergerac</w:t>
      </w:r>
      <w:r w:rsidRPr="00B120AE">
        <w:rPr>
          <w:lang w:val="en-CA"/>
        </w:rPr>
        <w:t xml:space="preserve"> to Anton Chekov</w:t>
      </w:r>
      <w:r w:rsidR="00282C6C">
        <w:rPr>
          <w:lang w:val="en-CA"/>
        </w:rPr>
        <w:t>’</w:t>
      </w:r>
      <w:r w:rsidRPr="00B120AE">
        <w:rPr>
          <w:lang w:val="en-CA"/>
        </w:rPr>
        <w:t xml:space="preserve">s </w:t>
      </w:r>
      <w:r w:rsidRPr="00B120AE">
        <w:rPr>
          <w:i/>
          <w:iCs/>
          <w:lang w:val="en-CA"/>
        </w:rPr>
        <w:t>The Three Sisters</w:t>
      </w:r>
      <w:r w:rsidRPr="00B120AE">
        <w:rPr>
          <w:lang w:val="en-CA"/>
        </w:rPr>
        <w:t>, Marcel Dubé</w:t>
      </w:r>
      <w:r w:rsidR="00282C6C">
        <w:rPr>
          <w:lang w:val="en-CA"/>
        </w:rPr>
        <w:t>’</w:t>
      </w:r>
      <w:r w:rsidRPr="00B120AE">
        <w:rPr>
          <w:lang w:val="en-CA"/>
        </w:rPr>
        <w:t xml:space="preserve">s </w:t>
      </w:r>
      <w:r w:rsidRPr="00B120AE">
        <w:rPr>
          <w:i/>
          <w:iCs/>
          <w:lang w:val="en-CA"/>
        </w:rPr>
        <w:t>Un Simple Soldat</w:t>
      </w:r>
      <w:r w:rsidRPr="00B120AE">
        <w:rPr>
          <w:lang w:val="en-CA"/>
        </w:rPr>
        <w:t xml:space="preserve"> and Robert Lepage</w:t>
      </w:r>
      <w:r w:rsidR="00282C6C">
        <w:rPr>
          <w:lang w:val="en-CA"/>
        </w:rPr>
        <w:t>’</w:t>
      </w:r>
      <w:r w:rsidRPr="00B120AE">
        <w:rPr>
          <w:lang w:val="en-CA"/>
        </w:rPr>
        <w:t xml:space="preserve">s </w:t>
      </w:r>
      <w:r w:rsidRPr="00B120AE">
        <w:rPr>
          <w:i/>
          <w:iCs/>
          <w:lang w:val="en-CA"/>
        </w:rPr>
        <w:t>887</w:t>
      </w:r>
      <w:r w:rsidRPr="00B120AE">
        <w:rPr>
          <w:lang w:val="en-CA"/>
        </w:rPr>
        <w:t xml:space="preserve">. I note that the three plays in question in the case at bar are not mentioned, </w:t>
      </w:r>
      <w:proofErr w:type="gramStart"/>
      <w:r w:rsidRPr="00B120AE">
        <w:rPr>
          <w:lang w:val="en-CA"/>
        </w:rPr>
        <w:t>despite the fact that</w:t>
      </w:r>
      <w:proofErr w:type="gramEnd"/>
      <w:r w:rsidRPr="00B120AE">
        <w:rPr>
          <w:lang w:val="en-CA"/>
        </w:rPr>
        <w:t xml:space="preserve"> the stage directions for two of them, </w:t>
      </w:r>
      <w:r w:rsidRPr="00B120AE">
        <w:rPr>
          <w:i/>
          <w:iCs/>
          <w:lang w:val="en-CA"/>
        </w:rPr>
        <w:t xml:space="preserve">Le </w:t>
      </w:r>
      <w:proofErr w:type="spellStart"/>
      <w:r w:rsidRPr="00B120AE">
        <w:rPr>
          <w:i/>
          <w:iCs/>
          <w:lang w:val="en-CA"/>
        </w:rPr>
        <w:t>cas</w:t>
      </w:r>
      <w:proofErr w:type="spellEnd"/>
      <w:r w:rsidRPr="00B120AE">
        <w:rPr>
          <w:i/>
          <w:iCs/>
          <w:lang w:val="en-CA"/>
        </w:rPr>
        <w:t xml:space="preserve"> </w:t>
      </w:r>
      <w:proofErr w:type="spellStart"/>
      <w:r w:rsidRPr="00B120AE">
        <w:rPr>
          <w:i/>
          <w:iCs/>
          <w:lang w:val="en-CA"/>
        </w:rPr>
        <w:t>Joé</w:t>
      </w:r>
      <w:proofErr w:type="spellEnd"/>
      <w:r w:rsidRPr="00B120AE">
        <w:rPr>
          <w:i/>
          <w:iCs/>
          <w:lang w:val="en-CA"/>
        </w:rPr>
        <w:t xml:space="preserve"> Ferguson</w:t>
      </w:r>
      <w:r w:rsidRPr="00B120AE">
        <w:rPr>
          <w:lang w:val="en-CA"/>
        </w:rPr>
        <w:t xml:space="preserve"> and </w:t>
      </w:r>
      <w:r w:rsidRPr="00B120AE">
        <w:rPr>
          <w:i/>
          <w:iCs/>
          <w:lang w:val="en-CA"/>
        </w:rPr>
        <w:t>Rotterdam</w:t>
      </w:r>
      <w:r w:rsidRPr="00B120AE">
        <w:rPr>
          <w:lang w:val="en-CA"/>
        </w:rPr>
        <w:t xml:space="preserve">, explicitly mention that one or more characters smoke. </w:t>
      </w:r>
    </w:p>
  </w:footnote>
  <w:footnote w:id="47">
    <w:p w14:paraId="50852D65"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Text of the play </w:t>
      </w:r>
      <w:r w:rsidRPr="00B120AE">
        <w:rPr>
          <w:i/>
          <w:iCs/>
          <w:lang w:val="en-CA"/>
        </w:rPr>
        <w:t>Rotterdam</w:t>
      </w:r>
      <w:r w:rsidRPr="00B120AE">
        <w:rPr>
          <w:lang w:val="en-CA"/>
        </w:rPr>
        <w:t xml:space="preserve">, p. 54. </w:t>
      </w:r>
    </w:p>
  </w:footnote>
  <w:footnote w:id="48">
    <w:p w14:paraId="50852D66" w14:textId="745056F2"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The two packs of prop cigarettes filed in evidence, which cannot be lit, do not have a tip that glows redder when the cigarettes are brought to the mouth, nor do they produce any smoke. Several witnesses explained that prop cigarettes fail to create a credible illusion. Only David Strasbourg testified that there are prop cigarettes capable of producing smoke when blown into, rather than when inhaled. These prop cigarettes were not entered into evidence, and Mr.</w:t>
      </w:r>
      <w:r w:rsidR="00E0451D">
        <w:rPr>
          <w:lang w:val="en-CA"/>
        </w:rPr>
        <w:t> </w:t>
      </w:r>
      <w:r w:rsidRPr="00B120AE">
        <w:rPr>
          <w:lang w:val="en-CA"/>
        </w:rPr>
        <w:t xml:space="preserve">Strasbourg asserted that they are not credible. </w:t>
      </w:r>
    </w:p>
  </w:footnote>
  <w:footnote w:id="49">
    <w:p w14:paraId="50852D67" w14:textId="5FA74093"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Examination</w:t>
      </w:r>
      <w:r w:rsidR="00720901">
        <w:rPr>
          <w:lang w:val="en-CA"/>
        </w:rPr>
        <w:noBreakHyphen/>
      </w:r>
      <w:r w:rsidRPr="00B120AE">
        <w:rPr>
          <w:lang w:val="en-CA"/>
        </w:rPr>
        <w:t>in</w:t>
      </w:r>
      <w:r w:rsidR="00720901">
        <w:rPr>
          <w:lang w:val="en-CA"/>
        </w:rPr>
        <w:noBreakHyphen/>
      </w:r>
      <w:r w:rsidRPr="00B120AE">
        <w:rPr>
          <w:lang w:val="en-CA"/>
        </w:rPr>
        <w:t xml:space="preserve">chief of David Strasbourg, June 21, 2021, p. 93. </w:t>
      </w:r>
    </w:p>
  </w:footnote>
  <w:footnote w:id="50">
    <w:p w14:paraId="50852D68" w14:textId="7DB55FC5"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Cross</w:t>
      </w:r>
      <w:r w:rsidR="00720901">
        <w:rPr>
          <w:lang w:val="en-CA"/>
        </w:rPr>
        <w:noBreakHyphen/>
      </w:r>
      <w:r w:rsidRPr="00B120AE">
        <w:rPr>
          <w:lang w:val="en-CA"/>
        </w:rPr>
        <w:t xml:space="preserve">examination of Édith Patenaude, June 18, 2021, p. 171. </w:t>
      </w:r>
    </w:p>
  </w:footnote>
  <w:footnote w:id="51">
    <w:p w14:paraId="50852D69" w14:textId="31F5780B"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In this regard, one need only recall the controversy in the late </w:t>
      </w:r>
      <w:r w:rsidR="00282C6C">
        <w:rPr>
          <w:lang w:val="en-CA"/>
        </w:rPr>
        <w:t>‘</w:t>
      </w:r>
      <w:r w:rsidRPr="00B120AE">
        <w:rPr>
          <w:lang w:val="en-CA"/>
        </w:rPr>
        <w:t xml:space="preserve">70s surrounding the play </w:t>
      </w:r>
      <w:r w:rsidR="00282C6C">
        <w:rPr>
          <w:lang w:val="en-CA"/>
        </w:rPr>
        <w:t>“</w:t>
      </w:r>
      <w:r w:rsidRPr="00B120AE">
        <w:rPr>
          <w:i/>
          <w:iCs/>
          <w:lang w:val="en-CA"/>
        </w:rPr>
        <w:t xml:space="preserve">Les </w:t>
      </w:r>
      <w:proofErr w:type="spellStart"/>
      <w:r w:rsidRPr="00B120AE">
        <w:rPr>
          <w:i/>
          <w:iCs/>
          <w:lang w:val="en-CA"/>
        </w:rPr>
        <w:t>fées</w:t>
      </w:r>
      <w:proofErr w:type="spellEnd"/>
      <w:r w:rsidRPr="00B120AE">
        <w:rPr>
          <w:i/>
          <w:iCs/>
          <w:lang w:val="en-CA"/>
        </w:rPr>
        <w:t xml:space="preserve"> </w:t>
      </w:r>
      <w:proofErr w:type="spellStart"/>
      <w:r w:rsidRPr="00B120AE">
        <w:rPr>
          <w:i/>
          <w:iCs/>
          <w:lang w:val="en-CA"/>
        </w:rPr>
        <w:t>ont</w:t>
      </w:r>
      <w:proofErr w:type="spellEnd"/>
      <w:r w:rsidRPr="00B120AE">
        <w:rPr>
          <w:i/>
          <w:iCs/>
          <w:lang w:val="en-CA"/>
        </w:rPr>
        <w:t xml:space="preserve"> </w:t>
      </w:r>
      <w:proofErr w:type="spellStart"/>
      <w:r w:rsidRPr="00B120AE">
        <w:rPr>
          <w:i/>
          <w:iCs/>
          <w:lang w:val="en-CA"/>
        </w:rPr>
        <w:t>soif</w:t>
      </w:r>
      <w:proofErr w:type="spellEnd"/>
      <w:r w:rsidR="00282C6C">
        <w:rPr>
          <w:lang w:val="en-CA"/>
        </w:rPr>
        <w:t>”</w:t>
      </w:r>
      <w:r w:rsidRPr="00B120AE">
        <w:rPr>
          <w:lang w:val="en-CA"/>
        </w:rPr>
        <w:t xml:space="preserve">; see: </w:t>
      </w:r>
      <w:r w:rsidRPr="00B120AE">
        <w:rPr>
          <w:i/>
          <w:iCs/>
          <w:lang w:val="en-CA"/>
        </w:rPr>
        <w:t xml:space="preserve">Jeunes Canadiens pour </w:t>
      </w:r>
      <w:proofErr w:type="spellStart"/>
      <w:r w:rsidRPr="00B120AE">
        <w:rPr>
          <w:i/>
          <w:iCs/>
          <w:lang w:val="en-CA"/>
        </w:rPr>
        <w:t>une</w:t>
      </w:r>
      <w:proofErr w:type="spellEnd"/>
      <w:r w:rsidRPr="00B120AE">
        <w:rPr>
          <w:i/>
          <w:iCs/>
          <w:lang w:val="en-CA"/>
        </w:rPr>
        <w:t xml:space="preserve"> civilisation </w:t>
      </w:r>
      <w:proofErr w:type="spellStart"/>
      <w:r w:rsidRPr="00B120AE">
        <w:rPr>
          <w:i/>
          <w:iCs/>
          <w:lang w:val="en-CA"/>
        </w:rPr>
        <w:t>chrétienne</w:t>
      </w:r>
      <w:proofErr w:type="spellEnd"/>
      <w:r w:rsidRPr="00B120AE">
        <w:rPr>
          <w:lang w:val="en-CA"/>
        </w:rPr>
        <w:t xml:space="preserve"> </w:t>
      </w:r>
      <w:r w:rsidRPr="00B120AE">
        <w:rPr>
          <w:i/>
          <w:iCs/>
          <w:lang w:val="en-CA"/>
        </w:rPr>
        <w:t>c.</w:t>
      </w:r>
      <w:r w:rsidRPr="00B120AE">
        <w:rPr>
          <w:lang w:val="en-CA"/>
        </w:rPr>
        <w:t xml:space="preserve"> </w:t>
      </w:r>
      <w:proofErr w:type="spellStart"/>
      <w:r w:rsidRPr="00B120AE">
        <w:rPr>
          <w:i/>
          <w:iCs/>
          <w:lang w:val="en-CA"/>
        </w:rPr>
        <w:t>Fondation</w:t>
      </w:r>
      <w:proofErr w:type="spellEnd"/>
      <w:r w:rsidRPr="00B120AE">
        <w:rPr>
          <w:i/>
          <w:iCs/>
          <w:lang w:val="en-CA"/>
        </w:rPr>
        <w:t xml:space="preserve"> du </w:t>
      </w:r>
      <w:proofErr w:type="spellStart"/>
      <w:r w:rsidRPr="00B120AE">
        <w:rPr>
          <w:i/>
          <w:iCs/>
          <w:lang w:val="en-CA"/>
        </w:rPr>
        <w:t>théâtre</w:t>
      </w:r>
      <w:proofErr w:type="spellEnd"/>
      <w:r w:rsidRPr="00B120AE">
        <w:rPr>
          <w:i/>
          <w:iCs/>
          <w:lang w:val="en-CA"/>
        </w:rPr>
        <w:t xml:space="preserve"> du Nouveau</w:t>
      </w:r>
      <w:r w:rsidR="00720901">
        <w:rPr>
          <w:i/>
          <w:iCs/>
          <w:lang w:val="en-CA"/>
        </w:rPr>
        <w:noBreakHyphen/>
      </w:r>
      <w:r w:rsidRPr="00B120AE">
        <w:rPr>
          <w:i/>
          <w:iCs/>
          <w:lang w:val="en-CA"/>
        </w:rPr>
        <w:t>Monde</w:t>
      </w:r>
      <w:r w:rsidRPr="00B120AE">
        <w:rPr>
          <w:lang w:val="en-CA"/>
        </w:rPr>
        <w:t>, [1979] C.</w:t>
      </w:r>
      <w:r w:rsidR="008742D0">
        <w:rPr>
          <w:lang w:val="en-CA"/>
        </w:rPr>
        <w:t>A. 4</w:t>
      </w:r>
      <w:r w:rsidRPr="00B120AE">
        <w:rPr>
          <w:lang w:val="en-CA"/>
        </w:rPr>
        <w:t xml:space="preserve">91, application for leave to appeal to the Supreme Court dismissed, February 7, 1980. </w:t>
      </w:r>
    </w:p>
  </w:footnote>
  <w:footnote w:id="52">
    <w:p w14:paraId="50852D6A" w14:textId="76BA45E2" w:rsidR="00E524EA" w:rsidRPr="00B120AE" w:rsidRDefault="001C0031" w:rsidP="00E524EA">
      <w:pPr>
        <w:pStyle w:val="Notedebasdepage"/>
        <w:tabs>
          <w:tab w:val="left" w:pos="426"/>
        </w:tabs>
        <w:ind w:left="0" w:firstLine="0"/>
        <w:rPr>
          <w:lang w:val="en-CA"/>
        </w:rPr>
      </w:pPr>
      <w:r w:rsidRPr="00B120AE">
        <w:rPr>
          <w:rStyle w:val="Appelnotedebasdep"/>
          <w:lang w:val="en-CA"/>
        </w:rPr>
        <w:footnoteRef/>
      </w:r>
      <w:r w:rsidRPr="00B120AE">
        <w:rPr>
          <w:lang w:val="en-CA"/>
        </w:rPr>
        <w:t xml:space="preserve"> </w:t>
      </w:r>
      <w:r w:rsidRPr="00B120AE">
        <w:rPr>
          <w:lang w:val="en-CA"/>
        </w:rPr>
        <w:tab/>
        <w:t xml:space="preserve">See, by analogy: </w:t>
      </w:r>
      <w:r w:rsidRPr="00B120AE">
        <w:rPr>
          <w:i/>
          <w:iCs/>
          <w:lang w:val="en-CA"/>
        </w:rPr>
        <w:t>R. v. K.R.J.</w:t>
      </w:r>
      <w:r w:rsidRPr="00B120AE">
        <w:rPr>
          <w:lang w:val="en-CA"/>
        </w:rPr>
        <w:t>, 2016 SCC 31 [</w:t>
      </w:r>
      <w:r w:rsidRPr="00B120AE">
        <w:rPr>
          <w:i/>
          <w:iCs/>
          <w:lang w:val="en-CA"/>
        </w:rPr>
        <w:t>K.R.J</w:t>
      </w:r>
      <w:r w:rsidRPr="00B120AE">
        <w:rPr>
          <w:lang w:val="en-CA"/>
        </w:rPr>
        <w:t>.], par</w:t>
      </w:r>
      <w:r w:rsidR="008742D0">
        <w:rPr>
          <w:lang w:val="en-CA"/>
        </w:rPr>
        <w:t>a. 5</w:t>
      </w:r>
      <w:r w:rsidRPr="00B120AE">
        <w:rPr>
          <w:lang w:val="en-CA"/>
        </w:rPr>
        <w:t>9.</w:t>
      </w:r>
    </w:p>
  </w:footnote>
  <w:footnote w:id="53">
    <w:p w14:paraId="50852D6B" w14:textId="462E1748" w:rsidR="00007ACA" w:rsidRPr="00B120AE" w:rsidRDefault="001C0031">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I have reproduced </w:t>
      </w:r>
      <w:r w:rsidR="008742D0">
        <w:rPr>
          <w:lang w:val="en-CA"/>
        </w:rPr>
        <w:t>s. 9</w:t>
      </w:r>
      <w:r w:rsidRPr="00B120AE">
        <w:rPr>
          <w:lang w:val="en-CA"/>
        </w:rPr>
        <w:t xml:space="preserve">.1 of the </w:t>
      </w:r>
      <w:r w:rsidRPr="00B120AE">
        <w:rPr>
          <w:i/>
          <w:iCs/>
          <w:lang w:val="en-CA"/>
        </w:rPr>
        <w:t>Quebec Charter</w:t>
      </w:r>
      <w:r w:rsidRPr="00B120AE">
        <w:rPr>
          <w:lang w:val="en-CA"/>
        </w:rPr>
        <w:t xml:space="preserve"> as currently in force; it was amended in 2019 and 2022, but those amendments have no impact on the case at bar.</w:t>
      </w:r>
    </w:p>
  </w:footnote>
  <w:footnote w:id="54">
    <w:p w14:paraId="50852D6C"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This factor is not at issue here, as the challenged measures stem from legislative provisions. </w:t>
      </w:r>
    </w:p>
  </w:footnote>
  <w:footnote w:id="55">
    <w:p w14:paraId="50852D6D" w14:textId="13F49DBB"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Irwin Toy</w:t>
      </w:r>
      <w:r w:rsidRPr="00B120AE">
        <w:rPr>
          <w:lang w:val="en-CA"/>
        </w:rPr>
        <w:t xml:space="preserve">, p. 980; </w:t>
      </w:r>
      <w:r w:rsidRPr="00B120AE">
        <w:rPr>
          <w:i/>
          <w:iCs/>
          <w:lang w:val="en-CA"/>
        </w:rPr>
        <w:t>Ford</w:t>
      </w:r>
      <w:r w:rsidRPr="00B120AE">
        <w:rPr>
          <w:lang w:val="en-CA"/>
        </w:rPr>
        <w:t>, pp. 769</w:t>
      </w:r>
      <w:r w:rsidR="00720901">
        <w:rPr>
          <w:lang w:val="en-CA"/>
        </w:rPr>
        <w:noBreakHyphen/>
      </w:r>
      <w:r w:rsidRPr="00B120AE">
        <w:rPr>
          <w:lang w:val="en-CA"/>
        </w:rPr>
        <w:t xml:space="preserve">770. See also: </w:t>
      </w:r>
      <w:r w:rsidRPr="00B120AE">
        <w:rPr>
          <w:i/>
          <w:iCs/>
          <w:lang w:val="en-CA"/>
        </w:rPr>
        <w:t>Gallant</w:t>
      </w:r>
      <w:r w:rsidRPr="00B120AE">
        <w:rPr>
          <w:lang w:val="en-CA"/>
        </w:rPr>
        <w:t>, par</w:t>
      </w:r>
      <w:r w:rsidR="008742D0">
        <w:rPr>
          <w:lang w:val="en-CA"/>
        </w:rPr>
        <w:t>a. 1</w:t>
      </w:r>
      <w:r w:rsidRPr="00B120AE">
        <w:rPr>
          <w:lang w:val="en-CA"/>
        </w:rPr>
        <w:t>81.</w:t>
      </w:r>
    </w:p>
  </w:footnote>
  <w:footnote w:id="56">
    <w:p w14:paraId="50852D6E" w14:textId="4562D566"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See, in particular: </w:t>
      </w:r>
      <w:r w:rsidRPr="00B120AE">
        <w:rPr>
          <w:i/>
          <w:iCs/>
          <w:lang w:val="en-CA"/>
        </w:rPr>
        <w:t>Ontario (Attorney General) v. G</w:t>
      </w:r>
      <w:r w:rsidRPr="00B120AE">
        <w:rPr>
          <w:lang w:val="en-CA"/>
        </w:rPr>
        <w:t>., 2020 SCC 38, [</w:t>
      </w:r>
      <w:r w:rsidRPr="00B120AE">
        <w:rPr>
          <w:i/>
          <w:iCs/>
          <w:lang w:val="en-CA"/>
        </w:rPr>
        <w:t>G</w:t>
      </w:r>
      <w:r w:rsidRPr="00B120AE">
        <w:rPr>
          <w:lang w:val="en-CA"/>
        </w:rPr>
        <w:t>.], par</w:t>
      </w:r>
      <w:r w:rsidR="008742D0">
        <w:rPr>
          <w:lang w:val="en-CA"/>
        </w:rPr>
        <w:t>a. 7</w:t>
      </w:r>
      <w:r w:rsidRPr="00B120AE">
        <w:rPr>
          <w:lang w:val="en-CA"/>
        </w:rPr>
        <w:t xml:space="preserve">1; </w:t>
      </w:r>
      <w:r w:rsidRPr="00B120AE">
        <w:rPr>
          <w:i/>
          <w:iCs/>
          <w:lang w:val="en-CA"/>
        </w:rPr>
        <w:t>Frank v. Canada (Attorney General)</w:t>
      </w:r>
      <w:r w:rsidRPr="00B120AE">
        <w:rPr>
          <w:lang w:val="en-CA"/>
        </w:rPr>
        <w:t>, 2019 SCC 1 [</w:t>
      </w:r>
      <w:r w:rsidRPr="00B120AE">
        <w:rPr>
          <w:i/>
          <w:iCs/>
          <w:lang w:val="en-CA"/>
        </w:rPr>
        <w:t>Frank</w:t>
      </w:r>
      <w:r w:rsidRPr="00B120AE">
        <w:rPr>
          <w:lang w:val="en-CA"/>
        </w:rPr>
        <w:t>], par</w:t>
      </w:r>
      <w:r w:rsidR="008742D0">
        <w:rPr>
          <w:lang w:val="en-CA"/>
        </w:rPr>
        <w:t>a. 3</w:t>
      </w:r>
      <w:r w:rsidRPr="00B120AE">
        <w:rPr>
          <w:lang w:val="en-CA"/>
        </w:rPr>
        <w:t>9;</w:t>
      </w:r>
      <w:r w:rsidRPr="00B120AE">
        <w:rPr>
          <w:color w:val="000000"/>
          <w:sz w:val="24"/>
          <w:lang w:val="en-CA"/>
        </w:rPr>
        <w:t xml:space="preserve"> </w:t>
      </w:r>
      <w:r w:rsidRPr="00B120AE">
        <w:rPr>
          <w:i/>
          <w:iCs/>
          <w:lang w:val="en-CA"/>
        </w:rPr>
        <w:t>RJR</w:t>
      </w:r>
      <w:r w:rsidRPr="00B120AE">
        <w:rPr>
          <w:rFonts w:ascii="Cambria Math" w:hAnsi="Cambria Math" w:cs="Cambria Math"/>
          <w:i/>
          <w:iCs/>
          <w:lang w:val="en-CA"/>
        </w:rPr>
        <w:t>‐</w:t>
      </w:r>
      <w:r w:rsidRPr="00B120AE">
        <w:rPr>
          <w:i/>
          <w:iCs/>
          <w:lang w:val="en-CA"/>
        </w:rPr>
        <w:t>MacDonald Inc. v. Canada (Attorney General)</w:t>
      </w:r>
      <w:r w:rsidRPr="00B120AE">
        <w:rPr>
          <w:lang w:val="en-CA"/>
        </w:rPr>
        <w:t>, [1995] 3 S.C.R. 199, para</w:t>
      </w:r>
      <w:r w:rsidR="008742D0">
        <w:rPr>
          <w:lang w:val="en-CA"/>
        </w:rPr>
        <w:t>s. 1</w:t>
      </w:r>
      <w:r w:rsidRPr="00B120AE">
        <w:rPr>
          <w:lang w:val="en-CA"/>
        </w:rPr>
        <w:t>37</w:t>
      </w:r>
      <w:r w:rsidRPr="00B120AE">
        <w:rPr>
          <w:rFonts w:ascii="Cambria Math" w:hAnsi="Cambria Math" w:cs="Cambria Math"/>
          <w:lang w:val="en-CA"/>
        </w:rPr>
        <w:t>‐</w:t>
      </w:r>
      <w:r w:rsidRPr="00B120AE">
        <w:rPr>
          <w:lang w:val="en-CA"/>
        </w:rPr>
        <w:t>138 [</w:t>
      </w:r>
      <w:r w:rsidRPr="00B120AE">
        <w:rPr>
          <w:i/>
          <w:iCs/>
          <w:lang w:val="en-CA"/>
        </w:rPr>
        <w:t>RJR</w:t>
      </w:r>
      <w:r w:rsidRPr="00B120AE">
        <w:rPr>
          <w:lang w:val="en-CA"/>
        </w:rPr>
        <w:t xml:space="preserve">]; </w:t>
      </w:r>
      <w:r w:rsidRPr="00B120AE">
        <w:rPr>
          <w:i/>
          <w:iCs/>
          <w:lang w:val="en-CA"/>
        </w:rPr>
        <w:t>R. v. Oakes</w:t>
      </w:r>
      <w:r w:rsidRPr="00B120AE">
        <w:rPr>
          <w:lang w:val="en-CA"/>
        </w:rPr>
        <w:t>, [1986] 1 S.C.R. 103 [</w:t>
      </w:r>
      <w:r w:rsidRPr="00B120AE">
        <w:rPr>
          <w:i/>
          <w:iCs/>
          <w:lang w:val="en-CA"/>
        </w:rPr>
        <w:t>Oakes</w:t>
      </w:r>
      <w:r w:rsidRPr="00B120AE">
        <w:rPr>
          <w:lang w:val="en-CA"/>
        </w:rPr>
        <w:t>], p. 137.</w:t>
      </w:r>
    </w:p>
  </w:footnote>
  <w:footnote w:id="57">
    <w:p w14:paraId="50852D6F" w14:textId="204ECADF"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Oakes</w:t>
      </w:r>
      <w:r w:rsidRPr="00B120AE">
        <w:rPr>
          <w:lang w:val="en-CA"/>
        </w:rPr>
        <w:t>, pp. 138</w:t>
      </w:r>
      <w:r w:rsidR="00720901">
        <w:rPr>
          <w:lang w:val="en-CA"/>
        </w:rPr>
        <w:noBreakHyphen/>
      </w:r>
      <w:r w:rsidRPr="00B120AE">
        <w:rPr>
          <w:lang w:val="en-CA"/>
        </w:rPr>
        <w:t xml:space="preserve">139. </w:t>
      </w:r>
    </w:p>
  </w:footnote>
  <w:footnote w:id="58">
    <w:p w14:paraId="50852D70" w14:textId="7E0E7CB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See, for example:</w:t>
      </w:r>
      <w:r w:rsidRPr="00B120AE">
        <w:rPr>
          <w:i/>
          <w:iCs/>
          <w:lang w:val="en-CA"/>
        </w:rPr>
        <w:t xml:space="preserve"> Ontario (Attorney General) v. Working Families Coalition (Canada) Inc.</w:t>
      </w:r>
      <w:r w:rsidRPr="00B120AE">
        <w:rPr>
          <w:lang w:val="en-CA"/>
        </w:rPr>
        <w:t>, 2025 SCC 5, par</w:t>
      </w:r>
      <w:r w:rsidR="008742D0">
        <w:rPr>
          <w:lang w:val="en-CA"/>
        </w:rPr>
        <w:t>a. 6</w:t>
      </w:r>
      <w:r w:rsidRPr="00B120AE">
        <w:rPr>
          <w:lang w:val="en-CA"/>
        </w:rPr>
        <w:t xml:space="preserve">0; </w:t>
      </w:r>
      <w:r w:rsidRPr="00B120AE">
        <w:rPr>
          <w:i/>
          <w:iCs/>
          <w:lang w:val="en-CA"/>
        </w:rPr>
        <w:t>G.</w:t>
      </w:r>
      <w:r w:rsidRPr="00B120AE">
        <w:rPr>
          <w:lang w:val="en-CA"/>
        </w:rPr>
        <w:t>, par</w:t>
      </w:r>
      <w:r w:rsidR="008742D0">
        <w:rPr>
          <w:lang w:val="en-CA"/>
        </w:rPr>
        <w:t>a. 7</w:t>
      </w:r>
      <w:r w:rsidRPr="00B120AE">
        <w:rPr>
          <w:lang w:val="en-CA"/>
        </w:rPr>
        <w:t xml:space="preserve">1; </w:t>
      </w:r>
      <w:r w:rsidRPr="00B120AE">
        <w:rPr>
          <w:i/>
          <w:iCs/>
          <w:lang w:val="en-CA"/>
        </w:rPr>
        <w:t>Frank</w:t>
      </w:r>
      <w:r w:rsidRPr="00B120AE">
        <w:rPr>
          <w:lang w:val="en-CA"/>
        </w:rPr>
        <w:t>, para</w:t>
      </w:r>
      <w:r w:rsidR="008742D0">
        <w:rPr>
          <w:lang w:val="en-CA"/>
        </w:rPr>
        <w:t>s. 3</w:t>
      </w:r>
      <w:r w:rsidRPr="00B120AE">
        <w:rPr>
          <w:lang w:val="en-CA"/>
        </w:rPr>
        <w:t>8</w:t>
      </w:r>
      <w:r w:rsidR="00720901">
        <w:rPr>
          <w:lang w:val="en-CA"/>
        </w:rPr>
        <w:noBreakHyphen/>
      </w:r>
      <w:r w:rsidRPr="00B120AE">
        <w:rPr>
          <w:lang w:val="en-CA"/>
        </w:rPr>
        <w:t xml:space="preserve">40; </w:t>
      </w:r>
      <w:r w:rsidRPr="00B120AE">
        <w:rPr>
          <w:i/>
          <w:iCs/>
          <w:lang w:val="en-CA"/>
        </w:rPr>
        <w:t>K.R.J.</w:t>
      </w:r>
      <w:r w:rsidRPr="00B120AE">
        <w:rPr>
          <w:lang w:val="en-CA"/>
        </w:rPr>
        <w:t>, par</w:t>
      </w:r>
      <w:r w:rsidR="008742D0">
        <w:rPr>
          <w:lang w:val="en-CA"/>
        </w:rPr>
        <w:t>a. 5</w:t>
      </w:r>
      <w:r w:rsidRPr="00B120AE">
        <w:rPr>
          <w:lang w:val="en-CA"/>
        </w:rPr>
        <w:t xml:space="preserve">8; </w:t>
      </w:r>
      <w:r w:rsidRPr="00B120AE">
        <w:rPr>
          <w:i/>
          <w:iCs/>
          <w:lang w:val="en-CA"/>
        </w:rPr>
        <w:t>RJR</w:t>
      </w:r>
      <w:r w:rsidRPr="00B120AE">
        <w:rPr>
          <w:lang w:val="en-CA"/>
        </w:rPr>
        <w:t>, pp. 268 and 329</w:t>
      </w:r>
      <w:r w:rsidR="00720901">
        <w:rPr>
          <w:lang w:val="en-CA"/>
        </w:rPr>
        <w:noBreakHyphen/>
      </w:r>
      <w:r w:rsidRPr="00B120AE">
        <w:rPr>
          <w:lang w:val="en-CA"/>
        </w:rPr>
        <w:t xml:space="preserve">330. </w:t>
      </w:r>
    </w:p>
  </w:footnote>
  <w:footnote w:id="59">
    <w:p w14:paraId="50852D71" w14:textId="558865BA"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Oakes</w:t>
      </w:r>
      <w:r w:rsidRPr="00B120AE">
        <w:rPr>
          <w:lang w:val="en-CA"/>
        </w:rPr>
        <w:t>, pp. 138</w:t>
      </w:r>
      <w:r w:rsidR="00720901">
        <w:rPr>
          <w:lang w:val="en-CA"/>
        </w:rPr>
        <w:noBreakHyphen/>
      </w:r>
      <w:r w:rsidRPr="00B120AE">
        <w:rPr>
          <w:lang w:val="en-CA"/>
        </w:rPr>
        <w:t>140.</w:t>
      </w:r>
    </w:p>
  </w:footnote>
  <w:footnote w:id="60">
    <w:p w14:paraId="50852D72" w14:textId="4F2E8C9D" w:rsidR="00E524EA" w:rsidRPr="00116DBB"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r>
      <w:r w:rsidRPr="00B120AE">
        <w:rPr>
          <w:i/>
          <w:iCs/>
          <w:lang w:val="en-CA"/>
        </w:rPr>
        <w:t>Frank</w:t>
      </w:r>
      <w:r w:rsidRPr="00B120AE">
        <w:rPr>
          <w:lang w:val="en-CA"/>
        </w:rPr>
        <w:t>, par</w:t>
      </w:r>
      <w:r w:rsidR="008742D0">
        <w:rPr>
          <w:lang w:val="en-CA"/>
        </w:rPr>
        <w:t>a. 3</w:t>
      </w:r>
      <w:r w:rsidRPr="00B120AE">
        <w:rPr>
          <w:lang w:val="en-CA"/>
        </w:rPr>
        <w:t>8, referring</w:t>
      </w:r>
      <w:proofErr w:type="gramStart"/>
      <w:r w:rsidRPr="00B120AE">
        <w:rPr>
          <w:lang w:val="en-CA"/>
        </w:rPr>
        <w:t>, in particular, to</w:t>
      </w:r>
      <w:proofErr w:type="gramEnd"/>
      <w:r w:rsidRPr="00B120AE">
        <w:rPr>
          <w:lang w:val="en-CA"/>
        </w:rPr>
        <w:t xml:space="preserve"> </w:t>
      </w:r>
      <w:r w:rsidRPr="00B120AE">
        <w:rPr>
          <w:i/>
          <w:iCs/>
          <w:lang w:val="en-CA"/>
        </w:rPr>
        <w:t>Oakes</w:t>
      </w:r>
      <w:r w:rsidRPr="00B120AE">
        <w:rPr>
          <w:lang w:val="en-CA"/>
        </w:rPr>
        <w:t xml:space="preserve">, p. 139. </w:t>
      </w:r>
      <w:proofErr w:type="spellStart"/>
      <w:r w:rsidRPr="00116DBB">
        <w:t>See</w:t>
      </w:r>
      <w:proofErr w:type="spellEnd"/>
      <w:r w:rsidRPr="00116DBB">
        <w:t xml:space="preserve"> </w:t>
      </w:r>
      <w:proofErr w:type="spellStart"/>
      <w:r w:rsidRPr="00116DBB">
        <w:t>also</w:t>
      </w:r>
      <w:proofErr w:type="spellEnd"/>
      <w:r w:rsidRPr="00116DBB">
        <w:t xml:space="preserve">: </w:t>
      </w:r>
      <w:proofErr w:type="spellStart"/>
      <w:r w:rsidRPr="00116DBB">
        <w:rPr>
          <w:i/>
          <w:iCs/>
        </w:rPr>
        <w:t>Quebec</w:t>
      </w:r>
      <w:proofErr w:type="spellEnd"/>
      <w:r w:rsidRPr="00116DBB">
        <w:rPr>
          <w:i/>
          <w:iCs/>
        </w:rPr>
        <w:t xml:space="preserve"> (Attorney General) v. Alliance du personnel professionnel et technique de la santé et des services sociaux</w:t>
      </w:r>
      <w:r w:rsidRPr="00116DBB">
        <w:t>, 2018 SCC 17, par</w:t>
      </w:r>
      <w:r w:rsidR="008742D0" w:rsidRPr="00116DBB">
        <w:t>a. 4</w:t>
      </w:r>
      <w:r w:rsidRPr="00116DBB">
        <w:t xml:space="preserve">5; </w:t>
      </w:r>
      <w:r w:rsidRPr="00116DBB">
        <w:rPr>
          <w:i/>
          <w:iCs/>
        </w:rPr>
        <w:t>K.R.J.</w:t>
      </w:r>
      <w:r w:rsidRPr="00116DBB">
        <w:t>, par</w:t>
      </w:r>
      <w:r w:rsidR="008742D0" w:rsidRPr="00116DBB">
        <w:t>a. 6</w:t>
      </w:r>
      <w:r w:rsidRPr="00116DBB">
        <w:t xml:space="preserve">2; </w:t>
      </w:r>
      <w:r w:rsidRPr="00116DBB">
        <w:rPr>
          <w:i/>
          <w:iCs/>
        </w:rPr>
        <w:t>RJR</w:t>
      </w:r>
      <w:r w:rsidRPr="00116DBB">
        <w:t>, par</w:t>
      </w:r>
      <w:r w:rsidR="008742D0" w:rsidRPr="00116DBB">
        <w:t>a. 1</w:t>
      </w:r>
      <w:r w:rsidRPr="00116DBB">
        <w:t>44.</w:t>
      </w:r>
      <w:r w:rsidR="00287AE9" w:rsidRPr="00116DBB">
        <w:t xml:space="preserve"> </w:t>
      </w:r>
    </w:p>
  </w:footnote>
  <w:footnote w:id="61">
    <w:p w14:paraId="50852D73" w14:textId="3A12B12D" w:rsidR="00E524EA" w:rsidRPr="00B120AE" w:rsidRDefault="001C0031" w:rsidP="00E524EA">
      <w:pPr>
        <w:pStyle w:val="Notedebasdepage"/>
        <w:rPr>
          <w:lang w:val="en-CA"/>
        </w:rPr>
      </w:pPr>
      <w:r w:rsidRPr="00B120AE">
        <w:rPr>
          <w:rStyle w:val="Appelnotedebasdep"/>
          <w:lang w:val="en-CA"/>
        </w:rPr>
        <w:footnoteRef/>
      </w:r>
      <w:r w:rsidRPr="00116DBB">
        <w:t xml:space="preserve"> </w:t>
      </w:r>
      <w:r w:rsidRPr="00116DBB">
        <w:tab/>
      </w:r>
      <w:r w:rsidRPr="00116DBB">
        <w:rPr>
          <w:i/>
          <w:iCs/>
        </w:rPr>
        <w:t>R. v. Lucas</w:t>
      </w:r>
      <w:r w:rsidRPr="00116DBB">
        <w:t>, [1998] 1 S.C.R. 439, para</w:t>
      </w:r>
      <w:r w:rsidR="008742D0" w:rsidRPr="00116DBB">
        <w:t>s. </w:t>
      </w:r>
      <w:r w:rsidR="008742D0">
        <w:rPr>
          <w:lang w:val="en-CA"/>
        </w:rPr>
        <w:t>3</w:t>
      </w:r>
      <w:r w:rsidRPr="00B120AE">
        <w:rPr>
          <w:lang w:val="en-CA"/>
        </w:rPr>
        <w:t>3</w:t>
      </w:r>
      <w:r w:rsidR="00720901">
        <w:rPr>
          <w:lang w:val="en-CA"/>
        </w:rPr>
        <w:noBreakHyphen/>
      </w:r>
      <w:r w:rsidRPr="00B120AE">
        <w:rPr>
          <w:lang w:val="en-CA"/>
        </w:rPr>
        <w:t xml:space="preserve">34. As to the protection afforded according to the nature of the expression, see: </w:t>
      </w:r>
      <w:r w:rsidRPr="00B120AE">
        <w:rPr>
          <w:i/>
          <w:iCs/>
          <w:lang w:val="en-CA"/>
        </w:rPr>
        <w:t>Harper v. Canada (Attorney General)</w:t>
      </w:r>
      <w:r w:rsidRPr="00B120AE">
        <w:rPr>
          <w:lang w:val="en-CA"/>
        </w:rPr>
        <w:t>, 2004 SCC 33, par</w:t>
      </w:r>
      <w:r w:rsidR="008742D0">
        <w:rPr>
          <w:lang w:val="en-CA"/>
        </w:rPr>
        <w:t>a. 1</w:t>
      </w:r>
      <w:r w:rsidRPr="00B120AE">
        <w:rPr>
          <w:lang w:val="en-CA"/>
        </w:rPr>
        <w:t xml:space="preserve">0; </w:t>
      </w:r>
      <w:r w:rsidRPr="00B120AE">
        <w:rPr>
          <w:i/>
          <w:iCs/>
          <w:lang w:val="en-CA"/>
        </w:rPr>
        <w:t xml:space="preserve">Thomson Newspapers Co. v. </w:t>
      </w:r>
      <w:bookmarkStart w:id="34" w:name="QuickMark"/>
      <w:bookmarkEnd w:id="34"/>
      <w:r w:rsidRPr="00B120AE">
        <w:rPr>
          <w:i/>
          <w:iCs/>
          <w:lang w:val="en-CA"/>
        </w:rPr>
        <w:t>Canada (Attorney General)</w:t>
      </w:r>
      <w:r w:rsidRPr="00B120AE">
        <w:rPr>
          <w:lang w:val="en-CA"/>
        </w:rPr>
        <w:t>, [1998] 1 S.C.R. 877 [</w:t>
      </w:r>
      <w:r w:rsidRPr="00B120AE">
        <w:rPr>
          <w:i/>
          <w:iCs/>
          <w:lang w:val="en-CA"/>
        </w:rPr>
        <w:t>Thomson Newspapers</w:t>
      </w:r>
      <w:r w:rsidRPr="00B120AE">
        <w:rPr>
          <w:lang w:val="en-CA"/>
        </w:rPr>
        <w:t>], par</w:t>
      </w:r>
      <w:r w:rsidR="008742D0">
        <w:rPr>
          <w:lang w:val="en-CA"/>
        </w:rPr>
        <w:t>a. 9</w:t>
      </w:r>
      <w:r w:rsidRPr="00B120AE">
        <w:rPr>
          <w:lang w:val="en-CA"/>
        </w:rPr>
        <w:t xml:space="preserve">1; </w:t>
      </w:r>
      <w:r w:rsidRPr="00B120AE">
        <w:rPr>
          <w:i/>
          <w:iCs/>
          <w:lang w:val="en-CA"/>
        </w:rPr>
        <w:t>Rocket v. Royal College of Dental Surgeons of Ontario</w:t>
      </w:r>
      <w:r w:rsidRPr="00B120AE">
        <w:rPr>
          <w:lang w:val="en-CA"/>
        </w:rPr>
        <w:t>, [1990] 2 S.C.R. 232, pp. 246</w:t>
      </w:r>
      <w:r w:rsidR="00720901">
        <w:rPr>
          <w:lang w:val="en-CA"/>
        </w:rPr>
        <w:noBreakHyphen/>
      </w:r>
      <w:r w:rsidRPr="00B120AE">
        <w:rPr>
          <w:lang w:val="en-CA"/>
        </w:rPr>
        <w:t xml:space="preserve">247; </w:t>
      </w:r>
      <w:r w:rsidRPr="00B120AE">
        <w:rPr>
          <w:i/>
          <w:iCs/>
          <w:lang w:val="en-CA"/>
        </w:rPr>
        <w:t>Edmonton Journal v. Alberta (Attorney General)</w:t>
      </w:r>
      <w:r w:rsidRPr="00B120AE">
        <w:rPr>
          <w:lang w:val="en-CA"/>
        </w:rPr>
        <w:t>, [1989] 2 S.C.R. 1326, pp. 1355</w:t>
      </w:r>
      <w:r w:rsidR="00720901">
        <w:rPr>
          <w:lang w:val="en-CA"/>
        </w:rPr>
        <w:noBreakHyphen/>
      </w:r>
      <w:r w:rsidRPr="00B120AE">
        <w:rPr>
          <w:lang w:val="en-CA"/>
        </w:rPr>
        <w:t>1356.</w:t>
      </w:r>
    </w:p>
  </w:footnote>
  <w:footnote w:id="62">
    <w:p w14:paraId="50852D74" w14:textId="77777777"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Bérubé c. Ville de Québec</w:t>
      </w:r>
      <w:r w:rsidRPr="00116DBB">
        <w:t>, 2019 QCCA 1764.</w:t>
      </w:r>
    </w:p>
  </w:footnote>
  <w:footnote w:id="63">
    <w:p w14:paraId="50852D75" w14:textId="5BCC40B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Ward</w:t>
      </w:r>
      <w:r w:rsidRPr="00B120AE">
        <w:rPr>
          <w:lang w:val="en-CA"/>
        </w:rPr>
        <w:t>, par</w:t>
      </w:r>
      <w:r w:rsidR="008742D0">
        <w:rPr>
          <w:lang w:val="en-CA"/>
        </w:rPr>
        <w:t>a. 6</w:t>
      </w:r>
      <w:r w:rsidRPr="00B120AE">
        <w:rPr>
          <w:lang w:val="en-CA"/>
        </w:rPr>
        <w:t>4.</w:t>
      </w:r>
    </w:p>
  </w:footnote>
  <w:footnote w:id="64">
    <w:p w14:paraId="50852D76" w14:textId="6F9D327B"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Frank</w:t>
      </w:r>
      <w:r w:rsidRPr="00B120AE">
        <w:rPr>
          <w:lang w:val="en-CA"/>
        </w:rPr>
        <w:t>, par</w:t>
      </w:r>
      <w:r w:rsidR="008742D0">
        <w:rPr>
          <w:lang w:val="en-CA"/>
        </w:rPr>
        <w:t>a. 4</w:t>
      </w:r>
      <w:r w:rsidRPr="00B120AE">
        <w:rPr>
          <w:lang w:val="en-CA"/>
        </w:rPr>
        <w:t xml:space="preserve">6; </w:t>
      </w:r>
      <w:r w:rsidRPr="00B120AE">
        <w:rPr>
          <w:i/>
          <w:iCs/>
          <w:lang w:val="en-CA"/>
        </w:rPr>
        <w:t>K.R.J.</w:t>
      </w:r>
      <w:r w:rsidRPr="00B120AE">
        <w:rPr>
          <w:lang w:val="en-CA"/>
        </w:rPr>
        <w:t>, par</w:t>
      </w:r>
      <w:r w:rsidR="008742D0">
        <w:rPr>
          <w:lang w:val="en-CA"/>
        </w:rPr>
        <w:t>a. 6</w:t>
      </w:r>
      <w:r w:rsidRPr="00B120AE">
        <w:rPr>
          <w:lang w:val="en-CA"/>
        </w:rPr>
        <w:t xml:space="preserve">2; </w:t>
      </w:r>
      <w:r w:rsidRPr="00B120AE">
        <w:rPr>
          <w:i/>
          <w:iCs/>
          <w:lang w:val="en-CA"/>
        </w:rPr>
        <w:t>RJR</w:t>
      </w:r>
      <w:r w:rsidRPr="00B120AE">
        <w:rPr>
          <w:lang w:val="en-CA"/>
        </w:rPr>
        <w:t>, par</w:t>
      </w:r>
      <w:r w:rsidR="008742D0">
        <w:rPr>
          <w:lang w:val="en-CA"/>
        </w:rPr>
        <w:t>a. 1</w:t>
      </w:r>
      <w:r w:rsidRPr="00B120AE">
        <w:rPr>
          <w:lang w:val="en-CA"/>
        </w:rPr>
        <w:t xml:space="preserve">44. </w:t>
      </w:r>
    </w:p>
  </w:footnote>
  <w:footnote w:id="65">
    <w:p w14:paraId="50852D77" w14:textId="3B2807F6"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Toronto Star Newspapers Ltd. v. Canada</w:t>
      </w:r>
      <w:r w:rsidRPr="00B120AE">
        <w:rPr>
          <w:lang w:val="en-CA"/>
        </w:rPr>
        <w:t>, 2010 SCC 21, par</w:t>
      </w:r>
      <w:r w:rsidR="008742D0">
        <w:rPr>
          <w:lang w:val="en-CA"/>
        </w:rPr>
        <w:t>a. 2</w:t>
      </w:r>
      <w:r w:rsidRPr="00B120AE">
        <w:rPr>
          <w:lang w:val="en-CA"/>
        </w:rPr>
        <w:t>0.</w:t>
      </w:r>
    </w:p>
  </w:footnote>
  <w:footnote w:id="66">
    <w:p w14:paraId="50852D78" w14:textId="7A5B8EA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Frank</w:t>
      </w:r>
      <w:r w:rsidRPr="00B120AE">
        <w:rPr>
          <w:lang w:val="en-CA"/>
        </w:rPr>
        <w:t>, par</w:t>
      </w:r>
      <w:r w:rsidR="008742D0">
        <w:rPr>
          <w:lang w:val="en-CA"/>
        </w:rPr>
        <w:t>a. 4</w:t>
      </w:r>
      <w:r w:rsidRPr="00B120AE">
        <w:rPr>
          <w:lang w:val="en-CA"/>
        </w:rPr>
        <w:t xml:space="preserve">6 [references omitted]. See also: </w:t>
      </w:r>
      <w:r w:rsidRPr="00B120AE">
        <w:rPr>
          <w:i/>
          <w:iCs/>
          <w:lang w:val="en-CA"/>
        </w:rPr>
        <w:t>Québec (Attorney General) v. Kanyinda</w:t>
      </w:r>
      <w:r w:rsidRPr="00B120AE">
        <w:rPr>
          <w:lang w:val="en-CA"/>
        </w:rPr>
        <w:t>, 2026 SCC 7, par</w:t>
      </w:r>
      <w:r w:rsidR="008742D0">
        <w:rPr>
          <w:lang w:val="en-CA"/>
        </w:rPr>
        <w:t>a. 9</w:t>
      </w:r>
      <w:r w:rsidRPr="00B120AE">
        <w:rPr>
          <w:lang w:val="en-CA"/>
        </w:rPr>
        <w:t xml:space="preserve">8; </w:t>
      </w:r>
      <w:r w:rsidRPr="00B120AE">
        <w:rPr>
          <w:i/>
          <w:iCs/>
          <w:lang w:val="en-CA"/>
        </w:rPr>
        <w:t>John Howard Society of Saskatchewan v. Saskatchewan (Attorney General)</w:t>
      </w:r>
      <w:r w:rsidRPr="00B120AE">
        <w:rPr>
          <w:lang w:val="en-CA"/>
        </w:rPr>
        <w:t>, 2025 SCC 6 [</w:t>
      </w:r>
      <w:r w:rsidRPr="00B120AE">
        <w:rPr>
          <w:i/>
          <w:iCs/>
          <w:lang w:val="en-CA"/>
        </w:rPr>
        <w:t>John Howard Society</w:t>
      </w:r>
      <w:r w:rsidRPr="00B120AE">
        <w:rPr>
          <w:lang w:val="en-CA"/>
        </w:rPr>
        <w:t>], par</w:t>
      </w:r>
      <w:r w:rsidR="008742D0">
        <w:rPr>
          <w:lang w:val="en-CA"/>
        </w:rPr>
        <w:t>a. 9</w:t>
      </w:r>
      <w:r w:rsidRPr="00B120AE">
        <w:rPr>
          <w:lang w:val="en-CA"/>
        </w:rPr>
        <w:t xml:space="preserve">3; </w:t>
      </w:r>
      <w:r w:rsidRPr="00B120AE">
        <w:rPr>
          <w:i/>
          <w:iCs/>
          <w:lang w:val="en-CA"/>
        </w:rPr>
        <w:t>R.</w:t>
      </w:r>
      <w:r w:rsidRPr="00B120AE">
        <w:rPr>
          <w:lang w:val="en-CA"/>
        </w:rPr>
        <w:t xml:space="preserve"> </w:t>
      </w:r>
      <w:r w:rsidRPr="00B120AE">
        <w:rPr>
          <w:i/>
          <w:iCs/>
          <w:lang w:val="en-CA"/>
        </w:rPr>
        <w:t>v.</w:t>
      </w:r>
      <w:r w:rsidRPr="00B120AE">
        <w:rPr>
          <w:lang w:val="en-CA"/>
        </w:rPr>
        <w:t xml:space="preserve"> </w:t>
      </w:r>
      <w:r w:rsidRPr="00B120AE">
        <w:rPr>
          <w:i/>
          <w:iCs/>
          <w:lang w:val="en-CA"/>
        </w:rPr>
        <w:t>Brown</w:t>
      </w:r>
      <w:r w:rsidRPr="00B120AE">
        <w:rPr>
          <w:lang w:val="en-CA"/>
        </w:rPr>
        <w:t>, 2022 SCC 18, par</w:t>
      </w:r>
      <w:r w:rsidR="008742D0">
        <w:rPr>
          <w:lang w:val="en-CA"/>
        </w:rPr>
        <w:t>a. 1</w:t>
      </w:r>
      <w:r w:rsidRPr="00B120AE">
        <w:rPr>
          <w:lang w:val="en-CA"/>
        </w:rPr>
        <w:t>16.</w:t>
      </w:r>
    </w:p>
  </w:footnote>
  <w:footnote w:id="67">
    <w:p w14:paraId="50852D79" w14:textId="148DCC73"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R.</w:t>
      </w:r>
      <w:r w:rsidRPr="00B120AE">
        <w:rPr>
          <w:lang w:val="en-CA"/>
        </w:rPr>
        <w:t xml:space="preserve"> </w:t>
      </w:r>
      <w:r w:rsidRPr="00B120AE">
        <w:rPr>
          <w:i/>
          <w:iCs/>
          <w:lang w:val="en-CA"/>
        </w:rPr>
        <w:t>v.</w:t>
      </w:r>
      <w:r w:rsidRPr="00B120AE">
        <w:rPr>
          <w:lang w:val="en-CA"/>
        </w:rPr>
        <w:t xml:space="preserve"> </w:t>
      </w:r>
      <w:r w:rsidRPr="00B120AE">
        <w:rPr>
          <w:i/>
          <w:iCs/>
          <w:lang w:val="en-CA"/>
        </w:rPr>
        <w:t>Moriarity</w:t>
      </w:r>
      <w:r w:rsidRPr="00B120AE">
        <w:rPr>
          <w:lang w:val="en-CA"/>
        </w:rPr>
        <w:t>, 2015 SCC 55 [</w:t>
      </w:r>
      <w:r w:rsidRPr="00B120AE">
        <w:rPr>
          <w:i/>
          <w:iCs/>
          <w:lang w:val="en-CA"/>
        </w:rPr>
        <w:t>Moriarity</w:t>
      </w:r>
      <w:r w:rsidRPr="00B120AE">
        <w:rPr>
          <w:lang w:val="en-CA"/>
        </w:rPr>
        <w:t>], par</w:t>
      </w:r>
      <w:r w:rsidR="008742D0">
        <w:rPr>
          <w:lang w:val="en-CA"/>
        </w:rPr>
        <w:t>a. 2</w:t>
      </w:r>
      <w:r w:rsidRPr="00B120AE">
        <w:rPr>
          <w:lang w:val="en-CA"/>
        </w:rPr>
        <w:t>8.</w:t>
      </w:r>
    </w:p>
  </w:footnote>
  <w:footnote w:id="68">
    <w:p w14:paraId="50852D7A" w14:textId="1B10D326"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Moriarity</w:t>
      </w:r>
      <w:r w:rsidRPr="00B120AE">
        <w:rPr>
          <w:lang w:val="en-CA"/>
        </w:rPr>
        <w:t>, par</w:t>
      </w:r>
      <w:r w:rsidR="008742D0">
        <w:rPr>
          <w:lang w:val="en-CA"/>
        </w:rPr>
        <w:t>a. 2</w:t>
      </w:r>
      <w:r w:rsidRPr="00B120AE">
        <w:rPr>
          <w:lang w:val="en-CA"/>
        </w:rPr>
        <w:t xml:space="preserve">8. See also: </w:t>
      </w:r>
      <w:r w:rsidRPr="00B120AE">
        <w:rPr>
          <w:i/>
          <w:iCs/>
          <w:lang w:val="en-CA"/>
        </w:rPr>
        <w:t>K.R.J.</w:t>
      </w:r>
      <w:r w:rsidRPr="00B120AE">
        <w:rPr>
          <w:lang w:val="en-CA"/>
        </w:rPr>
        <w:t>, par</w:t>
      </w:r>
      <w:r w:rsidR="008742D0">
        <w:rPr>
          <w:lang w:val="en-CA"/>
        </w:rPr>
        <w:t>a. 6</w:t>
      </w:r>
      <w:r w:rsidRPr="00B120AE">
        <w:rPr>
          <w:lang w:val="en-CA"/>
        </w:rPr>
        <w:t xml:space="preserve">3; </w:t>
      </w:r>
      <w:r w:rsidRPr="00B120AE">
        <w:rPr>
          <w:i/>
          <w:iCs/>
          <w:lang w:val="en-CA"/>
        </w:rPr>
        <w:t>Carter</w:t>
      </w:r>
      <w:r w:rsidRPr="00B120AE">
        <w:rPr>
          <w:lang w:val="en-CA"/>
        </w:rPr>
        <w:t>, para</w:t>
      </w:r>
      <w:r w:rsidR="008742D0">
        <w:rPr>
          <w:lang w:val="en-CA"/>
        </w:rPr>
        <w:t>s. 7</w:t>
      </w:r>
      <w:r w:rsidRPr="00B120AE">
        <w:rPr>
          <w:lang w:val="en-CA"/>
        </w:rPr>
        <w:t>6</w:t>
      </w:r>
      <w:r w:rsidR="00720901">
        <w:rPr>
          <w:lang w:val="en-CA"/>
        </w:rPr>
        <w:noBreakHyphen/>
      </w:r>
      <w:r w:rsidRPr="00B120AE">
        <w:rPr>
          <w:lang w:val="en-CA"/>
        </w:rPr>
        <w:t>77.</w:t>
      </w:r>
    </w:p>
  </w:footnote>
  <w:footnote w:id="69">
    <w:p w14:paraId="50852D7B" w14:textId="5C2E691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Alberta</w:t>
      </w:r>
      <w:r w:rsidRPr="00B120AE">
        <w:rPr>
          <w:lang w:val="en-CA"/>
        </w:rPr>
        <w:t xml:space="preserve"> </w:t>
      </w:r>
      <w:r w:rsidRPr="00B120AE">
        <w:rPr>
          <w:i/>
          <w:iCs/>
          <w:lang w:val="en-CA"/>
        </w:rPr>
        <w:t>v.</w:t>
      </w:r>
      <w:r w:rsidRPr="00B120AE">
        <w:rPr>
          <w:lang w:val="en-CA"/>
        </w:rPr>
        <w:t xml:space="preserve"> </w:t>
      </w:r>
      <w:r w:rsidRPr="00B120AE">
        <w:rPr>
          <w:i/>
          <w:iCs/>
          <w:lang w:val="en-CA"/>
        </w:rPr>
        <w:t>Hutterian Brethren of Wilson Colony</w:t>
      </w:r>
      <w:r w:rsidRPr="00B120AE">
        <w:rPr>
          <w:lang w:val="en-CA"/>
        </w:rPr>
        <w:t>, 2009 SCC 37 [</w:t>
      </w:r>
      <w:r w:rsidRPr="00B120AE">
        <w:rPr>
          <w:i/>
          <w:iCs/>
          <w:lang w:val="en-CA"/>
        </w:rPr>
        <w:t>Hutterian</w:t>
      </w:r>
      <w:r w:rsidRPr="00B120AE">
        <w:rPr>
          <w:lang w:val="en-CA"/>
        </w:rPr>
        <w:t>], par</w:t>
      </w:r>
      <w:r w:rsidR="008742D0">
        <w:rPr>
          <w:lang w:val="en-CA"/>
        </w:rPr>
        <w:t>a. 5</w:t>
      </w:r>
      <w:r w:rsidRPr="00B120AE">
        <w:rPr>
          <w:lang w:val="en-CA"/>
        </w:rPr>
        <w:t>5.</w:t>
      </w:r>
    </w:p>
  </w:footnote>
  <w:footnote w:id="70">
    <w:p w14:paraId="50852D7C" w14:textId="2F0A805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w:t>
      </w:r>
      <w:r w:rsidR="008742D0">
        <w:rPr>
          <w:lang w:val="en-CA"/>
        </w:rPr>
        <w:t>a. 5</w:t>
      </w:r>
      <w:r w:rsidRPr="00B120AE">
        <w:rPr>
          <w:lang w:val="en-CA"/>
        </w:rPr>
        <w:t>6 [underlining added; reference omitted].</w:t>
      </w:r>
    </w:p>
  </w:footnote>
  <w:footnote w:id="71">
    <w:p w14:paraId="50852D7D" w14:textId="086CDA4B"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Brief filed by the AGQ, par</w:t>
      </w:r>
      <w:r w:rsidR="008742D0">
        <w:rPr>
          <w:lang w:val="en-CA"/>
        </w:rPr>
        <w:t>a. 3</w:t>
      </w:r>
      <w:r w:rsidRPr="00B120AE">
        <w:rPr>
          <w:lang w:val="en-CA"/>
        </w:rPr>
        <w:t>8.</w:t>
      </w:r>
    </w:p>
  </w:footnote>
  <w:footnote w:id="72">
    <w:p w14:paraId="50852D7E" w14:textId="68A84A3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Indeed, in his proportionality analysis, the judge specified the objective identified by emphasizing </w:t>
      </w:r>
      <w:r w:rsidR="009154BA">
        <w:rPr>
          <w:lang w:val="en-CA"/>
        </w:rPr>
        <w:t xml:space="preserve">that </w:t>
      </w:r>
      <w:r w:rsidR="0078033F" w:rsidRPr="0078033F">
        <w:rPr>
          <w:smallCaps/>
          <w:lang w:val="en-CA"/>
        </w:rPr>
        <w:t>[translation] </w:t>
      </w:r>
      <w:r w:rsidR="00282C6C">
        <w:rPr>
          <w:lang w:val="en-CA"/>
        </w:rPr>
        <w:t>“</w:t>
      </w:r>
      <w:r w:rsidR="009154BA">
        <w:rPr>
          <w:lang w:val="en-CA"/>
        </w:rPr>
        <w:t>[o]</w:t>
      </w:r>
      <w:proofErr w:type="spellStart"/>
      <w:r w:rsidRPr="00B120AE">
        <w:rPr>
          <w:lang w:val="en-CA"/>
        </w:rPr>
        <w:t>nce</w:t>
      </w:r>
      <w:proofErr w:type="spellEnd"/>
      <w:r w:rsidRPr="00B120AE">
        <w:rPr>
          <w:lang w:val="en-CA"/>
        </w:rPr>
        <w:t xml:space="preserve"> even a single cigarette is lit, </w:t>
      </w:r>
      <w:r w:rsidRPr="00B120AE">
        <w:rPr>
          <w:u w:val="single"/>
          <w:lang w:val="en-CA"/>
        </w:rPr>
        <w:t>the objective of ensuring a space free from second</w:t>
      </w:r>
      <w:r w:rsidR="00720901">
        <w:rPr>
          <w:u w:val="single"/>
          <w:lang w:val="en-CA"/>
        </w:rPr>
        <w:noBreakHyphen/>
      </w:r>
      <w:r w:rsidRPr="00B120AE">
        <w:rPr>
          <w:u w:val="single"/>
          <w:lang w:val="en-CA"/>
        </w:rPr>
        <w:t>hand smoke</w:t>
      </w:r>
      <w:r w:rsidRPr="00B120AE">
        <w:rPr>
          <w:lang w:val="en-CA"/>
        </w:rPr>
        <w:t xml:space="preserve"> is compromised, as is the health of members of the public who choose to attend the play</w:t>
      </w:r>
      <w:r w:rsidR="00282C6C">
        <w:rPr>
          <w:lang w:val="en-CA"/>
        </w:rPr>
        <w:t>”</w:t>
      </w:r>
      <w:r w:rsidR="000D3491">
        <w:rPr>
          <w:lang w:val="en-CA"/>
        </w:rPr>
        <w:t>,</w:t>
      </w:r>
      <w:r w:rsidRPr="00B120AE">
        <w:rPr>
          <w:lang w:val="en-CA"/>
        </w:rPr>
        <w:t xml:space="preserve"> </w:t>
      </w:r>
      <w:r w:rsidR="00FB02F9">
        <w:rPr>
          <w:lang w:val="en-CA"/>
        </w:rPr>
        <w:t>j</w:t>
      </w:r>
      <w:r w:rsidRPr="00B120AE">
        <w:rPr>
          <w:lang w:val="en-CA"/>
        </w:rPr>
        <w:t>udgment under appeal, par</w:t>
      </w:r>
      <w:r w:rsidR="008742D0">
        <w:rPr>
          <w:lang w:val="en-CA"/>
        </w:rPr>
        <w:t>a. 6</w:t>
      </w:r>
      <w:r w:rsidRPr="00B120AE">
        <w:rPr>
          <w:lang w:val="en-CA"/>
        </w:rPr>
        <w:t>0 [underlining added]. See also</w:t>
      </w:r>
      <w:r w:rsidR="00885112">
        <w:rPr>
          <w:lang w:val="en-CA"/>
        </w:rPr>
        <w:t>:</w:t>
      </w:r>
      <w:r w:rsidRPr="00B120AE">
        <w:rPr>
          <w:lang w:val="en-CA"/>
        </w:rPr>
        <w:t xml:space="preserve"> par</w:t>
      </w:r>
      <w:r w:rsidR="008742D0">
        <w:rPr>
          <w:lang w:val="en-CA"/>
        </w:rPr>
        <w:t>a. 7</w:t>
      </w:r>
      <w:r w:rsidRPr="00B120AE">
        <w:rPr>
          <w:lang w:val="en-CA"/>
        </w:rPr>
        <w:t xml:space="preserve">0 of the judgment under appeal, which also mentions </w:t>
      </w:r>
      <w:r w:rsidR="0078033F" w:rsidRPr="0078033F">
        <w:rPr>
          <w:smallCaps/>
          <w:lang w:val="en-CA"/>
        </w:rPr>
        <w:t>[translation] </w:t>
      </w:r>
      <w:r w:rsidR="00282C6C">
        <w:rPr>
          <w:lang w:val="en-CA"/>
        </w:rPr>
        <w:t>“</w:t>
      </w:r>
      <w:r w:rsidRPr="00B120AE">
        <w:rPr>
          <w:lang w:val="en-CA"/>
        </w:rPr>
        <w:t>the adverse effects of smoke on the health of spectators who choose to attend […], as well as the risk that they may be encouraged to smoke […]</w:t>
      </w:r>
      <w:r w:rsidR="00282C6C">
        <w:rPr>
          <w:lang w:val="en-CA"/>
        </w:rPr>
        <w:t>”</w:t>
      </w:r>
      <w:r w:rsidRPr="00B120AE">
        <w:rPr>
          <w:lang w:val="en-CA"/>
        </w:rPr>
        <w:t>.</w:t>
      </w:r>
    </w:p>
  </w:footnote>
  <w:footnote w:id="73">
    <w:p w14:paraId="50852D7F" w14:textId="079CCF60" w:rsidR="00E524EA" w:rsidRPr="00116DBB"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r>
      <w:r w:rsidRPr="00B120AE">
        <w:rPr>
          <w:i/>
          <w:iCs/>
          <w:lang w:val="en-CA"/>
        </w:rPr>
        <w:t>RJR</w:t>
      </w:r>
      <w:r w:rsidRPr="00B120AE">
        <w:rPr>
          <w:lang w:val="en-CA"/>
        </w:rPr>
        <w:t>, par</w:t>
      </w:r>
      <w:r w:rsidR="008742D0">
        <w:rPr>
          <w:lang w:val="en-CA"/>
        </w:rPr>
        <w:t>a. 1</w:t>
      </w:r>
      <w:r w:rsidRPr="00B120AE">
        <w:rPr>
          <w:lang w:val="en-CA"/>
        </w:rPr>
        <w:t xml:space="preserve">44. See also: </w:t>
      </w:r>
      <w:r w:rsidRPr="00B120AE">
        <w:rPr>
          <w:i/>
          <w:iCs/>
          <w:lang w:val="en-CA"/>
        </w:rPr>
        <w:t>Moriarity</w:t>
      </w:r>
      <w:r w:rsidRPr="00B120AE">
        <w:rPr>
          <w:lang w:val="en-CA"/>
        </w:rPr>
        <w:t>, par</w:t>
      </w:r>
      <w:r w:rsidR="008742D0">
        <w:rPr>
          <w:lang w:val="en-CA"/>
        </w:rPr>
        <w:t>a. </w:t>
      </w:r>
      <w:r w:rsidR="008742D0" w:rsidRPr="00116DBB">
        <w:t>2</w:t>
      </w:r>
      <w:r w:rsidRPr="00116DBB">
        <w:t>8.</w:t>
      </w:r>
    </w:p>
  </w:footnote>
  <w:footnote w:id="74">
    <w:p w14:paraId="50852D80" w14:textId="77777777"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Procureur général du Québec</w:t>
      </w:r>
      <w:r w:rsidRPr="00116DBB">
        <w:t xml:space="preserve"> </w:t>
      </w:r>
      <w:r w:rsidRPr="00116DBB">
        <w:rPr>
          <w:i/>
          <w:iCs/>
        </w:rPr>
        <w:t>c.</w:t>
      </w:r>
      <w:r w:rsidRPr="00116DBB">
        <w:t xml:space="preserve"> </w:t>
      </w:r>
      <w:r w:rsidRPr="00116DBB">
        <w:rPr>
          <w:i/>
          <w:iCs/>
        </w:rPr>
        <w:t>Gallant</w:t>
      </w:r>
      <w:r w:rsidRPr="00116DBB">
        <w:t>, 2021 QCCA 1701 [</w:t>
      </w:r>
      <w:r w:rsidRPr="00116DBB">
        <w:rPr>
          <w:i/>
          <w:iCs/>
        </w:rPr>
        <w:t>Gallant</w:t>
      </w:r>
      <w:r w:rsidRPr="00116DBB">
        <w:t>].</w:t>
      </w:r>
    </w:p>
  </w:footnote>
  <w:footnote w:id="75">
    <w:p w14:paraId="50852D81" w14:textId="7C96EBD3" w:rsidR="00E524EA" w:rsidRPr="0043685F"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Gallant</w:t>
      </w:r>
      <w:r w:rsidRPr="00116DBB">
        <w:t>, par</w:t>
      </w:r>
      <w:r w:rsidR="008742D0" w:rsidRPr="00116DBB">
        <w:t>a. 2</w:t>
      </w:r>
      <w:r w:rsidRPr="00116DBB">
        <w:t xml:space="preserve">2. </w:t>
      </w:r>
      <w:proofErr w:type="spellStart"/>
      <w:r w:rsidRPr="00116DBB">
        <w:t>See</w:t>
      </w:r>
      <w:proofErr w:type="spellEnd"/>
      <w:r w:rsidRPr="00116DBB">
        <w:t xml:space="preserve"> </w:t>
      </w:r>
      <w:proofErr w:type="spellStart"/>
      <w:r w:rsidRPr="00116DBB">
        <w:t>also</w:t>
      </w:r>
      <w:proofErr w:type="spellEnd"/>
      <w:r w:rsidRPr="00116DBB">
        <w:t xml:space="preserve">: </w:t>
      </w:r>
      <w:proofErr w:type="spellStart"/>
      <w:r w:rsidRPr="00116DBB">
        <w:t>Quebec</w:t>
      </w:r>
      <w:proofErr w:type="spellEnd"/>
      <w:r w:rsidRPr="00116DBB">
        <w:t xml:space="preserve">, National </w:t>
      </w:r>
      <w:proofErr w:type="spellStart"/>
      <w:r w:rsidRPr="00116DBB">
        <w:t>Assembly</w:t>
      </w:r>
      <w:proofErr w:type="spellEnd"/>
      <w:r w:rsidRPr="00116DBB">
        <w:t xml:space="preserve">, </w:t>
      </w:r>
      <w:r w:rsidRPr="00116DBB">
        <w:rPr>
          <w:i/>
          <w:iCs/>
        </w:rPr>
        <w:t xml:space="preserve">Journal </w:t>
      </w:r>
      <w:r w:rsidRPr="0043685F">
        <w:rPr>
          <w:i/>
          <w:iCs/>
        </w:rPr>
        <w:t>des débats</w:t>
      </w:r>
      <w:r w:rsidRPr="0043685F">
        <w:t>, 37th</w:t>
      </w:r>
      <w:r w:rsidR="00D13FCB" w:rsidRPr="0043685F">
        <w:t> </w:t>
      </w:r>
      <w:r w:rsidRPr="0043685F">
        <w:t>Leg., 1st</w:t>
      </w:r>
      <w:r w:rsidR="00D13FCB" w:rsidRPr="0043685F">
        <w:t> </w:t>
      </w:r>
      <w:proofErr w:type="spellStart"/>
      <w:r w:rsidRPr="0043685F">
        <w:t>Sess</w:t>
      </w:r>
      <w:proofErr w:type="spellEnd"/>
      <w:r w:rsidRPr="0043685F">
        <w:t>., Vol.</w:t>
      </w:r>
      <w:r w:rsidR="0095075F" w:rsidRPr="0043685F">
        <w:t> </w:t>
      </w:r>
      <w:r w:rsidRPr="0043685F">
        <w:t>38, No.</w:t>
      </w:r>
      <w:r w:rsidR="00D57967" w:rsidRPr="0043685F">
        <w:t> </w:t>
      </w:r>
      <w:r w:rsidRPr="0043685F">
        <w:t>159, June</w:t>
      </w:r>
      <w:r w:rsidR="00D13FCB" w:rsidRPr="0043685F">
        <w:t> </w:t>
      </w:r>
      <w:r w:rsidRPr="0043685F">
        <w:t>1,</w:t>
      </w:r>
      <w:r w:rsidR="00D13FCB" w:rsidRPr="0043685F">
        <w:t> </w:t>
      </w:r>
      <w:r w:rsidRPr="0043685F">
        <w:t>2005, p. 8856 (P.</w:t>
      </w:r>
      <w:r w:rsidR="0056324D" w:rsidRPr="0043685F">
        <w:t> </w:t>
      </w:r>
      <w:r w:rsidRPr="0043685F">
        <w:t xml:space="preserve">Couillard, </w:t>
      </w:r>
      <w:proofErr w:type="spellStart"/>
      <w:r w:rsidRPr="0043685F">
        <w:t>Minister</w:t>
      </w:r>
      <w:proofErr w:type="spellEnd"/>
      <w:r w:rsidRPr="0043685F">
        <w:t xml:space="preserve"> of </w:t>
      </w:r>
      <w:proofErr w:type="spellStart"/>
      <w:r w:rsidRPr="0043685F">
        <w:t>Health</w:t>
      </w:r>
      <w:proofErr w:type="spellEnd"/>
      <w:r w:rsidRPr="0043685F">
        <w:t xml:space="preserve"> and Social Services), Étude détaillée du projet de loi n</w:t>
      </w:r>
      <w:r w:rsidRPr="0043685F">
        <w:rPr>
          <w:vertAlign w:val="superscript"/>
        </w:rPr>
        <w:t>o</w:t>
      </w:r>
      <w:r w:rsidRPr="0043685F">
        <w:t xml:space="preserve"> 112 </w:t>
      </w:r>
      <w:r w:rsidR="00720901" w:rsidRPr="0043685F">
        <w:noBreakHyphen/>
      </w:r>
      <w:r w:rsidRPr="0043685F">
        <w:t xml:space="preserve"> </w:t>
      </w:r>
      <w:r w:rsidRPr="0043685F">
        <w:rPr>
          <w:i/>
          <w:iCs/>
        </w:rPr>
        <w:t>Loi modifiant la Loi sur le tabac et d</w:t>
      </w:r>
      <w:r w:rsidR="00282C6C" w:rsidRPr="0043685F">
        <w:rPr>
          <w:i/>
          <w:iCs/>
        </w:rPr>
        <w:t>’</w:t>
      </w:r>
      <w:r w:rsidRPr="0043685F">
        <w:rPr>
          <w:i/>
          <w:iCs/>
        </w:rPr>
        <w:t>autres dispositions législatives</w:t>
      </w:r>
      <w:r w:rsidRPr="0043685F">
        <w:t>.</w:t>
      </w:r>
    </w:p>
  </w:footnote>
  <w:footnote w:id="76">
    <w:p w14:paraId="50852D82" w14:textId="452E2B66" w:rsidR="00E524EA" w:rsidRPr="0043685F" w:rsidRDefault="001C0031" w:rsidP="00E524EA">
      <w:pPr>
        <w:pStyle w:val="Notedebasdepage"/>
      </w:pPr>
      <w:r w:rsidRPr="0043685F">
        <w:rPr>
          <w:rStyle w:val="Appelnotedebasdep"/>
          <w:lang w:val="en-CA"/>
        </w:rPr>
        <w:footnoteRef/>
      </w:r>
      <w:r w:rsidRPr="0043685F">
        <w:t xml:space="preserve"> </w:t>
      </w:r>
      <w:r w:rsidRPr="0043685F">
        <w:tab/>
      </w:r>
      <w:r w:rsidRPr="0043685F">
        <w:rPr>
          <w:i/>
          <w:iCs/>
        </w:rPr>
        <w:t>Gallant</w:t>
      </w:r>
      <w:r w:rsidRPr="0043685F">
        <w:t>, par</w:t>
      </w:r>
      <w:r w:rsidR="008742D0" w:rsidRPr="0043685F">
        <w:t>a. 1</w:t>
      </w:r>
      <w:r w:rsidRPr="0043685F">
        <w:t>84.</w:t>
      </w:r>
    </w:p>
  </w:footnote>
  <w:footnote w:id="77">
    <w:p w14:paraId="50852D83" w14:textId="483B6EBC" w:rsidR="00E524EA" w:rsidRPr="00B120AE" w:rsidRDefault="001C0031" w:rsidP="00E524EA">
      <w:pPr>
        <w:pStyle w:val="Notedebasdepage"/>
        <w:rPr>
          <w:lang w:val="en-CA"/>
        </w:rPr>
      </w:pPr>
      <w:r w:rsidRPr="00B120AE">
        <w:rPr>
          <w:rStyle w:val="Appelnotedebasdep"/>
          <w:lang w:val="en-CA"/>
        </w:rPr>
        <w:footnoteRef/>
      </w:r>
      <w:r w:rsidRPr="00116DBB">
        <w:t xml:space="preserve"> </w:t>
      </w:r>
      <w:r w:rsidRPr="00116DBB">
        <w:tab/>
        <w:t>S.Q. 1986, c.</w:t>
      </w:r>
      <w:r w:rsidR="00D13FCB" w:rsidRPr="00116DBB">
        <w:t> </w:t>
      </w:r>
      <w:r w:rsidRPr="00116DBB">
        <w:t>13 (CQLR, c.</w:t>
      </w:r>
      <w:r w:rsidR="00D13FCB" w:rsidRPr="00116DBB">
        <w:t> </w:t>
      </w:r>
      <w:r w:rsidRPr="00116DBB">
        <w:t>P</w:t>
      </w:r>
      <w:r w:rsidR="00720901" w:rsidRPr="00116DBB">
        <w:noBreakHyphen/>
      </w:r>
      <w:r w:rsidRPr="00116DBB">
        <w:t xml:space="preserve">38.01). </w:t>
      </w:r>
      <w:r w:rsidRPr="00B120AE">
        <w:rPr>
          <w:lang w:val="en-CA"/>
        </w:rPr>
        <w:t xml:space="preserve">The section included an exception for such places where the activity was reserved </w:t>
      </w:r>
      <w:r w:rsidR="00282C6C">
        <w:rPr>
          <w:lang w:val="en-CA"/>
        </w:rPr>
        <w:t>“</w:t>
      </w:r>
      <w:r w:rsidRPr="00B120AE">
        <w:rPr>
          <w:lang w:val="en-CA"/>
        </w:rPr>
        <w:t>exclusively for the members of a determinate group of persons</w:t>
      </w:r>
      <w:r w:rsidR="00282C6C">
        <w:rPr>
          <w:lang w:val="en-CA"/>
        </w:rPr>
        <w:t>”</w:t>
      </w:r>
      <w:r w:rsidRPr="00B120AE">
        <w:rPr>
          <w:lang w:val="en-CA"/>
        </w:rPr>
        <w:t xml:space="preserve">, </w:t>
      </w:r>
      <w:r w:rsidR="008742D0">
        <w:rPr>
          <w:lang w:val="en-CA"/>
        </w:rPr>
        <w:t>s. 1</w:t>
      </w:r>
      <w:r w:rsidRPr="00B120AE">
        <w:rPr>
          <w:lang w:val="en-CA"/>
        </w:rPr>
        <w:t>5</w:t>
      </w:r>
      <w:r w:rsidR="00D13FCB">
        <w:rPr>
          <w:lang w:val="en-CA"/>
        </w:rPr>
        <w:t> </w:t>
      </w:r>
      <w:r w:rsidRPr="00B120AE">
        <w:rPr>
          <w:lang w:val="en-CA"/>
        </w:rPr>
        <w:t>par</w:t>
      </w:r>
      <w:r w:rsidR="008742D0">
        <w:rPr>
          <w:lang w:val="en-CA"/>
        </w:rPr>
        <w:t>a. 2</w:t>
      </w:r>
      <w:r w:rsidRPr="00B120AE">
        <w:rPr>
          <w:lang w:val="en-CA"/>
        </w:rPr>
        <w:t xml:space="preserve">. </w:t>
      </w:r>
    </w:p>
  </w:footnote>
  <w:footnote w:id="78">
    <w:p w14:paraId="50852D84" w14:textId="3950474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S.Q. 1998, c.</w:t>
      </w:r>
      <w:r w:rsidR="00D13FCB">
        <w:rPr>
          <w:lang w:val="en-CA"/>
        </w:rPr>
        <w:t> </w:t>
      </w:r>
      <w:r w:rsidRPr="00B120AE">
        <w:rPr>
          <w:lang w:val="en-CA"/>
        </w:rPr>
        <w:t>33 (CQLR, c.</w:t>
      </w:r>
      <w:r w:rsidR="00D13FCB">
        <w:rPr>
          <w:lang w:val="en-CA"/>
        </w:rPr>
        <w:t> </w:t>
      </w:r>
      <w:r w:rsidRPr="00B120AE">
        <w:rPr>
          <w:lang w:val="en-CA"/>
        </w:rPr>
        <w:t>T</w:t>
      </w:r>
      <w:r w:rsidR="00720901">
        <w:rPr>
          <w:lang w:val="en-CA"/>
        </w:rPr>
        <w:noBreakHyphen/>
      </w:r>
      <w:r w:rsidRPr="00B120AE">
        <w:rPr>
          <w:lang w:val="en-CA"/>
        </w:rPr>
        <w:t xml:space="preserve">0.01), </w:t>
      </w:r>
      <w:r w:rsidR="008742D0">
        <w:rPr>
          <w:lang w:val="en-CA"/>
        </w:rPr>
        <w:t>s.</w:t>
      </w:r>
      <w:r w:rsidR="00D13FCB">
        <w:rPr>
          <w:lang w:val="en-CA"/>
        </w:rPr>
        <w:t> </w:t>
      </w:r>
      <w:r w:rsidR="008742D0">
        <w:rPr>
          <w:lang w:val="en-CA"/>
        </w:rPr>
        <w:t>2</w:t>
      </w:r>
      <w:r w:rsidRPr="00B120AE">
        <w:rPr>
          <w:lang w:val="en-CA"/>
        </w:rPr>
        <w:t xml:space="preserve"> par</w:t>
      </w:r>
      <w:r w:rsidR="008742D0">
        <w:rPr>
          <w:lang w:val="en-CA"/>
        </w:rPr>
        <w:t>a.</w:t>
      </w:r>
      <w:r w:rsidR="00D13FCB">
        <w:rPr>
          <w:lang w:val="en-CA"/>
        </w:rPr>
        <w:t> </w:t>
      </w:r>
      <w:r w:rsidR="008742D0">
        <w:rPr>
          <w:lang w:val="en-CA"/>
        </w:rPr>
        <w:t>1</w:t>
      </w:r>
      <w:r w:rsidRPr="00B120AE">
        <w:rPr>
          <w:lang w:val="en-CA"/>
        </w:rPr>
        <w:t>(5).</w:t>
      </w:r>
    </w:p>
  </w:footnote>
  <w:footnote w:id="79">
    <w:p w14:paraId="50852D85" w14:textId="3AE85B92" w:rsidR="00E524EA" w:rsidRPr="0043685F"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t>Quebec, Nat</w:t>
      </w:r>
      <w:r w:rsidRPr="0043685F">
        <w:rPr>
          <w:lang w:val="en-CA"/>
        </w:rPr>
        <w:t xml:space="preserve">ional Assembly, Standing Committee on Planning and Infrastructures, </w:t>
      </w:r>
      <w:r w:rsidRPr="0043685F">
        <w:rPr>
          <w:i/>
          <w:iCs/>
          <w:lang w:val="en-CA"/>
        </w:rPr>
        <w:t xml:space="preserve">Journal des </w:t>
      </w:r>
      <w:proofErr w:type="spellStart"/>
      <w:r w:rsidRPr="0043685F">
        <w:rPr>
          <w:i/>
          <w:iCs/>
          <w:lang w:val="en-CA"/>
        </w:rPr>
        <w:t>débats</w:t>
      </w:r>
      <w:proofErr w:type="spellEnd"/>
      <w:r w:rsidRPr="0043685F">
        <w:rPr>
          <w:lang w:val="en-CA"/>
        </w:rPr>
        <w:t>, 33</w:t>
      </w:r>
      <w:r w:rsidR="00D13FCB" w:rsidRPr="0043685F">
        <w:rPr>
          <w:lang w:val="en-CA"/>
        </w:rPr>
        <w:t>rd </w:t>
      </w:r>
      <w:r w:rsidRPr="0043685F">
        <w:rPr>
          <w:lang w:val="en-CA"/>
        </w:rPr>
        <w:t>Leg., 1</w:t>
      </w:r>
      <w:r w:rsidR="00D13FCB" w:rsidRPr="0043685F">
        <w:rPr>
          <w:lang w:val="en-CA"/>
        </w:rPr>
        <w:t>st </w:t>
      </w:r>
      <w:r w:rsidRPr="0043685F">
        <w:rPr>
          <w:lang w:val="en-CA"/>
        </w:rPr>
        <w:t>Sess., June</w:t>
      </w:r>
      <w:r w:rsidR="00D13FCB" w:rsidRPr="0043685F">
        <w:rPr>
          <w:lang w:val="en-CA"/>
        </w:rPr>
        <w:t> </w:t>
      </w:r>
      <w:r w:rsidRPr="0043685F">
        <w:rPr>
          <w:lang w:val="en-CA"/>
        </w:rPr>
        <w:t>9,</w:t>
      </w:r>
      <w:r w:rsidR="00D13FCB" w:rsidRPr="0043685F">
        <w:rPr>
          <w:lang w:val="en-CA"/>
        </w:rPr>
        <w:t> </w:t>
      </w:r>
      <w:r w:rsidRPr="0043685F">
        <w:rPr>
          <w:lang w:val="en-CA"/>
        </w:rPr>
        <w:t xml:space="preserve">1986, pp. </w:t>
      </w:r>
      <w:r w:rsidRPr="0043685F">
        <w:t>CAE</w:t>
      </w:r>
      <w:r w:rsidR="00720901" w:rsidRPr="0043685F">
        <w:noBreakHyphen/>
      </w:r>
      <w:r w:rsidRPr="0043685F">
        <w:t>605 to CAE</w:t>
      </w:r>
      <w:r w:rsidR="00720901" w:rsidRPr="0043685F">
        <w:noBreakHyphen/>
      </w:r>
      <w:r w:rsidRPr="0043685F">
        <w:t>606 (C.</w:t>
      </w:r>
      <w:r w:rsidR="00D13FCB" w:rsidRPr="0043685F">
        <w:t> </w:t>
      </w:r>
      <w:r w:rsidRPr="0043685F">
        <w:t xml:space="preserve">Lincoln, </w:t>
      </w:r>
      <w:proofErr w:type="spellStart"/>
      <w:r w:rsidRPr="0043685F">
        <w:t>Minister</w:t>
      </w:r>
      <w:proofErr w:type="spellEnd"/>
      <w:r w:rsidRPr="0043685F">
        <w:t xml:space="preserve"> of the </w:t>
      </w:r>
      <w:proofErr w:type="spellStart"/>
      <w:r w:rsidRPr="0043685F">
        <w:t>Environment</w:t>
      </w:r>
      <w:proofErr w:type="spellEnd"/>
      <w:r w:rsidRPr="0043685F">
        <w:t>) Étude détaillée du projet de loi n</w:t>
      </w:r>
      <w:r w:rsidRPr="0043685F">
        <w:rPr>
          <w:vertAlign w:val="superscript"/>
        </w:rPr>
        <w:t>o</w:t>
      </w:r>
      <w:r w:rsidRPr="0043685F">
        <w:t xml:space="preserve"> 84 – </w:t>
      </w:r>
      <w:r w:rsidRPr="0043685F">
        <w:rPr>
          <w:i/>
          <w:iCs/>
        </w:rPr>
        <w:t>Loi sur la protection des non</w:t>
      </w:r>
      <w:r w:rsidR="00720901" w:rsidRPr="0043685F">
        <w:rPr>
          <w:i/>
          <w:iCs/>
        </w:rPr>
        <w:noBreakHyphen/>
      </w:r>
      <w:r w:rsidRPr="0043685F">
        <w:rPr>
          <w:i/>
          <w:iCs/>
        </w:rPr>
        <w:t>fumeurs dans certains lieux publics</w:t>
      </w:r>
      <w:r w:rsidRPr="0043685F">
        <w:t>.</w:t>
      </w:r>
    </w:p>
  </w:footnote>
  <w:footnote w:id="80">
    <w:p w14:paraId="50852D86" w14:textId="1900A2AB" w:rsidR="00E524EA" w:rsidRPr="00B120AE" w:rsidRDefault="001C0031" w:rsidP="00E524EA">
      <w:pPr>
        <w:pStyle w:val="Notedebasdepage"/>
        <w:rPr>
          <w:lang w:val="en-CA"/>
        </w:rPr>
      </w:pPr>
      <w:r w:rsidRPr="0043685F">
        <w:rPr>
          <w:rStyle w:val="Appelnotedebasdep"/>
          <w:lang w:val="en-CA"/>
        </w:rPr>
        <w:footnoteRef/>
      </w:r>
      <w:r w:rsidR="00287AE9" w:rsidRPr="0043685F">
        <w:rPr>
          <w:lang w:val="en-CA"/>
        </w:rPr>
        <w:t xml:space="preserve"> </w:t>
      </w:r>
      <w:r w:rsidRPr="0043685F">
        <w:rPr>
          <w:i/>
          <w:iCs/>
          <w:lang w:val="en-CA"/>
        </w:rPr>
        <w:tab/>
      </w:r>
      <w:r w:rsidRPr="0043685F">
        <w:rPr>
          <w:lang w:val="en-CA"/>
        </w:rPr>
        <w:t xml:space="preserve">In 2005, the </w:t>
      </w:r>
      <w:r w:rsidRPr="0043685F">
        <w:rPr>
          <w:i/>
          <w:iCs/>
          <w:lang w:val="en-CA"/>
        </w:rPr>
        <w:t>Act to amend the Tobacco Act and other legislative provisions</w:t>
      </w:r>
      <w:r w:rsidRPr="0043685F">
        <w:rPr>
          <w:lang w:val="en-CA"/>
        </w:rPr>
        <w:t>, S.Q.</w:t>
      </w:r>
      <w:r w:rsidR="00D13FCB" w:rsidRPr="0043685F">
        <w:rPr>
          <w:lang w:val="en-CA"/>
        </w:rPr>
        <w:t> </w:t>
      </w:r>
      <w:r w:rsidRPr="0043685F">
        <w:rPr>
          <w:lang w:val="en-CA"/>
        </w:rPr>
        <w:t>2005, c.</w:t>
      </w:r>
      <w:r w:rsidR="00D13FCB" w:rsidRPr="0043685F">
        <w:rPr>
          <w:lang w:val="en-CA"/>
        </w:rPr>
        <w:t> </w:t>
      </w:r>
      <w:r w:rsidRPr="0043685F">
        <w:rPr>
          <w:lang w:val="en-CA"/>
        </w:rPr>
        <w:t xml:space="preserve">29, amended </w:t>
      </w:r>
      <w:r w:rsidR="008742D0" w:rsidRPr="0043685F">
        <w:rPr>
          <w:lang w:val="en-CA"/>
        </w:rPr>
        <w:t>s. 1</w:t>
      </w:r>
      <w:r w:rsidRPr="0043685F">
        <w:rPr>
          <w:lang w:val="en-CA"/>
        </w:rPr>
        <w:t xml:space="preserve"> of the </w:t>
      </w:r>
      <w:r w:rsidRPr="00B120AE">
        <w:rPr>
          <w:i/>
          <w:iCs/>
          <w:lang w:val="en-CA"/>
        </w:rPr>
        <w:t>Tobacco Act</w:t>
      </w:r>
      <w:r w:rsidRPr="00B120AE">
        <w:rPr>
          <w:lang w:val="en-CA"/>
        </w:rPr>
        <w:t>, S.Q.</w:t>
      </w:r>
      <w:r w:rsidR="00D13FCB">
        <w:rPr>
          <w:lang w:val="en-CA"/>
        </w:rPr>
        <w:t> </w:t>
      </w:r>
      <w:r w:rsidRPr="00B120AE">
        <w:rPr>
          <w:lang w:val="en-CA"/>
        </w:rPr>
        <w:t>1998, c.</w:t>
      </w:r>
      <w:r w:rsidR="00D13FCB">
        <w:rPr>
          <w:lang w:val="en-CA"/>
        </w:rPr>
        <w:t> </w:t>
      </w:r>
      <w:r w:rsidRPr="00B120AE">
        <w:rPr>
          <w:lang w:val="en-CA"/>
        </w:rPr>
        <w:t>33 (CQLR, v.</w:t>
      </w:r>
      <w:r w:rsidR="00D13FCB">
        <w:rPr>
          <w:lang w:val="en-CA"/>
        </w:rPr>
        <w:t> </w:t>
      </w:r>
      <w:r w:rsidRPr="00B120AE">
        <w:rPr>
          <w:lang w:val="en-CA"/>
        </w:rPr>
        <w:t>T</w:t>
      </w:r>
      <w:r w:rsidR="00720901">
        <w:rPr>
          <w:lang w:val="en-CA"/>
        </w:rPr>
        <w:noBreakHyphen/>
      </w:r>
      <w:r w:rsidRPr="00B120AE">
        <w:rPr>
          <w:lang w:val="en-CA"/>
        </w:rPr>
        <w:t xml:space="preserve">0.01), </w:t>
      </w:r>
      <w:proofErr w:type="gramStart"/>
      <w:r w:rsidRPr="00B120AE">
        <w:rPr>
          <w:lang w:val="en-CA"/>
        </w:rPr>
        <w:t>so as to</w:t>
      </w:r>
      <w:proofErr w:type="gramEnd"/>
      <w:r w:rsidRPr="00B120AE">
        <w:rPr>
          <w:lang w:val="en-CA"/>
        </w:rPr>
        <w:t xml:space="preserve"> include, in the notion of </w:t>
      </w:r>
      <w:r w:rsidR="00282C6C">
        <w:rPr>
          <w:lang w:val="en-CA"/>
        </w:rPr>
        <w:t>“</w:t>
      </w:r>
      <w:r w:rsidRPr="00B120AE">
        <w:rPr>
          <w:lang w:val="en-CA"/>
        </w:rPr>
        <w:t>tobacco</w:t>
      </w:r>
      <w:r w:rsidR="00282C6C">
        <w:rPr>
          <w:lang w:val="en-CA"/>
        </w:rPr>
        <w:t>”</w:t>
      </w:r>
      <w:r w:rsidRPr="00B120AE">
        <w:rPr>
          <w:lang w:val="en-CA"/>
        </w:rPr>
        <w:t>:</w:t>
      </w:r>
      <w:r w:rsidR="00D13FCB">
        <w:rPr>
          <w:lang w:val="en-CA"/>
        </w:rPr>
        <w:t> </w:t>
      </w:r>
      <w:r w:rsidRPr="00B120AE">
        <w:rPr>
          <w:lang w:val="en-CA"/>
        </w:rPr>
        <w:t xml:space="preserve">any other product or class of product considered to be tobacco under the </w:t>
      </w:r>
      <w:r w:rsidRPr="00B120AE">
        <w:rPr>
          <w:i/>
          <w:iCs/>
          <w:lang w:val="en-CA"/>
        </w:rPr>
        <w:t>Regulation</w:t>
      </w:r>
      <w:r w:rsidRPr="00B120AE">
        <w:rPr>
          <w:lang w:val="en-CA"/>
        </w:rPr>
        <w:t xml:space="preserve">. In this regard, see: National Assembly, Standing Committee on Social Affairs, </w:t>
      </w:r>
      <w:r w:rsidRPr="00B120AE">
        <w:rPr>
          <w:i/>
          <w:iCs/>
          <w:lang w:val="en-CA"/>
        </w:rPr>
        <w:t xml:space="preserve">Journal des </w:t>
      </w:r>
      <w:proofErr w:type="spellStart"/>
      <w:r w:rsidRPr="00B120AE">
        <w:rPr>
          <w:i/>
          <w:iCs/>
          <w:lang w:val="en-CA"/>
        </w:rPr>
        <w:t>débats</w:t>
      </w:r>
      <w:proofErr w:type="spellEnd"/>
      <w:r w:rsidRPr="00B120AE">
        <w:rPr>
          <w:lang w:val="en-CA"/>
        </w:rPr>
        <w:t>, 37th</w:t>
      </w:r>
      <w:r w:rsidR="00573CAD">
        <w:rPr>
          <w:lang w:val="en-CA"/>
        </w:rPr>
        <w:t> </w:t>
      </w:r>
      <w:r w:rsidRPr="00B120AE">
        <w:rPr>
          <w:lang w:val="en-CA"/>
        </w:rPr>
        <w:t>Leg., 1st</w:t>
      </w:r>
      <w:r w:rsidR="00573CAD">
        <w:rPr>
          <w:lang w:val="en-CA"/>
        </w:rPr>
        <w:t> </w:t>
      </w:r>
      <w:r w:rsidRPr="00B120AE">
        <w:rPr>
          <w:lang w:val="en-CA"/>
        </w:rPr>
        <w:t>Sess., Vol.</w:t>
      </w:r>
      <w:r w:rsidR="00573CAD">
        <w:rPr>
          <w:lang w:val="en-CA"/>
        </w:rPr>
        <w:t> </w:t>
      </w:r>
      <w:r w:rsidRPr="00B120AE">
        <w:rPr>
          <w:lang w:val="en-CA"/>
        </w:rPr>
        <w:t>38, No.</w:t>
      </w:r>
      <w:r w:rsidR="00573CAD">
        <w:rPr>
          <w:lang w:val="en-CA"/>
        </w:rPr>
        <w:t> </w:t>
      </w:r>
      <w:r w:rsidRPr="00B120AE">
        <w:rPr>
          <w:lang w:val="en-CA"/>
        </w:rPr>
        <w:t>143, June</w:t>
      </w:r>
      <w:r w:rsidR="00573CAD">
        <w:rPr>
          <w:lang w:val="en-CA"/>
        </w:rPr>
        <w:t> </w:t>
      </w:r>
      <w:r w:rsidRPr="00B120AE">
        <w:rPr>
          <w:lang w:val="en-CA"/>
        </w:rPr>
        <w:t>13,</w:t>
      </w:r>
      <w:r w:rsidR="00573CAD">
        <w:rPr>
          <w:lang w:val="en-CA"/>
        </w:rPr>
        <w:t> </w:t>
      </w:r>
      <w:r w:rsidRPr="00B120AE">
        <w:rPr>
          <w:lang w:val="en-CA"/>
        </w:rPr>
        <w:t>2005 (P.</w:t>
      </w:r>
      <w:r w:rsidR="00573CAD">
        <w:rPr>
          <w:lang w:val="en-CA"/>
        </w:rPr>
        <w:t> </w:t>
      </w:r>
      <w:r w:rsidRPr="00B120AE">
        <w:rPr>
          <w:lang w:val="en-CA"/>
        </w:rPr>
        <w:t xml:space="preserve">Couillard): </w:t>
      </w:r>
      <w:r w:rsidR="0078033F" w:rsidRPr="0078033F">
        <w:rPr>
          <w:smallCaps/>
          <w:lang w:val="en-CA"/>
        </w:rPr>
        <w:t>[translation] </w:t>
      </w:r>
      <w:r w:rsidR="00282C6C">
        <w:rPr>
          <w:lang w:val="en-CA"/>
        </w:rPr>
        <w:t>“</w:t>
      </w:r>
      <w:r w:rsidRPr="00B120AE">
        <w:rPr>
          <w:lang w:val="en-CA"/>
        </w:rPr>
        <w:t xml:space="preserve">So what </w:t>
      </w:r>
      <w:r w:rsidR="008742D0">
        <w:rPr>
          <w:lang w:val="en-CA"/>
        </w:rPr>
        <w:t>s.</w:t>
      </w:r>
      <w:r w:rsidR="00265ED2">
        <w:rPr>
          <w:lang w:val="en-CA"/>
        </w:rPr>
        <w:t> </w:t>
      </w:r>
      <w:r w:rsidR="008742D0">
        <w:rPr>
          <w:lang w:val="en-CA"/>
        </w:rPr>
        <w:t>1</w:t>
      </w:r>
      <w:r w:rsidRPr="00B120AE">
        <w:rPr>
          <w:lang w:val="en-CA"/>
        </w:rPr>
        <w:t xml:space="preserve"> does is to allow the government to broaden the application of the Act to new products that could jeopardize the Act</w:t>
      </w:r>
      <w:r w:rsidR="00282C6C">
        <w:rPr>
          <w:lang w:val="en-CA"/>
        </w:rPr>
        <w:t>’</w:t>
      </w:r>
      <w:r w:rsidRPr="00B120AE">
        <w:rPr>
          <w:lang w:val="en-CA"/>
        </w:rPr>
        <w:t>s objectives, for example tobacco‑free cigarettes made from eucalyptus leaves, and other products that might come along.</w:t>
      </w:r>
      <w:r w:rsidR="00282C6C">
        <w:rPr>
          <w:lang w:val="en-CA"/>
        </w:rPr>
        <w:t>”</w:t>
      </w:r>
    </w:p>
  </w:footnote>
  <w:footnote w:id="81">
    <w:p w14:paraId="50852D87" w14:textId="1300CA38"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Canada (Attorney General) v. JTI</w:t>
      </w:r>
      <w:r w:rsidR="00720901">
        <w:rPr>
          <w:i/>
          <w:iCs/>
          <w:lang w:val="en-CA"/>
        </w:rPr>
        <w:noBreakHyphen/>
      </w:r>
      <w:r w:rsidRPr="00B120AE">
        <w:rPr>
          <w:i/>
          <w:iCs/>
          <w:lang w:val="en-CA"/>
        </w:rPr>
        <w:t>Macdonald Corp.</w:t>
      </w:r>
      <w:r w:rsidRPr="00B120AE">
        <w:rPr>
          <w:lang w:val="en-CA"/>
        </w:rPr>
        <w:t>, 2007 SCC 30 [</w:t>
      </w:r>
      <w:r w:rsidRPr="00B120AE">
        <w:rPr>
          <w:i/>
          <w:iCs/>
          <w:lang w:val="en-CA"/>
        </w:rPr>
        <w:t>JTI</w:t>
      </w:r>
      <w:r w:rsidRPr="00B120AE">
        <w:rPr>
          <w:lang w:val="en-CA"/>
        </w:rPr>
        <w:t>], par</w:t>
      </w:r>
      <w:r w:rsidR="008742D0">
        <w:rPr>
          <w:lang w:val="en-CA"/>
        </w:rPr>
        <w:t>a. 1</w:t>
      </w:r>
      <w:r w:rsidRPr="00B120AE">
        <w:rPr>
          <w:lang w:val="en-CA"/>
        </w:rPr>
        <w:t>0.</w:t>
      </w:r>
    </w:p>
  </w:footnote>
  <w:footnote w:id="82">
    <w:p w14:paraId="50852D88" w14:textId="6EE1E5F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w:t>
      </w:r>
      <w:r w:rsidR="008742D0">
        <w:rPr>
          <w:lang w:val="en-CA"/>
        </w:rPr>
        <w:t>a. 7</w:t>
      </w:r>
      <w:r w:rsidRPr="00B120AE">
        <w:rPr>
          <w:lang w:val="en-CA"/>
        </w:rPr>
        <w:t>0.</w:t>
      </w:r>
    </w:p>
  </w:footnote>
  <w:footnote w:id="83">
    <w:p w14:paraId="50852D89" w14:textId="5A18D90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I would point out that at the federal level, Parliament has provided an exception to its ban on the promotion of tobacco products and vaping products for </w:t>
      </w:r>
      <w:r w:rsidR="00282C6C">
        <w:rPr>
          <w:lang w:val="en-CA"/>
        </w:rPr>
        <w:t>“</w:t>
      </w:r>
      <w:r w:rsidRPr="00B120AE">
        <w:rPr>
          <w:lang w:val="en-CA"/>
        </w:rPr>
        <w:t>literary, dramatic, musical, cinematographic, scientific, educational or artistic work[s]</w:t>
      </w:r>
      <w:r w:rsidR="00282C6C">
        <w:rPr>
          <w:lang w:val="en-CA"/>
        </w:rPr>
        <w:t>”</w:t>
      </w:r>
      <w:r w:rsidR="00265ED2">
        <w:rPr>
          <w:lang w:val="en-CA"/>
        </w:rPr>
        <w:t>;</w:t>
      </w:r>
      <w:r w:rsidRPr="00B120AE">
        <w:rPr>
          <w:lang w:val="en-CA"/>
        </w:rPr>
        <w:t xml:space="preserve"> see: </w:t>
      </w:r>
      <w:r w:rsidRPr="00B120AE">
        <w:rPr>
          <w:i/>
          <w:iCs/>
          <w:lang w:val="en-CA"/>
        </w:rPr>
        <w:t xml:space="preserve">Tobacco and Vaping Products Act, </w:t>
      </w:r>
      <w:r w:rsidRPr="00B120AE">
        <w:rPr>
          <w:lang w:val="en-CA"/>
        </w:rPr>
        <w:t>S.C.</w:t>
      </w:r>
      <w:r w:rsidR="00265ED2">
        <w:rPr>
          <w:lang w:val="en-CA"/>
        </w:rPr>
        <w:t> </w:t>
      </w:r>
      <w:r w:rsidRPr="00B120AE">
        <w:rPr>
          <w:lang w:val="en-CA"/>
        </w:rPr>
        <w:t>1997, c.</w:t>
      </w:r>
      <w:r w:rsidR="00265ED2">
        <w:rPr>
          <w:lang w:val="en-CA"/>
        </w:rPr>
        <w:t> </w:t>
      </w:r>
      <w:r w:rsidRPr="00B120AE">
        <w:rPr>
          <w:lang w:val="en-CA"/>
        </w:rPr>
        <w:t xml:space="preserve">13, </w:t>
      </w:r>
      <w:r w:rsidR="008742D0">
        <w:rPr>
          <w:lang w:val="en-CA"/>
        </w:rPr>
        <w:t>s. 1</w:t>
      </w:r>
      <w:r w:rsidRPr="00B120AE">
        <w:rPr>
          <w:lang w:val="en-CA"/>
        </w:rPr>
        <w:t>8.</w:t>
      </w:r>
    </w:p>
  </w:footnote>
  <w:footnote w:id="84">
    <w:p w14:paraId="50852D8A" w14:textId="52B7AD97" w:rsidR="00E524EA" w:rsidRPr="00116DBB"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r>
      <w:r w:rsidRPr="00B120AE">
        <w:rPr>
          <w:i/>
          <w:iCs/>
          <w:lang w:val="en-CA"/>
        </w:rPr>
        <w:t>Taylor v. Newfoundland and Labrador</w:t>
      </w:r>
      <w:r w:rsidRPr="00B120AE">
        <w:rPr>
          <w:lang w:val="en-CA"/>
        </w:rPr>
        <w:t>, 2026 SCC 5, par</w:t>
      </w:r>
      <w:r w:rsidR="008742D0">
        <w:rPr>
          <w:lang w:val="en-CA"/>
        </w:rPr>
        <w:t>a. 1</w:t>
      </w:r>
      <w:r w:rsidRPr="00B120AE">
        <w:rPr>
          <w:lang w:val="en-CA"/>
        </w:rPr>
        <w:t>92 [</w:t>
      </w:r>
      <w:r w:rsidRPr="00B120AE">
        <w:rPr>
          <w:i/>
          <w:iCs/>
          <w:lang w:val="en-CA"/>
        </w:rPr>
        <w:t>Taylor</w:t>
      </w:r>
      <w:r w:rsidRPr="00B120AE">
        <w:rPr>
          <w:lang w:val="en-CA"/>
        </w:rPr>
        <w:t xml:space="preserve">]. See also: </w:t>
      </w:r>
      <w:r w:rsidRPr="00B120AE">
        <w:rPr>
          <w:i/>
          <w:iCs/>
          <w:lang w:val="en-CA"/>
        </w:rPr>
        <w:t>Hutterian</w:t>
      </w:r>
      <w:r w:rsidRPr="00B120AE">
        <w:rPr>
          <w:lang w:val="en-CA"/>
        </w:rPr>
        <w:t>, par</w:t>
      </w:r>
      <w:r w:rsidR="008742D0">
        <w:rPr>
          <w:lang w:val="en-CA"/>
        </w:rPr>
        <w:t>a. </w:t>
      </w:r>
      <w:r w:rsidR="008742D0" w:rsidRPr="00116DBB">
        <w:t>5</w:t>
      </w:r>
      <w:r w:rsidRPr="00116DBB">
        <w:t xml:space="preserve">3. </w:t>
      </w:r>
    </w:p>
  </w:footnote>
  <w:footnote w:id="85">
    <w:p w14:paraId="50852D8B" w14:textId="7C11BCC6" w:rsidR="00E524EA" w:rsidRPr="00B120AE" w:rsidRDefault="001C0031" w:rsidP="00E524EA">
      <w:pPr>
        <w:pStyle w:val="Notedebasdepage"/>
        <w:rPr>
          <w:lang w:val="en-CA"/>
        </w:rPr>
      </w:pPr>
      <w:r w:rsidRPr="00B120AE">
        <w:rPr>
          <w:rStyle w:val="Appelnotedebasdep"/>
          <w:lang w:val="en-CA"/>
        </w:rPr>
        <w:footnoteRef/>
      </w:r>
      <w:r w:rsidRPr="00116DBB">
        <w:t xml:space="preserve"> </w:t>
      </w:r>
      <w:r w:rsidRPr="00116DBB">
        <w:tab/>
      </w:r>
      <w:r w:rsidRPr="00116DBB">
        <w:rPr>
          <w:i/>
          <w:iCs/>
        </w:rPr>
        <w:t>RJR</w:t>
      </w:r>
      <w:r w:rsidRPr="00116DBB">
        <w:t>, par</w:t>
      </w:r>
      <w:r w:rsidR="008742D0" w:rsidRPr="00116DBB">
        <w:t>a. 1</w:t>
      </w:r>
      <w:r w:rsidRPr="00116DBB">
        <w:t xml:space="preserve">63. </w:t>
      </w:r>
      <w:proofErr w:type="spellStart"/>
      <w:r w:rsidRPr="00116DBB">
        <w:t>See</w:t>
      </w:r>
      <w:proofErr w:type="spellEnd"/>
      <w:r w:rsidRPr="00116DBB">
        <w:t xml:space="preserve"> </w:t>
      </w:r>
      <w:proofErr w:type="spellStart"/>
      <w:r w:rsidRPr="00116DBB">
        <w:t>also</w:t>
      </w:r>
      <w:proofErr w:type="spellEnd"/>
      <w:r w:rsidRPr="00116DBB">
        <w:t xml:space="preserve">: </w:t>
      </w:r>
      <w:r w:rsidRPr="00116DBB">
        <w:rPr>
          <w:i/>
          <w:iCs/>
        </w:rPr>
        <w:t>Bérubé c. Ville de Québec</w:t>
      </w:r>
      <w:r w:rsidRPr="00116DBB">
        <w:t>, 2019 QCCA 1764, par</w:t>
      </w:r>
      <w:r w:rsidR="008742D0" w:rsidRPr="00116DBB">
        <w:t>a. </w:t>
      </w:r>
      <w:r w:rsidR="008742D0">
        <w:rPr>
          <w:lang w:val="en-CA"/>
        </w:rPr>
        <w:t>1</w:t>
      </w:r>
      <w:r w:rsidRPr="00B120AE">
        <w:rPr>
          <w:lang w:val="en-CA"/>
        </w:rPr>
        <w:t>11.</w:t>
      </w:r>
    </w:p>
  </w:footnote>
  <w:footnote w:id="86">
    <w:p w14:paraId="50852D8C"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Ramsden</w:t>
      </w:r>
      <w:r w:rsidRPr="00B120AE">
        <w:rPr>
          <w:lang w:val="en-CA"/>
        </w:rPr>
        <w:t xml:space="preserve"> </w:t>
      </w:r>
      <w:r w:rsidRPr="00B120AE">
        <w:rPr>
          <w:i/>
          <w:iCs/>
          <w:lang w:val="en-CA"/>
        </w:rPr>
        <w:t>v.</w:t>
      </w:r>
      <w:r w:rsidRPr="00B120AE">
        <w:rPr>
          <w:lang w:val="en-CA"/>
        </w:rPr>
        <w:t xml:space="preserve"> </w:t>
      </w:r>
      <w:r w:rsidRPr="00B120AE">
        <w:rPr>
          <w:i/>
          <w:iCs/>
          <w:lang w:val="en-CA"/>
        </w:rPr>
        <w:t>Peterborough (City)</w:t>
      </w:r>
      <w:r w:rsidRPr="00B120AE">
        <w:rPr>
          <w:lang w:val="en-CA"/>
        </w:rPr>
        <w:t>, [1993] 2 S.C.R. 1084 [</w:t>
      </w:r>
      <w:r w:rsidRPr="00B120AE">
        <w:rPr>
          <w:i/>
          <w:iCs/>
          <w:lang w:val="en-CA"/>
        </w:rPr>
        <w:t>Ramsden</w:t>
      </w:r>
      <w:r w:rsidRPr="00B120AE">
        <w:rPr>
          <w:lang w:val="en-CA"/>
        </w:rPr>
        <w:t>].</w:t>
      </w:r>
    </w:p>
  </w:footnote>
  <w:footnote w:id="87">
    <w:p w14:paraId="50852D8D"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Ramsden</w:t>
      </w:r>
      <w:r w:rsidRPr="00B120AE">
        <w:rPr>
          <w:lang w:val="en-CA"/>
        </w:rPr>
        <w:t>, p. 1105.</w:t>
      </w:r>
    </w:p>
  </w:footnote>
  <w:footnote w:id="88">
    <w:p w14:paraId="50852D8E" w14:textId="6ED07A9A"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xml:space="preserve">, p. 1107. See also: </w:t>
      </w:r>
      <w:r w:rsidRPr="00B120AE">
        <w:rPr>
          <w:i/>
          <w:iCs/>
          <w:lang w:val="en-CA"/>
        </w:rPr>
        <w:t xml:space="preserve">Ford, </w:t>
      </w:r>
      <w:r w:rsidRPr="00B120AE">
        <w:rPr>
          <w:lang w:val="en-CA"/>
        </w:rPr>
        <w:t>pp. 773</w:t>
      </w:r>
      <w:r w:rsidR="00720901">
        <w:rPr>
          <w:lang w:val="en-CA"/>
        </w:rPr>
        <w:noBreakHyphen/>
      </w:r>
      <w:r w:rsidRPr="00B120AE">
        <w:rPr>
          <w:lang w:val="en-CA"/>
        </w:rPr>
        <w:t>774.</w:t>
      </w:r>
    </w:p>
  </w:footnote>
  <w:footnote w:id="89">
    <w:p w14:paraId="50852D8F"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Little Sisters Book and Art Emporium v. Canada (Minister)</w:t>
      </w:r>
      <w:r w:rsidRPr="00B120AE">
        <w:rPr>
          <w:lang w:val="en-CA"/>
        </w:rPr>
        <w:t>, 2000 SCC 69.</w:t>
      </w:r>
    </w:p>
  </w:footnote>
  <w:footnote w:id="90">
    <w:p w14:paraId="50852D90" w14:textId="5B05661C"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Frank</w:t>
      </w:r>
      <w:r w:rsidRPr="00B120AE">
        <w:rPr>
          <w:lang w:val="en-CA"/>
        </w:rPr>
        <w:t>, par</w:t>
      </w:r>
      <w:r w:rsidR="008742D0">
        <w:rPr>
          <w:lang w:val="en-CA"/>
        </w:rPr>
        <w:t>a. 5</w:t>
      </w:r>
      <w:r w:rsidRPr="00B120AE">
        <w:rPr>
          <w:lang w:val="en-CA"/>
        </w:rPr>
        <w:t>9.</w:t>
      </w:r>
    </w:p>
  </w:footnote>
  <w:footnote w:id="91">
    <w:p w14:paraId="50852D91" w14:textId="09350CD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w:t>
      </w:r>
      <w:r w:rsidR="008742D0">
        <w:rPr>
          <w:lang w:val="en-CA"/>
        </w:rPr>
        <w:t>a. 5</w:t>
      </w:r>
      <w:r w:rsidRPr="00B120AE">
        <w:rPr>
          <w:lang w:val="en-CA"/>
        </w:rPr>
        <w:t xml:space="preserve">8. </w:t>
      </w:r>
    </w:p>
  </w:footnote>
  <w:footnote w:id="92">
    <w:p w14:paraId="50852D92"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Ibid.</w:t>
      </w:r>
    </w:p>
  </w:footnote>
  <w:footnote w:id="93">
    <w:p w14:paraId="50852D93" w14:textId="129BD5A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Carter v. Canada (Attorney General)</w:t>
      </w:r>
      <w:r w:rsidRPr="00B120AE">
        <w:rPr>
          <w:lang w:val="en-CA"/>
        </w:rPr>
        <w:t>, 2015 SCC 5 [</w:t>
      </w:r>
      <w:r w:rsidRPr="00B120AE">
        <w:rPr>
          <w:i/>
          <w:iCs/>
          <w:lang w:val="en-CA"/>
        </w:rPr>
        <w:t>Carter</w:t>
      </w:r>
      <w:r w:rsidRPr="00B120AE">
        <w:rPr>
          <w:lang w:val="en-CA"/>
        </w:rPr>
        <w:t>], par</w:t>
      </w:r>
      <w:r w:rsidR="008742D0">
        <w:rPr>
          <w:lang w:val="en-CA"/>
        </w:rPr>
        <w:t>a. 1</w:t>
      </w:r>
      <w:r w:rsidRPr="00B120AE">
        <w:rPr>
          <w:lang w:val="en-CA"/>
        </w:rPr>
        <w:t>00.</w:t>
      </w:r>
    </w:p>
  </w:footnote>
  <w:footnote w:id="94">
    <w:p w14:paraId="50852D94" w14:textId="1FE3758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Frank</w:t>
      </w:r>
      <w:r w:rsidRPr="00B120AE">
        <w:rPr>
          <w:lang w:val="en-CA"/>
        </w:rPr>
        <w:t>, par</w:t>
      </w:r>
      <w:r w:rsidR="008742D0">
        <w:rPr>
          <w:lang w:val="en-CA"/>
        </w:rPr>
        <w:t>a. 6</w:t>
      </w:r>
      <w:r w:rsidRPr="00B120AE">
        <w:rPr>
          <w:lang w:val="en-CA"/>
        </w:rPr>
        <w:t>4.</w:t>
      </w:r>
    </w:p>
  </w:footnote>
  <w:footnote w:id="95">
    <w:p w14:paraId="50852D95" w14:textId="3292CFC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para</w:t>
      </w:r>
      <w:r w:rsidR="008742D0">
        <w:rPr>
          <w:lang w:val="en-CA"/>
        </w:rPr>
        <w:t>s. 5</w:t>
      </w:r>
      <w:r w:rsidRPr="00B120AE">
        <w:rPr>
          <w:lang w:val="en-CA"/>
        </w:rPr>
        <w:t>9 and 63.</w:t>
      </w:r>
    </w:p>
  </w:footnote>
  <w:footnote w:id="96">
    <w:p w14:paraId="50852D96" w14:textId="25F17FB3"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John Howard Society</w:t>
      </w:r>
      <w:r w:rsidRPr="00B120AE">
        <w:rPr>
          <w:lang w:val="en-CA"/>
        </w:rPr>
        <w:t>, par</w:t>
      </w:r>
      <w:r w:rsidR="008742D0">
        <w:rPr>
          <w:lang w:val="en-CA"/>
        </w:rPr>
        <w:t>a. 9</w:t>
      </w:r>
      <w:r w:rsidRPr="00B120AE">
        <w:rPr>
          <w:lang w:val="en-CA"/>
        </w:rPr>
        <w:t xml:space="preserve">5; </w:t>
      </w:r>
      <w:r w:rsidRPr="00B120AE">
        <w:rPr>
          <w:i/>
          <w:iCs/>
          <w:lang w:val="en-CA"/>
        </w:rPr>
        <w:t>K.R.J.</w:t>
      </w:r>
      <w:r w:rsidRPr="00B120AE">
        <w:rPr>
          <w:lang w:val="en-CA"/>
        </w:rPr>
        <w:t>, par</w:t>
      </w:r>
      <w:r w:rsidR="008742D0">
        <w:rPr>
          <w:lang w:val="en-CA"/>
        </w:rPr>
        <w:t>a. 7</w:t>
      </w:r>
      <w:r w:rsidRPr="00B120AE">
        <w:rPr>
          <w:lang w:val="en-CA"/>
        </w:rPr>
        <w:t xml:space="preserve">0; </w:t>
      </w:r>
      <w:r w:rsidRPr="00B120AE">
        <w:rPr>
          <w:i/>
          <w:iCs/>
          <w:lang w:val="en-CA"/>
        </w:rPr>
        <w:t>Hutterian</w:t>
      </w:r>
      <w:r w:rsidRPr="00B120AE">
        <w:rPr>
          <w:lang w:val="en-CA"/>
        </w:rPr>
        <w:t>, par</w:t>
      </w:r>
      <w:r w:rsidR="008742D0">
        <w:rPr>
          <w:lang w:val="en-CA"/>
        </w:rPr>
        <w:t>a. 5</w:t>
      </w:r>
      <w:r w:rsidRPr="00B120AE">
        <w:rPr>
          <w:lang w:val="en-CA"/>
        </w:rPr>
        <w:t xml:space="preserve">5. </w:t>
      </w:r>
    </w:p>
  </w:footnote>
  <w:footnote w:id="97">
    <w:p w14:paraId="50852D97" w14:textId="7C0AE3C3"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RJR</w:t>
      </w:r>
      <w:r w:rsidRPr="00B120AE">
        <w:rPr>
          <w:lang w:val="en-CA"/>
        </w:rPr>
        <w:t>, par</w:t>
      </w:r>
      <w:r w:rsidR="008742D0">
        <w:rPr>
          <w:lang w:val="en-CA"/>
        </w:rPr>
        <w:t>a. 1</w:t>
      </w:r>
      <w:r w:rsidRPr="00B120AE">
        <w:rPr>
          <w:lang w:val="en-CA"/>
        </w:rPr>
        <w:t xml:space="preserve">60 [underlining added]. </w:t>
      </w:r>
    </w:p>
  </w:footnote>
  <w:footnote w:id="98">
    <w:p w14:paraId="50852D98" w14:textId="7DFDA58F" w:rsidR="00E524EA" w:rsidRPr="00B120AE" w:rsidRDefault="001C0031" w:rsidP="00E524EA">
      <w:pPr>
        <w:pStyle w:val="Notedebasdepage"/>
        <w:jc w:val="left"/>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Ontario (Attorney General) v. Working Families Coalition (Canada) Inc.</w:t>
      </w:r>
      <w:r w:rsidRPr="00B120AE">
        <w:rPr>
          <w:lang w:val="en-CA"/>
        </w:rPr>
        <w:t>, 2025 SCC 5, par</w:t>
      </w:r>
      <w:r w:rsidR="008742D0">
        <w:rPr>
          <w:lang w:val="en-CA"/>
        </w:rPr>
        <w:t>a. 6</w:t>
      </w:r>
      <w:r w:rsidRPr="00B120AE">
        <w:rPr>
          <w:lang w:val="en-CA"/>
        </w:rPr>
        <w:t xml:space="preserve">3; </w:t>
      </w:r>
      <w:r w:rsidRPr="00B120AE">
        <w:rPr>
          <w:i/>
          <w:iCs/>
          <w:lang w:val="en-CA"/>
        </w:rPr>
        <w:t>Hutterian</w:t>
      </w:r>
      <w:r w:rsidRPr="00B120AE">
        <w:rPr>
          <w:lang w:val="en-CA"/>
        </w:rPr>
        <w:t>, par</w:t>
      </w:r>
      <w:r w:rsidR="008742D0">
        <w:rPr>
          <w:lang w:val="en-CA"/>
        </w:rPr>
        <w:t>a. 5</w:t>
      </w:r>
      <w:r w:rsidRPr="00B120AE">
        <w:rPr>
          <w:lang w:val="en-CA"/>
        </w:rPr>
        <w:t xml:space="preserve">5; </w:t>
      </w:r>
      <w:r w:rsidRPr="00B120AE">
        <w:rPr>
          <w:i/>
          <w:iCs/>
          <w:lang w:val="en-CA"/>
        </w:rPr>
        <w:t xml:space="preserve">RJR, </w:t>
      </w:r>
      <w:r w:rsidRPr="00B120AE">
        <w:rPr>
          <w:lang w:val="en-CA"/>
        </w:rPr>
        <w:t>par</w:t>
      </w:r>
      <w:r w:rsidR="008742D0">
        <w:rPr>
          <w:lang w:val="en-CA"/>
        </w:rPr>
        <w:t>a. 1</w:t>
      </w:r>
      <w:r w:rsidRPr="00B120AE">
        <w:rPr>
          <w:lang w:val="en-CA"/>
        </w:rPr>
        <w:t>60.</w:t>
      </w:r>
    </w:p>
  </w:footnote>
  <w:footnote w:id="99">
    <w:p w14:paraId="50852D99" w14:textId="3E29D49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RJR</w:t>
      </w:r>
      <w:r w:rsidRPr="00B120AE">
        <w:rPr>
          <w:lang w:val="en-CA"/>
        </w:rPr>
        <w:t>, par</w:t>
      </w:r>
      <w:r w:rsidR="008742D0">
        <w:rPr>
          <w:lang w:val="en-CA"/>
        </w:rPr>
        <w:t>a. 1</w:t>
      </w:r>
      <w:r w:rsidRPr="00B120AE">
        <w:rPr>
          <w:lang w:val="en-CA"/>
        </w:rPr>
        <w:t xml:space="preserve">60. </w:t>
      </w:r>
    </w:p>
  </w:footnote>
  <w:footnote w:id="100">
    <w:p w14:paraId="50852D9A" w14:textId="3BC5DA1B"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RJR</w:t>
      </w:r>
      <w:r w:rsidRPr="00B120AE">
        <w:rPr>
          <w:lang w:val="en-CA"/>
        </w:rPr>
        <w:t xml:space="preserve">. See also: </w:t>
      </w:r>
      <w:r w:rsidRPr="00B120AE">
        <w:rPr>
          <w:i/>
          <w:iCs/>
          <w:lang w:val="en-CA"/>
        </w:rPr>
        <w:t>Carter</w:t>
      </w:r>
      <w:r w:rsidRPr="00B120AE">
        <w:rPr>
          <w:lang w:val="en-CA"/>
        </w:rPr>
        <w:t>, para</w:t>
      </w:r>
      <w:r w:rsidR="008742D0">
        <w:rPr>
          <w:lang w:val="en-CA"/>
        </w:rPr>
        <w:t>s. 1</w:t>
      </w:r>
      <w:r w:rsidRPr="00B120AE">
        <w:rPr>
          <w:lang w:val="en-CA"/>
        </w:rPr>
        <w:t>19</w:t>
      </w:r>
      <w:r w:rsidR="00720901">
        <w:rPr>
          <w:lang w:val="en-CA"/>
        </w:rPr>
        <w:noBreakHyphen/>
      </w:r>
      <w:r w:rsidRPr="00B120AE">
        <w:rPr>
          <w:lang w:val="en-CA"/>
        </w:rPr>
        <w:t xml:space="preserve">120; </w:t>
      </w:r>
      <w:r w:rsidRPr="00B120AE">
        <w:rPr>
          <w:i/>
          <w:iCs/>
          <w:lang w:val="en-CA"/>
        </w:rPr>
        <w:t>Frank</w:t>
      </w:r>
      <w:r w:rsidRPr="00B120AE">
        <w:rPr>
          <w:lang w:val="en-CA"/>
        </w:rPr>
        <w:t>, par</w:t>
      </w:r>
      <w:r w:rsidR="008742D0">
        <w:rPr>
          <w:lang w:val="en-CA"/>
        </w:rPr>
        <w:t>a. 4</w:t>
      </w:r>
      <w:r w:rsidRPr="00B120AE">
        <w:rPr>
          <w:lang w:val="en-CA"/>
        </w:rPr>
        <w:t>4.</w:t>
      </w:r>
    </w:p>
  </w:footnote>
  <w:footnote w:id="101">
    <w:p w14:paraId="50852D9B" w14:textId="06CCFE1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Section 15, </w:t>
      </w:r>
      <w:r w:rsidRPr="00B120AE">
        <w:rPr>
          <w:i/>
          <w:iCs/>
          <w:lang w:val="en-CA"/>
        </w:rPr>
        <w:t>Act respecting the protection of non</w:t>
      </w:r>
      <w:r w:rsidR="00720901">
        <w:rPr>
          <w:i/>
          <w:iCs/>
          <w:lang w:val="en-CA"/>
        </w:rPr>
        <w:noBreakHyphen/>
      </w:r>
      <w:r w:rsidRPr="00B120AE">
        <w:rPr>
          <w:i/>
          <w:iCs/>
          <w:lang w:val="en-CA"/>
        </w:rPr>
        <w:t>smokers in certain public places</w:t>
      </w:r>
      <w:r w:rsidRPr="00B120AE">
        <w:rPr>
          <w:lang w:val="en-CA"/>
        </w:rPr>
        <w:t>, S.Q.</w:t>
      </w:r>
      <w:r w:rsidR="00265ED2">
        <w:rPr>
          <w:lang w:val="en-CA"/>
        </w:rPr>
        <w:t> </w:t>
      </w:r>
      <w:r w:rsidRPr="00B120AE">
        <w:rPr>
          <w:lang w:val="en-CA"/>
        </w:rPr>
        <w:t>1986, c.</w:t>
      </w:r>
      <w:r w:rsidR="00265ED2">
        <w:rPr>
          <w:lang w:val="en-CA"/>
        </w:rPr>
        <w:t> </w:t>
      </w:r>
      <w:r w:rsidRPr="00B120AE">
        <w:rPr>
          <w:lang w:val="en-CA"/>
        </w:rPr>
        <w:t>13 (CQLR,</w:t>
      </w:r>
      <w:r w:rsidR="00265ED2">
        <w:rPr>
          <w:lang w:val="en-CA"/>
        </w:rPr>
        <w:t> </w:t>
      </w:r>
      <w:r w:rsidRPr="00B120AE">
        <w:rPr>
          <w:lang w:val="en-CA"/>
        </w:rPr>
        <w:t>c.</w:t>
      </w:r>
      <w:r w:rsidR="00265ED2">
        <w:rPr>
          <w:lang w:val="en-CA"/>
        </w:rPr>
        <w:t> </w:t>
      </w:r>
      <w:r w:rsidRPr="00B120AE">
        <w:rPr>
          <w:lang w:val="en-CA"/>
        </w:rPr>
        <w:t>P</w:t>
      </w:r>
      <w:r w:rsidR="00720901">
        <w:rPr>
          <w:lang w:val="en-CA"/>
        </w:rPr>
        <w:noBreakHyphen/>
      </w:r>
      <w:r w:rsidRPr="00B120AE">
        <w:rPr>
          <w:lang w:val="en-CA"/>
        </w:rPr>
        <w:t>38.01).</w:t>
      </w:r>
      <w:r w:rsidRPr="00B120AE">
        <w:rPr>
          <w:i/>
          <w:iCs/>
          <w:lang w:val="en-CA"/>
        </w:rPr>
        <w:t xml:space="preserve"> </w:t>
      </w:r>
    </w:p>
  </w:footnote>
  <w:footnote w:id="102">
    <w:p w14:paraId="50852D9C" w14:textId="0D38745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See above, para. </w:t>
      </w:r>
      <w:r w:rsidRPr="00B120AE">
        <w:rPr>
          <w:lang w:val="en-CA"/>
        </w:rPr>
        <w:fldChar w:fldCharType="begin"/>
      </w:r>
      <w:r w:rsidRPr="00B120AE">
        <w:rPr>
          <w:lang w:val="en-CA"/>
        </w:rPr>
        <w:instrText xml:space="preserve"> REF _Ref223778363 \r \h  \* MERGEFORMAT </w:instrText>
      </w:r>
      <w:r w:rsidRPr="00B120AE">
        <w:rPr>
          <w:lang w:val="en-CA"/>
        </w:rPr>
      </w:r>
      <w:r w:rsidRPr="00B120AE">
        <w:rPr>
          <w:lang w:val="en-CA"/>
        </w:rPr>
        <w:fldChar w:fldCharType="separate"/>
      </w:r>
      <w:r w:rsidR="00D7102E">
        <w:rPr>
          <w:lang w:val="en-CA"/>
        </w:rPr>
        <w:t>[75]</w:t>
      </w:r>
      <w:r w:rsidRPr="00B120AE">
        <w:rPr>
          <w:lang w:val="en-CA"/>
        </w:rPr>
        <w:fldChar w:fldCharType="end"/>
      </w:r>
      <w:r w:rsidRPr="00B120AE">
        <w:rPr>
          <w:lang w:val="en-CA"/>
        </w:rPr>
        <w:t>.</w:t>
      </w:r>
    </w:p>
  </w:footnote>
  <w:footnote w:id="103">
    <w:p w14:paraId="50852D9D" w14:textId="5A25EEC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Section 8.1</w:t>
      </w:r>
      <w:r w:rsidR="007C3223" w:rsidRPr="007C3223">
        <w:rPr>
          <w:i/>
          <w:lang w:val="en-CA"/>
        </w:rPr>
        <w:t> TCA</w:t>
      </w:r>
      <w:r w:rsidRPr="00B120AE">
        <w:rPr>
          <w:i/>
          <w:iCs/>
          <w:lang w:val="en-CA"/>
        </w:rPr>
        <w:t>.</w:t>
      </w:r>
    </w:p>
  </w:footnote>
  <w:footnote w:id="104">
    <w:p w14:paraId="50852D9E" w14:textId="1AE86D2F"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Section 3</w:t>
      </w:r>
      <w:r w:rsidR="007C3223" w:rsidRPr="007C3223">
        <w:rPr>
          <w:i/>
          <w:lang w:val="en-CA"/>
        </w:rPr>
        <w:t> TCA</w:t>
      </w:r>
      <w:r w:rsidRPr="00B120AE">
        <w:rPr>
          <w:lang w:val="en-CA"/>
        </w:rPr>
        <w:t>.</w:t>
      </w:r>
    </w:p>
  </w:footnote>
  <w:footnote w:id="105">
    <w:p w14:paraId="50852D9F" w14:textId="6E586CC9"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Sections 5 and 6</w:t>
      </w:r>
      <w:r w:rsidR="007C3223" w:rsidRPr="007C3223">
        <w:rPr>
          <w:i/>
          <w:lang w:val="en-CA"/>
        </w:rPr>
        <w:t> TCA</w:t>
      </w:r>
      <w:r w:rsidRPr="00B120AE">
        <w:rPr>
          <w:lang w:val="en-CA"/>
        </w:rPr>
        <w:t>.</w:t>
      </w:r>
    </w:p>
  </w:footnote>
  <w:footnote w:id="106">
    <w:p w14:paraId="50852DA0" w14:textId="53526FD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Section 2 par</w:t>
      </w:r>
      <w:r w:rsidR="008742D0">
        <w:rPr>
          <w:lang w:val="en-CA"/>
        </w:rPr>
        <w:t>a. 1</w:t>
      </w:r>
      <w:r w:rsidRPr="00B120AE">
        <w:rPr>
          <w:lang w:val="en-CA"/>
        </w:rPr>
        <w:t>(10.1)</w:t>
      </w:r>
      <w:r w:rsidR="007C3223" w:rsidRPr="007C3223">
        <w:rPr>
          <w:i/>
          <w:lang w:val="en-CA"/>
        </w:rPr>
        <w:t> TCA</w:t>
      </w:r>
      <w:r w:rsidRPr="00B120AE">
        <w:rPr>
          <w:lang w:val="en-CA"/>
        </w:rPr>
        <w:t xml:space="preserve">. </w:t>
      </w:r>
    </w:p>
  </w:footnote>
  <w:footnote w:id="107">
    <w:p w14:paraId="50852DA1" w14:textId="655FCB5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37th</w:t>
      </w:r>
      <w:r w:rsidR="00687B84">
        <w:rPr>
          <w:lang w:val="en-CA"/>
        </w:rPr>
        <w:t> </w:t>
      </w:r>
      <w:r w:rsidRPr="00B120AE">
        <w:rPr>
          <w:lang w:val="en-CA"/>
        </w:rPr>
        <w:t>Leg. (QC), 1st</w:t>
      </w:r>
      <w:r w:rsidR="00687B84">
        <w:rPr>
          <w:lang w:val="en-CA"/>
        </w:rPr>
        <w:t> </w:t>
      </w:r>
      <w:r w:rsidRPr="00B120AE">
        <w:rPr>
          <w:lang w:val="en-CA"/>
        </w:rPr>
        <w:t>Sess., 2005.</w:t>
      </w:r>
    </w:p>
  </w:footnote>
  <w:footnote w:id="108">
    <w:p w14:paraId="50852DA2" w14:textId="5E62206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Quebec, National Assembly, </w:t>
      </w:r>
      <w:r w:rsidRPr="00B120AE">
        <w:rPr>
          <w:i/>
          <w:iCs/>
          <w:lang w:val="en-CA"/>
        </w:rPr>
        <w:t xml:space="preserve">Journal des </w:t>
      </w:r>
      <w:proofErr w:type="spellStart"/>
      <w:r w:rsidRPr="00B120AE">
        <w:rPr>
          <w:i/>
          <w:iCs/>
          <w:lang w:val="en-CA"/>
        </w:rPr>
        <w:t>débats</w:t>
      </w:r>
      <w:proofErr w:type="spellEnd"/>
      <w:r w:rsidRPr="00B120AE">
        <w:rPr>
          <w:lang w:val="en-CA"/>
        </w:rPr>
        <w:t>, 37th</w:t>
      </w:r>
      <w:r w:rsidR="00101891">
        <w:rPr>
          <w:lang w:val="en-CA"/>
        </w:rPr>
        <w:t> </w:t>
      </w:r>
      <w:r w:rsidRPr="00B120AE">
        <w:rPr>
          <w:lang w:val="en-CA"/>
        </w:rPr>
        <w:t>Leg., 1st</w:t>
      </w:r>
      <w:r w:rsidR="00101891">
        <w:rPr>
          <w:lang w:val="en-CA"/>
        </w:rPr>
        <w:t> </w:t>
      </w:r>
      <w:r w:rsidRPr="00B120AE">
        <w:rPr>
          <w:lang w:val="en-CA"/>
        </w:rPr>
        <w:t>Sess., Vol.</w:t>
      </w:r>
      <w:r w:rsidR="00101891">
        <w:rPr>
          <w:lang w:val="en-CA"/>
        </w:rPr>
        <w:t> </w:t>
      </w:r>
      <w:r w:rsidRPr="00B120AE">
        <w:rPr>
          <w:lang w:val="en-CA"/>
        </w:rPr>
        <w:t>38, No.</w:t>
      </w:r>
      <w:r w:rsidR="00101891">
        <w:rPr>
          <w:lang w:val="en-CA"/>
        </w:rPr>
        <w:t> </w:t>
      </w:r>
      <w:r w:rsidRPr="00B120AE">
        <w:rPr>
          <w:lang w:val="en-CA"/>
        </w:rPr>
        <w:t>159, June</w:t>
      </w:r>
      <w:r w:rsidR="00101891">
        <w:rPr>
          <w:lang w:val="en-CA"/>
        </w:rPr>
        <w:t> </w:t>
      </w:r>
      <w:r w:rsidRPr="00B120AE">
        <w:rPr>
          <w:lang w:val="en-CA"/>
        </w:rPr>
        <w:t>1,</w:t>
      </w:r>
      <w:r w:rsidR="00101891">
        <w:rPr>
          <w:lang w:val="en-CA"/>
        </w:rPr>
        <w:t> </w:t>
      </w:r>
      <w:r w:rsidRPr="00B120AE">
        <w:rPr>
          <w:lang w:val="en-CA"/>
        </w:rPr>
        <w:t>2005, p. 8857 (P.</w:t>
      </w:r>
      <w:r w:rsidR="00101891">
        <w:rPr>
          <w:lang w:val="en-CA"/>
        </w:rPr>
        <w:t> </w:t>
      </w:r>
      <w:r w:rsidRPr="00B120AE">
        <w:rPr>
          <w:lang w:val="en-CA"/>
        </w:rPr>
        <w:t>Couillard). I would point out that changes have been made to the exceptions since 2005.</w:t>
      </w:r>
    </w:p>
  </w:footnote>
  <w:footnote w:id="109">
    <w:p w14:paraId="50852DA3" w14:textId="2E34E07B"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Section 2.2</w:t>
      </w:r>
      <w:r w:rsidR="007C3223" w:rsidRPr="007C3223">
        <w:rPr>
          <w:i/>
          <w:lang w:val="en-CA"/>
        </w:rPr>
        <w:t> TCA</w:t>
      </w:r>
      <w:r w:rsidRPr="00B120AE">
        <w:rPr>
          <w:lang w:val="en-CA"/>
        </w:rPr>
        <w:t xml:space="preserve">. </w:t>
      </w:r>
    </w:p>
  </w:footnote>
  <w:footnote w:id="110">
    <w:p w14:paraId="50852DA4" w14:textId="7297012C"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See, by analogy: </w:t>
      </w:r>
      <w:r w:rsidRPr="00B120AE">
        <w:rPr>
          <w:i/>
          <w:iCs/>
          <w:lang w:val="en-CA"/>
        </w:rPr>
        <w:t>Frank</w:t>
      </w:r>
      <w:r w:rsidRPr="00B120AE">
        <w:rPr>
          <w:lang w:val="en-CA"/>
        </w:rPr>
        <w:t>, par</w:t>
      </w:r>
      <w:r w:rsidR="008742D0">
        <w:rPr>
          <w:lang w:val="en-CA"/>
        </w:rPr>
        <w:t>a. 6</w:t>
      </w:r>
      <w:r w:rsidRPr="00B120AE">
        <w:rPr>
          <w:lang w:val="en-CA"/>
        </w:rPr>
        <w:t xml:space="preserve">7; </w:t>
      </w:r>
      <w:r w:rsidRPr="00B120AE">
        <w:rPr>
          <w:i/>
          <w:iCs/>
          <w:lang w:val="en-CA"/>
        </w:rPr>
        <w:t>Oakes</w:t>
      </w:r>
      <w:r w:rsidRPr="00B120AE">
        <w:rPr>
          <w:lang w:val="en-CA"/>
        </w:rPr>
        <w:t>, p. 139. In this regard, I refer to s</w:t>
      </w:r>
      <w:r w:rsidR="008742D0">
        <w:rPr>
          <w:lang w:val="en-CA"/>
        </w:rPr>
        <w:t>s. 6</w:t>
      </w:r>
      <w:r w:rsidRPr="00B120AE">
        <w:rPr>
          <w:lang w:val="en-CA"/>
        </w:rPr>
        <w:t xml:space="preserve"> and 7 of the </w:t>
      </w:r>
      <w:r w:rsidRPr="00B120AE">
        <w:rPr>
          <w:i/>
          <w:iCs/>
          <w:lang w:val="en-CA"/>
        </w:rPr>
        <w:t>Act to promote peace, order and public security in Québec</w:t>
      </w:r>
      <w:r w:rsidRPr="00B120AE">
        <w:rPr>
          <w:lang w:val="en-CA"/>
        </w:rPr>
        <w:t>, enacted by Bill</w:t>
      </w:r>
      <w:r w:rsidR="00D8200A">
        <w:rPr>
          <w:lang w:val="en-CA"/>
        </w:rPr>
        <w:t> </w:t>
      </w:r>
      <w:r w:rsidRPr="00B120AE">
        <w:rPr>
          <w:lang w:val="en-CA"/>
        </w:rPr>
        <w:t xml:space="preserve">13, </w:t>
      </w:r>
      <w:r w:rsidRPr="00B120AE">
        <w:rPr>
          <w:i/>
          <w:iCs/>
          <w:lang w:val="en-CA"/>
        </w:rPr>
        <w:t>An Act to promote the population</w:t>
      </w:r>
      <w:r w:rsidR="00282C6C">
        <w:rPr>
          <w:i/>
          <w:iCs/>
          <w:lang w:val="en-CA"/>
        </w:rPr>
        <w:t>’</w:t>
      </w:r>
      <w:r w:rsidRPr="00B120AE">
        <w:rPr>
          <w:i/>
          <w:iCs/>
          <w:lang w:val="en-CA"/>
        </w:rPr>
        <w:t>s safety and sense of security and to amend various provisions</w:t>
      </w:r>
      <w:r w:rsidRPr="00B120AE">
        <w:rPr>
          <w:lang w:val="en-CA"/>
        </w:rPr>
        <w:t>, S.Q.</w:t>
      </w:r>
      <w:r w:rsidR="00D8200A">
        <w:rPr>
          <w:lang w:val="en-CA"/>
        </w:rPr>
        <w:t> </w:t>
      </w:r>
      <w:r w:rsidRPr="00B120AE">
        <w:rPr>
          <w:lang w:val="en-CA"/>
        </w:rPr>
        <w:t>2026, c.</w:t>
      </w:r>
      <w:r w:rsidR="00563DAD">
        <w:rPr>
          <w:lang w:val="en-CA"/>
        </w:rPr>
        <w:t> </w:t>
      </w:r>
      <w:r w:rsidRPr="00B120AE">
        <w:rPr>
          <w:lang w:val="en-CA"/>
        </w:rPr>
        <w:t xml:space="preserve">7, </w:t>
      </w:r>
      <w:r w:rsidR="008742D0">
        <w:rPr>
          <w:lang w:val="en-CA"/>
        </w:rPr>
        <w:t>s. 2</w:t>
      </w:r>
      <w:r w:rsidRPr="00B120AE">
        <w:rPr>
          <w:lang w:val="en-CA"/>
        </w:rPr>
        <w:t>, which was assented to on April</w:t>
      </w:r>
      <w:r w:rsidR="00563DAD">
        <w:rPr>
          <w:lang w:val="en-CA"/>
        </w:rPr>
        <w:t> </w:t>
      </w:r>
      <w:r w:rsidRPr="00B120AE">
        <w:rPr>
          <w:lang w:val="en-CA"/>
        </w:rPr>
        <w:t>2,</w:t>
      </w:r>
      <w:r w:rsidR="00563DAD">
        <w:rPr>
          <w:lang w:val="en-CA"/>
        </w:rPr>
        <w:t> </w:t>
      </w:r>
      <w:r w:rsidRPr="00B120AE">
        <w:rPr>
          <w:lang w:val="en-CA"/>
        </w:rPr>
        <w:t xml:space="preserve">2026. These sections set out exceptions to the prohibition on exposing an object identifying an entity with a criminal purpose, including an exception for exposure to public view </w:t>
      </w:r>
      <w:r w:rsidR="00282C6C">
        <w:rPr>
          <w:lang w:val="en-CA"/>
        </w:rPr>
        <w:t>“</w:t>
      </w:r>
      <w:r w:rsidRPr="00B120AE">
        <w:rPr>
          <w:lang w:val="en-CA"/>
        </w:rPr>
        <w:t>in good faith and in a reasonable manner</w:t>
      </w:r>
      <w:r w:rsidR="00282C6C">
        <w:rPr>
          <w:lang w:val="en-CA"/>
        </w:rPr>
        <w:t>”</w:t>
      </w:r>
      <w:r w:rsidRPr="00B120AE">
        <w:rPr>
          <w:lang w:val="en-CA"/>
        </w:rPr>
        <w:t xml:space="preserve"> in an </w:t>
      </w:r>
      <w:r w:rsidR="00282C6C">
        <w:rPr>
          <w:lang w:val="en-CA"/>
        </w:rPr>
        <w:t>“</w:t>
      </w:r>
      <w:r w:rsidRPr="00B120AE">
        <w:rPr>
          <w:lang w:val="en-CA"/>
        </w:rPr>
        <w:t>artistic or cultural context, to the extent that exposing the object is necessary as part of representing, exposing, disseminating or distributing a work</w:t>
      </w:r>
      <w:r w:rsidR="00282C6C">
        <w:rPr>
          <w:lang w:val="en-CA"/>
        </w:rPr>
        <w:t>”</w:t>
      </w:r>
      <w:r w:rsidRPr="00B120AE">
        <w:rPr>
          <w:lang w:val="en-CA"/>
        </w:rPr>
        <w:t xml:space="preserve">. </w:t>
      </w:r>
    </w:p>
  </w:footnote>
  <w:footnote w:id="111">
    <w:p w14:paraId="50852DA5" w14:textId="55DEFCC2" w:rsidR="00E524EA" w:rsidRPr="00B120AE" w:rsidRDefault="001C0031" w:rsidP="00E524EA">
      <w:pPr>
        <w:pStyle w:val="Notedebasdepage"/>
        <w:rPr>
          <w:rFonts w:cs="Arial"/>
          <w:lang w:val="en-CA"/>
        </w:rPr>
      </w:pPr>
      <w:r w:rsidRPr="00B120AE">
        <w:rPr>
          <w:rStyle w:val="Appelnotedebasdep"/>
          <w:lang w:val="en-CA"/>
        </w:rPr>
        <w:footnoteRef/>
      </w:r>
      <w:r w:rsidRPr="00116DBB">
        <w:rPr>
          <w:rFonts w:cs="Arial"/>
        </w:rPr>
        <w:t xml:space="preserve"> </w:t>
      </w:r>
      <w:r w:rsidRPr="00116DBB">
        <w:rPr>
          <w:rFonts w:cs="Arial"/>
        </w:rPr>
        <w:tab/>
      </w:r>
      <w:r w:rsidRPr="00116DBB">
        <w:rPr>
          <w:rFonts w:cs="Arial"/>
          <w:i/>
          <w:iCs/>
        </w:rPr>
        <w:t>Bérubé c. Ville de Québec</w:t>
      </w:r>
      <w:r w:rsidRPr="00116DBB">
        <w:rPr>
          <w:rFonts w:cs="Arial"/>
        </w:rPr>
        <w:t>, 2019 QCCA 1764, par</w:t>
      </w:r>
      <w:r w:rsidR="008742D0" w:rsidRPr="00116DBB">
        <w:rPr>
          <w:rFonts w:cs="Arial"/>
        </w:rPr>
        <w:t>a. </w:t>
      </w:r>
      <w:r w:rsidR="008742D0">
        <w:rPr>
          <w:rFonts w:cs="Arial"/>
          <w:lang w:val="en-CA"/>
        </w:rPr>
        <w:t>1</w:t>
      </w:r>
      <w:r w:rsidRPr="00B120AE">
        <w:rPr>
          <w:rFonts w:cs="Arial"/>
          <w:lang w:val="en-CA"/>
        </w:rPr>
        <w:t>14, citing</w:t>
      </w:r>
      <w:proofErr w:type="gramStart"/>
      <w:r w:rsidRPr="00B120AE">
        <w:rPr>
          <w:rFonts w:cs="Arial"/>
          <w:lang w:val="en-CA"/>
        </w:rPr>
        <w:t xml:space="preserve">, in particular, </w:t>
      </w:r>
      <w:r w:rsidRPr="00B120AE">
        <w:rPr>
          <w:rFonts w:cs="Arial"/>
          <w:i/>
          <w:iCs/>
          <w:lang w:val="en-CA"/>
        </w:rPr>
        <w:t>B.C.</w:t>
      </w:r>
      <w:r w:rsidR="00047BB2">
        <w:rPr>
          <w:rFonts w:cs="Arial"/>
          <w:i/>
          <w:iCs/>
          <w:lang w:val="en-CA"/>
        </w:rPr>
        <w:t> </w:t>
      </w:r>
      <w:r w:rsidRPr="00B120AE">
        <w:rPr>
          <w:rFonts w:cs="Arial"/>
          <w:i/>
          <w:iCs/>
          <w:lang w:val="en-CA"/>
        </w:rPr>
        <w:t>Freedom</w:t>
      </w:r>
      <w:proofErr w:type="gramEnd"/>
      <w:r w:rsidRPr="00B120AE">
        <w:rPr>
          <w:rFonts w:cs="Arial"/>
          <w:i/>
          <w:iCs/>
          <w:lang w:val="en-CA"/>
        </w:rPr>
        <w:t xml:space="preserve"> of Information and Privacy Association v. British Columbia (Attorney General)</w:t>
      </w:r>
      <w:r w:rsidRPr="00B120AE">
        <w:rPr>
          <w:rFonts w:cs="Arial"/>
          <w:lang w:val="en-CA"/>
        </w:rPr>
        <w:t>, 2017 SCC 6, par</w:t>
      </w:r>
      <w:r w:rsidR="008742D0">
        <w:rPr>
          <w:rFonts w:cs="Arial"/>
          <w:lang w:val="en-CA"/>
        </w:rPr>
        <w:t>a. 5</w:t>
      </w:r>
      <w:r w:rsidRPr="00B120AE">
        <w:rPr>
          <w:rFonts w:cs="Arial"/>
          <w:lang w:val="en-CA"/>
        </w:rPr>
        <w:t>8.</w:t>
      </w:r>
    </w:p>
  </w:footnote>
  <w:footnote w:id="112">
    <w:p w14:paraId="50852DA6" w14:textId="776CAA28"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Michel Nadeau, Théâtre de la </w:t>
      </w:r>
      <w:proofErr w:type="spellStart"/>
      <w:r w:rsidRPr="00B120AE">
        <w:rPr>
          <w:lang w:val="en-CA"/>
        </w:rPr>
        <w:t>Bordée</w:t>
      </w:r>
      <w:r w:rsidR="00282C6C">
        <w:rPr>
          <w:lang w:val="en-CA"/>
        </w:rPr>
        <w:t>’</w:t>
      </w:r>
      <w:r w:rsidRPr="00B120AE">
        <w:rPr>
          <w:lang w:val="en-CA"/>
        </w:rPr>
        <w:t>s</w:t>
      </w:r>
      <w:proofErr w:type="spellEnd"/>
      <w:r w:rsidRPr="00B120AE">
        <w:rPr>
          <w:lang w:val="en-CA"/>
        </w:rPr>
        <w:t xml:space="preserve"> artistic director, mentioned, as an example, the play </w:t>
      </w:r>
      <w:r w:rsidRPr="00B120AE">
        <w:rPr>
          <w:i/>
          <w:iCs/>
          <w:lang w:val="en-CA"/>
        </w:rPr>
        <w:t xml:space="preserve">Après la </w:t>
      </w:r>
      <w:proofErr w:type="spellStart"/>
      <w:r w:rsidRPr="00B120AE">
        <w:rPr>
          <w:i/>
          <w:iCs/>
          <w:lang w:val="en-CA"/>
        </w:rPr>
        <w:t>pluie</w:t>
      </w:r>
      <w:proofErr w:type="spellEnd"/>
      <w:r w:rsidRPr="00B120AE">
        <w:rPr>
          <w:lang w:val="en-CA"/>
        </w:rPr>
        <w:t xml:space="preserve"> by playwright Sergi </w:t>
      </w:r>
      <w:proofErr w:type="spellStart"/>
      <w:r w:rsidRPr="00B120AE">
        <w:rPr>
          <w:lang w:val="en-CA"/>
        </w:rPr>
        <w:t>Belbel</w:t>
      </w:r>
      <w:proofErr w:type="spellEnd"/>
      <w:r w:rsidRPr="00B120AE">
        <w:rPr>
          <w:lang w:val="en-CA"/>
        </w:rPr>
        <w:t>, in which 51 cigarettes were smoked to discuss the workers</w:t>
      </w:r>
      <w:r w:rsidR="00282C6C">
        <w:rPr>
          <w:lang w:val="en-CA"/>
        </w:rPr>
        <w:t>’</w:t>
      </w:r>
      <w:r w:rsidRPr="00B120AE">
        <w:rPr>
          <w:lang w:val="en-CA"/>
        </w:rPr>
        <w:t xml:space="preserve"> habit of going outside to smoke, which afforded them a means of escape. He staged this play in the early 2000s at Théâtre Jean Duceppe and Théâtre </w:t>
      </w:r>
      <w:proofErr w:type="spellStart"/>
      <w:r w:rsidRPr="00B120AE">
        <w:rPr>
          <w:lang w:val="en-CA"/>
        </w:rPr>
        <w:t>Périscope</w:t>
      </w:r>
      <w:proofErr w:type="spellEnd"/>
      <w:r w:rsidRPr="00B120AE">
        <w:rPr>
          <w:lang w:val="en-CA"/>
        </w:rPr>
        <w:t>. He acknowledged that there had been complaints, but only from spectators at Théâtre Jean Duceppe. He added that he would no longer produce this play today, considering the public</w:t>
      </w:r>
      <w:r w:rsidR="00282C6C">
        <w:rPr>
          <w:lang w:val="en-CA"/>
        </w:rPr>
        <w:t>’</w:t>
      </w:r>
      <w:r w:rsidRPr="00B120AE">
        <w:rPr>
          <w:lang w:val="en-CA"/>
        </w:rPr>
        <w:t xml:space="preserve">s level of tolerance. </w:t>
      </w:r>
    </w:p>
  </w:footnote>
  <w:footnote w:id="113">
    <w:p w14:paraId="50852DA7" w14:textId="23DC2956"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For example, the evidence shows that during the presentation of the plays covered by the statements of offence: (1)</w:t>
      </w:r>
      <w:r w:rsidR="003B3D80">
        <w:rPr>
          <w:lang w:val="en-CA"/>
        </w:rPr>
        <w:t> </w:t>
      </w:r>
      <w:r w:rsidRPr="00B120AE">
        <w:rPr>
          <w:lang w:val="en-CA"/>
        </w:rPr>
        <w:t xml:space="preserve">in </w:t>
      </w:r>
      <w:r w:rsidRPr="00B120AE">
        <w:rPr>
          <w:i/>
          <w:iCs/>
          <w:lang w:val="en-CA"/>
        </w:rPr>
        <w:t xml:space="preserve">Le </w:t>
      </w:r>
      <w:proofErr w:type="spellStart"/>
      <w:r w:rsidRPr="00B120AE">
        <w:rPr>
          <w:i/>
          <w:iCs/>
          <w:lang w:val="en-CA"/>
        </w:rPr>
        <w:t>cas</w:t>
      </w:r>
      <w:proofErr w:type="spellEnd"/>
      <w:r w:rsidRPr="00B120AE">
        <w:rPr>
          <w:i/>
          <w:iCs/>
          <w:lang w:val="en-CA"/>
        </w:rPr>
        <w:t xml:space="preserve"> </w:t>
      </w:r>
      <w:proofErr w:type="spellStart"/>
      <w:r w:rsidRPr="00B120AE">
        <w:rPr>
          <w:i/>
          <w:iCs/>
          <w:lang w:val="en-CA"/>
        </w:rPr>
        <w:t>Joé</w:t>
      </w:r>
      <w:proofErr w:type="spellEnd"/>
      <w:r w:rsidRPr="00B120AE">
        <w:rPr>
          <w:i/>
          <w:iCs/>
          <w:lang w:val="en-CA"/>
        </w:rPr>
        <w:t xml:space="preserve"> Ferguson</w:t>
      </w:r>
      <w:r w:rsidRPr="00B120AE">
        <w:rPr>
          <w:lang w:val="en-CA"/>
        </w:rPr>
        <w:t>, two cigarettes were smoked over a period of about four minutes during a performance lasting approximately 1 hour and 50 minutes; (2)</w:t>
      </w:r>
      <w:r w:rsidR="003B3D80">
        <w:rPr>
          <w:lang w:val="en-CA"/>
        </w:rPr>
        <w:t> </w:t>
      </w:r>
      <w:r w:rsidRPr="00B120AE">
        <w:rPr>
          <w:lang w:val="en-CA"/>
        </w:rPr>
        <w:t xml:space="preserve">in </w:t>
      </w:r>
      <w:r w:rsidRPr="00B120AE">
        <w:rPr>
          <w:i/>
          <w:iCs/>
          <w:lang w:val="en-CA"/>
        </w:rPr>
        <w:t>Rotterdam</w:t>
      </w:r>
      <w:r w:rsidRPr="00B120AE">
        <w:rPr>
          <w:lang w:val="en-CA"/>
        </w:rPr>
        <w:t>, four cigarettes were smoked over a period of about nine minutes during a performance lasting approximately 1 hour and 45 minutes; and (3)</w:t>
      </w:r>
      <w:r w:rsidR="003B3D80">
        <w:rPr>
          <w:lang w:val="en-CA"/>
        </w:rPr>
        <w:t> </w:t>
      </w:r>
      <w:r w:rsidRPr="00B120AE">
        <w:rPr>
          <w:lang w:val="en-CA"/>
        </w:rPr>
        <w:t xml:space="preserve">in </w:t>
      </w:r>
      <w:r w:rsidRPr="00B120AE">
        <w:rPr>
          <w:i/>
          <w:iCs/>
          <w:lang w:val="en-CA"/>
        </w:rPr>
        <w:t xml:space="preserve">Conversations avec </w:t>
      </w:r>
      <w:proofErr w:type="spellStart"/>
      <w:r w:rsidRPr="00B120AE">
        <w:rPr>
          <w:i/>
          <w:iCs/>
          <w:lang w:val="en-CA"/>
        </w:rPr>
        <w:t>mon</w:t>
      </w:r>
      <w:proofErr w:type="spellEnd"/>
      <w:r w:rsidRPr="00B120AE">
        <w:rPr>
          <w:i/>
          <w:iCs/>
          <w:lang w:val="en-CA"/>
        </w:rPr>
        <w:t xml:space="preserve"> </w:t>
      </w:r>
      <w:proofErr w:type="spellStart"/>
      <w:r w:rsidRPr="00B120AE">
        <w:rPr>
          <w:i/>
          <w:iCs/>
          <w:lang w:val="en-CA"/>
        </w:rPr>
        <w:t>pénis</w:t>
      </w:r>
      <w:proofErr w:type="spellEnd"/>
      <w:r w:rsidRPr="00B120AE">
        <w:rPr>
          <w:lang w:val="en-CA"/>
        </w:rPr>
        <w:t xml:space="preserve">, one cigarette was smoked over a period of about one minute during a performance lasting approximately 1 hour and 15 minutes. </w:t>
      </w:r>
    </w:p>
  </w:footnote>
  <w:footnote w:id="114">
    <w:p w14:paraId="50852DA8" w14:textId="38C8100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The evidence shows that: (1)</w:t>
      </w:r>
      <w:r w:rsidR="003B3D80">
        <w:rPr>
          <w:lang w:val="en-CA"/>
        </w:rPr>
        <w:t> </w:t>
      </w:r>
      <w:r w:rsidRPr="00B120AE">
        <w:rPr>
          <w:lang w:val="en-CA"/>
        </w:rPr>
        <w:t>the hall of Théâtre du Trident has a volume of nearly 6,300</w:t>
      </w:r>
      <w:r w:rsidR="003B3D80">
        <w:rPr>
          <w:lang w:val="en-CA"/>
        </w:rPr>
        <w:t> </w:t>
      </w:r>
      <w:r w:rsidRPr="00B120AE">
        <w:rPr>
          <w:lang w:val="en-CA"/>
        </w:rPr>
        <w:t>cubic metres; (2)</w:t>
      </w:r>
      <w:r w:rsidR="003B3D80">
        <w:rPr>
          <w:lang w:val="en-CA"/>
        </w:rPr>
        <w:t> </w:t>
      </w:r>
      <w:r w:rsidRPr="00B120AE">
        <w:rPr>
          <w:lang w:val="en-CA"/>
        </w:rPr>
        <w:t xml:space="preserve">the hall of Théâtre de la </w:t>
      </w:r>
      <w:proofErr w:type="spellStart"/>
      <w:r w:rsidRPr="00B120AE">
        <w:rPr>
          <w:lang w:val="en-CA"/>
        </w:rPr>
        <w:t>Bordée</w:t>
      </w:r>
      <w:proofErr w:type="spellEnd"/>
      <w:r w:rsidRPr="00B120AE">
        <w:rPr>
          <w:lang w:val="en-CA"/>
        </w:rPr>
        <w:t xml:space="preserve"> has a volume of 6,500</w:t>
      </w:r>
      <w:r w:rsidR="003B3D80">
        <w:rPr>
          <w:lang w:val="en-CA"/>
        </w:rPr>
        <w:t> </w:t>
      </w:r>
      <w:r w:rsidRPr="00B120AE">
        <w:rPr>
          <w:lang w:val="en-CA"/>
        </w:rPr>
        <w:t>cubic metres; and (3)</w:t>
      </w:r>
      <w:r w:rsidR="003B3D80">
        <w:rPr>
          <w:lang w:val="en-CA"/>
        </w:rPr>
        <w:t> </w:t>
      </w:r>
      <w:r w:rsidRPr="00B120AE">
        <w:rPr>
          <w:lang w:val="en-CA"/>
        </w:rPr>
        <w:t xml:space="preserve">the hall of Théâtre Premier </w:t>
      </w:r>
      <w:proofErr w:type="spellStart"/>
      <w:r w:rsidRPr="00B120AE">
        <w:rPr>
          <w:lang w:val="en-CA"/>
        </w:rPr>
        <w:t>Acte</w:t>
      </w:r>
      <w:proofErr w:type="spellEnd"/>
      <w:r w:rsidRPr="00B120AE">
        <w:rPr>
          <w:lang w:val="en-CA"/>
        </w:rPr>
        <w:t xml:space="preserve"> has a volume of 20,000</w:t>
      </w:r>
      <w:r w:rsidR="003B3D80">
        <w:rPr>
          <w:lang w:val="en-CA"/>
        </w:rPr>
        <w:t> </w:t>
      </w:r>
      <w:r w:rsidRPr="00B120AE">
        <w:rPr>
          <w:lang w:val="en-CA"/>
        </w:rPr>
        <w:t>cubic feet [566.34</w:t>
      </w:r>
      <w:r w:rsidR="003B3D80">
        <w:rPr>
          <w:lang w:val="en-CA"/>
        </w:rPr>
        <w:t> </w:t>
      </w:r>
      <w:r w:rsidRPr="00B120AE">
        <w:rPr>
          <w:lang w:val="en-CA"/>
        </w:rPr>
        <w:t xml:space="preserve">cubic metres]. </w:t>
      </w:r>
    </w:p>
  </w:footnote>
  <w:footnote w:id="115">
    <w:p w14:paraId="50852DA9" w14:textId="0CD184F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Expert Report, p. 8. See also p.</w:t>
      </w:r>
      <w:r w:rsidR="003B3D80">
        <w:rPr>
          <w:lang w:val="en-CA"/>
        </w:rPr>
        <w:t> </w:t>
      </w:r>
      <w:r w:rsidRPr="00B120AE">
        <w:rPr>
          <w:lang w:val="en-CA"/>
        </w:rPr>
        <w:t>12 of the Expert Report, where Dr.</w:t>
      </w:r>
      <w:r w:rsidR="009944DA">
        <w:rPr>
          <w:lang w:val="en-CA"/>
        </w:rPr>
        <w:t> </w:t>
      </w:r>
      <w:r w:rsidRPr="00B120AE">
        <w:rPr>
          <w:lang w:val="en-CA"/>
        </w:rPr>
        <w:t>Desjardins states that concentrations for second</w:t>
      </w:r>
      <w:r w:rsidR="00720901">
        <w:rPr>
          <w:lang w:val="en-CA"/>
        </w:rPr>
        <w:noBreakHyphen/>
      </w:r>
      <w:r w:rsidRPr="00B120AE">
        <w:rPr>
          <w:lang w:val="en-CA"/>
        </w:rPr>
        <w:t xml:space="preserve">hand smoke are much lower than for mainstream smoke. </w:t>
      </w:r>
    </w:p>
  </w:footnote>
  <w:footnote w:id="116">
    <w:p w14:paraId="50852DAA"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 19.</w:t>
      </w:r>
    </w:p>
  </w:footnote>
  <w:footnote w:id="117">
    <w:p w14:paraId="50852DAB"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 43.</w:t>
      </w:r>
    </w:p>
  </w:footnote>
  <w:footnote w:id="118">
    <w:p w14:paraId="50852DAC" w14:textId="1F02C45A"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pp. 28</w:t>
      </w:r>
      <w:r w:rsidR="00720901">
        <w:rPr>
          <w:lang w:val="en-CA"/>
        </w:rPr>
        <w:noBreakHyphen/>
      </w:r>
      <w:r w:rsidRPr="00B120AE">
        <w:rPr>
          <w:lang w:val="en-CA"/>
        </w:rPr>
        <w:t>29, 35 and 38.</w:t>
      </w:r>
    </w:p>
  </w:footnote>
  <w:footnote w:id="119">
    <w:p w14:paraId="50852DAD" w14:textId="2B03CCCC"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xml:space="preserve">, p. 36. He also cites the United States Environmental Protection Agency, which has concluded that tobacco smoke has a carcinogenic effect on the lungs, </w:t>
      </w:r>
      <w:r w:rsidR="0078033F" w:rsidRPr="0078033F">
        <w:rPr>
          <w:smallCaps/>
          <w:lang w:val="en-CA"/>
        </w:rPr>
        <w:t>[translation] </w:t>
      </w:r>
      <w:r w:rsidR="00282C6C">
        <w:rPr>
          <w:lang w:val="en-CA"/>
        </w:rPr>
        <w:t>“</w:t>
      </w:r>
      <w:r w:rsidRPr="00B120AE">
        <w:rPr>
          <w:lang w:val="en-CA"/>
        </w:rPr>
        <w:t>even at very low levels of exposure, with no minimum threshold value</w:t>
      </w:r>
      <w:r w:rsidR="00282C6C">
        <w:rPr>
          <w:lang w:val="en-CA"/>
        </w:rPr>
        <w:t>”</w:t>
      </w:r>
      <w:r w:rsidRPr="00B120AE">
        <w:rPr>
          <w:lang w:val="en-CA"/>
        </w:rPr>
        <w:t xml:space="preserve">, Expert Report, p. 38. </w:t>
      </w:r>
    </w:p>
  </w:footnote>
  <w:footnote w:id="120">
    <w:p w14:paraId="50852DAE"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Expert Report, p. 26.</w:t>
      </w:r>
    </w:p>
  </w:footnote>
  <w:footnote w:id="121">
    <w:p w14:paraId="50852DAF"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 31.</w:t>
      </w:r>
    </w:p>
  </w:footnote>
  <w:footnote w:id="122">
    <w:p w14:paraId="50852DB0" w14:textId="77378D6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Gallant</w:t>
      </w:r>
      <w:r w:rsidRPr="00B120AE">
        <w:rPr>
          <w:lang w:val="en-CA"/>
        </w:rPr>
        <w:t>, par</w:t>
      </w:r>
      <w:r w:rsidR="008742D0">
        <w:rPr>
          <w:lang w:val="en-CA"/>
        </w:rPr>
        <w:t>a. 2</w:t>
      </w:r>
      <w:r w:rsidRPr="00B120AE">
        <w:rPr>
          <w:lang w:val="en-CA"/>
        </w:rPr>
        <w:t xml:space="preserve">07. See: </w:t>
      </w:r>
      <w:r w:rsidRPr="00B120AE">
        <w:rPr>
          <w:i/>
          <w:iCs/>
          <w:lang w:val="en-CA"/>
        </w:rPr>
        <w:t>114957 Canada Ltée (</w:t>
      </w:r>
      <w:proofErr w:type="spellStart"/>
      <w:r w:rsidRPr="00B120AE">
        <w:rPr>
          <w:i/>
          <w:iCs/>
          <w:lang w:val="en-CA"/>
        </w:rPr>
        <w:t>Spraytech</w:t>
      </w:r>
      <w:proofErr w:type="spellEnd"/>
      <w:r w:rsidRPr="00B120AE">
        <w:rPr>
          <w:i/>
          <w:iCs/>
          <w:lang w:val="en-CA"/>
        </w:rPr>
        <w:t xml:space="preserve">, Société </w:t>
      </w:r>
      <w:proofErr w:type="spellStart"/>
      <w:r w:rsidRPr="00B120AE">
        <w:rPr>
          <w:i/>
          <w:iCs/>
          <w:lang w:val="en-CA"/>
        </w:rPr>
        <w:t>d</w:t>
      </w:r>
      <w:r w:rsidR="00282C6C">
        <w:rPr>
          <w:i/>
          <w:iCs/>
          <w:lang w:val="en-CA"/>
        </w:rPr>
        <w:t>’</w:t>
      </w:r>
      <w:r w:rsidRPr="00B120AE">
        <w:rPr>
          <w:i/>
          <w:iCs/>
          <w:lang w:val="en-CA"/>
        </w:rPr>
        <w:t>arrosage</w:t>
      </w:r>
      <w:proofErr w:type="spellEnd"/>
      <w:r w:rsidRPr="00B120AE">
        <w:rPr>
          <w:i/>
          <w:iCs/>
          <w:lang w:val="en-CA"/>
        </w:rPr>
        <w:t>) v.</w:t>
      </w:r>
      <w:r w:rsidRPr="00B120AE">
        <w:rPr>
          <w:lang w:val="en-CA"/>
        </w:rPr>
        <w:t xml:space="preserve"> </w:t>
      </w:r>
      <w:r w:rsidRPr="00B120AE">
        <w:rPr>
          <w:i/>
          <w:iCs/>
          <w:lang w:val="en-CA"/>
        </w:rPr>
        <w:t>Hudson (Town)</w:t>
      </w:r>
      <w:r w:rsidRPr="00B120AE">
        <w:rPr>
          <w:lang w:val="en-CA"/>
        </w:rPr>
        <w:t>, 2001</w:t>
      </w:r>
      <w:r w:rsidR="00B14771">
        <w:rPr>
          <w:lang w:val="en-CA"/>
        </w:rPr>
        <w:t> </w:t>
      </w:r>
      <w:r w:rsidRPr="00B120AE">
        <w:rPr>
          <w:lang w:val="en-CA"/>
        </w:rPr>
        <w:t>SCC 40, para</w:t>
      </w:r>
      <w:r w:rsidR="008742D0">
        <w:rPr>
          <w:lang w:val="en-CA"/>
        </w:rPr>
        <w:t>s. 3</w:t>
      </w:r>
      <w:r w:rsidRPr="00B120AE">
        <w:rPr>
          <w:lang w:val="en-CA"/>
        </w:rPr>
        <w:t>1</w:t>
      </w:r>
      <w:r w:rsidR="00720901">
        <w:rPr>
          <w:lang w:val="en-CA"/>
        </w:rPr>
        <w:noBreakHyphen/>
      </w:r>
      <w:r w:rsidRPr="00B120AE">
        <w:rPr>
          <w:lang w:val="en-CA"/>
        </w:rPr>
        <w:t xml:space="preserve">32; </w:t>
      </w:r>
      <w:r w:rsidRPr="00B120AE">
        <w:rPr>
          <w:i/>
          <w:iCs/>
          <w:lang w:val="en-CA"/>
        </w:rPr>
        <w:t>R.</w:t>
      </w:r>
      <w:r w:rsidRPr="00B120AE">
        <w:rPr>
          <w:lang w:val="en-CA"/>
        </w:rPr>
        <w:t xml:space="preserve"> </w:t>
      </w:r>
      <w:r w:rsidRPr="00B120AE">
        <w:rPr>
          <w:i/>
          <w:iCs/>
          <w:lang w:val="en-CA"/>
        </w:rPr>
        <w:t>v.</w:t>
      </w:r>
      <w:r w:rsidRPr="00B120AE">
        <w:rPr>
          <w:lang w:val="en-CA"/>
        </w:rPr>
        <w:t xml:space="preserve"> </w:t>
      </w:r>
      <w:r w:rsidRPr="00B120AE">
        <w:rPr>
          <w:i/>
          <w:iCs/>
          <w:lang w:val="en-CA"/>
        </w:rPr>
        <w:t>Sharpe</w:t>
      </w:r>
      <w:r w:rsidRPr="00B120AE">
        <w:rPr>
          <w:lang w:val="en-CA"/>
        </w:rPr>
        <w:t>, 2001 SCC 2, par</w:t>
      </w:r>
      <w:r w:rsidR="008742D0">
        <w:rPr>
          <w:lang w:val="en-CA"/>
        </w:rPr>
        <w:t>a. 8</w:t>
      </w:r>
      <w:r w:rsidRPr="00B120AE">
        <w:rPr>
          <w:lang w:val="en-CA"/>
        </w:rPr>
        <w:t xml:space="preserve">9; </w:t>
      </w:r>
      <w:r w:rsidRPr="00B120AE">
        <w:rPr>
          <w:i/>
          <w:iCs/>
          <w:lang w:val="en-CA"/>
        </w:rPr>
        <w:t>R. v.</w:t>
      </w:r>
      <w:r w:rsidRPr="00B120AE">
        <w:rPr>
          <w:lang w:val="en-CA"/>
        </w:rPr>
        <w:t xml:space="preserve"> </w:t>
      </w:r>
      <w:r w:rsidRPr="00B120AE">
        <w:rPr>
          <w:i/>
          <w:iCs/>
          <w:lang w:val="en-CA"/>
        </w:rPr>
        <w:t>Michaud</w:t>
      </w:r>
      <w:r w:rsidRPr="00B120AE">
        <w:rPr>
          <w:lang w:val="en-CA"/>
        </w:rPr>
        <w:t>, 2015 ONCA 585, para</w:t>
      </w:r>
      <w:r w:rsidR="008742D0">
        <w:rPr>
          <w:lang w:val="en-CA"/>
        </w:rPr>
        <w:t>s. 1</w:t>
      </w:r>
      <w:r w:rsidRPr="00B120AE">
        <w:rPr>
          <w:lang w:val="en-CA"/>
        </w:rPr>
        <w:t>01</w:t>
      </w:r>
      <w:r w:rsidR="00720901">
        <w:rPr>
          <w:lang w:val="en-CA"/>
        </w:rPr>
        <w:noBreakHyphen/>
      </w:r>
      <w:r w:rsidRPr="00B120AE">
        <w:rPr>
          <w:lang w:val="en-CA"/>
        </w:rPr>
        <w:t>102, application for leave to appeal to the Supreme Court dismissed, May</w:t>
      </w:r>
      <w:r w:rsidR="00B14771">
        <w:rPr>
          <w:lang w:val="en-CA"/>
        </w:rPr>
        <w:t> </w:t>
      </w:r>
      <w:r w:rsidRPr="00B120AE">
        <w:rPr>
          <w:lang w:val="en-CA"/>
        </w:rPr>
        <w:t>5,</w:t>
      </w:r>
      <w:r w:rsidR="00B14771">
        <w:rPr>
          <w:lang w:val="en-CA"/>
        </w:rPr>
        <w:t> </w:t>
      </w:r>
      <w:r w:rsidRPr="00B120AE">
        <w:rPr>
          <w:lang w:val="en-CA"/>
        </w:rPr>
        <w:t>2016, No.</w:t>
      </w:r>
      <w:r w:rsidR="00B14771">
        <w:rPr>
          <w:lang w:val="en-CA"/>
        </w:rPr>
        <w:t> </w:t>
      </w:r>
      <w:r w:rsidRPr="00B120AE">
        <w:rPr>
          <w:lang w:val="en-CA"/>
        </w:rPr>
        <w:t xml:space="preserve">36706. </w:t>
      </w:r>
      <w:proofErr w:type="gramStart"/>
      <w:r w:rsidRPr="00B120AE">
        <w:rPr>
          <w:lang w:val="en-CA"/>
        </w:rPr>
        <w:t>On the subject of deference</w:t>
      </w:r>
      <w:proofErr w:type="gramEnd"/>
      <w:r w:rsidRPr="00B120AE">
        <w:rPr>
          <w:lang w:val="en-CA"/>
        </w:rPr>
        <w:t xml:space="preserve">, see, in particular: </w:t>
      </w:r>
      <w:r w:rsidRPr="00B120AE">
        <w:rPr>
          <w:i/>
          <w:iCs/>
          <w:lang w:val="en-CA"/>
        </w:rPr>
        <w:t>JTI</w:t>
      </w:r>
      <w:r w:rsidRPr="00B120AE">
        <w:rPr>
          <w:lang w:val="en-CA"/>
        </w:rPr>
        <w:t>, par</w:t>
      </w:r>
      <w:r w:rsidR="008742D0">
        <w:rPr>
          <w:lang w:val="en-CA"/>
        </w:rPr>
        <w:t>a. 4</w:t>
      </w:r>
      <w:r w:rsidRPr="00B120AE">
        <w:rPr>
          <w:lang w:val="en-CA"/>
        </w:rPr>
        <w:t xml:space="preserve">3; </w:t>
      </w:r>
      <w:r w:rsidRPr="00B120AE">
        <w:rPr>
          <w:i/>
          <w:iCs/>
          <w:lang w:val="en-CA"/>
        </w:rPr>
        <w:t>City of Montréal</w:t>
      </w:r>
      <w:r w:rsidRPr="00B120AE">
        <w:rPr>
          <w:lang w:val="en-CA"/>
        </w:rPr>
        <w:t>, par</w:t>
      </w:r>
      <w:r w:rsidR="008742D0">
        <w:rPr>
          <w:lang w:val="en-CA"/>
        </w:rPr>
        <w:t>a. 9</w:t>
      </w:r>
      <w:r w:rsidRPr="00B120AE">
        <w:rPr>
          <w:lang w:val="en-CA"/>
        </w:rPr>
        <w:t xml:space="preserve">5. </w:t>
      </w:r>
    </w:p>
  </w:footnote>
  <w:footnote w:id="123">
    <w:p w14:paraId="50852DB1"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Taylor</w:t>
      </w:r>
      <w:r w:rsidRPr="00B120AE">
        <w:rPr>
          <w:lang w:val="en-CA"/>
        </w:rPr>
        <w:t>.</w:t>
      </w:r>
    </w:p>
  </w:footnote>
  <w:footnote w:id="124">
    <w:p w14:paraId="50852DB2"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Irwin Toy</w:t>
      </w:r>
      <w:r w:rsidRPr="00B120AE">
        <w:rPr>
          <w:lang w:val="en-CA"/>
        </w:rPr>
        <w:t xml:space="preserve">, p. 990. </w:t>
      </w:r>
    </w:p>
  </w:footnote>
  <w:footnote w:id="125">
    <w:p w14:paraId="50852DB3" w14:textId="334AF405" w:rsidR="00E524EA" w:rsidRPr="00116DBB"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r>
      <w:r w:rsidRPr="00B120AE">
        <w:rPr>
          <w:i/>
          <w:iCs/>
          <w:lang w:val="en-CA"/>
        </w:rPr>
        <w:t>Hutterian</w:t>
      </w:r>
      <w:r w:rsidRPr="00B120AE">
        <w:rPr>
          <w:lang w:val="en-CA"/>
        </w:rPr>
        <w:t>, par</w:t>
      </w:r>
      <w:r w:rsidR="008742D0">
        <w:rPr>
          <w:lang w:val="en-CA"/>
        </w:rPr>
        <w:t>a. </w:t>
      </w:r>
      <w:r w:rsidR="008742D0" w:rsidRPr="00116DBB">
        <w:t>5</w:t>
      </w:r>
      <w:r w:rsidRPr="00116DBB">
        <w:t>5.</w:t>
      </w:r>
    </w:p>
  </w:footnote>
  <w:footnote w:id="126">
    <w:p w14:paraId="50852DB4" w14:textId="77777777"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 xml:space="preserve">R. v. </w:t>
      </w:r>
      <w:proofErr w:type="spellStart"/>
      <w:r w:rsidRPr="00116DBB">
        <w:rPr>
          <w:i/>
          <w:iCs/>
        </w:rPr>
        <w:t>Ndhlovu</w:t>
      </w:r>
      <w:proofErr w:type="spellEnd"/>
      <w:r w:rsidRPr="00116DBB">
        <w:t>, 2022 SCC 38 [</w:t>
      </w:r>
      <w:proofErr w:type="spellStart"/>
      <w:r w:rsidRPr="00116DBB">
        <w:rPr>
          <w:i/>
          <w:iCs/>
        </w:rPr>
        <w:t>Ndhlovu</w:t>
      </w:r>
      <w:proofErr w:type="spellEnd"/>
      <w:r w:rsidRPr="00116DBB">
        <w:t>].</w:t>
      </w:r>
    </w:p>
  </w:footnote>
  <w:footnote w:id="127">
    <w:p w14:paraId="50852DB5" w14:textId="54EC4D4E"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Tobacco, Smoking and Vaping Reduction Act</w:t>
      </w:r>
      <w:r w:rsidRPr="00B120AE">
        <w:rPr>
          <w:lang w:val="en-CA"/>
        </w:rPr>
        <w:t>, S.A. c.</w:t>
      </w:r>
      <w:r w:rsidR="00B14771">
        <w:rPr>
          <w:lang w:val="en-CA"/>
        </w:rPr>
        <w:t> </w:t>
      </w:r>
      <w:r w:rsidRPr="00B120AE">
        <w:rPr>
          <w:lang w:val="en-CA"/>
        </w:rPr>
        <w:t>T</w:t>
      </w:r>
      <w:r w:rsidR="00720901">
        <w:rPr>
          <w:lang w:val="en-CA"/>
        </w:rPr>
        <w:noBreakHyphen/>
      </w:r>
      <w:r w:rsidRPr="00B120AE">
        <w:rPr>
          <w:lang w:val="en-CA"/>
        </w:rPr>
        <w:t xml:space="preserve">3.8 2005, </w:t>
      </w:r>
      <w:r w:rsidR="008742D0">
        <w:rPr>
          <w:lang w:val="en-CA"/>
        </w:rPr>
        <w:t>s. 3</w:t>
      </w:r>
      <w:r w:rsidRPr="00B120AE">
        <w:rPr>
          <w:lang w:val="en-CA"/>
        </w:rPr>
        <w:t xml:space="preserve"> (Alberta); </w:t>
      </w:r>
      <w:r w:rsidRPr="00B120AE">
        <w:rPr>
          <w:i/>
          <w:iCs/>
          <w:lang w:val="en-CA"/>
        </w:rPr>
        <w:t>Smoke</w:t>
      </w:r>
      <w:r w:rsidR="00720901">
        <w:rPr>
          <w:i/>
          <w:iCs/>
          <w:lang w:val="en-CA"/>
        </w:rPr>
        <w:noBreakHyphen/>
      </w:r>
      <w:r w:rsidRPr="00B120AE">
        <w:rPr>
          <w:i/>
          <w:iCs/>
          <w:lang w:val="en-CA"/>
        </w:rPr>
        <w:t>free Places Act</w:t>
      </w:r>
      <w:r w:rsidRPr="00B120AE">
        <w:rPr>
          <w:lang w:val="en-CA"/>
        </w:rPr>
        <w:t>, R.S.N.B.</w:t>
      </w:r>
      <w:r w:rsidR="00B14771">
        <w:rPr>
          <w:lang w:val="en-CA"/>
        </w:rPr>
        <w:t> </w:t>
      </w:r>
      <w:r w:rsidRPr="00B120AE">
        <w:rPr>
          <w:lang w:val="en-CA"/>
        </w:rPr>
        <w:t>2011, c.</w:t>
      </w:r>
      <w:r w:rsidR="00B14771">
        <w:rPr>
          <w:lang w:val="en-CA"/>
        </w:rPr>
        <w:t> </w:t>
      </w:r>
      <w:r w:rsidRPr="00B120AE">
        <w:rPr>
          <w:lang w:val="en-CA"/>
        </w:rPr>
        <w:t>222, s</w:t>
      </w:r>
      <w:r w:rsidR="008742D0">
        <w:rPr>
          <w:lang w:val="en-CA"/>
        </w:rPr>
        <w:t>s. 1</w:t>
      </w:r>
      <w:r w:rsidRPr="00B120AE">
        <w:rPr>
          <w:lang w:val="en-CA"/>
        </w:rPr>
        <w:t>, 3(a) and (b), 4</w:t>
      </w:r>
      <w:r w:rsidR="00720901">
        <w:rPr>
          <w:lang w:val="en-CA"/>
        </w:rPr>
        <w:noBreakHyphen/>
      </w:r>
      <w:r w:rsidRPr="00B120AE">
        <w:rPr>
          <w:lang w:val="en-CA"/>
        </w:rPr>
        <w:t xml:space="preserve">5.4 (New Brunswick); </w:t>
      </w:r>
      <w:r w:rsidRPr="00B120AE">
        <w:rPr>
          <w:i/>
          <w:iCs/>
          <w:lang w:val="en-CA"/>
        </w:rPr>
        <w:t>Smoke</w:t>
      </w:r>
      <w:r w:rsidR="00720901">
        <w:rPr>
          <w:i/>
          <w:iCs/>
          <w:lang w:val="en-CA"/>
        </w:rPr>
        <w:noBreakHyphen/>
      </w:r>
      <w:r w:rsidRPr="00B120AE">
        <w:rPr>
          <w:i/>
          <w:iCs/>
          <w:lang w:val="en-CA"/>
        </w:rPr>
        <w:t>free Places Act</w:t>
      </w:r>
      <w:r w:rsidRPr="00B120AE">
        <w:rPr>
          <w:lang w:val="en-CA"/>
        </w:rPr>
        <w:t>, S.N.</w:t>
      </w:r>
      <w:r w:rsidR="008742D0">
        <w:rPr>
          <w:lang w:val="en-CA"/>
        </w:rPr>
        <w:t>S. 2</w:t>
      </w:r>
      <w:r w:rsidRPr="00B120AE">
        <w:rPr>
          <w:lang w:val="en-CA"/>
        </w:rPr>
        <w:t>002, c.</w:t>
      </w:r>
      <w:r w:rsidR="00B14771">
        <w:rPr>
          <w:lang w:val="en-CA"/>
        </w:rPr>
        <w:t> </w:t>
      </w:r>
      <w:r w:rsidRPr="00B120AE">
        <w:rPr>
          <w:lang w:val="en-CA"/>
        </w:rPr>
        <w:t>12, s</w:t>
      </w:r>
      <w:r w:rsidR="008742D0">
        <w:rPr>
          <w:lang w:val="en-CA"/>
        </w:rPr>
        <w:t>s. 2</w:t>
      </w:r>
      <w:r w:rsidRPr="00B120AE">
        <w:rPr>
          <w:lang w:val="en-CA"/>
        </w:rPr>
        <w:t xml:space="preserve">(h), 5(1)(e) and 7 (Nova Scotia); </w:t>
      </w:r>
      <w:r w:rsidRPr="00B120AE">
        <w:rPr>
          <w:i/>
          <w:iCs/>
          <w:lang w:val="en-CA"/>
        </w:rPr>
        <w:t>Tobacco and Vapour Products Control Act</w:t>
      </w:r>
      <w:r w:rsidRPr="00B120AE">
        <w:rPr>
          <w:lang w:val="en-CA"/>
        </w:rPr>
        <w:t>, R.S.B.C.</w:t>
      </w:r>
      <w:r w:rsidR="00B14771">
        <w:rPr>
          <w:lang w:val="en-CA"/>
        </w:rPr>
        <w:t> </w:t>
      </w:r>
      <w:r w:rsidRPr="00B120AE">
        <w:rPr>
          <w:lang w:val="en-CA"/>
        </w:rPr>
        <w:t>1996, c.</w:t>
      </w:r>
      <w:r w:rsidR="00B14771">
        <w:rPr>
          <w:lang w:val="en-CA"/>
        </w:rPr>
        <w:t> </w:t>
      </w:r>
      <w:r w:rsidRPr="00B120AE">
        <w:rPr>
          <w:lang w:val="en-CA"/>
        </w:rPr>
        <w:t xml:space="preserve">451 (British Columbia); </w:t>
      </w:r>
      <w:r w:rsidRPr="00B120AE">
        <w:rPr>
          <w:i/>
          <w:iCs/>
          <w:lang w:val="en-CA"/>
        </w:rPr>
        <w:t>Smoke</w:t>
      </w:r>
      <w:r w:rsidR="00720901">
        <w:rPr>
          <w:i/>
          <w:iCs/>
          <w:lang w:val="en-CA"/>
        </w:rPr>
        <w:noBreakHyphen/>
      </w:r>
      <w:r w:rsidRPr="00B120AE">
        <w:rPr>
          <w:i/>
          <w:iCs/>
          <w:lang w:val="en-CA"/>
        </w:rPr>
        <w:t>free Places Act</w:t>
      </w:r>
      <w:r w:rsidRPr="00B120AE">
        <w:rPr>
          <w:lang w:val="en-CA"/>
        </w:rPr>
        <w:t>, R.S.P.E.I.</w:t>
      </w:r>
      <w:r w:rsidR="00B14771">
        <w:rPr>
          <w:lang w:val="en-CA"/>
        </w:rPr>
        <w:t> </w:t>
      </w:r>
      <w:r w:rsidRPr="00B120AE">
        <w:rPr>
          <w:lang w:val="en-CA"/>
        </w:rPr>
        <w:t>1988, c.</w:t>
      </w:r>
      <w:r w:rsidR="00B14771">
        <w:rPr>
          <w:lang w:val="en-CA"/>
        </w:rPr>
        <w:t> </w:t>
      </w:r>
      <w:r w:rsidRPr="00B120AE">
        <w:rPr>
          <w:lang w:val="en-CA"/>
        </w:rPr>
        <w:t>S</w:t>
      </w:r>
      <w:r w:rsidR="00720901">
        <w:rPr>
          <w:lang w:val="en-CA"/>
        </w:rPr>
        <w:noBreakHyphen/>
      </w:r>
      <w:r w:rsidRPr="00B120AE">
        <w:rPr>
          <w:lang w:val="en-CA"/>
        </w:rPr>
        <w:t>4.2, ss.</w:t>
      </w:r>
      <w:r w:rsidR="00B14771">
        <w:rPr>
          <w:lang w:val="en-CA"/>
        </w:rPr>
        <w:t> </w:t>
      </w:r>
      <w:r w:rsidRPr="00B120AE">
        <w:rPr>
          <w:lang w:val="en-CA"/>
        </w:rPr>
        <w:t>n(</w:t>
      </w:r>
      <w:proofErr w:type="spellStart"/>
      <w:r w:rsidRPr="00B120AE">
        <w:rPr>
          <w:lang w:val="en-CA"/>
        </w:rPr>
        <w:t>i</w:t>
      </w:r>
      <w:proofErr w:type="spellEnd"/>
      <w:r w:rsidRPr="00B120AE">
        <w:rPr>
          <w:lang w:val="en-CA"/>
        </w:rPr>
        <w:t>), 4(1), 5</w:t>
      </w:r>
      <w:r w:rsidR="00720901">
        <w:rPr>
          <w:lang w:val="en-CA"/>
        </w:rPr>
        <w:noBreakHyphen/>
      </w:r>
      <w:r w:rsidRPr="00B120AE">
        <w:rPr>
          <w:lang w:val="en-CA"/>
        </w:rPr>
        <w:t xml:space="preserve">11 (Prince Edward Island); </w:t>
      </w:r>
      <w:r w:rsidRPr="00B120AE">
        <w:rPr>
          <w:i/>
          <w:iCs/>
          <w:lang w:val="en-CA"/>
        </w:rPr>
        <w:t>Smoke</w:t>
      </w:r>
      <w:r w:rsidR="00720901">
        <w:rPr>
          <w:i/>
          <w:iCs/>
          <w:lang w:val="en-CA"/>
        </w:rPr>
        <w:noBreakHyphen/>
      </w:r>
      <w:r w:rsidRPr="00B120AE">
        <w:rPr>
          <w:i/>
          <w:iCs/>
          <w:lang w:val="en-CA"/>
        </w:rPr>
        <w:t>free Environment Act, 2005</w:t>
      </w:r>
      <w:r w:rsidRPr="00B120AE">
        <w:rPr>
          <w:lang w:val="en-CA"/>
        </w:rPr>
        <w:t>, S.N.L.</w:t>
      </w:r>
      <w:r w:rsidR="00B14771">
        <w:rPr>
          <w:lang w:val="en-CA"/>
        </w:rPr>
        <w:t> </w:t>
      </w:r>
      <w:r w:rsidRPr="00B120AE">
        <w:rPr>
          <w:lang w:val="en-CA"/>
        </w:rPr>
        <w:t>2005, c.</w:t>
      </w:r>
      <w:r w:rsidR="00B14771">
        <w:rPr>
          <w:lang w:val="en-CA"/>
        </w:rPr>
        <w:t> </w:t>
      </w:r>
      <w:r w:rsidRPr="00B120AE">
        <w:rPr>
          <w:lang w:val="en-CA"/>
        </w:rPr>
        <w:t>S</w:t>
      </w:r>
      <w:r w:rsidR="00720901">
        <w:rPr>
          <w:lang w:val="en-CA"/>
        </w:rPr>
        <w:noBreakHyphen/>
      </w:r>
      <w:r w:rsidRPr="00B120AE">
        <w:rPr>
          <w:lang w:val="en-CA"/>
        </w:rPr>
        <w:t>16.2, s</w:t>
      </w:r>
      <w:r w:rsidR="008742D0">
        <w:rPr>
          <w:lang w:val="en-CA"/>
        </w:rPr>
        <w:t>s. 1</w:t>
      </w:r>
      <w:r w:rsidRPr="00B120AE">
        <w:rPr>
          <w:lang w:val="en-CA"/>
        </w:rPr>
        <w:t>(l) and (m.1), and 4(1)(a) and (</w:t>
      </w:r>
      <w:proofErr w:type="spellStart"/>
      <w:r w:rsidRPr="00B120AE">
        <w:rPr>
          <w:lang w:val="en-CA"/>
        </w:rPr>
        <w:t>i</w:t>
      </w:r>
      <w:proofErr w:type="spellEnd"/>
      <w:r w:rsidRPr="00B120AE">
        <w:rPr>
          <w:lang w:val="en-CA"/>
        </w:rPr>
        <w:t xml:space="preserve">) (Newfoundland and Labrador); </w:t>
      </w:r>
      <w:r w:rsidRPr="00B120AE">
        <w:rPr>
          <w:i/>
          <w:iCs/>
          <w:lang w:val="en-CA"/>
        </w:rPr>
        <w:t>Smoking Control and Reduction Act</w:t>
      </w:r>
      <w:r w:rsidRPr="00B120AE">
        <w:rPr>
          <w:lang w:val="en-CA"/>
        </w:rPr>
        <w:t>, S.N.W.T.</w:t>
      </w:r>
      <w:r w:rsidR="00B14771">
        <w:rPr>
          <w:lang w:val="en-CA"/>
        </w:rPr>
        <w:t> </w:t>
      </w:r>
      <w:r w:rsidRPr="00B120AE">
        <w:rPr>
          <w:lang w:val="en-CA"/>
        </w:rPr>
        <w:t>2019, c.</w:t>
      </w:r>
      <w:r w:rsidR="00B14771">
        <w:rPr>
          <w:lang w:val="en-CA"/>
        </w:rPr>
        <w:t> </w:t>
      </w:r>
      <w:r w:rsidRPr="00B120AE">
        <w:rPr>
          <w:lang w:val="en-CA"/>
        </w:rPr>
        <w:t>29, s</w:t>
      </w:r>
      <w:r w:rsidR="008742D0">
        <w:rPr>
          <w:lang w:val="en-CA"/>
        </w:rPr>
        <w:t>s. 1</w:t>
      </w:r>
      <w:r w:rsidRPr="00B120AE">
        <w:rPr>
          <w:lang w:val="en-CA"/>
        </w:rPr>
        <w:t>(a), 1(b)(</w:t>
      </w:r>
      <w:proofErr w:type="spellStart"/>
      <w:r w:rsidRPr="00B120AE">
        <w:rPr>
          <w:lang w:val="en-CA"/>
        </w:rPr>
        <w:t>i</w:t>
      </w:r>
      <w:proofErr w:type="spellEnd"/>
      <w:r w:rsidRPr="00B120AE">
        <w:rPr>
          <w:lang w:val="en-CA"/>
        </w:rPr>
        <w:t>)</w:t>
      </w:r>
      <w:r w:rsidR="00720901">
        <w:rPr>
          <w:lang w:val="en-CA"/>
        </w:rPr>
        <w:noBreakHyphen/>
      </w:r>
      <w:r w:rsidRPr="00B120AE">
        <w:rPr>
          <w:lang w:val="en-CA"/>
        </w:rPr>
        <w:t xml:space="preserve">(ii), 3(1)(a), 3(2) and 3(3) (Northwest Territories); </w:t>
      </w:r>
      <w:r w:rsidRPr="00B120AE">
        <w:rPr>
          <w:i/>
          <w:iCs/>
          <w:lang w:val="en-CA"/>
        </w:rPr>
        <w:t>Tobacco and Smoking Act</w:t>
      </w:r>
      <w:r w:rsidRPr="00B120AE">
        <w:rPr>
          <w:lang w:val="en-CA"/>
        </w:rPr>
        <w:t xml:space="preserve">, </w:t>
      </w:r>
      <w:proofErr w:type="spellStart"/>
      <w:r w:rsidRPr="00B120AE">
        <w:rPr>
          <w:lang w:val="en-CA"/>
        </w:rPr>
        <w:t>C.S.Nu</w:t>
      </w:r>
      <w:proofErr w:type="spellEnd"/>
      <w:r w:rsidRPr="00B120AE">
        <w:rPr>
          <w:lang w:val="en-CA"/>
        </w:rPr>
        <w:t>., c.</w:t>
      </w:r>
      <w:r w:rsidR="00B14771">
        <w:rPr>
          <w:lang w:val="en-CA"/>
        </w:rPr>
        <w:t> </w:t>
      </w:r>
      <w:r w:rsidRPr="00B120AE">
        <w:rPr>
          <w:lang w:val="en-CA"/>
        </w:rPr>
        <w:t>T</w:t>
      </w:r>
      <w:r w:rsidR="00720901">
        <w:rPr>
          <w:lang w:val="en-CA"/>
        </w:rPr>
        <w:noBreakHyphen/>
      </w:r>
      <w:r w:rsidRPr="00B120AE">
        <w:rPr>
          <w:lang w:val="en-CA"/>
        </w:rPr>
        <w:t>40,</w:t>
      </w:r>
      <w:r w:rsidR="00287AE9">
        <w:rPr>
          <w:lang w:val="en-CA"/>
        </w:rPr>
        <w:t xml:space="preserve"> </w:t>
      </w:r>
      <w:r w:rsidRPr="00B120AE">
        <w:rPr>
          <w:lang w:val="en-CA"/>
        </w:rPr>
        <w:t>s</w:t>
      </w:r>
      <w:r w:rsidR="008742D0">
        <w:rPr>
          <w:lang w:val="en-CA"/>
        </w:rPr>
        <w:t>s. 2</w:t>
      </w:r>
      <w:r w:rsidRPr="00B120AE">
        <w:rPr>
          <w:lang w:val="en-CA"/>
        </w:rPr>
        <w:t xml:space="preserve"> and 20(2)(a), (m) and (n) (Nunavut); </w:t>
      </w:r>
      <w:r w:rsidRPr="00B120AE">
        <w:rPr>
          <w:i/>
          <w:iCs/>
          <w:lang w:val="en-CA"/>
        </w:rPr>
        <w:t>Tobacco and Vaping Products Control and Regulation Act</w:t>
      </w:r>
      <w:r w:rsidRPr="00B120AE">
        <w:rPr>
          <w:lang w:val="en-CA"/>
        </w:rPr>
        <w:t>, S.Y.</w:t>
      </w:r>
      <w:r w:rsidR="00B14771">
        <w:rPr>
          <w:lang w:val="en-CA"/>
        </w:rPr>
        <w:t> </w:t>
      </w:r>
      <w:r w:rsidRPr="00B120AE">
        <w:rPr>
          <w:lang w:val="en-CA"/>
        </w:rPr>
        <w:t>2019, c.</w:t>
      </w:r>
      <w:r w:rsidR="00B14771">
        <w:rPr>
          <w:lang w:val="en-CA"/>
        </w:rPr>
        <w:t> </w:t>
      </w:r>
      <w:r w:rsidRPr="00B120AE">
        <w:rPr>
          <w:lang w:val="en-CA"/>
        </w:rPr>
        <w:t>14, s</w:t>
      </w:r>
      <w:r w:rsidR="008742D0">
        <w:rPr>
          <w:lang w:val="en-CA"/>
        </w:rPr>
        <w:t>s. 2</w:t>
      </w:r>
      <w:r w:rsidRPr="00B120AE">
        <w:rPr>
          <w:lang w:val="en-CA"/>
        </w:rPr>
        <w:t>(a), (b) and (c), 6</w:t>
      </w:r>
      <w:r w:rsidR="00720901">
        <w:rPr>
          <w:lang w:val="en-CA"/>
        </w:rPr>
        <w:noBreakHyphen/>
      </w:r>
      <w:r w:rsidRPr="00B120AE">
        <w:rPr>
          <w:lang w:val="en-CA"/>
        </w:rPr>
        <w:t xml:space="preserve">10 (Yukon). </w:t>
      </w:r>
    </w:p>
  </w:footnote>
  <w:footnote w:id="128">
    <w:p w14:paraId="50852DB6" w14:textId="43E8043A"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Regarding the ban on smoking or holding lighted cigarettes in </w:t>
      </w:r>
      <w:r w:rsidRPr="00352825">
        <w:rPr>
          <w:lang w:val="en-CA"/>
        </w:rPr>
        <w:t xml:space="preserve">enclosed places, see: </w:t>
      </w:r>
      <w:r w:rsidRPr="00352825">
        <w:rPr>
          <w:i/>
          <w:iCs/>
          <w:lang w:val="en-CA"/>
        </w:rPr>
        <w:t>Smoke</w:t>
      </w:r>
      <w:r w:rsidR="00720901" w:rsidRPr="00352825">
        <w:rPr>
          <w:i/>
          <w:iCs/>
          <w:lang w:val="en-CA"/>
        </w:rPr>
        <w:noBreakHyphen/>
      </w:r>
      <w:r w:rsidRPr="00352825">
        <w:rPr>
          <w:i/>
          <w:iCs/>
          <w:lang w:val="en-CA"/>
        </w:rPr>
        <w:t>Free Ontario Act</w:t>
      </w:r>
      <w:r w:rsidRPr="00352825">
        <w:rPr>
          <w:lang w:val="en-CA"/>
        </w:rPr>
        <w:t>, S.O.</w:t>
      </w:r>
      <w:r w:rsidR="00877165" w:rsidRPr="00352825">
        <w:rPr>
          <w:lang w:val="en-CA"/>
        </w:rPr>
        <w:t> </w:t>
      </w:r>
      <w:r w:rsidRPr="00352825">
        <w:rPr>
          <w:lang w:val="en-CA"/>
        </w:rPr>
        <w:t>2017, c.</w:t>
      </w:r>
      <w:r w:rsidR="00877165" w:rsidRPr="00352825">
        <w:rPr>
          <w:lang w:val="en-CA"/>
        </w:rPr>
        <w:t> </w:t>
      </w:r>
      <w:r w:rsidRPr="00352825">
        <w:rPr>
          <w:lang w:val="en-CA"/>
        </w:rPr>
        <w:t>26, Sch.</w:t>
      </w:r>
      <w:r w:rsidR="00877165" w:rsidRPr="00352825">
        <w:rPr>
          <w:lang w:val="en-CA"/>
        </w:rPr>
        <w:t> </w:t>
      </w:r>
      <w:r w:rsidRPr="00352825">
        <w:rPr>
          <w:lang w:val="en-CA"/>
        </w:rPr>
        <w:t xml:space="preserve">3, </w:t>
      </w:r>
      <w:r w:rsidR="008742D0" w:rsidRPr="00352825">
        <w:rPr>
          <w:lang w:val="en-CA"/>
        </w:rPr>
        <w:t>s. 1</w:t>
      </w:r>
      <w:r w:rsidRPr="00352825">
        <w:rPr>
          <w:lang w:val="en-CA"/>
        </w:rPr>
        <w:t>2. For the exception, see: O.</w:t>
      </w:r>
      <w:r w:rsidR="00877165" w:rsidRPr="00352825">
        <w:rPr>
          <w:lang w:val="en-CA"/>
        </w:rPr>
        <w:t> </w:t>
      </w:r>
      <w:r w:rsidRPr="00352825">
        <w:rPr>
          <w:lang w:val="en-CA"/>
        </w:rPr>
        <w:t>Reg.</w:t>
      </w:r>
      <w:r w:rsidR="00877165" w:rsidRPr="00352825">
        <w:rPr>
          <w:lang w:val="en-CA"/>
        </w:rPr>
        <w:t> </w:t>
      </w:r>
      <w:r w:rsidRPr="00352825">
        <w:rPr>
          <w:lang w:val="en-CA"/>
        </w:rPr>
        <w:t>268/18</w:t>
      </w:r>
      <w:r w:rsidRPr="00352825">
        <w:rPr>
          <w:i/>
          <w:iCs/>
          <w:lang w:val="en-CA"/>
        </w:rPr>
        <w:t xml:space="preserve">, </w:t>
      </w:r>
      <w:r w:rsidR="008742D0" w:rsidRPr="00352825">
        <w:rPr>
          <w:lang w:val="en-CA"/>
        </w:rPr>
        <w:t>s. 3</w:t>
      </w:r>
      <w:r w:rsidRPr="00352825">
        <w:rPr>
          <w:lang w:val="en-CA"/>
        </w:rPr>
        <w:t xml:space="preserve">1. This exception allows only the use of electronic cigarettes, and applies only to </w:t>
      </w:r>
      <w:r w:rsidRPr="00B120AE">
        <w:rPr>
          <w:lang w:val="en-CA"/>
        </w:rPr>
        <w:t xml:space="preserve">a </w:t>
      </w:r>
      <w:r w:rsidR="00282C6C">
        <w:rPr>
          <w:lang w:val="en-CA"/>
        </w:rPr>
        <w:t>“</w:t>
      </w:r>
      <w:r w:rsidRPr="00B120AE">
        <w:rPr>
          <w:lang w:val="en-CA"/>
        </w:rPr>
        <w:t>dramatic, musical, educational or artistic work that is performed live on a stage</w:t>
      </w:r>
      <w:r w:rsidR="00282C6C">
        <w:rPr>
          <w:lang w:val="en-CA"/>
        </w:rPr>
        <w:t>”</w:t>
      </w:r>
      <w:r w:rsidRPr="00B120AE">
        <w:rPr>
          <w:lang w:val="en-CA"/>
        </w:rPr>
        <w:t>.</w:t>
      </w:r>
    </w:p>
  </w:footnote>
  <w:footnote w:id="129">
    <w:p w14:paraId="50852DB7" w14:textId="5639B66F" w:rsidR="00E524EA" w:rsidRPr="00B120AE" w:rsidRDefault="001C0031" w:rsidP="00E524EA">
      <w:pPr>
        <w:pStyle w:val="Notedebasdepage"/>
        <w:rPr>
          <w:lang w:val="en-CA"/>
        </w:rPr>
      </w:pPr>
      <w:r w:rsidRPr="00B120AE">
        <w:rPr>
          <w:rStyle w:val="Appelnotedebasdep"/>
          <w:lang w:val="en-CA"/>
        </w:rPr>
        <w:footnoteRef/>
      </w:r>
      <w:r w:rsidRPr="00116DBB">
        <w:t xml:space="preserve"> </w:t>
      </w:r>
      <w:r w:rsidRPr="00116DBB">
        <w:tab/>
      </w:r>
      <w:r w:rsidRPr="00116DBB">
        <w:rPr>
          <w:i/>
          <w:iCs/>
        </w:rPr>
        <w:t>Métallurgistes unis d</w:t>
      </w:r>
      <w:r w:rsidR="00282C6C" w:rsidRPr="00116DBB">
        <w:rPr>
          <w:i/>
          <w:iCs/>
        </w:rPr>
        <w:t>’</w:t>
      </w:r>
      <w:r w:rsidRPr="00116DBB">
        <w:rPr>
          <w:i/>
          <w:iCs/>
        </w:rPr>
        <w:t>Amérique, section locale 7649 (FTQ)</w:t>
      </w:r>
      <w:r w:rsidRPr="00116DBB">
        <w:t xml:space="preserve"> </w:t>
      </w:r>
      <w:r w:rsidRPr="00116DBB">
        <w:rPr>
          <w:i/>
          <w:iCs/>
        </w:rPr>
        <w:t>c.</w:t>
      </w:r>
      <w:r w:rsidRPr="00116DBB">
        <w:t xml:space="preserve"> </w:t>
      </w:r>
      <w:r w:rsidRPr="00116DBB">
        <w:rPr>
          <w:i/>
          <w:iCs/>
        </w:rPr>
        <w:t>Directeur général des élections du Québec</w:t>
      </w:r>
      <w:r w:rsidRPr="00116DBB">
        <w:t>, 2011 QCCA 1043, par</w:t>
      </w:r>
      <w:r w:rsidR="008742D0" w:rsidRPr="00116DBB">
        <w:t>a. </w:t>
      </w:r>
      <w:r w:rsidR="008742D0">
        <w:rPr>
          <w:lang w:val="en-CA"/>
        </w:rPr>
        <w:t>4</w:t>
      </w:r>
      <w:r w:rsidRPr="00B120AE">
        <w:rPr>
          <w:lang w:val="en-CA"/>
        </w:rPr>
        <w:t xml:space="preserve">6. See also: </w:t>
      </w:r>
      <w:r w:rsidRPr="00B120AE">
        <w:rPr>
          <w:i/>
          <w:iCs/>
          <w:lang w:val="en-CA"/>
        </w:rPr>
        <w:t>Gallant</w:t>
      </w:r>
      <w:r w:rsidRPr="00B120AE">
        <w:rPr>
          <w:lang w:val="en-CA"/>
        </w:rPr>
        <w:t>, para</w:t>
      </w:r>
      <w:r w:rsidR="008742D0">
        <w:rPr>
          <w:lang w:val="en-CA"/>
        </w:rPr>
        <w:t>s. 2</w:t>
      </w:r>
      <w:r w:rsidRPr="00B120AE">
        <w:rPr>
          <w:lang w:val="en-CA"/>
        </w:rPr>
        <w:t>17</w:t>
      </w:r>
      <w:r w:rsidR="00720901">
        <w:rPr>
          <w:lang w:val="en-CA"/>
        </w:rPr>
        <w:noBreakHyphen/>
      </w:r>
      <w:r w:rsidRPr="00B120AE">
        <w:rPr>
          <w:lang w:val="en-CA"/>
        </w:rPr>
        <w:t>219; Peter W. Hogg and Wade</w:t>
      </w:r>
      <w:r w:rsidR="001F722B">
        <w:rPr>
          <w:lang w:val="en-CA"/>
        </w:rPr>
        <w:t> </w:t>
      </w:r>
      <w:r w:rsidRPr="00B120AE">
        <w:rPr>
          <w:lang w:val="en-CA"/>
        </w:rPr>
        <w:t>K.</w:t>
      </w:r>
      <w:r w:rsidR="001F722B">
        <w:rPr>
          <w:lang w:val="en-CA"/>
        </w:rPr>
        <w:t> </w:t>
      </w:r>
      <w:r w:rsidRPr="00B120AE">
        <w:rPr>
          <w:lang w:val="en-CA"/>
        </w:rPr>
        <w:t xml:space="preserve">Wright, </w:t>
      </w:r>
      <w:r w:rsidRPr="00B120AE">
        <w:rPr>
          <w:i/>
          <w:iCs/>
          <w:lang w:val="en-CA"/>
        </w:rPr>
        <w:t>Constitutional Law of Canada</w:t>
      </w:r>
      <w:r w:rsidRPr="00B120AE">
        <w:rPr>
          <w:lang w:val="en-CA"/>
        </w:rPr>
        <w:t>, 5th</w:t>
      </w:r>
      <w:r w:rsidR="001F722B">
        <w:rPr>
          <w:lang w:val="en-CA"/>
        </w:rPr>
        <w:t> </w:t>
      </w:r>
      <w:r w:rsidRPr="00B120AE">
        <w:rPr>
          <w:lang w:val="en-CA"/>
        </w:rPr>
        <w:t>ed., Vol.</w:t>
      </w:r>
      <w:r w:rsidR="001F722B">
        <w:rPr>
          <w:lang w:val="en-CA"/>
        </w:rPr>
        <w:t> </w:t>
      </w:r>
      <w:r w:rsidRPr="00B120AE">
        <w:rPr>
          <w:lang w:val="en-CA"/>
        </w:rPr>
        <w:t>2,</w:t>
      </w:r>
      <w:r w:rsidR="00287AE9">
        <w:rPr>
          <w:lang w:val="en-CA"/>
        </w:rPr>
        <w:t xml:space="preserve"> </w:t>
      </w:r>
      <w:r w:rsidRPr="00B120AE">
        <w:rPr>
          <w:lang w:val="en-CA"/>
        </w:rPr>
        <w:t>Toronto, Thomson Reuters, 2007 (loose</w:t>
      </w:r>
      <w:r w:rsidR="00720901">
        <w:rPr>
          <w:lang w:val="en-CA"/>
        </w:rPr>
        <w:noBreakHyphen/>
      </w:r>
      <w:r w:rsidRPr="00B120AE">
        <w:rPr>
          <w:lang w:val="en-CA"/>
        </w:rPr>
        <w:t>leaf ed., revision No.</w:t>
      </w:r>
      <w:r w:rsidR="001F722B">
        <w:rPr>
          <w:lang w:val="en-CA"/>
        </w:rPr>
        <w:t> </w:t>
      </w:r>
      <w:r w:rsidRPr="00B120AE">
        <w:rPr>
          <w:lang w:val="en-CA"/>
        </w:rPr>
        <w:t>2024</w:t>
      </w:r>
      <w:r w:rsidR="00720901">
        <w:rPr>
          <w:lang w:val="en-CA"/>
        </w:rPr>
        <w:noBreakHyphen/>
      </w:r>
      <w:r w:rsidRPr="00B120AE">
        <w:rPr>
          <w:lang w:val="en-CA"/>
        </w:rPr>
        <w:t>7), §38:21, p. 38</w:t>
      </w:r>
      <w:r w:rsidR="00720901">
        <w:rPr>
          <w:lang w:val="en-CA"/>
        </w:rPr>
        <w:noBreakHyphen/>
      </w:r>
      <w:r w:rsidRPr="00B120AE">
        <w:rPr>
          <w:lang w:val="en-CA"/>
        </w:rPr>
        <w:t>47.</w:t>
      </w:r>
    </w:p>
  </w:footnote>
  <w:footnote w:id="130">
    <w:p w14:paraId="50852DB8" w14:textId="722EDD44"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Act respecting occupational health and safety</w:t>
      </w:r>
      <w:r w:rsidRPr="00B120AE">
        <w:rPr>
          <w:lang w:val="en-CA"/>
        </w:rPr>
        <w:t>, CQLR, c.</w:t>
      </w:r>
      <w:r w:rsidR="001F722B">
        <w:rPr>
          <w:lang w:val="en-CA"/>
        </w:rPr>
        <w:t> </w:t>
      </w:r>
      <w:r w:rsidRPr="00B120AE">
        <w:rPr>
          <w:lang w:val="en-CA"/>
        </w:rPr>
        <w:t>s</w:t>
      </w:r>
      <w:r w:rsidR="00720901">
        <w:rPr>
          <w:lang w:val="en-CA"/>
        </w:rPr>
        <w:noBreakHyphen/>
      </w:r>
      <w:r w:rsidRPr="00B120AE">
        <w:rPr>
          <w:lang w:val="en-CA"/>
        </w:rPr>
        <w:t>2.1, s</w:t>
      </w:r>
      <w:r w:rsidR="008742D0">
        <w:rPr>
          <w:lang w:val="en-CA"/>
        </w:rPr>
        <w:t>s. 1</w:t>
      </w:r>
      <w:r w:rsidRPr="00B120AE">
        <w:rPr>
          <w:lang w:val="en-CA"/>
        </w:rPr>
        <w:t xml:space="preserve">2 and ff. </w:t>
      </w:r>
    </w:p>
  </w:footnote>
  <w:footnote w:id="131">
    <w:p w14:paraId="50852DB9" w14:textId="4B2D0FF6"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See: </w:t>
      </w:r>
      <w:r w:rsidRPr="00B120AE">
        <w:rPr>
          <w:i/>
          <w:iCs/>
          <w:lang w:val="en-CA"/>
        </w:rPr>
        <w:t>Hutterian</w:t>
      </w:r>
      <w:r w:rsidRPr="00B120AE">
        <w:rPr>
          <w:lang w:val="en-CA"/>
        </w:rPr>
        <w:t>, par</w:t>
      </w:r>
      <w:r w:rsidR="008742D0">
        <w:rPr>
          <w:lang w:val="en-CA"/>
        </w:rPr>
        <w:t>a. 6</w:t>
      </w:r>
      <w:r w:rsidRPr="00B120AE">
        <w:rPr>
          <w:lang w:val="en-CA"/>
        </w:rPr>
        <w:t xml:space="preserve">0; </w:t>
      </w:r>
      <w:r w:rsidRPr="00B120AE">
        <w:rPr>
          <w:i/>
          <w:iCs/>
          <w:lang w:val="en-CA"/>
        </w:rPr>
        <w:t>Ramsden</w:t>
      </w:r>
      <w:r w:rsidRPr="00B120AE">
        <w:rPr>
          <w:lang w:val="en-CA"/>
        </w:rPr>
        <w:t>, p. 1107.</w:t>
      </w:r>
    </w:p>
  </w:footnote>
  <w:footnote w:id="132">
    <w:p w14:paraId="50852DBA" w14:textId="6C16C10E"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Brief filed by the Theatres, par</w:t>
      </w:r>
      <w:r w:rsidR="008742D0">
        <w:rPr>
          <w:lang w:val="en-CA"/>
        </w:rPr>
        <w:t>a. 7</w:t>
      </w:r>
      <w:r w:rsidRPr="00B120AE">
        <w:rPr>
          <w:lang w:val="en-CA"/>
        </w:rPr>
        <w:t xml:space="preserve">8. </w:t>
      </w:r>
    </w:p>
  </w:footnote>
  <w:footnote w:id="133">
    <w:p w14:paraId="50852DBB" w14:textId="0AED703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See, by analogy: </w:t>
      </w:r>
      <w:r w:rsidRPr="00B120AE">
        <w:rPr>
          <w:i/>
          <w:iCs/>
          <w:lang w:val="en-CA"/>
        </w:rPr>
        <w:t>New Brunswick Broadcasting Co., Ltd.</w:t>
      </w:r>
      <w:r w:rsidRPr="00B120AE">
        <w:rPr>
          <w:lang w:val="en-CA"/>
        </w:rPr>
        <w:t xml:space="preserve"> </w:t>
      </w:r>
      <w:r w:rsidRPr="00B120AE">
        <w:rPr>
          <w:i/>
          <w:iCs/>
          <w:lang w:val="en-CA"/>
        </w:rPr>
        <w:t>v. CRTC</w:t>
      </w:r>
      <w:r w:rsidRPr="00B120AE">
        <w:rPr>
          <w:lang w:val="en-CA"/>
        </w:rPr>
        <w:t>, [1984] 2 FC 410, in which Thurlow,</w:t>
      </w:r>
      <w:r w:rsidR="001F722B">
        <w:rPr>
          <w:lang w:val="en-CA"/>
        </w:rPr>
        <w:t> </w:t>
      </w:r>
      <w:r w:rsidRPr="00B120AE">
        <w:rPr>
          <w:lang w:val="en-CA"/>
        </w:rPr>
        <w:t xml:space="preserve">C.J. of the Federal Court of Appeal pointed out: </w:t>
      </w:r>
      <w:r w:rsidR="00DE2FCE">
        <w:rPr>
          <w:lang w:val="en-CA"/>
        </w:rPr>
        <w:t>“</w:t>
      </w:r>
      <w:r w:rsidRPr="00B120AE">
        <w:rPr>
          <w:lang w:val="en-CA"/>
        </w:rPr>
        <w:t>The appellant</w:t>
      </w:r>
      <w:r w:rsidR="00282C6C">
        <w:rPr>
          <w:lang w:val="en-CA"/>
        </w:rPr>
        <w:t>’</w:t>
      </w:r>
      <w:r w:rsidRPr="00B120AE">
        <w:rPr>
          <w:lang w:val="en-CA"/>
        </w:rPr>
        <w:t>s [New Brunswick Broadcasting Co.</w:t>
      </w:r>
      <w:r w:rsidR="00282C6C">
        <w:rPr>
          <w:lang w:val="en-CA"/>
        </w:rPr>
        <w:t>’</w:t>
      </w:r>
      <w:r w:rsidRPr="00B120AE">
        <w:rPr>
          <w:lang w:val="en-CA"/>
        </w:rPr>
        <w:t xml:space="preserve">s] freedom to broadcast what it wishes to communicate would not be denied by the refusal of a licence to operate a broadcasting undertaking. It would have the same freedom as anyone else to air its information by purchasing time on a licensed station. </w:t>
      </w:r>
      <w:r w:rsidRPr="00B120AE">
        <w:rPr>
          <w:u w:val="single"/>
          <w:lang w:val="en-CA"/>
        </w:rPr>
        <w:t>Nor does the Charter confer on the rest of the public a right to a broadcasting service to be provided by the appellant</w:t>
      </w:r>
      <w:r w:rsidR="00DE2FCE">
        <w:rPr>
          <w:u w:val="single"/>
          <w:lang w:val="en-CA"/>
        </w:rPr>
        <w:t>.</w:t>
      </w:r>
      <w:r w:rsidR="00282C6C">
        <w:rPr>
          <w:lang w:val="en-CA"/>
        </w:rPr>
        <w:t>”</w:t>
      </w:r>
      <w:r w:rsidRPr="00B120AE">
        <w:rPr>
          <w:lang w:val="en-CA"/>
        </w:rPr>
        <w:t xml:space="preserve">, p. 426 [underlining added]. </w:t>
      </w:r>
    </w:p>
  </w:footnote>
  <w:footnote w:id="134">
    <w:p w14:paraId="50852DBC" w14:textId="56374B8B"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w:t>
      </w:r>
      <w:r w:rsidR="008742D0">
        <w:rPr>
          <w:lang w:val="en-CA"/>
        </w:rPr>
        <w:t>a. 7</w:t>
      </w:r>
      <w:r w:rsidRPr="00B120AE">
        <w:rPr>
          <w:lang w:val="en-CA"/>
        </w:rPr>
        <w:t xml:space="preserve">0. </w:t>
      </w:r>
    </w:p>
  </w:footnote>
  <w:footnote w:id="135">
    <w:p w14:paraId="50852DBD" w14:textId="46B680A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Carter</w:t>
      </w:r>
      <w:r w:rsidRPr="00B120AE">
        <w:rPr>
          <w:lang w:val="en-CA"/>
        </w:rPr>
        <w:t>, par</w:t>
      </w:r>
      <w:r w:rsidR="008742D0">
        <w:rPr>
          <w:lang w:val="en-CA"/>
        </w:rPr>
        <w:t>a. 1</w:t>
      </w:r>
      <w:r w:rsidRPr="00B120AE">
        <w:rPr>
          <w:lang w:val="en-CA"/>
        </w:rPr>
        <w:t xml:space="preserve">22. </w:t>
      </w:r>
    </w:p>
  </w:footnote>
  <w:footnote w:id="136">
    <w:p w14:paraId="50852DBE" w14:textId="0630EAE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Taylor</w:t>
      </w:r>
      <w:r w:rsidRPr="00B120AE">
        <w:rPr>
          <w:lang w:val="en-CA"/>
        </w:rPr>
        <w:t>, par</w:t>
      </w:r>
      <w:r w:rsidR="008742D0">
        <w:rPr>
          <w:lang w:val="en-CA"/>
        </w:rPr>
        <w:t>a. 2</w:t>
      </w:r>
      <w:r w:rsidRPr="00B120AE">
        <w:rPr>
          <w:lang w:val="en-CA"/>
        </w:rPr>
        <w:t xml:space="preserve">46. </w:t>
      </w:r>
    </w:p>
  </w:footnote>
  <w:footnote w:id="137">
    <w:p w14:paraId="50852DBF" w14:textId="4319AB1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See above, paras. </w:t>
      </w:r>
      <w:r w:rsidRPr="00B120AE">
        <w:rPr>
          <w:lang w:val="en-CA"/>
        </w:rPr>
        <w:fldChar w:fldCharType="begin"/>
      </w:r>
      <w:r w:rsidRPr="00B120AE">
        <w:rPr>
          <w:lang w:val="en-CA"/>
        </w:rPr>
        <w:instrText xml:space="preserve"> REF _Ref223778391 \r \h  \* MERGEFORMAT </w:instrText>
      </w:r>
      <w:r w:rsidRPr="00B120AE">
        <w:rPr>
          <w:lang w:val="en-CA"/>
        </w:rPr>
      </w:r>
      <w:r w:rsidRPr="00B120AE">
        <w:rPr>
          <w:lang w:val="en-CA"/>
        </w:rPr>
        <w:fldChar w:fldCharType="separate"/>
      </w:r>
      <w:r w:rsidR="00D7102E">
        <w:rPr>
          <w:lang w:val="en-CA"/>
        </w:rPr>
        <w:t>[37]</w:t>
      </w:r>
      <w:r w:rsidRPr="00B120AE">
        <w:rPr>
          <w:lang w:val="en-CA"/>
        </w:rPr>
        <w:fldChar w:fldCharType="end"/>
      </w:r>
      <w:r w:rsidRPr="00B120AE">
        <w:rPr>
          <w:lang w:val="en-CA"/>
        </w:rPr>
        <w:t xml:space="preserve"> to </w:t>
      </w:r>
      <w:r w:rsidRPr="00B120AE">
        <w:rPr>
          <w:lang w:val="en-CA"/>
        </w:rPr>
        <w:fldChar w:fldCharType="begin"/>
      </w:r>
      <w:r w:rsidRPr="00B120AE">
        <w:rPr>
          <w:lang w:val="en-CA"/>
        </w:rPr>
        <w:instrText xml:space="preserve"> REF _Ref223778419 \r \h  \* MERGEFORMAT </w:instrText>
      </w:r>
      <w:r w:rsidRPr="00B120AE">
        <w:rPr>
          <w:lang w:val="en-CA"/>
        </w:rPr>
      </w:r>
      <w:r w:rsidRPr="00B120AE">
        <w:rPr>
          <w:lang w:val="en-CA"/>
        </w:rPr>
        <w:fldChar w:fldCharType="separate"/>
      </w:r>
      <w:r w:rsidR="00D7102E">
        <w:rPr>
          <w:lang w:val="en-CA"/>
        </w:rPr>
        <w:t>[49]</w:t>
      </w:r>
      <w:r w:rsidRPr="00B120AE">
        <w:rPr>
          <w:lang w:val="en-CA"/>
        </w:rPr>
        <w:fldChar w:fldCharType="end"/>
      </w:r>
      <w:r w:rsidRPr="00B120AE">
        <w:rPr>
          <w:lang w:val="en-CA"/>
        </w:rPr>
        <w:t>.</w:t>
      </w:r>
    </w:p>
  </w:footnote>
  <w:footnote w:id="138">
    <w:p w14:paraId="50852DC0" w14:textId="52396C51"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See, by analogy: </w:t>
      </w:r>
      <w:r w:rsidRPr="00B120AE">
        <w:rPr>
          <w:i/>
          <w:iCs/>
          <w:lang w:val="en-CA"/>
        </w:rPr>
        <w:t>Ndhlovu</w:t>
      </w:r>
      <w:r w:rsidRPr="00B120AE">
        <w:rPr>
          <w:lang w:val="en-CA"/>
        </w:rPr>
        <w:t>, par</w:t>
      </w:r>
      <w:r w:rsidR="008742D0">
        <w:rPr>
          <w:lang w:val="en-CA"/>
        </w:rPr>
        <w:t>a. 1</w:t>
      </w:r>
      <w:r w:rsidRPr="00B120AE">
        <w:rPr>
          <w:lang w:val="en-CA"/>
        </w:rPr>
        <w:t xml:space="preserve">30; </w:t>
      </w:r>
      <w:r w:rsidRPr="00B120AE">
        <w:rPr>
          <w:i/>
          <w:iCs/>
          <w:lang w:val="en-CA"/>
        </w:rPr>
        <w:t>K.R.J.</w:t>
      </w:r>
      <w:r w:rsidRPr="00B120AE">
        <w:rPr>
          <w:lang w:val="en-CA"/>
        </w:rPr>
        <w:t>, par</w:t>
      </w:r>
      <w:r w:rsidR="008742D0">
        <w:rPr>
          <w:lang w:val="en-CA"/>
        </w:rPr>
        <w:t>a. 9</w:t>
      </w:r>
      <w:r w:rsidRPr="00B120AE">
        <w:rPr>
          <w:lang w:val="en-CA"/>
        </w:rPr>
        <w:t xml:space="preserve">2; </w:t>
      </w:r>
      <w:r w:rsidRPr="00B120AE">
        <w:rPr>
          <w:i/>
          <w:iCs/>
          <w:lang w:val="en-CA"/>
        </w:rPr>
        <w:t>Thomson Newspapers</w:t>
      </w:r>
      <w:r w:rsidRPr="00B120AE">
        <w:rPr>
          <w:lang w:val="en-CA"/>
        </w:rPr>
        <w:t>, para</w:t>
      </w:r>
      <w:r w:rsidR="008742D0">
        <w:rPr>
          <w:lang w:val="en-CA"/>
        </w:rPr>
        <w:t>s. 1</w:t>
      </w:r>
      <w:r w:rsidRPr="00B120AE">
        <w:rPr>
          <w:lang w:val="en-CA"/>
        </w:rPr>
        <w:t>20</w:t>
      </w:r>
      <w:r w:rsidR="00720901">
        <w:rPr>
          <w:lang w:val="en-CA"/>
        </w:rPr>
        <w:noBreakHyphen/>
      </w:r>
      <w:r w:rsidRPr="00B120AE">
        <w:rPr>
          <w:lang w:val="en-CA"/>
        </w:rPr>
        <w:t>130.</w:t>
      </w:r>
    </w:p>
  </w:footnote>
  <w:footnote w:id="139">
    <w:p w14:paraId="50852DC1" w14:textId="2BB817DE"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para</w:t>
      </w:r>
      <w:r w:rsidR="008742D0">
        <w:rPr>
          <w:lang w:val="en-CA"/>
        </w:rPr>
        <w:t>s. 7</w:t>
      </w:r>
      <w:r w:rsidRPr="00B120AE">
        <w:rPr>
          <w:lang w:val="en-CA"/>
        </w:rPr>
        <w:t>1</w:t>
      </w:r>
      <w:r w:rsidR="00720901">
        <w:rPr>
          <w:lang w:val="en-CA"/>
        </w:rPr>
        <w:noBreakHyphen/>
      </w:r>
      <w:r w:rsidRPr="00B120AE">
        <w:rPr>
          <w:lang w:val="en-CA"/>
        </w:rPr>
        <w:t xml:space="preserve">72. </w:t>
      </w:r>
    </w:p>
  </w:footnote>
  <w:footnote w:id="140">
    <w:p w14:paraId="50852DC2" w14:textId="6A2974C0"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Taylor</w:t>
      </w:r>
      <w:r w:rsidRPr="00B120AE">
        <w:rPr>
          <w:lang w:val="en-CA"/>
        </w:rPr>
        <w:t>, par</w:t>
      </w:r>
      <w:r w:rsidR="008742D0">
        <w:rPr>
          <w:lang w:val="en-CA"/>
        </w:rPr>
        <w:t>a. 2</w:t>
      </w:r>
      <w:r w:rsidRPr="00B120AE">
        <w:rPr>
          <w:lang w:val="en-CA"/>
        </w:rPr>
        <w:t xml:space="preserve">46. </w:t>
      </w:r>
    </w:p>
  </w:footnote>
  <w:footnote w:id="141">
    <w:p w14:paraId="50852DC3" w14:textId="70659D3A"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Judgment under appeal, par</w:t>
      </w:r>
      <w:r w:rsidR="008742D0">
        <w:rPr>
          <w:lang w:val="en-CA"/>
        </w:rPr>
        <w:t>a. 7</w:t>
      </w:r>
      <w:r w:rsidRPr="00B120AE">
        <w:rPr>
          <w:lang w:val="en-CA"/>
        </w:rPr>
        <w:t>3.</w:t>
      </w:r>
    </w:p>
  </w:footnote>
  <w:footnote w:id="142">
    <w:p w14:paraId="50852DC4" w14:textId="12B0789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par</w:t>
      </w:r>
      <w:r w:rsidR="008742D0">
        <w:rPr>
          <w:lang w:val="en-CA"/>
        </w:rPr>
        <w:t>a. 7</w:t>
      </w:r>
      <w:r w:rsidRPr="00B120AE">
        <w:rPr>
          <w:lang w:val="en-CA"/>
        </w:rPr>
        <w:t>6.</w:t>
      </w:r>
    </w:p>
  </w:footnote>
  <w:footnote w:id="143">
    <w:p w14:paraId="50852DC5" w14:textId="33706056"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Id.</w:t>
      </w:r>
      <w:r w:rsidRPr="00B120AE">
        <w:rPr>
          <w:lang w:val="en-CA"/>
        </w:rPr>
        <w:t>, par</w:t>
      </w:r>
      <w:r w:rsidR="008742D0">
        <w:rPr>
          <w:lang w:val="en-CA"/>
        </w:rPr>
        <w:t>a. 7</w:t>
      </w:r>
      <w:r w:rsidRPr="00B120AE">
        <w:rPr>
          <w:lang w:val="en-CA"/>
        </w:rPr>
        <w:t>7.</w:t>
      </w:r>
    </w:p>
  </w:footnote>
  <w:footnote w:id="144">
    <w:p w14:paraId="50852DC6" w14:textId="77777777"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The Theatres acknowledged the essential elements of the offences and were found guilty by the presiding justice of the peace, without prejudice to their application to have the legislation declared invalid based on an infringement of artistic freedom of expression, contrary to what the judge mentioned in paragraph 78 of the judgment under appeal. </w:t>
      </w:r>
    </w:p>
  </w:footnote>
  <w:footnote w:id="145">
    <w:p w14:paraId="50852DC7" w14:textId="19CDB21F"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 xml:space="preserve">For the text of the provisions, see above, paras. </w:t>
      </w:r>
      <w:r w:rsidRPr="00B120AE">
        <w:rPr>
          <w:lang w:val="en-CA"/>
        </w:rPr>
        <w:fldChar w:fldCharType="begin"/>
      </w:r>
      <w:r w:rsidRPr="00B120AE">
        <w:rPr>
          <w:lang w:val="en-CA"/>
        </w:rPr>
        <w:instrText xml:space="preserve"> REF _Ref223778453 \r \h  \* MERGEFORMAT </w:instrText>
      </w:r>
      <w:r w:rsidRPr="00B120AE">
        <w:rPr>
          <w:lang w:val="en-CA"/>
        </w:rPr>
      </w:r>
      <w:r w:rsidRPr="00B120AE">
        <w:rPr>
          <w:lang w:val="en-CA"/>
        </w:rPr>
        <w:fldChar w:fldCharType="separate"/>
      </w:r>
      <w:r w:rsidR="00D7102E">
        <w:rPr>
          <w:lang w:val="en-CA"/>
        </w:rPr>
        <w:t>[19]</w:t>
      </w:r>
      <w:r w:rsidRPr="00B120AE">
        <w:rPr>
          <w:lang w:val="en-CA"/>
        </w:rPr>
        <w:fldChar w:fldCharType="end"/>
      </w:r>
      <w:r w:rsidRPr="00B120AE">
        <w:rPr>
          <w:lang w:val="en-CA"/>
        </w:rPr>
        <w:t xml:space="preserve"> to </w:t>
      </w:r>
      <w:r w:rsidRPr="00B120AE">
        <w:rPr>
          <w:lang w:val="en-CA"/>
        </w:rPr>
        <w:fldChar w:fldCharType="begin"/>
      </w:r>
      <w:r w:rsidRPr="00B120AE">
        <w:rPr>
          <w:lang w:val="en-CA"/>
        </w:rPr>
        <w:instrText xml:space="preserve"> REF _Ref223778469 \r \h  \* MERGEFORMAT </w:instrText>
      </w:r>
      <w:r w:rsidRPr="00B120AE">
        <w:rPr>
          <w:lang w:val="en-CA"/>
        </w:rPr>
      </w:r>
      <w:r w:rsidRPr="00B120AE">
        <w:rPr>
          <w:lang w:val="en-CA"/>
        </w:rPr>
        <w:fldChar w:fldCharType="separate"/>
      </w:r>
      <w:r w:rsidR="00D7102E">
        <w:rPr>
          <w:lang w:val="en-CA"/>
        </w:rPr>
        <w:t>[21]</w:t>
      </w:r>
      <w:r w:rsidRPr="00B120AE">
        <w:rPr>
          <w:lang w:val="en-CA"/>
        </w:rPr>
        <w:fldChar w:fldCharType="end"/>
      </w:r>
      <w:r w:rsidRPr="00B120AE">
        <w:rPr>
          <w:lang w:val="en-CA"/>
        </w:rPr>
        <w:t xml:space="preserve">. </w:t>
      </w:r>
    </w:p>
  </w:footnote>
  <w:footnote w:id="146">
    <w:p w14:paraId="50852DC8" w14:textId="22DDD959"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t>Brief filed by the AGQ, par</w:t>
      </w:r>
      <w:r w:rsidR="008742D0">
        <w:rPr>
          <w:lang w:val="en-CA"/>
        </w:rPr>
        <w:t>a. 1</w:t>
      </w:r>
      <w:r w:rsidRPr="00B120AE">
        <w:rPr>
          <w:lang w:val="en-CA"/>
        </w:rPr>
        <w:t>11 [boldface in the original].</w:t>
      </w:r>
    </w:p>
  </w:footnote>
  <w:footnote w:id="147">
    <w:p w14:paraId="50852DC9" w14:textId="4902C87D" w:rsidR="00E524EA" w:rsidRPr="00B120AE" w:rsidRDefault="001C0031" w:rsidP="00E524EA">
      <w:pPr>
        <w:pStyle w:val="Notedebasdepage"/>
        <w:rPr>
          <w:lang w:val="en-CA"/>
        </w:rPr>
      </w:pPr>
      <w:r w:rsidRPr="00B120AE">
        <w:rPr>
          <w:rStyle w:val="Appelnotedebasdep"/>
          <w:lang w:val="en-CA"/>
        </w:rPr>
        <w:footnoteRef/>
      </w:r>
      <w:r w:rsidRPr="00B120AE">
        <w:rPr>
          <w:lang w:val="en-CA"/>
        </w:rPr>
        <w:t xml:space="preserve"> </w:t>
      </w:r>
      <w:r w:rsidRPr="00B120AE">
        <w:rPr>
          <w:lang w:val="en-CA"/>
        </w:rPr>
        <w:tab/>
      </w:r>
      <w:r w:rsidRPr="00B120AE">
        <w:rPr>
          <w:i/>
          <w:iCs/>
          <w:lang w:val="en-CA"/>
        </w:rPr>
        <w:t>G.</w:t>
      </w:r>
      <w:r w:rsidRPr="00B120AE">
        <w:rPr>
          <w:lang w:val="en-CA"/>
        </w:rPr>
        <w:t>, par</w:t>
      </w:r>
      <w:r w:rsidR="008742D0">
        <w:rPr>
          <w:lang w:val="en-CA"/>
        </w:rPr>
        <w:t>a. 1</w:t>
      </w:r>
      <w:r w:rsidRPr="00B120AE">
        <w:rPr>
          <w:lang w:val="en-CA"/>
        </w:rPr>
        <w:t>58</w:t>
      </w:r>
    </w:p>
  </w:footnote>
  <w:footnote w:id="148">
    <w:p w14:paraId="50852DCA" w14:textId="3F61E7F7" w:rsidR="00E524EA" w:rsidRPr="00116DBB"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t xml:space="preserve">See, by analogy: </w:t>
      </w:r>
      <w:r w:rsidRPr="00B120AE">
        <w:rPr>
          <w:i/>
          <w:iCs/>
          <w:lang w:val="en-CA"/>
        </w:rPr>
        <w:t>G.</w:t>
      </w:r>
      <w:r w:rsidRPr="00B120AE">
        <w:rPr>
          <w:lang w:val="en-CA"/>
        </w:rPr>
        <w:t>, par</w:t>
      </w:r>
      <w:r w:rsidR="008742D0">
        <w:rPr>
          <w:lang w:val="en-CA"/>
        </w:rPr>
        <w:t>a. </w:t>
      </w:r>
      <w:r w:rsidR="008742D0" w:rsidRPr="00116DBB">
        <w:t>1</w:t>
      </w:r>
      <w:r w:rsidRPr="00116DBB">
        <w:t>30.</w:t>
      </w:r>
    </w:p>
  </w:footnote>
  <w:footnote w:id="149">
    <w:p w14:paraId="50852DCB" w14:textId="45D68D77"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G.</w:t>
      </w:r>
      <w:r w:rsidRPr="00116DBB">
        <w:t>, par</w:t>
      </w:r>
      <w:r w:rsidR="008742D0" w:rsidRPr="00116DBB">
        <w:t>a. 1</w:t>
      </w:r>
      <w:r w:rsidRPr="00116DBB">
        <w:t>65.</w:t>
      </w:r>
    </w:p>
  </w:footnote>
  <w:footnote w:id="150">
    <w:p w14:paraId="50852DCC" w14:textId="6F3BC90C" w:rsidR="00E524EA" w:rsidRPr="00116DBB" w:rsidRDefault="001C0031" w:rsidP="00E524EA">
      <w:pPr>
        <w:pStyle w:val="Notedebasdepage"/>
      </w:pPr>
      <w:r w:rsidRPr="00B120AE">
        <w:rPr>
          <w:rStyle w:val="Appelnotedebasdep"/>
          <w:lang w:val="en-CA"/>
        </w:rPr>
        <w:footnoteRef/>
      </w:r>
      <w:r w:rsidRPr="00116DBB">
        <w:t xml:space="preserve"> </w:t>
      </w:r>
      <w:r w:rsidRPr="00116DBB">
        <w:tab/>
      </w:r>
      <w:r w:rsidRPr="00116DBB">
        <w:rPr>
          <w:i/>
          <w:iCs/>
        </w:rPr>
        <w:t>Id.</w:t>
      </w:r>
      <w:r w:rsidRPr="00116DBB">
        <w:t>, par</w:t>
      </w:r>
      <w:r w:rsidR="008742D0" w:rsidRPr="00116DBB">
        <w:t>a. 1</w:t>
      </w:r>
      <w:r w:rsidRPr="00116DBB">
        <w:t>66.</w:t>
      </w:r>
    </w:p>
  </w:footnote>
  <w:footnote w:id="151">
    <w:p w14:paraId="50852DCD" w14:textId="11CCF6E3" w:rsidR="00E524EA" w:rsidRPr="00B120AE" w:rsidRDefault="001C0031" w:rsidP="00E524EA">
      <w:pPr>
        <w:pStyle w:val="Notedebasdepage"/>
        <w:rPr>
          <w:lang w:val="en-CA"/>
        </w:rPr>
      </w:pPr>
      <w:r w:rsidRPr="00B120AE">
        <w:rPr>
          <w:rStyle w:val="Appelnotedebasdep"/>
          <w:lang w:val="en-CA"/>
        </w:rPr>
        <w:footnoteRef/>
      </w:r>
      <w:r w:rsidRPr="00116DBB">
        <w:t xml:space="preserve"> </w:t>
      </w:r>
      <w:r w:rsidRPr="00116DBB">
        <w:tab/>
      </w:r>
      <w:r w:rsidRPr="00116DBB">
        <w:rPr>
          <w:i/>
          <w:iCs/>
        </w:rPr>
        <w:t>G</w:t>
      </w:r>
      <w:r w:rsidRPr="00116DBB">
        <w:t>., par</w:t>
      </w:r>
      <w:r w:rsidR="008742D0" w:rsidRPr="00116DBB">
        <w:t>a. </w:t>
      </w:r>
      <w:r w:rsidR="008742D0">
        <w:rPr>
          <w:lang w:val="en-CA"/>
        </w:rPr>
        <w:t>1</w:t>
      </w:r>
      <w:r w:rsidRPr="00B120AE">
        <w:rPr>
          <w:lang w:val="en-CA"/>
        </w:rPr>
        <w:t>39.</w:t>
      </w:r>
    </w:p>
  </w:footnote>
  <w:footnote w:id="152">
    <w:p w14:paraId="50852DCE" w14:textId="77777777" w:rsidR="00E524EA" w:rsidRDefault="001C0031" w:rsidP="00E524EA">
      <w:pPr>
        <w:pStyle w:val="Notedebasdepage"/>
      </w:pPr>
      <w:r w:rsidRPr="00B120AE">
        <w:rPr>
          <w:rStyle w:val="Appelnotedebasdep"/>
          <w:lang w:val="en-CA"/>
        </w:rPr>
        <w:footnoteRef/>
      </w:r>
      <w:r w:rsidRPr="00B120AE">
        <w:rPr>
          <w:lang w:val="en-CA"/>
        </w:rPr>
        <w:t xml:space="preserve"> </w:t>
      </w:r>
      <w:r w:rsidRPr="00B120AE">
        <w:rPr>
          <w:lang w:val="en-CA"/>
        </w:rPr>
        <w:tab/>
      </w:r>
      <w:r w:rsidRPr="00B120AE">
        <w:rPr>
          <w:i/>
          <w:iCs/>
          <w:lang w:val="en-CA"/>
        </w:rPr>
        <w:t>Ibid</w:t>
      </w:r>
      <w:r w:rsidRPr="00B120AE">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6BAA" w14:textId="77777777" w:rsidR="00E841C9" w:rsidRDefault="00E841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2D31" w14:textId="4162B2A2" w:rsidR="007E33E4" w:rsidRDefault="001C0031" w:rsidP="00DB2119">
    <w:pPr>
      <w:tabs>
        <w:tab w:val="center" w:pos="4709"/>
        <w:tab w:val="right" w:pos="9360"/>
      </w:tabs>
      <w:spacing w:line="360" w:lineRule="auto"/>
      <w:ind w:right="524"/>
    </w:pPr>
    <w:bookmarkStart w:id="48" w:name="EntDossier"/>
    <w:r>
      <w:rPr>
        <w:lang w:val="en-CA"/>
      </w:rPr>
      <w:t>200</w:t>
    </w:r>
    <w:r w:rsidR="00720901">
      <w:rPr>
        <w:lang w:val="en-CA"/>
      </w:rPr>
      <w:noBreakHyphen/>
    </w:r>
    <w:r>
      <w:rPr>
        <w:lang w:val="en-CA"/>
      </w:rPr>
      <w:t>10</w:t>
    </w:r>
    <w:r w:rsidR="00720901">
      <w:rPr>
        <w:lang w:val="en-CA"/>
      </w:rPr>
      <w:noBreakHyphen/>
    </w:r>
    <w:r>
      <w:rPr>
        <w:lang w:val="en-CA"/>
      </w:rPr>
      <w:t>004139</w:t>
    </w:r>
    <w:r w:rsidR="00720901">
      <w:rPr>
        <w:lang w:val="en-CA"/>
      </w:rPr>
      <w:noBreakHyphen/>
    </w:r>
    <w:r>
      <w:rPr>
        <w:lang w:val="en-CA"/>
      </w:rPr>
      <w:t>247</w:t>
    </w:r>
    <w:bookmarkEnd w:id="48"/>
    <w:r>
      <w:rPr>
        <w:lang w:val="en-CA"/>
      </w:rPr>
      <w:t xml:space="preserve"> </w:t>
    </w:r>
    <w:r>
      <w:rPr>
        <w:lang w:val="en-CA"/>
      </w:rPr>
      <w:tab/>
    </w:r>
    <w:r>
      <w:rPr>
        <w:lang w:val="en-CA"/>
      </w:rPr>
      <w:tab/>
      <w:t xml:space="preserve">PAGE: </w:t>
    </w:r>
    <w:r>
      <w:fldChar w:fldCharType="begin"/>
    </w:r>
    <w:r>
      <w:instrText xml:space="preserve"> PAGE </w:instrText>
    </w:r>
    <w:r>
      <w:fldChar w:fldCharType="separate"/>
    </w:r>
    <w:r w:rsidR="008D18FC">
      <w:rPr>
        <w:noProof/>
      </w:rPr>
      <w:t>2</w:t>
    </w:r>
    <w:r>
      <w:fldChar w:fldCharType="end"/>
    </w:r>
  </w:p>
  <w:p w14:paraId="50852D32" w14:textId="77777777" w:rsidR="007E33E4" w:rsidRDefault="007E33E4" w:rsidP="00DB2119">
    <w:pPr>
      <w:tabs>
        <w:tab w:val="center" w:pos="4709"/>
        <w:tab w:val="right" w:pos="9360"/>
      </w:tabs>
      <w:spacing w:line="360" w:lineRule="auto"/>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334" w14:textId="77777777" w:rsidR="00E841C9" w:rsidRDefault="00E841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2E95"/>
    <w:multiLevelType w:val="hybridMultilevel"/>
    <w:tmpl w:val="8C7AA93A"/>
    <w:lvl w:ilvl="0" w:tplc="9EACB4AC">
      <w:start w:val="20"/>
      <w:numFmt w:val="bullet"/>
      <w:lvlText w:val=""/>
      <w:lvlJc w:val="left"/>
      <w:pPr>
        <w:ind w:left="720" w:hanging="360"/>
      </w:pPr>
      <w:rPr>
        <w:rFonts w:ascii="Symbol" w:eastAsia="Times New Roman" w:hAnsi="Symbol" w:cs="Times New Roman" w:hint="default"/>
      </w:rPr>
    </w:lvl>
    <w:lvl w:ilvl="1" w:tplc="AC747D98" w:tentative="1">
      <w:start w:val="1"/>
      <w:numFmt w:val="bullet"/>
      <w:lvlText w:val="o"/>
      <w:lvlJc w:val="left"/>
      <w:pPr>
        <w:ind w:left="1440" w:hanging="360"/>
      </w:pPr>
      <w:rPr>
        <w:rFonts w:ascii="Courier New" w:hAnsi="Courier New" w:cs="Courier New" w:hint="default"/>
      </w:rPr>
    </w:lvl>
    <w:lvl w:ilvl="2" w:tplc="C478E7F4" w:tentative="1">
      <w:start w:val="1"/>
      <w:numFmt w:val="bullet"/>
      <w:lvlText w:val=""/>
      <w:lvlJc w:val="left"/>
      <w:pPr>
        <w:ind w:left="2160" w:hanging="360"/>
      </w:pPr>
      <w:rPr>
        <w:rFonts w:ascii="Wingdings" w:hAnsi="Wingdings" w:hint="default"/>
      </w:rPr>
    </w:lvl>
    <w:lvl w:ilvl="3" w:tplc="2B92D12A" w:tentative="1">
      <w:start w:val="1"/>
      <w:numFmt w:val="bullet"/>
      <w:lvlText w:val=""/>
      <w:lvlJc w:val="left"/>
      <w:pPr>
        <w:ind w:left="2880" w:hanging="360"/>
      </w:pPr>
      <w:rPr>
        <w:rFonts w:ascii="Symbol" w:hAnsi="Symbol" w:hint="default"/>
      </w:rPr>
    </w:lvl>
    <w:lvl w:ilvl="4" w:tplc="DE528F7A" w:tentative="1">
      <w:start w:val="1"/>
      <w:numFmt w:val="bullet"/>
      <w:lvlText w:val="o"/>
      <w:lvlJc w:val="left"/>
      <w:pPr>
        <w:ind w:left="3600" w:hanging="360"/>
      </w:pPr>
      <w:rPr>
        <w:rFonts w:ascii="Courier New" w:hAnsi="Courier New" w:cs="Courier New" w:hint="default"/>
      </w:rPr>
    </w:lvl>
    <w:lvl w:ilvl="5" w:tplc="C7A0CF66" w:tentative="1">
      <w:start w:val="1"/>
      <w:numFmt w:val="bullet"/>
      <w:lvlText w:val=""/>
      <w:lvlJc w:val="left"/>
      <w:pPr>
        <w:ind w:left="4320" w:hanging="360"/>
      </w:pPr>
      <w:rPr>
        <w:rFonts w:ascii="Wingdings" w:hAnsi="Wingdings" w:hint="default"/>
      </w:rPr>
    </w:lvl>
    <w:lvl w:ilvl="6" w:tplc="F25C69A2" w:tentative="1">
      <w:start w:val="1"/>
      <w:numFmt w:val="bullet"/>
      <w:lvlText w:val=""/>
      <w:lvlJc w:val="left"/>
      <w:pPr>
        <w:ind w:left="5040" w:hanging="360"/>
      </w:pPr>
      <w:rPr>
        <w:rFonts w:ascii="Symbol" w:hAnsi="Symbol" w:hint="default"/>
      </w:rPr>
    </w:lvl>
    <w:lvl w:ilvl="7" w:tplc="EEC6AF6A" w:tentative="1">
      <w:start w:val="1"/>
      <w:numFmt w:val="bullet"/>
      <w:lvlText w:val="o"/>
      <w:lvlJc w:val="left"/>
      <w:pPr>
        <w:ind w:left="5760" w:hanging="360"/>
      </w:pPr>
      <w:rPr>
        <w:rFonts w:ascii="Courier New" w:hAnsi="Courier New" w:cs="Courier New" w:hint="default"/>
      </w:rPr>
    </w:lvl>
    <w:lvl w:ilvl="8" w:tplc="F35815F2" w:tentative="1">
      <w:start w:val="1"/>
      <w:numFmt w:val="bullet"/>
      <w:lvlText w:val=""/>
      <w:lvlJc w:val="left"/>
      <w:pPr>
        <w:ind w:left="6480" w:hanging="360"/>
      </w:pPr>
      <w:rPr>
        <w:rFonts w:ascii="Wingdings" w:hAnsi="Wingdings" w:hint="default"/>
      </w:rPr>
    </w:lvl>
  </w:abstractNum>
  <w:abstractNum w:abstractNumId="11" w15:restartNumberingAfterBreak="0">
    <w:nsid w:val="01FB1C0A"/>
    <w:multiLevelType w:val="hybridMultilevel"/>
    <w:tmpl w:val="0130C964"/>
    <w:lvl w:ilvl="0" w:tplc="4CE4286A">
      <w:numFmt w:val="bullet"/>
      <w:lvlText w:val=""/>
      <w:lvlJc w:val="left"/>
      <w:pPr>
        <w:ind w:left="720" w:hanging="360"/>
      </w:pPr>
      <w:rPr>
        <w:rFonts w:ascii="Symbol" w:eastAsia="Times New Roman" w:hAnsi="Symbol" w:cs="Times New Roman" w:hint="default"/>
      </w:rPr>
    </w:lvl>
    <w:lvl w:ilvl="1" w:tplc="D388C11A" w:tentative="1">
      <w:start w:val="1"/>
      <w:numFmt w:val="bullet"/>
      <w:lvlText w:val="o"/>
      <w:lvlJc w:val="left"/>
      <w:pPr>
        <w:ind w:left="1440" w:hanging="360"/>
      </w:pPr>
      <w:rPr>
        <w:rFonts w:ascii="Courier New" w:hAnsi="Courier New" w:cs="Courier New" w:hint="default"/>
      </w:rPr>
    </w:lvl>
    <w:lvl w:ilvl="2" w:tplc="7CA2E66C" w:tentative="1">
      <w:start w:val="1"/>
      <w:numFmt w:val="bullet"/>
      <w:lvlText w:val=""/>
      <w:lvlJc w:val="left"/>
      <w:pPr>
        <w:ind w:left="2160" w:hanging="360"/>
      </w:pPr>
      <w:rPr>
        <w:rFonts w:ascii="Wingdings" w:hAnsi="Wingdings" w:hint="default"/>
      </w:rPr>
    </w:lvl>
    <w:lvl w:ilvl="3" w:tplc="636A5550" w:tentative="1">
      <w:start w:val="1"/>
      <w:numFmt w:val="bullet"/>
      <w:lvlText w:val=""/>
      <w:lvlJc w:val="left"/>
      <w:pPr>
        <w:ind w:left="2880" w:hanging="360"/>
      </w:pPr>
      <w:rPr>
        <w:rFonts w:ascii="Symbol" w:hAnsi="Symbol" w:hint="default"/>
      </w:rPr>
    </w:lvl>
    <w:lvl w:ilvl="4" w:tplc="4748E89C" w:tentative="1">
      <w:start w:val="1"/>
      <w:numFmt w:val="bullet"/>
      <w:lvlText w:val="o"/>
      <w:lvlJc w:val="left"/>
      <w:pPr>
        <w:ind w:left="3600" w:hanging="360"/>
      </w:pPr>
      <w:rPr>
        <w:rFonts w:ascii="Courier New" w:hAnsi="Courier New" w:cs="Courier New" w:hint="default"/>
      </w:rPr>
    </w:lvl>
    <w:lvl w:ilvl="5" w:tplc="5C98C6C2" w:tentative="1">
      <w:start w:val="1"/>
      <w:numFmt w:val="bullet"/>
      <w:lvlText w:val=""/>
      <w:lvlJc w:val="left"/>
      <w:pPr>
        <w:ind w:left="4320" w:hanging="360"/>
      </w:pPr>
      <w:rPr>
        <w:rFonts w:ascii="Wingdings" w:hAnsi="Wingdings" w:hint="default"/>
      </w:rPr>
    </w:lvl>
    <w:lvl w:ilvl="6" w:tplc="81E8FED4" w:tentative="1">
      <w:start w:val="1"/>
      <w:numFmt w:val="bullet"/>
      <w:lvlText w:val=""/>
      <w:lvlJc w:val="left"/>
      <w:pPr>
        <w:ind w:left="5040" w:hanging="360"/>
      </w:pPr>
      <w:rPr>
        <w:rFonts w:ascii="Symbol" w:hAnsi="Symbol" w:hint="default"/>
      </w:rPr>
    </w:lvl>
    <w:lvl w:ilvl="7" w:tplc="CB7A997A" w:tentative="1">
      <w:start w:val="1"/>
      <w:numFmt w:val="bullet"/>
      <w:lvlText w:val="o"/>
      <w:lvlJc w:val="left"/>
      <w:pPr>
        <w:ind w:left="5760" w:hanging="360"/>
      </w:pPr>
      <w:rPr>
        <w:rFonts w:ascii="Courier New" w:hAnsi="Courier New" w:cs="Courier New" w:hint="default"/>
      </w:rPr>
    </w:lvl>
    <w:lvl w:ilvl="8" w:tplc="633417DA" w:tentative="1">
      <w:start w:val="1"/>
      <w:numFmt w:val="bullet"/>
      <w:lvlText w:val=""/>
      <w:lvlJc w:val="left"/>
      <w:pPr>
        <w:ind w:left="6480" w:hanging="360"/>
      </w:pPr>
      <w:rPr>
        <w:rFonts w:ascii="Wingdings" w:hAnsi="Wingdings" w:hint="default"/>
      </w:rPr>
    </w:lvl>
  </w:abstractNum>
  <w:abstractNum w:abstractNumId="12" w15:restartNumberingAfterBreak="0">
    <w:nsid w:val="058C7C2F"/>
    <w:multiLevelType w:val="hybridMultilevel"/>
    <w:tmpl w:val="3578C77E"/>
    <w:lvl w:ilvl="0" w:tplc="00063C02">
      <w:start w:val="1"/>
      <w:numFmt w:val="lowerLetter"/>
      <w:lvlText w:val="%1."/>
      <w:lvlJc w:val="left"/>
      <w:pPr>
        <w:ind w:left="720" w:hanging="360"/>
      </w:pPr>
      <w:rPr>
        <w:rFonts w:hint="default"/>
      </w:rPr>
    </w:lvl>
    <w:lvl w:ilvl="1" w:tplc="783E851C" w:tentative="1">
      <w:start w:val="1"/>
      <w:numFmt w:val="lowerLetter"/>
      <w:lvlText w:val="%2."/>
      <w:lvlJc w:val="left"/>
      <w:pPr>
        <w:ind w:left="1440" w:hanging="360"/>
      </w:pPr>
    </w:lvl>
    <w:lvl w:ilvl="2" w:tplc="20DCE4F4" w:tentative="1">
      <w:start w:val="1"/>
      <w:numFmt w:val="lowerRoman"/>
      <w:lvlText w:val="%3."/>
      <w:lvlJc w:val="right"/>
      <w:pPr>
        <w:ind w:left="2160" w:hanging="180"/>
      </w:pPr>
    </w:lvl>
    <w:lvl w:ilvl="3" w:tplc="21005D04" w:tentative="1">
      <w:start w:val="1"/>
      <w:numFmt w:val="decimal"/>
      <w:lvlText w:val="%4."/>
      <w:lvlJc w:val="left"/>
      <w:pPr>
        <w:ind w:left="2880" w:hanging="360"/>
      </w:pPr>
    </w:lvl>
    <w:lvl w:ilvl="4" w:tplc="D71ABC18" w:tentative="1">
      <w:start w:val="1"/>
      <w:numFmt w:val="lowerLetter"/>
      <w:lvlText w:val="%5."/>
      <w:lvlJc w:val="left"/>
      <w:pPr>
        <w:ind w:left="3600" w:hanging="360"/>
      </w:pPr>
    </w:lvl>
    <w:lvl w:ilvl="5" w:tplc="8760046C" w:tentative="1">
      <w:start w:val="1"/>
      <w:numFmt w:val="lowerRoman"/>
      <w:lvlText w:val="%6."/>
      <w:lvlJc w:val="right"/>
      <w:pPr>
        <w:ind w:left="4320" w:hanging="180"/>
      </w:pPr>
    </w:lvl>
    <w:lvl w:ilvl="6" w:tplc="FECA4670" w:tentative="1">
      <w:start w:val="1"/>
      <w:numFmt w:val="decimal"/>
      <w:lvlText w:val="%7."/>
      <w:lvlJc w:val="left"/>
      <w:pPr>
        <w:ind w:left="5040" w:hanging="360"/>
      </w:pPr>
    </w:lvl>
    <w:lvl w:ilvl="7" w:tplc="A284552E" w:tentative="1">
      <w:start w:val="1"/>
      <w:numFmt w:val="lowerLetter"/>
      <w:lvlText w:val="%8."/>
      <w:lvlJc w:val="left"/>
      <w:pPr>
        <w:ind w:left="5760" w:hanging="360"/>
      </w:pPr>
    </w:lvl>
    <w:lvl w:ilvl="8" w:tplc="3F3091F8" w:tentative="1">
      <w:start w:val="1"/>
      <w:numFmt w:val="lowerRoman"/>
      <w:lvlText w:val="%9."/>
      <w:lvlJc w:val="right"/>
      <w:pPr>
        <w:ind w:left="6480" w:hanging="180"/>
      </w:pPr>
    </w:lvl>
  </w:abstractNum>
  <w:abstractNum w:abstractNumId="13" w15:restartNumberingAfterBreak="0">
    <w:nsid w:val="0B654046"/>
    <w:multiLevelType w:val="hybridMultilevel"/>
    <w:tmpl w:val="B2FE39D4"/>
    <w:lvl w:ilvl="0" w:tplc="6D942AE0">
      <w:start w:val="1"/>
      <w:numFmt w:val="lowerLetter"/>
      <w:lvlText w:val="%1)"/>
      <w:lvlJc w:val="left"/>
      <w:pPr>
        <w:ind w:left="720" w:hanging="360"/>
      </w:pPr>
      <w:rPr>
        <w:rFonts w:hint="default"/>
      </w:rPr>
    </w:lvl>
    <w:lvl w:ilvl="1" w:tplc="2DCA0714" w:tentative="1">
      <w:start w:val="1"/>
      <w:numFmt w:val="lowerLetter"/>
      <w:lvlText w:val="%2."/>
      <w:lvlJc w:val="left"/>
      <w:pPr>
        <w:ind w:left="1440" w:hanging="360"/>
      </w:pPr>
    </w:lvl>
    <w:lvl w:ilvl="2" w:tplc="0736FD0A" w:tentative="1">
      <w:start w:val="1"/>
      <w:numFmt w:val="lowerRoman"/>
      <w:lvlText w:val="%3."/>
      <w:lvlJc w:val="right"/>
      <w:pPr>
        <w:ind w:left="2160" w:hanging="180"/>
      </w:pPr>
    </w:lvl>
    <w:lvl w:ilvl="3" w:tplc="F2C04B2A" w:tentative="1">
      <w:start w:val="1"/>
      <w:numFmt w:val="decimal"/>
      <w:lvlText w:val="%4."/>
      <w:lvlJc w:val="left"/>
      <w:pPr>
        <w:ind w:left="2880" w:hanging="360"/>
      </w:pPr>
    </w:lvl>
    <w:lvl w:ilvl="4" w:tplc="DB9815E2" w:tentative="1">
      <w:start w:val="1"/>
      <w:numFmt w:val="lowerLetter"/>
      <w:lvlText w:val="%5."/>
      <w:lvlJc w:val="left"/>
      <w:pPr>
        <w:ind w:left="3600" w:hanging="360"/>
      </w:pPr>
    </w:lvl>
    <w:lvl w:ilvl="5" w:tplc="EACA0078" w:tentative="1">
      <w:start w:val="1"/>
      <w:numFmt w:val="lowerRoman"/>
      <w:lvlText w:val="%6."/>
      <w:lvlJc w:val="right"/>
      <w:pPr>
        <w:ind w:left="4320" w:hanging="180"/>
      </w:pPr>
    </w:lvl>
    <w:lvl w:ilvl="6" w:tplc="5CFEEA22" w:tentative="1">
      <w:start w:val="1"/>
      <w:numFmt w:val="decimal"/>
      <w:lvlText w:val="%7."/>
      <w:lvlJc w:val="left"/>
      <w:pPr>
        <w:ind w:left="5040" w:hanging="360"/>
      </w:pPr>
    </w:lvl>
    <w:lvl w:ilvl="7" w:tplc="E1A067F2" w:tentative="1">
      <w:start w:val="1"/>
      <w:numFmt w:val="lowerLetter"/>
      <w:lvlText w:val="%8."/>
      <w:lvlJc w:val="left"/>
      <w:pPr>
        <w:ind w:left="5760" w:hanging="360"/>
      </w:pPr>
    </w:lvl>
    <w:lvl w:ilvl="8" w:tplc="3DD0D218" w:tentative="1">
      <w:start w:val="1"/>
      <w:numFmt w:val="lowerRoman"/>
      <w:lvlText w:val="%9."/>
      <w:lvlJc w:val="right"/>
      <w:pPr>
        <w:ind w:left="6480" w:hanging="180"/>
      </w:pPr>
    </w:lvl>
  </w:abstractNum>
  <w:abstractNum w:abstractNumId="14" w15:restartNumberingAfterBreak="0">
    <w:nsid w:val="1158023C"/>
    <w:multiLevelType w:val="multilevel"/>
    <w:tmpl w:val="AAB6963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13B40219"/>
    <w:multiLevelType w:val="hybridMultilevel"/>
    <w:tmpl w:val="3B3A8002"/>
    <w:lvl w:ilvl="0" w:tplc="A572B212">
      <w:numFmt w:val="bullet"/>
      <w:lvlText w:val=""/>
      <w:lvlJc w:val="left"/>
      <w:pPr>
        <w:ind w:left="720" w:hanging="360"/>
      </w:pPr>
      <w:rPr>
        <w:rFonts w:ascii="Symbol" w:eastAsia="Times New Roman" w:hAnsi="Symbol" w:cs="Times New Roman" w:hint="default"/>
      </w:rPr>
    </w:lvl>
    <w:lvl w:ilvl="1" w:tplc="FDBCA3C8" w:tentative="1">
      <w:start w:val="1"/>
      <w:numFmt w:val="bullet"/>
      <w:lvlText w:val="o"/>
      <w:lvlJc w:val="left"/>
      <w:pPr>
        <w:ind w:left="1440" w:hanging="360"/>
      </w:pPr>
      <w:rPr>
        <w:rFonts w:ascii="Courier New" w:hAnsi="Courier New" w:cs="Courier New" w:hint="default"/>
      </w:rPr>
    </w:lvl>
    <w:lvl w:ilvl="2" w:tplc="C9EE2C80" w:tentative="1">
      <w:start w:val="1"/>
      <w:numFmt w:val="bullet"/>
      <w:lvlText w:val=""/>
      <w:lvlJc w:val="left"/>
      <w:pPr>
        <w:ind w:left="2160" w:hanging="360"/>
      </w:pPr>
      <w:rPr>
        <w:rFonts w:ascii="Wingdings" w:hAnsi="Wingdings" w:hint="default"/>
      </w:rPr>
    </w:lvl>
    <w:lvl w:ilvl="3" w:tplc="8B2E0C50" w:tentative="1">
      <w:start w:val="1"/>
      <w:numFmt w:val="bullet"/>
      <w:lvlText w:val=""/>
      <w:lvlJc w:val="left"/>
      <w:pPr>
        <w:ind w:left="2880" w:hanging="360"/>
      </w:pPr>
      <w:rPr>
        <w:rFonts w:ascii="Symbol" w:hAnsi="Symbol" w:hint="default"/>
      </w:rPr>
    </w:lvl>
    <w:lvl w:ilvl="4" w:tplc="AAFADC38" w:tentative="1">
      <w:start w:val="1"/>
      <w:numFmt w:val="bullet"/>
      <w:lvlText w:val="o"/>
      <w:lvlJc w:val="left"/>
      <w:pPr>
        <w:ind w:left="3600" w:hanging="360"/>
      </w:pPr>
      <w:rPr>
        <w:rFonts w:ascii="Courier New" w:hAnsi="Courier New" w:cs="Courier New" w:hint="default"/>
      </w:rPr>
    </w:lvl>
    <w:lvl w:ilvl="5" w:tplc="EED607E0" w:tentative="1">
      <w:start w:val="1"/>
      <w:numFmt w:val="bullet"/>
      <w:lvlText w:val=""/>
      <w:lvlJc w:val="left"/>
      <w:pPr>
        <w:ind w:left="4320" w:hanging="360"/>
      </w:pPr>
      <w:rPr>
        <w:rFonts w:ascii="Wingdings" w:hAnsi="Wingdings" w:hint="default"/>
      </w:rPr>
    </w:lvl>
    <w:lvl w:ilvl="6" w:tplc="880CADB0" w:tentative="1">
      <w:start w:val="1"/>
      <w:numFmt w:val="bullet"/>
      <w:lvlText w:val=""/>
      <w:lvlJc w:val="left"/>
      <w:pPr>
        <w:ind w:left="5040" w:hanging="360"/>
      </w:pPr>
      <w:rPr>
        <w:rFonts w:ascii="Symbol" w:hAnsi="Symbol" w:hint="default"/>
      </w:rPr>
    </w:lvl>
    <w:lvl w:ilvl="7" w:tplc="DE52760A" w:tentative="1">
      <w:start w:val="1"/>
      <w:numFmt w:val="bullet"/>
      <w:lvlText w:val="o"/>
      <w:lvlJc w:val="left"/>
      <w:pPr>
        <w:ind w:left="5760" w:hanging="360"/>
      </w:pPr>
      <w:rPr>
        <w:rFonts w:ascii="Courier New" w:hAnsi="Courier New" w:cs="Courier New" w:hint="default"/>
      </w:rPr>
    </w:lvl>
    <w:lvl w:ilvl="8" w:tplc="DF1AA920" w:tentative="1">
      <w:start w:val="1"/>
      <w:numFmt w:val="bullet"/>
      <w:lvlText w:val=""/>
      <w:lvlJc w:val="left"/>
      <w:pPr>
        <w:ind w:left="6480" w:hanging="360"/>
      </w:pPr>
      <w:rPr>
        <w:rFonts w:ascii="Wingdings" w:hAnsi="Wingdings" w:hint="default"/>
      </w:rPr>
    </w:lvl>
  </w:abstractNum>
  <w:abstractNum w:abstractNumId="16"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4927EEF"/>
    <w:multiLevelType w:val="hybridMultilevel"/>
    <w:tmpl w:val="3BD4AE20"/>
    <w:lvl w:ilvl="0" w:tplc="29F8979C">
      <w:start w:val="1"/>
      <w:numFmt w:val="lowerLetter"/>
      <w:lvlText w:val="%1."/>
      <w:lvlJc w:val="left"/>
      <w:pPr>
        <w:ind w:left="720" w:hanging="360"/>
      </w:pPr>
      <w:rPr>
        <w:rFonts w:hint="default"/>
      </w:rPr>
    </w:lvl>
    <w:lvl w:ilvl="1" w:tplc="A300E84A" w:tentative="1">
      <w:start w:val="1"/>
      <w:numFmt w:val="lowerLetter"/>
      <w:lvlText w:val="%2."/>
      <w:lvlJc w:val="left"/>
      <w:pPr>
        <w:ind w:left="1440" w:hanging="360"/>
      </w:pPr>
    </w:lvl>
    <w:lvl w:ilvl="2" w:tplc="E8FE096A" w:tentative="1">
      <w:start w:val="1"/>
      <w:numFmt w:val="lowerRoman"/>
      <w:lvlText w:val="%3."/>
      <w:lvlJc w:val="right"/>
      <w:pPr>
        <w:ind w:left="2160" w:hanging="180"/>
      </w:pPr>
    </w:lvl>
    <w:lvl w:ilvl="3" w:tplc="94AAA798" w:tentative="1">
      <w:start w:val="1"/>
      <w:numFmt w:val="decimal"/>
      <w:lvlText w:val="%4."/>
      <w:lvlJc w:val="left"/>
      <w:pPr>
        <w:ind w:left="2880" w:hanging="360"/>
      </w:pPr>
    </w:lvl>
    <w:lvl w:ilvl="4" w:tplc="EA4AD260" w:tentative="1">
      <w:start w:val="1"/>
      <w:numFmt w:val="lowerLetter"/>
      <w:lvlText w:val="%5."/>
      <w:lvlJc w:val="left"/>
      <w:pPr>
        <w:ind w:left="3600" w:hanging="360"/>
      </w:pPr>
    </w:lvl>
    <w:lvl w:ilvl="5" w:tplc="5DECA466" w:tentative="1">
      <w:start w:val="1"/>
      <w:numFmt w:val="lowerRoman"/>
      <w:lvlText w:val="%6."/>
      <w:lvlJc w:val="right"/>
      <w:pPr>
        <w:ind w:left="4320" w:hanging="180"/>
      </w:pPr>
    </w:lvl>
    <w:lvl w:ilvl="6" w:tplc="60FE8F74" w:tentative="1">
      <w:start w:val="1"/>
      <w:numFmt w:val="decimal"/>
      <w:lvlText w:val="%7."/>
      <w:lvlJc w:val="left"/>
      <w:pPr>
        <w:ind w:left="5040" w:hanging="360"/>
      </w:pPr>
    </w:lvl>
    <w:lvl w:ilvl="7" w:tplc="D0DE93A6" w:tentative="1">
      <w:start w:val="1"/>
      <w:numFmt w:val="lowerLetter"/>
      <w:lvlText w:val="%8."/>
      <w:lvlJc w:val="left"/>
      <w:pPr>
        <w:ind w:left="5760" w:hanging="360"/>
      </w:pPr>
    </w:lvl>
    <w:lvl w:ilvl="8" w:tplc="C7466E8C" w:tentative="1">
      <w:start w:val="1"/>
      <w:numFmt w:val="lowerRoman"/>
      <w:lvlText w:val="%9."/>
      <w:lvlJc w:val="right"/>
      <w:pPr>
        <w:ind w:left="6480" w:hanging="180"/>
      </w:pPr>
    </w:lvl>
  </w:abstractNum>
  <w:abstractNum w:abstractNumId="18" w15:restartNumberingAfterBreak="0">
    <w:nsid w:val="42E051F1"/>
    <w:multiLevelType w:val="multilevel"/>
    <w:tmpl w:val="9FF6529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D08744A"/>
    <w:multiLevelType w:val="multilevel"/>
    <w:tmpl w:val="32C074B4"/>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526C3BF4"/>
    <w:multiLevelType w:val="multilevel"/>
    <w:tmpl w:val="64B27E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9C3426"/>
    <w:multiLevelType w:val="hybridMultilevel"/>
    <w:tmpl w:val="5AAA9414"/>
    <w:lvl w:ilvl="0" w:tplc="396A0276">
      <w:start w:val="1"/>
      <w:numFmt w:val="lowerRoman"/>
      <w:lvlText w:val="(%1)"/>
      <w:lvlJc w:val="left"/>
      <w:pPr>
        <w:ind w:left="1080" w:hanging="720"/>
      </w:pPr>
      <w:rPr>
        <w:rFonts w:hint="default"/>
      </w:rPr>
    </w:lvl>
    <w:lvl w:ilvl="1" w:tplc="4748EB86" w:tentative="1">
      <w:start w:val="1"/>
      <w:numFmt w:val="lowerLetter"/>
      <w:lvlText w:val="%2."/>
      <w:lvlJc w:val="left"/>
      <w:pPr>
        <w:ind w:left="1440" w:hanging="360"/>
      </w:pPr>
    </w:lvl>
    <w:lvl w:ilvl="2" w:tplc="38684D98" w:tentative="1">
      <w:start w:val="1"/>
      <w:numFmt w:val="lowerRoman"/>
      <w:lvlText w:val="%3."/>
      <w:lvlJc w:val="right"/>
      <w:pPr>
        <w:ind w:left="2160" w:hanging="180"/>
      </w:pPr>
    </w:lvl>
    <w:lvl w:ilvl="3" w:tplc="454E30BE" w:tentative="1">
      <w:start w:val="1"/>
      <w:numFmt w:val="decimal"/>
      <w:lvlText w:val="%4."/>
      <w:lvlJc w:val="left"/>
      <w:pPr>
        <w:ind w:left="2880" w:hanging="360"/>
      </w:pPr>
    </w:lvl>
    <w:lvl w:ilvl="4" w:tplc="7646EFA2" w:tentative="1">
      <w:start w:val="1"/>
      <w:numFmt w:val="lowerLetter"/>
      <w:lvlText w:val="%5."/>
      <w:lvlJc w:val="left"/>
      <w:pPr>
        <w:ind w:left="3600" w:hanging="360"/>
      </w:pPr>
    </w:lvl>
    <w:lvl w:ilvl="5" w:tplc="BAD4E11E" w:tentative="1">
      <w:start w:val="1"/>
      <w:numFmt w:val="lowerRoman"/>
      <w:lvlText w:val="%6."/>
      <w:lvlJc w:val="right"/>
      <w:pPr>
        <w:ind w:left="4320" w:hanging="180"/>
      </w:pPr>
    </w:lvl>
    <w:lvl w:ilvl="6" w:tplc="D09220A4" w:tentative="1">
      <w:start w:val="1"/>
      <w:numFmt w:val="decimal"/>
      <w:lvlText w:val="%7."/>
      <w:lvlJc w:val="left"/>
      <w:pPr>
        <w:ind w:left="5040" w:hanging="360"/>
      </w:pPr>
    </w:lvl>
    <w:lvl w:ilvl="7" w:tplc="83247438" w:tentative="1">
      <w:start w:val="1"/>
      <w:numFmt w:val="lowerLetter"/>
      <w:lvlText w:val="%8."/>
      <w:lvlJc w:val="left"/>
      <w:pPr>
        <w:ind w:left="5760" w:hanging="360"/>
      </w:pPr>
    </w:lvl>
    <w:lvl w:ilvl="8" w:tplc="1D12B65A" w:tentative="1">
      <w:start w:val="1"/>
      <w:numFmt w:val="lowerRoman"/>
      <w:lvlText w:val="%9."/>
      <w:lvlJc w:val="right"/>
      <w:pPr>
        <w:ind w:left="6480" w:hanging="180"/>
      </w:pPr>
    </w:lvl>
  </w:abstractNum>
  <w:abstractNum w:abstractNumId="23" w15:restartNumberingAfterBreak="0">
    <w:nsid w:val="5D891C90"/>
    <w:multiLevelType w:val="multilevel"/>
    <w:tmpl w:val="E4B80EC4"/>
    <w:lvl w:ilvl="0">
      <w:start w:val="1"/>
      <w:numFmt w:val="decimal"/>
      <w:lvlText w:val="%1."/>
      <w:lvlJc w:val="left"/>
      <w:pPr>
        <w:ind w:left="430" w:hanging="43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8683D0C"/>
    <w:multiLevelType w:val="multilevel"/>
    <w:tmpl w:val="578AAB6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D2B46E8"/>
    <w:multiLevelType w:val="multilevel"/>
    <w:tmpl w:val="EE88570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749842D3"/>
    <w:multiLevelType w:val="hybridMultilevel"/>
    <w:tmpl w:val="6C7E9B40"/>
    <w:lvl w:ilvl="0" w:tplc="94BA0BA4">
      <w:numFmt w:val="bullet"/>
      <w:lvlText w:val=""/>
      <w:lvlJc w:val="left"/>
      <w:pPr>
        <w:ind w:left="720" w:hanging="360"/>
      </w:pPr>
      <w:rPr>
        <w:rFonts w:ascii="Symbol" w:eastAsia="Times New Roman" w:hAnsi="Symbol" w:cs="Times New Roman" w:hint="default"/>
      </w:rPr>
    </w:lvl>
    <w:lvl w:ilvl="1" w:tplc="DA0C9E68" w:tentative="1">
      <w:start w:val="1"/>
      <w:numFmt w:val="bullet"/>
      <w:lvlText w:val="o"/>
      <w:lvlJc w:val="left"/>
      <w:pPr>
        <w:ind w:left="1440" w:hanging="360"/>
      </w:pPr>
      <w:rPr>
        <w:rFonts w:ascii="Courier New" w:hAnsi="Courier New" w:cs="Courier New" w:hint="default"/>
      </w:rPr>
    </w:lvl>
    <w:lvl w:ilvl="2" w:tplc="85A6AAFC" w:tentative="1">
      <w:start w:val="1"/>
      <w:numFmt w:val="bullet"/>
      <w:lvlText w:val=""/>
      <w:lvlJc w:val="left"/>
      <w:pPr>
        <w:ind w:left="2160" w:hanging="360"/>
      </w:pPr>
      <w:rPr>
        <w:rFonts w:ascii="Wingdings" w:hAnsi="Wingdings" w:hint="default"/>
      </w:rPr>
    </w:lvl>
    <w:lvl w:ilvl="3" w:tplc="2C7CE13A" w:tentative="1">
      <w:start w:val="1"/>
      <w:numFmt w:val="bullet"/>
      <w:lvlText w:val=""/>
      <w:lvlJc w:val="left"/>
      <w:pPr>
        <w:ind w:left="2880" w:hanging="360"/>
      </w:pPr>
      <w:rPr>
        <w:rFonts w:ascii="Symbol" w:hAnsi="Symbol" w:hint="default"/>
      </w:rPr>
    </w:lvl>
    <w:lvl w:ilvl="4" w:tplc="2890A9A8" w:tentative="1">
      <w:start w:val="1"/>
      <w:numFmt w:val="bullet"/>
      <w:lvlText w:val="o"/>
      <w:lvlJc w:val="left"/>
      <w:pPr>
        <w:ind w:left="3600" w:hanging="360"/>
      </w:pPr>
      <w:rPr>
        <w:rFonts w:ascii="Courier New" w:hAnsi="Courier New" w:cs="Courier New" w:hint="default"/>
      </w:rPr>
    </w:lvl>
    <w:lvl w:ilvl="5" w:tplc="0FC8B9A4" w:tentative="1">
      <w:start w:val="1"/>
      <w:numFmt w:val="bullet"/>
      <w:lvlText w:val=""/>
      <w:lvlJc w:val="left"/>
      <w:pPr>
        <w:ind w:left="4320" w:hanging="360"/>
      </w:pPr>
      <w:rPr>
        <w:rFonts w:ascii="Wingdings" w:hAnsi="Wingdings" w:hint="default"/>
      </w:rPr>
    </w:lvl>
    <w:lvl w:ilvl="6" w:tplc="52E0BF96" w:tentative="1">
      <w:start w:val="1"/>
      <w:numFmt w:val="bullet"/>
      <w:lvlText w:val=""/>
      <w:lvlJc w:val="left"/>
      <w:pPr>
        <w:ind w:left="5040" w:hanging="360"/>
      </w:pPr>
      <w:rPr>
        <w:rFonts w:ascii="Symbol" w:hAnsi="Symbol" w:hint="default"/>
      </w:rPr>
    </w:lvl>
    <w:lvl w:ilvl="7" w:tplc="7EEA7688" w:tentative="1">
      <w:start w:val="1"/>
      <w:numFmt w:val="bullet"/>
      <w:lvlText w:val="o"/>
      <w:lvlJc w:val="left"/>
      <w:pPr>
        <w:ind w:left="5760" w:hanging="360"/>
      </w:pPr>
      <w:rPr>
        <w:rFonts w:ascii="Courier New" w:hAnsi="Courier New" w:cs="Courier New" w:hint="default"/>
      </w:rPr>
    </w:lvl>
    <w:lvl w:ilvl="8" w:tplc="B824D59A" w:tentative="1">
      <w:start w:val="1"/>
      <w:numFmt w:val="bullet"/>
      <w:lvlText w:val=""/>
      <w:lvlJc w:val="left"/>
      <w:pPr>
        <w:ind w:left="6480" w:hanging="360"/>
      </w:pPr>
      <w:rPr>
        <w:rFonts w:ascii="Wingdings" w:hAnsi="Wingdings" w:hint="default"/>
      </w:rPr>
    </w:lvl>
  </w:abstractNum>
  <w:abstractNum w:abstractNumId="28" w15:restartNumberingAfterBreak="0">
    <w:nsid w:val="75CE3428"/>
    <w:multiLevelType w:val="hybridMultilevel"/>
    <w:tmpl w:val="71483854"/>
    <w:lvl w:ilvl="0" w:tplc="0B7C166C">
      <w:start w:val="1"/>
      <w:numFmt w:val="lowerLetter"/>
      <w:lvlText w:val="%1."/>
      <w:lvlJc w:val="left"/>
      <w:pPr>
        <w:ind w:left="720" w:hanging="360"/>
      </w:pPr>
      <w:rPr>
        <w:rFonts w:hint="default"/>
      </w:rPr>
    </w:lvl>
    <w:lvl w:ilvl="1" w:tplc="6C2A0BC2" w:tentative="1">
      <w:start w:val="1"/>
      <w:numFmt w:val="lowerLetter"/>
      <w:lvlText w:val="%2."/>
      <w:lvlJc w:val="left"/>
      <w:pPr>
        <w:ind w:left="1440" w:hanging="360"/>
      </w:pPr>
    </w:lvl>
    <w:lvl w:ilvl="2" w:tplc="7592BBD4" w:tentative="1">
      <w:start w:val="1"/>
      <w:numFmt w:val="lowerRoman"/>
      <w:lvlText w:val="%3."/>
      <w:lvlJc w:val="right"/>
      <w:pPr>
        <w:ind w:left="2160" w:hanging="180"/>
      </w:pPr>
    </w:lvl>
    <w:lvl w:ilvl="3" w:tplc="23B2E440" w:tentative="1">
      <w:start w:val="1"/>
      <w:numFmt w:val="decimal"/>
      <w:lvlText w:val="%4."/>
      <w:lvlJc w:val="left"/>
      <w:pPr>
        <w:ind w:left="2880" w:hanging="360"/>
      </w:pPr>
    </w:lvl>
    <w:lvl w:ilvl="4" w:tplc="EC480BE2" w:tentative="1">
      <w:start w:val="1"/>
      <w:numFmt w:val="lowerLetter"/>
      <w:lvlText w:val="%5."/>
      <w:lvlJc w:val="left"/>
      <w:pPr>
        <w:ind w:left="3600" w:hanging="360"/>
      </w:pPr>
    </w:lvl>
    <w:lvl w:ilvl="5" w:tplc="20ACC052" w:tentative="1">
      <w:start w:val="1"/>
      <w:numFmt w:val="lowerRoman"/>
      <w:lvlText w:val="%6."/>
      <w:lvlJc w:val="right"/>
      <w:pPr>
        <w:ind w:left="4320" w:hanging="180"/>
      </w:pPr>
    </w:lvl>
    <w:lvl w:ilvl="6" w:tplc="9B688C26" w:tentative="1">
      <w:start w:val="1"/>
      <w:numFmt w:val="decimal"/>
      <w:lvlText w:val="%7."/>
      <w:lvlJc w:val="left"/>
      <w:pPr>
        <w:ind w:left="5040" w:hanging="360"/>
      </w:pPr>
    </w:lvl>
    <w:lvl w:ilvl="7" w:tplc="376A595E" w:tentative="1">
      <w:start w:val="1"/>
      <w:numFmt w:val="lowerLetter"/>
      <w:lvlText w:val="%8."/>
      <w:lvlJc w:val="left"/>
      <w:pPr>
        <w:ind w:left="5760" w:hanging="360"/>
      </w:pPr>
    </w:lvl>
    <w:lvl w:ilvl="8" w:tplc="D72AF1B8" w:tentative="1">
      <w:start w:val="1"/>
      <w:numFmt w:val="lowerRoman"/>
      <w:lvlText w:val="%9."/>
      <w:lvlJc w:val="right"/>
      <w:pPr>
        <w:ind w:left="6480" w:hanging="180"/>
      </w:pPr>
    </w:lvl>
  </w:abstractNum>
  <w:abstractNum w:abstractNumId="29" w15:restartNumberingAfterBreak="0">
    <w:nsid w:val="7837339C"/>
    <w:multiLevelType w:val="multilevel"/>
    <w:tmpl w:val="368AB3AE"/>
    <w:lvl w:ilvl="0">
      <w:start w:val="1"/>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7A1B2C72"/>
    <w:multiLevelType w:val="hybridMultilevel"/>
    <w:tmpl w:val="D820D0F6"/>
    <w:lvl w:ilvl="0" w:tplc="D6FC0EEE">
      <w:start w:val="1"/>
      <w:numFmt w:val="upperLetter"/>
      <w:lvlText w:val="%1."/>
      <w:lvlJc w:val="left"/>
      <w:pPr>
        <w:ind w:left="720" w:hanging="360"/>
      </w:pPr>
      <w:rPr>
        <w:rFonts w:hint="default"/>
      </w:rPr>
    </w:lvl>
    <w:lvl w:ilvl="1" w:tplc="33129A6A" w:tentative="1">
      <w:start w:val="1"/>
      <w:numFmt w:val="lowerLetter"/>
      <w:lvlText w:val="%2."/>
      <w:lvlJc w:val="left"/>
      <w:pPr>
        <w:ind w:left="1440" w:hanging="360"/>
      </w:pPr>
    </w:lvl>
    <w:lvl w:ilvl="2" w:tplc="49468588" w:tentative="1">
      <w:start w:val="1"/>
      <w:numFmt w:val="lowerRoman"/>
      <w:lvlText w:val="%3."/>
      <w:lvlJc w:val="right"/>
      <w:pPr>
        <w:ind w:left="2160" w:hanging="180"/>
      </w:pPr>
    </w:lvl>
    <w:lvl w:ilvl="3" w:tplc="559CCDF8" w:tentative="1">
      <w:start w:val="1"/>
      <w:numFmt w:val="decimal"/>
      <w:lvlText w:val="%4."/>
      <w:lvlJc w:val="left"/>
      <w:pPr>
        <w:ind w:left="2880" w:hanging="360"/>
      </w:pPr>
    </w:lvl>
    <w:lvl w:ilvl="4" w:tplc="57B662D2" w:tentative="1">
      <w:start w:val="1"/>
      <w:numFmt w:val="lowerLetter"/>
      <w:lvlText w:val="%5."/>
      <w:lvlJc w:val="left"/>
      <w:pPr>
        <w:ind w:left="3600" w:hanging="360"/>
      </w:pPr>
    </w:lvl>
    <w:lvl w:ilvl="5" w:tplc="669C0C72" w:tentative="1">
      <w:start w:val="1"/>
      <w:numFmt w:val="lowerRoman"/>
      <w:lvlText w:val="%6."/>
      <w:lvlJc w:val="right"/>
      <w:pPr>
        <w:ind w:left="4320" w:hanging="180"/>
      </w:pPr>
    </w:lvl>
    <w:lvl w:ilvl="6" w:tplc="B18CCED6" w:tentative="1">
      <w:start w:val="1"/>
      <w:numFmt w:val="decimal"/>
      <w:lvlText w:val="%7."/>
      <w:lvlJc w:val="left"/>
      <w:pPr>
        <w:ind w:left="5040" w:hanging="360"/>
      </w:pPr>
    </w:lvl>
    <w:lvl w:ilvl="7" w:tplc="869801DA" w:tentative="1">
      <w:start w:val="1"/>
      <w:numFmt w:val="lowerLetter"/>
      <w:lvlText w:val="%8."/>
      <w:lvlJc w:val="left"/>
      <w:pPr>
        <w:ind w:left="5760" w:hanging="360"/>
      </w:pPr>
    </w:lvl>
    <w:lvl w:ilvl="8" w:tplc="3FEA5666" w:tentative="1">
      <w:start w:val="1"/>
      <w:numFmt w:val="lowerRoman"/>
      <w:lvlText w:val="%9."/>
      <w:lvlJc w:val="right"/>
      <w:pPr>
        <w:ind w:left="6480" w:hanging="180"/>
      </w:pPr>
    </w:lvl>
  </w:abstractNum>
  <w:abstractNum w:abstractNumId="31" w15:restartNumberingAfterBreak="0">
    <w:nsid w:val="7A7831B1"/>
    <w:multiLevelType w:val="multilevel"/>
    <w:tmpl w:val="02582BE2"/>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556161977">
    <w:abstractNumId w:val="24"/>
  </w:num>
  <w:num w:numId="2" w16cid:durableId="149172760">
    <w:abstractNumId w:val="24"/>
  </w:num>
  <w:num w:numId="3" w16cid:durableId="1538421515">
    <w:abstractNumId w:val="24"/>
  </w:num>
  <w:num w:numId="4" w16cid:durableId="1773166607">
    <w:abstractNumId w:val="8"/>
  </w:num>
  <w:num w:numId="5" w16cid:durableId="95714236">
    <w:abstractNumId w:val="3"/>
  </w:num>
  <w:num w:numId="6" w16cid:durableId="1498840150">
    <w:abstractNumId w:val="2"/>
  </w:num>
  <w:num w:numId="7" w16cid:durableId="2131851268">
    <w:abstractNumId w:val="1"/>
  </w:num>
  <w:num w:numId="8" w16cid:durableId="201020284">
    <w:abstractNumId w:val="0"/>
  </w:num>
  <w:num w:numId="9" w16cid:durableId="41490963">
    <w:abstractNumId w:val="9"/>
  </w:num>
  <w:num w:numId="10" w16cid:durableId="28379620">
    <w:abstractNumId w:val="7"/>
  </w:num>
  <w:num w:numId="11" w16cid:durableId="1492334198">
    <w:abstractNumId w:val="6"/>
  </w:num>
  <w:num w:numId="12" w16cid:durableId="511380570">
    <w:abstractNumId w:val="5"/>
  </w:num>
  <w:num w:numId="13" w16cid:durableId="2139642297">
    <w:abstractNumId w:val="4"/>
  </w:num>
  <w:num w:numId="14" w16cid:durableId="101993795">
    <w:abstractNumId w:val="24"/>
  </w:num>
  <w:num w:numId="15" w16cid:durableId="220678522">
    <w:abstractNumId w:val="24"/>
  </w:num>
  <w:num w:numId="16" w16cid:durableId="844826014">
    <w:abstractNumId w:val="24"/>
  </w:num>
  <w:num w:numId="17" w16cid:durableId="1829176924">
    <w:abstractNumId w:val="19"/>
  </w:num>
  <w:num w:numId="18" w16cid:durableId="689602148">
    <w:abstractNumId w:val="16"/>
  </w:num>
  <w:num w:numId="19" w16cid:durableId="1417706338">
    <w:abstractNumId w:val="13"/>
  </w:num>
  <w:num w:numId="20" w16cid:durableId="1079447745">
    <w:abstractNumId w:val="30"/>
  </w:num>
  <w:num w:numId="21" w16cid:durableId="2043482675">
    <w:abstractNumId w:val="12"/>
  </w:num>
  <w:num w:numId="22" w16cid:durableId="813254298">
    <w:abstractNumId w:val="17"/>
  </w:num>
  <w:num w:numId="23" w16cid:durableId="336230122">
    <w:abstractNumId w:val="22"/>
  </w:num>
  <w:num w:numId="24" w16cid:durableId="1301613317">
    <w:abstractNumId w:val="25"/>
  </w:num>
  <w:num w:numId="25" w16cid:durableId="889150484">
    <w:abstractNumId w:val="21"/>
  </w:num>
  <w:num w:numId="26" w16cid:durableId="2089694241">
    <w:abstractNumId w:val="28"/>
  </w:num>
  <w:num w:numId="27" w16cid:durableId="1317996187">
    <w:abstractNumId w:val="15"/>
  </w:num>
  <w:num w:numId="28" w16cid:durableId="499783398">
    <w:abstractNumId w:val="11"/>
  </w:num>
  <w:num w:numId="29" w16cid:durableId="2019576300">
    <w:abstractNumId w:val="27"/>
  </w:num>
  <w:num w:numId="30" w16cid:durableId="1181090978">
    <w:abstractNumId w:val="10"/>
  </w:num>
  <w:num w:numId="31" w16cid:durableId="538126856">
    <w:abstractNumId w:val="23"/>
  </w:num>
  <w:num w:numId="32" w16cid:durableId="1204831998">
    <w:abstractNumId w:val="14"/>
  </w:num>
  <w:num w:numId="33" w16cid:durableId="657423599">
    <w:abstractNumId w:val="16"/>
    <w:lvlOverride w:ilvl="0">
      <w:startOverride w:val="1"/>
    </w:lvlOverride>
    <w:lvlOverride w:ilvl="1">
      <w:startOverride w:val="1"/>
    </w:lvlOverride>
  </w:num>
  <w:num w:numId="34" w16cid:durableId="939264636">
    <w:abstractNumId w:val="29"/>
  </w:num>
  <w:num w:numId="35" w16cid:durableId="542062582">
    <w:abstractNumId w:val="18"/>
  </w:num>
  <w:num w:numId="36" w16cid:durableId="105316909">
    <w:abstractNumId w:val="31"/>
  </w:num>
  <w:num w:numId="37" w16cid:durableId="1199585813">
    <w:abstractNumId w:val="20"/>
  </w:num>
  <w:num w:numId="38" w16cid:durableId="6682123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E LA JUGE"/>
    <w:docVar w:name="MotifJuge2" w:val="MOTIFS DE LA JUGE"/>
    <w:docVar w:name="MotifJuge3" w:val="MOTIFS DE LA JUGE"/>
    <w:docVar w:name="NomFamJuge1" w:val="HOGUE"/>
    <w:docVar w:name="NomFamJuge2" w:val="LAVALLÉE"/>
    <w:docVar w:name="NomFamJuge3" w:val="HARVIE"/>
    <w:docVar w:name="NomFamJuge4" w:val="MAILHOT"/>
    <w:docVar w:name="NomFamJuge5" w:val="BAUDOUIN"/>
    <w:docVar w:name="QteJuge1" w:val=", J.C.A."/>
    <w:docVar w:name="QteJuge2" w:val=", J.C.A."/>
    <w:docVar w:name="QteJuge3" w:val=", J.C.A."/>
    <w:docVar w:name="stPremiereFois" w:val="Non"/>
  </w:docVars>
  <w:rsids>
    <w:rsidRoot w:val="00FF5D92"/>
    <w:rsid w:val="0000121C"/>
    <w:rsid w:val="00002558"/>
    <w:rsid w:val="0000318B"/>
    <w:rsid w:val="00005D9E"/>
    <w:rsid w:val="00007ACA"/>
    <w:rsid w:val="00012706"/>
    <w:rsid w:val="000131E1"/>
    <w:rsid w:val="00020115"/>
    <w:rsid w:val="000257E4"/>
    <w:rsid w:val="00026895"/>
    <w:rsid w:val="00030C93"/>
    <w:rsid w:val="0003299D"/>
    <w:rsid w:val="000362D8"/>
    <w:rsid w:val="0004394C"/>
    <w:rsid w:val="000456CB"/>
    <w:rsid w:val="00047BB2"/>
    <w:rsid w:val="00052A85"/>
    <w:rsid w:val="00053691"/>
    <w:rsid w:val="00065A05"/>
    <w:rsid w:val="000660C4"/>
    <w:rsid w:val="00066679"/>
    <w:rsid w:val="00070DB5"/>
    <w:rsid w:val="00081DF6"/>
    <w:rsid w:val="00094EBA"/>
    <w:rsid w:val="000952A9"/>
    <w:rsid w:val="000A7516"/>
    <w:rsid w:val="000B3ECE"/>
    <w:rsid w:val="000B42AF"/>
    <w:rsid w:val="000B736F"/>
    <w:rsid w:val="000B77DC"/>
    <w:rsid w:val="000D3491"/>
    <w:rsid w:val="000D4791"/>
    <w:rsid w:val="000E1369"/>
    <w:rsid w:val="000E6420"/>
    <w:rsid w:val="000E78A9"/>
    <w:rsid w:val="000F0A80"/>
    <w:rsid w:val="000F29C9"/>
    <w:rsid w:val="00101891"/>
    <w:rsid w:val="00102950"/>
    <w:rsid w:val="00104002"/>
    <w:rsid w:val="00107EDA"/>
    <w:rsid w:val="001100CA"/>
    <w:rsid w:val="00110B53"/>
    <w:rsid w:val="00112214"/>
    <w:rsid w:val="00112321"/>
    <w:rsid w:val="001128BB"/>
    <w:rsid w:val="00116DBB"/>
    <w:rsid w:val="0011771C"/>
    <w:rsid w:val="00117914"/>
    <w:rsid w:val="0013028C"/>
    <w:rsid w:val="00142943"/>
    <w:rsid w:val="0014713B"/>
    <w:rsid w:val="0014729A"/>
    <w:rsid w:val="0015129C"/>
    <w:rsid w:val="00154586"/>
    <w:rsid w:val="0015610F"/>
    <w:rsid w:val="00157E8F"/>
    <w:rsid w:val="00160B31"/>
    <w:rsid w:val="00166257"/>
    <w:rsid w:val="0016712B"/>
    <w:rsid w:val="00170F96"/>
    <w:rsid w:val="00171089"/>
    <w:rsid w:val="00173011"/>
    <w:rsid w:val="00181F56"/>
    <w:rsid w:val="00182024"/>
    <w:rsid w:val="00183FF7"/>
    <w:rsid w:val="0018446A"/>
    <w:rsid w:val="00190FA7"/>
    <w:rsid w:val="0019456C"/>
    <w:rsid w:val="001949DC"/>
    <w:rsid w:val="001972F2"/>
    <w:rsid w:val="0019738C"/>
    <w:rsid w:val="00197B3B"/>
    <w:rsid w:val="001A2C66"/>
    <w:rsid w:val="001A318F"/>
    <w:rsid w:val="001A31A5"/>
    <w:rsid w:val="001A5227"/>
    <w:rsid w:val="001A5942"/>
    <w:rsid w:val="001B03F0"/>
    <w:rsid w:val="001C0031"/>
    <w:rsid w:val="001C70CA"/>
    <w:rsid w:val="001C79F8"/>
    <w:rsid w:val="001D17AB"/>
    <w:rsid w:val="001D40F9"/>
    <w:rsid w:val="001D770E"/>
    <w:rsid w:val="001D7EAA"/>
    <w:rsid w:val="001E2B55"/>
    <w:rsid w:val="001E38FC"/>
    <w:rsid w:val="001F5DF5"/>
    <w:rsid w:val="001F722B"/>
    <w:rsid w:val="00205DC4"/>
    <w:rsid w:val="0021548E"/>
    <w:rsid w:val="002211B3"/>
    <w:rsid w:val="002267E5"/>
    <w:rsid w:val="002273F5"/>
    <w:rsid w:val="0023018F"/>
    <w:rsid w:val="00241526"/>
    <w:rsid w:val="0024185A"/>
    <w:rsid w:val="002528BF"/>
    <w:rsid w:val="00256CAA"/>
    <w:rsid w:val="00265ED2"/>
    <w:rsid w:val="002727AF"/>
    <w:rsid w:val="00274D31"/>
    <w:rsid w:val="00274E7C"/>
    <w:rsid w:val="0028176E"/>
    <w:rsid w:val="00282C6C"/>
    <w:rsid w:val="00284291"/>
    <w:rsid w:val="00284D83"/>
    <w:rsid w:val="00287AE9"/>
    <w:rsid w:val="00290F48"/>
    <w:rsid w:val="00291456"/>
    <w:rsid w:val="002A0822"/>
    <w:rsid w:val="002A1CF3"/>
    <w:rsid w:val="002A499F"/>
    <w:rsid w:val="002A4F72"/>
    <w:rsid w:val="002B10BC"/>
    <w:rsid w:val="002B4A07"/>
    <w:rsid w:val="002B685F"/>
    <w:rsid w:val="002B7B6D"/>
    <w:rsid w:val="002C4107"/>
    <w:rsid w:val="002D06A6"/>
    <w:rsid w:val="002D5C7F"/>
    <w:rsid w:val="002D69CB"/>
    <w:rsid w:val="002E1F0E"/>
    <w:rsid w:val="002E229C"/>
    <w:rsid w:val="002E51F1"/>
    <w:rsid w:val="002F0887"/>
    <w:rsid w:val="002F124D"/>
    <w:rsid w:val="002F1350"/>
    <w:rsid w:val="002F1DBC"/>
    <w:rsid w:val="002F2C89"/>
    <w:rsid w:val="002F6136"/>
    <w:rsid w:val="002F63DA"/>
    <w:rsid w:val="002F6FD6"/>
    <w:rsid w:val="00302EC7"/>
    <w:rsid w:val="00311435"/>
    <w:rsid w:val="003176F8"/>
    <w:rsid w:val="00320EE4"/>
    <w:rsid w:val="00322DE0"/>
    <w:rsid w:val="0032363D"/>
    <w:rsid w:val="003252BB"/>
    <w:rsid w:val="0033190E"/>
    <w:rsid w:val="003328BB"/>
    <w:rsid w:val="003351A8"/>
    <w:rsid w:val="0033573A"/>
    <w:rsid w:val="00340B55"/>
    <w:rsid w:val="00344414"/>
    <w:rsid w:val="00352825"/>
    <w:rsid w:val="00361325"/>
    <w:rsid w:val="00363138"/>
    <w:rsid w:val="00364C6F"/>
    <w:rsid w:val="0037130C"/>
    <w:rsid w:val="00371EB2"/>
    <w:rsid w:val="00374888"/>
    <w:rsid w:val="00374E40"/>
    <w:rsid w:val="003769AE"/>
    <w:rsid w:val="0037740A"/>
    <w:rsid w:val="00386E43"/>
    <w:rsid w:val="00392E75"/>
    <w:rsid w:val="00394517"/>
    <w:rsid w:val="0039715D"/>
    <w:rsid w:val="003A1D38"/>
    <w:rsid w:val="003A2DA6"/>
    <w:rsid w:val="003B3D80"/>
    <w:rsid w:val="003B7CF9"/>
    <w:rsid w:val="003C582F"/>
    <w:rsid w:val="003C745D"/>
    <w:rsid w:val="003D169A"/>
    <w:rsid w:val="003D2209"/>
    <w:rsid w:val="003D487D"/>
    <w:rsid w:val="003E080C"/>
    <w:rsid w:val="003E3239"/>
    <w:rsid w:val="003E3E3C"/>
    <w:rsid w:val="003E747C"/>
    <w:rsid w:val="003F068E"/>
    <w:rsid w:val="003F456E"/>
    <w:rsid w:val="003F6F04"/>
    <w:rsid w:val="00401E03"/>
    <w:rsid w:val="00406F0F"/>
    <w:rsid w:val="0041670B"/>
    <w:rsid w:val="0041750A"/>
    <w:rsid w:val="00423DF1"/>
    <w:rsid w:val="00430C58"/>
    <w:rsid w:val="004331C4"/>
    <w:rsid w:val="0043564D"/>
    <w:rsid w:val="004359EF"/>
    <w:rsid w:val="00435EDC"/>
    <w:rsid w:val="004361ED"/>
    <w:rsid w:val="0043685F"/>
    <w:rsid w:val="00440D8D"/>
    <w:rsid w:val="00441B52"/>
    <w:rsid w:val="00441C25"/>
    <w:rsid w:val="00443E41"/>
    <w:rsid w:val="00445F92"/>
    <w:rsid w:val="00446452"/>
    <w:rsid w:val="00453787"/>
    <w:rsid w:val="004546F6"/>
    <w:rsid w:val="00463E66"/>
    <w:rsid w:val="00465ABE"/>
    <w:rsid w:val="00467118"/>
    <w:rsid w:val="00472DC8"/>
    <w:rsid w:val="00474D2B"/>
    <w:rsid w:val="004802EC"/>
    <w:rsid w:val="00481326"/>
    <w:rsid w:val="00483A28"/>
    <w:rsid w:val="00484361"/>
    <w:rsid w:val="004869D6"/>
    <w:rsid w:val="00492394"/>
    <w:rsid w:val="00495982"/>
    <w:rsid w:val="004A29F1"/>
    <w:rsid w:val="004A5E4C"/>
    <w:rsid w:val="004A6641"/>
    <w:rsid w:val="004B0B59"/>
    <w:rsid w:val="004B115D"/>
    <w:rsid w:val="004B1E94"/>
    <w:rsid w:val="004B33FF"/>
    <w:rsid w:val="004B403A"/>
    <w:rsid w:val="004C43EA"/>
    <w:rsid w:val="004C4D90"/>
    <w:rsid w:val="004C7FAC"/>
    <w:rsid w:val="004D2F69"/>
    <w:rsid w:val="004D3607"/>
    <w:rsid w:val="004D6032"/>
    <w:rsid w:val="004D6A11"/>
    <w:rsid w:val="004D6ECE"/>
    <w:rsid w:val="004E178D"/>
    <w:rsid w:val="004E4FBA"/>
    <w:rsid w:val="004F7A35"/>
    <w:rsid w:val="0050400C"/>
    <w:rsid w:val="00506664"/>
    <w:rsid w:val="00507952"/>
    <w:rsid w:val="00511D84"/>
    <w:rsid w:val="005131F1"/>
    <w:rsid w:val="0051484F"/>
    <w:rsid w:val="00516B3E"/>
    <w:rsid w:val="00517BCA"/>
    <w:rsid w:val="00524409"/>
    <w:rsid w:val="005262C9"/>
    <w:rsid w:val="00527923"/>
    <w:rsid w:val="00531D70"/>
    <w:rsid w:val="00535DC0"/>
    <w:rsid w:val="00544FCB"/>
    <w:rsid w:val="005466EE"/>
    <w:rsid w:val="0055100F"/>
    <w:rsid w:val="005556B8"/>
    <w:rsid w:val="0056324D"/>
    <w:rsid w:val="00563DAD"/>
    <w:rsid w:val="00566BF6"/>
    <w:rsid w:val="00573CAD"/>
    <w:rsid w:val="00575AC7"/>
    <w:rsid w:val="00575C5F"/>
    <w:rsid w:val="00583434"/>
    <w:rsid w:val="0058349F"/>
    <w:rsid w:val="00584F28"/>
    <w:rsid w:val="005860AB"/>
    <w:rsid w:val="005A3644"/>
    <w:rsid w:val="005A5AE4"/>
    <w:rsid w:val="005A78BF"/>
    <w:rsid w:val="005B1593"/>
    <w:rsid w:val="005B334C"/>
    <w:rsid w:val="005B493D"/>
    <w:rsid w:val="005B6B4C"/>
    <w:rsid w:val="005B739D"/>
    <w:rsid w:val="005C28B8"/>
    <w:rsid w:val="005C6E5F"/>
    <w:rsid w:val="005C7516"/>
    <w:rsid w:val="005D1522"/>
    <w:rsid w:val="005D5B4C"/>
    <w:rsid w:val="005D72A7"/>
    <w:rsid w:val="005E00FA"/>
    <w:rsid w:val="005E44C2"/>
    <w:rsid w:val="005F5F5F"/>
    <w:rsid w:val="00601EA2"/>
    <w:rsid w:val="00603105"/>
    <w:rsid w:val="0060540F"/>
    <w:rsid w:val="00607548"/>
    <w:rsid w:val="00610C27"/>
    <w:rsid w:val="00612C2B"/>
    <w:rsid w:val="0061410C"/>
    <w:rsid w:val="00621CDD"/>
    <w:rsid w:val="00624770"/>
    <w:rsid w:val="00636F59"/>
    <w:rsid w:val="006374B6"/>
    <w:rsid w:val="0064250B"/>
    <w:rsid w:val="006429D0"/>
    <w:rsid w:val="0064707D"/>
    <w:rsid w:val="0064770E"/>
    <w:rsid w:val="00650ED4"/>
    <w:rsid w:val="00651E8F"/>
    <w:rsid w:val="00655947"/>
    <w:rsid w:val="00664020"/>
    <w:rsid w:val="00667139"/>
    <w:rsid w:val="006727A3"/>
    <w:rsid w:val="006826AA"/>
    <w:rsid w:val="0068356A"/>
    <w:rsid w:val="00685772"/>
    <w:rsid w:val="00687B84"/>
    <w:rsid w:val="006939D3"/>
    <w:rsid w:val="00697C06"/>
    <w:rsid w:val="006A0DB0"/>
    <w:rsid w:val="006A1D03"/>
    <w:rsid w:val="006A2BB8"/>
    <w:rsid w:val="006A6629"/>
    <w:rsid w:val="006A71D4"/>
    <w:rsid w:val="006A7990"/>
    <w:rsid w:val="006B37C1"/>
    <w:rsid w:val="006B6A4B"/>
    <w:rsid w:val="006C1EB8"/>
    <w:rsid w:val="006C1F18"/>
    <w:rsid w:val="006C2AA6"/>
    <w:rsid w:val="006C6D80"/>
    <w:rsid w:val="006D70C7"/>
    <w:rsid w:val="006D7A10"/>
    <w:rsid w:val="006E0F14"/>
    <w:rsid w:val="006E58E4"/>
    <w:rsid w:val="006E7FC0"/>
    <w:rsid w:val="006F4D26"/>
    <w:rsid w:val="006F7B90"/>
    <w:rsid w:val="00700582"/>
    <w:rsid w:val="00703D28"/>
    <w:rsid w:val="00705301"/>
    <w:rsid w:val="00710FF5"/>
    <w:rsid w:val="00712A67"/>
    <w:rsid w:val="00712E90"/>
    <w:rsid w:val="00717118"/>
    <w:rsid w:val="00720901"/>
    <w:rsid w:val="00722373"/>
    <w:rsid w:val="0073054A"/>
    <w:rsid w:val="00736B24"/>
    <w:rsid w:val="007401B8"/>
    <w:rsid w:val="00740A17"/>
    <w:rsid w:val="007433A1"/>
    <w:rsid w:val="007462D6"/>
    <w:rsid w:val="0074738B"/>
    <w:rsid w:val="007572A9"/>
    <w:rsid w:val="0076062E"/>
    <w:rsid w:val="00763BDE"/>
    <w:rsid w:val="00763F5F"/>
    <w:rsid w:val="0076425B"/>
    <w:rsid w:val="0078033F"/>
    <w:rsid w:val="00780905"/>
    <w:rsid w:val="007901CC"/>
    <w:rsid w:val="00790A30"/>
    <w:rsid w:val="007933D0"/>
    <w:rsid w:val="007942CE"/>
    <w:rsid w:val="007948C1"/>
    <w:rsid w:val="007953F3"/>
    <w:rsid w:val="007A7803"/>
    <w:rsid w:val="007B061E"/>
    <w:rsid w:val="007B403F"/>
    <w:rsid w:val="007B48D5"/>
    <w:rsid w:val="007C3223"/>
    <w:rsid w:val="007D0689"/>
    <w:rsid w:val="007D087C"/>
    <w:rsid w:val="007D6F25"/>
    <w:rsid w:val="007E33E4"/>
    <w:rsid w:val="007E3DEC"/>
    <w:rsid w:val="007E4CC9"/>
    <w:rsid w:val="007F215A"/>
    <w:rsid w:val="007F40FD"/>
    <w:rsid w:val="007F4BC7"/>
    <w:rsid w:val="008003B2"/>
    <w:rsid w:val="00800D23"/>
    <w:rsid w:val="00804B6B"/>
    <w:rsid w:val="008141B8"/>
    <w:rsid w:val="00815D3B"/>
    <w:rsid w:val="00816273"/>
    <w:rsid w:val="00820DA0"/>
    <w:rsid w:val="0082717B"/>
    <w:rsid w:val="00827B04"/>
    <w:rsid w:val="0083032E"/>
    <w:rsid w:val="00832BAC"/>
    <w:rsid w:val="00841907"/>
    <w:rsid w:val="00843B9D"/>
    <w:rsid w:val="00846DE8"/>
    <w:rsid w:val="00853FED"/>
    <w:rsid w:val="00855528"/>
    <w:rsid w:val="0086036A"/>
    <w:rsid w:val="00862A0D"/>
    <w:rsid w:val="00862D1F"/>
    <w:rsid w:val="008653A3"/>
    <w:rsid w:val="008657A2"/>
    <w:rsid w:val="00866645"/>
    <w:rsid w:val="00867D11"/>
    <w:rsid w:val="00873163"/>
    <w:rsid w:val="008742D0"/>
    <w:rsid w:val="00874680"/>
    <w:rsid w:val="008757B0"/>
    <w:rsid w:val="00875E32"/>
    <w:rsid w:val="0087686B"/>
    <w:rsid w:val="00877165"/>
    <w:rsid w:val="00882210"/>
    <w:rsid w:val="008843C9"/>
    <w:rsid w:val="00885112"/>
    <w:rsid w:val="00890BCC"/>
    <w:rsid w:val="00892EBC"/>
    <w:rsid w:val="00896923"/>
    <w:rsid w:val="008A6185"/>
    <w:rsid w:val="008B48EE"/>
    <w:rsid w:val="008B6526"/>
    <w:rsid w:val="008C07C6"/>
    <w:rsid w:val="008C1FE9"/>
    <w:rsid w:val="008C3941"/>
    <w:rsid w:val="008C7DCE"/>
    <w:rsid w:val="008D18FC"/>
    <w:rsid w:val="008D398B"/>
    <w:rsid w:val="008D7E49"/>
    <w:rsid w:val="008E3350"/>
    <w:rsid w:val="008E3E7B"/>
    <w:rsid w:val="008E5E9D"/>
    <w:rsid w:val="008E67D7"/>
    <w:rsid w:val="008E76E1"/>
    <w:rsid w:val="008F364A"/>
    <w:rsid w:val="008F3F53"/>
    <w:rsid w:val="008F6973"/>
    <w:rsid w:val="008F7531"/>
    <w:rsid w:val="0090153A"/>
    <w:rsid w:val="00912F20"/>
    <w:rsid w:val="00913A2F"/>
    <w:rsid w:val="00913E03"/>
    <w:rsid w:val="009154BA"/>
    <w:rsid w:val="00915C4C"/>
    <w:rsid w:val="00916F44"/>
    <w:rsid w:val="0091755B"/>
    <w:rsid w:val="00917FF7"/>
    <w:rsid w:val="009229E9"/>
    <w:rsid w:val="00925984"/>
    <w:rsid w:val="00925AF1"/>
    <w:rsid w:val="00926953"/>
    <w:rsid w:val="0093170F"/>
    <w:rsid w:val="00932703"/>
    <w:rsid w:val="00933F83"/>
    <w:rsid w:val="00934BE2"/>
    <w:rsid w:val="00936469"/>
    <w:rsid w:val="009400B7"/>
    <w:rsid w:val="00940474"/>
    <w:rsid w:val="00943066"/>
    <w:rsid w:val="009443B3"/>
    <w:rsid w:val="00945E28"/>
    <w:rsid w:val="00947EB2"/>
    <w:rsid w:val="0095075F"/>
    <w:rsid w:val="009515BD"/>
    <w:rsid w:val="00954DC2"/>
    <w:rsid w:val="0095508F"/>
    <w:rsid w:val="0095695C"/>
    <w:rsid w:val="00957B92"/>
    <w:rsid w:val="009627FC"/>
    <w:rsid w:val="00970347"/>
    <w:rsid w:val="00970966"/>
    <w:rsid w:val="009738A3"/>
    <w:rsid w:val="00974442"/>
    <w:rsid w:val="00976B3E"/>
    <w:rsid w:val="00981119"/>
    <w:rsid w:val="009824A3"/>
    <w:rsid w:val="00982D68"/>
    <w:rsid w:val="00983A5B"/>
    <w:rsid w:val="00987939"/>
    <w:rsid w:val="009944DA"/>
    <w:rsid w:val="00994A39"/>
    <w:rsid w:val="00997E03"/>
    <w:rsid w:val="009A0AB2"/>
    <w:rsid w:val="009A0D0D"/>
    <w:rsid w:val="009A370C"/>
    <w:rsid w:val="009A75BD"/>
    <w:rsid w:val="009B0BA7"/>
    <w:rsid w:val="009C1982"/>
    <w:rsid w:val="009C4462"/>
    <w:rsid w:val="009C5B2B"/>
    <w:rsid w:val="009D1B6C"/>
    <w:rsid w:val="009D64E3"/>
    <w:rsid w:val="009D7057"/>
    <w:rsid w:val="009E3604"/>
    <w:rsid w:val="009E6351"/>
    <w:rsid w:val="009E7852"/>
    <w:rsid w:val="009F1F69"/>
    <w:rsid w:val="009F2568"/>
    <w:rsid w:val="009F2A00"/>
    <w:rsid w:val="009F6B2E"/>
    <w:rsid w:val="009F7248"/>
    <w:rsid w:val="009F7D81"/>
    <w:rsid w:val="00A032D4"/>
    <w:rsid w:val="00A05449"/>
    <w:rsid w:val="00A058D2"/>
    <w:rsid w:val="00A06A50"/>
    <w:rsid w:val="00A06AE3"/>
    <w:rsid w:val="00A115CB"/>
    <w:rsid w:val="00A13A11"/>
    <w:rsid w:val="00A23BF4"/>
    <w:rsid w:val="00A2593B"/>
    <w:rsid w:val="00A302A3"/>
    <w:rsid w:val="00A32DA6"/>
    <w:rsid w:val="00A34E05"/>
    <w:rsid w:val="00A427AA"/>
    <w:rsid w:val="00A43D8B"/>
    <w:rsid w:val="00A4433B"/>
    <w:rsid w:val="00A454F1"/>
    <w:rsid w:val="00A475D5"/>
    <w:rsid w:val="00A5219D"/>
    <w:rsid w:val="00A543CC"/>
    <w:rsid w:val="00A65A58"/>
    <w:rsid w:val="00A707BB"/>
    <w:rsid w:val="00A91B9A"/>
    <w:rsid w:val="00A92F83"/>
    <w:rsid w:val="00A93CFF"/>
    <w:rsid w:val="00A9469A"/>
    <w:rsid w:val="00A966AC"/>
    <w:rsid w:val="00AA4BBF"/>
    <w:rsid w:val="00AA5AA2"/>
    <w:rsid w:val="00AA5FB2"/>
    <w:rsid w:val="00AA6FFF"/>
    <w:rsid w:val="00AA7C0F"/>
    <w:rsid w:val="00AB43A7"/>
    <w:rsid w:val="00AB7DD2"/>
    <w:rsid w:val="00AC1704"/>
    <w:rsid w:val="00AC2F47"/>
    <w:rsid w:val="00AE1967"/>
    <w:rsid w:val="00AE1B6D"/>
    <w:rsid w:val="00AE57C6"/>
    <w:rsid w:val="00AF0C7C"/>
    <w:rsid w:val="00AF1D04"/>
    <w:rsid w:val="00AF570B"/>
    <w:rsid w:val="00B01D86"/>
    <w:rsid w:val="00B052E2"/>
    <w:rsid w:val="00B073D1"/>
    <w:rsid w:val="00B07E4E"/>
    <w:rsid w:val="00B1112E"/>
    <w:rsid w:val="00B11FD1"/>
    <w:rsid w:val="00B11FEA"/>
    <w:rsid w:val="00B120AE"/>
    <w:rsid w:val="00B137E9"/>
    <w:rsid w:val="00B14771"/>
    <w:rsid w:val="00B147D1"/>
    <w:rsid w:val="00B252A1"/>
    <w:rsid w:val="00B2768E"/>
    <w:rsid w:val="00B30EA2"/>
    <w:rsid w:val="00B31CAA"/>
    <w:rsid w:val="00B36AA9"/>
    <w:rsid w:val="00B36ED3"/>
    <w:rsid w:val="00B417FE"/>
    <w:rsid w:val="00B513C9"/>
    <w:rsid w:val="00B5355E"/>
    <w:rsid w:val="00B56EF4"/>
    <w:rsid w:val="00B62595"/>
    <w:rsid w:val="00B6350D"/>
    <w:rsid w:val="00B64139"/>
    <w:rsid w:val="00B65B59"/>
    <w:rsid w:val="00B70485"/>
    <w:rsid w:val="00B70B04"/>
    <w:rsid w:val="00B80991"/>
    <w:rsid w:val="00B82A13"/>
    <w:rsid w:val="00B93E81"/>
    <w:rsid w:val="00B94AFD"/>
    <w:rsid w:val="00BA2900"/>
    <w:rsid w:val="00BA3EBD"/>
    <w:rsid w:val="00BA6CA7"/>
    <w:rsid w:val="00BB09A8"/>
    <w:rsid w:val="00BB372B"/>
    <w:rsid w:val="00BB6E87"/>
    <w:rsid w:val="00BC2F05"/>
    <w:rsid w:val="00BC4130"/>
    <w:rsid w:val="00BC662C"/>
    <w:rsid w:val="00BD555C"/>
    <w:rsid w:val="00BD7078"/>
    <w:rsid w:val="00BE3042"/>
    <w:rsid w:val="00BF00CC"/>
    <w:rsid w:val="00BF3078"/>
    <w:rsid w:val="00C02AF8"/>
    <w:rsid w:val="00C04117"/>
    <w:rsid w:val="00C0594C"/>
    <w:rsid w:val="00C06E74"/>
    <w:rsid w:val="00C159B6"/>
    <w:rsid w:val="00C163CE"/>
    <w:rsid w:val="00C17E01"/>
    <w:rsid w:val="00C2153F"/>
    <w:rsid w:val="00C22064"/>
    <w:rsid w:val="00C23406"/>
    <w:rsid w:val="00C3089C"/>
    <w:rsid w:val="00C31AC4"/>
    <w:rsid w:val="00C322B9"/>
    <w:rsid w:val="00C409BE"/>
    <w:rsid w:val="00C423CA"/>
    <w:rsid w:val="00C431BC"/>
    <w:rsid w:val="00C449CA"/>
    <w:rsid w:val="00C514A5"/>
    <w:rsid w:val="00C60255"/>
    <w:rsid w:val="00C625DC"/>
    <w:rsid w:val="00C64778"/>
    <w:rsid w:val="00C6498C"/>
    <w:rsid w:val="00C652ED"/>
    <w:rsid w:val="00C735DE"/>
    <w:rsid w:val="00C7793C"/>
    <w:rsid w:val="00C82726"/>
    <w:rsid w:val="00C9295D"/>
    <w:rsid w:val="00C937B8"/>
    <w:rsid w:val="00C939A8"/>
    <w:rsid w:val="00C93AE7"/>
    <w:rsid w:val="00C957E3"/>
    <w:rsid w:val="00C97145"/>
    <w:rsid w:val="00CB3359"/>
    <w:rsid w:val="00CB4784"/>
    <w:rsid w:val="00CB760A"/>
    <w:rsid w:val="00CC5877"/>
    <w:rsid w:val="00CC7843"/>
    <w:rsid w:val="00CD114A"/>
    <w:rsid w:val="00CD3B23"/>
    <w:rsid w:val="00CE79BA"/>
    <w:rsid w:val="00CF0A8F"/>
    <w:rsid w:val="00CF7F2A"/>
    <w:rsid w:val="00D010FD"/>
    <w:rsid w:val="00D01B6C"/>
    <w:rsid w:val="00D02812"/>
    <w:rsid w:val="00D02D7A"/>
    <w:rsid w:val="00D10B1F"/>
    <w:rsid w:val="00D13FCB"/>
    <w:rsid w:val="00D20056"/>
    <w:rsid w:val="00D30700"/>
    <w:rsid w:val="00D35EDC"/>
    <w:rsid w:val="00D4119D"/>
    <w:rsid w:val="00D46EBA"/>
    <w:rsid w:val="00D47100"/>
    <w:rsid w:val="00D50AA0"/>
    <w:rsid w:val="00D5204A"/>
    <w:rsid w:val="00D562D3"/>
    <w:rsid w:val="00D57967"/>
    <w:rsid w:val="00D6391F"/>
    <w:rsid w:val="00D64E9B"/>
    <w:rsid w:val="00D66765"/>
    <w:rsid w:val="00D7102E"/>
    <w:rsid w:val="00D73911"/>
    <w:rsid w:val="00D76CEC"/>
    <w:rsid w:val="00D8200A"/>
    <w:rsid w:val="00D8240B"/>
    <w:rsid w:val="00D86E81"/>
    <w:rsid w:val="00D95AB4"/>
    <w:rsid w:val="00D967B1"/>
    <w:rsid w:val="00D96F85"/>
    <w:rsid w:val="00DA6458"/>
    <w:rsid w:val="00DB00A5"/>
    <w:rsid w:val="00DB2119"/>
    <w:rsid w:val="00DB2592"/>
    <w:rsid w:val="00DB497B"/>
    <w:rsid w:val="00DC0063"/>
    <w:rsid w:val="00DC006D"/>
    <w:rsid w:val="00DC053E"/>
    <w:rsid w:val="00DC05BC"/>
    <w:rsid w:val="00DC4021"/>
    <w:rsid w:val="00DC4264"/>
    <w:rsid w:val="00DD048B"/>
    <w:rsid w:val="00DD3A24"/>
    <w:rsid w:val="00DE17CF"/>
    <w:rsid w:val="00DE25B6"/>
    <w:rsid w:val="00DE2FCE"/>
    <w:rsid w:val="00DF2517"/>
    <w:rsid w:val="00DF3516"/>
    <w:rsid w:val="00E01923"/>
    <w:rsid w:val="00E03C07"/>
    <w:rsid w:val="00E0451D"/>
    <w:rsid w:val="00E07A13"/>
    <w:rsid w:val="00E07E81"/>
    <w:rsid w:val="00E149E5"/>
    <w:rsid w:val="00E20E3C"/>
    <w:rsid w:val="00E25528"/>
    <w:rsid w:val="00E335EE"/>
    <w:rsid w:val="00E33F07"/>
    <w:rsid w:val="00E36290"/>
    <w:rsid w:val="00E362E3"/>
    <w:rsid w:val="00E37374"/>
    <w:rsid w:val="00E4008E"/>
    <w:rsid w:val="00E40A18"/>
    <w:rsid w:val="00E42E72"/>
    <w:rsid w:val="00E50031"/>
    <w:rsid w:val="00E516AF"/>
    <w:rsid w:val="00E524EA"/>
    <w:rsid w:val="00E53D3A"/>
    <w:rsid w:val="00E5653A"/>
    <w:rsid w:val="00E601E2"/>
    <w:rsid w:val="00E65DB9"/>
    <w:rsid w:val="00E66D8B"/>
    <w:rsid w:val="00E71139"/>
    <w:rsid w:val="00E77040"/>
    <w:rsid w:val="00E77A60"/>
    <w:rsid w:val="00E817D8"/>
    <w:rsid w:val="00E81E61"/>
    <w:rsid w:val="00E82DD0"/>
    <w:rsid w:val="00E841C9"/>
    <w:rsid w:val="00E84882"/>
    <w:rsid w:val="00E848B4"/>
    <w:rsid w:val="00E86030"/>
    <w:rsid w:val="00E87188"/>
    <w:rsid w:val="00E91417"/>
    <w:rsid w:val="00E91F2A"/>
    <w:rsid w:val="00E94329"/>
    <w:rsid w:val="00E947B8"/>
    <w:rsid w:val="00EB0BD9"/>
    <w:rsid w:val="00EB1377"/>
    <w:rsid w:val="00EB3C6D"/>
    <w:rsid w:val="00EB5155"/>
    <w:rsid w:val="00EB6F71"/>
    <w:rsid w:val="00EB7071"/>
    <w:rsid w:val="00EC1E33"/>
    <w:rsid w:val="00EC24CA"/>
    <w:rsid w:val="00EC6366"/>
    <w:rsid w:val="00ED40A6"/>
    <w:rsid w:val="00ED7DBA"/>
    <w:rsid w:val="00EE0730"/>
    <w:rsid w:val="00EE2D7E"/>
    <w:rsid w:val="00EE5AF8"/>
    <w:rsid w:val="00EF24BB"/>
    <w:rsid w:val="00EF6635"/>
    <w:rsid w:val="00F01120"/>
    <w:rsid w:val="00F07022"/>
    <w:rsid w:val="00F07101"/>
    <w:rsid w:val="00F071A9"/>
    <w:rsid w:val="00F10F62"/>
    <w:rsid w:val="00F1119E"/>
    <w:rsid w:val="00F1776F"/>
    <w:rsid w:val="00F22828"/>
    <w:rsid w:val="00F26635"/>
    <w:rsid w:val="00F33E30"/>
    <w:rsid w:val="00F35A34"/>
    <w:rsid w:val="00F40882"/>
    <w:rsid w:val="00F43559"/>
    <w:rsid w:val="00F4558F"/>
    <w:rsid w:val="00F5789B"/>
    <w:rsid w:val="00F75AAB"/>
    <w:rsid w:val="00F75C76"/>
    <w:rsid w:val="00F7625B"/>
    <w:rsid w:val="00F86CCA"/>
    <w:rsid w:val="00F9069D"/>
    <w:rsid w:val="00F92C7C"/>
    <w:rsid w:val="00F95FD6"/>
    <w:rsid w:val="00FA076B"/>
    <w:rsid w:val="00FA3559"/>
    <w:rsid w:val="00FA4B42"/>
    <w:rsid w:val="00FB02F9"/>
    <w:rsid w:val="00FB4764"/>
    <w:rsid w:val="00FB60A6"/>
    <w:rsid w:val="00FC720B"/>
    <w:rsid w:val="00FD0F20"/>
    <w:rsid w:val="00FD33A8"/>
    <w:rsid w:val="00FD6EC2"/>
    <w:rsid w:val="00FE1E53"/>
    <w:rsid w:val="00FE3B0D"/>
    <w:rsid w:val="00FE3FE9"/>
    <w:rsid w:val="00FE6A10"/>
    <w:rsid w:val="00FF1CCF"/>
    <w:rsid w:val="00FF2A7B"/>
    <w:rsid w:val="00FF39A8"/>
    <w:rsid w:val="00FF5D92"/>
    <w:rsid w:val="00FF68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52B52"/>
  <w15:chartTrackingRefBased/>
  <w15:docId w15:val="{16709618-343D-4117-8C7A-6880AC97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Char,Char Char,Char Char Char,Char Char Char Char Char,FA Fu,Footnote Text Char Char Char Char,Footnote Text Char Char Char Char Char,Footnote ak,Footnote reference,Footnote text,Footnotes,Nota de rodapé,f,fn,ft,ft Char Ch,ft2"/>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Char Char6 Char Char Char Char Char Char Char Char Char Char Char Char,Char6 Char Char Char Char Char Char Char Char Char Char Char Char Char,Footnote,Ref,de nota al pie,fr"/>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Hyperlien">
    <w:name w:val="Hyperlink"/>
    <w:basedOn w:val="Policepardfaut"/>
    <w:uiPriority w:val="99"/>
    <w:unhideWhenUsed/>
    <w:rsid w:val="00E91F2A"/>
    <w:rPr>
      <w:color w:val="0563C1" w:themeColor="hyperlink"/>
      <w:u w:val="single"/>
    </w:rPr>
  </w:style>
  <w:style w:type="character" w:customStyle="1" w:styleId="Mentionnonrsolue1">
    <w:name w:val="Mention non résolue1"/>
    <w:basedOn w:val="Policepardfaut"/>
    <w:uiPriority w:val="99"/>
    <w:semiHidden/>
    <w:unhideWhenUsed/>
    <w:rsid w:val="00E91F2A"/>
    <w:rPr>
      <w:color w:val="605E5C"/>
      <w:shd w:val="clear" w:color="auto" w:fill="E1DFDD"/>
    </w:rPr>
  </w:style>
  <w:style w:type="paragraph" w:customStyle="1" w:styleId="noparagrjugement">
    <w:name w:val="noparagrjugement"/>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NotedebasdepageCar">
    <w:name w:val="Note de bas de page Car"/>
    <w:aliases w:val="Char Car,Char Char Car,Char Char Char Car,Char Char Char Char Char Car,FA Fu Car,Footnote Text Char Char Char Char Car,Footnote Text Char Char Char Char Char Car,Footnote ak Car,Footnote reference Car,Footnote text Car,f Car"/>
    <w:basedOn w:val="Policepardfaut"/>
    <w:link w:val="Notedebasdepage"/>
    <w:rsid w:val="00E524EA"/>
    <w:rPr>
      <w:rFonts w:ascii="Arial" w:hAnsi="Arial"/>
      <w:lang w:eastAsia="fr-FR"/>
    </w:rPr>
  </w:style>
  <w:style w:type="character" w:customStyle="1" w:styleId="ParagrapheCar">
    <w:name w:val="Paragraphe Car"/>
    <w:link w:val="Paragraphe"/>
    <w:qFormat/>
    <w:rsid w:val="00E524EA"/>
    <w:rPr>
      <w:rFonts w:ascii="Arial" w:hAnsi="Arial"/>
      <w:kern w:val="28"/>
      <w:sz w:val="24"/>
      <w:lang w:eastAsia="fr-FR"/>
    </w:rPr>
  </w:style>
  <w:style w:type="paragraph" w:styleId="Rvision">
    <w:name w:val="Revision"/>
    <w:hidden/>
    <w:uiPriority w:val="99"/>
    <w:semiHidden/>
    <w:rsid w:val="00E524EA"/>
    <w:rPr>
      <w:rFonts w:ascii="Arial" w:hAnsi="Arial"/>
      <w:sz w:val="24"/>
      <w:lang w:eastAsia="fr-FR"/>
    </w:rPr>
  </w:style>
  <w:style w:type="character" w:styleId="Marquedecommentaire">
    <w:name w:val="annotation reference"/>
    <w:basedOn w:val="Policepardfaut"/>
    <w:uiPriority w:val="99"/>
    <w:semiHidden/>
    <w:unhideWhenUsed/>
    <w:rsid w:val="00E524EA"/>
    <w:rPr>
      <w:sz w:val="16"/>
      <w:szCs w:val="16"/>
    </w:rPr>
  </w:style>
  <w:style w:type="paragraph" w:styleId="Commentaire">
    <w:name w:val="annotation text"/>
    <w:basedOn w:val="Normal"/>
    <w:link w:val="CommentaireCar"/>
    <w:uiPriority w:val="99"/>
    <w:unhideWhenUsed/>
    <w:rsid w:val="00E524EA"/>
    <w:pPr>
      <w:spacing w:line="240" w:lineRule="auto"/>
    </w:pPr>
    <w:rPr>
      <w:sz w:val="20"/>
    </w:rPr>
  </w:style>
  <w:style w:type="character" w:customStyle="1" w:styleId="CommentaireCar">
    <w:name w:val="Commentaire Car"/>
    <w:basedOn w:val="Policepardfaut"/>
    <w:link w:val="Commentaire"/>
    <w:uiPriority w:val="99"/>
    <w:rsid w:val="00E524EA"/>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E524EA"/>
    <w:rPr>
      <w:b/>
      <w:bCs/>
    </w:rPr>
  </w:style>
  <w:style w:type="character" w:customStyle="1" w:styleId="ObjetducommentaireCar">
    <w:name w:val="Objet du commentaire Car"/>
    <w:basedOn w:val="CommentaireCar"/>
    <w:link w:val="Objetducommentaire"/>
    <w:uiPriority w:val="99"/>
    <w:semiHidden/>
    <w:rsid w:val="00E524EA"/>
    <w:rPr>
      <w:rFonts w:ascii="Arial" w:hAnsi="Arial"/>
      <w:b/>
      <w:bCs/>
      <w:lang w:eastAsia="fr-FR"/>
    </w:rPr>
  </w:style>
  <w:style w:type="character" w:styleId="Lienvisit">
    <w:name w:val="FollowedHyperlink"/>
    <w:basedOn w:val="Policepardfaut"/>
    <w:uiPriority w:val="99"/>
    <w:semiHidden/>
    <w:unhideWhenUsed/>
    <w:rsid w:val="00E524EA"/>
    <w:rPr>
      <w:color w:val="954F72" w:themeColor="followedHyperlink"/>
      <w:u w:val="single"/>
    </w:rPr>
  </w:style>
  <w:style w:type="paragraph" w:customStyle="1" w:styleId="paranondepar-altn">
    <w:name w:val="paranondepar-altn"/>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decisia-reflex2-icon">
    <w:name w:val="decisia-reflex2-icon"/>
    <w:basedOn w:val="Policepardfaut"/>
    <w:rsid w:val="00E524EA"/>
  </w:style>
  <w:style w:type="paragraph" w:customStyle="1" w:styleId="citation-altc">
    <w:name w:val="citation-altc"/>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solexhl">
    <w:name w:val="solexhl"/>
    <w:basedOn w:val="Policepardfaut"/>
    <w:rsid w:val="00E524EA"/>
  </w:style>
  <w:style w:type="character" w:styleId="CitationHTML">
    <w:name w:val="HTML Cite"/>
    <w:basedOn w:val="Policepardfaut"/>
    <w:uiPriority w:val="99"/>
    <w:unhideWhenUsed/>
    <w:rsid w:val="00E524EA"/>
    <w:rPr>
      <w:i/>
      <w:iCs/>
    </w:rPr>
  </w:style>
  <w:style w:type="paragraph" w:customStyle="1" w:styleId="paragraphe0">
    <w:name w:val="paragraphe"/>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reflex2-link">
    <w:name w:val="reflex2-link"/>
    <w:basedOn w:val="Policepardfaut"/>
    <w:rsid w:val="00E52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16147</Words>
  <Characters>83698</Characters>
  <Application>Microsoft Office Word</Application>
  <DocSecurity>0</DocSecurity>
  <Lines>697</Lines>
  <Paragraphs>199</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99646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creator>Marie-France Lefebvre</dc:creator>
  <cp:lastModifiedBy>Laprise, Andrée-Anne</cp:lastModifiedBy>
  <cp:revision>2</cp:revision>
  <cp:lastPrinted>2026-05-27T17:32:00Z</cp:lastPrinted>
  <dcterms:created xsi:type="dcterms:W3CDTF">2026-06-08T11:12:00Z</dcterms:created>
  <dcterms:modified xsi:type="dcterms:W3CDTF">2026-06-08T11:12:00Z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Cour">
    <vt:lpwstr>CA</vt:lpwstr>
  </property>
  <property fmtid="{D5CDD505-2E9C-101B-9397-08002B2CF9AE}" pid="3" name="Soquij_DateModification">
    <vt:lpwstr>04-26-2001</vt:lpwstr>
  </property>
  <property fmtid="{D5CDD505-2E9C-101B-9397-08002B2CF9AE}" pid="4" name="Soquij_Langue">
    <vt:lpwstr>Fra</vt:lpwstr>
  </property>
  <property fmtid="{D5CDD505-2E9C-101B-9397-08002B2CF9AE}" pid="5" name="Soquij_Modele">
    <vt:lpwstr>Edj</vt:lpwstr>
  </property>
  <property fmtid="{D5CDD505-2E9C-101B-9397-08002B2CF9AE}" pid="6" name="Soquij_ModifiePar">
    <vt:lpwstr>renste</vt:lpwstr>
  </property>
  <property fmtid="{D5CDD505-2E9C-101B-9397-08002B2CF9AE}" pid="7" name="Soquij_Version">
    <vt:lpwstr>1.6</vt:lpwstr>
  </property>
</Properties>
</file>