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5" w:type="dxa"/>
        <w:tblLayout w:type="fixed"/>
        <w:tblCellMar>
          <w:left w:w="70" w:type="dxa"/>
          <w:right w:w="70" w:type="dxa"/>
        </w:tblCellMar>
        <w:tblLook w:val="0000" w:firstRow="0" w:lastRow="0" w:firstColumn="0" w:lastColumn="0" w:noHBand="0" w:noVBand="0"/>
      </w:tblPr>
      <w:tblGrid>
        <w:gridCol w:w="1036"/>
        <w:gridCol w:w="98"/>
        <w:gridCol w:w="481"/>
        <w:gridCol w:w="1585"/>
        <w:gridCol w:w="1826"/>
        <w:gridCol w:w="2064"/>
        <w:gridCol w:w="2415"/>
      </w:tblGrid>
      <w:tr w:rsidR="0049403F" w14:paraId="79FA6FB4" w14:textId="77777777" w:rsidTr="006B5AD7">
        <w:trPr>
          <w:trHeight w:val="360"/>
        </w:trPr>
        <w:tc>
          <w:tcPr>
            <w:tcW w:w="7090" w:type="dxa"/>
            <w:gridSpan w:val="6"/>
          </w:tcPr>
          <w:p w14:paraId="217B385E" w14:textId="30BD2857" w:rsidR="00121A72" w:rsidRPr="00614347" w:rsidRDefault="00614347" w:rsidP="00614347">
            <w:pPr>
              <w:pStyle w:val="zSoquijdatRepertorie"/>
              <w:rPr>
                <w:rFonts w:cs="Arial"/>
                <w:lang w:val="en-CA"/>
              </w:rPr>
            </w:pPr>
            <w:r>
              <w:rPr>
                <w:rFonts w:cs="Arial"/>
                <w:lang w:val="en-CA"/>
              </w:rPr>
              <w:t>Zuckerman c. MGM Resort</w:t>
            </w:r>
            <w:r w:rsidR="00EE3E2F">
              <w:rPr>
                <w:rFonts w:cs="Arial"/>
                <w:lang w:val="en-CA"/>
              </w:rPr>
              <w:t>s</w:t>
            </w:r>
            <w:r>
              <w:rPr>
                <w:rFonts w:cs="Arial"/>
                <w:lang w:val="en-CA"/>
              </w:rPr>
              <w:t xml:space="preserve"> International</w:t>
            </w:r>
          </w:p>
        </w:tc>
        <w:tc>
          <w:tcPr>
            <w:tcW w:w="2415" w:type="dxa"/>
          </w:tcPr>
          <w:p w14:paraId="0F2E302A" w14:textId="6CA61A63" w:rsidR="00121A72" w:rsidRPr="00832E70" w:rsidRDefault="00832E70" w:rsidP="00832E70">
            <w:pPr>
              <w:pStyle w:val="zSoquijdatRefNeutre"/>
              <w:jc w:val="right"/>
              <w:rPr>
                <w:rFonts w:cs="Arial"/>
              </w:rPr>
            </w:pPr>
            <w:r w:rsidRPr="00832E70">
              <w:rPr>
                <w:rFonts w:cs="Arial"/>
              </w:rPr>
              <w:t>2026 QCCS 2109</w:t>
            </w:r>
          </w:p>
        </w:tc>
      </w:tr>
      <w:tr w:rsidR="0049403F" w14:paraId="630DAB23" w14:textId="77777777" w:rsidTr="006B5AD7">
        <w:trPr>
          <w:trHeight w:val="900"/>
        </w:trPr>
        <w:tc>
          <w:tcPr>
            <w:tcW w:w="9505" w:type="dxa"/>
            <w:gridSpan w:val="7"/>
            <w:vAlign w:val="bottom"/>
          </w:tcPr>
          <w:p w14:paraId="179C524A" w14:textId="77777777" w:rsidR="00121A72" w:rsidRDefault="00B37051" w:rsidP="00D26929">
            <w:pPr>
              <w:pStyle w:val="zSoquijlblCour"/>
            </w:pPr>
            <w:r>
              <w:t>COUR SUPÉRIEURE</w:t>
            </w:r>
          </w:p>
        </w:tc>
      </w:tr>
      <w:tr w:rsidR="0049403F" w14:paraId="1247B3DF" w14:textId="77777777" w:rsidTr="006B5AD7">
        <w:trPr>
          <w:trHeight w:val="540"/>
        </w:trPr>
        <w:tc>
          <w:tcPr>
            <w:tcW w:w="9505" w:type="dxa"/>
            <w:gridSpan w:val="7"/>
          </w:tcPr>
          <w:p w14:paraId="1E6B37C8" w14:textId="77777777" w:rsidR="00121A72" w:rsidRDefault="00B37051" w:rsidP="00D26929">
            <w:pPr>
              <w:pStyle w:val="zSoquijdatDivision"/>
            </w:pPr>
            <w:r>
              <w:t>(Chambre des actions collectives)</w:t>
            </w:r>
          </w:p>
        </w:tc>
      </w:tr>
      <w:tr w:rsidR="0049403F" w14:paraId="2D9B31FC" w14:textId="77777777" w:rsidTr="006B5AD7">
        <w:tc>
          <w:tcPr>
            <w:tcW w:w="9505" w:type="dxa"/>
            <w:gridSpan w:val="7"/>
          </w:tcPr>
          <w:p w14:paraId="63CC3F09" w14:textId="77777777" w:rsidR="00121A72" w:rsidRPr="00C025FC" w:rsidRDefault="00B37051" w:rsidP="00D26929">
            <w:pPr>
              <w:pStyle w:val="zSoquijlblPays"/>
            </w:pPr>
            <w:r w:rsidRPr="00C025FC">
              <w:t>CANADA</w:t>
            </w:r>
          </w:p>
        </w:tc>
      </w:tr>
      <w:tr w:rsidR="0049403F" w14:paraId="6D21742F" w14:textId="77777777" w:rsidTr="006B5AD7">
        <w:tc>
          <w:tcPr>
            <w:tcW w:w="9505" w:type="dxa"/>
            <w:gridSpan w:val="7"/>
          </w:tcPr>
          <w:p w14:paraId="35D951BC" w14:textId="77777777" w:rsidR="00121A72" w:rsidRDefault="00B37051" w:rsidP="00D26929">
            <w:pPr>
              <w:pStyle w:val="zSoquijlblProvince"/>
            </w:pPr>
            <w:r>
              <w:t>PROVINCE DE QUÉBEC</w:t>
            </w:r>
          </w:p>
        </w:tc>
      </w:tr>
      <w:tr w:rsidR="0049403F" w14:paraId="51CD361F" w14:textId="77777777" w:rsidTr="006B5AD7">
        <w:tblPrEx>
          <w:tblCellMar>
            <w:left w:w="0" w:type="dxa"/>
            <w:right w:w="0" w:type="dxa"/>
          </w:tblCellMar>
        </w:tblPrEx>
        <w:trPr>
          <w:cantSplit/>
        </w:trPr>
        <w:tc>
          <w:tcPr>
            <w:tcW w:w="1615" w:type="dxa"/>
            <w:gridSpan w:val="3"/>
          </w:tcPr>
          <w:p w14:paraId="37731594" w14:textId="77777777" w:rsidR="00121A72" w:rsidRDefault="00B37051" w:rsidP="00D26929">
            <w:pPr>
              <w:pStyle w:val="zSoquijlblGreffe"/>
            </w:pPr>
            <w:r>
              <w:t>DISTRICT DE</w:t>
            </w:r>
          </w:p>
        </w:tc>
        <w:tc>
          <w:tcPr>
            <w:tcW w:w="7890" w:type="dxa"/>
            <w:gridSpan w:val="4"/>
          </w:tcPr>
          <w:p w14:paraId="550F94D3" w14:textId="77777777" w:rsidR="00121A72" w:rsidRDefault="00B37051" w:rsidP="00D26929">
            <w:pPr>
              <w:pStyle w:val="zSoquijdatGreffe"/>
            </w:pPr>
            <w:r>
              <w:t>MONTRÉAL</w:t>
            </w:r>
          </w:p>
        </w:tc>
      </w:tr>
      <w:tr w:rsidR="0049403F" w14:paraId="1042E91A" w14:textId="77777777" w:rsidTr="006B5AD7">
        <w:trPr>
          <w:trHeight w:val="540"/>
        </w:trPr>
        <w:tc>
          <w:tcPr>
            <w:tcW w:w="9505" w:type="dxa"/>
            <w:gridSpan w:val="7"/>
          </w:tcPr>
          <w:p w14:paraId="48A22A70" w14:textId="77777777" w:rsidR="00121A72" w:rsidRDefault="00121A72" w:rsidP="00D26929">
            <w:pPr>
              <w:pStyle w:val="zSoquijlblNomChambre"/>
            </w:pPr>
          </w:p>
        </w:tc>
      </w:tr>
      <w:tr w:rsidR="0049403F" w14:paraId="627946C1" w14:textId="77777777" w:rsidTr="006B5AD7">
        <w:tc>
          <w:tcPr>
            <w:tcW w:w="1134" w:type="dxa"/>
            <w:gridSpan w:val="2"/>
          </w:tcPr>
          <w:p w14:paraId="71F538D3" w14:textId="77777777" w:rsidR="00121A72" w:rsidRDefault="00B37051" w:rsidP="00D26929">
            <w:pPr>
              <w:pStyle w:val="zSoquijlblNoDossier"/>
            </w:pPr>
            <w:r>
              <w:t>N</w:t>
            </w:r>
            <w:r w:rsidR="008A7DDE">
              <w:rPr>
                <w:vertAlign w:val="superscript"/>
              </w:rPr>
              <w:t>o</w:t>
            </w:r>
            <w:r w:rsidR="00C44179">
              <w:rPr>
                <w:vertAlign w:val="superscript"/>
              </w:rPr>
              <w:t>s</w:t>
            </w:r>
            <w:r>
              <w:t> :</w:t>
            </w:r>
          </w:p>
        </w:tc>
        <w:tc>
          <w:tcPr>
            <w:tcW w:w="8371" w:type="dxa"/>
            <w:gridSpan w:val="5"/>
          </w:tcPr>
          <w:p w14:paraId="6791E133" w14:textId="77777777" w:rsidR="00121A72" w:rsidRPr="00C171E7" w:rsidRDefault="00B37051" w:rsidP="009E7E11">
            <w:pPr>
              <w:pStyle w:val="zSoquijdatNoDossier"/>
              <w:ind w:left="-69"/>
            </w:pPr>
            <w:r w:rsidRPr="00C171E7">
              <w:rPr>
                <w:rFonts w:cs="Arial"/>
              </w:rPr>
              <w:t>500-06-00</w:t>
            </w:r>
            <w:r w:rsidR="006B5AD7">
              <w:rPr>
                <w:rFonts w:cs="Arial"/>
              </w:rPr>
              <w:t>1078</w:t>
            </w:r>
            <w:r w:rsidRPr="00C171E7">
              <w:rPr>
                <w:rFonts w:cs="Arial"/>
              </w:rPr>
              <w:t>-</w:t>
            </w:r>
            <w:r w:rsidR="006B5AD7">
              <w:rPr>
                <w:rFonts w:cs="Arial"/>
              </w:rPr>
              <w:t>209</w:t>
            </w:r>
          </w:p>
        </w:tc>
      </w:tr>
      <w:tr w:rsidR="0049403F" w14:paraId="44B67342" w14:textId="77777777" w:rsidTr="006B5AD7">
        <w:tblPrEx>
          <w:tblCellMar>
            <w:left w:w="0" w:type="dxa"/>
            <w:right w:w="0" w:type="dxa"/>
          </w:tblCellMar>
        </w:tblPrEx>
        <w:trPr>
          <w:cantSplit/>
        </w:trPr>
        <w:tc>
          <w:tcPr>
            <w:tcW w:w="1134" w:type="dxa"/>
            <w:gridSpan w:val="2"/>
          </w:tcPr>
          <w:p w14:paraId="619C4329" w14:textId="77777777" w:rsidR="00121A72" w:rsidRDefault="00121A72" w:rsidP="00D26929">
            <w:pPr>
              <w:pStyle w:val="zSoquijlblGreffe"/>
            </w:pPr>
          </w:p>
        </w:tc>
        <w:tc>
          <w:tcPr>
            <w:tcW w:w="8371" w:type="dxa"/>
            <w:gridSpan w:val="5"/>
          </w:tcPr>
          <w:p w14:paraId="42C96F0F" w14:textId="77777777" w:rsidR="00121A72" w:rsidRDefault="00B37051" w:rsidP="00D26929">
            <w:pPr>
              <w:pStyle w:val="zSoquijdatNoDossierAnt"/>
            </w:pPr>
            <w:r>
              <w:t>500-06-001280-235</w:t>
            </w:r>
          </w:p>
        </w:tc>
      </w:tr>
      <w:tr w:rsidR="0049403F" w14:paraId="43CCACCF" w14:textId="77777777" w:rsidTr="006B5AD7">
        <w:trPr>
          <w:cantSplit/>
          <w:trHeight w:val="235"/>
        </w:trPr>
        <w:tc>
          <w:tcPr>
            <w:tcW w:w="9505" w:type="dxa"/>
            <w:gridSpan w:val="7"/>
          </w:tcPr>
          <w:p w14:paraId="26707887" w14:textId="77777777" w:rsidR="00121A72" w:rsidRDefault="00121A72" w:rsidP="00D26929"/>
        </w:tc>
      </w:tr>
      <w:tr w:rsidR="0049403F" w14:paraId="2336DBD0" w14:textId="77777777" w:rsidTr="006B5AD7">
        <w:tc>
          <w:tcPr>
            <w:tcW w:w="1036" w:type="dxa"/>
          </w:tcPr>
          <w:p w14:paraId="1E0E4BE8" w14:textId="77777777" w:rsidR="00121A72" w:rsidRPr="009515AC" w:rsidRDefault="00B37051" w:rsidP="00D26929">
            <w:pPr>
              <w:pStyle w:val="zSoquijlblDateJugement"/>
            </w:pPr>
            <w:r w:rsidRPr="009515AC">
              <w:t>DATE :</w:t>
            </w:r>
          </w:p>
        </w:tc>
        <w:tc>
          <w:tcPr>
            <w:tcW w:w="8469" w:type="dxa"/>
            <w:gridSpan w:val="6"/>
          </w:tcPr>
          <w:p w14:paraId="2582BA6E" w14:textId="77777777" w:rsidR="00121A72" w:rsidRPr="00F550D9" w:rsidRDefault="00B37051" w:rsidP="00D26929">
            <w:pPr>
              <w:pStyle w:val="zSoquijdatDateJugement"/>
            </w:pPr>
            <w:r>
              <w:t xml:space="preserve">Le </w:t>
            </w:r>
            <w:r w:rsidR="003E2386">
              <w:t>10 juin</w:t>
            </w:r>
            <w:r w:rsidR="00C171E7">
              <w:t xml:space="preserve"> </w:t>
            </w:r>
            <w:r w:rsidR="009E06A7" w:rsidRPr="00F550D9">
              <w:t>202</w:t>
            </w:r>
            <w:r w:rsidR="00C171E7">
              <w:t>6</w:t>
            </w:r>
          </w:p>
        </w:tc>
      </w:tr>
      <w:tr w:rsidR="0049403F" w14:paraId="0C03B754" w14:textId="77777777" w:rsidTr="006B5AD7">
        <w:tc>
          <w:tcPr>
            <w:tcW w:w="9505" w:type="dxa"/>
            <w:gridSpan w:val="7"/>
          </w:tcPr>
          <w:p w14:paraId="0A9B89D7" w14:textId="77777777" w:rsidR="00121A72" w:rsidRDefault="00B37051" w:rsidP="00D26929">
            <w:pPr>
              <w:ind w:left="14" w:right="-67"/>
            </w:pPr>
            <w:r>
              <w:t>______________________________________________________________________</w:t>
            </w:r>
          </w:p>
        </w:tc>
      </w:tr>
      <w:tr w:rsidR="0049403F" w14:paraId="6B046D05" w14:textId="77777777" w:rsidTr="006B5AD7">
        <w:tc>
          <w:tcPr>
            <w:tcW w:w="9505" w:type="dxa"/>
            <w:gridSpan w:val="7"/>
          </w:tcPr>
          <w:p w14:paraId="059CCA2A" w14:textId="77777777" w:rsidR="00121A72" w:rsidRDefault="00121A72" w:rsidP="00D26929"/>
        </w:tc>
      </w:tr>
      <w:tr w:rsidR="0049403F" w14:paraId="72E9B87A" w14:textId="77777777" w:rsidTr="006B5AD7">
        <w:tblPrEx>
          <w:tblCellMar>
            <w:left w:w="0" w:type="dxa"/>
            <w:right w:w="0" w:type="dxa"/>
          </w:tblCellMar>
        </w:tblPrEx>
        <w:tc>
          <w:tcPr>
            <w:tcW w:w="3200" w:type="dxa"/>
            <w:gridSpan w:val="4"/>
          </w:tcPr>
          <w:p w14:paraId="23D748C3" w14:textId="77777777" w:rsidR="00121A72" w:rsidRDefault="00B37051" w:rsidP="00D26929">
            <w:pPr>
              <w:pStyle w:val="zSoquijlblJuge"/>
            </w:pPr>
            <w:r>
              <w:t>SOUS LA PRÉSIDENCE DE</w:t>
            </w:r>
          </w:p>
        </w:tc>
        <w:tc>
          <w:tcPr>
            <w:tcW w:w="1826" w:type="dxa"/>
          </w:tcPr>
          <w:p w14:paraId="150F22B4" w14:textId="77777777" w:rsidR="00121A72" w:rsidRDefault="00B37051" w:rsidP="00D26929">
            <w:pPr>
              <w:pStyle w:val="zSoquijdatQteJuge"/>
            </w:pPr>
            <w:r>
              <w:t>L’HONORABLE</w:t>
            </w:r>
          </w:p>
        </w:tc>
        <w:tc>
          <w:tcPr>
            <w:tcW w:w="4479" w:type="dxa"/>
            <w:gridSpan w:val="2"/>
          </w:tcPr>
          <w:p w14:paraId="00B32045" w14:textId="77777777" w:rsidR="00121A72" w:rsidRPr="00C171E7" w:rsidRDefault="00B37051" w:rsidP="00D26929">
            <w:pPr>
              <w:pStyle w:val="zSoquijdatJuge"/>
            </w:pPr>
            <w:r w:rsidRPr="00C171E7">
              <w:t>PIERRE NOLLET</w:t>
            </w:r>
            <w:r w:rsidR="008A4532" w:rsidRPr="00C171E7">
              <w:t>, J.C.S.</w:t>
            </w:r>
          </w:p>
        </w:tc>
      </w:tr>
      <w:tr w:rsidR="0049403F" w14:paraId="26120E37" w14:textId="77777777" w:rsidTr="006B5AD7">
        <w:tc>
          <w:tcPr>
            <w:tcW w:w="9505" w:type="dxa"/>
            <w:gridSpan w:val="7"/>
          </w:tcPr>
          <w:p w14:paraId="0B57101E" w14:textId="77777777" w:rsidR="00121A72" w:rsidRDefault="00B37051" w:rsidP="00D26929">
            <w:pPr>
              <w:ind w:left="14" w:right="-67"/>
            </w:pPr>
            <w:r>
              <w:t>______________________________________________________________________</w:t>
            </w:r>
          </w:p>
        </w:tc>
      </w:tr>
      <w:tr w:rsidR="0049403F" w14:paraId="3ACEA4F9" w14:textId="77777777" w:rsidTr="006B5AD7">
        <w:tc>
          <w:tcPr>
            <w:tcW w:w="9505" w:type="dxa"/>
            <w:gridSpan w:val="7"/>
          </w:tcPr>
          <w:p w14:paraId="1DB81A1E" w14:textId="77777777" w:rsidR="00121A72" w:rsidRDefault="00121A72" w:rsidP="00D26929">
            <w:pPr>
              <w:pStyle w:val="zSoquijlblTitrePartie"/>
            </w:pPr>
          </w:p>
        </w:tc>
      </w:tr>
      <w:tr w:rsidR="0049403F" w14:paraId="0741CB61" w14:textId="77777777" w:rsidTr="006B5AD7">
        <w:tc>
          <w:tcPr>
            <w:tcW w:w="9505" w:type="dxa"/>
            <w:gridSpan w:val="7"/>
          </w:tcPr>
          <w:p w14:paraId="249BC784" w14:textId="77777777" w:rsidR="008861A6" w:rsidRPr="008861A6" w:rsidRDefault="00B37051" w:rsidP="008861A6">
            <w:pPr>
              <w:rPr>
                <w:u w:val="single"/>
              </w:rPr>
            </w:pPr>
            <w:r w:rsidRPr="008861A6">
              <w:rPr>
                <w:u w:val="single"/>
              </w:rPr>
              <w:t>500-06-001078-209</w:t>
            </w:r>
          </w:p>
        </w:tc>
      </w:tr>
      <w:tr w:rsidR="0049403F" w14:paraId="3831DC07" w14:textId="77777777" w:rsidTr="006B5AD7">
        <w:tc>
          <w:tcPr>
            <w:tcW w:w="9505" w:type="dxa"/>
            <w:gridSpan w:val="7"/>
          </w:tcPr>
          <w:p w14:paraId="0223F31A" w14:textId="77777777" w:rsidR="008861A6" w:rsidRPr="008861A6" w:rsidRDefault="008861A6" w:rsidP="008861A6">
            <w:pPr>
              <w:rPr>
                <w:u w:val="single"/>
              </w:rPr>
            </w:pPr>
          </w:p>
        </w:tc>
      </w:tr>
      <w:tr w:rsidR="0049403F" w14:paraId="0E152DDD" w14:textId="77777777" w:rsidTr="006B5AD7">
        <w:tc>
          <w:tcPr>
            <w:tcW w:w="9505" w:type="dxa"/>
            <w:gridSpan w:val="7"/>
          </w:tcPr>
          <w:p w14:paraId="6BD2B922" w14:textId="77777777" w:rsidR="008861A6" w:rsidRPr="008861A6" w:rsidRDefault="00B37051" w:rsidP="008861A6">
            <w:pPr>
              <w:rPr>
                <w:b/>
                <w:bCs/>
              </w:rPr>
            </w:pPr>
            <w:bookmarkStart w:id="0" w:name="_Hlk233263717"/>
            <w:r w:rsidRPr="008861A6">
              <w:rPr>
                <w:b/>
                <w:bCs/>
              </w:rPr>
              <w:t>EVAN ZUCKERMAN</w:t>
            </w:r>
          </w:p>
        </w:tc>
      </w:tr>
      <w:tr w:rsidR="0049403F" w14:paraId="0B694F9E" w14:textId="77777777" w:rsidTr="006B5AD7">
        <w:tc>
          <w:tcPr>
            <w:tcW w:w="9505" w:type="dxa"/>
            <w:gridSpan w:val="7"/>
          </w:tcPr>
          <w:p w14:paraId="5D8D28F6" w14:textId="77777777" w:rsidR="008861A6" w:rsidRDefault="00B37051" w:rsidP="008861A6">
            <w:r>
              <w:tab/>
              <w:t>Demandeur</w:t>
            </w:r>
          </w:p>
        </w:tc>
      </w:tr>
      <w:tr w:rsidR="0049403F" w14:paraId="06E8E48C" w14:textId="77777777" w:rsidTr="006B5AD7">
        <w:tc>
          <w:tcPr>
            <w:tcW w:w="9505" w:type="dxa"/>
            <w:gridSpan w:val="7"/>
          </w:tcPr>
          <w:p w14:paraId="6220299A" w14:textId="77777777" w:rsidR="008861A6" w:rsidRDefault="00B37051" w:rsidP="008861A6">
            <w:r>
              <w:t>c.</w:t>
            </w:r>
          </w:p>
        </w:tc>
      </w:tr>
      <w:tr w:rsidR="0049403F" w14:paraId="6E6779C6" w14:textId="77777777" w:rsidTr="006B5AD7">
        <w:tc>
          <w:tcPr>
            <w:tcW w:w="9505" w:type="dxa"/>
            <w:gridSpan w:val="7"/>
          </w:tcPr>
          <w:p w14:paraId="2F947C0B" w14:textId="77777777" w:rsidR="008861A6" w:rsidRDefault="00B37051" w:rsidP="008861A6">
            <w:r w:rsidRPr="003A5CB5">
              <w:rPr>
                <w:rFonts w:cs="Arial"/>
                <w:b/>
                <w:lang w:val="en-CA"/>
              </w:rPr>
              <w:t xml:space="preserve">MGM </w:t>
            </w:r>
            <w:r>
              <w:rPr>
                <w:rFonts w:cs="Arial"/>
                <w:b/>
                <w:lang w:val="en-CA"/>
              </w:rPr>
              <w:t>RESORTS INTERNATIONAL</w:t>
            </w:r>
          </w:p>
        </w:tc>
      </w:tr>
      <w:tr w:rsidR="0049403F" w14:paraId="29BEA653" w14:textId="77777777" w:rsidTr="006B5AD7">
        <w:tc>
          <w:tcPr>
            <w:tcW w:w="9505" w:type="dxa"/>
            <w:gridSpan w:val="7"/>
          </w:tcPr>
          <w:p w14:paraId="12B7A196" w14:textId="77777777" w:rsidR="008861A6" w:rsidRDefault="00B37051" w:rsidP="008861A6">
            <w:r>
              <w:tab/>
              <w:t>Défenderesse</w:t>
            </w:r>
          </w:p>
        </w:tc>
      </w:tr>
      <w:bookmarkEnd w:id="0"/>
      <w:tr w:rsidR="0049403F" w14:paraId="12BC3C60" w14:textId="77777777" w:rsidTr="006B5AD7">
        <w:tc>
          <w:tcPr>
            <w:tcW w:w="9505" w:type="dxa"/>
            <w:gridSpan w:val="7"/>
          </w:tcPr>
          <w:p w14:paraId="11FF85C9" w14:textId="77777777" w:rsidR="008861A6" w:rsidRDefault="00B37051" w:rsidP="008861A6">
            <w:r>
              <w:t>______________________________________________________________________</w:t>
            </w:r>
          </w:p>
        </w:tc>
      </w:tr>
      <w:tr w:rsidR="0049403F" w14:paraId="6BD38249" w14:textId="77777777" w:rsidTr="006B5AD7">
        <w:tc>
          <w:tcPr>
            <w:tcW w:w="9505" w:type="dxa"/>
            <w:gridSpan w:val="7"/>
          </w:tcPr>
          <w:p w14:paraId="5A64E5DF" w14:textId="77777777" w:rsidR="00BE2AE6" w:rsidRDefault="00BE2AE6" w:rsidP="008861A6"/>
        </w:tc>
      </w:tr>
      <w:tr w:rsidR="0049403F" w14:paraId="4E2CB0E3" w14:textId="77777777" w:rsidTr="006B5AD7">
        <w:tc>
          <w:tcPr>
            <w:tcW w:w="9505" w:type="dxa"/>
            <w:gridSpan w:val="7"/>
          </w:tcPr>
          <w:p w14:paraId="2C3A2867" w14:textId="77777777" w:rsidR="008861A6" w:rsidRPr="008861A6" w:rsidRDefault="00B37051" w:rsidP="008861A6">
            <w:pPr>
              <w:rPr>
                <w:u w:val="single"/>
              </w:rPr>
            </w:pPr>
            <w:r w:rsidRPr="008861A6">
              <w:rPr>
                <w:bCs/>
                <w:u w:val="single"/>
              </w:rPr>
              <w:t>500-06-001280-235</w:t>
            </w:r>
          </w:p>
        </w:tc>
      </w:tr>
      <w:tr w:rsidR="0049403F" w14:paraId="20EDE2EE" w14:textId="77777777" w:rsidTr="006B5AD7">
        <w:tc>
          <w:tcPr>
            <w:tcW w:w="9505" w:type="dxa"/>
            <w:gridSpan w:val="7"/>
          </w:tcPr>
          <w:p w14:paraId="238ADA85" w14:textId="77777777" w:rsidR="008861A6" w:rsidRDefault="008861A6" w:rsidP="008861A6"/>
        </w:tc>
      </w:tr>
      <w:tr w:rsidR="0049403F" w14:paraId="44F1442D" w14:textId="77777777" w:rsidTr="006B5AD7">
        <w:tc>
          <w:tcPr>
            <w:tcW w:w="9505" w:type="dxa"/>
            <w:gridSpan w:val="7"/>
          </w:tcPr>
          <w:p w14:paraId="61278A4B" w14:textId="77777777" w:rsidR="008861A6" w:rsidRPr="008861A6" w:rsidRDefault="00B37051" w:rsidP="008861A6">
            <w:pPr>
              <w:rPr>
                <w:b/>
                <w:bCs/>
              </w:rPr>
            </w:pPr>
            <w:r w:rsidRPr="008861A6">
              <w:rPr>
                <w:b/>
                <w:bCs/>
              </w:rPr>
              <w:t>MARC DAHAN</w:t>
            </w:r>
          </w:p>
        </w:tc>
      </w:tr>
      <w:tr w:rsidR="0049403F" w14:paraId="547ED4F7" w14:textId="77777777" w:rsidTr="006B5AD7">
        <w:tc>
          <w:tcPr>
            <w:tcW w:w="9505" w:type="dxa"/>
            <w:gridSpan w:val="7"/>
          </w:tcPr>
          <w:p w14:paraId="76D13F85" w14:textId="77777777" w:rsidR="008861A6" w:rsidRDefault="00B37051" w:rsidP="008861A6">
            <w:r>
              <w:tab/>
              <w:t>Demandeur</w:t>
            </w:r>
          </w:p>
        </w:tc>
      </w:tr>
      <w:tr w:rsidR="0049403F" w14:paraId="09FB2625" w14:textId="77777777" w:rsidTr="006B5AD7">
        <w:tc>
          <w:tcPr>
            <w:tcW w:w="9505" w:type="dxa"/>
            <w:gridSpan w:val="7"/>
          </w:tcPr>
          <w:p w14:paraId="20BCE71E" w14:textId="77777777" w:rsidR="008861A6" w:rsidRDefault="00B37051" w:rsidP="008861A6">
            <w:r>
              <w:t>c.</w:t>
            </w:r>
          </w:p>
        </w:tc>
      </w:tr>
      <w:tr w:rsidR="0049403F" w14:paraId="417CE275" w14:textId="77777777" w:rsidTr="006B5AD7">
        <w:tc>
          <w:tcPr>
            <w:tcW w:w="9505" w:type="dxa"/>
            <w:gridSpan w:val="7"/>
          </w:tcPr>
          <w:p w14:paraId="02F30E6B" w14:textId="77777777" w:rsidR="008861A6" w:rsidRDefault="00B37051" w:rsidP="008861A6">
            <w:r w:rsidRPr="003A5CB5">
              <w:rPr>
                <w:rFonts w:cs="Arial"/>
                <w:b/>
                <w:lang w:val="en-CA"/>
              </w:rPr>
              <w:t xml:space="preserve">MGM </w:t>
            </w:r>
            <w:r>
              <w:rPr>
                <w:rFonts w:cs="Arial"/>
                <w:b/>
                <w:lang w:val="en-CA"/>
              </w:rPr>
              <w:t>RESORTS INTERNATIONAL</w:t>
            </w:r>
          </w:p>
        </w:tc>
      </w:tr>
      <w:tr w:rsidR="0049403F" w14:paraId="32AB6F40" w14:textId="77777777" w:rsidTr="006B5AD7">
        <w:tc>
          <w:tcPr>
            <w:tcW w:w="9505" w:type="dxa"/>
            <w:gridSpan w:val="7"/>
          </w:tcPr>
          <w:p w14:paraId="6F087633" w14:textId="77777777" w:rsidR="008861A6" w:rsidRDefault="00B37051" w:rsidP="008861A6">
            <w:r>
              <w:tab/>
              <w:t>Défenderesse</w:t>
            </w:r>
          </w:p>
        </w:tc>
      </w:tr>
      <w:tr w:rsidR="0049403F" w14:paraId="6F0694FE" w14:textId="77777777" w:rsidTr="006B5AD7">
        <w:tc>
          <w:tcPr>
            <w:tcW w:w="9505" w:type="dxa"/>
            <w:gridSpan w:val="7"/>
          </w:tcPr>
          <w:p w14:paraId="75D7B34D" w14:textId="77777777" w:rsidR="008861A6" w:rsidRDefault="00B37051" w:rsidP="008861A6">
            <w:proofErr w:type="gramStart"/>
            <w:r>
              <w:t>et</w:t>
            </w:r>
            <w:proofErr w:type="gramEnd"/>
          </w:p>
        </w:tc>
      </w:tr>
      <w:tr w:rsidR="0049403F" w14:paraId="6B93E778" w14:textId="77777777" w:rsidTr="006B5AD7">
        <w:tc>
          <w:tcPr>
            <w:tcW w:w="9505" w:type="dxa"/>
            <w:gridSpan w:val="7"/>
          </w:tcPr>
          <w:p w14:paraId="6A8ED692" w14:textId="77777777" w:rsidR="00A97FD1" w:rsidRDefault="00B37051" w:rsidP="00A97FD1">
            <w:pPr>
              <w:ind w:right="-95"/>
              <w:rPr>
                <w:b/>
                <w:bCs/>
              </w:rPr>
            </w:pPr>
            <w:r>
              <w:rPr>
                <w:b/>
                <w:bCs/>
              </w:rPr>
              <w:t>CONCILIA SERVICES</w:t>
            </w:r>
          </w:p>
          <w:p w14:paraId="04CA9A73" w14:textId="77777777" w:rsidR="008861A6" w:rsidRDefault="00B37051" w:rsidP="00A97FD1">
            <w:r w:rsidRPr="007A4951">
              <w:t xml:space="preserve">5900 </w:t>
            </w:r>
            <w:proofErr w:type="spellStart"/>
            <w:r w:rsidRPr="007A4951">
              <w:t>Andover</w:t>
            </w:r>
            <w:proofErr w:type="spellEnd"/>
            <w:r w:rsidRPr="007A4951">
              <w:t>, Suite 1</w:t>
            </w:r>
            <w:r w:rsidRPr="007A4951">
              <w:br/>
              <w:t>Montréal (Québec) H4T-1H5</w:t>
            </w:r>
          </w:p>
        </w:tc>
      </w:tr>
      <w:tr w:rsidR="0049403F" w14:paraId="0F90BAEA" w14:textId="77777777" w:rsidTr="006B5AD7">
        <w:tc>
          <w:tcPr>
            <w:tcW w:w="9505" w:type="dxa"/>
            <w:gridSpan w:val="7"/>
          </w:tcPr>
          <w:p w14:paraId="2423E18E" w14:textId="77777777" w:rsidR="008861A6" w:rsidRDefault="00B37051" w:rsidP="008861A6">
            <w:r>
              <w:tab/>
              <w:t>Mise en cause</w:t>
            </w:r>
          </w:p>
        </w:tc>
      </w:tr>
      <w:tr w:rsidR="0049403F" w14:paraId="68BC9948" w14:textId="77777777" w:rsidTr="006B5AD7">
        <w:tc>
          <w:tcPr>
            <w:tcW w:w="9505" w:type="dxa"/>
            <w:gridSpan w:val="7"/>
          </w:tcPr>
          <w:p w14:paraId="3E5F4A92" w14:textId="77777777" w:rsidR="008861A6" w:rsidRDefault="00B37051" w:rsidP="008861A6">
            <w:proofErr w:type="gramStart"/>
            <w:r>
              <w:t>et</w:t>
            </w:r>
            <w:proofErr w:type="gramEnd"/>
          </w:p>
        </w:tc>
      </w:tr>
      <w:tr w:rsidR="0049403F" w14:paraId="1568FBC9" w14:textId="77777777" w:rsidTr="006B5AD7">
        <w:tc>
          <w:tcPr>
            <w:tcW w:w="9505" w:type="dxa"/>
            <w:gridSpan w:val="7"/>
          </w:tcPr>
          <w:p w14:paraId="26513B9F" w14:textId="77777777" w:rsidR="00A3393E" w:rsidRDefault="00B37051" w:rsidP="00A3393E">
            <w:r w:rsidRPr="0022519D">
              <w:rPr>
                <w:b/>
                <w:bCs/>
              </w:rPr>
              <w:t>FONDS D’AIDE AUX ACTIONS COLLECTIVES</w:t>
            </w:r>
          </w:p>
        </w:tc>
      </w:tr>
      <w:tr w:rsidR="0049403F" w14:paraId="6BE687AD" w14:textId="77777777" w:rsidTr="006B5AD7">
        <w:tc>
          <w:tcPr>
            <w:tcW w:w="9505" w:type="dxa"/>
            <w:gridSpan w:val="7"/>
          </w:tcPr>
          <w:p w14:paraId="77900A42" w14:textId="77777777" w:rsidR="00A3393E" w:rsidRDefault="00B37051" w:rsidP="00A3393E">
            <w:r>
              <w:tab/>
              <w:t>Intervenant</w:t>
            </w:r>
          </w:p>
        </w:tc>
      </w:tr>
    </w:tbl>
    <w:p w14:paraId="05EFE1E0" w14:textId="77777777" w:rsidR="00230034" w:rsidRDefault="00B37051">
      <w:r>
        <w:rPr>
          <w:noProof/>
        </w:rPr>
        <mc:AlternateContent>
          <mc:Choice Requires="wps">
            <w:drawing>
              <wp:anchor distT="45720" distB="45720" distL="114300" distR="114300" simplePos="0" relativeHeight="251658240" behindDoc="0" locked="0" layoutInCell="1" allowOverlap="1" wp14:anchorId="7FB04F11" wp14:editId="29D64AFE">
                <wp:simplePos x="0" y="0"/>
                <wp:positionH relativeFrom="column">
                  <wp:posOffset>-894604</wp:posOffset>
                </wp:positionH>
                <wp:positionV relativeFrom="paragraph">
                  <wp:posOffset>92986</wp:posOffset>
                </wp:positionV>
                <wp:extent cx="897890" cy="413385"/>
                <wp:effectExtent l="0" t="0" r="0"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413385"/>
                        </a:xfrm>
                        <a:prstGeom prst="rect">
                          <a:avLst/>
                        </a:prstGeom>
                        <a:solidFill>
                          <a:srgbClr val="FFFFFF"/>
                        </a:solidFill>
                        <a:ln w="9525">
                          <a:noFill/>
                          <a:miter lim="800000"/>
                          <a:headEnd/>
                          <a:tailEnd/>
                        </a:ln>
                      </wps:spPr>
                      <wps:txbx>
                        <w:txbxContent>
                          <w:p w14:paraId="1F58D04D" w14:textId="77777777" w:rsidR="00BB5412" w:rsidRDefault="00B37051">
                            <w:r>
                              <w:t>JN0326</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FB04F11" id="_x0000_t202" coordsize="21600,21600" o:spt="202" path="m,l,21600r21600,l21600,xe">
                <v:stroke joinstyle="miter"/>
                <v:path gradientshapeok="t" o:connecttype="rect"/>
              </v:shapetype>
              <v:shape id="Zone de texte 2" o:spid="_x0000_s1026" type="#_x0000_t202" style="position:absolute;margin-left:-70.45pt;margin-top:7.3pt;width:70.7pt;height:32.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5d6gEAAKcDAAAOAAAAZHJzL2Uyb0RvYy54bWysU9uOEzEMfUfiH6K802m7FNpRpyvoUl6W&#10;BWnZD3AzmU5EJg5O2pny9Tjphcu+IfIQObFzbB+fLG+HzoqDpmDQVXIyGkuhncLauF0ln75uXs2l&#10;CBFcDRadruRRB3m7evli2ftST7FFW2sSDOJC2ftKtjH6siiCanUHYYReO3Y2SB1EPtKuqAl6Ru9s&#10;MR2P3xQ9Uu0JlQ6Bb+9OTrnK+E2jVfzcNEFHYSvJtcW8U963aS9WSyh3BL416lwG/EMVHRjHSa9Q&#10;dxBB7Mk8g+qMIgzYxJHCrsCmMUrnHribyfivbh5b8Dr3wuQEf6Up/D9Y9XB49F9IxOE9DjzA3ETw&#10;96i+BeFw3YLb6XdE2Lcaak48SZQVvQ/l+WmiOpQhgWz7T1jzkGEfMQMNDXWJFe5TMDoP4HglXQ9R&#10;KL6cL97OF+xR7Ho9ubmZz3IGKC+PPYX4UWMnklFJ4plmcDjch5iKgfISknIFtKbeGGvzgXbbtSVx&#10;AJ7/Jq8z+h9h1om+kovZdJaRHab3WRqdiaxPazoudJzWSTGJjA+uziERjD3ZXIl1Z3YSISdq4rAd&#10;ODCxtMX6yDwRnnTI/4aNFumHFD1rsJLh+x5ISwFO8XUl48Vcxyza1G4CYjXkxs/KTXL7/Zyjfv2v&#10;1U8AAAD//wMAUEsDBBQABgAIAAAAIQB9s0oa2wAAAAcBAAAPAAAAZHJzL2Rvd25yZXYueG1sTI7B&#10;ToNAFEX3Jv7D5Jm4Me1QQ0GQoVETjdvWfsADXoHIvCHMtNC/97nS5c09ufcUu8UO6kKT7x0b2Kwj&#10;UMS1a3puDRy/3ldPoHxAbnBwTAau5GFX3t4UmDdu5j1dDqFVMsI+RwNdCGOuta87sujXbiSW7uQm&#10;i0Hi1OpmwlnG7aAfoyjRFnuWhw5Heuuo/j6crYHT5/ywzebqIxzTfZy8Yp9W7mrM/d3y8gwq0BL+&#10;YPjVF3UoxalyZ268GgysNnGUCStNnIASYguqMpBmKeiy0P/9yx8AAAD//wMAUEsBAi0AFAAGAAgA&#10;AAAhALaDOJL+AAAA4QEAABMAAAAAAAAAAAAAAAAAAAAAAFtDb250ZW50X1R5cGVzXS54bWxQSwEC&#10;LQAUAAYACAAAACEAOP0h/9YAAACUAQAACwAAAAAAAAAAAAAAAAAvAQAAX3JlbHMvLnJlbHNQSwEC&#10;LQAUAAYACAAAACEA7oCuXeoBAACnAwAADgAAAAAAAAAAAAAAAAAuAgAAZHJzL2Uyb0RvYy54bWxQ&#10;SwECLQAUAAYACAAAACEAfbNKGtsAAAAHAQAADwAAAAAAAAAAAAAAAABEBAAAZHJzL2Rvd25yZXYu&#10;eG1sUEsFBgAAAAAEAAQA8wAAAEwFAAAAAA==&#10;" stroked="f">
                <v:textbox>
                  <w:txbxContent>
                    <w:p w14:paraId="1F58D04D" w14:textId="77777777" w:rsidR="00BB5412" w:rsidRDefault="00B37051">
                      <w:r>
                        <w:t>JN0326</w:t>
                      </w:r>
                    </w:p>
                  </w:txbxContent>
                </v:textbox>
                <w10:wrap type="square"/>
              </v:shape>
            </w:pict>
          </mc:Fallback>
        </mc:AlternateContent>
      </w:r>
    </w:p>
    <w:p w14:paraId="5EB902C0" w14:textId="77777777" w:rsidR="00230034" w:rsidRDefault="00230034"/>
    <w:tbl>
      <w:tblPr>
        <w:tblW w:w="9505" w:type="dxa"/>
        <w:tblLayout w:type="fixed"/>
        <w:tblCellMar>
          <w:left w:w="70" w:type="dxa"/>
          <w:right w:w="70" w:type="dxa"/>
        </w:tblCellMar>
        <w:tblLook w:val="0000" w:firstRow="0" w:lastRow="0" w:firstColumn="0" w:lastColumn="0" w:noHBand="0" w:noVBand="0"/>
      </w:tblPr>
      <w:tblGrid>
        <w:gridCol w:w="9505"/>
      </w:tblGrid>
      <w:tr w:rsidR="0049403F" w14:paraId="1A67E9BA" w14:textId="77777777" w:rsidTr="006B5AD7">
        <w:tc>
          <w:tcPr>
            <w:tcW w:w="9505" w:type="dxa"/>
          </w:tcPr>
          <w:p w14:paraId="7AAB5850" w14:textId="77777777" w:rsidR="00A3393E" w:rsidRDefault="00B37051" w:rsidP="00A3393E">
            <w:r>
              <w:lastRenderedPageBreak/>
              <w:t>______________________________________________________________________</w:t>
            </w:r>
          </w:p>
        </w:tc>
      </w:tr>
      <w:tr w:rsidR="0049403F" w14:paraId="4CEA7FF9" w14:textId="77777777" w:rsidTr="006B5AD7">
        <w:tc>
          <w:tcPr>
            <w:tcW w:w="9505" w:type="dxa"/>
          </w:tcPr>
          <w:p w14:paraId="1F7E575E" w14:textId="77777777" w:rsidR="00A3393E" w:rsidRDefault="00A3393E" w:rsidP="00A3393E"/>
        </w:tc>
      </w:tr>
      <w:tr w:rsidR="0049403F" w14:paraId="33ECA898" w14:textId="77777777" w:rsidTr="006B5AD7">
        <w:tc>
          <w:tcPr>
            <w:tcW w:w="9505" w:type="dxa"/>
          </w:tcPr>
          <w:p w14:paraId="5B3C5097" w14:textId="77777777" w:rsidR="00A3393E" w:rsidRDefault="00B37051" w:rsidP="00A3393E">
            <w:pPr>
              <w:jc w:val="center"/>
            </w:pPr>
            <w:r w:rsidRPr="009E06A7">
              <w:rPr>
                <w:b/>
                <w:bCs/>
              </w:rPr>
              <w:t xml:space="preserve">JUGEMENT SUR UNE DEMANDE </w:t>
            </w:r>
            <w:r>
              <w:rPr>
                <w:b/>
                <w:bCs/>
              </w:rPr>
              <w:t xml:space="preserve">POUR </w:t>
            </w:r>
            <w:r w:rsidRPr="007F2276">
              <w:rPr>
                <w:b/>
                <w:bCs/>
              </w:rPr>
              <w:t>L’APPROBATION D’UNE</w:t>
            </w:r>
            <w:r>
              <w:rPr>
                <w:b/>
                <w:bCs/>
              </w:rPr>
              <w:t xml:space="preserve"> </w:t>
            </w:r>
            <w:r w:rsidRPr="007F2276">
              <w:rPr>
                <w:b/>
                <w:bCs/>
              </w:rPr>
              <w:t>ENTENTE DE RÈGLEMENT</w:t>
            </w:r>
          </w:p>
        </w:tc>
      </w:tr>
      <w:tr w:rsidR="0049403F" w14:paraId="117FE702" w14:textId="77777777" w:rsidTr="006B5AD7">
        <w:tc>
          <w:tcPr>
            <w:tcW w:w="9505" w:type="dxa"/>
          </w:tcPr>
          <w:p w14:paraId="190C8CBD" w14:textId="77777777" w:rsidR="00A3393E" w:rsidRDefault="00B37051" w:rsidP="00A3393E">
            <w:r>
              <w:t>______________________________________________________________________</w:t>
            </w:r>
          </w:p>
        </w:tc>
      </w:tr>
      <w:tr w:rsidR="0049403F" w14:paraId="642ED43F" w14:textId="77777777" w:rsidTr="006B5AD7">
        <w:tc>
          <w:tcPr>
            <w:tcW w:w="9505" w:type="dxa"/>
          </w:tcPr>
          <w:p w14:paraId="72CE01FA" w14:textId="77777777" w:rsidR="00A3393E" w:rsidRDefault="00A3393E" w:rsidP="00A3393E"/>
        </w:tc>
      </w:tr>
    </w:tbl>
    <w:p w14:paraId="73915B9C" w14:textId="77777777" w:rsidR="00772542" w:rsidRPr="004D1E6C" w:rsidRDefault="00B37051" w:rsidP="004A29F4">
      <w:pPr>
        <w:pStyle w:val="Titre1"/>
      </w:pPr>
      <w:bookmarkStart w:id="1" w:name="_Toc45807135"/>
      <w:bookmarkStart w:id="2" w:name="_Toc56788859"/>
      <w:bookmarkStart w:id="3" w:name="_Toc430945543"/>
      <w:r w:rsidRPr="004D1E6C">
        <w:t>APERÇU</w:t>
      </w:r>
      <w:bookmarkEnd w:id="1"/>
      <w:bookmarkEnd w:id="2"/>
    </w:p>
    <w:p w14:paraId="2A747100" w14:textId="77777777" w:rsidR="004D1E6C" w:rsidRDefault="00B37051" w:rsidP="00BB3829">
      <w:pPr>
        <w:pStyle w:val="Paragrsimple"/>
        <w:tabs>
          <w:tab w:val="clear" w:pos="360"/>
        </w:tabs>
      </w:pPr>
      <w:r>
        <w:t>L</w:t>
      </w:r>
      <w:r w:rsidR="00C171E7">
        <w:t>es</w:t>
      </w:r>
      <w:r>
        <w:t xml:space="preserve"> </w:t>
      </w:r>
      <w:r w:rsidR="00514DBA">
        <w:t>demandeurs</w:t>
      </w:r>
      <w:r>
        <w:t xml:space="preserve">, </w:t>
      </w:r>
      <w:r w:rsidR="00514DBA">
        <w:t>Zu</w:t>
      </w:r>
      <w:r w:rsidR="00A854BE">
        <w:t>ckerma</w:t>
      </w:r>
      <w:r w:rsidR="00514DBA">
        <w:t xml:space="preserve">n </w:t>
      </w:r>
      <w:r w:rsidR="00C171E7">
        <w:t xml:space="preserve">et </w:t>
      </w:r>
      <w:r w:rsidR="00514DBA">
        <w:t>Dahan</w:t>
      </w:r>
      <w:r w:rsidR="00AB4678">
        <w:t>,</w:t>
      </w:r>
      <w:r w:rsidR="00514DBA">
        <w:t xml:space="preserve"> </w:t>
      </w:r>
      <w:r w:rsidR="007F2276">
        <w:t>présente</w:t>
      </w:r>
      <w:r w:rsidR="00C171E7">
        <w:t>nt</w:t>
      </w:r>
      <w:r w:rsidR="007F2276">
        <w:t xml:space="preserve"> une demande pour</w:t>
      </w:r>
      <w:r>
        <w:t> :</w:t>
      </w:r>
    </w:p>
    <w:p w14:paraId="501FD442" w14:textId="77777777" w:rsidR="007F2276" w:rsidRDefault="00B37051" w:rsidP="0022519D">
      <w:pPr>
        <w:pStyle w:val="Sous-paragraphe"/>
        <w:keepLines/>
        <w:ind w:left="1701" w:hanging="992"/>
      </w:pPr>
      <w:r>
        <w:t xml:space="preserve">Approuver </w:t>
      </w:r>
      <w:r w:rsidR="0041110F">
        <w:t>l’E</w:t>
      </w:r>
      <w:r>
        <w:t>ntente de règlement intervenue avec l</w:t>
      </w:r>
      <w:r w:rsidR="00C171E7">
        <w:t>a</w:t>
      </w:r>
      <w:r>
        <w:t xml:space="preserve"> </w:t>
      </w:r>
      <w:r w:rsidR="005D3AD2">
        <w:t>d</w:t>
      </w:r>
      <w:r>
        <w:t xml:space="preserve">éfenderesse en date du </w:t>
      </w:r>
      <w:r w:rsidR="001168D9">
        <w:t>13 novembre</w:t>
      </w:r>
      <w:r w:rsidR="00C171E7">
        <w:t xml:space="preserve"> 2025</w:t>
      </w:r>
      <w:r w:rsidR="0037468A">
        <w:t>,</w:t>
      </w:r>
      <w:r>
        <w:t xml:space="preserve"> </w:t>
      </w:r>
      <w:r w:rsidR="00B15E33">
        <w:t xml:space="preserve">telle </w:t>
      </w:r>
      <w:r w:rsidR="00A1765D">
        <w:t xml:space="preserve">qu’elle a été </w:t>
      </w:r>
      <w:r w:rsidR="00B15E33">
        <w:t>modifiée</w:t>
      </w:r>
      <w:r w:rsidR="001168D9">
        <w:t xml:space="preserve"> par addendum </w:t>
      </w:r>
      <w:r w:rsidR="00BF2781">
        <w:t xml:space="preserve">le </w:t>
      </w:r>
      <w:r w:rsidR="001650AF">
        <w:t>6 mars 2026</w:t>
      </w:r>
      <w:r>
        <w:rPr>
          <w:rStyle w:val="Appelnotedebasdep"/>
        </w:rPr>
        <w:footnoteReference w:id="1"/>
      </w:r>
      <w:r>
        <w:t>;</w:t>
      </w:r>
    </w:p>
    <w:p w14:paraId="701EB7D9" w14:textId="77777777" w:rsidR="007F2276" w:rsidRDefault="00B37051" w:rsidP="0022519D">
      <w:pPr>
        <w:pStyle w:val="Sous-paragraphe"/>
        <w:ind w:left="1701" w:hanging="992"/>
      </w:pPr>
      <w:r>
        <w:t>Approuver le fond et la forme d’un avis (</w:t>
      </w:r>
      <w:r w:rsidRPr="00506F65">
        <w:t>Avis d</w:t>
      </w:r>
      <w:r w:rsidR="00F856E9" w:rsidRPr="00506F65">
        <w:t>e post-</w:t>
      </w:r>
      <w:r w:rsidRPr="00506F65">
        <w:t>approbation</w:t>
      </w:r>
      <w:r>
        <w:t xml:space="preserve">) aux membres du groupe visé par la </w:t>
      </w:r>
      <w:r w:rsidR="00BF2781">
        <w:t xml:space="preserve">transaction </w:t>
      </w:r>
      <w:r>
        <w:t xml:space="preserve">au sujet de l’approbation de la </w:t>
      </w:r>
      <w:r w:rsidR="00BF2781">
        <w:t xml:space="preserve">transaction </w:t>
      </w:r>
      <w:r>
        <w:t>ainsi que les modalités de diffusion</w:t>
      </w:r>
      <w:r w:rsidR="00F856E9">
        <w:t xml:space="preserve"> et le processus de réclamation</w:t>
      </w:r>
      <w:r>
        <w:rPr>
          <w:rStyle w:val="Appelnotedebasdep"/>
        </w:rPr>
        <w:footnoteReference w:id="2"/>
      </w:r>
      <w:r w:rsidR="00F55D68">
        <w:t>;</w:t>
      </w:r>
    </w:p>
    <w:p w14:paraId="657FF1CC" w14:textId="77777777" w:rsidR="007F2276" w:rsidRDefault="00B37051" w:rsidP="0022519D">
      <w:pPr>
        <w:pStyle w:val="Sous-paragraphe"/>
        <w:ind w:left="1701" w:hanging="992"/>
      </w:pPr>
      <w:r>
        <w:t>Approuver les h</w:t>
      </w:r>
      <w:r w:rsidRPr="00F638F2">
        <w:t xml:space="preserve">onoraires des avocats </w:t>
      </w:r>
      <w:r>
        <w:t>du groupe.</w:t>
      </w:r>
    </w:p>
    <w:p w14:paraId="786C0396" w14:textId="77777777" w:rsidR="009E06A7" w:rsidRDefault="00B37051" w:rsidP="00BB3829">
      <w:pPr>
        <w:pStyle w:val="Paragrsimple"/>
        <w:tabs>
          <w:tab w:val="clear" w:pos="360"/>
        </w:tabs>
      </w:pPr>
      <w:r>
        <w:t xml:space="preserve">Bien que les </w:t>
      </w:r>
      <w:r w:rsidR="00514DBA">
        <w:t>demandeurs</w:t>
      </w:r>
      <w:r>
        <w:t xml:space="preserve"> ne l’aient pas demandé explicitement, les honoraires de Concilia Services Inc</w:t>
      </w:r>
      <w:r w:rsidR="000E31A3">
        <w:t>.</w:t>
      </w:r>
      <w:r w:rsidR="00BD2A08">
        <w:t>,</w:t>
      </w:r>
      <w:r>
        <w:t xml:space="preserve"> </w:t>
      </w:r>
      <w:r w:rsidR="000F708A">
        <w:t xml:space="preserve">ou leur </w:t>
      </w:r>
      <w:r w:rsidR="000E31A3">
        <w:t>estimation</w:t>
      </w:r>
      <w:r w:rsidR="00BD2A08">
        <w:t xml:space="preserve">, </w:t>
      </w:r>
      <w:r>
        <w:t>d</w:t>
      </w:r>
      <w:r w:rsidR="00A33F42">
        <w:t>evrai</w:t>
      </w:r>
      <w:r>
        <w:t>ent également être approuvés de même que les demandes du Fonds d’</w:t>
      </w:r>
      <w:r w:rsidR="00E765C9">
        <w:t xml:space="preserve">aide aux </w:t>
      </w:r>
      <w:r>
        <w:t>action</w:t>
      </w:r>
      <w:r w:rsidR="00E765C9">
        <w:t>s</w:t>
      </w:r>
      <w:r>
        <w:t xml:space="preserve"> collective</w:t>
      </w:r>
      <w:r w:rsidR="00E765C9">
        <w:t>s</w:t>
      </w:r>
      <w:r>
        <w:t xml:space="preserve"> pour l’ajout de certaines obligations à l’égard de Concilia, dont l’obligation de faire rapport.</w:t>
      </w:r>
    </w:p>
    <w:p w14:paraId="62D28195" w14:textId="77777777" w:rsidR="004D1E6C" w:rsidRDefault="00B37051" w:rsidP="004A29F4">
      <w:pPr>
        <w:pStyle w:val="Titre1"/>
      </w:pPr>
      <w:r>
        <w:t>CONTEXTE</w:t>
      </w:r>
    </w:p>
    <w:p w14:paraId="40C22724" w14:textId="77777777" w:rsidR="004D1E6C" w:rsidRDefault="00B37051" w:rsidP="00BB3829">
      <w:pPr>
        <w:pStyle w:val="Paragrsimple"/>
        <w:tabs>
          <w:tab w:val="clear" w:pos="360"/>
        </w:tabs>
      </w:pPr>
      <w:r>
        <w:t xml:space="preserve">Les actions collectives découlent de deux </w:t>
      </w:r>
      <w:r w:rsidR="0037468A">
        <w:t xml:space="preserve">événements </w:t>
      </w:r>
      <w:r>
        <w:t xml:space="preserve">distincts par lesquels </w:t>
      </w:r>
      <w:r w:rsidR="00311EB4">
        <w:t>un tiers s’est introduit dans les systèmes de la défenderesse et aurait eu accès à des informations personnelles et confidentielles appartenant aux membres.</w:t>
      </w:r>
    </w:p>
    <w:p w14:paraId="73646D23" w14:textId="77777777" w:rsidR="00D72E68" w:rsidRDefault="00B37051" w:rsidP="00BB3829">
      <w:pPr>
        <w:pStyle w:val="Paragrsimple"/>
        <w:tabs>
          <w:tab w:val="clear" w:pos="360"/>
        </w:tabs>
      </w:pPr>
      <w:r>
        <w:t>Une première demande en autorisation d’une action collective a été approu</w:t>
      </w:r>
      <w:r w:rsidR="002746B8">
        <w:t xml:space="preserve">vée le 3 </w:t>
      </w:r>
      <w:r w:rsidR="00D23BA8">
        <w:t xml:space="preserve">août </w:t>
      </w:r>
      <w:r w:rsidR="002746B8">
        <w:t xml:space="preserve">2022, celle de M. Zuckerman. Elle concerne le premier incident survenu en </w:t>
      </w:r>
      <w:r w:rsidR="00874DE9">
        <w:t xml:space="preserve">juillet </w:t>
      </w:r>
      <w:r w:rsidR="002746B8" w:rsidRPr="001269DB">
        <w:t>2019 («</w:t>
      </w:r>
      <w:r w:rsidR="001269DB">
        <w:t> </w:t>
      </w:r>
      <w:r w:rsidR="00A33F42">
        <w:rPr>
          <w:b/>
          <w:bCs/>
        </w:rPr>
        <w:t>Zuckerman</w:t>
      </w:r>
      <w:r w:rsidR="001269DB">
        <w:rPr>
          <w:b/>
          <w:bCs/>
        </w:rPr>
        <w:t> </w:t>
      </w:r>
      <w:r w:rsidR="002746B8" w:rsidRPr="001269DB">
        <w:t>»).</w:t>
      </w:r>
    </w:p>
    <w:p w14:paraId="6EBBC87B" w14:textId="77777777" w:rsidR="002746B8" w:rsidRDefault="00B37051" w:rsidP="00BB3829">
      <w:pPr>
        <w:pStyle w:val="Paragrsimple"/>
        <w:tabs>
          <w:tab w:val="clear" w:pos="360"/>
        </w:tabs>
      </w:pPr>
      <w:r>
        <w:t xml:space="preserve">Le deuxième incident survient en </w:t>
      </w:r>
      <w:r w:rsidR="00874DE9">
        <w:t xml:space="preserve">septembre </w:t>
      </w:r>
      <w:r>
        <w:t>2023 et</w:t>
      </w:r>
      <w:r w:rsidR="0037468A">
        <w:t>,</w:t>
      </w:r>
      <w:r>
        <w:t xml:space="preserve"> cette fois, c’est M.</w:t>
      </w:r>
      <w:r w:rsidR="00CD379E">
        <w:t> </w:t>
      </w:r>
      <w:r>
        <w:t xml:space="preserve">Dahan qui agit comme demandeur </w:t>
      </w:r>
      <w:r w:rsidRPr="001269DB">
        <w:t>(«</w:t>
      </w:r>
      <w:r w:rsidR="001269DB" w:rsidRPr="001269DB">
        <w:t> </w:t>
      </w:r>
      <w:r w:rsidR="00A33F42">
        <w:rPr>
          <w:b/>
          <w:bCs/>
        </w:rPr>
        <w:t>Dahan</w:t>
      </w:r>
      <w:r w:rsidR="001269DB">
        <w:rPr>
          <w:b/>
          <w:bCs/>
        </w:rPr>
        <w:t> </w:t>
      </w:r>
      <w:r w:rsidRPr="001269DB">
        <w:t>»).</w:t>
      </w:r>
    </w:p>
    <w:p w14:paraId="3506FEC3" w14:textId="77777777" w:rsidR="00B90292" w:rsidRDefault="00B37051" w:rsidP="00BB3829">
      <w:pPr>
        <w:pStyle w:val="Paragrsimple"/>
        <w:tabs>
          <w:tab w:val="clear" w:pos="360"/>
        </w:tabs>
      </w:pPr>
      <w:r>
        <w:t xml:space="preserve">Les </w:t>
      </w:r>
      <w:r w:rsidR="00514DBA">
        <w:t>demandeurs</w:t>
      </w:r>
      <w:r>
        <w:t xml:space="preserve"> reproche</w:t>
      </w:r>
      <w:r w:rsidR="0005709F">
        <w:t>nt</w:t>
      </w:r>
      <w:r>
        <w:t xml:space="preserve"> à la défenderesse</w:t>
      </w:r>
      <w:r w:rsidR="006C1F18">
        <w:t xml:space="preserve"> d’avoir</w:t>
      </w:r>
      <w:r w:rsidR="00874DE9">
        <w:t xml:space="preserve"> </w:t>
      </w:r>
      <w:r w:rsidR="006C1F18">
        <w:t xml:space="preserve">été négligente dans la protection de </w:t>
      </w:r>
      <w:r w:rsidR="006C1F18" w:rsidRPr="00B524F4">
        <w:t>le</w:t>
      </w:r>
      <w:r w:rsidR="006C1F18">
        <w:t>ur</w:t>
      </w:r>
      <w:r w:rsidR="006C1F18" w:rsidRPr="00B524F4">
        <w:t>s renseignements personnels et/ou financiers</w:t>
      </w:r>
      <w:r w:rsidR="0037468A">
        <w:t>,</w:t>
      </w:r>
      <w:r w:rsidR="006C1F18" w:rsidRPr="00B524F4">
        <w:t xml:space="preserve"> </w:t>
      </w:r>
      <w:r w:rsidR="000A2367">
        <w:t>comme le démontre</w:t>
      </w:r>
      <w:r w:rsidR="002E41AD">
        <w:t>nt</w:t>
      </w:r>
      <w:r w:rsidR="006C1F18" w:rsidRPr="00B524F4">
        <w:t xml:space="preserve"> </w:t>
      </w:r>
      <w:r w:rsidR="006C1F18" w:rsidRPr="00B524F4">
        <w:lastRenderedPageBreak/>
        <w:t>l</w:t>
      </w:r>
      <w:r w:rsidR="000A2367">
        <w:t>es</w:t>
      </w:r>
      <w:r w:rsidR="006C1F18" w:rsidRPr="00B524F4">
        <w:t xml:space="preserve"> violation</w:t>
      </w:r>
      <w:r w:rsidR="000A2367">
        <w:t>s</w:t>
      </w:r>
      <w:r w:rsidR="006C1F18" w:rsidRPr="00B524F4">
        <w:t xml:space="preserve"> </w:t>
      </w:r>
      <w:r w:rsidR="006C1F18">
        <w:t>des</w:t>
      </w:r>
      <w:r w:rsidR="000A2367">
        <w:t xml:space="preserve"> systèmes informatiques</w:t>
      </w:r>
      <w:r w:rsidR="006C1F18" w:rsidRPr="00B524F4">
        <w:t xml:space="preserve"> survenue</w:t>
      </w:r>
      <w:r w:rsidR="000A2367">
        <w:t>s</w:t>
      </w:r>
      <w:r w:rsidR="006C1F18" w:rsidRPr="00B524F4">
        <w:t xml:space="preserve"> </w:t>
      </w:r>
      <w:r w:rsidR="000A2367">
        <w:t xml:space="preserve">vers </w:t>
      </w:r>
      <w:r w:rsidR="006C1F18" w:rsidRPr="00B524F4">
        <w:t xml:space="preserve">le 7 juillet 2019 </w:t>
      </w:r>
      <w:r w:rsidR="000A2367">
        <w:t xml:space="preserve">et </w:t>
      </w:r>
      <w:r w:rsidR="008F2749">
        <w:t xml:space="preserve">en </w:t>
      </w:r>
      <w:r w:rsidR="00874DE9">
        <w:t xml:space="preserve">septembre </w:t>
      </w:r>
      <w:r w:rsidR="008F2749">
        <w:t>2023</w:t>
      </w:r>
      <w:r w:rsidR="0005709F">
        <w:t>.</w:t>
      </w:r>
    </w:p>
    <w:p w14:paraId="68683DDA" w14:textId="77777777" w:rsidR="004D1E6C" w:rsidRDefault="00B37051" w:rsidP="00BB3829">
      <w:pPr>
        <w:pStyle w:val="Paragrsimple"/>
        <w:tabs>
          <w:tab w:val="clear" w:pos="360"/>
        </w:tabs>
      </w:pPr>
      <w:r>
        <w:t xml:space="preserve">Deux actions parallèles ont été introduites en Colombie-Britannique et en Ontario </w:t>
      </w:r>
      <w:r w:rsidR="00A12D97">
        <w:t>à l’égard du premier incident</w:t>
      </w:r>
      <w:r w:rsidR="009E3410">
        <w:t>.</w:t>
      </w:r>
      <w:r w:rsidR="0082036E">
        <w:t xml:space="preserve"> L’action en Ontario n’a pas eu de suite et a été abandonnée</w:t>
      </w:r>
      <w:r w:rsidR="00903492">
        <w:t>,</w:t>
      </w:r>
      <w:r w:rsidR="0082036E">
        <w:t xml:space="preserve"> alors que celle de la Colombie</w:t>
      </w:r>
      <w:r w:rsidR="0037468A">
        <w:t>-</w:t>
      </w:r>
      <w:r w:rsidR="0082036E">
        <w:t xml:space="preserve">Britannique fait partie du présent règlement </w:t>
      </w:r>
      <w:r w:rsidR="00874DE9">
        <w:t>et est sujette à l’approbation de la Cour suprême de la Colomb</w:t>
      </w:r>
      <w:r w:rsidR="0000734B">
        <w:t>ie</w:t>
      </w:r>
      <w:r w:rsidR="0037468A">
        <w:t>-</w:t>
      </w:r>
      <w:r w:rsidR="0000734B">
        <w:t>Britannique</w:t>
      </w:r>
      <w:r w:rsidR="0082036E">
        <w:t>.</w:t>
      </w:r>
    </w:p>
    <w:p w14:paraId="0219CB2F" w14:textId="77777777" w:rsidR="00B45B78" w:rsidRDefault="00B37051" w:rsidP="00BB3829">
      <w:pPr>
        <w:pStyle w:val="Paragrsimple"/>
        <w:tabs>
          <w:tab w:val="clear" w:pos="360"/>
        </w:tabs>
      </w:pPr>
      <w:r>
        <w:t xml:space="preserve">Le </w:t>
      </w:r>
      <w:r w:rsidR="00FD0879">
        <w:t xml:space="preserve">3 </w:t>
      </w:r>
      <w:r w:rsidR="00903492">
        <w:t xml:space="preserve">août </w:t>
      </w:r>
      <w:r w:rsidR="00FD0879">
        <w:t xml:space="preserve">2022, la Cour </w:t>
      </w:r>
      <w:r w:rsidR="0000734B">
        <w:t xml:space="preserve">supérieure du Québec </w:t>
      </w:r>
      <w:r w:rsidR="00FD0879">
        <w:t xml:space="preserve">autorise l’action collective dans </w:t>
      </w:r>
      <w:r w:rsidR="00A33F42">
        <w:t>Zuckerman.</w:t>
      </w:r>
    </w:p>
    <w:p w14:paraId="32948EA2" w14:textId="77777777" w:rsidR="006500BB" w:rsidRPr="006500BB" w:rsidRDefault="00B37051" w:rsidP="00BB3829">
      <w:pPr>
        <w:pStyle w:val="Paragrsimple"/>
        <w:tabs>
          <w:tab w:val="clear" w:pos="360"/>
        </w:tabs>
      </w:pPr>
      <w:r w:rsidRPr="00B524F4">
        <w:t>Le 13 novembre 2025, après de longues négociations, les parties conclu</w:t>
      </w:r>
      <w:r w:rsidR="0000734B">
        <w:t>ent</w:t>
      </w:r>
      <w:r w:rsidRPr="00B524F4">
        <w:t xml:space="preserve"> un accord de règlement</w:t>
      </w:r>
      <w:r w:rsidR="0000734B">
        <w:t>. Cet accord de règlement sera modifi</w:t>
      </w:r>
      <w:r w:rsidRPr="00B524F4">
        <w:t>é par l'addendum signé le 6</w:t>
      </w:r>
      <w:r w:rsidR="00A22A17">
        <w:t> </w:t>
      </w:r>
      <w:r w:rsidRPr="00B524F4">
        <w:t>mars 2026</w:t>
      </w:r>
      <w:r w:rsidR="00FA2D75">
        <w:t xml:space="preserve">. L’accord de règlement et son addendum sont </w:t>
      </w:r>
      <w:r>
        <w:t>désignés</w:t>
      </w:r>
      <w:r w:rsidR="00FA2D75">
        <w:t xml:space="preserve"> ci-après </w:t>
      </w:r>
      <w:r>
        <w:t xml:space="preserve">comme étant </w:t>
      </w:r>
      <w:r w:rsidRPr="00B524F4">
        <w:t>l</w:t>
      </w:r>
      <w:r w:rsidR="00755B24">
        <w:t xml:space="preserve">a </w:t>
      </w:r>
      <w:r w:rsidR="00D1143B">
        <w:t>«</w:t>
      </w:r>
      <w:r w:rsidR="00A22A17">
        <w:t> </w:t>
      </w:r>
      <w:r w:rsidR="00755B24" w:rsidRPr="00D1143B">
        <w:rPr>
          <w:b/>
          <w:bCs/>
        </w:rPr>
        <w:t>Transaction</w:t>
      </w:r>
      <w:r w:rsidR="00A22A17">
        <w:rPr>
          <w:b/>
          <w:bCs/>
        </w:rPr>
        <w:t> </w:t>
      </w:r>
      <w:r w:rsidR="00D1143B">
        <w:t>»</w:t>
      </w:r>
      <w:r w:rsidRPr="00A22A17">
        <w:rPr>
          <w:bCs/>
        </w:rPr>
        <w:t>.</w:t>
      </w:r>
    </w:p>
    <w:p w14:paraId="0830BE6A" w14:textId="77777777" w:rsidR="0082036E" w:rsidRDefault="00B37051" w:rsidP="004D1E6C">
      <w:pPr>
        <w:pStyle w:val="Paragrsimple"/>
      </w:pPr>
      <w:r>
        <w:t>La Transaction</w:t>
      </w:r>
      <w:r w:rsidRPr="00B524F4">
        <w:t xml:space="preserve"> vis</w:t>
      </w:r>
      <w:r w:rsidR="006500BB">
        <w:t>e</w:t>
      </w:r>
      <w:r w:rsidRPr="00B524F4">
        <w:t xml:space="preserve"> à régler </w:t>
      </w:r>
      <w:r w:rsidR="00CB67AF">
        <w:t>entièrement</w:t>
      </w:r>
      <w:r w:rsidRPr="00B524F4">
        <w:t xml:space="preserve"> et définitivement toutes les réclamations formulées par les demandeurs et les membres du </w:t>
      </w:r>
      <w:r w:rsidR="00F7456E">
        <w:t>groupe</w:t>
      </w:r>
      <w:r w:rsidR="00F7456E" w:rsidRPr="00B524F4">
        <w:t xml:space="preserve"> </w:t>
      </w:r>
      <w:r w:rsidRPr="00B524F4">
        <w:t xml:space="preserve">contre </w:t>
      </w:r>
      <w:r>
        <w:t>la défenderesse</w:t>
      </w:r>
      <w:r w:rsidRPr="00B524F4">
        <w:t xml:space="preserve"> </w:t>
      </w:r>
      <w:r>
        <w:t>à l’égard de</w:t>
      </w:r>
      <w:r w:rsidRPr="00B524F4">
        <w:t xml:space="preserve"> toutes les actions collectives canadiennes</w:t>
      </w:r>
      <w:r>
        <w:rPr>
          <w:rStyle w:val="Appelnotedebasdep"/>
        </w:rPr>
        <w:footnoteReference w:id="3"/>
      </w:r>
      <w:r>
        <w:t>.</w:t>
      </w:r>
    </w:p>
    <w:p w14:paraId="51059FA8" w14:textId="77777777" w:rsidR="007154D1" w:rsidRDefault="00B37051" w:rsidP="004D1E6C">
      <w:pPr>
        <w:pStyle w:val="Paragrsimple"/>
      </w:pPr>
      <w:r>
        <w:t xml:space="preserve">Le 8 avril 2026, </w:t>
      </w:r>
      <w:r w:rsidR="00440C0B">
        <w:t xml:space="preserve">le Tribunal approuve les avis aux membres </w:t>
      </w:r>
      <w:r w:rsidR="00755B24">
        <w:t>en vue de</w:t>
      </w:r>
      <w:r w:rsidR="00B45B78">
        <w:t xml:space="preserve"> l’audition </w:t>
      </w:r>
      <w:r w:rsidR="00FD0879">
        <w:t>pour</w:t>
      </w:r>
      <w:r w:rsidR="00B45B78">
        <w:t xml:space="preserve"> l’</w:t>
      </w:r>
      <w:r w:rsidR="00440C0B">
        <w:t>approbation de la Transaction</w:t>
      </w:r>
      <w:r w:rsidR="00755B24">
        <w:t xml:space="preserve"> et</w:t>
      </w:r>
      <w:r w:rsidR="00B45B78">
        <w:t xml:space="preserve"> autorise l’action collective </w:t>
      </w:r>
      <w:r w:rsidR="00B32D11">
        <w:t xml:space="preserve">dans </w:t>
      </w:r>
      <w:r w:rsidR="00A33F42">
        <w:t xml:space="preserve">Dahan </w:t>
      </w:r>
      <w:r w:rsidR="00B45B78">
        <w:t>aux seules fins du règlement</w:t>
      </w:r>
      <w:r w:rsidR="00D142CD">
        <w:t>.</w:t>
      </w:r>
    </w:p>
    <w:p w14:paraId="5FCABDE1" w14:textId="77777777" w:rsidR="00772542" w:rsidRPr="00772542" w:rsidRDefault="00B37051" w:rsidP="004A29F4">
      <w:pPr>
        <w:pStyle w:val="Titre1"/>
      </w:pPr>
      <w:bookmarkStart w:id="4" w:name="_Toc45807136"/>
      <w:bookmarkStart w:id="5" w:name="_Toc56788860"/>
      <w:r w:rsidRPr="00772542">
        <w:t>ANALYSE</w:t>
      </w:r>
      <w:bookmarkEnd w:id="4"/>
      <w:r w:rsidR="008A5221">
        <w:t xml:space="preserve"> </w:t>
      </w:r>
      <w:bookmarkEnd w:id="5"/>
    </w:p>
    <w:p w14:paraId="7FE3565F" w14:textId="77777777" w:rsidR="00B36F57" w:rsidRPr="00212B59" w:rsidRDefault="00B37051" w:rsidP="00B17C3B">
      <w:pPr>
        <w:pStyle w:val="Titre2"/>
        <w:jc w:val="left"/>
      </w:pPr>
      <w:r w:rsidRPr="00212B59">
        <w:t>L</w:t>
      </w:r>
      <w:r w:rsidR="00256062" w:rsidRPr="00212B59">
        <w:t xml:space="preserve">a Transaction </w:t>
      </w:r>
      <w:r w:rsidR="009E3410">
        <w:t>est-elle</w:t>
      </w:r>
      <w:r w:rsidR="00256062" w:rsidRPr="00212B59">
        <w:t xml:space="preserve"> </w:t>
      </w:r>
      <w:r w:rsidRPr="00212B59">
        <w:t xml:space="preserve">juste, équitable et dans l'intérêt fondamental des </w:t>
      </w:r>
      <w:r w:rsidR="00F7456E">
        <w:t>membres</w:t>
      </w:r>
      <w:r w:rsidR="00F7456E" w:rsidRPr="00212B59">
        <w:t xml:space="preserve"> </w:t>
      </w:r>
      <w:r w:rsidRPr="00212B59">
        <w:t xml:space="preserve">du </w:t>
      </w:r>
      <w:r w:rsidR="00F7456E">
        <w:t>groupe</w:t>
      </w:r>
      <w:r w:rsidRPr="00212B59">
        <w:t>?</w:t>
      </w:r>
    </w:p>
    <w:p w14:paraId="4F758175" w14:textId="77777777" w:rsidR="00B36F57" w:rsidRPr="001C2A78" w:rsidRDefault="00B37051" w:rsidP="001C2A78">
      <w:pPr>
        <w:pStyle w:val="Titre3"/>
      </w:pPr>
      <w:r>
        <w:t>Le d</w:t>
      </w:r>
      <w:r w:rsidRPr="001C2A78">
        <w:t xml:space="preserve">roit </w:t>
      </w:r>
      <w:r w:rsidR="00F55D68" w:rsidRPr="001C2A78">
        <w:t>applicable</w:t>
      </w:r>
    </w:p>
    <w:p w14:paraId="69F44496" w14:textId="77777777" w:rsidR="00B36F57" w:rsidRPr="00B36F57" w:rsidRDefault="00B37051" w:rsidP="0022519D">
      <w:pPr>
        <w:numPr>
          <w:ilvl w:val="0"/>
          <w:numId w:val="1"/>
        </w:numPr>
        <w:tabs>
          <w:tab w:val="clear" w:pos="360"/>
        </w:tabs>
        <w:spacing w:before="120" w:after="120"/>
        <w:jc w:val="both"/>
        <w:rPr>
          <w:kern w:val="28"/>
        </w:rPr>
      </w:pPr>
      <w:r w:rsidRPr="00B36F57">
        <w:rPr>
          <w:kern w:val="28"/>
        </w:rPr>
        <w:t xml:space="preserve">L’article 590 du </w:t>
      </w:r>
      <w:r w:rsidRPr="00B36F57">
        <w:rPr>
          <w:i/>
          <w:kern w:val="28"/>
        </w:rPr>
        <w:t>Code de procédure civile</w:t>
      </w:r>
      <w:r w:rsidRPr="00B36F57">
        <w:rPr>
          <w:kern w:val="28"/>
        </w:rPr>
        <w:t xml:space="preserve"> (« </w:t>
      </w:r>
      <w:proofErr w:type="spellStart"/>
      <w:r w:rsidRPr="00B36F57">
        <w:rPr>
          <w:b/>
          <w:kern w:val="28"/>
        </w:rPr>
        <w:t>C.p.c</w:t>
      </w:r>
      <w:proofErr w:type="spellEnd"/>
      <w:r w:rsidRPr="00B36F57">
        <w:rPr>
          <w:b/>
          <w:kern w:val="28"/>
        </w:rPr>
        <w:t>.</w:t>
      </w:r>
      <w:r w:rsidRPr="00B36F57">
        <w:rPr>
          <w:kern w:val="28"/>
        </w:rPr>
        <w:t> ») prévoit qu’en matière d’action collective, toute transaction est conditionnelle à l’approbation du tribunal. Cette approbation n’est accordée qu’après l’envoi d’avis aux membres qui les informent de la nature de l’action collective, des dispositions générales de la transaction proposée et des options qui leur sont offertes quant au règlement</w:t>
      </w:r>
      <w:bookmarkStart w:id="6" w:name="_Ref70332041"/>
      <w:r>
        <w:rPr>
          <w:kern w:val="28"/>
          <w:vertAlign w:val="superscript"/>
        </w:rPr>
        <w:footnoteReference w:id="4"/>
      </w:r>
      <w:bookmarkEnd w:id="6"/>
      <w:r w:rsidRPr="00B36F57">
        <w:rPr>
          <w:kern w:val="28"/>
        </w:rPr>
        <w:t>.</w:t>
      </w:r>
    </w:p>
    <w:p w14:paraId="5AF81B96" w14:textId="77777777" w:rsidR="00B36F57" w:rsidRPr="00B36F57" w:rsidRDefault="00B37051" w:rsidP="0022519D">
      <w:pPr>
        <w:numPr>
          <w:ilvl w:val="0"/>
          <w:numId w:val="1"/>
        </w:numPr>
        <w:tabs>
          <w:tab w:val="clear" w:pos="360"/>
        </w:tabs>
        <w:spacing w:before="120" w:after="120"/>
        <w:jc w:val="both"/>
        <w:rPr>
          <w:kern w:val="28"/>
        </w:rPr>
      </w:pPr>
      <w:r w:rsidRPr="00B36F57">
        <w:rPr>
          <w:kern w:val="28"/>
        </w:rPr>
        <w:t>Le rôle du tribunal appelé à approuver une transaction est de s’assurer qu’elle est juste, équitable et qu’elle s’inscrit dans l’intérêt fondamental des membres du groupe</w:t>
      </w:r>
      <w:bookmarkStart w:id="7" w:name="_Ref70067534"/>
      <w:r>
        <w:rPr>
          <w:kern w:val="28"/>
          <w:vertAlign w:val="superscript"/>
        </w:rPr>
        <w:footnoteReference w:id="5"/>
      </w:r>
      <w:bookmarkEnd w:id="7"/>
      <w:r w:rsidRPr="00B36F57">
        <w:rPr>
          <w:kern w:val="28"/>
        </w:rPr>
        <w:t>.</w:t>
      </w:r>
    </w:p>
    <w:p w14:paraId="7B473550" w14:textId="77777777" w:rsidR="00B36F57" w:rsidRPr="00B36F57" w:rsidRDefault="00B37051" w:rsidP="0022519D">
      <w:pPr>
        <w:numPr>
          <w:ilvl w:val="0"/>
          <w:numId w:val="1"/>
        </w:numPr>
        <w:tabs>
          <w:tab w:val="clear" w:pos="360"/>
        </w:tabs>
        <w:spacing w:before="120" w:after="120"/>
        <w:jc w:val="both"/>
        <w:rPr>
          <w:kern w:val="28"/>
        </w:rPr>
      </w:pPr>
      <w:r w:rsidRPr="00B36F57">
        <w:rPr>
          <w:kern w:val="28"/>
        </w:rPr>
        <w:lastRenderedPageBreak/>
        <w:t>Le tribunal doit encourager le règlement hors cour des litiges</w:t>
      </w:r>
      <w:r w:rsidR="0037468A">
        <w:rPr>
          <w:kern w:val="28"/>
        </w:rPr>
        <w:t>,</w:t>
      </w:r>
      <w:r w:rsidRPr="00B36F57">
        <w:rPr>
          <w:kern w:val="28"/>
        </w:rPr>
        <w:t xml:space="preserve"> puisqu’une telle solution </w:t>
      </w:r>
      <w:bookmarkStart w:id="9" w:name="_Ref180415397"/>
      <w:r w:rsidR="000C7482">
        <w:rPr>
          <w:kern w:val="28"/>
        </w:rPr>
        <w:t xml:space="preserve">constitue une saine politique judiciaire qui contribue </w:t>
      </w:r>
      <w:r w:rsidR="00B86ABE">
        <w:rPr>
          <w:kern w:val="28"/>
        </w:rPr>
        <w:t>à l’efficacité de l’administration de la justice</w:t>
      </w:r>
      <w:r>
        <w:rPr>
          <w:kern w:val="28"/>
          <w:vertAlign w:val="superscript"/>
        </w:rPr>
        <w:footnoteReference w:id="6"/>
      </w:r>
      <w:bookmarkEnd w:id="9"/>
      <w:r w:rsidRPr="00B36F57">
        <w:rPr>
          <w:kern w:val="28"/>
        </w:rPr>
        <w:t>.</w:t>
      </w:r>
    </w:p>
    <w:p w14:paraId="75D52682" w14:textId="77777777" w:rsidR="00B36F57" w:rsidRPr="00B36F57" w:rsidRDefault="00B37051" w:rsidP="0022519D">
      <w:pPr>
        <w:numPr>
          <w:ilvl w:val="0"/>
          <w:numId w:val="1"/>
        </w:numPr>
        <w:tabs>
          <w:tab w:val="clear" w:pos="360"/>
        </w:tabs>
        <w:spacing w:before="120" w:after="120"/>
        <w:jc w:val="both"/>
        <w:rPr>
          <w:kern w:val="28"/>
        </w:rPr>
      </w:pPr>
      <w:r>
        <w:rPr>
          <w:kern w:val="28"/>
        </w:rPr>
        <w:t>Le</w:t>
      </w:r>
      <w:r w:rsidR="00F55D68" w:rsidRPr="00B36F57">
        <w:rPr>
          <w:kern w:val="28"/>
        </w:rPr>
        <w:t xml:space="preserve"> tribunal </w:t>
      </w:r>
      <w:r>
        <w:rPr>
          <w:kern w:val="28"/>
        </w:rPr>
        <w:t>ne peut</w:t>
      </w:r>
      <w:r w:rsidR="00F55D68" w:rsidRPr="00B36F57">
        <w:rPr>
          <w:kern w:val="28"/>
        </w:rPr>
        <w:t xml:space="preserve"> réécrire la transaction conclue par les parties</w:t>
      </w:r>
      <w:r>
        <w:rPr>
          <w:kern w:val="28"/>
        </w:rPr>
        <w:t>, que ce soit en tout ou en partie</w:t>
      </w:r>
      <w:r w:rsidR="00EF18A1">
        <w:rPr>
          <w:kern w:val="28"/>
        </w:rPr>
        <w:t>.</w:t>
      </w:r>
    </w:p>
    <w:p w14:paraId="0D335186" w14:textId="77777777" w:rsidR="00B36F57" w:rsidRPr="00B36F57" w:rsidRDefault="00B37051" w:rsidP="0022519D">
      <w:pPr>
        <w:numPr>
          <w:ilvl w:val="0"/>
          <w:numId w:val="1"/>
        </w:numPr>
        <w:tabs>
          <w:tab w:val="clear" w:pos="360"/>
        </w:tabs>
        <w:spacing w:before="120" w:after="120"/>
        <w:jc w:val="both"/>
        <w:rPr>
          <w:kern w:val="28"/>
        </w:rPr>
      </w:pPr>
      <w:r w:rsidRPr="00B36F57">
        <w:rPr>
          <w:kern w:val="28"/>
        </w:rPr>
        <w:t>Lorsqu’on lui demande d’approuver une transaction, le tribunal doit soupeser les critères suivants</w:t>
      </w:r>
      <w:bookmarkStart w:id="10" w:name="_Ref70069212"/>
      <w:r>
        <w:rPr>
          <w:kern w:val="28"/>
          <w:vertAlign w:val="superscript"/>
        </w:rPr>
        <w:footnoteReference w:id="7"/>
      </w:r>
      <w:bookmarkEnd w:id="10"/>
      <w:r w:rsidRPr="00B36F57">
        <w:rPr>
          <w:kern w:val="28"/>
        </w:rPr>
        <w:t> :</w:t>
      </w:r>
    </w:p>
    <w:p w14:paraId="04CB44BF" w14:textId="77777777" w:rsidR="00B36F57" w:rsidRPr="00B36F57" w:rsidRDefault="00B37051" w:rsidP="0022519D">
      <w:pPr>
        <w:widowControl w:val="0"/>
        <w:numPr>
          <w:ilvl w:val="1"/>
          <w:numId w:val="1"/>
        </w:numPr>
        <w:spacing w:before="120" w:after="120"/>
        <w:ind w:left="1701" w:hanging="992"/>
        <w:jc w:val="both"/>
        <w:rPr>
          <w:kern w:val="28"/>
        </w:rPr>
      </w:pPr>
      <w:bookmarkStart w:id="11" w:name="_Hlk169769875"/>
      <w:bookmarkStart w:id="12" w:name="_Hlk169620801"/>
      <w:r w:rsidRPr="00B36F57">
        <w:rPr>
          <w:kern w:val="28"/>
          <w:u w:val="single"/>
        </w:rPr>
        <w:t>Les avantages que la transaction confère à chacun des membres</w:t>
      </w:r>
      <w:r w:rsidRPr="00DD1A63">
        <w:rPr>
          <w:kern w:val="28"/>
        </w:rPr>
        <w:t> :</w:t>
      </w:r>
      <w:bookmarkEnd w:id="11"/>
      <w:r w:rsidRPr="00B36F57">
        <w:rPr>
          <w:kern w:val="28"/>
        </w:rPr>
        <w:t xml:space="preserve"> </w:t>
      </w:r>
      <w:r w:rsidR="00EF18A1">
        <w:rPr>
          <w:kern w:val="28"/>
        </w:rPr>
        <w:t>Il s’agit du facteur le plus important</w:t>
      </w:r>
      <w:r w:rsidRPr="00B36F57">
        <w:rPr>
          <w:kern w:val="28"/>
        </w:rPr>
        <w:t xml:space="preserve">. </w:t>
      </w:r>
      <w:r w:rsidR="00EF18A1">
        <w:rPr>
          <w:kern w:val="28"/>
        </w:rPr>
        <w:t>C</w:t>
      </w:r>
      <w:r w:rsidRPr="00B36F57">
        <w:rPr>
          <w:kern w:val="28"/>
        </w:rPr>
        <w:t>et avantage n’est pas toujours monétaire</w:t>
      </w:r>
      <w:r>
        <w:rPr>
          <w:kern w:val="28"/>
          <w:vertAlign w:val="superscript"/>
        </w:rPr>
        <w:footnoteReference w:id="8"/>
      </w:r>
      <w:r w:rsidRPr="00B36F57">
        <w:rPr>
          <w:kern w:val="28"/>
        </w:rPr>
        <w:t xml:space="preserve">. </w:t>
      </w:r>
      <w:r w:rsidR="00EF18A1">
        <w:rPr>
          <w:kern w:val="28"/>
        </w:rPr>
        <w:t>Par exemple, il peut consister en u</w:t>
      </w:r>
      <w:r w:rsidRPr="00B36F57">
        <w:rPr>
          <w:kern w:val="28"/>
        </w:rPr>
        <w:t>n changement de pratique de la part du défendeur</w:t>
      </w:r>
      <w:bookmarkStart w:id="13" w:name="_Ref171687960"/>
      <w:r>
        <w:rPr>
          <w:kern w:val="28"/>
          <w:vertAlign w:val="superscript"/>
        </w:rPr>
        <w:footnoteReference w:id="9"/>
      </w:r>
      <w:bookmarkEnd w:id="13"/>
      <w:r w:rsidRPr="00B36F57">
        <w:rPr>
          <w:kern w:val="28"/>
        </w:rPr>
        <w:t>, la mise en place de mesures</w:t>
      </w:r>
      <w:r w:rsidR="004C4986">
        <w:rPr>
          <w:kern w:val="28"/>
        </w:rPr>
        <w:t xml:space="preserve"> </w:t>
      </w:r>
      <w:r w:rsidRPr="00B36F57">
        <w:rPr>
          <w:kern w:val="28"/>
        </w:rPr>
        <w:t>réparatrices ou protectrices</w:t>
      </w:r>
      <w:bookmarkStart w:id="14" w:name="_Ref231996040"/>
      <w:r>
        <w:rPr>
          <w:kern w:val="28"/>
          <w:vertAlign w:val="superscript"/>
        </w:rPr>
        <w:footnoteReference w:id="10"/>
      </w:r>
      <w:bookmarkEnd w:id="14"/>
      <w:r w:rsidRPr="00B36F57">
        <w:rPr>
          <w:kern w:val="28"/>
        </w:rPr>
        <w:t>, une lettre d’excuse</w:t>
      </w:r>
      <w:r>
        <w:rPr>
          <w:kern w:val="28"/>
          <w:vertAlign w:val="superscript"/>
        </w:rPr>
        <w:footnoteReference w:id="11"/>
      </w:r>
      <w:r w:rsidRPr="00B36F57">
        <w:rPr>
          <w:kern w:val="28"/>
        </w:rPr>
        <w:t xml:space="preserve"> ou un paiement </w:t>
      </w:r>
      <w:proofErr w:type="spellStart"/>
      <w:r w:rsidRPr="00AF50C5">
        <w:rPr>
          <w:i/>
          <w:iCs/>
          <w:kern w:val="28"/>
        </w:rPr>
        <w:t>cy</w:t>
      </w:r>
      <w:r w:rsidR="004216F0" w:rsidRPr="00AF50C5">
        <w:rPr>
          <w:i/>
          <w:iCs/>
          <w:kern w:val="28"/>
        </w:rPr>
        <w:noBreakHyphen/>
      </w:r>
      <w:r w:rsidRPr="00AF50C5">
        <w:rPr>
          <w:i/>
          <w:iCs/>
          <w:kern w:val="28"/>
        </w:rPr>
        <w:t>près</w:t>
      </w:r>
      <w:proofErr w:type="spellEnd"/>
      <w:r w:rsidRPr="00B36F57">
        <w:rPr>
          <w:kern w:val="28"/>
        </w:rPr>
        <w:t xml:space="preserve"> à des œuvres caritatives</w:t>
      </w:r>
      <w:bookmarkStart w:id="15" w:name="_Ref171687910"/>
      <w:r>
        <w:rPr>
          <w:kern w:val="28"/>
          <w:vertAlign w:val="superscript"/>
        </w:rPr>
        <w:footnoteReference w:id="12"/>
      </w:r>
      <w:bookmarkEnd w:id="15"/>
      <w:r w:rsidR="00200EF7">
        <w:rPr>
          <w:kern w:val="28"/>
        </w:rPr>
        <w:t>. Ces exemples</w:t>
      </w:r>
      <w:r w:rsidRPr="00B36F57">
        <w:rPr>
          <w:kern w:val="28"/>
        </w:rPr>
        <w:t xml:space="preserve"> peuvent, dans certains cas, constituer des avantages importants. </w:t>
      </w:r>
      <w:r w:rsidR="00C81AA6">
        <w:rPr>
          <w:kern w:val="28"/>
        </w:rPr>
        <w:t>Lorsqu’une transaction</w:t>
      </w:r>
      <w:r w:rsidR="005A2E51">
        <w:rPr>
          <w:kern w:val="28"/>
        </w:rPr>
        <w:t xml:space="preserve"> confère a</w:t>
      </w:r>
      <w:r w:rsidRPr="00B36F57">
        <w:rPr>
          <w:kern w:val="28"/>
        </w:rPr>
        <w:t xml:space="preserve">ux membres un avantage pécuniaire </w:t>
      </w:r>
      <w:r w:rsidRPr="005A2E51">
        <w:rPr>
          <w:b/>
          <w:bCs/>
          <w:kern w:val="28"/>
        </w:rPr>
        <w:t>limité</w:t>
      </w:r>
      <w:r w:rsidR="00200EF7">
        <w:rPr>
          <w:kern w:val="28"/>
        </w:rPr>
        <w:t>,</w:t>
      </w:r>
      <w:r w:rsidRPr="00B36F57">
        <w:rPr>
          <w:kern w:val="28"/>
        </w:rPr>
        <w:t xml:space="preserve"> </w:t>
      </w:r>
      <w:r w:rsidR="005A2E51">
        <w:rPr>
          <w:kern w:val="28"/>
        </w:rPr>
        <w:t xml:space="preserve">le tribunal doit </w:t>
      </w:r>
      <w:r w:rsidR="001D650A">
        <w:rPr>
          <w:kern w:val="28"/>
        </w:rPr>
        <w:t>exercer une grande prudence dans l’analyse</w:t>
      </w:r>
      <w:r>
        <w:rPr>
          <w:kern w:val="28"/>
          <w:vertAlign w:val="superscript"/>
        </w:rPr>
        <w:footnoteReference w:id="13"/>
      </w:r>
      <w:r w:rsidR="001D650A">
        <w:rPr>
          <w:kern w:val="28"/>
        </w:rPr>
        <w:t xml:space="preserve"> </w:t>
      </w:r>
      <w:r w:rsidRPr="00B36F57">
        <w:rPr>
          <w:kern w:val="28"/>
        </w:rPr>
        <w:t xml:space="preserve">pour éviter que l’action collective ne devienne qu’une source d’enrichissement pour les avocats en demande </w:t>
      </w:r>
      <w:r w:rsidR="00835981">
        <w:rPr>
          <w:kern w:val="28"/>
        </w:rPr>
        <w:t>ou</w:t>
      </w:r>
      <w:r w:rsidRPr="00B36F57">
        <w:rPr>
          <w:kern w:val="28"/>
        </w:rPr>
        <w:t xml:space="preserve"> une source de financement pour des organisations sans but lucratif</w:t>
      </w:r>
      <w:r>
        <w:rPr>
          <w:kern w:val="28"/>
          <w:vertAlign w:val="superscript"/>
        </w:rPr>
        <w:footnoteReference w:id="14"/>
      </w:r>
      <w:r w:rsidRPr="00B36F57">
        <w:rPr>
          <w:kern w:val="28"/>
        </w:rPr>
        <w:t>.</w:t>
      </w:r>
    </w:p>
    <w:p w14:paraId="0518F64F" w14:textId="77777777" w:rsidR="00B36F57" w:rsidRPr="00B36F57" w:rsidRDefault="00B37051" w:rsidP="0022519D">
      <w:pPr>
        <w:widowControl w:val="0"/>
        <w:numPr>
          <w:ilvl w:val="1"/>
          <w:numId w:val="1"/>
        </w:numPr>
        <w:spacing w:before="120" w:after="120"/>
        <w:ind w:left="1701" w:hanging="992"/>
        <w:jc w:val="both"/>
        <w:rPr>
          <w:kern w:val="28"/>
        </w:rPr>
      </w:pPr>
      <w:bookmarkStart w:id="16" w:name="_Hlk169620851"/>
      <w:r w:rsidRPr="00B36F57">
        <w:rPr>
          <w:kern w:val="28"/>
          <w:u w:val="single"/>
        </w:rPr>
        <w:t>Le processus de réclamation et les frais d’administration</w:t>
      </w:r>
      <w:r w:rsidRPr="00A610CB">
        <w:rPr>
          <w:kern w:val="28"/>
        </w:rPr>
        <w:t> :</w:t>
      </w:r>
      <w:bookmarkEnd w:id="16"/>
      <w:r w:rsidRPr="00B36F57">
        <w:rPr>
          <w:kern w:val="28"/>
        </w:rPr>
        <w:t xml:space="preserve"> </w:t>
      </w:r>
      <w:r w:rsidR="00835981">
        <w:rPr>
          <w:kern w:val="28"/>
        </w:rPr>
        <w:t>L</w:t>
      </w:r>
      <w:r w:rsidRPr="00B36F57">
        <w:rPr>
          <w:kern w:val="28"/>
        </w:rPr>
        <w:t xml:space="preserve">e tribunal doit vérifier que </w:t>
      </w:r>
      <w:r w:rsidR="00835981">
        <w:rPr>
          <w:kern w:val="28"/>
        </w:rPr>
        <w:t>la transaction est, en pratique</w:t>
      </w:r>
      <w:r w:rsidR="009069DC">
        <w:rPr>
          <w:kern w:val="28"/>
        </w:rPr>
        <w:t>,</w:t>
      </w:r>
      <w:r w:rsidR="00835981">
        <w:rPr>
          <w:kern w:val="28"/>
        </w:rPr>
        <w:t xml:space="preserve"> </w:t>
      </w:r>
      <w:r w:rsidRPr="00B36F57">
        <w:rPr>
          <w:kern w:val="28"/>
        </w:rPr>
        <w:t>réalisable</w:t>
      </w:r>
      <w:r w:rsidR="009C1D08">
        <w:rPr>
          <w:kern w:val="28"/>
        </w:rPr>
        <w:t xml:space="preserve"> (délais, formulaires </w:t>
      </w:r>
      <w:r w:rsidR="00390E2E">
        <w:rPr>
          <w:kern w:val="28"/>
        </w:rPr>
        <w:t xml:space="preserve">à </w:t>
      </w:r>
      <w:r w:rsidR="009069DC">
        <w:rPr>
          <w:kern w:val="28"/>
        </w:rPr>
        <w:t xml:space="preserve">remplir </w:t>
      </w:r>
      <w:r w:rsidR="009C1D08">
        <w:rPr>
          <w:kern w:val="28"/>
        </w:rPr>
        <w:t>et preuve à obtenir)</w:t>
      </w:r>
      <w:r w:rsidRPr="00B36F57">
        <w:rPr>
          <w:kern w:val="28"/>
        </w:rPr>
        <w:t xml:space="preserve"> pour le plus grand nombre de membres possible. </w:t>
      </w:r>
      <w:r w:rsidR="00835981">
        <w:rPr>
          <w:kern w:val="28"/>
        </w:rPr>
        <w:t>Le tribunal peut</w:t>
      </w:r>
      <w:r w:rsidRPr="00B36F57">
        <w:rPr>
          <w:kern w:val="28"/>
        </w:rPr>
        <w:t xml:space="preserve"> tenir compte du nombre anticipé de membres qui présenteront une demande dans le cadre de la transaction </w:t>
      </w:r>
      <w:r w:rsidR="00835981">
        <w:rPr>
          <w:kern w:val="28"/>
        </w:rPr>
        <w:t>pour</w:t>
      </w:r>
      <w:r w:rsidRPr="00B36F57">
        <w:rPr>
          <w:kern w:val="28"/>
        </w:rPr>
        <w:t xml:space="preserve"> évaluer le nombre de membres qui</w:t>
      </w:r>
      <w:r w:rsidR="00AD5AC9">
        <w:rPr>
          <w:kern w:val="28"/>
        </w:rPr>
        <w:t>,</w:t>
      </w:r>
      <w:r w:rsidRPr="00B36F57">
        <w:rPr>
          <w:kern w:val="28"/>
        </w:rPr>
        <w:t xml:space="preserve"> au terme de l’exercice, recevront effectivement une compensation</w:t>
      </w:r>
      <w:bookmarkStart w:id="17" w:name="_Ref171688677"/>
      <w:r>
        <w:rPr>
          <w:kern w:val="28"/>
          <w:vertAlign w:val="superscript"/>
        </w:rPr>
        <w:footnoteReference w:id="15"/>
      </w:r>
      <w:bookmarkEnd w:id="17"/>
      <w:r w:rsidRPr="00B36F57">
        <w:rPr>
          <w:kern w:val="28"/>
        </w:rPr>
        <w:t>.</w:t>
      </w:r>
    </w:p>
    <w:p w14:paraId="29ADDA8A" w14:textId="77777777" w:rsidR="00B36F57" w:rsidRPr="00B36F57" w:rsidRDefault="00B37051" w:rsidP="0022519D">
      <w:pPr>
        <w:widowControl w:val="0"/>
        <w:numPr>
          <w:ilvl w:val="1"/>
          <w:numId w:val="1"/>
        </w:numPr>
        <w:spacing w:before="120" w:after="120"/>
        <w:ind w:left="1701" w:hanging="992"/>
        <w:jc w:val="both"/>
        <w:rPr>
          <w:kern w:val="28"/>
        </w:rPr>
      </w:pPr>
      <w:bookmarkStart w:id="18" w:name="_Hlk169772427"/>
      <w:r w:rsidRPr="00B36F57">
        <w:rPr>
          <w:kern w:val="28"/>
          <w:u w:val="single"/>
        </w:rPr>
        <w:lastRenderedPageBreak/>
        <w:t>Les risques reliés à la poursuite du litige</w:t>
      </w:r>
      <w:r w:rsidRPr="00D76E93">
        <w:rPr>
          <w:kern w:val="28"/>
        </w:rPr>
        <w:t> :</w:t>
      </w:r>
      <w:bookmarkEnd w:id="12"/>
      <w:r w:rsidRPr="00B36F57">
        <w:rPr>
          <w:kern w:val="28"/>
        </w:rPr>
        <w:t xml:space="preserve"> Le tribunal doit soupeser les bénéfices de </w:t>
      </w:r>
      <w:r w:rsidR="009C1D08">
        <w:rPr>
          <w:kern w:val="28"/>
        </w:rPr>
        <w:t>la transaction</w:t>
      </w:r>
      <w:r w:rsidRPr="00B36F57">
        <w:rPr>
          <w:kern w:val="28"/>
        </w:rPr>
        <w:t xml:space="preserve"> pour les membres et les comparer aux inconvénients liés à l’abandon de </w:t>
      </w:r>
      <w:r w:rsidR="0009737C">
        <w:rPr>
          <w:kern w:val="28"/>
        </w:rPr>
        <w:t>la demande</w:t>
      </w:r>
      <w:r>
        <w:rPr>
          <w:kern w:val="28"/>
          <w:vertAlign w:val="superscript"/>
        </w:rPr>
        <w:footnoteReference w:id="16"/>
      </w:r>
      <w:r w:rsidR="00364EB3">
        <w:rPr>
          <w:kern w:val="28"/>
        </w:rPr>
        <w:t xml:space="preserve"> ou</w:t>
      </w:r>
      <w:r w:rsidR="00F84732">
        <w:rPr>
          <w:kern w:val="28"/>
        </w:rPr>
        <w:t xml:space="preserve"> encore</w:t>
      </w:r>
      <w:r w:rsidR="009A01AE">
        <w:rPr>
          <w:kern w:val="28"/>
        </w:rPr>
        <w:t>,</w:t>
      </w:r>
      <w:r w:rsidR="00364EB3">
        <w:rPr>
          <w:kern w:val="28"/>
        </w:rPr>
        <w:t xml:space="preserve"> dans le cas de poursuite</w:t>
      </w:r>
      <w:r w:rsidR="0009737C">
        <w:rPr>
          <w:kern w:val="28"/>
        </w:rPr>
        <w:t xml:space="preserve"> de la demande,</w:t>
      </w:r>
      <w:r w:rsidR="00F84732">
        <w:rPr>
          <w:kern w:val="28"/>
        </w:rPr>
        <w:t xml:space="preserve"> </w:t>
      </w:r>
      <w:r w:rsidR="00D36E63">
        <w:rPr>
          <w:kern w:val="28"/>
        </w:rPr>
        <w:t xml:space="preserve">aux délais associés à celle-ci et </w:t>
      </w:r>
      <w:r w:rsidR="0009737C">
        <w:rPr>
          <w:kern w:val="28"/>
        </w:rPr>
        <w:t>aux risques</w:t>
      </w:r>
      <w:r w:rsidR="007B1C92">
        <w:rPr>
          <w:kern w:val="28"/>
        </w:rPr>
        <w:t xml:space="preserve"> quant au résultat</w:t>
      </w:r>
      <w:r>
        <w:rPr>
          <w:kern w:val="28"/>
          <w:vertAlign w:val="superscript"/>
        </w:rPr>
        <w:footnoteReference w:id="17"/>
      </w:r>
      <w:r w:rsidRPr="00B36F57">
        <w:rPr>
          <w:kern w:val="28"/>
        </w:rPr>
        <w:t>.</w:t>
      </w:r>
      <w:bookmarkEnd w:id="18"/>
    </w:p>
    <w:p w14:paraId="0DA5AF8F" w14:textId="77777777" w:rsidR="00B36F57" w:rsidRPr="00B36F57" w:rsidRDefault="00B37051" w:rsidP="0022519D">
      <w:pPr>
        <w:widowControl w:val="0"/>
        <w:numPr>
          <w:ilvl w:val="1"/>
          <w:numId w:val="1"/>
        </w:numPr>
        <w:spacing w:before="120" w:after="120"/>
        <w:ind w:left="1701" w:hanging="992"/>
        <w:jc w:val="both"/>
        <w:rPr>
          <w:kern w:val="28"/>
        </w:rPr>
      </w:pPr>
      <w:r w:rsidRPr="00B36F57">
        <w:rPr>
          <w:kern w:val="28"/>
          <w:u w:val="single"/>
        </w:rPr>
        <w:t>La portée de la quittance</w:t>
      </w:r>
      <w:r w:rsidRPr="00D76E93">
        <w:rPr>
          <w:kern w:val="28"/>
        </w:rPr>
        <w:t> :</w:t>
      </w:r>
      <w:r w:rsidRPr="00B36F57">
        <w:rPr>
          <w:kern w:val="28"/>
        </w:rPr>
        <w:t xml:space="preserve"> La quittance proposée doit </w:t>
      </w:r>
      <w:r w:rsidR="00054FF1">
        <w:rPr>
          <w:kern w:val="28"/>
        </w:rPr>
        <w:t xml:space="preserve">être en </w:t>
      </w:r>
      <w:r w:rsidR="00BE017E">
        <w:rPr>
          <w:kern w:val="28"/>
        </w:rPr>
        <w:t>l</w:t>
      </w:r>
      <w:r w:rsidR="00054FF1">
        <w:rPr>
          <w:kern w:val="28"/>
        </w:rPr>
        <w:t>ien</w:t>
      </w:r>
      <w:r w:rsidRPr="00B36F57">
        <w:rPr>
          <w:kern w:val="28"/>
        </w:rPr>
        <w:t xml:space="preserve"> </w:t>
      </w:r>
      <w:r w:rsidR="00BE017E">
        <w:rPr>
          <w:kern w:val="28"/>
        </w:rPr>
        <w:t>avec</w:t>
      </w:r>
      <w:r w:rsidR="00206CCB">
        <w:rPr>
          <w:kern w:val="28"/>
        </w:rPr>
        <w:t xml:space="preserve"> les</w:t>
      </w:r>
      <w:r w:rsidRPr="00B36F57">
        <w:rPr>
          <w:kern w:val="28"/>
        </w:rPr>
        <w:t xml:space="preserve"> revendications formulées dans la </w:t>
      </w:r>
      <w:r w:rsidR="00206CCB">
        <w:rPr>
          <w:kern w:val="28"/>
        </w:rPr>
        <w:t>demande. On doit éviter les quittances</w:t>
      </w:r>
      <w:r w:rsidR="003A4C0A">
        <w:rPr>
          <w:kern w:val="28"/>
        </w:rPr>
        <w:t xml:space="preserve"> qui portent sur des objets p</w:t>
      </w:r>
      <w:r w:rsidRPr="00B36F57">
        <w:rPr>
          <w:kern w:val="28"/>
        </w:rPr>
        <w:t>our lesquels les demandeurs n’obtiennent aucune compensation</w:t>
      </w:r>
      <w:r>
        <w:rPr>
          <w:kern w:val="28"/>
          <w:vertAlign w:val="superscript"/>
        </w:rPr>
        <w:footnoteReference w:id="18"/>
      </w:r>
      <w:r w:rsidRPr="00B36F57">
        <w:rPr>
          <w:kern w:val="28"/>
        </w:rPr>
        <w:t>.</w:t>
      </w:r>
      <w:r w:rsidR="000A3BDF">
        <w:rPr>
          <w:kern w:val="28"/>
        </w:rPr>
        <w:t xml:space="preserve"> Le Tribunal ajoute qu’il doit y avoir une certaine corrélation entre </w:t>
      </w:r>
      <w:r w:rsidR="00E5620E">
        <w:rPr>
          <w:kern w:val="28"/>
        </w:rPr>
        <w:t xml:space="preserve">l’ampleur de l’indemnisation et </w:t>
      </w:r>
      <w:r w:rsidR="0055455E">
        <w:rPr>
          <w:kern w:val="28"/>
        </w:rPr>
        <w:t>la formulation de la quittance.</w:t>
      </w:r>
    </w:p>
    <w:p w14:paraId="284CC91B" w14:textId="77777777" w:rsidR="00B36F57" w:rsidRPr="00B36F57" w:rsidRDefault="00B37051" w:rsidP="0022519D">
      <w:pPr>
        <w:widowControl w:val="0"/>
        <w:numPr>
          <w:ilvl w:val="1"/>
          <w:numId w:val="1"/>
        </w:numPr>
        <w:spacing w:before="120" w:after="120"/>
        <w:ind w:left="1701" w:hanging="992"/>
        <w:jc w:val="both"/>
        <w:rPr>
          <w:kern w:val="28"/>
        </w:rPr>
      </w:pPr>
      <w:bookmarkStart w:id="19" w:name="_Hlk169620929"/>
      <w:r w:rsidRPr="00B36F57">
        <w:rPr>
          <w:kern w:val="28"/>
          <w:u w:val="single"/>
        </w:rPr>
        <w:t>L’opinion des membres</w:t>
      </w:r>
      <w:r w:rsidRPr="00D76E93">
        <w:rPr>
          <w:kern w:val="28"/>
        </w:rPr>
        <w:t> :</w:t>
      </w:r>
      <w:bookmarkEnd w:id="19"/>
      <w:r w:rsidRPr="00B36F57">
        <w:rPr>
          <w:kern w:val="28"/>
        </w:rPr>
        <w:t xml:space="preserve"> </w:t>
      </w:r>
      <w:r w:rsidR="000A00A9">
        <w:rPr>
          <w:kern w:val="28"/>
        </w:rPr>
        <w:t>L</w:t>
      </w:r>
      <w:r w:rsidRPr="00B36F57">
        <w:rPr>
          <w:kern w:val="28"/>
        </w:rPr>
        <w:t xml:space="preserve">’opinion des membres doit être considérée. </w:t>
      </w:r>
      <w:r w:rsidR="00FC7F6F">
        <w:rPr>
          <w:kern w:val="28"/>
        </w:rPr>
        <w:t xml:space="preserve">Les </w:t>
      </w:r>
      <w:r w:rsidR="00404501">
        <w:rPr>
          <w:kern w:val="28"/>
        </w:rPr>
        <w:t>objections et les retraits du recours</w:t>
      </w:r>
      <w:r w:rsidR="0037468A">
        <w:rPr>
          <w:kern w:val="28"/>
        </w:rPr>
        <w:t>,</w:t>
      </w:r>
      <w:r w:rsidR="00BC0B60">
        <w:rPr>
          <w:kern w:val="28"/>
        </w:rPr>
        <w:t xml:space="preserve"> </w:t>
      </w:r>
      <w:r w:rsidR="00EB7192">
        <w:rPr>
          <w:kern w:val="28"/>
        </w:rPr>
        <w:t>de même que</w:t>
      </w:r>
      <w:r w:rsidR="00BC0B60">
        <w:rPr>
          <w:kern w:val="28"/>
        </w:rPr>
        <w:t xml:space="preserve"> leurs motivations</w:t>
      </w:r>
      <w:r w:rsidR="0037468A">
        <w:rPr>
          <w:kern w:val="28"/>
        </w:rPr>
        <w:t>,</w:t>
      </w:r>
      <w:r w:rsidR="00EB7192">
        <w:rPr>
          <w:kern w:val="28"/>
        </w:rPr>
        <w:t xml:space="preserve"> </w:t>
      </w:r>
      <w:r w:rsidRPr="00B36F57">
        <w:rPr>
          <w:kern w:val="28"/>
        </w:rPr>
        <w:t>doivent être scrutés attentivement.</w:t>
      </w:r>
    </w:p>
    <w:p w14:paraId="24CBE794" w14:textId="77777777" w:rsidR="00B36F57" w:rsidRPr="00B36F57" w:rsidRDefault="00B37051" w:rsidP="0022519D">
      <w:pPr>
        <w:widowControl w:val="0"/>
        <w:numPr>
          <w:ilvl w:val="1"/>
          <w:numId w:val="1"/>
        </w:numPr>
        <w:spacing w:before="120" w:after="120"/>
        <w:ind w:left="1701" w:hanging="992"/>
        <w:jc w:val="both"/>
        <w:rPr>
          <w:kern w:val="28"/>
        </w:rPr>
      </w:pPr>
      <w:r w:rsidRPr="00B36F57">
        <w:rPr>
          <w:kern w:val="28"/>
          <w:u w:val="single"/>
        </w:rPr>
        <w:t>L’intégrité du processus judiciaire et l’absence de collusion</w:t>
      </w:r>
      <w:r w:rsidRPr="00D76E93">
        <w:rPr>
          <w:kern w:val="28"/>
        </w:rPr>
        <w:t> :</w:t>
      </w:r>
      <w:r w:rsidRPr="00B36F57">
        <w:rPr>
          <w:kern w:val="28"/>
        </w:rPr>
        <w:t xml:space="preserve"> </w:t>
      </w:r>
      <w:r w:rsidR="006A1DA9">
        <w:rPr>
          <w:kern w:val="28"/>
        </w:rPr>
        <w:t>L</w:t>
      </w:r>
      <w:r w:rsidRPr="00B36F57">
        <w:rPr>
          <w:kern w:val="28"/>
        </w:rPr>
        <w:t>e tribunal doit s’assurer qu’il y a absence de collusion et que la transaction a été conclue de bonne foi</w:t>
      </w:r>
      <w:r>
        <w:rPr>
          <w:kern w:val="28"/>
          <w:vertAlign w:val="superscript"/>
        </w:rPr>
        <w:footnoteReference w:id="19"/>
      </w:r>
      <w:r w:rsidR="00282C89">
        <w:rPr>
          <w:kern w:val="28"/>
        </w:rPr>
        <w:t xml:space="preserve"> et qu’elle respect</w:t>
      </w:r>
      <w:r w:rsidR="00F82818">
        <w:rPr>
          <w:kern w:val="28"/>
        </w:rPr>
        <w:t>e</w:t>
      </w:r>
      <w:r w:rsidR="00F82818" w:rsidRPr="00B36F57">
        <w:rPr>
          <w:kern w:val="28"/>
        </w:rPr>
        <w:t xml:space="preserve"> l’ordre public</w:t>
      </w:r>
      <w:r>
        <w:rPr>
          <w:kern w:val="28"/>
          <w:vertAlign w:val="superscript"/>
        </w:rPr>
        <w:footnoteReference w:id="20"/>
      </w:r>
      <w:r w:rsidRPr="00B36F57">
        <w:rPr>
          <w:kern w:val="28"/>
        </w:rPr>
        <w:t xml:space="preserve">. </w:t>
      </w:r>
      <w:r w:rsidR="00570524">
        <w:rPr>
          <w:kern w:val="28"/>
        </w:rPr>
        <w:t xml:space="preserve">Toute </w:t>
      </w:r>
      <w:r w:rsidRPr="00B36F57">
        <w:rPr>
          <w:kern w:val="28"/>
        </w:rPr>
        <w:t xml:space="preserve">transaction </w:t>
      </w:r>
      <w:r w:rsidR="00570524">
        <w:rPr>
          <w:kern w:val="28"/>
        </w:rPr>
        <w:t xml:space="preserve">qui </w:t>
      </w:r>
      <w:r w:rsidRPr="00B36F57">
        <w:rPr>
          <w:kern w:val="28"/>
        </w:rPr>
        <w:t>est tributaire de l’approbation d</w:t>
      </w:r>
      <w:r w:rsidR="00D343CA">
        <w:rPr>
          <w:kern w:val="28"/>
        </w:rPr>
        <w:t>’</w:t>
      </w:r>
      <w:r w:rsidRPr="00B36F57">
        <w:rPr>
          <w:kern w:val="28"/>
        </w:rPr>
        <w:t>honoraires</w:t>
      </w:r>
      <w:r w:rsidR="00D343CA">
        <w:rPr>
          <w:kern w:val="28"/>
        </w:rPr>
        <w:t xml:space="preserve"> disproportionnés est un drapeau rouge</w:t>
      </w:r>
      <w:r w:rsidRPr="00B36F57">
        <w:rPr>
          <w:kern w:val="28"/>
        </w:rPr>
        <w:t>.</w:t>
      </w:r>
    </w:p>
    <w:p w14:paraId="3D7FD948" w14:textId="77777777" w:rsidR="00B36F57" w:rsidRPr="00B36F57" w:rsidRDefault="00B37051" w:rsidP="001C2A78">
      <w:pPr>
        <w:pStyle w:val="Titre3"/>
      </w:pPr>
      <w:r>
        <w:t>L’intér</w:t>
      </w:r>
      <w:r w:rsidR="001B5488">
        <w:t>êt général des membres</w:t>
      </w:r>
    </w:p>
    <w:p w14:paraId="6CBF61B1" w14:textId="77777777" w:rsidR="00B36F57" w:rsidRPr="00B36F57" w:rsidRDefault="00B37051" w:rsidP="00B36F57">
      <w:pPr>
        <w:pStyle w:val="Paragrsimple"/>
      </w:pPr>
      <w:r w:rsidRPr="00B36F57">
        <w:t>En appliquant les critères susmentionnés, il faut conclure que l</w:t>
      </w:r>
      <w:r>
        <w:t>a T</w:t>
      </w:r>
      <w:r w:rsidRPr="00B36F57">
        <w:t xml:space="preserve">ransaction soumise au Tribunal </w:t>
      </w:r>
      <w:r w:rsidR="006368EB">
        <w:t xml:space="preserve">n’apparaît </w:t>
      </w:r>
      <w:r w:rsidR="00F13062">
        <w:t xml:space="preserve">pas </w:t>
      </w:r>
      <w:proofErr w:type="gramStart"/>
      <w:r w:rsidR="00F13062">
        <w:t>être</w:t>
      </w:r>
      <w:proofErr w:type="gramEnd"/>
      <w:r w:rsidR="00F13062">
        <w:t xml:space="preserve"> </w:t>
      </w:r>
      <w:r w:rsidRPr="00B36F57">
        <w:t xml:space="preserve">dans l’intérêt </w:t>
      </w:r>
      <w:r w:rsidR="00EA6EC5">
        <w:t xml:space="preserve">fondamental </w:t>
      </w:r>
      <w:r w:rsidRPr="00B36F57">
        <w:t xml:space="preserve">des </w:t>
      </w:r>
      <w:r w:rsidR="00EA6EC5">
        <w:t>m</w:t>
      </w:r>
      <w:r w:rsidRPr="00B36F57">
        <w:t>embres</w:t>
      </w:r>
      <w:r w:rsidR="00EA6EC5">
        <w:t xml:space="preserve"> du </w:t>
      </w:r>
      <w:r w:rsidR="00F7456E">
        <w:t>groupe</w:t>
      </w:r>
      <w:r w:rsidRPr="00B36F57">
        <w:t>.</w:t>
      </w:r>
      <w:r w:rsidR="004B6390">
        <w:t xml:space="preserve"> </w:t>
      </w:r>
      <w:r w:rsidR="00C97E3C">
        <w:t>De plus, e</w:t>
      </w:r>
      <w:r w:rsidR="004B6390">
        <w:t>lle</w:t>
      </w:r>
      <w:r w:rsidR="002F0468">
        <w:t xml:space="preserve"> pourrait</w:t>
      </w:r>
      <w:r w:rsidR="004B6390">
        <w:t xml:space="preserve"> </w:t>
      </w:r>
      <w:r w:rsidR="002F0468">
        <w:t>déconsidérer</w:t>
      </w:r>
      <w:r w:rsidR="004B6390">
        <w:t xml:space="preserve"> l’administration de la justice</w:t>
      </w:r>
      <w:r w:rsidR="00092D2A">
        <w:t xml:space="preserve"> par la faiblesse </w:t>
      </w:r>
      <w:r w:rsidR="00A63720">
        <w:t xml:space="preserve">des bénéfices </w:t>
      </w:r>
      <w:r w:rsidR="002F0468">
        <w:t>qu’elle procure aux</w:t>
      </w:r>
      <w:r w:rsidR="00A63720">
        <w:t xml:space="preserve"> membres du </w:t>
      </w:r>
      <w:r w:rsidR="00F7456E">
        <w:t xml:space="preserve">groupe </w:t>
      </w:r>
      <w:r w:rsidR="00A63720">
        <w:t xml:space="preserve">et l’importance des honoraires et </w:t>
      </w:r>
      <w:r w:rsidR="003627C6">
        <w:t xml:space="preserve">des </w:t>
      </w:r>
      <w:r w:rsidR="00A63720">
        <w:t>frais d’administration réclamés</w:t>
      </w:r>
      <w:r w:rsidR="004B6390">
        <w:t>.</w:t>
      </w:r>
    </w:p>
    <w:p w14:paraId="0513A888" w14:textId="77777777" w:rsidR="00F86977" w:rsidRPr="00A23BEF" w:rsidRDefault="00B37051" w:rsidP="00F86977">
      <w:pPr>
        <w:pStyle w:val="Titre3"/>
      </w:pPr>
      <w:r w:rsidRPr="00A23BEF">
        <w:rPr>
          <w:rFonts w:eastAsia="Arial"/>
        </w:rPr>
        <w:t>Le nombre de membres</w:t>
      </w:r>
    </w:p>
    <w:p w14:paraId="5E352C2A" w14:textId="77777777" w:rsidR="007F6BA7" w:rsidRPr="00187430" w:rsidRDefault="00B37051" w:rsidP="007F6BA7">
      <w:pPr>
        <w:pStyle w:val="Paragrsimple"/>
        <w:rPr>
          <w:rFonts w:eastAsia="Arial"/>
        </w:rPr>
      </w:pPr>
      <w:r>
        <w:rPr>
          <w:lang w:eastAsia="fr-CA"/>
        </w:rPr>
        <w:t xml:space="preserve">Concilia, l’administrateur des réclamations désigné et chargé d’envoyer les avis </w:t>
      </w:r>
      <w:r w:rsidR="00551478">
        <w:rPr>
          <w:lang w:eastAsia="fr-CA"/>
        </w:rPr>
        <w:t xml:space="preserve">de </w:t>
      </w:r>
      <w:r>
        <w:rPr>
          <w:lang w:eastAsia="fr-CA"/>
        </w:rPr>
        <w:t xml:space="preserve">préapprobation aux membres, a reçu, à titre confidentiel des avocats de la défense, </w:t>
      </w:r>
      <w:r>
        <w:rPr>
          <w:lang w:eastAsia="fr-CA"/>
        </w:rPr>
        <w:lastRenderedPageBreak/>
        <w:t xml:space="preserve">une liste d’adresses courriel des membres potentiels du groupe dans le recours Dahan, le recours </w:t>
      </w:r>
      <w:proofErr w:type="spellStart"/>
      <w:r>
        <w:rPr>
          <w:lang w:eastAsia="fr-CA"/>
        </w:rPr>
        <w:t>Thandi</w:t>
      </w:r>
      <w:proofErr w:type="spellEnd"/>
      <w:r>
        <w:rPr>
          <w:lang w:eastAsia="fr-CA"/>
        </w:rPr>
        <w:t xml:space="preserve"> </w:t>
      </w:r>
      <w:r w:rsidR="00F120C2">
        <w:rPr>
          <w:lang w:eastAsia="fr-CA"/>
        </w:rPr>
        <w:t>(</w:t>
      </w:r>
      <w:r w:rsidR="008F267C">
        <w:rPr>
          <w:lang w:eastAsia="fr-CA"/>
        </w:rPr>
        <w:t>de la Colombie-Britannique</w:t>
      </w:r>
      <w:r w:rsidR="00F120C2">
        <w:rPr>
          <w:lang w:eastAsia="fr-CA"/>
        </w:rPr>
        <w:t>)</w:t>
      </w:r>
      <w:r w:rsidR="008F267C">
        <w:rPr>
          <w:lang w:eastAsia="fr-CA"/>
        </w:rPr>
        <w:t xml:space="preserve"> </w:t>
      </w:r>
      <w:r>
        <w:rPr>
          <w:lang w:eastAsia="fr-CA"/>
        </w:rPr>
        <w:t>et le recours Zuckerman.</w:t>
      </w:r>
    </w:p>
    <w:p w14:paraId="38EC4164" w14:textId="77777777" w:rsidR="00406D57" w:rsidRPr="00B17C3B" w:rsidRDefault="00B37051" w:rsidP="00F86977">
      <w:pPr>
        <w:pStyle w:val="Paragrsimple"/>
        <w:rPr>
          <w:rFonts w:eastAsia="Arial"/>
        </w:rPr>
      </w:pPr>
      <w:r>
        <w:rPr>
          <w:rFonts w:eastAsia="Arial"/>
        </w:rPr>
        <w:t xml:space="preserve">Dans </w:t>
      </w:r>
      <w:r w:rsidR="00417F44">
        <w:rPr>
          <w:rFonts w:eastAsia="Arial"/>
        </w:rPr>
        <w:t>sa proposition de services</w:t>
      </w:r>
      <w:r w:rsidR="00523841">
        <w:rPr>
          <w:rFonts w:eastAsia="Arial"/>
        </w:rPr>
        <w:t xml:space="preserve"> daté</w:t>
      </w:r>
      <w:r w:rsidR="00417F44">
        <w:rPr>
          <w:rFonts w:eastAsia="Arial"/>
        </w:rPr>
        <w:t>e</w:t>
      </w:r>
      <w:r w:rsidR="00523841">
        <w:rPr>
          <w:rFonts w:eastAsia="Arial"/>
        </w:rPr>
        <w:t xml:space="preserve"> du 4</w:t>
      </w:r>
      <w:r w:rsidR="008E2902">
        <w:rPr>
          <w:rFonts w:eastAsia="Arial"/>
        </w:rPr>
        <w:t xml:space="preserve"> </w:t>
      </w:r>
      <w:r w:rsidR="00523841">
        <w:rPr>
          <w:rFonts w:eastAsia="Arial"/>
        </w:rPr>
        <w:t>mars 2026, l’administrateur pro</w:t>
      </w:r>
      <w:r w:rsidR="00A012B1">
        <w:rPr>
          <w:rFonts w:eastAsia="Arial"/>
        </w:rPr>
        <w:t>p</w:t>
      </w:r>
      <w:r w:rsidR="00523841">
        <w:rPr>
          <w:rFonts w:eastAsia="Arial"/>
        </w:rPr>
        <w:t>osé</w:t>
      </w:r>
      <w:r w:rsidR="00A012B1">
        <w:rPr>
          <w:rFonts w:eastAsia="Arial"/>
        </w:rPr>
        <w:t xml:space="preserve"> (Concilia)</w:t>
      </w:r>
      <w:r w:rsidR="004045F1">
        <w:rPr>
          <w:rFonts w:eastAsia="Arial"/>
        </w:rPr>
        <w:t xml:space="preserve"> estimait le nombre </w:t>
      </w:r>
      <w:r w:rsidR="00F509F7">
        <w:rPr>
          <w:rFonts w:eastAsia="Arial"/>
        </w:rPr>
        <w:t>tota</w:t>
      </w:r>
      <w:r w:rsidR="00A012B1">
        <w:rPr>
          <w:rFonts w:eastAsia="Arial"/>
        </w:rPr>
        <w:t xml:space="preserve">l </w:t>
      </w:r>
      <w:r w:rsidR="004045F1">
        <w:rPr>
          <w:rFonts w:eastAsia="Arial"/>
        </w:rPr>
        <w:t>de membre</w:t>
      </w:r>
      <w:r w:rsidR="00F509F7">
        <w:rPr>
          <w:rFonts w:eastAsia="Arial"/>
        </w:rPr>
        <w:t xml:space="preserve">s </w:t>
      </w:r>
      <w:r w:rsidR="00352781">
        <w:rPr>
          <w:rFonts w:eastAsia="Arial"/>
        </w:rPr>
        <w:t>à 2</w:t>
      </w:r>
      <w:r w:rsidR="002C49DC">
        <w:rPr>
          <w:rFonts w:eastAsia="Arial"/>
        </w:rPr>
        <w:t> </w:t>
      </w:r>
      <w:r w:rsidR="00352781">
        <w:rPr>
          <w:rFonts w:eastAsia="Arial"/>
        </w:rPr>
        <w:t>906</w:t>
      </w:r>
      <w:r w:rsidR="00C263A9">
        <w:rPr>
          <w:rFonts w:eastAsia="Arial"/>
        </w:rPr>
        <w:t> </w:t>
      </w:r>
      <w:r w:rsidR="002C49DC">
        <w:rPr>
          <w:rFonts w:eastAsia="Arial"/>
        </w:rPr>
        <w:t>563</w:t>
      </w:r>
      <w:r>
        <w:rPr>
          <w:rStyle w:val="Appelnotedebasdep"/>
          <w:rFonts w:eastAsia="Arial"/>
        </w:rPr>
        <w:footnoteReference w:id="21"/>
      </w:r>
      <w:r w:rsidR="00C263A9">
        <w:rPr>
          <w:rFonts w:eastAsia="Arial"/>
        </w:rPr>
        <w:t>.</w:t>
      </w:r>
    </w:p>
    <w:p w14:paraId="5A957603" w14:textId="77777777" w:rsidR="00CE3030" w:rsidRPr="00775F48" w:rsidRDefault="00B37051" w:rsidP="00CE3030">
      <w:pPr>
        <w:pStyle w:val="Paragrsimple"/>
        <w:rPr>
          <w:rFonts w:eastAsia="Arial"/>
          <w:lang w:val="fr-FR"/>
        </w:rPr>
      </w:pPr>
      <w:r>
        <w:rPr>
          <w:rFonts w:eastAsia="Arial"/>
          <w:lang w:val="fr-FR"/>
        </w:rPr>
        <w:t xml:space="preserve">Dans son rapport du 19 mai 2026 </w:t>
      </w:r>
      <w:r w:rsidR="00C61C21">
        <w:rPr>
          <w:rFonts w:eastAsia="Arial"/>
          <w:lang w:val="fr-FR"/>
        </w:rPr>
        <w:t>sur l’envoi des avis</w:t>
      </w:r>
      <w:r w:rsidR="008B616C">
        <w:rPr>
          <w:rFonts w:eastAsia="Arial"/>
          <w:lang w:val="fr-FR"/>
        </w:rPr>
        <w:t xml:space="preserve"> de</w:t>
      </w:r>
      <w:r w:rsidR="00C61C21">
        <w:rPr>
          <w:rFonts w:eastAsia="Arial"/>
          <w:lang w:val="fr-FR"/>
        </w:rPr>
        <w:t xml:space="preserve"> </w:t>
      </w:r>
      <w:r w:rsidR="00417F44" w:rsidRPr="007F6BA7">
        <w:rPr>
          <w:rFonts w:eastAsia="Arial"/>
          <w:lang w:val="fr-FR"/>
        </w:rPr>
        <w:t>préapprobation</w:t>
      </w:r>
      <w:r w:rsidR="00C61C21" w:rsidRPr="007F6BA7">
        <w:rPr>
          <w:rFonts w:eastAsia="Arial"/>
          <w:lang w:val="fr-FR"/>
        </w:rPr>
        <w:t>, Concil</w:t>
      </w:r>
      <w:r w:rsidR="007F6BA7" w:rsidRPr="007F6BA7">
        <w:rPr>
          <w:rFonts w:eastAsia="Arial"/>
          <w:lang w:val="fr-FR"/>
        </w:rPr>
        <w:t>ia indique que d</w:t>
      </w:r>
      <w:r w:rsidRPr="007F6BA7">
        <w:rPr>
          <w:rFonts w:eastAsia="Arial"/>
          <w:lang w:val="fr-FR"/>
        </w:rPr>
        <w:t>ans</w:t>
      </w:r>
      <w:r>
        <w:rPr>
          <w:rFonts w:eastAsia="Arial"/>
          <w:lang w:val="fr-FR"/>
        </w:rPr>
        <w:t xml:space="preserve"> le dossier </w:t>
      </w:r>
      <w:proofErr w:type="spellStart"/>
      <w:r>
        <w:rPr>
          <w:rFonts w:eastAsia="Arial"/>
          <w:lang w:val="fr-FR"/>
        </w:rPr>
        <w:t>Thandi</w:t>
      </w:r>
      <w:proofErr w:type="spellEnd"/>
      <w:r>
        <w:rPr>
          <w:rFonts w:eastAsia="Arial"/>
          <w:lang w:val="fr-FR"/>
        </w:rPr>
        <w:t xml:space="preserve"> de la Colombie</w:t>
      </w:r>
      <w:r w:rsidR="0037468A">
        <w:rPr>
          <w:rFonts w:eastAsia="Arial"/>
          <w:lang w:val="fr-FR"/>
        </w:rPr>
        <w:t>-</w:t>
      </w:r>
      <w:r>
        <w:rPr>
          <w:rFonts w:eastAsia="Arial"/>
          <w:lang w:val="fr-FR"/>
        </w:rPr>
        <w:t xml:space="preserve">Britannique, </w:t>
      </w:r>
      <w:r w:rsidRPr="005C4C9A">
        <w:rPr>
          <w:rFonts w:eastAsia="Arial"/>
        </w:rPr>
        <w:t>995</w:t>
      </w:r>
      <w:r>
        <w:rPr>
          <w:rFonts w:eastAsia="Arial"/>
        </w:rPr>
        <w:t> </w:t>
      </w:r>
      <w:r w:rsidRPr="005C4C9A">
        <w:rPr>
          <w:rFonts w:eastAsia="Arial"/>
        </w:rPr>
        <w:t>496</w:t>
      </w:r>
      <w:r>
        <w:rPr>
          <w:rFonts w:eastAsia="Arial"/>
        </w:rPr>
        <w:t xml:space="preserve"> courriels ont été envoyés aux membres présumés</w:t>
      </w:r>
      <w:r w:rsidR="0037468A">
        <w:rPr>
          <w:rFonts w:eastAsia="Arial"/>
        </w:rPr>
        <w:t>,</w:t>
      </w:r>
      <w:r>
        <w:rPr>
          <w:rFonts w:eastAsia="Arial"/>
        </w:rPr>
        <w:t xml:space="preserve"> dont 51 038 n’ont pas rejoint leurs destinataires.</w:t>
      </w:r>
      <w:r w:rsidR="007F6BA7" w:rsidRPr="007F6BA7">
        <w:rPr>
          <w:rFonts w:eastAsia="Arial"/>
        </w:rPr>
        <w:t xml:space="preserve"> </w:t>
      </w:r>
      <w:r>
        <w:rPr>
          <w:rFonts w:eastAsia="Arial"/>
          <w:lang w:val="fr-FR"/>
        </w:rPr>
        <w:t xml:space="preserve">Dans le dossier Dahan, </w:t>
      </w:r>
      <w:r w:rsidRPr="00A20807">
        <w:rPr>
          <w:rFonts w:eastAsia="Arial"/>
        </w:rPr>
        <w:t>1</w:t>
      </w:r>
      <w:r>
        <w:rPr>
          <w:rFonts w:eastAsia="Arial"/>
        </w:rPr>
        <w:t> </w:t>
      </w:r>
      <w:r w:rsidRPr="00A20807">
        <w:rPr>
          <w:rFonts w:eastAsia="Arial"/>
        </w:rPr>
        <w:t>220</w:t>
      </w:r>
      <w:r>
        <w:rPr>
          <w:rFonts w:eastAsia="Arial"/>
        </w:rPr>
        <w:t> </w:t>
      </w:r>
      <w:r w:rsidRPr="00A20807">
        <w:rPr>
          <w:rFonts w:eastAsia="Arial"/>
        </w:rPr>
        <w:t>435</w:t>
      </w:r>
      <w:r>
        <w:rPr>
          <w:rFonts w:eastAsia="Arial"/>
        </w:rPr>
        <w:t xml:space="preserve"> courriels ont été envoyés aux membres présumés et </w:t>
      </w:r>
      <w:r w:rsidRPr="00F3370A">
        <w:rPr>
          <w:rFonts w:eastAsia="Arial"/>
        </w:rPr>
        <w:t>113</w:t>
      </w:r>
      <w:r w:rsidR="008B616C">
        <w:rPr>
          <w:rFonts w:eastAsia="Arial"/>
        </w:rPr>
        <w:t> </w:t>
      </w:r>
      <w:r w:rsidRPr="00F3370A">
        <w:rPr>
          <w:rFonts w:eastAsia="Arial"/>
        </w:rPr>
        <w:t>684</w:t>
      </w:r>
      <w:r>
        <w:rPr>
          <w:rFonts w:eastAsia="Arial"/>
        </w:rPr>
        <w:t xml:space="preserve"> n’ont pas rejoint leurs destinataires.</w:t>
      </w:r>
      <w:r w:rsidR="007F6BA7" w:rsidRPr="007F6BA7">
        <w:rPr>
          <w:rFonts w:eastAsia="Arial"/>
        </w:rPr>
        <w:t xml:space="preserve"> </w:t>
      </w:r>
      <w:r>
        <w:rPr>
          <w:rFonts w:eastAsia="Arial"/>
        </w:rPr>
        <w:t>Dans le dossier Zuckerman</w:t>
      </w:r>
      <w:r w:rsidR="008B616C">
        <w:rPr>
          <w:rFonts w:eastAsia="Arial"/>
        </w:rPr>
        <w:t>,</w:t>
      </w:r>
      <w:r>
        <w:rPr>
          <w:rFonts w:eastAsia="Arial"/>
        </w:rPr>
        <w:t xml:space="preserve"> </w:t>
      </w:r>
      <w:r w:rsidRPr="00BB13AF">
        <w:rPr>
          <w:rFonts w:eastAsia="Arial"/>
        </w:rPr>
        <w:t>98</w:t>
      </w:r>
      <w:r>
        <w:rPr>
          <w:rFonts w:eastAsia="Arial"/>
        </w:rPr>
        <w:t> </w:t>
      </w:r>
      <w:r w:rsidRPr="00BB13AF">
        <w:rPr>
          <w:rFonts w:eastAsia="Arial"/>
        </w:rPr>
        <w:t>518</w:t>
      </w:r>
      <w:r>
        <w:rPr>
          <w:rFonts w:eastAsia="Arial"/>
        </w:rPr>
        <w:t xml:space="preserve"> courriels ont été envoyés aux membres potentiels et parmi ceux-ci, </w:t>
      </w:r>
      <w:r w:rsidRPr="00A75480">
        <w:rPr>
          <w:rFonts w:eastAsia="Arial"/>
        </w:rPr>
        <w:t>2 395 n’ont pas rejoint leurs destinataires</w:t>
      </w:r>
      <w:r>
        <w:rPr>
          <w:rFonts w:eastAsia="Arial"/>
        </w:rPr>
        <w:t>.</w:t>
      </w:r>
    </w:p>
    <w:p w14:paraId="32DD4561" w14:textId="77777777" w:rsidR="00F2215B" w:rsidRDefault="00B37051" w:rsidP="00CE3030">
      <w:pPr>
        <w:pStyle w:val="Paragrsimple"/>
        <w:rPr>
          <w:rFonts w:eastAsia="Arial"/>
          <w:lang w:val="fr-FR"/>
        </w:rPr>
      </w:pPr>
      <w:r>
        <w:rPr>
          <w:rFonts w:eastAsia="Arial"/>
          <w:lang w:val="fr-FR"/>
        </w:rPr>
        <w:t xml:space="preserve">Le Tribunal retient qu’il y a </w:t>
      </w:r>
      <w:r w:rsidR="00336E9E">
        <w:rPr>
          <w:rFonts w:eastAsia="Arial"/>
          <w:lang w:val="fr-FR"/>
        </w:rPr>
        <w:t xml:space="preserve">2 314 449 </w:t>
      </w:r>
      <w:r w:rsidR="006F01CB">
        <w:rPr>
          <w:rFonts w:eastAsia="Arial"/>
          <w:lang w:val="fr-FR"/>
        </w:rPr>
        <w:t>adresses courriel uniques</w:t>
      </w:r>
      <w:r w:rsidR="009A3054">
        <w:rPr>
          <w:rFonts w:eastAsia="Arial"/>
          <w:lang w:val="fr-FR"/>
        </w:rPr>
        <w:t xml:space="preserve"> </w:t>
      </w:r>
      <w:r>
        <w:rPr>
          <w:rFonts w:eastAsia="Arial"/>
          <w:lang w:val="fr-FR"/>
        </w:rPr>
        <w:t>correspondant</w:t>
      </w:r>
      <w:r w:rsidR="00010B74">
        <w:rPr>
          <w:rFonts w:eastAsia="Arial"/>
          <w:lang w:val="fr-FR"/>
        </w:rPr>
        <w:t xml:space="preserve"> </w:t>
      </w:r>
      <w:r w:rsidR="00EC015C">
        <w:rPr>
          <w:rFonts w:eastAsia="Arial"/>
          <w:lang w:val="fr-FR"/>
        </w:rPr>
        <w:t xml:space="preserve">à un nombre </w:t>
      </w:r>
      <w:r w:rsidR="00911CF9">
        <w:rPr>
          <w:rFonts w:eastAsia="Arial"/>
          <w:lang w:val="fr-FR"/>
        </w:rPr>
        <w:t>similaire de membres.</w:t>
      </w:r>
    </w:p>
    <w:p w14:paraId="6DBB707A" w14:textId="77777777" w:rsidR="00CE3030" w:rsidRPr="0003196B" w:rsidRDefault="00B37051" w:rsidP="00CE3030">
      <w:pPr>
        <w:pStyle w:val="Paragrsimple"/>
        <w:rPr>
          <w:rFonts w:eastAsia="Arial"/>
          <w:lang w:val="fr-FR"/>
        </w:rPr>
      </w:pPr>
      <w:r>
        <w:rPr>
          <w:rFonts w:eastAsia="Arial"/>
          <w:lang w:val="fr-FR"/>
        </w:rPr>
        <w:t xml:space="preserve">Les avocats des demandeurs ont également communiqué à Concilia </w:t>
      </w:r>
      <w:r>
        <w:rPr>
          <w:rFonts w:eastAsia="Arial"/>
        </w:rPr>
        <w:t>286</w:t>
      </w:r>
      <w:r w:rsidR="00F120C2">
        <w:rPr>
          <w:rFonts w:eastAsia="Arial"/>
        </w:rPr>
        <w:t> </w:t>
      </w:r>
      <w:r>
        <w:rPr>
          <w:rFonts w:eastAsia="Arial"/>
        </w:rPr>
        <w:t xml:space="preserve">adresses courriel de personnes s’étant inscrites sur leur site pour le dossier Dahan et 913 pour le dossier Zuckerman. Parmi </w:t>
      </w:r>
      <w:r w:rsidR="004A171D">
        <w:rPr>
          <w:rFonts w:eastAsia="Arial"/>
        </w:rPr>
        <w:t>ces envois</w:t>
      </w:r>
      <w:r>
        <w:rPr>
          <w:rFonts w:eastAsia="Arial"/>
        </w:rPr>
        <w:t>, 20</w:t>
      </w:r>
      <w:r w:rsidRPr="00A75480">
        <w:rPr>
          <w:rFonts w:eastAsia="Arial"/>
        </w:rPr>
        <w:t xml:space="preserve">5 courriels n’ont pas </w:t>
      </w:r>
      <w:r>
        <w:rPr>
          <w:rFonts w:eastAsia="Arial"/>
        </w:rPr>
        <w:t>atteint leur cible</w:t>
      </w:r>
      <w:r w:rsidRPr="00A75480">
        <w:rPr>
          <w:rFonts w:eastAsia="Arial"/>
        </w:rPr>
        <w:t>.</w:t>
      </w:r>
    </w:p>
    <w:p w14:paraId="4AD6FB25" w14:textId="77777777" w:rsidR="00F86977" w:rsidRDefault="00B37051" w:rsidP="00F86977">
      <w:pPr>
        <w:pStyle w:val="Paragrsimple"/>
        <w:rPr>
          <w:rFonts w:eastAsia="Arial"/>
          <w:lang w:val="fr-FR"/>
        </w:rPr>
      </w:pPr>
      <w:r>
        <w:rPr>
          <w:rFonts w:eastAsia="Arial"/>
          <w:lang w:val="fr-FR"/>
        </w:rPr>
        <w:t>Concilia, présumément sur la foi des informations reçues de la part des avocats de la défenderesse, a</w:t>
      </w:r>
      <w:r w:rsidR="0060283C">
        <w:rPr>
          <w:rFonts w:eastAsia="Arial"/>
          <w:lang w:val="fr-FR"/>
        </w:rPr>
        <w:t>vait</w:t>
      </w:r>
      <w:r>
        <w:rPr>
          <w:rFonts w:eastAsia="Arial"/>
          <w:lang w:val="fr-FR"/>
        </w:rPr>
        <w:t xml:space="preserve"> évalué à 1 529 590 </w:t>
      </w:r>
      <w:r w:rsidR="00DF78CD">
        <w:rPr>
          <w:rFonts w:eastAsia="Arial"/>
          <w:lang w:val="fr-FR"/>
        </w:rPr>
        <w:t xml:space="preserve">le nombre de </w:t>
      </w:r>
      <w:r>
        <w:rPr>
          <w:rFonts w:eastAsia="Arial"/>
          <w:lang w:val="fr-FR"/>
        </w:rPr>
        <w:t>membres pour lesquels aucune adresse courriel n’était disponible</w:t>
      </w:r>
      <w:r>
        <w:rPr>
          <w:rStyle w:val="Appelnotedebasdep"/>
          <w:rFonts w:eastAsia="Arial"/>
          <w:lang w:val="fr-FR"/>
        </w:rPr>
        <w:footnoteReference w:id="22"/>
      </w:r>
      <w:r>
        <w:rPr>
          <w:rFonts w:eastAsia="Arial"/>
          <w:lang w:val="fr-FR"/>
        </w:rPr>
        <w:t>.</w:t>
      </w:r>
    </w:p>
    <w:p w14:paraId="346D99FA" w14:textId="77777777" w:rsidR="000176A2" w:rsidRPr="00B17C3B" w:rsidRDefault="00B37051" w:rsidP="00F86977">
      <w:pPr>
        <w:pStyle w:val="Paragrsimple"/>
        <w:rPr>
          <w:rFonts w:eastAsia="Arial"/>
          <w:lang w:val="fr-FR"/>
        </w:rPr>
      </w:pPr>
      <w:r>
        <w:rPr>
          <w:rFonts w:eastAsia="Arial"/>
          <w:lang w:val="fr-FR"/>
        </w:rPr>
        <w:t xml:space="preserve">Lorsqu’on cumule les membres sans adresse courriel </w:t>
      </w:r>
      <w:r w:rsidR="003000C6">
        <w:rPr>
          <w:rFonts w:eastAsia="Arial"/>
          <w:lang w:val="fr-FR"/>
        </w:rPr>
        <w:t xml:space="preserve">(1 529 590) </w:t>
      </w:r>
      <w:r w:rsidR="00817BBD">
        <w:rPr>
          <w:rFonts w:eastAsia="Arial"/>
          <w:lang w:val="fr-FR"/>
        </w:rPr>
        <w:t>avec ceux qui en possède</w:t>
      </w:r>
      <w:r w:rsidR="008E7398">
        <w:rPr>
          <w:rFonts w:eastAsia="Arial"/>
          <w:lang w:val="fr-FR"/>
        </w:rPr>
        <w:t>nt</w:t>
      </w:r>
      <w:r w:rsidR="00817BBD">
        <w:rPr>
          <w:rFonts w:eastAsia="Arial"/>
          <w:lang w:val="fr-FR"/>
        </w:rPr>
        <w:t xml:space="preserve"> une</w:t>
      </w:r>
      <w:r w:rsidR="003000C6">
        <w:rPr>
          <w:rFonts w:eastAsia="Arial"/>
          <w:lang w:val="fr-FR"/>
        </w:rPr>
        <w:t xml:space="preserve"> (</w:t>
      </w:r>
      <w:r w:rsidR="00147BBB">
        <w:rPr>
          <w:rFonts w:eastAsia="Arial"/>
          <w:lang w:val="fr-FR"/>
        </w:rPr>
        <w:t>2 314 449)</w:t>
      </w:r>
      <w:r w:rsidR="00817BBD">
        <w:rPr>
          <w:rFonts w:eastAsia="Arial"/>
          <w:lang w:val="fr-FR"/>
        </w:rPr>
        <w:t xml:space="preserve">, le nombre de membres </w:t>
      </w:r>
      <w:r w:rsidR="00667E91">
        <w:rPr>
          <w:rFonts w:eastAsia="Arial"/>
          <w:lang w:val="fr-FR"/>
        </w:rPr>
        <w:t xml:space="preserve">anticipé </w:t>
      </w:r>
      <w:r w:rsidR="00B4362C">
        <w:rPr>
          <w:rFonts w:eastAsia="Arial"/>
          <w:lang w:val="fr-FR"/>
        </w:rPr>
        <w:t xml:space="preserve">atteint </w:t>
      </w:r>
      <w:r>
        <w:rPr>
          <w:rFonts w:eastAsia="Arial"/>
          <w:lang w:val="fr-FR"/>
        </w:rPr>
        <w:t xml:space="preserve">3 844 039 n </w:t>
      </w:r>
      <w:r w:rsidR="00416121">
        <w:rPr>
          <w:rFonts w:eastAsia="Arial"/>
          <w:lang w:val="fr-FR"/>
        </w:rPr>
        <w:t xml:space="preserve">soit près de 1 million de plus que </w:t>
      </w:r>
      <w:r>
        <w:rPr>
          <w:rFonts w:eastAsia="Arial"/>
          <w:lang w:val="fr-FR"/>
        </w:rPr>
        <w:t xml:space="preserve">les </w:t>
      </w:r>
      <w:r>
        <w:rPr>
          <w:rFonts w:eastAsia="Arial"/>
        </w:rPr>
        <w:t xml:space="preserve">2 906 563 estimés par Concilia. La différence entre les deux </w:t>
      </w:r>
      <w:r w:rsidR="00416121">
        <w:rPr>
          <w:rFonts w:eastAsia="Arial"/>
        </w:rPr>
        <w:t xml:space="preserve">résultats </w:t>
      </w:r>
      <w:r>
        <w:rPr>
          <w:rFonts w:eastAsia="Arial"/>
        </w:rPr>
        <w:t>n’a pas été expliquée.</w:t>
      </w:r>
    </w:p>
    <w:p w14:paraId="6BB8D5FF" w14:textId="77777777" w:rsidR="00B43C6D" w:rsidRDefault="00B37051" w:rsidP="00F86977">
      <w:pPr>
        <w:pStyle w:val="Paragrsimple"/>
        <w:rPr>
          <w:rFonts w:eastAsia="Arial"/>
          <w:lang w:val="fr-FR"/>
        </w:rPr>
      </w:pPr>
      <w:r>
        <w:rPr>
          <w:rFonts w:eastAsia="Arial"/>
        </w:rPr>
        <w:t>Mais il y a plus. Le Tribunal a</w:t>
      </w:r>
      <w:r w:rsidR="00817BBD">
        <w:rPr>
          <w:rFonts w:eastAsia="Arial"/>
          <w:lang w:val="fr-FR"/>
        </w:rPr>
        <w:t xml:space="preserve"> </w:t>
      </w:r>
      <w:r w:rsidR="00750B32">
        <w:rPr>
          <w:rFonts w:eastAsia="Arial"/>
          <w:lang w:val="fr-FR"/>
        </w:rPr>
        <w:t xml:space="preserve">demandé à l’avocat du </w:t>
      </w:r>
      <w:r w:rsidR="00F7456E">
        <w:rPr>
          <w:rFonts w:eastAsia="Arial"/>
          <w:lang w:val="fr-FR"/>
        </w:rPr>
        <w:t xml:space="preserve">groupe </w:t>
      </w:r>
      <w:r w:rsidR="00750B32">
        <w:rPr>
          <w:rFonts w:eastAsia="Arial"/>
          <w:lang w:val="fr-FR"/>
        </w:rPr>
        <w:t>de préciser</w:t>
      </w:r>
      <w:r w:rsidR="00E437E0">
        <w:rPr>
          <w:rFonts w:eastAsia="Arial"/>
          <w:lang w:val="fr-FR"/>
        </w:rPr>
        <w:t xml:space="preserve"> le nombre de membres pour chacun des incidents. Voici s</w:t>
      </w:r>
      <w:r w:rsidR="00B40616">
        <w:rPr>
          <w:rFonts w:eastAsia="Arial"/>
          <w:lang w:val="fr-FR"/>
        </w:rPr>
        <w:t>a réponse :</w:t>
      </w:r>
    </w:p>
    <w:p w14:paraId="2CF69119" w14:textId="77777777" w:rsidR="00ED7488" w:rsidRDefault="00B37051" w:rsidP="00B17C3B">
      <w:pPr>
        <w:pStyle w:val="Citationenretrait"/>
        <w:rPr>
          <w:lang w:val="en-CA" w:eastAsia="fr-CA"/>
        </w:rPr>
      </w:pPr>
      <w:r w:rsidRPr="00B0335D">
        <w:rPr>
          <w:rFonts w:eastAsia="Arial"/>
          <w:lang w:val="en-CA"/>
        </w:rPr>
        <w:t>There are 1,963,563 Canadian</w:t>
      </w:r>
      <w:r w:rsidR="00A76921">
        <w:rPr>
          <w:rFonts w:eastAsia="Arial"/>
          <w:lang w:val="en-CA"/>
        </w:rPr>
        <w:t xml:space="preserve"> </w:t>
      </w:r>
      <w:r w:rsidR="00A76921" w:rsidRPr="00A76921">
        <w:rPr>
          <w:rFonts w:eastAsia="Arial"/>
          <w:lang w:val="en-CA"/>
        </w:rPr>
        <w:t>class members who are</w:t>
      </w:r>
      <w:r w:rsidR="00A76921" w:rsidRPr="006B0A0E">
        <w:rPr>
          <w:rFonts w:eastAsia="Arial"/>
          <w:lang w:val="en-CA"/>
        </w:rPr>
        <w:t xml:space="preserve"> </w:t>
      </w:r>
      <w:r w:rsidR="00A76921" w:rsidRPr="00165BCE">
        <w:rPr>
          <w:rFonts w:eastAsia="Arial"/>
          <w:u w:val="single"/>
          <w:lang w:val="en-CA"/>
        </w:rPr>
        <w:t>only</w:t>
      </w:r>
      <w:r w:rsidR="00A76921" w:rsidRPr="00A76921">
        <w:rPr>
          <w:rFonts w:eastAsia="Arial"/>
          <w:lang w:val="en-CA"/>
        </w:rPr>
        <w:t xml:space="preserve"> in the 2019 MGM incident</w:t>
      </w:r>
      <w:r w:rsidR="00EC5381">
        <w:rPr>
          <w:rFonts w:eastAsia="Arial"/>
          <w:lang w:val="en-CA"/>
        </w:rPr>
        <w:t xml:space="preserve">. </w:t>
      </w:r>
      <w:r>
        <w:rPr>
          <w:lang w:val="en-CA" w:eastAsia="fr-CA"/>
        </w:rPr>
        <w:t xml:space="preserve">There are 2,610,189 Canadian class members who are </w:t>
      </w:r>
      <w:r w:rsidRPr="00165BCE">
        <w:rPr>
          <w:u w:val="single"/>
          <w:lang w:val="en-CA" w:eastAsia="fr-CA"/>
        </w:rPr>
        <w:t>only</w:t>
      </w:r>
      <w:r>
        <w:rPr>
          <w:lang w:val="en-CA" w:eastAsia="fr-CA"/>
        </w:rPr>
        <w:t xml:space="preserve"> in the 2023</w:t>
      </w:r>
      <w:r w:rsidR="0033393E">
        <w:rPr>
          <w:lang w:val="en-CA" w:eastAsia="fr-CA"/>
        </w:rPr>
        <w:t xml:space="preserve"> MGM incident</w:t>
      </w:r>
      <w:r>
        <w:rPr>
          <w:lang w:val="en-CA" w:eastAsia="fr-CA"/>
        </w:rPr>
        <w:t xml:space="preserve">. </w:t>
      </w:r>
      <w:r w:rsidR="0033393E" w:rsidRPr="0033393E">
        <w:rPr>
          <w:lang w:val="en-CA" w:eastAsia="fr-CA"/>
        </w:rPr>
        <w:t>1,667,402 Canadian class members are in both 2019</w:t>
      </w:r>
      <w:r w:rsidR="0033393E">
        <w:rPr>
          <w:lang w:val="en-CA" w:eastAsia="fr-CA"/>
        </w:rPr>
        <w:t xml:space="preserve"> </w:t>
      </w:r>
      <w:r w:rsidR="0033393E" w:rsidRPr="0033393E">
        <w:rPr>
          <w:lang w:val="en-CA" w:eastAsia="fr-CA"/>
        </w:rPr>
        <w:t>and 2023 MGM incidents.</w:t>
      </w:r>
    </w:p>
    <w:p w14:paraId="0A29307F" w14:textId="77777777" w:rsidR="0000665C" w:rsidRDefault="00B37051" w:rsidP="00ED7488">
      <w:pPr>
        <w:pStyle w:val="Paragrsimple"/>
        <w:rPr>
          <w:rFonts w:eastAsia="Arial"/>
        </w:rPr>
      </w:pPr>
      <w:r>
        <w:rPr>
          <w:rFonts w:eastAsia="Arial"/>
        </w:rPr>
        <w:t>Ces chiffres sont les mêmes que ceux utilisé</w:t>
      </w:r>
      <w:r w:rsidR="00DA2856">
        <w:rPr>
          <w:rFonts w:eastAsia="Arial"/>
        </w:rPr>
        <w:t>s par Concilia dans sa proposition du 4 mars 2026</w:t>
      </w:r>
      <w:r w:rsidR="00096FE1">
        <w:rPr>
          <w:rFonts w:eastAsia="Arial"/>
        </w:rPr>
        <w:t>,</w:t>
      </w:r>
      <w:r w:rsidR="00B852D1">
        <w:rPr>
          <w:rFonts w:eastAsia="Arial"/>
        </w:rPr>
        <w:t xml:space="preserve"> mais </w:t>
      </w:r>
      <w:r w:rsidR="00096FE1">
        <w:rPr>
          <w:rFonts w:eastAsia="Arial"/>
        </w:rPr>
        <w:t xml:space="preserve">ils </w:t>
      </w:r>
      <w:r w:rsidR="00B852D1">
        <w:rPr>
          <w:rFonts w:eastAsia="Arial"/>
        </w:rPr>
        <w:t>sont qualifiés de façon tout à fait différente.</w:t>
      </w:r>
      <w:r w:rsidR="00A26AD4">
        <w:rPr>
          <w:rFonts w:eastAsia="Arial"/>
        </w:rPr>
        <w:t xml:space="preserve"> Alors que Concilia </w:t>
      </w:r>
      <w:r w:rsidR="004249CF">
        <w:rPr>
          <w:rFonts w:eastAsia="Arial"/>
        </w:rPr>
        <w:t>conclut à un</w:t>
      </w:r>
      <w:r w:rsidR="00087973">
        <w:rPr>
          <w:rFonts w:eastAsia="Arial"/>
        </w:rPr>
        <w:t xml:space="preserve"> chevauchement </w:t>
      </w:r>
      <w:r w:rsidR="005569A1">
        <w:rPr>
          <w:rFonts w:eastAsia="Arial"/>
        </w:rPr>
        <w:t xml:space="preserve">de 1 667 402 </w:t>
      </w:r>
      <w:r w:rsidR="003A0372">
        <w:rPr>
          <w:rFonts w:eastAsia="Arial"/>
        </w:rPr>
        <w:t>membres</w:t>
      </w:r>
      <w:r w:rsidR="0085364A">
        <w:rPr>
          <w:rFonts w:eastAsia="Arial"/>
        </w:rPr>
        <w:t xml:space="preserve"> parmi les deux </w:t>
      </w:r>
      <w:r w:rsidR="00F7456E">
        <w:rPr>
          <w:rFonts w:eastAsia="Arial"/>
        </w:rPr>
        <w:t xml:space="preserve">groupes </w:t>
      </w:r>
      <w:r w:rsidR="004F3327">
        <w:rPr>
          <w:rFonts w:eastAsia="Arial"/>
        </w:rPr>
        <w:t>(2019 et 2023)</w:t>
      </w:r>
      <w:r w:rsidR="003A0372">
        <w:rPr>
          <w:rFonts w:eastAsia="Arial"/>
        </w:rPr>
        <w:t xml:space="preserve">, l’avocat du </w:t>
      </w:r>
      <w:r w:rsidR="00F7456E">
        <w:rPr>
          <w:rFonts w:eastAsia="Arial"/>
        </w:rPr>
        <w:t xml:space="preserve">groupe </w:t>
      </w:r>
      <w:r w:rsidR="00B507A6">
        <w:rPr>
          <w:rFonts w:eastAsia="Arial"/>
        </w:rPr>
        <w:t xml:space="preserve">parle de </w:t>
      </w:r>
      <w:r w:rsidR="0085364A">
        <w:rPr>
          <w:rFonts w:eastAsia="Arial"/>
        </w:rPr>
        <w:t xml:space="preserve">membres </w:t>
      </w:r>
      <w:r w:rsidR="00F208A1">
        <w:rPr>
          <w:rFonts w:eastAsia="Arial"/>
        </w:rPr>
        <w:t xml:space="preserve">exclusifs à chaque </w:t>
      </w:r>
      <w:r w:rsidR="00F7456E">
        <w:rPr>
          <w:rFonts w:eastAsia="Arial"/>
        </w:rPr>
        <w:t xml:space="preserve">groupe </w:t>
      </w:r>
      <w:r w:rsidR="004F3327">
        <w:rPr>
          <w:rFonts w:eastAsia="Arial"/>
        </w:rPr>
        <w:t>avec</w:t>
      </w:r>
      <w:r w:rsidR="003627C6">
        <w:rPr>
          <w:rFonts w:eastAsia="Arial"/>
        </w:rPr>
        <w:t>,</w:t>
      </w:r>
      <w:r w:rsidR="004F3327">
        <w:rPr>
          <w:rFonts w:eastAsia="Arial"/>
        </w:rPr>
        <w:t xml:space="preserve"> en plus</w:t>
      </w:r>
      <w:r w:rsidR="003627C6">
        <w:rPr>
          <w:rFonts w:eastAsia="Arial"/>
        </w:rPr>
        <w:t>,</w:t>
      </w:r>
      <w:r w:rsidR="004F3327">
        <w:rPr>
          <w:rFonts w:eastAsia="Arial"/>
        </w:rPr>
        <w:t xml:space="preserve"> </w:t>
      </w:r>
      <w:r w:rsidR="001971C4">
        <w:rPr>
          <w:rFonts w:eastAsia="Arial"/>
        </w:rPr>
        <w:lastRenderedPageBreak/>
        <w:t>1 667 402 membres des deux</w:t>
      </w:r>
      <w:r w:rsidR="0019006F">
        <w:rPr>
          <w:rFonts w:eastAsia="Arial"/>
        </w:rPr>
        <w:t xml:space="preserve"> </w:t>
      </w:r>
      <w:r w:rsidR="00F7456E">
        <w:rPr>
          <w:rFonts w:eastAsia="Arial"/>
        </w:rPr>
        <w:t>groupes</w:t>
      </w:r>
      <w:r w:rsidR="0019006F">
        <w:rPr>
          <w:rFonts w:eastAsia="Arial"/>
        </w:rPr>
        <w:t>.</w:t>
      </w:r>
      <w:r w:rsidR="00E91E91">
        <w:rPr>
          <w:rFonts w:eastAsia="Arial"/>
        </w:rPr>
        <w:t xml:space="preserve"> </w:t>
      </w:r>
      <w:r w:rsidR="001C2F4A">
        <w:rPr>
          <w:rFonts w:eastAsia="Arial"/>
        </w:rPr>
        <w:t>Il a d’ailleurs pris la peine de souligner le mot «</w:t>
      </w:r>
      <w:r w:rsidR="00F7456E" w:rsidRPr="001A40D4">
        <w:rPr>
          <w:rFonts w:eastAsia="Arial"/>
        </w:rPr>
        <w:t> </w:t>
      </w:r>
      <w:proofErr w:type="spellStart"/>
      <w:r w:rsidR="001C2F4A" w:rsidRPr="00165BCE">
        <w:rPr>
          <w:rFonts w:eastAsia="Arial"/>
          <w:i/>
          <w:iCs/>
        </w:rPr>
        <w:t>only</w:t>
      </w:r>
      <w:proofErr w:type="spellEnd"/>
      <w:r w:rsidR="00F7456E">
        <w:rPr>
          <w:rFonts w:eastAsia="Arial"/>
        </w:rPr>
        <w:t> </w:t>
      </w:r>
      <w:r w:rsidR="001C2F4A">
        <w:rPr>
          <w:rFonts w:eastAsia="Arial"/>
        </w:rPr>
        <w:t>»</w:t>
      </w:r>
      <w:r w:rsidR="00F84991">
        <w:rPr>
          <w:rFonts w:eastAsia="Arial"/>
        </w:rPr>
        <w:t xml:space="preserve"> dans sa r</w:t>
      </w:r>
      <w:r w:rsidR="009D5D26">
        <w:rPr>
          <w:rFonts w:eastAsia="Arial"/>
        </w:rPr>
        <w:t>é</w:t>
      </w:r>
      <w:r w:rsidR="00F84991">
        <w:rPr>
          <w:rFonts w:eastAsia="Arial"/>
        </w:rPr>
        <w:t>po</w:t>
      </w:r>
      <w:r w:rsidR="009D5D26">
        <w:rPr>
          <w:rFonts w:eastAsia="Arial"/>
        </w:rPr>
        <w:t xml:space="preserve">nse. </w:t>
      </w:r>
      <w:r w:rsidR="0019006F">
        <w:rPr>
          <w:rFonts w:eastAsia="Arial"/>
        </w:rPr>
        <w:t>Cela a pour effet de doubler le nombre de membres potentiels. Il ne s’agit pas d’une nuance</w:t>
      </w:r>
      <w:r w:rsidR="0009162F">
        <w:rPr>
          <w:rFonts w:eastAsia="Arial"/>
        </w:rPr>
        <w:t>.</w:t>
      </w:r>
    </w:p>
    <w:p w14:paraId="69362564" w14:textId="77777777" w:rsidR="00B40616" w:rsidRPr="00B17C3B" w:rsidRDefault="00B37051" w:rsidP="00F86977">
      <w:pPr>
        <w:pStyle w:val="Paragrsimple"/>
        <w:rPr>
          <w:rFonts w:eastAsia="Arial"/>
        </w:rPr>
      </w:pPr>
      <w:r w:rsidRPr="00B17C3B">
        <w:rPr>
          <w:rFonts w:eastAsia="Arial"/>
        </w:rPr>
        <w:t xml:space="preserve">Lorsqu’additionnés, </w:t>
      </w:r>
      <w:r w:rsidR="0009162F">
        <w:rPr>
          <w:rFonts w:eastAsia="Arial"/>
        </w:rPr>
        <w:t>l</w:t>
      </w:r>
      <w:r w:rsidRPr="00B17C3B">
        <w:rPr>
          <w:rFonts w:eastAsia="Arial"/>
        </w:rPr>
        <w:t xml:space="preserve">es chiffres </w:t>
      </w:r>
      <w:r w:rsidR="0009162F">
        <w:rPr>
          <w:rFonts w:eastAsia="Arial"/>
        </w:rPr>
        <w:t xml:space="preserve">de l’avocat du </w:t>
      </w:r>
      <w:r w:rsidR="00F7456E">
        <w:rPr>
          <w:rFonts w:eastAsia="Arial"/>
        </w:rPr>
        <w:t xml:space="preserve">groupe </w:t>
      </w:r>
      <w:r w:rsidR="007E71B6" w:rsidRPr="00B17C3B">
        <w:rPr>
          <w:rFonts w:eastAsia="Arial"/>
        </w:rPr>
        <w:t>font mo</w:t>
      </w:r>
      <w:r w:rsidR="007E71B6">
        <w:rPr>
          <w:rFonts w:eastAsia="Arial"/>
        </w:rPr>
        <w:t xml:space="preserve">nter le nombre de membres potentiels à </w:t>
      </w:r>
      <w:r w:rsidR="00944596">
        <w:rPr>
          <w:rFonts w:eastAsia="Arial"/>
        </w:rPr>
        <w:t xml:space="preserve">6 261 154 membres. Le Tribunal présume ici que la réponse inclut les membres du recours </w:t>
      </w:r>
      <w:proofErr w:type="spellStart"/>
      <w:r w:rsidR="00944596">
        <w:rPr>
          <w:rFonts w:eastAsia="Arial"/>
        </w:rPr>
        <w:t>Thandi</w:t>
      </w:r>
      <w:proofErr w:type="spellEnd"/>
      <w:r w:rsidR="00944596">
        <w:rPr>
          <w:rFonts w:eastAsia="Arial"/>
        </w:rPr>
        <w:t xml:space="preserve"> </w:t>
      </w:r>
      <w:r w:rsidR="00CC1CB7">
        <w:rPr>
          <w:rFonts w:eastAsia="Arial"/>
        </w:rPr>
        <w:t>faute</w:t>
      </w:r>
      <w:r w:rsidR="00944596">
        <w:rPr>
          <w:rFonts w:eastAsia="Arial"/>
        </w:rPr>
        <w:t xml:space="preserve"> de quoi il faudrait ajouter </w:t>
      </w:r>
      <w:r w:rsidR="00D95BC9">
        <w:rPr>
          <w:rFonts w:eastAsia="Arial"/>
        </w:rPr>
        <w:t>1</w:t>
      </w:r>
      <w:r w:rsidR="001A40D4">
        <w:rPr>
          <w:rFonts w:eastAsia="Arial"/>
        </w:rPr>
        <w:t> </w:t>
      </w:r>
      <w:r w:rsidR="00D95BC9">
        <w:rPr>
          <w:rFonts w:eastAsia="Arial"/>
        </w:rPr>
        <w:t>million de membres.</w:t>
      </w:r>
    </w:p>
    <w:p w14:paraId="5D456271" w14:textId="77777777" w:rsidR="00937497" w:rsidRDefault="00B37051" w:rsidP="00FA4D88">
      <w:pPr>
        <w:pStyle w:val="Titre3"/>
        <w:rPr>
          <w:rFonts w:eastAsia="Arial"/>
          <w:lang w:val="fr-FR"/>
        </w:rPr>
      </w:pPr>
      <w:r>
        <w:rPr>
          <w:rFonts w:eastAsia="Arial"/>
          <w:lang w:val="fr-FR"/>
        </w:rPr>
        <w:t>Le type de réclamations</w:t>
      </w:r>
      <w:r w:rsidR="00806CAD">
        <w:rPr>
          <w:rFonts w:eastAsia="Arial"/>
          <w:lang w:val="fr-FR"/>
        </w:rPr>
        <w:t xml:space="preserve"> indemnisables</w:t>
      </w:r>
    </w:p>
    <w:p w14:paraId="49DE5F38" w14:textId="77777777" w:rsidR="00937497" w:rsidRDefault="00B37051" w:rsidP="00937497">
      <w:pPr>
        <w:pStyle w:val="Paragrsimple"/>
        <w:rPr>
          <w:rFonts w:eastAsia="Arial"/>
          <w:lang w:val="fr-FR"/>
        </w:rPr>
      </w:pPr>
      <w:r>
        <w:rPr>
          <w:rFonts w:eastAsia="Arial"/>
          <w:lang w:val="fr-FR"/>
        </w:rPr>
        <w:t>La Transaction structure les réclamations possible</w:t>
      </w:r>
      <w:r w:rsidR="00E90F2E">
        <w:rPr>
          <w:rFonts w:eastAsia="Arial"/>
          <w:lang w:val="fr-FR"/>
        </w:rPr>
        <w:t>s</w:t>
      </w:r>
      <w:r>
        <w:rPr>
          <w:rFonts w:eastAsia="Arial"/>
          <w:lang w:val="fr-FR"/>
        </w:rPr>
        <w:t xml:space="preserve"> en trois catégories. Les réclamations faites sans preuve documentaire de dommages (</w:t>
      </w:r>
      <w:r w:rsidR="00F86977">
        <w:rPr>
          <w:rFonts w:eastAsia="Arial"/>
          <w:lang w:val="fr-FR"/>
        </w:rPr>
        <w:t>«</w:t>
      </w:r>
      <w:r w:rsidR="006D21A5">
        <w:rPr>
          <w:rFonts w:eastAsia="Arial"/>
          <w:lang w:val="fr-FR"/>
        </w:rPr>
        <w:t> </w:t>
      </w:r>
      <w:r w:rsidRPr="00F86977">
        <w:rPr>
          <w:rFonts w:eastAsia="Arial"/>
          <w:b/>
          <w:bCs/>
          <w:lang w:val="fr-FR"/>
        </w:rPr>
        <w:t>les réclamations non documentées</w:t>
      </w:r>
      <w:r w:rsidR="006D21A5">
        <w:rPr>
          <w:rFonts w:eastAsia="Arial"/>
          <w:b/>
          <w:bCs/>
          <w:lang w:val="fr-FR"/>
        </w:rPr>
        <w:t> </w:t>
      </w:r>
      <w:r w:rsidR="00F86977">
        <w:rPr>
          <w:rFonts w:eastAsia="Arial"/>
          <w:lang w:val="fr-FR"/>
        </w:rPr>
        <w:t>»</w:t>
      </w:r>
      <w:r>
        <w:rPr>
          <w:rFonts w:eastAsia="Arial"/>
          <w:lang w:val="fr-FR"/>
        </w:rPr>
        <w:t>), celles faites avec preuve documentaire de dommages (</w:t>
      </w:r>
      <w:r w:rsidR="00F86977">
        <w:rPr>
          <w:rFonts w:eastAsia="Arial"/>
          <w:lang w:val="fr-FR"/>
        </w:rPr>
        <w:t>«</w:t>
      </w:r>
      <w:r w:rsidR="006D21A5">
        <w:rPr>
          <w:rFonts w:eastAsia="Arial"/>
          <w:lang w:val="fr-FR"/>
        </w:rPr>
        <w:t> </w:t>
      </w:r>
      <w:r w:rsidR="00F86977" w:rsidRPr="00F86977">
        <w:rPr>
          <w:rFonts w:eastAsia="Arial"/>
          <w:b/>
          <w:bCs/>
          <w:lang w:val="fr-FR"/>
        </w:rPr>
        <w:t>l</w:t>
      </w:r>
      <w:r w:rsidRPr="00F86977">
        <w:rPr>
          <w:rFonts w:eastAsia="Arial"/>
          <w:b/>
          <w:bCs/>
          <w:lang w:val="fr-FR"/>
        </w:rPr>
        <w:t>es réclamations documentées</w:t>
      </w:r>
      <w:r w:rsidR="006D21A5">
        <w:rPr>
          <w:rFonts w:eastAsia="Arial"/>
          <w:b/>
          <w:bCs/>
          <w:lang w:val="fr-FR"/>
        </w:rPr>
        <w:t> </w:t>
      </w:r>
      <w:r w:rsidR="00F86977">
        <w:rPr>
          <w:rFonts w:eastAsia="Arial"/>
          <w:lang w:val="fr-FR"/>
        </w:rPr>
        <w:t>»</w:t>
      </w:r>
      <w:r>
        <w:rPr>
          <w:rFonts w:eastAsia="Arial"/>
          <w:lang w:val="fr-FR"/>
        </w:rPr>
        <w:t xml:space="preserve">) et les frais de surveillance du crédit. </w:t>
      </w:r>
    </w:p>
    <w:p w14:paraId="72F7BCD6" w14:textId="77777777" w:rsidR="00B662A1" w:rsidRDefault="00B37051" w:rsidP="00937497">
      <w:pPr>
        <w:pStyle w:val="Paragrsimple"/>
        <w:rPr>
          <w:rFonts w:eastAsia="Arial"/>
          <w:lang w:val="fr-FR"/>
        </w:rPr>
      </w:pPr>
      <w:r>
        <w:rPr>
          <w:rFonts w:eastAsia="Arial"/>
          <w:lang w:val="fr-FR"/>
        </w:rPr>
        <w:t xml:space="preserve">Les indemnités pour chaque type de pertes ne sont pas constituées en fonds </w:t>
      </w:r>
      <w:r w:rsidR="00936F8F">
        <w:rPr>
          <w:rFonts w:eastAsia="Arial"/>
          <w:lang w:val="fr-FR"/>
        </w:rPr>
        <w:t>distincts.</w:t>
      </w:r>
      <w:r w:rsidR="006E7AA2">
        <w:rPr>
          <w:rFonts w:eastAsia="Arial"/>
          <w:lang w:val="fr-FR"/>
        </w:rPr>
        <w:t xml:space="preserve"> Il n’y a qu’un seu</w:t>
      </w:r>
      <w:r w:rsidR="00C6407F">
        <w:rPr>
          <w:rFonts w:eastAsia="Arial"/>
          <w:lang w:val="fr-FR"/>
        </w:rPr>
        <w:t>l fonds de règlement.</w:t>
      </w:r>
      <w:r w:rsidR="009533FB">
        <w:rPr>
          <w:rFonts w:eastAsia="Arial"/>
          <w:lang w:val="fr-FR"/>
        </w:rPr>
        <w:t xml:space="preserve"> La Transaction prévoit q</w:t>
      </w:r>
      <w:r w:rsidR="00A55D25">
        <w:rPr>
          <w:rFonts w:eastAsia="Arial"/>
          <w:lang w:val="fr-FR"/>
        </w:rPr>
        <w:t xml:space="preserve">ue si les </w:t>
      </w:r>
      <w:r w:rsidR="00777D54">
        <w:rPr>
          <w:rFonts w:eastAsia="Arial"/>
          <w:lang w:val="fr-FR"/>
        </w:rPr>
        <w:t xml:space="preserve">fonds </w:t>
      </w:r>
      <w:r w:rsidR="00A55D25">
        <w:rPr>
          <w:rFonts w:eastAsia="Arial"/>
          <w:lang w:val="fr-FR"/>
        </w:rPr>
        <w:t xml:space="preserve">manquent, priorité est donnée aux pertes documentées, puis aux </w:t>
      </w:r>
      <w:r w:rsidR="00E27BFD">
        <w:rPr>
          <w:rFonts w:eastAsia="Arial"/>
          <w:lang w:val="fr-FR"/>
        </w:rPr>
        <w:t>frais de surveillance de crédit</w:t>
      </w:r>
      <w:r w:rsidR="00F079D9">
        <w:rPr>
          <w:rFonts w:eastAsia="Arial"/>
          <w:lang w:val="fr-FR"/>
        </w:rPr>
        <w:t>.</w:t>
      </w:r>
    </w:p>
    <w:p w14:paraId="25144140" w14:textId="77777777" w:rsidR="00936F8F" w:rsidRPr="00AD43AE" w:rsidRDefault="00B37051" w:rsidP="00936F8F">
      <w:pPr>
        <w:pStyle w:val="Paragrsimple"/>
        <w:rPr>
          <w:rFonts w:eastAsia="Arial"/>
          <w:lang w:val="fr-FR"/>
        </w:rPr>
      </w:pPr>
      <w:r w:rsidRPr="00AD43AE">
        <w:rPr>
          <w:rFonts w:eastAsia="Arial"/>
          <w:lang w:val="fr-FR"/>
        </w:rPr>
        <w:t>Les pertes documentées sont plafonnées à 20 000 $ chacune.</w:t>
      </w:r>
      <w:r>
        <w:rPr>
          <w:rFonts w:eastAsia="Arial"/>
          <w:lang w:val="fr-FR"/>
        </w:rPr>
        <w:t xml:space="preserve"> C</w:t>
      </w:r>
      <w:r w:rsidRPr="00AD43AE">
        <w:rPr>
          <w:rFonts w:eastAsia="Arial"/>
          <w:lang w:val="fr-FR"/>
        </w:rPr>
        <w:t>es pertes seront payées en priorité</w:t>
      </w:r>
      <w:r>
        <w:rPr>
          <w:rFonts w:eastAsia="Arial"/>
          <w:lang w:val="fr-FR"/>
        </w:rPr>
        <w:t xml:space="preserve"> </w:t>
      </w:r>
      <w:r w:rsidR="001A7FA7">
        <w:rPr>
          <w:rFonts w:eastAsia="Arial"/>
          <w:lang w:val="fr-FR"/>
        </w:rPr>
        <w:t>à</w:t>
      </w:r>
      <w:r>
        <w:rPr>
          <w:rFonts w:eastAsia="Arial"/>
          <w:lang w:val="fr-FR"/>
        </w:rPr>
        <w:t xml:space="preserve"> toutes les autres, quitte à épuiser les indemnités disponibles</w:t>
      </w:r>
      <w:r>
        <w:rPr>
          <w:rStyle w:val="Appelnotedebasdep"/>
          <w:rFonts w:eastAsia="Arial"/>
          <w:lang w:val="fr-FR"/>
        </w:rPr>
        <w:footnoteReference w:id="23"/>
      </w:r>
      <w:r w:rsidRPr="00AD43AE">
        <w:rPr>
          <w:rFonts w:eastAsia="Arial"/>
          <w:lang w:val="fr-FR"/>
        </w:rPr>
        <w:t>. Il est loisible de présumer qu’elles ne seront pas très nombreuses</w:t>
      </w:r>
      <w:r w:rsidR="00777D54">
        <w:rPr>
          <w:rFonts w:eastAsia="Arial"/>
          <w:lang w:val="fr-FR"/>
        </w:rPr>
        <w:t>,</w:t>
      </w:r>
      <w:r w:rsidRPr="00AD43AE">
        <w:rPr>
          <w:rFonts w:eastAsia="Arial"/>
          <w:lang w:val="fr-FR"/>
        </w:rPr>
        <w:t xml:space="preserve"> mais il serait hasardeux de penser qu’il n’y en aura aucune.</w:t>
      </w:r>
    </w:p>
    <w:p w14:paraId="1517F01F" w14:textId="77777777" w:rsidR="00937497" w:rsidRDefault="00B37051" w:rsidP="00937497">
      <w:pPr>
        <w:pStyle w:val="Paragrsimple"/>
        <w:rPr>
          <w:rFonts w:eastAsia="Arial"/>
          <w:lang w:val="fr-FR"/>
        </w:rPr>
      </w:pPr>
      <w:r>
        <w:rPr>
          <w:rFonts w:eastAsia="Arial"/>
          <w:lang w:val="fr-FR"/>
        </w:rPr>
        <w:t>Les pertes non documentées sont plafonnées à 150 $ pour un seul incident (2019 ou 2023) et à 300 $ si le membre participe aux deux incidents.</w:t>
      </w:r>
    </w:p>
    <w:p w14:paraId="52638DC2" w14:textId="77777777" w:rsidR="00937497" w:rsidRPr="008163E0" w:rsidRDefault="00B37051" w:rsidP="00937497">
      <w:pPr>
        <w:pStyle w:val="Paragrsimple"/>
        <w:rPr>
          <w:rFonts w:eastAsia="Arial"/>
          <w:lang w:val="fr-FR"/>
        </w:rPr>
      </w:pPr>
      <w:r w:rsidRPr="00053B80">
        <w:t xml:space="preserve">Les </w:t>
      </w:r>
      <w:r>
        <w:t>f</w:t>
      </w:r>
      <w:r w:rsidRPr="00053B80">
        <w:t xml:space="preserve">rais de </w:t>
      </w:r>
      <w:r>
        <w:t>s</w:t>
      </w:r>
      <w:r w:rsidRPr="00053B80">
        <w:t xml:space="preserve">urveillance de </w:t>
      </w:r>
      <w:r>
        <w:t>c</w:t>
      </w:r>
      <w:r w:rsidRPr="00053B80">
        <w:t xml:space="preserve">rédit </w:t>
      </w:r>
      <w:r w:rsidRPr="00B869A5">
        <w:t xml:space="preserve">désignent les coûts engagés et/ou payés par un </w:t>
      </w:r>
      <w:r>
        <w:t>m</w:t>
      </w:r>
      <w:r w:rsidRPr="00B869A5">
        <w:t xml:space="preserve">embre du </w:t>
      </w:r>
      <w:r w:rsidR="00F7456E">
        <w:t>g</w:t>
      </w:r>
      <w:r w:rsidR="00F7456E" w:rsidRPr="00B869A5">
        <w:t xml:space="preserve">roupe </w:t>
      </w:r>
      <w:r w:rsidRPr="00B869A5">
        <w:t xml:space="preserve">à compter de la date de la </w:t>
      </w:r>
      <w:r w:rsidR="00F56D74">
        <w:t>n</w:t>
      </w:r>
      <w:r w:rsidR="00F56D74" w:rsidRPr="00B869A5">
        <w:t xml:space="preserve">otification </w:t>
      </w:r>
      <w:r w:rsidRPr="00B869A5">
        <w:t xml:space="preserve">des </w:t>
      </w:r>
      <w:r w:rsidR="00F56D74">
        <w:t>o</w:t>
      </w:r>
      <w:r w:rsidR="00F56D74" w:rsidRPr="00B869A5">
        <w:t>rdonnances d’</w:t>
      </w:r>
      <w:r w:rsidR="00F56D74">
        <w:t>a</w:t>
      </w:r>
      <w:r w:rsidR="00F56D74" w:rsidRPr="00B869A5">
        <w:t xml:space="preserve">pprobation </w:t>
      </w:r>
      <w:r w:rsidRPr="00B869A5">
        <w:t xml:space="preserve">du </w:t>
      </w:r>
      <w:r w:rsidR="00F56D74">
        <w:t>r</w:t>
      </w:r>
      <w:r w:rsidR="00F56D74" w:rsidRPr="00B869A5">
        <w:t xml:space="preserve">èglement </w:t>
      </w:r>
      <w:r w:rsidRPr="00B869A5">
        <w:t xml:space="preserve">pour s’abonner à ou </w:t>
      </w:r>
      <w:r w:rsidR="00E87D4D">
        <w:t xml:space="preserve">pour </w:t>
      </w:r>
      <w:r w:rsidRPr="00B869A5">
        <w:t xml:space="preserve">maintenir un service de protection contre le vol d’identité et/ou de surveillance de crédit, pour une période maximale d’un (1) an à compter de la date à laquelle le </w:t>
      </w:r>
      <w:r>
        <w:t>m</w:t>
      </w:r>
      <w:r w:rsidRPr="00B869A5">
        <w:t xml:space="preserve">embre du </w:t>
      </w:r>
      <w:r w:rsidR="00F7456E">
        <w:t>g</w:t>
      </w:r>
      <w:r w:rsidR="00F7456E" w:rsidRPr="00B869A5">
        <w:t xml:space="preserve">roupe </w:t>
      </w:r>
      <w:r w:rsidRPr="00B869A5">
        <w:t xml:space="preserve">soumet son </w:t>
      </w:r>
      <w:r>
        <w:t>f</w:t>
      </w:r>
      <w:r w:rsidRPr="00B869A5">
        <w:t xml:space="preserve">ormulaire de </w:t>
      </w:r>
      <w:r>
        <w:t>r</w:t>
      </w:r>
      <w:r w:rsidRPr="00B869A5">
        <w:t>éclamation</w:t>
      </w:r>
      <w:r>
        <w:rPr>
          <w:rStyle w:val="Appelnotedebasdep"/>
        </w:rPr>
        <w:footnoteReference w:id="24"/>
      </w:r>
      <w:r>
        <w:t>.</w:t>
      </w:r>
    </w:p>
    <w:p w14:paraId="504223AB" w14:textId="77777777" w:rsidR="008163E0" w:rsidRDefault="00B37051" w:rsidP="008163E0">
      <w:pPr>
        <w:pStyle w:val="Paragrsimple"/>
        <w:rPr>
          <w:rFonts w:eastAsia="Arial"/>
          <w:lang w:val="fr-FR"/>
        </w:rPr>
      </w:pPr>
      <w:r>
        <w:rPr>
          <w:rFonts w:eastAsia="Arial"/>
          <w:lang w:val="fr-FR"/>
        </w:rPr>
        <w:t xml:space="preserve">La </w:t>
      </w:r>
      <w:r w:rsidR="00025026">
        <w:rPr>
          <w:rFonts w:eastAsia="Arial"/>
          <w:lang w:val="fr-FR"/>
        </w:rPr>
        <w:t>principale</w:t>
      </w:r>
      <w:r>
        <w:rPr>
          <w:rFonts w:eastAsia="Arial"/>
          <w:lang w:val="fr-FR"/>
        </w:rPr>
        <w:t xml:space="preserve"> source de dommages indemnisables, tel</w:t>
      </w:r>
      <w:r w:rsidR="00E8127E">
        <w:rPr>
          <w:rFonts w:eastAsia="Arial"/>
          <w:lang w:val="fr-FR"/>
        </w:rPr>
        <w:t>le</w:t>
      </w:r>
      <w:r>
        <w:rPr>
          <w:rFonts w:eastAsia="Arial"/>
          <w:lang w:val="fr-FR"/>
        </w:rPr>
        <w:t xml:space="preserve"> </w:t>
      </w:r>
      <w:r w:rsidR="00970505">
        <w:rPr>
          <w:rFonts w:eastAsia="Arial"/>
          <w:lang w:val="fr-FR"/>
        </w:rPr>
        <w:t xml:space="preserve">qu’elle est </w:t>
      </w:r>
      <w:r w:rsidR="00BD34AD">
        <w:rPr>
          <w:rFonts w:eastAsia="Arial"/>
          <w:lang w:val="fr-FR"/>
        </w:rPr>
        <w:t xml:space="preserve">formulée </w:t>
      </w:r>
      <w:r>
        <w:rPr>
          <w:rFonts w:eastAsia="Arial"/>
          <w:lang w:val="fr-FR"/>
        </w:rPr>
        <w:t xml:space="preserve">dans le jugement d’autorisation, et sauf preuve contraire, </w:t>
      </w:r>
      <w:r w:rsidR="00025026">
        <w:rPr>
          <w:rFonts w:eastAsia="Arial"/>
          <w:lang w:val="fr-FR"/>
        </w:rPr>
        <w:t xml:space="preserve">consiste en </w:t>
      </w:r>
      <w:r>
        <w:rPr>
          <w:rFonts w:eastAsia="Arial"/>
          <w:lang w:val="fr-FR"/>
        </w:rPr>
        <w:t>les mesures que les membres doivent prendre pour se protéger contre l’usage frauduleux de leur identité. C’était d’ailleurs le cas de M. Zuckerman</w:t>
      </w:r>
      <w:r w:rsidR="00E87D4D">
        <w:rPr>
          <w:rFonts w:eastAsia="Arial"/>
          <w:lang w:val="fr-FR"/>
        </w:rPr>
        <w:t>,</w:t>
      </w:r>
      <w:r>
        <w:rPr>
          <w:rFonts w:eastAsia="Arial"/>
          <w:lang w:val="fr-FR"/>
        </w:rPr>
        <w:t xml:space="preserve"> qui s’était procuré un abonnement de surveillance chez une agence de crédit.</w:t>
      </w:r>
    </w:p>
    <w:p w14:paraId="145F28F2" w14:textId="77777777" w:rsidR="008163E0" w:rsidRDefault="00B37051" w:rsidP="008163E0">
      <w:pPr>
        <w:pStyle w:val="Paragrsimple"/>
        <w:rPr>
          <w:rFonts w:eastAsia="Arial"/>
          <w:lang w:val="fr-FR"/>
        </w:rPr>
      </w:pPr>
      <w:r>
        <w:rPr>
          <w:rFonts w:eastAsia="Arial"/>
          <w:lang w:val="fr-FR"/>
        </w:rPr>
        <w:lastRenderedPageBreak/>
        <w:t>C’est sans doute la raison pour laquelle plusieurs organisations victimes de vol de données personnelles (qu’il s’agisse de clients ou de leur personnel) offrent les services d’une agence pour surveiller le crédit et l’utilisation des données des victimes</w:t>
      </w:r>
      <w:r>
        <w:rPr>
          <w:rStyle w:val="Appelnotedebasdep"/>
          <w:rFonts w:eastAsia="Arial"/>
          <w:lang w:val="fr-FR"/>
        </w:rPr>
        <w:footnoteReference w:id="25"/>
      </w:r>
      <w:r>
        <w:rPr>
          <w:rFonts w:eastAsia="Arial"/>
          <w:lang w:val="fr-FR"/>
        </w:rPr>
        <w:t>.</w:t>
      </w:r>
    </w:p>
    <w:p w14:paraId="21B28CE1" w14:textId="77777777" w:rsidR="008163E0" w:rsidRDefault="00B37051" w:rsidP="008163E0">
      <w:pPr>
        <w:pStyle w:val="Paragrsimple"/>
        <w:rPr>
          <w:rFonts w:eastAsia="Arial"/>
          <w:lang w:val="fr-FR"/>
        </w:rPr>
      </w:pPr>
      <w:r>
        <w:rPr>
          <w:rFonts w:eastAsia="Arial"/>
          <w:lang w:val="fr-FR"/>
        </w:rPr>
        <w:t>Ici, l’entente prévoit effectivement le remboursement des frais de surveillance de crédit en deux circonstances.</w:t>
      </w:r>
    </w:p>
    <w:p w14:paraId="59D359B8" w14:textId="77777777" w:rsidR="008163E0" w:rsidRDefault="00B37051" w:rsidP="008163E0">
      <w:pPr>
        <w:pStyle w:val="Paragrsimple"/>
        <w:rPr>
          <w:rFonts w:eastAsia="Arial"/>
          <w:lang w:val="fr-FR"/>
        </w:rPr>
      </w:pPr>
      <w:r>
        <w:rPr>
          <w:rFonts w:eastAsia="Arial"/>
          <w:lang w:val="fr-FR"/>
        </w:rPr>
        <w:t>La première, pour les frais de surveillance engagés avant la période de réclamation, à titre de dommages documentés</w:t>
      </w:r>
      <w:r w:rsidR="00627C77">
        <w:rPr>
          <w:rFonts w:eastAsia="Arial"/>
          <w:lang w:val="fr-FR"/>
        </w:rPr>
        <w:t>,</w:t>
      </w:r>
      <w:r>
        <w:rPr>
          <w:rFonts w:eastAsia="Arial"/>
          <w:lang w:val="fr-FR"/>
        </w:rPr>
        <w:t xml:space="preserve"> pourvu que le formulaire de réclamation soit </w:t>
      </w:r>
      <w:r w:rsidR="00F374ED">
        <w:rPr>
          <w:rFonts w:eastAsia="Arial"/>
          <w:lang w:val="fr-FR"/>
        </w:rPr>
        <w:t xml:space="preserve">rempli </w:t>
      </w:r>
      <w:r>
        <w:rPr>
          <w:rFonts w:eastAsia="Arial"/>
          <w:lang w:val="fr-FR"/>
        </w:rPr>
        <w:t>et que des preuves accompagnent la demande de réclamation.</w:t>
      </w:r>
    </w:p>
    <w:p w14:paraId="1C25DAB6" w14:textId="77777777" w:rsidR="008163E0" w:rsidRPr="00403E95" w:rsidRDefault="00B37051" w:rsidP="008163E0">
      <w:pPr>
        <w:pStyle w:val="Paragrsimple"/>
        <w:rPr>
          <w:rFonts w:eastAsia="Arial"/>
          <w:lang w:val="fr-FR"/>
        </w:rPr>
      </w:pPr>
      <w:r>
        <w:rPr>
          <w:rFonts w:eastAsia="Arial"/>
          <w:lang w:val="fr-FR"/>
        </w:rPr>
        <w:t xml:space="preserve">La deuxième circonstance est celle où le membre </w:t>
      </w:r>
      <w:r w:rsidRPr="00403E95">
        <w:rPr>
          <w:lang w:eastAsia="fr-CA"/>
        </w:rPr>
        <w:t>engag</w:t>
      </w:r>
      <w:r>
        <w:rPr>
          <w:lang w:eastAsia="fr-CA"/>
        </w:rPr>
        <w:t xml:space="preserve">e </w:t>
      </w:r>
      <w:r w:rsidRPr="00403E95">
        <w:rPr>
          <w:lang w:eastAsia="fr-CA"/>
        </w:rPr>
        <w:t>et/ou pa</w:t>
      </w:r>
      <w:r w:rsidR="00096FE1">
        <w:rPr>
          <w:lang w:eastAsia="fr-CA"/>
        </w:rPr>
        <w:t>i</w:t>
      </w:r>
      <w:r>
        <w:rPr>
          <w:lang w:eastAsia="fr-CA"/>
        </w:rPr>
        <w:t>e, après le début de la période de réclamation,</w:t>
      </w:r>
      <w:r w:rsidRPr="00403E95">
        <w:rPr>
          <w:lang w:eastAsia="fr-CA"/>
        </w:rPr>
        <w:t xml:space="preserve"> pour s’abonner</w:t>
      </w:r>
      <w:r>
        <w:rPr>
          <w:lang w:eastAsia="fr-CA"/>
        </w:rPr>
        <w:t xml:space="preserve"> </w:t>
      </w:r>
      <w:r w:rsidRPr="00403E95">
        <w:rPr>
          <w:lang w:eastAsia="fr-CA"/>
        </w:rPr>
        <w:t xml:space="preserve">à ou </w:t>
      </w:r>
      <w:r w:rsidR="00B65FA8">
        <w:rPr>
          <w:lang w:eastAsia="fr-CA"/>
        </w:rPr>
        <w:t xml:space="preserve">pour </w:t>
      </w:r>
      <w:r w:rsidRPr="00403E95">
        <w:rPr>
          <w:lang w:eastAsia="fr-CA"/>
        </w:rPr>
        <w:t>maintenir</w:t>
      </w:r>
      <w:r w:rsidR="00627C77">
        <w:rPr>
          <w:lang w:eastAsia="fr-CA"/>
        </w:rPr>
        <w:t>,</w:t>
      </w:r>
      <w:r w:rsidRPr="00403E95">
        <w:rPr>
          <w:lang w:eastAsia="fr-CA"/>
        </w:rPr>
        <w:t xml:space="preserve"> un service de protection contre le vol d’identité et/ou de</w:t>
      </w:r>
      <w:r>
        <w:rPr>
          <w:lang w:eastAsia="fr-CA"/>
        </w:rPr>
        <w:t xml:space="preserve"> </w:t>
      </w:r>
      <w:r w:rsidRPr="00403E95">
        <w:rPr>
          <w:lang w:eastAsia="fr-CA"/>
        </w:rPr>
        <w:t>surveillance de crédit qui fournit la surveillance de l’activité de crédit, des</w:t>
      </w:r>
      <w:r>
        <w:rPr>
          <w:lang w:eastAsia="fr-CA"/>
        </w:rPr>
        <w:t xml:space="preserve"> </w:t>
      </w:r>
      <w:r w:rsidRPr="00403E95">
        <w:rPr>
          <w:lang w:eastAsia="fr-CA"/>
        </w:rPr>
        <w:t>alertes pour les transactions suspectes et des outils de prévention de la</w:t>
      </w:r>
      <w:r>
        <w:rPr>
          <w:lang w:eastAsia="fr-CA"/>
        </w:rPr>
        <w:t xml:space="preserve"> </w:t>
      </w:r>
      <w:r w:rsidRPr="00403E95">
        <w:rPr>
          <w:lang w:eastAsia="fr-CA"/>
        </w:rPr>
        <w:t xml:space="preserve">fraude, </w:t>
      </w:r>
      <w:r w:rsidRPr="007763B8">
        <w:rPr>
          <w:b/>
          <w:bCs/>
          <w:u w:val="single"/>
          <w:lang w:eastAsia="fr-CA"/>
        </w:rPr>
        <w:t>pour une période maximale d’un (1) an</w:t>
      </w:r>
      <w:r w:rsidRPr="00403E95">
        <w:rPr>
          <w:lang w:eastAsia="fr-CA"/>
        </w:rPr>
        <w:t xml:space="preserve"> à compter de la date à</w:t>
      </w:r>
      <w:r>
        <w:rPr>
          <w:lang w:eastAsia="fr-CA"/>
        </w:rPr>
        <w:t xml:space="preserve"> </w:t>
      </w:r>
      <w:r w:rsidRPr="00403E95">
        <w:rPr>
          <w:lang w:eastAsia="fr-CA"/>
        </w:rPr>
        <w:t xml:space="preserve">laquelle le </w:t>
      </w:r>
      <w:r>
        <w:rPr>
          <w:lang w:eastAsia="fr-CA"/>
        </w:rPr>
        <w:t>m</w:t>
      </w:r>
      <w:r w:rsidRPr="00403E95">
        <w:rPr>
          <w:lang w:eastAsia="fr-CA"/>
        </w:rPr>
        <w:t xml:space="preserve">embre du </w:t>
      </w:r>
      <w:r w:rsidR="00F7456E">
        <w:rPr>
          <w:lang w:eastAsia="fr-CA"/>
        </w:rPr>
        <w:t>g</w:t>
      </w:r>
      <w:r w:rsidR="00F7456E" w:rsidRPr="00403E95">
        <w:rPr>
          <w:lang w:eastAsia="fr-CA"/>
        </w:rPr>
        <w:t xml:space="preserve">roupe </w:t>
      </w:r>
      <w:r w:rsidRPr="00403E95">
        <w:rPr>
          <w:lang w:eastAsia="fr-CA"/>
        </w:rPr>
        <w:t xml:space="preserve">soumet son </w:t>
      </w:r>
      <w:r w:rsidR="00F7456E">
        <w:rPr>
          <w:lang w:eastAsia="fr-CA"/>
        </w:rPr>
        <w:t>f</w:t>
      </w:r>
      <w:r w:rsidR="00F7456E" w:rsidRPr="00403E95">
        <w:rPr>
          <w:lang w:eastAsia="fr-CA"/>
        </w:rPr>
        <w:t xml:space="preserve">ormulaire </w:t>
      </w:r>
      <w:r w:rsidRPr="00403E95">
        <w:rPr>
          <w:lang w:eastAsia="fr-CA"/>
        </w:rPr>
        <w:t>de</w:t>
      </w:r>
      <w:r>
        <w:rPr>
          <w:lang w:eastAsia="fr-CA"/>
        </w:rPr>
        <w:t xml:space="preserve"> </w:t>
      </w:r>
      <w:r w:rsidR="00F7456E">
        <w:rPr>
          <w:lang w:eastAsia="fr-CA"/>
        </w:rPr>
        <w:t>r</w:t>
      </w:r>
      <w:r w:rsidR="00F7456E" w:rsidRPr="00403E95">
        <w:rPr>
          <w:lang w:eastAsia="fr-CA"/>
        </w:rPr>
        <w:t>éclamation</w:t>
      </w:r>
      <w:r>
        <w:rPr>
          <w:lang w:eastAsia="fr-CA"/>
        </w:rPr>
        <w:t>.</w:t>
      </w:r>
    </w:p>
    <w:p w14:paraId="73443D0C" w14:textId="77777777" w:rsidR="008163E0" w:rsidRPr="00706267" w:rsidRDefault="00B37051" w:rsidP="008163E0">
      <w:pPr>
        <w:pStyle w:val="Paragrsimple"/>
        <w:rPr>
          <w:rFonts w:eastAsia="Arial"/>
          <w:lang w:val="fr-FR"/>
        </w:rPr>
      </w:pPr>
      <w:r>
        <w:rPr>
          <w:lang w:eastAsia="fr-CA"/>
        </w:rPr>
        <w:t xml:space="preserve">Dans sa demande d’autorisation, M. Zuckerman indiquait que la période de surveillance de crédit </w:t>
      </w:r>
      <w:r w:rsidRPr="00363D0A">
        <w:rPr>
          <w:b/>
          <w:bCs/>
          <w:lang w:eastAsia="fr-CA"/>
        </w:rPr>
        <w:t xml:space="preserve">d’une année </w:t>
      </w:r>
      <w:r>
        <w:rPr>
          <w:lang w:eastAsia="fr-CA"/>
        </w:rPr>
        <w:t xml:space="preserve">déjà offerte à l’époque de l’incident était nettement insuffisante. Il n’y a pas </w:t>
      </w:r>
      <w:r w:rsidR="005C2477">
        <w:rPr>
          <w:lang w:eastAsia="fr-CA"/>
        </w:rPr>
        <w:t>d’</w:t>
      </w:r>
      <w:r>
        <w:rPr>
          <w:lang w:eastAsia="fr-CA"/>
        </w:rPr>
        <w:t>expli</w:t>
      </w:r>
      <w:r w:rsidR="005C2477">
        <w:rPr>
          <w:lang w:eastAsia="fr-CA"/>
        </w:rPr>
        <w:t>cations</w:t>
      </w:r>
      <w:r>
        <w:rPr>
          <w:lang w:eastAsia="fr-CA"/>
        </w:rPr>
        <w:t xml:space="preserve"> </w:t>
      </w:r>
      <w:r w:rsidR="002611EF">
        <w:rPr>
          <w:lang w:eastAsia="fr-CA"/>
        </w:rPr>
        <w:t>sur ce qui justifie</w:t>
      </w:r>
      <w:r w:rsidR="00573D56">
        <w:rPr>
          <w:lang w:eastAsia="fr-CA"/>
        </w:rPr>
        <w:t xml:space="preserve"> qu’</w:t>
      </w:r>
      <w:r>
        <w:rPr>
          <w:lang w:eastAsia="fr-CA"/>
        </w:rPr>
        <w:t>une telle durée s</w:t>
      </w:r>
      <w:r w:rsidR="00363D0A">
        <w:rPr>
          <w:lang w:eastAsia="fr-CA"/>
        </w:rPr>
        <w:t>o</w:t>
      </w:r>
      <w:r>
        <w:rPr>
          <w:lang w:eastAsia="fr-CA"/>
        </w:rPr>
        <w:t>it maintenant acceptable</w:t>
      </w:r>
      <w:r w:rsidR="00363D0A">
        <w:rPr>
          <w:lang w:eastAsia="fr-CA"/>
        </w:rPr>
        <w:t xml:space="preserve"> sauf possiblement le passage du temps qui n’est pourtant garant de rien dans ce domaine</w:t>
      </w:r>
      <w:r>
        <w:rPr>
          <w:lang w:eastAsia="fr-CA"/>
        </w:rPr>
        <w:t>.</w:t>
      </w:r>
    </w:p>
    <w:p w14:paraId="1BE6F9C3" w14:textId="77777777" w:rsidR="00562098" w:rsidRDefault="00B37051" w:rsidP="00562098">
      <w:pPr>
        <w:pStyle w:val="Paragrsimple"/>
        <w:rPr>
          <w:rFonts w:eastAsia="Arial"/>
          <w:lang w:val="fr-FR"/>
        </w:rPr>
      </w:pPr>
      <w:r>
        <w:rPr>
          <w:rFonts w:eastAsia="Arial"/>
          <w:lang w:val="fr-FR"/>
        </w:rPr>
        <w:t xml:space="preserve">Lors de la conclusion </w:t>
      </w:r>
      <w:r w:rsidR="00E631A1">
        <w:rPr>
          <w:rFonts w:eastAsia="Arial"/>
          <w:lang w:val="fr-FR"/>
        </w:rPr>
        <w:t>de la première</w:t>
      </w:r>
      <w:r w:rsidR="00C15135">
        <w:rPr>
          <w:rFonts w:eastAsia="Arial"/>
          <w:lang w:val="fr-FR"/>
        </w:rPr>
        <w:t xml:space="preserve"> version de l’</w:t>
      </w:r>
      <w:r w:rsidR="00BB2671">
        <w:rPr>
          <w:rFonts w:eastAsia="Arial"/>
          <w:lang w:val="fr-FR"/>
        </w:rPr>
        <w:t>E</w:t>
      </w:r>
      <w:r w:rsidR="00E631A1">
        <w:rPr>
          <w:rFonts w:eastAsia="Arial"/>
          <w:lang w:val="fr-FR"/>
        </w:rPr>
        <w:t>ntente</w:t>
      </w:r>
      <w:r w:rsidR="00C15135">
        <w:rPr>
          <w:rFonts w:eastAsia="Arial"/>
          <w:lang w:val="fr-FR"/>
        </w:rPr>
        <w:t xml:space="preserve"> de </w:t>
      </w:r>
      <w:r w:rsidR="00BB2671">
        <w:rPr>
          <w:rFonts w:eastAsia="Arial"/>
          <w:lang w:val="fr-FR"/>
        </w:rPr>
        <w:t xml:space="preserve">règlement, celle-ci prévoyait </w:t>
      </w:r>
      <w:r w:rsidR="00E73434">
        <w:rPr>
          <w:rFonts w:eastAsia="Arial"/>
          <w:lang w:val="fr-FR"/>
        </w:rPr>
        <w:t xml:space="preserve">que les membres pouvaient choisir </w:t>
      </w:r>
      <w:r w:rsidR="006170E4">
        <w:rPr>
          <w:rFonts w:eastAsia="Arial"/>
          <w:lang w:val="fr-FR"/>
        </w:rPr>
        <w:t>un programme de surveillance du crédit d’une durée d’un an</w:t>
      </w:r>
      <w:r w:rsidR="00C27886">
        <w:rPr>
          <w:rFonts w:eastAsia="Arial"/>
          <w:lang w:val="fr-FR"/>
        </w:rPr>
        <w:t>,</w:t>
      </w:r>
      <w:r w:rsidR="006170E4">
        <w:rPr>
          <w:rFonts w:eastAsia="Arial"/>
          <w:lang w:val="fr-FR"/>
        </w:rPr>
        <w:t xml:space="preserve"> comparable </w:t>
      </w:r>
      <w:r w:rsidR="00C34524">
        <w:rPr>
          <w:rFonts w:eastAsia="Arial"/>
          <w:lang w:val="fr-FR"/>
        </w:rPr>
        <w:t xml:space="preserve">au programme offert aux </w:t>
      </w:r>
      <w:r w:rsidR="00096FE1">
        <w:rPr>
          <w:rFonts w:eastAsia="Arial"/>
          <w:lang w:val="fr-FR"/>
        </w:rPr>
        <w:t>A</w:t>
      </w:r>
      <w:r w:rsidR="00C34524">
        <w:rPr>
          <w:rFonts w:eastAsia="Arial"/>
          <w:lang w:val="fr-FR"/>
        </w:rPr>
        <w:t>méricains lors du règlement de l</w:t>
      </w:r>
      <w:r w:rsidR="00363D0A">
        <w:rPr>
          <w:rFonts w:eastAsia="Arial"/>
          <w:lang w:val="fr-FR"/>
        </w:rPr>
        <w:t>‘</w:t>
      </w:r>
      <w:r w:rsidR="00C34524">
        <w:rPr>
          <w:rFonts w:eastAsia="Arial"/>
          <w:lang w:val="fr-FR"/>
        </w:rPr>
        <w:t>action collective</w:t>
      </w:r>
      <w:r w:rsidR="00363D0A">
        <w:rPr>
          <w:rFonts w:eastAsia="Arial"/>
          <w:lang w:val="fr-FR"/>
        </w:rPr>
        <w:t xml:space="preserve"> américaine</w:t>
      </w:r>
      <w:r w:rsidR="00C34524">
        <w:rPr>
          <w:rFonts w:eastAsia="Arial"/>
          <w:lang w:val="fr-FR"/>
        </w:rPr>
        <w:t xml:space="preserve">. </w:t>
      </w:r>
      <w:r w:rsidR="00363D0A">
        <w:rPr>
          <w:rFonts w:eastAsia="Arial"/>
          <w:lang w:val="fr-FR"/>
        </w:rPr>
        <w:t>Dans cette version de l’Entente de règlement, l</w:t>
      </w:r>
      <w:r w:rsidR="00C34524">
        <w:rPr>
          <w:rFonts w:eastAsia="Arial"/>
          <w:lang w:val="fr-FR"/>
        </w:rPr>
        <w:t xml:space="preserve">e paiement des frais de surveillance était priorisé et venait en </w:t>
      </w:r>
      <w:r w:rsidR="00216296">
        <w:rPr>
          <w:rFonts w:eastAsia="Arial"/>
          <w:lang w:val="fr-FR"/>
        </w:rPr>
        <w:t>r</w:t>
      </w:r>
      <w:r w:rsidR="00C34524">
        <w:rPr>
          <w:rFonts w:eastAsia="Arial"/>
          <w:lang w:val="fr-FR"/>
        </w:rPr>
        <w:t xml:space="preserve">éduction </w:t>
      </w:r>
      <w:r>
        <w:rPr>
          <w:rFonts w:eastAsia="Arial"/>
          <w:lang w:val="fr-FR"/>
        </w:rPr>
        <w:t>des sommes disponibles pour indemnisation.</w:t>
      </w:r>
      <w:r w:rsidR="0035768C">
        <w:rPr>
          <w:rFonts w:eastAsia="Arial"/>
          <w:lang w:val="fr-FR"/>
        </w:rPr>
        <w:t xml:space="preserve"> Le Tribunal s’est enquis du coût qui serait prélevé sur le fonds de règlement pour chaque membre choisissant la surveillance du crédit</w:t>
      </w:r>
      <w:r w:rsidR="00955C55">
        <w:rPr>
          <w:rFonts w:eastAsia="Arial"/>
          <w:lang w:val="fr-FR"/>
        </w:rPr>
        <w:t xml:space="preserve"> afin d’avoir une idée du nombre de membres qui pourraient éventuellement en bénéficier.</w:t>
      </w:r>
    </w:p>
    <w:p w14:paraId="07085FD2" w14:textId="77777777" w:rsidR="00216296" w:rsidRDefault="00B37051" w:rsidP="00562098">
      <w:pPr>
        <w:pStyle w:val="Paragrsimple"/>
        <w:rPr>
          <w:rFonts w:eastAsia="Arial"/>
          <w:lang w:val="fr-FR"/>
        </w:rPr>
      </w:pPr>
      <w:r>
        <w:rPr>
          <w:rFonts w:eastAsia="Arial"/>
          <w:lang w:val="fr-FR"/>
        </w:rPr>
        <w:t>Sans répondre à la question</w:t>
      </w:r>
      <w:r w:rsidR="00C046A0">
        <w:rPr>
          <w:rFonts w:eastAsia="Arial"/>
          <w:lang w:val="fr-FR"/>
        </w:rPr>
        <w:t xml:space="preserve">, les parties ont modifié </w:t>
      </w:r>
      <w:r w:rsidR="00721579">
        <w:rPr>
          <w:rFonts w:eastAsia="Arial"/>
          <w:lang w:val="fr-FR"/>
        </w:rPr>
        <w:t xml:space="preserve">l’Entente de règlement parce que le fournisseur </w:t>
      </w:r>
      <w:r w:rsidR="00292D21">
        <w:rPr>
          <w:rFonts w:eastAsia="Arial"/>
          <w:lang w:val="fr-FR"/>
        </w:rPr>
        <w:t xml:space="preserve">envisagé exigeait </w:t>
      </w:r>
      <w:r w:rsidR="001E1B15">
        <w:rPr>
          <w:rFonts w:eastAsia="Arial"/>
          <w:lang w:val="fr-FR"/>
        </w:rPr>
        <w:t>le versement d’</w:t>
      </w:r>
      <w:r w:rsidR="00292D21">
        <w:rPr>
          <w:rFonts w:eastAsia="Arial"/>
          <w:lang w:val="fr-FR"/>
        </w:rPr>
        <w:t>une somme de près de 1</w:t>
      </w:r>
      <w:r w:rsidR="00393647">
        <w:rPr>
          <w:rFonts w:eastAsia="Arial"/>
          <w:lang w:val="fr-FR"/>
        </w:rPr>
        <w:t> </w:t>
      </w:r>
      <w:r w:rsidR="00292D21">
        <w:rPr>
          <w:rFonts w:eastAsia="Arial"/>
          <w:lang w:val="fr-FR"/>
        </w:rPr>
        <w:t>million</w:t>
      </w:r>
      <w:r w:rsidR="00393647">
        <w:rPr>
          <w:rFonts w:eastAsia="Arial"/>
          <w:lang w:val="fr-FR"/>
        </w:rPr>
        <w:t> </w:t>
      </w:r>
      <w:r w:rsidR="00292D21">
        <w:rPr>
          <w:rFonts w:eastAsia="Arial"/>
          <w:lang w:val="fr-FR"/>
        </w:rPr>
        <w:t xml:space="preserve">$ </w:t>
      </w:r>
      <w:r w:rsidR="00673FB6">
        <w:rPr>
          <w:rFonts w:eastAsia="Arial"/>
          <w:lang w:val="fr-FR"/>
        </w:rPr>
        <w:t>simplement</w:t>
      </w:r>
      <w:r w:rsidR="00292D21">
        <w:rPr>
          <w:rFonts w:eastAsia="Arial"/>
          <w:lang w:val="fr-FR"/>
        </w:rPr>
        <w:t xml:space="preserve"> pour mettre sur pied le programme, sans égards au nombre de membres qui choisiraient d’y partic</w:t>
      </w:r>
      <w:r w:rsidR="00673FB6">
        <w:rPr>
          <w:rFonts w:eastAsia="Arial"/>
          <w:lang w:val="fr-FR"/>
        </w:rPr>
        <w:t xml:space="preserve">iper. Estimant ce </w:t>
      </w:r>
      <w:r w:rsidR="00786720">
        <w:rPr>
          <w:rFonts w:eastAsia="Arial"/>
          <w:lang w:val="fr-FR"/>
        </w:rPr>
        <w:t xml:space="preserve">coût </w:t>
      </w:r>
      <w:r w:rsidR="00673FB6">
        <w:rPr>
          <w:rFonts w:eastAsia="Arial"/>
          <w:lang w:val="fr-FR"/>
        </w:rPr>
        <w:t xml:space="preserve">déraisonnable, les parties ont donc mis à la charge des membres </w:t>
      </w:r>
      <w:r w:rsidR="000C1F0E">
        <w:rPr>
          <w:rFonts w:eastAsia="Arial"/>
          <w:lang w:val="fr-FR"/>
        </w:rPr>
        <w:t>le fait de se procurer un tel programme de surveillance</w:t>
      </w:r>
      <w:r w:rsidR="00096FE1">
        <w:rPr>
          <w:rFonts w:eastAsia="Arial"/>
          <w:lang w:val="fr-FR"/>
        </w:rPr>
        <w:t>,</w:t>
      </w:r>
      <w:r w:rsidR="00126D4A">
        <w:rPr>
          <w:rFonts w:eastAsia="Arial"/>
          <w:lang w:val="fr-FR"/>
        </w:rPr>
        <w:t xml:space="preserve"> quitte à leur rembourser le </w:t>
      </w:r>
      <w:r w:rsidR="00786720">
        <w:rPr>
          <w:rFonts w:eastAsia="Arial"/>
          <w:lang w:val="fr-FR"/>
        </w:rPr>
        <w:t xml:space="preserve">coût </w:t>
      </w:r>
      <w:r w:rsidR="00126D4A">
        <w:rPr>
          <w:rFonts w:eastAsia="Arial"/>
          <w:lang w:val="fr-FR"/>
        </w:rPr>
        <w:t>par la suite</w:t>
      </w:r>
      <w:r w:rsidR="00892F92">
        <w:rPr>
          <w:rFonts w:eastAsia="Arial"/>
          <w:lang w:val="fr-FR"/>
        </w:rPr>
        <w:t xml:space="preserve"> à concurrence des fonds disponibles</w:t>
      </w:r>
      <w:r w:rsidR="00C27886">
        <w:rPr>
          <w:rFonts w:eastAsia="Arial"/>
          <w:lang w:val="fr-FR"/>
        </w:rPr>
        <w:t xml:space="preserve"> pour le règlement</w:t>
      </w:r>
      <w:r w:rsidR="00892F92">
        <w:rPr>
          <w:rFonts w:eastAsia="Arial"/>
          <w:lang w:val="fr-FR"/>
        </w:rPr>
        <w:t>.</w:t>
      </w:r>
    </w:p>
    <w:p w14:paraId="6750B4AF" w14:textId="77777777" w:rsidR="00892F92" w:rsidRPr="00562098" w:rsidRDefault="00B37051" w:rsidP="00562098">
      <w:pPr>
        <w:pStyle w:val="Paragrsimple"/>
        <w:rPr>
          <w:rFonts w:eastAsia="Arial"/>
          <w:lang w:val="fr-FR"/>
        </w:rPr>
      </w:pPr>
      <w:r>
        <w:rPr>
          <w:rFonts w:eastAsia="Arial"/>
          <w:lang w:val="fr-FR"/>
        </w:rPr>
        <w:lastRenderedPageBreak/>
        <w:t>Cette situation démontre trois éléments préoccupants</w:t>
      </w:r>
      <w:r w:rsidR="004A1840">
        <w:rPr>
          <w:rFonts w:eastAsia="Arial"/>
          <w:lang w:val="fr-FR"/>
        </w:rPr>
        <w:t> :</w:t>
      </w:r>
      <w:r w:rsidR="00002D34">
        <w:rPr>
          <w:rFonts w:eastAsia="Arial"/>
          <w:lang w:val="fr-FR"/>
        </w:rPr>
        <w:t xml:space="preserve"> i)</w:t>
      </w:r>
      <w:r w:rsidR="004A1840">
        <w:rPr>
          <w:rFonts w:eastAsia="Arial"/>
          <w:lang w:val="fr-FR"/>
        </w:rPr>
        <w:t xml:space="preserve"> les parties n’avaient pas fait de vérification adéquate </w:t>
      </w:r>
      <w:r w:rsidR="007B60E7">
        <w:rPr>
          <w:rFonts w:eastAsia="Arial"/>
          <w:lang w:val="fr-FR"/>
        </w:rPr>
        <w:t>d</w:t>
      </w:r>
      <w:r w:rsidR="00174DBE">
        <w:rPr>
          <w:rFonts w:eastAsia="Arial"/>
          <w:lang w:val="fr-FR"/>
        </w:rPr>
        <w:t xml:space="preserve">u </w:t>
      </w:r>
      <w:r w:rsidR="00C36CDE">
        <w:rPr>
          <w:rFonts w:eastAsia="Arial"/>
          <w:lang w:val="fr-FR"/>
        </w:rPr>
        <w:t xml:space="preserve">coût </w:t>
      </w:r>
      <w:r w:rsidR="00A90220">
        <w:rPr>
          <w:rFonts w:eastAsia="Arial"/>
          <w:lang w:val="fr-FR"/>
        </w:rPr>
        <w:t xml:space="preserve">du </w:t>
      </w:r>
      <w:r w:rsidR="00174DBE">
        <w:rPr>
          <w:rFonts w:eastAsia="Arial"/>
          <w:lang w:val="fr-FR"/>
        </w:rPr>
        <w:t xml:space="preserve">principal incitatif au règlement </w:t>
      </w:r>
      <w:r w:rsidR="004A1840">
        <w:rPr>
          <w:rFonts w:eastAsia="Arial"/>
          <w:lang w:val="fr-FR"/>
        </w:rPr>
        <w:t>avant d</w:t>
      </w:r>
      <w:r w:rsidR="00174DBE">
        <w:rPr>
          <w:rFonts w:eastAsia="Arial"/>
          <w:lang w:val="fr-FR"/>
        </w:rPr>
        <w:t>e convenir de</w:t>
      </w:r>
      <w:r w:rsidR="004A1840">
        <w:rPr>
          <w:rFonts w:eastAsia="Arial"/>
          <w:lang w:val="fr-FR"/>
        </w:rPr>
        <w:t xml:space="preserve"> l’Entente de règlement, </w:t>
      </w:r>
      <w:r w:rsidR="00002D34">
        <w:rPr>
          <w:rFonts w:eastAsia="Arial"/>
          <w:lang w:val="fr-FR"/>
        </w:rPr>
        <w:t xml:space="preserve">ii) </w:t>
      </w:r>
      <w:r w:rsidR="007B60E7">
        <w:rPr>
          <w:rFonts w:eastAsia="Arial"/>
          <w:lang w:val="fr-FR"/>
        </w:rPr>
        <w:t xml:space="preserve">le montant </w:t>
      </w:r>
      <w:r w:rsidR="00393647">
        <w:rPr>
          <w:rFonts w:eastAsia="Arial"/>
          <w:lang w:val="fr-FR"/>
        </w:rPr>
        <w:t xml:space="preserve">total du règlement </w:t>
      </w:r>
      <w:r w:rsidR="007B60E7">
        <w:rPr>
          <w:rFonts w:eastAsia="Arial"/>
          <w:lang w:val="fr-FR"/>
        </w:rPr>
        <w:t>de 4</w:t>
      </w:r>
      <w:r w:rsidR="00A90220">
        <w:rPr>
          <w:rFonts w:eastAsia="Arial"/>
          <w:lang w:val="fr-FR"/>
        </w:rPr>
        <w:t> </w:t>
      </w:r>
      <w:r w:rsidR="007B60E7">
        <w:rPr>
          <w:rFonts w:eastAsia="Arial"/>
          <w:lang w:val="fr-FR"/>
        </w:rPr>
        <w:t>millions</w:t>
      </w:r>
      <w:r w:rsidR="00A90220">
        <w:rPr>
          <w:rFonts w:eastAsia="Arial"/>
          <w:lang w:val="fr-FR"/>
        </w:rPr>
        <w:t> </w:t>
      </w:r>
      <w:r w:rsidR="007B60E7">
        <w:rPr>
          <w:rFonts w:eastAsia="Arial"/>
          <w:lang w:val="fr-FR"/>
        </w:rPr>
        <w:t xml:space="preserve">$ </w:t>
      </w:r>
      <w:r w:rsidR="00A90220">
        <w:rPr>
          <w:rFonts w:eastAsia="Arial"/>
          <w:lang w:val="fr-FR"/>
        </w:rPr>
        <w:t>s’avérait</w:t>
      </w:r>
      <w:r w:rsidR="00393647">
        <w:rPr>
          <w:rFonts w:eastAsia="Arial"/>
          <w:lang w:val="fr-FR"/>
        </w:rPr>
        <w:t xml:space="preserve"> trop peu élevé pour supporter un </w:t>
      </w:r>
      <w:r w:rsidR="00C36CDE">
        <w:rPr>
          <w:rFonts w:eastAsia="Arial"/>
          <w:lang w:val="fr-FR"/>
        </w:rPr>
        <w:t xml:space="preserve">coût </w:t>
      </w:r>
      <w:r w:rsidR="00505ED3">
        <w:rPr>
          <w:rFonts w:eastAsia="Arial"/>
          <w:lang w:val="fr-FR"/>
        </w:rPr>
        <w:t>aussi important dédié uniquement à la mise sur pied d’un programme de surveillance du crédit</w:t>
      </w:r>
      <w:r w:rsidR="002058E9">
        <w:rPr>
          <w:rFonts w:eastAsia="Arial"/>
          <w:lang w:val="fr-FR"/>
        </w:rPr>
        <w:t xml:space="preserve"> et</w:t>
      </w:r>
      <w:r w:rsidR="00A65296">
        <w:rPr>
          <w:rFonts w:eastAsia="Arial"/>
          <w:lang w:val="fr-FR"/>
        </w:rPr>
        <w:t>,</w:t>
      </w:r>
      <w:r w:rsidR="00002D34">
        <w:rPr>
          <w:rFonts w:eastAsia="Arial"/>
          <w:lang w:val="fr-FR"/>
        </w:rPr>
        <w:t xml:space="preserve"> iii)</w:t>
      </w:r>
      <w:r w:rsidR="002058E9">
        <w:rPr>
          <w:rFonts w:eastAsia="Arial"/>
          <w:lang w:val="fr-FR"/>
        </w:rPr>
        <w:t xml:space="preserve"> les parties ont choisi de mettre la démarche à la charge des</w:t>
      </w:r>
      <w:r w:rsidR="00556782">
        <w:rPr>
          <w:rFonts w:eastAsia="Arial"/>
          <w:lang w:val="fr-FR"/>
        </w:rPr>
        <w:t xml:space="preserve"> membres</w:t>
      </w:r>
      <w:r w:rsidR="00096FE1">
        <w:rPr>
          <w:rFonts w:eastAsia="Arial"/>
          <w:lang w:val="fr-FR"/>
        </w:rPr>
        <w:t>,</w:t>
      </w:r>
      <w:r w:rsidR="00556782">
        <w:rPr>
          <w:rFonts w:eastAsia="Arial"/>
          <w:lang w:val="fr-FR"/>
        </w:rPr>
        <w:t xml:space="preserve"> contrairement à ce qui semble avoir été le cas dans le règlement de l’action collective américaine.</w:t>
      </w:r>
    </w:p>
    <w:p w14:paraId="1E307CA9" w14:textId="77777777" w:rsidR="00C54F48" w:rsidRDefault="00B37051" w:rsidP="00C54F48">
      <w:pPr>
        <w:pStyle w:val="Paragrsimple"/>
        <w:rPr>
          <w:rFonts w:eastAsia="Arial"/>
          <w:lang w:val="fr-FR"/>
        </w:rPr>
      </w:pPr>
      <w:r>
        <w:t xml:space="preserve">À titre comparatif, l’exemple du règlement de la fuite de données à la Fédération des Caisses Desjardins </w:t>
      </w:r>
      <w:r w:rsidR="00955C55">
        <w:t>peut être cité</w:t>
      </w:r>
      <w:r>
        <w:t xml:space="preserve">. </w:t>
      </w:r>
      <w:r w:rsidRPr="00280B64">
        <w:t> </w:t>
      </w:r>
      <w:r>
        <w:t>Dans cette affaire, l’</w:t>
      </w:r>
      <w:r w:rsidR="00945158">
        <w:t>e</w:t>
      </w:r>
      <w:r w:rsidRPr="00280B64">
        <w:t>ntente de règlement</w:t>
      </w:r>
      <w:r>
        <w:t xml:space="preserve"> </w:t>
      </w:r>
      <w:r w:rsidRPr="00280B64">
        <w:t>intervenue entre les parties prévoit que</w:t>
      </w:r>
      <w:r>
        <w:t xml:space="preserve"> </w:t>
      </w:r>
      <w:r w:rsidRPr="00280B64">
        <w:t>Desjardins</w:t>
      </w:r>
      <w:r>
        <w:t xml:space="preserve"> </w:t>
      </w:r>
      <w:r w:rsidRPr="00280B64">
        <w:t>paiera, suivant un processus de recouvrement individuel, une somme pouvant aller jusqu’à 200 852 500</w:t>
      </w:r>
      <w:r>
        <w:t> </w:t>
      </w:r>
      <w:r w:rsidRPr="00280B64">
        <w:t xml:space="preserve">$ au bénéfice des demandeurs et des membres du groupe, en plus d’autres mesures comme l’abonnement au service de surveillance du crédit effectuée par </w:t>
      </w:r>
      <w:proofErr w:type="spellStart"/>
      <w:r w:rsidRPr="00280B64">
        <w:t>Equifax</w:t>
      </w:r>
      <w:proofErr w:type="spellEnd"/>
      <w:r w:rsidRPr="00280B64">
        <w:t xml:space="preserve"> </w:t>
      </w:r>
      <w:r w:rsidR="00945158">
        <w:t xml:space="preserve">(souscrite par Desjardins sans frais pour les membres et en sus </w:t>
      </w:r>
      <w:r w:rsidR="003C3467">
        <w:t>du montant de recouvrement individuel</w:t>
      </w:r>
      <w:r w:rsidR="00945158">
        <w:t xml:space="preserve">) </w:t>
      </w:r>
      <w:r w:rsidRPr="00280B64">
        <w:t>pour une période de 5 ans</w:t>
      </w:r>
      <w:r w:rsidR="003C3467">
        <w:t xml:space="preserve"> et </w:t>
      </w:r>
      <w:r w:rsidRPr="00280B64">
        <w:t>des mesures de protection additionnelles pour la même période.</w:t>
      </w:r>
      <w:r>
        <w:t xml:space="preserve"> 9 700 000 personnes et entreprises étaient visées par cette fuite de données, </w:t>
      </w:r>
      <w:r w:rsidR="00FD17C8">
        <w:t>dont 4 200 000 particuliers</w:t>
      </w:r>
      <w:r w:rsidR="00B669D2">
        <w:t>,</w:t>
      </w:r>
      <w:r w:rsidR="00643246">
        <w:t xml:space="preserve"> </w:t>
      </w:r>
      <w:r>
        <w:t xml:space="preserve">un nombre </w:t>
      </w:r>
      <w:r w:rsidR="00643246">
        <w:t xml:space="preserve">d’une ampleur </w:t>
      </w:r>
      <w:r>
        <w:t>comparable au présent dossier</w:t>
      </w:r>
      <w:r>
        <w:rPr>
          <w:rStyle w:val="Appelnotedebasdep"/>
        </w:rPr>
        <w:footnoteReference w:id="26"/>
      </w:r>
      <w:r>
        <w:t>.</w:t>
      </w:r>
    </w:p>
    <w:p w14:paraId="452B2620" w14:textId="77777777" w:rsidR="008163E0" w:rsidRDefault="00B37051" w:rsidP="00937497">
      <w:pPr>
        <w:pStyle w:val="Paragrsimple"/>
        <w:rPr>
          <w:rFonts w:eastAsia="Arial"/>
          <w:lang w:val="fr-FR"/>
        </w:rPr>
      </w:pPr>
      <w:r>
        <w:rPr>
          <w:rFonts w:eastAsia="Arial"/>
          <w:lang w:val="fr-FR"/>
        </w:rPr>
        <w:t>De l’avis du Tribunal,</w:t>
      </w:r>
      <w:r w:rsidR="00556782">
        <w:rPr>
          <w:rFonts w:eastAsia="Arial"/>
          <w:lang w:val="fr-FR"/>
        </w:rPr>
        <w:t xml:space="preserve"> la</w:t>
      </w:r>
      <w:r>
        <w:rPr>
          <w:rFonts w:eastAsia="Arial"/>
          <w:lang w:val="fr-FR"/>
        </w:rPr>
        <w:t xml:space="preserve"> structure de</w:t>
      </w:r>
      <w:r w:rsidR="00806CAD">
        <w:rPr>
          <w:rFonts w:eastAsia="Arial"/>
          <w:lang w:val="fr-FR"/>
        </w:rPr>
        <w:t xml:space="preserve"> la Transaction </w:t>
      </w:r>
      <w:r w:rsidR="00556782">
        <w:rPr>
          <w:rFonts w:eastAsia="Arial"/>
          <w:lang w:val="fr-FR"/>
        </w:rPr>
        <w:t xml:space="preserve">et les bénéfices qu’elle procure </w:t>
      </w:r>
      <w:r w:rsidR="00806CAD">
        <w:rPr>
          <w:rFonts w:eastAsia="Arial"/>
          <w:lang w:val="fr-FR"/>
        </w:rPr>
        <w:t>rend</w:t>
      </w:r>
      <w:r w:rsidR="00556782">
        <w:rPr>
          <w:rFonts w:eastAsia="Arial"/>
          <w:lang w:val="fr-FR"/>
        </w:rPr>
        <w:t>ent</w:t>
      </w:r>
      <w:r w:rsidR="00806CAD">
        <w:rPr>
          <w:rFonts w:eastAsia="Arial"/>
          <w:lang w:val="fr-FR"/>
        </w:rPr>
        <w:t xml:space="preserve"> celle-ci peu désirable.</w:t>
      </w:r>
    </w:p>
    <w:p w14:paraId="23628573" w14:textId="77777777" w:rsidR="009D6AF8" w:rsidRDefault="00B37051" w:rsidP="00FA4D88">
      <w:pPr>
        <w:pStyle w:val="Titre3"/>
        <w:rPr>
          <w:rFonts w:eastAsia="Arial"/>
          <w:lang w:val="fr-FR"/>
        </w:rPr>
      </w:pPr>
      <w:r>
        <w:rPr>
          <w:rFonts w:eastAsia="Arial"/>
          <w:lang w:val="fr-FR"/>
        </w:rPr>
        <w:t>Les sommes nettes disponibles aux membres</w:t>
      </w:r>
    </w:p>
    <w:p w14:paraId="15A64EDE" w14:textId="77777777" w:rsidR="009D6AF8" w:rsidRDefault="00B37051" w:rsidP="009D6AF8">
      <w:pPr>
        <w:pStyle w:val="Paragrsimple"/>
        <w:rPr>
          <w:rFonts w:eastAsia="Arial"/>
          <w:lang w:val="fr-FR"/>
        </w:rPr>
      </w:pPr>
      <w:r>
        <w:rPr>
          <w:rFonts w:eastAsia="Arial"/>
          <w:lang w:val="fr-FR"/>
        </w:rPr>
        <w:t xml:space="preserve">Les honoraires </w:t>
      </w:r>
      <w:r w:rsidR="00FC0FDA">
        <w:rPr>
          <w:rFonts w:eastAsia="Arial"/>
          <w:lang w:val="fr-FR"/>
        </w:rPr>
        <w:t xml:space="preserve">réclamés </w:t>
      </w:r>
      <w:r w:rsidR="00922E07">
        <w:rPr>
          <w:rFonts w:eastAsia="Arial"/>
          <w:lang w:val="fr-FR"/>
        </w:rPr>
        <w:t>par l</w:t>
      </w:r>
      <w:r>
        <w:rPr>
          <w:rFonts w:eastAsia="Arial"/>
          <w:lang w:val="fr-FR"/>
        </w:rPr>
        <w:t>es avocats du groupe sont de 1 200 000 $ (plus taxes, soit : 1 378</w:t>
      </w:r>
      <w:r w:rsidR="00603FA2">
        <w:rPr>
          <w:rFonts w:eastAsia="Arial"/>
          <w:lang w:val="fr-FR"/>
        </w:rPr>
        <w:t> </w:t>
      </w:r>
      <w:r>
        <w:rPr>
          <w:rFonts w:eastAsia="Arial"/>
          <w:lang w:val="fr-FR"/>
        </w:rPr>
        <w:t>800</w:t>
      </w:r>
      <w:r w:rsidR="00603FA2">
        <w:rPr>
          <w:rFonts w:eastAsia="Arial"/>
          <w:lang w:val="fr-FR"/>
        </w:rPr>
        <w:t> </w:t>
      </w:r>
      <w:r>
        <w:rPr>
          <w:rFonts w:eastAsia="Arial"/>
          <w:lang w:val="fr-FR"/>
        </w:rPr>
        <w:t>$)</w:t>
      </w:r>
      <w:r w:rsidR="00922E07">
        <w:rPr>
          <w:rFonts w:eastAsia="Arial"/>
          <w:lang w:val="fr-FR"/>
        </w:rPr>
        <w:t>.</w:t>
      </w:r>
      <w:r>
        <w:rPr>
          <w:rFonts w:eastAsia="Arial"/>
          <w:lang w:val="fr-FR"/>
        </w:rPr>
        <w:t xml:space="preserve"> </w:t>
      </w:r>
      <w:r w:rsidR="00922E07">
        <w:rPr>
          <w:rFonts w:eastAsia="Arial"/>
          <w:lang w:val="fr-FR"/>
        </w:rPr>
        <w:t>L</w:t>
      </w:r>
      <w:r>
        <w:rPr>
          <w:rFonts w:eastAsia="Arial"/>
          <w:lang w:val="fr-FR"/>
        </w:rPr>
        <w:t xml:space="preserve">es déboursés réclamés </w:t>
      </w:r>
      <w:r w:rsidR="003E2386">
        <w:rPr>
          <w:rFonts w:eastAsia="Arial"/>
          <w:lang w:val="fr-FR"/>
        </w:rPr>
        <w:t>atteignent</w:t>
      </w:r>
      <w:r>
        <w:rPr>
          <w:rFonts w:eastAsia="Arial"/>
          <w:lang w:val="fr-FR"/>
        </w:rPr>
        <w:t xml:space="preserve"> </w:t>
      </w:r>
      <w:r w:rsidR="004C0495">
        <w:rPr>
          <w:rFonts w:eastAsia="Arial"/>
          <w:lang w:val="fr-FR"/>
        </w:rPr>
        <w:t>62</w:t>
      </w:r>
      <w:r w:rsidR="0066483C">
        <w:rPr>
          <w:rFonts w:eastAsia="Arial"/>
          <w:lang w:val="fr-FR"/>
        </w:rPr>
        <w:t> 168,82 $</w:t>
      </w:r>
      <w:r>
        <w:rPr>
          <w:rFonts w:eastAsia="Arial"/>
          <w:lang w:val="fr-FR"/>
        </w:rPr>
        <w:t xml:space="preserve"> et les honoraires de </w:t>
      </w:r>
      <w:r w:rsidR="005C0B32">
        <w:rPr>
          <w:rFonts w:eastAsia="Arial"/>
          <w:lang w:val="fr-FR"/>
        </w:rPr>
        <w:t>l’</w:t>
      </w:r>
      <w:r>
        <w:rPr>
          <w:rFonts w:eastAsia="Arial"/>
          <w:lang w:val="fr-FR"/>
        </w:rPr>
        <w:t xml:space="preserve">administrateur des réclamations </w:t>
      </w:r>
      <w:r w:rsidR="005C0B32">
        <w:rPr>
          <w:rFonts w:eastAsia="Arial"/>
          <w:lang w:val="fr-FR"/>
        </w:rPr>
        <w:t xml:space="preserve">sont estimés à </w:t>
      </w:r>
      <w:r>
        <w:rPr>
          <w:rFonts w:eastAsia="Arial"/>
          <w:lang w:val="fr-FR"/>
        </w:rPr>
        <w:t>134 635,73</w:t>
      </w:r>
      <w:r w:rsidR="005C0B32">
        <w:rPr>
          <w:rFonts w:eastAsia="Arial"/>
          <w:lang w:val="fr-FR"/>
        </w:rPr>
        <w:t> $</w:t>
      </w:r>
      <w:r>
        <w:rPr>
          <w:rStyle w:val="Appelnotedebasdep"/>
          <w:rFonts w:eastAsia="Arial"/>
          <w:lang w:val="fr-FR"/>
        </w:rPr>
        <w:footnoteReference w:id="27"/>
      </w:r>
      <w:r w:rsidR="009A7C46">
        <w:rPr>
          <w:rFonts w:eastAsia="Arial"/>
          <w:lang w:val="fr-FR"/>
        </w:rPr>
        <w:t>.</w:t>
      </w:r>
    </w:p>
    <w:p w14:paraId="282C5611" w14:textId="77777777" w:rsidR="00E61FE6" w:rsidRDefault="00B37051" w:rsidP="009D6AF8">
      <w:pPr>
        <w:pStyle w:val="Paragrsimple"/>
        <w:rPr>
          <w:rFonts w:eastAsia="Arial"/>
          <w:lang w:val="fr-FR"/>
        </w:rPr>
      </w:pPr>
      <w:r>
        <w:rPr>
          <w:rFonts w:eastAsia="Arial"/>
          <w:lang w:val="fr-FR"/>
        </w:rPr>
        <w:t xml:space="preserve">Le Tribunal note que l’estimé des honoraires de l’administrateur des réclamations est sujet à </w:t>
      </w:r>
      <w:r w:rsidR="003E2386">
        <w:rPr>
          <w:rFonts w:eastAsia="Arial"/>
          <w:lang w:val="fr-FR"/>
        </w:rPr>
        <w:t>une</w:t>
      </w:r>
      <w:r>
        <w:rPr>
          <w:rFonts w:eastAsia="Arial"/>
          <w:lang w:val="fr-FR"/>
        </w:rPr>
        <w:t xml:space="preserve"> importante</w:t>
      </w:r>
      <w:r w:rsidR="003E2386">
        <w:rPr>
          <w:rFonts w:eastAsia="Arial"/>
          <w:lang w:val="fr-FR"/>
        </w:rPr>
        <w:t xml:space="preserve"> </w:t>
      </w:r>
      <w:r>
        <w:rPr>
          <w:rFonts w:eastAsia="Arial"/>
          <w:lang w:val="fr-FR"/>
        </w:rPr>
        <w:t>augmentation en fonction du type de réclamation</w:t>
      </w:r>
      <w:r w:rsidR="008275F3">
        <w:rPr>
          <w:rFonts w:eastAsia="Arial"/>
          <w:lang w:val="fr-FR"/>
        </w:rPr>
        <w:t xml:space="preserve"> (documentée </w:t>
      </w:r>
      <w:r w:rsidR="008C043A">
        <w:rPr>
          <w:rFonts w:eastAsia="Arial"/>
          <w:lang w:val="fr-FR"/>
        </w:rPr>
        <w:t xml:space="preserve">ou non </w:t>
      </w:r>
      <w:r w:rsidR="008275F3">
        <w:rPr>
          <w:rFonts w:eastAsia="Arial"/>
          <w:lang w:val="fr-FR"/>
        </w:rPr>
        <w:t>documentée)</w:t>
      </w:r>
      <w:r>
        <w:rPr>
          <w:rFonts w:eastAsia="Arial"/>
          <w:lang w:val="fr-FR"/>
        </w:rPr>
        <w:t xml:space="preserve">, </w:t>
      </w:r>
      <w:r w:rsidR="00045BD8">
        <w:rPr>
          <w:rFonts w:eastAsia="Arial"/>
          <w:lang w:val="fr-FR"/>
        </w:rPr>
        <w:t>du nombre de réclamants (ex</w:t>
      </w:r>
      <w:r w:rsidR="009B08C4">
        <w:rPr>
          <w:rFonts w:eastAsia="Arial"/>
          <w:lang w:val="fr-FR"/>
        </w:rPr>
        <w:t>.</w:t>
      </w:r>
      <w:r w:rsidR="00045BD8">
        <w:rPr>
          <w:rFonts w:eastAsia="Arial"/>
          <w:lang w:val="fr-FR"/>
        </w:rPr>
        <w:t> : 30</w:t>
      </w:r>
      <w:r w:rsidR="003E2386">
        <w:rPr>
          <w:rFonts w:eastAsia="Arial"/>
          <w:lang w:val="fr-FR"/>
        </w:rPr>
        <w:t> </w:t>
      </w:r>
      <w:r w:rsidR="00045BD8">
        <w:rPr>
          <w:rFonts w:eastAsia="Arial"/>
          <w:lang w:val="fr-FR"/>
        </w:rPr>
        <w:t xml:space="preserve">$ par réclamation documentée à concurrence de 250), </w:t>
      </w:r>
      <w:r>
        <w:rPr>
          <w:rFonts w:eastAsia="Arial"/>
          <w:lang w:val="fr-FR"/>
        </w:rPr>
        <w:t>de l’émission de virement</w:t>
      </w:r>
      <w:r w:rsidR="003A20F8">
        <w:rPr>
          <w:rFonts w:eastAsia="Arial"/>
          <w:lang w:val="fr-FR"/>
        </w:rPr>
        <w:t>s</w:t>
      </w:r>
      <w:r>
        <w:rPr>
          <w:rFonts w:eastAsia="Arial"/>
          <w:lang w:val="fr-FR"/>
        </w:rPr>
        <w:t xml:space="preserve"> </w:t>
      </w:r>
      <w:r w:rsidR="00045BD8">
        <w:rPr>
          <w:rFonts w:eastAsia="Arial"/>
          <w:lang w:val="fr-FR"/>
        </w:rPr>
        <w:t>Interac</w:t>
      </w:r>
      <w:r w:rsidR="008F3393">
        <w:rPr>
          <w:rFonts w:eastAsia="Arial"/>
          <w:lang w:val="fr-FR"/>
        </w:rPr>
        <w:t xml:space="preserve"> </w:t>
      </w:r>
      <w:r w:rsidR="008275F3">
        <w:rPr>
          <w:rFonts w:eastAsia="Arial"/>
          <w:lang w:val="fr-FR"/>
        </w:rPr>
        <w:t xml:space="preserve">(minimum 5,00 $ par virement) </w:t>
      </w:r>
      <w:r w:rsidR="008F3393">
        <w:rPr>
          <w:rFonts w:eastAsia="Arial"/>
          <w:lang w:val="fr-FR"/>
        </w:rPr>
        <w:t>ou de chèques</w:t>
      </w:r>
      <w:r w:rsidR="008275F3">
        <w:rPr>
          <w:rFonts w:eastAsia="Arial"/>
          <w:lang w:val="fr-FR"/>
        </w:rPr>
        <w:t xml:space="preserve"> </w:t>
      </w:r>
      <w:r w:rsidR="00D71F62">
        <w:rPr>
          <w:rFonts w:eastAsia="Arial"/>
          <w:lang w:val="fr-FR"/>
        </w:rPr>
        <w:t>(minimum 4,50 $ par chèque)</w:t>
      </w:r>
      <w:r w:rsidR="008F3393">
        <w:rPr>
          <w:rFonts w:eastAsia="Arial"/>
          <w:lang w:val="fr-FR"/>
        </w:rPr>
        <w:t>.</w:t>
      </w:r>
      <w:r>
        <w:rPr>
          <w:rFonts w:eastAsia="Arial"/>
          <w:lang w:val="fr-FR"/>
        </w:rPr>
        <w:t xml:space="preserve"> </w:t>
      </w:r>
      <w:r w:rsidR="00462BDF">
        <w:rPr>
          <w:rFonts w:eastAsia="Arial"/>
          <w:lang w:val="fr-FR"/>
        </w:rPr>
        <w:t xml:space="preserve">De </w:t>
      </w:r>
      <w:r>
        <w:rPr>
          <w:rFonts w:eastAsia="Arial"/>
          <w:lang w:val="fr-FR"/>
        </w:rPr>
        <w:t>plus, le nombre de membres anticipés</w:t>
      </w:r>
      <w:r w:rsidR="00DE022B">
        <w:rPr>
          <w:rFonts w:eastAsia="Arial"/>
          <w:lang w:val="fr-FR"/>
        </w:rPr>
        <w:t xml:space="preserve"> n’a</w:t>
      </w:r>
      <w:r w:rsidR="00462BDF">
        <w:rPr>
          <w:rFonts w:eastAsia="Arial"/>
          <w:lang w:val="fr-FR"/>
        </w:rPr>
        <w:t>yant</w:t>
      </w:r>
      <w:r w:rsidR="00DE022B">
        <w:rPr>
          <w:rFonts w:eastAsia="Arial"/>
          <w:lang w:val="fr-FR"/>
        </w:rPr>
        <w:t xml:space="preserve"> pas été correctement comptabilisé, la facture sera plus </w:t>
      </w:r>
      <w:r w:rsidR="00F83FE8">
        <w:rPr>
          <w:rFonts w:eastAsia="Arial"/>
          <w:lang w:val="fr-FR"/>
        </w:rPr>
        <w:t>élevée</w:t>
      </w:r>
      <w:r w:rsidR="00DE022B">
        <w:rPr>
          <w:rFonts w:eastAsia="Arial"/>
          <w:lang w:val="fr-FR"/>
        </w:rPr>
        <w:t xml:space="preserve"> mais difficile de</w:t>
      </w:r>
      <w:r w:rsidR="00462BDF">
        <w:rPr>
          <w:rFonts w:eastAsia="Arial"/>
          <w:lang w:val="fr-FR"/>
        </w:rPr>
        <w:t xml:space="preserve"> dire de combien.</w:t>
      </w:r>
      <w:r w:rsidR="00DE022B">
        <w:rPr>
          <w:rFonts w:eastAsia="Arial"/>
          <w:lang w:val="fr-FR"/>
        </w:rPr>
        <w:t xml:space="preserve"> </w:t>
      </w:r>
    </w:p>
    <w:p w14:paraId="47EEA597" w14:textId="77777777" w:rsidR="009D6AF8" w:rsidRDefault="00B37051" w:rsidP="00B36F57">
      <w:pPr>
        <w:pStyle w:val="Paragrsimple"/>
        <w:rPr>
          <w:rFonts w:eastAsia="Arial"/>
          <w:lang w:val="fr-FR"/>
        </w:rPr>
      </w:pPr>
      <w:r>
        <w:rPr>
          <w:rFonts w:eastAsia="Arial"/>
          <w:lang w:val="fr-FR"/>
        </w:rPr>
        <w:t xml:space="preserve">En prenant </w:t>
      </w:r>
      <w:r w:rsidR="00F83FE8">
        <w:rPr>
          <w:rFonts w:eastAsia="Arial"/>
          <w:lang w:val="fr-FR"/>
        </w:rPr>
        <w:t>les évaluations les plus basses, l</w:t>
      </w:r>
      <w:r w:rsidR="00930CD6">
        <w:rPr>
          <w:rFonts w:eastAsia="Arial"/>
          <w:lang w:val="fr-FR"/>
        </w:rPr>
        <w:t xml:space="preserve">e solde </w:t>
      </w:r>
      <w:r w:rsidR="003E2386">
        <w:rPr>
          <w:rFonts w:eastAsia="Arial"/>
          <w:lang w:val="fr-FR"/>
        </w:rPr>
        <w:t>théorique</w:t>
      </w:r>
      <w:r w:rsidR="00E61FE6">
        <w:rPr>
          <w:rFonts w:eastAsia="Arial"/>
          <w:lang w:val="fr-FR"/>
        </w:rPr>
        <w:t xml:space="preserve"> </w:t>
      </w:r>
      <w:r w:rsidR="00E61FE6" w:rsidRPr="005D3BBD">
        <w:rPr>
          <w:rFonts w:eastAsia="Arial"/>
          <w:b/>
          <w:bCs/>
          <w:lang w:val="fr-FR"/>
        </w:rPr>
        <w:t>maximal</w:t>
      </w:r>
      <w:r w:rsidR="00930CD6">
        <w:rPr>
          <w:rFonts w:eastAsia="Arial"/>
          <w:lang w:val="fr-FR"/>
        </w:rPr>
        <w:t xml:space="preserve"> à distribuer aux </w:t>
      </w:r>
      <w:r w:rsidR="00557DB4">
        <w:rPr>
          <w:rFonts w:eastAsia="Arial"/>
          <w:lang w:val="fr-FR"/>
        </w:rPr>
        <w:t xml:space="preserve">membres du </w:t>
      </w:r>
      <w:r w:rsidR="00F7456E">
        <w:rPr>
          <w:rFonts w:eastAsia="Arial"/>
          <w:lang w:val="fr-FR"/>
        </w:rPr>
        <w:t xml:space="preserve">groupe </w:t>
      </w:r>
      <w:r w:rsidR="00557DB4">
        <w:rPr>
          <w:rFonts w:eastAsia="Arial"/>
          <w:lang w:val="fr-FR"/>
        </w:rPr>
        <w:t xml:space="preserve">serait donc de </w:t>
      </w:r>
      <w:r w:rsidR="00444FFE">
        <w:rPr>
          <w:rFonts w:eastAsia="Arial"/>
          <w:lang w:val="fr-FR"/>
        </w:rPr>
        <w:t>2 423 495,45 $</w:t>
      </w:r>
      <w:r>
        <w:rPr>
          <w:rStyle w:val="Appelnotedebasdep"/>
          <w:rFonts w:eastAsia="Arial"/>
          <w:lang w:val="fr-FR"/>
        </w:rPr>
        <w:footnoteReference w:id="28"/>
      </w:r>
      <w:r w:rsidR="00444FFE">
        <w:rPr>
          <w:rFonts w:eastAsia="Arial"/>
          <w:lang w:val="fr-FR"/>
        </w:rPr>
        <w:t>.</w:t>
      </w:r>
      <w:r w:rsidR="00092D2A">
        <w:rPr>
          <w:rFonts w:eastAsia="Arial"/>
          <w:lang w:val="fr-FR"/>
        </w:rPr>
        <w:t xml:space="preserve"> </w:t>
      </w:r>
    </w:p>
    <w:p w14:paraId="29535C69" w14:textId="77777777" w:rsidR="00B60AF4" w:rsidRDefault="00B37051" w:rsidP="00B36F57">
      <w:pPr>
        <w:pStyle w:val="Paragrsimple"/>
        <w:rPr>
          <w:rFonts w:eastAsia="Arial"/>
          <w:lang w:val="fr-FR"/>
        </w:rPr>
      </w:pPr>
      <w:r>
        <w:rPr>
          <w:rFonts w:eastAsia="Arial"/>
          <w:lang w:val="fr-FR"/>
        </w:rPr>
        <w:lastRenderedPageBreak/>
        <w:t>Bien que l’hypothèse ne</w:t>
      </w:r>
      <w:r w:rsidR="00264C94">
        <w:rPr>
          <w:rFonts w:eastAsia="Arial"/>
          <w:lang w:val="fr-FR"/>
        </w:rPr>
        <w:t xml:space="preserve"> risque pas de se matérialiser, s</w:t>
      </w:r>
      <w:r>
        <w:rPr>
          <w:rFonts w:eastAsia="Arial"/>
          <w:lang w:val="fr-FR"/>
        </w:rPr>
        <w:t xml:space="preserve">i tous les membres du </w:t>
      </w:r>
      <w:r w:rsidR="00F7456E">
        <w:rPr>
          <w:rFonts w:eastAsia="Arial"/>
          <w:lang w:val="fr-FR"/>
        </w:rPr>
        <w:t xml:space="preserve">groupe </w:t>
      </w:r>
      <w:r>
        <w:rPr>
          <w:rFonts w:eastAsia="Arial"/>
          <w:lang w:val="fr-FR"/>
        </w:rPr>
        <w:t>devai</w:t>
      </w:r>
      <w:r w:rsidR="00096FE1">
        <w:rPr>
          <w:rFonts w:eastAsia="Arial"/>
          <w:lang w:val="fr-FR"/>
        </w:rPr>
        <w:t>en</w:t>
      </w:r>
      <w:r>
        <w:rPr>
          <w:rFonts w:eastAsia="Arial"/>
          <w:lang w:val="fr-FR"/>
        </w:rPr>
        <w:t xml:space="preserve">t se prévaloir de la réclamation </w:t>
      </w:r>
      <w:r w:rsidRPr="00C6407F">
        <w:rPr>
          <w:rFonts w:eastAsia="Arial"/>
          <w:u w:val="single"/>
          <w:lang w:val="fr-FR"/>
        </w:rPr>
        <w:t>non documentée</w:t>
      </w:r>
      <w:r>
        <w:rPr>
          <w:rFonts w:eastAsia="Arial"/>
          <w:lang w:val="fr-FR"/>
        </w:rPr>
        <w:t xml:space="preserve">, ils </w:t>
      </w:r>
      <w:r w:rsidR="005D3BBD">
        <w:rPr>
          <w:rFonts w:eastAsia="Arial"/>
          <w:lang w:val="fr-FR"/>
        </w:rPr>
        <w:t xml:space="preserve">ne </w:t>
      </w:r>
      <w:r>
        <w:rPr>
          <w:rFonts w:eastAsia="Arial"/>
          <w:lang w:val="fr-FR"/>
        </w:rPr>
        <w:t xml:space="preserve">recevraient </w:t>
      </w:r>
      <w:r w:rsidR="005D3BBD">
        <w:rPr>
          <w:rFonts w:eastAsia="Arial"/>
          <w:lang w:val="fr-FR"/>
        </w:rPr>
        <w:t>rien</w:t>
      </w:r>
      <w:r w:rsidR="00934BEB">
        <w:rPr>
          <w:rFonts w:eastAsia="Arial"/>
          <w:lang w:val="fr-FR"/>
        </w:rPr>
        <w:t xml:space="preserve"> compte tenu des frais requis pour l’émission du paiement</w:t>
      </w:r>
      <w:r>
        <w:rPr>
          <w:rFonts w:eastAsia="Arial"/>
          <w:lang w:val="fr-FR"/>
        </w:rPr>
        <w:t>.</w:t>
      </w:r>
      <w:r w:rsidR="00C97E3C">
        <w:rPr>
          <w:rFonts w:eastAsia="Arial"/>
          <w:lang w:val="fr-FR"/>
        </w:rPr>
        <w:t xml:space="preserve"> </w:t>
      </w:r>
    </w:p>
    <w:p w14:paraId="7E0CF7B7" w14:textId="77777777" w:rsidR="00CC5148" w:rsidRDefault="00B37051" w:rsidP="00B36F57">
      <w:pPr>
        <w:pStyle w:val="Paragrsimple"/>
        <w:rPr>
          <w:rFonts w:eastAsia="Arial"/>
          <w:lang w:val="fr-FR"/>
        </w:rPr>
      </w:pPr>
      <w:r>
        <w:rPr>
          <w:rFonts w:eastAsia="Arial"/>
          <w:lang w:val="fr-FR"/>
        </w:rPr>
        <w:t>Une deuxième hypothèse peut être faite :</w:t>
      </w:r>
      <w:r w:rsidR="00F22F41">
        <w:rPr>
          <w:rFonts w:eastAsia="Arial"/>
          <w:lang w:val="fr-FR"/>
        </w:rPr>
        <w:t xml:space="preserve"> </w:t>
      </w:r>
      <w:r>
        <w:rPr>
          <w:rFonts w:eastAsia="Arial"/>
          <w:lang w:val="fr-FR"/>
        </w:rPr>
        <w:t>si</w:t>
      </w:r>
      <w:r w:rsidR="007F6C6D">
        <w:rPr>
          <w:rFonts w:eastAsia="Arial"/>
          <w:lang w:val="fr-FR"/>
        </w:rPr>
        <w:t xml:space="preserve"> seules des réclamations non documentées sont soumises</w:t>
      </w:r>
      <w:r w:rsidR="009B08C4">
        <w:rPr>
          <w:rFonts w:eastAsia="Arial"/>
          <w:lang w:val="fr-FR"/>
        </w:rPr>
        <w:t>,</w:t>
      </w:r>
      <w:r w:rsidR="007F6C6D">
        <w:rPr>
          <w:rFonts w:eastAsia="Arial"/>
          <w:lang w:val="fr-FR"/>
        </w:rPr>
        <w:t xml:space="preserve"> et en tenant compte des frais Interac minimum</w:t>
      </w:r>
      <w:r w:rsidR="006E06B6">
        <w:rPr>
          <w:rFonts w:eastAsia="Arial"/>
          <w:lang w:val="fr-FR"/>
        </w:rPr>
        <w:t xml:space="preserve"> pour chaque versement</w:t>
      </w:r>
      <w:r w:rsidR="007F6C6D">
        <w:rPr>
          <w:rFonts w:eastAsia="Arial"/>
          <w:lang w:val="fr-FR"/>
        </w:rPr>
        <w:t xml:space="preserve">, </w:t>
      </w:r>
      <w:r w:rsidR="00986CD3">
        <w:rPr>
          <w:rFonts w:eastAsia="Arial"/>
          <w:lang w:val="fr-FR"/>
        </w:rPr>
        <w:t>un maximum de 15 6</w:t>
      </w:r>
      <w:r w:rsidR="00D66B58">
        <w:rPr>
          <w:rFonts w:eastAsia="Arial"/>
          <w:lang w:val="fr-FR"/>
        </w:rPr>
        <w:t>35</w:t>
      </w:r>
      <w:r w:rsidR="00986CD3">
        <w:rPr>
          <w:rFonts w:eastAsia="Arial"/>
          <w:lang w:val="fr-FR"/>
        </w:rPr>
        <w:t xml:space="preserve"> membres pourraient être indemnisés</w:t>
      </w:r>
      <w:r w:rsidR="006E06B6">
        <w:rPr>
          <w:rFonts w:eastAsia="Arial"/>
          <w:lang w:val="fr-FR"/>
        </w:rPr>
        <w:t xml:space="preserve"> de 150 $</w:t>
      </w:r>
      <w:r w:rsidR="00986CD3">
        <w:rPr>
          <w:rFonts w:eastAsia="Arial"/>
          <w:lang w:val="fr-FR"/>
        </w:rPr>
        <w:t>.</w:t>
      </w:r>
      <w:r>
        <w:rPr>
          <w:rFonts w:eastAsia="Arial"/>
          <w:lang w:val="fr-FR"/>
        </w:rPr>
        <w:t xml:space="preserve"> Il s’agit de </w:t>
      </w:r>
      <w:r w:rsidR="00FD5A4A">
        <w:rPr>
          <w:rFonts w:eastAsia="Arial"/>
          <w:lang w:val="fr-FR"/>
        </w:rPr>
        <w:t>0,</w:t>
      </w:r>
      <w:r w:rsidR="00F863CA">
        <w:rPr>
          <w:rFonts w:eastAsia="Arial"/>
          <w:lang w:val="fr-FR"/>
        </w:rPr>
        <w:t>25</w:t>
      </w:r>
      <w:r w:rsidR="00C84207">
        <w:rPr>
          <w:rFonts w:eastAsia="Arial"/>
          <w:lang w:val="fr-FR"/>
        </w:rPr>
        <w:t> </w:t>
      </w:r>
      <w:r w:rsidR="00FD5A4A">
        <w:rPr>
          <w:rFonts w:eastAsia="Arial"/>
          <w:lang w:val="fr-FR"/>
        </w:rPr>
        <w:t xml:space="preserve">% du total des membres du </w:t>
      </w:r>
      <w:r w:rsidR="00F7456E">
        <w:rPr>
          <w:rFonts w:eastAsia="Arial"/>
          <w:lang w:val="fr-FR"/>
        </w:rPr>
        <w:t>groupe</w:t>
      </w:r>
      <w:r w:rsidR="00FD5A4A">
        <w:rPr>
          <w:rFonts w:eastAsia="Arial"/>
          <w:lang w:val="fr-FR"/>
        </w:rPr>
        <w:t xml:space="preserve">, une proportion qui </w:t>
      </w:r>
      <w:r w:rsidR="009B08C4">
        <w:rPr>
          <w:rFonts w:eastAsia="Arial"/>
          <w:lang w:val="fr-FR"/>
        </w:rPr>
        <w:t xml:space="preserve">apparaît </w:t>
      </w:r>
      <w:r w:rsidR="00FD5A4A">
        <w:rPr>
          <w:rFonts w:eastAsia="Arial"/>
          <w:lang w:val="fr-FR"/>
        </w:rPr>
        <w:t xml:space="preserve">au Tribunal </w:t>
      </w:r>
      <w:r w:rsidR="00FB48A6">
        <w:rPr>
          <w:rFonts w:eastAsia="Arial"/>
          <w:lang w:val="fr-FR"/>
        </w:rPr>
        <w:t>ridiculement faible</w:t>
      </w:r>
      <w:r w:rsidR="00FD5A4A">
        <w:rPr>
          <w:rFonts w:eastAsia="Arial"/>
          <w:lang w:val="fr-FR"/>
        </w:rPr>
        <w:t>.</w:t>
      </w:r>
    </w:p>
    <w:p w14:paraId="528823F0" w14:textId="77777777" w:rsidR="00F863CA" w:rsidRDefault="00B37051" w:rsidP="00B36F57">
      <w:pPr>
        <w:pStyle w:val="Paragrsimple"/>
        <w:rPr>
          <w:rFonts w:eastAsia="Arial"/>
          <w:lang w:val="fr-FR"/>
        </w:rPr>
      </w:pPr>
      <w:r>
        <w:rPr>
          <w:rFonts w:eastAsia="Arial"/>
          <w:lang w:val="fr-FR"/>
        </w:rPr>
        <w:t xml:space="preserve">Bien entendu, </w:t>
      </w:r>
      <w:r w:rsidR="00671505">
        <w:rPr>
          <w:rFonts w:eastAsia="Arial"/>
          <w:lang w:val="fr-FR"/>
        </w:rPr>
        <w:t xml:space="preserve">comme la Transaction prévoit une réduction </w:t>
      </w:r>
      <w:r w:rsidR="00FB48A6">
        <w:rPr>
          <w:rFonts w:eastAsia="Arial"/>
          <w:lang w:val="fr-FR"/>
        </w:rPr>
        <w:t>des indemnités</w:t>
      </w:r>
      <w:r w:rsidR="00671505">
        <w:rPr>
          <w:rFonts w:eastAsia="Arial"/>
          <w:lang w:val="fr-FR"/>
        </w:rPr>
        <w:t xml:space="preserve"> au prorata des réclamations, le nombre de membres potentiellement indemnisé</w:t>
      </w:r>
      <w:r w:rsidR="00FB48A6">
        <w:rPr>
          <w:rFonts w:eastAsia="Arial"/>
          <w:lang w:val="fr-FR"/>
        </w:rPr>
        <w:t>s</w:t>
      </w:r>
      <w:r w:rsidR="00E7509A">
        <w:rPr>
          <w:rFonts w:eastAsia="Arial"/>
          <w:lang w:val="fr-FR"/>
        </w:rPr>
        <w:t xml:space="preserve"> pourrait </w:t>
      </w:r>
      <w:r w:rsidR="00E83A54">
        <w:rPr>
          <w:rFonts w:eastAsia="Arial"/>
          <w:lang w:val="fr-FR"/>
        </w:rPr>
        <w:t>techniquement atteindre</w:t>
      </w:r>
      <w:r w:rsidR="00FB48A6">
        <w:rPr>
          <w:rFonts w:eastAsia="Arial"/>
          <w:lang w:val="fr-FR"/>
        </w:rPr>
        <w:t xml:space="preserve"> 500</w:t>
      </w:r>
      <w:r w:rsidR="00E75B75">
        <w:rPr>
          <w:rFonts w:eastAsia="Arial"/>
          <w:lang w:val="fr-FR"/>
        </w:rPr>
        <w:t> </w:t>
      </w:r>
      <w:r w:rsidR="00FB48A6">
        <w:rPr>
          <w:rFonts w:eastAsia="Arial"/>
          <w:lang w:val="fr-FR"/>
        </w:rPr>
        <w:t>000</w:t>
      </w:r>
      <w:r w:rsidR="00E75B75">
        <w:rPr>
          <w:rFonts w:eastAsia="Arial"/>
          <w:lang w:val="fr-FR"/>
        </w:rPr>
        <w:t>,</w:t>
      </w:r>
      <w:r w:rsidR="00B23A3D">
        <w:rPr>
          <w:rFonts w:eastAsia="Arial"/>
          <w:lang w:val="fr-FR"/>
        </w:rPr>
        <w:t xml:space="preserve"> </w:t>
      </w:r>
      <w:proofErr w:type="gramStart"/>
      <w:r w:rsidR="00B23A3D">
        <w:rPr>
          <w:rFonts w:eastAsia="Arial"/>
          <w:lang w:val="fr-FR"/>
        </w:rPr>
        <w:t>sauf que</w:t>
      </w:r>
      <w:proofErr w:type="gramEnd"/>
      <w:r w:rsidR="00B23A3D">
        <w:rPr>
          <w:rFonts w:eastAsia="Arial"/>
          <w:lang w:val="fr-FR"/>
        </w:rPr>
        <w:t xml:space="preserve"> chacun ne recevrait que </w:t>
      </w:r>
      <w:r w:rsidR="00C95722">
        <w:rPr>
          <w:rFonts w:eastAsia="Arial"/>
          <w:lang w:val="fr-FR"/>
        </w:rPr>
        <w:t>0</w:t>
      </w:r>
      <w:r w:rsidR="00435497">
        <w:rPr>
          <w:rFonts w:eastAsia="Arial"/>
          <w:lang w:val="fr-FR"/>
        </w:rPr>
        <w:t>,85</w:t>
      </w:r>
      <w:r w:rsidR="0053586A">
        <w:rPr>
          <w:rFonts w:eastAsia="Arial"/>
          <w:lang w:val="fr-FR"/>
        </w:rPr>
        <w:t> </w:t>
      </w:r>
      <w:r w:rsidR="00C95722">
        <w:rPr>
          <w:rFonts w:eastAsia="Arial"/>
          <w:lang w:val="fr-FR"/>
        </w:rPr>
        <w:t xml:space="preserve">$ compte tenu du </w:t>
      </w:r>
      <w:r w:rsidR="0053586A">
        <w:rPr>
          <w:rFonts w:eastAsia="Arial"/>
          <w:lang w:val="fr-FR"/>
        </w:rPr>
        <w:t xml:space="preserve">coût </w:t>
      </w:r>
      <w:r w:rsidR="00C95722">
        <w:rPr>
          <w:rFonts w:eastAsia="Arial"/>
          <w:lang w:val="fr-FR"/>
        </w:rPr>
        <w:t xml:space="preserve">de l’émission des virements Interac. </w:t>
      </w:r>
      <w:r w:rsidR="00766DCF">
        <w:rPr>
          <w:rFonts w:eastAsia="Arial"/>
          <w:lang w:val="fr-FR"/>
        </w:rPr>
        <w:t xml:space="preserve">Cette </w:t>
      </w:r>
      <w:r w:rsidR="00C95722">
        <w:rPr>
          <w:rFonts w:eastAsia="Arial"/>
          <w:lang w:val="fr-FR"/>
        </w:rPr>
        <w:t>fois</w:t>
      </w:r>
      <w:r w:rsidR="00766DCF">
        <w:rPr>
          <w:rFonts w:eastAsia="Arial"/>
          <w:lang w:val="fr-FR"/>
        </w:rPr>
        <w:t>-ci c’est une indemnisation</w:t>
      </w:r>
      <w:r w:rsidR="00C95722">
        <w:rPr>
          <w:rFonts w:eastAsia="Arial"/>
          <w:lang w:val="fr-FR"/>
        </w:rPr>
        <w:t xml:space="preserve"> ridiculement faible.</w:t>
      </w:r>
    </w:p>
    <w:p w14:paraId="4BD77CC9" w14:textId="77777777" w:rsidR="007F6C6D" w:rsidRDefault="00B37051" w:rsidP="00B36F57">
      <w:pPr>
        <w:pStyle w:val="Paragrsimple"/>
        <w:rPr>
          <w:rFonts w:eastAsia="Arial"/>
          <w:lang w:val="fr-FR"/>
        </w:rPr>
      </w:pPr>
      <w:r>
        <w:rPr>
          <w:rFonts w:eastAsia="Arial"/>
          <w:lang w:val="fr-FR"/>
        </w:rPr>
        <w:t xml:space="preserve"> </w:t>
      </w:r>
      <w:r w:rsidR="00FD5A4A">
        <w:rPr>
          <w:rFonts w:eastAsia="Arial"/>
          <w:lang w:val="fr-FR"/>
        </w:rPr>
        <w:t>Au surplus, l</w:t>
      </w:r>
      <w:r>
        <w:rPr>
          <w:rFonts w:eastAsia="Arial"/>
          <w:lang w:val="fr-FR"/>
        </w:rPr>
        <w:t xml:space="preserve">e </w:t>
      </w:r>
      <w:r w:rsidR="00A85DE7">
        <w:rPr>
          <w:rFonts w:eastAsia="Arial"/>
          <w:lang w:val="fr-FR"/>
        </w:rPr>
        <w:t>nombre</w:t>
      </w:r>
      <w:r w:rsidR="00742777">
        <w:rPr>
          <w:rFonts w:eastAsia="Arial"/>
          <w:lang w:val="fr-FR"/>
        </w:rPr>
        <w:t xml:space="preserve"> de membres pouvant être indemnisé</w:t>
      </w:r>
      <w:r w:rsidR="00341D8E">
        <w:rPr>
          <w:rFonts w:eastAsia="Arial"/>
          <w:lang w:val="fr-FR"/>
        </w:rPr>
        <w:t>s</w:t>
      </w:r>
      <w:r>
        <w:rPr>
          <w:rFonts w:eastAsia="Arial"/>
          <w:lang w:val="fr-FR"/>
        </w:rPr>
        <w:t xml:space="preserve"> diminue considérablement si des réclamations </w:t>
      </w:r>
      <w:r w:rsidR="00A85DE7">
        <w:rPr>
          <w:rFonts w:eastAsia="Arial"/>
          <w:lang w:val="fr-FR"/>
        </w:rPr>
        <w:t>documentées sont approuvées</w:t>
      </w:r>
      <w:r w:rsidR="006E06B6">
        <w:rPr>
          <w:rFonts w:eastAsia="Arial"/>
          <w:lang w:val="fr-FR"/>
        </w:rPr>
        <w:t xml:space="preserve"> ou si certains membres</w:t>
      </w:r>
      <w:r w:rsidR="000B3951">
        <w:rPr>
          <w:rFonts w:eastAsia="Arial"/>
          <w:lang w:val="fr-FR"/>
        </w:rPr>
        <w:t xml:space="preserve"> ont droit d’être indemnisés</w:t>
      </w:r>
      <w:r w:rsidR="00226DD2">
        <w:rPr>
          <w:rFonts w:eastAsia="Arial"/>
          <w:lang w:val="fr-FR"/>
        </w:rPr>
        <w:t xml:space="preserve"> pour l</w:t>
      </w:r>
      <w:r w:rsidR="00E20228">
        <w:rPr>
          <w:rFonts w:eastAsia="Arial"/>
          <w:lang w:val="fr-FR"/>
        </w:rPr>
        <w:t>es deux incidents</w:t>
      </w:r>
      <w:r w:rsidR="00766DCF">
        <w:rPr>
          <w:rFonts w:eastAsia="Arial"/>
          <w:lang w:val="fr-FR"/>
        </w:rPr>
        <w:t xml:space="preserve"> (300 $)</w:t>
      </w:r>
      <w:r w:rsidR="00A85DE7">
        <w:rPr>
          <w:rFonts w:eastAsia="Arial"/>
          <w:lang w:val="fr-FR"/>
        </w:rPr>
        <w:t>.</w:t>
      </w:r>
    </w:p>
    <w:p w14:paraId="24DB199E" w14:textId="77777777" w:rsidR="00910997" w:rsidRDefault="00B37051" w:rsidP="00910997">
      <w:pPr>
        <w:pStyle w:val="Paragrsimple"/>
        <w:rPr>
          <w:rFonts w:eastAsia="Arial"/>
          <w:lang w:val="fr-FR"/>
        </w:rPr>
      </w:pPr>
      <w:r>
        <w:rPr>
          <w:rFonts w:eastAsia="Arial"/>
          <w:lang w:val="fr-FR"/>
        </w:rPr>
        <w:t xml:space="preserve">Dit autrement, la Transaction </w:t>
      </w:r>
      <w:r w:rsidR="00B3402C">
        <w:rPr>
          <w:rFonts w:eastAsia="Arial"/>
          <w:lang w:val="fr-FR"/>
        </w:rPr>
        <w:t>compte sur un nombre ridiculement bas de réclamations</w:t>
      </w:r>
      <w:r w:rsidR="0059603A">
        <w:rPr>
          <w:rFonts w:eastAsia="Arial"/>
          <w:lang w:val="fr-FR"/>
        </w:rPr>
        <w:t xml:space="preserve"> acceptées</w:t>
      </w:r>
      <w:r w:rsidR="00B3402C">
        <w:rPr>
          <w:rFonts w:eastAsia="Arial"/>
          <w:lang w:val="fr-FR"/>
        </w:rPr>
        <w:t xml:space="preserve">. Au surplus, </w:t>
      </w:r>
      <w:r w:rsidR="0059603A">
        <w:rPr>
          <w:rFonts w:eastAsia="Arial"/>
          <w:lang w:val="fr-FR"/>
        </w:rPr>
        <w:t xml:space="preserve">les critères d’acceptation </w:t>
      </w:r>
      <w:r w:rsidR="00B3402C">
        <w:rPr>
          <w:rFonts w:eastAsia="Arial"/>
          <w:lang w:val="fr-FR"/>
        </w:rPr>
        <w:t xml:space="preserve">par l’administrateur </w:t>
      </w:r>
      <w:r w:rsidR="0059603A">
        <w:rPr>
          <w:rFonts w:eastAsia="Arial"/>
          <w:lang w:val="fr-FR"/>
        </w:rPr>
        <w:t xml:space="preserve">ne sont pas </w:t>
      </w:r>
      <w:r w:rsidR="00E063FC">
        <w:rPr>
          <w:rFonts w:eastAsia="Arial"/>
          <w:lang w:val="fr-FR"/>
        </w:rPr>
        <w:t xml:space="preserve">clairement définis. Il est question de </w:t>
      </w:r>
      <w:r w:rsidR="00B7534E" w:rsidRPr="007A360E">
        <w:rPr>
          <w:rFonts w:eastAsia="Arial"/>
          <w:lang w:val="fr-FR"/>
        </w:rPr>
        <w:t>«</w:t>
      </w:r>
      <w:r w:rsidR="007A360E">
        <w:rPr>
          <w:rFonts w:eastAsia="Arial"/>
          <w:i/>
          <w:iCs/>
          <w:lang w:val="fr-FR"/>
        </w:rPr>
        <w:t> </w:t>
      </w:r>
      <w:proofErr w:type="spellStart"/>
      <w:r w:rsidR="00B7534E" w:rsidRPr="00B7534E">
        <w:rPr>
          <w:rFonts w:eastAsia="Arial"/>
          <w:i/>
          <w:iCs/>
          <w:lang w:val="fr-FR"/>
        </w:rPr>
        <w:t>submit</w:t>
      </w:r>
      <w:proofErr w:type="spellEnd"/>
      <w:r w:rsidR="00B7534E" w:rsidRPr="00B7534E">
        <w:rPr>
          <w:rFonts w:eastAsia="Arial"/>
          <w:i/>
          <w:iCs/>
          <w:lang w:val="fr-FR"/>
        </w:rPr>
        <w:t xml:space="preserve"> a </w:t>
      </w:r>
      <w:proofErr w:type="spellStart"/>
      <w:r w:rsidR="00B7534E" w:rsidRPr="00B7534E">
        <w:rPr>
          <w:rFonts w:eastAsia="Arial"/>
          <w:i/>
          <w:iCs/>
          <w:lang w:val="fr-FR"/>
        </w:rPr>
        <w:t>timely</w:t>
      </w:r>
      <w:proofErr w:type="spellEnd"/>
      <w:r w:rsidR="00B7534E" w:rsidRPr="00B7534E">
        <w:rPr>
          <w:rFonts w:eastAsia="Arial"/>
          <w:i/>
          <w:iCs/>
          <w:lang w:val="fr-FR"/>
        </w:rPr>
        <w:t xml:space="preserve"> and </w:t>
      </w:r>
      <w:proofErr w:type="spellStart"/>
      <w:r w:rsidR="00B7534E" w:rsidRPr="00B7534E">
        <w:rPr>
          <w:rFonts w:eastAsia="Arial"/>
          <w:i/>
          <w:iCs/>
          <w:lang w:val="fr-FR"/>
        </w:rPr>
        <w:t>valid</w:t>
      </w:r>
      <w:proofErr w:type="spellEnd"/>
      <w:r w:rsidR="00B7534E" w:rsidRPr="00B7534E">
        <w:rPr>
          <w:rFonts w:eastAsia="Arial"/>
          <w:i/>
          <w:iCs/>
          <w:lang w:val="fr-FR"/>
        </w:rPr>
        <w:t xml:space="preserve"> Claim</w:t>
      </w:r>
      <w:r w:rsidR="007A360E">
        <w:rPr>
          <w:rFonts w:eastAsia="Arial"/>
          <w:i/>
          <w:iCs/>
          <w:lang w:val="fr-FR"/>
        </w:rPr>
        <w:t> </w:t>
      </w:r>
      <w:r w:rsidR="00B7534E">
        <w:rPr>
          <w:rFonts w:eastAsia="Arial"/>
          <w:lang w:val="fr-FR"/>
        </w:rPr>
        <w:t>»</w:t>
      </w:r>
      <w:r>
        <w:rPr>
          <w:rStyle w:val="Appelnotedebasdep"/>
          <w:rFonts w:eastAsia="Arial"/>
          <w:lang w:val="fr-FR"/>
        </w:rPr>
        <w:footnoteReference w:id="29"/>
      </w:r>
      <w:r w:rsidR="000E72F2">
        <w:rPr>
          <w:rFonts w:eastAsia="Arial"/>
          <w:lang w:val="fr-FR"/>
        </w:rPr>
        <w:t>,</w:t>
      </w:r>
      <w:r w:rsidR="00F62329">
        <w:rPr>
          <w:rFonts w:eastAsia="Arial"/>
          <w:lang w:val="fr-FR"/>
        </w:rPr>
        <w:t xml:space="preserve"> mais rien n’indique ce qu’est un «</w:t>
      </w:r>
      <w:r w:rsidR="007A360E">
        <w:rPr>
          <w:rFonts w:eastAsia="Arial"/>
          <w:lang w:val="fr-FR"/>
        </w:rPr>
        <w:t> </w:t>
      </w:r>
      <w:proofErr w:type="spellStart"/>
      <w:r w:rsidR="00F62329" w:rsidRPr="00DB349D">
        <w:rPr>
          <w:rFonts w:eastAsia="Arial"/>
          <w:i/>
          <w:iCs/>
          <w:lang w:val="fr-FR"/>
        </w:rPr>
        <w:t>valid</w:t>
      </w:r>
      <w:proofErr w:type="spellEnd"/>
      <w:r w:rsidR="007A360E">
        <w:rPr>
          <w:rFonts w:eastAsia="Arial"/>
          <w:i/>
          <w:iCs/>
          <w:lang w:val="fr-FR"/>
        </w:rPr>
        <w:t> </w:t>
      </w:r>
      <w:r w:rsidR="00F62329">
        <w:rPr>
          <w:rFonts w:eastAsia="Arial"/>
          <w:lang w:val="fr-FR"/>
        </w:rPr>
        <w:t>» Claim.</w:t>
      </w:r>
      <w:r>
        <w:rPr>
          <w:rFonts w:eastAsia="Arial"/>
          <w:lang w:val="fr-FR"/>
        </w:rPr>
        <w:t xml:space="preserve"> Le concept de « </w:t>
      </w:r>
      <w:proofErr w:type="spellStart"/>
      <w:r w:rsidRPr="00DB349D">
        <w:rPr>
          <w:rFonts w:eastAsia="Arial"/>
          <w:i/>
          <w:iCs/>
          <w:lang w:val="fr-FR"/>
        </w:rPr>
        <w:t>valid</w:t>
      </w:r>
      <w:proofErr w:type="spellEnd"/>
      <w:r w:rsidRPr="00DB349D">
        <w:rPr>
          <w:rFonts w:eastAsia="Arial"/>
          <w:i/>
          <w:iCs/>
          <w:lang w:val="fr-FR"/>
        </w:rPr>
        <w:t xml:space="preserve"> Claim</w:t>
      </w:r>
      <w:r>
        <w:rPr>
          <w:rFonts w:eastAsia="Arial"/>
          <w:i/>
          <w:iCs/>
          <w:lang w:val="fr-FR"/>
        </w:rPr>
        <w:t> </w:t>
      </w:r>
      <w:r>
        <w:rPr>
          <w:rFonts w:eastAsia="Arial"/>
          <w:lang w:val="fr-FR"/>
        </w:rPr>
        <w:t>» est plus approprié pour les réclamations documentées bien que, encore là, les détails ne sont pas nombreux quant aux critères d’acceptation d’une réclamation.</w:t>
      </w:r>
    </w:p>
    <w:p w14:paraId="047279C6" w14:textId="77777777" w:rsidR="00AD55F6" w:rsidRDefault="00B37051" w:rsidP="00B36F57">
      <w:pPr>
        <w:pStyle w:val="Paragrsimple"/>
        <w:rPr>
          <w:rFonts w:eastAsia="Arial"/>
          <w:lang w:val="fr-FR"/>
        </w:rPr>
      </w:pPr>
      <w:r>
        <w:rPr>
          <w:rFonts w:eastAsia="Arial"/>
          <w:lang w:val="fr-FR"/>
        </w:rPr>
        <w:t xml:space="preserve">Outre l’affaire </w:t>
      </w:r>
      <w:r w:rsidRPr="00766DCF">
        <w:rPr>
          <w:rFonts w:eastAsia="Arial"/>
          <w:i/>
          <w:iCs/>
          <w:lang w:val="fr-FR"/>
        </w:rPr>
        <w:t>Desjardins</w:t>
      </w:r>
      <w:r>
        <w:rPr>
          <w:rFonts w:eastAsia="Arial"/>
          <w:lang w:val="fr-FR"/>
        </w:rPr>
        <w:t xml:space="preserve"> citée plus haut et qui constitu</w:t>
      </w:r>
      <w:r w:rsidR="00766DCF">
        <w:rPr>
          <w:rFonts w:eastAsia="Arial"/>
          <w:lang w:val="fr-FR"/>
        </w:rPr>
        <w:t>ait</w:t>
      </w:r>
      <w:r>
        <w:rPr>
          <w:rFonts w:eastAsia="Arial"/>
          <w:lang w:val="fr-FR"/>
        </w:rPr>
        <w:t xml:space="preserve"> un fonds d</w:t>
      </w:r>
      <w:r w:rsidR="00766DCF">
        <w:rPr>
          <w:rFonts w:eastAsia="Arial"/>
          <w:lang w:val="fr-FR"/>
        </w:rPr>
        <w:t>’indemnisation possible d</w:t>
      </w:r>
      <w:r>
        <w:rPr>
          <w:rFonts w:eastAsia="Arial"/>
          <w:lang w:val="fr-FR"/>
        </w:rPr>
        <w:t>e 200</w:t>
      </w:r>
      <w:r w:rsidR="004D08BF">
        <w:rPr>
          <w:rFonts w:eastAsia="Arial"/>
          <w:lang w:val="fr-FR"/>
        </w:rPr>
        <w:t> millions </w:t>
      </w:r>
      <w:r>
        <w:rPr>
          <w:rFonts w:eastAsia="Arial"/>
          <w:lang w:val="fr-FR"/>
        </w:rPr>
        <w:t>$</w:t>
      </w:r>
      <w:r w:rsidR="004D0C60">
        <w:rPr>
          <w:rFonts w:eastAsia="Arial"/>
          <w:lang w:val="fr-FR"/>
        </w:rPr>
        <w:t xml:space="preserve"> </w:t>
      </w:r>
      <w:r w:rsidR="007F3310">
        <w:rPr>
          <w:rFonts w:eastAsia="Arial"/>
          <w:lang w:val="fr-FR"/>
        </w:rPr>
        <w:t>pour indemniser les 4,2 millions de particuliers affectés</w:t>
      </w:r>
      <w:r w:rsidR="00766DCF">
        <w:rPr>
          <w:rFonts w:eastAsia="Arial"/>
          <w:lang w:val="fr-FR"/>
        </w:rPr>
        <w:t xml:space="preserve"> (</w:t>
      </w:r>
      <w:r w:rsidR="00701397">
        <w:rPr>
          <w:rFonts w:eastAsia="Arial"/>
          <w:lang w:val="fr-FR"/>
        </w:rPr>
        <w:t>de même que</w:t>
      </w:r>
      <w:r w:rsidR="00766DCF">
        <w:rPr>
          <w:rFonts w:eastAsia="Arial"/>
          <w:lang w:val="fr-FR"/>
        </w:rPr>
        <w:t xml:space="preserve"> des entreprises)</w:t>
      </w:r>
      <w:r w:rsidR="007F3310">
        <w:rPr>
          <w:rFonts w:eastAsia="Arial"/>
          <w:lang w:val="fr-FR"/>
        </w:rPr>
        <w:t xml:space="preserve">, le Tribunal a repéré </w:t>
      </w:r>
      <w:r w:rsidR="006B46B5">
        <w:rPr>
          <w:rFonts w:eastAsia="Arial"/>
          <w:lang w:val="fr-FR"/>
        </w:rPr>
        <w:t xml:space="preserve">une </w:t>
      </w:r>
      <w:r w:rsidR="007F3310">
        <w:rPr>
          <w:rFonts w:eastAsia="Arial"/>
          <w:lang w:val="fr-FR"/>
        </w:rPr>
        <w:t xml:space="preserve">autre </w:t>
      </w:r>
      <w:r>
        <w:rPr>
          <w:rFonts w:eastAsia="Arial"/>
          <w:lang w:val="fr-FR"/>
        </w:rPr>
        <w:t xml:space="preserve">décision approuvant </w:t>
      </w:r>
      <w:r w:rsidR="006B46B5">
        <w:rPr>
          <w:rFonts w:eastAsia="Arial"/>
          <w:lang w:val="fr-FR"/>
        </w:rPr>
        <w:t>un</w:t>
      </w:r>
      <w:r>
        <w:rPr>
          <w:rFonts w:eastAsia="Arial"/>
          <w:lang w:val="fr-FR"/>
        </w:rPr>
        <w:t xml:space="preserve"> </w:t>
      </w:r>
      <w:r w:rsidR="007F3310">
        <w:rPr>
          <w:rFonts w:eastAsia="Arial"/>
          <w:lang w:val="fr-FR"/>
        </w:rPr>
        <w:t>règlement</w:t>
      </w:r>
      <w:r w:rsidR="002E0FAB">
        <w:rPr>
          <w:rFonts w:eastAsia="Arial"/>
          <w:lang w:val="fr-FR"/>
        </w:rPr>
        <w:t xml:space="preserve"> pour </w:t>
      </w:r>
      <w:r w:rsidR="006B46B5">
        <w:rPr>
          <w:rFonts w:eastAsia="Arial"/>
          <w:lang w:val="fr-FR"/>
        </w:rPr>
        <w:t>une</w:t>
      </w:r>
      <w:r w:rsidR="002E0FAB">
        <w:rPr>
          <w:rFonts w:eastAsia="Arial"/>
          <w:lang w:val="fr-FR"/>
        </w:rPr>
        <w:t xml:space="preserve"> </w:t>
      </w:r>
      <w:r w:rsidR="006B46B5">
        <w:rPr>
          <w:rFonts w:eastAsia="Arial"/>
          <w:lang w:val="fr-FR"/>
        </w:rPr>
        <w:t>fuite</w:t>
      </w:r>
      <w:r w:rsidR="003957F1">
        <w:rPr>
          <w:rFonts w:eastAsia="Arial"/>
          <w:lang w:val="fr-FR"/>
        </w:rPr>
        <w:t xml:space="preserve"> de données</w:t>
      </w:r>
      <w:r w:rsidR="002529C6">
        <w:rPr>
          <w:rFonts w:eastAsia="Arial"/>
          <w:lang w:val="fr-FR"/>
        </w:rPr>
        <w:t>.</w:t>
      </w:r>
      <w:r w:rsidR="00503830">
        <w:rPr>
          <w:rFonts w:eastAsia="Arial"/>
          <w:lang w:val="fr-FR"/>
        </w:rPr>
        <w:t xml:space="preserve"> </w:t>
      </w:r>
      <w:r w:rsidR="002529C6">
        <w:rPr>
          <w:rFonts w:eastAsia="Arial"/>
          <w:lang w:val="fr-FR"/>
        </w:rPr>
        <w:t>Le règlement prévoyait un</w:t>
      </w:r>
      <w:r w:rsidR="00503830">
        <w:rPr>
          <w:rFonts w:eastAsia="Arial"/>
          <w:lang w:val="fr-FR"/>
        </w:rPr>
        <w:t xml:space="preserve"> </w:t>
      </w:r>
      <w:r w:rsidR="006544D7">
        <w:rPr>
          <w:rFonts w:eastAsia="Arial"/>
          <w:lang w:val="fr-FR"/>
        </w:rPr>
        <w:t xml:space="preserve">fonds </w:t>
      </w:r>
      <w:r w:rsidR="00503830">
        <w:rPr>
          <w:rFonts w:eastAsia="Arial"/>
          <w:lang w:val="fr-FR"/>
        </w:rPr>
        <w:t>d</w:t>
      </w:r>
      <w:r w:rsidR="0011371E">
        <w:rPr>
          <w:rFonts w:eastAsia="Arial"/>
          <w:lang w:val="fr-FR"/>
        </w:rPr>
        <w:t>e règlements beaucoup plus substantiels</w:t>
      </w:r>
      <w:r w:rsidR="00766DCF">
        <w:rPr>
          <w:rFonts w:eastAsia="Arial"/>
          <w:lang w:val="fr-FR"/>
        </w:rPr>
        <w:t xml:space="preserve"> que celui proposé ici</w:t>
      </w:r>
      <w:r w:rsidR="001F22A7">
        <w:rPr>
          <w:rFonts w:eastAsia="Arial"/>
          <w:lang w:val="fr-FR"/>
        </w:rPr>
        <w:t>.</w:t>
      </w:r>
    </w:p>
    <w:p w14:paraId="36B65D53" w14:textId="77777777" w:rsidR="005E3737" w:rsidRDefault="00B37051" w:rsidP="00B36F57">
      <w:pPr>
        <w:pStyle w:val="Paragrsimple"/>
        <w:rPr>
          <w:rFonts w:eastAsia="Arial"/>
          <w:lang w:val="fr-FR"/>
        </w:rPr>
      </w:pPr>
      <w:r>
        <w:rPr>
          <w:rFonts w:eastAsia="Arial"/>
          <w:lang w:val="fr-FR"/>
        </w:rPr>
        <w:t>C’est le cas</w:t>
      </w:r>
      <w:r w:rsidR="0011371E">
        <w:rPr>
          <w:rFonts w:eastAsia="Arial"/>
          <w:lang w:val="fr-FR"/>
        </w:rPr>
        <w:t xml:space="preserve"> dans </w:t>
      </w:r>
      <w:r w:rsidR="00F653F5" w:rsidRPr="00AD55F6">
        <w:rPr>
          <w:rFonts w:eastAsia="Arial"/>
          <w:i/>
          <w:lang w:val="fr-FR"/>
        </w:rPr>
        <w:t>Condon</w:t>
      </w:r>
      <w:r w:rsidR="00F653F5">
        <w:rPr>
          <w:rFonts w:eastAsia="Arial"/>
          <w:lang w:val="fr-FR"/>
        </w:rPr>
        <w:t xml:space="preserve"> c</w:t>
      </w:r>
      <w:r w:rsidR="001F22A7">
        <w:rPr>
          <w:rFonts w:eastAsia="Arial"/>
          <w:lang w:val="fr-FR"/>
        </w:rPr>
        <w:t>.</w:t>
      </w:r>
      <w:r w:rsidR="00F653F5">
        <w:rPr>
          <w:rFonts w:eastAsia="Arial"/>
          <w:lang w:val="fr-FR"/>
        </w:rPr>
        <w:t xml:space="preserve"> </w:t>
      </w:r>
      <w:r w:rsidR="001F22A7">
        <w:rPr>
          <w:rFonts w:eastAsia="Arial"/>
          <w:i/>
          <w:lang w:val="fr-FR"/>
        </w:rPr>
        <w:t>Canada</w:t>
      </w:r>
      <w:r>
        <w:rPr>
          <w:rFonts w:eastAsia="Arial"/>
          <w:i/>
          <w:lang w:val="fr-FR"/>
        </w:rPr>
        <w:t>.</w:t>
      </w:r>
      <w:r w:rsidR="00F653F5">
        <w:rPr>
          <w:rFonts w:eastAsia="Arial"/>
          <w:lang w:val="fr-FR"/>
        </w:rPr>
        <w:t xml:space="preserve"> </w:t>
      </w:r>
      <w:r>
        <w:rPr>
          <w:rFonts w:eastAsia="Arial"/>
          <w:lang w:val="fr-FR"/>
        </w:rPr>
        <w:t>L</w:t>
      </w:r>
      <w:r w:rsidR="00F653F5">
        <w:rPr>
          <w:rFonts w:eastAsia="Arial"/>
          <w:lang w:val="fr-FR"/>
        </w:rPr>
        <w:t xml:space="preserve">a Cour fédérale approuve </w:t>
      </w:r>
      <w:r w:rsidR="00BF6D4C">
        <w:rPr>
          <w:rFonts w:eastAsia="Arial"/>
          <w:lang w:val="fr-FR"/>
        </w:rPr>
        <w:t xml:space="preserve">le règlement d’une action collective avec un potentiel de </w:t>
      </w:r>
      <w:r w:rsidR="004E0C15">
        <w:rPr>
          <w:rFonts w:eastAsia="Arial"/>
          <w:lang w:val="fr-FR"/>
        </w:rPr>
        <w:t>583 000 membres, pour un montant de 17,5</w:t>
      </w:r>
      <w:r w:rsidR="001648D2">
        <w:rPr>
          <w:rFonts w:eastAsia="Arial"/>
          <w:lang w:val="fr-FR"/>
        </w:rPr>
        <w:t> </w:t>
      </w:r>
      <w:r w:rsidR="004E0C15">
        <w:rPr>
          <w:rFonts w:eastAsia="Arial"/>
          <w:lang w:val="fr-FR"/>
        </w:rPr>
        <w:t>millions</w:t>
      </w:r>
      <w:r w:rsidR="001648D2">
        <w:rPr>
          <w:rFonts w:eastAsia="Arial"/>
          <w:lang w:val="fr-FR"/>
        </w:rPr>
        <w:t> </w:t>
      </w:r>
      <w:r w:rsidR="004E0C15">
        <w:rPr>
          <w:rFonts w:eastAsia="Arial"/>
          <w:lang w:val="fr-FR"/>
        </w:rPr>
        <w:t>$</w:t>
      </w:r>
      <w:r w:rsidR="00E85E2E">
        <w:rPr>
          <w:rFonts w:eastAsia="Arial"/>
          <w:lang w:val="fr-FR"/>
        </w:rPr>
        <w:t xml:space="preserve"> </w:t>
      </w:r>
      <w:r w:rsidR="00B63979">
        <w:rPr>
          <w:rFonts w:eastAsia="Arial"/>
          <w:lang w:val="fr-FR"/>
        </w:rPr>
        <w:t>qui servira à</w:t>
      </w:r>
      <w:r w:rsidR="00E85E2E">
        <w:rPr>
          <w:rFonts w:eastAsia="Arial"/>
          <w:lang w:val="fr-FR"/>
        </w:rPr>
        <w:t xml:space="preserve"> indemniser les membres des pertes de temps</w:t>
      </w:r>
      <w:r w:rsidR="00EC16AB">
        <w:rPr>
          <w:rFonts w:eastAsia="Arial"/>
          <w:lang w:val="fr-FR"/>
        </w:rPr>
        <w:t xml:space="preserve"> et autres inconvénients</w:t>
      </w:r>
      <w:r w:rsidR="001F1ACE">
        <w:rPr>
          <w:rFonts w:eastAsia="Arial"/>
          <w:lang w:val="fr-FR"/>
        </w:rPr>
        <w:t>,</w:t>
      </w:r>
      <w:r w:rsidR="00DA36B2">
        <w:rPr>
          <w:rFonts w:eastAsia="Arial"/>
          <w:lang w:val="fr-FR"/>
        </w:rPr>
        <w:t xml:space="preserve"> et</w:t>
      </w:r>
      <w:r w:rsidR="009243F1">
        <w:rPr>
          <w:rFonts w:eastAsia="Arial"/>
          <w:lang w:val="fr-FR"/>
        </w:rPr>
        <w:t xml:space="preserve"> un fonds d’indemnisation des pertes réelles qui n’est pas plafonné et </w:t>
      </w:r>
      <w:r w:rsidR="00C22EAC">
        <w:rPr>
          <w:rFonts w:eastAsia="Arial"/>
          <w:lang w:val="fr-FR"/>
        </w:rPr>
        <w:t xml:space="preserve">qui </w:t>
      </w:r>
      <w:r w:rsidR="009243F1">
        <w:rPr>
          <w:rFonts w:eastAsia="Arial"/>
          <w:lang w:val="fr-FR"/>
        </w:rPr>
        <w:t>est illimité</w:t>
      </w:r>
      <w:r>
        <w:rPr>
          <w:rStyle w:val="Appelnotedebasdep"/>
          <w:rFonts w:eastAsia="Arial"/>
          <w:lang w:val="fr-FR"/>
        </w:rPr>
        <w:footnoteReference w:id="30"/>
      </w:r>
      <w:r w:rsidR="004E0C15">
        <w:rPr>
          <w:rFonts w:eastAsia="Arial"/>
          <w:lang w:val="fr-FR"/>
        </w:rPr>
        <w:t>.</w:t>
      </w:r>
    </w:p>
    <w:p w14:paraId="0D26FC11" w14:textId="77777777" w:rsidR="00F86977" w:rsidRDefault="00B37051" w:rsidP="00F86977">
      <w:pPr>
        <w:pStyle w:val="Paragrsimple"/>
        <w:rPr>
          <w:rFonts w:eastAsia="Arial"/>
          <w:lang w:val="fr-FR"/>
        </w:rPr>
      </w:pPr>
      <w:r>
        <w:rPr>
          <w:rFonts w:eastAsia="Arial"/>
          <w:lang w:val="fr-FR"/>
        </w:rPr>
        <w:t xml:space="preserve">Les exemples cités démontrent que </w:t>
      </w:r>
      <w:r w:rsidR="001648D2">
        <w:rPr>
          <w:rFonts w:eastAsia="Arial"/>
          <w:lang w:val="fr-FR"/>
        </w:rPr>
        <w:t>l</w:t>
      </w:r>
      <w:r w:rsidR="00C95722">
        <w:rPr>
          <w:rFonts w:eastAsia="Arial"/>
          <w:lang w:val="fr-FR"/>
        </w:rPr>
        <w:t>es caractéristiques de la Transaction</w:t>
      </w:r>
      <w:r>
        <w:rPr>
          <w:rFonts w:eastAsia="Arial"/>
          <w:lang w:val="fr-FR"/>
        </w:rPr>
        <w:t xml:space="preserve"> ne favorisent pas </w:t>
      </w:r>
      <w:r w:rsidR="00C95722">
        <w:rPr>
          <w:rFonts w:eastAsia="Arial"/>
          <w:lang w:val="fr-FR"/>
        </w:rPr>
        <w:t xml:space="preserve">son </w:t>
      </w:r>
      <w:r>
        <w:rPr>
          <w:rFonts w:eastAsia="Arial"/>
          <w:lang w:val="fr-FR"/>
        </w:rPr>
        <w:t>approbation.</w:t>
      </w:r>
    </w:p>
    <w:p w14:paraId="2BA0D385" w14:textId="77777777" w:rsidR="00E82C52" w:rsidRDefault="00B37051" w:rsidP="00C00A03">
      <w:pPr>
        <w:pStyle w:val="Titre3"/>
        <w:rPr>
          <w:rFonts w:eastAsia="Arial"/>
          <w:lang w:val="fr-FR"/>
        </w:rPr>
      </w:pPr>
      <w:r>
        <w:rPr>
          <w:rFonts w:eastAsia="Arial"/>
          <w:lang w:val="fr-FR"/>
        </w:rPr>
        <w:lastRenderedPageBreak/>
        <w:t xml:space="preserve">Paiement </w:t>
      </w:r>
      <w:proofErr w:type="spellStart"/>
      <w:r>
        <w:rPr>
          <w:rFonts w:eastAsia="Arial"/>
          <w:lang w:val="fr-FR"/>
        </w:rPr>
        <w:t>Cy-près</w:t>
      </w:r>
      <w:proofErr w:type="spellEnd"/>
      <w:r>
        <w:rPr>
          <w:rFonts w:eastAsia="Arial"/>
          <w:lang w:val="fr-FR"/>
        </w:rPr>
        <w:t xml:space="preserve"> ou du r</w:t>
      </w:r>
      <w:r w:rsidR="003C541C">
        <w:rPr>
          <w:rFonts w:eastAsia="Arial"/>
          <w:lang w:val="fr-FR"/>
        </w:rPr>
        <w:t>eliquat</w:t>
      </w:r>
    </w:p>
    <w:p w14:paraId="53DF69C2" w14:textId="77777777" w:rsidR="00E82C52" w:rsidRPr="00A966A4" w:rsidRDefault="00B37051" w:rsidP="00A966A4">
      <w:pPr>
        <w:pStyle w:val="Paragrsimple"/>
        <w:rPr>
          <w:rFonts w:eastAsia="Arial"/>
        </w:rPr>
      </w:pPr>
      <w:r w:rsidRPr="00A966A4">
        <w:rPr>
          <w:rFonts w:eastAsia="Arial"/>
        </w:rPr>
        <w:t xml:space="preserve">La Transaction prévoit que si </w:t>
      </w:r>
      <w:r w:rsidR="00BD644B" w:rsidRPr="00A966A4">
        <w:rPr>
          <w:rFonts w:eastAsia="Arial"/>
        </w:rPr>
        <w:t>le fonds de règlement n’est pas entièrement utilisé</w:t>
      </w:r>
      <w:r w:rsidR="009005C1" w:rsidRPr="00A966A4">
        <w:rPr>
          <w:rFonts w:eastAsia="Arial"/>
        </w:rPr>
        <w:t xml:space="preserve"> par des indemnités, </w:t>
      </w:r>
      <w:r w:rsidR="00244435">
        <w:rPr>
          <w:rFonts w:eastAsia="Arial"/>
        </w:rPr>
        <w:t xml:space="preserve">une portion du reliquat ira au </w:t>
      </w:r>
      <w:r w:rsidR="00244435" w:rsidRPr="00320AB7">
        <w:rPr>
          <w:rFonts w:eastAsia="Arial"/>
          <w:i/>
          <w:iCs/>
        </w:rPr>
        <w:t xml:space="preserve">Fonds </w:t>
      </w:r>
      <w:r w:rsidR="00320AB7" w:rsidRPr="00320AB7">
        <w:rPr>
          <w:rFonts w:eastAsia="Arial"/>
          <w:i/>
          <w:iCs/>
        </w:rPr>
        <w:t>d’aide aux actions collectives</w:t>
      </w:r>
      <w:r w:rsidR="00320AB7">
        <w:rPr>
          <w:rFonts w:eastAsia="Arial"/>
        </w:rPr>
        <w:t xml:space="preserve"> </w:t>
      </w:r>
      <w:r w:rsidR="00954406">
        <w:rPr>
          <w:rFonts w:eastAsia="Arial"/>
        </w:rPr>
        <w:t>en fonction d</w:t>
      </w:r>
      <w:r w:rsidR="00612D34">
        <w:rPr>
          <w:rFonts w:eastAsia="Arial"/>
        </w:rPr>
        <w:t xml:space="preserve">u règlement applicable et de la proportion des membres résidant </w:t>
      </w:r>
      <w:r w:rsidR="00657593">
        <w:rPr>
          <w:rFonts w:eastAsia="Arial"/>
        </w:rPr>
        <w:t>au Québec (estimée à 8.4%)</w:t>
      </w:r>
      <w:r>
        <w:rPr>
          <w:rStyle w:val="Appelnotedebasdep"/>
          <w:rFonts w:eastAsia="Arial"/>
        </w:rPr>
        <w:footnoteReference w:id="31"/>
      </w:r>
      <w:r w:rsidR="00657593">
        <w:rPr>
          <w:rFonts w:eastAsia="Arial"/>
        </w:rPr>
        <w:t xml:space="preserve">. </w:t>
      </w:r>
      <w:proofErr w:type="spellStart"/>
      <w:r w:rsidR="00AE09C0">
        <w:rPr>
          <w:rFonts w:eastAsia="Arial"/>
        </w:rPr>
        <w:t>L</w:t>
      </w:r>
      <w:r w:rsidR="009005C1" w:rsidRPr="00A966A4">
        <w:rPr>
          <w:rFonts w:eastAsia="Arial"/>
        </w:rPr>
        <w:t>l</w:t>
      </w:r>
      <w:r w:rsidRPr="00A966A4">
        <w:rPr>
          <w:rFonts w:eastAsia="Arial"/>
        </w:rPr>
        <w:t>es</w:t>
      </w:r>
      <w:proofErr w:type="spellEnd"/>
      <w:r w:rsidRPr="00A966A4">
        <w:rPr>
          <w:rFonts w:eastAsia="Arial"/>
        </w:rPr>
        <w:t xml:space="preserve"> sommes </w:t>
      </w:r>
      <w:r w:rsidR="00BD644B" w:rsidRPr="00A966A4">
        <w:rPr>
          <w:rFonts w:eastAsia="Arial"/>
        </w:rPr>
        <w:t xml:space="preserve">résiduelles </w:t>
      </w:r>
      <w:r w:rsidR="009005C1" w:rsidRPr="00A966A4">
        <w:rPr>
          <w:rFonts w:eastAsia="Arial"/>
        </w:rPr>
        <w:t xml:space="preserve">pourront être remises à </w:t>
      </w:r>
      <w:r w:rsidR="00A966A4" w:rsidRPr="00A966A4">
        <w:t xml:space="preserve">Chai </w:t>
      </w:r>
      <w:proofErr w:type="spellStart"/>
      <w:r w:rsidR="00A966A4" w:rsidRPr="00A966A4">
        <w:t>Lifeline</w:t>
      </w:r>
      <w:proofErr w:type="spellEnd"/>
      <w:r w:rsidR="00A966A4" w:rsidRPr="00A966A4">
        <w:t xml:space="preserve"> Canada, the </w:t>
      </w:r>
      <w:proofErr w:type="spellStart"/>
      <w:r w:rsidR="00A966A4" w:rsidRPr="00A966A4">
        <w:t>Jewish</w:t>
      </w:r>
      <w:proofErr w:type="spellEnd"/>
      <w:r w:rsidR="00A966A4" w:rsidRPr="00A966A4">
        <w:t xml:space="preserve"> General Hospital, </w:t>
      </w:r>
      <w:r w:rsidR="00A966A4">
        <w:t>et</w:t>
      </w:r>
      <w:r w:rsidR="00A966A4" w:rsidRPr="00A966A4">
        <w:t xml:space="preserve"> L’Institut du Cancer de Montréal</w:t>
      </w:r>
      <w:r w:rsidR="00A966A4">
        <w:t>.</w:t>
      </w:r>
    </w:p>
    <w:p w14:paraId="3CE92C84" w14:textId="77777777" w:rsidR="00A966A4" w:rsidRPr="00A966A4" w:rsidRDefault="00B37051" w:rsidP="00A966A4">
      <w:pPr>
        <w:pStyle w:val="Paragrsimple"/>
        <w:rPr>
          <w:rFonts w:eastAsia="Arial"/>
        </w:rPr>
      </w:pPr>
      <w:r>
        <w:t>Il d’usage que tout tel paiement à des organismes tiers ait un lien avec la nature de</w:t>
      </w:r>
      <w:r w:rsidR="00C35E9F">
        <w:t xml:space="preserve"> la faute commise</w:t>
      </w:r>
      <w:r w:rsidR="00AE09C0">
        <w:t>, les fondements de l’action collective concernée</w:t>
      </w:r>
      <w:r w:rsidR="003C541C">
        <w:t xml:space="preserve"> ou </w:t>
      </w:r>
      <w:r w:rsidR="00AE09C0">
        <w:t xml:space="preserve">d’une </w:t>
      </w:r>
      <w:r w:rsidR="003C541C">
        <w:t>activité que l’on souhaite protéger</w:t>
      </w:r>
      <w:r w:rsidR="00C35E9F">
        <w:t xml:space="preserve">. Ce n’est pas le cas ici. </w:t>
      </w:r>
      <w:r w:rsidR="00633148">
        <w:t xml:space="preserve">Le choix de </w:t>
      </w:r>
      <w:r w:rsidR="00633148" w:rsidRPr="00A966A4">
        <w:t xml:space="preserve">Chai </w:t>
      </w:r>
      <w:proofErr w:type="spellStart"/>
      <w:r w:rsidR="00633148" w:rsidRPr="00A966A4">
        <w:t>Lifeline</w:t>
      </w:r>
      <w:proofErr w:type="spellEnd"/>
      <w:r w:rsidR="00633148" w:rsidRPr="00A966A4">
        <w:t xml:space="preserve"> Canada</w:t>
      </w:r>
      <w:r w:rsidR="00633148">
        <w:t xml:space="preserve"> a été expliqué par l’avocat du groupe comme étant une cause qui lui tient particulièrement à cœur. Il n’y a aucune raison</w:t>
      </w:r>
      <w:r w:rsidR="00BB0F81">
        <w:t xml:space="preserve"> pour que l’argent des membres serve à satisfaire les préférences personnelles de l’avocat du groupe.</w:t>
      </w:r>
    </w:p>
    <w:p w14:paraId="585D9327" w14:textId="77777777" w:rsidR="00C00A03" w:rsidRPr="00256062" w:rsidRDefault="00B37051" w:rsidP="00C00A03">
      <w:pPr>
        <w:pStyle w:val="Titre3"/>
        <w:rPr>
          <w:rFonts w:eastAsia="Arial"/>
          <w:lang w:val="fr-FR"/>
        </w:rPr>
      </w:pPr>
      <w:r w:rsidRPr="00256062">
        <w:rPr>
          <w:rFonts w:eastAsia="Arial"/>
          <w:lang w:val="fr-FR"/>
        </w:rPr>
        <w:t>La portée de la quittance</w:t>
      </w:r>
    </w:p>
    <w:p w14:paraId="18E318C9" w14:textId="77777777" w:rsidR="00C00A03" w:rsidRDefault="00B37051" w:rsidP="00C00A03">
      <w:pPr>
        <w:pStyle w:val="Paragrsimple"/>
        <w:rPr>
          <w:rFonts w:ascii="ArialMT" w:hAnsi="ArialMT" w:cs="ArialMT"/>
          <w:szCs w:val="24"/>
          <w:lang w:eastAsia="fr-CA"/>
        </w:rPr>
      </w:pPr>
      <w:r>
        <w:rPr>
          <w:rFonts w:eastAsia="Arial"/>
          <w:lang w:val="fr-FR"/>
        </w:rPr>
        <w:t>L</w:t>
      </w:r>
      <w:r w:rsidRPr="007F307E">
        <w:rPr>
          <w:rFonts w:eastAsia="Arial"/>
          <w:lang w:val="fr-FR"/>
        </w:rPr>
        <w:t xml:space="preserve">es </w:t>
      </w:r>
      <w:r>
        <w:rPr>
          <w:rFonts w:eastAsia="Arial"/>
          <w:lang w:val="fr-FR"/>
        </w:rPr>
        <w:t>m</w:t>
      </w:r>
      <w:r w:rsidRPr="007F307E">
        <w:rPr>
          <w:rFonts w:eastAsia="Arial"/>
          <w:lang w:val="fr-FR"/>
        </w:rPr>
        <w:t>embres</w:t>
      </w:r>
      <w:r>
        <w:rPr>
          <w:rFonts w:eastAsia="Arial"/>
          <w:lang w:val="fr-FR"/>
        </w:rPr>
        <w:t xml:space="preserve"> du </w:t>
      </w:r>
      <w:r w:rsidR="00F7456E">
        <w:rPr>
          <w:rFonts w:eastAsia="Arial"/>
          <w:lang w:val="fr-FR"/>
        </w:rPr>
        <w:t>groupe</w:t>
      </w:r>
      <w:r>
        <w:rPr>
          <w:rFonts w:eastAsia="Arial"/>
          <w:lang w:val="fr-FR"/>
        </w:rPr>
        <w:t xml:space="preserve">, qu’ils aient ou non reçu </w:t>
      </w:r>
      <w:r w:rsidR="00371EAF">
        <w:rPr>
          <w:rFonts w:eastAsia="Arial"/>
          <w:lang w:val="fr-FR"/>
        </w:rPr>
        <w:t xml:space="preserve">quelque </w:t>
      </w:r>
      <w:r>
        <w:rPr>
          <w:rFonts w:eastAsia="Arial"/>
          <w:lang w:val="fr-FR"/>
        </w:rPr>
        <w:t>indemnité que ce soit (y compris s’ils n’ont pas été informés de la possibilité de réclamer)</w:t>
      </w:r>
      <w:r w:rsidRPr="007F307E">
        <w:rPr>
          <w:rFonts w:eastAsia="Arial"/>
          <w:lang w:val="fr-FR"/>
        </w:rPr>
        <w:t xml:space="preserve"> </w:t>
      </w:r>
      <w:r w:rsidRPr="008D6AA9">
        <w:rPr>
          <w:rFonts w:ascii="ArialMT" w:hAnsi="ArialMT" w:cs="ArialMT"/>
          <w:szCs w:val="24"/>
          <w:lang w:eastAsia="fr-CA"/>
        </w:rPr>
        <w:t>lib</w:t>
      </w:r>
      <w:r>
        <w:rPr>
          <w:rFonts w:ascii="ArialMT" w:hAnsi="ArialMT" w:cs="ArialMT"/>
          <w:szCs w:val="24"/>
          <w:lang w:eastAsia="fr-CA"/>
        </w:rPr>
        <w:t>ère</w:t>
      </w:r>
      <w:r w:rsidR="001875E6">
        <w:rPr>
          <w:rFonts w:ascii="ArialMT" w:hAnsi="ArialMT" w:cs="ArialMT"/>
          <w:szCs w:val="24"/>
          <w:lang w:eastAsia="fr-CA"/>
        </w:rPr>
        <w:t>nt</w:t>
      </w:r>
      <w:r w:rsidRPr="008D6AA9">
        <w:rPr>
          <w:rFonts w:ascii="ArialMT" w:hAnsi="ArialMT" w:cs="ArialMT"/>
          <w:szCs w:val="24"/>
          <w:lang w:eastAsia="fr-CA"/>
        </w:rPr>
        <w:t xml:space="preserve"> et décharg</w:t>
      </w:r>
      <w:r>
        <w:rPr>
          <w:rFonts w:ascii="ArialMT" w:hAnsi="ArialMT" w:cs="ArialMT"/>
          <w:szCs w:val="24"/>
          <w:lang w:eastAsia="fr-CA"/>
        </w:rPr>
        <w:t>e</w:t>
      </w:r>
      <w:r w:rsidR="001875E6">
        <w:rPr>
          <w:rFonts w:ascii="ArialMT" w:hAnsi="ArialMT" w:cs="ArialMT"/>
          <w:szCs w:val="24"/>
          <w:lang w:eastAsia="fr-CA"/>
        </w:rPr>
        <w:t>nt</w:t>
      </w:r>
      <w:r w:rsidRPr="008D6AA9">
        <w:rPr>
          <w:rFonts w:ascii="ArialMT" w:hAnsi="ArialMT" w:cs="ArialMT"/>
          <w:szCs w:val="24"/>
          <w:lang w:eastAsia="fr-CA"/>
        </w:rPr>
        <w:t xml:space="preserve"> à jamais les </w:t>
      </w:r>
      <w:r w:rsidR="00BD3E87">
        <w:rPr>
          <w:rFonts w:ascii="ArialMT" w:hAnsi="ArialMT" w:cs="ArialMT"/>
          <w:szCs w:val="24"/>
          <w:lang w:eastAsia="fr-CA"/>
        </w:rPr>
        <w:t>« </w:t>
      </w:r>
      <w:r w:rsidRPr="00F322EF">
        <w:rPr>
          <w:rFonts w:ascii="ArialMT" w:hAnsi="ArialMT" w:cs="ArialMT"/>
          <w:b/>
          <w:bCs/>
          <w:szCs w:val="24"/>
          <w:lang w:eastAsia="fr-CA"/>
        </w:rPr>
        <w:t>Parties Libérées</w:t>
      </w:r>
      <w:r>
        <w:rPr>
          <w:rStyle w:val="Appelnotedebasdep"/>
          <w:rFonts w:ascii="ArialMT" w:hAnsi="ArialMT" w:cs="ArialMT"/>
          <w:szCs w:val="24"/>
          <w:lang w:eastAsia="fr-CA"/>
        </w:rPr>
        <w:footnoteReference w:id="32"/>
      </w:r>
      <w:r w:rsidR="00BD3E87">
        <w:rPr>
          <w:rFonts w:ascii="ArialMT" w:hAnsi="ArialMT" w:cs="ArialMT"/>
          <w:szCs w:val="24"/>
          <w:lang w:eastAsia="fr-CA"/>
        </w:rPr>
        <w:t> »</w:t>
      </w:r>
      <w:r w:rsidRPr="008D6AA9">
        <w:rPr>
          <w:rFonts w:ascii="ArialMT" w:hAnsi="ArialMT" w:cs="ArialMT"/>
          <w:szCs w:val="24"/>
          <w:lang w:eastAsia="fr-CA"/>
        </w:rPr>
        <w:t>, de et pour toutes les responsabilités, réclamations, contre</w:t>
      </w:r>
      <w:r w:rsidR="00914BA1">
        <w:rPr>
          <w:rFonts w:ascii="ArialMT" w:hAnsi="ArialMT" w:cs="ArialMT"/>
          <w:szCs w:val="24"/>
          <w:lang w:eastAsia="fr-CA"/>
        </w:rPr>
        <w:noBreakHyphen/>
      </w:r>
      <w:r w:rsidRPr="008D6AA9">
        <w:rPr>
          <w:rFonts w:ascii="ArialMT" w:hAnsi="ArialMT" w:cs="ArialMT"/>
          <w:szCs w:val="24"/>
          <w:lang w:eastAsia="fr-CA"/>
        </w:rPr>
        <w:t>réclamations,</w:t>
      </w:r>
      <w:r>
        <w:rPr>
          <w:rFonts w:ascii="ArialMT" w:hAnsi="ArialMT" w:cs="ArialMT"/>
          <w:szCs w:val="24"/>
          <w:lang w:eastAsia="fr-CA"/>
        </w:rPr>
        <w:t xml:space="preserve"> </w:t>
      </w:r>
      <w:r w:rsidRPr="008D6AA9">
        <w:rPr>
          <w:rFonts w:ascii="ArialMT" w:hAnsi="ArialMT" w:cs="ArialMT"/>
          <w:szCs w:val="24"/>
          <w:lang w:eastAsia="fr-CA"/>
        </w:rPr>
        <w:t>causes d'action, droits, actions, poursuites, dettes,</w:t>
      </w:r>
      <w:r>
        <w:rPr>
          <w:rFonts w:ascii="ArialMT" w:hAnsi="ArialMT" w:cs="ArialMT"/>
          <w:szCs w:val="24"/>
          <w:lang w:eastAsia="fr-CA"/>
        </w:rPr>
        <w:t xml:space="preserve"> </w:t>
      </w:r>
      <w:r w:rsidRPr="008D6AA9">
        <w:rPr>
          <w:rFonts w:ascii="ArialMT" w:hAnsi="ArialMT" w:cs="ArialMT"/>
          <w:szCs w:val="24"/>
          <w:lang w:eastAsia="fr-CA"/>
        </w:rPr>
        <w:t xml:space="preserve">dommages, coûts, frais d'avocat (sauf les frais et débours des </w:t>
      </w:r>
      <w:r w:rsidR="002C7F31">
        <w:rPr>
          <w:rFonts w:ascii="ArialMT" w:hAnsi="ArialMT" w:cs="ArialMT"/>
          <w:szCs w:val="24"/>
          <w:lang w:eastAsia="fr-CA"/>
        </w:rPr>
        <w:t>a</w:t>
      </w:r>
      <w:r w:rsidR="002C7F31" w:rsidRPr="008D6AA9">
        <w:rPr>
          <w:rFonts w:ascii="ArialMT" w:hAnsi="ArialMT" w:cs="ArialMT"/>
          <w:szCs w:val="24"/>
          <w:lang w:eastAsia="fr-CA"/>
        </w:rPr>
        <w:t xml:space="preserve">vocats </w:t>
      </w:r>
      <w:r w:rsidRPr="008D6AA9">
        <w:rPr>
          <w:rFonts w:ascii="ArialMT" w:hAnsi="ArialMT" w:cs="ArialMT"/>
          <w:szCs w:val="24"/>
          <w:lang w:eastAsia="fr-CA"/>
        </w:rPr>
        <w:t>du</w:t>
      </w:r>
      <w:r>
        <w:rPr>
          <w:rFonts w:ascii="ArialMT" w:hAnsi="ArialMT" w:cs="ArialMT"/>
          <w:szCs w:val="24"/>
          <w:lang w:eastAsia="fr-CA"/>
        </w:rPr>
        <w:t xml:space="preserve"> </w:t>
      </w:r>
      <w:r w:rsidR="002C7F31">
        <w:rPr>
          <w:rFonts w:ascii="ArialMT" w:hAnsi="ArialMT" w:cs="ArialMT"/>
          <w:szCs w:val="24"/>
          <w:lang w:eastAsia="fr-CA"/>
        </w:rPr>
        <w:t>g</w:t>
      </w:r>
      <w:r w:rsidR="002C7F31" w:rsidRPr="008D6AA9">
        <w:rPr>
          <w:rFonts w:ascii="ArialMT" w:hAnsi="ArialMT" w:cs="ArialMT"/>
          <w:szCs w:val="24"/>
          <w:lang w:eastAsia="fr-CA"/>
        </w:rPr>
        <w:t xml:space="preserve">roupe </w:t>
      </w:r>
      <w:r w:rsidRPr="008D6AA9">
        <w:rPr>
          <w:rFonts w:ascii="ArialMT" w:hAnsi="ArialMT" w:cs="ArialMT"/>
          <w:szCs w:val="24"/>
          <w:lang w:eastAsia="fr-CA"/>
        </w:rPr>
        <w:t>qui sont prévus séparément), pertes, dépenses, obligations ou</w:t>
      </w:r>
      <w:r>
        <w:rPr>
          <w:rFonts w:ascii="ArialMT" w:hAnsi="ArialMT" w:cs="ArialMT"/>
          <w:szCs w:val="24"/>
          <w:lang w:eastAsia="fr-CA"/>
        </w:rPr>
        <w:t xml:space="preserve"> </w:t>
      </w:r>
      <w:r w:rsidRPr="008D6AA9">
        <w:rPr>
          <w:rFonts w:ascii="ArialMT" w:hAnsi="ArialMT" w:cs="ArialMT"/>
          <w:szCs w:val="24"/>
          <w:lang w:eastAsia="fr-CA"/>
        </w:rPr>
        <w:t xml:space="preserve">demandes, de toute nature que ce soit, </w:t>
      </w:r>
      <w:r w:rsidR="00264853">
        <w:rPr>
          <w:rFonts w:ascii="ArialMT" w:hAnsi="ArialMT" w:cs="ArialMT"/>
          <w:szCs w:val="24"/>
          <w:lang w:eastAsia="fr-CA"/>
        </w:rPr>
        <w:t xml:space="preserve">que ces éventualités soient </w:t>
      </w:r>
      <w:r w:rsidRPr="008D6AA9">
        <w:rPr>
          <w:rFonts w:ascii="ArialMT" w:hAnsi="ArialMT" w:cs="ArialMT"/>
          <w:szCs w:val="24"/>
          <w:lang w:eastAsia="fr-CA"/>
        </w:rPr>
        <w:t>connues ou inconnues, existantes</w:t>
      </w:r>
      <w:r>
        <w:rPr>
          <w:rFonts w:ascii="ArialMT" w:hAnsi="ArialMT" w:cs="ArialMT"/>
          <w:szCs w:val="24"/>
          <w:lang w:eastAsia="fr-CA"/>
        </w:rPr>
        <w:t xml:space="preserve"> </w:t>
      </w:r>
      <w:r w:rsidRPr="008D6AA9">
        <w:rPr>
          <w:rFonts w:ascii="ArialMT" w:hAnsi="ArialMT" w:cs="ArialMT"/>
          <w:szCs w:val="24"/>
          <w:lang w:eastAsia="fr-CA"/>
        </w:rPr>
        <w:t>ou potentielles, suspectées ou non suspectées, qu'elles soient</w:t>
      </w:r>
      <w:r>
        <w:rPr>
          <w:rFonts w:ascii="ArialMT" w:hAnsi="ArialMT" w:cs="ArialMT"/>
          <w:szCs w:val="24"/>
          <w:lang w:eastAsia="fr-CA"/>
        </w:rPr>
        <w:t xml:space="preserve"> </w:t>
      </w:r>
      <w:r w:rsidRPr="008D6AA9">
        <w:rPr>
          <w:rFonts w:ascii="ArialMT" w:hAnsi="ArialMT" w:cs="ArialMT"/>
          <w:szCs w:val="24"/>
          <w:lang w:eastAsia="fr-CA"/>
        </w:rPr>
        <w:t>soulevées par réclamation, contre-réclamation, compensation ou</w:t>
      </w:r>
      <w:r>
        <w:rPr>
          <w:rFonts w:ascii="ArialMT" w:hAnsi="ArialMT" w:cs="ArialMT"/>
          <w:szCs w:val="24"/>
          <w:lang w:eastAsia="fr-CA"/>
        </w:rPr>
        <w:t xml:space="preserve"> </w:t>
      </w:r>
      <w:r w:rsidRPr="008D6AA9">
        <w:rPr>
          <w:rFonts w:ascii="ArialMT" w:hAnsi="ArialMT" w:cs="ArialMT"/>
          <w:szCs w:val="24"/>
          <w:lang w:eastAsia="fr-CA"/>
        </w:rPr>
        <w:t xml:space="preserve">autrement, y compris toutes </w:t>
      </w:r>
      <w:r w:rsidR="00765099">
        <w:rPr>
          <w:rFonts w:ascii="ArialMT" w:hAnsi="ArialMT" w:cs="ArialMT"/>
          <w:szCs w:val="24"/>
          <w:lang w:eastAsia="fr-CA"/>
        </w:rPr>
        <w:t xml:space="preserve">les </w:t>
      </w:r>
      <w:r w:rsidRPr="008D6AA9">
        <w:rPr>
          <w:rFonts w:ascii="ArialMT" w:hAnsi="ArialMT" w:cs="ArialMT"/>
          <w:szCs w:val="24"/>
          <w:lang w:eastAsia="fr-CA"/>
        </w:rPr>
        <w:t>réclamations connues ou inconnues</w:t>
      </w:r>
      <w:r w:rsidR="00320247">
        <w:rPr>
          <w:rFonts w:ascii="ArialMT" w:hAnsi="ArialMT" w:cs="ArialMT"/>
          <w:szCs w:val="24"/>
          <w:lang w:eastAsia="fr-CA"/>
        </w:rPr>
        <w:t xml:space="preserve"> qui </w:t>
      </w:r>
      <w:r w:rsidRPr="008D6AA9">
        <w:rPr>
          <w:rFonts w:ascii="ArialMT" w:hAnsi="ArialMT" w:cs="ArialMT"/>
          <w:szCs w:val="24"/>
          <w:lang w:eastAsia="fr-CA"/>
        </w:rPr>
        <w:t xml:space="preserve">ont </w:t>
      </w:r>
      <w:r w:rsidR="00FF767A">
        <w:rPr>
          <w:rFonts w:ascii="ArialMT" w:hAnsi="ArialMT" w:cs="ArialMT"/>
          <w:szCs w:val="24"/>
          <w:lang w:eastAsia="fr-CA"/>
        </w:rPr>
        <w:t xml:space="preserve">découlé </w:t>
      </w:r>
      <w:r w:rsidRPr="008D6AA9">
        <w:rPr>
          <w:rFonts w:ascii="ArialMT" w:hAnsi="ArialMT" w:cs="ArialMT"/>
          <w:szCs w:val="24"/>
          <w:lang w:eastAsia="fr-CA"/>
        </w:rPr>
        <w:t xml:space="preserve">ou </w:t>
      </w:r>
      <w:r w:rsidR="00FF767A">
        <w:rPr>
          <w:rFonts w:ascii="ArialMT" w:hAnsi="ArialMT" w:cs="ArialMT"/>
          <w:szCs w:val="24"/>
          <w:lang w:eastAsia="fr-CA"/>
        </w:rPr>
        <w:t xml:space="preserve">qui </w:t>
      </w:r>
      <w:r w:rsidRPr="008D6AA9">
        <w:rPr>
          <w:rFonts w:ascii="ArialMT" w:hAnsi="ArialMT" w:cs="ArialMT"/>
          <w:szCs w:val="24"/>
          <w:lang w:eastAsia="fr-CA"/>
        </w:rPr>
        <w:t>peuvent</w:t>
      </w:r>
      <w:r w:rsidR="00FF767A">
        <w:rPr>
          <w:rFonts w:ascii="ArialMT" w:hAnsi="ArialMT" w:cs="ArialMT"/>
          <w:szCs w:val="24"/>
          <w:lang w:eastAsia="fr-CA"/>
        </w:rPr>
        <w:t>,</w:t>
      </w:r>
      <w:r w:rsidR="00967B7A">
        <w:rPr>
          <w:rFonts w:ascii="ArialMT" w:hAnsi="ArialMT" w:cs="ArialMT"/>
          <w:szCs w:val="24"/>
          <w:lang w:eastAsia="fr-CA"/>
        </w:rPr>
        <w:t xml:space="preserve"> </w:t>
      </w:r>
      <w:r w:rsidR="00967B7A" w:rsidRPr="008D6AA9">
        <w:rPr>
          <w:rFonts w:ascii="ArialMT" w:hAnsi="ArialMT" w:cs="ArialMT"/>
          <w:szCs w:val="24"/>
          <w:lang w:eastAsia="fr-CA"/>
        </w:rPr>
        <w:t>maintenant ou à l'avenir</w:t>
      </w:r>
      <w:r w:rsidR="00FF767A">
        <w:rPr>
          <w:rFonts w:ascii="ArialMT" w:hAnsi="ArialMT" w:cs="ArialMT"/>
          <w:szCs w:val="24"/>
          <w:lang w:eastAsia="fr-CA"/>
        </w:rPr>
        <w:t>,</w:t>
      </w:r>
      <w:r w:rsidRPr="008D6AA9">
        <w:rPr>
          <w:rFonts w:ascii="ArialMT" w:hAnsi="ArialMT" w:cs="ArialMT"/>
          <w:szCs w:val="24"/>
          <w:lang w:eastAsia="fr-CA"/>
        </w:rPr>
        <w:t xml:space="preserve"> prétendre avoir </w:t>
      </w:r>
      <w:r w:rsidR="00264853" w:rsidRPr="008D6AA9">
        <w:rPr>
          <w:rFonts w:ascii="ArialMT" w:hAnsi="ArialMT" w:cs="ArialMT"/>
          <w:szCs w:val="24"/>
          <w:lang w:eastAsia="fr-CA"/>
        </w:rPr>
        <w:t>découl</w:t>
      </w:r>
      <w:r w:rsidR="009C3FB5">
        <w:rPr>
          <w:rFonts w:ascii="ArialMT" w:hAnsi="ArialMT" w:cs="ArialMT"/>
          <w:szCs w:val="24"/>
          <w:lang w:eastAsia="fr-CA"/>
        </w:rPr>
        <w:t xml:space="preserve">é </w:t>
      </w:r>
      <w:r w:rsidRPr="008D6AA9">
        <w:rPr>
          <w:rFonts w:ascii="ArialMT" w:hAnsi="ArialMT" w:cs="ArialMT"/>
          <w:szCs w:val="24"/>
          <w:lang w:eastAsia="fr-CA"/>
        </w:rPr>
        <w:t>des</w:t>
      </w:r>
      <w:r>
        <w:rPr>
          <w:rFonts w:ascii="ArialMT" w:hAnsi="ArialMT" w:cs="ArialMT"/>
          <w:szCs w:val="24"/>
          <w:lang w:eastAsia="fr-CA"/>
        </w:rPr>
        <w:t xml:space="preserve"> </w:t>
      </w:r>
      <w:r w:rsidR="009C3FB5">
        <w:rPr>
          <w:rFonts w:ascii="ArialMT" w:hAnsi="ArialMT" w:cs="ArialMT"/>
          <w:szCs w:val="24"/>
          <w:lang w:eastAsia="fr-CA"/>
        </w:rPr>
        <w:t>i</w:t>
      </w:r>
      <w:r w:rsidR="009C3FB5" w:rsidRPr="008D6AA9">
        <w:rPr>
          <w:rFonts w:ascii="ArialMT" w:hAnsi="ArialMT" w:cs="ArialMT"/>
          <w:szCs w:val="24"/>
          <w:lang w:eastAsia="fr-CA"/>
        </w:rPr>
        <w:t xml:space="preserve">ncidents </w:t>
      </w:r>
      <w:r w:rsidRPr="008D6AA9">
        <w:rPr>
          <w:rFonts w:ascii="ArialMT" w:hAnsi="ArialMT" w:cs="ArialMT"/>
          <w:szCs w:val="24"/>
          <w:lang w:eastAsia="fr-CA"/>
        </w:rPr>
        <w:t xml:space="preserve">de </w:t>
      </w:r>
      <w:r w:rsidR="009C3FB5">
        <w:rPr>
          <w:rFonts w:ascii="ArialMT" w:hAnsi="ArialMT" w:cs="ArialMT"/>
          <w:szCs w:val="24"/>
          <w:lang w:eastAsia="fr-CA"/>
        </w:rPr>
        <w:t>d</w:t>
      </w:r>
      <w:r w:rsidR="009C3FB5" w:rsidRPr="008D6AA9">
        <w:rPr>
          <w:rFonts w:ascii="ArialMT" w:hAnsi="ArialMT" w:cs="ArialMT"/>
          <w:szCs w:val="24"/>
          <w:lang w:eastAsia="fr-CA"/>
        </w:rPr>
        <w:t xml:space="preserve">onnées </w:t>
      </w:r>
      <w:r w:rsidRPr="008D6AA9">
        <w:rPr>
          <w:rFonts w:ascii="ArialMT" w:hAnsi="ArialMT" w:cs="ArialMT"/>
          <w:szCs w:val="24"/>
          <w:lang w:eastAsia="fr-CA"/>
        </w:rPr>
        <w:t>et qui ont été alléguées ou affirmées contre l'une des</w:t>
      </w:r>
      <w:r>
        <w:rPr>
          <w:rFonts w:ascii="ArialMT" w:hAnsi="ArialMT" w:cs="ArialMT"/>
          <w:szCs w:val="24"/>
          <w:lang w:eastAsia="fr-CA"/>
        </w:rPr>
        <w:t xml:space="preserve"> </w:t>
      </w:r>
      <w:r w:rsidRPr="008D6AA9">
        <w:rPr>
          <w:rFonts w:ascii="ArialMT" w:hAnsi="ArialMT" w:cs="ArialMT"/>
          <w:szCs w:val="24"/>
          <w:lang w:eastAsia="fr-CA"/>
        </w:rPr>
        <w:t xml:space="preserve">Parties Libérées dans les </w:t>
      </w:r>
      <w:r w:rsidR="009F215C">
        <w:rPr>
          <w:rFonts w:ascii="ArialMT" w:hAnsi="ArialMT" w:cs="ArialMT"/>
          <w:szCs w:val="24"/>
          <w:lang w:eastAsia="fr-CA"/>
        </w:rPr>
        <w:t>a</w:t>
      </w:r>
      <w:r w:rsidR="009F215C" w:rsidRPr="008D6AA9">
        <w:rPr>
          <w:rFonts w:ascii="ArialMT" w:hAnsi="ArialMT" w:cs="ArialMT"/>
          <w:szCs w:val="24"/>
          <w:lang w:eastAsia="fr-CA"/>
        </w:rPr>
        <w:t xml:space="preserve">ctions </w:t>
      </w:r>
      <w:r w:rsidR="009F215C">
        <w:rPr>
          <w:rFonts w:ascii="ArialMT" w:hAnsi="ArialMT" w:cs="ArialMT"/>
          <w:szCs w:val="24"/>
          <w:lang w:eastAsia="fr-CA"/>
        </w:rPr>
        <w:t>c</w:t>
      </w:r>
      <w:r w:rsidR="009F215C" w:rsidRPr="008D6AA9">
        <w:rPr>
          <w:rFonts w:ascii="ArialMT" w:hAnsi="ArialMT" w:cs="ArialMT"/>
          <w:szCs w:val="24"/>
          <w:lang w:eastAsia="fr-CA"/>
        </w:rPr>
        <w:t xml:space="preserve">ollectives </w:t>
      </w:r>
      <w:r w:rsidRPr="008D6AA9">
        <w:rPr>
          <w:rFonts w:ascii="ArialMT" w:hAnsi="ArialMT" w:cs="ArialMT"/>
          <w:szCs w:val="24"/>
          <w:lang w:eastAsia="fr-CA"/>
        </w:rPr>
        <w:t>ou qui auraient pu être</w:t>
      </w:r>
      <w:r>
        <w:rPr>
          <w:rFonts w:ascii="ArialMT" w:hAnsi="ArialMT" w:cs="ArialMT"/>
          <w:szCs w:val="24"/>
          <w:lang w:eastAsia="fr-CA"/>
        </w:rPr>
        <w:t xml:space="preserve"> </w:t>
      </w:r>
      <w:r w:rsidRPr="008D6AA9">
        <w:rPr>
          <w:rFonts w:ascii="ArialMT" w:hAnsi="ArialMT" w:cs="ArialMT"/>
          <w:szCs w:val="24"/>
          <w:lang w:eastAsia="fr-CA"/>
        </w:rPr>
        <w:t>alléguées ou affirmées contre l'une des Parties Libérées</w:t>
      </w:r>
      <w:r w:rsidR="00967B7A">
        <w:rPr>
          <w:rFonts w:ascii="ArialMT" w:hAnsi="ArialMT" w:cs="ArialMT"/>
          <w:szCs w:val="24"/>
          <w:lang w:eastAsia="fr-CA"/>
        </w:rPr>
        <w:t>,</w:t>
      </w:r>
      <w:r w:rsidRPr="008D6AA9">
        <w:rPr>
          <w:rFonts w:ascii="ArialMT" w:hAnsi="ArialMT" w:cs="ArialMT"/>
          <w:szCs w:val="24"/>
          <w:lang w:eastAsia="fr-CA"/>
        </w:rPr>
        <w:t xml:space="preserve"> découlant du</w:t>
      </w:r>
      <w:r>
        <w:rPr>
          <w:rFonts w:ascii="ArialMT" w:hAnsi="ArialMT" w:cs="ArialMT"/>
          <w:szCs w:val="24"/>
          <w:lang w:eastAsia="fr-CA"/>
        </w:rPr>
        <w:t xml:space="preserve"> </w:t>
      </w:r>
      <w:r w:rsidRPr="008D6AA9">
        <w:rPr>
          <w:rFonts w:ascii="ArialMT" w:hAnsi="ArialMT" w:cs="ArialMT"/>
          <w:szCs w:val="24"/>
          <w:lang w:eastAsia="fr-CA"/>
        </w:rPr>
        <w:t>même noyau de faits que l'une des réclamations alléguées ou affirmées</w:t>
      </w:r>
      <w:r>
        <w:rPr>
          <w:rFonts w:ascii="ArialMT" w:hAnsi="ArialMT" w:cs="ArialMT"/>
          <w:szCs w:val="24"/>
          <w:lang w:eastAsia="fr-CA"/>
        </w:rPr>
        <w:t xml:space="preserve"> </w:t>
      </w:r>
      <w:r w:rsidRPr="008D6AA9">
        <w:rPr>
          <w:rFonts w:ascii="ArialMT" w:hAnsi="ArialMT" w:cs="ArialMT"/>
          <w:szCs w:val="24"/>
          <w:lang w:eastAsia="fr-CA"/>
        </w:rPr>
        <w:t xml:space="preserve">dans les </w:t>
      </w:r>
      <w:r w:rsidR="009F215C">
        <w:rPr>
          <w:rFonts w:ascii="ArialMT" w:hAnsi="ArialMT" w:cs="ArialMT"/>
          <w:szCs w:val="24"/>
          <w:lang w:eastAsia="fr-CA"/>
        </w:rPr>
        <w:t>a</w:t>
      </w:r>
      <w:r w:rsidR="009F215C" w:rsidRPr="008D6AA9">
        <w:rPr>
          <w:rFonts w:ascii="ArialMT" w:hAnsi="ArialMT" w:cs="ArialMT"/>
          <w:szCs w:val="24"/>
          <w:lang w:eastAsia="fr-CA"/>
        </w:rPr>
        <w:t xml:space="preserve">ctions </w:t>
      </w:r>
      <w:r w:rsidR="009F215C">
        <w:rPr>
          <w:rFonts w:ascii="ArialMT" w:hAnsi="ArialMT" w:cs="ArialMT"/>
          <w:szCs w:val="24"/>
          <w:lang w:eastAsia="fr-CA"/>
        </w:rPr>
        <w:t>c</w:t>
      </w:r>
      <w:r w:rsidR="009F215C" w:rsidRPr="008D6AA9">
        <w:rPr>
          <w:rFonts w:ascii="ArialMT" w:hAnsi="ArialMT" w:cs="ArialMT"/>
          <w:szCs w:val="24"/>
          <w:lang w:eastAsia="fr-CA"/>
        </w:rPr>
        <w:t xml:space="preserve">ollectives </w:t>
      </w:r>
      <w:r w:rsidRPr="008D6AA9">
        <w:rPr>
          <w:rFonts w:ascii="ArialMT" w:hAnsi="ArialMT" w:cs="ArialMT"/>
          <w:szCs w:val="24"/>
          <w:lang w:eastAsia="fr-CA"/>
        </w:rPr>
        <w:t>(«</w:t>
      </w:r>
      <w:r w:rsidR="009F215C">
        <w:rPr>
          <w:rFonts w:ascii="ArialMT" w:hAnsi="ArialMT" w:cs="ArialMT"/>
          <w:szCs w:val="24"/>
          <w:lang w:eastAsia="fr-CA"/>
        </w:rPr>
        <w:t> </w:t>
      </w:r>
      <w:r w:rsidRPr="008D6AA9">
        <w:rPr>
          <w:rFonts w:ascii="Arial-BoldMT" w:hAnsi="Arial-BoldMT" w:cs="Arial-BoldMT"/>
          <w:b/>
          <w:bCs/>
          <w:szCs w:val="24"/>
          <w:lang w:eastAsia="fr-CA"/>
        </w:rPr>
        <w:t>Réclamations Quittancées</w:t>
      </w:r>
      <w:r w:rsidR="009F215C">
        <w:rPr>
          <w:rFonts w:ascii="Arial-BoldMT" w:hAnsi="Arial-BoldMT" w:cs="Arial-BoldMT"/>
          <w:b/>
          <w:bCs/>
          <w:szCs w:val="24"/>
          <w:lang w:eastAsia="fr-CA"/>
        </w:rPr>
        <w:t> </w:t>
      </w:r>
      <w:r w:rsidRPr="008D6AA9">
        <w:rPr>
          <w:rFonts w:ascii="ArialMT" w:hAnsi="ArialMT" w:cs="ArialMT"/>
          <w:szCs w:val="24"/>
          <w:lang w:eastAsia="fr-CA"/>
        </w:rPr>
        <w:t>»), y compris,</w:t>
      </w:r>
      <w:r>
        <w:rPr>
          <w:rFonts w:ascii="ArialMT" w:hAnsi="ArialMT" w:cs="ArialMT"/>
          <w:szCs w:val="24"/>
          <w:lang w:eastAsia="fr-CA"/>
        </w:rPr>
        <w:t xml:space="preserve"> </w:t>
      </w:r>
      <w:r w:rsidRPr="008D6AA9">
        <w:rPr>
          <w:rFonts w:ascii="ArialMT" w:hAnsi="ArialMT" w:cs="ArialMT"/>
          <w:szCs w:val="24"/>
          <w:lang w:eastAsia="fr-CA"/>
        </w:rPr>
        <w:t>mais sans s'y limiter</w:t>
      </w:r>
      <w:r w:rsidR="009F215C">
        <w:rPr>
          <w:rFonts w:ascii="ArialMT" w:hAnsi="ArialMT" w:cs="ArialMT"/>
          <w:szCs w:val="24"/>
          <w:lang w:eastAsia="fr-CA"/>
        </w:rPr>
        <w:t>,</w:t>
      </w:r>
      <w:r w:rsidRPr="008D6AA9">
        <w:rPr>
          <w:rFonts w:ascii="ArialMT" w:hAnsi="ArialMT" w:cs="ArialMT"/>
          <w:szCs w:val="24"/>
          <w:lang w:eastAsia="fr-CA"/>
        </w:rPr>
        <w:t xml:space="preserve"> les faits, transactions, occurrences, événements,</w:t>
      </w:r>
      <w:r>
        <w:rPr>
          <w:rFonts w:ascii="ArialMT" w:hAnsi="ArialMT" w:cs="ArialMT"/>
          <w:szCs w:val="24"/>
          <w:lang w:eastAsia="fr-CA"/>
        </w:rPr>
        <w:t xml:space="preserve"> </w:t>
      </w:r>
      <w:r w:rsidRPr="008D6AA9">
        <w:rPr>
          <w:rFonts w:ascii="ArialMT" w:hAnsi="ArialMT" w:cs="ArialMT"/>
          <w:szCs w:val="24"/>
          <w:lang w:eastAsia="fr-CA"/>
        </w:rPr>
        <w:t>actes, omissions ou manquements à agir qui ont été allégués dans</w:t>
      </w:r>
      <w:r>
        <w:rPr>
          <w:rFonts w:ascii="ArialMT" w:hAnsi="ArialMT" w:cs="ArialMT"/>
          <w:szCs w:val="24"/>
          <w:lang w:eastAsia="fr-CA"/>
        </w:rPr>
        <w:t xml:space="preserve"> les </w:t>
      </w:r>
      <w:r w:rsidR="009F215C">
        <w:rPr>
          <w:rFonts w:ascii="ArialMT" w:hAnsi="ArialMT" w:cs="ArialMT"/>
          <w:szCs w:val="24"/>
          <w:lang w:eastAsia="fr-CA"/>
        </w:rPr>
        <w:t xml:space="preserve">actions </w:t>
      </w:r>
      <w:r>
        <w:rPr>
          <w:rFonts w:ascii="ArialMT" w:hAnsi="ArialMT" w:cs="ArialMT"/>
          <w:szCs w:val="24"/>
          <w:lang w:eastAsia="fr-CA"/>
        </w:rPr>
        <w:t>collectives ou dans tout</w:t>
      </w:r>
      <w:r w:rsidR="009F215C">
        <w:rPr>
          <w:rFonts w:ascii="ArialMT" w:hAnsi="ArialMT" w:cs="ArialMT"/>
          <w:szCs w:val="24"/>
          <w:lang w:eastAsia="fr-CA"/>
        </w:rPr>
        <w:t>e</w:t>
      </w:r>
      <w:r>
        <w:rPr>
          <w:rFonts w:ascii="ArialMT" w:hAnsi="ArialMT" w:cs="ArialMT"/>
          <w:szCs w:val="24"/>
          <w:lang w:eastAsia="fr-CA"/>
        </w:rPr>
        <w:t xml:space="preserve"> autre procédure et dans les divulgations et/ou avis que MGM a fait</w:t>
      </w:r>
      <w:r w:rsidR="00293B95">
        <w:rPr>
          <w:rFonts w:ascii="ArialMT" w:hAnsi="ArialMT" w:cs="ArialMT"/>
          <w:szCs w:val="24"/>
          <w:lang w:eastAsia="fr-CA"/>
        </w:rPr>
        <w:t>s</w:t>
      </w:r>
      <w:r>
        <w:rPr>
          <w:rFonts w:ascii="ArialMT" w:hAnsi="ArialMT" w:cs="ArialMT"/>
          <w:szCs w:val="24"/>
          <w:lang w:eastAsia="fr-CA"/>
        </w:rPr>
        <w:t xml:space="preserve"> </w:t>
      </w:r>
      <w:r w:rsidRPr="00EB6FD2">
        <w:rPr>
          <w:rFonts w:ascii="ArialMT" w:hAnsi="ArialMT" w:cs="ArialMT"/>
          <w:szCs w:val="24"/>
          <w:u w:val="single"/>
          <w:lang w:eastAsia="fr-CA"/>
        </w:rPr>
        <w:t>ou n’a pas fait</w:t>
      </w:r>
      <w:r w:rsidR="00320247">
        <w:rPr>
          <w:rFonts w:ascii="ArialMT" w:hAnsi="ArialMT" w:cs="ArialMT"/>
          <w:szCs w:val="24"/>
          <w:u w:val="single"/>
          <w:lang w:eastAsia="fr-CA"/>
        </w:rPr>
        <w:t>s</w:t>
      </w:r>
      <w:r w:rsidRPr="00EB6FD2">
        <w:rPr>
          <w:rFonts w:ascii="ArialMT" w:hAnsi="ArialMT" w:cs="ArialMT"/>
          <w:szCs w:val="24"/>
          <w:u w:val="single"/>
          <w:lang w:eastAsia="fr-CA"/>
        </w:rPr>
        <w:t xml:space="preserve"> </w:t>
      </w:r>
      <w:r>
        <w:rPr>
          <w:rFonts w:ascii="ArialMT" w:hAnsi="ArialMT" w:cs="ArialMT"/>
          <w:szCs w:val="24"/>
          <w:lang w:eastAsia="fr-CA"/>
        </w:rPr>
        <w:t xml:space="preserve">aux </w:t>
      </w:r>
      <w:r w:rsidR="009F215C">
        <w:rPr>
          <w:rFonts w:ascii="ArialMT" w:hAnsi="ArialMT" w:cs="ArialMT"/>
          <w:szCs w:val="24"/>
          <w:lang w:eastAsia="fr-CA"/>
        </w:rPr>
        <w:t xml:space="preserve">représentants </w:t>
      </w:r>
      <w:r>
        <w:rPr>
          <w:rFonts w:ascii="ArialMT" w:hAnsi="ArialMT" w:cs="ArialMT"/>
          <w:szCs w:val="24"/>
          <w:lang w:eastAsia="fr-CA"/>
        </w:rPr>
        <w:t xml:space="preserve">du </w:t>
      </w:r>
      <w:r w:rsidR="00F7456E">
        <w:rPr>
          <w:rFonts w:ascii="ArialMT" w:hAnsi="ArialMT" w:cs="ArialMT"/>
          <w:szCs w:val="24"/>
          <w:lang w:eastAsia="fr-CA"/>
        </w:rPr>
        <w:t xml:space="preserve">groupe </w:t>
      </w:r>
      <w:r>
        <w:rPr>
          <w:rFonts w:ascii="ArialMT" w:hAnsi="ArialMT" w:cs="ArialMT"/>
          <w:szCs w:val="24"/>
          <w:lang w:eastAsia="fr-CA"/>
        </w:rPr>
        <w:t xml:space="preserve">concernant les </w:t>
      </w:r>
      <w:r w:rsidR="009F215C">
        <w:rPr>
          <w:rFonts w:ascii="ArialMT" w:hAnsi="ArialMT" w:cs="ArialMT"/>
          <w:szCs w:val="24"/>
          <w:lang w:eastAsia="fr-CA"/>
        </w:rPr>
        <w:t>« </w:t>
      </w:r>
      <w:r w:rsidRPr="001112C9">
        <w:rPr>
          <w:rFonts w:ascii="ArialMT" w:hAnsi="ArialMT" w:cs="ArialMT"/>
          <w:b/>
          <w:bCs/>
          <w:szCs w:val="24"/>
          <w:lang w:eastAsia="fr-CA"/>
        </w:rPr>
        <w:t>Incidents de Données</w:t>
      </w:r>
      <w:r w:rsidR="009F215C">
        <w:rPr>
          <w:rFonts w:ascii="ArialMT" w:hAnsi="ArialMT" w:cs="ArialMT"/>
          <w:szCs w:val="24"/>
          <w:lang w:eastAsia="fr-CA"/>
        </w:rPr>
        <w:t> »</w:t>
      </w:r>
      <w:r>
        <w:rPr>
          <w:rStyle w:val="Appelnotedebasdep"/>
          <w:rFonts w:ascii="ArialMT" w:hAnsi="ArialMT" w:cs="ArialMT"/>
          <w:szCs w:val="24"/>
          <w:lang w:eastAsia="fr-CA"/>
        </w:rPr>
        <w:footnoteReference w:id="33"/>
      </w:r>
      <w:r>
        <w:rPr>
          <w:rFonts w:ascii="ArialMT" w:hAnsi="ArialMT" w:cs="ArialMT"/>
          <w:szCs w:val="24"/>
          <w:lang w:eastAsia="fr-CA"/>
        </w:rPr>
        <w:t>.</w:t>
      </w:r>
    </w:p>
    <w:p w14:paraId="5B3A93C9" w14:textId="77777777" w:rsidR="00C00A03" w:rsidRPr="00E94B55" w:rsidRDefault="00B37051" w:rsidP="00C00A03">
      <w:pPr>
        <w:pStyle w:val="Paragrsimple"/>
        <w:rPr>
          <w:rFonts w:eastAsia="Arial"/>
        </w:rPr>
      </w:pPr>
      <w:r w:rsidRPr="00E94B55">
        <w:t>T</w:t>
      </w:r>
      <w:r w:rsidRPr="00E94B55">
        <w:rPr>
          <w:rFonts w:eastAsia="Arial"/>
        </w:rPr>
        <w:t xml:space="preserve">ous les </w:t>
      </w:r>
      <w:r>
        <w:rPr>
          <w:rFonts w:eastAsia="Arial"/>
        </w:rPr>
        <w:t>m</w:t>
      </w:r>
      <w:r w:rsidRPr="00E94B55">
        <w:rPr>
          <w:rFonts w:eastAsia="Arial"/>
        </w:rPr>
        <w:t>embres qui ne se sont pas exclus</w:t>
      </w:r>
      <w:r>
        <w:rPr>
          <w:rFonts w:eastAsia="Arial"/>
        </w:rPr>
        <w:t xml:space="preserve"> (et il y en a quelques millions)</w:t>
      </w:r>
      <w:r w:rsidRPr="00E94B55">
        <w:rPr>
          <w:rFonts w:eastAsia="Arial"/>
        </w:rPr>
        <w:t xml:space="preserve"> donnent quittance</w:t>
      </w:r>
      <w:r>
        <w:rPr>
          <w:rFonts w:eastAsia="Arial"/>
        </w:rPr>
        <w:t>.</w:t>
      </w:r>
    </w:p>
    <w:p w14:paraId="71446BC5" w14:textId="77777777" w:rsidR="00C00A03" w:rsidRPr="002639EF" w:rsidRDefault="00B37051" w:rsidP="00C00A03">
      <w:pPr>
        <w:pStyle w:val="Paragrsimple"/>
        <w:rPr>
          <w:rFonts w:eastAsia="Arial" w:cs="Arial"/>
          <w:szCs w:val="24"/>
          <w:lang w:val="fr-FR"/>
        </w:rPr>
      </w:pPr>
      <w:r w:rsidRPr="002639EF">
        <w:rPr>
          <w:rFonts w:eastAsia="Arial" w:cs="Arial"/>
          <w:szCs w:val="24"/>
          <w:lang w:val="fr-FR"/>
        </w:rPr>
        <w:lastRenderedPageBreak/>
        <w:t xml:space="preserve">Les membres renoncent de plus à </w:t>
      </w:r>
      <w:r w:rsidRPr="002639EF">
        <w:rPr>
          <w:rFonts w:cs="Arial"/>
          <w:szCs w:val="24"/>
          <w:lang w:eastAsia="fr-CA"/>
        </w:rPr>
        <w:t xml:space="preserve">initier, poursuivre ou maintenir des réclamations ou des plaintes devant les régulateurs provinciaux et fédéraux contre l'une des Parties Libérées en lien avec les Incidents de Données, que ce soit en vertu de la </w:t>
      </w:r>
      <w:r w:rsidRPr="00A138CA">
        <w:rPr>
          <w:rFonts w:cs="Arial"/>
          <w:i/>
          <w:iCs/>
          <w:szCs w:val="24"/>
          <w:lang w:eastAsia="fr-CA"/>
        </w:rPr>
        <w:t>Loi sur la protection des renseignements personnels et les documents électroniques</w:t>
      </w:r>
      <w:r>
        <w:rPr>
          <w:rStyle w:val="Appelnotedebasdep"/>
          <w:rFonts w:cs="Arial"/>
          <w:szCs w:val="24"/>
          <w:lang w:eastAsia="fr-CA"/>
        </w:rPr>
        <w:footnoteReference w:id="34"/>
      </w:r>
      <w:r w:rsidRPr="002639EF">
        <w:rPr>
          <w:rFonts w:cs="Arial"/>
          <w:szCs w:val="24"/>
          <w:lang w:eastAsia="fr-CA"/>
        </w:rPr>
        <w:t xml:space="preserve">, </w:t>
      </w:r>
      <w:r w:rsidR="005900EB" w:rsidRPr="002639EF">
        <w:rPr>
          <w:rFonts w:cs="Arial"/>
          <w:szCs w:val="24"/>
          <w:lang w:eastAsia="fr-CA"/>
        </w:rPr>
        <w:t xml:space="preserve">de </w:t>
      </w:r>
      <w:r w:rsidRPr="002639EF">
        <w:rPr>
          <w:rFonts w:cs="Arial"/>
          <w:szCs w:val="24"/>
          <w:lang w:eastAsia="fr-CA"/>
        </w:rPr>
        <w:t xml:space="preserve">la </w:t>
      </w:r>
      <w:r w:rsidRPr="00A138CA">
        <w:rPr>
          <w:rFonts w:cs="Arial"/>
          <w:i/>
          <w:iCs/>
          <w:szCs w:val="24"/>
          <w:lang w:eastAsia="fr-CA"/>
        </w:rPr>
        <w:t>Loi sur la protection des renseignements personnels dans le secteur privé</w:t>
      </w:r>
      <w:r>
        <w:rPr>
          <w:rStyle w:val="Appelnotedebasdep"/>
          <w:rFonts w:cs="Arial"/>
          <w:szCs w:val="24"/>
          <w:lang w:eastAsia="fr-CA"/>
        </w:rPr>
        <w:footnoteReference w:id="35"/>
      </w:r>
      <w:r w:rsidRPr="002639EF">
        <w:rPr>
          <w:rFonts w:cs="Arial"/>
          <w:szCs w:val="24"/>
          <w:lang w:eastAsia="fr-CA"/>
        </w:rPr>
        <w:t xml:space="preserve">, </w:t>
      </w:r>
      <w:r w:rsidR="00776AC7" w:rsidRPr="002639EF">
        <w:rPr>
          <w:rFonts w:cs="Arial"/>
          <w:szCs w:val="24"/>
          <w:lang w:eastAsia="fr-CA"/>
        </w:rPr>
        <w:t xml:space="preserve">ou de </w:t>
      </w:r>
      <w:r w:rsidRPr="002639EF">
        <w:rPr>
          <w:rFonts w:cs="Arial"/>
          <w:szCs w:val="24"/>
          <w:lang w:eastAsia="fr-CA"/>
        </w:rPr>
        <w:t xml:space="preserve">la </w:t>
      </w:r>
      <w:r w:rsidRPr="00A138CA">
        <w:rPr>
          <w:rFonts w:cs="Arial"/>
          <w:i/>
          <w:iCs/>
          <w:szCs w:val="24"/>
          <w:lang w:eastAsia="fr-CA"/>
        </w:rPr>
        <w:t>Loi sur la protection des renseignements personnels</w:t>
      </w:r>
      <w:r>
        <w:rPr>
          <w:rStyle w:val="Appelnotedebasdep"/>
          <w:rFonts w:cs="Arial"/>
          <w:szCs w:val="24"/>
          <w:lang w:eastAsia="fr-CA"/>
        </w:rPr>
        <w:footnoteReference w:id="36"/>
      </w:r>
      <w:r w:rsidRPr="002639EF">
        <w:rPr>
          <w:rFonts w:cs="Arial"/>
          <w:szCs w:val="24"/>
          <w:lang w:eastAsia="fr-CA"/>
        </w:rPr>
        <w:t>.</w:t>
      </w:r>
    </w:p>
    <w:p w14:paraId="68E75807" w14:textId="77777777" w:rsidR="00943A93" w:rsidRDefault="00B37051" w:rsidP="00586225">
      <w:pPr>
        <w:pStyle w:val="Paragrsimple"/>
        <w:rPr>
          <w:rFonts w:eastAsia="Arial"/>
          <w:lang w:val="fr-FR"/>
        </w:rPr>
      </w:pPr>
      <w:r>
        <w:rPr>
          <w:rFonts w:eastAsia="Arial"/>
          <w:lang w:val="fr-FR"/>
        </w:rPr>
        <w:t xml:space="preserve">La difficulté dans le contexte d’un vol </w:t>
      </w:r>
      <w:r w:rsidR="009F08A2">
        <w:rPr>
          <w:rFonts w:eastAsia="Arial"/>
          <w:lang w:val="fr-FR"/>
        </w:rPr>
        <w:t xml:space="preserve">ou d’une fuite </w:t>
      </w:r>
      <w:r>
        <w:rPr>
          <w:rFonts w:eastAsia="Arial"/>
          <w:lang w:val="fr-FR"/>
        </w:rPr>
        <w:t xml:space="preserve">de données, c’est l’incertitude du dommage anticipé, son ampleur et </w:t>
      </w:r>
      <w:r w:rsidR="009F08A2">
        <w:rPr>
          <w:rFonts w:eastAsia="Arial"/>
          <w:lang w:val="fr-FR"/>
        </w:rPr>
        <w:t>le</w:t>
      </w:r>
      <w:r>
        <w:rPr>
          <w:rFonts w:eastAsia="Arial"/>
          <w:lang w:val="fr-FR"/>
        </w:rPr>
        <w:t xml:space="preserve"> moment où il se produira. La Cour d’appel a d’ailleurs déjà conclu que le simple fait qu’il y ait un vol de données ne peut donner lieu à des dommages-intérêts. Un préjudice doit être démontré</w:t>
      </w:r>
      <w:r>
        <w:rPr>
          <w:rStyle w:val="Appelnotedebasdep"/>
          <w:rFonts w:eastAsia="Arial"/>
          <w:lang w:val="fr-FR"/>
        </w:rPr>
        <w:footnoteReference w:id="37"/>
      </w:r>
      <w:r>
        <w:rPr>
          <w:rFonts w:eastAsia="Arial"/>
          <w:lang w:val="fr-FR"/>
        </w:rPr>
        <w:t>.</w:t>
      </w:r>
      <w:r w:rsidR="009F08A2">
        <w:rPr>
          <w:rFonts w:eastAsia="Arial"/>
          <w:lang w:val="fr-FR"/>
        </w:rPr>
        <w:t xml:space="preserve"> Or ce préjudice peut ne survenir que des années plus tard. </w:t>
      </w:r>
      <w:r w:rsidR="00D828AE">
        <w:rPr>
          <w:rFonts w:eastAsia="Arial"/>
          <w:lang w:val="fr-FR"/>
        </w:rPr>
        <w:t xml:space="preserve">Les membres ne pourront plus réclamer à ce moment s’ils sont </w:t>
      </w:r>
      <w:r w:rsidR="00226926">
        <w:rPr>
          <w:rFonts w:eastAsia="Arial"/>
          <w:lang w:val="fr-FR"/>
        </w:rPr>
        <w:t>donnés</w:t>
      </w:r>
      <w:r w:rsidR="00D828AE">
        <w:rPr>
          <w:rFonts w:eastAsia="Arial"/>
          <w:lang w:val="fr-FR"/>
        </w:rPr>
        <w:t xml:space="preserve"> quittance.</w:t>
      </w:r>
    </w:p>
    <w:p w14:paraId="0E29014D" w14:textId="77777777" w:rsidR="00586225" w:rsidRPr="00FC437C" w:rsidRDefault="00B37051" w:rsidP="00586225">
      <w:pPr>
        <w:pStyle w:val="Paragrsimple"/>
        <w:rPr>
          <w:rFonts w:eastAsia="Arial"/>
          <w:lang w:val="fr-FR"/>
        </w:rPr>
      </w:pPr>
      <w:r>
        <w:rPr>
          <w:rFonts w:eastAsia="Arial"/>
          <w:lang w:val="fr-FR"/>
        </w:rPr>
        <w:t>Les termes de celle-ci sont particulièrement larges en ce qu</w:t>
      </w:r>
      <w:r w:rsidR="00AE09C0">
        <w:rPr>
          <w:rFonts w:eastAsia="Arial"/>
          <w:lang w:val="fr-FR"/>
        </w:rPr>
        <w:t>’il</w:t>
      </w:r>
      <w:r>
        <w:rPr>
          <w:rFonts w:eastAsia="Arial"/>
          <w:lang w:val="fr-FR"/>
        </w:rPr>
        <w:t>s comprenne</w:t>
      </w:r>
      <w:r w:rsidR="00226926">
        <w:rPr>
          <w:rFonts w:eastAsia="Arial"/>
          <w:lang w:val="fr-FR"/>
        </w:rPr>
        <w:t>n</w:t>
      </w:r>
      <w:r>
        <w:rPr>
          <w:rFonts w:eastAsia="Arial"/>
          <w:lang w:val="fr-FR"/>
        </w:rPr>
        <w:t xml:space="preserve">t </w:t>
      </w:r>
      <w:r w:rsidR="00FB3406">
        <w:rPr>
          <w:rFonts w:eastAsia="Arial"/>
          <w:lang w:val="fr-FR"/>
        </w:rPr>
        <w:t xml:space="preserve">les </w:t>
      </w:r>
      <w:r w:rsidR="00226926" w:rsidRPr="008D6AA9">
        <w:rPr>
          <w:rFonts w:ascii="ArialMT" w:hAnsi="ArialMT" w:cs="ArialMT"/>
          <w:szCs w:val="24"/>
          <w:lang w:eastAsia="fr-CA"/>
        </w:rPr>
        <w:t>causes d'action</w:t>
      </w:r>
      <w:r w:rsidR="00226926">
        <w:rPr>
          <w:rFonts w:ascii="ArialMT" w:hAnsi="ArialMT" w:cs="ArialMT"/>
          <w:szCs w:val="24"/>
          <w:lang w:eastAsia="fr-CA"/>
        </w:rPr>
        <w:t xml:space="preserve"> </w:t>
      </w:r>
      <w:r w:rsidR="00226926" w:rsidRPr="008D6AA9">
        <w:rPr>
          <w:rFonts w:ascii="ArialMT" w:hAnsi="ArialMT" w:cs="ArialMT"/>
          <w:szCs w:val="24"/>
          <w:lang w:eastAsia="fr-CA"/>
        </w:rPr>
        <w:t xml:space="preserve">inconnues, potentielles, non suspectées, y compris toutes </w:t>
      </w:r>
      <w:r w:rsidR="00226926">
        <w:rPr>
          <w:rFonts w:ascii="ArialMT" w:hAnsi="ArialMT" w:cs="ArialMT"/>
          <w:szCs w:val="24"/>
          <w:lang w:eastAsia="fr-CA"/>
        </w:rPr>
        <w:t xml:space="preserve">les </w:t>
      </w:r>
      <w:r w:rsidR="00226926" w:rsidRPr="008D6AA9">
        <w:rPr>
          <w:rFonts w:ascii="ArialMT" w:hAnsi="ArialMT" w:cs="ArialMT"/>
          <w:szCs w:val="24"/>
          <w:lang w:eastAsia="fr-CA"/>
        </w:rPr>
        <w:t>réclamations inconnues</w:t>
      </w:r>
      <w:r w:rsidR="00226926">
        <w:rPr>
          <w:rFonts w:ascii="ArialMT" w:hAnsi="ArialMT" w:cs="ArialMT"/>
          <w:szCs w:val="24"/>
          <w:lang w:eastAsia="fr-CA"/>
        </w:rPr>
        <w:t xml:space="preserve"> qui </w:t>
      </w:r>
      <w:r w:rsidR="00226926" w:rsidRPr="008D6AA9">
        <w:rPr>
          <w:rFonts w:ascii="ArialMT" w:hAnsi="ArialMT" w:cs="ArialMT"/>
          <w:szCs w:val="24"/>
          <w:lang w:eastAsia="fr-CA"/>
        </w:rPr>
        <w:t>peuvent</w:t>
      </w:r>
      <w:r w:rsidR="00226926">
        <w:rPr>
          <w:rFonts w:ascii="ArialMT" w:hAnsi="ArialMT" w:cs="ArialMT"/>
          <w:szCs w:val="24"/>
          <w:lang w:eastAsia="fr-CA"/>
        </w:rPr>
        <w:t xml:space="preserve">, </w:t>
      </w:r>
      <w:r w:rsidR="00226926" w:rsidRPr="008D6AA9">
        <w:rPr>
          <w:rFonts w:ascii="ArialMT" w:hAnsi="ArialMT" w:cs="ArialMT"/>
          <w:szCs w:val="24"/>
          <w:lang w:eastAsia="fr-CA"/>
        </w:rPr>
        <w:t>maintenant ou à l'avenir</w:t>
      </w:r>
      <w:r w:rsidR="00226926">
        <w:rPr>
          <w:rFonts w:ascii="ArialMT" w:hAnsi="ArialMT" w:cs="ArialMT"/>
          <w:szCs w:val="24"/>
          <w:lang w:eastAsia="fr-CA"/>
        </w:rPr>
        <w:t>,</w:t>
      </w:r>
      <w:r w:rsidR="00226926" w:rsidRPr="008D6AA9">
        <w:rPr>
          <w:rFonts w:ascii="ArialMT" w:hAnsi="ArialMT" w:cs="ArialMT"/>
          <w:szCs w:val="24"/>
          <w:lang w:eastAsia="fr-CA"/>
        </w:rPr>
        <w:t xml:space="preserve"> prétendre avoir découl</w:t>
      </w:r>
      <w:r w:rsidR="00226926">
        <w:rPr>
          <w:rFonts w:ascii="ArialMT" w:hAnsi="ArialMT" w:cs="ArialMT"/>
          <w:szCs w:val="24"/>
          <w:lang w:eastAsia="fr-CA"/>
        </w:rPr>
        <w:t xml:space="preserve">é </w:t>
      </w:r>
      <w:r w:rsidR="00226926" w:rsidRPr="008D6AA9">
        <w:rPr>
          <w:rFonts w:ascii="ArialMT" w:hAnsi="ArialMT" w:cs="ArialMT"/>
          <w:szCs w:val="24"/>
          <w:lang w:eastAsia="fr-CA"/>
        </w:rPr>
        <w:t>des</w:t>
      </w:r>
      <w:r w:rsidR="00226926">
        <w:rPr>
          <w:rFonts w:ascii="ArialMT" w:hAnsi="ArialMT" w:cs="ArialMT"/>
          <w:szCs w:val="24"/>
          <w:lang w:eastAsia="fr-CA"/>
        </w:rPr>
        <w:t xml:space="preserve"> </w:t>
      </w:r>
      <w:r w:rsidR="00D32061">
        <w:rPr>
          <w:rFonts w:ascii="ArialMT" w:hAnsi="ArialMT" w:cs="ArialMT"/>
          <w:szCs w:val="24"/>
          <w:lang w:eastAsia="fr-CA"/>
        </w:rPr>
        <w:t>I</w:t>
      </w:r>
      <w:r w:rsidR="00226926" w:rsidRPr="008D6AA9">
        <w:rPr>
          <w:rFonts w:ascii="ArialMT" w:hAnsi="ArialMT" w:cs="ArialMT"/>
          <w:szCs w:val="24"/>
          <w:lang w:eastAsia="fr-CA"/>
        </w:rPr>
        <w:t xml:space="preserve">ncidents de </w:t>
      </w:r>
      <w:r w:rsidR="00226926">
        <w:rPr>
          <w:rFonts w:ascii="ArialMT" w:hAnsi="ArialMT" w:cs="ArialMT"/>
          <w:szCs w:val="24"/>
          <w:lang w:eastAsia="fr-CA"/>
        </w:rPr>
        <w:t>d</w:t>
      </w:r>
      <w:r w:rsidR="00226926" w:rsidRPr="008D6AA9">
        <w:rPr>
          <w:rFonts w:ascii="ArialMT" w:hAnsi="ArialMT" w:cs="ArialMT"/>
          <w:szCs w:val="24"/>
          <w:lang w:eastAsia="fr-CA"/>
        </w:rPr>
        <w:t>onnées</w:t>
      </w:r>
      <w:r w:rsidR="00943A93">
        <w:rPr>
          <w:rFonts w:ascii="ArialMT" w:hAnsi="ArialMT" w:cs="ArialMT"/>
          <w:szCs w:val="24"/>
          <w:lang w:eastAsia="fr-CA"/>
        </w:rPr>
        <w:t>,</w:t>
      </w:r>
      <w:r w:rsidR="00226926" w:rsidRPr="008D6AA9">
        <w:rPr>
          <w:rFonts w:ascii="ArialMT" w:hAnsi="ArialMT" w:cs="ArialMT"/>
          <w:szCs w:val="24"/>
          <w:lang w:eastAsia="fr-CA"/>
        </w:rPr>
        <w:t xml:space="preserve"> qui auraient pu être</w:t>
      </w:r>
      <w:r w:rsidR="00226926">
        <w:rPr>
          <w:rFonts w:ascii="ArialMT" w:hAnsi="ArialMT" w:cs="ArialMT"/>
          <w:szCs w:val="24"/>
          <w:lang w:eastAsia="fr-CA"/>
        </w:rPr>
        <w:t xml:space="preserve"> </w:t>
      </w:r>
      <w:r w:rsidR="00226926" w:rsidRPr="008D6AA9">
        <w:rPr>
          <w:rFonts w:ascii="ArialMT" w:hAnsi="ArialMT" w:cs="ArialMT"/>
          <w:szCs w:val="24"/>
          <w:lang w:eastAsia="fr-CA"/>
        </w:rPr>
        <w:t>alléguées ou affirmées contre l'une des Parties Libérées</w:t>
      </w:r>
      <w:r w:rsidR="00943A93">
        <w:rPr>
          <w:rFonts w:ascii="ArialMT" w:hAnsi="ArialMT" w:cs="ArialMT"/>
          <w:szCs w:val="24"/>
          <w:lang w:eastAsia="fr-CA"/>
        </w:rPr>
        <w:t xml:space="preserve"> et</w:t>
      </w:r>
      <w:r w:rsidR="00226926" w:rsidRPr="008D6AA9">
        <w:rPr>
          <w:rFonts w:ascii="ArialMT" w:hAnsi="ArialMT" w:cs="ArialMT"/>
          <w:szCs w:val="24"/>
          <w:lang w:eastAsia="fr-CA"/>
        </w:rPr>
        <w:t xml:space="preserve"> découlant du</w:t>
      </w:r>
      <w:r w:rsidR="00226926">
        <w:rPr>
          <w:rFonts w:ascii="ArialMT" w:hAnsi="ArialMT" w:cs="ArialMT"/>
          <w:szCs w:val="24"/>
          <w:lang w:eastAsia="fr-CA"/>
        </w:rPr>
        <w:t xml:space="preserve"> </w:t>
      </w:r>
      <w:r w:rsidR="00226926" w:rsidRPr="008D6AA9">
        <w:rPr>
          <w:rFonts w:ascii="ArialMT" w:hAnsi="ArialMT" w:cs="ArialMT"/>
          <w:szCs w:val="24"/>
          <w:lang w:eastAsia="fr-CA"/>
        </w:rPr>
        <w:t>même noyau de faits que l'une des réclamations alléguées</w:t>
      </w:r>
      <w:r w:rsidR="00943A93">
        <w:rPr>
          <w:rFonts w:ascii="ArialMT" w:hAnsi="ArialMT" w:cs="ArialMT"/>
          <w:szCs w:val="24"/>
          <w:lang w:eastAsia="fr-CA"/>
        </w:rPr>
        <w:t xml:space="preserve">. </w:t>
      </w:r>
    </w:p>
    <w:p w14:paraId="5623AB02" w14:textId="77777777" w:rsidR="00C00A03" w:rsidRPr="001F19E7" w:rsidRDefault="00B37051" w:rsidP="00BB5032">
      <w:pPr>
        <w:pStyle w:val="Paragrsimple"/>
        <w:rPr>
          <w:rFonts w:eastAsia="Arial"/>
          <w:lang w:val="fr-FR"/>
        </w:rPr>
      </w:pPr>
      <w:r w:rsidRPr="001F19E7">
        <w:rPr>
          <w:rFonts w:eastAsia="Arial"/>
          <w:lang w:val="fr-FR"/>
        </w:rPr>
        <w:t>I</w:t>
      </w:r>
      <w:r w:rsidR="00586225" w:rsidRPr="001F19E7">
        <w:rPr>
          <w:rFonts w:eastAsia="Arial"/>
          <w:lang w:val="fr-FR"/>
        </w:rPr>
        <w:t xml:space="preserve">l est possible que les données volées soient utilisées par des tiers plusieurs années après le méfait et qu’elles </w:t>
      </w:r>
      <w:r w:rsidR="002E20C2" w:rsidRPr="001F19E7">
        <w:rPr>
          <w:rFonts w:eastAsia="Arial"/>
          <w:lang w:val="fr-FR"/>
        </w:rPr>
        <w:t xml:space="preserve">entraînent </w:t>
      </w:r>
      <w:r w:rsidR="00586225" w:rsidRPr="001F19E7">
        <w:rPr>
          <w:rFonts w:eastAsia="Arial"/>
          <w:lang w:val="fr-FR"/>
        </w:rPr>
        <w:t xml:space="preserve">des conséquences dévastatrices que les membres du </w:t>
      </w:r>
      <w:r w:rsidR="00F7456E" w:rsidRPr="001F19E7">
        <w:rPr>
          <w:rFonts w:eastAsia="Arial"/>
          <w:lang w:val="fr-FR"/>
        </w:rPr>
        <w:t xml:space="preserve">groupe </w:t>
      </w:r>
      <w:r w:rsidR="00586225" w:rsidRPr="001F19E7">
        <w:rPr>
          <w:rFonts w:eastAsia="Arial"/>
          <w:lang w:val="fr-FR"/>
        </w:rPr>
        <w:t xml:space="preserve">ne connaissent pas encore. Elles peuvent donner lieu à l’usurpation d’identité pour obtenir du crédit, obtenir des documents légaux, pour harceler et rançonner les victimes et que sais-je </w:t>
      </w:r>
      <w:proofErr w:type="gramStart"/>
      <w:r w:rsidR="00586225" w:rsidRPr="001F19E7">
        <w:rPr>
          <w:rFonts w:eastAsia="Arial"/>
          <w:lang w:val="fr-FR"/>
        </w:rPr>
        <w:t>encore?</w:t>
      </w:r>
      <w:proofErr w:type="gramEnd"/>
      <w:r w:rsidR="001F19E7" w:rsidRPr="001F19E7">
        <w:rPr>
          <w:rFonts w:eastAsia="Arial"/>
          <w:lang w:val="fr-FR"/>
        </w:rPr>
        <w:t xml:space="preserve"> </w:t>
      </w:r>
      <w:r>
        <w:rPr>
          <w:lang w:eastAsia="fr-CA"/>
        </w:rPr>
        <w:t xml:space="preserve">Les dommages peuvent </w:t>
      </w:r>
      <w:r w:rsidR="001F19E7">
        <w:rPr>
          <w:lang w:eastAsia="fr-CA"/>
        </w:rPr>
        <w:t xml:space="preserve">alors </w:t>
      </w:r>
      <w:r>
        <w:rPr>
          <w:lang w:eastAsia="fr-CA"/>
        </w:rPr>
        <w:t>être considérables.</w:t>
      </w:r>
      <w:r w:rsidR="001F19E7">
        <w:rPr>
          <w:lang w:eastAsia="fr-CA"/>
        </w:rPr>
        <w:t xml:space="preserve"> Le devoir du Tribunal lui impose de protéger les membres contre ce qui semble une très mauvaise affaire.</w:t>
      </w:r>
    </w:p>
    <w:p w14:paraId="316442DF" w14:textId="77777777" w:rsidR="00C00A03" w:rsidRPr="00101AFC" w:rsidRDefault="00B37051" w:rsidP="00C00A03">
      <w:pPr>
        <w:pStyle w:val="Paragrsimple"/>
        <w:rPr>
          <w:rFonts w:eastAsia="Arial"/>
          <w:lang w:val="fr-FR"/>
        </w:rPr>
      </w:pPr>
      <w:r>
        <w:rPr>
          <w:lang w:eastAsia="fr-CA"/>
        </w:rPr>
        <w:t>Accorder une quittance dès maintenant en contrepartie de sommes minimes ou d’une surveillance de crédit d’une durée d’une année seulement n’est pas dans l’intérêt fondamental des membres.</w:t>
      </w:r>
      <w:r w:rsidR="0037376A">
        <w:rPr>
          <w:lang w:eastAsia="fr-CA"/>
        </w:rPr>
        <w:t xml:space="preserve"> La portée de la quittance ne milite pas en faveur de l’approbation de la</w:t>
      </w:r>
      <w:r w:rsidR="00A12669">
        <w:rPr>
          <w:lang w:eastAsia="fr-CA"/>
        </w:rPr>
        <w:t xml:space="preserve"> Transaction.</w:t>
      </w:r>
    </w:p>
    <w:p w14:paraId="6E662200" w14:textId="77777777" w:rsidR="00A31693" w:rsidRDefault="00B37051" w:rsidP="00AE1A50">
      <w:pPr>
        <w:pStyle w:val="Titre3"/>
        <w:rPr>
          <w:rFonts w:eastAsia="Arial"/>
          <w:lang w:val="fr-FR"/>
        </w:rPr>
      </w:pPr>
      <w:r>
        <w:rPr>
          <w:rFonts w:eastAsia="Arial"/>
          <w:lang w:val="fr-FR"/>
        </w:rPr>
        <w:t>Les paiements aux représentants</w:t>
      </w:r>
    </w:p>
    <w:p w14:paraId="5F3354A8" w14:textId="77777777" w:rsidR="008C3547" w:rsidRDefault="00B37051" w:rsidP="00B36F57">
      <w:pPr>
        <w:pStyle w:val="Paragrsimple"/>
        <w:rPr>
          <w:rFonts w:eastAsia="Arial"/>
          <w:lang w:val="fr-FR"/>
        </w:rPr>
      </w:pPr>
      <w:r>
        <w:rPr>
          <w:rFonts w:eastAsia="Arial"/>
          <w:lang w:val="fr-FR"/>
        </w:rPr>
        <w:t>La Transaction prévoit que</w:t>
      </w:r>
      <w:r w:rsidR="0089157E">
        <w:rPr>
          <w:rFonts w:eastAsia="Arial"/>
          <w:lang w:val="fr-FR"/>
        </w:rPr>
        <w:t>, si le Tribunal y consent,</w:t>
      </w:r>
      <w:r>
        <w:rPr>
          <w:rFonts w:eastAsia="Arial"/>
          <w:lang w:val="fr-FR"/>
        </w:rPr>
        <w:t xml:space="preserve"> les deux représentants du Québec p</w:t>
      </w:r>
      <w:r w:rsidR="0089157E">
        <w:rPr>
          <w:rFonts w:eastAsia="Arial"/>
          <w:lang w:val="fr-FR"/>
        </w:rPr>
        <w:t>ourron</w:t>
      </w:r>
      <w:r>
        <w:rPr>
          <w:rFonts w:eastAsia="Arial"/>
          <w:lang w:val="fr-FR"/>
        </w:rPr>
        <w:t>t réclamer jusqu’à</w:t>
      </w:r>
      <w:r w:rsidR="00C93A33">
        <w:rPr>
          <w:rFonts w:eastAsia="Arial"/>
          <w:lang w:val="fr-FR"/>
        </w:rPr>
        <w:t xml:space="preserve"> </w:t>
      </w:r>
      <w:r>
        <w:rPr>
          <w:rFonts w:eastAsia="Arial"/>
          <w:lang w:val="fr-FR"/>
        </w:rPr>
        <w:t xml:space="preserve">concurrence de </w:t>
      </w:r>
      <w:r w:rsidR="00C93A33">
        <w:rPr>
          <w:rFonts w:eastAsia="Arial"/>
          <w:lang w:val="fr-FR"/>
        </w:rPr>
        <w:t>15 000 $</w:t>
      </w:r>
      <w:r>
        <w:rPr>
          <w:rFonts w:eastAsia="Arial"/>
          <w:lang w:val="fr-FR"/>
        </w:rPr>
        <w:t xml:space="preserve"> s</w:t>
      </w:r>
      <w:r w:rsidR="003904F7">
        <w:rPr>
          <w:rFonts w:eastAsia="Arial"/>
          <w:lang w:val="fr-FR"/>
        </w:rPr>
        <w:t>ans preuve justificative</w:t>
      </w:r>
      <w:r w:rsidR="00AE255F">
        <w:rPr>
          <w:rFonts w:eastAsia="Arial"/>
          <w:lang w:val="fr-FR"/>
        </w:rPr>
        <w:t xml:space="preserve">. La Transaction n’est toutefois pas sujette à l’approbation de cette </w:t>
      </w:r>
      <w:r w:rsidR="0089157E">
        <w:rPr>
          <w:rFonts w:eastAsia="Arial"/>
          <w:lang w:val="fr-FR"/>
        </w:rPr>
        <w:t>clause</w:t>
      </w:r>
      <w:r w:rsidR="003D7217">
        <w:rPr>
          <w:rFonts w:eastAsia="Arial"/>
          <w:lang w:val="fr-FR"/>
        </w:rPr>
        <w:t>.</w:t>
      </w:r>
    </w:p>
    <w:p w14:paraId="4F439835" w14:textId="77777777" w:rsidR="00297FC7" w:rsidRDefault="00B37051" w:rsidP="00B36F57">
      <w:pPr>
        <w:pStyle w:val="Paragrsimple"/>
        <w:rPr>
          <w:rFonts w:eastAsia="Arial"/>
          <w:lang w:val="fr-FR"/>
        </w:rPr>
      </w:pPr>
      <w:r>
        <w:rPr>
          <w:rFonts w:eastAsia="Arial"/>
          <w:lang w:val="fr-FR"/>
        </w:rPr>
        <w:lastRenderedPageBreak/>
        <w:t xml:space="preserve">L’absence de justification </w:t>
      </w:r>
      <w:r w:rsidR="00A25D4A">
        <w:rPr>
          <w:rFonts w:eastAsia="Arial"/>
          <w:lang w:val="fr-FR"/>
        </w:rPr>
        <w:t xml:space="preserve">ou </w:t>
      </w:r>
      <w:r w:rsidR="003E1097">
        <w:rPr>
          <w:rFonts w:eastAsia="Arial"/>
          <w:lang w:val="fr-FR"/>
        </w:rPr>
        <w:t xml:space="preserve">de </w:t>
      </w:r>
      <w:r w:rsidR="00A25D4A">
        <w:rPr>
          <w:rFonts w:eastAsia="Arial"/>
          <w:lang w:val="fr-FR"/>
        </w:rPr>
        <w:t>documentation pour appuyer un tel paiement oblige le Tribunal à considérer qu’il s’agit d</w:t>
      </w:r>
      <w:r w:rsidR="00D409F7">
        <w:rPr>
          <w:rFonts w:eastAsia="Arial"/>
          <w:lang w:val="fr-FR"/>
        </w:rPr>
        <w:t>’</w:t>
      </w:r>
      <w:r w:rsidR="00A25D4A">
        <w:rPr>
          <w:rFonts w:eastAsia="Arial"/>
          <w:lang w:val="fr-FR"/>
        </w:rPr>
        <w:t>u</w:t>
      </w:r>
      <w:r w:rsidR="00D409F7">
        <w:rPr>
          <w:rFonts w:eastAsia="Arial"/>
          <w:lang w:val="fr-FR"/>
        </w:rPr>
        <w:t>n</w:t>
      </w:r>
      <w:r w:rsidR="00A25D4A">
        <w:rPr>
          <w:rFonts w:eastAsia="Arial"/>
          <w:lang w:val="fr-FR"/>
        </w:rPr>
        <w:t xml:space="preserve"> paiement d’honoraire</w:t>
      </w:r>
      <w:r w:rsidR="00D409F7">
        <w:rPr>
          <w:rFonts w:eastAsia="Arial"/>
          <w:lang w:val="fr-FR"/>
        </w:rPr>
        <w:t>s</w:t>
      </w:r>
      <w:r w:rsidR="00A25D4A">
        <w:rPr>
          <w:rFonts w:eastAsia="Arial"/>
          <w:lang w:val="fr-FR"/>
        </w:rPr>
        <w:t>.</w:t>
      </w:r>
    </w:p>
    <w:p w14:paraId="6F3307A9" w14:textId="77777777" w:rsidR="00297FC7" w:rsidRDefault="00B37051" w:rsidP="00B36F57">
      <w:pPr>
        <w:pStyle w:val="Paragrsimple"/>
        <w:rPr>
          <w:rFonts w:eastAsia="Arial"/>
          <w:lang w:val="fr-FR"/>
        </w:rPr>
      </w:pPr>
      <w:r>
        <w:rPr>
          <w:rFonts w:eastAsia="Arial"/>
          <w:lang w:val="fr-FR"/>
        </w:rPr>
        <w:t xml:space="preserve">Considérant l’article </w:t>
      </w:r>
      <w:r w:rsidR="00960055">
        <w:rPr>
          <w:rFonts w:eastAsia="Arial"/>
          <w:lang w:val="fr-FR"/>
        </w:rPr>
        <w:t>593</w:t>
      </w:r>
      <w:r>
        <w:rPr>
          <w:rFonts w:eastAsia="Arial"/>
          <w:lang w:val="fr-FR"/>
        </w:rPr>
        <w:t xml:space="preserve"> </w:t>
      </w:r>
      <w:proofErr w:type="spellStart"/>
      <w:r>
        <w:rPr>
          <w:rFonts w:eastAsia="Arial"/>
          <w:lang w:val="fr-FR"/>
        </w:rPr>
        <w:t>C</w:t>
      </w:r>
      <w:r w:rsidR="00960055">
        <w:rPr>
          <w:rFonts w:eastAsia="Arial"/>
          <w:lang w:val="fr-FR"/>
        </w:rPr>
        <w:t>.</w:t>
      </w:r>
      <w:r>
        <w:rPr>
          <w:rFonts w:eastAsia="Arial"/>
          <w:lang w:val="fr-FR"/>
        </w:rPr>
        <w:t>p</w:t>
      </w:r>
      <w:r w:rsidR="00960055">
        <w:rPr>
          <w:rFonts w:eastAsia="Arial"/>
          <w:lang w:val="fr-FR"/>
        </w:rPr>
        <w:t>.</w:t>
      </w:r>
      <w:r>
        <w:rPr>
          <w:rFonts w:eastAsia="Arial"/>
          <w:lang w:val="fr-FR"/>
        </w:rPr>
        <w:t>c</w:t>
      </w:r>
      <w:proofErr w:type="spellEnd"/>
      <w:r w:rsidR="00960055">
        <w:rPr>
          <w:rFonts w:eastAsia="Arial"/>
          <w:lang w:val="fr-FR"/>
        </w:rPr>
        <w:t>.</w:t>
      </w:r>
      <w:r w:rsidR="003E1097">
        <w:rPr>
          <w:rFonts w:eastAsia="Arial"/>
          <w:lang w:val="fr-FR"/>
        </w:rPr>
        <w:t>,</w:t>
      </w:r>
      <w:r>
        <w:rPr>
          <w:rFonts w:eastAsia="Arial"/>
          <w:lang w:val="fr-FR"/>
        </w:rPr>
        <w:t xml:space="preserve"> ce </w:t>
      </w:r>
      <w:r w:rsidR="009D7707">
        <w:rPr>
          <w:rFonts w:eastAsia="Arial"/>
          <w:lang w:val="fr-FR"/>
        </w:rPr>
        <w:t xml:space="preserve">type de paiement </w:t>
      </w:r>
      <w:r w:rsidR="008C3547">
        <w:rPr>
          <w:rFonts w:eastAsia="Arial"/>
          <w:lang w:val="fr-FR"/>
        </w:rPr>
        <w:t>à</w:t>
      </w:r>
      <w:r w:rsidR="009D7707">
        <w:rPr>
          <w:rFonts w:eastAsia="Arial"/>
          <w:lang w:val="fr-FR"/>
        </w:rPr>
        <w:t xml:space="preserve"> </w:t>
      </w:r>
      <w:r w:rsidR="00434CAB">
        <w:rPr>
          <w:rFonts w:eastAsia="Arial"/>
          <w:lang w:val="fr-FR"/>
        </w:rPr>
        <w:t xml:space="preserve">des </w:t>
      </w:r>
      <w:r w:rsidR="009D7707">
        <w:rPr>
          <w:rFonts w:eastAsia="Arial"/>
          <w:lang w:val="fr-FR"/>
        </w:rPr>
        <w:t>représentants</w:t>
      </w:r>
      <w:r w:rsidR="00A31693">
        <w:rPr>
          <w:rFonts w:eastAsia="Arial"/>
          <w:lang w:val="fr-FR"/>
        </w:rPr>
        <w:t xml:space="preserve"> </w:t>
      </w:r>
      <w:r w:rsidR="009D7707">
        <w:rPr>
          <w:rFonts w:eastAsia="Arial"/>
          <w:lang w:val="fr-FR"/>
        </w:rPr>
        <w:t xml:space="preserve">n’est pas légitime au Québec. Il est loisible de se demander pour quelles raisons </w:t>
      </w:r>
      <w:r w:rsidR="00A31693">
        <w:rPr>
          <w:rFonts w:eastAsia="Arial"/>
          <w:lang w:val="fr-FR"/>
        </w:rPr>
        <w:t xml:space="preserve">certains procureurs persistent à inclure </w:t>
      </w:r>
      <w:r w:rsidR="00960055">
        <w:rPr>
          <w:rFonts w:eastAsia="Arial"/>
          <w:lang w:val="fr-FR"/>
        </w:rPr>
        <w:t>de tels</w:t>
      </w:r>
      <w:r w:rsidR="00A31693">
        <w:rPr>
          <w:rFonts w:eastAsia="Arial"/>
          <w:lang w:val="fr-FR"/>
        </w:rPr>
        <w:t xml:space="preserve"> paiements dans les Transactions.</w:t>
      </w:r>
    </w:p>
    <w:p w14:paraId="13B9D981" w14:textId="77777777" w:rsidR="00960055" w:rsidRDefault="00B37051" w:rsidP="00B36F57">
      <w:pPr>
        <w:pStyle w:val="Paragrsimple"/>
        <w:rPr>
          <w:rFonts w:eastAsia="Arial"/>
          <w:lang w:val="fr-FR"/>
        </w:rPr>
      </w:pPr>
      <w:r>
        <w:rPr>
          <w:rFonts w:eastAsia="Arial"/>
          <w:lang w:val="fr-FR"/>
        </w:rPr>
        <w:t xml:space="preserve">Le fait de </w:t>
      </w:r>
      <w:r w:rsidR="008A6A28">
        <w:rPr>
          <w:rFonts w:eastAsia="Arial"/>
          <w:lang w:val="fr-FR"/>
        </w:rPr>
        <w:t>«</w:t>
      </w:r>
      <w:r w:rsidR="002845DD">
        <w:rPr>
          <w:rFonts w:eastAsia="Arial"/>
          <w:lang w:val="fr-FR"/>
        </w:rPr>
        <w:t> </w:t>
      </w:r>
      <w:r w:rsidR="008A6A28">
        <w:rPr>
          <w:rFonts w:eastAsia="Arial"/>
          <w:lang w:val="fr-FR"/>
        </w:rPr>
        <w:t>convertir</w:t>
      </w:r>
      <w:r w:rsidR="002845DD">
        <w:rPr>
          <w:rFonts w:eastAsia="Arial"/>
          <w:lang w:val="fr-FR"/>
        </w:rPr>
        <w:t> </w:t>
      </w:r>
      <w:r w:rsidR="008A6A28">
        <w:rPr>
          <w:rFonts w:eastAsia="Arial"/>
          <w:lang w:val="fr-FR"/>
        </w:rPr>
        <w:t>» la réclamation potentielle</w:t>
      </w:r>
      <w:r w:rsidR="00D2702E">
        <w:rPr>
          <w:rFonts w:eastAsia="Arial"/>
          <w:lang w:val="fr-FR"/>
        </w:rPr>
        <w:t xml:space="preserve"> d’un représentant</w:t>
      </w:r>
      <w:r w:rsidR="008A6A28">
        <w:rPr>
          <w:rFonts w:eastAsia="Arial"/>
          <w:lang w:val="fr-FR"/>
        </w:rPr>
        <w:t xml:space="preserve"> en une somme indemnisable</w:t>
      </w:r>
      <w:r w:rsidR="00D2702E">
        <w:rPr>
          <w:rFonts w:eastAsia="Arial"/>
          <w:lang w:val="fr-FR"/>
        </w:rPr>
        <w:t xml:space="preserve"> qui excède 150 $</w:t>
      </w:r>
      <w:r w:rsidR="00434CAB">
        <w:rPr>
          <w:rFonts w:eastAsia="Arial"/>
          <w:lang w:val="fr-FR"/>
        </w:rPr>
        <w:t>,</w:t>
      </w:r>
      <w:r w:rsidR="008A6A28">
        <w:rPr>
          <w:rFonts w:eastAsia="Arial"/>
          <w:lang w:val="fr-FR"/>
        </w:rPr>
        <w:t xml:space="preserve"> </w:t>
      </w:r>
      <w:r w:rsidR="009314FF">
        <w:rPr>
          <w:rFonts w:eastAsia="Arial"/>
          <w:lang w:val="fr-FR"/>
        </w:rPr>
        <w:t xml:space="preserve">mais </w:t>
      </w:r>
      <w:r w:rsidR="008A6A28">
        <w:rPr>
          <w:rFonts w:eastAsia="Arial"/>
          <w:lang w:val="fr-FR"/>
        </w:rPr>
        <w:t xml:space="preserve">sans preuve </w:t>
      </w:r>
      <w:r w:rsidR="00D2702E">
        <w:rPr>
          <w:rFonts w:eastAsia="Arial"/>
          <w:lang w:val="fr-FR"/>
        </w:rPr>
        <w:t>documentaire, procure aux demandeurs un avantage qui</w:t>
      </w:r>
      <w:r w:rsidR="009314FF">
        <w:rPr>
          <w:rFonts w:eastAsia="Arial"/>
          <w:lang w:val="fr-FR"/>
        </w:rPr>
        <w:t xml:space="preserve"> peut les inciter à accepter le règlement en faisant fi des autres membres, ce qui</w:t>
      </w:r>
      <w:r w:rsidR="00D2702E">
        <w:rPr>
          <w:rFonts w:eastAsia="Arial"/>
          <w:lang w:val="fr-FR"/>
        </w:rPr>
        <w:t xml:space="preserve"> déconsidère</w:t>
      </w:r>
      <w:r w:rsidR="009314FF">
        <w:rPr>
          <w:rFonts w:eastAsia="Arial"/>
          <w:lang w:val="fr-FR"/>
        </w:rPr>
        <w:t>rait</w:t>
      </w:r>
      <w:r w:rsidR="00D2702E">
        <w:rPr>
          <w:rFonts w:eastAsia="Arial"/>
          <w:lang w:val="fr-FR"/>
        </w:rPr>
        <w:t xml:space="preserve"> l’administration de la justice.</w:t>
      </w:r>
    </w:p>
    <w:p w14:paraId="5BD9EE1F" w14:textId="77777777" w:rsidR="009314FF" w:rsidRDefault="00B37051" w:rsidP="00B36F57">
      <w:pPr>
        <w:pStyle w:val="Paragrsimple"/>
        <w:rPr>
          <w:rFonts w:eastAsia="Arial"/>
          <w:lang w:val="fr-FR"/>
        </w:rPr>
      </w:pPr>
      <w:r>
        <w:rPr>
          <w:rFonts w:eastAsia="Arial"/>
          <w:lang w:val="fr-FR"/>
        </w:rPr>
        <w:t xml:space="preserve">Bien que le Tribunal n’ait pas l’obligation d’approuver ce </w:t>
      </w:r>
      <w:r w:rsidR="008D7596">
        <w:rPr>
          <w:rFonts w:eastAsia="Arial"/>
          <w:lang w:val="fr-FR"/>
        </w:rPr>
        <w:t>paiement, il est difficile de prévoir avec quel</w:t>
      </w:r>
      <w:r w:rsidR="00DD1DF6">
        <w:rPr>
          <w:rFonts w:eastAsia="Arial"/>
          <w:lang w:val="fr-FR"/>
        </w:rPr>
        <w:t>le</w:t>
      </w:r>
      <w:r w:rsidR="008D7596">
        <w:rPr>
          <w:rFonts w:eastAsia="Arial"/>
          <w:lang w:val="fr-FR"/>
        </w:rPr>
        <w:t xml:space="preserve"> rigueur la réclamation des deux représentants sera traitée vu </w:t>
      </w:r>
      <w:r w:rsidR="000B3951">
        <w:rPr>
          <w:rFonts w:eastAsia="Arial"/>
          <w:lang w:val="fr-FR"/>
        </w:rPr>
        <w:t>l’intention annoncée de les indemniser sans preuve documentaire.</w:t>
      </w:r>
    </w:p>
    <w:p w14:paraId="5291074F" w14:textId="77777777" w:rsidR="001B23CF" w:rsidRPr="001B23CF" w:rsidRDefault="00B37051" w:rsidP="00AE1A50">
      <w:pPr>
        <w:pStyle w:val="Titre3"/>
      </w:pPr>
      <w:r w:rsidRPr="001B23CF">
        <w:t xml:space="preserve">Le processus de réclamation </w:t>
      </w:r>
    </w:p>
    <w:p w14:paraId="20D238B1" w14:textId="77777777" w:rsidR="005178F7" w:rsidRDefault="00B37051" w:rsidP="005178F7">
      <w:pPr>
        <w:pStyle w:val="Paragrsimple"/>
        <w:rPr>
          <w:rFonts w:eastAsia="Arial"/>
          <w:lang w:val="fr-FR"/>
        </w:rPr>
      </w:pPr>
      <w:r>
        <w:rPr>
          <w:rFonts w:eastAsia="Arial"/>
          <w:lang w:val="fr-FR"/>
        </w:rPr>
        <w:t xml:space="preserve">Un autre élément qui ne favorise pas l’approbation de la Transaction est la nécessité que </w:t>
      </w:r>
      <w:r w:rsidR="001057B9">
        <w:rPr>
          <w:rFonts w:eastAsia="Arial"/>
          <w:lang w:val="fr-FR"/>
        </w:rPr>
        <w:t xml:space="preserve">tous </w:t>
      </w:r>
      <w:r>
        <w:rPr>
          <w:rFonts w:eastAsia="Arial"/>
          <w:lang w:val="fr-FR"/>
        </w:rPr>
        <w:t>les membres fassent une réclamation</w:t>
      </w:r>
      <w:r w:rsidR="002529C6">
        <w:rPr>
          <w:rFonts w:eastAsia="Arial"/>
          <w:lang w:val="fr-FR"/>
        </w:rPr>
        <w:t xml:space="preserve"> écrite</w:t>
      </w:r>
      <w:r w:rsidR="00F07E48">
        <w:rPr>
          <w:rFonts w:eastAsia="Arial"/>
          <w:lang w:val="fr-FR"/>
        </w:rPr>
        <w:t>, et ce,</w:t>
      </w:r>
      <w:r w:rsidR="00211E2C">
        <w:rPr>
          <w:rFonts w:eastAsia="Arial"/>
          <w:lang w:val="fr-FR"/>
        </w:rPr>
        <w:t xml:space="preserve"> même pour </w:t>
      </w:r>
      <w:r w:rsidR="001057B9">
        <w:rPr>
          <w:rFonts w:eastAsia="Arial"/>
          <w:lang w:val="fr-FR"/>
        </w:rPr>
        <w:t>une réclamation</w:t>
      </w:r>
      <w:r w:rsidR="009D7E47">
        <w:rPr>
          <w:rFonts w:eastAsia="Arial"/>
          <w:lang w:val="fr-FR"/>
        </w:rPr>
        <w:t xml:space="preserve"> non documenté</w:t>
      </w:r>
      <w:r w:rsidR="00DD1DF6">
        <w:rPr>
          <w:rFonts w:eastAsia="Arial"/>
          <w:lang w:val="fr-FR"/>
        </w:rPr>
        <w:t>e</w:t>
      </w:r>
      <w:r w:rsidRPr="002402F4">
        <w:rPr>
          <w:rFonts w:eastAsia="Arial"/>
          <w:lang w:val="fr-FR"/>
        </w:rPr>
        <w:t>.</w:t>
      </w:r>
    </w:p>
    <w:p w14:paraId="3BD5B3B8" w14:textId="77777777" w:rsidR="00BD613D" w:rsidRDefault="00B37051" w:rsidP="005178F7">
      <w:pPr>
        <w:pStyle w:val="Paragrsimple"/>
        <w:rPr>
          <w:rFonts w:eastAsia="Arial"/>
          <w:lang w:val="fr-FR"/>
        </w:rPr>
      </w:pPr>
      <w:r>
        <w:rPr>
          <w:rFonts w:eastAsia="Arial"/>
          <w:lang w:val="fr-FR"/>
        </w:rPr>
        <w:t>L’expérience démontre que plus les formalités de réclamation sont complexes et plus les formulaires sont longs, moins de membres participent, surtout lorsque les sommes ne sont pas conséquentes.</w:t>
      </w:r>
    </w:p>
    <w:p w14:paraId="105C7662" w14:textId="77777777" w:rsidR="005178F7" w:rsidRDefault="00B37051" w:rsidP="005178F7">
      <w:pPr>
        <w:pStyle w:val="Paragrsimple"/>
        <w:rPr>
          <w:rFonts w:eastAsia="Arial"/>
          <w:lang w:val="fr-FR"/>
        </w:rPr>
      </w:pPr>
      <w:r>
        <w:rPr>
          <w:rFonts w:eastAsia="Arial"/>
          <w:lang w:val="fr-FR"/>
        </w:rPr>
        <w:t>Le formulaire de réclamation a trois pages. Seule la première partie concerne les réclamations non documentées.</w:t>
      </w:r>
    </w:p>
    <w:p w14:paraId="46364D97" w14:textId="77777777" w:rsidR="00256062" w:rsidRPr="00AC1EA0" w:rsidRDefault="00B37051" w:rsidP="00256062">
      <w:pPr>
        <w:pStyle w:val="Paragrsimple"/>
        <w:rPr>
          <w:rFonts w:eastAsia="Arial"/>
          <w:lang w:val="fr-FR"/>
        </w:rPr>
      </w:pPr>
      <w:r>
        <w:rPr>
          <w:rFonts w:eastAsia="Arial"/>
          <w:lang w:val="fr-FR"/>
        </w:rPr>
        <w:t xml:space="preserve">Parmi les questions posées : </w:t>
      </w:r>
      <w:r w:rsidR="00867152">
        <w:rPr>
          <w:rFonts w:eastAsia="Arial"/>
          <w:lang w:val="fr-FR"/>
        </w:rPr>
        <w:t>«</w:t>
      </w:r>
      <w:r w:rsidR="002845DD">
        <w:rPr>
          <w:rFonts w:eastAsia="Arial"/>
          <w:lang w:val="fr-FR"/>
        </w:rPr>
        <w:t> </w:t>
      </w:r>
      <w:r w:rsidRPr="003A3F1F">
        <w:rPr>
          <w:rFonts w:eastAsia="Arial"/>
          <w:i/>
          <w:iCs/>
          <w:lang w:val="fr-FR"/>
        </w:rPr>
        <w:t xml:space="preserve">Avez-vous reçu un courriel indiquant que vous </w:t>
      </w:r>
      <w:r w:rsidR="00867152" w:rsidRPr="003A3F1F">
        <w:rPr>
          <w:rFonts w:eastAsia="Arial"/>
          <w:i/>
          <w:iCs/>
          <w:lang w:val="fr-FR"/>
        </w:rPr>
        <w:t xml:space="preserve">pourriez être membre de l’une ou l’autre des actions collectives Zuckerman, Dahan, ou </w:t>
      </w:r>
      <w:proofErr w:type="spellStart"/>
      <w:proofErr w:type="gramStart"/>
      <w:r w:rsidR="00867152" w:rsidRPr="006C4659">
        <w:rPr>
          <w:rFonts w:eastAsia="Arial"/>
          <w:i/>
          <w:iCs/>
          <w:lang w:val="fr-FR"/>
        </w:rPr>
        <w:t>Thandi</w:t>
      </w:r>
      <w:proofErr w:type="spellEnd"/>
      <w:r w:rsidR="00867152" w:rsidRPr="006C4659">
        <w:rPr>
          <w:rFonts w:eastAsia="Arial"/>
          <w:i/>
          <w:iCs/>
          <w:lang w:val="fr-FR"/>
        </w:rPr>
        <w:t>?</w:t>
      </w:r>
      <w:proofErr w:type="gramEnd"/>
      <w:r w:rsidR="002845DD">
        <w:rPr>
          <w:rFonts w:eastAsia="Arial"/>
          <w:lang w:val="fr-FR"/>
        </w:rPr>
        <w:t> </w:t>
      </w:r>
      <w:r w:rsidR="003A3F1F">
        <w:rPr>
          <w:rFonts w:eastAsia="Arial"/>
          <w:lang w:val="fr-FR"/>
        </w:rPr>
        <w:t>»</w:t>
      </w:r>
    </w:p>
    <w:p w14:paraId="2C4B7857" w14:textId="77777777" w:rsidR="00256062" w:rsidRPr="00AC1EA0" w:rsidRDefault="00B37051" w:rsidP="00256062">
      <w:pPr>
        <w:pStyle w:val="Paragrsimple"/>
        <w:rPr>
          <w:rFonts w:eastAsia="Arial"/>
          <w:lang w:val="fr-FR"/>
        </w:rPr>
      </w:pPr>
      <w:r>
        <w:rPr>
          <w:lang w:eastAsia="fr-CA"/>
        </w:rPr>
        <w:t>Voilà une question et une étape</w:t>
      </w:r>
      <w:r w:rsidR="0089015E">
        <w:rPr>
          <w:lang w:eastAsia="fr-CA"/>
        </w:rPr>
        <w:t xml:space="preserve"> </w:t>
      </w:r>
      <w:r w:rsidR="00A87314">
        <w:rPr>
          <w:lang w:eastAsia="fr-CA"/>
        </w:rPr>
        <w:t>in</w:t>
      </w:r>
      <w:r>
        <w:rPr>
          <w:lang w:eastAsia="fr-CA"/>
        </w:rPr>
        <w:t xml:space="preserve">utile. Le Tribunal a indiqué plus haut le nombre de courriels </w:t>
      </w:r>
      <w:r w:rsidR="0089015E">
        <w:rPr>
          <w:lang w:eastAsia="fr-CA"/>
        </w:rPr>
        <w:t>envoyés</w:t>
      </w:r>
      <w:r w:rsidR="004E552E">
        <w:rPr>
          <w:lang w:eastAsia="fr-CA"/>
        </w:rPr>
        <w:t xml:space="preserve"> par l’administrateur des réclamations</w:t>
      </w:r>
      <w:r w:rsidR="00F55D68" w:rsidRPr="001B23CF">
        <w:rPr>
          <w:lang w:eastAsia="fr-CA"/>
        </w:rPr>
        <w:t>.</w:t>
      </w:r>
      <w:r w:rsidR="0089015E">
        <w:rPr>
          <w:lang w:eastAsia="fr-CA"/>
        </w:rPr>
        <w:t xml:space="preserve"> Ces </w:t>
      </w:r>
      <w:r w:rsidR="004E552E">
        <w:rPr>
          <w:lang w:eastAsia="fr-CA"/>
        </w:rPr>
        <w:t xml:space="preserve">adresses </w:t>
      </w:r>
      <w:r w:rsidR="0089015E">
        <w:rPr>
          <w:lang w:eastAsia="fr-CA"/>
        </w:rPr>
        <w:t>courriel</w:t>
      </w:r>
      <w:r w:rsidR="004E552E">
        <w:rPr>
          <w:lang w:eastAsia="fr-CA"/>
        </w:rPr>
        <w:t xml:space="preserve"> proviennent de la défenderesse et</w:t>
      </w:r>
      <w:r w:rsidR="0089015E">
        <w:rPr>
          <w:lang w:eastAsia="fr-CA"/>
        </w:rPr>
        <w:t xml:space="preserve"> sont tou</w:t>
      </w:r>
      <w:r w:rsidR="005A7706">
        <w:rPr>
          <w:lang w:eastAsia="fr-CA"/>
        </w:rPr>
        <w:t>te</w:t>
      </w:r>
      <w:r w:rsidR="0089015E">
        <w:rPr>
          <w:lang w:eastAsia="fr-CA"/>
        </w:rPr>
        <w:t>s lié</w:t>
      </w:r>
      <w:r w:rsidR="004E552E">
        <w:rPr>
          <w:lang w:eastAsia="fr-CA"/>
        </w:rPr>
        <w:t>e</w:t>
      </w:r>
      <w:r w:rsidR="0089015E">
        <w:rPr>
          <w:lang w:eastAsia="fr-CA"/>
        </w:rPr>
        <w:t xml:space="preserve">s à des noms de clients. </w:t>
      </w:r>
      <w:r w:rsidR="004E552E">
        <w:rPr>
          <w:rFonts w:eastAsia="Arial"/>
          <w:lang w:val="fr-FR"/>
        </w:rPr>
        <w:t xml:space="preserve">Si l’on avait </w:t>
      </w:r>
      <w:r w:rsidR="00A16401">
        <w:rPr>
          <w:rFonts w:eastAsia="Arial"/>
          <w:lang w:val="fr-FR"/>
        </w:rPr>
        <w:t xml:space="preserve">véritablement </w:t>
      </w:r>
      <w:r w:rsidR="004E552E">
        <w:rPr>
          <w:rFonts w:eastAsia="Arial"/>
          <w:lang w:val="fr-FR"/>
        </w:rPr>
        <w:t>souhaité indemnis</w:t>
      </w:r>
      <w:r w:rsidR="00A16401">
        <w:rPr>
          <w:rFonts w:eastAsia="Arial"/>
          <w:lang w:val="fr-FR"/>
        </w:rPr>
        <w:t>er</w:t>
      </w:r>
      <w:r w:rsidR="004E552E">
        <w:rPr>
          <w:rFonts w:eastAsia="Arial"/>
          <w:lang w:val="fr-FR"/>
        </w:rPr>
        <w:t xml:space="preserve"> les </w:t>
      </w:r>
      <w:r w:rsidR="005A7706">
        <w:rPr>
          <w:rFonts w:eastAsia="Arial"/>
          <w:lang w:val="fr-FR"/>
        </w:rPr>
        <w:t>membres</w:t>
      </w:r>
      <w:r w:rsidR="004E552E">
        <w:rPr>
          <w:rFonts w:eastAsia="Arial"/>
          <w:lang w:val="fr-FR"/>
        </w:rPr>
        <w:t xml:space="preserve"> pour des </w:t>
      </w:r>
      <w:r w:rsidR="007D537A">
        <w:rPr>
          <w:rFonts w:eastAsia="Arial"/>
          <w:lang w:val="fr-FR"/>
        </w:rPr>
        <w:t>réclamations non documentée</w:t>
      </w:r>
      <w:r w:rsidR="00C83DDC">
        <w:rPr>
          <w:rFonts w:eastAsia="Arial"/>
          <w:lang w:val="fr-FR"/>
        </w:rPr>
        <w:t>s</w:t>
      </w:r>
      <w:r w:rsidR="007D537A">
        <w:rPr>
          <w:rFonts w:eastAsia="Arial"/>
          <w:lang w:val="fr-FR"/>
        </w:rPr>
        <w:t xml:space="preserve">, une première étape aurait pu être de faire parvenir aux </w:t>
      </w:r>
      <w:r w:rsidR="00C83DDC">
        <w:rPr>
          <w:rFonts w:eastAsia="Arial"/>
          <w:lang w:val="fr-FR"/>
        </w:rPr>
        <w:t>clients affectés par l’intrusion informatique</w:t>
      </w:r>
      <w:r w:rsidR="007854EA">
        <w:rPr>
          <w:rFonts w:eastAsia="Arial"/>
          <w:lang w:val="fr-FR"/>
        </w:rPr>
        <w:t>,</w:t>
      </w:r>
      <w:r w:rsidR="00BC0D94">
        <w:rPr>
          <w:rFonts w:eastAsia="Arial"/>
          <w:lang w:val="fr-FR"/>
        </w:rPr>
        <w:t xml:space="preserve"> et pour lesquels une adresse courriel est disponible</w:t>
      </w:r>
      <w:r w:rsidR="00C83DDC">
        <w:rPr>
          <w:rFonts w:eastAsia="Arial"/>
          <w:lang w:val="fr-FR"/>
        </w:rPr>
        <w:t>, un virement Interac</w:t>
      </w:r>
      <w:r w:rsidR="00A16401">
        <w:rPr>
          <w:rFonts w:eastAsia="Arial"/>
          <w:lang w:val="fr-FR"/>
        </w:rPr>
        <w:t xml:space="preserve"> directement. </w:t>
      </w:r>
      <w:r w:rsidR="00F61818">
        <w:rPr>
          <w:rFonts w:eastAsia="Arial"/>
          <w:lang w:val="fr-FR"/>
        </w:rPr>
        <w:t xml:space="preserve">Le </w:t>
      </w:r>
      <w:r w:rsidR="007854EA">
        <w:rPr>
          <w:rFonts w:eastAsia="Arial"/>
          <w:lang w:val="fr-FR"/>
        </w:rPr>
        <w:t xml:space="preserve">coût </w:t>
      </w:r>
      <w:r w:rsidR="00F61818">
        <w:rPr>
          <w:rFonts w:eastAsia="Arial"/>
          <w:lang w:val="fr-FR"/>
        </w:rPr>
        <w:t xml:space="preserve">d’une telle entreprise aurait sans doute considérablement dépassé le montant du règlement, ce qui </w:t>
      </w:r>
      <w:r w:rsidR="006B058C">
        <w:rPr>
          <w:rFonts w:eastAsia="Arial"/>
          <w:lang w:val="fr-FR"/>
        </w:rPr>
        <w:t>est un indice de</w:t>
      </w:r>
      <w:r w:rsidR="00427064">
        <w:rPr>
          <w:rFonts w:eastAsia="Arial"/>
          <w:lang w:val="fr-FR"/>
        </w:rPr>
        <w:t xml:space="preserve"> </w:t>
      </w:r>
      <w:r w:rsidR="009C2582">
        <w:rPr>
          <w:rFonts w:eastAsia="Arial"/>
          <w:lang w:val="fr-FR"/>
        </w:rPr>
        <w:t>l’</w:t>
      </w:r>
      <w:r w:rsidR="00427064">
        <w:rPr>
          <w:rFonts w:eastAsia="Arial"/>
          <w:lang w:val="fr-FR"/>
        </w:rPr>
        <w:t>inadéquation</w:t>
      </w:r>
      <w:r w:rsidR="009C2582">
        <w:rPr>
          <w:rFonts w:eastAsia="Arial"/>
          <w:lang w:val="fr-FR"/>
        </w:rPr>
        <w:t xml:space="preserve"> de celui-ci</w:t>
      </w:r>
      <w:r w:rsidR="00427064">
        <w:rPr>
          <w:rFonts w:eastAsia="Arial"/>
          <w:lang w:val="fr-FR"/>
        </w:rPr>
        <w:t>.</w:t>
      </w:r>
    </w:p>
    <w:p w14:paraId="66547D51" w14:textId="77777777" w:rsidR="00256062" w:rsidRDefault="00B37051" w:rsidP="00256062">
      <w:pPr>
        <w:pStyle w:val="Paragrsimple"/>
        <w:rPr>
          <w:rFonts w:eastAsia="Arial"/>
          <w:lang w:val="fr-FR"/>
        </w:rPr>
      </w:pPr>
      <w:r>
        <w:rPr>
          <w:rFonts w:eastAsia="Arial"/>
          <w:lang w:val="fr-FR"/>
        </w:rPr>
        <w:t xml:space="preserve">Comme il est </w:t>
      </w:r>
      <w:r w:rsidR="00023D91">
        <w:rPr>
          <w:rFonts w:eastAsia="Arial"/>
          <w:lang w:val="fr-FR"/>
        </w:rPr>
        <w:t xml:space="preserve">indiqué plus haut, 1 529 590 membres du </w:t>
      </w:r>
      <w:r w:rsidR="00F7456E">
        <w:rPr>
          <w:rFonts w:eastAsia="Arial"/>
          <w:lang w:val="fr-FR"/>
        </w:rPr>
        <w:t xml:space="preserve">groupe </w:t>
      </w:r>
      <w:r w:rsidR="00023D91">
        <w:rPr>
          <w:rFonts w:eastAsia="Arial"/>
          <w:lang w:val="fr-FR"/>
        </w:rPr>
        <w:t>n’ont pas d’adresse courriel chez la défenderesse.</w:t>
      </w:r>
      <w:r w:rsidR="00427064">
        <w:rPr>
          <w:rFonts w:eastAsia="Arial"/>
          <w:lang w:val="fr-FR"/>
        </w:rPr>
        <w:t xml:space="preserve"> </w:t>
      </w:r>
      <w:r w:rsidR="00023D91">
        <w:rPr>
          <w:rFonts w:eastAsia="Arial"/>
          <w:lang w:val="fr-FR"/>
        </w:rPr>
        <w:t>L</w:t>
      </w:r>
      <w:r w:rsidR="00427064">
        <w:rPr>
          <w:rFonts w:eastAsia="Arial"/>
          <w:lang w:val="fr-FR"/>
        </w:rPr>
        <w:t xml:space="preserve">e formulaire de réclamation démontre que </w:t>
      </w:r>
      <w:r w:rsidR="00427064">
        <w:rPr>
          <w:rFonts w:eastAsia="Arial"/>
          <w:lang w:val="fr-FR"/>
        </w:rPr>
        <w:lastRenderedPageBreak/>
        <w:t xml:space="preserve">certains clients auraient reçu </w:t>
      </w:r>
      <w:r w:rsidR="002C2E03">
        <w:rPr>
          <w:rFonts w:eastAsia="Arial"/>
          <w:lang w:val="fr-FR"/>
        </w:rPr>
        <w:t xml:space="preserve">un avis des incidents </w:t>
      </w:r>
      <w:r w:rsidR="00425269">
        <w:rPr>
          <w:rFonts w:eastAsia="Arial"/>
          <w:lang w:val="fr-FR"/>
        </w:rPr>
        <w:t xml:space="preserve">de données </w:t>
      </w:r>
      <w:r w:rsidR="002C2E03">
        <w:rPr>
          <w:rFonts w:eastAsia="Arial"/>
          <w:lang w:val="fr-FR"/>
        </w:rPr>
        <w:t>par courrier</w:t>
      </w:r>
      <w:r>
        <w:rPr>
          <w:rStyle w:val="Appelnotedebasdep"/>
          <w:rFonts w:eastAsia="Arial"/>
          <w:lang w:val="fr-FR"/>
        </w:rPr>
        <w:footnoteReference w:id="38"/>
      </w:r>
      <w:r w:rsidR="002C2E03">
        <w:rPr>
          <w:rFonts w:eastAsia="Arial"/>
          <w:lang w:val="fr-FR"/>
        </w:rPr>
        <w:t xml:space="preserve">. Pourquoi </w:t>
      </w:r>
      <w:r>
        <w:rPr>
          <w:rFonts w:eastAsia="Arial"/>
          <w:lang w:val="fr-FR"/>
        </w:rPr>
        <w:t xml:space="preserve">ne pas </w:t>
      </w:r>
      <w:r w:rsidR="00866C65">
        <w:rPr>
          <w:rFonts w:eastAsia="Arial"/>
          <w:lang w:val="fr-FR"/>
        </w:rPr>
        <w:t xml:space="preserve">avoir choisi de </w:t>
      </w:r>
      <w:r w:rsidR="002C2E03">
        <w:rPr>
          <w:rFonts w:eastAsia="Arial"/>
          <w:lang w:val="fr-FR"/>
        </w:rPr>
        <w:t>les in</w:t>
      </w:r>
      <w:r w:rsidR="006C5DA9">
        <w:rPr>
          <w:rFonts w:eastAsia="Arial"/>
          <w:lang w:val="fr-FR"/>
        </w:rPr>
        <w:t xml:space="preserve">former de la </w:t>
      </w:r>
      <w:r w:rsidR="00866C65">
        <w:rPr>
          <w:rFonts w:eastAsia="Arial"/>
          <w:lang w:val="fr-FR"/>
        </w:rPr>
        <w:t xml:space="preserve">Transaction et d’une </w:t>
      </w:r>
      <w:r w:rsidR="006C5DA9">
        <w:rPr>
          <w:rFonts w:eastAsia="Arial"/>
          <w:lang w:val="fr-FR"/>
        </w:rPr>
        <w:t>réclamation potentielle en utilisant le même mécanisme</w:t>
      </w:r>
      <w:r w:rsidR="00425269">
        <w:rPr>
          <w:rFonts w:eastAsia="Arial"/>
          <w:lang w:val="fr-FR"/>
        </w:rPr>
        <w:t> </w:t>
      </w:r>
      <w:r w:rsidR="00023D91">
        <w:rPr>
          <w:rFonts w:eastAsia="Arial"/>
          <w:lang w:val="fr-FR"/>
        </w:rPr>
        <w:t>?</w:t>
      </w:r>
      <w:r w:rsidR="005A7706">
        <w:rPr>
          <w:rFonts w:eastAsia="Arial"/>
          <w:lang w:val="fr-FR"/>
        </w:rPr>
        <w:t xml:space="preserve"> Le programme de diffusion des avis ne propose aucune communication directe avec ces m</w:t>
      </w:r>
      <w:r w:rsidR="00844B2B">
        <w:rPr>
          <w:rFonts w:eastAsia="Arial"/>
          <w:lang w:val="fr-FR"/>
        </w:rPr>
        <w:t>embres.</w:t>
      </w:r>
    </w:p>
    <w:p w14:paraId="525872DA" w14:textId="77777777" w:rsidR="0071496F" w:rsidRDefault="00B37051" w:rsidP="00256062">
      <w:pPr>
        <w:pStyle w:val="Paragrsimple"/>
        <w:rPr>
          <w:rFonts w:eastAsia="Arial"/>
          <w:lang w:val="fr-FR"/>
        </w:rPr>
      </w:pPr>
      <w:r>
        <w:rPr>
          <w:rFonts w:eastAsia="Arial"/>
          <w:lang w:val="fr-FR"/>
        </w:rPr>
        <w:t>Lorsque l’adresse courriel n’est pas disponible, il faut envisager un autre mode de communication qui soit efficace. Il est clair que l’envoi de millions de lettres</w:t>
      </w:r>
      <w:r w:rsidR="00970BED">
        <w:rPr>
          <w:rFonts w:eastAsia="Arial"/>
          <w:lang w:val="fr-FR"/>
        </w:rPr>
        <w:t xml:space="preserve"> aura</w:t>
      </w:r>
      <w:r w:rsidR="00425269">
        <w:rPr>
          <w:rFonts w:eastAsia="Arial"/>
          <w:lang w:val="fr-FR"/>
        </w:rPr>
        <w:t>it</w:t>
      </w:r>
      <w:r w:rsidR="00970BED">
        <w:rPr>
          <w:rFonts w:eastAsia="Arial"/>
          <w:lang w:val="fr-FR"/>
        </w:rPr>
        <w:t xml:space="preserve"> un </w:t>
      </w:r>
      <w:r w:rsidR="006544D7">
        <w:rPr>
          <w:rFonts w:eastAsia="Arial"/>
          <w:lang w:val="fr-FR"/>
        </w:rPr>
        <w:t xml:space="preserve">coût </w:t>
      </w:r>
      <w:r w:rsidR="00970BED">
        <w:rPr>
          <w:rFonts w:eastAsia="Arial"/>
          <w:lang w:val="fr-FR"/>
        </w:rPr>
        <w:t xml:space="preserve">important que le </w:t>
      </w:r>
      <w:r w:rsidR="006544D7">
        <w:rPr>
          <w:rFonts w:eastAsia="Arial"/>
          <w:lang w:val="fr-FR"/>
        </w:rPr>
        <w:t xml:space="preserve">fonds </w:t>
      </w:r>
      <w:r w:rsidR="00970BED">
        <w:rPr>
          <w:rFonts w:eastAsia="Arial"/>
          <w:lang w:val="fr-FR"/>
        </w:rPr>
        <w:t>de règlement ne pourrait supporter ici. Il peut s’agir d’une preuve additionnelle que le montant du règlement est inadéquat.</w:t>
      </w:r>
    </w:p>
    <w:p w14:paraId="263AFAA6" w14:textId="77777777" w:rsidR="006C5DA9" w:rsidRDefault="00B37051" w:rsidP="00256062">
      <w:pPr>
        <w:pStyle w:val="Paragrsimple"/>
        <w:rPr>
          <w:rFonts w:eastAsia="Arial"/>
          <w:lang w:val="fr-FR"/>
        </w:rPr>
      </w:pPr>
      <w:r>
        <w:rPr>
          <w:rFonts w:eastAsia="Arial"/>
          <w:lang w:val="fr-FR"/>
        </w:rPr>
        <w:t>Selon ce qui est proposé, p</w:t>
      </w:r>
      <w:r w:rsidR="00FC6F5C">
        <w:rPr>
          <w:rFonts w:eastAsia="Arial"/>
          <w:lang w:val="fr-FR"/>
        </w:rPr>
        <w:t xml:space="preserve">our </w:t>
      </w:r>
      <w:r w:rsidR="00023D91">
        <w:rPr>
          <w:rFonts w:eastAsia="Arial"/>
          <w:lang w:val="fr-FR"/>
        </w:rPr>
        <w:t xml:space="preserve">que ces </w:t>
      </w:r>
      <w:r w:rsidR="00D55EC0">
        <w:rPr>
          <w:rFonts w:eastAsia="Arial"/>
          <w:lang w:val="fr-FR"/>
        </w:rPr>
        <w:t>membres soient</w:t>
      </w:r>
      <w:r w:rsidR="00FC6F5C">
        <w:rPr>
          <w:rFonts w:eastAsia="Arial"/>
          <w:lang w:val="fr-FR"/>
        </w:rPr>
        <w:t xml:space="preserve"> inform</w:t>
      </w:r>
      <w:r w:rsidR="00D55EC0">
        <w:rPr>
          <w:rFonts w:eastAsia="Arial"/>
          <w:lang w:val="fr-FR"/>
        </w:rPr>
        <w:t>és</w:t>
      </w:r>
      <w:r w:rsidR="00FC6F5C">
        <w:rPr>
          <w:rFonts w:eastAsia="Arial"/>
          <w:lang w:val="fr-FR"/>
        </w:rPr>
        <w:t xml:space="preserve"> de la possibilité de réclamer, il faut s’en remettre au programme général d’avis aux membres, lequel n’est pas particulièrement </w:t>
      </w:r>
      <w:r w:rsidR="00844B2B">
        <w:rPr>
          <w:rFonts w:eastAsia="Arial"/>
          <w:lang w:val="fr-FR"/>
        </w:rPr>
        <w:t>ambitieux et</w:t>
      </w:r>
      <w:r w:rsidR="00170671">
        <w:rPr>
          <w:rFonts w:eastAsia="Arial"/>
          <w:lang w:val="fr-FR"/>
        </w:rPr>
        <w:t xml:space="preserve"> dont il n’existe aucune preuve de son efficacité</w:t>
      </w:r>
      <w:r w:rsidR="00023D91">
        <w:rPr>
          <w:rFonts w:eastAsia="Arial"/>
          <w:lang w:val="fr-FR"/>
        </w:rPr>
        <w:t>.</w:t>
      </w:r>
    </w:p>
    <w:p w14:paraId="3FAE89E5" w14:textId="77777777" w:rsidR="001616B7" w:rsidRDefault="00B37051" w:rsidP="00256062">
      <w:pPr>
        <w:pStyle w:val="Paragrsimple"/>
        <w:rPr>
          <w:rFonts w:eastAsia="Arial"/>
          <w:lang w:val="fr-FR"/>
        </w:rPr>
      </w:pPr>
      <w:r>
        <w:rPr>
          <w:rFonts w:eastAsia="Arial"/>
          <w:lang w:val="fr-FR"/>
        </w:rPr>
        <w:t>L</w:t>
      </w:r>
      <w:r w:rsidR="00F55D68" w:rsidRPr="00AC1EA0">
        <w:rPr>
          <w:rFonts w:eastAsia="Arial"/>
          <w:lang w:val="fr-FR"/>
        </w:rPr>
        <w:t xml:space="preserve">es </w:t>
      </w:r>
      <w:r w:rsidR="00170671">
        <w:rPr>
          <w:rFonts w:eastAsia="Arial"/>
          <w:lang w:val="fr-FR"/>
        </w:rPr>
        <w:t>m</w:t>
      </w:r>
      <w:r w:rsidR="00F55D68" w:rsidRPr="00AC1EA0">
        <w:rPr>
          <w:rFonts w:eastAsia="Arial"/>
          <w:lang w:val="fr-FR"/>
        </w:rPr>
        <w:t xml:space="preserve">embres ont </w:t>
      </w:r>
      <w:r w:rsidR="006B058C">
        <w:rPr>
          <w:rFonts w:eastAsia="Arial"/>
          <w:lang w:val="fr-FR"/>
        </w:rPr>
        <w:t>trois</w:t>
      </w:r>
      <w:r w:rsidR="00F55D68" w:rsidRPr="00AC1EA0">
        <w:rPr>
          <w:rFonts w:eastAsia="Arial"/>
          <w:lang w:val="fr-FR"/>
        </w:rPr>
        <w:t xml:space="preserve"> mois </w:t>
      </w:r>
      <w:r w:rsidR="006B058C">
        <w:rPr>
          <w:rFonts w:eastAsia="Arial"/>
          <w:lang w:val="fr-FR"/>
        </w:rPr>
        <w:t xml:space="preserve">(90 jours) </w:t>
      </w:r>
      <w:r w:rsidR="00F55D68" w:rsidRPr="00AC1EA0">
        <w:rPr>
          <w:rFonts w:eastAsia="Arial"/>
          <w:lang w:val="fr-FR"/>
        </w:rPr>
        <w:t>pour déposer une</w:t>
      </w:r>
      <w:r w:rsidR="00AC1EA0" w:rsidRPr="00AC1EA0">
        <w:rPr>
          <w:rFonts w:eastAsia="Arial"/>
          <w:lang w:val="fr-FR"/>
        </w:rPr>
        <w:t xml:space="preserve"> </w:t>
      </w:r>
      <w:r w:rsidR="00F55D68" w:rsidRPr="00AC1EA0">
        <w:rPr>
          <w:rFonts w:eastAsia="Arial"/>
          <w:lang w:val="fr-FR"/>
        </w:rPr>
        <w:t>réclamation.</w:t>
      </w:r>
      <w:r w:rsidR="006B058C">
        <w:rPr>
          <w:rFonts w:eastAsia="Arial"/>
          <w:lang w:val="fr-FR"/>
        </w:rPr>
        <w:t xml:space="preserve"> Le délai semble </w:t>
      </w:r>
      <w:r w:rsidR="00170671">
        <w:rPr>
          <w:rFonts w:eastAsia="Arial"/>
          <w:lang w:val="fr-FR"/>
        </w:rPr>
        <w:t>t</w:t>
      </w:r>
      <w:r w:rsidR="006B058C">
        <w:rPr>
          <w:rFonts w:eastAsia="Arial"/>
          <w:lang w:val="fr-FR"/>
        </w:rPr>
        <w:t>rop court</w:t>
      </w:r>
      <w:r w:rsidR="00170671">
        <w:rPr>
          <w:rFonts w:eastAsia="Arial"/>
          <w:lang w:val="fr-FR"/>
        </w:rPr>
        <w:t xml:space="preserve">, à tout le moins pour les 1 529 590 membres du </w:t>
      </w:r>
      <w:r w:rsidR="00F7456E">
        <w:rPr>
          <w:rFonts w:eastAsia="Arial"/>
          <w:lang w:val="fr-FR"/>
        </w:rPr>
        <w:t xml:space="preserve">groupe </w:t>
      </w:r>
      <w:r w:rsidR="00170671">
        <w:rPr>
          <w:rFonts w:eastAsia="Arial"/>
          <w:lang w:val="fr-FR"/>
        </w:rPr>
        <w:t>qui ne recevront pas de communication directe.</w:t>
      </w:r>
      <w:r w:rsidR="006B058C">
        <w:rPr>
          <w:rFonts w:eastAsia="Arial"/>
          <w:lang w:val="fr-FR"/>
        </w:rPr>
        <w:t xml:space="preserve"> </w:t>
      </w:r>
      <w:r w:rsidR="00170671">
        <w:rPr>
          <w:rFonts w:eastAsia="Arial"/>
          <w:lang w:val="fr-FR"/>
        </w:rPr>
        <w:t>A</w:t>
      </w:r>
      <w:r w:rsidR="006B058C">
        <w:rPr>
          <w:rFonts w:eastAsia="Arial"/>
          <w:lang w:val="fr-FR"/>
        </w:rPr>
        <w:t>ucune preuve ne démontre qu</w:t>
      </w:r>
      <w:r w:rsidR="00170671">
        <w:rPr>
          <w:rFonts w:eastAsia="Arial"/>
          <w:lang w:val="fr-FR"/>
        </w:rPr>
        <w:t>e ce délai</w:t>
      </w:r>
      <w:r w:rsidR="006B058C">
        <w:rPr>
          <w:rFonts w:eastAsia="Arial"/>
          <w:lang w:val="fr-FR"/>
        </w:rPr>
        <w:t xml:space="preserve"> </w:t>
      </w:r>
      <w:r w:rsidR="00170D69">
        <w:rPr>
          <w:rFonts w:eastAsia="Arial"/>
          <w:lang w:val="fr-FR"/>
        </w:rPr>
        <w:t xml:space="preserve">est </w:t>
      </w:r>
      <w:r w:rsidR="006B058C">
        <w:rPr>
          <w:rFonts w:eastAsia="Arial"/>
          <w:lang w:val="fr-FR"/>
        </w:rPr>
        <w:t>approprié.</w:t>
      </w:r>
    </w:p>
    <w:p w14:paraId="25ECFCFF" w14:textId="77777777" w:rsidR="001B5488" w:rsidRDefault="00B37051" w:rsidP="001B5488">
      <w:pPr>
        <w:pStyle w:val="Titre3"/>
        <w:rPr>
          <w:rFonts w:eastAsia="Arial"/>
          <w:lang w:val="fr-FR"/>
        </w:rPr>
      </w:pPr>
      <w:r>
        <w:rPr>
          <w:rFonts w:eastAsia="Arial"/>
          <w:lang w:val="fr-FR"/>
        </w:rPr>
        <w:t>Les probabilités de succès du recours</w:t>
      </w:r>
      <w:r w:rsidR="004F1A7A">
        <w:rPr>
          <w:rFonts w:eastAsia="Arial"/>
          <w:lang w:val="fr-FR"/>
        </w:rPr>
        <w:t xml:space="preserve"> et l’importance et la nature de la preuve à administrer</w:t>
      </w:r>
    </w:p>
    <w:p w14:paraId="0FB27E35" w14:textId="77777777" w:rsidR="00494201" w:rsidRPr="00B63979" w:rsidRDefault="00B37051" w:rsidP="00B63979">
      <w:pPr>
        <w:pStyle w:val="Paragrsimple"/>
        <w:rPr>
          <w:lang w:eastAsia="en-CA"/>
        </w:rPr>
      </w:pPr>
      <w:r w:rsidRPr="00B63979">
        <w:t>L</w:t>
      </w:r>
      <w:r w:rsidR="008D784E">
        <w:t>e</w:t>
      </w:r>
      <w:r w:rsidRPr="00B63979">
        <w:t xml:space="preserve"> </w:t>
      </w:r>
      <w:r w:rsidRPr="00F56B3A">
        <w:rPr>
          <w:i/>
          <w:iCs/>
        </w:rPr>
        <w:t>Code civil du Québec</w:t>
      </w:r>
      <w:r w:rsidRPr="00B63979">
        <w:t xml:space="preserve"> </w:t>
      </w:r>
      <w:r w:rsidR="002075F9">
        <w:t>(« </w:t>
      </w:r>
      <w:r w:rsidR="002075F9" w:rsidRPr="00F56B3A">
        <w:rPr>
          <w:b/>
          <w:bCs/>
        </w:rPr>
        <w:t>C.c.Q.</w:t>
      </w:r>
      <w:r w:rsidR="002075F9">
        <w:t xml:space="preserve"> ») </w:t>
      </w:r>
      <w:r w:rsidRPr="00B63979">
        <w:t>pose le cadre général de la responsabilité et de l’exercice des droits. L’article 1457 impose à toute personne le devoir de respecter les règles de conduite pour ne pas causer de préjudice à autrui, et prévoit l’obligation de réparer le préjudice corporel, moral ou matériel causé par la faute, ainsi que, dans certains cas, celui causé par le fait d’autrui ou des biens sous sa garde.</w:t>
      </w:r>
    </w:p>
    <w:p w14:paraId="4DA07A3D" w14:textId="77777777" w:rsidR="00D063E5" w:rsidRDefault="00B37051" w:rsidP="00B63979">
      <w:pPr>
        <w:pStyle w:val="Paragrsimple"/>
      </w:pPr>
      <w:r w:rsidRPr="00B63979">
        <w:t>L’article 36 C.c.Q. énumère des exemples d’atteintes à la vie privée (pénétrer chez une personne, intercepter une communication privée, surveiller sa vie privée, utiliser son nom, son image ou ses documents personnels à d’autres fins que l’information légitime du public).</w:t>
      </w:r>
    </w:p>
    <w:p w14:paraId="207E5ED6" w14:textId="77777777" w:rsidR="00494201" w:rsidRPr="00B63979" w:rsidRDefault="00B37051" w:rsidP="00B63979">
      <w:pPr>
        <w:pStyle w:val="Paragrsimple"/>
      </w:pPr>
      <w:r w:rsidRPr="00B63979">
        <w:t xml:space="preserve">L’article 2803 </w:t>
      </w:r>
      <w:r w:rsidR="008D784E">
        <w:t xml:space="preserve">C.c.Q. </w:t>
      </w:r>
      <w:r w:rsidRPr="00B63979">
        <w:t>rappelle que celui qui veut faire valoir un droit doit prouver les faits qui soutiennent sa prétention; celui qui invoque la nullité, la modification ou l’extinction d’un droit doit aussi prouver les faits sur lesquels repose sa prétention.</w:t>
      </w:r>
    </w:p>
    <w:p w14:paraId="2B090811" w14:textId="77777777" w:rsidR="00570CA7" w:rsidRDefault="00B37051" w:rsidP="00570CA7">
      <w:pPr>
        <w:pStyle w:val="Paragrsimple"/>
        <w:rPr>
          <w:rFonts w:eastAsia="Arial"/>
          <w:lang w:val="fr-FR"/>
        </w:rPr>
      </w:pPr>
      <w:r w:rsidRPr="0040661D">
        <w:rPr>
          <w:rFonts w:eastAsia="Arial"/>
          <w:lang w:val="fr-FR"/>
        </w:rPr>
        <w:t>Bien que l</w:t>
      </w:r>
      <w:r>
        <w:rPr>
          <w:rFonts w:eastAsia="Arial"/>
          <w:lang w:val="fr-FR"/>
        </w:rPr>
        <w:t>es</w:t>
      </w:r>
      <w:r w:rsidRPr="0040661D">
        <w:rPr>
          <w:rFonts w:eastAsia="Arial"/>
          <w:lang w:val="fr-FR"/>
        </w:rPr>
        <w:t xml:space="preserve"> </w:t>
      </w:r>
      <w:r w:rsidR="00F14396">
        <w:rPr>
          <w:rFonts w:eastAsia="Arial"/>
          <w:lang w:val="fr-FR"/>
        </w:rPr>
        <w:t>d</w:t>
      </w:r>
      <w:r>
        <w:rPr>
          <w:rFonts w:eastAsia="Arial"/>
          <w:lang w:val="fr-FR"/>
        </w:rPr>
        <w:t>emandeurs</w:t>
      </w:r>
      <w:r w:rsidRPr="0040661D">
        <w:rPr>
          <w:rFonts w:eastAsia="Arial"/>
          <w:lang w:val="fr-FR"/>
        </w:rPr>
        <w:t xml:space="preserve"> </w:t>
      </w:r>
      <w:r>
        <w:rPr>
          <w:rFonts w:eastAsia="Arial"/>
          <w:lang w:val="fr-FR"/>
        </w:rPr>
        <w:t>aient</w:t>
      </w:r>
      <w:r w:rsidRPr="0040661D">
        <w:rPr>
          <w:rFonts w:eastAsia="Arial"/>
          <w:lang w:val="fr-FR"/>
        </w:rPr>
        <w:t xml:space="preserve"> </w:t>
      </w:r>
      <w:r>
        <w:rPr>
          <w:rFonts w:eastAsia="Arial"/>
          <w:lang w:val="fr-FR"/>
        </w:rPr>
        <w:t>confiance</w:t>
      </w:r>
      <w:r w:rsidRPr="0040661D">
        <w:rPr>
          <w:rFonts w:eastAsia="Arial"/>
          <w:lang w:val="fr-FR"/>
        </w:rPr>
        <w:t xml:space="preserve"> </w:t>
      </w:r>
      <w:r>
        <w:rPr>
          <w:rFonts w:eastAsia="Arial"/>
          <w:lang w:val="fr-FR"/>
        </w:rPr>
        <w:t>d’</w:t>
      </w:r>
      <w:r w:rsidRPr="0040661D">
        <w:rPr>
          <w:rFonts w:eastAsia="Arial"/>
          <w:lang w:val="fr-FR"/>
        </w:rPr>
        <w:t xml:space="preserve">obtenir gain de cause au mérite, </w:t>
      </w:r>
      <w:r>
        <w:rPr>
          <w:rFonts w:eastAsia="Arial"/>
          <w:lang w:val="fr-FR"/>
        </w:rPr>
        <w:t>il</w:t>
      </w:r>
      <w:r w:rsidRPr="0040661D">
        <w:rPr>
          <w:rFonts w:eastAsia="Arial"/>
          <w:lang w:val="fr-FR"/>
        </w:rPr>
        <w:t xml:space="preserve"> </w:t>
      </w:r>
      <w:r>
        <w:rPr>
          <w:rFonts w:eastAsia="Arial"/>
          <w:lang w:val="fr-FR"/>
        </w:rPr>
        <w:t>existe</w:t>
      </w:r>
      <w:r w:rsidRPr="0040661D">
        <w:rPr>
          <w:rFonts w:eastAsia="Arial"/>
          <w:lang w:val="fr-FR"/>
        </w:rPr>
        <w:t xml:space="preserve"> des risques, des difficultés et des coûts inhérents à toute action en justice.</w:t>
      </w:r>
      <w:r>
        <w:rPr>
          <w:rFonts w:eastAsia="Arial"/>
          <w:lang w:val="fr-FR"/>
        </w:rPr>
        <w:t xml:space="preserve"> </w:t>
      </w:r>
    </w:p>
    <w:p w14:paraId="1487433A" w14:textId="77777777" w:rsidR="00C2621F" w:rsidRDefault="00B37051" w:rsidP="00570CA7">
      <w:pPr>
        <w:pStyle w:val="Paragrsimple"/>
        <w:rPr>
          <w:rFonts w:eastAsia="Arial"/>
          <w:lang w:val="fr-FR"/>
        </w:rPr>
      </w:pPr>
      <w:r>
        <w:rPr>
          <w:rFonts w:eastAsia="Arial"/>
        </w:rPr>
        <w:t xml:space="preserve">Plusieurs </w:t>
      </w:r>
      <w:r w:rsidRPr="00C2621F">
        <w:rPr>
          <w:rFonts w:eastAsia="Arial"/>
        </w:rPr>
        <w:t>années se sont écoulées depuis</w:t>
      </w:r>
      <w:r>
        <w:rPr>
          <w:rFonts w:eastAsia="Arial"/>
        </w:rPr>
        <w:t xml:space="preserve"> les intr</w:t>
      </w:r>
      <w:r w:rsidR="00D063E5">
        <w:rPr>
          <w:rFonts w:eastAsia="Arial"/>
        </w:rPr>
        <w:t>usions</w:t>
      </w:r>
      <w:r>
        <w:rPr>
          <w:rFonts w:eastAsia="Arial"/>
        </w:rPr>
        <w:t xml:space="preserve"> non autorisées</w:t>
      </w:r>
      <w:r w:rsidR="00D063E5">
        <w:rPr>
          <w:rFonts w:eastAsia="Arial"/>
        </w:rPr>
        <w:t xml:space="preserve"> dans les systèmes de la défenderesse</w:t>
      </w:r>
      <w:r w:rsidRPr="00C2621F">
        <w:rPr>
          <w:rFonts w:eastAsia="Arial"/>
        </w:rPr>
        <w:t xml:space="preserve">. À ce jour, les avocats du groupe n’ont pas réussi à établir de manière concluante que des renseignements personnels ont été compromis de </w:t>
      </w:r>
      <w:r w:rsidRPr="00C2621F">
        <w:rPr>
          <w:rFonts w:eastAsia="Arial"/>
        </w:rPr>
        <w:lastRenderedPageBreak/>
        <w:t xml:space="preserve">quelque façon. </w:t>
      </w:r>
      <w:r>
        <w:rPr>
          <w:rFonts w:eastAsia="Arial"/>
        </w:rPr>
        <w:t>Les parties n’ont rapporté</w:t>
      </w:r>
      <w:r w:rsidRPr="00C2621F">
        <w:rPr>
          <w:rFonts w:eastAsia="Arial"/>
        </w:rPr>
        <w:t xml:space="preserve"> aucune preuve qu’un tiers a utilisé</w:t>
      </w:r>
      <w:r w:rsidR="00850C6D">
        <w:rPr>
          <w:rFonts w:eastAsia="Arial"/>
        </w:rPr>
        <w:t xml:space="preserve"> les renseignements personnels volés</w:t>
      </w:r>
      <w:r w:rsidRPr="00C2621F">
        <w:rPr>
          <w:rFonts w:eastAsia="Arial"/>
        </w:rPr>
        <w:t xml:space="preserve"> à des fins illicites ou inappropriées</w:t>
      </w:r>
      <w:r w:rsidR="00850C6D">
        <w:rPr>
          <w:rFonts w:eastAsia="Arial"/>
        </w:rPr>
        <w:t>.</w:t>
      </w:r>
    </w:p>
    <w:p w14:paraId="242AD3C0" w14:textId="77777777" w:rsidR="00A45B55" w:rsidRPr="008D3924" w:rsidRDefault="00B37051" w:rsidP="00570CA7">
      <w:pPr>
        <w:pStyle w:val="Paragrsimple"/>
        <w:rPr>
          <w:rFonts w:eastAsia="Arial"/>
          <w:lang w:val="fr-FR"/>
        </w:rPr>
      </w:pPr>
      <w:r w:rsidRPr="00A45B55">
        <w:rPr>
          <w:rFonts w:eastAsia="Arial"/>
        </w:rPr>
        <w:t xml:space="preserve">Si l’affaire débouche sur un procès, il appartiendrait aux demandeurs de faire la preuve qu’il y a effectivement eu atteinte à leur vie privée. </w:t>
      </w:r>
      <w:r w:rsidR="008D3924">
        <w:rPr>
          <w:rFonts w:eastAsia="Arial"/>
        </w:rPr>
        <w:t xml:space="preserve">Le </w:t>
      </w:r>
      <w:r w:rsidR="00E80A86">
        <w:rPr>
          <w:rFonts w:eastAsia="Arial"/>
        </w:rPr>
        <w:t xml:space="preserve">Tribunal </w:t>
      </w:r>
      <w:r w:rsidR="008D3924">
        <w:rPr>
          <w:rFonts w:eastAsia="Arial"/>
        </w:rPr>
        <w:t>n’a pas eu accès à la preuve recueillie à ce jour.</w:t>
      </w:r>
      <w:r w:rsidRPr="00A45B55">
        <w:rPr>
          <w:rFonts w:eastAsia="Arial"/>
        </w:rPr>
        <w:t xml:space="preserve"> </w:t>
      </w:r>
      <w:r w:rsidR="008D3924">
        <w:rPr>
          <w:rFonts w:eastAsia="Arial"/>
        </w:rPr>
        <w:t>I</w:t>
      </w:r>
      <w:r w:rsidRPr="00A45B55">
        <w:rPr>
          <w:rFonts w:eastAsia="Arial"/>
        </w:rPr>
        <w:t>l est certain que les demandeurs devraient surmonter des obstacles considérables pour s’acquitter du fardeau d’établir que le</w:t>
      </w:r>
      <w:r w:rsidR="00D063E5">
        <w:rPr>
          <w:rFonts w:eastAsia="Arial"/>
        </w:rPr>
        <w:t>ur</w:t>
      </w:r>
      <w:r w:rsidRPr="00A45B55">
        <w:rPr>
          <w:rFonts w:eastAsia="Arial"/>
        </w:rPr>
        <w:t>s renseignements personnels ont été compromis ou</w:t>
      </w:r>
      <w:r w:rsidR="008D3924">
        <w:rPr>
          <w:rFonts w:eastAsia="Arial"/>
        </w:rPr>
        <w:t xml:space="preserve"> utilisés </w:t>
      </w:r>
      <w:r w:rsidRPr="00A45B55">
        <w:rPr>
          <w:rFonts w:eastAsia="Arial"/>
        </w:rPr>
        <w:t>illicitement de quelque façon.</w:t>
      </w:r>
    </w:p>
    <w:p w14:paraId="1A0A31C3" w14:textId="77777777" w:rsidR="00A3356B" w:rsidRDefault="00B37051" w:rsidP="00570CA7">
      <w:pPr>
        <w:pStyle w:val="Paragrsimple"/>
        <w:rPr>
          <w:rFonts w:eastAsia="Arial"/>
          <w:lang w:val="fr-FR"/>
        </w:rPr>
      </w:pPr>
      <w:r>
        <w:rPr>
          <w:rFonts w:eastAsia="Arial"/>
          <w:lang w:val="fr-FR"/>
        </w:rPr>
        <w:t xml:space="preserve">En l’absence de preuve de dommages spécifiques, peu de jugements accordent des indemnités </w:t>
      </w:r>
      <w:r w:rsidR="00AE1A50">
        <w:rPr>
          <w:rFonts w:eastAsia="Arial"/>
          <w:lang w:val="fr-FR"/>
        </w:rPr>
        <w:t>pour les simples inconvénients</w:t>
      </w:r>
      <w:r w:rsidR="00AB7503">
        <w:rPr>
          <w:rFonts w:eastAsia="Arial"/>
          <w:lang w:val="fr-FR"/>
        </w:rPr>
        <w:t xml:space="preserve"> que </w:t>
      </w:r>
      <w:r w:rsidR="00827BEE">
        <w:rPr>
          <w:rFonts w:eastAsia="Arial"/>
          <w:lang w:val="fr-FR"/>
        </w:rPr>
        <w:t xml:space="preserve">pourrait </w:t>
      </w:r>
      <w:r w:rsidR="00AB7503">
        <w:rPr>
          <w:rFonts w:eastAsia="Arial"/>
          <w:lang w:val="fr-FR"/>
        </w:rPr>
        <w:t>constituer le fait d’avoir à prendre certaines précautions ou encore pour le stress que la situation pourrait être susceptible de causer.</w:t>
      </w:r>
      <w:r w:rsidR="00537920">
        <w:rPr>
          <w:rFonts w:eastAsia="Arial"/>
          <w:lang w:val="fr-FR"/>
        </w:rPr>
        <w:t xml:space="preserve"> </w:t>
      </w:r>
      <w:r w:rsidR="00537920">
        <w:rPr>
          <w:rFonts w:eastAsia="Arial"/>
        </w:rPr>
        <w:t>L</w:t>
      </w:r>
      <w:r w:rsidR="00537920" w:rsidRPr="00537920">
        <w:rPr>
          <w:rFonts w:eastAsia="Arial"/>
        </w:rPr>
        <w:t>e risque de développer un préjudice futur n’est pas un dommage qui peut être compensé en droit québécois.</w:t>
      </w:r>
      <w:r w:rsidR="00057BD6">
        <w:rPr>
          <w:rFonts w:eastAsia="Arial"/>
        </w:rPr>
        <w:t xml:space="preserve"> </w:t>
      </w:r>
      <w:r w:rsidR="00537920" w:rsidRPr="00537920">
        <w:rPr>
          <w:rFonts w:eastAsia="Arial"/>
        </w:rPr>
        <w:t xml:space="preserve">Il s’agit d’un dommage incertain et hypothétique, </w:t>
      </w:r>
      <w:r w:rsidR="00537920">
        <w:rPr>
          <w:rFonts w:eastAsia="Arial"/>
        </w:rPr>
        <w:t xml:space="preserve">non autorisé </w:t>
      </w:r>
      <w:r w:rsidR="001A3D20">
        <w:rPr>
          <w:rFonts w:eastAsia="Arial"/>
        </w:rPr>
        <w:t>par</w:t>
      </w:r>
      <w:r w:rsidR="001A3D20" w:rsidRPr="00537920">
        <w:rPr>
          <w:rFonts w:eastAsia="Arial"/>
        </w:rPr>
        <w:t xml:space="preserve"> </w:t>
      </w:r>
      <w:r w:rsidR="00537920" w:rsidRPr="00537920">
        <w:rPr>
          <w:rFonts w:eastAsia="Arial"/>
        </w:rPr>
        <w:t>l’</w:t>
      </w:r>
      <w:r w:rsidR="00E16A2A" w:rsidRPr="00B969D2">
        <w:rPr>
          <w:rFonts w:eastAsia="Arial"/>
        </w:rPr>
        <w:t>article 1611</w:t>
      </w:r>
      <w:r w:rsidR="00537920" w:rsidRPr="00B969D2">
        <w:rPr>
          <w:rFonts w:eastAsia="Arial"/>
        </w:rPr>
        <w:t> </w:t>
      </w:r>
      <w:r w:rsidR="00E16A2A" w:rsidRPr="00B969D2">
        <w:rPr>
          <w:rFonts w:eastAsia="Arial"/>
        </w:rPr>
        <w:t>C.c.Q</w:t>
      </w:r>
      <w:r w:rsidR="001A3D20" w:rsidRPr="00B969D2">
        <w:rPr>
          <w:rFonts w:eastAsia="Arial"/>
        </w:rPr>
        <w:t>.</w:t>
      </w:r>
      <w:r w:rsidR="00A23F2A" w:rsidRPr="00B969D2">
        <w:rPr>
          <w:rFonts w:eastAsia="Arial"/>
          <w:lang w:val="fr-FR"/>
        </w:rPr>
        <w:t xml:space="preserve"> </w:t>
      </w:r>
      <w:r w:rsidR="00537920" w:rsidRPr="00537920">
        <w:rPr>
          <w:rFonts w:eastAsia="Arial"/>
        </w:rPr>
        <w:t>Un risque n’est pas un préjudice certain.</w:t>
      </w:r>
    </w:p>
    <w:p w14:paraId="1423C47C" w14:textId="77777777" w:rsidR="00751A0E" w:rsidRPr="00765C14" w:rsidRDefault="00B37051" w:rsidP="00834804">
      <w:pPr>
        <w:pStyle w:val="Paragrsimple"/>
        <w:rPr>
          <w:rFonts w:eastAsia="Arial"/>
          <w:lang w:val="fr-FR"/>
        </w:rPr>
      </w:pPr>
      <w:r w:rsidRPr="00765C14">
        <w:rPr>
          <w:rFonts w:eastAsia="Arial"/>
          <w:lang w:val="fr-FR"/>
        </w:rPr>
        <w:t>Le principal risque du recours pourrait se situer au niveau de la démonstration du lien de causalité entre la faute et les dommages. Il ne s’agit pas d’une difficulté insurmontable mais cette difficulté doit être prise en compte dans l’évaluation des chances de succès du recours et être soupesée dans l’analyse de de la Transaction proposée.</w:t>
      </w:r>
      <w:r>
        <w:rPr>
          <w:rFonts w:eastAsia="Arial"/>
          <w:lang w:val="fr-FR"/>
        </w:rPr>
        <w:t xml:space="preserve"> I</w:t>
      </w:r>
      <w:r w:rsidRPr="00765C14">
        <w:rPr>
          <w:rFonts w:eastAsia="Arial"/>
          <w:lang w:val="fr-FR"/>
        </w:rPr>
        <w:t>l est probable qu’</w:t>
      </w:r>
      <w:r w:rsidR="00F13E50" w:rsidRPr="00765C14">
        <w:rPr>
          <w:rFonts w:eastAsia="Arial"/>
          <w:lang w:val="fr-FR"/>
        </w:rPr>
        <w:t xml:space="preserve">un certain nombre de présomptions </w:t>
      </w:r>
      <w:r w:rsidR="00363DA7" w:rsidRPr="00765C14">
        <w:rPr>
          <w:rFonts w:eastAsia="Arial"/>
          <w:lang w:val="fr-FR"/>
        </w:rPr>
        <w:t xml:space="preserve">soient </w:t>
      </w:r>
      <w:r w:rsidR="00F13E50" w:rsidRPr="00765C14">
        <w:rPr>
          <w:rFonts w:eastAsia="Arial"/>
          <w:lang w:val="fr-FR"/>
        </w:rPr>
        <w:t xml:space="preserve">nécessaires pour établir </w:t>
      </w:r>
      <w:r>
        <w:rPr>
          <w:rFonts w:eastAsia="Arial"/>
          <w:lang w:val="fr-FR"/>
        </w:rPr>
        <w:t>ce lien de causalité</w:t>
      </w:r>
      <w:r w:rsidR="00F13E50" w:rsidRPr="00765C14">
        <w:rPr>
          <w:rFonts w:eastAsia="Arial"/>
          <w:lang w:val="fr-FR"/>
        </w:rPr>
        <w:t>.</w:t>
      </w:r>
    </w:p>
    <w:p w14:paraId="3B3576D4" w14:textId="77777777" w:rsidR="00F13E50" w:rsidRDefault="00B37051" w:rsidP="00570CA7">
      <w:pPr>
        <w:pStyle w:val="Paragrsimple"/>
        <w:rPr>
          <w:rFonts w:eastAsia="Arial"/>
          <w:lang w:val="fr-FR"/>
        </w:rPr>
      </w:pPr>
      <w:r>
        <w:rPr>
          <w:rFonts w:eastAsia="Arial"/>
          <w:lang w:val="fr-FR"/>
        </w:rPr>
        <w:t>Outre le</w:t>
      </w:r>
      <w:r w:rsidR="000C657C">
        <w:rPr>
          <w:rFonts w:eastAsia="Arial"/>
          <w:lang w:val="fr-FR"/>
        </w:rPr>
        <w:t>s</w:t>
      </w:r>
      <w:r>
        <w:rPr>
          <w:rFonts w:eastAsia="Arial"/>
          <w:lang w:val="fr-FR"/>
        </w:rPr>
        <w:t xml:space="preserve"> difficultés de preuve quant à </w:t>
      </w:r>
      <w:r w:rsidRPr="00F13E50">
        <w:rPr>
          <w:rFonts w:eastAsia="Arial"/>
        </w:rPr>
        <w:t>l’utilisation qui a pu être faite</w:t>
      </w:r>
      <w:r>
        <w:rPr>
          <w:rFonts w:eastAsia="Arial"/>
        </w:rPr>
        <w:t xml:space="preserve"> de l’identité volée</w:t>
      </w:r>
      <w:r w:rsidR="00B80916">
        <w:rPr>
          <w:rFonts w:eastAsia="Arial"/>
        </w:rPr>
        <w:t>,</w:t>
      </w:r>
      <w:r w:rsidRPr="00F13E50">
        <w:rPr>
          <w:rFonts w:eastAsia="Arial"/>
        </w:rPr>
        <w:t xml:space="preserve"> </w:t>
      </w:r>
      <w:r>
        <w:rPr>
          <w:rFonts w:eastAsia="Arial"/>
        </w:rPr>
        <w:t>il faut également</w:t>
      </w:r>
      <w:r w:rsidRPr="00F13E50">
        <w:rPr>
          <w:rFonts w:eastAsia="Arial"/>
        </w:rPr>
        <w:t xml:space="preserve"> compter </w:t>
      </w:r>
      <w:r w:rsidR="00624C40">
        <w:rPr>
          <w:rFonts w:eastAsia="Arial"/>
        </w:rPr>
        <w:t>sur la possibilité d’i</w:t>
      </w:r>
      <w:r w:rsidRPr="00F13E50">
        <w:rPr>
          <w:rFonts w:eastAsia="Arial"/>
        </w:rPr>
        <w:t xml:space="preserve">ncidents </w:t>
      </w:r>
      <w:r w:rsidR="00624C40">
        <w:rPr>
          <w:rFonts w:eastAsia="Arial"/>
        </w:rPr>
        <w:t xml:space="preserve">procéduraux </w:t>
      </w:r>
      <w:r w:rsidRPr="00F13E50">
        <w:rPr>
          <w:rFonts w:eastAsia="Arial"/>
        </w:rPr>
        <w:t xml:space="preserve">qui </w:t>
      </w:r>
      <w:r w:rsidR="008D3924">
        <w:rPr>
          <w:rFonts w:eastAsia="Arial"/>
        </w:rPr>
        <w:t>pourraient</w:t>
      </w:r>
      <w:r w:rsidRPr="00F13E50">
        <w:rPr>
          <w:rFonts w:eastAsia="Arial"/>
        </w:rPr>
        <w:t xml:space="preserve"> survenir et les appels prévisibles, que ce soit après un jugement au mérite de l’affaire, ou même en cours d’instance, considérant la nature des questions soulevées, notamment au regard de la confidentialité des données personnelles et des pratiques de</w:t>
      </w:r>
      <w:r w:rsidR="004E1EF6">
        <w:rPr>
          <w:rFonts w:eastAsia="Arial"/>
        </w:rPr>
        <w:t xml:space="preserve"> la défenderesse</w:t>
      </w:r>
      <w:r w:rsidRPr="00F13E50">
        <w:rPr>
          <w:rFonts w:eastAsia="Arial"/>
        </w:rPr>
        <w:t>.</w:t>
      </w:r>
    </w:p>
    <w:p w14:paraId="0D1C7C2F" w14:textId="77777777" w:rsidR="0074642F" w:rsidRDefault="00B37051" w:rsidP="00570CA7">
      <w:pPr>
        <w:pStyle w:val="Paragrsimple"/>
        <w:rPr>
          <w:rFonts w:eastAsia="Arial"/>
          <w:lang w:val="fr-FR"/>
        </w:rPr>
      </w:pPr>
      <w:r>
        <w:rPr>
          <w:rFonts w:eastAsia="Arial"/>
          <w:lang w:val="fr-FR"/>
        </w:rPr>
        <w:t xml:space="preserve">Tel que susdit, ces aspects doivent être mis dans la balance lorsque vient le temps d’analyser </w:t>
      </w:r>
      <w:r w:rsidR="00624C40">
        <w:rPr>
          <w:rFonts w:eastAsia="Arial"/>
          <w:lang w:val="fr-FR"/>
        </w:rPr>
        <w:t xml:space="preserve">les bénéfices de </w:t>
      </w:r>
      <w:r>
        <w:rPr>
          <w:rFonts w:eastAsia="Arial"/>
          <w:lang w:val="fr-FR"/>
        </w:rPr>
        <w:t xml:space="preserve">la Transaction. Or, ici, ces éléments ne font tout simplement pas le poids </w:t>
      </w:r>
      <w:r w:rsidR="0010474E">
        <w:rPr>
          <w:rFonts w:eastAsia="Arial"/>
          <w:lang w:val="fr-FR"/>
        </w:rPr>
        <w:t xml:space="preserve">pour favoriser une Transaction </w:t>
      </w:r>
      <w:r w:rsidR="00730CC2">
        <w:rPr>
          <w:rFonts w:eastAsia="Arial"/>
          <w:lang w:val="fr-FR"/>
        </w:rPr>
        <w:t>vu la contrepartie insuffisante et les risques qui continueront d’être à la charge des membres.</w:t>
      </w:r>
      <w:r w:rsidR="00BE0729">
        <w:rPr>
          <w:rFonts w:eastAsia="Arial"/>
          <w:lang w:val="fr-FR"/>
        </w:rPr>
        <w:t xml:space="preserve"> </w:t>
      </w:r>
    </w:p>
    <w:p w14:paraId="18D4D066" w14:textId="77777777" w:rsidR="008C0327" w:rsidRDefault="00B37051" w:rsidP="00486974">
      <w:pPr>
        <w:pStyle w:val="Titre3"/>
        <w:rPr>
          <w:rFonts w:eastAsia="Arial"/>
          <w:lang w:val="fr-FR"/>
        </w:rPr>
      </w:pPr>
      <w:r>
        <w:rPr>
          <w:rFonts w:eastAsia="Arial"/>
          <w:lang w:val="fr-FR"/>
        </w:rPr>
        <w:t xml:space="preserve">Le </w:t>
      </w:r>
      <w:r w:rsidR="007F04AA">
        <w:rPr>
          <w:rFonts w:eastAsia="Arial"/>
          <w:lang w:val="fr-FR"/>
        </w:rPr>
        <w:t xml:space="preserve">coût </w:t>
      </w:r>
      <w:r>
        <w:rPr>
          <w:rFonts w:eastAsia="Arial"/>
          <w:lang w:val="fr-FR"/>
        </w:rPr>
        <w:t>anticipé et la durée probable du litige</w:t>
      </w:r>
    </w:p>
    <w:p w14:paraId="374B8ACF" w14:textId="77777777" w:rsidR="00E01B88" w:rsidRDefault="00B37051" w:rsidP="00256062">
      <w:pPr>
        <w:pStyle w:val="Paragrsimple"/>
        <w:rPr>
          <w:rFonts w:eastAsia="Arial"/>
          <w:lang w:val="fr-FR"/>
        </w:rPr>
      </w:pPr>
      <w:r>
        <w:rPr>
          <w:rFonts w:eastAsia="Arial"/>
          <w:lang w:val="fr-FR"/>
        </w:rPr>
        <w:t>L’affaire Zuckerman a déjà progressé et</w:t>
      </w:r>
      <w:r w:rsidR="007C654B">
        <w:rPr>
          <w:rFonts w:eastAsia="Arial"/>
          <w:lang w:val="fr-FR"/>
        </w:rPr>
        <w:t xml:space="preserve"> a</w:t>
      </w:r>
      <w:r>
        <w:rPr>
          <w:rFonts w:eastAsia="Arial"/>
          <w:lang w:val="fr-FR"/>
        </w:rPr>
        <w:t xml:space="preserve"> fait l’objet de nombreux débats que l’avocat du </w:t>
      </w:r>
      <w:r w:rsidR="00F7456E">
        <w:rPr>
          <w:rFonts w:eastAsia="Arial"/>
          <w:lang w:val="fr-FR"/>
        </w:rPr>
        <w:t xml:space="preserve">groupe </w:t>
      </w:r>
      <w:r>
        <w:rPr>
          <w:rFonts w:eastAsia="Arial"/>
          <w:lang w:val="fr-FR"/>
        </w:rPr>
        <w:t>a résumé dans s</w:t>
      </w:r>
      <w:r w:rsidR="007C654B">
        <w:rPr>
          <w:rFonts w:eastAsia="Arial"/>
          <w:lang w:val="fr-FR"/>
        </w:rPr>
        <w:t>a demande d’approbation de la Transaction</w:t>
      </w:r>
      <w:r>
        <w:rPr>
          <w:rFonts w:eastAsia="Arial"/>
          <w:lang w:val="fr-FR"/>
        </w:rPr>
        <w:t>.</w:t>
      </w:r>
    </w:p>
    <w:p w14:paraId="6818F20D" w14:textId="77777777" w:rsidR="00587391" w:rsidRDefault="00B37051" w:rsidP="00587391">
      <w:pPr>
        <w:pStyle w:val="Paragrsimple"/>
        <w:rPr>
          <w:rFonts w:eastAsia="Arial"/>
          <w:lang w:val="fr-FR"/>
        </w:rPr>
      </w:pPr>
      <w:r>
        <w:rPr>
          <w:rFonts w:eastAsia="Arial"/>
          <w:lang w:val="fr-FR"/>
        </w:rPr>
        <w:t xml:space="preserve">Les membres du </w:t>
      </w:r>
      <w:r w:rsidR="00F7456E">
        <w:rPr>
          <w:rFonts w:eastAsia="Arial"/>
          <w:lang w:val="fr-FR"/>
        </w:rPr>
        <w:t xml:space="preserve">groupe </w:t>
      </w:r>
      <w:r>
        <w:rPr>
          <w:rFonts w:eastAsia="Arial"/>
          <w:lang w:val="fr-FR"/>
        </w:rPr>
        <w:t xml:space="preserve">n’ont pas à supporter les </w:t>
      </w:r>
      <w:r w:rsidR="007F04AA">
        <w:rPr>
          <w:rFonts w:eastAsia="Arial"/>
          <w:lang w:val="fr-FR"/>
        </w:rPr>
        <w:t xml:space="preserve">coûts </w:t>
      </w:r>
      <w:r>
        <w:rPr>
          <w:rFonts w:eastAsia="Arial"/>
          <w:lang w:val="fr-FR"/>
        </w:rPr>
        <w:t>du litige. Cet élément est donc neutre en ce qui les concerne.</w:t>
      </w:r>
    </w:p>
    <w:p w14:paraId="200AC82C" w14:textId="77777777" w:rsidR="0074642F" w:rsidRDefault="00B37051" w:rsidP="00256062">
      <w:pPr>
        <w:pStyle w:val="Paragrsimple"/>
        <w:rPr>
          <w:rFonts w:eastAsia="Arial"/>
          <w:lang w:val="fr-FR"/>
        </w:rPr>
      </w:pPr>
      <w:r>
        <w:rPr>
          <w:rFonts w:eastAsia="Arial"/>
          <w:lang w:val="fr-FR"/>
        </w:rPr>
        <w:lastRenderedPageBreak/>
        <w:t>Il n’en va pas de même pour la défenderesse</w:t>
      </w:r>
      <w:r w:rsidR="00706DBA">
        <w:rPr>
          <w:rFonts w:eastAsia="Arial"/>
          <w:lang w:val="fr-FR"/>
        </w:rPr>
        <w:t>, ce qui peut expliquer son intérêt à régler.</w:t>
      </w:r>
    </w:p>
    <w:p w14:paraId="58AE0597" w14:textId="77777777" w:rsidR="00706DBA" w:rsidRPr="0040661D" w:rsidRDefault="00B37051" w:rsidP="00256062">
      <w:pPr>
        <w:pStyle w:val="Paragrsimple"/>
        <w:rPr>
          <w:rFonts w:eastAsia="Arial"/>
          <w:lang w:val="fr-FR"/>
        </w:rPr>
      </w:pPr>
      <w:r>
        <w:rPr>
          <w:rFonts w:eastAsia="Arial"/>
          <w:lang w:val="fr-FR"/>
        </w:rPr>
        <w:t xml:space="preserve">Même au niveau de l’administration de la justice, la durée probable du litige et le </w:t>
      </w:r>
      <w:r w:rsidR="005101C4">
        <w:rPr>
          <w:rFonts w:eastAsia="Arial"/>
          <w:lang w:val="fr-FR"/>
        </w:rPr>
        <w:t xml:space="preserve">coût </w:t>
      </w:r>
      <w:r w:rsidR="00A077BD">
        <w:rPr>
          <w:rFonts w:eastAsia="Arial"/>
          <w:lang w:val="fr-FR"/>
        </w:rPr>
        <w:t>qu’il comporte pour le système judiciaire influenc</w:t>
      </w:r>
      <w:r w:rsidR="00B91EFE">
        <w:rPr>
          <w:rFonts w:eastAsia="Arial"/>
          <w:lang w:val="fr-FR"/>
        </w:rPr>
        <w:t>erai</w:t>
      </w:r>
      <w:r w:rsidR="00E75B75">
        <w:rPr>
          <w:rFonts w:eastAsia="Arial"/>
          <w:lang w:val="fr-FR"/>
        </w:rPr>
        <w:t>en</w:t>
      </w:r>
      <w:r w:rsidR="00B91EFE">
        <w:rPr>
          <w:rFonts w:eastAsia="Arial"/>
          <w:lang w:val="fr-FR"/>
        </w:rPr>
        <w:t>t favorablement l’acceptation de la Transaction si ce n’est du risque que l’administration de la justice soit déconsidérée.</w:t>
      </w:r>
    </w:p>
    <w:p w14:paraId="2719683E" w14:textId="77777777" w:rsidR="00256062" w:rsidRPr="00256062" w:rsidRDefault="00B37051" w:rsidP="001B5488">
      <w:pPr>
        <w:pStyle w:val="Titre3"/>
        <w:rPr>
          <w:rFonts w:eastAsia="Arial"/>
          <w:lang w:val="fr-FR"/>
        </w:rPr>
      </w:pPr>
      <w:r w:rsidRPr="00256062">
        <w:rPr>
          <w:rFonts w:eastAsia="Arial"/>
          <w:lang w:val="fr-FR"/>
        </w:rPr>
        <w:t xml:space="preserve">L’opinion des </w:t>
      </w:r>
      <w:r w:rsidR="007968BE">
        <w:rPr>
          <w:rFonts w:eastAsia="Arial"/>
          <w:lang w:val="fr-FR"/>
        </w:rPr>
        <w:t>m</w:t>
      </w:r>
      <w:r w:rsidR="007968BE" w:rsidRPr="00256062">
        <w:rPr>
          <w:rFonts w:eastAsia="Arial"/>
          <w:lang w:val="fr-FR"/>
        </w:rPr>
        <w:t>embres</w:t>
      </w:r>
    </w:p>
    <w:p w14:paraId="14C0EC11" w14:textId="77777777" w:rsidR="000E152A" w:rsidRDefault="00B37051" w:rsidP="00256062">
      <w:pPr>
        <w:pStyle w:val="Paragrsimple"/>
        <w:rPr>
          <w:rFonts w:eastAsia="Arial"/>
          <w:lang w:val="fr-FR"/>
        </w:rPr>
      </w:pPr>
      <w:r>
        <w:rPr>
          <w:rFonts w:eastAsia="Arial"/>
          <w:lang w:val="fr-FR"/>
        </w:rPr>
        <w:t>Les représentants ont donné leur accord pour que le Tribunal entérine la Transaction.</w:t>
      </w:r>
    </w:p>
    <w:p w14:paraId="482CFDF9" w14:textId="77777777" w:rsidR="0003172D" w:rsidRPr="008A48AE" w:rsidRDefault="00B37051" w:rsidP="00CD1CA3">
      <w:pPr>
        <w:pStyle w:val="Paragrsimple"/>
        <w:rPr>
          <w:rFonts w:eastAsia="Arial"/>
          <w:lang w:val="fr-FR"/>
        </w:rPr>
      </w:pPr>
      <w:r w:rsidRPr="008A48AE">
        <w:rPr>
          <w:rFonts w:eastAsia="Arial"/>
          <w:lang w:val="fr-FR"/>
        </w:rPr>
        <w:t xml:space="preserve">Dans Zuckerman, le délai pour s’exclure se terminait le </w:t>
      </w:r>
      <w:r w:rsidR="008A48AE" w:rsidRPr="008A48AE">
        <w:rPr>
          <w:rFonts w:eastAsia="Arial"/>
          <w:lang w:val="fr-FR"/>
        </w:rPr>
        <w:t xml:space="preserve">24 juillet 2023. </w:t>
      </w:r>
      <w:r w:rsidR="00A70FAB" w:rsidRPr="008A48AE">
        <w:rPr>
          <w:rFonts w:eastAsia="Arial"/>
          <w:lang w:val="fr-FR"/>
        </w:rPr>
        <w:t>L</w:t>
      </w:r>
      <w:r w:rsidR="00FF64A9" w:rsidRPr="008A48AE">
        <w:rPr>
          <w:rFonts w:eastAsia="Arial"/>
          <w:lang w:val="fr-FR"/>
        </w:rPr>
        <w:t>’avocat du demandeur rapporte que 224</w:t>
      </w:r>
      <w:r w:rsidRPr="008A48AE">
        <w:rPr>
          <w:rFonts w:eastAsia="Arial"/>
          <w:lang w:val="fr-FR"/>
        </w:rPr>
        <w:t xml:space="preserve"> personnes se sont </w:t>
      </w:r>
      <w:r w:rsidR="00FF64A9" w:rsidRPr="008A48AE">
        <w:rPr>
          <w:rFonts w:eastAsia="Arial"/>
          <w:lang w:val="fr-FR"/>
        </w:rPr>
        <w:t>exclues</w:t>
      </w:r>
      <w:r w:rsidRPr="008A48AE">
        <w:rPr>
          <w:rFonts w:eastAsia="Arial"/>
          <w:lang w:val="fr-FR"/>
        </w:rPr>
        <w:t>.</w:t>
      </w:r>
    </w:p>
    <w:p w14:paraId="01182356" w14:textId="77777777" w:rsidR="0003172D" w:rsidRDefault="00B37051" w:rsidP="00256062">
      <w:pPr>
        <w:pStyle w:val="Paragrsimple"/>
        <w:rPr>
          <w:rFonts w:eastAsia="Arial"/>
          <w:lang w:val="fr-FR"/>
        </w:rPr>
      </w:pPr>
      <w:r>
        <w:rPr>
          <w:rFonts w:eastAsia="Arial"/>
          <w:lang w:val="fr-FR"/>
        </w:rPr>
        <w:t xml:space="preserve">Dans Dahan, le délai pour s’exclure se terminait le </w:t>
      </w:r>
      <w:r w:rsidR="00926602">
        <w:rPr>
          <w:rFonts w:eastAsia="Arial"/>
          <w:lang w:val="fr-FR"/>
        </w:rPr>
        <w:t xml:space="preserve">17 mai 2026. </w:t>
      </w:r>
      <w:r w:rsidR="00831943">
        <w:rPr>
          <w:rFonts w:eastAsia="Arial"/>
          <w:lang w:val="fr-FR"/>
        </w:rPr>
        <w:t>Selon l’avocat du demandeur, 66 personnes se seraient exclues. Le</w:t>
      </w:r>
      <w:r w:rsidR="006A7874">
        <w:rPr>
          <w:rFonts w:eastAsia="Arial"/>
          <w:lang w:val="fr-FR"/>
        </w:rPr>
        <w:t xml:space="preserve"> plumitif de la Cour </w:t>
      </w:r>
      <w:r w:rsidR="004146FB">
        <w:rPr>
          <w:rFonts w:eastAsia="Arial"/>
          <w:lang w:val="fr-FR"/>
        </w:rPr>
        <w:t xml:space="preserve">en date de l’audition </w:t>
      </w:r>
      <w:r w:rsidR="006A7874">
        <w:rPr>
          <w:rFonts w:eastAsia="Arial"/>
          <w:lang w:val="fr-FR"/>
        </w:rPr>
        <w:t>démontr</w:t>
      </w:r>
      <w:r w:rsidR="00B42FFB">
        <w:rPr>
          <w:rFonts w:eastAsia="Arial"/>
          <w:lang w:val="fr-FR"/>
        </w:rPr>
        <w:t>ait</w:t>
      </w:r>
      <w:r w:rsidR="006A7874">
        <w:rPr>
          <w:rFonts w:eastAsia="Arial"/>
          <w:lang w:val="fr-FR"/>
        </w:rPr>
        <w:t xml:space="preserve"> plutôt que 112 personnes </w:t>
      </w:r>
      <w:r w:rsidR="00B42FFB">
        <w:rPr>
          <w:rFonts w:eastAsia="Arial"/>
          <w:lang w:val="fr-FR"/>
        </w:rPr>
        <w:t>s’étaient</w:t>
      </w:r>
      <w:r>
        <w:rPr>
          <w:rFonts w:eastAsia="Arial"/>
          <w:lang w:val="fr-FR"/>
        </w:rPr>
        <w:t xml:space="preserve"> e</w:t>
      </w:r>
      <w:r w:rsidR="006A7874">
        <w:rPr>
          <w:rFonts w:eastAsia="Arial"/>
          <w:lang w:val="fr-FR"/>
        </w:rPr>
        <w:t>x</w:t>
      </w:r>
      <w:r>
        <w:rPr>
          <w:rFonts w:eastAsia="Arial"/>
          <w:lang w:val="fr-FR"/>
        </w:rPr>
        <w:t>c</w:t>
      </w:r>
      <w:r w:rsidR="006A7874">
        <w:rPr>
          <w:rFonts w:eastAsia="Arial"/>
          <w:lang w:val="fr-FR"/>
        </w:rPr>
        <w:t>l</w:t>
      </w:r>
      <w:r>
        <w:rPr>
          <w:rFonts w:eastAsia="Arial"/>
          <w:lang w:val="fr-FR"/>
        </w:rPr>
        <w:t>ues.</w:t>
      </w:r>
      <w:r w:rsidR="004146FB">
        <w:rPr>
          <w:rFonts w:eastAsia="Arial"/>
          <w:lang w:val="fr-FR"/>
        </w:rPr>
        <w:t xml:space="preserve"> Une réconciliation entre les informations de l’avocat et celles au plumitif a été proposée</w:t>
      </w:r>
      <w:r w:rsidR="00F513C8">
        <w:rPr>
          <w:rFonts w:eastAsia="Arial"/>
          <w:lang w:val="fr-FR"/>
        </w:rPr>
        <w:t>,</w:t>
      </w:r>
      <w:r w:rsidR="004146FB">
        <w:rPr>
          <w:rFonts w:eastAsia="Arial"/>
          <w:lang w:val="fr-FR"/>
        </w:rPr>
        <w:t xml:space="preserve"> mais </w:t>
      </w:r>
      <w:r w:rsidR="00B42FFB">
        <w:rPr>
          <w:rFonts w:eastAsia="Arial"/>
          <w:lang w:val="fr-FR"/>
        </w:rPr>
        <w:t xml:space="preserve">rien n’a </w:t>
      </w:r>
      <w:r w:rsidR="004146FB">
        <w:rPr>
          <w:rFonts w:eastAsia="Arial"/>
          <w:lang w:val="fr-FR"/>
        </w:rPr>
        <w:t>été communiqué au Tribunal.</w:t>
      </w:r>
    </w:p>
    <w:p w14:paraId="1610409C" w14:textId="77777777" w:rsidR="00256062" w:rsidRDefault="00B37051" w:rsidP="00256062">
      <w:pPr>
        <w:pStyle w:val="Paragrsimple"/>
        <w:rPr>
          <w:rFonts w:eastAsia="Arial"/>
          <w:lang w:val="fr-FR"/>
        </w:rPr>
      </w:pPr>
      <w:r>
        <w:rPr>
          <w:rFonts w:eastAsia="Arial"/>
          <w:lang w:val="fr-FR"/>
        </w:rPr>
        <w:t xml:space="preserve">Deux </w:t>
      </w:r>
      <w:r w:rsidR="00F55D68" w:rsidRPr="007F307E">
        <w:rPr>
          <w:rFonts w:eastAsia="Arial"/>
          <w:lang w:val="fr-FR"/>
        </w:rPr>
        <w:t>opposition</w:t>
      </w:r>
      <w:r>
        <w:rPr>
          <w:rFonts w:eastAsia="Arial"/>
          <w:lang w:val="fr-FR"/>
        </w:rPr>
        <w:t>s</w:t>
      </w:r>
      <w:r w:rsidR="00F55D68" w:rsidRPr="007F307E">
        <w:rPr>
          <w:rFonts w:eastAsia="Arial"/>
          <w:lang w:val="fr-FR"/>
        </w:rPr>
        <w:t xml:space="preserve"> à l</w:t>
      </w:r>
      <w:r w:rsidR="007F307E">
        <w:rPr>
          <w:rFonts w:eastAsia="Arial"/>
          <w:lang w:val="fr-FR"/>
        </w:rPr>
        <w:t xml:space="preserve">a Transaction </w:t>
      </w:r>
      <w:r>
        <w:rPr>
          <w:rFonts w:eastAsia="Arial"/>
          <w:lang w:val="fr-FR"/>
        </w:rPr>
        <w:t>ont</w:t>
      </w:r>
      <w:r w:rsidR="00F55D68" w:rsidRPr="007F307E">
        <w:rPr>
          <w:rFonts w:eastAsia="Arial"/>
          <w:lang w:val="fr-FR"/>
        </w:rPr>
        <w:t xml:space="preserve"> été formulée</w:t>
      </w:r>
      <w:r>
        <w:rPr>
          <w:rFonts w:eastAsia="Arial"/>
          <w:lang w:val="fr-FR"/>
        </w:rPr>
        <w:t>s</w:t>
      </w:r>
      <w:r w:rsidR="00994F4F">
        <w:rPr>
          <w:rFonts w:eastAsia="Arial"/>
          <w:lang w:val="fr-FR"/>
        </w:rPr>
        <w:t>, le montant de 150 $ étant jugé nettement trop bas pour compenser tous les inconvénients.</w:t>
      </w:r>
    </w:p>
    <w:p w14:paraId="088B5427" w14:textId="77777777" w:rsidR="00B42FFB" w:rsidRPr="007F307E" w:rsidRDefault="00B37051" w:rsidP="00256062">
      <w:pPr>
        <w:pStyle w:val="Paragrsimple"/>
        <w:rPr>
          <w:rFonts w:eastAsia="Arial"/>
          <w:lang w:val="fr-FR"/>
        </w:rPr>
      </w:pPr>
      <w:r>
        <w:rPr>
          <w:rFonts w:eastAsia="Arial"/>
          <w:lang w:val="fr-FR"/>
        </w:rPr>
        <w:t xml:space="preserve">Cet élément </w:t>
      </w:r>
      <w:r w:rsidR="002D598E">
        <w:rPr>
          <w:rFonts w:eastAsia="Arial"/>
          <w:lang w:val="fr-FR"/>
        </w:rPr>
        <w:t xml:space="preserve">favoriserait l’approbation de la </w:t>
      </w:r>
      <w:r w:rsidR="00D63DD2">
        <w:rPr>
          <w:rFonts w:eastAsia="Arial"/>
          <w:lang w:val="fr-FR"/>
        </w:rPr>
        <w:t>T</w:t>
      </w:r>
      <w:r w:rsidR="002D598E">
        <w:rPr>
          <w:rFonts w:eastAsia="Arial"/>
          <w:lang w:val="fr-FR"/>
        </w:rPr>
        <w:t>ransaction</w:t>
      </w:r>
      <w:r w:rsidR="00D63DD2">
        <w:rPr>
          <w:rFonts w:eastAsia="Arial"/>
          <w:lang w:val="fr-FR"/>
        </w:rPr>
        <w:t xml:space="preserve">, </w:t>
      </w:r>
      <w:r w:rsidR="00706267">
        <w:rPr>
          <w:rFonts w:eastAsia="Arial"/>
          <w:lang w:val="fr-FR"/>
        </w:rPr>
        <w:t>le nombre</w:t>
      </w:r>
      <w:r w:rsidR="00D63DD2">
        <w:rPr>
          <w:rFonts w:eastAsia="Arial"/>
          <w:lang w:val="fr-FR"/>
        </w:rPr>
        <w:t xml:space="preserve"> de membres s’étant exclus</w:t>
      </w:r>
      <w:r w:rsidR="00706267">
        <w:rPr>
          <w:rFonts w:eastAsia="Arial"/>
          <w:lang w:val="fr-FR"/>
        </w:rPr>
        <w:t xml:space="preserve"> étant proportionnellement minime.</w:t>
      </w:r>
      <w:r w:rsidR="00D63DD2">
        <w:rPr>
          <w:rFonts w:eastAsia="Arial"/>
          <w:lang w:val="fr-FR"/>
        </w:rPr>
        <w:t xml:space="preserve"> </w:t>
      </w:r>
    </w:p>
    <w:p w14:paraId="642812FA" w14:textId="77777777" w:rsidR="00256062" w:rsidRPr="00256062" w:rsidRDefault="00B37051" w:rsidP="001B5488">
      <w:pPr>
        <w:pStyle w:val="Titre3"/>
        <w:rPr>
          <w:rFonts w:eastAsia="Arial"/>
          <w:lang w:val="fr-FR"/>
        </w:rPr>
      </w:pPr>
      <w:r>
        <w:rPr>
          <w:rFonts w:eastAsia="Arial"/>
          <w:lang w:val="fr-FR"/>
        </w:rPr>
        <w:t>L</w:t>
      </w:r>
      <w:r w:rsidR="00F55D68" w:rsidRPr="00256062">
        <w:rPr>
          <w:rFonts w:eastAsia="Arial"/>
          <w:lang w:val="fr-FR"/>
        </w:rPr>
        <w:t>’absence de collusion</w:t>
      </w:r>
    </w:p>
    <w:p w14:paraId="706CE8DB" w14:textId="77777777" w:rsidR="007F307E" w:rsidRDefault="00B37051" w:rsidP="00256062">
      <w:pPr>
        <w:pStyle w:val="Paragrsimple"/>
        <w:rPr>
          <w:rFonts w:eastAsia="Arial"/>
          <w:lang w:val="fr-FR"/>
        </w:rPr>
      </w:pPr>
      <w:r w:rsidRPr="00715CAE">
        <w:rPr>
          <w:rFonts w:eastAsia="Arial"/>
          <w:lang w:val="fr-FR"/>
        </w:rPr>
        <w:t>L</w:t>
      </w:r>
      <w:r w:rsidR="00FB07B2" w:rsidRPr="00715CAE">
        <w:rPr>
          <w:rFonts w:eastAsia="Arial"/>
          <w:lang w:val="fr-FR"/>
        </w:rPr>
        <w:t>’entente</w:t>
      </w:r>
      <w:r w:rsidRPr="00715CAE">
        <w:rPr>
          <w:rFonts w:eastAsia="Arial"/>
          <w:lang w:val="fr-FR"/>
        </w:rPr>
        <w:t xml:space="preserve"> a été négocié</w:t>
      </w:r>
      <w:r w:rsidR="00FB07B2" w:rsidRPr="00715CAE">
        <w:rPr>
          <w:rFonts w:eastAsia="Arial"/>
          <w:lang w:val="fr-FR"/>
        </w:rPr>
        <w:t>e</w:t>
      </w:r>
      <w:r>
        <w:rPr>
          <w:rFonts w:eastAsia="Arial"/>
          <w:lang w:val="fr-FR"/>
        </w:rPr>
        <w:t xml:space="preserve"> par des avocats d’expérience de part et d’autre</w:t>
      </w:r>
      <w:r w:rsidR="00A300FE">
        <w:rPr>
          <w:rFonts w:eastAsia="Arial"/>
          <w:lang w:val="fr-FR"/>
        </w:rPr>
        <w:t xml:space="preserve"> et il n’y a pas de preuve de collusion</w:t>
      </w:r>
      <w:r>
        <w:rPr>
          <w:rFonts w:eastAsia="Arial"/>
          <w:lang w:val="fr-FR"/>
        </w:rPr>
        <w:t>.</w:t>
      </w:r>
    </w:p>
    <w:p w14:paraId="1D2E0E99" w14:textId="77777777" w:rsidR="00A300FE" w:rsidRDefault="00B37051" w:rsidP="00A300FE">
      <w:pPr>
        <w:pStyle w:val="Titre3"/>
        <w:rPr>
          <w:rFonts w:eastAsia="Arial"/>
          <w:lang w:val="fr-FR"/>
        </w:rPr>
      </w:pPr>
      <w:r>
        <w:rPr>
          <w:rFonts w:eastAsia="Arial"/>
          <w:lang w:val="fr-FR"/>
        </w:rPr>
        <w:t>La recommandation des avocats et leur expérience</w:t>
      </w:r>
    </w:p>
    <w:p w14:paraId="0AF2D2EF" w14:textId="77777777" w:rsidR="00A300FE" w:rsidRDefault="00B37051" w:rsidP="00A300FE">
      <w:pPr>
        <w:pStyle w:val="Paragrsimple"/>
        <w:rPr>
          <w:rFonts w:eastAsia="Arial"/>
          <w:lang w:val="fr-FR"/>
        </w:rPr>
      </w:pPr>
      <w:r>
        <w:rPr>
          <w:rFonts w:eastAsia="Arial"/>
          <w:lang w:val="fr-FR"/>
        </w:rPr>
        <w:t xml:space="preserve">Les avocats des parties recommandent l’approbation de la </w:t>
      </w:r>
      <w:r w:rsidR="00350043">
        <w:rPr>
          <w:rFonts w:eastAsia="Arial"/>
          <w:lang w:val="fr-FR"/>
        </w:rPr>
        <w:t>T</w:t>
      </w:r>
      <w:r>
        <w:rPr>
          <w:rFonts w:eastAsia="Arial"/>
          <w:lang w:val="fr-FR"/>
        </w:rPr>
        <w:t>ransaction. Les deux cabinets agissent par l’entremise d’avocats chevronnés.</w:t>
      </w:r>
    </w:p>
    <w:p w14:paraId="2092DC04" w14:textId="77777777" w:rsidR="00A300FE" w:rsidRDefault="00B37051" w:rsidP="00A300FE">
      <w:pPr>
        <w:pStyle w:val="Paragrsimple"/>
        <w:rPr>
          <w:rFonts w:eastAsia="Arial"/>
          <w:lang w:val="fr-FR"/>
        </w:rPr>
      </w:pPr>
      <w:r>
        <w:rPr>
          <w:rFonts w:eastAsia="Arial"/>
          <w:lang w:val="fr-FR"/>
        </w:rPr>
        <w:t>Le Tribunal comprend l’intérêt de la défenderesse d’accepter le règlement. L’affaire est clairement à son avantage compte tenu des quittances qu’elle obtient en retour du paiement.</w:t>
      </w:r>
    </w:p>
    <w:p w14:paraId="3D0F39FA" w14:textId="77777777" w:rsidR="00A300FE" w:rsidRPr="00C33845" w:rsidRDefault="00B37051" w:rsidP="00A300FE">
      <w:pPr>
        <w:pStyle w:val="Paragrsimple"/>
        <w:rPr>
          <w:rFonts w:eastAsia="Arial"/>
          <w:lang w:val="fr-FR"/>
        </w:rPr>
      </w:pPr>
      <w:r>
        <w:rPr>
          <w:rFonts w:eastAsia="Arial"/>
          <w:lang w:val="fr-FR"/>
        </w:rPr>
        <w:t>Quant aux demandeurs Zuckerman et Dahan, la rémunération convenue avec leur avocat est hors de proportion avec le bénéfice anticipé pour les membres. Comment justifier qu’un ou plusieurs avocats (deux cabinets ici) reçoivent 1,2 million $ en contrepartie d’un avantage ou bénéfice aussi minime pour les membres</w:t>
      </w:r>
      <w:r w:rsidR="005961C4">
        <w:rPr>
          <w:rFonts w:eastAsia="Arial"/>
          <w:lang w:val="fr-FR"/>
        </w:rPr>
        <w:t> </w:t>
      </w:r>
      <w:r w:rsidR="00E75B75">
        <w:rPr>
          <w:rFonts w:eastAsia="Arial"/>
          <w:lang w:val="fr-FR"/>
        </w:rPr>
        <w:t xml:space="preserve">? </w:t>
      </w:r>
      <w:r>
        <w:rPr>
          <w:rFonts w:eastAsia="Arial"/>
          <w:lang w:val="fr-FR"/>
        </w:rPr>
        <w:t xml:space="preserve">La </w:t>
      </w:r>
      <w:r>
        <w:rPr>
          <w:rFonts w:eastAsia="Arial"/>
          <w:lang w:val="fr-FR"/>
        </w:rPr>
        <w:lastRenderedPageBreak/>
        <w:t xml:space="preserve">recommandation positive des avocats des demandeurs pourrait </w:t>
      </w:r>
      <w:r w:rsidR="00F513C8">
        <w:rPr>
          <w:rFonts w:eastAsia="Arial"/>
          <w:lang w:val="fr-FR"/>
        </w:rPr>
        <w:t xml:space="preserve">apparaître </w:t>
      </w:r>
      <w:r>
        <w:rPr>
          <w:rFonts w:eastAsia="Arial"/>
          <w:lang w:val="fr-FR"/>
        </w:rPr>
        <w:t>au public comme ayant été influencée par les honoraires, ce qui déconsidérait l’administration de la justice.</w:t>
      </w:r>
    </w:p>
    <w:p w14:paraId="0C301253" w14:textId="77777777" w:rsidR="006972BC" w:rsidRPr="00C33845" w:rsidRDefault="00B37051" w:rsidP="006972BC">
      <w:pPr>
        <w:pStyle w:val="Paragrsimple"/>
        <w:rPr>
          <w:rFonts w:eastAsia="Arial"/>
          <w:lang w:val="fr-FR"/>
        </w:rPr>
      </w:pPr>
      <w:r>
        <w:rPr>
          <w:rFonts w:cs="Arial"/>
          <w:color w:val="262626"/>
        </w:rPr>
        <w:t xml:space="preserve">Dans l’affaire </w:t>
      </w:r>
      <w:r>
        <w:rPr>
          <w:rStyle w:val="italic"/>
          <w:rFonts w:cs="Arial"/>
          <w:i/>
          <w:iCs/>
          <w:color w:val="262626"/>
          <w:bdr w:val="none" w:sz="0" w:space="0" w:color="auto" w:frame="1"/>
        </w:rPr>
        <w:t xml:space="preserve">Walid </w:t>
      </w:r>
      <w:r w:rsidRPr="005539BE">
        <w:rPr>
          <w:rStyle w:val="italic"/>
          <w:rFonts w:cs="Arial"/>
          <w:color w:val="262626"/>
          <w:bdr w:val="none" w:sz="0" w:space="0" w:color="auto" w:frame="1"/>
        </w:rPr>
        <w:t>c.</w:t>
      </w:r>
      <w:r>
        <w:rPr>
          <w:rStyle w:val="italic"/>
          <w:rFonts w:cs="Arial"/>
          <w:i/>
          <w:iCs/>
          <w:color w:val="262626"/>
          <w:bdr w:val="none" w:sz="0" w:space="0" w:color="auto" w:frame="1"/>
        </w:rPr>
        <w:t xml:space="preserve"> Compagnie Nationale Royal Air Maroc</w:t>
      </w:r>
      <w:r>
        <w:rPr>
          <w:rFonts w:cs="Arial"/>
          <w:color w:val="262626"/>
        </w:rPr>
        <w:t>,</w:t>
      </w:r>
      <w:r w:rsidR="00CD33A5">
        <w:rPr>
          <w:rFonts w:cs="Arial"/>
          <w:color w:val="262626"/>
        </w:rPr>
        <w:t xml:space="preserve"> la Cour</w:t>
      </w:r>
      <w:r>
        <w:rPr>
          <w:rFonts w:cs="Arial"/>
          <w:color w:val="262626"/>
        </w:rPr>
        <w:t xml:space="preserve"> a refusé d’approuver un règlement prévoyant une indemnité de 800 $ par membre du groupe, principalement parce que les honoraires des avocats du groupe</w:t>
      </w:r>
      <w:r w:rsidR="00747DB4">
        <w:rPr>
          <w:rFonts w:cs="Arial"/>
          <w:color w:val="262626"/>
        </w:rPr>
        <w:t xml:space="preserve"> qui devaient être payés directement par la défenderesse</w:t>
      </w:r>
      <w:r>
        <w:rPr>
          <w:rFonts w:cs="Arial"/>
          <w:color w:val="262626"/>
        </w:rPr>
        <w:t xml:space="preserve"> risquaient de dépasser le montant qui serait finalement distribué aux membres</w:t>
      </w:r>
      <w:r>
        <w:rPr>
          <w:rStyle w:val="Appelnotedebasdep"/>
          <w:rFonts w:cs="Arial"/>
          <w:color w:val="262626"/>
        </w:rPr>
        <w:footnoteReference w:id="39"/>
      </w:r>
      <w:r>
        <w:rPr>
          <w:rFonts w:cs="Arial"/>
          <w:color w:val="262626"/>
        </w:rPr>
        <w:t xml:space="preserve">. </w:t>
      </w:r>
      <w:r w:rsidR="00747DB4">
        <w:rPr>
          <w:rFonts w:cs="Arial"/>
          <w:color w:val="262626"/>
        </w:rPr>
        <w:t>Cette situation pourrait également se prod</w:t>
      </w:r>
      <w:r w:rsidR="000B0763">
        <w:rPr>
          <w:rFonts w:cs="Arial"/>
          <w:color w:val="262626"/>
        </w:rPr>
        <w:t xml:space="preserve">uire ici. </w:t>
      </w:r>
    </w:p>
    <w:p w14:paraId="2B3BC036" w14:textId="77777777" w:rsidR="007F307E" w:rsidRDefault="00B37051" w:rsidP="00BD3639">
      <w:pPr>
        <w:pStyle w:val="Titre1"/>
        <w:rPr>
          <w:rFonts w:eastAsia="Arial"/>
          <w:lang w:val="fr-FR"/>
        </w:rPr>
      </w:pPr>
      <w:r>
        <w:rPr>
          <w:rFonts w:eastAsia="Arial"/>
          <w:lang w:val="fr-FR"/>
        </w:rPr>
        <w:t>CONCLUSIONS</w:t>
      </w:r>
    </w:p>
    <w:p w14:paraId="2E49AB17" w14:textId="77777777" w:rsidR="00AE75E9" w:rsidRDefault="00B37051" w:rsidP="00095663">
      <w:pPr>
        <w:pStyle w:val="Paragrsimple"/>
        <w:rPr>
          <w:rFonts w:eastAsia="Arial"/>
          <w:lang w:val="fr-FR"/>
        </w:rPr>
      </w:pPr>
      <w:r w:rsidRPr="007F307E">
        <w:rPr>
          <w:rFonts w:eastAsia="Arial"/>
          <w:lang w:val="fr-FR"/>
        </w:rPr>
        <w:t xml:space="preserve">Considérant ce qui précède, </w:t>
      </w:r>
      <w:r w:rsidR="007F307E" w:rsidRPr="007F307E">
        <w:rPr>
          <w:rFonts w:eastAsia="Arial"/>
          <w:lang w:val="fr-FR"/>
        </w:rPr>
        <w:t xml:space="preserve">le Tribunal conclut que la Transaction </w:t>
      </w:r>
      <w:r w:rsidR="00A300FE">
        <w:rPr>
          <w:rFonts w:eastAsia="Arial"/>
          <w:lang w:val="fr-FR"/>
        </w:rPr>
        <w:t>n’</w:t>
      </w:r>
      <w:r w:rsidRPr="007F307E">
        <w:rPr>
          <w:rFonts w:eastAsia="Arial"/>
          <w:lang w:val="fr-FR"/>
        </w:rPr>
        <w:t>est</w:t>
      </w:r>
      <w:r w:rsidR="00A300FE">
        <w:rPr>
          <w:rFonts w:eastAsia="Arial"/>
          <w:lang w:val="fr-FR"/>
        </w:rPr>
        <w:t xml:space="preserve"> pas</w:t>
      </w:r>
      <w:r w:rsidRPr="007F307E">
        <w:rPr>
          <w:rFonts w:eastAsia="Arial"/>
          <w:lang w:val="fr-FR"/>
        </w:rPr>
        <w:t xml:space="preserve"> dans l’intérêt </w:t>
      </w:r>
      <w:r>
        <w:rPr>
          <w:rFonts w:eastAsia="Arial"/>
          <w:lang w:val="fr-FR"/>
        </w:rPr>
        <w:t xml:space="preserve">fondamental </w:t>
      </w:r>
      <w:r w:rsidRPr="007F307E">
        <w:rPr>
          <w:rFonts w:eastAsia="Arial"/>
          <w:lang w:val="fr-FR"/>
        </w:rPr>
        <w:t xml:space="preserve">des </w:t>
      </w:r>
      <w:r>
        <w:rPr>
          <w:rFonts w:eastAsia="Arial"/>
          <w:lang w:val="fr-FR"/>
        </w:rPr>
        <w:t>m</w:t>
      </w:r>
      <w:r w:rsidRPr="007F307E">
        <w:rPr>
          <w:rFonts w:eastAsia="Arial"/>
          <w:lang w:val="fr-FR"/>
        </w:rPr>
        <w:t>embres</w:t>
      </w:r>
      <w:r>
        <w:rPr>
          <w:rFonts w:eastAsia="Arial"/>
          <w:lang w:val="fr-FR"/>
        </w:rPr>
        <w:t xml:space="preserve"> du </w:t>
      </w:r>
      <w:r w:rsidR="00F7456E">
        <w:rPr>
          <w:rFonts w:eastAsia="Arial"/>
          <w:lang w:val="fr-FR"/>
        </w:rPr>
        <w:t>groupe</w:t>
      </w:r>
      <w:r w:rsidR="007F307E" w:rsidRPr="007F307E">
        <w:rPr>
          <w:rFonts w:eastAsia="Arial"/>
          <w:lang w:val="fr-FR"/>
        </w:rPr>
        <w:t>.</w:t>
      </w:r>
      <w:r w:rsidR="00095663">
        <w:rPr>
          <w:rFonts w:eastAsia="Arial"/>
          <w:lang w:val="fr-FR"/>
        </w:rPr>
        <w:t xml:space="preserve"> </w:t>
      </w:r>
      <w:r w:rsidR="00095663" w:rsidRPr="007F307E">
        <w:rPr>
          <w:rFonts w:eastAsia="Arial"/>
          <w:lang w:val="fr-FR"/>
        </w:rPr>
        <w:t xml:space="preserve">Le règlement de la présente affaire selon les termes convenus </w:t>
      </w:r>
      <w:r w:rsidR="00095663">
        <w:rPr>
          <w:rFonts w:eastAsia="Arial"/>
          <w:lang w:val="fr-FR"/>
        </w:rPr>
        <w:t>n’ap</w:t>
      </w:r>
      <w:r w:rsidR="00095663" w:rsidRPr="007F307E">
        <w:rPr>
          <w:rFonts w:eastAsia="Arial"/>
          <w:lang w:val="fr-FR"/>
        </w:rPr>
        <w:t xml:space="preserve">paraît </w:t>
      </w:r>
      <w:r w:rsidR="00095663">
        <w:rPr>
          <w:rFonts w:eastAsia="Arial"/>
          <w:lang w:val="fr-FR"/>
        </w:rPr>
        <w:t>pas</w:t>
      </w:r>
      <w:r w:rsidR="00095663" w:rsidRPr="007F307E">
        <w:rPr>
          <w:rFonts w:eastAsia="Arial"/>
          <w:lang w:val="fr-FR"/>
        </w:rPr>
        <w:t xml:space="preserve"> préférable à l’alternative qui s’offre aux </w:t>
      </w:r>
      <w:r>
        <w:rPr>
          <w:rFonts w:eastAsia="Arial"/>
          <w:lang w:val="fr-FR"/>
        </w:rPr>
        <w:t>m</w:t>
      </w:r>
      <w:r w:rsidR="00095663" w:rsidRPr="007F307E">
        <w:rPr>
          <w:rFonts w:eastAsia="Arial"/>
          <w:lang w:val="fr-FR"/>
        </w:rPr>
        <w:t>embres</w:t>
      </w:r>
      <w:r w:rsidR="00E75B75">
        <w:rPr>
          <w:rFonts w:eastAsia="Arial"/>
          <w:lang w:val="fr-FR"/>
        </w:rPr>
        <w:t>,</w:t>
      </w:r>
      <w:r w:rsidR="00095663">
        <w:rPr>
          <w:rFonts w:eastAsia="Arial"/>
          <w:lang w:val="fr-FR"/>
        </w:rPr>
        <w:t xml:space="preserve"> </w:t>
      </w:r>
      <w:r>
        <w:rPr>
          <w:rFonts w:eastAsia="Arial"/>
          <w:lang w:val="fr-FR"/>
        </w:rPr>
        <w:t>qu’il s’agisse</w:t>
      </w:r>
      <w:r w:rsidR="00095663">
        <w:rPr>
          <w:rFonts w:eastAsia="Arial"/>
          <w:lang w:val="fr-FR"/>
        </w:rPr>
        <w:t xml:space="preserve"> de continuer leurs procédures</w:t>
      </w:r>
      <w:r>
        <w:rPr>
          <w:rFonts w:eastAsia="Arial"/>
          <w:lang w:val="fr-FR"/>
        </w:rPr>
        <w:t xml:space="preserve"> ou de s’en désister</w:t>
      </w:r>
      <w:r w:rsidR="00095663">
        <w:rPr>
          <w:rFonts w:eastAsia="Arial"/>
          <w:lang w:val="fr-FR"/>
        </w:rPr>
        <w:t>.</w:t>
      </w:r>
    </w:p>
    <w:p w14:paraId="5B35522B" w14:textId="77777777" w:rsidR="006B6E55" w:rsidRDefault="00B37051" w:rsidP="009A0CCE">
      <w:pPr>
        <w:pStyle w:val="Paragrsimple"/>
      </w:pPr>
      <w:r w:rsidRPr="00BD3639">
        <w:rPr>
          <w:rFonts w:eastAsia="Arial"/>
          <w:lang w:val="fr-FR"/>
        </w:rPr>
        <w:t>Dans les circonstances</w:t>
      </w:r>
      <w:r w:rsidR="00061BBA" w:rsidRPr="00BD3639">
        <w:rPr>
          <w:rFonts w:eastAsia="Arial"/>
          <w:lang w:val="fr-FR"/>
        </w:rPr>
        <w:t xml:space="preserve">, </w:t>
      </w:r>
      <w:r w:rsidR="0003215D" w:rsidRPr="00BD3639">
        <w:rPr>
          <w:rFonts w:eastAsia="Arial"/>
          <w:lang w:val="fr-FR"/>
        </w:rPr>
        <w:t xml:space="preserve">le Tribunal n’approuvera ni les honoraires ni l’avis proposé. Toutefois, un avis doit être donné aux membres </w:t>
      </w:r>
      <w:r w:rsidR="00F5324C" w:rsidRPr="00BD3639">
        <w:rPr>
          <w:rFonts w:eastAsia="Arial"/>
          <w:lang w:val="fr-FR"/>
        </w:rPr>
        <w:t xml:space="preserve">du refus du Tribunal d’approuver la Transaction proposée. </w:t>
      </w:r>
      <w:r w:rsidR="003E099F">
        <w:t>Un</w:t>
      </w:r>
      <w:r>
        <w:t xml:space="preserve"> programme de </w:t>
      </w:r>
      <w:r w:rsidRPr="00B753D3">
        <w:t>diffusion</w:t>
      </w:r>
      <w:r w:rsidR="008C1997">
        <w:t xml:space="preserve"> de cet avis</w:t>
      </w:r>
      <w:r>
        <w:t xml:space="preserve"> d</w:t>
      </w:r>
      <w:r w:rsidR="003E099F">
        <w:t>oit</w:t>
      </w:r>
      <w:r>
        <w:t xml:space="preserve"> également</w:t>
      </w:r>
      <w:r w:rsidR="003E099F">
        <w:t xml:space="preserve"> être</w:t>
      </w:r>
      <w:r>
        <w:t xml:space="preserve"> approuvé.</w:t>
      </w:r>
    </w:p>
    <w:p w14:paraId="279E1A08" w14:textId="77777777" w:rsidR="003E099F" w:rsidRPr="00726ABA" w:rsidRDefault="00B37051" w:rsidP="00726ABA">
      <w:pPr>
        <w:pStyle w:val="Paragrsimple"/>
      </w:pPr>
      <w:r>
        <w:t>Le Tribunal demande aux parties de lui soumettre un</w:t>
      </w:r>
      <w:r w:rsidR="00A71E13">
        <w:t xml:space="preserve"> projet d’un tel avis de même que d’un programme de diffusion</w:t>
      </w:r>
      <w:r w:rsidR="001057B9">
        <w:t xml:space="preserve"> des avis</w:t>
      </w:r>
      <w:r w:rsidR="00BD3639">
        <w:t xml:space="preserve">, </w:t>
      </w:r>
      <w:r w:rsidR="00A71E13">
        <w:t>dans les 30 jours du présent jugement</w:t>
      </w:r>
      <w:r w:rsidR="009D02D8">
        <w:t>,</w:t>
      </w:r>
      <w:r w:rsidR="001057B9">
        <w:t xml:space="preserve"> de même qu’un projet de protocole de l’instance</w:t>
      </w:r>
      <w:r w:rsidR="00A71E13">
        <w:t>.</w:t>
      </w:r>
    </w:p>
    <w:p w14:paraId="775979A6" w14:textId="77777777" w:rsidR="00CF51ED" w:rsidRDefault="00B37051" w:rsidP="004A29F4">
      <w:pPr>
        <w:pStyle w:val="Titre1"/>
      </w:pPr>
      <w:bookmarkStart w:id="20" w:name="_Toc56788872"/>
      <w:r w:rsidRPr="00B21D0E">
        <w:t>POUR CES MOTIFS, LE TRIBUNAL :</w:t>
      </w:r>
      <w:bookmarkEnd w:id="3"/>
      <w:bookmarkEnd w:id="20"/>
    </w:p>
    <w:tbl>
      <w:tblPr>
        <w:tblStyle w:val="Grilledutableau"/>
        <w:tblW w:w="9589" w:type="dxa"/>
        <w:tblInd w:w="18" w:type="dxa"/>
        <w:tblLook w:val="04A0" w:firstRow="1" w:lastRow="0" w:firstColumn="1" w:lastColumn="0" w:noHBand="0" w:noVBand="1"/>
      </w:tblPr>
      <w:tblGrid>
        <w:gridCol w:w="4770"/>
        <w:gridCol w:w="4819"/>
      </w:tblGrid>
      <w:tr w:rsidR="0049403F" w:rsidRPr="00EE3E2F" w14:paraId="211F5F49" w14:textId="77777777" w:rsidTr="00454884">
        <w:tc>
          <w:tcPr>
            <w:tcW w:w="4770" w:type="dxa"/>
          </w:tcPr>
          <w:p w14:paraId="3E9CBFDA" w14:textId="77777777" w:rsidR="008631A2" w:rsidRPr="00A33F42" w:rsidRDefault="00B37051" w:rsidP="00454884">
            <w:pPr>
              <w:pStyle w:val="Paragrsimple"/>
              <w:tabs>
                <w:tab w:val="clear" w:pos="360"/>
              </w:tabs>
              <w:ind w:left="-20" w:right="210"/>
            </w:pPr>
            <w:r w:rsidRPr="00A33F42">
              <w:rPr>
                <w:b/>
                <w:bCs/>
              </w:rPr>
              <w:t>REJETTE</w:t>
            </w:r>
            <w:r w:rsidRPr="00A33F42">
              <w:t xml:space="preserve"> la Demande pour l’approbation de </w:t>
            </w:r>
            <w:r w:rsidR="00A33F42">
              <w:t>la Transaction</w:t>
            </w:r>
            <w:r w:rsidRPr="00A33F42">
              <w:t xml:space="preserve"> (</w:t>
            </w:r>
            <w:r w:rsidR="0009649A" w:rsidRPr="00A33F42">
              <w:t>R-1</w:t>
            </w:r>
            <w:r w:rsidRPr="00A33F42">
              <w:t>);</w:t>
            </w:r>
          </w:p>
        </w:tc>
        <w:tc>
          <w:tcPr>
            <w:tcW w:w="4819" w:type="dxa"/>
          </w:tcPr>
          <w:p w14:paraId="1E78F36D" w14:textId="77777777" w:rsidR="008631A2" w:rsidRPr="007A7085" w:rsidRDefault="00B37051" w:rsidP="00454884">
            <w:pPr>
              <w:spacing w:before="120" w:after="240" w:line="230" w:lineRule="auto"/>
              <w:ind w:left="20" w:right="30"/>
              <w:jc w:val="both"/>
              <w:rPr>
                <w:lang w:val="en-CA"/>
              </w:rPr>
            </w:pPr>
            <w:r>
              <w:rPr>
                <w:b/>
                <w:smallCaps/>
                <w:lang w:val="en-CA"/>
              </w:rPr>
              <w:t>DENIES</w:t>
            </w:r>
            <w:r w:rsidRPr="007A7085">
              <w:rPr>
                <w:b/>
                <w:smallCaps/>
                <w:lang w:val="en-CA"/>
              </w:rPr>
              <w:t xml:space="preserve"> </w:t>
            </w:r>
            <w:r w:rsidRPr="007A7085">
              <w:rPr>
                <w:lang w:val="en-CA"/>
              </w:rPr>
              <w:t xml:space="preserve">the application for approval of </w:t>
            </w:r>
            <w:r>
              <w:rPr>
                <w:lang w:val="en-CA"/>
              </w:rPr>
              <w:t>the</w:t>
            </w:r>
            <w:r w:rsidRPr="007A7085">
              <w:rPr>
                <w:lang w:val="en-CA"/>
              </w:rPr>
              <w:t xml:space="preserve"> </w:t>
            </w:r>
            <w:r w:rsidR="00A33F42">
              <w:rPr>
                <w:lang w:val="en-CA"/>
              </w:rPr>
              <w:t xml:space="preserve">Transaction </w:t>
            </w:r>
            <w:r w:rsidR="00B21B07">
              <w:rPr>
                <w:lang w:val="en-CA"/>
              </w:rPr>
              <w:t>(R-1)</w:t>
            </w:r>
            <w:r w:rsidRPr="007A7085">
              <w:rPr>
                <w:i/>
                <w:iCs/>
                <w:lang w:val="en-CA"/>
              </w:rPr>
              <w:t>;</w:t>
            </w:r>
          </w:p>
        </w:tc>
      </w:tr>
      <w:tr w:rsidR="0049403F" w:rsidRPr="00EE3E2F" w14:paraId="73853D21" w14:textId="77777777" w:rsidTr="00454884">
        <w:tc>
          <w:tcPr>
            <w:tcW w:w="4770" w:type="dxa"/>
          </w:tcPr>
          <w:p w14:paraId="4B974052" w14:textId="77777777" w:rsidR="00454884" w:rsidRPr="00A33F42" w:rsidRDefault="00B37051" w:rsidP="00454884">
            <w:pPr>
              <w:pStyle w:val="Paragrsimple"/>
              <w:tabs>
                <w:tab w:val="clear" w:pos="360"/>
              </w:tabs>
              <w:ind w:left="-20" w:right="210"/>
              <w:rPr>
                <w:b/>
                <w:bCs/>
              </w:rPr>
            </w:pPr>
            <w:r w:rsidRPr="00EC6B67">
              <w:rPr>
                <w:b/>
                <w:bCs/>
              </w:rPr>
              <w:t>ORDONNE</w:t>
            </w:r>
            <w:r w:rsidRPr="001E0BA3">
              <w:t xml:space="preserve"> </w:t>
            </w:r>
            <w:r>
              <w:t>aux parties de soumettre au Tribunal, dans les trente jours du présent jugement, 1) un projet d’avis aux membres les avisant du refus d’approbation de la Transaction, 2) un programme de diffusion d’un tel avis et 3) un projet de protocole de l’instance pour la suite des dossiers Dahan et Zuckerman</w:t>
            </w:r>
            <w:r w:rsidRPr="001E0BA3">
              <w:t>;</w:t>
            </w:r>
          </w:p>
        </w:tc>
        <w:tc>
          <w:tcPr>
            <w:tcW w:w="4819" w:type="dxa"/>
          </w:tcPr>
          <w:p w14:paraId="048B6A9A" w14:textId="77777777" w:rsidR="00454884" w:rsidRPr="00454884" w:rsidRDefault="00B37051" w:rsidP="00454884">
            <w:pPr>
              <w:spacing w:before="120" w:after="240" w:line="230" w:lineRule="auto"/>
              <w:ind w:left="20" w:right="30"/>
              <w:jc w:val="both"/>
              <w:rPr>
                <w:b/>
                <w:smallCaps/>
                <w:lang w:val="en-CA"/>
              </w:rPr>
            </w:pPr>
            <w:r w:rsidRPr="00571378">
              <w:rPr>
                <w:b/>
                <w:lang w:val="en-CA"/>
              </w:rPr>
              <w:t>ORDER</w:t>
            </w:r>
            <w:r>
              <w:rPr>
                <w:b/>
                <w:lang w:val="en-CA"/>
              </w:rPr>
              <w:t>S</w:t>
            </w:r>
            <w:r w:rsidRPr="00571378">
              <w:rPr>
                <w:b/>
                <w:lang w:val="en-CA"/>
              </w:rPr>
              <w:t xml:space="preserve"> </w:t>
            </w:r>
            <w:r w:rsidRPr="00D6556F">
              <w:rPr>
                <w:bCs/>
                <w:lang w:val="en"/>
              </w:rPr>
              <w:t xml:space="preserve">the parties to submit to the </w:t>
            </w:r>
            <w:r>
              <w:rPr>
                <w:bCs/>
                <w:lang w:val="en"/>
              </w:rPr>
              <w:t>Court</w:t>
            </w:r>
            <w:r w:rsidRPr="00D6556F">
              <w:rPr>
                <w:bCs/>
                <w:lang w:val="en"/>
              </w:rPr>
              <w:t xml:space="preserve"> within thirty days of this judgment, 1) a draft notice to the members notifying them of the refusal to approve the Transaction, 2) a program for the dissemination of such a notice and 3) a draft protocol for the continuation</w:t>
            </w:r>
            <w:r>
              <w:rPr>
                <w:bCs/>
                <w:lang w:val="en"/>
              </w:rPr>
              <w:t xml:space="preserve"> </w:t>
            </w:r>
            <w:r w:rsidRPr="00D6556F">
              <w:rPr>
                <w:bCs/>
                <w:lang w:val="en"/>
              </w:rPr>
              <w:t>of the proceeding</w:t>
            </w:r>
            <w:r>
              <w:rPr>
                <w:bCs/>
                <w:lang w:val="en"/>
              </w:rPr>
              <w:t xml:space="preserve"> in</w:t>
            </w:r>
            <w:r w:rsidRPr="00D6556F">
              <w:rPr>
                <w:bCs/>
                <w:lang w:val="en"/>
              </w:rPr>
              <w:t xml:space="preserve"> the Dahan and Zuckerman cases</w:t>
            </w:r>
            <w:r>
              <w:rPr>
                <w:bCs/>
                <w:lang w:val="en"/>
              </w:rPr>
              <w:t>;</w:t>
            </w:r>
          </w:p>
        </w:tc>
      </w:tr>
      <w:tr w:rsidR="0049403F" w14:paraId="304A6933" w14:textId="77777777" w:rsidTr="00454884">
        <w:tc>
          <w:tcPr>
            <w:tcW w:w="4770" w:type="dxa"/>
          </w:tcPr>
          <w:p w14:paraId="59871B1D" w14:textId="77777777" w:rsidR="00454884" w:rsidRPr="00454884" w:rsidRDefault="00B37051" w:rsidP="00454884">
            <w:pPr>
              <w:pStyle w:val="Paragrsimple"/>
              <w:tabs>
                <w:tab w:val="clear" w:pos="360"/>
              </w:tabs>
              <w:ind w:left="-20" w:right="210"/>
              <w:rPr>
                <w:b/>
                <w:bCs/>
                <w:lang w:val="en-CA"/>
              </w:rPr>
            </w:pPr>
            <w:r>
              <w:rPr>
                <w:b/>
                <w:bCs/>
                <w:lang w:val="en-CA"/>
              </w:rPr>
              <w:lastRenderedPageBreak/>
              <w:t>SANS FRAIS</w:t>
            </w:r>
            <w:r>
              <w:rPr>
                <w:lang w:val="en-CA"/>
              </w:rPr>
              <w:t>.</w:t>
            </w:r>
          </w:p>
        </w:tc>
        <w:tc>
          <w:tcPr>
            <w:tcW w:w="4819" w:type="dxa"/>
          </w:tcPr>
          <w:p w14:paraId="2F2818C1" w14:textId="77777777" w:rsidR="00454884" w:rsidRPr="00454884" w:rsidRDefault="00B37051" w:rsidP="00454884">
            <w:pPr>
              <w:spacing w:before="120" w:after="240" w:line="230" w:lineRule="auto"/>
              <w:ind w:left="20" w:right="30"/>
              <w:jc w:val="both"/>
              <w:rPr>
                <w:smallCaps/>
                <w:lang w:val="en-CA"/>
              </w:rPr>
            </w:pPr>
            <w:r>
              <w:rPr>
                <w:b/>
                <w:bCs/>
              </w:rPr>
              <w:t>WITHOUT COSTS</w:t>
            </w:r>
            <w:r>
              <w:t>.</w:t>
            </w:r>
          </w:p>
        </w:tc>
      </w:tr>
    </w:tbl>
    <w:tbl>
      <w:tblPr>
        <w:tblW w:w="9610" w:type="dxa"/>
        <w:tblInd w:w="-20" w:type="dxa"/>
        <w:tblLayout w:type="fixed"/>
        <w:tblCellMar>
          <w:left w:w="70" w:type="dxa"/>
          <w:right w:w="70" w:type="dxa"/>
        </w:tblCellMar>
        <w:tblLook w:val="0000" w:firstRow="0" w:lastRow="0" w:firstColumn="0" w:lastColumn="0" w:noHBand="0" w:noVBand="0"/>
      </w:tblPr>
      <w:tblGrid>
        <w:gridCol w:w="2193"/>
        <w:gridCol w:w="2747"/>
        <w:gridCol w:w="4650"/>
        <w:gridCol w:w="20"/>
      </w:tblGrid>
      <w:tr w:rsidR="0049403F" w14:paraId="2A2A01BD" w14:textId="77777777" w:rsidTr="002A5611">
        <w:trPr>
          <w:trHeight w:val="968"/>
        </w:trPr>
        <w:tc>
          <w:tcPr>
            <w:tcW w:w="9610" w:type="dxa"/>
            <w:gridSpan w:val="4"/>
          </w:tcPr>
          <w:p w14:paraId="31B28F23" w14:textId="77777777" w:rsidR="00121A72" w:rsidRPr="005131B8" w:rsidRDefault="00121A72" w:rsidP="00D26929">
            <w:pPr>
              <w:keepNext/>
              <w:keepLines/>
            </w:pPr>
          </w:p>
        </w:tc>
      </w:tr>
      <w:tr w:rsidR="0049403F" w14:paraId="00035AD1" w14:textId="77777777" w:rsidTr="00AD4E4D">
        <w:tblPrEx>
          <w:tblCellMar>
            <w:left w:w="0" w:type="dxa"/>
            <w:right w:w="0" w:type="dxa"/>
          </w:tblCellMar>
        </w:tblPrEx>
        <w:trPr>
          <w:gridAfter w:val="1"/>
          <w:wAfter w:w="20" w:type="dxa"/>
        </w:trPr>
        <w:tc>
          <w:tcPr>
            <w:tcW w:w="4950" w:type="dxa"/>
            <w:gridSpan w:val="2"/>
          </w:tcPr>
          <w:p w14:paraId="28918934" w14:textId="77777777" w:rsidR="00121A72" w:rsidRPr="005131B8" w:rsidRDefault="00121A72" w:rsidP="00D26929"/>
        </w:tc>
        <w:tc>
          <w:tcPr>
            <w:tcW w:w="4660" w:type="dxa"/>
          </w:tcPr>
          <w:p w14:paraId="724945B0" w14:textId="77777777" w:rsidR="00121A72" w:rsidRPr="004A286A" w:rsidRDefault="00B37051" w:rsidP="00437327">
            <w:pPr>
              <w:pStyle w:val="zSoquijdatSignature3Juge"/>
            </w:pPr>
            <w:r w:rsidRPr="004A286A">
              <w:t>___</w:t>
            </w:r>
            <w:r w:rsidR="00F4770B" w:rsidRPr="004A286A">
              <w:t>_______________________________</w:t>
            </w:r>
            <w:r w:rsidR="00A60C7E" w:rsidRPr="004A286A">
              <w:t xml:space="preserve"> </w:t>
            </w:r>
            <w:r w:rsidR="004A286A" w:rsidRPr="004A286A">
              <w:t>HONORABLE PIERR</w:t>
            </w:r>
            <w:r w:rsidR="004A286A">
              <w:t>E</w:t>
            </w:r>
            <w:r w:rsidR="004A286A" w:rsidRPr="004A286A">
              <w:t xml:space="preserve"> NOLLET</w:t>
            </w:r>
            <w:r w:rsidR="00A60C7E" w:rsidRPr="004A286A">
              <w:t>, J.C.S.</w:t>
            </w:r>
          </w:p>
        </w:tc>
      </w:tr>
      <w:tr w:rsidR="0049403F" w14:paraId="22F79299" w14:textId="77777777" w:rsidTr="002A5611">
        <w:tc>
          <w:tcPr>
            <w:tcW w:w="9610" w:type="dxa"/>
            <w:gridSpan w:val="4"/>
          </w:tcPr>
          <w:p w14:paraId="1BBFAA5E" w14:textId="77777777" w:rsidR="00121A72" w:rsidRPr="004A286A" w:rsidRDefault="00121A72" w:rsidP="00D26929"/>
        </w:tc>
      </w:tr>
      <w:tr w:rsidR="0049403F" w14:paraId="6A4D1D78" w14:textId="77777777" w:rsidTr="002A5611">
        <w:tc>
          <w:tcPr>
            <w:tcW w:w="9610" w:type="dxa"/>
            <w:gridSpan w:val="4"/>
          </w:tcPr>
          <w:p w14:paraId="0EBFAC99" w14:textId="77777777" w:rsidR="00121A72" w:rsidRDefault="00B37051" w:rsidP="0022519D">
            <w:pPr>
              <w:pStyle w:val="zSoquijlblProcureurDem"/>
              <w:keepNext/>
            </w:pPr>
            <w:r>
              <w:rPr>
                <w:rFonts w:eastAsia="Arial" w:cs="Arial"/>
              </w:rPr>
              <w:t xml:space="preserve">Me David </w:t>
            </w:r>
            <w:proofErr w:type="spellStart"/>
            <w:r>
              <w:rPr>
                <w:rFonts w:eastAsia="Arial" w:cs="Arial"/>
              </w:rPr>
              <w:t>Assor</w:t>
            </w:r>
            <w:proofErr w:type="spellEnd"/>
          </w:p>
        </w:tc>
      </w:tr>
      <w:tr w:rsidR="0049403F" w14:paraId="1288B704" w14:textId="77777777" w:rsidTr="002A5611">
        <w:tc>
          <w:tcPr>
            <w:tcW w:w="9610" w:type="dxa"/>
            <w:gridSpan w:val="4"/>
          </w:tcPr>
          <w:p w14:paraId="2B706969" w14:textId="77777777" w:rsidR="00121A72" w:rsidRPr="004A286A" w:rsidRDefault="00B37051" w:rsidP="0022519D">
            <w:pPr>
              <w:keepNext/>
            </w:pPr>
            <w:r w:rsidRPr="004A286A">
              <w:rPr>
                <w:rFonts w:eastAsia="Arial" w:cs="Arial"/>
                <w:smallCaps/>
              </w:rPr>
              <w:t>Lex Group Inc.</w:t>
            </w:r>
          </w:p>
        </w:tc>
      </w:tr>
      <w:tr w:rsidR="0049403F" w14:paraId="6EAB7C87" w14:textId="77777777" w:rsidTr="002A5611">
        <w:tc>
          <w:tcPr>
            <w:tcW w:w="9610" w:type="dxa"/>
            <w:gridSpan w:val="4"/>
          </w:tcPr>
          <w:p w14:paraId="21E1CE13" w14:textId="77777777" w:rsidR="00121A72" w:rsidRDefault="00B37051" w:rsidP="00D26929">
            <w:pPr>
              <w:pStyle w:val="zSoquijdatNomProcureurDef"/>
            </w:pPr>
            <w:r w:rsidRPr="00A054BB">
              <w:rPr>
                <w:rFonts w:eastAsia="Arial" w:cs="Arial"/>
              </w:rPr>
              <w:t xml:space="preserve">Avocat </w:t>
            </w:r>
            <w:r>
              <w:rPr>
                <w:rFonts w:eastAsia="Arial" w:cs="Arial"/>
              </w:rPr>
              <w:t>de</w:t>
            </w:r>
            <w:r w:rsidR="00222C7D">
              <w:rPr>
                <w:rFonts w:eastAsia="Arial" w:cs="Arial"/>
              </w:rPr>
              <w:t>s</w:t>
            </w:r>
            <w:r>
              <w:rPr>
                <w:rFonts w:eastAsia="Arial" w:cs="Arial"/>
              </w:rPr>
              <w:t xml:space="preserve"> </w:t>
            </w:r>
            <w:r w:rsidR="009A1BBA">
              <w:rPr>
                <w:rFonts w:eastAsia="Arial" w:cs="Arial"/>
              </w:rPr>
              <w:t>demandeurs</w:t>
            </w:r>
          </w:p>
        </w:tc>
      </w:tr>
      <w:tr w:rsidR="0049403F" w14:paraId="6363C3F3" w14:textId="77777777" w:rsidTr="002A5611">
        <w:tc>
          <w:tcPr>
            <w:tcW w:w="9610" w:type="dxa"/>
            <w:gridSpan w:val="4"/>
          </w:tcPr>
          <w:p w14:paraId="43D527C7" w14:textId="77777777" w:rsidR="00121A72" w:rsidRPr="00AC5C19" w:rsidRDefault="00121A72" w:rsidP="00D26929">
            <w:pPr>
              <w:pStyle w:val="zSoquijdatCabinetProcureurDef"/>
            </w:pPr>
          </w:p>
        </w:tc>
      </w:tr>
      <w:tr w:rsidR="0049403F" w14:paraId="74CE40FD" w14:textId="77777777" w:rsidTr="002A5611">
        <w:tc>
          <w:tcPr>
            <w:tcW w:w="9610" w:type="dxa"/>
            <w:gridSpan w:val="4"/>
          </w:tcPr>
          <w:p w14:paraId="05612622" w14:textId="77777777" w:rsidR="008A1D13" w:rsidRPr="00D92B6C" w:rsidRDefault="00B37051" w:rsidP="008A1D13">
            <w:pPr>
              <w:pStyle w:val="zSoquijlblProcureurDef"/>
              <w:rPr>
                <w:lang w:val="en-CA"/>
              </w:rPr>
            </w:pPr>
            <w:r w:rsidRPr="00D92B6C">
              <w:rPr>
                <w:lang w:val="en-CA"/>
              </w:rPr>
              <w:t>Me Kristian Brabander</w:t>
            </w:r>
          </w:p>
          <w:p w14:paraId="7B00AC8E" w14:textId="77777777" w:rsidR="00D92B6C" w:rsidRPr="00222C7D" w:rsidRDefault="00B37051" w:rsidP="00D92B6C">
            <w:pPr>
              <w:pStyle w:val="zSoquijdatNomProcureurDef"/>
              <w:rPr>
                <w:lang w:val="en-CA"/>
              </w:rPr>
            </w:pPr>
            <w:r w:rsidRPr="00222C7D">
              <w:rPr>
                <w:lang w:val="en-CA"/>
              </w:rPr>
              <w:t>Me Jessica Harding</w:t>
            </w:r>
          </w:p>
          <w:p w14:paraId="63E8CB5B" w14:textId="77777777" w:rsidR="00D92B6C" w:rsidRPr="008A1D13" w:rsidRDefault="00B37051" w:rsidP="00D92B6C">
            <w:pPr>
              <w:pStyle w:val="zSoquijlblProcureurDef"/>
              <w:rPr>
                <w:szCs w:val="24"/>
              </w:rPr>
            </w:pPr>
            <w:r w:rsidRPr="00222C7D">
              <w:rPr>
                <w:lang w:val="en-CA"/>
              </w:rPr>
              <w:t>Me Emily Lynch</w:t>
            </w:r>
          </w:p>
        </w:tc>
      </w:tr>
      <w:tr w:rsidR="0049403F" w:rsidRPr="00EE3E2F" w14:paraId="4748832D" w14:textId="77777777" w:rsidTr="002A5611">
        <w:tc>
          <w:tcPr>
            <w:tcW w:w="9610" w:type="dxa"/>
            <w:gridSpan w:val="4"/>
          </w:tcPr>
          <w:p w14:paraId="27A02F6F" w14:textId="77777777" w:rsidR="00D92B6C" w:rsidRPr="005A7259" w:rsidRDefault="00B37051" w:rsidP="005A7259">
            <w:pPr>
              <w:keepNext/>
              <w:rPr>
                <w:szCs w:val="24"/>
                <w:lang w:val="en-CA"/>
              </w:rPr>
            </w:pPr>
            <w:r w:rsidRPr="00FE4177">
              <w:rPr>
                <w:rFonts w:eastAsia="Arial" w:cs="Arial"/>
                <w:smallCaps/>
                <w:lang w:val="en-CA"/>
              </w:rPr>
              <w:t>Osler, Hoskin &amp; Harcourt S.E.N.C.R.L./</w:t>
            </w:r>
            <w:proofErr w:type="spellStart"/>
            <w:r w:rsidRPr="00FE4177">
              <w:rPr>
                <w:rFonts w:eastAsia="Arial" w:cs="Arial"/>
                <w:smallCaps/>
                <w:lang w:val="en-CA"/>
              </w:rPr>
              <w:t>s.</w:t>
            </w:r>
            <w:proofErr w:type="gramStart"/>
            <w:r w:rsidRPr="00FE4177">
              <w:rPr>
                <w:rFonts w:eastAsia="Arial" w:cs="Arial"/>
                <w:smallCaps/>
                <w:lang w:val="en-CA"/>
              </w:rPr>
              <w:t>r.l</w:t>
            </w:r>
            <w:proofErr w:type="spellEnd"/>
            <w:proofErr w:type="gramEnd"/>
          </w:p>
        </w:tc>
      </w:tr>
      <w:tr w:rsidR="0049403F" w14:paraId="15D2C859" w14:textId="77777777" w:rsidTr="002A5611">
        <w:tc>
          <w:tcPr>
            <w:tcW w:w="9610" w:type="dxa"/>
            <w:gridSpan w:val="4"/>
          </w:tcPr>
          <w:p w14:paraId="43DD249F" w14:textId="77777777" w:rsidR="00D92B6C" w:rsidRPr="008A1D13" w:rsidRDefault="00B37051" w:rsidP="00D92B6C">
            <w:pPr>
              <w:pStyle w:val="zSoquijlblProcureurDef"/>
              <w:rPr>
                <w:szCs w:val="24"/>
              </w:rPr>
            </w:pPr>
            <w:r w:rsidRPr="00222C7D">
              <w:t xml:space="preserve">Avocats de MGM </w:t>
            </w:r>
            <w:proofErr w:type="spellStart"/>
            <w:r w:rsidRPr="00222C7D">
              <w:t>Resorts</w:t>
            </w:r>
            <w:proofErr w:type="spellEnd"/>
            <w:r w:rsidRPr="00222C7D">
              <w:t xml:space="preserve"> International d</w:t>
            </w:r>
            <w:r>
              <w:t xml:space="preserve">ans le dossier </w:t>
            </w:r>
            <w:r w:rsidRPr="003A5CB5">
              <w:t>500-06-001078-209</w:t>
            </w:r>
          </w:p>
        </w:tc>
      </w:tr>
      <w:tr w:rsidR="0049403F" w14:paraId="49E47AF3" w14:textId="77777777" w:rsidTr="002A5611">
        <w:tc>
          <w:tcPr>
            <w:tcW w:w="9610" w:type="dxa"/>
            <w:gridSpan w:val="4"/>
          </w:tcPr>
          <w:p w14:paraId="525CB6FA" w14:textId="77777777" w:rsidR="00D92B6C" w:rsidRPr="008A1D13" w:rsidRDefault="00D92B6C" w:rsidP="00D92B6C">
            <w:pPr>
              <w:pStyle w:val="zSoquijlblProcureurDef"/>
              <w:rPr>
                <w:szCs w:val="24"/>
              </w:rPr>
            </w:pPr>
          </w:p>
        </w:tc>
      </w:tr>
      <w:tr w:rsidR="0049403F" w14:paraId="7C45CE27" w14:textId="77777777" w:rsidTr="002A5611">
        <w:tc>
          <w:tcPr>
            <w:tcW w:w="9610" w:type="dxa"/>
            <w:gridSpan w:val="4"/>
          </w:tcPr>
          <w:p w14:paraId="5D4D85DB" w14:textId="77777777" w:rsidR="00D92B6C" w:rsidRPr="006C4776" w:rsidRDefault="00B37051" w:rsidP="00D92B6C">
            <w:pPr>
              <w:pStyle w:val="zSoquijdatNomProcureurDef"/>
            </w:pPr>
            <w:r w:rsidRPr="006C4776">
              <w:t>Me Tania Da</w:t>
            </w:r>
            <w:r w:rsidR="00F204E2">
              <w:t xml:space="preserve"> </w:t>
            </w:r>
            <w:r w:rsidRPr="006C4776">
              <w:t>Silva</w:t>
            </w:r>
          </w:p>
          <w:p w14:paraId="02150AA3" w14:textId="77777777" w:rsidR="00D92B6C" w:rsidRPr="008A1D13" w:rsidRDefault="00B37051" w:rsidP="00D92B6C">
            <w:pPr>
              <w:pStyle w:val="zSoquijlblProcureurDef"/>
              <w:rPr>
                <w:szCs w:val="24"/>
              </w:rPr>
            </w:pPr>
            <w:r w:rsidRPr="006C4776">
              <w:t>Me Anni</w:t>
            </w:r>
            <w:r>
              <w:t>e-Claude Authier</w:t>
            </w:r>
          </w:p>
        </w:tc>
      </w:tr>
      <w:tr w:rsidR="0049403F" w14:paraId="087B7720" w14:textId="77777777" w:rsidTr="002A5611">
        <w:tc>
          <w:tcPr>
            <w:tcW w:w="9610" w:type="dxa"/>
            <w:gridSpan w:val="4"/>
          </w:tcPr>
          <w:p w14:paraId="1D029E31" w14:textId="77777777" w:rsidR="00D92B6C" w:rsidRPr="008A1D13" w:rsidRDefault="00B37051" w:rsidP="005A7259">
            <w:pPr>
              <w:keepNext/>
              <w:rPr>
                <w:szCs w:val="24"/>
              </w:rPr>
            </w:pPr>
            <w:r w:rsidRPr="005A7259">
              <w:rPr>
                <w:rFonts w:eastAsia="Arial" w:cs="Arial"/>
                <w:smallCaps/>
              </w:rPr>
              <w:t>DLA Piper (</w:t>
            </w:r>
            <w:proofErr w:type="gramStart"/>
            <w:r w:rsidRPr="005A7259">
              <w:rPr>
                <w:rFonts w:eastAsia="Arial" w:cs="Arial"/>
                <w:smallCaps/>
              </w:rPr>
              <w:t>Canada)</w:t>
            </w:r>
            <w:r w:rsidR="00F204E2">
              <w:rPr>
                <w:rFonts w:eastAsia="Arial" w:cs="Arial"/>
                <w:smallCaps/>
              </w:rPr>
              <w:t xml:space="preserve"> </w:t>
            </w:r>
            <w:r w:rsidR="00F204E2" w:rsidRPr="00F204E2">
              <w:rPr>
                <w:rFonts w:eastAsia="Arial" w:cs="Arial"/>
                <w:smallCaps/>
              </w:rPr>
              <w:t> </w:t>
            </w:r>
            <w:proofErr w:type="spellStart"/>
            <w:r w:rsidR="00F204E2" w:rsidRPr="00F204E2">
              <w:rPr>
                <w:rFonts w:eastAsia="Arial" w:cs="Arial"/>
                <w:smallCaps/>
              </w:rPr>
              <w:t>s.e.n.c.r.l</w:t>
            </w:r>
            <w:proofErr w:type="spellEnd"/>
            <w:r w:rsidR="00F204E2" w:rsidRPr="00F204E2">
              <w:rPr>
                <w:rFonts w:eastAsia="Arial" w:cs="Arial"/>
                <w:smallCaps/>
              </w:rPr>
              <w:t>.</w:t>
            </w:r>
            <w:proofErr w:type="gramEnd"/>
          </w:p>
        </w:tc>
      </w:tr>
      <w:tr w:rsidR="0049403F" w14:paraId="21CF2C18" w14:textId="77777777" w:rsidTr="002A5611">
        <w:tc>
          <w:tcPr>
            <w:tcW w:w="9610" w:type="dxa"/>
            <w:gridSpan w:val="4"/>
          </w:tcPr>
          <w:p w14:paraId="0395B862" w14:textId="77777777" w:rsidR="00D92B6C" w:rsidRPr="008A1D13" w:rsidRDefault="00B37051" w:rsidP="00D92B6C">
            <w:pPr>
              <w:pStyle w:val="zSoquijlblProcureurDef"/>
              <w:rPr>
                <w:szCs w:val="24"/>
              </w:rPr>
            </w:pPr>
            <w:r w:rsidRPr="009043B1">
              <w:t xml:space="preserve">Avocats de MGM </w:t>
            </w:r>
            <w:proofErr w:type="spellStart"/>
            <w:r w:rsidRPr="009043B1">
              <w:t>Resorts</w:t>
            </w:r>
            <w:proofErr w:type="spellEnd"/>
            <w:r w:rsidRPr="009043B1">
              <w:t xml:space="preserve"> International</w:t>
            </w:r>
            <w:r>
              <w:t xml:space="preserve"> dans le dossier </w:t>
            </w:r>
            <w:r w:rsidRPr="00161673">
              <w:rPr>
                <w:bCs/>
              </w:rPr>
              <w:t>500-06-001280-235</w:t>
            </w:r>
          </w:p>
        </w:tc>
      </w:tr>
      <w:tr w:rsidR="0049403F" w14:paraId="3110F972" w14:textId="77777777" w:rsidTr="002A5611">
        <w:tc>
          <w:tcPr>
            <w:tcW w:w="9610" w:type="dxa"/>
            <w:gridSpan w:val="4"/>
          </w:tcPr>
          <w:p w14:paraId="23DB59CE" w14:textId="77777777" w:rsidR="00D92B6C" w:rsidRPr="008A1D13" w:rsidRDefault="00D92B6C" w:rsidP="00D92B6C">
            <w:pPr>
              <w:pStyle w:val="zSoquijlblProcureurDef"/>
              <w:rPr>
                <w:szCs w:val="24"/>
              </w:rPr>
            </w:pPr>
          </w:p>
        </w:tc>
      </w:tr>
      <w:tr w:rsidR="0049403F" w14:paraId="3A20543A" w14:textId="77777777" w:rsidTr="002A5611">
        <w:tc>
          <w:tcPr>
            <w:tcW w:w="9610" w:type="dxa"/>
            <w:gridSpan w:val="4"/>
          </w:tcPr>
          <w:p w14:paraId="733E5A6F" w14:textId="77777777" w:rsidR="00D92B6C" w:rsidRPr="008A1D13" w:rsidRDefault="00B37051" w:rsidP="00D92B6C">
            <w:pPr>
              <w:pStyle w:val="zSoquijlblProcureurDef"/>
              <w:rPr>
                <w:szCs w:val="24"/>
              </w:rPr>
            </w:pPr>
            <w:r w:rsidRPr="0022519D">
              <w:rPr>
                <w:rFonts w:cs="Arial"/>
                <w:szCs w:val="24"/>
                <w:lang w:val="fr-FR"/>
              </w:rPr>
              <w:t>M</w:t>
            </w:r>
            <w:r>
              <w:rPr>
                <w:rFonts w:cs="Arial"/>
                <w:szCs w:val="24"/>
                <w:lang w:val="fr-FR"/>
              </w:rPr>
              <w:t>e</w:t>
            </w:r>
            <w:r w:rsidRPr="0022519D">
              <w:rPr>
                <w:rFonts w:cs="Arial"/>
                <w:szCs w:val="24"/>
                <w:lang w:val="fr-FR"/>
              </w:rPr>
              <w:t xml:space="preserve"> </w:t>
            </w:r>
            <w:r w:rsidRPr="00812BFC">
              <w:rPr>
                <w:rFonts w:cs="Arial"/>
                <w:szCs w:val="24"/>
                <w:lang w:val="en-CA"/>
              </w:rPr>
              <w:t>Patrice Duguay-Perreault</w:t>
            </w:r>
          </w:p>
        </w:tc>
      </w:tr>
      <w:tr w:rsidR="0049403F" w14:paraId="5240CE2D" w14:textId="77777777" w:rsidTr="002A5611">
        <w:tc>
          <w:tcPr>
            <w:tcW w:w="9610" w:type="dxa"/>
            <w:gridSpan w:val="4"/>
          </w:tcPr>
          <w:p w14:paraId="054C1150" w14:textId="77777777" w:rsidR="00D92B6C" w:rsidRPr="00D92B6C" w:rsidRDefault="00B37051" w:rsidP="005A7259">
            <w:pPr>
              <w:keepNext/>
              <w:rPr>
                <w:b/>
                <w:bCs/>
                <w:szCs w:val="24"/>
              </w:rPr>
            </w:pPr>
            <w:r w:rsidRPr="005A7259">
              <w:rPr>
                <w:rFonts w:eastAsia="Arial" w:cs="Arial"/>
                <w:smallCaps/>
              </w:rPr>
              <w:t>Fonds d’aide aux actions collectives</w:t>
            </w:r>
          </w:p>
        </w:tc>
      </w:tr>
      <w:tr w:rsidR="0049403F" w14:paraId="7BE494A3" w14:textId="77777777" w:rsidTr="002A5611">
        <w:tc>
          <w:tcPr>
            <w:tcW w:w="9610" w:type="dxa"/>
            <w:gridSpan w:val="4"/>
          </w:tcPr>
          <w:p w14:paraId="1B328352" w14:textId="77777777" w:rsidR="00D92B6C" w:rsidRPr="008A1D13" w:rsidRDefault="00B37051" w:rsidP="00D92B6C">
            <w:pPr>
              <w:pStyle w:val="zSoquijlblProcureurDef"/>
              <w:rPr>
                <w:szCs w:val="24"/>
              </w:rPr>
            </w:pPr>
            <w:r w:rsidRPr="008A1D13">
              <w:rPr>
                <w:rFonts w:cs="Arial"/>
                <w:szCs w:val="24"/>
                <w:lang w:val="fr-FR"/>
              </w:rPr>
              <w:t>Avocat du</w:t>
            </w:r>
            <w:r>
              <w:rPr>
                <w:rFonts w:cs="Arial"/>
                <w:szCs w:val="24"/>
                <w:lang w:val="fr-FR"/>
              </w:rPr>
              <w:t xml:space="preserve"> </w:t>
            </w:r>
            <w:r w:rsidRPr="0022519D">
              <w:rPr>
                <w:rFonts w:cs="Arial"/>
                <w:szCs w:val="24"/>
                <w:lang w:val="fr-FR"/>
              </w:rPr>
              <w:t>Fonds d’aide aux actions collectives</w:t>
            </w:r>
          </w:p>
        </w:tc>
      </w:tr>
      <w:tr w:rsidR="0049403F" w14:paraId="77DF3BCA" w14:textId="77777777" w:rsidTr="002A5611">
        <w:tc>
          <w:tcPr>
            <w:tcW w:w="9610" w:type="dxa"/>
            <w:gridSpan w:val="4"/>
          </w:tcPr>
          <w:p w14:paraId="0B2725BB" w14:textId="77777777" w:rsidR="00D92B6C" w:rsidRPr="008A1D13" w:rsidRDefault="00D92B6C" w:rsidP="00D92B6C">
            <w:pPr>
              <w:pStyle w:val="zSoquijlblProcureurDef"/>
              <w:rPr>
                <w:szCs w:val="24"/>
              </w:rPr>
            </w:pPr>
          </w:p>
        </w:tc>
      </w:tr>
      <w:tr w:rsidR="0049403F" w14:paraId="6464866F" w14:textId="77777777" w:rsidTr="002A5611">
        <w:tc>
          <w:tcPr>
            <w:tcW w:w="2197" w:type="dxa"/>
          </w:tcPr>
          <w:p w14:paraId="4A05B1D0" w14:textId="77777777" w:rsidR="00D92B6C" w:rsidRDefault="00B37051" w:rsidP="00D92B6C">
            <w:pPr>
              <w:pStyle w:val="zSoquijlblDateAudience"/>
            </w:pPr>
            <w:r>
              <w:t>Date d’audience :</w:t>
            </w:r>
          </w:p>
        </w:tc>
        <w:tc>
          <w:tcPr>
            <w:tcW w:w="7413" w:type="dxa"/>
            <w:gridSpan w:val="3"/>
          </w:tcPr>
          <w:p w14:paraId="57835519" w14:textId="77777777" w:rsidR="00D92B6C" w:rsidRDefault="00B37051" w:rsidP="00D92B6C">
            <w:pPr>
              <w:pStyle w:val="zSoquijdatDateAudience"/>
            </w:pPr>
            <w:r>
              <w:t>20 mai 2026</w:t>
            </w:r>
          </w:p>
        </w:tc>
      </w:tr>
    </w:tbl>
    <w:p w14:paraId="7F862ECE" w14:textId="77777777" w:rsidR="00F24941" w:rsidRDefault="00F24941" w:rsidP="00D26929"/>
    <w:p w14:paraId="59BE96E9" w14:textId="77777777" w:rsidR="00F24941" w:rsidRDefault="00F24941"/>
    <w:sectPr w:rsidR="00F24941" w:rsidSect="007111B8">
      <w:headerReference w:type="default" r:id="rId8"/>
      <w:footerReference w:type="even" r:id="rId9"/>
      <w:footnotePr>
        <w:numRestart w:val="eachSect"/>
      </w:footnotePr>
      <w:pgSz w:w="12242" w:h="15842" w:code="1"/>
      <w:pgMar w:top="1440" w:right="1008" w:bottom="1440" w:left="1872" w:header="1440" w:footer="7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E679" w14:textId="77777777" w:rsidR="00B37051" w:rsidRDefault="00B37051">
      <w:r>
        <w:separator/>
      </w:r>
    </w:p>
  </w:endnote>
  <w:endnote w:type="continuationSeparator" w:id="0">
    <w:p w14:paraId="2159F4F1" w14:textId="77777777" w:rsidR="00B37051" w:rsidRDefault="00B3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AEA6" w14:textId="77777777" w:rsidR="00121A72" w:rsidRDefault="00B37051">
    <w:pPr>
      <w:framePr w:wrap="around" w:vAnchor="text" w:hAnchor="margin" w:xAlign="right" w:y="1"/>
    </w:pPr>
    <w:r>
      <w:fldChar w:fldCharType="begin"/>
    </w:r>
    <w:r>
      <w:instrText xml:space="preserve">PAGE  </w:instrText>
    </w:r>
    <w:r>
      <w:fldChar w:fldCharType="separate"/>
    </w:r>
    <w:r>
      <w:fldChar w:fldCharType="end"/>
    </w:r>
  </w:p>
  <w:p w14:paraId="4A6CF05E" w14:textId="77777777" w:rsidR="00121A72" w:rsidRDefault="00121A7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C9D4" w14:textId="77777777" w:rsidR="003E3C77" w:rsidRDefault="00B37051">
      <w:r>
        <w:separator/>
      </w:r>
    </w:p>
  </w:footnote>
  <w:footnote w:type="continuationSeparator" w:id="0">
    <w:p w14:paraId="3A591A7D" w14:textId="77777777" w:rsidR="003E3C77" w:rsidRDefault="00B37051">
      <w:r>
        <w:continuationSeparator/>
      </w:r>
    </w:p>
  </w:footnote>
  <w:footnote w:id="1">
    <w:p w14:paraId="1A4EC4EF" w14:textId="77777777" w:rsidR="007F2276" w:rsidRPr="00265FF1" w:rsidRDefault="00B37051">
      <w:pPr>
        <w:pStyle w:val="Notedebasdepage"/>
      </w:pPr>
      <w:r>
        <w:rPr>
          <w:rStyle w:val="Appelnotedebasdep"/>
        </w:rPr>
        <w:footnoteRef/>
      </w:r>
      <w:r w:rsidRPr="00B24EDA">
        <w:t xml:space="preserve"> </w:t>
      </w:r>
      <w:r w:rsidRPr="00B24EDA">
        <w:tab/>
        <w:t>Pièce R</w:t>
      </w:r>
      <w:r w:rsidRPr="00265FF1">
        <w:t>-1.</w:t>
      </w:r>
    </w:p>
  </w:footnote>
  <w:footnote w:id="2">
    <w:p w14:paraId="5AE5C603" w14:textId="77777777" w:rsidR="007F2276" w:rsidRDefault="00B37051">
      <w:pPr>
        <w:pStyle w:val="Notedebasdepage"/>
      </w:pPr>
      <w:r w:rsidRPr="00265FF1">
        <w:rPr>
          <w:rStyle w:val="Appelnotedebasdep"/>
        </w:rPr>
        <w:footnoteRef/>
      </w:r>
      <w:r w:rsidRPr="00265FF1">
        <w:t xml:space="preserve"> </w:t>
      </w:r>
      <w:r w:rsidRPr="00265FF1">
        <w:tab/>
        <w:t>Pièce</w:t>
      </w:r>
      <w:r w:rsidR="00BD3A0C">
        <w:t>s</w:t>
      </w:r>
      <w:r w:rsidRPr="00265FF1">
        <w:t xml:space="preserve"> R-</w:t>
      </w:r>
      <w:r w:rsidR="00B46069" w:rsidRPr="00265FF1">
        <w:t>3</w:t>
      </w:r>
      <w:r w:rsidR="00265FF1">
        <w:t xml:space="preserve"> et R-4</w:t>
      </w:r>
      <w:r>
        <w:t>.</w:t>
      </w:r>
    </w:p>
  </w:footnote>
  <w:footnote w:id="3">
    <w:p w14:paraId="3BEA3BFA" w14:textId="77777777" w:rsidR="0082036E" w:rsidRDefault="00B37051">
      <w:pPr>
        <w:pStyle w:val="Notedebasdepage"/>
      </w:pPr>
      <w:r>
        <w:rPr>
          <w:rStyle w:val="Appelnotedebasdep"/>
        </w:rPr>
        <w:footnoteRef/>
      </w:r>
      <w:r>
        <w:t xml:space="preserve"> </w:t>
      </w:r>
      <w:r w:rsidR="0099258B">
        <w:tab/>
      </w:r>
      <w:r w:rsidR="008D2C29">
        <w:t xml:space="preserve">Pièce </w:t>
      </w:r>
      <w:r w:rsidR="0099258B">
        <w:t>R-1.</w:t>
      </w:r>
    </w:p>
  </w:footnote>
  <w:footnote w:id="4">
    <w:p w14:paraId="240BCC53" w14:textId="77777777" w:rsidR="00B36F57" w:rsidRPr="008617CD" w:rsidRDefault="00B37051" w:rsidP="00B36F57">
      <w:pPr>
        <w:pStyle w:val="Notedebasdepage"/>
      </w:pPr>
      <w:r>
        <w:rPr>
          <w:rStyle w:val="Appelnotedebasdep"/>
        </w:rPr>
        <w:footnoteRef/>
      </w:r>
      <w:r>
        <w:t xml:space="preserve"> </w:t>
      </w:r>
      <w:r>
        <w:tab/>
      </w:r>
      <w:r>
        <w:rPr>
          <w:rFonts w:cs="Arial"/>
          <w:color w:val="000000"/>
          <w:shd w:val="clear" w:color="auto" w:fill="FFFFFF"/>
        </w:rPr>
        <w:t>Catherine PICHÉ, </w:t>
      </w:r>
      <w:r>
        <w:rPr>
          <w:rFonts w:cs="Arial"/>
          <w:i/>
          <w:iCs/>
          <w:color w:val="000000"/>
          <w:shd w:val="clear" w:color="auto" w:fill="FFFFFF"/>
        </w:rPr>
        <w:t>Le règlement à l’amiable de l’action collective</w:t>
      </w:r>
      <w:r>
        <w:rPr>
          <w:rFonts w:cs="Arial"/>
          <w:color w:val="000000"/>
          <w:shd w:val="clear" w:color="auto" w:fill="FFFFFF"/>
        </w:rPr>
        <w:t>, Cowansville, Éditions Yvon Blais, 2014, p. 191 et 192.</w:t>
      </w:r>
    </w:p>
  </w:footnote>
  <w:footnote w:id="5">
    <w:p w14:paraId="73AA5235" w14:textId="77777777" w:rsidR="00B36F57" w:rsidRPr="00FA798B" w:rsidRDefault="00B37051" w:rsidP="00B36F57">
      <w:pPr>
        <w:pStyle w:val="Notedebasdepage"/>
      </w:pPr>
      <w:r>
        <w:rPr>
          <w:rStyle w:val="Appelnotedebasdep"/>
        </w:rPr>
        <w:footnoteRef/>
      </w:r>
      <w:r>
        <w:t xml:space="preserve"> </w:t>
      </w:r>
      <w:r w:rsidRPr="00FA798B">
        <w:tab/>
      </w:r>
      <w:r w:rsidRPr="004652A4">
        <w:rPr>
          <w:i/>
        </w:rPr>
        <w:t xml:space="preserve">Option Consommateurs </w:t>
      </w:r>
      <w:r w:rsidRPr="00433433">
        <w:t xml:space="preserve">c. </w:t>
      </w:r>
      <w:r w:rsidRPr="004652A4">
        <w:rPr>
          <w:i/>
        </w:rPr>
        <w:t>Banque Amex du Canada</w:t>
      </w:r>
      <w:r w:rsidRPr="004652A4">
        <w:t xml:space="preserve">, </w:t>
      </w:r>
      <w:r w:rsidRPr="00AB6F87">
        <w:t>2018 QCCA 305</w:t>
      </w:r>
      <w:bookmarkStart w:id="8" w:name="_Hlk179203196"/>
      <w:r w:rsidRPr="004652A4">
        <w:t xml:space="preserve">, </w:t>
      </w:r>
      <w:bookmarkEnd w:id="8"/>
      <w:r w:rsidRPr="004652A4">
        <w:t xml:space="preserve">par. </w:t>
      </w:r>
      <w:r>
        <w:t>8 et 84</w:t>
      </w:r>
      <w:r w:rsidR="00F959F0">
        <w:t>.</w:t>
      </w:r>
    </w:p>
  </w:footnote>
  <w:footnote w:id="6">
    <w:p w14:paraId="6820B516" w14:textId="77777777" w:rsidR="00B36F57" w:rsidRPr="001A3DF7" w:rsidRDefault="00B37051" w:rsidP="00B36F57">
      <w:pPr>
        <w:pStyle w:val="Notedebasdepage"/>
      </w:pPr>
      <w:r>
        <w:rPr>
          <w:rStyle w:val="Appelnotedebasdep"/>
        </w:rPr>
        <w:footnoteRef/>
      </w:r>
      <w:r w:rsidRPr="00F11B19">
        <w:t xml:space="preserve"> </w:t>
      </w:r>
      <w:r w:rsidRPr="00F11B19">
        <w:tab/>
      </w:r>
      <w:r w:rsidRPr="00F11B19">
        <w:rPr>
          <w:i/>
          <w:iCs/>
        </w:rPr>
        <w:t xml:space="preserve">Sable Offshore Energy </w:t>
      </w:r>
      <w:r w:rsidR="00DA6403">
        <w:rPr>
          <w:i/>
          <w:iCs/>
        </w:rPr>
        <w:t>I</w:t>
      </w:r>
      <w:r w:rsidRPr="00F11B19">
        <w:rPr>
          <w:i/>
          <w:iCs/>
        </w:rPr>
        <w:t xml:space="preserve">nc. </w:t>
      </w:r>
      <w:r w:rsidRPr="001B4CFD">
        <w:t>c.</w:t>
      </w:r>
      <w:r w:rsidRPr="00F11B19">
        <w:rPr>
          <w:i/>
          <w:iCs/>
        </w:rPr>
        <w:t xml:space="preserve"> </w:t>
      </w:r>
      <w:proofErr w:type="spellStart"/>
      <w:r w:rsidRPr="00F11B19">
        <w:rPr>
          <w:i/>
          <w:iCs/>
        </w:rPr>
        <w:t>Ameron</w:t>
      </w:r>
      <w:proofErr w:type="spellEnd"/>
      <w:r w:rsidRPr="00F11B19">
        <w:rPr>
          <w:i/>
          <w:iCs/>
        </w:rPr>
        <w:t xml:space="preserve"> International Corp.</w:t>
      </w:r>
      <w:r w:rsidRPr="00F11B19">
        <w:t>, 2013 CSC 37, par. 11</w:t>
      </w:r>
      <w:r>
        <w:t>.</w:t>
      </w:r>
    </w:p>
  </w:footnote>
  <w:footnote w:id="7">
    <w:p w14:paraId="49CFF451" w14:textId="77777777" w:rsidR="00B36F57" w:rsidRPr="008C3AE0" w:rsidRDefault="00B37051" w:rsidP="00B36F57">
      <w:pPr>
        <w:pStyle w:val="Notedebasdepage"/>
      </w:pPr>
      <w:r>
        <w:rPr>
          <w:rStyle w:val="Appelnotedebasdep"/>
        </w:rPr>
        <w:footnoteRef/>
      </w:r>
      <w:r w:rsidRPr="00AB6F87">
        <w:t xml:space="preserve"> </w:t>
      </w:r>
      <w:r w:rsidRPr="00AB6F87">
        <w:tab/>
      </w:r>
      <w:r w:rsidRPr="002B6DDA">
        <w:rPr>
          <w:i/>
        </w:rPr>
        <w:t xml:space="preserve">A.B. </w:t>
      </w:r>
      <w:r w:rsidRPr="004B49C8">
        <w:rPr>
          <w:iCs/>
        </w:rPr>
        <w:t>c.</w:t>
      </w:r>
      <w:r w:rsidRPr="002B6DDA">
        <w:rPr>
          <w:i/>
        </w:rPr>
        <w:t xml:space="preserve"> Clercs de </w:t>
      </w:r>
      <w:proofErr w:type="spellStart"/>
      <w:r w:rsidRPr="002B6DDA">
        <w:rPr>
          <w:i/>
        </w:rPr>
        <w:t>Saint-Viateur</w:t>
      </w:r>
      <w:proofErr w:type="spellEnd"/>
      <w:r w:rsidRPr="002B6DDA">
        <w:rPr>
          <w:i/>
        </w:rPr>
        <w:t xml:space="preserve"> du Canada</w:t>
      </w:r>
      <w:r w:rsidRPr="00D76E93">
        <w:rPr>
          <w:iCs/>
        </w:rPr>
        <w:t>,</w:t>
      </w:r>
      <w:r w:rsidR="00D76E93">
        <w:rPr>
          <w:iCs/>
        </w:rPr>
        <w:t xml:space="preserve"> </w:t>
      </w:r>
      <w:r w:rsidR="00005B33">
        <w:rPr>
          <w:iCs/>
        </w:rPr>
        <w:t xml:space="preserve">2023 QCCA </w:t>
      </w:r>
      <w:r w:rsidR="004C4986">
        <w:rPr>
          <w:iCs/>
        </w:rPr>
        <w:t>527,</w:t>
      </w:r>
      <w:r w:rsidRPr="002B6DDA">
        <w:rPr>
          <w:iCs/>
        </w:rPr>
        <w:t xml:space="preserve"> par. 34</w:t>
      </w:r>
      <w:r w:rsidR="00812771">
        <w:rPr>
          <w:iCs/>
        </w:rPr>
        <w:t>.</w:t>
      </w:r>
    </w:p>
  </w:footnote>
  <w:footnote w:id="8">
    <w:p w14:paraId="49DCB3C6" w14:textId="77777777" w:rsidR="00B36F57" w:rsidRDefault="00B37051" w:rsidP="00B36F57">
      <w:pPr>
        <w:pStyle w:val="Notedebasdepage"/>
      </w:pPr>
      <w:r>
        <w:rPr>
          <w:rStyle w:val="Appelnotedebasdep"/>
        </w:rPr>
        <w:footnoteRef/>
      </w:r>
      <w:r>
        <w:t xml:space="preserve"> </w:t>
      </w:r>
      <w:r>
        <w:tab/>
        <w:t>Myriam</w:t>
      </w:r>
      <w:r w:rsidRPr="00006FCE">
        <w:t xml:space="preserve"> </w:t>
      </w:r>
      <w:r>
        <w:t>BRIXI et Éric</w:t>
      </w:r>
      <w:r w:rsidRPr="00B02AF5">
        <w:t xml:space="preserve"> </w:t>
      </w:r>
      <w:r>
        <w:t xml:space="preserve">PRÉFONTAINE, « Solutions créatives au service du règlement d'une action collective — Développements récents au Québec, au Canada et aux États-Unis (2022) », dans </w:t>
      </w:r>
      <w:r w:rsidR="004A7974">
        <w:t>S.F.C.B.Q., vol. 520</w:t>
      </w:r>
      <w:r>
        <w:t xml:space="preserve">, </w:t>
      </w:r>
      <w:r>
        <w:rPr>
          <w:i/>
        </w:rPr>
        <w:t>Colloque national sur l'action collective (2022)</w:t>
      </w:r>
      <w:r>
        <w:t>, Montréal, Éditions Yvon Blais, 2022</w:t>
      </w:r>
      <w:r w:rsidRPr="00006FCE">
        <w:t>,</w:t>
      </w:r>
      <w:r>
        <w:t xml:space="preserve"> </w:t>
      </w:r>
      <w:r w:rsidR="004A7974">
        <w:t>à la page</w:t>
      </w:r>
      <w:r w:rsidRPr="00006FCE">
        <w:t xml:space="preserve"> 47</w:t>
      </w:r>
      <w:r>
        <w:t>.</w:t>
      </w:r>
    </w:p>
  </w:footnote>
  <w:footnote w:id="9">
    <w:p w14:paraId="32E97F6F" w14:textId="77777777" w:rsidR="00B36F57" w:rsidRDefault="00B37051" w:rsidP="00B36F57">
      <w:pPr>
        <w:pStyle w:val="Notedebasdepage"/>
      </w:pPr>
      <w:r>
        <w:rPr>
          <w:rStyle w:val="Appelnotedebasdep"/>
        </w:rPr>
        <w:footnoteRef/>
      </w:r>
      <w:r>
        <w:t xml:space="preserve"> </w:t>
      </w:r>
      <w:r>
        <w:tab/>
      </w:r>
      <w:r w:rsidRPr="00BF1BF4">
        <w:rPr>
          <w:i/>
          <w:iCs/>
        </w:rPr>
        <w:t xml:space="preserve">Option Consommateurs </w:t>
      </w:r>
      <w:r w:rsidRPr="004B49C8">
        <w:t>c.</w:t>
      </w:r>
      <w:r w:rsidRPr="00BF1BF4">
        <w:rPr>
          <w:i/>
          <w:iCs/>
        </w:rPr>
        <w:t xml:space="preserve"> Meubles Léon </w:t>
      </w:r>
      <w:proofErr w:type="spellStart"/>
      <w:r w:rsidRPr="00BF1BF4">
        <w:rPr>
          <w:i/>
          <w:iCs/>
        </w:rPr>
        <w:t>ltée</w:t>
      </w:r>
      <w:proofErr w:type="spellEnd"/>
      <w:r w:rsidRPr="00BF1BF4">
        <w:t>, 2022 QCCS 193</w:t>
      </w:r>
      <w:r>
        <w:t>, par. 42 à 44</w:t>
      </w:r>
      <w:r w:rsidR="00F959F0">
        <w:t>.</w:t>
      </w:r>
    </w:p>
  </w:footnote>
  <w:footnote w:id="10">
    <w:p w14:paraId="42CA8A42" w14:textId="77777777" w:rsidR="00B36F57" w:rsidRDefault="00B37051" w:rsidP="00B36F57">
      <w:pPr>
        <w:pStyle w:val="Notedebasdepage"/>
      </w:pPr>
      <w:r>
        <w:rPr>
          <w:rStyle w:val="Appelnotedebasdep"/>
        </w:rPr>
        <w:footnoteRef/>
      </w:r>
      <w:r>
        <w:t xml:space="preserve"> </w:t>
      </w:r>
      <w:r>
        <w:tab/>
      </w:r>
      <w:proofErr w:type="spellStart"/>
      <w:r w:rsidRPr="006D7C95">
        <w:rPr>
          <w:i/>
          <w:iCs/>
        </w:rPr>
        <w:t>Boulay</w:t>
      </w:r>
      <w:proofErr w:type="spellEnd"/>
      <w:r w:rsidRPr="006D7C95">
        <w:rPr>
          <w:i/>
          <w:iCs/>
        </w:rPr>
        <w:t xml:space="preserve"> </w:t>
      </w:r>
      <w:r w:rsidRPr="004B49C8">
        <w:t>c.</w:t>
      </w:r>
      <w:r w:rsidRPr="006D7C95">
        <w:rPr>
          <w:i/>
          <w:iCs/>
        </w:rPr>
        <w:t xml:space="preserve"> Fédération des Caisses Desjardins du Québec</w:t>
      </w:r>
      <w:r w:rsidRPr="006D7C95">
        <w:t>, 2022 QCCS 2301</w:t>
      </w:r>
      <w:r>
        <w:t>, par. 36.</w:t>
      </w:r>
    </w:p>
  </w:footnote>
  <w:footnote w:id="11">
    <w:p w14:paraId="6F26E402" w14:textId="77777777" w:rsidR="00B36F57" w:rsidRDefault="00B37051" w:rsidP="00B36F57">
      <w:pPr>
        <w:pStyle w:val="Notedebasdepage"/>
      </w:pPr>
      <w:r>
        <w:rPr>
          <w:rStyle w:val="Appelnotedebasdep"/>
        </w:rPr>
        <w:footnoteRef/>
      </w:r>
      <w:r>
        <w:t xml:space="preserve"> </w:t>
      </w:r>
      <w:r>
        <w:tab/>
      </w:r>
      <w:r w:rsidRPr="00AE3FD4">
        <w:rPr>
          <w:i/>
          <w:iCs/>
        </w:rPr>
        <w:t>A.B.</w:t>
      </w:r>
      <w:r w:rsidRPr="006D7C95">
        <w:rPr>
          <w:i/>
          <w:iCs/>
        </w:rPr>
        <w:t xml:space="preserve"> </w:t>
      </w:r>
      <w:r w:rsidRPr="004B49C8">
        <w:t>c.</w:t>
      </w:r>
      <w:r w:rsidRPr="006D7C95">
        <w:rPr>
          <w:i/>
          <w:iCs/>
        </w:rPr>
        <w:t xml:space="preserve"> Corporation archiépiscopale catholique romaine de Montréal</w:t>
      </w:r>
      <w:r w:rsidRPr="006D7C95">
        <w:t>, 2023 QCCS 2529</w:t>
      </w:r>
      <w:r>
        <w:t xml:space="preserve">, par. 164; </w:t>
      </w:r>
      <w:r w:rsidRPr="00214BF7">
        <w:rPr>
          <w:i/>
          <w:iCs/>
        </w:rPr>
        <w:t xml:space="preserve">Sévigny </w:t>
      </w:r>
      <w:r w:rsidRPr="004B49C8">
        <w:t>c.</w:t>
      </w:r>
      <w:r w:rsidRPr="00214BF7">
        <w:rPr>
          <w:i/>
          <w:iCs/>
        </w:rPr>
        <w:t xml:space="preserve"> Ville de Montréal</w:t>
      </w:r>
      <w:r w:rsidRPr="00214BF7">
        <w:t>, 2023 QCCS 515</w:t>
      </w:r>
      <w:r>
        <w:t>, par. 28.</w:t>
      </w:r>
    </w:p>
  </w:footnote>
  <w:footnote w:id="12">
    <w:p w14:paraId="42061F5B" w14:textId="77777777" w:rsidR="00B36F57" w:rsidRDefault="00B37051" w:rsidP="00B36F57">
      <w:pPr>
        <w:pStyle w:val="Notedebasdepage"/>
      </w:pPr>
      <w:r>
        <w:rPr>
          <w:rStyle w:val="Appelnotedebasdep"/>
        </w:rPr>
        <w:footnoteRef/>
      </w:r>
      <w:r>
        <w:t xml:space="preserve"> </w:t>
      </w:r>
      <w:r>
        <w:tab/>
      </w:r>
      <w:r w:rsidRPr="006D7C95">
        <w:rPr>
          <w:i/>
          <w:iCs/>
        </w:rPr>
        <w:t xml:space="preserve">Bramante </w:t>
      </w:r>
      <w:r w:rsidRPr="004B49C8">
        <w:t>c.</w:t>
      </w:r>
      <w:r w:rsidRPr="006D7C95">
        <w:rPr>
          <w:i/>
          <w:iCs/>
        </w:rPr>
        <w:t xml:space="preserve"> Restaurants McDonald du Canada limitée</w:t>
      </w:r>
      <w:r w:rsidRPr="006D7C95">
        <w:t>, 2021 QCCS 955</w:t>
      </w:r>
      <w:r>
        <w:t>, par. 27.</w:t>
      </w:r>
    </w:p>
  </w:footnote>
  <w:footnote w:id="13">
    <w:p w14:paraId="7FEDBEFF" w14:textId="77777777" w:rsidR="00B36F57" w:rsidRDefault="00B37051" w:rsidP="00B36F57">
      <w:pPr>
        <w:pStyle w:val="Notedebasdepage"/>
      </w:pPr>
      <w:r>
        <w:rPr>
          <w:rStyle w:val="Appelnotedebasdep"/>
        </w:rPr>
        <w:footnoteRef/>
      </w:r>
      <w:r>
        <w:t xml:space="preserve"> </w:t>
      </w:r>
      <w:r>
        <w:tab/>
      </w:r>
      <w:r w:rsidRPr="00BF1BF4">
        <w:rPr>
          <w:i/>
          <w:iCs/>
        </w:rPr>
        <w:t xml:space="preserve">Option Consommateurs </w:t>
      </w:r>
      <w:r w:rsidRPr="004B49C8">
        <w:t>c.</w:t>
      </w:r>
      <w:r w:rsidRPr="00BF1BF4">
        <w:rPr>
          <w:i/>
          <w:iCs/>
        </w:rPr>
        <w:t xml:space="preserve"> Meubles Léon </w:t>
      </w:r>
      <w:proofErr w:type="spellStart"/>
      <w:r w:rsidRPr="00BF1BF4">
        <w:rPr>
          <w:i/>
          <w:iCs/>
        </w:rPr>
        <w:t>ltée</w:t>
      </w:r>
      <w:proofErr w:type="spellEnd"/>
      <w:r w:rsidRPr="00BF1BF4">
        <w:t xml:space="preserve">, </w:t>
      </w:r>
      <w:proofErr w:type="spellStart"/>
      <w:r>
        <w:t>préc</w:t>
      </w:r>
      <w:proofErr w:type="spellEnd"/>
      <w:r>
        <w:t xml:space="preserve">., </w:t>
      </w:r>
      <w:r w:rsidRPr="000239BD">
        <w:t xml:space="preserve">note </w:t>
      </w:r>
      <w:r w:rsidR="00793F19" w:rsidRPr="000239BD">
        <w:t>9</w:t>
      </w:r>
      <w:r w:rsidR="00250B60" w:rsidRPr="000239BD">
        <w:t>,</w:t>
      </w:r>
      <w:r>
        <w:t xml:space="preserve"> par. 53.</w:t>
      </w:r>
    </w:p>
  </w:footnote>
  <w:footnote w:id="14">
    <w:p w14:paraId="5EC52DC7" w14:textId="77777777" w:rsidR="00B36F57" w:rsidRDefault="00B37051" w:rsidP="00B36F57">
      <w:pPr>
        <w:pStyle w:val="Notedebasdepage"/>
      </w:pPr>
      <w:r>
        <w:rPr>
          <w:rStyle w:val="Appelnotedebasdep"/>
        </w:rPr>
        <w:footnoteRef/>
      </w:r>
      <w:r>
        <w:t xml:space="preserve"> </w:t>
      </w:r>
      <w:r>
        <w:tab/>
      </w:r>
      <w:r w:rsidRPr="00BF1BF4">
        <w:rPr>
          <w:i/>
          <w:iCs/>
        </w:rPr>
        <w:t xml:space="preserve">Option Consommateurs </w:t>
      </w:r>
      <w:r w:rsidRPr="004B49C8">
        <w:t>c.</w:t>
      </w:r>
      <w:r w:rsidRPr="00BF1BF4">
        <w:rPr>
          <w:i/>
          <w:iCs/>
        </w:rPr>
        <w:t xml:space="preserve"> Banque Amex du Canada</w:t>
      </w:r>
      <w:r w:rsidRPr="00BF1BF4">
        <w:t>, 2017 QCCS 200</w:t>
      </w:r>
      <w:r>
        <w:t>, par. 110 (</w:t>
      </w:r>
      <w:r w:rsidR="001B5386">
        <w:t>confirmé en appel</w:t>
      </w:r>
      <w:r>
        <w:t>,</w:t>
      </w:r>
      <w:r w:rsidRPr="000E7667">
        <w:t xml:space="preserve"> 2018 QCCA 305</w:t>
      </w:r>
      <w:r>
        <w:t>).</w:t>
      </w:r>
    </w:p>
  </w:footnote>
  <w:footnote w:id="15">
    <w:p w14:paraId="4D7A0FEC" w14:textId="77777777" w:rsidR="00B36F57" w:rsidRPr="00D3636B" w:rsidRDefault="00B37051" w:rsidP="00B36F57">
      <w:pPr>
        <w:pStyle w:val="Notedebasdepage"/>
      </w:pPr>
      <w:r>
        <w:rPr>
          <w:rStyle w:val="Appelnotedebasdep"/>
        </w:rPr>
        <w:footnoteRef/>
      </w:r>
      <w:r>
        <w:t xml:space="preserve"> </w:t>
      </w:r>
      <w:r>
        <w:tab/>
      </w:r>
      <w:proofErr w:type="spellStart"/>
      <w:r w:rsidRPr="009949BC">
        <w:rPr>
          <w:i/>
          <w:iCs/>
        </w:rPr>
        <w:t>Lamontagne</w:t>
      </w:r>
      <w:proofErr w:type="spellEnd"/>
      <w:r w:rsidRPr="009949BC">
        <w:rPr>
          <w:i/>
          <w:iCs/>
        </w:rPr>
        <w:t xml:space="preserve"> </w:t>
      </w:r>
      <w:r w:rsidRPr="004B49C8">
        <w:t>c.</w:t>
      </w:r>
      <w:r w:rsidRPr="009949BC">
        <w:rPr>
          <w:i/>
          <w:iCs/>
        </w:rPr>
        <w:t xml:space="preserve"> Compagnie d'aviation </w:t>
      </w:r>
      <w:proofErr w:type="spellStart"/>
      <w:r w:rsidRPr="009949BC">
        <w:rPr>
          <w:i/>
          <w:iCs/>
        </w:rPr>
        <w:t>Cubana</w:t>
      </w:r>
      <w:proofErr w:type="spellEnd"/>
      <w:r w:rsidRPr="009949BC">
        <w:t>, 2023 QCCS 4822</w:t>
      </w:r>
      <w:r>
        <w:t>, par. 4</w:t>
      </w:r>
      <w:r w:rsidR="00A32266">
        <w:t>2</w:t>
      </w:r>
      <w:r>
        <w:t xml:space="preserve"> (j</w:t>
      </w:r>
      <w:r w:rsidRPr="000E7667">
        <w:t>ugement de clôture, 2024 QCCS 2078</w:t>
      </w:r>
      <w:r>
        <w:t>)</w:t>
      </w:r>
      <w:r w:rsidR="00250B60">
        <w:t>.</w:t>
      </w:r>
    </w:p>
  </w:footnote>
  <w:footnote w:id="16">
    <w:p w14:paraId="5EC1A866" w14:textId="77777777" w:rsidR="00B36F57" w:rsidRPr="00BB6133" w:rsidRDefault="00B37051" w:rsidP="00B36F57">
      <w:pPr>
        <w:pStyle w:val="Notedebasdepage"/>
      </w:pPr>
      <w:r>
        <w:rPr>
          <w:rStyle w:val="Appelnotedebasdep"/>
        </w:rPr>
        <w:footnoteRef/>
      </w:r>
      <w:r>
        <w:t xml:space="preserve"> </w:t>
      </w:r>
      <w:r w:rsidRPr="00BB6133">
        <w:tab/>
      </w:r>
      <w:r w:rsidRPr="004652A4">
        <w:rPr>
          <w:i/>
        </w:rPr>
        <w:t xml:space="preserve">Option Consommateurs </w:t>
      </w:r>
      <w:r w:rsidRPr="00310308">
        <w:t xml:space="preserve">c. </w:t>
      </w:r>
      <w:r w:rsidRPr="004652A4">
        <w:rPr>
          <w:i/>
        </w:rPr>
        <w:t>Banque Amex du Canada</w:t>
      </w:r>
      <w:r w:rsidRPr="004652A4">
        <w:t xml:space="preserve">, </w:t>
      </w:r>
      <w:proofErr w:type="spellStart"/>
      <w:r>
        <w:t>préc</w:t>
      </w:r>
      <w:proofErr w:type="spellEnd"/>
      <w:r>
        <w:t xml:space="preserve">., </w:t>
      </w:r>
      <w:r w:rsidRPr="00B51DF9">
        <w:t xml:space="preserve">note </w:t>
      </w:r>
      <w:r w:rsidR="00793F19" w:rsidRPr="00B51DF9">
        <w:t>5</w:t>
      </w:r>
      <w:r w:rsidRPr="004652A4">
        <w:t xml:space="preserve">, par. </w:t>
      </w:r>
      <w:r>
        <w:t xml:space="preserve">84; </w:t>
      </w:r>
      <w:r w:rsidRPr="00BB6133">
        <w:rPr>
          <w:i/>
        </w:rPr>
        <w:t xml:space="preserve">Conseil québécois sur le tabac et la santé </w:t>
      </w:r>
      <w:r w:rsidRPr="00433433">
        <w:t>c.</w:t>
      </w:r>
      <w:r w:rsidRPr="00BB6133">
        <w:rPr>
          <w:i/>
        </w:rPr>
        <w:t xml:space="preserve"> JTI-MacDonald Corp.</w:t>
      </w:r>
      <w:r w:rsidRPr="00BB6133">
        <w:t>, 2011 QCCS 4981</w:t>
      </w:r>
      <w:r>
        <w:t>, par. 49.</w:t>
      </w:r>
    </w:p>
  </w:footnote>
  <w:footnote w:id="17">
    <w:p w14:paraId="46663ED3" w14:textId="77777777" w:rsidR="00B36F57" w:rsidRDefault="00B37051" w:rsidP="00B36F57">
      <w:pPr>
        <w:pStyle w:val="Notedebasdepage"/>
      </w:pPr>
      <w:r>
        <w:rPr>
          <w:rStyle w:val="Appelnotedebasdep"/>
        </w:rPr>
        <w:footnoteRef/>
      </w:r>
      <w:r>
        <w:t xml:space="preserve"> </w:t>
      </w:r>
      <w:r>
        <w:tab/>
      </w:r>
      <w:r w:rsidR="0001663C" w:rsidRPr="0001663C">
        <w:t>Bruce JOHNSTON et Yves LAUZON, </w:t>
      </w:r>
      <w:r w:rsidR="0001663C" w:rsidRPr="0001663C">
        <w:rPr>
          <w:i/>
          <w:iCs/>
        </w:rPr>
        <w:t>Traité pratique de l'action collective</w:t>
      </w:r>
      <w:r w:rsidR="0001663C" w:rsidRPr="0001663C">
        <w:t xml:space="preserve">, Montréal, Éditions Yvon Blais, 2021, </w:t>
      </w:r>
      <w:r w:rsidRPr="00F11B19">
        <w:t>p. 28</w:t>
      </w:r>
      <w:r>
        <w:t>6.</w:t>
      </w:r>
    </w:p>
  </w:footnote>
  <w:footnote w:id="18">
    <w:p w14:paraId="5B850276" w14:textId="77777777" w:rsidR="00B36F57" w:rsidRPr="00A82200" w:rsidRDefault="00B37051" w:rsidP="00B36F57">
      <w:pPr>
        <w:pStyle w:val="Notedebasdepage"/>
      </w:pPr>
      <w:r>
        <w:rPr>
          <w:rStyle w:val="Appelnotedebasdep"/>
        </w:rPr>
        <w:footnoteRef/>
      </w:r>
      <w:r w:rsidRPr="00447809">
        <w:t xml:space="preserve"> </w:t>
      </w:r>
      <w:r w:rsidRPr="00447809">
        <w:tab/>
      </w:r>
      <w:r w:rsidRPr="00447809">
        <w:rPr>
          <w:i/>
        </w:rPr>
        <w:t xml:space="preserve">Leung </w:t>
      </w:r>
      <w:r w:rsidRPr="0042611C">
        <w:t>c.</w:t>
      </w:r>
      <w:r w:rsidRPr="00447809">
        <w:rPr>
          <w:i/>
        </w:rPr>
        <w:t xml:space="preserve"> Uber Canada </w:t>
      </w:r>
      <w:proofErr w:type="spellStart"/>
      <w:r w:rsidRPr="00447809">
        <w:rPr>
          <w:i/>
        </w:rPr>
        <w:t>inc.</w:t>
      </w:r>
      <w:proofErr w:type="spellEnd"/>
      <w:r w:rsidRPr="001D364A">
        <w:t>, 2022 QCCS 1076</w:t>
      </w:r>
      <w:r>
        <w:t>, par. 57</w:t>
      </w:r>
      <w:r w:rsidR="00AE3FD4">
        <w:t xml:space="preserve"> (a</w:t>
      </w:r>
      <w:r w:rsidR="00AE3FD4" w:rsidRPr="00AE3FD4">
        <w:t>pprobation d'une entente de règlement, 2024 QCCS 4652</w:t>
      </w:r>
      <w:r w:rsidR="00AE3FD4">
        <w:t>)</w:t>
      </w:r>
      <w:r>
        <w:t xml:space="preserve">; </w:t>
      </w:r>
      <w:r w:rsidRPr="00C3303B">
        <w:rPr>
          <w:i/>
        </w:rPr>
        <w:t xml:space="preserve">Walter </w:t>
      </w:r>
      <w:r w:rsidRPr="00433433">
        <w:t xml:space="preserve">c. </w:t>
      </w:r>
      <w:r w:rsidRPr="00C3303B">
        <w:rPr>
          <w:i/>
        </w:rPr>
        <w:t xml:space="preserve">Ligue de hockey junior majeur du Québec </w:t>
      </w:r>
      <w:proofErr w:type="spellStart"/>
      <w:r w:rsidRPr="00C3303B">
        <w:rPr>
          <w:i/>
        </w:rPr>
        <w:t>inc.</w:t>
      </w:r>
      <w:proofErr w:type="spellEnd"/>
      <w:r w:rsidRPr="00A82200">
        <w:t>, 2020 QCCS 3724</w:t>
      </w:r>
      <w:r>
        <w:t>, par.</w:t>
      </w:r>
      <w:r w:rsidR="00762F91">
        <w:t> </w:t>
      </w:r>
      <w:r>
        <w:t>41 à 47.</w:t>
      </w:r>
    </w:p>
  </w:footnote>
  <w:footnote w:id="19">
    <w:p w14:paraId="18BC5298" w14:textId="77777777" w:rsidR="00B36F57" w:rsidRDefault="00B37051" w:rsidP="00B36F57">
      <w:pPr>
        <w:pStyle w:val="Notedebasdepage"/>
      </w:pPr>
      <w:r>
        <w:rPr>
          <w:rStyle w:val="Appelnotedebasdep"/>
        </w:rPr>
        <w:footnoteRef/>
      </w:r>
      <w:r>
        <w:t xml:space="preserve"> </w:t>
      </w:r>
      <w:r>
        <w:tab/>
      </w:r>
      <w:proofErr w:type="spellStart"/>
      <w:r w:rsidRPr="00B34F60">
        <w:rPr>
          <w:i/>
          <w:iCs/>
        </w:rPr>
        <w:t>Holcman</w:t>
      </w:r>
      <w:proofErr w:type="spellEnd"/>
      <w:r w:rsidRPr="00B34F60">
        <w:rPr>
          <w:i/>
          <w:iCs/>
        </w:rPr>
        <w:t xml:space="preserve"> </w:t>
      </w:r>
      <w:r w:rsidRPr="004B49C8">
        <w:t>c.</w:t>
      </w:r>
      <w:r w:rsidRPr="00B34F60">
        <w:rPr>
          <w:i/>
          <w:iCs/>
        </w:rPr>
        <w:t xml:space="preserve"> Restaurant Brands International</w:t>
      </w:r>
      <w:r w:rsidRPr="00B34F60">
        <w:t>, 2023 QCCS 1671</w:t>
      </w:r>
      <w:r>
        <w:t>, par. 22.</w:t>
      </w:r>
    </w:p>
  </w:footnote>
  <w:footnote w:id="20">
    <w:p w14:paraId="0BB95003" w14:textId="77777777" w:rsidR="00F82818" w:rsidRPr="00BF3681" w:rsidRDefault="00B37051" w:rsidP="00F82818">
      <w:pPr>
        <w:pStyle w:val="Notedebasdepage"/>
      </w:pPr>
      <w:r>
        <w:rPr>
          <w:rStyle w:val="Appelnotedebasdep"/>
        </w:rPr>
        <w:footnoteRef/>
      </w:r>
      <w:r w:rsidRPr="00BF3681">
        <w:t xml:space="preserve"> </w:t>
      </w:r>
      <w:r w:rsidRPr="00BF3681">
        <w:tab/>
      </w:r>
      <w:r w:rsidRPr="00AA23BF">
        <w:rPr>
          <w:i/>
        </w:rPr>
        <w:t xml:space="preserve">M.G. </w:t>
      </w:r>
      <w:r w:rsidRPr="00433433">
        <w:t>c.</w:t>
      </w:r>
      <w:r w:rsidRPr="00AA23BF">
        <w:rPr>
          <w:i/>
        </w:rPr>
        <w:t xml:space="preserve"> Association </w:t>
      </w:r>
      <w:proofErr w:type="spellStart"/>
      <w:r w:rsidRPr="00AA23BF">
        <w:rPr>
          <w:i/>
        </w:rPr>
        <w:t>Selwyn</w:t>
      </w:r>
      <w:proofErr w:type="spellEnd"/>
      <w:r w:rsidRPr="00AA23BF">
        <w:rPr>
          <w:i/>
        </w:rPr>
        <w:t xml:space="preserve"> House</w:t>
      </w:r>
      <w:r w:rsidRPr="00BF3681">
        <w:t xml:space="preserve">, </w:t>
      </w:r>
      <w:r w:rsidR="007574C9">
        <w:t xml:space="preserve">2008 QCCS </w:t>
      </w:r>
      <w:r w:rsidR="00FE3A1B">
        <w:t>3695</w:t>
      </w:r>
      <w:r>
        <w:t>, par. 22.</w:t>
      </w:r>
    </w:p>
  </w:footnote>
  <w:footnote w:id="21">
    <w:p w14:paraId="5F3F3ECE" w14:textId="77777777" w:rsidR="00FA2288" w:rsidRDefault="00B37051">
      <w:pPr>
        <w:pStyle w:val="Notedebasdepage"/>
      </w:pPr>
      <w:r>
        <w:rPr>
          <w:rStyle w:val="Appelnotedebasdep"/>
        </w:rPr>
        <w:footnoteRef/>
      </w:r>
      <w:r>
        <w:t xml:space="preserve"> </w:t>
      </w:r>
      <w:r>
        <w:tab/>
      </w:r>
      <w:r w:rsidR="00417F44">
        <w:t>Proposition de services de la part</w:t>
      </w:r>
      <w:r>
        <w:t xml:space="preserve"> de Concilia</w:t>
      </w:r>
      <w:r w:rsidR="00417F44">
        <w:t xml:space="preserve"> datée</w:t>
      </w:r>
      <w:r>
        <w:t xml:space="preserve"> du 4 mars 2026, p</w:t>
      </w:r>
      <w:r w:rsidR="00305304">
        <w:t>.</w:t>
      </w:r>
      <w:r>
        <w:t xml:space="preserve"> 5.</w:t>
      </w:r>
    </w:p>
  </w:footnote>
  <w:footnote w:id="22">
    <w:p w14:paraId="18595C20" w14:textId="77777777" w:rsidR="0060283C" w:rsidRDefault="00B37051">
      <w:pPr>
        <w:pStyle w:val="Notedebasdepage"/>
      </w:pPr>
      <w:r>
        <w:rPr>
          <w:rStyle w:val="Appelnotedebasdep"/>
        </w:rPr>
        <w:footnoteRef/>
      </w:r>
      <w:r>
        <w:t xml:space="preserve"> </w:t>
      </w:r>
      <w:r>
        <w:tab/>
      </w:r>
      <w:r w:rsidR="00A94643">
        <w:t>Proposition de services de la part de Concilia datée du 4 mars 2026</w:t>
      </w:r>
      <w:r w:rsidR="009A63F0">
        <w:t>, p. 4.</w:t>
      </w:r>
    </w:p>
  </w:footnote>
  <w:footnote w:id="23">
    <w:p w14:paraId="372FF1B2" w14:textId="77777777" w:rsidR="00936F8F" w:rsidRPr="00E20222" w:rsidRDefault="00B37051" w:rsidP="00936F8F">
      <w:pPr>
        <w:pStyle w:val="Notedebasdepage"/>
      </w:pPr>
      <w:r>
        <w:rPr>
          <w:rStyle w:val="Appelnotedebasdep"/>
        </w:rPr>
        <w:footnoteRef/>
      </w:r>
      <w:r>
        <w:t xml:space="preserve"> </w:t>
      </w:r>
      <w:r>
        <w:tab/>
        <w:t xml:space="preserve">Voir </w:t>
      </w:r>
      <w:r w:rsidR="003627C6">
        <w:t xml:space="preserve">le </w:t>
      </w:r>
      <w:r>
        <w:t>par</w:t>
      </w:r>
      <w:r w:rsidR="007C1775">
        <w:t>agraphe</w:t>
      </w:r>
      <w:r>
        <w:t xml:space="preserve"> 48 de la demande d’approbation du règlement.</w:t>
      </w:r>
    </w:p>
  </w:footnote>
  <w:footnote w:id="24">
    <w:p w14:paraId="45580ABD" w14:textId="77777777" w:rsidR="00937497" w:rsidRPr="00C04F85" w:rsidRDefault="00B37051" w:rsidP="00937497">
      <w:pPr>
        <w:pStyle w:val="Notedebasdepage"/>
      </w:pPr>
      <w:r>
        <w:rPr>
          <w:rStyle w:val="Appelnotedebasdep"/>
        </w:rPr>
        <w:footnoteRef/>
      </w:r>
      <w:r>
        <w:t xml:space="preserve"> </w:t>
      </w:r>
      <w:r>
        <w:tab/>
        <w:t xml:space="preserve">Voir la modification à la section </w:t>
      </w:r>
      <w:r w:rsidRPr="00C04F85">
        <w:t>la section II (G) (i) par l’addendum du 6 mars 2026.</w:t>
      </w:r>
    </w:p>
  </w:footnote>
  <w:footnote w:id="25">
    <w:p w14:paraId="5DA0BCAA" w14:textId="77777777" w:rsidR="00C53958" w:rsidRDefault="00B37051">
      <w:pPr>
        <w:pStyle w:val="Notedebasdepage"/>
      </w:pPr>
      <w:r>
        <w:rPr>
          <w:rStyle w:val="Appelnotedebasdep"/>
        </w:rPr>
        <w:footnoteRef/>
      </w:r>
      <w:r>
        <w:t xml:space="preserve"> </w:t>
      </w:r>
      <w:r>
        <w:tab/>
      </w:r>
      <w:r w:rsidR="00F406EA">
        <w:t xml:space="preserve">Voir par exemple : </w:t>
      </w:r>
      <w:proofErr w:type="spellStart"/>
      <w:r w:rsidR="0029248A" w:rsidRPr="006D7C95">
        <w:rPr>
          <w:i/>
          <w:iCs/>
        </w:rPr>
        <w:t>Boulay</w:t>
      </w:r>
      <w:proofErr w:type="spellEnd"/>
      <w:r w:rsidR="0029248A" w:rsidRPr="006D7C95">
        <w:rPr>
          <w:i/>
          <w:iCs/>
        </w:rPr>
        <w:t xml:space="preserve"> </w:t>
      </w:r>
      <w:r w:rsidR="0029248A" w:rsidRPr="004B49C8">
        <w:t>c.</w:t>
      </w:r>
      <w:r w:rsidR="0029248A" w:rsidRPr="006D7C95">
        <w:rPr>
          <w:i/>
          <w:iCs/>
        </w:rPr>
        <w:t xml:space="preserve"> Fédération des Caisses Desjardins du Québec</w:t>
      </w:r>
      <w:r w:rsidR="0029248A">
        <w:t xml:space="preserve">, </w:t>
      </w:r>
      <w:proofErr w:type="spellStart"/>
      <w:proofErr w:type="gramStart"/>
      <w:r w:rsidR="0029248A">
        <w:t>préc</w:t>
      </w:r>
      <w:proofErr w:type="spellEnd"/>
      <w:r w:rsidR="0029248A">
        <w:t>.</w:t>
      </w:r>
      <w:r w:rsidR="00BB4405">
        <w:t>.</w:t>
      </w:r>
      <w:proofErr w:type="gramEnd"/>
      <w:r w:rsidR="00601321">
        <w:t xml:space="preserve"> </w:t>
      </w:r>
      <w:proofErr w:type="gramStart"/>
      <w:r w:rsidR="008673DB">
        <w:t>note</w:t>
      </w:r>
      <w:proofErr w:type="gramEnd"/>
      <w:r w:rsidR="008673DB">
        <w:t xml:space="preserve"> </w:t>
      </w:r>
      <w:r>
        <w:t>10</w:t>
      </w:r>
      <w:r w:rsidR="00F406EA">
        <w:t>.</w:t>
      </w:r>
    </w:p>
  </w:footnote>
  <w:footnote w:id="26">
    <w:p w14:paraId="7A72B4F3" w14:textId="77777777" w:rsidR="00C54F48" w:rsidRDefault="00B37051">
      <w:pPr>
        <w:pStyle w:val="Notedebasdepage"/>
      </w:pPr>
      <w:r>
        <w:rPr>
          <w:rStyle w:val="Appelnotedebasdep"/>
        </w:rPr>
        <w:footnoteRef/>
      </w:r>
      <w:r>
        <w:t xml:space="preserve"> </w:t>
      </w:r>
      <w:r>
        <w:tab/>
      </w:r>
      <w:proofErr w:type="spellStart"/>
      <w:r w:rsidR="0029248A" w:rsidRPr="006D7C95">
        <w:rPr>
          <w:i/>
          <w:iCs/>
        </w:rPr>
        <w:t>Boulay</w:t>
      </w:r>
      <w:proofErr w:type="spellEnd"/>
      <w:r w:rsidR="0029248A" w:rsidRPr="006D7C95">
        <w:rPr>
          <w:i/>
          <w:iCs/>
        </w:rPr>
        <w:t xml:space="preserve"> </w:t>
      </w:r>
      <w:r w:rsidR="0029248A" w:rsidRPr="004B49C8">
        <w:t>c.</w:t>
      </w:r>
      <w:r w:rsidR="0029248A" w:rsidRPr="006D7C95">
        <w:rPr>
          <w:i/>
          <w:iCs/>
        </w:rPr>
        <w:t xml:space="preserve"> Fédération des Caisses Desjardins du Québec</w:t>
      </w:r>
      <w:r w:rsidR="0029248A">
        <w:t xml:space="preserve">, </w:t>
      </w:r>
      <w:proofErr w:type="spellStart"/>
      <w:r w:rsidR="0029248A">
        <w:t>préc</w:t>
      </w:r>
      <w:proofErr w:type="spellEnd"/>
      <w:r w:rsidR="0029248A">
        <w:t>.</w:t>
      </w:r>
      <w:r w:rsidR="0029248A" w:rsidRPr="00FC0FDA">
        <w:t>, note 10.</w:t>
      </w:r>
    </w:p>
  </w:footnote>
  <w:footnote w:id="27">
    <w:p w14:paraId="1D94BD66" w14:textId="77777777" w:rsidR="005C0B32" w:rsidRPr="005C0B32" w:rsidRDefault="00B37051">
      <w:pPr>
        <w:pStyle w:val="Notedebasdepage"/>
      </w:pPr>
      <w:r>
        <w:rPr>
          <w:rStyle w:val="Appelnotedebasdep"/>
        </w:rPr>
        <w:footnoteRef/>
      </w:r>
      <w:r>
        <w:t xml:space="preserve"> </w:t>
      </w:r>
      <w:r>
        <w:tab/>
        <w:t xml:space="preserve">Voir </w:t>
      </w:r>
      <w:r w:rsidR="005B2551">
        <w:t>l’</w:t>
      </w:r>
      <w:r w:rsidR="00F406C7">
        <w:t xml:space="preserve">estimation </w:t>
      </w:r>
      <w:r w:rsidR="00577D8F">
        <w:t>1003.</w:t>
      </w:r>
    </w:p>
  </w:footnote>
  <w:footnote w:id="28">
    <w:p w14:paraId="6E32B3EA" w14:textId="77777777" w:rsidR="003E2386" w:rsidRDefault="00B37051">
      <w:pPr>
        <w:pStyle w:val="Notedebasdepage"/>
      </w:pPr>
      <w:r>
        <w:rPr>
          <w:rStyle w:val="Appelnotedebasdep"/>
        </w:rPr>
        <w:footnoteRef/>
      </w:r>
      <w:r>
        <w:t xml:space="preserve"> </w:t>
      </w:r>
      <w:r>
        <w:tab/>
        <w:t>Chaque émission de chèque ou virement Interac occasionne des frais qui réduisent ce solde.</w:t>
      </w:r>
    </w:p>
  </w:footnote>
  <w:footnote w:id="29">
    <w:p w14:paraId="2A2D0B40" w14:textId="77777777" w:rsidR="00B7534E" w:rsidRDefault="00B37051">
      <w:pPr>
        <w:pStyle w:val="Notedebasdepage"/>
      </w:pPr>
      <w:r>
        <w:rPr>
          <w:rStyle w:val="Appelnotedebasdep"/>
        </w:rPr>
        <w:footnoteRef/>
      </w:r>
      <w:r>
        <w:t xml:space="preserve"> </w:t>
      </w:r>
      <w:r>
        <w:tab/>
      </w:r>
      <w:r w:rsidR="002858E9">
        <w:t xml:space="preserve">Voir le paragraphe 23 </w:t>
      </w:r>
      <w:r w:rsidR="00F62329">
        <w:t xml:space="preserve">de l’annexe D de la Transaction. </w:t>
      </w:r>
    </w:p>
  </w:footnote>
  <w:footnote w:id="30">
    <w:p w14:paraId="1D1557D1" w14:textId="77777777" w:rsidR="004E0C15" w:rsidRDefault="00B37051">
      <w:pPr>
        <w:pStyle w:val="Notedebasdepage"/>
      </w:pPr>
      <w:r>
        <w:rPr>
          <w:rStyle w:val="Appelnotedebasdep"/>
        </w:rPr>
        <w:footnoteRef/>
      </w:r>
      <w:r>
        <w:t xml:space="preserve"> </w:t>
      </w:r>
      <w:r>
        <w:tab/>
      </w:r>
      <w:r w:rsidR="008D19D3">
        <w:t>2018 CF 522.</w:t>
      </w:r>
    </w:p>
  </w:footnote>
  <w:footnote w:id="31">
    <w:p w14:paraId="56D69DEE" w14:textId="77777777" w:rsidR="00657593" w:rsidRDefault="00B37051">
      <w:pPr>
        <w:pStyle w:val="Notedebasdepage"/>
      </w:pPr>
      <w:r>
        <w:rPr>
          <w:rStyle w:val="Appelnotedebasdep"/>
        </w:rPr>
        <w:footnoteRef/>
      </w:r>
      <w:r>
        <w:t xml:space="preserve"> </w:t>
      </w:r>
      <w:r>
        <w:tab/>
        <w:t xml:space="preserve">Aucune preuve n’a été déposée à l’appui de ce calcul mais cela suggère que </w:t>
      </w:r>
      <w:r w:rsidR="00D17965">
        <w:t>la défenderesse possède l’adresse physique de tous les membres.</w:t>
      </w:r>
    </w:p>
  </w:footnote>
  <w:footnote w:id="32">
    <w:p w14:paraId="0275855D" w14:textId="77777777" w:rsidR="00C00A03" w:rsidRDefault="00B37051" w:rsidP="00C00A03">
      <w:pPr>
        <w:pStyle w:val="Notedebasdepage"/>
      </w:pPr>
      <w:r>
        <w:rPr>
          <w:rStyle w:val="Appelnotedebasdep"/>
        </w:rPr>
        <w:footnoteRef/>
      </w:r>
      <w:r>
        <w:t xml:space="preserve"> </w:t>
      </w:r>
      <w:r>
        <w:tab/>
        <w:t>Terme défini qui inclut les défenderesses et diverses sociétés liées, leurs dirigeants, administrateurs</w:t>
      </w:r>
      <w:r w:rsidR="0064454E">
        <w:t>,</w:t>
      </w:r>
      <w:r>
        <w:t xml:space="preserve"> avocats, fiduciaires</w:t>
      </w:r>
      <w:r w:rsidR="0064454E">
        <w:t>,</w:t>
      </w:r>
      <w:r>
        <w:t xml:space="preserve"> etc. (voir partie II Définitions, section G</w:t>
      </w:r>
      <w:r w:rsidR="0064454E">
        <w:t>,</w:t>
      </w:r>
      <w:r>
        <w:t xml:space="preserve"> paragraphe (p)</w:t>
      </w:r>
      <w:r w:rsidR="0064454E">
        <w:t>)</w:t>
      </w:r>
      <w:r>
        <w:t>.</w:t>
      </w:r>
    </w:p>
  </w:footnote>
  <w:footnote w:id="33">
    <w:p w14:paraId="7189E25A" w14:textId="77777777" w:rsidR="00C00A03" w:rsidRDefault="00B37051" w:rsidP="00C00A03">
      <w:pPr>
        <w:pStyle w:val="Notedebasdepage"/>
      </w:pPr>
      <w:r>
        <w:rPr>
          <w:rStyle w:val="Appelnotedebasdep"/>
        </w:rPr>
        <w:footnoteRef/>
      </w:r>
      <w:r>
        <w:t xml:space="preserve"> </w:t>
      </w:r>
      <w:r>
        <w:tab/>
        <w:t xml:space="preserve">Terme défini qui vise les actions collectives Dahan, Zuckerman, </w:t>
      </w:r>
      <w:proofErr w:type="spellStart"/>
      <w:r>
        <w:t>Thandi</w:t>
      </w:r>
      <w:proofErr w:type="spellEnd"/>
      <w:r>
        <w:t xml:space="preserve"> et </w:t>
      </w:r>
      <w:proofErr w:type="spellStart"/>
      <w:r>
        <w:t>Scher</w:t>
      </w:r>
      <w:proofErr w:type="spellEnd"/>
      <w:r>
        <w:t xml:space="preserve"> (Ontario).</w:t>
      </w:r>
    </w:p>
  </w:footnote>
  <w:footnote w:id="34">
    <w:p w14:paraId="51BD7EEC" w14:textId="77777777" w:rsidR="003076D6" w:rsidRDefault="00B37051">
      <w:pPr>
        <w:pStyle w:val="Notedebasdepage"/>
      </w:pPr>
      <w:r>
        <w:rPr>
          <w:rStyle w:val="Appelnotedebasdep"/>
        </w:rPr>
        <w:footnoteRef/>
      </w:r>
      <w:r>
        <w:t xml:space="preserve"> </w:t>
      </w:r>
      <w:r>
        <w:tab/>
      </w:r>
      <w:r w:rsidRPr="003076D6">
        <w:t>L.C. 2000, c. 5</w:t>
      </w:r>
      <w:r w:rsidR="003B1B50">
        <w:t xml:space="preserve"> (</w:t>
      </w:r>
      <w:r w:rsidR="00424CFA">
        <w:t>au Canada</w:t>
      </w:r>
      <w:r w:rsidR="003B1B50">
        <w:t>)</w:t>
      </w:r>
      <w:r>
        <w:t>.</w:t>
      </w:r>
    </w:p>
  </w:footnote>
  <w:footnote w:id="35">
    <w:p w14:paraId="6DBB079C" w14:textId="77777777" w:rsidR="00FB16B9" w:rsidRDefault="00B37051">
      <w:pPr>
        <w:pStyle w:val="Notedebasdepage"/>
      </w:pPr>
      <w:r>
        <w:rPr>
          <w:rStyle w:val="Appelnotedebasdep"/>
        </w:rPr>
        <w:footnoteRef/>
      </w:r>
      <w:r>
        <w:t xml:space="preserve"> </w:t>
      </w:r>
      <w:r>
        <w:tab/>
        <w:t>RLRQ, c. P-39.1</w:t>
      </w:r>
      <w:r w:rsidR="003B1B50">
        <w:t xml:space="preserve"> (</w:t>
      </w:r>
      <w:r w:rsidR="008B0B88">
        <w:t xml:space="preserve">au </w:t>
      </w:r>
      <w:r w:rsidR="003B1B50">
        <w:t>Québec)</w:t>
      </w:r>
      <w:r>
        <w:t>.</w:t>
      </w:r>
    </w:p>
  </w:footnote>
  <w:footnote w:id="36">
    <w:p w14:paraId="3B1FF0BF" w14:textId="77777777" w:rsidR="00377940" w:rsidRDefault="00B37051">
      <w:pPr>
        <w:pStyle w:val="Notedebasdepage"/>
      </w:pPr>
      <w:r>
        <w:rPr>
          <w:rStyle w:val="Appelnotedebasdep"/>
        </w:rPr>
        <w:footnoteRef/>
      </w:r>
      <w:r>
        <w:t xml:space="preserve"> </w:t>
      </w:r>
      <w:r>
        <w:tab/>
      </w:r>
      <w:r w:rsidRPr="00377940">
        <w:t>SBC 2003, c</w:t>
      </w:r>
      <w:r>
        <w:t>.</w:t>
      </w:r>
      <w:r w:rsidRPr="00377940">
        <w:t xml:space="preserve"> 63</w:t>
      </w:r>
      <w:r>
        <w:t xml:space="preserve"> (</w:t>
      </w:r>
      <w:r w:rsidR="008B0B88">
        <w:t xml:space="preserve">en </w:t>
      </w:r>
      <w:r w:rsidR="0079732D" w:rsidRPr="0079732D">
        <w:t>Colombie-Britannique</w:t>
      </w:r>
      <w:r w:rsidR="0079732D">
        <w:t>); SA 2003, c. P-6.5 (</w:t>
      </w:r>
      <w:r w:rsidR="008B0B88">
        <w:t xml:space="preserve">en </w:t>
      </w:r>
      <w:r w:rsidR="0079732D">
        <w:t>Alberta).</w:t>
      </w:r>
    </w:p>
  </w:footnote>
  <w:footnote w:id="37">
    <w:p w14:paraId="536399A4" w14:textId="77777777" w:rsidR="00586225" w:rsidRDefault="00B37051" w:rsidP="00586225">
      <w:pPr>
        <w:pStyle w:val="Notedebasdepage"/>
      </w:pPr>
      <w:r>
        <w:rPr>
          <w:rStyle w:val="Appelnotedebasdep"/>
        </w:rPr>
        <w:footnoteRef/>
      </w:r>
      <w:r>
        <w:t xml:space="preserve"> </w:t>
      </w:r>
      <w:r>
        <w:tab/>
      </w:r>
      <w:proofErr w:type="spellStart"/>
      <w:r w:rsidR="005A485A" w:rsidRPr="005A485A">
        <w:rPr>
          <w:i/>
          <w:iCs/>
        </w:rPr>
        <w:t>Sofio</w:t>
      </w:r>
      <w:proofErr w:type="spellEnd"/>
      <w:r w:rsidR="005A485A" w:rsidRPr="005A485A">
        <w:t xml:space="preserve"> c. </w:t>
      </w:r>
      <w:r w:rsidR="005A485A" w:rsidRPr="005A485A">
        <w:rPr>
          <w:i/>
          <w:iCs/>
        </w:rPr>
        <w:t>Organisme canadien de réglementation du commerce des valeurs mobilières (OCRCVM)</w:t>
      </w:r>
      <w:r w:rsidR="005A485A" w:rsidRPr="005A485A">
        <w:t>, 2015 QCCA 1820</w:t>
      </w:r>
      <w:r w:rsidR="005A485A">
        <w:t>.</w:t>
      </w:r>
    </w:p>
  </w:footnote>
  <w:footnote w:id="38">
    <w:p w14:paraId="2F0A02A5" w14:textId="77777777" w:rsidR="002C2E03" w:rsidRDefault="00B37051">
      <w:pPr>
        <w:pStyle w:val="Notedebasdepage"/>
      </w:pPr>
      <w:r>
        <w:rPr>
          <w:rStyle w:val="Appelnotedebasdep"/>
        </w:rPr>
        <w:footnoteRef/>
      </w:r>
      <w:r>
        <w:t xml:space="preserve"> </w:t>
      </w:r>
      <w:r>
        <w:tab/>
        <w:t>Voir section 2</w:t>
      </w:r>
      <w:r w:rsidR="007854EA">
        <w:t>,</w:t>
      </w:r>
      <w:r>
        <w:t xml:space="preserve"> point 3.</w:t>
      </w:r>
    </w:p>
  </w:footnote>
  <w:footnote w:id="39">
    <w:p w14:paraId="2E143428" w14:textId="77777777" w:rsidR="003435B6" w:rsidRDefault="00B37051">
      <w:pPr>
        <w:pStyle w:val="Notedebasdepage"/>
      </w:pPr>
      <w:r>
        <w:rPr>
          <w:rStyle w:val="Appelnotedebasdep"/>
        </w:rPr>
        <w:footnoteRef/>
      </w:r>
      <w:r>
        <w:t xml:space="preserve"> </w:t>
      </w:r>
      <w:r>
        <w:tab/>
      </w:r>
      <w:r w:rsidRPr="003435B6">
        <w:t>2024 QCCS 2674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D986" w14:textId="77777777" w:rsidR="00121A72" w:rsidRDefault="00B37051">
    <w:pPr>
      <w:tabs>
        <w:tab w:val="center" w:pos="4709"/>
        <w:tab w:val="right" w:pos="9360"/>
      </w:tabs>
      <w:ind w:right="524"/>
    </w:pPr>
    <w:r w:rsidRPr="003A5CB5">
      <w:t>500-06-001078-209</w:t>
    </w:r>
    <w:r>
      <w:t xml:space="preserve"> et </w:t>
    </w:r>
    <w:r w:rsidRPr="00161673">
      <w:rPr>
        <w:bCs/>
      </w:rPr>
      <w:t>500-06-001280-235</w:t>
    </w:r>
    <w:r>
      <w:rPr>
        <w:bCs/>
      </w:rPr>
      <w:tab/>
    </w:r>
    <w:r w:rsidR="00F55D68">
      <w:tab/>
      <w:t xml:space="preserve">PAGE : </w:t>
    </w:r>
    <w:r w:rsidR="00F55D68">
      <w:fldChar w:fldCharType="begin"/>
    </w:r>
    <w:r w:rsidR="00F55D68">
      <w:instrText xml:space="preserve"> PAGE </w:instrText>
    </w:r>
    <w:r w:rsidR="00F55D68">
      <w:fldChar w:fldCharType="separate"/>
    </w:r>
    <w:r w:rsidR="00F55D68">
      <w:t>18</w:t>
    </w:r>
    <w:r w:rsidR="00F55D68">
      <w:fldChar w:fldCharType="end"/>
    </w:r>
  </w:p>
  <w:p w14:paraId="4E2FCD8F" w14:textId="77777777" w:rsidR="00121A72" w:rsidRDefault="00121A72">
    <w:pPr>
      <w:tabs>
        <w:tab w:val="center" w:pos="4709"/>
        <w:tab w:val="right" w:pos="9090"/>
      </w:tabs>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36B835"/>
    <w:multiLevelType w:val="hybridMultilevel"/>
    <w:tmpl w:val="FFFFFFFF"/>
    <w:lvl w:ilvl="0" w:tplc="B760500A">
      <w:start w:val="1"/>
      <w:numFmt w:val="lowerLetter"/>
      <w:lvlText w:val=""/>
      <w:lvlJc w:val="left"/>
    </w:lvl>
    <w:lvl w:ilvl="1" w:tplc="DEA8671E">
      <w:start w:val="1"/>
      <w:numFmt w:val="ideographDigital"/>
      <w:lvlText w:val=""/>
      <w:lvlJc w:val="left"/>
    </w:lvl>
    <w:lvl w:ilvl="2" w:tplc="858833B4">
      <w:numFmt w:val="decimal"/>
      <w:lvlText w:val=""/>
      <w:lvlJc w:val="left"/>
    </w:lvl>
    <w:lvl w:ilvl="3" w:tplc="D41CD51C">
      <w:numFmt w:val="decimal"/>
      <w:lvlText w:val=""/>
      <w:lvlJc w:val="left"/>
    </w:lvl>
    <w:lvl w:ilvl="4" w:tplc="29A609E2">
      <w:numFmt w:val="decimal"/>
      <w:lvlText w:val=""/>
      <w:lvlJc w:val="left"/>
    </w:lvl>
    <w:lvl w:ilvl="5" w:tplc="78921006">
      <w:numFmt w:val="decimal"/>
      <w:lvlText w:val=""/>
      <w:lvlJc w:val="left"/>
    </w:lvl>
    <w:lvl w:ilvl="6" w:tplc="043CC520">
      <w:numFmt w:val="decimal"/>
      <w:lvlText w:val=""/>
      <w:lvlJc w:val="left"/>
    </w:lvl>
    <w:lvl w:ilvl="7" w:tplc="09ECE11E">
      <w:numFmt w:val="decimal"/>
      <w:lvlText w:val=""/>
      <w:lvlJc w:val="left"/>
    </w:lvl>
    <w:lvl w:ilvl="8" w:tplc="D256CE06">
      <w:numFmt w:val="decimal"/>
      <w:lvlText w:val=""/>
      <w:lvlJc w:val="left"/>
    </w:lvl>
  </w:abstractNum>
  <w:abstractNum w:abstractNumId="1" w15:restartNumberingAfterBreak="0">
    <w:nsid w:val="FFFFFF81"/>
    <w:multiLevelType w:val="singleLevel"/>
    <w:tmpl w:val="9D44CF1C"/>
    <w:lvl w:ilvl="0">
      <w:start w:val="1"/>
      <w:numFmt w:val="bullet"/>
      <w:pStyle w:val="Listepuces4"/>
      <w:lvlText w:val=""/>
      <w:lvlJc w:val="left"/>
      <w:pPr>
        <w:tabs>
          <w:tab w:val="num" w:pos="1440"/>
        </w:tabs>
        <w:ind w:left="1440" w:hanging="360"/>
      </w:pPr>
      <w:rPr>
        <w:rFonts w:ascii="Symbol" w:hAnsi="Symbol" w:hint="default"/>
      </w:rPr>
    </w:lvl>
  </w:abstractNum>
  <w:abstractNum w:abstractNumId="2" w15:restartNumberingAfterBreak="0">
    <w:nsid w:val="0F2D5AB0"/>
    <w:multiLevelType w:val="hybridMultilevel"/>
    <w:tmpl w:val="54E0751E"/>
    <w:lvl w:ilvl="0" w:tplc="509242D4">
      <w:start w:val="1"/>
      <w:numFmt w:val="lowerLetter"/>
      <w:lvlText w:val="%1)"/>
      <w:lvlJc w:val="left"/>
      <w:pPr>
        <w:ind w:left="720" w:hanging="360"/>
      </w:pPr>
      <w:rPr>
        <w:b/>
        <w:bCs/>
      </w:rPr>
    </w:lvl>
    <w:lvl w:ilvl="1" w:tplc="44FE2B5E">
      <w:start w:val="1"/>
      <w:numFmt w:val="bullet"/>
      <w:lvlText w:val="o"/>
      <w:lvlJc w:val="left"/>
      <w:pPr>
        <w:ind w:left="1440" w:hanging="360"/>
      </w:pPr>
      <w:rPr>
        <w:rFonts w:ascii="Courier New" w:hAnsi="Courier New" w:cs="Courier New" w:hint="default"/>
      </w:rPr>
    </w:lvl>
    <w:lvl w:ilvl="2" w:tplc="03008F38">
      <w:start w:val="1"/>
      <w:numFmt w:val="bullet"/>
      <w:lvlText w:val=""/>
      <w:lvlJc w:val="left"/>
      <w:pPr>
        <w:ind w:left="2160" w:hanging="360"/>
      </w:pPr>
      <w:rPr>
        <w:rFonts w:ascii="Wingdings" w:hAnsi="Wingdings" w:hint="default"/>
      </w:rPr>
    </w:lvl>
    <w:lvl w:ilvl="3" w:tplc="EB641018">
      <w:start w:val="1"/>
      <w:numFmt w:val="bullet"/>
      <w:lvlText w:val=""/>
      <w:lvlJc w:val="left"/>
      <w:pPr>
        <w:ind w:left="2880" w:hanging="360"/>
      </w:pPr>
      <w:rPr>
        <w:rFonts w:ascii="Symbol" w:hAnsi="Symbol" w:hint="default"/>
      </w:rPr>
    </w:lvl>
    <w:lvl w:ilvl="4" w:tplc="CC0C6424">
      <w:start w:val="1"/>
      <w:numFmt w:val="bullet"/>
      <w:lvlText w:val="o"/>
      <w:lvlJc w:val="left"/>
      <w:pPr>
        <w:ind w:left="3600" w:hanging="360"/>
      </w:pPr>
      <w:rPr>
        <w:rFonts w:ascii="Courier New" w:hAnsi="Courier New" w:cs="Courier New" w:hint="default"/>
      </w:rPr>
    </w:lvl>
    <w:lvl w:ilvl="5" w:tplc="4FB8C20C">
      <w:start w:val="1"/>
      <w:numFmt w:val="bullet"/>
      <w:lvlText w:val=""/>
      <w:lvlJc w:val="left"/>
      <w:pPr>
        <w:ind w:left="4320" w:hanging="360"/>
      </w:pPr>
      <w:rPr>
        <w:rFonts w:ascii="Wingdings" w:hAnsi="Wingdings" w:hint="default"/>
      </w:rPr>
    </w:lvl>
    <w:lvl w:ilvl="6" w:tplc="FBEE96EA">
      <w:start w:val="1"/>
      <w:numFmt w:val="bullet"/>
      <w:lvlText w:val=""/>
      <w:lvlJc w:val="left"/>
      <w:pPr>
        <w:ind w:left="5040" w:hanging="360"/>
      </w:pPr>
      <w:rPr>
        <w:rFonts w:ascii="Symbol" w:hAnsi="Symbol" w:hint="default"/>
      </w:rPr>
    </w:lvl>
    <w:lvl w:ilvl="7" w:tplc="FCFC015C">
      <w:start w:val="1"/>
      <w:numFmt w:val="bullet"/>
      <w:lvlText w:val="o"/>
      <w:lvlJc w:val="left"/>
      <w:pPr>
        <w:ind w:left="5760" w:hanging="360"/>
      </w:pPr>
      <w:rPr>
        <w:rFonts w:ascii="Courier New" w:hAnsi="Courier New" w:cs="Courier New" w:hint="default"/>
      </w:rPr>
    </w:lvl>
    <w:lvl w:ilvl="8" w:tplc="83C0F072">
      <w:start w:val="1"/>
      <w:numFmt w:val="bullet"/>
      <w:lvlText w:val=""/>
      <w:lvlJc w:val="left"/>
      <w:pPr>
        <w:ind w:left="6480" w:hanging="360"/>
      </w:pPr>
      <w:rPr>
        <w:rFonts w:ascii="Wingdings" w:hAnsi="Wingdings" w:hint="default"/>
      </w:rPr>
    </w:lvl>
  </w:abstractNum>
  <w:abstractNum w:abstractNumId="3" w15:restartNumberingAfterBreak="0">
    <w:nsid w:val="17C34258"/>
    <w:multiLevelType w:val="multilevel"/>
    <w:tmpl w:val="E5440510"/>
    <w:name w:val="UnnamedList1194"/>
    <w:lvl w:ilvl="0">
      <w:start w:val="1"/>
      <w:numFmt w:val="decimal"/>
      <w:pStyle w:val="DocsID"/>
      <w:lvlText w:val="%1."/>
      <w:lvlJc w:val="left"/>
      <w:pPr>
        <w:tabs>
          <w:tab w:val="num" w:pos="720"/>
        </w:tabs>
        <w:ind w:left="720" w:hanging="720"/>
      </w:pPr>
      <w:rPr>
        <w:rFonts w:ascii="Arial" w:hAnsi="Arial" w:cs="Arial" w:hint="default"/>
        <w:b w:val="0"/>
        <w:bCs w:val="0"/>
      </w:rPr>
    </w:lvl>
    <w:lvl w:ilvl="1">
      <w:start w:val="1"/>
      <w:numFmt w:val="lowerLetter"/>
      <w:lvlText w:val="%2)"/>
      <w:lvlJc w:val="left"/>
      <w:pPr>
        <w:tabs>
          <w:tab w:val="num" w:pos="1440"/>
        </w:tabs>
        <w:ind w:left="1440" w:hanging="720"/>
      </w:pPr>
      <w:rPr>
        <w:rFonts w:ascii="Arial" w:hAnsi="Arial" w:cs="Arial" w:hint="default"/>
        <w:b w:val="0"/>
        <w:bCs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950F16"/>
    <w:multiLevelType w:val="hybridMultilevel"/>
    <w:tmpl w:val="0284C13A"/>
    <w:lvl w:ilvl="0" w:tplc="A97C7470">
      <w:start w:val="1"/>
      <w:numFmt w:val="bullet"/>
      <w:lvlText w:val=""/>
      <w:lvlJc w:val="left"/>
      <w:pPr>
        <w:ind w:left="720" w:hanging="360"/>
      </w:pPr>
      <w:rPr>
        <w:rFonts w:ascii="Symbol" w:hAnsi="Symbol" w:hint="default"/>
      </w:rPr>
    </w:lvl>
    <w:lvl w:ilvl="1" w:tplc="6F06B9E8" w:tentative="1">
      <w:start w:val="1"/>
      <w:numFmt w:val="bullet"/>
      <w:lvlText w:val="o"/>
      <w:lvlJc w:val="left"/>
      <w:pPr>
        <w:ind w:left="1440" w:hanging="360"/>
      </w:pPr>
      <w:rPr>
        <w:rFonts w:ascii="Courier New" w:hAnsi="Courier New" w:cs="Courier New" w:hint="default"/>
      </w:rPr>
    </w:lvl>
    <w:lvl w:ilvl="2" w:tplc="92DCA4C8" w:tentative="1">
      <w:start w:val="1"/>
      <w:numFmt w:val="bullet"/>
      <w:lvlText w:val=""/>
      <w:lvlJc w:val="left"/>
      <w:pPr>
        <w:ind w:left="2160" w:hanging="360"/>
      </w:pPr>
      <w:rPr>
        <w:rFonts w:ascii="Wingdings" w:hAnsi="Wingdings" w:hint="default"/>
      </w:rPr>
    </w:lvl>
    <w:lvl w:ilvl="3" w:tplc="31726874" w:tentative="1">
      <w:start w:val="1"/>
      <w:numFmt w:val="bullet"/>
      <w:lvlText w:val=""/>
      <w:lvlJc w:val="left"/>
      <w:pPr>
        <w:ind w:left="2880" w:hanging="360"/>
      </w:pPr>
      <w:rPr>
        <w:rFonts w:ascii="Symbol" w:hAnsi="Symbol" w:hint="default"/>
      </w:rPr>
    </w:lvl>
    <w:lvl w:ilvl="4" w:tplc="AFDE427E" w:tentative="1">
      <w:start w:val="1"/>
      <w:numFmt w:val="bullet"/>
      <w:lvlText w:val="o"/>
      <w:lvlJc w:val="left"/>
      <w:pPr>
        <w:ind w:left="3600" w:hanging="360"/>
      </w:pPr>
      <w:rPr>
        <w:rFonts w:ascii="Courier New" w:hAnsi="Courier New" w:cs="Courier New" w:hint="default"/>
      </w:rPr>
    </w:lvl>
    <w:lvl w:ilvl="5" w:tplc="5B4CE388" w:tentative="1">
      <w:start w:val="1"/>
      <w:numFmt w:val="bullet"/>
      <w:lvlText w:val=""/>
      <w:lvlJc w:val="left"/>
      <w:pPr>
        <w:ind w:left="4320" w:hanging="360"/>
      </w:pPr>
      <w:rPr>
        <w:rFonts w:ascii="Wingdings" w:hAnsi="Wingdings" w:hint="default"/>
      </w:rPr>
    </w:lvl>
    <w:lvl w:ilvl="6" w:tplc="5C0A4FC2" w:tentative="1">
      <w:start w:val="1"/>
      <w:numFmt w:val="bullet"/>
      <w:lvlText w:val=""/>
      <w:lvlJc w:val="left"/>
      <w:pPr>
        <w:ind w:left="5040" w:hanging="360"/>
      </w:pPr>
      <w:rPr>
        <w:rFonts w:ascii="Symbol" w:hAnsi="Symbol" w:hint="default"/>
      </w:rPr>
    </w:lvl>
    <w:lvl w:ilvl="7" w:tplc="55B6BCDE" w:tentative="1">
      <w:start w:val="1"/>
      <w:numFmt w:val="bullet"/>
      <w:lvlText w:val="o"/>
      <w:lvlJc w:val="left"/>
      <w:pPr>
        <w:ind w:left="5760" w:hanging="360"/>
      </w:pPr>
      <w:rPr>
        <w:rFonts w:ascii="Courier New" w:hAnsi="Courier New" w:cs="Courier New" w:hint="default"/>
      </w:rPr>
    </w:lvl>
    <w:lvl w:ilvl="8" w:tplc="02745E72" w:tentative="1">
      <w:start w:val="1"/>
      <w:numFmt w:val="bullet"/>
      <w:lvlText w:val=""/>
      <w:lvlJc w:val="left"/>
      <w:pPr>
        <w:ind w:left="6480" w:hanging="360"/>
      </w:pPr>
      <w:rPr>
        <w:rFonts w:ascii="Wingdings" w:hAnsi="Wingdings" w:hint="default"/>
      </w:rPr>
    </w:lvl>
  </w:abstractNum>
  <w:abstractNum w:abstractNumId="5" w15:restartNumberingAfterBreak="0">
    <w:nsid w:val="1DA029B5"/>
    <w:multiLevelType w:val="hybridMultilevel"/>
    <w:tmpl w:val="EEDE4DBE"/>
    <w:lvl w:ilvl="0" w:tplc="7EFC03B6">
      <w:start w:val="1"/>
      <w:numFmt w:val="upperRoman"/>
      <w:lvlText w:val="%1."/>
      <w:lvlJc w:val="left"/>
      <w:pPr>
        <w:ind w:left="1080" w:hanging="720"/>
      </w:pPr>
    </w:lvl>
    <w:lvl w:ilvl="1" w:tplc="DDFA6400">
      <w:start w:val="1"/>
      <w:numFmt w:val="lowerLetter"/>
      <w:lvlText w:val="%2."/>
      <w:lvlJc w:val="left"/>
      <w:pPr>
        <w:ind w:left="1440" w:hanging="360"/>
      </w:pPr>
    </w:lvl>
    <w:lvl w:ilvl="2" w:tplc="B72825CE">
      <w:start w:val="1"/>
      <w:numFmt w:val="lowerRoman"/>
      <w:lvlText w:val="%3."/>
      <w:lvlJc w:val="right"/>
      <w:pPr>
        <w:ind w:left="2160" w:hanging="180"/>
      </w:pPr>
    </w:lvl>
    <w:lvl w:ilvl="3" w:tplc="CA2C8074">
      <w:start w:val="1"/>
      <w:numFmt w:val="decimal"/>
      <w:lvlText w:val="%4."/>
      <w:lvlJc w:val="left"/>
      <w:pPr>
        <w:ind w:left="2880" w:hanging="360"/>
      </w:pPr>
    </w:lvl>
    <w:lvl w:ilvl="4" w:tplc="886292D8">
      <w:start w:val="1"/>
      <w:numFmt w:val="lowerLetter"/>
      <w:lvlText w:val="%5."/>
      <w:lvlJc w:val="left"/>
      <w:pPr>
        <w:ind w:left="3600" w:hanging="360"/>
      </w:pPr>
    </w:lvl>
    <w:lvl w:ilvl="5" w:tplc="07BAA58E">
      <w:start w:val="1"/>
      <w:numFmt w:val="lowerRoman"/>
      <w:lvlText w:val="%6."/>
      <w:lvlJc w:val="right"/>
      <w:pPr>
        <w:ind w:left="4320" w:hanging="180"/>
      </w:pPr>
    </w:lvl>
    <w:lvl w:ilvl="6" w:tplc="E9E23D1A">
      <w:start w:val="1"/>
      <w:numFmt w:val="decimal"/>
      <w:lvlText w:val="%7."/>
      <w:lvlJc w:val="left"/>
      <w:pPr>
        <w:ind w:left="5040" w:hanging="360"/>
      </w:pPr>
    </w:lvl>
    <w:lvl w:ilvl="7" w:tplc="9EBAC6DE">
      <w:start w:val="1"/>
      <w:numFmt w:val="lowerLetter"/>
      <w:lvlText w:val="%8."/>
      <w:lvlJc w:val="left"/>
      <w:pPr>
        <w:ind w:left="5760" w:hanging="360"/>
      </w:pPr>
    </w:lvl>
    <w:lvl w:ilvl="8" w:tplc="C9344834">
      <w:start w:val="1"/>
      <w:numFmt w:val="lowerRoman"/>
      <w:lvlText w:val="%9."/>
      <w:lvlJc w:val="right"/>
      <w:pPr>
        <w:ind w:left="6480" w:hanging="180"/>
      </w:pPr>
    </w:lvl>
  </w:abstractNum>
  <w:abstractNum w:abstractNumId="6" w15:restartNumberingAfterBreak="0">
    <w:nsid w:val="1ED334D9"/>
    <w:multiLevelType w:val="hybridMultilevel"/>
    <w:tmpl w:val="88DCEA7E"/>
    <w:lvl w:ilvl="0" w:tplc="3922326A">
      <w:start w:val="1"/>
      <w:numFmt w:val="lowerRoman"/>
      <w:lvlText w:val="(%1)"/>
      <w:lvlJc w:val="left"/>
      <w:pPr>
        <w:ind w:left="1080" w:hanging="360"/>
      </w:pPr>
    </w:lvl>
    <w:lvl w:ilvl="1" w:tplc="8BBE852E">
      <w:start w:val="1"/>
      <w:numFmt w:val="lowerLetter"/>
      <w:lvlText w:val="%2."/>
      <w:lvlJc w:val="left"/>
      <w:pPr>
        <w:ind w:left="1800" w:hanging="360"/>
      </w:pPr>
    </w:lvl>
    <w:lvl w:ilvl="2" w:tplc="ADF64B22">
      <w:start w:val="1"/>
      <w:numFmt w:val="lowerRoman"/>
      <w:lvlText w:val="%3."/>
      <w:lvlJc w:val="right"/>
      <w:pPr>
        <w:ind w:left="2520" w:hanging="180"/>
      </w:pPr>
    </w:lvl>
    <w:lvl w:ilvl="3" w:tplc="B25884E2">
      <w:start w:val="1"/>
      <w:numFmt w:val="decimal"/>
      <w:lvlText w:val="%4."/>
      <w:lvlJc w:val="left"/>
      <w:pPr>
        <w:ind w:left="3240" w:hanging="360"/>
      </w:pPr>
    </w:lvl>
    <w:lvl w:ilvl="4" w:tplc="3518548E">
      <w:start w:val="1"/>
      <w:numFmt w:val="lowerLetter"/>
      <w:lvlText w:val="%5."/>
      <w:lvlJc w:val="left"/>
      <w:pPr>
        <w:ind w:left="3960" w:hanging="360"/>
      </w:pPr>
    </w:lvl>
    <w:lvl w:ilvl="5" w:tplc="4E36DA26">
      <w:start w:val="1"/>
      <w:numFmt w:val="lowerRoman"/>
      <w:lvlText w:val="%6."/>
      <w:lvlJc w:val="right"/>
      <w:pPr>
        <w:ind w:left="4680" w:hanging="180"/>
      </w:pPr>
    </w:lvl>
    <w:lvl w:ilvl="6" w:tplc="8E12C104">
      <w:start w:val="1"/>
      <w:numFmt w:val="decimal"/>
      <w:lvlText w:val="%7."/>
      <w:lvlJc w:val="left"/>
      <w:pPr>
        <w:ind w:left="5400" w:hanging="360"/>
      </w:pPr>
    </w:lvl>
    <w:lvl w:ilvl="7" w:tplc="4FF26BFA">
      <w:start w:val="1"/>
      <w:numFmt w:val="lowerLetter"/>
      <w:lvlText w:val="%8."/>
      <w:lvlJc w:val="left"/>
      <w:pPr>
        <w:ind w:left="6120" w:hanging="360"/>
      </w:pPr>
    </w:lvl>
    <w:lvl w:ilvl="8" w:tplc="E8AC8FC6">
      <w:start w:val="1"/>
      <w:numFmt w:val="lowerRoman"/>
      <w:lvlText w:val="%9."/>
      <w:lvlJc w:val="right"/>
      <w:pPr>
        <w:ind w:left="6840" w:hanging="180"/>
      </w:pPr>
    </w:lvl>
  </w:abstractNum>
  <w:abstractNum w:abstractNumId="7" w15:restartNumberingAfterBreak="0">
    <w:nsid w:val="209B044E"/>
    <w:multiLevelType w:val="hybridMultilevel"/>
    <w:tmpl w:val="A68CB98E"/>
    <w:name w:val="UnnamedList47779"/>
    <w:lvl w:ilvl="0" w:tplc="0DCA7508">
      <w:start w:val="1"/>
      <w:numFmt w:val="lowerLetter"/>
      <w:lvlText w:val="%1)"/>
      <w:lvlJc w:val="left"/>
      <w:pPr>
        <w:ind w:left="720" w:hanging="360"/>
      </w:pPr>
      <w:rPr>
        <w:rFonts w:ascii="Arial" w:hAnsi="Arial" w:cs="Arial" w:hint="default"/>
      </w:rPr>
    </w:lvl>
    <w:lvl w:ilvl="1" w:tplc="3C68F4C6" w:tentative="1">
      <w:start w:val="1"/>
      <w:numFmt w:val="lowerLetter"/>
      <w:lvlText w:val="%2."/>
      <w:lvlJc w:val="left"/>
      <w:pPr>
        <w:ind w:left="1440" w:hanging="360"/>
      </w:pPr>
    </w:lvl>
    <w:lvl w:ilvl="2" w:tplc="E220A840" w:tentative="1">
      <w:start w:val="1"/>
      <w:numFmt w:val="lowerRoman"/>
      <w:lvlText w:val="%3."/>
      <w:lvlJc w:val="right"/>
      <w:pPr>
        <w:ind w:left="2160" w:hanging="180"/>
      </w:pPr>
    </w:lvl>
    <w:lvl w:ilvl="3" w:tplc="1BDE73DE">
      <w:start w:val="7"/>
      <w:numFmt w:val="decimal"/>
      <w:lvlText w:val="[%4]"/>
      <w:lvlJc w:val="left"/>
      <w:pPr>
        <w:ind w:left="1440" w:hanging="360"/>
      </w:pPr>
      <w:rPr>
        <w:rFonts w:hint="default"/>
      </w:rPr>
    </w:lvl>
    <w:lvl w:ilvl="4" w:tplc="A7E6D354" w:tentative="1">
      <w:start w:val="1"/>
      <w:numFmt w:val="lowerLetter"/>
      <w:lvlText w:val="%5."/>
      <w:lvlJc w:val="left"/>
      <w:pPr>
        <w:ind w:left="3600" w:hanging="360"/>
      </w:pPr>
    </w:lvl>
    <w:lvl w:ilvl="5" w:tplc="F7229F1C" w:tentative="1">
      <w:start w:val="1"/>
      <w:numFmt w:val="lowerRoman"/>
      <w:lvlText w:val="%6."/>
      <w:lvlJc w:val="right"/>
      <w:pPr>
        <w:ind w:left="4320" w:hanging="180"/>
      </w:pPr>
    </w:lvl>
    <w:lvl w:ilvl="6" w:tplc="6BCCD6D2" w:tentative="1">
      <w:start w:val="1"/>
      <w:numFmt w:val="decimal"/>
      <w:lvlText w:val="%7."/>
      <w:lvlJc w:val="left"/>
      <w:pPr>
        <w:ind w:left="5040" w:hanging="360"/>
      </w:pPr>
    </w:lvl>
    <w:lvl w:ilvl="7" w:tplc="BCAA7F8A" w:tentative="1">
      <w:start w:val="1"/>
      <w:numFmt w:val="lowerLetter"/>
      <w:lvlText w:val="%8."/>
      <w:lvlJc w:val="left"/>
      <w:pPr>
        <w:ind w:left="5760" w:hanging="360"/>
      </w:pPr>
    </w:lvl>
    <w:lvl w:ilvl="8" w:tplc="6AE406FC" w:tentative="1">
      <w:start w:val="1"/>
      <w:numFmt w:val="lowerRoman"/>
      <w:lvlText w:val="%9."/>
      <w:lvlJc w:val="right"/>
      <w:pPr>
        <w:ind w:left="6480" w:hanging="180"/>
      </w:pPr>
    </w:lvl>
  </w:abstractNum>
  <w:abstractNum w:abstractNumId="8" w15:restartNumberingAfterBreak="0">
    <w:nsid w:val="21F858F1"/>
    <w:multiLevelType w:val="hybridMultilevel"/>
    <w:tmpl w:val="645EDBB6"/>
    <w:lvl w:ilvl="0" w:tplc="25EAC964">
      <w:start w:val="1"/>
      <w:numFmt w:val="lowerRoman"/>
      <w:lvlText w:val="%1."/>
      <w:lvlJc w:val="left"/>
      <w:pPr>
        <w:ind w:left="1890" w:hanging="720"/>
      </w:pPr>
      <w:rPr>
        <w:rFonts w:hint="default"/>
      </w:rPr>
    </w:lvl>
    <w:lvl w:ilvl="1" w:tplc="A604683C">
      <w:start w:val="1"/>
      <w:numFmt w:val="lowerLetter"/>
      <w:lvlText w:val="%2."/>
      <w:lvlJc w:val="left"/>
      <w:pPr>
        <w:ind w:left="2250" w:hanging="360"/>
      </w:pPr>
    </w:lvl>
    <w:lvl w:ilvl="2" w:tplc="3CA871A2" w:tentative="1">
      <w:start w:val="1"/>
      <w:numFmt w:val="lowerRoman"/>
      <w:lvlText w:val="%3."/>
      <w:lvlJc w:val="right"/>
      <w:pPr>
        <w:ind w:left="2970" w:hanging="180"/>
      </w:pPr>
    </w:lvl>
    <w:lvl w:ilvl="3" w:tplc="ADC03F22" w:tentative="1">
      <w:start w:val="1"/>
      <w:numFmt w:val="decimal"/>
      <w:lvlText w:val="%4."/>
      <w:lvlJc w:val="left"/>
      <w:pPr>
        <w:ind w:left="3690" w:hanging="360"/>
      </w:pPr>
    </w:lvl>
    <w:lvl w:ilvl="4" w:tplc="5E707DD2" w:tentative="1">
      <w:start w:val="1"/>
      <w:numFmt w:val="lowerLetter"/>
      <w:lvlText w:val="%5."/>
      <w:lvlJc w:val="left"/>
      <w:pPr>
        <w:ind w:left="4410" w:hanging="360"/>
      </w:pPr>
    </w:lvl>
    <w:lvl w:ilvl="5" w:tplc="609258E0" w:tentative="1">
      <w:start w:val="1"/>
      <w:numFmt w:val="lowerRoman"/>
      <w:lvlText w:val="%6."/>
      <w:lvlJc w:val="right"/>
      <w:pPr>
        <w:ind w:left="5130" w:hanging="180"/>
      </w:pPr>
    </w:lvl>
    <w:lvl w:ilvl="6" w:tplc="DD7A2648" w:tentative="1">
      <w:start w:val="1"/>
      <w:numFmt w:val="decimal"/>
      <w:lvlText w:val="%7."/>
      <w:lvlJc w:val="left"/>
      <w:pPr>
        <w:ind w:left="5850" w:hanging="360"/>
      </w:pPr>
    </w:lvl>
    <w:lvl w:ilvl="7" w:tplc="0A3E4758" w:tentative="1">
      <w:start w:val="1"/>
      <w:numFmt w:val="lowerLetter"/>
      <w:lvlText w:val="%8."/>
      <w:lvlJc w:val="left"/>
      <w:pPr>
        <w:ind w:left="6570" w:hanging="360"/>
      </w:pPr>
    </w:lvl>
    <w:lvl w:ilvl="8" w:tplc="4B849A40" w:tentative="1">
      <w:start w:val="1"/>
      <w:numFmt w:val="lowerRoman"/>
      <w:lvlText w:val="%9."/>
      <w:lvlJc w:val="right"/>
      <w:pPr>
        <w:ind w:left="7290" w:hanging="180"/>
      </w:pPr>
    </w:lvl>
  </w:abstractNum>
  <w:abstractNum w:abstractNumId="9" w15:restartNumberingAfterBreak="0">
    <w:nsid w:val="29B11B71"/>
    <w:multiLevelType w:val="multilevel"/>
    <w:tmpl w:val="D9CABBA4"/>
    <w:name w:val="Style1"/>
    <w:styleLink w:val="Style1"/>
    <w:lvl w:ilvl="0">
      <w:start w:val="1"/>
      <w:numFmt w:val="decimal"/>
      <w:pStyle w:val="Titre2"/>
      <w:lvlText w:val="%1."/>
      <w:lvlJc w:val="left"/>
      <w:pPr>
        <w:ind w:left="431" w:hanging="431"/>
      </w:pPr>
      <w:rPr>
        <w:rFonts w:hint="default"/>
      </w:rPr>
    </w:lvl>
    <w:lvl w:ilvl="1">
      <w:start w:val="1"/>
      <w:numFmt w:val="decimal"/>
      <w:pStyle w:val="Titre3"/>
      <w:lvlText w:val="%1.%2"/>
      <w:lvlJc w:val="left"/>
      <w:pPr>
        <w:ind w:left="431" w:hanging="431"/>
      </w:pPr>
      <w:rPr>
        <w:rFonts w:hint="default"/>
      </w:rPr>
    </w:lvl>
    <w:lvl w:ilvl="2">
      <w:start w:val="1"/>
      <w:numFmt w:val="decimal"/>
      <w:pStyle w:val="Titre4"/>
      <w:lvlText w:val="%1.%2.%3"/>
      <w:lvlJc w:val="left"/>
      <w:pPr>
        <w:ind w:left="431" w:hanging="431"/>
      </w:pPr>
      <w:rPr>
        <w:rFonts w:hint="default"/>
      </w:rPr>
    </w:lvl>
    <w:lvl w:ilvl="3">
      <w:start w:val="1"/>
      <w:numFmt w:val="decimal"/>
      <w:pStyle w:val="Titre5"/>
      <w:lvlText w:val="%1.%2.%3.%4"/>
      <w:lvlJc w:val="left"/>
      <w:pPr>
        <w:ind w:left="431" w:hanging="431"/>
      </w:pPr>
      <w:rPr>
        <w:rFonts w:hint="default"/>
      </w:rPr>
    </w:lvl>
    <w:lvl w:ilvl="4">
      <w:start w:val="1"/>
      <w:numFmt w:val="decimal"/>
      <w:pStyle w:val="Titre6"/>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pStyle w:val="Titre8"/>
      <w:lvlText w:val="%1.%2.%3.%4.%5.%6.%7.%8"/>
      <w:lvlJc w:val="left"/>
      <w:pPr>
        <w:ind w:left="431" w:hanging="431"/>
      </w:pPr>
      <w:rPr>
        <w:rFonts w:hint="default"/>
      </w:rPr>
    </w:lvl>
    <w:lvl w:ilvl="8">
      <w:start w:val="1"/>
      <w:numFmt w:val="decimal"/>
      <w:pStyle w:val="Titre9"/>
      <w:lvlText w:val="%1.%2.%3.%4.%5.%6.%7.%8.%9"/>
      <w:lvlJc w:val="left"/>
      <w:pPr>
        <w:ind w:left="431" w:hanging="431"/>
      </w:pPr>
      <w:rPr>
        <w:rFonts w:hint="default"/>
      </w:rPr>
    </w:lvl>
  </w:abstractNum>
  <w:abstractNum w:abstractNumId="11" w15:restartNumberingAfterBreak="0">
    <w:nsid w:val="2B731AED"/>
    <w:multiLevelType w:val="hybridMultilevel"/>
    <w:tmpl w:val="BEE2740C"/>
    <w:lvl w:ilvl="0" w:tplc="DFC05CDA">
      <w:start w:val="1"/>
      <w:numFmt w:val="lowerLetter"/>
      <w:lvlText w:val="%1)"/>
      <w:lvlJc w:val="left"/>
      <w:pPr>
        <w:ind w:left="720" w:hanging="360"/>
      </w:pPr>
      <w:rPr>
        <w:b/>
        <w:bCs/>
      </w:rPr>
    </w:lvl>
    <w:lvl w:ilvl="1" w:tplc="7960FCE4">
      <w:start w:val="1"/>
      <w:numFmt w:val="bullet"/>
      <w:lvlText w:val="o"/>
      <w:lvlJc w:val="left"/>
      <w:pPr>
        <w:ind w:left="1440" w:hanging="360"/>
      </w:pPr>
      <w:rPr>
        <w:rFonts w:ascii="Courier New" w:hAnsi="Courier New" w:cs="Courier New" w:hint="default"/>
      </w:rPr>
    </w:lvl>
    <w:lvl w:ilvl="2" w:tplc="6400DEC6">
      <w:start w:val="1"/>
      <w:numFmt w:val="bullet"/>
      <w:lvlText w:val=""/>
      <w:lvlJc w:val="left"/>
      <w:pPr>
        <w:ind w:left="2160" w:hanging="360"/>
      </w:pPr>
      <w:rPr>
        <w:rFonts w:ascii="Wingdings" w:hAnsi="Wingdings" w:hint="default"/>
      </w:rPr>
    </w:lvl>
    <w:lvl w:ilvl="3" w:tplc="D9A2AD3C">
      <w:start w:val="1"/>
      <w:numFmt w:val="bullet"/>
      <w:lvlText w:val=""/>
      <w:lvlJc w:val="left"/>
      <w:pPr>
        <w:ind w:left="2880" w:hanging="360"/>
      </w:pPr>
      <w:rPr>
        <w:rFonts w:ascii="Symbol" w:hAnsi="Symbol" w:hint="default"/>
      </w:rPr>
    </w:lvl>
    <w:lvl w:ilvl="4" w:tplc="52F62AC6">
      <w:start w:val="1"/>
      <w:numFmt w:val="bullet"/>
      <w:lvlText w:val="o"/>
      <w:lvlJc w:val="left"/>
      <w:pPr>
        <w:ind w:left="3600" w:hanging="360"/>
      </w:pPr>
      <w:rPr>
        <w:rFonts w:ascii="Courier New" w:hAnsi="Courier New" w:cs="Courier New" w:hint="default"/>
      </w:rPr>
    </w:lvl>
    <w:lvl w:ilvl="5" w:tplc="7C16B702">
      <w:start w:val="1"/>
      <w:numFmt w:val="bullet"/>
      <w:lvlText w:val=""/>
      <w:lvlJc w:val="left"/>
      <w:pPr>
        <w:ind w:left="4320" w:hanging="360"/>
      </w:pPr>
      <w:rPr>
        <w:rFonts w:ascii="Wingdings" w:hAnsi="Wingdings" w:hint="default"/>
      </w:rPr>
    </w:lvl>
    <w:lvl w:ilvl="6" w:tplc="374E13DE">
      <w:start w:val="1"/>
      <w:numFmt w:val="bullet"/>
      <w:lvlText w:val=""/>
      <w:lvlJc w:val="left"/>
      <w:pPr>
        <w:ind w:left="5040" w:hanging="360"/>
      </w:pPr>
      <w:rPr>
        <w:rFonts w:ascii="Symbol" w:hAnsi="Symbol" w:hint="default"/>
      </w:rPr>
    </w:lvl>
    <w:lvl w:ilvl="7" w:tplc="A17C9530">
      <w:start w:val="1"/>
      <w:numFmt w:val="bullet"/>
      <w:lvlText w:val="o"/>
      <w:lvlJc w:val="left"/>
      <w:pPr>
        <w:ind w:left="5760" w:hanging="360"/>
      </w:pPr>
      <w:rPr>
        <w:rFonts w:ascii="Courier New" w:hAnsi="Courier New" w:cs="Courier New" w:hint="default"/>
      </w:rPr>
    </w:lvl>
    <w:lvl w:ilvl="8" w:tplc="F8884376">
      <w:start w:val="1"/>
      <w:numFmt w:val="bullet"/>
      <w:lvlText w:val=""/>
      <w:lvlJc w:val="left"/>
      <w:pPr>
        <w:ind w:left="6480" w:hanging="360"/>
      </w:pPr>
      <w:rPr>
        <w:rFonts w:ascii="Wingdings" w:hAnsi="Wingdings" w:hint="default"/>
      </w:rPr>
    </w:lvl>
  </w:abstractNum>
  <w:abstractNum w:abstractNumId="12" w15:restartNumberingAfterBreak="0">
    <w:nsid w:val="2E2D2759"/>
    <w:multiLevelType w:val="hybridMultilevel"/>
    <w:tmpl w:val="A9A6CF46"/>
    <w:lvl w:ilvl="0" w:tplc="39E22216">
      <w:start w:val="1"/>
      <w:numFmt w:val="decimal"/>
      <w:lvlText w:val="%1."/>
      <w:lvlJc w:val="left"/>
      <w:pPr>
        <w:ind w:left="360" w:hanging="360"/>
      </w:pPr>
      <w:rPr>
        <w:rFonts w:hint="default"/>
        <w:b w:val="0"/>
        <w:bCs w:val="0"/>
        <w:lang w:val="en-CA"/>
      </w:rPr>
    </w:lvl>
    <w:lvl w:ilvl="1" w:tplc="FD94B358">
      <w:start w:val="1"/>
      <w:numFmt w:val="lowerLetter"/>
      <w:lvlText w:val="%2."/>
      <w:lvlJc w:val="left"/>
      <w:pPr>
        <w:ind w:left="1080" w:hanging="360"/>
      </w:pPr>
    </w:lvl>
    <w:lvl w:ilvl="2" w:tplc="B54EF2CA">
      <w:start w:val="1"/>
      <w:numFmt w:val="lowerRoman"/>
      <w:lvlText w:val="%3."/>
      <w:lvlJc w:val="right"/>
      <w:pPr>
        <w:ind w:left="1800" w:hanging="180"/>
      </w:pPr>
    </w:lvl>
    <w:lvl w:ilvl="3" w:tplc="CE32096A" w:tentative="1">
      <w:start w:val="1"/>
      <w:numFmt w:val="decimal"/>
      <w:lvlText w:val="%4."/>
      <w:lvlJc w:val="left"/>
      <w:pPr>
        <w:ind w:left="2520" w:hanging="360"/>
      </w:pPr>
    </w:lvl>
    <w:lvl w:ilvl="4" w:tplc="A95E2AD4" w:tentative="1">
      <w:start w:val="1"/>
      <w:numFmt w:val="lowerLetter"/>
      <w:lvlText w:val="%5."/>
      <w:lvlJc w:val="left"/>
      <w:pPr>
        <w:ind w:left="3240" w:hanging="360"/>
      </w:pPr>
    </w:lvl>
    <w:lvl w:ilvl="5" w:tplc="78AAAE34" w:tentative="1">
      <w:start w:val="1"/>
      <w:numFmt w:val="lowerRoman"/>
      <w:lvlText w:val="%6."/>
      <w:lvlJc w:val="right"/>
      <w:pPr>
        <w:ind w:left="3960" w:hanging="180"/>
      </w:pPr>
    </w:lvl>
    <w:lvl w:ilvl="6" w:tplc="A25412C2" w:tentative="1">
      <w:start w:val="1"/>
      <w:numFmt w:val="decimal"/>
      <w:lvlText w:val="%7."/>
      <w:lvlJc w:val="left"/>
      <w:pPr>
        <w:ind w:left="4680" w:hanging="360"/>
      </w:pPr>
    </w:lvl>
    <w:lvl w:ilvl="7" w:tplc="DAAA648E" w:tentative="1">
      <w:start w:val="1"/>
      <w:numFmt w:val="lowerLetter"/>
      <w:lvlText w:val="%8."/>
      <w:lvlJc w:val="left"/>
      <w:pPr>
        <w:ind w:left="5400" w:hanging="360"/>
      </w:pPr>
    </w:lvl>
    <w:lvl w:ilvl="8" w:tplc="3C862C94" w:tentative="1">
      <w:start w:val="1"/>
      <w:numFmt w:val="lowerRoman"/>
      <w:lvlText w:val="%9."/>
      <w:lvlJc w:val="right"/>
      <w:pPr>
        <w:ind w:left="6120" w:hanging="180"/>
      </w:pPr>
    </w:lvl>
  </w:abstractNum>
  <w:abstractNum w:abstractNumId="13" w15:restartNumberingAfterBreak="0">
    <w:nsid w:val="496C7DC9"/>
    <w:multiLevelType w:val="hybridMultilevel"/>
    <w:tmpl w:val="FFFFFFFF"/>
    <w:lvl w:ilvl="0" w:tplc="49303AA6">
      <w:start w:val="1"/>
      <w:numFmt w:val="lowerLetter"/>
      <w:lvlText w:val=""/>
      <w:lvlJc w:val="left"/>
    </w:lvl>
    <w:lvl w:ilvl="1" w:tplc="8306E8D6">
      <w:start w:val="1"/>
      <w:numFmt w:val="ideographDigital"/>
      <w:lvlText w:val=""/>
      <w:lvlJc w:val="left"/>
    </w:lvl>
    <w:lvl w:ilvl="2" w:tplc="F684A740">
      <w:numFmt w:val="decimal"/>
      <w:lvlText w:val=""/>
      <w:lvlJc w:val="left"/>
    </w:lvl>
    <w:lvl w:ilvl="3" w:tplc="E3108692">
      <w:numFmt w:val="decimal"/>
      <w:lvlText w:val=""/>
      <w:lvlJc w:val="left"/>
    </w:lvl>
    <w:lvl w:ilvl="4" w:tplc="1CAE7FA2">
      <w:numFmt w:val="decimal"/>
      <w:lvlText w:val=""/>
      <w:lvlJc w:val="left"/>
    </w:lvl>
    <w:lvl w:ilvl="5" w:tplc="CE38C938">
      <w:numFmt w:val="decimal"/>
      <w:lvlText w:val=""/>
      <w:lvlJc w:val="left"/>
    </w:lvl>
    <w:lvl w:ilvl="6" w:tplc="EDCEB370">
      <w:numFmt w:val="decimal"/>
      <w:lvlText w:val=""/>
      <w:lvlJc w:val="left"/>
    </w:lvl>
    <w:lvl w:ilvl="7" w:tplc="6F66FCB4">
      <w:numFmt w:val="decimal"/>
      <w:lvlText w:val=""/>
      <w:lvlJc w:val="left"/>
    </w:lvl>
    <w:lvl w:ilvl="8" w:tplc="3A262954">
      <w:numFmt w:val="decimal"/>
      <w:lvlText w:val=""/>
      <w:lvlJc w:val="left"/>
    </w:lvl>
  </w:abstractNum>
  <w:abstractNum w:abstractNumId="14" w15:restartNumberingAfterBreak="0">
    <w:nsid w:val="4BF423AA"/>
    <w:multiLevelType w:val="multilevel"/>
    <w:tmpl w:val="D9CABBA4"/>
    <w:name w:val="Style12"/>
    <w:numStyleLink w:val="Style1"/>
  </w:abstractNum>
  <w:abstractNum w:abstractNumId="15" w15:restartNumberingAfterBreak="0">
    <w:nsid w:val="4DB5688F"/>
    <w:multiLevelType w:val="hybridMultilevel"/>
    <w:tmpl w:val="263E8DA0"/>
    <w:lvl w:ilvl="0" w:tplc="47AAB6B4">
      <w:start w:val="1"/>
      <w:numFmt w:val="bullet"/>
      <w:lvlText w:val=""/>
      <w:lvlJc w:val="left"/>
      <w:pPr>
        <w:ind w:left="720" w:hanging="360"/>
      </w:pPr>
      <w:rPr>
        <w:rFonts w:ascii="Symbol" w:hAnsi="Symbol" w:hint="default"/>
      </w:rPr>
    </w:lvl>
    <w:lvl w:ilvl="1" w:tplc="BB52C694" w:tentative="1">
      <w:start w:val="1"/>
      <w:numFmt w:val="bullet"/>
      <w:lvlText w:val="o"/>
      <w:lvlJc w:val="left"/>
      <w:pPr>
        <w:ind w:left="1440" w:hanging="360"/>
      </w:pPr>
      <w:rPr>
        <w:rFonts w:ascii="Courier New" w:hAnsi="Courier New" w:cs="Courier New" w:hint="default"/>
      </w:rPr>
    </w:lvl>
    <w:lvl w:ilvl="2" w:tplc="92EC0D4C" w:tentative="1">
      <w:start w:val="1"/>
      <w:numFmt w:val="bullet"/>
      <w:lvlText w:val=""/>
      <w:lvlJc w:val="left"/>
      <w:pPr>
        <w:ind w:left="2160" w:hanging="360"/>
      </w:pPr>
      <w:rPr>
        <w:rFonts w:ascii="Wingdings" w:hAnsi="Wingdings" w:hint="default"/>
      </w:rPr>
    </w:lvl>
    <w:lvl w:ilvl="3" w:tplc="8BAA897E" w:tentative="1">
      <w:start w:val="1"/>
      <w:numFmt w:val="bullet"/>
      <w:lvlText w:val=""/>
      <w:lvlJc w:val="left"/>
      <w:pPr>
        <w:ind w:left="2880" w:hanging="360"/>
      </w:pPr>
      <w:rPr>
        <w:rFonts w:ascii="Symbol" w:hAnsi="Symbol" w:hint="default"/>
      </w:rPr>
    </w:lvl>
    <w:lvl w:ilvl="4" w:tplc="1BA4B004" w:tentative="1">
      <w:start w:val="1"/>
      <w:numFmt w:val="bullet"/>
      <w:lvlText w:val="o"/>
      <w:lvlJc w:val="left"/>
      <w:pPr>
        <w:ind w:left="3600" w:hanging="360"/>
      </w:pPr>
      <w:rPr>
        <w:rFonts w:ascii="Courier New" w:hAnsi="Courier New" w:cs="Courier New" w:hint="default"/>
      </w:rPr>
    </w:lvl>
    <w:lvl w:ilvl="5" w:tplc="07C8E51A" w:tentative="1">
      <w:start w:val="1"/>
      <w:numFmt w:val="bullet"/>
      <w:lvlText w:val=""/>
      <w:lvlJc w:val="left"/>
      <w:pPr>
        <w:ind w:left="4320" w:hanging="360"/>
      </w:pPr>
      <w:rPr>
        <w:rFonts w:ascii="Wingdings" w:hAnsi="Wingdings" w:hint="default"/>
      </w:rPr>
    </w:lvl>
    <w:lvl w:ilvl="6" w:tplc="9DF2C30C" w:tentative="1">
      <w:start w:val="1"/>
      <w:numFmt w:val="bullet"/>
      <w:lvlText w:val=""/>
      <w:lvlJc w:val="left"/>
      <w:pPr>
        <w:ind w:left="5040" w:hanging="360"/>
      </w:pPr>
      <w:rPr>
        <w:rFonts w:ascii="Symbol" w:hAnsi="Symbol" w:hint="default"/>
      </w:rPr>
    </w:lvl>
    <w:lvl w:ilvl="7" w:tplc="2848DB44" w:tentative="1">
      <w:start w:val="1"/>
      <w:numFmt w:val="bullet"/>
      <w:lvlText w:val="o"/>
      <w:lvlJc w:val="left"/>
      <w:pPr>
        <w:ind w:left="5760" w:hanging="360"/>
      </w:pPr>
      <w:rPr>
        <w:rFonts w:ascii="Courier New" w:hAnsi="Courier New" w:cs="Courier New" w:hint="default"/>
      </w:rPr>
    </w:lvl>
    <w:lvl w:ilvl="8" w:tplc="59D24968" w:tentative="1">
      <w:start w:val="1"/>
      <w:numFmt w:val="bullet"/>
      <w:lvlText w:val=""/>
      <w:lvlJc w:val="left"/>
      <w:pPr>
        <w:ind w:left="6480" w:hanging="360"/>
      </w:pPr>
      <w:rPr>
        <w:rFonts w:ascii="Wingdings" w:hAnsi="Wingdings" w:hint="default"/>
      </w:rPr>
    </w:lvl>
  </w:abstractNum>
  <w:abstractNum w:abstractNumId="16" w15:restartNumberingAfterBreak="0">
    <w:nsid w:val="52415801"/>
    <w:multiLevelType w:val="multilevel"/>
    <w:tmpl w:val="D9CABBA4"/>
    <w:numStyleLink w:val="Style1"/>
  </w:abstractNum>
  <w:abstractNum w:abstractNumId="17" w15:restartNumberingAfterBreak="0">
    <w:nsid w:val="5A0C4719"/>
    <w:multiLevelType w:val="multilevel"/>
    <w:tmpl w:val="D9CABBA4"/>
    <w:name w:val="Style13"/>
    <w:numStyleLink w:val="Style1"/>
  </w:abstractNum>
  <w:abstractNum w:abstractNumId="18" w15:restartNumberingAfterBreak="0">
    <w:nsid w:val="5E5776D9"/>
    <w:multiLevelType w:val="multilevel"/>
    <w:tmpl w:val="85628346"/>
    <w:lvl w:ilvl="0">
      <w:start w:val="1"/>
      <w:numFmt w:val="decimal"/>
      <w:pStyle w:val="SCGenL1"/>
      <w:lvlText w:val="%1."/>
      <w:lvlJc w:val="left"/>
      <w:pPr>
        <w:tabs>
          <w:tab w:val="num" w:pos="720"/>
        </w:tabs>
        <w:ind w:left="720" w:hanging="720"/>
      </w:pPr>
      <w:rPr>
        <w:rFonts w:ascii="Arial" w:hAnsi="Arial" w:cs="Arial" w:hint="default"/>
        <w:b w:val="0"/>
        <w:lang w:val="en-CA"/>
      </w:rPr>
    </w:lvl>
    <w:lvl w:ilvl="1">
      <w:start w:val="1"/>
      <w:numFmt w:val="lowerLetter"/>
      <w:pStyle w:val="SCGenL2"/>
      <w:lvlText w:val="(%2)"/>
      <w:lvlJc w:val="left"/>
      <w:pPr>
        <w:tabs>
          <w:tab w:val="num" w:pos="1440"/>
        </w:tabs>
        <w:ind w:left="1440" w:hanging="720"/>
      </w:pPr>
      <w:rPr>
        <w:rFonts w:ascii="Arial" w:hAnsi="Arial" w:cs="Arial" w:hint="default"/>
      </w:rPr>
    </w:lvl>
    <w:lvl w:ilvl="2">
      <w:start w:val="1"/>
      <w:numFmt w:val="lowerRoman"/>
      <w:pStyle w:val="SCGenL3"/>
      <w:lvlText w:val="(%3)"/>
      <w:lvlJc w:val="right"/>
      <w:pPr>
        <w:tabs>
          <w:tab w:val="num" w:pos="2160"/>
        </w:tabs>
        <w:ind w:left="2160" w:hanging="432"/>
      </w:pPr>
    </w:lvl>
    <w:lvl w:ilvl="3">
      <w:start w:val="1"/>
      <w:numFmt w:val="upperLetter"/>
      <w:pStyle w:val="SCGenL4"/>
      <w:lvlText w:val="(%4)"/>
      <w:lvlJc w:val="left"/>
      <w:pPr>
        <w:tabs>
          <w:tab w:val="num" w:pos="2880"/>
        </w:tabs>
        <w:ind w:left="2880" w:hanging="720"/>
      </w:pPr>
    </w:lvl>
    <w:lvl w:ilvl="4">
      <w:start w:val="1"/>
      <w:numFmt w:val="upperRoman"/>
      <w:pStyle w:val="SCGenL5"/>
      <w:lvlText w:val="(%5)"/>
      <w:lvlJc w:val="right"/>
      <w:pPr>
        <w:tabs>
          <w:tab w:val="num" w:pos="3600"/>
        </w:tabs>
        <w:ind w:left="3600" w:hanging="432"/>
      </w:pPr>
    </w:lvl>
    <w:lvl w:ilvl="5">
      <w:start w:val="1"/>
      <w:numFmt w:val="decimal"/>
      <w:pStyle w:val="SCGenL6"/>
      <w:lvlText w:val="(%6)"/>
      <w:lvlJc w:val="left"/>
      <w:pPr>
        <w:tabs>
          <w:tab w:val="num" w:pos="4320"/>
        </w:tabs>
        <w:ind w:left="4320" w:hanging="720"/>
      </w:pPr>
    </w:lvl>
    <w:lvl w:ilvl="6">
      <w:start w:val="1"/>
      <w:numFmt w:val="lowerLetter"/>
      <w:pStyle w:val="SCGenL7"/>
      <w:lvlText w:val="%7)"/>
      <w:lvlJc w:val="left"/>
      <w:pPr>
        <w:tabs>
          <w:tab w:val="num" w:pos="5040"/>
        </w:tabs>
        <w:ind w:left="5040" w:hanging="720"/>
      </w:pPr>
    </w:lvl>
    <w:lvl w:ilvl="7">
      <w:start w:val="1"/>
      <w:numFmt w:val="lowerRoman"/>
      <w:pStyle w:val="SCGenL8"/>
      <w:lvlText w:val="%8)"/>
      <w:lvlJc w:val="right"/>
      <w:pPr>
        <w:tabs>
          <w:tab w:val="num" w:pos="5760"/>
        </w:tabs>
        <w:ind w:left="5760" w:hanging="432"/>
      </w:pPr>
    </w:lvl>
    <w:lvl w:ilvl="8">
      <w:start w:val="1"/>
      <w:numFmt w:val="decimal"/>
      <w:pStyle w:val="SCGenL9"/>
      <w:lvlText w:val="%9)"/>
      <w:lvlJc w:val="left"/>
      <w:pPr>
        <w:tabs>
          <w:tab w:val="num" w:pos="6480"/>
        </w:tabs>
        <w:ind w:left="6480" w:hanging="720"/>
      </w:pPr>
    </w:lvl>
  </w:abstractNum>
  <w:abstractNum w:abstractNumId="19" w15:restartNumberingAfterBreak="0">
    <w:nsid w:val="5F3E1BEB"/>
    <w:multiLevelType w:val="hybridMultilevel"/>
    <w:tmpl w:val="75EC435A"/>
    <w:lvl w:ilvl="0" w:tplc="179E719C">
      <w:start w:val="1"/>
      <w:numFmt w:val="bullet"/>
      <w:lvlText w:val=""/>
      <w:lvlJc w:val="left"/>
      <w:pPr>
        <w:ind w:left="720" w:hanging="360"/>
      </w:pPr>
      <w:rPr>
        <w:rFonts w:ascii="Symbol" w:hAnsi="Symbol" w:hint="default"/>
      </w:rPr>
    </w:lvl>
    <w:lvl w:ilvl="1" w:tplc="D5A0D6A6" w:tentative="1">
      <w:start w:val="1"/>
      <w:numFmt w:val="bullet"/>
      <w:lvlText w:val="o"/>
      <w:lvlJc w:val="left"/>
      <w:pPr>
        <w:ind w:left="1440" w:hanging="360"/>
      </w:pPr>
      <w:rPr>
        <w:rFonts w:ascii="Courier New" w:hAnsi="Courier New" w:cs="Courier New" w:hint="default"/>
      </w:rPr>
    </w:lvl>
    <w:lvl w:ilvl="2" w:tplc="459001A8" w:tentative="1">
      <w:start w:val="1"/>
      <w:numFmt w:val="bullet"/>
      <w:lvlText w:val=""/>
      <w:lvlJc w:val="left"/>
      <w:pPr>
        <w:ind w:left="2160" w:hanging="360"/>
      </w:pPr>
      <w:rPr>
        <w:rFonts w:ascii="Wingdings" w:hAnsi="Wingdings" w:hint="default"/>
      </w:rPr>
    </w:lvl>
    <w:lvl w:ilvl="3" w:tplc="07FEE47E" w:tentative="1">
      <w:start w:val="1"/>
      <w:numFmt w:val="bullet"/>
      <w:lvlText w:val=""/>
      <w:lvlJc w:val="left"/>
      <w:pPr>
        <w:ind w:left="2880" w:hanging="360"/>
      </w:pPr>
      <w:rPr>
        <w:rFonts w:ascii="Symbol" w:hAnsi="Symbol" w:hint="default"/>
      </w:rPr>
    </w:lvl>
    <w:lvl w:ilvl="4" w:tplc="407A0AAE" w:tentative="1">
      <w:start w:val="1"/>
      <w:numFmt w:val="bullet"/>
      <w:lvlText w:val="o"/>
      <w:lvlJc w:val="left"/>
      <w:pPr>
        <w:ind w:left="3600" w:hanging="360"/>
      </w:pPr>
      <w:rPr>
        <w:rFonts w:ascii="Courier New" w:hAnsi="Courier New" w:cs="Courier New" w:hint="default"/>
      </w:rPr>
    </w:lvl>
    <w:lvl w:ilvl="5" w:tplc="197E70AA" w:tentative="1">
      <w:start w:val="1"/>
      <w:numFmt w:val="bullet"/>
      <w:lvlText w:val=""/>
      <w:lvlJc w:val="left"/>
      <w:pPr>
        <w:ind w:left="4320" w:hanging="360"/>
      </w:pPr>
      <w:rPr>
        <w:rFonts w:ascii="Wingdings" w:hAnsi="Wingdings" w:hint="default"/>
      </w:rPr>
    </w:lvl>
    <w:lvl w:ilvl="6" w:tplc="B4989A7E" w:tentative="1">
      <w:start w:val="1"/>
      <w:numFmt w:val="bullet"/>
      <w:lvlText w:val=""/>
      <w:lvlJc w:val="left"/>
      <w:pPr>
        <w:ind w:left="5040" w:hanging="360"/>
      </w:pPr>
      <w:rPr>
        <w:rFonts w:ascii="Symbol" w:hAnsi="Symbol" w:hint="default"/>
      </w:rPr>
    </w:lvl>
    <w:lvl w:ilvl="7" w:tplc="6E1A4CF6" w:tentative="1">
      <w:start w:val="1"/>
      <w:numFmt w:val="bullet"/>
      <w:lvlText w:val="o"/>
      <w:lvlJc w:val="left"/>
      <w:pPr>
        <w:ind w:left="5760" w:hanging="360"/>
      </w:pPr>
      <w:rPr>
        <w:rFonts w:ascii="Courier New" w:hAnsi="Courier New" w:cs="Courier New" w:hint="default"/>
      </w:rPr>
    </w:lvl>
    <w:lvl w:ilvl="8" w:tplc="CAE2B3B4" w:tentative="1">
      <w:start w:val="1"/>
      <w:numFmt w:val="bullet"/>
      <w:lvlText w:val=""/>
      <w:lvlJc w:val="left"/>
      <w:pPr>
        <w:ind w:left="6480" w:hanging="360"/>
      </w:pPr>
      <w:rPr>
        <w:rFonts w:ascii="Wingdings" w:hAnsi="Wingdings" w:hint="default"/>
      </w:rPr>
    </w:lvl>
  </w:abstractNum>
  <w:abstractNum w:abstractNumId="20" w15:restartNumberingAfterBreak="0">
    <w:nsid w:val="609C0DCC"/>
    <w:multiLevelType w:val="multilevel"/>
    <w:tmpl w:val="2A3CA5BC"/>
    <w:styleLink w:val="Style12"/>
    <w:lvl w:ilvl="0">
      <w:start w:val="1"/>
      <w:numFmt w:val="decimal"/>
      <w:pStyle w:val="Paragrdoubl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2134"/>
        </w:tabs>
        <w:ind w:left="213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03B4825"/>
    <w:multiLevelType w:val="hybridMultilevel"/>
    <w:tmpl w:val="CCD6D856"/>
    <w:lvl w:ilvl="0" w:tplc="CCFED3C2">
      <w:start w:val="1"/>
      <w:numFmt w:val="decimal"/>
      <w:lvlText w:val="%1)"/>
      <w:lvlJc w:val="left"/>
      <w:pPr>
        <w:ind w:left="720" w:hanging="360"/>
      </w:pPr>
      <w:rPr>
        <w:rFonts w:hint="default"/>
        <w:b/>
        <w:bCs/>
        <w:i w:val="0"/>
        <w:sz w:val="22"/>
      </w:rPr>
    </w:lvl>
    <w:lvl w:ilvl="1" w:tplc="75E2D624" w:tentative="1">
      <w:start w:val="1"/>
      <w:numFmt w:val="lowerLetter"/>
      <w:lvlText w:val="%2."/>
      <w:lvlJc w:val="left"/>
      <w:pPr>
        <w:ind w:left="1440" w:hanging="360"/>
      </w:pPr>
    </w:lvl>
    <w:lvl w:ilvl="2" w:tplc="BE2C336E" w:tentative="1">
      <w:start w:val="1"/>
      <w:numFmt w:val="lowerRoman"/>
      <w:lvlText w:val="%3."/>
      <w:lvlJc w:val="right"/>
      <w:pPr>
        <w:ind w:left="2160" w:hanging="180"/>
      </w:pPr>
    </w:lvl>
    <w:lvl w:ilvl="3" w:tplc="87D68FC0" w:tentative="1">
      <w:start w:val="1"/>
      <w:numFmt w:val="decimal"/>
      <w:lvlText w:val="%4."/>
      <w:lvlJc w:val="left"/>
      <w:pPr>
        <w:ind w:left="2880" w:hanging="360"/>
      </w:pPr>
    </w:lvl>
    <w:lvl w:ilvl="4" w:tplc="2140E6B4" w:tentative="1">
      <w:start w:val="1"/>
      <w:numFmt w:val="lowerLetter"/>
      <w:lvlText w:val="%5."/>
      <w:lvlJc w:val="left"/>
      <w:pPr>
        <w:ind w:left="3600" w:hanging="360"/>
      </w:pPr>
    </w:lvl>
    <w:lvl w:ilvl="5" w:tplc="06B2505E" w:tentative="1">
      <w:start w:val="1"/>
      <w:numFmt w:val="lowerRoman"/>
      <w:lvlText w:val="%6."/>
      <w:lvlJc w:val="right"/>
      <w:pPr>
        <w:ind w:left="4320" w:hanging="180"/>
      </w:pPr>
    </w:lvl>
    <w:lvl w:ilvl="6" w:tplc="945E5EB2" w:tentative="1">
      <w:start w:val="1"/>
      <w:numFmt w:val="decimal"/>
      <w:lvlText w:val="%7."/>
      <w:lvlJc w:val="left"/>
      <w:pPr>
        <w:ind w:left="5040" w:hanging="360"/>
      </w:pPr>
    </w:lvl>
    <w:lvl w:ilvl="7" w:tplc="3A8A1E72" w:tentative="1">
      <w:start w:val="1"/>
      <w:numFmt w:val="lowerLetter"/>
      <w:lvlText w:val="%8."/>
      <w:lvlJc w:val="left"/>
      <w:pPr>
        <w:ind w:left="5760" w:hanging="360"/>
      </w:pPr>
    </w:lvl>
    <w:lvl w:ilvl="8" w:tplc="6C5C8F3C" w:tentative="1">
      <w:start w:val="1"/>
      <w:numFmt w:val="lowerRoman"/>
      <w:lvlText w:val="%9."/>
      <w:lvlJc w:val="right"/>
      <w:pPr>
        <w:ind w:left="6480" w:hanging="180"/>
      </w:pPr>
    </w:lvl>
  </w:abstractNum>
  <w:abstractNum w:abstractNumId="22" w15:restartNumberingAfterBreak="0">
    <w:nsid w:val="7A600178"/>
    <w:multiLevelType w:val="hybridMultilevel"/>
    <w:tmpl w:val="86969B10"/>
    <w:lvl w:ilvl="0" w:tplc="A2D09C1E">
      <w:start w:val="1"/>
      <w:numFmt w:val="lowerLetter"/>
      <w:lvlText w:val="%1."/>
      <w:lvlJc w:val="left"/>
      <w:pPr>
        <w:ind w:left="2340" w:hanging="360"/>
      </w:pPr>
      <w:rPr>
        <w:rFonts w:ascii="Arial" w:hAnsi="Arial" w:cs="Arial"/>
        <w:sz w:val="22"/>
        <w:szCs w:val="22"/>
      </w:rPr>
    </w:lvl>
    <w:lvl w:ilvl="1" w:tplc="B15CA60A">
      <w:start w:val="1"/>
      <w:numFmt w:val="lowerLetter"/>
      <w:lvlText w:val="%2."/>
      <w:lvlJc w:val="left"/>
      <w:pPr>
        <w:ind w:left="3060" w:hanging="360"/>
      </w:pPr>
    </w:lvl>
    <w:lvl w:ilvl="2" w:tplc="5AE8CEB6" w:tentative="1">
      <w:start w:val="1"/>
      <w:numFmt w:val="lowerRoman"/>
      <w:lvlText w:val="%3."/>
      <w:lvlJc w:val="right"/>
      <w:pPr>
        <w:ind w:left="3780" w:hanging="180"/>
      </w:pPr>
    </w:lvl>
    <w:lvl w:ilvl="3" w:tplc="A386BC1C">
      <w:start w:val="1"/>
      <w:numFmt w:val="decimal"/>
      <w:lvlText w:val="%4."/>
      <w:lvlJc w:val="left"/>
      <w:pPr>
        <w:ind w:left="4500" w:hanging="360"/>
      </w:pPr>
    </w:lvl>
    <w:lvl w:ilvl="4" w:tplc="26C48A24" w:tentative="1">
      <w:start w:val="1"/>
      <w:numFmt w:val="lowerLetter"/>
      <w:lvlText w:val="%5."/>
      <w:lvlJc w:val="left"/>
      <w:pPr>
        <w:ind w:left="5220" w:hanging="360"/>
      </w:pPr>
    </w:lvl>
    <w:lvl w:ilvl="5" w:tplc="EF423EAC" w:tentative="1">
      <w:start w:val="1"/>
      <w:numFmt w:val="lowerRoman"/>
      <w:lvlText w:val="%6."/>
      <w:lvlJc w:val="right"/>
      <w:pPr>
        <w:ind w:left="5940" w:hanging="180"/>
      </w:pPr>
    </w:lvl>
    <w:lvl w:ilvl="6" w:tplc="977AADA8" w:tentative="1">
      <w:start w:val="1"/>
      <w:numFmt w:val="decimal"/>
      <w:lvlText w:val="%7."/>
      <w:lvlJc w:val="left"/>
      <w:pPr>
        <w:ind w:left="6660" w:hanging="360"/>
      </w:pPr>
    </w:lvl>
    <w:lvl w:ilvl="7" w:tplc="94D8BD1E" w:tentative="1">
      <w:start w:val="1"/>
      <w:numFmt w:val="lowerLetter"/>
      <w:lvlText w:val="%8."/>
      <w:lvlJc w:val="left"/>
      <w:pPr>
        <w:ind w:left="7380" w:hanging="360"/>
      </w:pPr>
    </w:lvl>
    <w:lvl w:ilvl="8" w:tplc="B8121902" w:tentative="1">
      <w:start w:val="1"/>
      <w:numFmt w:val="lowerRoman"/>
      <w:lvlText w:val="%9."/>
      <w:lvlJc w:val="right"/>
      <w:pPr>
        <w:ind w:left="8100" w:hanging="180"/>
      </w:pPr>
    </w:lvl>
  </w:abstractNum>
  <w:num w:numId="1" w16cid:durableId="901140421">
    <w:abstractNumId w:val="20"/>
  </w:num>
  <w:num w:numId="2" w16cid:durableId="1377464816">
    <w:abstractNumId w:val="10"/>
  </w:num>
  <w:num w:numId="3" w16cid:durableId="757294668">
    <w:abstractNumId w:val="9"/>
  </w:num>
  <w:num w:numId="4" w16cid:durableId="1995063005">
    <w:abstractNumId w:val="3"/>
  </w:num>
  <w:num w:numId="5" w16cid:durableId="1514606706">
    <w:abstractNumId w:val="20"/>
    <w:lvlOverride w:ilvl="1">
      <w:lvl w:ilvl="1">
        <w:start w:val="1"/>
        <w:numFmt w:val="decimal"/>
        <w:pStyle w:val="Sous-paragraphe"/>
        <w:lvlText w:val="%1.%2."/>
        <w:lvlJc w:val="left"/>
        <w:pPr>
          <w:tabs>
            <w:tab w:val="num" w:pos="1000"/>
          </w:tabs>
          <w:ind w:left="1000" w:hanging="432"/>
        </w:pPr>
        <w:rPr>
          <w:b w:val="0"/>
          <w:bCs w:val="0"/>
        </w:rPr>
      </w:lvl>
    </w:lvlOverride>
  </w:num>
  <w:num w:numId="6" w16cid:durableId="1782217848">
    <w:abstractNumId w:val="18"/>
  </w:num>
  <w:num w:numId="7" w16cid:durableId="1648314094">
    <w:abstractNumId w:val="9"/>
    <w:lvlOverride w:ilvl="0">
      <w:lvl w:ilvl="0">
        <w:start w:val="1"/>
        <w:numFmt w:val="decimal"/>
        <w:pStyle w:val="Titre2"/>
        <w:lvlText w:val="%1."/>
        <w:lvlJc w:val="left"/>
        <w:pPr>
          <w:ind w:left="431" w:hanging="431"/>
        </w:pPr>
        <w:rPr>
          <w:rFonts w:hint="default"/>
        </w:rPr>
      </w:lvl>
    </w:lvlOverride>
    <w:lvlOverride w:ilvl="1">
      <w:lvl w:ilvl="1">
        <w:start w:val="1"/>
        <w:numFmt w:val="decimal"/>
        <w:pStyle w:val="Titre3"/>
        <w:lvlText w:val="%1.%2"/>
        <w:lvlJc w:val="left"/>
        <w:pPr>
          <w:ind w:left="431" w:hanging="431"/>
        </w:pPr>
        <w:rPr>
          <w:rFonts w:hint="default"/>
        </w:rPr>
      </w:lvl>
    </w:lvlOverride>
    <w:lvlOverride w:ilvl="2">
      <w:lvl w:ilvl="2">
        <w:start w:val="1"/>
        <w:numFmt w:val="decimal"/>
        <w:pStyle w:val="Titre4"/>
        <w:lvlText w:val="%1.%2.%3"/>
        <w:lvlJc w:val="left"/>
        <w:pPr>
          <w:ind w:left="431" w:hanging="431"/>
        </w:pPr>
        <w:rPr>
          <w:rFonts w:hint="default"/>
        </w:rPr>
      </w:lvl>
    </w:lvlOverride>
    <w:lvlOverride w:ilvl="3">
      <w:lvl w:ilvl="3">
        <w:start w:val="1"/>
        <w:numFmt w:val="decimal"/>
        <w:pStyle w:val="Titre5"/>
        <w:lvlText w:val="%1.%2.%3.%4"/>
        <w:lvlJc w:val="left"/>
        <w:pPr>
          <w:ind w:left="431" w:hanging="431"/>
        </w:pPr>
        <w:rPr>
          <w:rFonts w:hint="default"/>
        </w:rPr>
      </w:lvl>
    </w:lvlOverride>
    <w:lvlOverride w:ilvl="4">
      <w:lvl w:ilvl="4">
        <w:start w:val="1"/>
        <w:numFmt w:val="decimal"/>
        <w:pStyle w:val="Titre6"/>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16cid:durableId="1474062451">
    <w:abstractNumId w:val="1"/>
  </w:num>
  <w:num w:numId="9" w16cid:durableId="416636093">
    <w:abstractNumId w:val="16"/>
    <w:lvlOverride w:ilvl="0">
      <w:lvl w:ilvl="0">
        <w:start w:val="1"/>
        <w:numFmt w:val="decimal"/>
        <w:lvlText w:val="%1."/>
        <w:lvlJc w:val="left"/>
        <w:pPr>
          <w:ind w:left="431" w:hanging="431"/>
        </w:pPr>
        <w:rPr>
          <w:rFonts w:hint="default"/>
        </w:rPr>
      </w:lvl>
    </w:lvlOverride>
    <w:lvlOverride w:ilvl="1">
      <w:lvl w:ilvl="1">
        <w:start w:val="1"/>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10" w16cid:durableId="1830487192">
    <w:abstractNumId w:val="7"/>
  </w:num>
  <w:num w:numId="11" w16cid:durableId="1750927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467135">
    <w:abstractNumId w:val="22"/>
  </w:num>
  <w:num w:numId="13" w16cid:durableId="2076276423">
    <w:abstractNumId w:val="8"/>
  </w:num>
  <w:num w:numId="14" w16cid:durableId="1458522555">
    <w:abstractNumId w:val="9"/>
    <w:lvlOverride w:ilvl="0">
      <w:lvl w:ilvl="0">
        <w:start w:val="1"/>
        <w:numFmt w:val="decimal"/>
        <w:pStyle w:val="Titre2"/>
        <w:lvlText w:val="%1."/>
        <w:lvlJc w:val="left"/>
        <w:pPr>
          <w:ind w:left="431" w:hanging="431"/>
        </w:pPr>
        <w:rPr>
          <w:rFonts w:hint="default"/>
        </w:rPr>
      </w:lvl>
    </w:lvlOverride>
    <w:lvlOverride w:ilvl="1">
      <w:lvl w:ilvl="1">
        <w:start w:val="1"/>
        <w:numFmt w:val="decimal"/>
        <w:pStyle w:val="Titre3"/>
        <w:lvlText w:val="%1.%2"/>
        <w:lvlJc w:val="left"/>
        <w:pPr>
          <w:ind w:left="431" w:hanging="431"/>
        </w:pPr>
        <w:rPr>
          <w:rFonts w:hint="default"/>
        </w:rPr>
      </w:lvl>
    </w:lvlOverride>
    <w:lvlOverride w:ilvl="2">
      <w:lvl w:ilvl="2">
        <w:start w:val="1"/>
        <w:numFmt w:val="decimal"/>
        <w:pStyle w:val="Titre4"/>
        <w:lvlText w:val="%1.%2.%3"/>
        <w:lvlJc w:val="left"/>
        <w:pPr>
          <w:ind w:left="431" w:hanging="431"/>
        </w:pPr>
        <w:rPr>
          <w:rFonts w:hint="default"/>
          <w:lang w:val="fr-FR"/>
        </w:rPr>
      </w:lvl>
    </w:lvlOverride>
    <w:lvlOverride w:ilvl="3">
      <w:lvl w:ilvl="3">
        <w:start w:val="1"/>
        <w:numFmt w:val="decimal"/>
        <w:pStyle w:val="Titre5"/>
        <w:lvlText w:val="%1.%2.%3.%4"/>
        <w:lvlJc w:val="left"/>
        <w:pPr>
          <w:ind w:left="431" w:hanging="431"/>
        </w:pPr>
        <w:rPr>
          <w:rFonts w:hint="default"/>
        </w:rPr>
      </w:lvl>
    </w:lvlOverride>
    <w:lvlOverride w:ilvl="4">
      <w:lvl w:ilvl="4">
        <w:start w:val="1"/>
        <w:numFmt w:val="decimal"/>
        <w:pStyle w:val="Titre6"/>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15" w16cid:durableId="223375683">
    <w:abstractNumId w:val="12"/>
  </w:num>
  <w:num w:numId="16" w16cid:durableId="1417706290">
    <w:abstractNumId w:val="13"/>
  </w:num>
  <w:num w:numId="17" w16cid:durableId="384647895">
    <w:abstractNumId w:val="0"/>
  </w:num>
  <w:num w:numId="18" w16cid:durableId="563373293">
    <w:abstractNumId w:val="21"/>
  </w:num>
  <w:num w:numId="19" w16cid:durableId="1280525639">
    <w:abstractNumId w:val="4"/>
  </w:num>
  <w:num w:numId="20" w16cid:durableId="19018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4783944">
    <w:abstractNumId w:val="11"/>
    <w:lvlOverride w:ilvl="0">
      <w:startOverride w:val="1"/>
    </w:lvlOverride>
    <w:lvlOverride w:ilvl="1"/>
    <w:lvlOverride w:ilvl="2"/>
    <w:lvlOverride w:ilvl="3"/>
    <w:lvlOverride w:ilvl="4"/>
    <w:lvlOverride w:ilvl="5"/>
    <w:lvlOverride w:ilvl="6"/>
    <w:lvlOverride w:ilvl="7"/>
    <w:lvlOverride w:ilvl="8"/>
  </w:num>
  <w:num w:numId="22" w16cid:durableId="1610315256">
    <w:abstractNumId w:val="2"/>
    <w:lvlOverride w:ilvl="0">
      <w:startOverride w:val="1"/>
    </w:lvlOverride>
    <w:lvlOverride w:ilvl="1"/>
    <w:lvlOverride w:ilvl="2"/>
    <w:lvlOverride w:ilvl="3"/>
    <w:lvlOverride w:ilvl="4"/>
    <w:lvlOverride w:ilvl="5"/>
    <w:lvlOverride w:ilvl="6"/>
    <w:lvlOverride w:ilvl="7"/>
    <w:lvlOverride w:ilvl="8"/>
  </w:num>
  <w:num w:numId="23" w16cid:durableId="81798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4789963">
    <w:abstractNumId w:val="19"/>
  </w:num>
  <w:num w:numId="25" w16cid:durableId="1430924873">
    <w:abstractNumId w:val="15"/>
  </w:num>
  <w:num w:numId="26" w16cid:durableId="1503348378">
    <w:abstractNumId w:val="11"/>
  </w:num>
  <w:num w:numId="27" w16cid:durableId="1661544682">
    <w:abstractNumId w:val="2"/>
  </w:num>
  <w:num w:numId="28" w16cid:durableId="730735542">
    <w:abstractNumId w:val="6"/>
  </w:num>
  <w:num w:numId="29" w16cid:durableId="14419966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1"/>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A7"/>
    <w:rsid w:val="000002FB"/>
    <w:rsid w:val="000026C7"/>
    <w:rsid w:val="00002757"/>
    <w:rsid w:val="00002961"/>
    <w:rsid w:val="00002D34"/>
    <w:rsid w:val="000049C3"/>
    <w:rsid w:val="00005B33"/>
    <w:rsid w:val="00005D43"/>
    <w:rsid w:val="0000665C"/>
    <w:rsid w:val="00006FCE"/>
    <w:rsid w:val="0000734B"/>
    <w:rsid w:val="00007687"/>
    <w:rsid w:val="00007C70"/>
    <w:rsid w:val="00010B74"/>
    <w:rsid w:val="000130E0"/>
    <w:rsid w:val="00013EA4"/>
    <w:rsid w:val="000151F6"/>
    <w:rsid w:val="00015CE9"/>
    <w:rsid w:val="0001663C"/>
    <w:rsid w:val="00017360"/>
    <w:rsid w:val="000176A2"/>
    <w:rsid w:val="000202B6"/>
    <w:rsid w:val="00020EAA"/>
    <w:rsid w:val="000236BA"/>
    <w:rsid w:val="000239BD"/>
    <w:rsid w:val="00023D91"/>
    <w:rsid w:val="00024381"/>
    <w:rsid w:val="00025026"/>
    <w:rsid w:val="000265D4"/>
    <w:rsid w:val="00026C30"/>
    <w:rsid w:val="00027025"/>
    <w:rsid w:val="000272EC"/>
    <w:rsid w:val="00027CDA"/>
    <w:rsid w:val="0003172D"/>
    <w:rsid w:val="0003196B"/>
    <w:rsid w:val="00031A29"/>
    <w:rsid w:val="0003215D"/>
    <w:rsid w:val="0003291B"/>
    <w:rsid w:val="000347F6"/>
    <w:rsid w:val="00034A26"/>
    <w:rsid w:val="00037EE8"/>
    <w:rsid w:val="000412D0"/>
    <w:rsid w:val="00041B80"/>
    <w:rsid w:val="00041E00"/>
    <w:rsid w:val="00041E53"/>
    <w:rsid w:val="00043C02"/>
    <w:rsid w:val="00044832"/>
    <w:rsid w:val="00045BD8"/>
    <w:rsid w:val="00051B2F"/>
    <w:rsid w:val="00052901"/>
    <w:rsid w:val="00053B80"/>
    <w:rsid w:val="000541C5"/>
    <w:rsid w:val="00054FF1"/>
    <w:rsid w:val="0005709F"/>
    <w:rsid w:val="00057643"/>
    <w:rsid w:val="00057BD6"/>
    <w:rsid w:val="00061BBA"/>
    <w:rsid w:val="00063510"/>
    <w:rsid w:val="00063D67"/>
    <w:rsid w:val="000675D9"/>
    <w:rsid w:val="00067A0E"/>
    <w:rsid w:val="00067AEA"/>
    <w:rsid w:val="00071AA0"/>
    <w:rsid w:val="000731A7"/>
    <w:rsid w:val="0007706B"/>
    <w:rsid w:val="000770A3"/>
    <w:rsid w:val="0008723F"/>
    <w:rsid w:val="00087973"/>
    <w:rsid w:val="00091083"/>
    <w:rsid w:val="0009162F"/>
    <w:rsid w:val="00092B99"/>
    <w:rsid w:val="00092D2A"/>
    <w:rsid w:val="000950EC"/>
    <w:rsid w:val="00095663"/>
    <w:rsid w:val="00096118"/>
    <w:rsid w:val="0009649A"/>
    <w:rsid w:val="00096FE1"/>
    <w:rsid w:val="00097243"/>
    <w:rsid w:val="0009737C"/>
    <w:rsid w:val="000973A6"/>
    <w:rsid w:val="000A00A9"/>
    <w:rsid w:val="000A1C6B"/>
    <w:rsid w:val="000A2367"/>
    <w:rsid w:val="000A3312"/>
    <w:rsid w:val="000A3BDF"/>
    <w:rsid w:val="000B0763"/>
    <w:rsid w:val="000B12A3"/>
    <w:rsid w:val="000B2E76"/>
    <w:rsid w:val="000B2EF9"/>
    <w:rsid w:val="000B31CE"/>
    <w:rsid w:val="000B3951"/>
    <w:rsid w:val="000B5A59"/>
    <w:rsid w:val="000B5F25"/>
    <w:rsid w:val="000C04B0"/>
    <w:rsid w:val="000C1266"/>
    <w:rsid w:val="000C1F0E"/>
    <w:rsid w:val="000C22CB"/>
    <w:rsid w:val="000C4145"/>
    <w:rsid w:val="000C657C"/>
    <w:rsid w:val="000C6C65"/>
    <w:rsid w:val="000C711B"/>
    <w:rsid w:val="000C7482"/>
    <w:rsid w:val="000D3864"/>
    <w:rsid w:val="000D6B52"/>
    <w:rsid w:val="000D7693"/>
    <w:rsid w:val="000E114F"/>
    <w:rsid w:val="000E152A"/>
    <w:rsid w:val="000E28D7"/>
    <w:rsid w:val="000E2A64"/>
    <w:rsid w:val="000E2B70"/>
    <w:rsid w:val="000E31A3"/>
    <w:rsid w:val="000E32A9"/>
    <w:rsid w:val="000E70E5"/>
    <w:rsid w:val="000E72F2"/>
    <w:rsid w:val="000E7667"/>
    <w:rsid w:val="000F1003"/>
    <w:rsid w:val="000F2467"/>
    <w:rsid w:val="000F378F"/>
    <w:rsid w:val="000F493A"/>
    <w:rsid w:val="000F4DA7"/>
    <w:rsid w:val="000F57B0"/>
    <w:rsid w:val="000F5A86"/>
    <w:rsid w:val="000F6569"/>
    <w:rsid w:val="000F670B"/>
    <w:rsid w:val="000F6A63"/>
    <w:rsid w:val="000F6FCA"/>
    <w:rsid w:val="000F708A"/>
    <w:rsid w:val="001018A1"/>
    <w:rsid w:val="00101AFC"/>
    <w:rsid w:val="0010474E"/>
    <w:rsid w:val="00104C1F"/>
    <w:rsid w:val="001057B9"/>
    <w:rsid w:val="00107A2E"/>
    <w:rsid w:val="001109FE"/>
    <w:rsid w:val="001112C9"/>
    <w:rsid w:val="0011371E"/>
    <w:rsid w:val="00114A61"/>
    <w:rsid w:val="001168D9"/>
    <w:rsid w:val="00117B3F"/>
    <w:rsid w:val="00117ECE"/>
    <w:rsid w:val="001208F3"/>
    <w:rsid w:val="00121A72"/>
    <w:rsid w:val="001240ED"/>
    <w:rsid w:val="00126677"/>
    <w:rsid w:val="001269DB"/>
    <w:rsid w:val="00126C86"/>
    <w:rsid w:val="00126D4A"/>
    <w:rsid w:val="00127018"/>
    <w:rsid w:val="00127F3F"/>
    <w:rsid w:val="00135122"/>
    <w:rsid w:val="00135891"/>
    <w:rsid w:val="00135F4C"/>
    <w:rsid w:val="00137C7E"/>
    <w:rsid w:val="00137DB5"/>
    <w:rsid w:val="00140655"/>
    <w:rsid w:val="00142C2A"/>
    <w:rsid w:val="00146268"/>
    <w:rsid w:val="00147773"/>
    <w:rsid w:val="00147BBB"/>
    <w:rsid w:val="00150908"/>
    <w:rsid w:val="00151951"/>
    <w:rsid w:val="001519F4"/>
    <w:rsid w:val="00151CD4"/>
    <w:rsid w:val="00152D58"/>
    <w:rsid w:val="00153CB1"/>
    <w:rsid w:val="00154D21"/>
    <w:rsid w:val="00156994"/>
    <w:rsid w:val="001601B0"/>
    <w:rsid w:val="00160C69"/>
    <w:rsid w:val="00161673"/>
    <w:rsid w:val="001616B7"/>
    <w:rsid w:val="001621C0"/>
    <w:rsid w:val="001631E6"/>
    <w:rsid w:val="00163AB2"/>
    <w:rsid w:val="001648D2"/>
    <w:rsid w:val="001650AF"/>
    <w:rsid w:val="00165470"/>
    <w:rsid w:val="00165BCE"/>
    <w:rsid w:val="00165EC6"/>
    <w:rsid w:val="00167A23"/>
    <w:rsid w:val="00170671"/>
    <w:rsid w:val="00170D69"/>
    <w:rsid w:val="001728F9"/>
    <w:rsid w:val="00172A64"/>
    <w:rsid w:val="00173266"/>
    <w:rsid w:val="00173375"/>
    <w:rsid w:val="00174528"/>
    <w:rsid w:val="00174953"/>
    <w:rsid w:val="00174DBE"/>
    <w:rsid w:val="00175094"/>
    <w:rsid w:val="00176906"/>
    <w:rsid w:val="001774C2"/>
    <w:rsid w:val="00177C3A"/>
    <w:rsid w:val="00177F39"/>
    <w:rsid w:val="001808B1"/>
    <w:rsid w:val="00182328"/>
    <w:rsid w:val="00184EFC"/>
    <w:rsid w:val="00185EBA"/>
    <w:rsid w:val="00187430"/>
    <w:rsid w:val="001875E6"/>
    <w:rsid w:val="001878B8"/>
    <w:rsid w:val="0019006F"/>
    <w:rsid w:val="001901F8"/>
    <w:rsid w:val="00191385"/>
    <w:rsid w:val="0019287A"/>
    <w:rsid w:val="00192AA0"/>
    <w:rsid w:val="00192AB7"/>
    <w:rsid w:val="001932A5"/>
    <w:rsid w:val="001971C4"/>
    <w:rsid w:val="00197345"/>
    <w:rsid w:val="001A1CD3"/>
    <w:rsid w:val="001A3D20"/>
    <w:rsid w:val="001A3DF7"/>
    <w:rsid w:val="001A3F53"/>
    <w:rsid w:val="001A40D4"/>
    <w:rsid w:val="001A4A61"/>
    <w:rsid w:val="001A62BD"/>
    <w:rsid w:val="001A7FA7"/>
    <w:rsid w:val="001B03EE"/>
    <w:rsid w:val="001B0DA6"/>
    <w:rsid w:val="001B1547"/>
    <w:rsid w:val="001B15FE"/>
    <w:rsid w:val="001B23CF"/>
    <w:rsid w:val="001B3520"/>
    <w:rsid w:val="001B4CFD"/>
    <w:rsid w:val="001B5386"/>
    <w:rsid w:val="001B5488"/>
    <w:rsid w:val="001B73C1"/>
    <w:rsid w:val="001B77EF"/>
    <w:rsid w:val="001B77F0"/>
    <w:rsid w:val="001C2A78"/>
    <w:rsid w:val="001C2CE9"/>
    <w:rsid w:val="001C2F4A"/>
    <w:rsid w:val="001C33CB"/>
    <w:rsid w:val="001C3A68"/>
    <w:rsid w:val="001C3CD5"/>
    <w:rsid w:val="001C5104"/>
    <w:rsid w:val="001C7664"/>
    <w:rsid w:val="001D1CA4"/>
    <w:rsid w:val="001D364A"/>
    <w:rsid w:val="001D5AE3"/>
    <w:rsid w:val="001D5F69"/>
    <w:rsid w:val="001D650A"/>
    <w:rsid w:val="001D6ABF"/>
    <w:rsid w:val="001E0BA3"/>
    <w:rsid w:val="001E1327"/>
    <w:rsid w:val="001E1B15"/>
    <w:rsid w:val="001E1FF4"/>
    <w:rsid w:val="001E34BF"/>
    <w:rsid w:val="001E571D"/>
    <w:rsid w:val="001E7A9B"/>
    <w:rsid w:val="001F19E7"/>
    <w:rsid w:val="001F1ACE"/>
    <w:rsid w:val="001F1CB3"/>
    <w:rsid w:val="001F1D2D"/>
    <w:rsid w:val="001F2013"/>
    <w:rsid w:val="001F226A"/>
    <w:rsid w:val="001F22A7"/>
    <w:rsid w:val="001F5FA2"/>
    <w:rsid w:val="001F728C"/>
    <w:rsid w:val="0020073B"/>
    <w:rsid w:val="00200DA3"/>
    <w:rsid w:val="00200EF7"/>
    <w:rsid w:val="0020164A"/>
    <w:rsid w:val="00201D26"/>
    <w:rsid w:val="00202488"/>
    <w:rsid w:val="0020329A"/>
    <w:rsid w:val="002035F6"/>
    <w:rsid w:val="00204850"/>
    <w:rsid w:val="00205127"/>
    <w:rsid w:val="002058E9"/>
    <w:rsid w:val="00206CCB"/>
    <w:rsid w:val="00206E85"/>
    <w:rsid w:val="002075F9"/>
    <w:rsid w:val="0020786A"/>
    <w:rsid w:val="00211E2C"/>
    <w:rsid w:val="00212B59"/>
    <w:rsid w:val="00212BD6"/>
    <w:rsid w:val="002134B7"/>
    <w:rsid w:val="0021369C"/>
    <w:rsid w:val="00213B72"/>
    <w:rsid w:val="00214BF7"/>
    <w:rsid w:val="002160DF"/>
    <w:rsid w:val="00216296"/>
    <w:rsid w:val="00220698"/>
    <w:rsid w:val="002207A4"/>
    <w:rsid w:val="00222C7D"/>
    <w:rsid w:val="00222DE2"/>
    <w:rsid w:val="00223C11"/>
    <w:rsid w:val="0022419E"/>
    <w:rsid w:val="0022519D"/>
    <w:rsid w:val="002252EE"/>
    <w:rsid w:val="00225B77"/>
    <w:rsid w:val="00226156"/>
    <w:rsid w:val="00226926"/>
    <w:rsid w:val="00226A94"/>
    <w:rsid w:val="00226DD2"/>
    <w:rsid w:val="002274E5"/>
    <w:rsid w:val="0022786F"/>
    <w:rsid w:val="00230034"/>
    <w:rsid w:val="00234243"/>
    <w:rsid w:val="00237C12"/>
    <w:rsid w:val="00237C8B"/>
    <w:rsid w:val="002402F4"/>
    <w:rsid w:val="00244435"/>
    <w:rsid w:val="00244B5F"/>
    <w:rsid w:val="00245C82"/>
    <w:rsid w:val="002474EC"/>
    <w:rsid w:val="00250B60"/>
    <w:rsid w:val="00252021"/>
    <w:rsid w:val="002527A0"/>
    <w:rsid w:val="002528CF"/>
    <w:rsid w:val="002529C6"/>
    <w:rsid w:val="0025362A"/>
    <w:rsid w:val="0025547C"/>
    <w:rsid w:val="00256062"/>
    <w:rsid w:val="002611ED"/>
    <w:rsid w:val="002611EF"/>
    <w:rsid w:val="0026143C"/>
    <w:rsid w:val="00261E9E"/>
    <w:rsid w:val="00262F97"/>
    <w:rsid w:val="0026340C"/>
    <w:rsid w:val="002639EF"/>
    <w:rsid w:val="00264853"/>
    <w:rsid w:val="00264C94"/>
    <w:rsid w:val="0026505D"/>
    <w:rsid w:val="00265DD3"/>
    <w:rsid w:val="00265FF1"/>
    <w:rsid w:val="00267FEE"/>
    <w:rsid w:val="00273682"/>
    <w:rsid w:val="00273B7F"/>
    <w:rsid w:val="002746B8"/>
    <w:rsid w:val="002757CC"/>
    <w:rsid w:val="00275DA1"/>
    <w:rsid w:val="00280B64"/>
    <w:rsid w:val="00280CBC"/>
    <w:rsid w:val="00281897"/>
    <w:rsid w:val="00282497"/>
    <w:rsid w:val="00282C89"/>
    <w:rsid w:val="002845DD"/>
    <w:rsid w:val="0028478C"/>
    <w:rsid w:val="002858E9"/>
    <w:rsid w:val="00285AEB"/>
    <w:rsid w:val="002868F4"/>
    <w:rsid w:val="00286F51"/>
    <w:rsid w:val="002870B7"/>
    <w:rsid w:val="0029248A"/>
    <w:rsid w:val="00292D21"/>
    <w:rsid w:val="002935E9"/>
    <w:rsid w:val="00293630"/>
    <w:rsid w:val="00293B95"/>
    <w:rsid w:val="00294274"/>
    <w:rsid w:val="00296143"/>
    <w:rsid w:val="0029661D"/>
    <w:rsid w:val="0029733C"/>
    <w:rsid w:val="00297FC7"/>
    <w:rsid w:val="002A1901"/>
    <w:rsid w:val="002A34A6"/>
    <w:rsid w:val="002A452C"/>
    <w:rsid w:val="002A4F3E"/>
    <w:rsid w:val="002A5611"/>
    <w:rsid w:val="002A5822"/>
    <w:rsid w:val="002A6A70"/>
    <w:rsid w:val="002A7B92"/>
    <w:rsid w:val="002B0FED"/>
    <w:rsid w:val="002B151D"/>
    <w:rsid w:val="002B4649"/>
    <w:rsid w:val="002B4651"/>
    <w:rsid w:val="002B4FEB"/>
    <w:rsid w:val="002B6DDA"/>
    <w:rsid w:val="002B70B6"/>
    <w:rsid w:val="002B7618"/>
    <w:rsid w:val="002B78CB"/>
    <w:rsid w:val="002C0CC5"/>
    <w:rsid w:val="002C1B68"/>
    <w:rsid w:val="002C2A9F"/>
    <w:rsid w:val="002C2E03"/>
    <w:rsid w:val="002C37D0"/>
    <w:rsid w:val="002C49DC"/>
    <w:rsid w:val="002C4AAE"/>
    <w:rsid w:val="002C5FC1"/>
    <w:rsid w:val="002C6894"/>
    <w:rsid w:val="002C6C8F"/>
    <w:rsid w:val="002C72AB"/>
    <w:rsid w:val="002C7D61"/>
    <w:rsid w:val="002C7F31"/>
    <w:rsid w:val="002D1AB2"/>
    <w:rsid w:val="002D2534"/>
    <w:rsid w:val="002D25E5"/>
    <w:rsid w:val="002D48DF"/>
    <w:rsid w:val="002D598E"/>
    <w:rsid w:val="002D6D94"/>
    <w:rsid w:val="002E0FAB"/>
    <w:rsid w:val="002E20C2"/>
    <w:rsid w:val="002E29F3"/>
    <w:rsid w:val="002E41AD"/>
    <w:rsid w:val="002E4CB1"/>
    <w:rsid w:val="002E4E66"/>
    <w:rsid w:val="002E67D5"/>
    <w:rsid w:val="002F0468"/>
    <w:rsid w:val="002F071B"/>
    <w:rsid w:val="002F0BD3"/>
    <w:rsid w:val="002F161F"/>
    <w:rsid w:val="002F1C2C"/>
    <w:rsid w:val="002F295D"/>
    <w:rsid w:val="002F483C"/>
    <w:rsid w:val="002F75A4"/>
    <w:rsid w:val="002F76B0"/>
    <w:rsid w:val="003000C6"/>
    <w:rsid w:val="00300A06"/>
    <w:rsid w:val="00303C2D"/>
    <w:rsid w:val="00303D74"/>
    <w:rsid w:val="00305304"/>
    <w:rsid w:val="00306DD3"/>
    <w:rsid w:val="003076D6"/>
    <w:rsid w:val="00307A3B"/>
    <w:rsid w:val="00310308"/>
    <w:rsid w:val="00310BB6"/>
    <w:rsid w:val="00311EB4"/>
    <w:rsid w:val="00312424"/>
    <w:rsid w:val="00316159"/>
    <w:rsid w:val="00316249"/>
    <w:rsid w:val="00320247"/>
    <w:rsid w:val="00320AB7"/>
    <w:rsid w:val="00322BA2"/>
    <w:rsid w:val="00323C65"/>
    <w:rsid w:val="00327481"/>
    <w:rsid w:val="00332363"/>
    <w:rsid w:val="003326D2"/>
    <w:rsid w:val="0033393E"/>
    <w:rsid w:val="00336C23"/>
    <w:rsid w:val="00336E7F"/>
    <w:rsid w:val="00336E9E"/>
    <w:rsid w:val="00341D8E"/>
    <w:rsid w:val="00342C02"/>
    <w:rsid w:val="003432AA"/>
    <w:rsid w:val="003435B6"/>
    <w:rsid w:val="00343D55"/>
    <w:rsid w:val="00345AC0"/>
    <w:rsid w:val="003470B9"/>
    <w:rsid w:val="00347E44"/>
    <w:rsid w:val="00350043"/>
    <w:rsid w:val="00350D56"/>
    <w:rsid w:val="00352781"/>
    <w:rsid w:val="0035319B"/>
    <w:rsid w:val="00354FDE"/>
    <w:rsid w:val="0035768C"/>
    <w:rsid w:val="00360EE4"/>
    <w:rsid w:val="003627C6"/>
    <w:rsid w:val="00363D0A"/>
    <w:rsid w:val="00363DA7"/>
    <w:rsid w:val="00364EB3"/>
    <w:rsid w:val="0037140D"/>
    <w:rsid w:val="00371655"/>
    <w:rsid w:val="00371DD6"/>
    <w:rsid w:val="00371EAF"/>
    <w:rsid w:val="0037256E"/>
    <w:rsid w:val="0037376A"/>
    <w:rsid w:val="0037468A"/>
    <w:rsid w:val="00377940"/>
    <w:rsid w:val="00380440"/>
    <w:rsid w:val="00381E67"/>
    <w:rsid w:val="003821D2"/>
    <w:rsid w:val="00382CCA"/>
    <w:rsid w:val="00383990"/>
    <w:rsid w:val="00383C31"/>
    <w:rsid w:val="00384685"/>
    <w:rsid w:val="00385AAB"/>
    <w:rsid w:val="00386091"/>
    <w:rsid w:val="003872E5"/>
    <w:rsid w:val="003904F7"/>
    <w:rsid w:val="00390E2E"/>
    <w:rsid w:val="00392C72"/>
    <w:rsid w:val="00392E8D"/>
    <w:rsid w:val="00393647"/>
    <w:rsid w:val="0039453E"/>
    <w:rsid w:val="003957F1"/>
    <w:rsid w:val="0039764B"/>
    <w:rsid w:val="003A0372"/>
    <w:rsid w:val="003A0437"/>
    <w:rsid w:val="003A20F8"/>
    <w:rsid w:val="003A3F1F"/>
    <w:rsid w:val="003A4C0A"/>
    <w:rsid w:val="003A5CB5"/>
    <w:rsid w:val="003A67B8"/>
    <w:rsid w:val="003A6CC8"/>
    <w:rsid w:val="003A7F30"/>
    <w:rsid w:val="003B0681"/>
    <w:rsid w:val="003B1B50"/>
    <w:rsid w:val="003B3796"/>
    <w:rsid w:val="003B4F07"/>
    <w:rsid w:val="003B595C"/>
    <w:rsid w:val="003B6E51"/>
    <w:rsid w:val="003B72C7"/>
    <w:rsid w:val="003B76D8"/>
    <w:rsid w:val="003C0DA3"/>
    <w:rsid w:val="003C13D2"/>
    <w:rsid w:val="003C147C"/>
    <w:rsid w:val="003C319D"/>
    <w:rsid w:val="003C3467"/>
    <w:rsid w:val="003C3A5D"/>
    <w:rsid w:val="003C4DA3"/>
    <w:rsid w:val="003C4E15"/>
    <w:rsid w:val="003C541C"/>
    <w:rsid w:val="003C6274"/>
    <w:rsid w:val="003C6E3C"/>
    <w:rsid w:val="003C72D5"/>
    <w:rsid w:val="003C7A10"/>
    <w:rsid w:val="003C7B49"/>
    <w:rsid w:val="003D166F"/>
    <w:rsid w:val="003D1777"/>
    <w:rsid w:val="003D66E0"/>
    <w:rsid w:val="003D7217"/>
    <w:rsid w:val="003E03F3"/>
    <w:rsid w:val="003E099F"/>
    <w:rsid w:val="003E1097"/>
    <w:rsid w:val="003E1EE3"/>
    <w:rsid w:val="003E2386"/>
    <w:rsid w:val="003E268C"/>
    <w:rsid w:val="003E31BC"/>
    <w:rsid w:val="003E3C77"/>
    <w:rsid w:val="003E4515"/>
    <w:rsid w:val="003E4DE5"/>
    <w:rsid w:val="003F2AB0"/>
    <w:rsid w:val="003F539D"/>
    <w:rsid w:val="003F61F3"/>
    <w:rsid w:val="00400903"/>
    <w:rsid w:val="00401237"/>
    <w:rsid w:val="0040134C"/>
    <w:rsid w:val="00403E95"/>
    <w:rsid w:val="00404310"/>
    <w:rsid w:val="00404501"/>
    <w:rsid w:val="00404506"/>
    <w:rsid w:val="004045F1"/>
    <w:rsid w:val="0040661D"/>
    <w:rsid w:val="00406B06"/>
    <w:rsid w:val="00406D57"/>
    <w:rsid w:val="00407E7D"/>
    <w:rsid w:val="0041110F"/>
    <w:rsid w:val="0041194C"/>
    <w:rsid w:val="00411A34"/>
    <w:rsid w:val="004146FB"/>
    <w:rsid w:val="00415F99"/>
    <w:rsid w:val="00416121"/>
    <w:rsid w:val="004163A4"/>
    <w:rsid w:val="004176DD"/>
    <w:rsid w:val="00417F44"/>
    <w:rsid w:val="004216F0"/>
    <w:rsid w:val="00422917"/>
    <w:rsid w:val="00422BD4"/>
    <w:rsid w:val="004249CF"/>
    <w:rsid w:val="00424CFA"/>
    <w:rsid w:val="00425269"/>
    <w:rsid w:val="0042611C"/>
    <w:rsid w:val="00426F36"/>
    <w:rsid w:val="00427064"/>
    <w:rsid w:val="0042714C"/>
    <w:rsid w:val="00433433"/>
    <w:rsid w:val="0043434E"/>
    <w:rsid w:val="00434CAB"/>
    <w:rsid w:val="00434DE0"/>
    <w:rsid w:val="00435497"/>
    <w:rsid w:val="00437327"/>
    <w:rsid w:val="00437A56"/>
    <w:rsid w:val="00440195"/>
    <w:rsid w:val="00440C0B"/>
    <w:rsid w:val="004410BB"/>
    <w:rsid w:val="0044390A"/>
    <w:rsid w:val="00444FFE"/>
    <w:rsid w:val="004457AA"/>
    <w:rsid w:val="00447809"/>
    <w:rsid w:val="0045213D"/>
    <w:rsid w:val="0045373B"/>
    <w:rsid w:val="00454884"/>
    <w:rsid w:val="004566B7"/>
    <w:rsid w:val="00457B1F"/>
    <w:rsid w:val="00462BDF"/>
    <w:rsid w:val="004652A4"/>
    <w:rsid w:val="00466294"/>
    <w:rsid w:val="0046794D"/>
    <w:rsid w:val="00471323"/>
    <w:rsid w:val="00471690"/>
    <w:rsid w:val="00472871"/>
    <w:rsid w:val="004728C6"/>
    <w:rsid w:val="00473228"/>
    <w:rsid w:val="00475E6C"/>
    <w:rsid w:val="00482130"/>
    <w:rsid w:val="004848C1"/>
    <w:rsid w:val="00486974"/>
    <w:rsid w:val="004869FD"/>
    <w:rsid w:val="00486E59"/>
    <w:rsid w:val="00492B66"/>
    <w:rsid w:val="004935B0"/>
    <w:rsid w:val="004935C4"/>
    <w:rsid w:val="0049403F"/>
    <w:rsid w:val="00494201"/>
    <w:rsid w:val="00495932"/>
    <w:rsid w:val="004A171D"/>
    <w:rsid w:val="004A1840"/>
    <w:rsid w:val="004A286A"/>
    <w:rsid w:val="004A29F4"/>
    <w:rsid w:val="004A33D7"/>
    <w:rsid w:val="004A44EC"/>
    <w:rsid w:val="004A75F0"/>
    <w:rsid w:val="004A7974"/>
    <w:rsid w:val="004A7F81"/>
    <w:rsid w:val="004B20E8"/>
    <w:rsid w:val="004B3408"/>
    <w:rsid w:val="004B3DF9"/>
    <w:rsid w:val="004B49C8"/>
    <w:rsid w:val="004B6390"/>
    <w:rsid w:val="004B6BFC"/>
    <w:rsid w:val="004C0495"/>
    <w:rsid w:val="004C0B39"/>
    <w:rsid w:val="004C0C78"/>
    <w:rsid w:val="004C1E67"/>
    <w:rsid w:val="004C3E8E"/>
    <w:rsid w:val="004C4986"/>
    <w:rsid w:val="004C7388"/>
    <w:rsid w:val="004C778D"/>
    <w:rsid w:val="004D08BF"/>
    <w:rsid w:val="004D0C60"/>
    <w:rsid w:val="004D0DCD"/>
    <w:rsid w:val="004D1E6C"/>
    <w:rsid w:val="004D3D08"/>
    <w:rsid w:val="004D55EF"/>
    <w:rsid w:val="004E0C15"/>
    <w:rsid w:val="004E1EF6"/>
    <w:rsid w:val="004E23B1"/>
    <w:rsid w:val="004E46FA"/>
    <w:rsid w:val="004E4925"/>
    <w:rsid w:val="004E5153"/>
    <w:rsid w:val="004E552E"/>
    <w:rsid w:val="004E7B56"/>
    <w:rsid w:val="004F01EC"/>
    <w:rsid w:val="004F1A7A"/>
    <w:rsid w:val="004F3327"/>
    <w:rsid w:val="004F7737"/>
    <w:rsid w:val="00502724"/>
    <w:rsid w:val="0050368E"/>
    <w:rsid w:val="00503830"/>
    <w:rsid w:val="00505ED3"/>
    <w:rsid w:val="00506F65"/>
    <w:rsid w:val="005074CD"/>
    <w:rsid w:val="00507FF7"/>
    <w:rsid w:val="005101C4"/>
    <w:rsid w:val="0051190D"/>
    <w:rsid w:val="00512BB7"/>
    <w:rsid w:val="005131B8"/>
    <w:rsid w:val="00514DBA"/>
    <w:rsid w:val="0051518F"/>
    <w:rsid w:val="005158D7"/>
    <w:rsid w:val="00515FA6"/>
    <w:rsid w:val="00516A1C"/>
    <w:rsid w:val="005178F7"/>
    <w:rsid w:val="00517CC3"/>
    <w:rsid w:val="005232CB"/>
    <w:rsid w:val="00523841"/>
    <w:rsid w:val="00524208"/>
    <w:rsid w:val="00524C16"/>
    <w:rsid w:val="00525F8B"/>
    <w:rsid w:val="00535139"/>
    <w:rsid w:val="0053586A"/>
    <w:rsid w:val="00535974"/>
    <w:rsid w:val="00536F0F"/>
    <w:rsid w:val="00537920"/>
    <w:rsid w:val="00541A28"/>
    <w:rsid w:val="00542054"/>
    <w:rsid w:val="0054248A"/>
    <w:rsid w:val="005444A8"/>
    <w:rsid w:val="00545F76"/>
    <w:rsid w:val="00550A4C"/>
    <w:rsid w:val="00551478"/>
    <w:rsid w:val="005539BE"/>
    <w:rsid w:val="0055455E"/>
    <w:rsid w:val="00556782"/>
    <w:rsid w:val="005569A1"/>
    <w:rsid w:val="00556C7C"/>
    <w:rsid w:val="00556F79"/>
    <w:rsid w:val="00557DB4"/>
    <w:rsid w:val="00560CFB"/>
    <w:rsid w:val="0056118E"/>
    <w:rsid w:val="00561434"/>
    <w:rsid w:val="005616C9"/>
    <w:rsid w:val="00562098"/>
    <w:rsid w:val="00563F0E"/>
    <w:rsid w:val="005651DB"/>
    <w:rsid w:val="005704D6"/>
    <w:rsid w:val="00570524"/>
    <w:rsid w:val="00570CA7"/>
    <w:rsid w:val="00571378"/>
    <w:rsid w:val="005725C2"/>
    <w:rsid w:val="00573D56"/>
    <w:rsid w:val="00573D63"/>
    <w:rsid w:val="00576707"/>
    <w:rsid w:val="005779F0"/>
    <w:rsid w:val="00577D8F"/>
    <w:rsid w:val="00581947"/>
    <w:rsid w:val="00581D50"/>
    <w:rsid w:val="005823AA"/>
    <w:rsid w:val="00582E8E"/>
    <w:rsid w:val="00586225"/>
    <w:rsid w:val="00586248"/>
    <w:rsid w:val="00586F06"/>
    <w:rsid w:val="00587391"/>
    <w:rsid w:val="005900EB"/>
    <w:rsid w:val="00590710"/>
    <w:rsid w:val="00591CB7"/>
    <w:rsid w:val="00593FA0"/>
    <w:rsid w:val="00594894"/>
    <w:rsid w:val="0059603A"/>
    <w:rsid w:val="005961C4"/>
    <w:rsid w:val="00596A99"/>
    <w:rsid w:val="005A020E"/>
    <w:rsid w:val="005A1D5A"/>
    <w:rsid w:val="005A2B88"/>
    <w:rsid w:val="005A2E51"/>
    <w:rsid w:val="005A4118"/>
    <w:rsid w:val="005A485A"/>
    <w:rsid w:val="005A66A0"/>
    <w:rsid w:val="005A7259"/>
    <w:rsid w:val="005A7706"/>
    <w:rsid w:val="005A7EE6"/>
    <w:rsid w:val="005B0C28"/>
    <w:rsid w:val="005B11A9"/>
    <w:rsid w:val="005B2551"/>
    <w:rsid w:val="005B2DF9"/>
    <w:rsid w:val="005B39DF"/>
    <w:rsid w:val="005B3E7D"/>
    <w:rsid w:val="005B5D2A"/>
    <w:rsid w:val="005B658B"/>
    <w:rsid w:val="005C0B32"/>
    <w:rsid w:val="005C0FE8"/>
    <w:rsid w:val="005C1252"/>
    <w:rsid w:val="005C2477"/>
    <w:rsid w:val="005C4C9A"/>
    <w:rsid w:val="005C5D0F"/>
    <w:rsid w:val="005C7D25"/>
    <w:rsid w:val="005D09C4"/>
    <w:rsid w:val="005D0A1D"/>
    <w:rsid w:val="005D0E88"/>
    <w:rsid w:val="005D3AD2"/>
    <w:rsid w:val="005D3BBD"/>
    <w:rsid w:val="005D5086"/>
    <w:rsid w:val="005D52F3"/>
    <w:rsid w:val="005D68BA"/>
    <w:rsid w:val="005D7B3F"/>
    <w:rsid w:val="005E22A7"/>
    <w:rsid w:val="005E3737"/>
    <w:rsid w:val="005E37F8"/>
    <w:rsid w:val="005E5CCA"/>
    <w:rsid w:val="005E6858"/>
    <w:rsid w:val="005E6B41"/>
    <w:rsid w:val="005E7101"/>
    <w:rsid w:val="005F42A4"/>
    <w:rsid w:val="005F6534"/>
    <w:rsid w:val="00600994"/>
    <w:rsid w:val="00601321"/>
    <w:rsid w:val="006013EF"/>
    <w:rsid w:val="0060283C"/>
    <w:rsid w:val="00603FA2"/>
    <w:rsid w:val="00604936"/>
    <w:rsid w:val="0060519A"/>
    <w:rsid w:val="00605F8F"/>
    <w:rsid w:val="006110CB"/>
    <w:rsid w:val="0061250C"/>
    <w:rsid w:val="00612D34"/>
    <w:rsid w:val="0061331C"/>
    <w:rsid w:val="00613790"/>
    <w:rsid w:val="00614347"/>
    <w:rsid w:val="00615447"/>
    <w:rsid w:val="00616B22"/>
    <w:rsid w:val="006170E4"/>
    <w:rsid w:val="0061750A"/>
    <w:rsid w:val="00617783"/>
    <w:rsid w:val="006215BF"/>
    <w:rsid w:val="006235FE"/>
    <w:rsid w:val="0062377E"/>
    <w:rsid w:val="00624C40"/>
    <w:rsid w:val="006252BE"/>
    <w:rsid w:val="00625D09"/>
    <w:rsid w:val="00625DBA"/>
    <w:rsid w:val="00626D84"/>
    <w:rsid w:val="00627C77"/>
    <w:rsid w:val="006306C8"/>
    <w:rsid w:val="00632A85"/>
    <w:rsid w:val="00633148"/>
    <w:rsid w:val="00633B6C"/>
    <w:rsid w:val="00634193"/>
    <w:rsid w:val="00634E79"/>
    <w:rsid w:val="00635D34"/>
    <w:rsid w:val="00636293"/>
    <w:rsid w:val="006368EB"/>
    <w:rsid w:val="00637238"/>
    <w:rsid w:val="0063792A"/>
    <w:rsid w:val="00637979"/>
    <w:rsid w:val="00640573"/>
    <w:rsid w:val="00641B4D"/>
    <w:rsid w:val="00643246"/>
    <w:rsid w:val="0064454E"/>
    <w:rsid w:val="00644B1D"/>
    <w:rsid w:val="00644F6C"/>
    <w:rsid w:val="006463D0"/>
    <w:rsid w:val="00647041"/>
    <w:rsid w:val="00647415"/>
    <w:rsid w:val="006500BB"/>
    <w:rsid w:val="00651991"/>
    <w:rsid w:val="00652518"/>
    <w:rsid w:val="00652ADA"/>
    <w:rsid w:val="006544D7"/>
    <w:rsid w:val="00654CDE"/>
    <w:rsid w:val="0065740A"/>
    <w:rsid w:val="00657593"/>
    <w:rsid w:val="00660563"/>
    <w:rsid w:val="0066117D"/>
    <w:rsid w:val="006623DA"/>
    <w:rsid w:val="00663411"/>
    <w:rsid w:val="006645BB"/>
    <w:rsid w:val="0066483C"/>
    <w:rsid w:val="00665FCD"/>
    <w:rsid w:val="006678AB"/>
    <w:rsid w:val="00667E91"/>
    <w:rsid w:val="00671505"/>
    <w:rsid w:val="00671984"/>
    <w:rsid w:val="00673B81"/>
    <w:rsid w:val="00673DCF"/>
    <w:rsid w:val="00673FB6"/>
    <w:rsid w:val="0067548C"/>
    <w:rsid w:val="00677D58"/>
    <w:rsid w:val="006817E1"/>
    <w:rsid w:val="0068249A"/>
    <w:rsid w:val="006840EB"/>
    <w:rsid w:val="00685A88"/>
    <w:rsid w:val="00686907"/>
    <w:rsid w:val="00687B5D"/>
    <w:rsid w:val="00690350"/>
    <w:rsid w:val="00696F59"/>
    <w:rsid w:val="0069716E"/>
    <w:rsid w:val="006972BC"/>
    <w:rsid w:val="00697A2D"/>
    <w:rsid w:val="00697F87"/>
    <w:rsid w:val="006A1A84"/>
    <w:rsid w:val="006A1DA9"/>
    <w:rsid w:val="006A292A"/>
    <w:rsid w:val="006A42F5"/>
    <w:rsid w:val="006A7874"/>
    <w:rsid w:val="006A78AD"/>
    <w:rsid w:val="006B058C"/>
    <w:rsid w:val="006B0A0E"/>
    <w:rsid w:val="006B2981"/>
    <w:rsid w:val="006B3A5B"/>
    <w:rsid w:val="006B3F9C"/>
    <w:rsid w:val="006B46B5"/>
    <w:rsid w:val="006B5AD7"/>
    <w:rsid w:val="006B5FB4"/>
    <w:rsid w:val="006B6187"/>
    <w:rsid w:val="006B6E55"/>
    <w:rsid w:val="006C0A1B"/>
    <w:rsid w:val="006C129F"/>
    <w:rsid w:val="006C1F18"/>
    <w:rsid w:val="006C2384"/>
    <w:rsid w:val="006C2651"/>
    <w:rsid w:val="006C4659"/>
    <w:rsid w:val="006C4776"/>
    <w:rsid w:val="006C4922"/>
    <w:rsid w:val="006C515C"/>
    <w:rsid w:val="006C56A3"/>
    <w:rsid w:val="006C588B"/>
    <w:rsid w:val="006C5DA9"/>
    <w:rsid w:val="006D0021"/>
    <w:rsid w:val="006D080D"/>
    <w:rsid w:val="006D0AC2"/>
    <w:rsid w:val="006D1E72"/>
    <w:rsid w:val="006D21A5"/>
    <w:rsid w:val="006D2936"/>
    <w:rsid w:val="006D3783"/>
    <w:rsid w:val="006D4354"/>
    <w:rsid w:val="006D4F4A"/>
    <w:rsid w:val="006D7C95"/>
    <w:rsid w:val="006E0374"/>
    <w:rsid w:val="006E06B6"/>
    <w:rsid w:val="006E1B97"/>
    <w:rsid w:val="006E4658"/>
    <w:rsid w:val="006E59DA"/>
    <w:rsid w:val="006E6A8E"/>
    <w:rsid w:val="006E7133"/>
    <w:rsid w:val="006E71B0"/>
    <w:rsid w:val="006E7AA2"/>
    <w:rsid w:val="006F01CB"/>
    <w:rsid w:val="006F1117"/>
    <w:rsid w:val="006F4994"/>
    <w:rsid w:val="006F5558"/>
    <w:rsid w:val="006F7FEE"/>
    <w:rsid w:val="00700BEB"/>
    <w:rsid w:val="00701397"/>
    <w:rsid w:val="00702939"/>
    <w:rsid w:val="0070479E"/>
    <w:rsid w:val="00705F21"/>
    <w:rsid w:val="00706267"/>
    <w:rsid w:val="00706DBA"/>
    <w:rsid w:val="00707B86"/>
    <w:rsid w:val="0071005D"/>
    <w:rsid w:val="007111B8"/>
    <w:rsid w:val="007143CE"/>
    <w:rsid w:val="0071496F"/>
    <w:rsid w:val="007154D1"/>
    <w:rsid w:val="00715CAE"/>
    <w:rsid w:val="007164A7"/>
    <w:rsid w:val="0072032F"/>
    <w:rsid w:val="00721579"/>
    <w:rsid w:val="00722F27"/>
    <w:rsid w:val="00723BBC"/>
    <w:rsid w:val="0072427F"/>
    <w:rsid w:val="007249FE"/>
    <w:rsid w:val="0072509D"/>
    <w:rsid w:val="007254B7"/>
    <w:rsid w:val="007259EF"/>
    <w:rsid w:val="00726ABA"/>
    <w:rsid w:val="00730CC2"/>
    <w:rsid w:val="007313AB"/>
    <w:rsid w:val="00732507"/>
    <w:rsid w:val="007329D8"/>
    <w:rsid w:val="00734BEA"/>
    <w:rsid w:val="00735B2A"/>
    <w:rsid w:val="00737812"/>
    <w:rsid w:val="00737EE4"/>
    <w:rsid w:val="007414DE"/>
    <w:rsid w:val="00741B23"/>
    <w:rsid w:val="0074250F"/>
    <w:rsid w:val="00742777"/>
    <w:rsid w:val="007431E8"/>
    <w:rsid w:val="007437A5"/>
    <w:rsid w:val="00744ABF"/>
    <w:rsid w:val="0074642F"/>
    <w:rsid w:val="007469A1"/>
    <w:rsid w:val="00746ED6"/>
    <w:rsid w:val="00747DB4"/>
    <w:rsid w:val="00750B32"/>
    <w:rsid w:val="00751A0E"/>
    <w:rsid w:val="00751D23"/>
    <w:rsid w:val="00751EFD"/>
    <w:rsid w:val="00752F08"/>
    <w:rsid w:val="00754B4B"/>
    <w:rsid w:val="00755B24"/>
    <w:rsid w:val="00755FEE"/>
    <w:rsid w:val="00756A95"/>
    <w:rsid w:val="00756EE9"/>
    <w:rsid w:val="007574C9"/>
    <w:rsid w:val="00760049"/>
    <w:rsid w:val="0076017E"/>
    <w:rsid w:val="007615FD"/>
    <w:rsid w:val="007629A3"/>
    <w:rsid w:val="00762F91"/>
    <w:rsid w:val="00765099"/>
    <w:rsid w:val="00765C14"/>
    <w:rsid w:val="007660A7"/>
    <w:rsid w:val="0076621A"/>
    <w:rsid w:val="00766A56"/>
    <w:rsid w:val="00766CD6"/>
    <w:rsid w:val="00766DCF"/>
    <w:rsid w:val="007672A8"/>
    <w:rsid w:val="00767969"/>
    <w:rsid w:val="00770334"/>
    <w:rsid w:val="00772542"/>
    <w:rsid w:val="00773F19"/>
    <w:rsid w:val="007747E5"/>
    <w:rsid w:val="00775F48"/>
    <w:rsid w:val="007763B8"/>
    <w:rsid w:val="00776AC7"/>
    <w:rsid w:val="00777D54"/>
    <w:rsid w:val="00780242"/>
    <w:rsid w:val="00780686"/>
    <w:rsid w:val="007806F5"/>
    <w:rsid w:val="00781106"/>
    <w:rsid w:val="00781376"/>
    <w:rsid w:val="00781F5D"/>
    <w:rsid w:val="007820C0"/>
    <w:rsid w:val="00782F90"/>
    <w:rsid w:val="007846CB"/>
    <w:rsid w:val="00785275"/>
    <w:rsid w:val="007854EA"/>
    <w:rsid w:val="00785EC8"/>
    <w:rsid w:val="007860F8"/>
    <w:rsid w:val="00786720"/>
    <w:rsid w:val="00786958"/>
    <w:rsid w:val="00791A92"/>
    <w:rsid w:val="00793F19"/>
    <w:rsid w:val="007967E8"/>
    <w:rsid w:val="007968BE"/>
    <w:rsid w:val="0079732D"/>
    <w:rsid w:val="007A08FF"/>
    <w:rsid w:val="007A1953"/>
    <w:rsid w:val="007A1CEA"/>
    <w:rsid w:val="007A2D08"/>
    <w:rsid w:val="007A32DE"/>
    <w:rsid w:val="007A360E"/>
    <w:rsid w:val="007A428F"/>
    <w:rsid w:val="007A4951"/>
    <w:rsid w:val="007A5D64"/>
    <w:rsid w:val="007A656B"/>
    <w:rsid w:val="007A695D"/>
    <w:rsid w:val="007A7085"/>
    <w:rsid w:val="007B0065"/>
    <w:rsid w:val="007B09A4"/>
    <w:rsid w:val="007B1C92"/>
    <w:rsid w:val="007B2121"/>
    <w:rsid w:val="007B3521"/>
    <w:rsid w:val="007B3820"/>
    <w:rsid w:val="007B3E87"/>
    <w:rsid w:val="007B4D9D"/>
    <w:rsid w:val="007B53DD"/>
    <w:rsid w:val="007B60E7"/>
    <w:rsid w:val="007B6374"/>
    <w:rsid w:val="007B688D"/>
    <w:rsid w:val="007B70AB"/>
    <w:rsid w:val="007C010E"/>
    <w:rsid w:val="007C0E6A"/>
    <w:rsid w:val="007C1775"/>
    <w:rsid w:val="007C1968"/>
    <w:rsid w:val="007C2718"/>
    <w:rsid w:val="007C654B"/>
    <w:rsid w:val="007C6DCF"/>
    <w:rsid w:val="007C724E"/>
    <w:rsid w:val="007D1591"/>
    <w:rsid w:val="007D3680"/>
    <w:rsid w:val="007D4821"/>
    <w:rsid w:val="007D537A"/>
    <w:rsid w:val="007D6D4D"/>
    <w:rsid w:val="007E1F82"/>
    <w:rsid w:val="007E3B48"/>
    <w:rsid w:val="007E4DDA"/>
    <w:rsid w:val="007E5685"/>
    <w:rsid w:val="007E71B6"/>
    <w:rsid w:val="007F04AA"/>
    <w:rsid w:val="007F1C05"/>
    <w:rsid w:val="007F2276"/>
    <w:rsid w:val="007F307E"/>
    <w:rsid w:val="007F3227"/>
    <w:rsid w:val="007F3310"/>
    <w:rsid w:val="007F528C"/>
    <w:rsid w:val="007F5608"/>
    <w:rsid w:val="007F6BA7"/>
    <w:rsid w:val="007F6C6D"/>
    <w:rsid w:val="007F6F60"/>
    <w:rsid w:val="007F7587"/>
    <w:rsid w:val="00800418"/>
    <w:rsid w:val="00801C00"/>
    <w:rsid w:val="0080221B"/>
    <w:rsid w:val="00802339"/>
    <w:rsid w:val="00802645"/>
    <w:rsid w:val="008034D9"/>
    <w:rsid w:val="0080610A"/>
    <w:rsid w:val="00806451"/>
    <w:rsid w:val="00806CAD"/>
    <w:rsid w:val="00812771"/>
    <w:rsid w:val="00812BFC"/>
    <w:rsid w:val="0081359F"/>
    <w:rsid w:val="0081392A"/>
    <w:rsid w:val="008158CF"/>
    <w:rsid w:val="008163E0"/>
    <w:rsid w:val="00816F85"/>
    <w:rsid w:val="00817BBD"/>
    <w:rsid w:val="00817CBA"/>
    <w:rsid w:val="0082036E"/>
    <w:rsid w:val="00820467"/>
    <w:rsid w:val="008214DD"/>
    <w:rsid w:val="00822E6E"/>
    <w:rsid w:val="008272D7"/>
    <w:rsid w:val="008275F3"/>
    <w:rsid w:val="00827BEE"/>
    <w:rsid w:val="00827C3C"/>
    <w:rsid w:val="00831943"/>
    <w:rsid w:val="00832DD0"/>
    <w:rsid w:val="00832E70"/>
    <w:rsid w:val="00833EE1"/>
    <w:rsid w:val="008343D6"/>
    <w:rsid w:val="00834804"/>
    <w:rsid w:val="00835686"/>
    <w:rsid w:val="00835981"/>
    <w:rsid w:val="0083728E"/>
    <w:rsid w:val="00841207"/>
    <w:rsid w:val="00841B63"/>
    <w:rsid w:val="0084246C"/>
    <w:rsid w:val="00842870"/>
    <w:rsid w:val="008433AC"/>
    <w:rsid w:val="0084418E"/>
    <w:rsid w:val="00844B2B"/>
    <w:rsid w:val="00850394"/>
    <w:rsid w:val="0085062A"/>
    <w:rsid w:val="00850984"/>
    <w:rsid w:val="00850C6D"/>
    <w:rsid w:val="0085364A"/>
    <w:rsid w:val="008600CC"/>
    <w:rsid w:val="008617CD"/>
    <w:rsid w:val="008619A6"/>
    <w:rsid w:val="0086210E"/>
    <w:rsid w:val="00862F9F"/>
    <w:rsid w:val="008631A2"/>
    <w:rsid w:val="008632B5"/>
    <w:rsid w:val="00863E7B"/>
    <w:rsid w:val="0086653D"/>
    <w:rsid w:val="00866C65"/>
    <w:rsid w:val="00867152"/>
    <w:rsid w:val="008673DB"/>
    <w:rsid w:val="00867ADD"/>
    <w:rsid w:val="008713DB"/>
    <w:rsid w:val="008735B2"/>
    <w:rsid w:val="00873845"/>
    <w:rsid w:val="00874DE9"/>
    <w:rsid w:val="008762C5"/>
    <w:rsid w:val="00880E09"/>
    <w:rsid w:val="008837E2"/>
    <w:rsid w:val="008861A6"/>
    <w:rsid w:val="0089015E"/>
    <w:rsid w:val="008909A1"/>
    <w:rsid w:val="0089157E"/>
    <w:rsid w:val="0089182A"/>
    <w:rsid w:val="00891C4A"/>
    <w:rsid w:val="00891C80"/>
    <w:rsid w:val="00892A42"/>
    <w:rsid w:val="00892B4A"/>
    <w:rsid w:val="00892F41"/>
    <w:rsid w:val="00892F92"/>
    <w:rsid w:val="00893406"/>
    <w:rsid w:val="00893CFB"/>
    <w:rsid w:val="00894843"/>
    <w:rsid w:val="00894EB9"/>
    <w:rsid w:val="00895014"/>
    <w:rsid w:val="008951E3"/>
    <w:rsid w:val="008A0138"/>
    <w:rsid w:val="008A0732"/>
    <w:rsid w:val="008A0C40"/>
    <w:rsid w:val="008A139A"/>
    <w:rsid w:val="008A1D13"/>
    <w:rsid w:val="008A4532"/>
    <w:rsid w:val="008A48AE"/>
    <w:rsid w:val="008A51E1"/>
    <w:rsid w:val="008A5221"/>
    <w:rsid w:val="008A594D"/>
    <w:rsid w:val="008A6A28"/>
    <w:rsid w:val="008A7DDE"/>
    <w:rsid w:val="008A7F75"/>
    <w:rsid w:val="008B08F4"/>
    <w:rsid w:val="008B0B88"/>
    <w:rsid w:val="008B3478"/>
    <w:rsid w:val="008B44E6"/>
    <w:rsid w:val="008B616C"/>
    <w:rsid w:val="008B6D40"/>
    <w:rsid w:val="008B7553"/>
    <w:rsid w:val="008C0327"/>
    <w:rsid w:val="008C043A"/>
    <w:rsid w:val="008C1997"/>
    <w:rsid w:val="008C219E"/>
    <w:rsid w:val="008C26F7"/>
    <w:rsid w:val="008C3547"/>
    <w:rsid w:val="008C3AE0"/>
    <w:rsid w:val="008C4CE4"/>
    <w:rsid w:val="008C5C42"/>
    <w:rsid w:val="008D0BCD"/>
    <w:rsid w:val="008D19D3"/>
    <w:rsid w:val="008D1F27"/>
    <w:rsid w:val="008D2C29"/>
    <w:rsid w:val="008D3924"/>
    <w:rsid w:val="008D4FA2"/>
    <w:rsid w:val="008D6AA9"/>
    <w:rsid w:val="008D7596"/>
    <w:rsid w:val="008D784E"/>
    <w:rsid w:val="008E13E1"/>
    <w:rsid w:val="008E2902"/>
    <w:rsid w:val="008E46F4"/>
    <w:rsid w:val="008E6F38"/>
    <w:rsid w:val="008E7398"/>
    <w:rsid w:val="008F06CD"/>
    <w:rsid w:val="008F267C"/>
    <w:rsid w:val="008F2749"/>
    <w:rsid w:val="008F3393"/>
    <w:rsid w:val="008F33A0"/>
    <w:rsid w:val="008F47D5"/>
    <w:rsid w:val="008F489A"/>
    <w:rsid w:val="008F4B7E"/>
    <w:rsid w:val="008F4EB6"/>
    <w:rsid w:val="008F56F1"/>
    <w:rsid w:val="008F5F2A"/>
    <w:rsid w:val="008F60E3"/>
    <w:rsid w:val="008F7BB1"/>
    <w:rsid w:val="009005C1"/>
    <w:rsid w:val="00901FC2"/>
    <w:rsid w:val="00902570"/>
    <w:rsid w:val="00903492"/>
    <w:rsid w:val="009038FE"/>
    <w:rsid w:val="009043B1"/>
    <w:rsid w:val="00904675"/>
    <w:rsid w:val="00904F1B"/>
    <w:rsid w:val="0090680A"/>
    <w:rsid w:val="009069DC"/>
    <w:rsid w:val="00910997"/>
    <w:rsid w:val="00911CF9"/>
    <w:rsid w:val="00914BA1"/>
    <w:rsid w:val="0091572B"/>
    <w:rsid w:val="00916F06"/>
    <w:rsid w:val="00916F19"/>
    <w:rsid w:val="00917A25"/>
    <w:rsid w:val="00920044"/>
    <w:rsid w:val="00921E39"/>
    <w:rsid w:val="00922DA3"/>
    <w:rsid w:val="00922E07"/>
    <w:rsid w:val="00924175"/>
    <w:rsid w:val="009243F1"/>
    <w:rsid w:val="009248D0"/>
    <w:rsid w:val="00926602"/>
    <w:rsid w:val="00927D52"/>
    <w:rsid w:val="009308D8"/>
    <w:rsid w:val="00930CD6"/>
    <w:rsid w:val="009314FF"/>
    <w:rsid w:val="00932ADC"/>
    <w:rsid w:val="00932E37"/>
    <w:rsid w:val="00934BEB"/>
    <w:rsid w:val="00936F8F"/>
    <w:rsid w:val="00937497"/>
    <w:rsid w:val="00937A55"/>
    <w:rsid w:val="00942ECC"/>
    <w:rsid w:val="00943A93"/>
    <w:rsid w:val="00944596"/>
    <w:rsid w:val="00945158"/>
    <w:rsid w:val="00945431"/>
    <w:rsid w:val="0095111B"/>
    <w:rsid w:val="009515AC"/>
    <w:rsid w:val="009533FB"/>
    <w:rsid w:val="00953B81"/>
    <w:rsid w:val="00954406"/>
    <w:rsid w:val="0095549E"/>
    <w:rsid w:val="00955C55"/>
    <w:rsid w:val="00955E01"/>
    <w:rsid w:val="00956259"/>
    <w:rsid w:val="00957791"/>
    <w:rsid w:val="00957F8C"/>
    <w:rsid w:val="00960055"/>
    <w:rsid w:val="00960BC4"/>
    <w:rsid w:val="0096123F"/>
    <w:rsid w:val="00961378"/>
    <w:rsid w:val="0096137B"/>
    <w:rsid w:val="00961613"/>
    <w:rsid w:val="00962422"/>
    <w:rsid w:val="00962F1B"/>
    <w:rsid w:val="00964EBB"/>
    <w:rsid w:val="009652BD"/>
    <w:rsid w:val="00967B7A"/>
    <w:rsid w:val="00970505"/>
    <w:rsid w:val="00970BED"/>
    <w:rsid w:val="00971864"/>
    <w:rsid w:val="00971E98"/>
    <w:rsid w:val="0097399D"/>
    <w:rsid w:val="009759B9"/>
    <w:rsid w:val="00976196"/>
    <w:rsid w:val="0097704A"/>
    <w:rsid w:val="00977B31"/>
    <w:rsid w:val="00980604"/>
    <w:rsid w:val="0098102A"/>
    <w:rsid w:val="00981A4B"/>
    <w:rsid w:val="0098306D"/>
    <w:rsid w:val="0098544D"/>
    <w:rsid w:val="00986A17"/>
    <w:rsid w:val="00986BB2"/>
    <w:rsid w:val="00986CD3"/>
    <w:rsid w:val="00987CBE"/>
    <w:rsid w:val="00990571"/>
    <w:rsid w:val="00991C58"/>
    <w:rsid w:val="009920EA"/>
    <w:rsid w:val="00992414"/>
    <w:rsid w:val="0099258B"/>
    <w:rsid w:val="00992D23"/>
    <w:rsid w:val="009949BC"/>
    <w:rsid w:val="00994F4F"/>
    <w:rsid w:val="00996034"/>
    <w:rsid w:val="009A01AE"/>
    <w:rsid w:val="009A0CCE"/>
    <w:rsid w:val="009A145A"/>
    <w:rsid w:val="009A1BBA"/>
    <w:rsid w:val="009A3054"/>
    <w:rsid w:val="009A63F0"/>
    <w:rsid w:val="009A6D5F"/>
    <w:rsid w:val="009A7C46"/>
    <w:rsid w:val="009B0140"/>
    <w:rsid w:val="009B0725"/>
    <w:rsid w:val="009B0744"/>
    <w:rsid w:val="009B08C4"/>
    <w:rsid w:val="009B2BDE"/>
    <w:rsid w:val="009B331B"/>
    <w:rsid w:val="009B3B8F"/>
    <w:rsid w:val="009B5B38"/>
    <w:rsid w:val="009B5F74"/>
    <w:rsid w:val="009B62D5"/>
    <w:rsid w:val="009B7CA8"/>
    <w:rsid w:val="009C0652"/>
    <w:rsid w:val="009C0FE8"/>
    <w:rsid w:val="009C1D08"/>
    <w:rsid w:val="009C2582"/>
    <w:rsid w:val="009C3FB5"/>
    <w:rsid w:val="009C4476"/>
    <w:rsid w:val="009C6106"/>
    <w:rsid w:val="009C7912"/>
    <w:rsid w:val="009D02D8"/>
    <w:rsid w:val="009D28A5"/>
    <w:rsid w:val="009D42DE"/>
    <w:rsid w:val="009D5115"/>
    <w:rsid w:val="009D5D26"/>
    <w:rsid w:val="009D66CD"/>
    <w:rsid w:val="009D6AF8"/>
    <w:rsid w:val="009D74F1"/>
    <w:rsid w:val="009D7707"/>
    <w:rsid w:val="009D7E47"/>
    <w:rsid w:val="009E06A7"/>
    <w:rsid w:val="009E22CD"/>
    <w:rsid w:val="009E3410"/>
    <w:rsid w:val="009E6486"/>
    <w:rsid w:val="009E7788"/>
    <w:rsid w:val="009E7E11"/>
    <w:rsid w:val="009F05D9"/>
    <w:rsid w:val="009F08A2"/>
    <w:rsid w:val="009F215C"/>
    <w:rsid w:val="009F7762"/>
    <w:rsid w:val="00A00AA8"/>
    <w:rsid w:val="00A012B1"/>
    <w:rsid w:val="00A05358"/>
    <w:rsid w:val="00A054BB"/>
    <w:rsid w:val="00A058AA"/>
    <w:rsid w:val="00A077BD"/>
    <w:rsid w:val="00A12037"/>
    <w:rsid w:val="00A12297"/>
    <w:rsid w:val="00A12669"/>
    <w:rsid w:val="00A12D97"/>
    <w:rsid w:val="00A138CA"/>
    <w:rsid w:val="00A14BA2"/>
    <w:rsid w:val="00A16401"/>
    <w:rsid w:val="00A1765D"/>
    <w:rsid w:val="00A20807"/>
    <w:rsid w:val="00A21C38"/>
    <w:rsid w:val="00A22A17"/>
    <w:rsid w:val="00A23BEF"/>
    <w:rsid w:val="00A23F2A"/>
    <w:rsid w:val="00A25D4A"/>
    <w:rsid w:val="00A26965"/>
    <w:rsid w:val="00A26AD4"/>
    <w:rsid w:val="00A26DD6"/>
    <w:rsid w:val="00A300FE"/>
    <w:rsid w:val="00A309C4"/>
    <w:rsid w:val="00A31693"/>
    <w:rsid w:val="00A32266"/>
    <w:rsid w:val="00A3286E"/>
    <w:rsid w:val="00A3356B"/>
    <w:rsid w:val="00A3393E"/>
    <w:rsid w:val="00A33F42"/>
    <w:rsid w:val="00A3455B"/>
    <w:rsid w:val="00A353C8"/>
    <w:rsid w:val="00A36672"/>
    <w:rsid w:val="00A36F9C"/>
    <w:rsid w:val="00A373DD"/>
    <w:rsid w:val="00A434D7"/>
    <w:rsid w:val="00A442E3"/>
    <w:rsid w:val="00A44762"/>
    <w:rsid w:val="00A44A93"/>
    <w:rsid w:val="00A45B55"/>
    <w:rsid w:val="00A46B5B"/>
    <w:rsid w:val="00A47857"/>
    <w:rsid w:val="00A5119B"/>
    <w:rsid w:val="00A52BD8"/>
    <w:rsid w:val="00A52E39"/>
    <w:rsid w:val="00A53CE9"/>
    <w:rsid w:val="00A556C7"/>
    <w:rsid w:val="00A55D25"/>
    <w:rsid w:val="00A5758D"/>
    <w:rsid w:val="00A602DE"/>
    <w:rsid w:val="00A60C7E"/>
    <w:rsid w:val="00A610CB"/>
    <w:rsid w:val="00A63720"/>
    <w:rsid w:val="00A63F65"/>
    <w:rsid w:val="00A6452B"/>
    <w:rsid w:val="00A6486E"/>
    <w:rsid w:val="00A65296"/>
    <w:rsid w:val="00A70FAB"/>
    <w:rsid w:val="00A710CD"/>
    <w:rsid w:val="00A71D96"/>
    <w:rsid w:val="00A71E13"/>
    <w:rsid w:val="00A75480"/>
    <w:rsid w:val="00A76921"/>
    <w:rsid w:val="00A77C5C"/>
    <w:rsid w:val="00A77C7F"/>
    <w:rsid w:val="00A80B8B"/>
    <w:rsid w:val="00A820DF"/>
    <w:rsid w:val="00A82200"/>
    <w:rsid w:val="00A854BE"/>
    <w:rsid w:val="00A856ED"/>
    <w:rsid w:val="00A85B28"/>
    <w:rsid w:val="00A85DE7"/>
    <w:rsid w:val="00A8652A"/>
    <w:rsid w:val="00A86E25"/>
    <w:rsid w:val="00A87314"/>
    <w:rsid w:val="00A90220"/>
    <w:rsid w:val="00A905E0"/>
    <w:rsid w:val="00A90CEF"/>
    <w:rsid w:val="00A94643"/>
    <w:rsid w:val="00A953DC"/>
    <w:rsid w:val="00A95984"/>
    <w:rsid w:val="00A966A4"/>
    <w:rsid w:val="00A96F44"/>
    <w:rsid w:val="00A96FC2"/>
    <w:rsid w:val="00A972D1"/>
    <w:rsid w:val="00A97FD1"/>
    <w:rsid w:val="00AA23BF"/>
    <w:rsid w:val="00AA284C"/>
    <w:rsid w:val="00AA2F5F"/>
    <w:rsid w:val="00AA312E"/>
    <w:rsid w:val="00AA401B"/>
    <w:rsid w:val="00AA41B4"/>
    <w:rsid w:val="00AA454A"/>
    <w:rsid w:val="00AA4BC6"/>
    <w:rsid w:val="00AA6AE7"/>
    <w:rsid w:val="00AB076D"/>
    <w:rsid w:val="00AB1D04"/>
    <w:rsid w:val="00AB24BC"/>
    <w:rsid w:val="00AB3276"/>
    <w:rsid w:val="00AB349D"/>
    <w:rsid w:val="00AB4678"/>
    <w:rsid w:val="00AB4D74"/>
    <w:rsid w:val="00AB4E29"/>
    <w:rsid w:val="00AB53B7"/>
    <w:rsid w:val="00AB5EB8"/>
    <w:rsid w:val="00AB61E0"/>
    <w:rsid w:val="00AB6BC7"/>
    <w:rsid w:val="00AB6F87"/>
    <w:rsid w:val="00AB7503"/>
    <w:rsid w:val="00AC1EA0"/>
    <w:rsid w:val="00AC5160"/>
    <w:rsid w:val="00AC5701"/>
    <w:rsid w:val="00AC5C19"/>
    <w:rsid w:val="00AC6B23"/>
    <w:rsid w:val="00AC70C3"/>
    <w:rsid w:val="00AD1EED"/>
    <w:rsid w:val="00AD43AE"/>
    <w:rsid w:val="00AD4E4D"/>
    <w:rsid w:val="00AD55F6"/>
    <w:rsid w:val="00AD5AC9"/>
    <w:rsid w:val="00AE03F9"/>
    <w:rsid w:val="00AE09C0"/>
    <w:rsid w:val="00AE1534"/>
    <w:rsid w:val="00AE1A50"/>
    <w:rsid w:val="00AE255F"/>
    <w:rsid w:val="00AE3C4F"/>
    <w:rsid w:val="00AE3D24"/>
    <w:rsid w:val="00AE3FD4"/>
    <w:rsid w:val="00AE66F4"/>
    <w:rsid w:val="00AE70C8"/>
    <w:rsid w:val="00AE75E9"/>
    <w:rsid w:val="00AE79EC"/>
    <w:rsid w:val="00AF0474"/>
    <w:rsid w:val="00AF1575"/>
    <w:rsid w:val="00AF15CD"/>
    <w:rsid w:val="00AF1616"/>
    <w:rsid w:val="00AF245F"/>
    <w:rsid w:val="00AF4809"/>
    <w:rsid w:val="00AF50C5"/>
    <w:rsid w:val="00AF6A2F"/>
    <w:rsid w:val="00B02594"/>
    <w:rsid w:val="00B02AF5"/>
    <w:rsid w:val="00B02DA5"/>
    <w:rsid w:val="00B02FA9"/>
    <w:rsid w:val="00B0335D"/>
    <w:rsid w:val="00B04D6A"/>
    <w:rsid w:val="00B05009"/>
    <w:rsid w:val="00B06771"/>
    <w:rsid w:val="00B15E33"/>
    <w:rsid w:val="00B17C3B"/>
    <w:rsid w:val="00B2065C"/>
    <w:rsid w:val="00B212AC"/>
    <w:rsid w:val="00B21B07"/>
    <w:rsid w:val="00B21D0E"/>
    <w:rsid w:val="00B23826"/>
    <w:rsid w:val="00B23A3D"/>
    <w:rsid w:val="00B23D10"/>
    <w:rsid w:val="00B243C0"/>
    <w:rsid w:val="00B24EDA"/>
    <w:rsid w:val="00B251AC"/>
    <w:rsid w:val="00B26173"/>
    <w:rsid w:val="00B27D30"/>
    <w:rsid w:val="00B30DBD"/>
    <w:rsid w:val="00B3138F"/>
    <w:rsid w:val="00B320C9"/>
    <w:rsid w:val="00B32387"/>
    <w:rsid w:val="00B32D11"/>
    <w:rsid w:val="00B3402C"/>
    <w:rsid w:val="00B34F60"/>
    <w:rsid w:val="00B3614A"/>
    <w:rsid w:val="00B36F57"/>
    <w:rsid w:val="00B37051"/>
    <w:rsid w:val="00B378E9"/>
    <w:rsid w:val="00B37F2C"/>
    <w:rsid w:val="00B40616"/>
    <w:rsid w:val="00B42FFB"/>
    <w:rsid w:val="00B4362C"/>
    <w:rsid w:val="00B43C6D"/>
    <w:rsid w:val="00B45B78"/>
    <w:rsid w:val="00B46069"/>
    <w:rsid w:val="00B470D5"/>
    <w:rsid w:val="00B47B22"/>
    <w:rsid w:val="00B507A6"/>
    <w:rsid w:val="00B511EB"/>
    <w:rsid w:val="00B51AFA"/>
    <w:rsid w:val="00B51DF9"/>
    <w:rsid w:val="00B51DFC"/>
    <w:rsid w:val="00B524F4"/>
    <w:rsid w:val="00B52846"/>
    <w:rsid w:val="00B549B6"/>
    <w:rsid w:val="00B60139"/>
    <w:rsid w:val="00B60652"/>
    <w:rsid w:val="00B60AF4"/>
    <w:rsid w:val="00B617F7"/>
    <w:rsid w:val="00B6218C"/>
    <w:rsid w:val="00B63616"/>
    <w:rsid w:val="00B63979"/>
    <w:rsid w:val="00B64F2F"/>
    <w:rsid w:val="00B64FDA"/>
    <w:rsid w:val="00B65FA8"/>
    <w:rsid w:val="00B662A1"/>
    <w:rsid w:val="00B669D2"/>
    <w:rsid w:val="00B7231E"/>
    <w:rsid w:val="00B73C22"/>
    <w:rsid w:val="00B7534E"/>
    <w:rsid w:val="00B753D3"/>
    <w:rsid w:val="00B77BAD"/>
    <w:rsid w:val="00B80916"/>
    <w:rsid w:val="00B8395D"/>
    <w:rsid w:val="00B852D1"/>
    <w:rsid w:val="00B869A5"/>
    <w:rsid w:val="00B86ABE"/>
    <w:rsid w:val="00B86CB6"/>
    <w:rsid w:val="00B90292"/>
    <w:rsid w:val="00B9123D"/>
    <w:rsid w:val="00B91EFE"/>
    <w:rsid w:val="00B942C1"/>
    <w:rsid w:val="00B9536B"/>
    <w:rsid w:val="00B96138"/>
    <w:rsid w:val="00B969D2"/>
    <w:rsid w:val="00BA153A"/>
    <w:rsid w:val="00BA34E4"/>
    <w:rsid w:val="00BA3589"/>
    <w:rsid w:val="00BA6A52"/>
    <w:rsid w:val="00BA6B43"/>
    <w:rsid w:val="00BB0F81"/>
    <w:rsid w:val="00BB13AF"/>
    <w:rsid w:val="00BB23E7"/>
    <w:rsid w:val="00BB2671"/>
    <w:rsid w:val="00BB35D3"/>
    <w:rsid w:val="00BB3829"/>
    <w:rsid w:val="00BB4064"/>
    <w:rsid w:val="00BB4405"/>
    <w:rsid w:val="00BB5032"/>
    <w:rsid w:val="00BB5412"/>
    <w:rsid w:val="00BB5B2A"/>
    <w:rsid w:val="00BB6133"/>
    <w:rsid w:val="00BB7FDD"/>
    <w:rsid w:val="00BC0B60"/>
    <w:rsid w:val="00BC0C8B"/>
    <w:rsid w:val="00BC0D94"/>
    <w:rsid w:val="00BC1F85"/>
    <w:rsid w:val="00BC2F0B"/>
    <w:rsid w:val="00BC30D5"/>
    <w:rsid w:val="00BC31B0"/>
    <w:rsid w:val="00BC4FB1"/>
    <w:rsid w:val="00BC5389"/>
    <w:rsid w:val="00BD0808"/>
    <w:rsid w:val="00BD1BF1"/>
    <w:rsid w:val="00BD2314"/>
    <w:rsid w:val="00BD2A08"/>
    <w:rsid w:val="00BD34AD"/>
    <w:rsid w:val="00BD3639"/>
    <w:rsid w:val="00BD3A0C"/>
    <w:rsid w:val="00BD3E87"/>
    <w:rsid w:val="00BD3EF5"/>
    <w:rsid w:val="00BD5424"/>
    <w:rsid w:val="00BD5622"/>
    <w:rsid w:val="00BD5C87"/>
    <w:rsid w:val="00BD613D"/>
    <w:rsid w:val="00BD644B"/>
    <w:rsid w:val="00BD6590"/>
    <w:rsid w:val="00BD714E"/>
    <w:rsid w:val="00BD7F49"/>
    <w:rsid w:val="00BD7FED"/>
    <w:rsid w:val="00BE017E"/>
    <w:rsid w:val="00BE026A"/>
    <w:rsid w:val="00BE0729"/>
    <w:rsid w:val="00BE1B1A"/>
    <w:rsid w:val="00BE23EA"/>
    <w:rsid w:val="00BE2AE6"/>
    <w:rsid w:val="00BE54DD"/>
    <w:rsid w:val="00BE54EB"/>
    <w:rsid w:val="00BE7101"/>
    <w:rsid w:val="00BF02BB"/>
    <w:rsid w:val="00BF0354"/>
    <w:rsid w:val="00BF129F"/>
    <w:rsid w:val="00BF19CE"/>
    <w:rsid w:val="00BF1BF4"/>
    <w:rsid w:val="00BF2781"/>
    <w:rsid w:val="00BF2D89"/>
    <w:rsid w:val="00BF3681"/>
    <w:rsid w:val="00BF383C"/>
    <w:rsid w:val="00BF3EBC"/>
    <w:rsid w:val="00BF466A"/>
    <w:rsid w:val="00BF4F51"/>
    <w:rsid w:val="00BF60B2"/>
    <w:rsid w:val="00BF6D4C"/>
    <w:rsid w:val="00BF734B"/>
    <w:rsid w:val="00C00A03"/>
    <w:rsid w:val="00C012E9"/>
    <w:rsid w:val="00C022EE"/>
    <w:rsid w:val="00C025FC"/>
    <w:rsid w:val="00C046A0"/>
    <w:rsid w:val="00C04F85"/>
    <w:rsid w:val="00C051D6"/>
    <w:rsid w:val="00C05458"/>
    <w:rsid w:val="00C0742C"/>
    <w:rsid w:val="00C078FA"/>
    <w:rsid w:val="00C07B76"/>
    <w:rsid w:val="00C1118B"/>
    <w:rsid w:val="00C1139F"/>
    <w:rsid w:val="00C1175D"/>
    <w:rsid w:val="00C12D29"/>
    <w:rsid w:val="00C14949"/>
    <w:rsid w:val="00C15135"/>
    <w:rsid w:val="00C15197"/>
    <w:rsid w:val="00C16587"/>
    <w:rsid w:val="00C171E7"/>
    <w:rsid w:val="00C2121D"/>
    <w:rsid w:val="00C21331"/>
    <w:rsid w:val="00C22E41"/>
    <w:rsid w:val="00C22EAC"/>
    <w:rsid w:val="00C23F84"/>
    <w:rsid w:val="00C2621F"/>
    <w:rsid w:val="00C263A9"/>
    <w:rsid w:val="00C27886"/>
    <w:rsid w:val="00C27CA5"/>
    <w:rsid w:val="00C30430"/>
    <w:rsid w:val="00C30956"/>
    <w:rsid w:val="00C31B55"/>
    <w:rsid w:val="00C3303B"/>
    <w:rsid w:val="00C33845"/>
    <w:rsid w:val="00C34335"/>
    <w:rsid w:val="00C34524"/>
    <w:rsid w:val="00C35E9F"/>
    <w:rsid w:val="00C36CDE"/>
    <w:rsid w:val="00C37939"/>
    <w:rsid w:val="00C40838"/>
    <w:rsid w:val="00C419FD"/>
    <w:rsid w:val="00C42FC6"/>
    <w:rsid w:val="00C44179"/>
    <w:rsid w:val="00C44302"/>
    <w:rsid w:val="00C44ACB"/>
    <w:rsid w:val="00C45FEB"/>
    <w:rsid w:val="00C469BA"/>
    <w:rsid w:val="00C46CD3"/>
    <w:rsid w:val="00C47B13"/>
    <w:rsid w:val="00C51612"/>
    <w:rsid w:val="00C51B4D"/>
    <w:rsid w:val="00C51F07"/>
    <w:rsid w:val="00C528BB"/>
    <w:rsid w:val="00C528C5"/>
    <w:rsid w:val="00C5323F"/>
    <w:rsid w:val="00C53958"/>
    <w:rsid w:val="00C54033"/>
    <w:rsid w:val="00C54612"/>
    <w:rsid w:val="00C54F48"/>
    <w:rsid w:val="00C55918"/>
    <w:rsid w:val="00C55ED0"/>
    <w:rsid w:val="00C61303"/>
    <w:rsid w:val="00C61C21"/>
    <w:rsid w:val="00C61F35"/>
    <w:rsid w:val="00C635E3"/>
    <w:rsid w:val="00C6407F"/>
    <w:rsid w:val="00C65F2B"/>
    <w:rsid w:val="00C6614D"/>
    <w:rsid w:val="00C66465"/>
    <w:rsid w:val="00C70DB3"/>
    <w:rsid w:val="00C70E02"/>
    <w:rsid w:val="00C72210"/>
    <w:rsid w:val="00C73116"/>
    <w:rsid w:val="00C73548"/>
    <w:rsid w:val="00C73DC7"/>
    <w:rsid w:val="00C7420B"/>
    <w:rsid w:val="00C75004"/>
    <w:rsid w:val="00C764BF"/>
    <w:rsid w:val="00C77D41"/>
    <w:rsid w:val="00C80EAF"/>
    <w:rsid w:val="00C8104C"/>
    <w:rsid w:val="00C81AA6"/>
    <w:rsid w:val="00C83DDC"/>
    <w:rsid w:val="00C84207"/>
    <w:rsid w:val="00C8685F"/>
    <w:rsid w:val="00C86A83"/>
    <w:rsid w:val="00C901EF"/>
    <w:rsid w:val="00C933CF"/>
    <w:rsid w:val="00C9399F"/>
    <w:rsid w:val="00C93A33"/>
    <w:rsid w:val="00C95722"/>
    <w:rsid w:val="00C96AA4"/>
    <w:rsid w:val="00C97E3C"/>
    <w:rsid w:val="00CA0866"/>
    <w:rsid w:val="00CA1FAF"/>
    <w:rsid w:val="00CA4D43"/>
    <w:rsid w:val="00CA5C93"/>
    <w:rsid w:val="00CB1322"/>
    <w:rsid w:val="00CB2806"/>
    <w:rsid w:val="00CB36AF"/>
    <w:rsid w:val="00CB67AF"/>
    <w:rsid w:val="00CB7077"/>
    <w:rsid w:val="00CC1495"/>
    <w:rsid w:val="00CC1588"/>
    <w:rsid w:val="00CC1CB7"/>
    <w:rsid w:val="00CC2005"/>
    <w:rsid w:val="00CC5148"/>
    <w:rsid w:val="00CC76D6"/>
    <w:rsid w:val="00CD0613"/>
    <w:rsid w:val="00CD19CF"/>
    <w:rsid w:val="00CD1CA3"/>
    <w:rsid w:val="00CD1D9E"/>
    <w:rsid w:val="00CD1E08"/>
    <w:rsid w:val="00CD329B"/>
    <w:rsid w:val="00CD33A5"/>
    <w:rsid w:val="00CD379E"/>
    <w:rsid w:val="00CD4601"/>
    <w:rsid w:val="00CD565E"/>
    <w:rsid w:val="00CD7A68"/>
    <w:rsid w:val="00CD7AA3"/>
    <w:rsid w:val="00CE0B02"/>
    <w:rsid w:val="00CE1CAF"/>
    <w:rsid w:val="00CE3030"/>
    <w:rsid w:val="00CE4FF9"/>
    <w:rsid w:val="00CE555D"/>
    <w:rsid w:val="00CE5A4C"/>
    <w:rsid w:val="00CE6355"/>
    <w:rsid w:val="00CE76DA"/>
    <w:rsid w:val="00CF32E6"/>
    <w:rsid w:val="00CF4682"/>
    <w:rsid w:val="00CF51ED"/>
    <w:rsid w:val="00CF525A"/>
    <w:rsid w:val="00D048BC"/>
    <w:rsid w:val="00D05254"/>
    <w:rsid w:val="00D05C7A"/>
    <w:rsid w:val="00D063E5"/>
    <w:rsid w:val="00D0788D"/>
    <w:rsid w:val="00D1078E"/>
    <w:rsid w:val="00D1143B"/>
    <w:rsid w:val="00D11A65"/>
    <w:rsid w:val="00D11CD5"/>
    <w:rsid w:val="00D12D92"/>
    <w:rsid w:val="00D132E0"/>
    <w:rsid w:val="00D142CD"/>
    <w:rsid w:val="00D14888"/>
    <w:rsid w:val="00D16568"/>
    <w:rsid w:val="00D17829"/>
    <w:rsid w:val="00D17965"/>
    <w:rsid w:val="00D17F35"/>
    <w:rsid w:val="00D20459"/>
    <w:rsid w:val="00D211B3"/>
    <w:rsid w:val="00D2277E"/>
    <w:rsid w:val="00D2288E"/>
    <w:rsid w:val="00D23015"/>
    <w:rsid w:val="00D23240"/>
    <w:rsid w:val="00D23BA8"/>
    <w:rsid w:val="00D24398"/>
    <w:rsid w:val="00D26929"/>
    <w:rsid w:val="00D2702E"/>
    <w:rsid w:val="00D31F36"/>
    <w:rsid w:val="00D32061"/>
    <w:rsid w:val="00D3280C"/>
    <w:rsid w:val="00D329C0"/>
    <w:rsid w:val="00D33224"/>
    <w:rsid w:val="00D343CA"/>
    <w:rsid w:val="00D35638"/>
    <w:rsid w:val="00D3636B"/>
    <w:rsid w:val="00D36E63"/>
    <w:rsid w:val="00D409F7"/>
    <w:rsid w:val="00D410F2"/>
    <w:rsid w:val="00D4337E"/>
    <w:rsid w:val="00D437CA"/>
    <w:rsid w:val="00D43A60"/>
    <w:rsid w:val="00D445FA"/>
    <w:rsid w:val="00D4619C"/>
    <w:rsid w:val="00D47A26"/>
    <w:rsid w:val="00D51975"/>
    <w:rsid w:val="00D51A11"/>
    <w:rsid w:val="00D51B43"/>
    <w:rsid w:val="00D51E5F"/>
    <w:rsid w:val="00D528A2"/>
    <w:rsid w:val="00D5347F"/>
    <w:rsid w:val="00D5527E"/>
    <w:rsid w:val="00D55A38"/>
    <w:rsid w:val="00D55EC0"/>
    <w:rsid w:val="00D56BF0"/>
    <w:rsid w:val="00D606CC"/>
    <w:rsid w:val="00D62936"/>
    <w:rsid w:val="00D63C26"/>
    <w:rsid w:val="00D63DD2"/>
    <w:rsid w:val="00D6413A"/>
    <w:rsid w:val="00D648A2"/>
    <w:rsid w:val="00D6556F"/>
    <w:rsid w:val="00D66357"/>
    <w:rsid w:val="00D66B58"/>
    <w:rsid w:val="00D66C30"/>
    <w:rsid w:val="00D67986"/>
    <w:rsid w:val="00D713AF"/>
    <w:rsid w:val="00D71595"/>
    <w:rsid w:val="00D71F62"/>
    <w:rsid w:val="00D72E68"/>
    <w:rsid w:val="00D7388F"/>
    <w:rsid w:val="00D741E9"/>
    <w:rsid w:val="00D74D7D"/>
    <w:rsid w:val="00D75665"/>
    <w:rsid w:val="00D76A40"/>
    <w:rsid w:val="00D76E93"/>
    <w:rsid w:val="00D801E9"/>
    <w:rsid w:val="00D828AE"/>
    <w:rsid w:val="00D833BB"/>
    <w:rsid w:val="00D83644"/>
    <w:rsid w:val="00D845E4"/>
    <w:rsid w:val="00D852C2"/>
    <w:rsid w:val="00D8559B"/>
    <w:rsid w:val="00D85A7B"/>
    <w:rsid w:val="00D90152"/>
    <w:rsid w:val="00D90A7A"/>
    <w:rsid w:val="00D91C5A"/>
    <w:rsid w:val="00D92B6C"/>
    <w:rsid w:val="00D92CAC"/>
    <w:rsid w:val="00D95BC9"/>
    <w:rsid w:val="00D962C9"/>
    <w:rsid w:val="00D96FB6"/>
    <w:rsid w:val="00DA0100"/>
    <w:rsid w:val="00DA02BA"/>
    <w:rsid w:val="00DA2856"/>
    <w:rsid w:val="00DA36B2"/>
    <w:rsid w:val="00DA6403"/>
    <w:rsid w:val="00DA705C"/>
    <w:rsid w:val="00DA7229"/>
    <w:rsid w:val="00DB349D"/>
    <w:rsid w:val="00DB4710"/>
    <w:rsid w:val="00DB57A1"/>
    <w:rsid w:val="00DB66F9"/>
    <w:rsid w:val="00DB7BE8"/>
    <w:rsid w:val="00DB7F8E"/>
    <w:rsid w:val="00DC42C4"/>
    <w:rsid w:val="00DC4A48"/>
    <w:rsid w:val="00DC650C"/>
    <w:rsid w:val="00DC697C"/>
    <w:rsid w:val="00DD1811"/>
    <w:rsid w:val="00DD1A63"/>
    <w:rsid w:val="00DD1DF6"/>
    <w:rsid w:val="00DD340E"/>
    <w:rsid w:val="00DD5CF6"/>
    <w:rsid w:val="00DD6AAA"/>
    <w:rsid w:val="00DE022B"/>
    <w:rsid w:val="00DE03CA"/>
    <w:rsid w:val="00DE091D"/>
    <w:rsid w:val="00DE12AF"/>
    <w:rsid w:val="00DE5D48"/>
    <w:rsid w:val="00DE6DA2"/>
    <w:rsid w:val="00DF293E"/>
    <w:rsid w:val="00DF2A7C"/>
    <w:rsid w:val="00DF2D38"/>
    <w:rsid w:val="00DF2F15"/>
    <w:rsid w:val="00DF3FCE"/>
    <w:rsid w:val="00DF5279"/>
    <w:rsid w:val="00DF5EBA"/>
    <w:rsid w:val="00DF78CD"/>
    <w:rsid w:val="00E002CA"/>
    <w:rsid w:val="00E01B88"/>
    <w:rsid w:val="00E036E4"/>
    <w:rsid w:val="00E03D36"/>
    <w:rsid w:val="00E0441A"/>
    <w:rsid w:val="00E04935"/>
    <w:rsid w:val="00E063FC"/>
    <w:rsid w:val="00E0678E"/>
    <w:rsid w:val="00E06CE3"/>
    <w:rsid w:val="00E10C39"/>
    <w:rsid w:val="00E126F7"/>
    <w:rsid w:val="00E13A3D"/>
    <w:rsid w:val="00E159B2"/>
    <w:rsid w:val="00E166D8"/>
    <w:rsid w:val="00E16A2A"/>
    <w:rsid w:val="00E177F9"/>
    <w:rsid w:val="00E20222"/>
    <w:rsid w:val="00E20228"/>
    <w:rsid w:val="00E2110A"/>
    <w:rsid w:val="00E2254D"/>
    <w:rsid w:val="00E2257A"/>
    <w:rsid w:val="00E22EA6"/>
    <w:rsid w:val="00E2328D"/>
    <w:rsid w:val="00E2352E"/>
    <w:rsid w:val="00E23905"/>
    <w:rsid w:val="00E23A7F"/>
    <w:rsid w:val="00E23B77"/>
    <w:rsid w:val="00E244DC"/>
    <w:rsid w:val="00E250AB"/>
    <w:rsid w:val="00E25727"/>
    <w:rsid w:val="00E27BFD"/>
    <w:rsid w:val="00E31233"/>
    <w:rsid w:val="00E32445"/>
    <w:rsid w:val="00E3385B"/>
    <w:rsid w:val="00E33B33"/>
    <w:rsid w:val="00E341C7"/>
    <w:rsid w:val="00E34F69"/>
    <w:rsid w:val="00E35AA6"/>
    <w:rsid w:val="00E40587"/>
    <w:rsid w:val="00E4322F"/>
    <w:rsid w:val="00E437E0"/>
    <w:rsid w:val="00E44944"/>
    <w:rsid w:val="00E449D5"/>
    <w:rsid w:val="00E44A7A"/>
    <w:rsid w:val="00E4531A"/>
    <w:rsid w:val="00E467A9"/>
    <w:rsid w:val="00E50645"/>
    <w:rsid w:val="00E539AB"/>
    <w:rsid w:val="00E5620E"/>
    <w:rsid w:val="00E614F0"/>
    <w:rsid w:val="00E61961"/>
    <w:rsid w:val="00E61FE6"/>
    <w:rsid w:val="00E62622"/>
    <w:rsid w:val="00E631A1"/>
    <w:rsid w:val="00E635F1"/>
    <w:rsid w:val="00E66AC0"/>
    <w:rsid w:val="00E701EE"/>
    <w:rsid w:val="00E711B8"/>
    <w:rsid w:val="00E715D7"/>
    <w:rsid w:val="00E727D6"/>
    <w:rsid w:val="00E72D3F"/>
    <w:rsid w:val="00E73434"/>
    <w:rsid w:val="00E74BB4"/>
    <w:rsid w:val="00E7509A"/>
    <w:rsid w:val="00E75B75"/>
    <w:rsid w:val="00E765C9"/>
    <w:rsid w:val="00E77816"/>
    <w:rsid w:val="00E778B4"/>
    <w:rsid w:val="00E80348"/>
    <w:rsid w:val="00E80A86"/>
    <w:rsid w:val="00E8127E"/>
    <w:rsid w:val="00E82C52"/>
    <w:rsid w:val="00E83A54"/>
    <w:rsid w:val="00E84590"/>
    <w:rsid w:val="00E84A2F"/>
    <w:rsid w:val="00E85CAC"/>
    <w:rsid w:val="00E85E2E"/>
    <w:rsid w:val="00E87D4D"/>
    <w:rsid w:val="00E90F2E"/>
    <w:rsid w:val="00E91E91"/>
    <w:rsid w:val="00E933E3"/>
    <w:rsid w:val="00E94B55"/>
    <w:rsid w:val="00E96A6C"/>
    <w:rsid w:val="00E978B1"/>
    <w:rsid w:val="00E97E74"/>
    <w:rsid w:val="00EA15D6"/>
    <w:rsid w:val="00EA280D"/>
    <w:rsid w:val="00EA3B73"/>
    <w:rsid w:val="00EA4864"/>
    <w:rsid w:val="00EA6571"/>
    <w:rsid w:val="00EA6EC5"/>
    <w:rsid w:val="00EB09A3"/>
    <w:rsid w:val="00EB0A6C"/>
    <w:rsid w:val="00EB6083"/>
    <w:rsid w:val="00EB6FD2"/>
    <w:rsid w:val="00EB7192"/>
    <w:rsid w:val="00EC015C"/>
    <w:rsid w:val="00EC0F54"/>
    <w:rsid w:val="00EC1040"/>
    <w:rsid w:val="00EC16AB"/>
    <w:rsid w:val="00EC376B"/>
    <w:rsid w:val="00EC4868"/>
    <w:rsid w:val="00EC4BDB"/>
    <w:rsid w:val="00EC5381"/>
    <w:rsid w:val="00EC6B67"/>
    <w:rsid w:val="00EC705F"/>
    <w:rsid w:val="00ED106B"/>
    <w:rsid w:val="00ED4CF1"/>
    <w:rsid w:val="00ED4F64"/>
    <w:rsid w:val="00ED55F9"/>
    <w:rsid w:val="00ED6509"/>
    <w:rsid w:val="00ED6932"/>
    <w:rsid w:val="00ED7488"/>
    <w:rsid w:val="00EE0F0F"/>
    <w:rsid w:val="00EE3E2F"/>
    <w:rsid w:val="00EE41E4"/>
    <w:rsid w:val="00EE56AA"/>
    <w:rsid w:val="00EE67E2"/>
    <w:rsid w:val="00EF18A1"/>
    <w:rsid w:val="00EF3E21"/>
    <w:rsid w:val="00F01D72"/>
    <w:rsid w:val="00F02D22"/>
    <w:rsid w:val="00F05B33"/>
    <w:rsid w:val="00F064DF"/>
    <w:rsid w:val="00F078A9"/>
    <w:rsid w:val="00F079D9"/>
    <w:rsid w:val="00F07E48"/>
    <w:rsid w:val="00F1055D"/>
    <w:rsid w:val="00F11B19"/>
    <w:rsid w:val="00F120C2"/>
    <w:rsid w:val="00F13062"/>
    <w:rsid w:val="00F13E50"/>
    <w:rsid w:val="00F14396"/>
    <w:rsid w:val="00F14BC8"/>
    <w:rsid w:val="00F16020"/>
    <w:rsid w:val="00F161FE"/>
    <w:rsid w:val="00F1643D"/>
    <w:rsid w:val="00F16C62"/>
    <w:rsid w:val="00F17D09"/>
    <w:rsid w:val="00F204E2"/>
    <w:rsid w:val="00F2074B"/>
    <w:rsid w:val="00F208A1"/>
    <w:rsid w:val="00F21739"/>
    <w:rsid w:val="00F2215B"/>
    <w:rsid w:val="00F22F41"/>
    <w:rsid w:val="00F24941"/>
    <w:rsid w:val="00F26893"/>
    <w:rsid w:val="00F270C9"/>
    <w:rsid w:val="00F310E4"/>
    <w:rsid w:val="00F322EF"/>
    <w:rsid w:val="00F329EF"/>
    <w:rsid w:val="00F32C3F"/>
    <w:rsid w:val="00F3370A"/>
    <w:rsid w:val="00F33BAB"/>
    <w:rsid w:val="00F33C78"/>
    <w:rsid w:val="00F3478E"/>
    <w:rsid w:val="00F361EB"/>
    <w:rsid w:val="00F374ED"/>
    <w:rsid w:val="00F379DC"/>
    <w:rsid w:val="00F406C7"/>
    <w:rsid w:val="00F406EA"/>
    <w:rsid w:val="00F413D7"/>
    <w:rsid w:val="00F43D37"/>
    <w:rsid w:val="00F453C6"/>
    <w:rsid w:val="00F45C79"/>
    <w:rsid w:val="00F46D41"/>
    <w:rsid w:val="00F47658"/>
    <w:rsid w:val="00F4770B"/>
    <w:rsid w:val="00F478BF"/>
    <w:rsid w:val="00F5079C"/>
    <w:rsid w:val="00F509F7"/>
    <w:rsid w:val="00F513C8"/>
    <w:rsid w:val="00F51845"/>
    <w:rsid w:val="00F51E2F"/>
    <w:rsid w:val="00F5245D"/>
    <w:rsid w:val="00F5324C"/>
    <w:rsid w:val="00F53C15"/>
    <w:rsid w:val="00F54B72"/>
    <w:rsid w:val="00F550D9"/>
    <w:rsid w:val="00F55D68"/>
    <w:rsid w:val="00F56B3A"/>
    <w:rsid w:val="00F56D74"/>
    <w:rsid w:val="00F5748E"/>
    <w:rsid w:val="00F615A0"/>
    <w:rsid w:val="00F61818"/>
    <w:rsid w:val="00F62329"/>
    <w:rsid w:val="00F638F2"/>
    <w:rsid w:val="00F653F5"/>
    <w:rsid w:val="00F6632C"/>
    <w:rsid w:val="00F66CC5"/>
    <w:rsid w:val="00F702FE"/>
    <w:rsid w:val="00F7196C"/>
    <w:rsid w:val="00F7456E"/>
    <w:rsid w:val="00F7456F"/>
    <w:rsid w:val="00F76BF4"/>
    <w:rsid w:val="00F81E6E"/>
    <w:rsid w:val="00F82818"/>
    <w:rsid w:val="00F83FE8"/>
    <w:rsid w:val="00F84639"/>
    <w:rsid w:val="00F84732"/>
    <w:rsid w:val="00F84991"/>
    <w:rsid w:val="00F8505E"/>
    <w:rsid w:val="00F856E9"/>
    <w:rsid w:val="00F863CA"/>
    <w:rsid w:val="00F86977"/>
    <w:rsid w:val="00F879B6"/>
    <w:rsid w:val="00F90293"/>
    <w:rsid w:val="00F909DF"/>
    <w:rsid w:val="00F91D17"/>
    <w:rsid w:val="00F92741"/>
    <w:rsid w:val="00F933D2"/>
    <w:rsid w:val="00F94B11"/>
    <w:rsid w:val="00F94B74"/>
    <w:rsid w:val="00F959F0"/>
    <w:rsid w:val="00F95C28"/>
    <w:rsid w:val="00F962C5"/>
    <w:rsid w:val="00FA069B"/>
    <w:rsid w:val="00FA2288"/>
    <w:rsid w:val="00FA2D75"/>
    <w:rsid w:val="00FA4021"/>
    <w:rsid w:val="00FA46EA"/>
    <w:rsid w:val="00FA48A4"/>
    <w:rsid w:val="00FA4D88"/>
    <w:rsid w:val="00FA6932"/>
    <w:rsid w:val="00FA798B"/>
    <w:rsid w:val="00FB058B"/>
    <w:rsid w:val="00FB07B2"/>
    <w:rsid w:val="00FB15A9"/>
    <w:rsid w:val="00FB16B9"/>
    <w:rsid w:val="00FB2D4A"/>
    <w:rsid w:val="00FB3406"/>
    <w:rsid w:val="00FB37E7"/>
    <w:rsid w:val="00FB43D8"/>
    <w:rsid w:val="00FB4801"/>
    <w:rsid w:val="00FB48A6"/>
    <w:rsid w:val="00FB4C1E"/>
    <w:rsid w:val="00FC06C1"/>
    <w:rsid w:val="00FC0FDA"/>
    <w:rsid w:val="00FC2CDE"/>
    <w:rsid w:val="00FC437C"/>
    <w:rsid w:val="00FC564E"/>
    <w:rsid w:val="00FC6650"/>
    <w:rsid w:val="00FC6F5C"/>
    <w:rsid w:val="00FC7F6F"/>
    <w:rsid w:val="00FD0771"/>
    <w:rsid w:val="00FD0879"/>
    <w:rsid w:val="00FD0F82"/>
    <w:rsid w:val="00FD17C8"/>
    <w:rsid w:val="00FD2249"/>
    <w:rsid w:val="00FD4053"/>
    <w:rsid w:val="00FD5A4A"/>
    <w:rsid w:val="00FE06C3"/>
    <w:rsid w:val="00FE1567"/>
    <w:rsid w:val="00FE22A1"/>
    <w:rsid w:val="00FE275C"/>
    <w:rsid w:val="00FE2B5F"/>
    <w:rsid w:val="00FE3A1B"/>
    <w:rsid w:val="00FE410B"/>
    <w:rsid w:val="00FE4177"/>
    <w:rsid w:val="00FE53FC"/>
    <w:rsid w:val="00FE5543"/>
    <w:rsid w:val="00FE7DA6"/>
    <w:rsid w:val="00FE7EB7"/>
    <w:rsid w:val="00FE7EB8"/>
    <w:rsid w:val="00FF078B"/>
    <w:rsid w:val="00FF0C41"/>
    <w:rsid w:val="00FF4A20"/>
    <w:rsid w:val="00FF5166"/>
    <w:rsid w:val="00FF6292"/>
    <w:rsid w:val="00FF64A9"/>
    <w:rsid w:val="00FF6718"/>
    <w:rsid w:val="00FF76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06BF5"/>
  <w15:docId w15:val="{C282EEA9-A6A5-46EC-9169-1A40D6B9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D1"/>
    <w:rPr>
      <w:rFonts w:ascii="Arial" w:hAnsi="Arial"/>
      <w:sz w:val="24"/>
      <w:lang w:eastAsia="fr-FR"/>
    </w:rPr>
  </w:style>
  <w:style w:type="paragraph" w:styleId="Titre1">
    <w:name w:val="heading 1"/>
    <w:basedOn w:val="Normal"/>
    <w:next w:val="Paragrsimple"/>
    <w:autoRedefine/>
    <w:qFormat/>
    <w:rsid w:val="004A29F4"/>
    <w:pPr>
      <w:keepNext/>
      <w:spacing w:before="360" w:after="60"/>
      <w:ind w:left="432" w:hanging="432"/>
      <w:outlineLvl w:val="0"/>
    </w:pPr>
    <w:rPr>
      <w:b/>
      <w:kern w:val="28"/>
      <w:u w:val="single"/>
    </w:rPr>
  </w:style>
  <w:style w:type="paragraph" w:styleId="Titre2">
    <w:name w:val="heading 2"/>
    <w:basedOn w:val="Normal"/>
    <w:next w:val="Normal"/>
    <w:qFormat/>
    <w:rsid w:val="007C724E"/>
    <w:pPr>
      <w:keepNext/>
      <w:numPr>
        <w:numId w:val="7"/>
      </w:numPr>
      <w:spacing w:before="240" w:after="60"/>
      <w:jc w:val="both"/>
      <w:outlineLvl w:val="1"/>
    </w:pPr>
    <w:rPr>
      <w:b/>
      <w:u w:val="single"/>
    </w:rPr>
  </w:style>
  <w:style w:type="paragraph" w:styleId="Titre3">
    <w:name w:val="heading 3"/>
    <w:basedOn w:val="Normal"/>
    <w:next w:val="Normal"/>
    <w:qFormat/>
    <w:rsid w:val="001C2A78"/>
    <w:pPr>
      <w:keepNext/>
      <w:numPr>
        <w:ilvl w:val="1"/>
        <w:numId w:val="7"/>
      </w:numPr>
      <w:spacing w:before="240" w:after="60"/>
      <w:ind w:left="1134"/>
      <w:outlineLvl w:val="2"/>
    </w:pPr>
    <w:rPr>
      <w:b/>
    </w:rPr>
  </w:style>
  <w:style w:type="paragraph" w:styleId="Titre4">
    <w:name w:val="heading 4"/>
    <w:basedOn w:val="Normal"/>
    <w:next w:val="Normal"/>
    <w:qFormat/>
    <w:rsid w:val="00437327"/>
    <w:pPr>
      <w:keepNext/>
      <w:numPr>
        <w:ilvl w:val="2"/>
        <w:numId w:val="7"/>
      </w:numPr>
      <w:spacing w:before="240" w:after="60"/>
      <w:outlineLvl w:val="3"/>
    </w:pPr>
    <w:rPr>
      <w:u w:val="single"/>
    </w:rPr>
  </w:style>
  <w:style w:type="paragraph" w:styleId="Titre5">
    <w:name w:val="heading 5"/>
    <w:basedOn w:val="Titre4"/>
    <w:next w:val="Normal"/>
    <w:qFormat/>
    <w:rsid w:val="00437327"/>
    <w:pPr>
      <w:numPr>
        <w:ilvl w:val="3"/>
      </w:numPr>
      <w:ind w:left="2495" w:hanging="1077"/>
      <w:outlineLvl w:val="4"/>
    </w:pPr>
    <w:rPr>
      <w:i/>
      <w:u w:val="none"/>
    </w:r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2"/>
      </w:numPr>
      <w:spacing w:before="240" w:after="60"/>
      <w:outlineLvl w:val="6"/>
    </w:pPr>
    <w:rPr>
      <w:sz w:val="20"/>
    </w:rPr>
  </w:style>
  <w:style w:type="paragraph" w:styleId="Titre8">
    <w:name w:val="heading 8"/>
    <w:basedOn w:val="Normal"/>
    <w:next w:val="Normal"/>
    <w:qFormat/>
    <w:pPr>
      <w:numPr>
        <w:ilvl w:val="7"/>
        <w:numId w:val="2"/>
      </w:numPr>
      <w:spacing w:before="240" w:after="60"/>
      <w:outlineLvl w:val="7"/>
    </w:pPr>
    <w:rPr>
      <w:i/>
      <w:sz w:val="20"/>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5"/>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ar"/>
    <w:basedOn w:val="Normal"/>
    <w:link w:val="NotedebasdepageCar"/>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rsid w:val="00BD1BF1"/>
    <w:pPr>
      <w:widowControl w:val="0"/>
      <w:numPr>
        <w:ilvl w:val="1"/>
        <w:numId w:val="5"/>
      </w:numPr>
      <w:spacing w:before="120"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3"/>
      </w:numPr>
    </w:pPr>
  </w:style>
  <w:style w:type="paragraph" w:customStyle="1" w:styleId="Paragrsimple">
    <w:name w:val="Paragr. simple"/>
    <w:basedOn w:val="Paragrdouble"/>
    <w:qFormat/>
    <w:rsid w:val="00BA153A"/>
    <w:pPr>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color w:val="365F91"/>
      <w:kern w:val="0"/>
      <w:sz w:val="28"/>
      <w:szCs w:val="28"/>
      <w:u w:val="none"/>
      <w:lang w:eastAsia="fr-CA"/>
    </w:rPr>
  </w:style>
  <w:style w:type="paragraph" w:styleId="TM1">
    <w:name w:val="toc 1"/>
    <w:basedOn w:val="Normal"/>
    <w:next w:val="Normal"/>
    <w:autoRedefine/>
    <w:uiPriority w:val="39"/>
    <w:unhideWhenUsed/>
    <w:rsid w:val="00BA153A"/>
  </w:style>
  <w:style w:type="paragraph" w:styleId="TM2">
    <w:name w:val="toc 2"/>
    <w:basedOn w:val="Normal"/>
    <w:next w:val="Normal"/>
    <w:autoRedefine/>
    <w:uiPriority w:val="39"/>
    <w:unhideWhenUsed/>
    <w:rsid w:val="00BA153A"/>
    <w:pPr>
      <w:ind w:left="240"/>
    </w:pPr>
  </w:style>
  <w:style w:type="paragraph" w:styleId="TM3">
    <w:name w:val="toc 3"/>
    <w:basedOn w:val="Normal"/>
    <w:next w:val="Normal"/>
    <w:autoRedefine/>
    <w:uiPriority w:val="39"/>
    <w:unhideWhenUsed/>
    <w:rsid w:val="00BA153A"/>
    <w:pPr>
      <w:ind w:left="480"/>
    </w:p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Normal"/>
    <w:qFormat/>
    <w:rsid w:val="008A4532"/>
    <w:pPr>
      <w:spacing w:before="240" w:after="60"/>
      <w:jc w:val="center"/>
      <w:outlineLvl w:val="0"/>
    </w:pPr>
    <w:rPr>
      <w:rFonts w:cs="Arial"/>
      <w:b/>
      <w:bCs/>
      <w:kern w:val="28"/>
      <w:sz w:val="32"/>
      <w:szCs w:val="32"/>
    </w:rPr>
  </w:style>
  <w:style w:type="character" w:customStyle="1" w:styleId="NotedebasdepageCar">
    <w:name w:val="Note de bas de page Car"/>
    <w:aliases w:val="Car Car"/>
    <w:basedOn w:val="Policepardfaut"/>
    <w:link w:val="Notedebasdepage"/>
    <w:rsid w:val="00437327"/>
    <w:rPr>
      <w:rFonts w:ascii="Arial" w:hAnsi="Arial"/>
      <w:lang w:eastAsia="fr-FR"/>
    </w:rPr>
  </w:style>
  <w:style w:type="character" w:styleId="Appelnotedebasdep">
    <w:name w:val="footnote reference"/>
    <w:uiPriority w:val="99"/>
    <w:unhideWhenUsed/>
    <w:qFormat/>
    <w:rsid w:val="00437327"/>
    <w:rPr>
      <w:vertAlign w:val="superscript"/>
    </w:rPr>
  </w:style>
  <w:style w:type="paragraph" w:styleId="Paragraphedeliste">
    <w:name w:val="List Paragraph"/>
    <w:basedOn w:val="Normal"/>
    <w:link w:val="ParagraphedelisteCar"/>
    <w:uiPriority w:val="34"/>
    <w:qFormat/>
    <w:rsid w:val="009E06A7"/>
    <w:pPr>
      <w:ind w:left="720"/>
      <w:contextualSpacing/>
    </w:pPr>
  </w:style>
  <w:style w:type="table" w:styleId="Grilledutableau">
    <w:name w:val="Table Grid"/>
    <w:basedOn w:val="TableauNormal"/>
    <w:uiPriority w:val="59"/>
    <w:rsid w:val="00B2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AC5C19"/>
    <w:pPr>
      <w:tabs>
        <w:tab w:val="center" w:pos="4536"/>
        <w:tab w:val="right" w:pos="9072"/>
      </w:tabs>
    </w:pPr>
    <w:rPr>
      <w:rFonts w:ascii="Times New Roman" w:hAnsi="Times New Roman"/>
      <w:szCs w:val="24"/>
      <w:lang w:val="fr-FR"/>
    </w:rPr>
  </w:style>
  <w:style w:type="character" w:customStyle="1" w:styleId="PieddepageCar">
    <w:name w:val="Pied de page Car"/>
    <w:basedOn w:val="Policepardfaut"/>
    <w:link w:val="Pieddepage"/>
    <w:uiPriority w:val="99"/>
    <w:rsid w:val="00AC5C19"/>
    <w:rPr>
      <w:sz w:val="24"/>
      <w:szCs w:val="24"/>
      <w:lang w:val="fr-FR" w:eastAsia="fr-FR"/>
    </w:rPr>
  </w:style>
  <w:style w:type="paragraph" w:styleId="En-tte">
    <w:name w:val="header"/>
    <w:basedOn w:val="Normal"/>
    <w:link w:val="En-tteCar"/>
    <w:uiPriority w:val="99"/>
    <w:unhideWhenUsed/>
    <w:rsid w:val="00F43D37"/>
    <w:pPr>
      <w:tabs>
        <w:tab w:val="center" w:pos="4320"/>
        <w:tab w:val="right" w:pos="8640"/>
      </w:tabs>
    </w:pPr>
  </w:style>
  <w:style w:type="character" w:customStyle="1" w:styleId="En-tteCar">
    <w:name w:val="En-tête Car"/>
    <w:basedOn w:val="Policepardfaut"/>
    <w:link w:val="En-tte"/>
    <w:uiPriority w:val="99"/>
    <w:rsid w:val="00F43D37"/>
    <w:rPr>
      <w:rFonts w:ascii="Arial" w:hAnsi="Arial"/>
      <w:sz w:val="24"/>
      <w:lang w:eastAsia="fr-FR"/>
    </w:rPr>
  </w:style>
  <w:style w:type="paragraph" w:styleId="Rvision">
    <w:name w:val="Revision"/>
    <w:hidden/>
    <w:uiPriority w:val="99"/>
    <w:semiHidden/>
    <w:rsid w:val="00E467A9"/>
    <w:rPr>
      <w:rFonts w:ascii="Arial" w:hAnsi="Arial"/>
      <w:sz w:val="24"/>
      <w:lang w:eastAsia="fr-FR"/>
    </w:rPr>
  </w:style>
  <w:style w:type="numbering" w:customStyle="1" w:styleId="Style11">
    <w:name w:val="Style11"/>
    <w:uiPriority w:val="99"/>
    <w:rsid w:val="00B36F57"/>
  </w:style>
  <w:style w:type="numbering" w:customStyle="1" w:styleId="Style12">
    <w:name w:val="Style12"/>
    <w:uiPriority w:val="99"/>
    <w:rsid w:val="001B23CF"/>
    <w:pPr>
      <w:numPr>
        <w:numId w:val="1"/>
      </w:numPr>
    </w:pPr>
  </w:style>
  <w:style w:type="paragraph" w:customStyle="1" w:styleId="DocsID">
    <w:name w:val="DocsID"/>
    <w:basedOn w:val="Normal"/>
    <w:rsid w:val="004457AA"/>
    <w:pPr>
      <w:numPr>
        <w:numId w:val="4"/>
      </w:numPr>
      <w:spacing w:before="240" w:after="240"/>
      <w:jc w:val="both"/>
    </w:pPr>
    <w:rPr>
      <w:rFonts w:eastAsiaTheme="minorEastAsia" w:cs="Arial"/>
      <w:color w:val="000000"/>
      <w:sz w:val="12"/>
      <w:szCs w:val="24"/>
      <w:lang w:eastAsia="en-US"/>
    </w:rPr>
  </w:style>
  <w:style w:type="paragraph" w:customStyle="1" w:styleId="Paragraphecrochet">
    <w:name w:val="Paragraphe crochet"/>
    <w:basedOn w:val="Paragraphedeliste"/>
    <w:qFormat/>
    <w:rsid w:val="004457AA"/>
    <w:pPr>
      <w:spacing w:before="240" w:after="240"/>
      <w:ind w:left="567" w:hanging="567"/>
      <w:contextualSpacing w:val="0"/>
      <w:jc w:val="both"/>
    </w:pPr>
    <w:rPr>
      <w:rFonts w:eastAsia="Arial" w:cs="Arial"/>
      <w:bCs/>
      <w:szCs w:val="24"/>
      <w:lang w:eastAsia="en-US"/>
    </w:rPr>
  </w:style>
  <w:style w:type="character" w:customStyle="1" w:styleId="ParagraphedelisteCar">
    <w:name w:val="Paragraphe de liste Car"/>
    <w:basedOn w:val="Policepardfaut"/>
    <w:link w:val="Paragraphedeliste"/>
    <w:uiPriority w:val="34"/>
    <w:rsid w:val="004457AA"/>
    <w:rPr>
      <w:rFonts w:ascii="Arial" w:hAnsi="Arial"/>
      <w:sz w:val="24"/>
      <w:lang w:eastAsia="fr-FR"/>
    </w:rPr>
  </w:style>
  <w:style w:type="paragraph" w:customStyle="1" w:styleId="Default">
    <w:name w:val="Default"/>
    <w:rsid w:val="00726ABA"/>
    <w:pPr>
      <w:autoSpaceDE w:val="0"/>
      <w:autoSpaceDN w:val="0"/>
      <w:adjustRightInd w:val="0"/>
    </w:pPr>
    <w:rPr>
      <w:rFonts w:ascii="Arial" w:hAnsi="Arial" w:cs="Arial"/>
      <w:color w:val="000000"/>
      <w:sz w:val="24"/>
      <w:szCs w:val="24"/>
      <w:lang w:val="en-CA"/>
    </w:rPr>
  </w:style>
  <w:style w:type="paragraph" w:customStyle="1" w:styleId="SCGenL3">
    <w:name w:val="SCGen L3"/>
    <w:aliases w:val="G3"/>
    <w:basedOn w:val="Normal"/>
    <w:uiPriority w:val="28"/>
    <w:qFormat/>
    <w:rsid w:val="000E2B70"/>
    <w:pPr>
      <w:numPr>
        <w:ilvl w:val="2"/>
        <w:numId w:val="6"/>
      </w:numPr>
      <w:spacing w:after="240" w:line="480" w:lineRule="auto"/>
      <w:ind w:left="431" w:hanging="431"/>
      <w:jc w:val="both"/>
    </w:pPr>
    <w:rPr>
      <w:rFonts w:ascii="Times New Roman" w:eastAsia="MS Mincho" w:hAnsi="Times New Roman" w:cs="Arial"/>
      <w:szCs w:val="24"/>
      <w:lang w:val="en-CA" w:eastAsia="en-US"/>
    </w:rPr>
  </w:style>
  <w:style w:type="paragraph" w:customStyle="1" w:styleId="SCGenL4">
    <w:name w:val="SCGen L4"/>
    <w:aliases w:val="G4"/>
    <w:basedOn w:val="Normal"/>
    <w:uiPriority w:val="28"/>
    <w:qFormat/>
    <w:rsid w:val="000E2B70"/>
    <w:pPr>
      <w:numPr>
        <w:ilvl w:val="3"/>
        <w:numId w:val="6"/>
      </w:numPr>
      <w:spacing w:after="240"/>
      <w:ind w:left="431" w:hanging="431"/>
      <w:jc w:val="both"/>
    </w:pPr>
    <w:rPr>
      <w:rFonts w:ascii="Times New Roman" w:eastAsia="MS Mincho" w:hAnsi="Times New Roman" w:cs="Arial"/>
      <w:szCs w:val="24"/>
      <w:lang w:val="en-CA" w:eastAsia="en-US"/>
    </w:rPr>
  </w:style>
  <w:style w:type="paragraph" w:customStyle="1" w:styleId="SCGenL5">
    <w:name w:val="SCGen L5"/>
    <w:aliases w:val="G5"/>
    <w:basedOn w:val="Normal"/>
    <w:uiPriority w:val="28"/>
    <w:qFormat/>
    <w:rsid w:val="000E2B70"/>
    <w:pPr>
      <w:numPr>
        <w:ilvl w:val="4"/>
        <w:numId w:val="6"/>
      </w:numPr>
      <w:spacing w:after="240"/>
      <w:ind w:left="431" w:hanging="431"/>
      <w:jc w:val="both"/>
    </w:pPr>
    <w:rPr>
      <w:rFonts w:ascii="Times New Roman" w:eastAsia="MS Mincho" w:hAnsi="Times New Roman" w:cs="Arial"/>
      <w:szCs w:val="24"/>
      <w:lang w:val="en-CA" w:eastAsia="en-US"/>
    </w:rPr>
  </w:style>
  <w:style w:type="paragraph" w:customStyle="1" w:styleId="SCGenL6">
    <w:name w:val="SCGen L6"/>
    <w:aliases w:val="G6"/>
    <w:basedOn w:val="Normal"/>
    <w:uiPriority w:val="28"/>
    <w:qFormat/>
    <w:rsid w:val="000E2B70"/>
    <w:pPr>
      <w:numPr>
        <w:ilvl w:val="5"/>
        <w:numId w:val="6"/>
      </w:numPr>
      <w:spacing w:after="240"/>
      <w:ind w:left="431" w:hanging="431"/>
      <w:jc w:val="both"/>
    </w:pPr>
    <w:rPr>
      <w:rFonts w:ascii="Times New Roman" w:eastAsia="MS Mincho" w:hAnsi="Times New Roman" w:cs="Arial"/>
      <w:szCs w:val="24"/>
      <w:lang w:val="en-CA" w:eastAsia="en-US"/>
    </w:rPr>
  </w:style>
  <w:style w:type="paragraph" w:customStyle="1" w:styleId="SCGenL7">
    <w:name w:val="SCGen L7"/>
    <w:aliases w:val="G7"/>
    <w:basedOn w:val="Normal"/>
    <w:uiPriority w:val="28"/>
    <w:qFormat/>
    <w:rsid w:val="000E2B70"/>
    <w:pPr>
      <w:numPr>
        <w:ilvl w:val="6"/>
        <w:numId w:val="6"/>
      </w:numPr>
      <w:spacing w:after="240"/>
      <w:ind w:left="431" w:hanging="431"/>
      <w:jc w:val="both"/>
    </w:pPr>
    <w:rPr>
      <w:rFonts w:ascii="Times New Roman" w:eastAsia="MS Mincho" w:hAnsi="Times New Roman" w:cs="Arial"/>
      <w:szCs w:val="24"/>
      <w:lang w:val="en-CA" w:eastAsia="en-US"/>
    </w:rPr>
  </w:style>
  <w:style w:type="paragraph" w:customStyle="1" w:styleId="SCGenL8">
    <w:name w:val="SCGen L8"/>
    <w:aliases w:val="G8"/>
    <w:basedOn w:val="Normal"/>
    <w:uiPriority w:val="28"/>
    <w:qFormat/>
    <w:rsid w:val="000E2B70"/>
    <w:pPr>
      <w:numPr>
        <w:ilvl w:val="7"/>
        <w:numId w:val="6"/>
      </w:numPr>
      <w:spacing w:after="240"/>
      <w:ind w:left="431" w:hanging="431"/>
      <w:jc w:val="both"/>
    </w:pPr>
    <w:rPr>
      <w:rFonts w:ascii="Times New Roman" w:eastAsia="MS Mincho" w:hAnsi="Times New Roman" w:cs="Arial"/>
      <w:szCs w:val="24"/>
      <w:lang w:val="en-CA" w:eastAsia="en-US"/>
    </w:rPr>
  </w:style>
  <w:style w:type="paragraph" w:customStyle="1" w:styleId="SCGenL9">
    <w:name w:val="SCGen L9"/>
    <w:aliases w:val="G9"/>
    <w:basedOn w:val="Normal"/>
    <w:uiPriority w:val="28"/>
    <w:qFormat/>
    <w:rsid w:val="000E2B70"/>
    <w:pPr>
      <w:numPr>
        <w:ilvl w:val="8"/>
        <w:numId w:val="6"/>
      </w:numPr>
      <w:spacing w:after="240"/>
      <w:ind w:left="431" w:hanging="431"/>
      <w:jc w:val="both"/>
    </w:pPr>
    <w:rPr>
      <w:rFonts w:ascii="Times New Roman" w:eastAsia="MS Mincho" w:hAnsi="Times New Roman" w:cs="Arial"/>
      <w:szCs w:val="24"/>
      <w:lang w:val="en-CA" w:eastAsia="en-US"/>
    </w:rPr>
  </w:style>
  <w:style w:type="paragraph" w:customStyle="1" w:styleId="SCGenL1">
    <w:name w:val="SCGen L1"/>
    <w:aliases w:val="G1"/>
    <w:basedOn w:val="Normal"/>
    <w:link w:val="SCGenL1Char"/>
    <w:uiPriority w:val="28"/>
    <w:qFormat/>
    <w:rsid w:val="000E2B70"/>
    <w:pPr>
      <w:numPr>
        <w:numId w:val="6"/>
      </w:numPr>
      <w:spacing w:before="240" w:line="480" w:lineRule="auto"/>
      <w:ind w:left="431" w:hanging="431"/>
      <w:jc w:val="both"/>
    </w:pPr>
    <w:rPr>
      <w:rFonts w:ascii="Times New Roman" w:eastAsia="MS Mincho" w:hAnsi="Times New Roman"/>
      <w:szCs w:val="24"/>
      <w:lang w:val="en-CA" w:eastAsia="x-none"/>
    </w:rPr>
  </w:style>
  <w:style w:type="paragraph" w:customStyle="1" w:styleId="SCGenL2">
    <w:name w:val="SCGen L2"/>
    <w:aliases w:val="G2"/>
    <w:basedOn w:val="Normal"/>
    <w:uiPriority w:val="28"/>
    <w:qFormat/>
    <w:rsid w:val="000E2B70"/>
    <w:pPr>
      <w:numPr>
        <w:ilvl w:val="1"/>
        <w:numId w:val="6"/>
      </w:numPr>
      <w:spacing w:before="240" w:line="480" w:lineRule="auto"/>
      <w:ind w:left="431" w:hanging="431"/>
      <w:jc w:val="both"/>
    </w:pPr>
    <w:rPr>
      <w:rFonts w:ascii="Times New Roman" w:eastAsia="MS Mincho" w:hAnsi="Times New Roman" w:cs="Arial"/>
      <w:szCs w:val="24"/>
      <w:lang w:val="en-CA" w:eastAsia="en-US"/>
    </w:rPr>
  </w:style>
  <w:style w:type="character" w:customStyle="1" w:styleId="SCGenL1Char">
    <w:name w:val="SCGen L1 Char"/>
    <w:aliases w:val="G1 Char"/>
    <w:link w:val="SCGenL1"/>
    <w:uiPriority w:val="28"/>
    <w:rsid w:val="000E2B70"/>
    <w:rPr>
      <w:rFonts w:eastAsia="MS Mincho"/>
      <w:sz w:val="24"/>
      <w:szCs w:val="24"/>
      <w:lang w:val="en-CA" w:eastAsia="x-none"/>
    </w:rPr>
  </w:style>
  <w:style w:type="character" w:customStyle="1" w:styleId="Mentionnonrsolue1">
    <w:name w:val="Mention non résolue1"/>
    <w:basedOn w:val="Policepardfaut"/>
    <w:uiPriority w:val="99"/>
    <w:semiHidden/>
    <w:unhideWhenUsed/>
    <w:rsid w:val="002F483C"/>
    <w:rPr>
      <w:color w:val="605E5C"/>
      <w:shd w:val="clear" w:color="auto" w:fill="E1DFDD"/>
    </w:rPr>
  </w:style>
  <w:style w:type="paragraph" w:customStyle="1" w:styleId="Paragraphe">
    <w:name w:val="Paragraphe"/>
    <w:basedOn w:val="Normal"/>
    <w:qFormat/>
    <w:rsid w:val="00E2254D"/>
    <w:pPr>
      <w:spacing w:before="120" w:after="120" w:line="500" w:lineRule="exact"/>
      <w:jc w:val="both"/>
    </w:pPr>
    <w:rPr>
      <w:kern w:val="28"/>
    </w:rPr>
  </w:style>
  <w:style w:type="character" w:customStyle="1" w:styleId="alt-edited">
    <w:name w:val="alt-edited"/>
    <w:rsid w:val="00E2254D"/>
  </w:style>
  <w:style w:type="paragraph" w:customStyle="1" w:styleId="TextJustified">
    <w:name w:val="Text Justified"/>
    <w:basedOn w:val="Normal"/>
    <w:link w:val="TextJustifiedChar"/>
    <w:qFormat/>
    <w:rsid w:val="0043434E"/>
    <w:pPr>
      <w:spacing w:after="240" w:line="276" w:lineRule="auto"/>
      <w:jc w:val="both"/>
    </w:pPr>
    <w:rPr>
      <w:rFonts w:eastAsiaTheme="minorHAnsi" w:cstheme="minorBidi"/>
      <w:sz w:val="22"/>
      <w:lang w:val="en-CA" w:eastAsia="en-US"/>
    </w:rPr>
  </w:style>
  <w:style w:type="character" w:customStyle="1" w:styleId="TextJustifiedChar">
    <w:name w:val="Text Justified Char"/>
    <w:basedOn w:val="Policepardfaut"/>
    <w:link w:val="TextJustified"/>
    <w:rsid w:val="0043434E"/>
    <w:rPr>
      <w:rFonts w:ascii="Arial" w:eastAsiaTheme="minorHAnsi" w:hAnsi="Arial" w:cstheme="minorBidi"/>
      <w:sz w:val="22"/>
      <w:lang w:val="en-CA" w:eastAsia="en-US"/>
    </w:rPr>
  </w:style>
  <w:style w:type="paragraph" w:styleId="Listepuces4">
    <w:name w:val="List Bullet 4"/>
    <w:basedOn w:val="Normal"/>
    <w:uiPriority w:val="99"/>
    <w:semiHidden/>
    <w:rsid w:val="0043434E"/>
    <w:pPr>
      <w:numPr>
        <w:numId w:val="8"/>
      </w:numPr>
      <w:spacing w:line="276" w:lineRule="auto"/>
      <w:contextualSpacing/>
    </w:pPr>
    <w:rPr>
      <w:rFonts w:eastAsiaTheme="minorHAnsi" w:cstheme="minorBidi"/>
      <w:sz w:val="20"/>
      <w:lang w:val="en-CA" w:eastAsia="en-US"/>
    </w:rPr>
  </w:style>
  <w:style w:type="paragraph" w:customStyle="1" w:styleId="Body">
    <w:name w:val="Body"/>
    <w:rsid w:val="006B5AD7"/>
    <w:pPr>
      <w:widowControl w:val="0"/>
      <w:pBdr>
        <w:top w:val="nil"/>
        <w:left w:val="nil"/>
        <w:bottom w:val="nil"/>
        <w:right w:val="nil"/>
        <w:between w:val="nil"/>
        <w:bar w:val="nil"/>
      </w:pBdr>
      <w:jc w:val="both"/>
    </w:pPr>
    <w:rPr>
      <w:rFonts w:ascii="Arial" w:eastAsia="Arial Unicode MS" w:hAnsi="Arial Unicode MS" w:cs="Arial Unicode MS"/>
      <w:color w:val="000000"/>
      <w:sz w:val="24"/>
      <w:szCs w:val="24"/>
      <w:u w:color="000000"/>
      <w:bdr w:val="nil"/>
      <w:lang w:val="en-US" w:eastAsia="en-US"/>
    </w:rPr>
  </w:style>
  <w:style w:type="paragraph" w:styleId="Sansinterligne">
    <w:name w:val="No Spacing"/>
    <w:uiPriority w:val="1"/>
    <w:qFormat/>
    <w:rsid w:val="006B5AD7"/>
    <w:pPr>
      <w:widowControl w:val="0"/>
      <w:autoSpaceDE w:val="0"/>
      <w:autoSpaceDN w:val="0"/>
      <w:adjustRightInd w:val="0"/>
    </w:pPr>
    <w:rPr>
      <w:rFonts w:ascii="Arial" w:hAnsi="Arial" w:cs="Arial"/>
      <w:sz w:val="22"/>
      <w:szCs w:val="22"/>
      <w:lang w:val="en-CA" w:eastAsia="en-US"/>
    </w:rPr>
  </w:style>
  <w:style w:type="paragraph" w:styleId="NormalWeb">
    <w:name w:val="Normal (Web)"/>
    <w:basedOn w:val="Normal"/>
    <w:uiPriority w:val="99"/>
    <w:semiHidden/>
    <w:unhideWhenUsed/>
    <w:rsid w:val="00746ED6"/>
    <w:pPr>
      <w:spacing w:before="100" w:beforeAutospacing="1" w:after="100" w:afterAutospacing="1"/>
    </w:pPr>
    <w:rPr>
      <w:rFonts w:ascii="Times New Roman" w:hAnsi="Times New Roman"/>
      <w:szCs w:val="24"/>
      <w:lang w:val="en-CA" w:eastAsia="en-CA"/>
    </w:rPr>
  </w:style>
  <w:style w:type="character" w:customStyle="1" w:styleId="italic">
    <w:name w:val="italic"/>
    <w:basedOn w:val="Policepardfaut"/>
    <w:rsid w:val="00746ED6"/>
  </w:style>
  <w:style w:type="character" w:customStyle="1" w:styleId="hidetooltip">
    <w:name w:val="hidetooltip"/>
    <w:basedOn w:val="Policepardfaut"/>
    <w:rsid w:val="0074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E092A-0F47-470E-B690-14F90465533A}">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5800</Words>
  <Characters>31903</Characters>
  <Application>Microsoft Office Word</Application>
  <DocSecurity>4</DocSecurity>
  <Lines>265</Lines>
  <Paragraphs>75</Paragraphs>
  <ScaleCrop>false</ScaleCrop>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Giroux, Carolynn</dc:creator>
  <cp:lastModifiedBy>Giroux, Carolynn</cp:lastModifiedBy>
  <cp:revision>2</cp:revision>
  <dcterms:created xsi:type="dcterms:W3CDTF">2026-06-25T11:09:00Z</dcterms:created>
  <dcterms:modified xsi:type="dcterms:W3CDTF">2026-06-25T11:09:00Z</dcterms:modified>
</cp:coreProperties>
</file>