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Layout w:type="fixed"/>
        <w:tblCellMar>
          <w:left w:w="0" w:type="dxa"/>
          <w:right w:w="0" w:type="dxa"/>
        </w:tblCellMar>
        <w:tblLook w:val="0000" w:firstRow="0" w:lastRow="0" w:firstColumn="0" w:lastColumn="0" w:noHBand="0" w:noVBand="0"/>
      </w:tblPr>
      <w:tblGrid>
        <w:gridCol w:w="1030"/>
        <w:gridCol w:w="590"/>
        <w:gridCol w:w="2350"/>
        <w:gridCol w:w="3402"/>
        <w:gridCol w:w="1988"/>
      </w:tblGrid>
      <w:tr w:rsidR="008F364A" w14:paraId="7D14F5E6" w14:textId="77777777" w:rsidTr="008D18FC">
        <w:trPr>
          <w:trHeight w:val="248"/>
        </w:trPr>
        <w:tc>
          <w:tcPr>
            <w:tcW w:w="7372" w:type="dxa"/>
            <w:gridSpan w:val="4"/>
          </w:tcPr>
          <w:p w14:paraId="6D5E3429" w14:textId="657CCA3F" w:rsidR="008F364A" w:rsidRPr="00673FA2" w:rsidRDefault="00673FA2" w:rsidP="00673FA2">
            <w:pPr>
              <w:pStyle w:val="zSoquijdatRepertorie"/>
              <w:rPr>
                <w:rFonts w:cs="Arial"/>
              </w:rPr>
            </w:pPr>
            <w:r>
              <w:rPr>
                <w:rFonts w:cs="Arial"/>
              </w:rPr>
              <w:t>Laforce c. Ville de Québec</w:t>
            </w:r>
          </w:p>
        </w:tc>
        <w:tc>
          <w:tcPr>
            <w:tcW w:w="1988" w:type="dxa"/>
          </w:tcPr>
          <w:p w14:paraId="5203F684" w14:textId="59B99354" w:rsidR="008F364A" w:rsidRPr="003E0B65" w:rsidRDefault="003E0B65" w:rsidP="003E0B65">
            <w:pPr>
              <w:pStyle w:val="zSoquijdatRefNeutre"/>
              <w:jc w:val="right"/>
              <w:rPr>
                <w:rFonts w:cs="Arial"/>
              </w:rPr>
            </w:pPr>
            <w:r w:rsidRPr="003E0B65">
              <w:rPr>
                <w:rFonts w:cs="Arial"/>
              </w:rPr>
              <w:t>2026 QCCA 874</w:t>
            </w:r>
          </w:p>
        </w:tc>
      </w:tr>
      <w:tr w:rsidR="008F364A" w14:paraId="7F50A8D7" w14:textId="77777777" w:rsidTr="008D18FC">
        <w:trPr>
          <w:trHeight w:val="247"/>
        </w:trPr>
        <w:tc>
          <w:tcPr>
            <w:tcW w:w="9360" w:type="dxa"/>
            <w:gridSpan w:val="5"/>
          </w:tcPr>
          <w:p w14:paraId="282A717E" w14:textId="187908BE" w:rsidR="008F364A" w:rsidRDefault="00740A17">
            <w:pPr>
              <w:pStyle w:val="zSoquijlblCour"/>
            </w:pPr>
            <w:r>
              <w:t>COUR D</w:t>
            </w:r>
            <w:r w:rsidR="00CF2D61">
              <w:t>’</w:t>
            </w:r>
            <w:r>
              <w:t>APPEL</w:t>
            </w:r>
          </w:p>
        </w:tc>
      </w:tr>
      <w:tr w:rsidR="008F364A" w14:paraId="09E197A8" w14:textId="77777777" w:rsidTr="008D18FC">
        <w:trPr>
          <w:trHeight w:val="540"/>
        </w:trPr>
        <w:tc>
          <w:tcPr>
            <w:tcW w:w="9360" w:type="dxa"/>
            <w:gridSpan w:val="5"/>
          </w:tcPr>
          <w:p w14:paraId="546A378A" w14:textId="77777777" w:rsidR="008F364A" w:rsidRDefault="008F364A">
            <w:pPr>
              <w:pStyle w:val="zSoquijdatDivision"/>
            </w:pPr>
          </w:p>
        </w:tc>
      </w:tr>
      <w:tr w:rsidR="008F364A" w14:paraId="0E476134" w14:textId="77777777" w:rsidTr="008D18FC">
        <w:tc>
          <w:tcPr>
            <w:tcW w:w="9360" w:type="dxa"/>
            <w:gridSpan w:val="5"/>
          </w:tcPr>
          <w:p w14:paraId="2E83B870" w14:textId="77777777" w:rsidR="008F364A" w:rsidRDefault="00740A17">
            <w:pPr>
              <w:pStyle w:val="zSoquijlblPays"/>
            </w:pPr>
            <w:r>
              <w:t>CANADA</w:t>
            </w:r>
          </w:p>
        </w:tc>
      </w:tr>
      <w:tr w:rsidR="008F364A" w14:paraId="462A9CD3" w14:textId="77777777" w:rsidTr="008D18FC">
        <w:tc>
          <w:tcPr>
            <w:tcW w:w="9360" w:type="dxa"/>
            <w:gridSpan w:val="5"/>
          </w:tcPr>
          <w:p w14:paraId="6368CA6D" w14:textId="77777777" w:rsidR="008F364A" w:rsidRDefault="00740A17">
            <w:pPr>
              <w:pStyle w:val="zSoquijlblProvince"/>
            </w:pPr>
            <w:r>
              <w:t>PROVINCE DE QUÉBEC</w:t>
            </w:r>
          </w:p>
        </w:tc>
      </w:tr>
      <w:tr w:rsidR="00162C29" w14:paraId="5F1BDB17" w14:textId="77777777" w:rsidTr="009E3F86">
        <w:tc>
          <w:tcPr>
            <w:tcW w:w="9360" w:type="dxa"/>
            <w:gridSpan w:val="5"/>
          </w:tcPr>
          <w:p w14:paraId="0B4131B0" w14:textId="72E0FFBE" w:rsidR="00162C29" w:rsidRDefault="00162C29" w:rsidP="00162C29">
            <w:pPr>
              <w:pStyle w:val="zSoquijlblGreffe"/>
            </w:pPr>
            <w:r w:rsidRPr="008E5E9D">
              <w:t>SIÈGE</w:t>
            </w:r>
            <w:r>
              <w:t xml:space="preserve"> DE QUÉBEC</w:t>
            </w:r>
          </w:p>
        </w:tc>
      </w:tr>
      <w:tr w:rsidR="00162C29" w14:paraId="6F853B62" w14:textId="77777777" w:rsidTr="009E3F86">
        <w:tc>
          <w:tcPr>
            <w:tcW w:w="9360" w:type="dxa"/>
            <w:gridSpan w:val="5"/>
          </w:tcPr>
          <w:p w14:paraId="2FABDE8B" w14:textId="77777777" w:rsidR="00162C29" w:rsidRPr="008E5E9D" w:rsidRDefault="00162C29" w:rsidP="00162C29">
            <w:pPr>
              <w:pStyle w:val="zSoquijlblGreffe"/>
            </w:pPr>
          </w:p>
        </w:tc>
      </w:tr>
      <w:tr w:rsidR="008F364A" w14:paraId="7E3F2F45" w14:textId="77777777" w:rsidTr="008D18FC">
        <w:tc>
          <w:tcPr>
            <w:tcW w:w="1030" w:type="dxa"/>
          </w:tcPr>
          <w:p w14:paraId="4AB0FD5D" w14:textId="77777777" w:rsidR="008F364A" w:rsidRDefault="00740A17">
            <w:pPr>
              <w:pStyle w:val="zSoquijlblNoDossier"/>
            </w:pPr>
            <w:r>
              <w:t>N° :</w:t>
            </w:r>
          </w:p>
        </w:tc>
        <w:tc>
          <w:tcPr>
            <w:tcW w:w="8330" w:type="dxa"/>
            <w:gridSpan w:val="4"/>
          </w:tcPr>
          <w:p w14:paraId="02F4A3DE" w14:textId="2DD1378A" w:rsidR="008F364A" w:rsidRDefault="0010645A">
            <w:pPr>
              <w:pStyle w:val="zSoquijdatNoDossier"/>
            </w:pPr>
            <w:bookmarkStart w:id="0" w:name="NoDossier"/>
            <w:r>
              <w:t>200-09-010622-238</w:t>
            </w:r>
            <w:bookmarkEnd w:id="0"/>
            <w:r>
              <w:t>, 200-09-010623-236, 200-09-010624-234</w:t>
            </w:r>
          </w:p>
        </w:tc>
      </w:tr>
      <w:tr w:rsidR="0010645A" w14:paraId="40A817DC" w14:textId="77777777" w:rsidTr="008D18FC">
        <w:tc>
          <w:tcPr>
            <w:tcW w:w="9360" w:type="dxa"/>
            <w:gridSpan w:val="5"/>
          </w:tcPr>
          <w:p w14:paraId="5905700A" w14:textId="652DB6DF" w:rsidR="0010645A" w:rsidRDefault="0010645A" w:rsidP="0010645A">
            <w:pPr>
              <w:pStyle w:val="zSoquijdatNoDossierAnt"/>
            </w:pPr>
            <w:r>
              <w:t>(200-06-000184-153) (200-06-000185-150) (200-06-000183-155)</w:t>
            </w:r>
          </w:p>
        </w:tc>
      </w:tr>
      <w:tr w:rsidR="008F364A" w14:paraId="4BD8BCE2" w14:textId="77777777" w:rsidTr="008D18FC">
        <w:tc>
          <w:tcPr>
            <w:tcW w:w="9360" w:type="dxa"/>
            <w:gridSpan w:val="5"/>
          </w:tcPr>
          <w:p w14:paraId="0BA81FCD" w14:textId="77777777" w:rsidR="008F364A" w:rsidRDefault="008F364A"/>
        </w:tc>
      </w:tr>
      <w:tr w:rsidR="008F364A" w14:paraId="15D1C410" w14:textId="77777777" w:rsidTr="008D18FC">
        <w:tc>
          <w:tcPr>
            <w:tcW w:w="1030" w:type="dxa"/>
          </w:tcPr>
          <w:p w14:paraId="54D319E5" w14:textId="77777777" w:rsidR="008F364A" w:rsidRDefault="00740A17">
            <w:pPr>
              <w:pStyle w:val="zSoquijlblDateJugement"/>
            </w:pPr>
            <w:r>
              <w:t>DATE :</w:t>
            </w:r>
          </w:p>
        </w:tc>
        <w:tc>
          <w:tcPr>
            <w:tcW w:w="8330" w:type="dxa"/>
            <w:gridSpan w:val="4"/>
          </w:tcPr>
          <w:p w14:paraId="41954055" w14:textId="62D15DF9" w:rsidR="008F364A" w:rsidRDefault="00F6105E">
            <w:pPr>
              <w:pStyle w:val="zSoquijdatDateJugement"/>
            </w:pPr>
            <w:r>
              <w:t>25 juin 2026</w:t>
            </w:r>
          </w:p>
        </w:tc>
      </w:tr>
      <w:tr w:rsidR="008F364A" w14:paraId="6BE6FC91" w14:textId="77777777" w:rsidTr="008D18FC">
        <w:tc>
          <w:tcPr>
            <w:tcW w:w="9360" w:type="dxa"/>
            <w:gridSpan w:val="5"/>
            <w:tcBorders>
              <w:bottom w:val="single" w:sz="8" w:space="0" w:color="auto"/>
            </w:tcBorders>
          </w:tcPr>
          <w:p w14:paraId="2B5B62B8" w14:textId="77777777" w:rsidR="008F364A" w:rsidRDefault="008F364A"/>
        </w:tc>
      </w:tr>
      <w:tr w:rsidR="008F364A" w14:paraId="5E97281C" w14:textId="77777777" w:rsidTr="008D18FC">
        <w:tc>
          <w:tcPr>
            <w:tcW w:w="9360" w:type="dxa"/>
            <w:gridSpan w:val="5"/>
            <w:tcBorders>
              <w:top w:val="single" w:sz="8" w:space="0" w:color="auto"/>
            </w:tcBorders>
          </w:tcPr>
          <w:p w14:paraId="17742AB5" w14:textId="77777777" w:rsidR="008F364A" w:rsidRDefault="008F364A"/>
        </w:tc>
      </w:tr>
      <w:tr w:rsidR="008F364A" w:rsidRPr="00B3650D" w14:paraId="5DE83214" w14:textId="77777777" w:rsidTr="008D18FC">
        <w:tc>
          <w:tcPr>
            <w:tcW w:w="1620" w:type="dxa"/>
            <w:gridSpan w:val="2"/>
          </w:tcPr>
          <w:p w14:paraId="67EAA983" w14:textId="77777777" w:rsidR="008F364A" w:rsidRDefault="00B70485" w:rsidP="00423DF1">
            <w:pPr>
              <w:pStyle w:val="zSoquijlblJuge"/>
              <w:ind w:right="-142"/>
            </w:pPr>
            <w:bookmarkStart w:id="1" w:name="FORMATION"/>
            <w:r>
              <w:t>FORMATION</w:t>
            </w:r>
            <w:r w:rsidR="00B513C9">
              <w:t> </w:t>
            </w:r>
            <w:r w:rsidR="00740A17">
              <w:t>:</w:t>
            </w:r>
            <w:bookmarkEnd w:id="1"/>
          </w:p>
        </w:tc>
        <w:tc>
          <w:tcPr>
            <w:tcW w:w="2350" w:type="dxa"/>
          </w:tcPr>
          <w:p w14:paraId="307603A5" w14:textId="77777777" w:rsidR="008F364A" w:rsidRDefault="00740A17">
            <w:pPr>
              <w:pStyle w:val="zSoquijdatQteJuge"/>
            </w:pPr>
            <w:bookmarkStart w:id="2" w:name="Honorables"/>
            <w:r>
              <w:t>LES HONORABLES</w:t>
            </w:r>
            <w:bookmarkEnd w:id="2"/>
          </w:p>
        </w:tc>
        <w:tc>
          <w:tcPr>
            <w:tcW w:w="5390" w:type="dxa"/>
            <w:gridSpan w:val="2"/>
          </w:tcPr>
          <w:p w14:paraId="3A76B0DA" w14:textId="77777777" w:rsidR="008F364A" w:rsidRDefault="0010645A">
            <w:pPr>
              <w:pStyle w:val="zSoquijdatJuge"/>
            </w:pPr>
            <w:bookmarkStart w:id="3" w:name="NomJuge1"/>
            <w:r>
              <w:t>MARTIN VAUCLAIR, J.C.A.</w:t>
            </w:r>
            <w:bookmarkEnd w:id="3"/>
          </w:p>
          <w:p w14:paraId="766B61DA" w14:textId="77777777" w:rsidR="008F364A" w:rsidRDefault="0010645A">
            <w:pPr>
              <w:pStyle w:val="zSoquijdatJuge"/>
            </w:pPr>
            <w:bookmarkStart w:id="4" w:name="NomJuge2"/>
            <w:r>
              <w:t>MICHEL BEAUPRÉ, J.C.A.</w:t>
            </w:r>
            <w:bookmarkEnd w:id="4"/>
          </w:p>
          <w:p w14:paraId="1095CD0D" w14:textId="77777777" w:rsidR="005A78BF" w:rsidRDefault="0010645A" w:rsidP="0010645A">
            <w:pPr>
              <w:pStyle w:val="zSoquijdatJuge"/>
              <w:rPr>
                <w:lang w:val="de-DE"/>
              </w:rPr>
            </w:pPr>
            <w:bookmarkStart w:id="5" w:name="_Hlt520513784"/>
            <w:bookmarkStart w:id="6" w:name="NomJuge3"/>
            <w:bookmarkEnd w:id="5"/>
            <w:r w:rsidRPr="0010645A">
              <w:rPr>
                <w:lang w:val="en-CA"/>
              </w:rPr>
              <w:t>ÉRIC HARDY, J.C.A.</w:t>
            </w:r>
            <w:bookmarkEnd w:id="6"/>
          </w:p>
        </w:tc>
      </w:tr>
      <w:tr w:rsidR="008F364A" w:rsidRPr="00B3650D" w14:paraId="437AEF5D" w14:textId="77777777" w:rsidTr="008D18FC">
        <w:tc>
          <w:tcPr>
            <w:tcW w:w="9360" w:type="dxa"/>
            <w:gridSpan w:val="5"/>
            <w:tcBorders>
              <w:bottom w:val="single" w:sz="8" w:space="0" w:color="auto"/>
            </w:tcBorders>
          </w:tcPr>
          <w:p w14:paraId="2FD6189C" w14:textId="77777777" w:rsidR="008F364A" w:rsidRDefault="008F364A">
            <w:pPr>
              <w:rPr>
                <w:lang w:val="de-DE"/>
              </w:rPr>
            </w:pPr>
          </w:p>
        </w:tc>
      </w:tr>
      <w:tr w:rsidR="008F364A" w:rsidRPr="00B3650D" w14:paraId="7D974D51" w14:textId="77777777" w:rsidTr="008D18FC">
        <w:tc>
          <w:tcPr>
            <w:tcW w:w="9360" w:type="dxa"/>
            <w:gridSpan w:val="5"/>
          </w:tcPr>
          <w:p w14:paraId="5E3DA2B1" w14:textId="77777777" w:rsidR="008F364A" w:rsidRDefault="008F364A">
            <w:pPr>
              <w:pStyle w:val="zSoquijlblTitrePartie"/>
              <w:rPr>
                <w:lang w:val="de-DE"/>
              </w:rPr>
            </w:pPr>
          </w:p>
        </w:tc>
      </w:tr>
      <w:tr w:rsidR="00162C29" w:rsidRPr="0010645A" w14:paraId="251A86B3" w14:textId="77777777" w:rsidTr="008D18FC">
        <w:tc>
          <w:tcPr>
            <w:tcW w:w="9360" w:type="dxa"/>
            <w:gridSpan w:val="5"/>
          </w:tcPr>
          <w:p w14:paraId="47E486F7" w14:textId="70762207" w:rsidR="00162C29" w:rsidRDefault="00162C29" w:rsidP="00162C29">
            <w:pPr>
              <w:pStyle w:val="zSoquijlblTitrePartie"/>
              <w:tabs>
                <w:tab w:val="left" w:pos="709"/>
              </w:tabs>
              <w:rPr>
                <w:lang w:val="de-DE"/>
              </w:rPr>
            </w:pPr>
            <w:r>
              <w:rPr>
                <w:lang w:val="de-DE"/>
              </w:rPr>
              <w:t>N° : </w:t>
            </w:r>
            <w:r>
              <w:rPr>
                <w:lang w:val="de-DE"/>
              </w:rPr>
              <w:tab/>
            </w:r>
            <w:r>
              <w:t>200-09-010622-238</w:t>
            </w:r>
          </w:p>
        </w:tc>
      </w:tr>
      <w:tr w:rsidR="00162C29" w:rsidRPr="0010645A" w14:paraId="40C556D1" w14:textId="77777777" w:rsidTr="008D18FC">
        <w:tc>
          <w:tcPr>
            <w:tcW w:w="9360" w:type="dxa"/>
            <w:gridSpan w:val="5"/>
          </w:tcPr>
          <w:p w14:paraId="6513B9A2" w14:textId="7F046279" w:rsidR="00162C29" w:rsidRDefault="00162C29" w:rsidP="000E4126">
            <w:pPr>
              <w:pStyle w:val="zSoquijlblTitrePartie"/>
              <w:tabs>
                <w:tab w:val="left" w:pos="624"/>
              </w:tabs>
              <w:spacing w:after="120"/>
              <w:rPr>
                <w:lang w:val="de-DE"/>
              </w:rPr>
            </w:pPr>
            <w:r>
              <w:rPr>
                <w:lang w:val="de-DE"/>
              </w:rPr>
              <w:tab/>
              <w:t>(</w:t>
            </w:r>
            <w:r>
              <w:t>200-06-000184-153)</w:t>
            </w:r>
          </w:p>
        </w:tc>
      </w:tr>
      <w:tr w:rsidR="008F364A" w14:paraId="72C3AB4C" w14:textId="77777777" w:rsidTr="008D18FC">
        <w:tc>
          <w:tcPr>
            <w:tcW w:w="9360" w:type="dxa"/>
            <w:gridSpan w:val="5"/>
          </w:tcPr>
          <w:p w14:paraId="307E27A5" w14:textId="318CD1BB" w:rsidR="008F364A" w:rsidRDefault="0010645A">
            <w:pPr>
              <w:pStyle w:val="zSoquijdatNomPartieDem"/>
              <w:rPr>
                <w:lang w:val="de-DE"/>
              </w:rPr>
            </w:pPr>
            <w:r>
              <w:t>BERNARD LAFORCE</w:t>
            </w:r>
          </w:p>
        </w:tc>
      </w:tr>
      <w:tr w:rsidR="008F364A" w14:paraId="3513747C" w14:textId="77777777" w:rsidTr="008D18FC">
        <w:tc>
          <w:tcPr>
            <w:tcW w:w="9360" w:type="dxa"/>
            <w:gridSpan w:val="5"/>
          </w:tcPr>
          <w:p w14:paraId="578F71F4" w14:textId="63500618" w:rsidR="008F364A" w:rsidRDefault="0010645A">
            <w:pPr>
              <w:pStyle w:val="zSoquijdatQtePartieDem"/>
              <w:rPr>
                <w:lang w:val="de-DE"/>
              </w:rPr>
            </w:pPr>
            <w:r>
              <w:t>APPELANT </w:t>
            </w:r>
            <w:r>
              <w:sym w:font="Symbol" w:char="F02D"/>
            </w:r>
            <w:r>
              <w:t> demandeur</w:t>
            </w:r>
          </w:p>
        </w:tc>
      </w:tr>
      <w:tr w:rsidR="008F364A" w14:paraId="32179FD3" w14:textId="77777777" w:rsidTr="008D18FC">
        <w:tc>
          <w:tcPr>
            <w:tcW w:w="9360" w:type="dxa"/>
            <w:gridSpan w:val="5"/>
          </w:tcPr>
          <w:p w14:paraId="46688087" w14:textId="77777777" w:rsidR="008F364A" w:rsidRDefault="00740A17">
            <w:pPr>
              <w:pStyle w:val="zSoquijlblLienParties"/>
              <w:rPr>
                <w:lang w:val="en-CA"/>
              </w:rPr>
            </w:pPr>
            <w:r>
              <w:rPr>
                <w:lang w:val="en-CA"/>
              </w:rPr>
              <w:t>c.</w:t>
            </w:r>
          </w:p>
        </w:tc>
      </w:tr>
      <w:tr w:rsidR="008F364A" w14:paraId="7609B05A" w14:textId="77777777" w:rsidTr="008D18FC">
        <w:tc>
          <w:tcPr>
            <w:tcW w:w="9360" w:type="dxa"/>
            <w:gridSpan w:val="5"/>
          </w:tcPr>
          <w:p w14:paraId="4F5B20E4" w14:textId="77777777" w:rsidR="008F364A" w:rsidRDefault="008F364A">
            <w:pPr>
              <w:rPr>
                <w:lang w:val="en-CA"/>
              </w:rPr>
            </w:pPr>
          </w:p>
        </w:tc>
      </w:tr>
      <w:tr w:rsidR="008F364A" w14:paraId="07769D3C" w14:textId="77777777" w:rsidTr="008D18FC">
        <w:tc>
          <w:tcPr>
            <w:tcW w:w="9360" w:type="dxa"/>
            <w:gridSpan w:val="5"/>
          </w:tcPr>
          <w:p w14:paraId="6CBF719E" w14:textId="2467FB16" w:rsidR="008F364A" w:rsidRDefault="0010645A">
            <w:pPr>
              <w:pStyle w:val="zSoquijdatNomPartieDef"/>
              <w:rPr>
                <w:lang w:val="en-CA"/>
              </w:rPr>
            </w:pPr>
            <w:r>
              <w:t>VILLE DE QUÉBEC</w:t>
            </w:r>
          </w:p>
        </w:tc>
      </w:tr>
      <w:tr w:rsidR="008F364A" w14:paraId="38E77C85" w14:textId="77777777" w:rsidTr="008D18FC">
        <w:tc>
          <w:tcPr>
            <w:tcW w:w="9360" w:type="dxa"/>
            <w:gridSpan w:val="5"/>
          </w:tcPr>
          <w:p w14:paraId="6C7AAA63" w14:textId="060525E3" w:rsidR="008F364A" w:rsidRDefault="0010645A">
            <w:pPr>
              <w:pStyle w:val="zSoquijdatQtePartieDef"/>
              <w:rPr>
                <w:lang w:val="en-CA"/>
              </w:rPr>
            </w:pPr>
            <w:r>
              <w:t>INTIMÉE </w:t>
            </w:r>
            <w:r>
              <w:sym w:font="Symbol" w:char="F02D"/>
            </w:r>
            <w:r>
              <w:t> défenderesse</w:t>
            </w:r>
          </w:p>
        </w:tc>
      </w:tr>
      <w:tr w:rsidR="0010645A" w14:paraId="7A4047D4" w14:textId="77777777" w:rsidTr="008D18FC">
        <w:tc>
          <w:tcPr>
            <w:tcW w:w="9360" w:type="dxa"/>
            <w:gridSpan w:val="5"/>
          </w:tcPr>
          <w:p w14:paraId="0B669A76" w14:textId="3D415560" w:rsidR="0010645A" w:rsidRDefault="0010645A" w:rsidP="0010645A">
            <w:pPr>
              <w:rPr>
                <w:lang w:val="en-CA"/>
              </w:rPr>
            </w:pPr>
            <w:r>
              <w:rPr>
                <w:lang w:val="en-CA"/>
              </w:rPr>
              <w:t>et</w:t>
            </w:r>
          </w:p>
        </w:tc>
      </w:tr>
      <w:tr w:rsidR="0010645A" w14:paraId="0654AA4E" w14:textId="77777777" w:rsidTr="000E4126">
        <w:tc>
          <w:tcPr>
            <w:tcW w:w="9360" w:type="dxa"/>
            <w:gridSpan w:val="5"/>
          </w:tcPr>
          <w:p w14:paraId="0F107B3E" w14:textId="542DAA2F" w:rsidR="0010645A" w:rsidRDefault="0010645A" w:rsidP="0010645A">
            <w:pPr>
              <w:pStyle w:val="zSoquijdatNomPartieDef"/>
              <w:rPr>
                <w:lang w:val="en-CA"/>
              </w:rPr>
            </w:pPr>
            <w:r>
              <w:rPr>
                <w:lang w:val="en-CA"/>
              </w:rPr>
              <w:t>PROCUREUR GÉNÉRAL DU QUÉBEC</w:t>
            </w:r>
          </w:p>
        </w:tc>
      </w:tr>
      <w:tr w:rsidR="0010645A" w14:paraId="63227DCF" w14:textId="77777777" w:rsidTr="000E4126">
        <w:tc>
          <w:tcPr>
            <w:tcW w:w="9360" w:type="dxa"/>
            <w:gridSpan w:val="5"/>
            <w:tcBorders>
              <w:bottom w:val="single" w:sz="4" w:space="0" w:color="auto"/>
            </w:tcBorders>
          </w:tcPr>
          <w:p w14:paraId="79162F53" w14:textId="7E573311" w:rsidR="0010645A" w:rsidRPr="0010645A" w:rsidRDefault="0010645A" w:rsidP="00CF2D61">
            <w:pPr>
              <w:pStyle w:val="zSoquijdatQtePartieDef"/>
              <w:spacing w:after="240"/>
              <w:ind w:left="709"/>
            </w:pPr>
            <w:r w:rsidRPr="0010645A">
              <w:t>MIS EN CAUSE </w:t>
            </w:r>
            <w:r>
              <w:rPr>
                <w:lang w:val="en-CA"/>
              </w:rPr>
              <w:sym w:font="Symbol" w:char="F02D"/>
            </w:r>
            <w:r w:rsidRPr="0010645A">
              <w:t> mis e</w:t>
            </w:r>
            <w:r>
              <w:t>n cause</w:t>
            </w:r>
          </w:p>
        </w:tc>
      </w:tr>
      <w:tr w:rsidR="00162C29" w:rsidRPr="0010645A" w14:paraId="1F254650" w14:textId="77777777" w:rsidTr="000E4126">
        <w:tc>
          <w:tcPr>
            <w:tcW w:w="9360" w:type="dxa"/>
            <w:gridSpan w:val="5"/>
            <w:tcBorders>
              <w:top w:val="single" w:sz="4" w:space="0" w:color="auto"/>
            </w:tcBorders>
          </w:tcPr>
          <w:p w14:paraId="41316610" w14:textId="74F1B7DD" w:rsidR="00162C29" w:rsidRDefault="00162C29" w:rsidP="00CF2D61">
            <w:pPr>
              <w:pStyle w:val="zSoquijlblTitrePartie"/>
              <w:tabs>
                <w:tab w:val="left" w:pos="709"/>
              </w:tabs>
              <w:spacing w:before="240"/>
              <w:rPr>
                <w:lang w:val="de-DE"/>
              </w:rPr>
            </w:pPr>
            <w:r>
              <w:rPr>
                <w:lang w:val="de-DE"/>
              </w:rPr>
              <w:t>N° : </w:t>
            </w:r>
            <w:r>
              <w:rPr>
                <w:lang w:val="de-DE"/>
              </w:rPr>
              <w:tab/>
            </w:r>
            <w:r>
              <w:t>200-09-010623-236</w:t>
            </w:r>
          </w:p>
        </w:tc>
      </w:tr>
      <w:tr w:rsidR="00162C29" w:rsidRPr="0010645A" w14:paraId="501746B6" w14:textId="77777777" w:rsidTr="00453FDF">
        <w:tc>
          <w:tcPr>
            <w:tcW w:w="9360" w:type="dxa"/>
            <w:gridSpan w:val="5"/>
          </w:tcPr>
          <w:p w14:paraId="74071E03" w14:textId="4A320AC6" w:rsidR="00162C29" w:rsidRDefault="00162C29" w:rsidP="000E4126">
            <w:pPr>
              <w:pStyle w:val="zSoquijlblTitrePartie"/>
              <w:tabs>
                <w:tab w:val="left" w:pos="624"/>
              </w:tabs>
              <w:spacing w:after="120"/>
              <w:rPr>
                <w:lang w:val="de-DE"/>
              </w:rPr>
            </w:pPr>
            <w:r>
              <w:rPr>
                <w:lang w:val="de-DE"/>
              </w:rPr>
              <w:tab/>
              <w:t>(</w:t>
            </w:r>
            <w:r>
              <w:t>200-06-000185-150)</w:t>
            </w:r>
          </w:p>
        </w:tc>
      </w:tr>
      <w:tr w:rsidR="00162C29" w14:paraId="56AD0E9E" w14:textId="77777777" w:rsidTr="00453FDF">
        <w:tc>
          <w:tcPr>
            <w:tcW w:w="9360" w:type="dxa"/>
            <w:gridSpan w:val="5"/>
          </w:tcPr>
          <w:p w14:paraId="7D8E49AB" w14:textId="49D66AED" w:rsidR="00162C29" w:rsidRDefault="00162C29" w:rsidP="00453FDF">
            <w:pPr>
              <w:pStyle w:val="zSoquijdatNomPartieDem"/>
              <w:rPr>
                <w:lang w:val="de-DE"/>
              </w:rPr>
            </w:pPr>
            <w:r>
              <w:t>MARIE-ÈVE DUCHESNE</w:t>
            </w:r>
          </w:p>
        </w:tc>
      </w:tr>
      <w:tr w:rsidR="00162C29" w14:paraId="2AEACD2C" w14:textId="77777777" w:rsidTr="00453FDF">
        <w:tc>
          <w:tcPr>
            <w:tcW w:w="9360" w:type="dxa"/>
            <w:gridSpan w:val="5"/>
          </w:tcPr>
          <w:p w14:paraId="4816BA02" w14:textId="11FF137D" w:rsidR="00162C29" w:rsidRDefault="00162C29" w:rsidP="00453FDF">
            <w:pPr>
              <w:pStyle w:val="zSoquijdatQtePartieDem"/>
              <w:rPr>
                <w:lang w:val="de-DE"/>
              </w:rPr>
            </w:pPr>
            <w:r>
              <w:t>APPELANTE </w:t>
            </w:r>
            <w:r>
              <w:sym w:font="Symbol" w:char="F02D"/>
            </w:r>
            <w:r>
              <w:t> demanderesse</w:t>
            </w:r>
          </w:p>
        </w:tc>
      </w:tr>
      <w:tr w:rsidR="00162C29" w14:paraId="513543A7" w14:textId="77777777" w:rsidTr="00453FDF">
        <w:tc>
          <w:tcPr>
            <w:tcW w:w="9360" w:type="dxa"/>
            <w:gridSpan w:val="5"/>
          </w:tcPr>
          <w:p w14:paraId="0CCDE0C9" w14:textId="77777777" w:rsidR="00162C29" w:rsidRDefault="00162C29" w:rsidP="00453FDF">
            <w:pPr>
              <w:pStyle w:val="zSoquijlblLienParties"/>
              <w:rPr>
                <w:lang w:val="en-CA"/>
              </w:rPr>
            </w:pPr>
            <w:r>
              <w:rPr>
                <w:lang w:val="en-CA"/>
              </w:rPr>
              <w:t>c.</w:t>
            </w:r>
          </w:p>
        </w:tc>
      </w:tr>
      <w:tr w:rsidR="00162C29" w14:paraId="2B9EAE8D" w14:textId="77777777" w:rsidTr="00453FDF">
        <w:tc>
          <w:tcPr>
            <w:tcW w:w="9360" w:type="dxa"/>
            <w:gridSpan w:val="5"/>
          </w:tcPr>
          <w:p w14:paraId="03714632" w14:textId="77777777" w:rsidR="00162C29" w:rsidRDefault="00162C29" w:rsidP="00453FDF">
            <w:pPr>
              <w:rPr>
                <w:lang w:val="en-CA"/>
              </w:rPr>
            </w:pPr>
          </w:p>
        </w:tc>
      </w:tr>
      <w:tr w:rsidR="00162C29" w14:paraId="395448E2" w14:textId="77777777" w:rsidTr="00453FDF">
        <w:tc>
          <w:tcPr>
            <w:tcW w:w="9360" w:type="dxa"/>
            <w:gridSpan w:val="5"/>
          </w:tcPr>
          <w:p w14:paraId="019B2E85" w14:textId="77777777" w:rsidR="00162C29" w:rsidRDefault="00162C29" w:rsidP="00453FDF">
            <w:pPr>
              <w:pStyle w:val="zSoquijdatNomPartieDef"/>
              <w:rPr>
                <w:lang w:val="en-CA"/>
              </w:rPr>
            </w:pPr>
            <w:r>
              <w:t>VILLE DE QUÉBEC</w:t>
            </w:r>
          </w:p>
        </w:tc>
      </w:tr>
      <w:tr w:rsidR="00162C29" w14:paraId="5C97157B" w14:textId="77777777" w:rsidTr="00453FDF">
        <w:tc>
          <w:tcPr>
            <w:tcW w:w="9360" w:type="dxa"/>
            <w:gridSpan w:val="5"/>
          </w:tcPr>
          <w:p w14:paraId="717CD227" w14:textId="77777777" w:rsidR="00162C29" w:rsidRDefault="00162C29" w:rsidP="00453FDF">
            <w:pPr>
              <w:pStyle w:val="zSoquijdatQtePartieDef"/>
              <w:rPr>
                <w:lang w:val="en-CA"/>
              </w:rPr>
            </w:pPr>
            <w:r>
              <w:t>INTIMÉE </w:t>
            </w:r>
            <w:r>
              <w:sym w:font="Symbol" w:char="F02D"/>
            </w:r>
            <w:r>
              <w:t> défenderesse</w:t>
            </w:r>
          </w:p>
        </w:tc>
      </w:tr>
      <w:tr w:rsidR="00162C29" w14:paraId="05736725" w14:textId="77777777" w:rsidTr="00453FDF">
        <w:tc>
          <w:tcPr>
            <w:tcW w:w="9360" w:type="dxa"/>
            <w:gridSpan w:val="5"/>
          </w:tcPr>
          <w:p w14:paraId="2B1FFE81" w14:textId="77777777" w:rsidR="00162C29" w:rsidRDefault="00162C29" w:rsidP="00453FDF">
            <w:pPr>
              <w:rPr>
                <w:lang w:val="en-CA"/>
              </w:rPr>
            </w:pPr>
            <w:r>
              <w:rPr>
                <w:lang w:val="en-CA"/>
              </w:rPr>
              <w:t>et</w:t>
            </w:r>
          </w:p>
        </w:tc>
      </w:tr>
      <w:tr w:rsidR="00162C29" w14:paraId="792733FD" w14:textId="77777777" w:rsidTr="000E4126">
        <w:tc>
          <w:tcPr>
            <w:tcW w:w="9360" w:type="dxa"/>
            <w:gridSpan w:val="5"/>
          </w:tcPr>
          <w:p w14:paraId="3748A679" w14:textId="77777777" w:rsidR="00162C29" w:rsidRDefault="00162C29" w:rsidP="00453FDF">
            <w:pPr>
              <w:pStyle w:val="zSoquijdatNomPartieDef"/>
              <w:rPr>
                <w:lang w:val="en-CA"/>
              </w:rPr>
            </w:pPr>
            <w:r>
              <w:rPr>
                <w:lang w:val="en-CA"/>
              </w:rPr>
              <w:t>PROCUREUR GÉNÉRAL DU QUÉBEC</w:t>
            </w:r>
          </w:p>
        </w:tc>
      </w:tr>
      <w:tr w:rsidR="00162C29" w14:paraId="2852BBF0" w14:textId="77777777" w:rsidTr="000E4126">
        <w:tc>
          <w:tcPr>
            <w:tcW w:w="9360" w:type="dxa"/>
            <w:gridSpan w:val="5"/>
            <w:tcBorders>
              <w:bottom w:val="single" w:sz="4" w:space="0" w:color="auto"/>
            </w:tcBorders>
          </w:tcPr>
          <w:p w14:paraId="70026E6A" w14:textId="77777777" w:rsidR="00162C29" w:rsidRPr="0010645A" w:rsidRDefault="00162C29" w:rsidP="00EC6F47">
            <w:pPr>
              <w:pStyle w:val="zSoquijdatQtePartieDef"/>
              <w:spacing w:after="120"/>
              <w:ind w:left="709"/>
            </w:pPr>
            <w:r w:rsidRPr="0010645A">
              <w:t>MIS EN CAUSE </w:t>
            </w:r>
            <w:r>
              <w:rPr>
                <w:lang w:val="en-CA"/>
              </w:rPr>
              <w:sym w:font="Symbol" w:char="F02D"/>
            </w:r>
            <w:r w:rsidRPr="0010645A">
              <w:t> mis e</w:t>
            </w:r>
            <w:r>
              <w:t>n cause</w:t>
            </w:r>
          </w:p>
        </w:tc>
      </w:tr>
      <w:tr w:rsidR="00162C29" w14:paraId="36CD7830" w14:textId="77777777" w:rsidTr="00EC6F47">
        <w:tc>
          <w:tcPr>
            <w:tcW w:w="9360" w:type="dxa"/>
            <w:gridSpan w:val="5"/>
            <w:tcBorders>
              <w:top w:val="single" w:sz="4" w:space="0" w:color="auto"/>
            </w:tcBorders>
          </w:tcPr>
          <w:p w14:paraId="41FA34EE" w14:textId="77777777" w:rsidR="00162C29" w:rsidRPr="0010645A" w:rsidRDefault="00162C29"/>
        </w:tc>
      </w:tr>
      <w:tr w:rsidR="00EC6F47" w14:paraId="53FFD4F8" w14:textId="77777777" w:rsidTr="00EC6F47">
        <w:tc>
          <w:tcPr>
            <w:tcW w:w="9360" w:type="dxa"/>
            <w:gridSpan w:val="5"/>
          </w:tcPr>
          <w:p w14:paraId="63ABE1BC" w14:textId="77777777" w:rsidR="00EC6F47" w:rsidRPr="0010645A" w:rsidRDefault="00EC6F47"/>
        </w:tc>
      </w:tr>
      <w:tr w:rsidR="00162C29" w:rsidRPr="0010645A" w14:paraId="090F29C9" w14:textId="77777777" w:rsidTr="00453FDF">
        <w:tc>
          <w:tcPr>
            <w:tcW w:w="9360" w:type="dxa"/>
            <w:gridSpan w:val="5"/>
          </w:tcPr>
          <w:p w14:paraId="504BDAA1" w14:textId="3E6FB5BF" w:rsidR="00162C29" w:rsidRDefault="00162C29" w:rsidP="00453FDF">
            <w:pPr>
              <w:pStyle w:val="zSoquijlblTitrePartie"/>
              <w:tabs>
                <w:tab w:val="left" w:pos="709"/>
              </w:tabs>
              <w:rPr>
                <w:lang w:val="de-DE"/>
              </w:rPr>
            </w:pPr>
            <w:r>
              <w:rPr>
                <w:lang w:val="de-DE"/>
              </w:rPr>
              <w:t>N° : </w:t>
            </w:r>
            <w:r>
              <w:rPr>
                <w:lang w:val="de-DE"/>
              </w:rPr>
              <w:tab/>
            </w:r>
            <w:r>
              <w:t>200-09-010624-234</w:t>
            </w:r>
          </w:p>
        </w:tc>
      </w:tr>
      <w:tr w:rsidR="00162C29" w:rsidRPr="0010645A" w14:paraId="37CA4E8C" w14:textId="77777777" w:rsidTr="00453FDF">
        <w:tc>
          <w:tcPr>
            <w:tcW w:w="9360" w:type="dxa"/>
            <w:gridSpan w:val="5"/>
          </w:tcPr>
          <w:p w14:paraId="25C2A896" w14:textId="47D0D4C3" w:rsidR="00162C29" w:rsidRDefault="00162C29" w:rsidP="000E4126">
            <w:pPr>
              <w:pStyle w:val="zSoquijlblTitrePartie"/>
              <w:tabs>
                <w:tab w:val="left" w:pos="624"/>
              </w:tabs>
              <w:spacing w:after="120"/>
              <w:rPr>
                <w:lang w:val="de-DE"/>
              </w:rPr>
            </w:pPr>
            <w:r>
              <w:rPr>
                <w:lang w:val="de-DE"/>
              </w:rPr>
              <w:tab/>
              <w:t>(</w:t>
            </w:r>
            <w:r>
              <w:t>200-06-000183-155)</w:t>
            </w:r>
          </w:p>
        </w:tc>
      </w:tr>
      <w:tr w:rsidR="00162C29" w14:paraId="01351734" w14:textId="77777777" w:rsidTr="00453FDF">
        <w:tc>
          <w:tcPr>
            <w:tcW w:w="9360" w:type="dxa"/>
            <w:gridSpan w:val="5"/>
          </w:tcPr>
          <w:p w14:paraId="3C78CBF4" w14:textId="0D1F2FD7" w:rsidR="00162C29" w:rsidRDefault="00162C29" w:rsidP="00453FDF">
            <w:pPr>
              <w:pStyle w:val="zSoquijdatNomPartieDem"/>
              <w:rPr>
                <w:lang w:val="de-DE"/>
              </w:rPr>
            </w:pPr>
            <w:r>
              <w:t>A</w:t>
            </w:r>
            <w:r w:rsidR="005D5DD2">
              <w:t>U</w:t>
            </w:r>
            <w:r>
              <w:t>DRÉE SAINT-LAURENT</w:t>
            </w:r>
          </w:p>
        </w:tc>
      </w:tr>
      <w:tr w:rsidR="00162C29" w14:paraId="46DA0021" w14:textId="77777777" w:rsidTr="00453FDF">
        <w:tc>
          <w:tcPr>
            <w:tcW w:w="9360" w:type="dxa"/>
            <w:gridSpan w:val="5"/>
          </w:tcPr>
          <w:p w14:paraId="6CC7C4E9" w14:textId="542157F2" w:rsidR="00162C29" w:rsidRDefault="00162C29" w:rsidP="00453FDF">
            <w:pPr>
              <w:pStyle w:val="zSoquijdatQtePartieDem"/>
              <w:rPr>
                <w:lang w:val="de-DE"/>
              </w:rPr>
            </w:pPr>
            <w:r>
              <w:t>APPELANTE </w:t>
            </w:r>
            <w:r>
              <w:sym w:font="Symbol" w:char="F02D"/>
            </w:r>
            <w:r>
              <w:t> demanderesse</w:t>
            </w:r>
          </w:p>
        </w:tc>
      </w:tr>
      <w:tr w:rsidR="00162C29" w14:paraId="25BBEF0A" w14:textId="77777777" w:rsidTr="00453FDF">
        <w:tc>
          <w:tcPr>
            <w:tcW w:w="9360" w:type="dxa"/>
            <w:gridSpan w:val="5"/>
          </w:tcPr>
          <w:p w14:paraId="3443BD24" w14:textId="77777777" w:rsidR="00162C29" w:rsidRDefault="00162C29" w:rsidP="00453FDF">
            <w:pPr>
              <w:pStyle w:val="zSoquijlblLienParties"/>
              <w:rPr>
                <w:lang w:val="en-CA"/>
              </w:rPr>
            </w:pPr>
            <w:r>
              <w:rPr>
                <w:lang w:val="en-CA"/>
              </w:rPr>
              <w:t>c.</w:t>
            </w:r>
          </w:p>
        </w:tc>
      </w:tr>
      <w:tr w:rsidR="00162C29" w14:paraId="3C0C6F00" w14:textId="77777777" w:rsidTr="00453FDF">
        <w:tc>
          <w:tcPr>
            <w:tcW w:w="9360" w:type="dxa"/>
            <w:gridSpan w:val="5"/>
          </w:tcPr>
          <w:p w14:paraId="35CE07C2" w14:textId="77777777" w:rsidR="00162C29" w:rsidRDefault="00162C29" w:rsidP="00453FDF">
            <w:pPr>
              <w:rPr>
                <w:lang w:val="en-CA"/>
              </w:rPr>
            </w:pPr>
          </w:p>
        </w:tc>
      </w:tr>
      <w:tr w:rsidR="00162C29" w14:paraId="799C1E9B" w14:textId="77777777" w:rsidTr="00453FDF">
        <w:tc>
          <w:tcPr>
            <w:tcW w:w="9360" w:type="dxa"/>
            <w:gridSpan w:val="5"/>
          </w:tcPr>
          <w:p w14:paraId="440B1E74" w14:textId="77777777" w:rsidR="00162C29" w:rsidRDefault="00162C29" w:rsidP="00453FDF">
            <w:pPr>
              <w:pStyle w:val="zSoquijdatNomPartieDef"/>
              <w:rPr>
                <w:lang w:val="en-CA"/>
              </w:rPr>
            </w:pPr>
            <w:r>
              <w:t>VILLE DE QUÉBEC</w:t>
            </w:r>
          </w:p>
        </w:tc>
      </w:tr>
      <w:tr w:rsidR="00162C29" w14:paraId="7565ECF1" w14:textId="77777777" w:rsidTr="00453FDF">
        <w:tc>
          <w:tcPr>
            <w:tcW w:w="9360" w:type="dxa"/>
            <w:gridSpan w:val="5"/>
          </w:tcPr>
          <w:p w14:paraId="754F11AC" w14:textId="77777777" w:rsidR="00162C29" w:rsidRDefault="00162C29" w:rsidP="00453FDF">
            <w:pPr>
              <w:pStyle w:val="zSoquijdatQtePartieDef"/>
              <w:rPr>
                <w:lang w:val="en-CA"/>
              </w:rPr>
            </w:pPr>
            <w:r>
              <w:t>INTIMÉE </w:t>
            </w:r>
            <w:r>
              <w:sym w:font="Symbol" w:char="F02D"/>
            </w:r>
            <w:r>
              <w:t> défenderesse</w:t>
            </w:r>
          </w:p>
        </w:tc>
      </w:tr>
      <w:tr w:rsidR="00162C29" w14:paraId="435B77D9" w14:textId="77777777" w:rsidTr="00453FDF">
        <w:tc>
          <w:tcPr>
            <w:tcW w:w="9360" w:type="dxa"/>
            <w:gridSpan w:val="5"/>
          </w:tcPr>
          <w:p w14:paraId="623FC452" w14:textId="77777777" w:rsidR="00162C29" w:rsidRDefault="00162C29" w:rsidP="00453FDF">
            <w:pPr>
              <w:rPr>
                <w:lang w:val="en-CA"/>
              </w:rPr>
            </w:pPr>
            <w:r>
              <w:rPr>
                <w:lang w:val="en-CA"/>
              </w:rPr>
              <w:t>et</w:t>
            </w:r>
          </w:p>
        </w:tc>
      </w:tr>
      <w:tr w:rsidR="00162C29" w14:paraId="68A31444" w14:textId="77777777" w:rsidTr="00453FDF">
        <w:tc>
          <w:tcPr>
            <w:tcW w:w="9360" w:type="dxa"/>
            <w:gridSpan w:val="5"/>
          </w:tcPr>
          <w:p w14:paraId="2711958D" w14:textId="77777777" w:rsidR="00162C29" w:rsidRDefault="00162C29" w:rsidP="00453FDF">
            <w:pPr>
              <w:pStyle w:val="zSoquijdatNomPartieDef"/>
              <w:rPr>
                <w:lang w:val="en-CA"/>
              </w:rPr>
            </w:pPr>
            <w:r>
              <w:rPr>
                <w:lang w:val="en-CA"/>
              </w:rPr>
              <w:t>PROCUREUR GÉNÉRAL DU QUÉBEC</w:t>
            </w:r>
          </w:p>
        </w:tc>
      </w:tr>
      <w:tr w:rsidR="00162C29" w14:paraId="5CF260CE" w14:textId="77777777" w:rsidTr="00453FDF">
        <w:tc>
          <w:tcPr>
            <w:tcW w:w="9360" w:type="dxa"/>
            <w:gridSpan w:val="5"/>
          </w:tcPr>
          <w:p w14:paraId="534D70EF" w14:textId="77777777" w:rsidR="00162C29" w:rsidRPr="0010645A" w:rsidRDefault="00162C29" w:rsidP="00453FDF">
            <w:pPr>
              <w:pStyle w:val="zSoquijdatQtePartieDef"/>
            </w:pPr>
            <w:r w:rsidRPr="0010645A">
              <w:t>MIS EN CAUSE </w:t>
            </w:r>
            <w:r>
              <w:rPr>
                <w:lang w:val="en-CA"/>
              </w:rPr>
              <w:sym w:font="Symbol" w:char="F02D"/>
            </w:r>
            <w:r w:rsidRPr="0010645A">
              <w:t> mis e</w:t>
            </w:r>
            <w:r>
              <w:t>n cause</w:t>
            </w:r>
          </w:p>
        </w:tc>
      </w:tr>
      <w:tr w:rsidR="00162C29" w14:paraId="05874D6E" w14:textId="77777777" w:rsidTr="008D18FC">
        <w:tc>
          <w:tcPr>
            <w:tcW w:w="9360" w:type="dxa"/>
            <w:gridSpan w:val="5"/>
          </w:tcPr>
          <w:p w14:paraId="25FD67E4" w14:textId="77777777" w:rsidR="00162C29" w:rsidRPr="0010645A" w:rsidRDefault="00162C29"/>
        </w:tc>
      </w:tr>
      <w:tr w:rsidR="008F364A" w14:paraId="5F43080C" w14:textId="77777777" w:rsidTr="008D18FC">
        <w:tc>
          <w:tcPr>
            <w:tcW w:w="9360" w:type="dxa"/>
            <w:gridSpan w:val="5"/>
            <w:tcBorders>
              <w:top w:val="single" w:sz="8" w:space="0" w:color="auto"/>
            </w:tcBorders>
          </w:tcPr>
          <w:p w14:paraId="6C930566" w14:textId="77777777" w:rsidR="008F364A" w:rsidRPr="0010645A" w:rsidRDefault="008F364A">
            <w:bookmarkStart w:id="7" w:name="Arret"/>
          </w:p>
        </w:tc>
      </w:tr>
      <w:tr w:rsidR="008F364A" w14:paraId="604E6143" w14:textId="77777777" w:rsidTr="008D18FC">
        <w:tc>
          <w:tcPr>
            <w:tcW w:w="9360" w:type="dxa"/>
            <w:gridSpan w:val="5"/>
          </w:tcPr>
          <w:p w14:paraId="2998A714" w14:textId="77777777" w:rsidR="008F364A" w:rsidRDefault="0010645A">
            <w:pPr>
              <w:pStyle w:val="zSoquijlblTypeDocument"/>
            </w:pPr>
            <w:bookmarkStart w:id="8" w:name="TitreDocument"/>
            <w:r>
              <w:t>ARRÊT</w:t>
            </w:r>
            <w:bookmarkEnd w:id="8"/>
          </w:p>
        </w:tc>
      </w:tr>
      <w:tr w:rsidR="008F364A" w14:paraId="3440DDEA" w14:textId="77777777" w:rsidTr="008D18FC">
        <w:tc>
          <w:tcPr>
            <w:tcW w:w="9360" w:type="dxa"/>
            <w:gridSpan w:val="5"/>
            <w:tcBorders>
              <w:bottom w:val="single" w:sz="8" w:space="0" w:color="auto"/>
            </w:tcBorders>
          </w:tcPr>
          <w:p w14:paraId="39F62D9E" w14:textId="77777777" w:rsidR="008F364A" w:rsidRDefault="008F364A"/>
        </w:tc>
      </w:tr>
      <w:tr w:rsidR="008F364A" w14:paraId="664DD328" w14:textId="77777777" w:rsidTr="008D18FC">
        <w:tc>
          <w:tcPr>
            <w:tcW w:w="9360" w:type="dxa"/>
            <w:gridSpan w:val="5"/>
            <w:tcBorders>
              <w:top w:val="single" w:sz="8" w:space="0" w:color="auto"/>
            </w:tcBorders>
          </w:tcPr>
          <w:p w14:paraId="378E39D8" w14:textId="77777777" w:rsidR="008F364A" w:rsidRDefault="008F364A"/>
        </w:tc>
      </w:tr>
    </w:tbl>
    <w:p w14:paraId="36DB1B71" w14:textId="63E71B6A" w:rsidR="00AD2091" w:rsidRDefault="00AD2091" w:rsidP="00AD2091">
      <w:pPr>
        <w:pStyle w:val="Paragraphe"/>
      </w:pPr>
      <w:r>
        <w:rPr>
          <w:lang w:val="fr-FR" w:eastAsia="en-US"/>
        </w:rPr>
        <w:t>Les appelants se pourvoient contre un jugement rendu le 28 mars 2023 par la Cour supérieure (l</w:t>
      </w:r>
      <w:r w:rsidR="00CF2D61">
        <w:rPr>
          <w:lang w:val="fr-FR" w:eastAsia="en-US"/>
        </w:rPr>
        <w:t>’</w:t>
      </w:r>
      <w:r>
        <w:rPr>
          <w:lang w:val="fr-FR" w:eastAsia="en-US"/>
        </w:rPr>
        <w:t>honorable Simon Hébert), lequel rejette les trois actions collectives qu</w:t>
      </w:r>
      <w:r w:rsidR="00CF2D61">
        <w:rPr>
          <w:lang w:val="fr-FR" w:eastAsia="en-US"/>
        </w:rPr>
        <w:t>’</w:t>
      </w:r>
      <w:r>
        <w:rPr>
          <w:lang w:val="fr-FR" w:eastAsia="en-US"/>
        </w:rPr>
        <w:t>ils ont intenté</w:t>
      </w:r>
      <w:r w:rsidR="00F62930">
        <w:rPr>
          <w:lang w:val="fr-FR" w:eastAsia="en-US"/>
        </w:rPr>
        <w:t>es</w:t>
      </w:r>
      <w:r>
        <w:rPr>
          <w:lang w:val="fr-FR" w:eastAsia="en-US"/>
        </w:rPr>
        <w:t xml:space="preserve"> contre l</w:t>
      </w:r>
      <w:r w:rsidR="00CF2D61">
        <w:rPr>
          <w:lang w:val="fr-FR" w:eastAsia="en-US"/>
        </w:rPr>
        <w:t>’</w:t>
      </w:r>
      <w:r>
        <w:rPr>
          <w:lang w:val="fr-FR" w:eastAsia="en-US"/>
        </w:rPr>
        <w:t>intimée;</w:t>
      </w:r>
    </w:p>
    <w:p w14:paraId="4F903CAD" w14:textId="5DC3AD45" w:rsidR="00AD2091" w:rsidRDefault="00AD2091" w:rsidP="00AD2091">
      <w:pPr>
        <w:pStyle w:val="Paragraphe"/>
      </w:pPr>
      <w:r>
        <w:rPr>
          <w:lang w:eastAsia="en-US"/>
        </w:rPr>
        <w:t xml:space="preserve">Pour les motifs du juge Hardy, auxquels souscrivent les juges Vauclair et Beaupré, </w:t>
      </w:r>
      <w:r w:rsidRPr="00AD2091">
        <w:rPr>
          <w:b/>
          <w:bCs/>
          <w:lang w:eastAsia="en-US"/>
        </w:rPr>
        <w:t>LA COUR</w:t>
      </w:r>
      <w:r>
        <w:rPr>
          <w:lang w:eastAsia="en-US"/>
        </w:rPr>
        <w:t> :</w:t>
      </w:r>
    </w:p>
    <w:p w14:paraId="186D4060" w14:textId="564C64C1" w:rsidR="00AD2091" w:rsidRDefault="00AD2091">
      <w:pPr>
        <w:pStyle w:val="Paragraphe"/>
      </w:pPr>
      <w:r w:rsidRPr="00AD2091">
        <w:rPr>
          <w:b/>
          <w:bCs/>
          <w:lang w:eastAsia="en-US"/>
        </w:rPr>
        <w:t>REJETTE</w:t>
      </w:r>
      <w:r>
        <w:rPr>
          <w:lang w:eastAsia="en-US"/>
        </w:rPr>
        <w:t xml:space="preserve"> l</w:t>
      </w:r>
      <w:r w:rsidR="00CF2D61">
        <w:rPr>
          <w:lang w:eastAsia="en-US"/>
        </w:rPr>
        <w:t>’</w:t>
      </w:r>
      <w:r>
        <w:rPr>
          <w:lang w:eastAsia="en-US"/>
        </w:rPr>
        <w:t>appel dans les trois dossiers dont elle est saisie, avec les frais de justice.</w:t>
      </w:r>
    </w:p>
    <w:p w14:paraId="3112E93A" w14:textId="77777777" w:rsidR="00CF2D61" w:rsidRPr="00CF2D61" w:rsidRDefault="00CF2D61" w:rsidP="00CF2D61"/>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1997"/>
        <w:gridCol w:w="2685"/>
        <w:gridCol w:w="4680"/>
      </w:tblGrid>
      <w:tr w:rsidR="008F364A" w14:paraId="042C3F62" w14:textId="77777777" w:rsidTr="003E3239">
        <w:trPr>
          <w:trHeight w:val="576"/>
        </w:trPr>
        <w:tc>
          <w:tcPr>
            <w:tcW w:w="9362" w:type="dxa"/>
            <w:gridSpan w:val="3"/>
            <w:tcBorders>
              <w:top w:val="nil"/>
              <w:bottom w:val="nil"/>
            </w:tcBorders>
          </w:tcPr>
          <w:p w14:paraId="7429D70F" w14:textId="77777777" w:rsidR="008F364A" w:rsidRDefault="008F364A">
            <w:pPr>
              <w:keepNext/>
            </w:pPr>
          </w:p>
        </w:tc>
      </w:tr>
      <w:tr w:rsidR="008F364A" w14:paraId="5B46D8F2" w14:textId="77777777" w:rsidTr="00117914">
        <w:trPr>
          <w:trHeight w:val="283"/>
        </w:trPr>
        <w:tc>
          <w:tcPr>
            <w:tcW w:w="4682" w:type="dxa"/>
            <w:gridSpan w:val="2"/>
            <w:tcBorders>
              <w:top w:val="nil"/>
              <w:bottom w:val="nil"/>
            </w:tcBorders>
          </w:tcPr>
          <w:p w14:paraId="3088397E" w14:textId="77777777" w:rsidR="008F364A" w:rsidRDefault="008F364A">
            <w:pPr>
              <w:keepNext/>
            </w:pPr>
          </w:p>
        </w:tc>
        <w:tc>
          <w:tcPr>
            <w:tcW w:w="4680" w:type="dxa"/>
            <w:tcBorders>
              <w:top w:val="nil"/>
              <w:bottom w:val="single" w:sz="8" w:space="0" w:color="auto"/>
            </w:tcBorders>
          </w:tcPr>
          <w:p w14:paraId="751254A9" w14:textId="77777777" w:rsidR="008F364A" w:rsidRDefault="008F364A">
            <w:pPr>
              <w:keepNext/>
            </w:pPr>
          </w:p>
        </w:tc>
      </w:tr>
      <w:tr w:rsidR="008F364A" w14:paraId="7FBE0720" w14:textId="77777777" w:rsidTr="00117914">
        <w:trPr>
          <w:trHeight w:val="283"/>
        </w:trPr>
        <w:tc>
          <w:tcPr>
            <w:tcW w:w="4682" w:type="dxa"/>
            <w:gridSpan w:val="2"/>
            <w:tcBorders>
              <w:top w:val="nil"/>
            </w:tcBorders>
          </w:tcPr>
          <w:p w14:paraId="47FD9800" w14:textId="77777777" w:rsidR="008F364A" w:rsidRDefault="008F364A">
            <w:pPr>
              <w:keepNext/>
            </w:pPr>
          </w:p>
        </w:tc>
        <w:tc>
          <w:tcPr>
            <w:tcW w:w="4680" w:type="dxa"/>
            <w:tcBorders>
              <w:top w:val="single" w:sz="8" w:space="0" w:color="auto"/>
            </w:tcBorders>
          </w:tcPr>
          <w:p w14:paraId="66BD1AE7" w14:textId="4D0C65EB" w:rsidR="008F364A" w:rsidRDefault="00737FA5">
            <w:r>
              <w:t>MARTIN VAUCLAIR, J.C.A.</w:t>
            </w:r>
          </w:p>
        </w:tc>
      </w:tr>
      <w:tr w:rsidR="008F364A" w14:paraId="0348EB9E" w14:textId="77777777" w:rsidTr="00117914">
        <w:trPr>
          <w:trHeight w:val="283"/>
        </w:trPr>
        <w:tc>
          <w:tcPr>
            <w:tcW w:w="4682" w:type="dxa"/>
            <w:gridSpan w:val="2"/>
            <w:tcBorders>
              <w:top w:val="nil"/>
            </w:tcBorders>
          </w:tcPr>
          <w:p w14:paraId="38245674" w14:textId="77777777" w:rsidR="008F364A" w:rsidRDefault="008F364A">
            <w:pPr>
              <w:keepNext/>
            </w:pPr>
            <w:bookmarkStart w:id="9" w:name="Signature2"/>
          </w:p>
        </w:tc>
        <w:tc>
          <w:tcPr>
            <w:tcW w:w="4680" w:type="dxa"/>
            <w:tcBorders>
              <w:top w:val="nil"/>
            </w:tcBorders>
          </w:tcPr>
          <w:p w14:paraId="6515757B" w14:textId="77777777" w:rsidR="008F364A" w:rsidRDefault="008F364A">
            <w:pPr>
              <w:keepNext/>
            </w:pPr>
          </w:p>
        </w:tc>
      </w:tr>
      <w:tr w:rsidR="008F364A" w14:paraId="021E7E7C" w14:textId="77777777" w:rsidTr="00117914">
        <w:trPr>
          <w:trHeight w:val="283"/>
        </w:trPr>
        <w:tc>
          <w:tcPr>
            <w:tcW w:w="4682" w:type="dxa"/>
            <w:gridSpan w:val="2"/>
            <w:tcBorders>
              <w:top w:val="nil"/>
              <w:bottom w:val="nil"/>
            </w:tcBorders>
          </w:tcPr>
          <w:p w14:paraId="1F83D083" w14:textId="77777777" w:rsidR="008F364A" w:rsidRDefault="008F364A">
            <w:pPr>
              <w:keepNext/>
            </w:pPr>
          </w:p>
        </w:tc>
        <w:tc>
          <w:tcPr>
            <w:tcW w:w="4680" w:type="dxa"/>
            <w:tcBorders>
              <w:top w:val="nil"/>
              <w:bottom w:val="single" w:sz="8" w:space="0" w:color="auto"/>
            </w:tcBorders>
          </w:tcPr>
          <w:p w14:paraId="1EE2E957" w14:textId="77777777" w:rsidR="008F364A" w:rsidRDefault="008F364A">
            <w:pPr>
              <w:keepNext/>
            </w:pPr>
          </w:p>
        </w:tc>
      </w:tr>
      <w:tr w:rsidR="008F364A" w14:paraId="52AF61DC" w14:textId="77777777" w:rsidTr="00117914">
        <w:trPr>
          <w:trHeight w:val="283"/>
        </w:trPr>
        <w:tc>
          <w:tcPr>
            <w:tcW w:w="4682" w:type="dxa"/>
            <w:gridSpan w:val="2"/>
            <w:tcBorders>
              <w:top w:val="nil"/>
            </w:tcBorders>
          </w:tcPr>
          <w:p w14:paraId="66E70049" w14:textId="77777777" w:rsidR="008F364A" w:rsidRDefault="008F364A">
            <w:pPr>
              <w:keepNext/>
            </w:pPr>
          </w:p>
        </w:tc>
        <w:tc>
          <w:tcPr>
            <w:tcW w:w="4680" w:type="dxa"/>
            <w:tcBorders>
              <w:top w:val="single" w:sz="8" w:space="0" w:color="auto"/>
            </w:tcBorders>
          </w:tcPr>
          <w:p w14:paraId="4702D4ED" w14:textId="21D87B33" w:rsidR="008F364A" w:rsidRDefault="00737FA5">
            <w:pPr>
              <w:keepNext/>
            </w:pPr>
            <w:r>
              <w:t>MICHEL BEAUPRÉ, J.C.A.</w:t>
            </w:r>
          </w:p>
        </w:tc>
      </w:tr>
      <w:tr w:rsidR="008F364A" w14:paraId="6DA15515" w14:textId="77777777" w:rsidTr="00117914">
        <w:trPr>
          <w:trHeight w:val="283"/>
        </w:trPr>
        <w:tc>
          <w:tcPr>
            <w:tcW w:w="4682" w:type="dxa"/>
            <w:gridSpan w:val="2"/>
            <w:tcBorders>
              <w:top w:val="nil"/>
            </w:tcBorders>
          </w:tcPr>
          <w:p w14:paraId="2D4A25FD" w14:textId="77777777" w:rsidR="008F364A" w:rsidRDefault="008F364A">
            <w:pPr>
              <w:keepNext/>
            </w:pPr>
            <w:bookmarkStart w:id="10" w:name="Signature3"/>
            <w:bookmarkEnd w:id="9"/>
          </w:p>
        </w:tc>
        <w:tc>
          <w:tcPr>
            <w:tcW w:w="4680" w:type="dxa"/>
            <w:tcBorders>
              <w:top w:val="nil"/>
            </w:tcBorders>
          </w:tcPr>
          <w:p w14:paraId="10A0386D" w14:textId="77777777" w:rsidR="008F364A" w:rsidRDefault="008F364A">
            <w:pPr>
              <w:keepNext/>
            </w:pPr>
          </w:p>
        </w:tc>
      </w:tr>
      <w:tr w:rsidR="008F364A" w14:paraId="65279845" w14:textId="77777777" w:rsidTr="00117914">
        <w:trPr>
          <w:trHeight w:val="283"/>
        </w:trPr>
        <w:tc>
          <w:tcPr>
            <w:tcW w:w="4682" w:type="dxa"/>
            <w:gridSpan w:val="2"/>
            <w:tcBorders>
              <w:top w:val="nil"/>
              <w:bottom w:val="nil"/>
            </w:tcBorders>
          </w:tcPr>
          <w:p w14:paraId="6149FC44" w14:textId="77777777" w:rsidR="008F364A" w:rsidRDefault="008F364A">
            <w:pPr>
              <w:keepNext/>
            </w:pPr>
          </w:p>
        </w:tc>
        <w:tc>
          <w:tcPr>
            <w:tcW w:w="4680" w:type="dxa"/>
            <w:tcBorders>
              <w:top w:val="nil"/>
              <w:bottom w:val="single" w:sz="8" w:space="0" w:color="auto"/>
            </w:tcBorders>
          </w:tcPr>
          <w:p w14:paraId="6E5F9D6F" w14:textId="77777777" w:rsidR="008F364A" w:rsidRDefault="008F364A">
            <w:pPr>
              <w:keepNext/>
            </w:pPr>
          </w:p>
        </w:tc>
      </w:tr>
      <w:tr w:rsidR="008F364A" w:rsidRPr="00B3650D" w14:paraId="0F2A5CE9" w14:textId="77777777" w:rsidTr="00117914">
        <w:trPr>
          <w:trHeight w:val="283"/>
        </w:trPr>
        <w:tc>
          <w:tcPr>
            <w:tcW w:w="4682" w:type="dxa"/>
            <w:gridSpan w:val="2"/>
            <w:tcBorders>
              <w:top w:val="nil"/>
            </w:tcBorders>
          </w:tcPr>
          <w:p w14:paraId="3B096D1A" w14:textId="77777777" w:rsidR="008F364A" w:rsidRDefault="008F364A">
            <w:pPr>
              <w:keepNext/>
            </w:pPr>
          </w:p>
        </w:tc>
        <w:tc>
          <w:tcPr>
            <w:tcW w:w="4680" w:type="dxa"/>
            <w:tcBorders>
              <w:top w:val="single" w:sz="8" w:space="0" w:color="auto"/>
            </w:tcBorders>
          </w:tcPr>
          <w:p w14:paraId="73AB56B5" w14:textId="253C5584" w:rsidR="008F364A" w:rsidRPr="0010645A" w:rsidRDefault="00737FA5">
            <w:pPr>
              <w:keepNext/>
              <w:rPr>
                <w:lang w:val="en-CA"/>
              </w:rPr>
            </w:pPr>
            <w:r>
              <w:t>ÉRIC HARDY, J.C.A.</w:t>
            </w:r>
          </w:p>
        </w:tc>
      </w:tr>
      <w:bookmarkEnd w:id="10"/>
      <w:tr w:rsidR="005A78BF" w:rsidRPr="00B3650D" w14:paraId="606A48A3" w14:textId="77777777" w:rsidTr="00D045EF">
        <w:tc>
          <w:tcPr>
            <w:tcW w:w="9362" w:type="dxa"/>
            <w:gridSpan w:val="3"/>
            <w:tcBorders>
              <w:bottom w:val="nil"/>
            </w:tcBorders>
          </w:tcPr>
          <w:p w14:paraId="673B138F" w14:textId="77777777" w:rsidR="005A78BF" w:rsidRDefault="005A78BF" w:rsidP="005A78BF">
            <w:pPr>
              <w:rPr>
                <w:lang w:val="en-CA"/>
              </w:rPr>
            </w:pPr>
          </w:p>
        </w:tc>
      </w:tr>
      <w:tr w:rsidR="005A78BF" w14:paraId="65591FC1" w14:textId="77777777" w:rsidTr="00D045EF">
        <w:tc>
          <w:tcPr>
            <w:tcW w:w="9362" w:type="dxa"/>
            <w:gridSpan w:val="3"/>
            <w:tcBorders>
              <w:top w:val="nil"/>
            </w:tcBorders>
          </w:tcPr>
          <w:p w14:paraId="6871806F" w14:textId="5885ADF6" w:rsidR="005A78BF" w:rsidRDefault="0010645A" w:rsidP="005A78BF">
            <w:pPr>
              <w:pStyle w:val="zSoquijdatNomProcureurDem"/>
              <w:rPr>
                <w:lang w:val="en-CA"/>
              </w:rPr>
            </w:pPr>
            <w:r>
              <w:lastRenderedPageBreak/>
              <w:t>Me Gabriel Michaud-Brière</w:t>
            </w:r>
          </w:p>
        </w:tc>
      </w:tr>
      <w:tr w:rsidR="0010645A" w14:paraId="1195A8A6" w14:textId="77777777" w:rsidTr="00423DF1">
        <w:tc>
          <w:tcPr>
            <w:tcW w:w="9362" w:type="dxa"/>
            <w:gridSpan w:val="3"/>
          </w:tcPr>
          <w:p w14:paraId="2246CF91" w14:textId="3E84EF19" w:rsidR="0010645A" w:rsidRDefault="0010645A" w:rsidP="005A78BF">
            <w:pPr>
              <w:pStyle w:val="zSoquijdatNomProcureurDem"/>
            </w:pPr>
            <w:r>
              <w:t>Me Florence Boucher</w:t>
            </w:r>
            <w:r w:rsidR="00FF7BB0">
              <w:t xml:space="preserve"> </w:t>
            </w:r>
            <w:r>
              <w:t>Cossette</w:t>
            </w:r>
          </w:p>
        </w:tc>
      </w:tr>
      <w:tr w:rsidR="0010645A" w14:paraId="02168AF0" w14:textId="77777777" w:rsidTr="00423DF1">
        <w:tc>
          <w:tcPr>
            <w:tcW w:w="9362" w:type="dxa"/>
            <w:gridSpan w:val="3"/>
          </w:tcPr>
          <w:p w14:paraId="51BE06C5" w14:textId="3EE18A69" w:rsidR="0010645A" w:rsidRDefault="0010645A" w:rsidP="005A78BF">
            <w:pPr>
              <w:pStyle w:val="zSoquijdatNomProcureurDem"/>
            </w:pPr>
            <w:r>
              <w:t>Me Enrico Théberge</w:t>
            </w:r>
          </w:p>
        </w:tc>
      </w:tr>
      <w:tr w:rsidR="005A78BF" w:rsidRPr="005D5DD2" w14:paraId="2CDA05EB" w14:textId="77777777" w:rsidTr="00423DF1">
        <w:tc>
          <w:tcPr>
            <w:tcW w:w="9362" w:type="dxa"/>
            <w:gridSpan w:val="3"/>
          </w:tcPr>
          <w:p w14:paraId="27240B80" w14:textId="5FD0B296" w:rsidR="005A78BF" w:rsidRPr="00DF5E88" w:rsidRDefault="0010645A" w:rsidP="005A78BF">
            <w:pPr>
              <w:pStyle w:val="zSoquijdatCabinetProcureurDem"/>
              <w:rPr>
                <w:smallCaps/>
              </w:rPr>
            </w:pPr>
            <w:r w:rsidRPr="00DF5E88">
              <w:rPr>
                <w:smallCaps/>
              </w:rPr>
              <w:t xml:space="preserve">Dumas </w:t>
            </w:r>
            <w:r w:rsidR="005D5DD2" w:rsidRPr="00DF5E88">
              <w:rPr>
                <w:smallCaps/>
              </w:rPr>
              <w:t>Carré</w:t>
            </w:r>
            <w:r w:rsidRPr="00DF5E88">
              <w:rPr>
                <w:smallCaps/>
              </w:rPr>
              <w:t xml:space="preserve"> Théberge </w:t>
            </w:r>
            <w:r w:rsidR="00FF7BB0" w:rsidRPr="00DF5E88">
              <w:rPr>
                <w:smallCaps/>
              </w:rPr>
              <w:t>Michaud-Brière</w:t>
            </w:r>
          </w:p>
        </w:tc>
      </w:tr>
      <w:tr w:rsidR="005A78BF" w14:paraId="021EAF44" w14:textId="77777777" w:rsidTr="00CF2D61">
        <w:tc>
          <w:tcPr>
            <w:tcW w:w="9362" w:type="dxa"/>
            <w:gridSpan w:val="3"/>
            <w:tcBorders>
              <w:bottom w:val="nil"/>
            </w:tcBorders>
          </w:tcPr>
          <w:p w14:paraId="4321C8BC" w14:textId="67547D6F" w:rsidR="005A78BF" w:rsidRDefault="0010645A" w:rsidP="005A78BF">
            <w:pPr>
              <w:pStyle w:val="zSoquijlblProcureurDem"/>
              <w:rPr>
                <w:lang w:val="en-CA"/>
              </w:rPr>
            </w:pPr>
            <w:r>
              <w:t>Pour les appelants</w:t>
            </w:r>
          </w:p>
        </w:tc>
      </w:tr>
      <w:tr w:rsidR="005A78BF" w14:paraId="37B851B8" w14:textId="77777777" w:rsidTr="00CF2D61">
        <w:tc>
          <w:tcPr>
            <w:tcW w:w="9362" w:type="dxa"/>
            <w:gridSpan w:val="3"/>
            <w:tcBorders>
              <w:top w:val="nil"/>
            </w:tcBorders>
          </w:tcPr>
          <w:p w14:paraId="6E366472" w14:textId="77777777" w:rsidR="005A78BF" w:rsidRDefault="005A78BF" w:rsidP="005A78BF">
            <w:pPr>
              <w:rPr>
                <w:lang w:val="en-CA"/>
              </w:rPr>
            </w:pPr>
          </w:p>
        </w:tc>
      </w:tr>
      <w:tr w:rsidR="0010645A" w14:paraId="195E261A" w14:textId="77777777" w:rsidTr="00423DF1">
        <w:tc>
          <w:tcPr>
            <w:tcW w:w="9362" w:type="dxa"/>
            <w:gridSpan w:val="3"/>
          </w:tcPr>
          <w:p w14:paraId="3F181158" w14:textId="2250AD16" w:rsidR="005D5DD2" w:rsidRDefault="0010645A" w:rsidP="005A78BF">
            <w:pPr>
              <w:pStyle w:val="zSoquijdatNomProcureurDef"/>
            </w:pPr>
            <w:r>
              <w:t>Me Olivier Gauthier</w:t>
            </w:r>
          </w:p>
        </w:tc>
      </w:tr>
      <w:tr w:rsidR="005A78BF" w14:paraId="58853A6E" w14:textId="77777777" w:rsidTr="00423DF1">
        <w:tc>
          <w:tcPr>
            <w:tcW w:w="9362" w:type="dxa"/>
            <w:gridSpan w:val="3"/>
          </w:tcPr>
          <w:p w14:paraId="05243155" w14:textId="32B5EB4E" w:rsidR="005A78BF" w:rsidRPr="00291158" w:rsidRDefault="0010645A" w:rsidP="005A78BF">
            <w:pPr>
              <w:pStyle w:val="zSoquijdatCabinetProcureurDef"/>
              <w:rPr>
                <w:smallCaps/>
                <w:lang w:val="en-CA"/>
              </w:rPr>
            </w:pPr>
            <w:r w:rsidRPr="00291158">
              <w:rPr>
                <w:smallCaps/>
              </w:rPr>
              <w:t>Giasson &amp; associés</w:t>
            </w:r>
          </w:p>
        </w:tc>
      </w:tr>
      <w:tr w:rsidR="005A78BF" w14:paraId="75E8C696" w14:textId="77777777" w:rsidTr="00162C29">
        <w:tc>
          <w:tcPr>
            <w:tcW w:w="9362" w:type="dxa"/>
            <w:gridSpan w:val="3"/>
            <w:tcBorders>
              <w:bottom w:val="nil"/>
            </w:tcBorders>
          </w:tcPr>
          <w:p w14:paraId="0A1F82C7" w14:textId="719569DC" w:rsidR="005A78BF" w:rsidRDefault="0010645A" w:rsidP="005A78BF">
            <w:pPr>
              <w:pStyle w:val="zSoquijlblProcureurDef"/>
              <w:rPr>
                <w:lang w:val="en-CA"/>
              </w:rPr>
            </w:pPr>
            <w:r>
              <w:t>Pour l</w:t>
            </w:r>
            <w:r w:rsidR="00CF2D61">
              <w:t>’</w:t>
            </w:r>
            <w:r>
              <w:t>intimée</w:t>
            </w:r>
          </w:p>
        </w:tc>
      </w:tr>
      <w:tr w:rsidR="0010645A" w14:paraId="2C7B0D7A" w14:textId="77777777" w:rsidTr="00C83005">
        <w:tc>
          <w:tcPr>
            <w:tcW w:w="9362" w:type="dxa"/>
            <w:gridSpan w:val="3"/>
            <w:tcBorders>
              <w:top w:val="nil"/>
              <w:bottom w:val="nil"/>
            </w:tcBorders>
          </w:tcPr>
          <w:p w14:paraId="058723F4" w14:textId="77777777" w:rsidR="0010645A" w:rsidRDefault="0010645A" w:rsidP="005A78BF">
            <w:pPr>
              <w:rPr>
                <w:lang w:val="en-CA"/>
              </w:rPr>
            </w:pPr>
          </w:p>
        </w:tc>
      </w:tr>
      <w:tr w:rsidR="0010645A" w14:paraId="088E34A5" w14:textId="77777777" w:rsidTr="00C83005">
        <w:tc>
          <w:tcPr>
            <w:tcW w:w="9362" w:type="dxa"/>
            <w:gridSpan w:val="3"/>
            <w:tcBorders>
              <w:top w:val="nil"/>
            </w:tcBorders>
          </w:tcPr>
          <w:p w14:paraId="07C0BFE4" w14:textId="087B8731" w:rsidR="0010645A" w:rsidRDefault="0010645A" w:rsidP="0010645A">
            <w:pPr>
              <w:pStyle w:val="zSoquijdatNomProcureurDef"/>
              <w:rPr>
                <w:lang w:val="en-CA"/>
              </w:rPr>
            </w:pPr>
            <w:r>
              <w:rPr>
                <w:lang w:val="en-CA"/>
              </w:rPr>
              <w:t>Me Alexandre Ouellet</w:t>
            </w:r>
          </w:p>
        </w:tc>
      </w:tr>
      <w:tr w:rsidR="0010645A" w14:paraId="06728199" w14:textId="77777777" w:rsidTr="00423DF1">
        <w:tc>
          <w:tcPr>
            <w:tcW w:w="9362" w:type="dxa"/>
            <w:gridSpan w:val="3"/>
          </w:tcPr>
          <w:p w14:paraId="528654DD" w14:textId="00F21372" w:rsidR="0010645A" w:rsidRPr="00291158" w:rsidRDefault="0010645A" w:rsidP="0010645A">
            <w:pPr>
              <w:pStyle w:val="zSoquijdatCabinetProcureurDef"/>
              <w:rPr>
                <w:smallCaps/>
                <w:lang w:val="en-CA"/>
              </w:rPr>
            </w:pPr>
            <w:r w:rsidRPr="00291158">
              <w:rPr>
                <w:smallCaps/>
                <w:lang w:val="en-CA"/>
              </w:rPr>
              <w:t>Lavoie, Rousseau (Justice-Québec)</w:t>
            </w:r>
          </w:p>
        </w:tc>
      </w:tr>
      <w:tr w:rsidR="00291158" w14:paraId="2AE65E6F" w14:textId="77777777" w:rsidTr="00423DF1">
        <w:tc>
          <w:tcPr>
            <w:tcW w:w="9362" w:type="dxa"/>
            <w:gridSpan w:val="3"/>
          </w:tcPr>
          <w:p w14:paraId="06ACB69D" w14:textId="0CCAA300" w:rsidR="00291158" w:rsidRDefault="00291158" w:rsidP="0010645A">
            <w:pPr>
              <w:pStyle w:val="zSoquijdatCabinetProcureurDef"/>
              <w:rPr>
                <w:lang w:val="en-CA"/>
              </w:rPr>
            </w:pPr>
            <w:r>
              <w:rPr>
                <w:lang w:val="en-CA"/>
              </w:rPr>
              <w:t>Me Amélie Pelletier-Desrosiers</w:t>
            </w:r>
          </w:p>
        </w:tc>
      </w:tr>
      <w:tr w:rsidR="00291158" w14:paraId="23D9F1B5" w14:textId="77777777" w:rsidTr="00423DF1">
        <w:tc>
          <w:tcPr>
            <w:tcW w:w="9362" w:type="dxa"/>
            <w:gridSpan w:val="3"/>
          </w:tcPr>
          <w:p w14:paraId="129CC90F" w14:textId="5F128ABC" w:rsidR="00291158" w:rsidRDefault="00291158" w:rsidP="0010645A">
            <w:pPr>
              <w:pStyle w:val="zSoquijdatCabinetProcureurDef"/>
              <w:rPr>
                <w:lang w:val="en-CA"/>
              </w:rPr>
            </w:pPr>
            <w:r>
              <w:rPr>
                <w:lang w:val="en-CA"/>
              </w:rPr>
              <w:t>Me François Hénault</w:t>
            </w:r>
          </w:p>
        </w:tc>
      </w:tr>
      <w:tr w:rsidR="00291158" w14:paraId="5E9B7EA2" w14:textId="77777777" w:rsidTr="00423DF1">
        <w:tc>
          <w:tcPr>
            <w:tcW w:w="9362" w:type="dxa"/>
            <w:gridSpan w:val="3"/>
          </w:tcPr>
          <w:p w14:paraId="5AF75C44" w14:textId="1DE9E0FA" w:rsidR="00291158" w:rsidRPr="00291158" w:rsidRDefault="004B1106" w:rsidP="0010645A">
            <w:pPr>
              <w:pStyle w:val="zSoquijdatCabinetProcureurDef"/>
              <w:rPr>
                <w:smallCaps/>
              </w:rPr>
            </w:pPr>
            <w:r>
              <w:rPr>
                <w:smallCaps/>
              </w:rPr>
              <w:t>Sous-ministériat des affaires juridiques (SMAJ)</w:t>
            </w:r>
          </w:p>
        </w:tc>
      </w:tr>
      <w:tr w:rsidR="0010645A" w14:paraId="194FD405" w14:textId="77777777" w:rsidTr="00423DF1">
        <w:tc>
          <w:tcPr>
            <w:tcW w:w="9362" w:type="dxa"/>
            <w:gridSpan w:val="3"/>
          </w:tcPr>
          <w:p w14:paraId="71E27FDA" w14:textId="5B1A02BB" w:rsidR="0010645A" w:rsidRPr="0010645A" w:rsidRDefault="0010645A" w:rsidP="0010645A">
            <w:pPr>
              <w:pStyle w:val="zSoquijlblProcureurDef"/>
            </w:pPr>
            <w:r w:rsidRPr="0010645A">
              <w:t>Pour le mis en c</w:t>
            </w:r>
            <w:r>
              <w:t>ause</w:t>
            </w:r>
          </w:p>
        </w:tc>
      </w:tr>
      <w:tr w:rsidR="005A78BF" w14:paraId="5F2A33AC" w14:textId="77777777" w:rsidTr="00423DF1">
        <w:tc>
          <w:tcPr>
            <w:tcW w:w="9362" w:type="dxa"/>
            <w:gridSpan w:val="3"/>
          </w:tcPr>
          <w:p w14:paraId="7E174E77" w14:textId="77777777" w:rsidR="005A78BF" w:rsidRPr="0010645A" w:rsidRDefault="005A78BF" w:rsidP="005A78BF"/>
        </w:tc>
      </w:tr>
      <w:tr w:rsidR="005A78BF" w14:paraId="7D7CACF6" w14:textId="77777777" w:rsidTr="00423DF1">
        <w:tc>
          <w:tcPr>
            <w:tcW w:w="1997" w:type="dxa"/>
          </w:tcPr>
          <w:p w14:paraId="710D44D8" w14:textId="205AF288" w:rsidR="005A78BF" w:rsidRDefault="005A78BF" w:rsidP="005A78BF">
            <w:pPr>
              <w:pStyle w:val="zSoquijlblDateAudience"/>
            </w:pPr>
            <w:r>
              <w:t>Date d</w:t>
            </w:r>
            <w:r w:rsidR="00CF2D61">
              <w:t>’</w:t>
            </w:r>
            <w:r>
              <w:t>audience :</w:t>
            </w:r>
          </w:p>
        </w:tc>
        <w:tc>
          <w:tcPr>
            <w:tcW w:w="7365" w:type="dxa"/>
            <w:gridSpan w:val="2"/>
          </w:tcPr>
          <w:p w14:paraId="2516F9DF" w14:textId="473AA0AC" w:rsidR="005A78BF" w:rsidRDefault="00162C29" w:rsidP="005A78BF">
            <w:pPr>
              <w:pStyle w:val="zSoquijdatDateAudience"/>
            </w:pPr>
            <w:r>
              <w:t>3 février 2025</w:t>
            </w:r>
          </w:p>
        </w:tc>
      </w:tr>
    </w:tbl>
    <w:p w14:paraId="650B302D" w14:textId="77777777" w:rsidR="00CF2D61" w:rsidRDefault="00CF2D61" w:rsidP="00CF2D61">
      <w:pPr>
        <w:sectPr w:rsidR="00CF2D61" w:rsidSect="00FF16E6">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2242" w:h="15842" w:code="1"/>
          <w:pgMar w:top="1440" w:right="1009" w:bottom="1440" w:left="1871" w:header="1440" w:footer="794" w:gutter="0"/>
          <w:paperSrc w:first="4" w:other="4"/>
          <w:cols w:space="720"/>
          <w:formProt w:val="0"/>
          <w:titlePg/>
          <w:docGrid w:linePitch="326"/>
        </w:sectPr>
      </w:pPr>
      <w:bookmarkStart w:id="11" w:name="Opinion"/>
      <w:bookmarkEnd w:id="7"/>
    </w:p>
    <w:tbl>
      <w:tblPr>
        <w:tblW w:w="0" w:type="auto"/>
        <w:tblLayout w:type="fixed"/>
        <w:tblCellMar>
          <w:left w:w="0" w:type="dxa"/>
          <w:right w:w="0" w:type="dxa"/>
        </w:tblCellMar>
        <w:tblLook w:val="0000" w:firstRow="0" w:lastRow="0" w:firstColumn="0" w:lastColumn="0" w:noHBand="0" w:noVBand="0"/>
      </w:tblPr>
      <w:tblGrid>
        <w:gridCol w:w="9360"/>
      </w:tblGrid>
      <w:tr w:rsidR="00CF2D61" w14:paraId="4561E3EC" w14:textId="77777777" w:rsidTr="009E34B3">
        <w:tc>
          <w:tcPr>
            <w:tcW w:w="9360" w:type="dxa"/>
            <w:tcBorders>
              <w:bottom w:val="single" w:sz="8" w:space="0" w:color="auto"/>
            </w:tcBorders>
          </w:tcPr>
          <w:p w14:paraId="79441EE3" w14:textId="77777777" w:rsidR="00CF2D61" w:rsidRDefault="00CF2D61" w:rsidP="009E34B3"/>
        </w:tc>
      </w:tr>
      <w:tr w:rsidR="00CF2D61" w14:paraId="41CCB1D9" w14:textId="77777777" w:rsidTr="009E34B3">
        <w:tc>
          <w:tcPr>
            <w:tcW w:w="9360" w:type="dxa"/>
            <w:tcBorders>
              <w:top w:val="single" w:sz="8" w:space="0" w:color="auto"/>
            </w:tcBorders>
          </w:tcPr>
          <w:p w14:paraId="5771BF82" w14:textId="77777777" w:rsidR="00CF2D61" w:rsidRDefault="00CF2D61" w:rsidP="009E34B3"/>
        </w:tc>
      </w:tr>
      <w:tr w:rsidR="00CF2D61" w14:paraId="0C504A4D" w14:textId="77777777" w:rsidTr="009E34B3">
        <w:tc>
          <w:tcPr>
            <w:tcW w:w="9360" w:type="dxa"/>
          </w:tcPr>
          <w:p w14:paraId="64CFA094" w14:textId="17302C13" w:rsidR="00CF2D61" w:rsidRDefault="00737FA5" w:rsidP="009E34B3">
            <w:pPr>
              <w:pStyle w:val="zSoquijlblOpinionJuge"/>
            </w:pPr>
            <w:r>
              <w:t>MOTIFS DU JUGE</w:t>
            </w:r>
            <w:r w:rsidR="00CF2D61">
              <w:t xml:space="preserve"> </w:t>
            </w:r>
            <w:r>
              <w:t>HARDY</w:t>
            </w:r>
          </w:p>
        </w:tc>
      </w:tr>
      <w:tr w:rsidR="00CF2D61" w14:paraId="32FF97F4" w14:textId="77777777" w:rsidTr="009E34B3">
        <w:tc>
          <w:tcPr>
            <w:tcW w:w="9360" w:type="dxa"/>
            <w:tcBorders>
              <w:bottom w:val="single" w:sz="8" w:space="0" w:color="auto"/>
            </w:tcBorders>
          </w:tcPr>
          <w:p w14:paraId="7F3F1B19" w14:textId="77777777" w:rsidR="00CF2D61" w:rsidRDefault="00CF2D61" w:rsidP="009E34B3"/>
        </w:tc>
      </w:tr>
      <w:tr w:rsidR="00CF2D61" w14:paraId="33798516" w14:textId="77777777" w:rsidTr="009E34B3">
        <w:tc>
          <w:tcPr>
            <w:tcW w:w="9360" w:type="dxa"/>
            <w:tcBorders>
              <w:top w:val="single" w:sz="8" w:space="0" w:color="auto"/>
            </w:tcBorders>
          </w:tcPr>
          <w:p w14:paraId="12752783" w14:textId="77777777" w:rsidR="00CF2D61" w:rsidRDefault="00CF2D61" w:rsidP="009E34B3"/>
        </w:tc>
      </w:tr>
    </w:tbl>
    <w:p w14:paraId="57F3752F" w14:textId="3CB68632" w:rsidR="00CF2D61" w:rsidRDefault="00CF2D61" w:rsidP="00CF2D61">
      <w:pPr>
        <w:pStyle w:val="Paragraphe"/>
        <w:rPr>
          <w:lang w:val="fr-FR" w:eastAsia="en-US"/>
        </w:rPr>
      </w:pPr>
      <w:r>
        <w:rPr>
          <w:lang w:val="fr-FR" w:eastAsia="en-US"/>
        </w:rPr>
        <w:t>Les appelants se pourvoient contre un jugement rendu le 28 mars 2023 par la Cour supérieure (l’honorable Simon Hébert)</w:t>
      </w:r>
      <w:r>
        <w:rPr>
          <w:rStyle w:val="Appelnotedebasdep"/>
          <w:lang w:eastAsia="en-US"/>
        </w:rPr>
        <w:footnoteReference w:id="1"/>
      </w:r>
      <w:r>
        <w:rPr>
          <w:lang w:val="fr-FR" w:eastAsia="en-US"/>
        </w:rPr>
        <w:t>. Celui-ci rejette les trois actions collectives qu’ils ont intentées contre l’intimée en réparation du préjudice moral</w:t>
      </w:r>
      <w:r>
        <w:rPr>
          <w:rStyle w:val="Appelnotedebasdep"/>
          <w:lang w:eastAsia="en-US"/>
        </w:rPr>
        <w:footnoteReference w:id="2"/>
      </w:r>
      <w:r>
        <w:rPr>
          <w:lang w:val="fr-FR" w:eastAsia="en-US"/>
        </w:rPr>
        <w:t xml:space="preserve"> que les membres des trois groupes visés auraient subi </w:t>
      </w:r>
      <w:r>
        <w:t>à la suite de leur arrestation et de leur détention</w:t>
      </w:r>
      <w:r w:rsidRPr="00B97C86">
        <w:t xml:space="preserve"> </w:t>
      </w:r>
      <w:r>
        <w:t xml:space="preserve">en raison de leur participation à trois manifestations dites illégales qui se sont tenues dans le cadre du </w:t>
      </w:r>
      <w:r>
        <w:rPr>
          <w:i/>
          <w:iCs/>
        </w:rPr>
        <w:t>P</w:t>
      </w:r>
      <w:r w:rsidRPr="00EB6A6D">
        <w:rPr>
          <w:i/>
          <w:iCs/>
        </w:rPr>
        <w:t>rintemps érable</w:t>
      </w:r>
      <w:r>
        <w:t xml:space="preserve"> en 2012</w:t>
      </w:r>
      <w:r>
        <w:rPr>
          <w:lang w:val="fr-FR" w:eastAsia="en-US"/>
        </w:rPr>
        <w:t>.</w:t>
      </w:r>
    </w:p>
    <w:p w14:paraId="31E35DE6" w14:textId="77777777" w:rsidR="00CF2D61" w:rsidRPr="0091681D" w:rsidRDefault="00CF2D61" w:rsidP="007E0BA0">
      <w:pPr>
        <w:pStyle w:val="Paragraphe"/>
        <w:numPr>
          <w:ilvl w:val="0"/>
          <w:numId w:val="0"/>
        </w:numPr>
        <w:spacing w:before="0" w:after="0"/>
        <w:jc w:val="center"/>
        <w:rPr>
          <w:b/>
          <w:bCs/>
          <w:lang w:val="fr-FR" w:eastAsia="en-US"/>
        </w:rPr>
      </w:pPr>
      <w:r w:rsidRPr="0091681D">
        <w:rPr>
          <w:b/>
          <w:bCs/>
          <w:lang w:val="fr-FR" w:eastAsia="en-US"/>
        </w:rPr>
        <w:t>I</w:t>
      </w:r>
    </w:p>
    <w:p w14:paraId="7A960184" w14:textId="3C3AE014" w:rsidR="00CF2D61" w:rsidRPr="00A07E78" w:rsidRDefault="00CF2D61" w:rsidP="00CF2D61">
      <w:pPr>
        <w:pStyle w:val="Paragraphe"/>
        <w:rPr>
          <w:lang w:val="fr-FR" w:eastAsia="en-US"/>
        </w:rPr>
      </w:pPr>
      <w:r>
        <w:t>Ces manifestations ont toutes les trois eu lieu en soirée dans le centre-ville de Québec : une première le 23 mai, une seconde le 28 mai et une troisième le 5 juin 2012. Chacune fait l’objet d’une action collective distincte et a son propre représentant, d’où la jonction des trois dossiers en première instance et en appel.</w:t>
      </w:r>
    </w:p>
    <w:p w14:paraId="67C5114C" w14:textId="351C050C" w:rsidR="00CF2D61" w:rsidRPr="00F62930" w:rsidRDefault="00CF2D61" w:rsidP="00CF2D61">
      <w:pPr>
        <w:pStyle w:val="Paragraphe"/>
        <w:rPr>
          <w:lang w:val="fr-FR" w:eastAsia="en-US"/>
        </w:rPr>
      </w:pPr>
      <w:r w:rsidRPr="00335042">
        <w:rPr>
          <w:kern w:val="0"/>
          <w:szCs w:val="24"/>
        </w:rPr>
        <w:t xml:space="preserve">Au début de chacune de ces manifestations, les policiers du </w:t>
      </w:r>
      <w:r>
        <w:rPr>
          <w:kern w:val="0"/>
          <w:szCs w:val="24"/>
        </w:rPr>
        <w:t>Service de police de la Ville de Québec (« </w:t>
      </w:r>
      <w:r w:rsidRPr="00335042">
        <w:rPr>
          <w:kern w:val="0"/>
          <w:szCs w:val="24"/>
        </w:rPr>
        <w:t>SPVQ</w:t>
      </w:r>
      <w:r>
        <w:rPr>
          <w:kern w:val="0"/>
          <w:szCs w:val="24"/>
        </w:rPr>
        <w:t> »)</w:t>
      </w:r>
      <w:r w:rsidRPr="00335042">
        <w:rPr>
          <w:kern w:val="0"/>
          <w:szCs w:val="24"/>
        </w:rPr>
        <w:t xml:space="preserve"> préviennent ceux qui y participe</w:t>
      </w:r>
      <w:r>
        <w:rPr>
          <w:kern w:val="0"/>
          <w:szCs w:val="24"/>
        </w:rPr>
        <w:t>ro</w:t>
      </w:r>
      <w:r w:rsidRPr="00335042">
        <w:rPr>
          <w:kern w:val="0"/>
          <w:szCs w:val="24"/>
        </w:rPr>
        <w:t>nt qu</w:t>
      </w:r>
      <w:r>
        <w:rPr>
          <w:kern w:val="0"/>
          <w:szCs w:val="24"/>
        </w:rPr>
        <w:t>’</w:t>
      </w:r>
      <w:r w:rsidRPr="00335042">
        <w:rPr>
          <w:kern w:val="0"/>
          <w:szCs w:val="24"/>
        </w:rPr>
        <w:t>à défaut d</w:t>
      </w:r>
      <w:r>
        <w:rPr>
          <w:kern w:val="0"/>
          <w:szCs w:val="24"/>
        </w:rPr>
        <w:t>e recevoir</w:t>
      </w:r>
      <w:r w:rsidRPr="00335042">
        <w:rPr>
          <w:kern w:val="0"/>
          <w:szCs w:val="24"/>
        </w:rPr>
        <w:t xml:space="preserve"> l</w:t>
      </w:r>
      <w:r>
        <w:rPr>
          <w:kern w:val="0"/>
          <w:szCs w:val="24"/>
        </w:rPr>
        <w:t>’</w:t>
      </w:r>
      <w:r w:rsidRPr="00335042">
        <w:rPr>
          <w:kern w:val="0"/>
          <w:szCs w:val="24"/>
        </w:rPr>
        <w:t>itinéraire qu</w:t>
      </w:r>
      <w:r>
        <w:rPr>
          <w:kern w:val="0"/>
          <w:szCs w:val="24"/>
        </w:rPr>
        <w:t>’</w:t>
      </w:r>
      <w:r w:rsidRPr="00335042">
        <w:rPr>
          <w:kern w:val="0"/>
          <w:szCs w:val="24"/>
        </w:rPr>
        <w:t>ils entendent suivre, leur </w:t>
      </w:r>
      <w:r w:rsidRPr="00913550">
        <w:rPr>
          <w:kern w:val="0"/>
          <w:szCs w:val="24"/>
        </w:rPr>
        <w:t>marche</w:t>
      </w:r>
      <w:r w:rsidRPr="00335042">
        <w:rPr>
          <w:kern w:val="0"/>
          <w:szCs w:val="24"/>
        </w:rPr>
        <w:t> sera déclarée illégale</w:t>
      </w:r>
      <w:r>
        <w:rPr>
          <w:kern w:val="0"/>
          <w:szCs w:val="24"/>
        </w:rPr>
        <w:t>,</w:t>
      </w:r>
      <w:r w:rsidRPr="00335042">
        <w:rPr>
          <w:kern w:val="0"/>
          <w:szCs w:val="24"/>
        </w:rPr>
        <w:t xml:space="preserve"> car contraire à l</w:t>
      </w:r>
      <w:r>
        <w:rPr>
          <w:kern w:val="0"/>
          <w:szCs w:val="24"/>
        </w:rPr>
        <w:t>’</w:t>
      </w:r>
      <w:r w:rsidRPr="00335042">
        <w:rPr>
          <w:kern w:val="0"/>
          <w:szCs w:val="24"/>
        </w:rPr>
        <w:t>article 500.1</w:t>
      </w:r>
      <w:bookmarkStart w:id="13" w:name="_Ref218587018"/>
      <w:r w:rsidRPr="00335042">
        <w:rPr>
          <w:kern w:val="0"/>
          <w:szCs w:val="24"/>
          <w:vertAlign w:val="superscript"/>
        </w:rPr>
        <w:footnoteReference w:id="3"/>
      </w:r>
      <w:bookmarkEnd w:id="13"/>
      <w:r w:rsidRPr="00335042">
        <w:rPr>
          <w:kern w:val="0"/>
          <w:szCs w:val="24"/>
        </w:rPr>
        <w:t xml:space="preserve"> du </w:t>
      </w:r>
      <w:r w:rsidRPr="00335042">
        <w:rPr>
          <w:i/>
          <w:iCs/>
          <w:kern w:val="0"/>
          <w:szCs w:val="24"/>
        </w:rPr>
        <w:t>Code de la sécurité routière</w:t>
      </w:r>
      <w:r w:rsidRPr="00335042">
        <w:rPr>
          <w:kern w:val="0"/>
          <w:szCs w:val="24"/>
        </w:rPr>
        <w:t xml:space="preserve"> (« </w:t>
      </w:r>
      <w:r w:rsidRPr="00335042">
        <w:rPr>
          <w:i/>
          <w:iCs/>
          <w:kern w:val="0"/>
          <w:szCs w:val="24"/>
        </w:rPr>
        <w:t>C.s.r.</w:t>
      </w:r>
      <w:r w:rsidRPr="00335042">
        <w:rPr>
          <w:kern w:val="0"/>
          <w:szCs w:val="24"/>
        </w:rPr>
        <w:t> ») :</w:t>
      </w:r>
    </w:p>
    <w:tbl>
      <w:tblPr>
        <w:tblW w:w="0" w:type="auto"/>
        <w:tblLayout w:type="fixed"/>
        <w:tblCellMar>
          <w:left w:w="70" w:type="dxa"/>
          <w:right w:w="70" w:type="dxa"/>
        </w:tblCellMar>
        <w:tblLook w:val="0000" w:firstRow="0" w:lastRow="0" w:firstColumn="0" w:lastColumn="0" w:noHBand="0" w:noVBand="0"/>
      </w:tblPr>
      <w:tblGrid>
        <w:gridCol w:w="4681"/>
        <w:gridCol w:w="4681"/>
      </w:tblGrid>
      <w:tr w:rsidR="007E4079" w:rsidRPr="00B3650D" w14:paraId="422BD72F" w14:textId="77777777" w:rsidTr="007E4079">
        <w:tc>
          <w:tcPr>
            <w:tcW w:w="4681" w:type="dxa"/>
            <w:shd w:val="clear" w:color="auto" w:fill="auto"/>
          </w:tcPr>
          <w:p w14:paraId="1E0F8C3E" w14:textId="13A56B19" w:rsidR="007E4079" w:rsidRDefault="007E4079" w:rsidP="007E4079">
            <w:pPr>
              <w:pStyle w:val="Tableaugauchefranais"/>
              <w:spacing w:before="120" w:after="120"/>
              <w:jc w:val="both"/>
            </w:pPr>
            <w:r w:rsidRPr="007E4079">
              <w:rPr>
                <w:b/>
                <w:bCs/>
              </w:rPr>
              <w:t>500.1</w:t>
            </w:r>
            <w:r>
              <w:t> </w:t>
            </w:r>
            <w:r w:rsidRPr="00A07E78">
              <w:rPr>
                <w:lang w:eastAsia="ar-SA"/>
              </w:rPr>
              <w:t>Nul ne peut, au cours d</w:t>
            </w:r>
            <w:r>
              <w:rPr>
                <w:lang w:eastAsia="ar-SA"/>
              </w:rPr>
              <w:t>’</w:t>
            </w:r>
            <w:r w:rsidRPr="00A07E78">
              <w:rPr>
                <w:lang w:eastAsia="ar-SA"/>
              </w:rPr>
              <w:t>une action concertée destinée à entraver de quelque manière la circulation des véhicules routiers sur un chemin public, en occuper la chaussée, l</w:t>
            </w:r>
            <w:r>
              <w:rPr>
                <w:lang w:eastAsia="ar-SA"/>
              </w:rPr>
              <w:t>’</w:t>
            </w:r>
            <w:r w:rsidRPr="00A07E78">
              <w:rPr>
                <w:lang w:eastAsia="ar-SA"/>
              </w:rPr>
              <w:t>accotement, une autre partie de l</w:t>
            </w:r>
            <w:r>
              <w:rPr>
                <w:lang w:eastAsia="ar-SA"/>
              </w:rPr>
              <w:t>’</w:t>
            </w:r>
            <w:r w:rsidRPr="00A07E78">
              <w:rPr>
                <w:lang w:eastAsia="ar-SA"/>
              </w:rPr>
              <w:t>emprise ou les abords ou y placer un véhicule ou un obstacle, de manière à entraver la circulation des véhicules routiers sur ce chemin ou l</w:t>
            </w:r>
            <w:r>
              <w:rPr>
                <w:lang w:eastAsia="ar-SA"/>
              </w:rPr>
              <w:t>’</w:t>
            </w:r>
            <w:r w:rsidRPr="00A07E78">
              <w:rPr>
                <w:lang w:eastAsia="ar-SA"/>
              </w:rPr>
              <w:t>accès à un tel chemin.</w:t>
            </w:r>
          </w:p>
        </w:tc>
        <w:tc>
          <w:tcPr>
            <w:tcW w:w="4681" w:type="dxa"/>
            <w:shd w:val="clear" w:color="auto" w:fill="auto"/>
          </w:tcPr>
          <w:p w14:paraId="5583F3C6" w14:textId="403B0437" w:rsidR="007E4079" w:rsidRPr="007E4079" w:rsidRDefault="007E4079" w:rsidP="007E4079">
            <w:pPr>
              <w:pStyle w:val="Tableaudroiteanglais"/>
              <w:spacing w:before="120" w:after="120"/>
            </w:pPr>
            <w:r w:rsidRPr="007E4079">
              <w:rPr>
                <w:b/>
                <w:bCs/>
              </w:rPr>
              <w:t>500.1</w:t>
            </w:r>
            <w:r w:rsidRPr="007E4079">
              <w:t> No person may, during a concerted action intended to obstruct in any way vehicular traffic on a public highway, occupy the roadway, shoulder or any other part of the right of way of or approaches to the highway or place a vehicle or obstacle thereon so as to obstruct vehicular traffic on the highway or access to such a highway.</w:t>
            </w:r>
          </w:p>
        </w:tc>
      </w:tr>
      <w:tr w:rsidR="007E4079" w14:paraId="6F9B4E06" w14:textId="77777777" w:rsidTr="007E4079">
        <w:tc>
          <w:tcPr>
            <w:tcW w:w="4681" w:type="dxa"/>
            <w:shd w:val="clear" w:color="auto" w:fill="auto"/>
          </w:tcPr>
          <w:p w14:paraId="0D4D26C2" w14:textId="42E72F43" w:rsidR="007E4079" w:rsidRPr="007E4079" w:rsidRDefault="007E4079" w:rsidP="007E4079">
            <w:pPr>
              <w:pStyle w:val="Tableaugauchefranais"/>
              <w:spacing w:before="120" w:after="120"/>
              <w:jc w:val="both"/>
            </w:pPr>
            <w:r w:rsidRPr="00A07E78">
              <w:rPr>
                <w:lang w:eastAsia="ar-SA"/>
              </w:rPr>
              <w:t>[…]</w:t>
            </w:r>
          </w:p>
        </w:tc>
        <w:tc>
          <w:tcPr>
            <w:tcW w:w="4681" w:type="dxa"/>
            <w:shd w:val="clear" w:color="auto" w:fill="auto"/>
          </w:tcPr>
          <w:p w14:paraId="63D4A3C3" w14:textId="43A313B9" w:rsidR="007E4079" w:rsidRPr="007E4079" w:rsidRDefault="007E4079" w:rsidP="007E4079">
            <w:pPr>
              <w:pStyle w:val="Tableaudroiteanglais"/>
              <w:spacing w:before="120" w:after="120"/>
              <w:rPr>
                <w:lang w:val="fr-CA"/>
              </w:rPr>
            </w:pPr>
            <w:r>
              <w:rPr>
                <w:lang w:val="fr-CA"/>
              </w:rPr>
              <w:t>[…]</w:t>
            </w:r>
          </w:p>
        </w:tc>
      </w:tr>
      <w:tr w:rsidR="007E4079" w:rsidRPr="00B3650D" w14:paraId="63AFDB7B" w14:textId="77777777" w:rsidTr="007E4079">
        <w:tc>
          <w:tcPr>
            <w:tcW w:w="4681" w:type="dxa"/>
            <w:shd w:val="clear" w:color="auto" w:fill="auto"/>
          </w:tcPr>
          <w:p w14:paraId="7779C7C2" w14:textId="4EB71EFD" w:rsidR="007E4079" w:rsidRPr="007E4079" w:rsidRDefault="007E4079" w:rsidP="007E4079">
            <w:pPr>
              <w:pStyle w:val="Tableaugauchefranais"/>
              <w:spacing w:before="120" w:after="120"/>
              <w:jc w:val="both"/>
            </w:pPr>
            <w:r w:rsidRPr="00A07E78">
              <w:rPr>
                <w:lang w:eastAsia="ar-SA"/>
              </w:rPr>
              <w:lastRenderedPageBreak/>
              <w:t>Le présent article ne s</w:t>
            </w:r>
            <w:r>
              <w:rPr>
                <w:lang w:eastAsia="ar-SA"/>
              </w:rPr>
              <w:t>’</w:t>
            </w:r>
            <w:r w:rsidRPr="00A07E78">
              <w:rPr>
                <w:lang w:eastAsia="ar-SA"/>
              </w:rPr>
              <w:t>applique pas lors de défilés ou d</w:t>
            </w:r>
            <w:r>
              <w:rPr>
                <w:lang w:eastAsia="ar-SA"/>
              </w:rPr>
              <w:t>’</w:t>
            </w:r>
            <w:r w:rsidRPr="00A07E78">
              <w:rPr>
                <w:lang w:eastAsia="ar-SA"/>
              </w:rPr>
              <w:t>autres manifestations préalablement auto</w:t>
            </w:r>
            <w:r>
              <w:rPr>
                <w:lang w:eastAsia="ar-SA"/>
              </w:rPr>
              <w:t>-</w:t>
            </w:r>
            <w:r w:rsidRPr="00A07E78">
              <w:rPr>
                <w:lang w:eastAsia="ar-SA"/>
              </w:rPr>
              <w:t>risées par la personne responsable de l</w:t>
            </w:r>
            <w:r>
              <w:rPr>
                <w:lang w:eastAsia="ar-SA"/>
              </w:rPr>
              <w:t>’</w:t>
            </w:r>
            <w:r w:rsidRPr="00A07E78">
              <w:rPr>
                <w:lang w:eastAsia="ar-SA"/>
              </w:rPr>
              <w:t>entretien du chemin public à la condition que le chemin utilisé soit fermé à la circulation ou sous contrôle d</w:t>
            </w:r>
            <w:r>
              <w:rPr>
                <w:lang w:eastAsia="ar-SA"/>
              </w:rPr>
              <w:t>’</w:t>
            </w:r>
            <w:r w:rsidRPr="00A07E78">
              <w:rPr>
                <w:lang w:eastAsia="ar-SA"/>
              </w:rPr>
              <w:t>un corps de police.</w:t>
            </w:r>
          </w:p>
        </w:tc>
        <w:tc>
          <w:tcPr>
            <w:tcW w:w="4681" w:type="dxa"/>
            <w:shd w:val="clear" w:color="auto" w:fill="auto"/>
          </w:tcPr>
          <w:p w14:paraId="15F1434F" w14:textId="5EDD427E" w:rsidR="007E4079" w:rsidRPr="007E4079" w:rsidRDefault="007E4079" w:rsidP="007E4079">
            <w:pPr>
              <w:pStyle w:val="Tableaudroiteanglais"/>
              <w:spacing w:before="120" w:after="120"/>
            </w:pPr>
            <w:r w:rsidRPr="007E4079">
              <w:t>This section does not apply during parades or other popular events previously authorized by the person responsible for the maintenance of the public highway provided the highway used is closed to traffic or is under the control of a police force.</w:t>
            </w:r>
          </w:p>
        </w:tc>
      </w:tr>
      <w:tr w:rsidR="007E4079" w14:paraId="03109BF8" w14:textId="77777777" w:rsidTr="007E4079">
        <w:tc>
          <w:tcPr>
            <w:tcW w:w="4681" w:type="dxa"/>
            <w:shd w:val="clear" w:color="auto" w:fill="auto"/>
          </w:tcPr>
          <w:p w14:paraId="7D69A789" w14:textId="76E22520" w:rsidR="007E4079" w:rsidRPr="00A07E78" w:rsidRDefault="007E4079" w:rsidP="007E4079">
            <w:pPr>
              <w:pStyle w:val="Tableaugauchefranais"/>
              <w:spacing w:before="120" w:after="120"/>
              <w:jc w:val="both"/>
              <w:rPr>
                <w:lang w:eastAsia="ar-SA"/>
              </w:rPr>
            </w:pPr>
            <w:r w:rsidRPr="00A07E78">
              <w:rPr>
                <w:lang w:eastAsia="ar-SA"/>
              </w:rPr>
              <w:t>[…]</w:t>
            </w:r>
          </w:p>
        </w:tc>
        <w:tc>
          <w:tcPr>
            <w:tcW w:w="4681" w:type="dxa"/>
            <w:shd w:val="clear" w:color="auto" w:fill="auto"/>
          </w:tcPr>
          <w:p w14:paraId="594D3C56" w14:textId="225389B7" w:rsidR="007E4079" w:rsidRPr="007E4079" w:rsidRDefault="007E4079" w:rsidP="007E4079">
            <w:pPr>
              <w:pStyle w:val="Tableaudroiteanglais"/>
              <w:spacing w:before="120" w:after="120"/>
              <w:rPr>
                <w:lang w:val="fr-CA"/>
              </w:rPr>
            </w:pPr>
            <w:r>
              <w:rPr>
                <w:lang w:val="fr-CA"/>
              </w:rPr>
              <w:t>[…]</w:t>
            </w:r>
          </w:p>
        </w:tc>
      </w:tr>
    </w:tbl>
    <w:p w14:paraId="3ABF2791" w14:textId="5C0C04FC" w:rsidR="00CF2D61" w:rsidRDefault="00CF2D61" w:rsidP="007E4079">
      <w:pPr>
        <w:pStyle w:val="Paragraphe"/>
        <w:rPr>
          <w:lang w:val="fr-FR" w:eastAsia="en-US"/>
        </w:rPr>
      </w:pPr>
      <w:r>
        <w:t xml:space="preserve">Les manifestants ignorent l’avertissement des policiers et débutent leur </w:t>
      </w:r>
      <w:r w:rsidRPr="00A43DB9">
        <w:t>marche</w:t>
      </w:r>
      <w:r>
        <w:rPr>
          <w:i/>
          <w:iCs/>
        </w:rPr>
        <w:t xml:space="preserve"> </w:t>
      </w:r>
      <w:r>
        <w:t xml:space="preserve">sur la chaussée. S’autorisant de l’article 75 du </w:t>
      </w:r>
      <w:r w:rsidRPr="00DB2FAA">
        <w:rPr>
          <w:i/>
          <w:iCs/>
        </w:rPr>
        <w:t>Code de procédure pénale</w:t>
      </w:r>
      <w:r>
        <w:t xml:space="preserve"> (« </w:t>
      </w:r>
      <w:r w:rsidRPr="009E2312">
        <w:rPr>
          <w:i/>
          <w:iCs/>
        </w:rPr>
        <w:t>C.p.p.</w:t>
      </w:r>
      <w:r>
        <w:t> »), les policiers du SPVQ procèdent alors à leur arrestation :</w:t>
      </w:r>
      <w:r w:rsidRPr="00A07E78">
        <w:rPr>
          <w:lang w:val="fr-FR" w:eastAsia="en-US"/>
        </w:rPr>
        <w:t xml:space="preserve"> </w:t>
      </w:r>
    </w:p>
    <w:tbl>
      <w:tblPr>
        <w:tblW w:w="0" w:type="auto"/>
        <w:tblLayout w:type="fixed"/>
        <w:tblCellMar>
          <w:left w:w="70" w:type="dxa"/>
          <w:right w:w="70" w:type="dxa"/>
        </w:tblCellMar>
        <w:tblLook w:val="0000" w:firstRow="0" w:lastRow="0" w:firstColumn="0" w:lastColumn="0" w:noHBand="0" w:noVBand="0"/>
      </w:tblPr>
      <w:tblGrid>
        <w:gridCol w:w="4681"/>
        <w:gridCol w:w="4681"/>
      </w:tblGrid>
      <w:tr w:rsidR="007E4079" w:rsidRPr="00B3650D" w14:paraId="10734A1A" w14:textId="77777777" w:rsidTr="007E4079">
        <w:tc>
          <w:tcPr>
            <w:tcW w:w="4681" w:type="dxa"/>
            <w:shd w:val="clear" w:color="auto" w:fill="auto"/>
          </w:tcPr>
          <w:p w14:paraId="4333B190" w14:textId="305B0B28" w:rsidR="007E4079" w:rsidRDefault="007E4079" w:rsidP="007E4079">
            <w:pPr>
              <w:pStyle w:val="Tableaugauchefranais"/>
              <w:spacing w:before="120" w:after="120"/>
              <w:jc w:val="both"/>
            </w:pPr>
            <w:r w:rsidRPr="007E4079">
              <w:rPr>
                <w:b/>
                <w:bCs/>
              </w:rPr>
              <w:t>75.</w:t>
            </w:r>
            <w:r>
              <w:t> </w:t>
            </w:r>
            <w:r w:rsidRPr="00A07E78">
              <w:rPr>
                <w:lang w:eastAsia="ar-SA"/>
              </w:rPr>
              <w:t>L</w:t>
            </w:r>
            <w:r>
              <w:rPr>
                <w:lang w:eastAsia="ar-SA"/>
              </w:rPr>
              <w:t>’</w:t>
            </w:r>
            <w:r w:rsidRPr="00A07E78">
              <w:rPr>
                <w:lang w:eastAsia="ar-SA"/>
              </w:rPr>
              <w:t>agent de la paix qui constate qu</w:t>
            </w:r>
            <w:r>
              <w:rPr>
                <w:lang w:eastAsia="ar-SA"/>
              </w:rPr>
              <w:t>’</w:t>
            </w:r>
            <w:r w:rsidRPr="00A07E78">
              <w:rPr>
                <w:lang w:eastAsia="ar-SA"/>
              </w:rPr>
              <w:t>une personne est en train de commettre une infraction peut l</w:t>
            </w:r>
            <w:r>
              <w:rPr>
                <w:lang w:eastAsia="ar-SA"/>
              </w:rPr>
              <w:t>’</w:t>
            </w:r>
            <w:r w:rsidRPr="00A07E78">
              <w:rPr>
                <w:lang w:eastAsia="ar-SA"/>
              </w:rPr>
              <w:t>arrêter sans mandat si l</w:t>
            </w:r>
            <w:r>
              <w:rPr>
                <w:lang w:eastAsia="ar-SA"/>
              </w:rPr>
              <w:t>’</w:t>
            </w:r>
            <w:r w:rsidRPr="00A07E78">
              <w:rPr>
                <w:lang w:eastAsia="ar-SA"/>
              </w:rPr>
              <w:t>arrestation est le seul moyen raisonnable à sa disposition pour mettre un terme à la perpétration de l</w:t>
            </w:r>
            <w:r>
              <w:rPr>
                <w:lang w:eastAsia="ar-SA"/>
              </w:rPr>
              <w:t>’</w:t>
            </w:r>
            <w:r w:rsidRPr="00A07E78">
              <w:rPr>
                <w:lang w:eastAsia="ar-SA"/>
              </w:rPr>
              <w:t>infraction.</w:t>
            </w:r>
          </w:p>
        </w:tc>
        <w:tc>
          <w:tcPr>
            <w:tcW w:w="4681" w:type="dxa"/>
            <w:shd w:val="clear" w:color="auto" w:fill="auto"/>
          </w:tcPr>
          <w:p w14:paraId="312FC3B2" w14:textId="2F3FC650" w:rsidR="007E4079" w:rsidRPr="007E4079" w:rsidRDefault="007E4079" w:rsidP="007E4079">
            <w:pPr>
              <w:pStyle w:val="Tableaudroiteanglais"/>
              <w:spacing w:before="120" w:after="120"/>
            </w:pPr>
            <w:r w:rsidRPr="007E4079">
              <w:rPr>
                <w:b/>
                <w:bCs/>
              </w:rPr>
              <w:t>75.</w:t>
            </w:r>
            <w:r w:rsidRPr="007E4079">
              <w:t> A peace officer who finds a person committing an offence may arrest him without a warrant if that is the only reasonable means available to him to put an end to the commission of the offence.</w:t>
            </w:r>
          </w:p>
        </w:tc>
      </w:tr>
      <w:tr w:rsidR="007E4079" w:rsidRPr="00B3650D" w14:paraId="2C25C1B6" w14:textId="77777777" w:rsidTr="007E4079">
        <w:tc>
          <w:tcPr>
            <w:tcW w:w="4681" w:type="dxa"/>
            <w:shd w:val="clear" w:color="auto" w:fill="auto"/>
          </w:tcPr>
          <w:p w14:paraId="4944B92E" w14:textId="406E2A52" w:rsidR="007E4079" w:rsidRDefault="007E4079" w:rsidP="007E4079">
            <w:pPr>
              <w:pStyle w:val="Tableaugauchefranais"/>
              <w:spacing w:before="120" w:after="120"/>
              <w:jc w:val="both"/>
            </w:pPr>
            <w:r w:rsidRPr="00A07E78">
              <w:rPr>
                <w:lang w:eastAsia="ar-SA"/>
              </w:rPr>
              <w:t>La personne ainsi arrêtée doit être mise en liberté par celui qui la détient dès que celui-ci a des motifs raisonnables de croire que sa détention n</w:t>
            </w:r>
            <w:r>
              <w:rPr>
                <w:lang w:eastAsia="ar-SA"/>
              </w:rPr>
              <w:t>’</w:t>
            </w:r>
            <w:r w:rsidRPr="00A07E78">
              <w:rPr>
                <w:lang w:eastAsia="ar-SA"/>
              </w:rPr>
              <w:t>est plus nécessaire pour empêcher la reprise ou la continuation, dans l</w:t>
            </w:r>
            <w:r>
              <w:rPr>
                <w:lang w:eastAsia="ar-SA"/>
              </w:rPr>
              <w:t>’</w:t>
            </w:r>
            <w:r w:rsidRPr="00A07E78">
              <w:rPr>
                <w:lang w:eastAsia="ar-SA"/>
              </w:rPr>
              <w:t>immédiat, de l</w:t>
            </w:r>
            <w:r>
              <w:rPr>
                <w:lang w:eastAsia="ar-SA"/>
              </w:rPr>
              <w:t>’</w:t>
            </w:r>
            <w:r w:rsidRPr="00A07E78">
              <w:rPr>
                <w:lang w:eastAsia="ar-SA"/>
              </w:rPr>
              <w:t>infraction.</w:t>
            </w:r>
          </w:p>
        </w:tc>
        <w:tc>
          <w:tcPr>
            <w:tcW w:w="4681" w:type="dxa"/>
            <w:shd w:val="clear" w:color="auto" w:fill="auto"/>
          </w:tcPr>
          <w:p w14:paraId="6C81018F" w14:textId="64C1C435" w:rsidR="007E4079" w:rsidRPr="007E4079" w:rsidRDefault="007E4079" w:rsidP="007E4079">
            <w:pPr>
              <w:pStyle w:val="Tableaudroiteanglais"/>
              <w:spacing w:before="120" w:after="120"/>
            </w:pPr>
            <w:r w:rsidRPr="007E4079">
              <w:t>The person so arrested must be released from custody by the person detaining him once the latter person has reasonable grounds to believe that detention is no longer necessary to prevent, for the time being, the repetition or continuation of the offence.</w:t>
            </w:r>
          </w:p>
        </w:tc>
      </w:tr>
    </w:tbl>
    <w:p w14:paraId="293E5C01" w14:textId="29AF8C1D" w:rsidR="00CF2D61" w:rsidRPr="00A07E78" w:rsidRDefault="00CF2D61" w:rsidP="00CF2D61">
      <w:pPr>
        <w:pStyle w:val="Paragraphe"/>
        <w:rPr>
          <w:lang w:val="fr-FR" w:eastAsia="en-US"/>
        </w:rPr>
      </w:pPr>
      <w:r>
        <w:t xml:space="preserve">Les manifestants sont menottés </w:t>
      </w:r>
      <w:r w:rsidRPr="00735E6E">
        <w:t>derrière</w:t>
      </w:r>
      <w:r>
        <w:t xml:space="preserve"> le dos à l’aide de « Tie-Wraps ». Les policiers leur intiment d’aller s’asseoir dans des autobus du Réseau de transport de la Capitale à bord desquels ils seront conduits à un endroit où ils seront libérés. L’objectif des policiers est alors d’éviter de les relâcher à un endroit où il aurait été facile pour eux de retourner en Haute</w:t>
      </w:r>
      <w:r>
        <w:noBreakHyphen/>
        <w:t xml:space="preserve">Ville pour débuter une nouvelle </w:t>
      </w:r>
      <w:r w:rsidRPr="00A43DB9">
        <w:t>marche</w:t>
      </w:r>
      <w:r>
        <w:rPr>
          <w:i/>
          <w:iCs/>
        </w:rPr>
        <w:t xml:space="preserve"> </w:t>
      </w:r>
      <w:r w:rsidRPr="00AC5BF8">
        <w:t>illégale</w:t>
      </w:r>
      <w:r>
        <w:t>.</w:t>
      </w:r>
      <w:r w:rsidRPr="00A07E78">
        <w:rPr>
          <w:lang w:val="fr-FR" w:eastAsia="en-US"/>
        </w:rPr>
        <w:t xml:space="preserve"> </w:t>
      </w:r>
    </w:p>
    <w:p w14:paraId="585C5AD1" w14:textId="45DCA22B" w:rsidR="00CF2D61" w:rsidRPr="00335042" w:rsidRDefault="00CF2D61" w:rsidP="00CF2D61">
      <w:pPr>
        <w:pStyle w:val="Paragraphe"/>
        <w:rPr>
          <w:lang w:val="fr-FR" w:eastAsia="en-US"/>
        </w:rPr>
      </w:pPr>
      <w:r>
        <w:t>Le lieu de leur libération ne sera pas le même pour tous. Il s’agira, selon le cas, du parc Victoria</w:t>
      </w:r>
      <w:r>
        <w:rPr>
          <w:rStyle w:val="Appelnotedebasdep"/>
        </w:rPr>
        <w:footnoteReference w:id="4"/>
      </w:r>
      <w:r>
        <w:t>, du quartier Limoilou</w:t>
      </w:r>
      <w:r>
        <w:rPr>
          <w:rStyle w:val="Appelnotedebasdep"/>
        </w:rPr>
        <w:footnoteReference w:id="5"/>
      </w:r>
      <w:r>
        <w:t>, du Centre commercial Fleur de Lys</w:t>
      </w:r>
      <w:r>
        <w:rPr>
          <w:rStyle w:val="Appelnotedebasdep"/>
        </w:rPr>
        <w:footnoteReference w:id="6"/>
      </w:r>
      <w:r>
        <w:t xml:space="preserve">, du Centre de </w:t>
      </w:r>
      <w:r>
        <w:lastRenderedPageBreak/>
        <w:t>foires, du Colisée Pepsi</w:t>
      </w:r>
      <w:r>
        <w:rPr>
          <w:rStyle w:val="Appelnotedebasdep"/>
        </w:rPr>
        <w:footnoteReference w:id="7"/>
      </w:r>
      <w:r>
        <w:t xml:space="preserve"> et des Galeries Charlesbourg</w:t>
      </w:r>
      <w:r>
        <w:rPr>
          <w:rStyle w:val="Appelnotedebasdep"/>
        </w:rPr>
        <w:footnoteReference w:id="8"/>
      </w:r>
      <w:r>
        <w:t>, lesquels sont tous situés à proximité d’un parcours d’autobus</w:t>
      </w:r>
      <w:r>
        <w:rPr>
          <w:rStyle w:val="Appelnotedebasdep"/>
        </w:rPr>
        <w:footnoteReference w:id="9"/>
      </w:r>
      <w:r>
        <w:t>.</w:t>
      </w:r>
    </w:p>
    <w:p w14:paraId="6A14F690" w14:textId="77777777" w:rsidR="00CF2D61" w:rsidRPr="00A07E78" w:rsidRDefault="00CF2D61" w:rsidP="00CF2D61">
      <w:pPr>
        <w:pStyle w:val="Paragraphe"/>
        <w:rPr>
          <w:lang w:val="fr-FR" w:eastAsia="en-US"/>
        </w:rPr>
      </w:pPr>
      <w:r>
        <w:t>En tout et partout, la détention des manifestants aura duré quelques heures.</w:t>
      </w:r>
    </w:p>
    <w:p w14:paraId="4143EF11" w14:textId="140BC292" w:rsidR="00CF2D61" w:rsidRDefault="00CF2D61" w:rsidP="00CF2D61">
      <w:pPr>
        <w:pStyle w:val="Paragraphe"/>
        <w:rPr>
          <w:lang w:val="fr-FR" w:eastAsia="en-US"/>
        </w:rPr>
      </w:pPr>
      <w:r>
        <w:t>Dans les jours qui suivent, chacune des personnes arrêtées reçoit un constat d’infraction</w:t>
      </w:r>
      <w:r>
        <w:rPr>
          <w:rStyle w:val="Appelnotedebasdep"/>
        </w:rPr>
        <w:footnoteReference w:id="10"/>
      </w:r>
      <w:r>
        <w:t>. Les coordonnées de Me Enrico Théberge sont fournies à plusieurs d’entre elles au cas où elles entendraient le contester</w:t>
      </w:r>
      <w:r>
        <w:rPr>
          <w:rStyle w:val="Appelnotedebasdep"/>
        </w:rPr>
        <w:footnoteReference w:id="11"/>
      </w:r>
      <w:r>
        <w:t>. De fait, plusieurs le font</w:t>
      </w:r>
      <w:r>
        <w:rPr>
          <w:rStyle w:val="Appelnotedebasdep"/>
        </w:rPr>
        <w:footnoteReference w:id="12"/>
      </w:r>
      <w:r>
        <w:t>. La possibilité de poursuivre la Ville de Québec en dommages-intérêts est aussi évoquée, que ce soit dans les médias sociaux ou lors d’une séance d’information tenue le 20 juin 2012, au cours de laquelle Me</w:t>
      </w:r>
      <w:r w:rsidR="00F62930">
        <w:t> </w:t>
      </w:r>
      <w:r>
        <w:t>Théberge prend la parole</w:t>
      </w:r>
      <w:r>
        <w:rPr>
          <w:rStyle w:val="Appelnotedebasdep"/>
        </w:rPr>
        <w:footnoteReference w:id="13"/>
      </w:r>
      <w:r>
        <w:t>. Aucun délai de prescription d’un éventuel recours en dommages-intérêts n’est mentionné</w:t>
      </w:r>
      <w:r>
        <w:rPr>
          <w:rStyle w:val="Appelnotedebasdep"/>
        </w:rPr>
        <w:footnoteReference w:id="14"/>
      </w:r>
      <w:r>
        <w:t>, l’avocat prenant par ailleurs soin de préciser à son auditoire qu’il n’est pas un civiliste, mais un criminaliste.</w:t>
      </w:r>
      <w:r w:rsidRPr="00A07E78">
        <w:rPr>
          <w:lang w:val="fr-FR" w:eastAsia="en-US"/>
        </w:rPr>
        <w:t xml:space="preserve"> </w:t>
      </w:r>
      <w:r>
        <w:rPr>
          <w:lang w:val="fr-FR" w:eastAsia="en-US"/>
        </w:rPr>
        <w:t xml:space="preserve">En revanche, une personne ayant pris part aux manifestations affirme son intention, sur la plateforme </w:t>
      </w:r>
      <w:r w:rsidRPr="00A36087">
        <w:rPr>
          <w:i/>
          <w:iCs/>
          <w:lang w:val="fr-FR" w:eastAsia="en-US"/>
        </w:rPr>
        <w:t>Facebook</w:t>
      </w:r>
      <w:r>
        <w:rPr>
          <w:lang w:val="fr-FR" w:eastAsia="en-US"/>
        </w:rPr>
        <w:t>, d’intenter une action individuelle. Elle informe les lecteurs de son « post » que le délai de prescription pour poursuivre la Ville de Québec est de six mois</w:t>
      </w:r>
      <w:r>
        <w:rPr>
          <w:rStyle w:val="Appelnotedebasdep"/>
          <w:lang w:eastAsia="en-US"/>
        </w:rPr>
        <w:footnoteReference w:id="15"/>
      </w:r>
      <w:r>
        <w:rPr>
          <w:lang w:val="fr-FR" w:eastAsia="en-US"/>
        </w:rPr>
        <w:t xml:space="preserve">. Le juge indique que la représentante Marie-Ève Duchesne en est alors nécessairement informée puisqu’elle était « active sur cette page </w:t>
      </w:r>
      <w:r w:rsidRPr="00214A3E">
        <w:rPr>
          <w:i/>
          <w:iCs/>
          <w:lang w:val="fr-FR" w:eastAsia="en-US"/>
        </w:rPr>
        <w:t>Facebook</w:t>
      </w:r>
      <w:r>
        <w:rPr>
          <w:lang w:val="fr-FR" w:eastAsia="en-US"/>
        </w:rPr>
        <w:t> »</w:t>
      </w:r>
      <w:r>
        <w:rPr>
          <w:rStyle w:val="Appelnotedebasdep"/>
          <w:lang w:eastAsia="en-US"/>
        </w:rPr>
        <w:footnoteReference w:id="16"/>
      </w:r>
      <w:r>
        <w:rPr>
          <w:lang w:val="fr-FR" w:eastAsia="en-US"/>
        </w:rPr>
        <w:t xml:space="preserve">. Lors d’une rencontre tenue le 3 décembre 2014 à laquelle les manifestants ont été conviés, Me Théberge les entretient à nouveau des recours civils possibles en précisant, cette fois, que le délai de prescription prévu au </w:t>
      </w:r>
      <w:r w:rsidRPr="0087491B">
        <w:rPr>
          <w:i/>
          <w:iCs/>
          <w:lang w:val="fr-FR" w:eastAsia="en-US"/>
        </w:rPr>
        <w:t>Code civil du Québec</w:t>
      </w:r>
      <w:r>
        <w:rPr>
          <w:lang w:val="fr-FR" w:eastAsia="en-US"/>
        </w:rPr>
        <w:t xml:space="preserve"> est de trois ans</w:t>
      </w:r>
      <w:r>
        <w:rPr>
          <w:rStyle w:val="Appelnotedebasdep"/>
          <w:lang w:eastAsia="en-US"/>
        </w:rPr>
        <w:footnoteReference w:id="17"/>
      </w:r>
      <w:r>
        <w:rPr>
          <w:lang w:val="fr-FR" w:eastAsia="en-US"/>
        </w:rPr>
        <w:t>.</w:t>
      </w:r>
    </w:p>
    <w:p w14:paraId="66374992" w14:textId="77777777" w:rsidR="00CF2D61" w:rsidRPr="00693DFF" w:rsidRDefault="00CF2D61" w:rsidP="007E0BA0">
      <w:pPr>
        <w:pStyle w:val="Paragraphe"/>
        <w:numPr>
          <w:ilvl w:val="0"/>
          <w:numId w:val="0"/>
        </w:numPr>
        <w:spacing w:before="0" w:after="0"/>
        <w:jc w:val="center"/>
        <w:rPr>
          <w:b/>
          <w:bCs/>
          <w:lang w:val="fr-FR" w:eastAsia="en-US"/>
        </w:rPr>
      </w:pPr>
      <w:r w:rsidRPr="00693DFF">
        <w:rPr>
          <w:b/>
          <w:bCs/>
          <w:lang w:val="fr-FR" w:eastAsia="en-US"/>
        </w:rPr>
        <w:t>II</w:t>
      </w:r>
    </w:p>
    <w:p w14:paraId="720E638B" w14:textId="1EC07D0E" w:rsidR="00CF2D61" w:rsidRPr="00451EFD" w:rsidRDefault="00CF2D61" w:rsidP="00CF2D61">
      <w:pPr>
        <w:pStyle w:val="Paragraphe"/>
        <w:rPr>
          <w:lang w:val="fr-FR" w:eastAsia="en-US"/>
        </w:rPr>
      </w:pPr>
      <w:r>
        <w:t>Les demandes pour obtenir la permission d’intenter les actions collectives sont produites à la fin avril et au début mai 2015, soit peu de temps avant le troisième anniversaire de la première manifestation. Le 15 décembre 2016, la Cour supérieure les autorise</w:t>
      </w:r>
      <w:r>
        <w:rPr>
          <w:rStyle w:val="Appelnotedebasdep"/>
        </w:rPr>
        <w:footnoteReference w:id="18"/>
      </w:r>
      <w:r>
        <w:t xml:space="preserve">. Parmi les questions à être traitées collectivement, le juge autorisateur inclut celles de la violation constitutionnelle des droits des membres lors de leur détention et de la validité de l’article 586 de la </w:t>
      </w:r>
      <w:r w:rsidRPr="004912D8">
        <w:rPr>
          <w:i/>
          <w:iCs/>
        </w:rPr>
        <w:t>Loi sur les cités et villes</w:t>
      </w:r>
      <w:r>
        <w:t> (« </w:t>
      </w:r>
      <w:r w:rsidRPr="009D35F3">
        <w:rPr>
          <w:i/>
          <w:iCs/>
        </w:rPr>
        <w:t>L</w:t>
      </w:r>
      <w:r>
        <w:rPr>
          <w:i/>
          <w:iCs/>
        </w:rPr>
        <w:t>.c.v. </w:t>
      </w:r>
      <w:r>
        <w:t>»)</w:t>
      </w:r>
      <w:r w:rsidRPr="00533BF6">
        <w:rPr>
          <w:rStyle w:val="Appelnotedebasdep"/>
        </w:rPr>
        <w:footnoteReference w:id="19"/>
      </w:r>
      <w:r>
        <w:t xml:space="preserve">. Visiblement, les appelants avaient alors compris que la prescription applicable n’était pas celle de trois </w:t>
      </w:r>
      <w:r>
        <w:lastRenderedPageBreak/>
        <w:t xml:space="preserve">ans prévue au </w:t>
      </w:r>
      <w:r w:rsidRPr="00DF3D6F">
        <w:rPr>
          <w:i/>
          <w:iCs/>
        </w:rPr>
        <w:t>Code civil</w:t>
      </w:r>
      <w:r w:rsidRPr="00C46F4C">
        <w:t>,</w:t>
      </w:r>
      <w:r w:rsidRPr="00DF3D6F">
        <w:rPr>
          <w:i/>
          <w:iCs/>
        </w:rPr>
        <w:t xml:space="preserve"> </w:t>
      </w:r>
      <w:r>
        <w:t>mais plutôt celle de six mois énoncée à cet article 586, qui est ainsi rédigé :</w:t>
      </w:r>
    </w:p>
    <w:tbl>
      <w:tblPr>
        <w:tblW w:w="0" w:type="auto"/>
        <w:tblLayout w:type="fixed"/>
        <w:tblCellMar>
          <w:left w:w="70" w:type="dxa"/>
          <w:right w:w="70" w:type="dxa"/>
        </w:tblCellMar>
        <w:tblLook w:val="0000" w:firstRow="0" w:lastRow="0" w:firstColumn="0" w:lastColumn="0" w:noHBand="0" w:noVBand="0"/>
      </w:tblPr>
      <w:tblGrid>
        <w:gridCol w:w="4681"/>
        <w:gridCol w:w="4681"/>
      </w:tblGrid>
      <w:tr w:rsidR="00CF2D61" w:rsidRPr="00B3650D" w14:paraId="06BA2342" w14:textId="77777777" w:rsidTr="009E34B3">
        <w:tc>
          <w:tcPr>
            <w:tcW w:w="4681" w:type="dxa"/>
            <w:shd w:val="clear" w:color="auto" w:fill="auto"/>
          </w:tcPr>
          <w:p w14:paraId="2D0DAEDA" w14:textId="6E4AE273" w:rsidR="00CF2D61" w:rsidRDefault="00CF2D61" w:rsidP="009E34B3">
            <w:pPr>
              <w:pStyle w:val="Tableaugauchefranais"/>
              <w:spacing w:before="120" w:after="120"/>
              <w:jc w:val="both"/>
            </w:pPr>
            <w:r w:rsidRPr="00C41878">
              <w:rPr>
                <w:b/>
                <w:bCs/>
              </w:rPr>
              <w:t>586.</w:t>
            </w:r>
            <w:r>
              <w:t> T</w:t>
            </w:r>
            <w:r w:rsidRPr="00C41878">
              <w:t>oute action, poursuite ou réclamation contre la municipalité ou l</w:t>
            </w:r>
            <w:r>
              <w:t>’</w:t>
            </w:r>
            <w:r w:rsidRPr="00C41878">
              <w:t>un de ses fonctionnaires ou employés, pour dommages-intérêts résultant de fautes ou d</w:t>
            </w:r>
            <w:r>
              <w:t>’</w:t>
            </w:r>
            <w:r w:rsidRPr="00C41878">
              <w:t>illégalités, est prescrite par six mois à partir du jour où le droit d</w:t>
            </w:r>
            <w:r>
              <w:t>’</w:t>
            </w:r>
            <w:r w:rsidRPr="00C41878">
              <w:t>action a pris naissance, nonobstant toute disposition de la loi à ce contraire.</w:t>
            </w:r>
          </w:p>
        </w:tc>
        <w:tc>
          <w:tcPr>
            <w:tcW w:w="4681" w:type="dxa"/>
            <w:shd w:val="clear" w:color="auto" w:fill="auto"/>
          </w:tcPr>
          <w:p w14:paraId="00F9B5A5" w14:textId="77777777" w:rsidR="00CF2D61" w:rsidRPr="00C41878" w:rsidRDefault="00CF2D61" w:rsidP="009E34B3">
            <w:pPr>
              <w:pStyle w:val="Tableaudroiteanglais"/>
              <w:spacing w:before="120" w:after="120"/>
            </w:pPr>
            <w:r w:rsidRPr="00C41878">
              <w:rPr>
                <w:b/>
                <w:bCs/>
              </w:rPr>
              <w:t>586.</w:t>
            </w:r>
            <w:r w:rsidRPr="00C41878">
              <w:t> Every action, suit or claim against the municipality or any of its officers or employees, for damages occasioned by faults, or illegalities, shall be prescribed by six months from the day on which the cause of action accrued, any provision of law to the contrary notwithstanding.</w:t>
            </w:r>
          </w:p>
        </w:tc>
      </w:tr>
    </w:tbl>
    <w:p w14:paraId="2DE743D1" w14:textId="6FFD224B" w:rsidR="00CF2D61" w:rsidRPr="00735E6E" w:rsidRDefault="00CF2D61" w:rsidP="00CF2D61">
      <w:pPr>
        <w:pStyle w:val="Paragraphe"/>
        <w:keepNext/>
        <w:rPr>
          <w:lang w:val="fr-FR" w:eastAsia="en-US"/>
        </w:rPr>
      </w:pPr>
      <w:r w:rsidRPr="00735E6E">
        <w:rPr>
          <w:kern w:val="0"/>
          <w:szCs w:val="24"/>
        </w:rPr>
        <w:t xml:space="preserve">Les trois actions collectives sont intentées en 2017. Deux portent la date du 10 mars et une troisième, celle du 16 mars. </w:t>
      </w:r>
      <w:r w:rsidRPr="00735E6E">
        <w:rPr>
          <w:lang w:val="fr-FR" w:eastAsia="en-US"/>
        </w:rPr>
        <w:t>Dans chacune d</w:t>
      </w:r>
      <w:r>
        <w:rPr>
          <w:lang w:val="fr-FR" w:eastAsia="en-US"/>
        </w:rPr>
        <w:t>’</w:t>
      </w:r>
      <w:r w:rsidRPr="00735E6E">
        <w:rPr>
          <w:lang w:val="fr-FR" w:eastAsia="en-US"/>
        </w:rPr>
        <w:t>elles, les appelants allèguent que :</w:t>
      </w:r>
    </w:p>
    <w:p w14:paraId="1C2167AE" w14:textId="0E9B64F2" w:rsidR="00CF2D61" w:rsidRPr="00735E6E" w:rsidRDefault="00CF2D61" w:rsidP="00CF2D61">
      <w:pPr>
        <w:pStyle w:val="Citationenretrait"/>
        <w:keepNext/>
        <w:rPr>
          <w:lang w:val="fr-FR"/>
        </w:rPr>
      </w:pPr>
      <w:r w:rsidRPr="00735E6E">
        <w:rPr>
          <w:lang w:val="fr-FR"/>
        </w:rPr>
        <w:t>Dès la réception du constat, le représentant entendait contester celui-ci devant l</w:t>
      </w:r>
      <w:r>
        <w:rPr>
          <w:lang w:val="fr-FR"/>
        </w:rPr>
        <w:t>’</w:t>
      </w:r>
      <w:r w:rsidRPr="00735E6E">
        <w:rPr>
          <w:lang w:val="fr-FR"/>
        </w:rPr>
        <w:t>instance pénale appropriée en soulevant que son arrestation avait été arbitraire et abusive et que par conséquent sa détention, afin de l</w:t>
      </w:r>
      <w:r>
        <w:rPr>
          <w:lang w:val="fr-FR"/>
        </w:rPr>
        <w:t>’</w:t>
      </w:r>
      <w:r w:rsidRPr="00735E6E">
        <w:rPr>
          <w:lang w:val="fr-FR"/>
        </w:rPr>
        <w:t>identifier et de l</w:t>
      </w:r>
      <w:r>
        <w:rPr>
          <w:lang w:val="fr-FR"/>
        </w:rPr>
        <w:t>’</w:t>
      </w:r>
      <w:r w:rsidRPr="00735E6E">
        <w:rPr>
          <w:lang w:val="fr-FR"/>
        </w:rPr>
        <w:t>éloigner des lieux de son arrestation, était illégale;</w:t>
      </w:r>
    </w:p>
    <w:p w14:paraId="489349A0" w14:textId="0B8222BB" w:rsidR="00CF2D61" w:rsidRPr="00735E6E" w:rsidRDefault="00CF2D61" w:rsidP="00CF2D61">
      <w:pPr>
        <w:pStyle w:val="Paragraphe"/>
        <w:rPr>
          <w:lang w:val="fr-FR" w:eastAsia="en-US"/>
        </w:rPr>
      </w:pPr>
      <w:r w:rsidRPr="00735E6E">
        <w:rPr>
          <w:lang w:val="fr-FR" w:eastAsia="en-US"/>
        </w:rPr>
        <w:t>Dans deux d</w:t>
      </w:r>
      <w:r>
        <w:rPr>
          <w:lang w:val="fr-FR" w:eastAsia="en-US"/>
        </w:rPr>
        <w:t>’</w:t>
      </w:r>
      <w:r w:rsidRPr="00735E6E">
        <w:rPr>
          <w:lang w:val="fr-FR" w:eastAsia="en-US"/>
        </w:rPr>
        <w:t>entre elles, il est également allégué ce qui suit :</w:t>
      </w:r>
    </w:p>
    <w:p w14:paraId="557C654A" w14:textId="7EDDF23A" w:rsidR="00CF2D61" w:rsidRPr="00735E6E" w:rsidRDefault="00CF2D61" w:rsidP="00CF2D61">
      <w:pPr>
        <w:pStyle w:val="Citationenretrait"/>
        <w:rPr>
          <w:lang w:val="fr-FR" w:eastAsia="en-US"/>
        </w:rPr>
      </w:pPr>
      <w:r w:rsidRPr="00735E6E">
        <w:rPr>
          <w:lang w:val="fr-FR" w:eastAsia="en-US"/>
        </w:rPr>
        <w:t>Le représentant souhaitait soulever devant l</w:t>
      </w:r>
      <w:r>
        <w:rPr>
          <w:lang w:val="fr-FR" w:eastAsia="en-US"/>
        </w:rPr>
        <w:t>’</w:t>
      </w:r>
      <w:r w:rsidRPr="00735E6E">
        <w:rPr>
          <w:lang w:val="fr-FR" w:eastAsia="en-US"/>
        </w:rPr>
        <w:t>instance pénale appropriée que les violations à ses droits constitutionnels étaient graves. Par conséquent, il espérait être en mesure de demander des dommages intérêts afin de dissuader la partie défenderesse de procéder ainsi lors des autres interceptions de masse;</w:t>
      </w:r>
    </w:p>
    <w:p w14:paraId="2046A818" w14:textId="2F3FE8C8" w:rsidR="00CF2D61" w:rsidRPr="00735E6E" w:rsidRDefault="00CF2D61" w:rsidP="00CF2D61">
      <w:pPr>
        <w:pStyle w:val="Citationenretrait"/>
        <w:rPr>
          <w:lang w:val="fr-FR" w:eastAsia="en-US"/>
        </w:rPr>
      </w:pPr>
      <w:r w:rsidRPr="00735E6E">
        <w:rPr>
          <w:lang w:val="fr-FR" w:eastAsia="en-US"/>
        </w:rPr>
        <w:t>Le représentant prétend que ces questions devaient être tranchées en premier lieu dans le cadre des poursuites pénales, l</w:t>
      </w:r>
      <w:r>
        <w:rPr>
          <w:lang w:val="fr-FR" w:eastAsia="en-US"/>
        </w:rPr>
        <w:t>’</w:t>
      </w:r>
      <w:r w:rsidRPr="00735E6E">
        <w:rPr>
          <w:lang w:val="fr-FR" w:eastAsia="en-US"/>
        </w:rPr>
        <w:t>issue des poursuites pénales découlant de ces questions de droit ;</w:t>
      </w:r>
    </w:p>
    <w:p w14:paraId="51AB5CE3" w14:textId="342FAD3B" w:rsidR="00CF2D61" w:rsidRPr="00735E6E" w:rsidRDefault="00CF2D61" w:rsidP="00CF2D61">
      <w:pPr>
        <w:pStyle w:val="Paragraphe"/>
        <w:rPr>
          <w:lang w:val="fr-FR" w:eastAsia="en-US"/>
        </w:rPr>
      </w:pPr>
      <w:r w:rsidRPr="00735E6E">
        <w:rPr>
          <w:lang w:val="fr-FR" w:eastAsia="en-US"/>
        </w:rPr>
        <w:t>Dans leur action collective respective, les appelants se plaignent de la durée de leur détention au cours de laquelle ils étaient, à titre de rappel, menottés derrière le dos et d</w:t>
      </w:r>
      <w:r>
        <w:rPr>
          <w:lang w:val="fr-FR" w:eastAsia="en-US"/>
        </w:rPr>
        <w:t>’</w:t>
      </w:r>
      <w:r w:rsidRPr="00735E6E">
        <w:rPr>
          <w:lang w:val="fr-FR" w:eastAsia="en-US"/>
        </w:rPr>
        <w:t>avoir été « trimballé » en autobus pour ensuite être relâchés, à une heure tardive, à un endroit éloigné du lieu de leur arrestation.</w:t>
      </w:r>
    </w:p>
    <w:p w14:paraId="361744D6" w14:textId="732D1CAB" w:rsidR="00CF2D61" w:rsidRPr="00066130" w:rsidRDefault="00CF2D61" w:rsidP="00CF2D61">
      <w:pPr>
        <w:pStyle w:val="Paragraphe"/>
        <w:rPr>
          <w:lang w:val="fr-FR" w:eastAsia="en-US"/>
        </w:rPr>
      </w:pPr>
      <w:r>
        <w:rPr>
          <w:kern w:val="0"/>
          <w:szCs w:val="24"/>
        </w:rPr>
        <w:t xml:space="preserve">Des avis selon l’article 76 </w:t>
      </w:r>
      <w:r w:rsidRPr="009937D5">
        <w:rPr>
          <w:i/>
          <w:iCs/>
          <w:kern w:val="0"/>
          <w:szCs w:val="24"/>
        </w:rPr>
        <w:t>C.p.c.</w:t>
      </w:r>
      <w:r>
        <w:rPr>
          <w:kern w:val="0"/>
          <w:szCs w:val="24"/>
        </w:rPr>
        <w:t xml:space="preserve"> sont aussi produits </w:t>
      </w:r>
      <w:r w:rsidRPr="00735E6E">
        <w:rPr>
          <w:kern w:val="0"/>
          <w:szCs w:val="24"/>
        </w:rPr>
        <w:t>aux termes desquels</w:t>
      </w:r>
      <w:r>
        <w:rPr>
          <w:kern w:val="0"/>
          <w:szCs w:val="24"/>
        </w:rPr>
        <w:t xml:space="preserve"> l’application de l’article 586 </w:t>
      </w:r>
      <w:r w:rsidRPr="003B0FE9">
        <w:rPr>
          <w:i/>
          <w:iCs/>
          <w:kern w:val="0"/>
          <w:szCs w:val="24"/>
        </w:rPr>
        <w:t>L.c.v</w:t>
      </w:r>
      <w:r>
        <w:rPr>
          <w:kern w:val="0"/>
          <w:szCs w:val="24"/>
        </w:rPr>
        <w:t xml:space="preserve">. à un recours fondé sur la </w:t>
      </w:r>
      <w:r w:rsidRPr="003B0FE9">
        <w:rPr>
          <w:i/>
          <w:iCs/>
          <w:kern w:val="0"/>
          <w:szCs w:val="24"/>
        </w:rPr>
        <w:t>Charte</w:t>
      </w:r>
      <w:r>
        <w:rPr>
          <w:kern w:val="0"/>
          <w:szCs w:val="24"/>
        </w:rPr>
        <w:t xml:space="preserve"> </w:t>
      </w:r>
      <w:r w:rsidRPr="005E6FE5">
        <w:rPr>
          <w:i/>
          <w:iCs/>
          <w:kern w:val="0"/>
          <w:szCs w:val="24"/>
        </w:rPr>
        <w:t xml:space="preserve">canadienne des droits </w:t>
      </w:r>
      <w:r w:rsidRPr="005E6FE5">
        <w:rPr>
          <w:i/>
          <w:iCs/>
          <w:kern w:val="0"/>
          <w:szCs w:val="24"/>
        </w:rPr>
        <w:lastRenderedPageBreak/>
        <w:t>et libertés</w:t>
      </w:r>
      <w:r w:rsidRPr="005E6FE5">
        <w:rPr>
          <w:rStyle w:val="Appelnotedebasdep"/>
          <w:kern w:val="0"/>
          <w:szCs w:val="24"/>
        </w:rPr>
        <w:footnoteReference w:id="20"/>
      </w:r>
      <w:r>
        <w:rPr>
          <w:kern w:val="0"/>
          <w:szCs w:val="24"/>
        </w:rPr>
        <w:t xml:space="preserve"> (la « </w:t>
      </w:r>
      <w:r w:rsidRPr="005E6FE5">
        <w:rPr>
          <w:i/>
          <w:iCs/>
          <w:kern w:val="0"/>
          <w:szCs w:val="24"/>
        </w:rPr>
        <w:t>Charte</w:t>
      </w:r>
      <w:r>
        <w:rPr>
          <w:kern w:val="0"/>
          <w:szCs w:val="24"/>
        </w:rPr>
        <w:t xml:space="preserve"> ») et la </w:t>
      </w:r>
      <w:r w:rsidRPr="003B0FE9">
        <w:rPr>
          <w:i/>
          <w:iCs/>
          <w:kern w:val="0"/>
          <w:szCs w:val="24"/>
        </w:rPr>
        <w:t>Charte</w:t>
      </w:r>
      <w:r w:rsidRPr="00A757B7">
        <w:rPr>
          <w:i/>
          <w:iCs/>
          <w:kern w:val="0"/>
          <w:szCs w:val="24"/>
        </w:rPr>
        <w:t xml:space="preserve"> </w:t>
      </w:r>
      <w:r>
        <w:rPr>
          <w:i/>
          <w:iCs/>
          <w:kern w:val="0"/>
          <w:szCs w:val="24"/>
        </w:rPr>
        <w:t>des droits et libertés de la personne</w:t>
      </w:r>
      <w:r w:rsidRPr="005E6FE5">
        <w:rPr>
          <w:rStyle w:val="Appelnotedebasdep"/>
          <w:kern w:val="0"/>
          <w:szCs w:val="24"/>
        </w:rPr>
        <w:footnoteReference w:id="21"/>
      </w:r>
      <w:r>
        <w:rPr>
          <w:i/>
          <w:iCs/>
          <w:kern w:val="0"/>
          <w:szCs w:val="24"/>
        </w:rPr>
        <w:t xml:space="preserve"> (la </w:t>
      </w:r>
      <w:r w:rsidRPr="00050582">
        <w:rPr>
          <w:kern w:val="0"/>
          <w:szCs w:val="24"/>
        </w:rPr>
        <w:t>« </w:t>
      </w:r>
      <w:r>
        <w:rPr>
          <w:i/>
          <w:iCs/>
          <w:kern w:val="0"/>
          <w:szCs w:val="24"/>
        </w:rPr>
        <w:t xml:space="preserve">Charte </w:t>
      </w:r>
      <w:r w:rsidRPr="003B0FE9">
        <w:rPr>
          <w:i/>
          <w:iCs/>
          <w:kern w:val="0"/>
          <w:szCs w:val="24"/>
        </w:rPr>
        <w:t>québécoise</w:t>
      </w:r>
      <w:r w:rsidRPr="00050582">
        <w:rPr>
          <w:kern w:val="0"/>
          <w:szCs w:val="24"/>
        </w:rPr>
        <w:t> »</w:t>
      </w:r>
      <w:r>
        <w:rPr>
          <w:i/>
          <w:iCs/>
          <w:kern w:val="0"/>
          <w:szCs w:val="24"/>
        </w:rPr>
        <w:t xml:space="preserve">) </w:t>
      </w:r>
      <w:r w:rsidRPr="00BB1434">
        <w:rPr>
          <w:kern w:val="0"/>
          <w:szCs w:val="24"/>
        </w:rPr>
        <w:t>est contestée</w:t>
      </w:r>
      <w:r>
        <w:rPr>
          <w:kern w:val="0"/>
          <w:szCs w:val="24"/>
        </w:rPr>
        <w:t xml:space="preserve">. </w:t>
      </w:r>
    </w:p>
    <w:p w14:paraId="35B88D73" w14:textId="34EBB7D6" w:rsidR="00CF2D61" w:rsidRPr="00904C7C" w:rsidRDefault="00CF2D61" w:rsidP="00CF2D61">
      <w:pPr>
        <w:pStyle w:val="Paragraphe"/>
        <w:rPr>
          <w:lang w:val="fr-FR" w:eastAsia="en-US"/>
        </w:rPr>
      </w:pPr>
      <w:r w:rsidRPr="00735E6E">
        <w:t>Le 30</w:t>
      </w:r>
      <w:r w:rsidRPr="00335042">
        <w:t xml:space="preserve"> mars 2017, le poursuivant retire tous les constats d</w:t>
      </w:r>
      <w:r>
        <w:t>’</w:t>
      </w:r>
      <w:r w:rsidRPr="00335042">
        <w:t>infraction reçus par les manifestants</w:t>
      </w:r>
      <w:r>
        <w:t xml:space="preserve"> au moyen du dépôt d’avis d’arrêt des procédures</w:t>
      </w:r>
      <w:r>
        <w:rPr>
          <w:rStyle w:val="Appelnotedebasdep"/>
          <w:kern w:val="0"/>
          <w:szCs w:val="24"/>
        </w:rPr>
        <w:footnoteReference w:id="22"/>
      </w:r>
      <w:r w:rsidRPr="00335042">
        <w:t xml:space="preserve">. </w:t>
      </w:r>
      <w:r>
        <w:t>Cette décision n’est pas expliquée</w:t>
      </w:r>
      <w:r>
        <w:rPr>
          <w:rStyle w:val="Appelnotedebasdep"/>
          <w:kern w:val="0"/>
          <w:szCs w:val="24"/>
        </w:rPr>
        <w:footnoteReference w:id="23"/>
      </w:r>
      <w:r>
        <w:t>. Sans en tirer de conclusion formelle, le juge semble</w:t>
      </w:r>
      <w:r w:rsidRPr="00335042">
        <w:t xml:space="preserve"> </w:t>
      </w:r>
      <w:r>
        <w:t>établir un lien entre celle-ci et</w:t>
      </w:r>
      <w:r w:rsidRPr="00335042">
        <w:t xml:space="preserve"> le jugement </w:t>
      </w:r>
      <w:r>
        <w:t xml:space="preserve">de la Cour supérieure rendu le 12 novembre 2015 dans l’affaire </w:t>
      </w:r>
      <w:r w:rsidRPr="00335042">
        <w:rPr>
          <w:i/>
          <w:iCs/>
        </w:rPr>
        <w:t xml:space="preserve">Garbeau c. </w:t>
      </w:r>
      <w:r>
        <w:rPr>
          <w:i/>
          <w:iCs/>
        </w:rPr>
        <w:t xml:space="preserve">Ville de </w:t>
      </w:r>
      <w:r w:rsidRPr="00335042">
        <w:rPr>
          <w:i/>
          <w:iCs/>
        </w:rPr>
        <w:t>Montréal</w:t>
      </w:r>
      <w:r w:rsidRPr="00335042">
        <w:rPr>
          <w:vertAlign w:val="superscript"/>
        </w:rPr>
        <w:footnoteReference w:id="24"/>
      </w:r>
      <w:r w:rsidRPr="00682705">
        <w:t>,</w:t>
      </w:r>
      <w:r>
        <w:rPr>
          <w:i/>
          <w:iCs/>
        </w:rPr>
        <w:t xml:space="preserve"> </w:t>
      </w:r>
      <w:r>
        <w:t>lequel</w:t>
      </w:r>
      <w:r>
        <w:rPr>
          <w:i/>
          <w:iCs/>
        </w:rPr>
        <w:t xml:space="preserve"> </w:t>
      </w:r>
      <w:r>
        <w:t xml:space="preserve">a déclaré inconstitutionnel l’article 500.1 </w:t>
      </w:r>
      <w:r w:rsidRPr="00335042">
        <w:rPr>
          <w:i/>
          <w:iCs/>
        </w:rPr>
        <w:t>C.s.r.</w:t>
      </w:r>
      <w:r>
        <w:rPr>
          <w:i/>
          <w:iCs/>
        </w:rPr>
        <w:t xml:space="preserve"> </w:t>
      </w:r>
      <w:r w:rsidRPr="00F55807">
        <w:t>en vertu duquel les trois marches avaient été déclarées illégales</w:t>
      </w:r>
      <w:r>
        <w:t>, et ce, au motif que la condition d’autorisation préalable de défilés ou autres manifestations qui y était prévue était purement discrétionnaire.</w:t>
      </w:r>
    </w:p>
    <w:p w14:paraId="0417481A" w14:textId="10081942" w:rsidR="00CF2D61" w:rsidRPr="00441B2D" w:rsidRDefault="00CF2D61" w:rsidP="00CF2D61">
      <w:pPr>
        <w:pStyle w:val="Paragraphe"/>
        <w:rPr>
          <w:lang w:val="fr-FR" w:eastAsia="en-US"/>
        </w:rPr>
      </w:pPr>
      <w:r>
        <w:rPr>
          <w:kern w:val="0"/>
          <w:szCs w:val="24"/>
        </w:rPr>
        <w:t>La Ville de Québec se défend aux trois actions collectives autorisées</w:t>
      </w:r>
      <w:r w:rsidRPr="00335042">
        <w:rPr>
          <w:kern w:val="0"/>
          <w:szCs w:val="24"/>
        </w:rPr>
        <w:t xml:space="preserve"> </w:t>
      </w:r>
      <w:r>
        <w:rPr>
          <w:kern w:val="0"/>
          <w:szCs w:val="24"/>
        </w:rPr>
        <w:t>en plaidant qu’elles</w:t>
      </w:r>
      <w:r w:rsidRPr="00335042">
        <w:rPr>
          <w:kern w:val="0"/>
          <w:szCs w:val="24"/>
        </w:rPr>
        <w:t xml:space="preserve"> sont prescrites et</w:t>
      </w:r>
      <w:r>
        <w:rPr>
          <w:kern w:val="0"/>
          <w:szCs w:val="24"/>
        </w:rPr>
        <w:t>, de surcroît,</w:t>
      </w:r>
      <w:r w:rsidRPr="00335042">
        <w:rPr>
          <w:kern w:val="0"/>
          <w:szCs w:val="24"/>
        </w:rPr>
        <w:t xml:space="preserve"> que ses policiers n</w:t>
      </w:r>
      <w:r>
        <w:rPr>
          <w:kern w:val="0"/>
          <w:szCs w:val="24"/>
        </w:rPr>
        <w:t>’</w:t>
      </w:r>
      <w:r w:rsidRPr="00335042">
        <w:rPr>
          <w:kern w:val="0"/>
          <w:szCs w:val="24"/>
        </w:rPr>
        <w:t>ont commis aucune faute.</w:t>
      </w:r>
      <w:r>
        <w:rPr>
          <w:kern w:val="0"/>
          <w:szCs w:val="24"/>
        </w:rPr>
        <w:t xml:space="preserve"> De son côté, le mis en cause défend la validité de la prescription de six mois prévue à l’article 586 </w:t>
      </w:r>
      <w:r w:rsidRPr="009937D5">
        <w:rPr>
          <w:i/>
          <w:iCs/>
          <w:kern w:val="0"/>
          <w:szCs w:val="24"/>
        </w:rPr>
        <w:t>L.</w:t>
      </w:r>
      <w:r>
        <w:rPr>
          <w:i/>
          <w:iCs/>
          <w:kern w:val="0"/>
          <w:szCs w:val="24"/>
        </w:rPr>
        <w:t>c</w:t>
      </w:r>
      <w:r w:rsidRPr="009937D5">
        <w:rPr>
          <w:i/>
          <w:iCs/>
          <w:kern w:val="0"/>
          <w:szCs w:val="24"/>
        </w:rPr>
        <w:t>.</w:t>
      </w:r>
      <w:r>
        <w:rPr>
          <w:i/>
          <w:iCs/>
          <w:kern w:val="0"/>
          <w:szCs w:val="24"/>
        </w:rPr>
        <w:t>v</w:t>
      </w:r>
      <w:r w:rsidRPr="009937D5">
        <w:rPr>
          <w:i/>
          <w:iCs/>
          <w:kern w:val="0"/>
          <w:szCs w:val="24"/>
        </w:rPr>
        <w:t>.</w:t>
      </w:r>
    </w:p>
    <w:p w14:paraId="0C35C053" w14:textId="0E416E44" w:rsidR="00CF2D61" w:rsidRPr="00A424C2" w:rsidRDefault="00CF2D61" w:rsidP="00CF2D61">
      <w:pPr>
        <w:pStyle w:val="Paragraphe"/>
        <w:rPr>
          <w:lang w:val="fr-FR" w:eastAsia="en-US"/>
        </w:rPr>
      </w:pPr>
      <w:r>
        <w:t xml:space="preserve">Les appelants ne contestent pas que la prescription applicable est celle de l’article 586 </w:t>
      </w:r>
      <w:r w:rsidRPr="00630A28">
        <w:rPr>
          <w:i/>
          <w:iCs/>
        </w:rPr>
        <w:t>L.c.v.</w:t>
      </w:r>
      <w:r>
        <w:t xml:space="preserve"> et que le préjudice dont ils demandent la réparation est moral</w:t>
      </w:r>
      <w:r>
        <w:rPr>
          <w:rStyle w:val="Appelnotedebasdep"/>
        </w:rPr>
        <w:footnoteReference w:id="25"/>
      </w:r>
      <w:r>
        <w:t>. Ils ne plaident pas non plus avoir été dans l’impossibilité d’agir plus tôt</w:t>
      </w:r>
      <w:r>
        <w:rPr>
          <w:rStyle w:val="Appelnotedebasdep"/>
        </w:rPr>
        <w:footnoteReference w:id="26"/>
      </w:r>
      <w:r>
        <w:t>. Pour contrer l’argument de la prescription, ils font valoir qu’ils étaient fondés à attendre le dénouement des poursuites pénales devant la Cour municipale de Québec avant de poursuivre au civil</w:t>
      </w:r>
      <w:r>
        <w:rPr>
          <w:rStyle w:val="Appelnotedebasdep"/>
        </w:rPr>
        <w:footnoteReference w:id="27"/>
      </w:r>
      <w:r>
        <w:t xml:space="preserve">. En d’autres mots, la prescription aurait été suspendue pendant l’instance pénale. Au cas où cet argument de la suspension ne serait pas retenu, les appelants plaident que l’article 586 </w:t>
      </w:r>
      <w:r w:rsidRPr="009D35F3">
        <w:rPr>
          <w:i/>
          <w:iCs/>
        </w:rPr>
        <w:t>L.</w:t>
      </w:r>
      <w:r>
        <w:rPr>
          <w:i/>
          <w:iCs/>
        </w:rPr>
        <w:t>c.v.</w:t>
      </w:r>
      <w:r>
        <w:t xml:space="preserve"> serait inapplicable à un recours fondé sur la </w:t>
      </w:r>
      <w:r w:rsidRPr="00BB1434">
        <w:rPr>
          <w:i/>
          <w:iCs/>
        </w:rPr>
        <w:t>Charte</w:t>
      </w:r>
      <w:r>
        <w:t>.</w:t>
      </w:r>
    </w:p>
    <w:p w14:paraId="051FF072" w14:textId="77777777" w:rsidR="00CF2D61" w:rsidRPr="0061574E" w:rsidRDefault="00CF2D61" w:rsidP="007E0BA0">
      <w:pPr>
        <w:jc w:val="center"/>
        <w:rPr>
          <w:b/>
          <w:bCs/>
        </w:rPr>
      </w:pPr>
      <w:r w:rsidRPr="0061574E">
        <w:rPr>
          <w:rFonts w:cs="Arial"/>
          <w:b/>
          <w:bCs/>
          <w:color w:val="000000"/>
          <w:lang w:val="fr-FR" w:eastAsia="en-US"/>
        </w:rPr>
        <w:t>II</w:t>
      </w:r>
      <w:r>
        <w:rPr>
          <w:rFonts w:cs="Arial"/>
          <w:b/>
          <w:bCs/>
          <w:color w:val="000000"/>
          <w:lang w:val="fr-FR" w:eastAsia="en-US"/>
        </w:rPr>
        <w:t>I</w:t>
      </w:r>
    </w:p>
    <w:p w14:paraId="3557F30C" w14:textId="4CC2B2EC" w:rsidR="00CF2D61" w:rsidRPr="00335042" w:rsidRDefault="00CF2D61" w:rsidP="00CF2D61">
      <w:pPr>
        <w:pStyle w:val="Paragraphe"/>
        <w:rPr>
          <w:lang w:val="fr-FR" w:eastAsia="en-US"/>
        </w:rPr>
      </w:pPr>
      <w:r>
        <w:t>Le juge est d’avis que les policiers n’ont commis aucune faute en procédant à l’arrestation des manifestants et à leur transport jusqu’à l’endroit où ils ont été libérés. À juste titre</w:t>
      </w:r>
      <w:r w:rsidR="00567595">
        <w:t>,</w:t>
      </w:r>
      <w:r>
        <w:t xml:space="preserve"> selon lui, les policiers voulaient mettre un terme à une manifestation illégale et éviter qu’elle ne reprenne une fois que les manifestants seraient relâchés. En revanche, rien ne justifiait, à ses yeux, qu’ils soient menottés. Néanmoins, il rejette chacune des trois actions collectives au motif qu’elles sont prescrites. À ce sujet, il conclut que les appelants ont fait défaut de démontrer que l’article 586 </w:t>
      </w:r>
      <w:r w:rsidRPr="0061574E">
        <w:rPr>
          <w:i/>
          <w:iCs/>
        </w:rPr>
        <w:t>L.c.v</w:t>
      </w:r>
      <w:r>
        <w:t xml:space="preserve">. est invalide </w:t>
      </w:r>
      <w:r>
        <w:lastRenderedPageBreak/>
        <w:t>constitutionnellement</w:t>
      </w:r>
      <w:r>
        <w:rPr>
          <w:rStyle w:val="Appelnotedebasdep"/>
        </w:rPr>
        <w:footnoteReference w:id="28"/>
      </w:r>
      <w:r>
        <w:t>. N’eût été cette prescription, la réparation du préjudice moral qu’il aurait privilégiée aurait été « </w:t>
      </w:r>
      <w:r>
        <w:rPr>
          <w:rFonts w:cs="Arial"/>
          <w:color w:val="000000"/>
        </w:rPr>
        <w:t>de nature déclaratoire, conjuguée à des excuses par le SPVQ ».</w:t>
      </w:r>
    </w:p>
    <w:p w14:paraId="0A13DE97" w14:textId="77777777" w:rsidR="00CF2D61" w:rsidRPr="0061574E" w:rsidRDefault="00CF2D61" w:rsidP="007E0BA0">
      <w:pPr>
        <w:jc w:val="center"/>
        <w:rPr>
          <w:b/>
          <w:bCs/>
        </w:rPr>
      </w:pPr>
      <w:r w:rsidRPr="0061574E">
        <w:rPr>
          <w:b/>
          <w:bCs/>
          <w:lang w:val="fr-FR" w:eastAsia="en-US"/>
        </w:rPr>
        <w:t>I</w:t>
      </w:r>
      <w:r>
        <w:rPr>
          <w:b/>
          <w:bCs/>
          <w:lang w:val="fr-FR" w:eastAsia="en-US"/>
        </w:rPr>
        <w:t>V</w:t>
      </w:r>
    </w:p>
    <w:p w14:paraId="374F086B" w14:textId="77777777" w:rsidR="00CF2D61" w:rsidRPr="00A07E78" w:rsidRDefault="00CF2D61" w:rsidP="00CF2D61">
      <w:pPr>
        <w:pStyle w:val="Paragraphe"/>
        <w:rPr>
          <w:lang w:val="fr-FR" w:eastAsia="en-US"/>
        </w:rPr>
      </w:pPr>
      <w:r>
        <w:rPr>
          <w:rFonts w:cs="Arial"/>
          <w:color w:val="000000"/>
        </w:rPr>
        <w:t>Les appelants attaquent le jugement entrepris sur plusieurs fronts. Le juge aurait commis des erreurs révisables en concluant :</w:t>
      </w:r>
    </w:p>
    <w:p w14:paraId="6E02C83C" w14:textId="2E220BCB" w:rsidR="00CF2D61" w:rsidRPr="00A07E78" w:rsidRDefault="00CF2D61" w:rsidP="00CF2D61">
      <w:pPr>
        <w:numPr>
          <w:ilvl w:val="0"/>
          <w:numId w:val="19"/>
        </w:numPr>
        <w:tabs>
          <w:tab w:val="left" w:pos="1134"/>
        </w:tabs>
        <w:spacing w:before="120" w:after="120"/>
        <w:ind w:left="1134" w:hanging="414"/>
        <w:jc w:val="both"/>
        <w:rPr>
          <w:lang w:val="fr-FR" w:eastAsia="en-US"/>
        </w:rPr>
      </w:pPr>
      <w:r>
        <w:t>que la prescription n’avait pas été suspendue le temps que le processus pénal prenne fin</w:t>
      </w:r>
      <w:r w:rsidRPr="00A07E78">
        <w:rPr>
          <w:lang w:val="fr-FR" w:eastAsia="en-US"/>
        </w:rPr>
        <w:t>;</w:t>
      </w:r>
    </w:p>
    <w:p w14:paraId="7BC89E0E" w14:textId="7429F4B9" w:rsidR="00CF2D61" w:rsidRPr="00A07E78" w:rsidRDefault="00CF2D61" w:rsidP="00CF2D61">
      <w:pPr>
        <w:numPr>
          <w:ilvl w:val="0"/>
          <w:numId w:val="19"/>
        </w:numPr>
        <w:tabs>
          <w:tab w:val="left" w:pos="1134"/>
        </w:tabs>
        <w:spacing w:before="120" w:after="120"/>
        <w:ind w:left="1134" w:hanging="414"/>
        <w:jc w:val="both"/>
        <w:rPr>
          <w:lang w:val="fr-FR" w:eastAsia="en-US"/>
        </w:rPr>
      </w:pPr>
      <w:r w:rsidRPr="00A07E78">
        <w:rPr>
          <w:lang w:val="fr-FR" w:eastAsia="en-US"/>
        </w:rPr>
        <w:t>à la validité constitutionnelle de l</w:t>
      </w:r>
      <w:r>
        <w:rPr>
          <w:lang w:val="fr-FR" w:eastAsia="en-US"/>
        </w:rPr>
        <w:t>’</w:t>
      </w:r>
      <w:r w:rsidRPr="00A07E78">
        <w:rPr>
          <w:lang w:val="fr-FR" w:eastAsia="en-US"/>
        </w:rPr>
        <w:t xml:space="preserve">article 586 </w:t>
      </w:r>
      <w:r w:rsidRPr="00A07E78">
        <w:rPr>
          <w:i/>
          <w:iCs/>
          <w:lang w:val="fr-FR" w:eastAsia="en-US"/>
        </w:rPr>
        <w:t>L.c.v.</w:t>
      </w:r>
      <w:r w:rsidRPr="00A07E78">
        <w:rPr>
          <w:lang w:val="fr-FR" w:eastAsia="en-US"/>
        </w:rPr>
        <w:t>;</w:t>
      </w:r>
    </w:p>
    <w:p w14:paraId="5A646D74" w14:textId="7FF1CB35" w:rsidR="00CF2D61" w:rsidRPr="00A07E78" w:rsidRDefault="00CF2D61" w:rsidP="00CF2D61">
      <w:pPr>
        <w:numPr>
          <w:ilvl w:val="0"/>
          <w:numId w:val="19"/>
        </w:numPr>
        <w:tabs>
          <w:tab w:val="left" w:pos="1134"/>
        </w:tabs>
        <w:spacing w:before="120" w:after="120"/>
        <w:ind w:left="1134" w:hanging="414"/>
        <w:jc w:val="both"/>
        <w:rPr>
          <w:lang w:val="fr-FR" w:eastAsia="en-US"/>
        </w:rPr>
      </w:pPr>
      <w:r>
        <w:t>que l’arrestation des manifestants était légale alors que les policiers ne s’étaient livrés à aucune analyse individuelle du comportement de chacun d’entre eux</w:t>
      </w:r>
      <w:r w:rsidRPr="00A07E78">
        <w:rPr>
          <w:lang w:val="fr-FR" w:eastAsia="en-US"/>
        </w:rPr>
        <w:t>;</w:t>
      </w:r>
    </w:p>
    <w:p w14:paraId="59C7EA68" w14:textId="04E12FAD" w:rsidR="00CF2D61" w:rsidRPr="00A07E78" w:rsidRDefault="00CF2D61" w:rsidP="00CF2D61">
      <w:pPr>
        <w:numPr>
          <w:ilvl w:val="0"/>
          <w:numId w:val="19"/>
        </w:numPr>
        <w:tabs>
          <w:tab w:val="left" w:pos="1134"/>
        </w:tabs>
        <w:spacing w:before="120" w:after="120"/>
        <w:ind w:left="1134" w:hanging="414"/>
        <w:jc w:val="both"/>
        <w:rPr>
          <w:lang w:val="fr-FR" w:eastAsia="en-US"/>
        </w:rPr>
      </w:pPr>
      <w:r>
        <w:t>à la commission d’une infraction sans procéder à l’analyse qui aurait été faite par la Cour municipale de Québec, n’eût été le retrait des constats d’infraction</w:t>
      </w:r>
      <w:r w:rsidRPr="00A07E78">
        <w:rPr>
          <w:lang w:val="fr-FR" w:eastAsia="en-US"/>
        </w:rPr>
        <w:t>;</w:t>
      </w:r>
    </w:p>
    <w:p w14:paraId="65788DDE" w14:textId="3DA89839" w:rsidR="00CF2D61" w:rsidRPr="00A07E78" w:rsidRDefault="00CF2D61" w:rsidP="00CF2D61">
      <w:pPr>
        <w:numPr>
          <w:ilvl w:val="0"/>
          <w:numId w:val="19"/>
        </w:numPr>
        <w:tabs>
          <w:tab w:val="left" w:pos="1134"/>
        </w:tabs>
        <w:spacing w:before="120" w:after="120"/>
        <w:ind w:left="1134" w:hanging="414"/>
        <w:jc w:val="both"/>
        <w:rPr>
          <w:lang w:val="fr-FR" w:eastAsia="en-US"/>
        </w:rPr>
      </w:pPr>
      <w:r>
        <w:t>que la liberté d’expression et le droit de se réunir de façon pacifique n’avaient pas été brimés par les policiers</w:t>
      </w:r>
      <w:r w:rsidRPr="00A07E78">
        <w:rPr>
          <w:lang w:val="fr-FR" w:eastAsia="en-US"/>
        </w:rPr>
        <w:t>;</w:t>
      </w:r>
    </w:p>
    <w:p w14:paraId="5CE761AD" w14:textId="77777777" w:rsidR="00CF2D61" w:rsidRPr="00A07E78" w:rsidRDefault="00CF2D61" w:rsidP="00CF2D61">
      <w:pPr>
        <w:numPr>
          <w:ilvl w:val="0"/>
          <w:numId w:val="19"/>
        </w:numPr>
        <w:tabs>
          <w:tab w:val="left" w:pos="1134"/>
        </w:tabs>
        <w:spacing w:before="120" w:after="120"/>
        <w:ind w:left="1134" w:hanging="414"/>
        <w:jc w:val="both"/>
        <w:rPr>
          <w:lang w:val="fr-FR" w:eastAsia="en-US"/>
        </w:rPr>
      </w:pPr>
      <w:r>
        <w:t>que la dispersion des manifestants loin du lieu de leur arrestation était justifiée</w:t>
      </w:r>
      <w:r w:rsidRPr="00A07E78">
        <w:rPr>
          <w:lang w:val="fr-FR" w:eastAsia="en-US"/>
        </w:rPr>
        <w:t>;</w:t>
      </w:r>
    </w:p>
    <w:p w14:paraId="339B167F" w14:textId="65C43625" w:rsidR="00CF2D61" w:rsidRPr="00A07E78" w:rsidRDefault="00CF2D61" w:rsidP="00CF2D61">
      <w:pPr>
        <w:numPr>
          <w:ilvl w:val="0"/>
          <w:numId w:val="19"/>
        </w:numPr>
        <w:tabs>
          <w:tab w:val="left" w:pos="1134"/>
        </w:tabs>
        <w:spacing w:before="120" w:after="120"/>
        <w:ind w:left="1134" w:hanging="414"/>
        <w:jc w:val="both"/>
        <w:rPr>
          <w:lang w:val="fr-FR" w:eastAsia="en-US"/>
        </w:rPr>
      </w:pPr>
      <w:r>
        <w:t xml:space="preserve">que leur recours était fondé sur le paragr. 24(1) de la </w:t>
      </w:r>
      <w:r>
        <w:rPr>
          <w:i/>
          <w:iCs/>
        </w:rPr>
        <w:t xml:space="preserve">Charte </w:t>
      </w:r>
      <w:r>
        <w:t xml:space="preserve">plutôt que sur l’article 1457 </w:t>
      </w:r>
      <w:r w:rsidRPr="0026261E">
        <w:rPr>
          <w:i/>
          <w:iCs/>
        </w:rPr>
        <w:t>C.c.Q</w:t>
      </w:r>
      <w:r>
        <w:t>.</w:t>
      </w:r>
      <w:r w:rsidRPr="00A07E78">
        <w:rPr>
          <w:lang w:val="fr-FR" w:eastAsia="en-US"/>
        </w:rPr>
        <w:t>;</w:t>
      </w:r>
    </w:p>
    <w:p w14:paraId="5FBAC826" w14:textId="3C11EBE7" w:rsidR="00CF2D61" w:rsidRPr="00A07E78" w:rsidRDefault="00CF2D61" w:rsidP="00CF2D61">
      <w:pPr>
        <w:numPr>
          <w:ilvl w:val="0"/>
          <w:numId w:val="19"/>
        </w:numPr>
        <w:tabs>
          <w:tab w:val="left" w:pos="1134"/>
        </w:tabs>
        <w:spacing w:before="120" w:after="120"/>
        <w:ind w:left="1134" w:hanging="414"/>
        <w:jc w:val="both"/>
        <w:rPr>
          <w:lang w:val="fr-FR" w:eastAsia="en-US"/>
        </w:rPr>
      </w:pPr>
      <w:r>
        <w:t>qu’une réparation déclaratoire combinée à des excuses aurait été suffisante</w:t>
      </w:r>
      <w:r>
        <w:rPr>
          <w:lang w:val="fr-FR" w:eastAsia="en-US"/>
        </w:rPr>
        <w:t>;</w:t>
      </w:r>
      <w:r w:rsidRPr="00A07E78">
        <w:rPr>
          <w:lang w:val="fr-FR" w:eastAsia="en-US"/>
        </w:rPr>
        <w:t xml:space="preserve"> et</w:t>
      </w:r>
    </w:p>
    <w:p w14:paraId="1B9D349F" w14:textId="18FA8981" w:rsidR="00CF2D61" w:rsidRDefault="00CF2D61" w:rsidP="00CF2D61">
      <w:pPr>
        <w:numPr>
          <w:ilvl w:val="0"/>
          <w:numId w:val="19"/>
        </w:numPr>
        <w:tabs>
          <w:tab w:val="left" w:pos="1134"/>
        </w:tabs>
        <w:spacing w:before="120" w:after="120"/>
        <w:ind w:left="1134" w:hanging="414"/>
        <w:jc w:val="both"/>
        <w:rPr>
          <w:lang w:val="fr-FR" w:eastAsia="en-US"/>
        </w:rPr>
      </w:pPr>
      <w:r w:rsidRPr="00A07E78">
        <w:rPr>
          <w:lang w:val="fr-FR" w:eastAsia="en-US"/>
        </w:rPr>
        <w:t>que l</w:t>
      </w:r>
      <w:r>
        <w:rPr>
          <w:lang w:val="fr-FR" w:eastAsia="en-US"/>
        </w:rPr>
        <w:t>’</w:t>
      </w:r>
      <w:r w:rsidRPr="00A07E78">
        <w:rPr>
          <w:lang w:val="fr-FR" w:eastAsia="en-US"/>
        </w:rPr>
        <w:t>octroi de dommages-intérêts punitifs n</w:t>
      </w:r>
      <w:r>
        <w:rPr>
          <w:lang w:val="fr-FR" w:eastAsia="en-US"/>
        </w:rPr>
        <w:t>’</w:t>
      </w:r>
      <w:r w:rsidRPr="00A07E78">
        <w:rPr>
          <w:lang w:val="fr-FR" w:eastAsia="en-US"/>
        </w:rPr>
        <w:t>était pas justifié</w:t>
      </w:r>
      <w:r>
        <w:rPr>
          <w:lang w:val="fr-FR" w:eastAsia="en-US"/>
        </w:rPr>
        <w:t>.</w:t>
      </w:r>
    </w:p>
    <w:p w14:paraId="78F870EE" w14:textId="6F1C546A" w:rsidR="00CF2D61" w:rsidRPr="005B7D63" w:rsidRDefault="00CF2D61" w:rsidP="00CF2D61">
      <w:pPr>
        <w:pStyle w:val="Paragraphe"/>
        <w:rPr>
          <w:lang w:val="fr-FR" w:eastAsia="en-US"/>
        </w:rPr>
      </w:pPr>
      <w:r>
        <w:rPr>
          <w:lang w:val="fr-FR" w:eastAsia="en-US"/>
        </w:rPr>
        <w:t xml:space="preserve">De son côté, l’intimée ne remet pas en question la conclusion du juge selon laquelle le menottage des manifestants était fautif. Elle estime que la conclusion du juge suivant laquelle la prescription de l’article 586 </w:t>
      </w:r>
      <w:r w:rsidRPr="00BB1434">
        <w:rPr>
          <w:i/>
          <w:iCs/>
          <w:lang w:val="fr-FR" w:eastAsia="en-US"/>
        </w:rPr>
        <w:t>L.c.v</w:t>
      </w:r>
      <w:r>
        <w:rPr>
          <w:lang w:val="fr-FR" w:eastAsia="en-US"/>
        </w:rPr>
        <w:t xml:space="preserve">. est applicable en l’espèce n’est entachée d’aucune erreur. Pour sa part, le mis en cause défend la conclusion du juge en ce qui concerne la validité de l’article 586 </w:t>
      </w:r>
      <w:r w:rsidRPr="00BB1434">
        <w:rPr>
          <w:i/>
          <w:iCs/>
          <w:lang w:val="fr-FR" w:eastAsia="en-US"/>
        </w:rPr>
        <w:t>L.c.v</w:t>
      </w:r>
      <w:r>
        <w:rPr>
          <w:lang w:val="fr-FR" w:eastAsia="en-US"/>
        </w:rPr>
        <w:t>.</w:t>
      </w:r>
    </w:p>
    <w:p w14:paraId="6E114B00" w14:textId="0E1E6C5A" w:rsidR="00CF2D61" w:rsidRDefault="00CF2D61" w:rsidP="00CF2D61">
      <w:pPr>
        <w:pStyle w:val="Paragraphe"/>
        <w:keepNext/>
        <w:rPr>
          <w:lang w:val="fr-FR" w:eastAsia="en-US"/>
        </w:rPr>
      </w:pPr>
      <w:r>
        <w:rPr>
          <w:lang w:val="fr-FR" w:eastAsia="en-US"/>
        </w:rPr>
        <w:lastRenderedPageBreak/>
        <w:t>Pour les fins de mon analyse, je réunirai les moyens d’appel proposés par les appelants de la façon suivante :</w:t>
      </w:r>
    </w:p>
    <w:p w14:paraId="2877389C" w14:textId="77CE34B6" w:rsidR="00CF2D61" w:rsidRDefault="00CF2D61" w:rsidP="00CF2D61">
      <w:pPr>
        <w:pStyle w:val="Paragraphe"/>
        <w:keepNext/>
        <w:numPr>
          <w:ilvl w:val="0"/>
          <w:numId w:val="22"/>
        </w:numPr>
        <w:rPr>
          <w:lang w:val="fr-FR" w:eastAsia="en-US"/>
        </w:rPr>
      </w:pPr>
      <w:r>
        <w:rPr>
          <w:lang w:val="fr-FR" w:eastAsia="en-US"/>
        </w:rPr>
        <w:t>Le juge a-t-il erré en concluant que la prescription n’avait pas été suspendue?</w:t>
      </w:r>
    </w:p>
    <w:p w14:paraId="00C38B06" w14:textId="0BEDC307" w:rsidR="00CF2D61" w:rsidRDefault="00CF2D61" w:rsidP="00CF2D61">
      <w:pPr>
        <w:pStyle w:val="Paragraphe"/>
        <w:numPr>
          <w:ilvl w:val="0"/>
          <w:numId w:val="22"/>
        </w:numPr>
        <w:rPr>
          <w:lang w:val="fr-FR" w:eastAsia="en-US"/>
        </w:rPr>
      </w:pPr>
      <w:r>
        <w:rPr>
          <w:lang w:val="fr-FR" w:eastAsia="en-US"/>
        </w:rPr>
        <w:t xml:space="preserve">Si non, aurait-il dû conclure que l’article 586 </w:t>
      </w:r>
      <w:r w:rsidRPr="00C250DE">
        <w:rPr>
          <w:i/>
          <w:iCs/>
          <w:lang w:val="fr-FR" w:eastAsia="en-US"/>
        </w:rPr>
        <w:t>L.c.v</w:t>
      </w:r>
      <w:r>
        <w:rPr>
          <w:lang w:val="fr-FR" w:eastAsia="en-US"/>
        </w:rPr>
        <w:t xml:space="preserve">. était invalide, car contraire à la </w:t>
      </w:r>
      <w:r w:rsidRPr="00C250DE">
        <w:rPr>
          <w:i/>
          <w:iCs/>
          <w:lang w:val="fr-FR" w:eastAsia="en-US"/>
        </w:rPr>
        <w:t>Charte</w:t>
      </w:r>
      <w:r>
        <w:rPr>
          <w:lang w:val="fr-FR" w:eastAsia="en-US"/>
        </w:rPr>
        <w:t>?</w:t>
      </w:r>
    </w:p>
    <w:p w14:paraId="68B90A31" w14:textId="4B3B1DF1" w:rsidR="00CF2D61" w:rsidRDefault="00CF2D61" w:rsidP="00CF2D61">
      <w:pPr>
        <w:pStyle w:val="Paragraphe"/>
        <w:numPr>
          <w:ilvl w:val="0"/>
          <w:numId w:val="22"/>
        </w:numPr>
        <w:rPr>
          <w:lang w:val="fr-FR" w:eastAsia="en-US"/>
        </w:rPr>
      </w:pPr>
      <w:r>
        <w:rPr>
          <w:lang w:val="fr-FR" w:eastAsia="en-US"/>
        </w:rPr>
        <w:t>Outre le menottage, que le juge a estimé être fautif, ce dernier a-t-il erré en concluant que le comportement des policiers ne l’avait pas été à d’autres égards?</w:t>
      </w:r>
    </w:p>
    <w:p w14:paraId="1DC8EFAB" w14:textId="18935646" w:rsidR="00CF2D61" w:rsidRDefault="00CF2D61" w:rsidP="00CF2D61">
      <w:pPr>
        <w:pStyle w:val="Paragraphe"/>
        <w:numPr>
          <w:ilvl w:val="0"/>
          <w:numId w:val="22"/>
        </w:numPr>
        <w:rPr>
          <w:lang w:val="fr-FR" w:eastAsia="en-US"/>
        </w:rPr>
      </w:pPr>
      <w:r>
        <w:rPr>
          <w:lang w:val="fr-FR" w:eastAsia="en-US"/>
        </w:rPr>
        <w:t>Le cas échéant, le juge a-t-il erré en concluant que</w:t>
      </w:r>
      <w:r>
        <w:t xml:space="preserve"> la réparation du préjudice moral qu’il aurait privilégiée, n’eût été sa conclusion sur la prescription, aurait été « </w:t>
      </w:r>
      <w:r>
        <w:rPr>
          <w:rFonts w:cs="Arial"/>
          <w:color w:val="000000"/>
        </w:rPr>
        <w:t>de nature déclaratoire, conjuguée à des excuses par le SPVQ »?</w:t>
      </w:r>
    </w:p>
    <w:p w14:paraId="409F2759" w14:textId="77777777" w:rsidR="00CF2D61" w:rsidRPr="003D26C8" w:rsidRDefault="00CF2D61" w:rsidP="006E5323">
      <w:pPr>
        <w:pStyle w:val="Titre1"/>
        <w:spacing w:before="0" w:after="0" w:line="280" w:lineRule="exact"/>
        <w:jc w:val="center"/>
        <w:rPr>
          <w:sz w:val="24"/>
          <w:szCs w:val="24"/>
          <w:lang w:val="fr-FR" w:eastAsia="en-US"/>
        </w:rPr>
      </w:pPr>
      <w:r w:rsidRPr="003D26C8">
        <w:rPr>
          <w:sz w:val="24"/>
          <w:szCs w:val="24"/>
          <w:lang w:val="fr-FR" w:eastAsia="en-US"/>
        </w:rPr>
        <w:t>V</w:t>
      </w:r>
    </w:p>
    <w:p w14:paraId="34B54BF6" w14:textId="77777777" w:rsidR="00CF2D61" w:rsidRPr="005B7D63" w:rsidRDefault="00CF2D61" w:rsidP="00CF2D61">
      <w:pPr>
        <w:pStyle w:val="Titre9"/>
        <w:rPr>
          <w:sz w:val="24"/>
          <w:szCs w:val="24"/>
          <w:lang w:val="fr-FR" w:eastAsia="en-US"/>
        </w:rPr>
      </w:pPr>
      <w:r>
        <w:rPr>
          <w:sz w:val="24"/>
          <w:szCs w:val="24"/>
          <w:lang w:val="fr-FR" w:eastAsia="en-US"/>
        </w:rPr>
        <w:t>1</w:t>
      </w:r>
      <w:r w:rsidRPr="00CD3E5D">
        <w:rPr>
          <w:sz w:val="24"/>
          <w:szCs w:val="24"/>
          <w:vertAlign w:val="superscript"/>
          <w:lang w:val="fr-FR" w:eastAsia="en-US"/>
        </w:rPr>
        <w:t>er</w:t>
      </w:r>
      <w:r>
        <w:rPr>
          <w:sz w:val="24"/>
          <w:szCs w:val="24"/>
          <w:lang w:val="fr-FR" w:eastAsia="en-US"/>
        </w:rPr>
        <w:t xml:space="preserve"> moyen : l</w:t>
      </w:r>
      <w:r w:rsidRPr="005B7D63">
        <w:rPr>
          <w:sz w:val="24"/>
          <w:szCs w:val="24"/>
          <w:lang w:val="fr-FR" w:eastAsia="en-US"/>
        </w:rPr>
        <w:t>a suspension de la prescription</w:t>
      </w:r>
    </w:p>
    <w:p w14:paraId="2A2FF2E9" w14:textId="5902CD31" w:rsidR="00CF2D61" w:rsidRPr="00156397" w:rsidRDefault="00CF2D61" w:rsidP="00CF2D61">
      <w:pPr>
        <w:pStyle w:val="Paragraphe"/>
      </w:pPr>
      <w:r>
        <w:rPr>
          <w:lang w:val="fr-FR" w:eastAsia="en-US"/>
        </w:rPr>
        <w:t>L’article 2880 al. 2 </w:t>
      </w:r>
      <w:r w:rsidRPr="00970E4D">
        <w:rPr>
          <w:i/>
          <w:iCs/>
          <w:lang w:val="fr-FR" w:eastAsia="en-US"/>
        </w:rPr>
        <w:t>C.c.Q</w:t>
      </w:r>
      <w:r>
        <w:rPr>
          <w:lang w:val="fr-FR" w:eastAsia="en-US"/>
        </w:rPr>
        <w:t>. indique que « [l]e jour où le droit d’action a pris naissance fixe le point de départ de la prescription ». En matière de responsabilité extracontractuelle, le droit d’action prend naissance lorsque les trois éléments qui la composent sont réunis. Il s’agit de la faute, du préjudice et du lien de causalité entre les deux</w:t>
      </w:r>
      <w:bookmarkStart w:id="15" w:name="_Ref218587315"/>
      <w:r>
        <w:rPr>
          <w:rStyle w:val="Appelnotedebasdep"/>
          <w:lang w:eastAsia="en-US"/>
        </w:rPr>
        <w:footnoteReference w:id="29"/>
      </w:r>
      <w:bookmarkEnd w:id="15"/>
      <w:r>
        <w:rPr>
          <w:lang w:val="fr-FR" w:eastAsia="en-US"/>
        </w:rPr>
        <w:t>. Il faut aussi que le créancier soit « </w:t>
      </w:r>
      <w:r w:rsidRPr="003525B4">
        <w:rPr>
          <w:rFonts w:cs="Arial"/>
          <w:color w:val="000000"/>
          <w:kern w:val="0"/>
        </w:rPr>
        <w:t>en mesure de savoir qu</w:t>
      </w:r>
      <w:r>
        <w:rPr>
          <w:rFonts w:cs="Arial"/>
          <w:color w:val="000000"/>
          <w:kern w:val="0"/>
        </w:rPr>
        <w:t>’</w:t>
      </w:r>
      <w:r w:rsidRPr="003525B4">
        <w:rPr>
          <w:rFonts w:cs="Arial"/>
          <w:color w:val="000000"/>
          <w:kern w:val="0"/>
        </w:rPr>
        <w:t>une faute a été commise à son endroit et que celle-ci lui a causé un préjudice</w:t>
      </w:r>
      <w:r>
        <w:rPr>
          <w:rFonts w:cs="Arial"/>
          <w:color w:val="000000"/>
          <w:kern w:val="0"/>
        </w:rPr>
        <w:t> »</w:t>
      </w:r>
      <w:bookmarkStart w:id="16" w:name="_Ref227074533"/>
      <w:r>
        <w:rPr>
          <w:rStyle w:val="Appelnotedebasdep"/>
          <w:rFonts w:cs="Arial"/>
          <w:color w:val="000000"/>
          <w:kern w:val="0"/>
        </w:rPr>
        <w:footnoteReference w:id="30"/>
      </w:r>
      <w:bookmarkEnd w:id="16"/>
      <w:r>
        <w:rPr>
          <w:rFonts w:cs="Arial"/>
          <w:color w:val="000000"/>
          <w:kern w:val="0"/>
        </w:rPr>
        <w:t>.</w:t>
      </w:r>
    </w:p>
    <w:p w14:paraId="0C86A69F" w14:textId="3EF555BC" w:rsidR="00CF2D61" w:rsidRDefault="00CF2D61" w:rsidP="00CF2D61">
      <w:pPr>
        <w:pStyle w:val="Paragraphe"/>
        <w:rPr>
          <w:lang w:val="fr-FR" w:eastAsia="en-US"/>
        </w:rPr>
      </w:pPr>
      <w:r>
        <w:rPr>
          <w:lang w:val="fr-FR" w:eastAsia="en-US"/>
        </w:rPr>
        <w:t>La détermination du point de départ de la prescription extinctive et celle de l’existence d’une suspension de la prescription sont des questions de fait ou mixtes de fait et de droit assujetties à la norme de l’erreur manifeste et déterminante</w:t>
      </w:r>
      <w:r>
        <w:rPr>
          <w:rStyle w:val="Appelnotedebasdep"/>
          <w:lang w:eastAsia="en-US"/>
        </w:rPr>
        <w:footnoteReference w:id="31"/>
      </w:r>
      <w:r>
        <w:rPr>
          <w:lang w:val="fr-FR" w:eastAsia="en-US"/>
        </w:rPr>
        <w:t>.</w:t>
      </w:r>
    </w:p>
    <w:p w14:paraId="24B2CA4D" w14:textId="69861BF8" w:rsidR="00CF2D61" w:rsidRPr="003D26C8" w:rsidRDefault="00CF2D61" w:rsidP="00CF2D61">
      <w:pPr>
        <w:pStyle w:val="Paragraphe"/>
      </w:pPr>
      <w:r>
        <w:rPr>
          <w:lang w:val="fr-FR" w:eastAsia="en-US"/>
        </w:rPr>
        <w:lastRenderedPageBreak/>
        <w:t xml:space="preserve">En certaines circonstances, la prescription d’un recours en responsabilité extracontractuelle est suspendue lorsque l’issue d’un tel recours est </w:t>
      </w:r>
      <w:r w:rsidRPr="00A65C13">
        <w:rPr>
          <w:lang w:val="fr-FR" w:eastAsia="en-US"/>
        </w:rPr>
        <w:t>tributaire</w:t>
      </w:r>
      <w:r>
        <w:rPr>
          <w:lang w:val="fr-FR" w:eastAsia="en-US"/>
        </w:rPr>
        <w:t xml:space="preserve"> de celle d’un recours parallèle</w:t>
      </w:r>
      <w:r>
        <w:rPr>
          <w:rStyle w:val="Appelnotedebasdep"/>
          <w:lang w:eastAsia="en-US"/>
        </w:rPr>
        <w:footnoteReference w:id="32"/>
      </w:r>
      <w:r>
        <w:rPr>
          <w:lang w:val="fr-FR" w:eastAsia="en-US"/>
        </w:rPr>
        <w:t xml:space="preserve">. </w:t>
      </w:r>
    </w:p>
    <w:p w14:paraId="7A07A9B6" w14:textId="681E918C" w:rsidR="00CF2D61" w:rsidRDefault="00CF2D61" w:rsidP="00CF2D61">
      <w:pPr>
        <w:pStyle w:val="Paragraphe"/>
        <w:rPr>
          <w:lang w:val="fr-FR" w:eastAsia="en-US"/>
        </w:rPr>
      </w:pPr>
      <w:r>
        <w:rPr>
          <w:lang w:val="fr-FR" w:eastAsia="en-US"/>
        </w:rPr>
        <w:t>Dans</w:t>
      </w:r>
      <w:r w:rsidRPr="009F434D">
        <w:rPr>
          <w:lang w:val="fr-FR" w:eastAsia="en-US"/>
        </w:rPr>
        <w:t xml:space="preserve"> </w:t>
      </w:r>
      <w:r w:rsidRPr="009F434D">
        <w:rPr>
          <w:i/>
          <w:iCs/>
          <w:lang w:val="fr-FR" w:eastAsia="en-US"/>
        </w:rPr>
        <w:t>Popovic c. Ville de Montréal</w:t>
      </w:r>
      <w:bookmarkStart w:id="17" w:name="_Ref218587527"/>
      <w:r w:rsidRPr="00C8375F">
        <w:rPr>
          <w:rStyle w:val="Appelnotedebasdep"/>
          <w:lang w:eastAsia="en-US"/>
        </w:rPr>
        <w:footnoteReference w:id="33"/>
      </w:r>
      <w:bookmarkEnd w:id="17"/>
      <w:r>
        <w:rPr>
          <w:i/>
          <w:iCs/>
          <w:lang w:val="fr-FR" w:eastAsia="en-US"/>
        </w:rPr>
        <w:t xml:space="preserve"> </w:t>
      </w:r>
      <w:r w:rsidRPr="009F0FA0">
        <w:rPr>
          <w:lang w:val="fr-FR" w:eastAsia="en-US"/>
        </w:rPr>
        <w:t>sous la plume du juge Rochon</w:t>
      </w:r>
      <w:r>
        <w:rPr>
          <w:lang w:val="fr-FR" w:eastAsia="en-US"/>
        </w:rPr>
        <w:t>, la Cour confirmait l’existence de cette règle prétorienne dans le contexte d’un recours en dommages-intérêts pour poursuite abusive ou malicieuse </w:t>
      </w:r>
      <w:r w:rsidRPr="009F0FA0">
        <w:rPr>
          <w:lang w:val="fr-FR" w:eastAsia="en-US"/>
        </w:rPr>
        <w:t>:</w:t>
      </w:r>
    </w:p>
    <w:p w14:paraId="13069EBC" w14:textId="02364C2F" w:rsidR="00CF2D61" w:rsidRDefault="00CF2D61" w:rsidP="00CF2D61">
      <w:pPr>
        <w:pStyle w:val="Citationenretrait"/>
        <w:rPr>
          <w:rFonts w:cs="Arial"/>
          <w:color w:val="000000"/>
        </w:rPr>
      </w:pPr>
      <w:r>
        <w:rPr>
          <w:rFonts w:cs="Arial"/>
          <w:color w:val="000000"/>
        </w:rPr>
        <w:t>[</w:t>
      </w:r>
      <w:bookmarkStart w:id="19" w:name="par76"/>
      <w:r>
        <w:rPr>
          <w:rFonts w:cs="Arial"/>
          <w:color w:val="000000"/>
        </w:rPr>
        <w:t>76</w:t>
      </w:r>
      <w:bookmarkEnd w:id="19"/>
      <w:r>
        <w:rPr>
          <w:rFonts w:cs="Arial"/>
          <w:color w:val="000000"/>
        </w:rPr>
        <w:t>]</w:t>
      </w:r>
      <w:r>
        <w:rPr>
          <w:rFonts w:cs="Arial"/>
          <w:color w:val="000000"/>
        </w:rPr>
        <w:tab/>
        <w:t xml:space="preserve">Ainsi, des motifs d’intérêt public et d’équité militent en faveur d’une suspension de la prescription du recours en dommages-intérêts fondé sur une poursuite abusive ou malicieuse. Il serait inapproprié de forcer une partie à entreprendre une poursuite </w:t>
      </w:r>
      <w:r w:rsidRPr="00FB3969">
        <w:rPr>
          <w:rFonts w:cs="Arial"/>
          <w:color w:val="000000"/>
          <w:u w:val="single"/>
        </w:rPr>
        <w:t>avant que ne soit tranché un élément essentiel à son recours (le rejet ou l</w:t>
      </w:r>
      <w:r>
        <w:rPr>
          <w:rFonts w:cs="Arial"/>
          <w:color w:val="000000"/>
          <w:u w:val="single"/>
        </w:rPr>
        <w:t>’</w:t>
      </w:r>
      <w:r w:rsidRPr="00FB3969">
        <w:rPr>
          <w:rFonts w:cs="Arial"/>
          <w:color w:val="000000"/>
          <w:u w:val="single"/>
        </w:rPr>
        <w:t>abandon de la poursuite qualifiée d</w:t>
      </w:r>
      <w:r>
        <w:rPr>
          <w:rFonts w:cs="Arial"/>
          <w:color w:val="000000"/>
          <w:u w:val="single"/>
        </w:rPr>
        <w:t>’</w:t>
      </w:r>
      <w:r w:rsidRPr="00FB3969">
        <w:rPr>
          <w:rFonts w:cs="Arial"/>
          <w:color w:val="000000"/>
          <w:u w:val="single"/>
        </w:rPr>
        <w:t>abusive)</w:t>
      </w:r>
      <w:r>
        <w:rPr>
          <w:rFonts w:cs="Arial"/>
          <w:color w:val="000000"/>
        </w:rPr>
        <w:t>. De même, il serait contraire aux intérêts de la justice d’être confronté à des jugements contradictoires sur une même question.</w:t>
      </w:r>
    </w:p>
    <w:p w14:paraId="00045044" w14:textId="77777777" w:rsidR="00CF2D61" w:rsidRDefault="00CF2D61" w:rsidP="006E5323">
      <w:pPr>
        <w:pStyle w:val="Citationenretrait"/>
        <w:spacing w:before="0"/>
        <w:jc w:val="right"/>
        <w:rPr>
          <w:rFonts w:cs="Arial"/>
          <w:color w:val="000000"/>
        </w:rPr>
      </w:pPr>
      <w:r>
        <w:rPr>
          <w:rFonts w:cs="Arial"/>
          <w:color w:val="000000"/>
        </w:rPr>
        <w:t>[Soulignement ajouté]</w:t>
      </w:r>
    </w:p>
    <w:p w14:paraId="4087FC7F" w14:textId="5FE6F976" w:rsidR="00CF2D61" w:rsidRPr="00735E6E" w:rsidRDefault="00CF2D61" w:rsidP="00CF2D61">
      <w:pPr>
        <w:pStyle w:val="Paragraphe"/>
        <w:rPr>
          <w:lang w:val="fr-FR" w:eastAsia="en-US"/>
        </w:rPr>
      </w:pPr>
      <w:r w:rsidRPr="00735E6E">
        <w:rPr>
          <w:lang w:val="fr-FR" w:eastAsia="en-US"/>
        </w:rPr>
        <w:t>J</w:t>
      </w:r>
      <w:r>
        <w:rPr>
          <w:lang w:val="fr-FR" w:eastAsia="en-US"/>
        </w:rPr>
        <w:t>’</w:t>
      </w:r>
      <w:r w:rsidRPr="00735E6E">
        <w:rPr>
          <w:lang w:val="fr-FR" w:eastAsia="en-US"/>
        </w:rPr>
        <w:t>ajouterais ceci. Tant que l</w:t>
      </w:r>
      <w:r>
        <w:rPr>
          <w:lang w:val="fr-FR" w:eastAsia="en-US"/>
        </w:rPr>
        <w:t>’</w:t>
      </w:r>
      <w:r w:rsidRPr="00735E6E">
        <w:rPr>
          <w:lang w:val="fr-FR" w:eastAsia="en-US"/>
        </w:rPr>
        <w:t>instance parallèle n</w:t>
      </w:r>
      <w:r>
        <w:rPr>
          <w:lang w:val="fr-FR" w:eastAsia="en-US"/>
        </w:rPr>
        <w:t>’</w:t>
      </w:r>
      <w:r w:rsidRPr="00735E6E">
        <w:rPr>
          <w:lang w:val="fr-FR" w:eastAsia="en-US"/>
        </w:rPr>
        <w:t>a pas connu son dénouement, la présence des trois éléments constitutifs de la responsabilité civile extracontractuelle demeure incertaine. Par exemple, dans le cas d</w:t>
      </w:r>
      <w:r>
        <w:rPr>
          <w:lang w:val="fr-FR" w:eastAsia="en-US"/>
        </w:rPr>
        <w:t>’</w:t>
      </w:r>
      <w:r w:rsidRPr="00735E6E">
        <w:rPr>
          <w:lang w:val="fr-FR" w:eastAsia="en-US"/>
        </w:rPr>
        <w:t>une action civile fondée sur une poursuite criminelle prétendument abusive, comment un demandeur peut-il prouver qu</w:t>
      </w:r>
      <w:r>
        <w:rPr>
          <w:lang w:val="fr-FR" w:eastAsia="en-US"/>
        </w:rPr>
        <w:t>’</w:t>
      </w:r>
      <w:r w:rsidRPr="00735E6E">
        <w:rPr>
          <w:lang w:val="fr-FR" w:eastAsia="en-US"/>
        </w:rPr>
        <w:t>une faute a été commise à son endroit avant que ne soit connue l</w:t>
      </w:r>
      <w:r>
        <w:rPr>
          <w:lang w:val="fr-FR" w:eastAsia="en-US"/>
        </w:rPr>
        <w:t>’</w:t>
      </w:r>
      <w:r w:rsidRPr="00735E6E">
        <w:rPr>
          <w:lang w:val="fr-FR" w:eastAsia="en-US"/>
        </w:rPr>
        <w:t>issue du processus criminel? En effet, s</w:t>
      </w:r>
      <w:r>
        <w:rPr>
          <w:lang w:val="fr-FR" w:eastAsia="en-US"/>
        </w:rPr>
        <w:t>’</w:t>
      </w:r>
      <w:r w:rsidRPr="00735E6E">
        <w:rPr>
          <w:lang w:val="fr-FR" w:eastAsia="en-US"/>
        </w:rPr>
        <w:t xml:space="preserve">il est déclaré coupable, la preuve de la faute sera impossible à faire à moins que plus tard ce verdict </w:t>
      </w:r>
      <w:r>
        <w:rPr>
          <w:lang w:val="fr-FR" w:eastAsia="en-US"/>
        </w:rPr>
        <w:t xml:space="preserve">ne </w:t>
      </w:r>
      <w:r w:rsidRPr="00735E6E">
        <w:rPr>
          <w:lang w:val="fr-FR" w:eastAsia="en-US"/>
        </w:rPr>
        <w:t>soit écarté. Pareillement, comment peut-il alors se plaindre de la privation de liberté qui lui a été infligée si la poursuite criminelle culmine en un verdict de culpabilité</w:t>
      </w:r>
      <w:bookmarkStart w:id="20" w:name="_Ref229401603"/>
      <w:r w:rsidRPr="00735E6E">
        <w:rPr>
          <w:rStyle w:val="Appelnotedebasdep"/>
          <w:lang w:eastAsia="en-US"/>
        </w:rPr>
        <w:footnoteReference w:id="34"/>
      </w:r>
      <w:bookmarkEnd w:id="20"/>
      <w:r w:rsidRPr="00735E6E">
        <w:rPr>
          <w:lang w:val="fr-FR" w:eastAsia="en-US"/>
        </w:rPr>
        <w:t xml:space="preserve">? </w:t>
      </w:r>
    </w:p>
    <w:p w14:paraId="3BEE6C08" w14:textId="28445538" w:rsidR="00CF2D61" w:rsidRPr="009F434D" w:rsidRDefault="00CF2D61" w:rsidP="00CF2D61">
      <w:pPr>
        <w:pStyle w:val="Paragraphe"/>
        <w:rPr>
          <w:lang w:val="fr-FR" w:eastAsia="en-US"/>
        </w:rPr>
      </w:pPr>
      <w:r w:rsidRPr="00735E6E">
        <w:rPr>
          <w:lang w:val="fr-FR" w:eastAsia="en-US"/>
        </w:rPr>
        <w:t>De plus</w:t>
      </w:r>
      <w:r>
        <w:rPr>
          <w:lang w:val="fr-FR" w:eastAsia="en-US"/>
        </w:rPr>
        <w:t xml:space="preserve">, la prescription d’un recours en dommages-intérêts pour arrestation abusive peut également être suspendue dans l’attente d’une décision judiciaire, dans la mesure où </w:t>
      </w:r>
      <w:r w:rsidRPr="00735E6E">
        <w:rPr>
          <w:lang w:val="fr-FR" w:eastAsia="en-US"/>
        </w:rPr>
        <w:t>le demandeur</w:t>
      </w:r>
      <w:r>
        <w:rPr>
          <w:lang w:val="fr-FR" w:eastAsia="en-US"/>
        </w:rPr>
        <w:t xml:space="preserve"> démontre la </w:t>
      </w:r>
      <w:r w:rsidRPr="00121488">
        <w:rPr>
          <w:u w:val="single"/>
          <w:lang w:val="fr-FR" w:eastAsia="en-US"/>
        </w:rPr>
        <w:t>nécessité</w:t>
      </w:r>
      <w:r>
        <w:rPr>
          <w:lang w:val="fr-FR" w:eastAsia="en-US"/>
        </w:rPr>
        <w:t xml:space="preserve"> de celle-ci pour établir le bien-fondé de sa cause d’action. C’est aussi ce qu’explique le juge Rochon dans </w:t>
      </w:r>
      <w:r w:rsidRPr="009F434D">
        <w:rPr>
          <w:i/>
          <w:iCs/>
          <w:lang w:val="fr-FR" w:eastAsia="en-US"/>
        </w:rPr>
        <w:t>Popovic</w:t>
      </w:r>
      <w:r w:rsidRPr="00D046B6">
        <w:rPr>
          <w:rStyle w:val="Appelnotedebasdep"/>
          <w:lang w:eastAsia="en-US"/>
        </w:rPr>
        <w:footnoteReference w:id="35"/>
      </w:r>
      <w:r>
        <w:rPr>
          <w:i/>
          <w:iCs/>
          <w:lang w:val="fr-FR" w:eastAsia="en-US"/>
        </w:rPr>
        <w:t> </w:t>
      </w:r>
      <w:r>
        <w:rPr>
          <w:lang w:val="fr-FR" w:eastAsia="en-US"/>
        </w:rPr>
        <w:t>:</w:t>
      </w:r>
    </w:p>
    <w:p w14:paraId="44B332B7" w14:textId="386385B6" w:rsidR="00CF2D61" w:rsidRPr="00735E6E" w:rsidRDefault="00CF2D61" w:rsidP="00CF2D61">
      <w:pPr>
        <w:pStyle w:val="Citationenretrait"/>
      </w:pPr>
      <w:r w:rsidRPr="00121488">
        <w:lastRenderedPageBreak/>
        <w:t>[</w:t>
      </w:r>
      <w:bookmarkStart w:id="21" w:name="par78"/>
      <w:r w:rsidRPr="00121488">
        <w:t>78</w:t>
      </w:r>
      <w:bookmarkEnd w:id="21"/>
      <w:r w:rsidRPr="00121488">
        <w:t>]</w:t>
      </w:r>
      <w:r w:rsidRPr="00735E6E">
        <w:tab/>
        <w:t>Par ailleurs, certains auteurs ont assimilé « poursuite abusive » et « arrestation abusive ». Sans s</w:t>
      </w:r>
      <w:r>
        <w:t>’</w:t>
      </w:r>
      <w:r w:rsidRPr="00735E6E">
        <w:t>expliquer davantage, ces auteurs réfèrent simplement à quelques décisions de la Cour supérieure dont certaines sont contradictoires. </w:t>
      </w:r>
      <w:r w:rsidRPr="00735E6E">
        <w:rPr>
          <w:u w:val="single"/>
        </w:rPr>
        <w:t>Cette assimilation automatique entre les deux fondements des recours en dommages-intérêts m</w:t>
      </w:r>
      <w:r>
        <w:rPr>
          <w:u w:val="single"/>
        </w:rPr>
        <w:t>’</w:t>
      </w:r>
      <w:r w:rsidRPr="00735E6E">
        <w:rPr>
          <w:u w:val="single"/>
        </w:rPr>
        <w:t>apparaît inappropriée, et ce, pour plusieurs motifs.</w:t>
      </w:r>
    </w:p>
    <w:p w14:paraId="29AD7F15" w14:textId="387E56E1" w:rsidR="00CF2D61" w:rsidRPr="00191435" w:rsidRDefault="00CF2D61" w:rsidP="00CF2D61">
      <w:pPr>
        <w:pStyle w:val="Citationenretrait"/>
      </w:pPr>
      <w:r w:rsidRPr="00735E6E">
        <w:t>[</w:t>
      </w:r>
      <w:bookmarkStart w:id="22" w:name="par79"/>
      <w:r w:rsidRPr="00735E6E">
        <w:t>79</w:t>
      </w:r>
      <w:bookmarkEnd w:id="22"/>
      <w:r w:rsidRPr="00735E6E">
        <w:t>]</w:t>
      </w:r>
      <w:r w:rsidRPr="00735E6E">
        <w:tab/>
        <w:t xml:space="preserve">En premier lieu, </w:t>
      </w:r>
      <w:r w:rsidRPr="00735E6E">
        <w:rPr>
          <w:u w:val="single"/>
        </w:rPr>
        <w:t>l</w:t>
      </w:r>
      <w:r>
        <w:rPr>
          <w:u w:val="single"/>
        </w:rPr>
        <w:t>’</w:t>
      </w:r>
      <w:r w:rsidRPr="00735E6E">
        <w:rPr>
          <w:u w:val="single"/>
        </w:rPr>
        <w:t>institution de la prescription extinctive repose sur des principes d</w:t>
      </w:r>
      <w:r>
        <w:rPr>
          <w:u w:val="single"/>
        </w:rPr>
        <w:t>’</w:t>
      </w:r>
      <w:r w:rsidRPr="00735E6E">
        <w:rPr>
          <w:u w:val="single"/>
        </w:rPr>
        <w:t>intérêt public et de préservation de l</w:t>
      </w:r>
      <w:r>
        <w:rPr>
          <w:u w:val="single"/>
        </w:rPr>
        <w:t>’</w:t>
      </w:r>
      <w:r w:rsidRPr="00735E6E">
        <w:rPr>
          <w:u w:val="single"/>
        </w:rPr>
        <w:t>ordre social.</w:t>
      </w:r>
      <w:r w:rsidRPr="00735E6E">
        <w:t> Ce serait même « de toutes les institutions du droit civil la plus nécessaire à l</w:t>
      </w:r>
      <w:r>
        <w:t>’</w:t>
      </w:r>
      <w:r w:rsidRPr="00735E6E">
        <w:t>ordre social ». La prescription s</w:t>
      </w:r>
      <w:r>
        <w:t>’</w:t>
      </w:r>
      <w:r w:rsidRPr="00735E6E">
        <w:t>accomplit en faveur et à l</w:t>
      </w:r>
      <w:r>
        <w:t>’</w:t>
      </w:r>
      <w:r w:rsidRPr="00735E6E">
        <w:t>encontre de tous (</w:t>
      </w:r>
      <w:hyperlink r:id="rId14" w:anchor="art2877_smooth" w:history="1">
        <w:r w:rsidR="00737FA5">
          <w:rPr>
            <w:rStyle w:val="Hyperlien"/>
            <w:rFonts w:cs="Arial"/>
            <w:color w:val="auto"/>
            <w:szCs w:val="22"/>
            <w:u w:val="none"/>
          </w:rPr>
          <w:t>art. 2877</w:t>
        </w:r>
      </w:hyperlink>
      <w:r w:rsidRPr="00735E6E">
        <w:t> </w:t>
      </w:r>
      <w:hyperlink r:id="rId15" w:history="1">
        <w:r w:rsidR="00737FA5">
          <w:rPr>
            <w:rStyle w:val="Hyperlien"/>
            <w:rFonts w:cs="Arial"/>
            <w:i/>
            <w:iCs/>
            <w:color w:val="auto"/>
            <w:szCs w:val="22"/>
            <w:u w:val="none"/>
          </w:rPr>
          <w:t>C.c.Q</w:t>
        </w:r>
      </w:hyperlink>
      <w:r w:rsidRPr="00735E6E">
        <w:t>.). Dès lors, la suspension de la prescription s</w:t>
      </w:r>
      <w:r>
        <w:t>’</w:t>
      </w:r>
      <w:r w:rsidRPr="00735E6E">
        <w:t>inscrit à titre d</w:t>
      </w:r>
      <w:r>
        <w:t>’</w:t>
      </w:r>
      <w:r w:rsidRPr="00735E6E">
        <w:t>exception et ne vaut que s</w:t>
      </w:r>
      <w:r>
        <w:t>’</w:t>
      </w:r>
      <w:r w:rsidRPr="00735E6E">
        <w:t>il y a impossibilité en fait d</w:t>
      </w:r>
      <w:r>
        <w:t>’</w:t>
      </w:r>
      <w:r w:rsidRPr="00735E6E">
        <w:t>agir ou encore pour quelques cas particuliers qui ne s</w:t>
      </w:r>
      <w:r>
        <w:t>’</w:t>
      </w:r>
      <w:r w:rsidRPr="00735E6E">
        <w:t>appliquent pas en l</w:t>
      </w:r>
      <w:r>
        <w:t>’</w:t>
      </w:r>
      <w:r w:rsidRPr="00735E6E">
        <w:t>espèce (</w:t>
      </w:r>
      <w:r w:rsidRPr="00735E6E">
        <w:rPr>
          <w:rStyle w:val="reflex2-link"/>
          <w:rFonts w:cs="Arial"/>
          <w:color w:val="000000"/>
          <w:szCs w:val="22"/>
        </w:rPr>
        <w:t>art. 2904</w:t>
      </w:r>
      <w:r w:rsidRPr="00735E6E">
        <w:t> et suiv. </w:t>
      </w:r>
      <w:r w:rsidRPr="00735E6E">
        <w:rPr>
          <w:i/>
          <w:iCs/>
        </w:rPr>
        <w:t>C.c.Q</w:t>
      </w:r>
      <w:r w:rsidRPr="00735E6E">
        <w:t>.).</w:t>
      </w:r>
    </w:p>
    <w:p w14:paraId="7FF111FB" w14:textId="475B0570" w:rsidR="00CF2D61" w:rsidRPr="00C8375F" w:rsidRDefault="00CF2D61" w:rsidP="00CF2D61">
      <w:pPr>
        <w:pStyle w:val="Citationenretrait"/>
        <w:rPr>
          <w:lang w:eastAsia="fr-CA"/>
        </w:rPr>
      </w:pPr>
      <w:r w:rsidRPr="00C8375F">
        <w:rPr>
          <w:lang w:eastAsia="fr-CA"/>
        </w:rPr>
        <w:t>[80]</w:t>
      </w:r>
      <w:r>
        <w:rPr>
          <w:lang w:eastAsia="fr-CA"/>
        </w:rPr>
        <w:tab/>
      </w:r>
      <w:r w:rsidRPr="00C8375F">
        <w:rPr>
          <w:lang w:eastAsia="fr-CA"/>
        </w:rPr>
        <w:t xml:space="preserve">En second lieu, sans élaborer une théorie générale sur la question, </w:t>
      </w:r>
      <w:r w:rsidRPr="000C5F50">
        <w:rPr>
          <w:lang w:eastAsia="fr-CA"/>
        </w:rPr>
        <w:t>je formulerais qu</w:t>
      </w:r>
      <w:r>
        <w:rPr>
          <w:lang w:eastAsia="fr-CA"/>
        </w:rPr>
        <w:t>’</w:t>
      </w:r>
      <w:r w:rsidRPr="000C5F50">
        <w:rPr>
          <w:lang w:eastAsia="fr-CA"/>
        </w:rPr>
        <w:t xml:space="preserve">il y a suspension de la prescription du recours en dommages-intérêts fondé sur une </w:t>
      </w:r>
      <w:r w:rsidRPr="00121488">
        <w:rPr>
          <w:u w:val="single"/>
          <w:lang w:eastAsia="fr-CA"/>
        </w:rPr>
        <w:t>arrestation abusive</w:t>
      </w:r>
      <w:r w:rsidRPr="000C5F50">
        <w:rPr>
          <w:lang w:eastAsia="fr-CA"/>
        </w:rPr>
        <w:t xml:space="preserve"> </w:t>
      </w:r>
      <w:r w:rsidRPr="00121488">
        <w:rPr>
          <w:lang w:eastAsia="fr-CA"/>
        </w:rPr>
        <w:t>uniquement dans la mesure où l</w:t>
      </w:r>
      <w:r>
        <w:rPr>
          <w:lang w:eastAsia="fr-CA"/>
        </w:rPr>
        <w:t>’</w:t>
      </w:r>
      <w:r w:rsidRPr="00121488">
        <w:rPr>
          <w:lang w:eastAsia="fr-CA"/>
        </w:rPr>
        <w:t xml:space="preserve">accusé démontre la </w:t>
      </w:r>
      <w:r w:rsidRPr="00121488">
        <w:rPr>
          <w:u w:val="single"/>
          <w:lang w:eastAsia="fr-CA"/>
        </w:rPr>
        <w:t>nécessité</w:t>
      </w:r>
      <w:r w:rsidRPr="00121488">
        <w:rPr>
          <w:lang w:eastAsia="fr-CA"/>
        </w:rPr>
        <w:t xml:space="preserve"> d</w:t>
      </w:r>
      <w:r>
        <w:rPr>
          <w:lang w:eastAsia="fr-CA"/>
        </w:rPr>
        <w:t>’</w:t>
      </w:r>
      <w:r w:rsidRPr="00121488">
        <w:rPr>
          <w:lang w:eastAsia="fr-CA"/>
        </w:rPr>
        <w:t>un jugement sur les accusations portées à la suite de « l</w:t>
      </w:r>
      <w:r>
        <w:rPr>
          <w:lang w:eastAsia="fr-CA"/>
        </w:rPr>
        <w:t>’</w:t>
      </w:r>
      <w:r w:rsidRPr="00121488">
        <w:rPr>
          <w:lang w:eastAsia="fr-CA"/>
        </w:rPr>
        <w:t>arrestation abusive » pour précisément trancher de l</w:t>
      </w:r>
      <w:r>
        <w:rPr>
          <w:lang w:eastAsia="fr-CA"/>
        </w:rPr>
        <w:t>’</w:t>
      </w:r>
      <w:r w:rsidRPr="00121488">
        <w:rPr>
          <w:lang w:eastAsia="fr-CA"/>
        </w:rPr>
        <w:t>abus</w:t>
      </w:r>
      <w:r w:rsidRPr="000C5F50">
        <w:rPr>
          <w:lang w:eastAsia="fr-CA"/>
        </w:rPr>
        <w:t>.</w:t>
      </w:r>
    </w:p>
    <w:p w14:paraId="5E4BC3B7" w14:textId="77777777" w:rsidR="00CF2D61" w:rsidRPr="00C8375F" w:rsidRDefault="00CF2D61" w:rsidP="00CF2D61">
      <w:pPr>
        <w:pStyle w:val="Citationenretrait"/>
        <w:rPr>
          <w:lang w:eastAsia="fr-CA"/>
        </w:rPr>
      </w:pPr>
      <w:r>
        <w:rPr>
          <w:lang w:eastAsia="fr-CA"/>
        </w:rPr>
        <w:t>[…]</w:t>
      </w:r>
    </w:p>
    <w:p w14:paraId="1BA0354D" w14:textId="21634309" w:rsidR="00CF2D61" w:rsidRPr="00C8375F" w:rsidRDefault="00CF2D61" w:rsidP="00CF2D61">
      <w:pPr>
        <w:pStyle w:val="Citationenretrait"/>
        <w:rPr>
          <w:lang w:eastAsia="fr-CA"/>
        </w:rPr>
      </w:pPr>
      <w:r w:rsidRPr="00C8375F">
        <w:rPr>
          <w:lang w:eastAsia="fr-CA"/>
        </w:rPr>
        <w:t>[82]</w:t>
      </w:r>
      <w:r>
        <w:rPr>
          <w:lang w:eastAsia="fr-CA"/>
        </w:rPr>
        <w:tab/>
      </w:r>
      <w:r w:rsidRPr="000C5F50">
        <w:rPr>
          <w:lang w:eastAsia="fr-CA"/>
        </w:rPr>
        <w:t xml:space="preserve">Pour quel motif devrait-on suspendre la prescription du recours pour arrestation abusive </w:t>
      </w:r>
      <w:r w:rsidRPr="00D451B7">
        <w:rPr>
          <w:lang w:eastAsia="fr-CA"/>
        </w:rPr>
        <w:t>si le jugement à venir n</w:t>
      </w:r>
      <w:r>
        <w:rPr>
          <w:lang w:eastAsia="fr-CA"/>
        </w:rPr>
        <w:t>’</w:t>
      </w:r>
      <w:r w:rsidRPr="00D451B7">
        <w:rPr>
          <w:lang w:eastAsia="fr-CA"/>
        </w:rPr>
        <w:t>est pas appelé à trancher de cette question</w:t>
      </w:r>
      <w:r w:rsidRPr="00074796">
        <w:rPr>
          <w:u w:val="single"/>
          <w:lang w:eastAsia="fr-CA"/>
        </w:rPr>
        <w:t xml:space="preserve"> ou encore si l</w:t>
      </w:r>
      <w:r>
        <w:rPr>
          <w:u w:val="single"/>
          <w:lang w:eastAsia="fr-CA"/>
        </w:rPr>
        <w:t>’</w:t>
      </w:r>
      <w:r w:rsidRPr="00074796">
        <w:rPr>
          <w:u w:val="single"/>
          <w:lang w:eastAsia="fr-CA"/>
        </w:rPr>
        <w:t>accusé connaît, dès son arrestation, tous les éléments de preuve susceptibles d</w:t>
      </w:r>
      <w:r>
        <w:rPr>
          <w:u w:val="single"/>
          <w:lang w:eastAsia="fr-CA"/>
        </w:rPr>
        <w:t>’</w:t>
      </w:r>
      <w:r w:rsidRPr="00074796">
        <w:rPr>
          <w:u w:val="single"/>
          <w:lang w:eastAsia="fr-CA"/>
        </w:rPr>
        <w:t>étayer son recours en dommages-intérêts? Je n</w:t>
      </w:r>
      <w:r>
        <w:rPr>
          <w:u w:val="single"/>
          <w:lang w:eastAsia="fr-CA"/>
        </w:rPr>
        <w:t>’</w:t>
      </w:r>
      <w:r w:rsidRPr="00074796">
        <w:rPr>
          <w:u w:val="single"/>
          <w:lang w:eastAsia="fr-CA"/>
        </w:rPr>
        <w:t>en vois aucun.</w:t>
      </w:r>
    </w:p>
    <w:p w14:paraId="6C297B13" w14:textId="7E2C6109" w:rsidR="00CF2D61" w:rsidRPr="00C8375F" w:rsidRDefault="00CF2D61" w:rsidP="00CF2D61">
      <w:pPr>
        <w:pStyle w:val="Citationenretrait"/>
        <w:rPr>
          <w:lang w:eastAsia="fr-CA"/>
        </w:rPr>
      </w:pPr>
      <w:r w:rsidRPr="00C8375F">
        <w:rPr>
          <w:lang w:eastAsia="fr-CA"/>
        </w:rPr>
        <w:t>[83]</w:t>
      </w:r>
      <w:r>
        <w:rPr>
          <w:lang w:eastAsia="fr-CA"/>
        </w:rPr>
        <w:tab/>
      </w:r>
      <w:r w:rsidRPr="00C8375F">
        <w:rPr>
          <w:lang w:eastAsia="fr-CA"/>
        </w:rPr>
        <w:t>Dit autrement, dans la mesure où sont connus, au moment de l</w:t>
      </w:r>
      <w:r>
        <w:rPr>
          <w:lang w:eastAsia="fr-CA"/>
        </w:rPr>
        <w:t>’</w:t>
      </w:r>
      <w:r w:rsidRPr="00C8375F">
        <w:rPr>
          <w:lang w:eastAsia="fr-CA"/>
        </w:rPr>
        <w:t>arrestation, tous les éléments nécessaires à l</w:t>
      </w:r>
      <w:r>
        <w:rPr>
          <w:lang w:eastAsia="fr-CA"/>
        </w:rPr>
        <w:t>’</w:t>
      </w:r>
      <w:r w:rsidRPr="00C8375F">
        <w:rPr>
          <w:lang w:eastAsia="fr-CA"/>
        </w:rPr>
        <w:t>analyse de l</w:t>
      </w:r>
      <w:r>
        <w:rPr>
          <w:lang w:eastAsia="fr-CA"/>
        </w:rPr>
        <w:t>’</w:t>
      </w:r>
      <w:r w:rsidRPr="00C8375F">
        <w:rPr>
          <w:lang w:eastAsia="fr-CA"/>
        </w:rPr>
        <w:t>acte fautif du policier en vertu de l</w:t>
      </w:r>
      <w:r>
        <w:rPr>
          <w:lang w:eastAsia="fr-CA"/>
        </w:rPr>
        <w:t>’</w:t>
      </w:r>
      <w:r w:rsidRPr="00C8375F">
        <w:rPr>
          <w:lang w:eastAsia="fr-CA"/>
        </w:rPr>
        <w:t xml:space="preserve">article 1457 </w:t>
      </w:r>
      <w:r w:rsidRPr="00C8375F">
        <w:rPr>
          <w:i/>
          <w:iCs/>
          <w:lang w:eastAsia="fr-CA"/>
        </w:rPr>
        <w:t>C.c.Q</w:t>
      </w:r>
      <w:r w:rsidRPr="00C8375F">
        <w:rPr>
          <w:lang w:eastAsia="fr-CA"/>
        </w:rPr>
        <w:t>. et qu</w:t>
      </w:r>
      <w:r>
        <w:rPr>
          <w:lang w:eastAsia="fr-CA"/>
        </w:rPr>
        <w:t>’</w:t>
      </w:r>
      <w:r w:rsidRPr="00C8375F">
        <w:rPr>
          <w:lang w:eastAsia="fr-CA"/>
        </w:rPr>
        <w:t>il n</w:t>
      </w:r>
      <w:r>
        <w:rPr>
          <w:lang w:eastAsia="fr-CA"/>
        </w:rPr>
        <w:t>’</w:t>
      </w:r>
      <w:r w:rsidRPr="00C8375F">
        <w:rPr>
          <w:lang w:eastAsia="fr-CA"/>
        </w:rPr>
        <w:t>existe aucun lien avec le jugement à venir sur la poursuite criminelle, il n</w:t>
      </w:r>
      <w:r>
        <w:rPr>
          <w:lang w:eastAsia="fr-CA"/>
        </w:rPr>
        <w:t>’</w:t>
      </w:r>
      <w:r w:rsidRPr="00C8375F">
        <w:rPr>
          <w:lang w:eastAsia="fr-CA"/>
        </w:rPr>
        <w:t>y a, dans ces cas, aucune raison de suspendre la prescription. Il n</w:t>
      </w:r>
      <w:r>
        <w:rPr>
          <w:lang w:eastAsia="fr-CA"/>
        </w:rPr>
        <w:t>’</w:t>
      </w:r>
      <w:r w:rsidRPr="00C8375F">
        <w:rPr>
          <w:lang w:eastAsia="fr-CA"/>
        </w:rPr>
        <w:t>y a pas impossibilité d</w:t>
      </w:r>
      <w:r>
        <w:rPr>
          <w:lang w:eastAsia="fr-CA"/>
        </w:rPr>
        <w:t>’</w:t>
      </w:r>
      <w:r w:rsidRPr="00C8375F">
        <w:rPr>
          <w:lang w:eastAsia="fr-CA"/>
        </w:rPr>
        <w:t>agir ni crainte de jugements contradictoires.</w:t>
      </w:r>
    </w:p>
    <w:p w14:paraId="0E637946" w14:textId="6B8F27F1" w:rsidR="00CF2D61" w:rsidRPr="00C8375F" w:rsidRDefault="00CF2D61" w:rsidP="00CF2D61">
      <w:pPr>
        <w:pStyle w:val="Citationenretrait"/>
        <w:rPr>
          <w:lang w:eastAsia="fr-CA"/>
        </w:rPr>
      </w:pPr>
      <w:r w:rsidRPr="00C8375F">
        <w:rPr>
          <w:lang w:eastAsia="fr-CA"/>
        </w:rPr>
        <w:t>[84]</w:t>
      </w:r>
      <w:r>
        <w:rPr>
          <w:lang w:eastAsia="fr-CA"/>
        </w:rPr>
        <w:tab/>
      </w:r>
      <w:r w:rsidRPr="00996A62">
        <w:rPr>
          <w:u w:val="single"/>
          <w:lang w:eastAsia="fr-CA"/>
        </w:rPr>
        <w:t>En l</w:t>
      </w:r>
      <w:r>
        <w:rPr>
          <w:u w:val="single"/>
          <w:lang w:eastAsia="fr-CA"/>
        </w:rPr>
        <w:t>’</w:t>
      </w:r>
      <w:r w:rsidRPr="00996A62">
        <w:rPr>
          <w:u w:val="single"/>
          <w:lang w:eastAsia="fr-CA"/>
        </w:rPr>
        <w:t>espèce, tous les faits entourant leur arrestation étaient connus des manifestants dès le départ. Il n</w:t>
      </w:r>
      <w:r>
        <w:rPr>
          <w:u w:val="single"/>
          <w:lang w:eastAsia="fr-CA"/>
        </w:rPr>
        <w:t>’</w:t>
      </w:r>
      <w:r w:rsidRPr="00996A62">
        <w:rPr>
          <w:u w:val="single"/>
          <w:lang w:eastAsia="fr-CA"/>
        </w:rPr>
        <w:t>y a aucune allégation dans la requête introductive d</w:t>
      </w:r>
      <w:r>
        <w:rPr>
          <w:u w:val="single"/>
          <w:lang w:eastAsia="fr-CA"/>
        </w:rPr>
        <w:t>’</w:t>
      </w:r>
      <w:r w:rsidRPr="00996A62">
        <w:rPr>
          <w:u w:val="single"/>
          <w:lang w:eastAsia="fr-CA"/>
        </w:rPr>
        <w:t>instance ou dans les pièces qui commande que soit tranchée d</w:t>
      </w:r>
      <w:r>
        <w:rPr>
          <w:u w:val="single"/>
          <w:lang w:eastAsia="fr-CA"/>
        </w:rPr>
        <w:t>’</w:t>
      </w:r>
      <w:r w:rsidRPr="00996A62">
        <w:rPr>
          <w:u w:val="single"/>
          <w:lang w:eastAsia="fr-CA"/>
        </w:rPr>
        <w:t>abord la poursuite criminelle ou encore qui établit, ne serait-ce que minimalement, quelque lien de droit ou de fait entre « l</w:t>
      </w:r>
      <w:r>
        <w:rPr>
          <w:u w:val="single"/>
          <w:lang w:eastAsia="fr-CA"/>
        </w:rPr>
        <w:t>’</w:t>
      </w:r>
      <w:r w:rsidRPr="00996A62">
        <w:rPr>
          <w:u w:val="single"/>
          <w:lang w:eastAsia="fr-CA"/>
        </w:rPr>
        <w:t>arrestation abusive » et l</w:t>
      </w:r>
      <w:r>
        <w:rPr>
          <w:u w:val="single"/>
          <w:lang w:eastAsia="fr-CA"/>
        </w:rPr>
        <w:t>’</w:t>
      </w:r>
      <w:r w:rsidRPr="00996A62">
        <w:rPr>
          <w:u w:val="single"/>
          <w:lang w:eastAsia="fr-CA"/>
        </w:rPr>
        <w:t>issue des poursuites criminelles.</w:t>
      </w:r>
    </w:p>
    <w:p w14:paraId="19301F2A" w14:textId="6ADA6B13" w:rsidR="00CF2D61" w:rsidRDefault="00CF2D61" w:rsidP="00CF2D61">
      <w:pPr>
        <w:pStyle w:val="Citationenretrait"/>
        <w:rPr>
          <w:lang w:eastAsia="fr-CA"/>
        </w:rPr>
      </w:pPr>
      <w:r w:rsidRPr="00C8375F">
        <w:rPr>
          <w:lang w:eastAsia="fr-CA"/>
        </w:rPr>
        <w:lastRenderedPageBreak/>
        <w:t>[85]</w:t>
      </w:r>
      <w:r>
        <w:rPr>
          <w:lang w:eastAsia="fr-CA"/>
        </w:rPr>
        <w:tab/>
      </w:r>
      <w:r w:rsidRPr="00C8375F">
        <w:rPr>
          <w:lang w:eastAsia="fr-CA"/>
        </w:rPr>
        <w:t>Partant, je dois conclure que le recours en dommages-intérêts des manifestants en cause ne bénéficiait pas, en l</w:t>
      </w:r>
      <w:r>
        <w:rPr>
          <w:lang w:eastAsia="fr-CA"/>
        </w:rPr>
        <w:t>’</w:t>
      </w:r>
      <w:r w:rsidRPr="00C8375F">
        <w:rPr>
          <w:lang w:eastAsia="fr-CA"/>
        </w:rPr>
        <w:t>espèce, de la règle prétorienne de la suspension de la prescription et, qu</w:t>
      </w:r>
      <w:r>
        <w:rPr>
          <w:lang w:eastAsia="fr-CA"/>
        </w:rPr>
        <w:t>’</w:t>
      </w:r>
      <w:r w:rsidRPr="00C8375F">
        <w:rPr>
          <w:lang w:eastAsia="fr-CA"/>
        </w:rPr>
        <w:t>en conséquence, le recours était prescrit</w:t>
      </w:r>
      <w:r>
        <w:rPr>
          <w:lang w:eastAsia="fr-CA"/>
        </w:rPr>
        <w:t>.</w:t>
      </w:r>
      <w:r>
        <w:rPr>
          <w:rStyle w:val="Appelnotedebasdep"/>
          <w:lang w:eastAsia="fr-CA"/>
        </w:rPr>
        <w:footnoteReference w:id="36"/>
      </w:r>
    </w:p>
    <w:p w14:paraId="66285297" w14:textId="77777777" w:rsidR="00CF2D61" w:rsidRDefault="00CF2D61" w:rsidP="00CF2D61">
      <w:pPr>
        <w:pStyle w:val="Citationenretrait"/>
        <w:spacing w:before="0"/>
        <w:jc w:val="right"/>
        <w:rPr>
          <w:lang w:eastAsia="fr-CA"/>
        </w:rPr>
      </w:pPr>
      <w:r>
        <w:rPr>
          <w:lang w:eastAsia="fr-CA"/>
        </w:rPr>
        <w:t>[Soulignements ajoutés, renvois omis]</w:t>
      </w:r>
    </w:p>
    <w:p w14:paraId="33F55DDF" w14:textId="458B754C" w:rsidR="00CF2D61" w:rsidRPr="00526390" w:rsidRDefault="00CF2D61" w:rsidP="00CF2D61">
      <w:pPr>
        <w:pStyle w:val="Paragraphe"/>
        <w:rPr>
          <w:lang w:eastAsia="fr-CA"/>
        </w:rPr>
      </w:pPr>
      <w:r w:rsidRPr="00526390">
        <w:rPr>
          <w:lang w:eastAsia="fr-CA"/>
        </w:rPr>
        <w:t>Dans son récent arrêt rendu dans l</w:t>
      </w:r>
      <w:r>
        <w:rPr>
          <w:lang w:eastAsia="fr-CA"/>
        </w:rPr>
        <w:t>’</w:t>
      </w:r>
      <w:r w:rsidRPr="00526390">
        <w:rPr>
          <w:lang w:eastAsia="fr-CA"/>
        </w:rPr>
        <w:t xml:space="preserve">affaire </w:t>
      </w:r>
      <w:r w:rsidRPr="00526390">
        <w:rPr>
          <w:i/>
          <w:iCs/>
          <w:lang w:eastAsia="fr-CA"/>
        </w:rPr>
        <w:t>9299-2742 Québec inc. (Gestion OFA Environnement) c. Procureur général du Québec</w:t>
      </w:r>
      <w:r w:rsidRPr="00526390">
        <w:rPr>
          <w:rStyle w:val="Appelnotedebasdep"/>
          <w:lang w:eastAsia="fr-CA"/>
        </w:rPr>
        <w:footnoteReference w:id="37"/>
      </w:r>
      <w:r w:rsidRPr="00526390">
        <w:rPr>
          <w:lang w:eastAsia="fr-CA"/>
        </w:rPr>
        <w:t>, la Cour réitère que la suspension est soumise à un critère de nécessité :</w:t>
      </w:r>
    </w:p>
    <w:p w14:paraId="671F06E1" w14:textId="24FE2422" w:rsidR="00CF2D61" w:rsidRDefault="00CF2D61" w:rsidP="00CF2D61">
      <w:pPr>
        <w:pStyle w:val="Citationenretrait"/>
        <w:rPr>
          <w:rFonts w:cs="Arial"/>
          <w:color w:val="000000"/>
        </w:rPr>
      </w:pPr>
      <w:r w:rsidRPr="00526390">
        <w:rPr>
          <w:rFonts w:cs="Arial"/>
          <w:color w:val="000000"/>
        </w:rPr>
        <w:t>[58]</w:t>
      </w:r>
      <w:r w:rsidRPr="00526390">
        <w:rPr>
          <w:rFonts w:cs="Arial"/>
          <w:color w:val="000000"/>
        </w:rPr>
        <w:tab/>
        <w:t>D</w:t>
      </w:r>
      <w:r>
        <w:rPr>
          <w:rFonts w:cs="Arial"/>
          <w:color w:val="000000"/>
        </w:rPr>
        <w:t>’</w:t>
      </w:r>
      <w:r w:rsidRPr="00526390">
        <w:rPr>
          <w:rFonts w:cs="Arial"/>
          <w:color w:val="000000"/>
        </w:rPr>
        <w:t>ailleurs, il est aussi établi que ce délai de prescription n</w:t>
      </w:r>
      <w:r>
        <w:rPr>
          <w:rFonts w:cs="Arial"/>
          <w:color w:val="000000"/>
        </w:rPr>
        <w:t>’</w:t>
      </w:r>
      <w:r w:rsidRPr="00526390">
        <w:rPr>
          <w:rFonts w:cs="Arial"/>
          <w:color w:val="000000"/>
        </w:rPr>
        <w:t>est pas toujours automatiquement suspendu, puisqu</w:t>
      </w:r>
      <w:r>
        <w:rPr>
          <w:rFonts w:cs="Arial"/>
          <w:color w:val="000000"/>
        </w:rPr>
        <w:t>’</w:t>
      </w:r>
      <w:r w:rsidRPr="00526390">
        <w:rPr>
          <w:rFonts w:cs="Arial"/>
          <w:color w:val="000000"/>
        </w:rPr>
        <w:t>en certaines circonstances, il est possible de savoir qu</w:t>
      </w:r>
      <w:r>
        <w:rPr>
          <w:rFonts w:cs="Arial"/>
          <w:color w:val="000000"/>
        </w:rPr>
        <w:t>’</w:t>
      </w:r>
      <w:r w:rsidRPr="00526390">
        <w:rPr>
          <w:rFonts w:cs="Arial"/>
          <w:color w:val="000000"/>
        </w:rPr>
        <w:t>une faute a été commise et qu</w:t>
      </w:r>
      <w:r>
        <w:rPr>
          <w:rFonts w:cs="Arial"/>
          <w:color w:val="000000"/>
        </w:rPr>
        <w:t>’</w:t>
      </w:r>
      <w:r w:rsidRPr="00526390">
        <w:rPr>
          <w:rFonts w:cs="Arial"/>
          <w:color w:val="000000"/>
        </w:rPr>
        <w:t>un dommage en a découlé indépendamment du résultant découlant de l</w:t>
      </w:r>
      <w:r>
        <w:rPr>
          <w:rFonts w:cs="Arial"/>
          <w:color w:val="000000"/>
        </w:rPr>
        <w:t>’</w:t>
      </w:r>
      <w:r w:rsidRPr="00526390">
        <w:rPr>
          <w:rFonts w:cs="Arial"/>
          <w:color w:val="000000"/>
        </w:rPr>
        <w:t xml:space="preserve">enquête, du résultat de la décision de déposer ou non des accusations, ou du jugement à être rendu sur la poursuite. Dans de tels cas, il appartient au demandeur de démontrer la </w:t>
      </w:r>
      <w:r w:rsidRPr="00526390">
        <w:rPr>
          <w:rFonts w:cs="Arial"/>
          <w:color w:val="000000"/>
          <w:u w:val="single"/>
        </w:rPr>
        <w:t>nécessité</w:t>
      </w:r>
      <w:r w:rsidRPr="00526390">
        <w:rPr>
          <w:rFonts w:cs="Arial"/>
          <w:color w:val="000000"/>
        </w:rPr>
        <w:t xml:space="preserve"> de suspendre le délai de prescription en raison du lien qui existe entre l</w:t>
      </w:r>
      <w:r>
        <w:rPr>
          <w:rFonts w:cs="Arial"/>
          <w:color w:val="000000"/>
        </w:rPr>
        <w:t>’</w:t>
      </w:r>
      <w:r w:rsidRPr="00526390">
        <w:rPr>
          <w:rFonts w:cs="Arial"/>
          <w:color w:val="000000"/>
        </w:rPr>
        <w:t>acte reproché et le jugement à venir.</w:t>
      </w:r>
    </w:p>
    <w:p w14:paraId="2C57E1E5" w14:textId="15396E9F" w:rsidR="00CF2D61" w:rsidRDefault="00CF2D61" w:rsidP="00CF2D61">
      <w:pPr>
        <w:pStyle w:val="Citationenretrait"/>
        <w:spacing w:before="0"/>
        <w:jc w:val="right"/>
      </w:pPr>
      <w:r>
        <w:rPr>
          <w:rFonts w:cs="Arial"/>
          <w:color w:val="000000"/>
        </w:rPr>
        <w:t>[Soulignement ajouté]</w:t>
      </w:r>
    </w:p>
    <w:p w14:paraId="4281E735" w14:textId="6CEE5E6D" w:rsidR="00CF2D61" w:rsidRDefault="00CF2D61" w:rsidP="00CF2D61">
      <w:pPr>
        <w:pStyle w:val="Paragraphe"/>
        <w:rPr>
          <w:lang w:val="fr-FR" w:eastAsia="en-US"/>
        </w:rPr>
      </w:pPr>
      <w:r>
        <w:rPr>
          <w:lang w:val="fr-FR" w:eastAsia="en-US"/>
        </w:rPr>
        <w:t>Qu’en est-il en l’espèce?</w:t>
      </w:r>
    </w:p>
    <w:p w14:paraId="0C8FAE01" w14:textId="77777777" w:rsidR="00CF2D61" w:rsidRDefault="00CF2D61" w:rsidP="006E5323">
      <w:pPr>
        <w:pStyle w:val="Paragraphe"/>
        <w:numPr>
          <w:ilvl w:val="0"/>
          <w:numId w:val="0"/>
        </w:numPr>
        <w:spacing w:before="0" w:after="0"/>
        <w:jc w:val="center"/>
        <w:rPr>
          <w:lang w:val="fr-FR" w:eastAsia="en-US"/>
        </w:rPr>
      </w:pPr>
      <w:r>
        <w:rPr>
          <w:lang w:val="fr-FR" w:eastAsia="en-US"/>
        </w:rPr>
        <w:t>* * *</w:t>
      </w:r>
    </w:p>
    <w:p w14:paraId="7F13165B" w14:textId="1EA3BE04" w:rsidR="00CF2D61" w:rsidRPr="00C3129A" w:rsidRDefault="00CF2D61" w:rsidP="00CF2D61">
      <w:pPr>
        <w:pStyle w:val="Paragraphe"/>
        <w:rPr>
          <w:lang w:val="fr-FR" w:eastAsia="en-US"/>
        </w:rPr>
      </w:pPr>
      <w:r>
        <w:rPr>
          <w:lang w:val="fr-FR" w:eastAsia="en-US"/>
        </w:rPr>
        <w:t>Le juge écrit que « </w:t>
      </w:r>
      <w:r>
        <w:rPr>
          <w:rFonts w:cs="Arial"/>
          <w:color w:val="000000"/>
        </w:rPr>
        <w:t>pour qu’il y ait suspension de la prescription, il doit y avoir un lien entre "l’arrestation abusive" et l’issue des poursuites devant la Cour municipale »</w:t>
      </w:r>
      <w:r>
        <w:rPr>
          <w:rStyle w:val="Appelnotedebasdep"/>
          <w:rFonts w:cs="Arial"/>
          <w:color w:val="000000"/>
        </w:rPr>
        <w:footnoteReference w:id="38"/>
      </w:r>
      <w:r>
        <w:rPr>
          <w:rFonts w:cs="Arial"/>
          <w:color w:val="000000"/>
        </w:rPr>
        <w:t>. Il ajoute que « [c]e lien doit être mis en évidence par les demandeurs »</w:t>
      </w:r>
      <w:r>
        <w:rPr>
          <w:rStyle w:val="Appelnotedebasdep"/>
          <w:rFonts w:cs="Arial"/>
          <w:color w:val="000000"/>
        </w:rPr>
        <w:footnoteReference w:id="39"/>
      </w:r>
      <w:r>
        <w:rPr>
          <w:rFonts w:cs="Arial"/>
          <w:color w:val="000000"/>
        </w:rPr>
        <w:t>. Ces énoncés sont conformes aux enseignements de la Cour dont je viens de faire état.</w:t>
      </w:r>
    </w:p>
    <w:p w14:paraId="1A4D9187" w14:textId="4A5CD678" w:rsidR="00CF2D61" w:rsidRPr="00BD6A79" w:rsidRDefault="00CF2D61" w:rsidP="00CF2D61">
      <w:pPr>
        <w:pStyle w:val="Paragraphe"/>
        <w:keepNext/>
        <w:rPr>
          <w:lang w:val="fr-FR" w:eastAsia="en-US"/>
        </w:rPr>
      </w:pPr>
      <w:r>
        <w:t>Le juge enchaîne en concluant que le sort des actions collectives n’était pas tributaire du sort des constats d’infraction en Cour municipale :</w:t>
      </w:r>
    </w:p>
    <w:p w14:paraId="2CD4B43F" w14:textId="4CB21644" w:rsidR="00CF2D61" w:rsidRPr="00BD6A79" w:rsidRDefault="00CF2D61" w:rsidP="00CF2D61">
      <w:pPr>
        <w:pStyle w:val="Citationenretrait"/>
        <w:keepNext/>
        <w:rPr>
          <w:lang w:eastAsia="fr-CA"/>
        </w:rPr>
      </w:pPr>
      <w:r w:rsidRPr="00BD6A79">
        <w:rPr>
          <w:lang w:eastAsia="fr-CA"/>
        </w:rPr>
        <w:t>[</w:t>
      </w:r>
      <w:bookmarkStart w:id="23" w:name="par187"/>
      <w:r w:rsidRPr="00BD6A79">
        <w:rPr>
          <w:lang w:eastAsia="fr-CA"/>
        </w:rPr>
        <w:t>187</w:t>
      </w:r>
      <w:bookmarkEnd w:id="23"/>
      <w:r w:rsidRPr="00BD6A79">
        <w:rPr>
          <w:lang w:eastAsia="fr-CA"/>
        </w:rPr>
        <w:t>]</w:t>
      </w:r>
      <w:r>
        <w:rPr>
          <w:lang w:eastAsia="fr-CA"/>
        </w:rPr>
        <w:tab/>
      </w:r>
      <w:r w:rsidRPr="00BD6A79">
        <w:rPr>
          <w:lang w:eastAsia="fr-CA"/>
        </w:rPr>
        <w:t>Le sort des Recours ne dépend pas du sort des constats d</w:t>
      </w:r>
      <w:r>
        <w:rPr>
          <w:lang w:eastAsia="fr-CA"/>
        </w:rPr>
        <w:t>’</w:t>
      </w:r>
      <w:r w:rsidRPr="00BD6A79">
        <w:rPr>
          <w:lang w:eastAsia="fr-CA"/>
        </w:rPr>
        <w:t>infraction. Dans le cadre des Recours, on reproche au SPVQ d</w:t>
      </w:r>
      <w:r>
        <w:rPr>
          <w:lang w:eastAsia="fr-CA"/>
        </w:rPr>
        <w:t>’</w:t>
      </w:r>
      <w:r w:rsidRPr="00BD6A79">
        <w:rPr>
          <w:lang w:eastAsia="fr-CA"/>
        </w:rPr>
        <w:t xml:space="preserve">avoir violé les droits constitutionnels </w:t>
      </w:r>
      <w:r w:rsidRPr="00BD6A79">
        <w:rPr>
          <w:lang w:eastAsia="fr-CA"/>
        </w:rPr>
        <w:lastRenderedPageBreak/>
        <w:t>dans l</w:t>
      </w:r>
      <w:r>
        <w:rPr>
          <w:lang w:eastAsia="fr-CA"/>
        </w:rPr>
        <w:t>’</w:t>
      </w:r>
      <w:r w:rsidRPr="00BD6A79">
        <w:rPr>
          <w:lang w:eastAsia="fr-CA"/>
        </w:rPr>
        <w:t>exercice de leurs fonctions. La Cour municipale n</w:t>
      </w:r>
      <w:r>
        <w:rPr>
          <w:lang w:eastAsia="fr-CA"/>
        </w:rPr>
        <w:t>’</w:t>
      </w:r>
      <w:r w:rsidRPr="00BD6A79">
        <w:rPr>
          <w:lang w:eastAsia="fr-CA"/>
        </w:rPr>
        <w:t>a pas le pouvoir de se prononcer sur les mesures réparatrices prévues à l</w:t>
      </w:r>
      <w:r>
        <w:rPr>
          <w:lang w:eastAsia="fr-CA"/>
        </w:rPr>
        <w:t>’</w:t>
      </w:r>
      <w:r w:rsidRPr="00BD6A79">
        <w:rPr>
          <w:lang w:eastAsia="fr-CA"/>
        </w:rPr>
        <w:t>article 24(1) de la Charte.</w:t>
      </w:r>
    </w:p>
    <w:p w14:paraId="7713A44F" w14:textId="38475867" w:rsidR="00CF2D61" w:rsidRPr="00BD6A79" w:rsidRDefault="00CF2D61" w:rsidP="00CF2D61">
      <w:pPr>
        <w:pStyle w:val="Citationenretrait"/>
        <w:rPr>
          <w:lang w:eastAsia="fr-CA"/>
        </w:rPr>
      </w:pPr>
      <w:r w:rsidRPr="00BD6A79">
        <w:rPr>
          <w:lang w:eastAsia="fr-CA"/>
        </w:rPr>
        <w:t>[</w:t>
      </w:r>
      <w:bookmarkStart w:id="24" w:name="par188"/>
      <w:r w:rsidRPr="00BD6A79">
        <w:rPr>
          <w:lang w:eastAsia="fr-CA"/>
        </w:rPr>
        <w:t>188</w:t>
      </w:r>
      <w:bookmarkEnd w:id="24"/>
      <w:r w:rsidRPr="00BD6A79">
        <w:rPr>
          <w:lang w:eastAsia="fr-CA"/>
        </w:rPr>
        <w:t>]</w:t>
      </w:r>
      <w:r>
        <w:rPr>
          <w:lang w:eastAsia="fr-CA"/>
        </w:rPr>
        <w:tab/>
      </w:r>
      <w:r w:rsidRPr="00BD6A79">
        <w:rPr>
          <w:lang w:eastAsia="fr-CA"/>
        </w:rPr>
        <w:t>Ce n</w:t>
      </w:r>
      <w:r>
        <w:rPr>
          <w:lang w:eastAsia="fr-CA"/>
        </w:rPr>
        <w:t>’</w:t>
      </w:r>
      <w:r w:rsidRPr="00BD6A79">
        <w:rPr>
          <w:lang w:eastAsia="fr-CA"/>
        </w:rPr>
        <w:t>est pas par la décision sur le constat d</w:t>
      </w:r>
      <w:r>
        <w:rPr>
          <w:lang w:eastAsia="fr-CA"/>
        </w:rPr>
        <w:t>’</w:t>
      </w:r>
      <w:r w:rsidRPr="00BD6A79">
        <w:rPr>
          <w:lang w:eastAsia="fr-CA"/>
        </w:rPr>
        <w:t>infraction que se cristallise le préjudice encouru par les membres des groupes. Si tel avait été le cas, alors les parties demanderesses auraient raison.</w:t>
      </w:r>
    </w:p>
    <w:p w14:paraId="47935938" w14:textId="47668DC7" w:rsidR="00CF2D61" w:rsidRPr="00BD6A79" w:rsidRDefault="00CF2D61" w:rsidP="00CF2D61">
      <w:pPr>
        <w:pStyle w:val="Citationenretrait"/>
        <w:rPr>
          <w:lang w:eastAsia="fr-CA"/>
        </w:rPr>
      </w:pPr>
      <w:r w:rsidRPr="00BD6A79">
        <w:rPr>
          <w:lang w:eastAsia="fr-CA"/>
        </w:rPr>
        <w:t>[</w:t>
      </w:r>
      <w:bookmarkStart w:id="25" w:name="par189"/>
      <w:r w:rsidRPr="00BD6A79">
        <w:rPr>
          <w:lang w:eastAsia="fr-CA"/>
        </w:rPr>
        <w:t>189</w:t>
      </w:r>
      <w:bookmarkEnd w:id="25"/>
      <w:r w:rsidRPr="00BD6A79">
        <w:rPr>
          <w:lang w:eastAsia="fr-CA"/>
        </w:rPr>
        <w:t>]</w:t>
      </w:r>
      <w:r>
        <w:rPr>
          <w:lang w:eastAsia="fr-CA"/>
        </w:rPr>
        <w:tab/>
      </w:r>
      <w:r w:rsidRPr="00BD6A79">
        <w:rPr>
          <w:lang w:eastAsia="fr-CA"/>
        </w:rPr>
        <w:t>Mais la nature des allégations et la preuve administrée lors de l</w:t>
      </w:r>
      <w:r>
        <w:rPr>
          <w:lang w:eastAsia="fr-CA"/>
        </w:rPr>
        <w:t>’</w:t>
      </w:r>
      <w:r w:rsidRPr="00BD6A79">
        <w:rPr>
          <w:lang w:eastAsia="fr-CA"/>
        </w:rPr>
        <w:t>instruction des présentes affaires ne permettent pas de lier les fautes reprochées au SPVQ au sort des constats d</w:t>
      </w:r>
      <w:r>
        <w:rPr>
          <w:lang w:eastAsia="fr-CA"/>
        </w:rPr>
        <w:t>’</w:t>
      </w:r>
      <w:r w:rsidRPr="00BD6A79">
        <w:rPr>
          <w:lang w:eastAsia="fr-CA"/>
        </w:rPr>
        <w:t>infraction.</w:t>
      </w:r>
    </w:p>
    <w:p w14:paraId="7AD2902F" w14:textId="1C14C5CE" w:rsidR="00CF2D61" w:rsidRDefault="00CF2D61" w:rsidP="00CF2D61">
      <w:pPr>
        <w:pStyle w:val="Citationenretrait"/>
        <w:rPr>
          <w:lang w:eastAsia="fr-CA"/>
        </w:rPr>
      </w:pPr>
      <w:r w:rsidRPr="00BD6A79">
        <w:rPr>
          <w:lang w:eastAsia="fr-CA"/>
        </w:rPr>
        <w:t>[</w:t>
      </w:r>
      <w:bookmarkStart w:id="26" w:name="par190"/>
      <w:r w:rsidRPr="00BD6A79">
        <w:rPr>
          <w:lang w:eastAsia="fr-CA"/>
        </w:rPr>
        <w:t>190</w:t>
      </w:r>
      <w:bookmarkEnd w:id="26"/>
      <w:r w:rsidRPr="00BD6A79">
        <w:rPr>
          <w:lang w:eastAsia="fr-CA"/>
        </w:rPr>
        <w:t>]</w:t>
      </w:r>
      <w:r>
        <w:rPr>
          <w:lang w:eastAsia="fr-CA"/>
        </w:rPr>
        <w:tab/>
      </w:r>
      <w:r w:rsidRPr="00BD6A79">
        <w:rPr>
          <w:lang w:eastAsia="fr-CA"/>
        </w:rPr>
        <w:t>La décision de poursuivre la partie défenderesse, au moment où elle est prise, est donc tardive puisque les Recours sont prescrits depuis des années vu l</w:t>
      </w:r>
      <w:r>
        <w:rPr>
          <w:lang w:eastAsia="fr-CA"/>
        </w:rPr>
        <w:t>’</w:t>
      </w:r>
      <w:hyperlink r:id="rId16" w:anchor="art586_smooth" w:history="1">
        <w:r w:rsidR="00737FA5">
          <w:rPr>
            <w:lang w:eastAsia="fr-CA"/>
          </w:rPr>
          <w:t>article 586</w:t>
        </w:r>
      </w:hyperlink>
      <w:r w:rsidRPr="00F478FC">
        <w:rPr>
          <w:lang w:eastAsia="fr-CA"/>
        </w:rPr>
        <w:t> </w:t>
      </w:r>
      <w:hyperlink r:id="rId17" w:history="1">
        <w:r w:rsidR="00737FA5">
          <w:rPr>
            <w:lang w:eastAsia="fr-CA"/>
          </w:rPr>
          <w:t>LCV</w:t>
        </w:r>
      </w:hyperlink>
      <w:r w:rsidRPr="00BD6A79">
        <w:rPr>
          <w:lang w:eastAsia="fr-CA"/>
        </w:rPr>
        <w:t>.</w:t>
      </w:r>
    </w:p>
    <w:p w14:paraId="7AF248EA" w14:textId="77777777" w:rsidR="00CF2D61" w:rsidRPr="00BD6A79" w:rsidRDefault="00CF2D61" w:rsidP="00CF2D61">
      <w:pPr>
        <w:pStyle w:val="Citationenretrait"/>
        <w:spacing w:before="0"/>
        <w:jc w:val="right"/>
        <w:rPr>
          <w:lang w:eastAsia="fr-CA"/>
        </w:rPr>
      </w:pPr>
      <w:r>
        <w:rPr>
          <w:lang w:eastAsia="fr-CA"/>
        </w:rPr>
        <w:t>[Renvoi omis]</w:t>
      </w:r>
    </w:p>
    <w:p w14:paraId="3BE4444D" w14:textId="3A014B8C" w:rsidR="00CF2D61" w:rsidRPr="00735E6E" w:rsidRDefault="00CF2D61" w:rsidP="00CF2D61">
      <w:pPr>
        <w:pStyle w:val="Paragraphe"/>
        <w:rPr>
          <w:lang w:val="fr-FR" w:eastAsia="en-US"/>
        </w:rPr>
      </w:pPr>
      <w:r w:rsidRPr="00735E6E">
        <w:rPr>
          <w:lang w:eastAsia="en-US"/>
        </w:rPr>
        <w:t>L</w:t>
      </w:r>
      <w:r>
        <w:rPr>
          <w:lang w:eastAsia="en-US"/>
        </w:rPr>
        <w:t>’</w:t>
      </w:r>
      <w:r w:rsidRPr="00735E6E">
        <w:rPr>
          <w:lang w:eastAsia="en-US"/>
        </w:rPr>
        <w:t>énoncé du juge contenu au paragraphe [187] de ses motifs doit être compris dans le contexte des allégations en demande selon lesquelles deux des appelants avaient l</w:t>
      </w:r>
      <w:r>
        <w:rPr>
          <w:lang w:eastAsia="en-US"/>
        </w:rPr>
        <w:t>’</w:t>
      </w:r>
      <w:r w:rsidRPr="00735E6E">
        <w:rPr>
          <w:lang w:eastAsia="en-US"/>
        </w:rPr>
        <w:t>intention de réclamer le paiement de dommages-intérêts</w:t>
      </w:r>
      <w:r w:rsidRPr="00735E6E">
        <w:rPr>
          <w:szCs w:val="22"/>
          <w:lang w:val="fr-FR" w:eastAsia="en-US"/>
        </w:rPr>
        <w:t xml:space="preserve"> devant « l</w:t>
      </w:r>
      <w:r>
        <w:rPr>
          <w:szCs w:val="22"/>
          <w:lang w:val="fr-FR" w:eastAsia="en-US"/>
        </w:rPr>
        <w:t>’</w:t>
      </w:r>
      <w:r w:rsidRPr="00735E6E">
        <w:rPr>
          <w:szCs w:val="22"/>
          <w:lang w:val="fr-FR" w:eastAsia="en-US"/>
        </w:rPr>
        <w:t>instance pénale appropriée »</w:t>
      </w:r>
      <w:r w:rsidRPr="00735E6E">
        <w:rPr>
          <w:lang w:eastAsia="en-US"/>
        </w:rPr>
        <w:t>. La lecture de l</w:t>
      </w:r>
      <w:r>
        <w:rPr>
          <w:lang w:eastAsia="en-US"/>
        </w:rPr>
        <w:t>’</w:t>
      </w:r>
      <w:r w:rsidRPr="00735E6E">
        <w:rPr>
          <w:lang w:eastAsia="en-US"/>
        </w:rPr>
        <w:t>extrait de l</w:t>
      </w:r>
      <w:r>
        <w:rPr>
          <w:lang w:eastAsia="en-US"/>
        </w:rPr>
        <w:t>’</w:t>
      </w:r>
      <w:r w:rsidRPr="00735E6E">
        <w:rPr>
          <w:lang w:eastAsia="en-US"/>
        </w:rPr>
        <w:t xml:space="preserve">arrêt </w:t>
      </w:r>
      <w:r w:rsidRPr="00735E6E">
        <w:rPr>
          <w:i/>
          <w:iCs/>
        </w:rPr>
        <w:t>Ville de Vancouver c. Ward</w:t>
      </w:r>
      <w:bookmarkStart w:id="27" w:name="_Ref227077890"/>
      <w:r w:rsidRPr="00735E6E">
        <w:rPr>
          <w:rStyle w:val="Appelnotedebasdep"/>
        </w:rPr>
        <w:footnoteReference w:id="40"/>
      </w:r>
      <w:bookmarkEnd w:id="27"/>
      <w:r w:rsidRPr="00735E6E">
        <w:rPr>
          <w:i/>
          <w:iCs/>
        </w:rPr>
        <w:t xml:space="preserve"> </w:t>
      </w:r>
      <w:r w:rsidRPr="00735E6E">
        <w:t>sur lequel le juge prend appui le confirme:</w:t>
      </w:r>
    </w:p>
    <w:p w14:paraId="3F1D0B39" w14:textId="5056CB35" w:rsidR="00CF2D61" w:rsidRPr="00735E6E" w:rsidRDefault="00CF2D61" w:rsidP="00CF2D61">
      <w:pPr>
        <w:pStyle w:val="Citationenretrait"/>
        <w:rPr>
          <w:color w:val="000000"/>
          <w:szCs w:val="22"/>
        </w:rPr>
      </w:pPr>
      <w:r w:rsidRPr="00735E6E">
        <w:rPr>
          <w:color w:val="000000"/>
          <w:szCs w:val="22"/>
        </w:rPr>
        <w:t>[</w:t>
      </w:r>
      <w:bookmarkStart w:id="28" w:name="par58"/>
      <w:r w:rsidRPr="00735E6E">
        <w:rPr>
          <w:color w:val="000000"/>
          <w:szCs w:val="22"/>
        </w:rPr>
        <w:t>58</w:t>
      </w:r>
      <w:bookmarkEnd w:id="28"/>
      <w:r w:rsidRPr="00735E6E">
        <w:rPr>
          <w:color w:val="000000"/>
          <w:szCs w:val="22"/>
        </w:rPr>
        <w:t>]</w:t>
      </w:r>
      <w:r w:rsidRPr="00735E6E">
        <w:rPr>
          <w:color w:val="000000"/>
          <w:szCs w:val="22"/>
        </w:rPr>
        <w:tab/>
        <w:t>Pour qu</w:t>
      </w:r>
      <w:r>
        <w:rPr>
          <w:color w:val="000000"/>
          <w:szCs w:val="22"/>
        </w:rPr>
        <w:t>’</w:t>
      </w:r>
      <w:r w:rsidRPr="00735E6E">
        <w:rPr>
          <w:color w:val="000000"/>
          <w:szCs w:val="22"/>
        </w:rPr>
        <w:t xml:space="preserve">un tribunal puisse accorder une réparation en vertu du </w:t>
      </w:r>
      <w:r w:rsidRPr="00735E6E">
        <w:rPr>
          <w:szCs w:val="22"/>
        </w:rPr>
        <w:t xml:space="preserve">par. 24(1) </w:t>
      </w:r>
      <w:r w:rsidRPr="00735E6E">
        <w:rPr>
          <w:color w:val="000000"/>
          <w:szCs w:val="22"/>
        </w:rPr>
        <w:t xml:space="preserve">de la </w:t>
      </w:r>
      <w:r w:rsidRPr="00735E6E">
        <w:rPr>
          <w:i/>
          <w:iCs/>
          <w:szCs w:val="22"/>
        </w:rPr>
        <w:t>Charte</w:t>
      </w:r>
      <w:r w:rsidRPr="00735E6E">
        <w:rPr>
          <w:color w:val="000000"/>
          <w:szCs w:val="22"/>
        </w:rPr>
        <w:t>, il doit avoir le pouvoir de trancher une question de droit et d</w:t>
      </w:r>
      <w:r>
        <w:rPr>
          <w:color w:val="000000"/>
          <w:szCs w:val="22"/>
        </w:rPr>
        <w:t>’</w:t>
      </w:r>
      <w:r w:rsidRPr="00735E6E">
        <w:rPr>
          <w:color w:val="000000"/>
          <w:szCs w:val="22"/>
        </w:rPr>
        <w:t xml:space="preserve">accorder la réparation en cause : </w:t>
      </w:r>
      <w:r w:rsidRPr="00735E6E">
        <w:rPr>
          <w:i/>
          <w:iCs/>
          <w:color w:val="000000"/>
          <w:szCs w:val="22"/>
        </w:rPr>
        <w:t>R. c. Conway</w:t>
      </w:r>
      <w:r w:rsidRPr="00735E6E">
        <w:rPr>
          <w:color w:val="000000"/>
          <w:szCs w:val="22"/>
        </w:rPr>
        <w:t xml:space="preserve">, </w:t>
      </w:r>
      <w:r w:rsidRPr="00735E6E">
        <w:rPr>
          <w:szCs w:val="22"/>
        </w:rPr>
        <w:t>2010 CSC 22</w:t>
      </w:r>
      <w:r w:rsidRPr="00735E6E">
        <w:rPr>
          <w:color w:val="000000"/>
          <w:szCs w:val="22"/>
        </w:rPr>
        <w:t>, [2010] 1 R.C.S. 765. Règle générale, le tribunal approprié pour l</w:t>
      </w:r>
      <w:r>
        <w:rPr>
          <w:color w:val="000000"/>
          <w:szCs w:val="22"/>
        </w:rPr>
        <w:t>’</w:t>
      </w:r>
      <w:r w:rsidRPr="00735E6E">
        <w:rPr>
          <w:color w:val="000000"/>
          <w:szCs w:val="22"/>
        </w:rPr>
        <w:t>obtention de dommages</w:t>
      </w:r>
      <w:r w:rsidRPr="00735E6E">
        <w:rPr>
          <w:color w:val="000000"/>
          <w:szCs w:val="22"/>
        </w:rPr>
        <w:noBreakHyphen/>
        <w:t xml:space="preserve">intérêts en vertu du par. 24(1) est un tribunal qui a le pouvoir de trancher des questions relatives à la </w:t>
      </w:r>
      <w:r w:rsidRPr="00735E6E">
        <w:rPr>
          <w:i/>
          <w:iCs/>
          <w:szCs w:val="22"/>
        </w:rPr>
        <w:t>Charte</w:t>
      </w:r>
      <w:r w:rsidRPr="00735E6E">
        <w:rPr>
          <w:i/>
          <w:iCs/>
          <w:color w:val="000000"/>
          <w:szCs w:val="22"/>
        </w:rPr>
        <w:t xml:space="preserve"> </w:t>
      </w:r>
      <w:r w:rsidRPr="00735E6E">
        <w:rPr>
          <w:color w:val="000000"/>
          <w:szCs w:val="22"/>
        </w:rPr>
        <w:t>et celui, en vertu d</w:t>
      </w:r>
      <w:r>
        <w:rPr>
          <w:color w:val="000000"/>
          <w:szCs w:val="22"/>
        </w:rPr>
        <w:t>’</w:t>
      </w:r>
      <w:r w:rsidRPr="00735E6E">
        <w:rPr>
          <w:color w:val="000000"/>
          <w:szCs w:val="22"/>
        </w:rPr>
        <w:t>une loi ou de sa compétence inhérente, d</w:t>
      </w:r>
      <w:r>
        <w:rPr>
          <w:color w:val="000000"/>
          <w:szCs w:val="22"/>
        </w:rPr>
        <w:t>’</w:t>
      </w:r>
      <w:r w:rsidRPr="00735E6E">
        <w:rPr>
          <w:color w:val="000000"/>
          <w:szCs w:val="22"/>
        </w:rPr>
        <w:t>accorder des dommages</w:t>
      </w:r>
      <w:r w:rsidRPr="00735E6E">
        <w:rPr>
          <w:color w:val="000000"/>
          <w:szCs w:val="22"/>
        </w:rPr>
        <w:noBreakHyphen/>
        <w:t xml:space="preserve">intérêts. </w:t>
      </w:r>
      <w:r w:rsidRPr="00735E6E">
        <w:rPr>
          <w:color w:val="000000"/>
          <w:szCs w:val="22"/>
          <w:u w:val="single"/>
        </w:rPr>
        <w:t>Les cours provinciales de juridiction criminelle ne possèdent pas de tels pouvoirs et ne peuvent donc pas accorder des dommages</w:t>
      </w:r>
      <w:r w:rsidRPr="00735E6E">
        <w:rPr>
          <w:color w:val="000000"/>
          <w:szCs w:val="22"/>
          <w:u w:val="single"/>
        </w:rPr>
        <w:noBreakHyphen/>
        <w:t>intérêts en vertu du par. 24(1)</w:t>
      </w:r>
      <w:r w:rsidRPr="00735E6E">
        <w:rPr>
          <w:color w:val="000000"/>
          <w:szCs w:val="22"/>
        </w:rPr>
        <w:t>.</w:t>
      </w:r>
    </w:p>
    <w:p w14:paraId="58446DF6" w14:textId="77777777" w:rsidR="00CF2D61" w:rsidRPr="00735E6E" w:rsidRDefault="00CF2D61" w:rsidP="006E5323">
      <w:pPr>
        <w:pStyle w:val="Citationenretrait"/>
        <w:spacing w:before="0"/>
        <w:jc w:val="right"/>
        <w:rPr>
          <w:szCs w:val="22"/>
          <w:lang w:val="fr-FR" w:eastAsia="en-US"/>
        </w:rPr>
      </w:pPr>
      <w:r w:rsidRPr="00735E6E">
        <w:rPr>
          <w:color w:val="000000"/>
          <w:szCs w:val="22"/>
        </w:rPr>
        <w:t>[Soulignement ajouté]</w:t>
      </w:r>
    </w:p>
    <w:p w14:paraId="543B518E" w14:textId="6719531F" w:rsidR="00CF2D61" w:rsidRPr="00735E6E" w:rsidRDefault="00CF2D61" w:rsidP="00CF2D61">
      <w:pPr>
        <w:pStyle w:val="Paragraphe"/>
        <w:rPr>
          <w:szCs w:val="22"/>
          <w:lang w:val="fr-FR" w:eastAsia="en-US"/>
        </w:rPr>
      </w:pPr>
      <w:r w:rsidRPr="00735E6E">
        <w:rPr>
          <w:lang w:eastAsia="en-US"/>
        </w:rPr>
        <w:t>Cependant, une précision s</w:t>
      </w:r>
      <w:r>
        <w:rPr>
          <w:lang w:eastAsia="en-US"/>
        </w:rPr>
        <w:t>’</w:t>
      </w:r>
      <w:r w:rsidRPr="00735E6E">
        <w:rPr>
          <w:lang w:eastAsia="en-US"/>
        </w:rPr>
        <w:t xml:space="preserve">impose pour éviter toute ambiguïté. Bien que la Cour municipale </w:t>
      </w:r>
      <w:r w:rsidRPr="00735E6E">
        <w:t>n</w:t>
      </w:r>
      <w:r>
        <w:t>’eût</w:t>
      </w:r>
      <w:r w:rsidRPr="00735E6E">
        <w:t xml:space="preserve"> pas été compétente pour octroyer des dommages-intérêts aux membres en guise de mesures réparatrices, elle l</w:t>
      </w:r>
      <w:r>
        <w:t>’</w:t>
      </w:r>
      <w:r w:rsidRPr="00735E6E">
        <w:t>aurait été pour ordonner une autre mesure réparatrice comme un arrêt des procédures destiné à sanctionner une arrestation et une détention abusive</w:t>
      </w:r>
      <w:r>
        <w:t>s</w:t>
      </w:r>
      <w:r w:rsidRPr="00735E6E">
        <w:rPr>
          <w:rStyle w:val="Appelnotedebasdep"/>
        </w:rPr>
        <w:footnoteReference w:id="41"/>
      </w:r>
      <w:r w:rsidRPr="00735E6E">
        <w:t>.</w:t>
      </w:r>
      <w:r w:rsidRPr="00735E6E">
        <w:rPr>
          <w:szCs w:val="22"/>
          <w:lang w:eastAsia="en-US"/>
        </w:rPr>
        <w:t xml:space="preserve"> </w:t>
      </w:r>
    </w:p>
    <w:p w14:paraId="02B4909A" w14:textId="51916408" w:rsidR="00CF2D61" w:rsidRPr="00735E6E" w:rsidRDefault="00CF2D61" w:rsidP="00CF2D61">
      <w:pPr>
        <w:pStyle w:val="Paragraphe"/>
        <w:rPr>
          <w:szCs w:val="22"/>
          <w:lang w:val="fr-FR" w:eastAsia="en-US"/>
        </w:rPr>
      </w:pPr>
      <w:r w:rsidRPr="00735E6E">
        <w:rPr>
          <w:lang w:eastAsia="en-US"/>
        </w:rPr>
        <w:lastRenderedPageBreak/>
        <w:t>Cette clarification s</w:t>
      </w:r>
      <w:r>
        <w:rPr>
          <w:lang w:eastAsia="en-US"/>
        </w:rPr>
        <w:t>’</w:t>
      </w:r>
      <w:r w:rsidRPr="00735E6E">
        <w:rPr>
          <w:lang w:eastAsia="en-US"/>
        </w:rPr>
        <w:t>impose</w:t>
      </w:r>
      <w:r>
        <w:rPr>
          <w:lang w:eastAsia="en-US"/>
        </w:rPr>
        <w:t>,</w:t>
      </w:r>
      <w:r w:rsidRPr="00735E6E">
        <w:rPr>
          <w:lang w:eastAsia="en-US"/>
        </w:rPr>
        <w:t xml:space="preserve"> puisque dans leur mémoire, les appelants ne prétendent plus, comme ils le faisaient dans deux des trois actions collectives, qu</w:t>
      </w:r>
      <w:r>
        <w:rPr>
          <w:lang w:eastAsia="en-US"/>
        </w:rPr>
        <w:t>’</w:t>
      </w:r>
      <w:r w:rsidRPr="00735E6E">
        <w:rPr>
          <w:lang w:eastAsia="en-US"/>
        </w:rPr>
        <w:t>ils auraient réclamé le paiement de dommages-intérêts devant l</w:t>
      </w:r>
      <w:r>
        <w:rPr>
          <w:lang w:eastAsia="en-US"/>
        </w:rPr>
        <w:t>’</w:t>
      </w:r>
      <w:r w:rsidRPr="00735E6E">
        <w:rPr>
          <w:lang w:eastAsia="en-US"/>
        </w:rPr>
        <w:t>« instance pénale appropriée ». Ils laissent entendre qu</w:t>
      </w:r>
      <w:r>
        <w:rPr>
          <w:lang w:eastAsia="en-US"/>
        </w:rPr>
        <w:t>’</w:t>
      </w:r>
      <w:r w:rsidRPr="00735E6E">
        <w:rPr>
          <w:lang w:eastAsia="en-US"/>
        </w:rPr>
        <w:t xml:space="preserve">ils auraient plutôt demandé un arrêt des procédures à titre de mesure réparatrice. </w:t>
      </w:r>
    </w:p>
    <w:p w14:paraId="641C1984" w14:textId="06B626A5" w:rsidR="00CF2D61" w:rsidRPr="00735E6E" w:rsidRDefault="00CF2D61" w:rsidP="00CF2D61">
      <w:pPr>
        <w:pStyle w:val="Paragraphe"/>
        <w:rPr>
          <w:lang w:eastAsia="en-US"/>
        </w:rPr>
      </w:pPr>
      <w:r w:rsidRPr="00735E6E">
        <w:rPr>
          <w:lang w:eastAsia="en-US"/>
        </w:rPr>
        <w:t>Leur raisonnement pour démontrer que la prescription était suspendue s</w:t>
      </w:r>
      <w:r>
        <w:rPr>
          <w:lang w:eastAsia="en-US"/>
        </w:rPr>
        <w:t>’</w:t>
      </w:r>
      <w:r w:rsidRPr="00735E6E">
        <w:rPr>
          <w:lang w:eastAsia="en-US"/>
        </w:rPr>
        <w:t>articule ainsi :</w:t>
      </w:r>
    </w:p>
    <w:p w14:paraId="250BD84A" w14:textId="013961DE" w:rsidR="00CF2D61" w:rsidRPr="00735E6E" w:rsidRDefault="00CF2D61" w:rsidP="00CF2D61">
      <w:pPr>
        <w:pStyle w:val="Citationenretrait"/>
        <w:rPr>
          <w:lang w:eastAsia="en-US"/>
        </w:rPr>
      </w:pPr>
      <w:r w:rsidRPr="00735E6E">
        <w:rPr>
          <w:lang w:eastAsia="en-US"/>
        </w:rPr>
        <w:t>[73]</w:t>
      </w:r>
      <w:r w:rsidRPr="00735E6E">
        <w:rPr>
          <w:lang w:eastAsia="en-US"/>
        </w:rPr>
        <w:tab/>
        <w:t>Il était nécessaire et essentiel que la Cour municipale de Québec statue sur la question de l</w:t>
      </w:r>
      <w:r>
        <w:rPr>
          <w:lang w:eastAsia="en-US"/>
        </w:rPr>
        <w:t>’</w:t>
      </w:r>
      <w:r w:rsidRPr="00735E6E">
        <w:rPr>
          <w:lang w:eastAsia="en-US"/>
        </w:rPr>
        <w:t>arrestation arbitraire : il s</w:t>
      </w:r>
      <w:r>
        <w:rPr>
          <w:lang w:eastAsia="en-US"/>
        </w:rPr>
        <w:t>’</w:t>
      </w:r>
      <w:r w:rsidRPr="00735E6E">
        <w:rPr>
          <w:lang w:eastAsia="en-US"/>
        </w:rPr>
        <w:t>agissait du forum approprié pour déterminer si les policiers de la Ville de Québec avaient les motifs raisonnables de croire à la commission de l</w:t>
      </w:r>
      <w:r>
        <w:rPr>
          <w:lang w:eastAsia="en-US"/>
        </w:rPr>
        <w:t>’</w:t>
      </w:r>
      <w:r w:rsidRPr="00735E6E">
        <w:rPr>
          <w:lang w:eastAsia="en-US"/>
        </w:rPr>
        <w:t>infraction prévue à l</w:t>
      </w:r>
      <w:r>
        <w:rPr>
          <w:lang w:eastAsia="en-US"/>
        </w:rPr>
        <w:t>’</w:t>
      </w:r>
      <w:r w:rsidRPr="00735E6E">
        <w:rPr>
          <w:lang w:eastAsia="en-US"/>
        </w:rPr>
        <w:t>article 500.1 du Code de la sécurité routière et si les appelants avaient ou non commis l</w:t>
      </w:r>
      <w:r>
        <w:rPr>
          <w:lang w:eastAsia="en-US"/>
        </w:rPr>
        <w:t>’</w:t>
      </w:r>
      <w:r w:rsidRPr="00735E6E">
        <w:rPr>
          <w:lang w:eastAsia="en-US"/>
        </w:rPr>
        <w:t>infraction qu</w:t>
      </w:r>
      <w:r>
        <w:rPr>
          <w:lang w:eastAsia="en-US"/>
        </w:rPr>
        <w:t>’</w:t>
      </w:r>
      <w:r w:rsidRPr="00735E6E">
        <w:rPr>
          <w:lang w:eastAsia="en-US"/>
        </w:rPr>
        <w:t>on leur reprochait. La réponse à ces questions était essentielle pour déterminer si les employés de l</w:t>
      </w:r>
      <w:r>
        <w:rPr>
          <w:lang w:eastAsia="en-US"/>
        </w:rPr>
        <w:t>’</w:t>
      </w:r>
      <w:r w:rsidRPr="00735E6E">
        <w:rPr>
          <w:lang w:eastAsia="en-US"/>
        </w:rPr>
        <w:t>intimé avaient commis une faute ou non.</w:t>
      </w:r>
    </w:p>
    <w:p w14:paraId="5275589D" w14:textId="58317339" w:rsidR="00CF2D61" w:rsidRPr="00735E6E" w:rsidRDefault="00CF2D61" w:rsidP="00CF2D61">
      <w:pPr>
        <w:pStyle w:val="Citationenretrait"/>
        <w:rPr>
          <w:lang w:eastAsia="en-US"/>
        </w:rPr>
      </w:pPr>
      <w:r w:rsidRPr="00735E6E">
        <w:rPr>
          <w:lang w:eastAsia="en-US"/>
        </w:rPr>
        <w:t>[74]</w:t>
      </w:r>
      <w:r w:rsidRPr="00735E6E">
        <w:rPr>
          <w:lang w:eastAsia="en-US"/>
        </w:rPr>
        <w:tab/>
        <w:t>En premier lieu, sans des motifs raisonnables de croire à la commission de l</w:t>
      </w:r>
      <w:r>
        <w:rPr>
          <w:lang w:eastAsia="en-US"/>
        </w:rPr>
        <w:t>’</w:t>
      </w:r>
      <w:r w:rsidRPr="00735E6E">
        <w:rPr>
          <w:lang w:eastAsia="en-US"/>
        </w:rPr>
        <w:t>infraction, l</w:t>
      </w:r>
      <w:r>
        <w:rPr>
          <w:lang w:eastAsia="en-US"/>
        </w:rPr>
        <w:t>’</w:t>
      </w:r>
      <w:r w:rsidRPr="00735E6E">
        <w:rPr>
          <w:lang w:eastAsia="en-US"/>
        </w:rPr>
        <w:t>arrestation était arbitraire. Vu cette conclusion, la prescription de leur recours pour compenser pour les dommages moraux qu</w:t>
      </w:r>
      <w:r>
        <w:rPr>
          <w:lang w:eastAsia="en-US"/>
        </w:rPr>
        <w:t>’</w:t>
      </w:r>
      <w:r w:rsidRPr="00735E6E">
        <w:rPr>
          <w:lang w:eastAsia="en-US"/>
        </w:rPr>
        <w:t>ils ont subis débutait à ce moment. De plus, si les appelants avaient commis une infraction, il était évident qu</w:t>
      </w:r>
      <w:r>
        <w:rPr>
          <w:lang w:eastAsia="en-US"/>
        </w:rPr>
        <w:t>’</w:t>
      </w:r>
      <w:r w:rsidRPr="00735E6E">
        <w:rPr>
          <w:lang w:eastAsia="en-US"/>
        </w:rPr>
        <w:t>un recours devant la Cour en dommages-intérêts devenait impossible.</w:t>
      </w:r>
    </w:p>
    <w:p w14:paraId="7AD54EAE" w14:textId="77777777" w:rsidR="00CF2D61" w:rsidRPr="00735E6E" w:rsidRDefault="00CF2D61" w:rsidP="00CF2D61">
      <w:pPr>
        <w:pStyle w:val="Citationenretrait"/>
        <w:rPr>
          <w:lang w:eastAsia="en-US"/>
        </w:rPr>
      </w:pPr>
      <w:r w:rsidRPr="00735E6E">
        <w:rPr>
          <w:lang w:eastAsia="en-US"/>
        </w:rPr>
        <w:t>[…]</w:t>
      </w:r>
    </w:p>
    <w:p w14:paraId="64386CA2" w14:textId="300A245F" w:rsidR="00CF2D61" w:rsidRPr="00735E6E" w:rsidRDefault="00CF2D61" w:rsidP="00CF2D61">
      <w:pPr>
        <w:pStyle w:val="Citationenretrait"/>
        <w:rPr>
          <w:lang w:eastAsia="en-US"/>
        </w:rPr>
      </w:pPr>
      <w:r w:rsidRPr="00735E6E">
        <w:rPr>
          <w:lang w:eastAsia="en-US"/>
        </w:rPr>
        <w:t>[80]</w:t>
      </w:r>
      <w:r w:rsidRPr="00735E6E">
        <w:rPr>
          <w:lang w:eastAsia="en-US"/>
        </w:rPr>
        <w:tab/>
        <w:t>Pour qu</w:t>
      </w:r>
      <w:r>
        <w:rPr>
          <w:lang w:eastAsia="en-US"/>
        </w:rPr>
        <w:t>’</w:t>
      </w:r>
      <w:r w:rsidRPr="00735E6E">
        <w:rPr>
          <w:lang w:eastAsia="en-US"/>
        </w:rPr>
        <w:t>il y ait suspension de la prescription, la décision sur le caractère abusif de l</w:t>
      </w:r>
      <w:r>
        <w:rPr>
          <w:lang w:eastAsia="en-US"/>
        </w:rPr>
        <w:t>’</w:t>
      </w:r>
      <w:r w:rsidRPr="00735E6E">
        <w:rPr>
          <w:lang w:eastAsia="en-US"/>
        </w:rPr>
        <w:t>arrestation des appelants doit avoir une importance capitale dans le cadre de leur procès pénal. Le cas échéant, cela peut mener à un arrêt des procédures contre les appelants; les appelants soutiennent qu</w:t>
      </w:r>
      <w:r>
        <w:rPr>
          <w:lang w:eastAsia="en-US"/>
        </w:rPr>
        <w:t>’</w:t>
      </w:r>
      <w:r w:rsidRPr="00735E6E">
        <w:rPr>
          <w:lang w:eastAsia="en-US"/>
        </w:rPr>
        <w:t>ils se trouvaient dans une telle situation en raison de la gravité des manquements commis par les agents du service police de l</w:t>
      </w:r>
      <w:r>
        <w:rPr>
          <w:lang w:eastAsia="en-US"/>
        </w:rPr>
        <w:t>’</w:t>
      </w:r>
      <w:r w:rsidRPr="00735E6E">
        <w:rPr>
          <w:lang w:eastAsia="en-US"/>
        </w:rPr>
        <w:t>intimée.</w:t>
      </w:r>
    </w:p>
    <w:p w14:paraId="63AC73C4" w14:textId="64F2B60C" w:rsidR="00CF2D61" w:rsidRPr="00735E6E" w:rsidRDefault="00CF2D61" w:rsidP="00CF2D61">
      <w:pPr>
        <w:pStyle w:val="Paragraphe"/>
        <w:rPr>
          <w:lang w:eastAsia="en-US"/>
        </w:rPr>
      </w:pPr>
      <w:r w:rsidRPr="00735E6E">
        <w:rPr>
          <w:lang w:eastAsia="en-US"/>
        </w:rPr>
        <w:t xml:space="preserve">En somme, selon les appelants, la prescription de leur recours civil ne pouvait commencer à courir avant que jugement ne soit rendu sur la requête sous le paragraphe 24(1) de la </w:t>
      </w:r>
      <w:r w:rsidRPr="00735E6E">
        <w:rPr>
          <w:i/>
          <w:iCs/>
          <w:lang w:eastAsia="en-US"/>
        </w:rPr>
        <w:t>Charte</w:t>
      </w:r>
      <w:r w:rsidRPr="00735E6E">
        <w:rPr>
          <w:lang w:eastAsia="en-US"/>
        </w:rPr>
        <w:t xml:space="preserve"> qu</w:t>
      </w:r>
      <w:r>
        <w:rPr>
          <w:lang w:eastAsia="en-US"/>
        </w:rPr>
        <w:t>’</w:t>
      </w:r>
      <w:r w:rsidRPr="00735E6E">
        <w:rPr>
          <w:lang w:eastAsia="en-US"/>
        </w:rPr>
        <w:t>ils envisageaient de produire devant la Cour municipale</w:t>
      </w:r>
      <w:r>
        <w:rPr>
          <w:lang w:eastAsia="en-US"/>
        </w:rPr>
        <w:t>,</w:t>
      </w:r>
      <w:r w:rsidRPr="00735E6E">
        <w:rPr>
          <w:lang w:eastAsia="en-US"/>
        </w:rPr>
        <w:t xml:space="preserve"> mais qui ne l</w:t>
      </w:r>
      <w:r>
        <w:rPr>
          <w:lang w:eastAsia="en-US"/>
        </w:rPr>
        <w:t>’</w:t>
      </w:r>
      <w:r w:rsidRPr="00735E6E">
        <w:rPr>
          <w:lang w:eastAsia="en-US"/>
        </w:rPr>
        <w:t>a jamais été.</w:t>
      </w:r>
    </w:p>
    <w:p w14:paraId="69E21C23" w14:textId="667EF741" w:rsidR="00CF2D61" w:rsidRPr="00735E6E" w:rsidRDefault="00CF2D61" w:rsidP="00CF2D61">
      <w:pPr>
        <w:pStyle w:val="Paragraphe"/>
        <w:rPr>
          <w:lang w:eastAsia="en-US"/>
        </w:rPr>
      </w:pPr>
      <w:r w:rsidRPr="00735E6E">
        <w:rPr>
          <w:lang w:eastAsia="en-US"/>
        </w:rPr>
        <w:t>Cet argument des appelants s</w:t>
      </w:r>
      <w:r>
        <w:rPr>
          <w:lang w:eastAsia="en-US"/>
        </w:rPr>
        <w:t>’</w:t>
      </w:r>
      <w:r w:rsidRPr="00735E6E">
        <w:rPr>
          <w:lang w:eastAsia="en-US"/>
        </w:rPr>
        <w:t>appuie sur de fausses prémisses, soit qu</w:t>
      </w:r>
      <w:r>
        <w:rPr>
          <w:lang w:eastAsia="en-US"/>
        </w:rPr>
        <w:t>’</w:t>
      </w:r>
      <w:r w:rsidRPr="00735E6E">
        <w:rPr>
          <w:lang w:eastAsia="en-US"/>
        </w:rPr>
        <w:t>il était nécessaire, avant qu</w:t>
      </w:r>
      <w:r>
        <w:rPr>
          <w:lang w:eastAsia="en-US"/>
        </w:rPr>
        <w:t>’</w:t>
      </w:r>
      <w:r w:rsidRPr="00735E6E">
        <w:rPr>
          <w:lang w:eastAsia="en-US"/>
        </w:rPr>
        <w:t>ils prennent action au civil, que la Cour municipale détermine s</w:t>
      </w:r>
      <w:r>
        <w:rPr>
          <w:lang w:eastAsia="en-US"/>
        </w:rPr>
        <w:t>’</w:t>
      </w:r>
      <w:r w:rsidRPr="00735E6E">
        <w:rPr>
          <w:lang w:eastAsia="en-US"/>
        </w:rPr>
        <w:t>ils avaient ou non commis l</w:t>
      </w:r>
      <w:r>
        <w:rPr>
          <w:lang w:eastAsia="en-US"/>
        </w:rPr>
        <w:t>’</w:t>
      </w:r>
      <w:r w:rsidRPr="00735E6E">
        <w:rPr>
          <w:lang w:eastAsia="en-US"/>
        </w:rPr>
        <w:t>infraction qui leur était reprochée et qu</w:t>
      </w:r>
      <w:r>
        <w:rPr>
          <w:lang w:eastAsia="en-US"/>
        </w:rPr>
        <w:t>’</w:t>
      </w:r>
      <w:r w:rsidRPr="00735E6E">
        <w:rPr>
          <w:lang w:eastAsia="en-US"/>
        </w:rPr>
        <w:t xml:space="preserve">elle statue sur le caractère abusif ou non de leur arrestation. </w:t>
      </w:r>
    </w:p>
    <w:p w14:paraId="225E672C" w14:textId="300CF7AF" w:rsidR="00CF2D61" w:rsidRPr="00735E6E" w:rsidRDefault="00CF2D61" w:rsidP="00CF2D61">
      <w:pPr>
        <w:pStyle w:val="Paragraphe"/>
        <w:keepNext/>
        <w:rPr>
          <w:lang w:eastAsia="fr-CA"/>
        </w:rPr>
      </w:pPr>
      <w:r w:rsidRPr="00735E6E">
        <w:rPr>
          <w:lang w:eastAsia="fr-CA"/>
        </w:rPr>
        <w:t>Un argument identique a été mis de côté dans l</w:t>
      </w:r>
      <w:r>
        <w:rPr>
          <w:lang w:eastAsia="fr-CA"/>
        </w:rPr>
        <w:t>’</w:t>
      </w:r>
      <w:r w:rsidRPr="00735E6E">
        <w:rPr>
          <w:lang w:eastAsia="fr-CA"/>
        </w:rPr>
        <w:t xml:space="preserve">arrêt de la Cour rendu dans </w:t>
      </w:r>
      <w:r w:rsidRPr="00735E6E">
        <w:rPr>
          <w:i/>
          <w:iCs/>
          <w:lang w:eastAsia="fr-CA"/>
        </w:rPr>
        <w:t>Moscowitz</w:t>
      </w:r>
      <w:r w:rsidRPr="00735E6E">
        <w:rPr>
          <w:lang w:eastAsia="fr-CA"/>
        </w:rPr>
        <w:t xml:space="preserve"> c. </w:t>
      </w:r>
      <w:r w:rsidRPr="00735E6E">
        <w:rPr>
          <w:i/>
          <w:iCs/>
          <w:lang w:eastAsia="fr-CA"/>
        </w:rPr>
        <w:t>Procureure générale du Québec</w:t>
      </w:r>
      <w:r w:rsidRPr="00735E6E">
        <w:rPr>
          <w:rStyle w:val="Appelnotedebasdep"/>
          <w:lang w:eastAsia="fr-CA"/>
        </w:rPr>
        <w:footnoteReference w:id="42"/>
      </w:r>
      <w:r w:rsidRPr="00735E6E">
        <w:rPr>
          <w:lang w:eastAsia="fr-CA"/>
        </w:rPr>
        <w:t xml:space="preserve"> sous la plume du juge Mainville :</w:t>
      </w:r>
    </w:p>
    <w:p w14:paraId="1AA8D183" w14:textId="3D5CBD04" w:rsidR="00CF2D61" w:rsidRPr="00735E6E" w:rsidRDefault="00CF2D61" w:rsidP="00CF2D61">
      <w:pPr>
        <w:pStyle w:val="Citationenretrait"/>
        <w:keepNext/>
      </w:pPr>
      <w:r w:rsidRPr="00735E6E">
        <w:t>[</w:t>
      </w:r>
      <w:bookmarkStart w:id="29" w:name="par43"/>
      <w:r w:rsidRPr="00735E6E">
        <w:t>43</w:t>
      </w:r>
      <w:bookmarkEnd w:id="29"/>
      <w:r w:rsidRPr="00735E6E">
        <w:t>]</w:t>
      </w:r>
      <w:r w:rsidRPr="00735E6E">
        <w:tab/>
      </w:r>
      <w:r w:rsidRPr="00735E6E">
        <w:rPr>
          <w:u w:val="single"/>
        </w:rPr>
        <w:t>Il faut ainsi distinguer la question de la responsabilité civile délictuelle découlant d</w:t>
      </w:r>
      <w:r>
        <w:rPr>
          <w:u w:val="single"/>
        </w:rPr>
        <w:t>’</w:t>
      </w:r>
      <w:r w:rsidRPr="00735E6E">
        <w:rPr>
          <w:u w:val="single"/>
        </w:rPr>
        <w:t>une arrestation ou d</w:t>
      </w:r>
      <w:r>
        <w:rPr>
          <w:u w:val="single"/>
        </w:rPr>
        <w:t>’</w:t>
      </w:r>
      <w:r w:rsidRPr="00735E6E">
        <w:rPr>
          <w:u w:val="single"/>
        </w:rPr>
        <w:t>une détention abusive de celle de la culpabilité pénale ou criminelle subséquente du détenu</w:t>
      </w:r>
      <w:r w:rsidRPr="00735E6E">
        <w:t>. Si le comportement fautif des policiers est la cause de dommages, par exemple si le détenu est malmené physiquement, fait l</w:t>
      </w:r>
      <w:r>
        <w:t>’</w:t>
      </w:r>
      <w:r w:rsidRPr="00735E6E">
        <w:t xml:space="preserve">objet de sévices ou si </w:t>
      </w:r>
      <w:r w:rsidRPr="00735E6E">
        <w:rPr>
          <w:u w:val="single"/>
        </w:rPr>
        <w:t>son arrestation ou sa détention est illégale</w:t>
      </w:r>
      <w:r w:rsidRPr="00735E6E">
        <w:t>, la déclaration de culpabilité subséquente à l</w:t>
      </w:r>
      <w:r>
        <w:t>’</w:t>
      </w:r>
      <w:r w:rsidRPr="00735E6E">
        <w:t>égard de l</w:t>
      </w:r>
      <w:r>
        <w:t>’</w:t>
      </w:r>
      <w:r w:rsidRPr="00735E6E">
        <w:t>infraction ayant mené à l</w:t>
      </w:r>
      <w:r>
        <w:t>’</w:t>
      </w:r>
      <w:r w:rsidRPr="00735E6E">
        <w:t>arrestation et la détention ne justifie ni n</w:t>
      </w:r>
      <w:r>
        <w:t>’</w:t>
      </w:r>
      <w:r w:rsidRPr="00735E6E">
        <w:t>excuse les comportements fautifs des policiers dans le cadre de cette arrestation ou de cette détention. Des dommages-intérêts peuvent donc être réclamés et accordés pour une arrestation ou une détention fautive même si celui qui les réclame est subséquemment reconnu coupable de l</w:t>
      </w:r>
      <w:r>
        <w:t>’</w:t>
      </w:r>
      <w:r w:rsidRPr="00735E6E">
        <w:t>infraction ayant mené à l</w:t>
      </w:r>
      <w:r>
        <w:t>’</w:t>
      </w:r>
      <w:r w:rsidRPr="00735E6E">
        <w:t>arrestation ou la détention.</w:t>
      </w:r>
    </w:p>
    <w:p w14:paraId="597A4FDA" w14:textId="77777777" w:rsidR="00CF2D61" w:rsidRPr="00735E6E" w:rsidRDefault="00CF2D61" w:rsidP="00CF2D61">
      <w:pPr>
        <w:pStyle w:val="Citationenretrait"/>
        <w:keepNext/>
        <w:spacing w:before="0"/>
        <w:jc w:val="right"/>
      </w:pPr>
      <w:r w:rsidRPr="00735E6E">
        <w:t>[Soulignement ajouté; renvoi omis]</w:t>
      </w:r>
    </w:p>
    <w:p w14:paraId="4456400D" w14:textId="65C3673B" w:rsidR="00CF2D61" w:rsidRPr="00735E6E" w:rsidRDefault="00CF2D61" w:rsidP="00CF2D61">
      <w:pPr>
        <w:pStyle w:val="Paragraphe"/>
        <w:rPr>
          <w:lang w:val="fr-FR" w:eastAsia="en-US"/>
        </w:rPr>
      </w:pPr>
      <w:r w:rsidRPr="00735E6E">
        <w:t>En l</w:t>
      </w:r>
      <w:r>
        <w:t>’</w:t>
      </w:r>
      <w:r w:rsidRPr="00735E6E">
        <w:t>espèce, les membres avaient tout en main, une fois relâchés, pour poursuivre la Ville de Québec. Ils connaissaient la façon dont on avait procédé à leur arrestation et les modalités de leur détention, ils considéraient en avoir subi un préjudice et avaient conscience de la violation alléguée de leurs droits constitutionnels</w:t>
      </w:r>
      <w:r w:rsidRPr="00735E6E">
        <w:rPr>
          <w:rStyle w:val="Appelnotedebasdep"/>
        </w:rPr>
        <w:footnoteReference w:id="43"/>
      </w:r>
      <w:r w:rsidRPr="00735E6E">
        <w:t>. C</w:t>
      </w:r>
      <w:r>
        <w:t>’</w:t>
      </w:r>
      <w:r w:rsidRPr="00735E6E">
        <w:t>est à compter de ce moment que la prescription de six mois a commencé à courir. Le sort qu</w:t>
      </w:r>
      <w:r>
        <w:t>’</w:t>
      </w:r>
      <w:r w:rsidRPr="00735E6E">
        <w:t>allait connaître le constat d</w:t>
      </w:r>
      <w:r>
        <w:t>’</w:t>
      </w:r>
      <w:r w:rsidRPr="00735E6E">
        <w:t>infraction qu</w:t>
      </w:r>
      <w:r>
        <w:t>’</w:t>
      </w:r>
      <w:r w:rsidRPr="00735E6E">
        <w:t>ils ont reçu n</w:t>
      </w:r>
      <w:r>
        <w:t>’</w:t>
      </w:r>
      <w:r w:rsidRPr="00735E6E">
        <w:t>y aurait rien changé.</w:t>
      </w:r>
    </w:p>
    <w:p w14:paraId="3BE4151B" w14:textId="032E34DA" w:rsidR="00CF2D61" w:rsidRPr="00735E6E" w:rsidRDefault="00CF2D61" w:rsidP="00CF2D61">
      <w:pPr>
        <w:pStyle w:val="Paragraphe"/>
        <w:rPr>
          <w:lang w:val="fr-FR" w:eastAsia="en-US"/>
        </w:rPr>
      </w:pPr>
      <w:r w:rsidRPr="00735E6E">
        <w:rPr>
          <w:lang w:val="fr-FR" w:eastAsia="en-US"/>
        </w:rPr>
        <w:t>C</w:t>
      </w:r>
      <w:r>
        <w:rPr>
          <w:lang w:val="fr-FR" w:eastAsia="en-US"/>
        </w:rPr>
        <w:t>’</w:t>
      </w:r>
      <w:r w:rsidRPr="00735E6E">
        <w:rPr>
          <w:lang w:val="fr-FR" w:eastAsia="en-US"/>
        </w:rPr>
        <w:t>est d</w:t>
      </w:r>
      <w:r>
        <w:rPr>
          <w:lang w:val="fr-FR" w:eastAsia="en-US"/>
        </w:rPr>
        <w:t>’</w:t>
      </w:r>
      <w:r w:rsidRPr="00735E6E">
        <w:rPr>
          <w:lang w:val="fr-FR" w:eastAsia="en-US"/>
        </w:rPr>
        <w:t>ailleurs ainsi que la Cour a tranché dans l</w:t>
      </w:r>
      <w:r>
        <w:rPr>
          <w:lang w:val="fr-FR" w:eastAsia="en-US"/>
        </w:rPr>
        <w:t>’</w:t>
      </w:r>
      <w:r w:rsidRPr="00735E6E">
        <w:rPr>
          <w:lang w:val="fr-FR" w:eastAsia="en-US"/>
        </w:rPr>
        <w:t xml:space="preserve">arrêt </w:t>
      </w:r>
      <w:r w:rsidRPr="00735E6E">
        <w:rPr>
          <w:i/>
          <w:iCs/>
        </w:rPr>
        <w:t>Engler-Stringer c. Ville de Montréal</w:t>
      </w:r>
      <w:r w:rsidRPr="00735E6E">
        <w:rPr>
          <w:rStyle w:val="Appelnotedebasdep"/>
        </w:rPr>
        <w:footnoteReference w:id="44"/>
      </w:r>
      <w:r w:rsidRPr="00735E6E">
        <w:rPr>
          <w:i/>
          <w:iCs/>
        </w:rPr>
        <w:t xml:space="preserve"> </w:t>
      </w:r>
      <w:r w:rsidRPr="00735E6E">
        <w:t>qui présente de grandes similitudes avec le cas à l</w:t>
      </w:r>
      <w:r>
        <w:t>’</w:t>
      </w:r>
      <w:r w:rsidRPr="00735E6E">
        <w:t>étude. Dans ses motifs unanimes, la juge Thibault écrit :</w:t>
      </w:r>
    </w:p>
    <w:p w14:paraId="380A733E" w14:textId="01232F1C" w:rsidR="00CF2D61" w:rsidRPr="00735E6E" w:rsidRDefault="00CF2D61" w:rsidP="00CF2D61">
      <w:pPr>
        <w:pStyle w:val="Citationenretrait"/>
        <w:rPr>
          <w:lang w:val="fr-FR" w:eastAsia="en-US"/>
        </w:rPr>
      </w:pPr>
      <w:r w:rsidRPr="00735E6E">
        <w:t>[</w:t>
      </w:r>
      <w:bookmarkStart w:id="30" w:name="par44"/>
      <w:r w:rsidRPr="00735E6E">
        <w:t>44</w:t>
      </w:r>
      <w:bookmarkEnd w:id="30"/>
      <w:r w:rsidRPr="00735E6E">
        <w:t>]</w:t>
      </w:r>
      <w:r w:rsidRPr="00735E6E">
        <w:rPr>
          <w:sz w:val="14"/>
          <w:szCs w:val="14"/>
        </w:rPr>
        <w:tab/>
      </w:r>
      <w:r w:rsidRPr="00735E6E">
        <w:t>L</w:t>
      </w:r>
      <w:r>
        <w:t>’</w:t>
      </w:r>
      <w:r w:rsidRPr="00735E6E">
        <w:t>analyse de la procédure introductive d</w:t>
      </w:r>
      <w:r>
        <w:t>’</w:t>
      </w:r>
      <w:r w:rsidRPr="00735E6E">
        <w:t>instance montre que le recours en dommages et intérêts fondé sur l</w:t>
      </w:r>
      <w:r>
        <w:t>’</w:t>
      </w:r>
      <w:r w:rsidRPr="00735E6E">
        <w:t>arrestation et la détention abusives reproche aux policiers d</w:t>
      </w:r>
      <w:r>
        <w:t>’</w:t>
      </w:r>
      <w:r w:rsidRPr="00735E6E">
        <w:t>avoir traité l</w:t>
      </w:r>
      <w:r>
        <w:t>’</w:t>
      </w:r>
      <w:r w:rsidRPr="00735E6E">
        <w:t>appelante de façon incorrecte lors de son arrestation, de lui avoir imposé des conditions de détention inacceptables et de l</w:t>
      </w:r>
      <w:r>
        <w:t>’</w:t>
      </w:r>
      <w:r w:rsidRPr="00735E6E">
        <w:t>avoir détenue pendant une période injustifiée. L</w:t>
      </w:r>
      <w:r>
        <w:t>’</w:t>
      </w:r>
      <w:r w:rsidRPr="00735E6E">
        <w:t>appelante connaissait, dès leur survenance, tous les faits nécessaires pour intenter son recours. L</w:t>
      </w:r>
      <w:r>
        <w:t>’</w:t>
      </w:r>
      <w:r w:rsidRPr="00735E6E">
        <w:t>issue des procédures criminelles n</w:t>
      </w:r>
      <w:r>
        <w:t>’</w:t>
      </w:r>
      <w:r w:rsidRPr="00735E6E">
        <w:t>était pas susceptible d</w:t>
      </w:r>
      <w:r>
        <w:t>’</w:t>
      </w:r>
      <w:r w:rsidRPr="00735E6E">
        <w:t>y changer quelque chose, ni d</w:t>
      </w:r>
      <w:r>
        <w:t>’</w:t>
      </w:r>
      <w:r w:rsidRPr="00735E6E">
        <w:t>apporter un éclairage différent. Par voie de conséquence, le point de départ de la prescription du recours civil relié à son arrestation et à sa détention abusives court à compter de la connaissance des faits, soit le 29 juillet 2003.</w:t>
      </w:r>
    </w:p>
    <w:p w14:paraId="03F3E17A" w14:textId="5E12FD68" w:rsidR="00CF2D61" w:rsidRPr="00735E6E" w:rsidRDefault="00CF2D61" w:rsidP="00CF2D61">
      <w:pPr>
        <w:pStyle w:val="Paragraphe"/>
        <w:rPr>
          <w:lang w:val="fr-FR" w:eastAsia="en-US"/>
        </w:rPr>
      </w:pPr>
      <w:r w:rsidRPr="00735E6E">
        <w:rPr>
          <w:lang w:val="fr-FR" w:eastAsia="en-US"/>
        </w:rPr>
        <w:t>En d</w:t>
      </w:r>
      <w:r>
        <w:rPr>
          <w:lang w:val="fr-FR" w:eastAsia="en-US"/>
        </w:rPr>
        <w:t>’</w:t>
      </w:r>
      <w:r w:rsidRPr="00735E6E">
        <w:rPr>
          <w:lang w:val="fr-FR" w:eastAsia="en-US"/>
        </w:rPr>
        <w:t xml:space="preserve">autres mots et pour paraphraser le juge Rochon dans </w:t>
      </w:r>
      <w:r w:rsidRPr="00735E6E">
        <w:rPr>
          <w:i/>
          <w:iCs/>
          <w:lang w:val="fr-FR" w:eastAsia="en-US"/>
        </w:rPr>
        <w:t>Popovic</w:t>
      </w:r>
      <w:r w:rsidRPr="00735E6E">
        <w:rPr>
          <w:rStyle w:val="Appelnotedebasdep"/>
          <w:rFonts w:cs="Arial"/>
          <w:color w:val="000000"/>
        </w:rPr>
        <w:footnoteReference w:id="45"/>
      </w:r>
      <w:r w:rsidRPr="00735E6E">
        <w:rPr>
          <w:lang w:val="fr-FR" w:eastAsia="en-US"/>
        </w:rPr>
        <w:t xml:space="preserve">, </w:t>
      </w:r>
      <w:r w:rsidRPr="00735E6E">
        <w:rPr>
          <w:rFonts w:cs="Arial"/>
          <w:color w:val="000000"/>
        </w:rPr>
        <w:t xml:space="preserve">les appelants ne démontrent pas la </w:t>
      </w:r>
      <w:r w:rsidRPr="00510F98">
        <w:rPr>
          <w:rFonts w:cs="Arial"/>
          <w:color w:val="000000"/>
          <w:u w:val="single"/>
        </w:rPr>
        <w:t>nécessité</w:t>
      </w:r>
      <w:r w:rsidRPr="00735E6E">
        <w:rPr>
          <w:rFonts w:cs="Arial"/>
          <w:color w:val="000000"/>
        </w:rPr>
        <w:t xml:space="preserve"> d</w:t>
      </w:r>
      <w:r>
        <w:rPr>
          <w:rFonts w:cs="Arial"/>
          <w:color w:val="000000"/>
        </w:rPr>
        <w:t>’</w:t>
      </w:r>
      <w:r w:rsidRPr="00735E6E">
        <w:rPr>
          <w:rFonts w:cs="Arial"/>
          <w:color w:val="000000"/>
        </w:rPr>
        <w:t>un jugement sur les constats d</w:t>
      </w:r>
      <w:r>
        <w:rPr>
          <w:rFonts w:cs="Arial"/>
          <w:color w:val="000000"/>
        </w:rPr>
        <w:t>’</w:t>
      </w:r>
      <w:r w:rsidRPr="00735E6E">
        <w:rPr>
          <w:rFonts w:cs="Arial"/>
          <w:color w:val="000000"/>
        </w:rPr>
        <w:t>infraction « pour précisément trancher de l</w:t>
      </w:r>
      <w:r>
        <w:rPr>
          <w:rFonts w:cs="Arial"/>
          <w:color w:val="000000"/>
        </w:rPr>
        <w:t>’</w:t>
      </w:r>
      <w:r w:rsidRPr="00735E6E">
        <w:rPr>
          <w:rFonts w:cs="Arial"/>
          <w:color w:val="000000"/>
        </w:rPr>
        <w:t>abus ».</w:t>
      </w:r>
    </w:p>
    <w:p w14:paraId="3E1DB187" w14:textId="27B84597" w:rsidR="00CF2D61" w:rsidRPr="00735E6E" w:rsidRDefault="00CF2D61" w:rsidP="00CF2D61">
      <w:pPr>
        <w:pStyle w:val="Paragraphe"/>
        <w:rPr>
          <w:lang w:val="fr-FR" w:eastAsia="en-US"/>
        </w:rPr>
      </w:pPr>
      <w:r w:rsidRPr="00735E6E">
        <w:rPr>
          <w:lang w:val="fr-FR" w:eastAsia="en-US"/>
        </w:rPr>
        <w:t>Les appelants ne sauraient non plus invoquer, pour justifier la suspension de la prescription, le risque de jugements contradictoires entre</w:t>
      </w:r>
      <w:r>
        <w:rPr>
          <w:lang w:val="fr-FR" w:eastAsia="en-US"/>
        </w:rPr>
        <w:t>,</w:t>
      </w:r>
      <w:r w:rsidRPr="00735E6E">
        <w:rPr>
          <w:lang w:val="fr-FR" w:eastAsia="en-US"/>
        </w:rPr>
        <w:t xml:space="preserve"> d</w:t>
      </w:r>
      <w:r>
        <w:rPr>
          <w:lang w:val="fr-FR" w:eastAsia="en-US"/>
        </w:rPr>
        <w:t>’</w:t>
      </w:r>
      <w:r w:rsidRPr="00735E6E">
        <w:rPr>
          <w:lang w:val="fr-FR" w:eastAsia="en-US"/>
        </w:rPr>
        <w:t>une part, un éventuel jugement de la Cour municipale statuant sur une requête en arrêt des procédures et</w:t>
      </w:r>
      <w:r>
        <w:rPr>
          <w:lang w:val="fr-FR" w:eastAsia="en-US"/>
        </w:rPr>
        <w:t>,</w:t>
      </w:r>
      <w:r w:rsidRPr="00735E6E">
        <w:rPr>
          <w:lang w:val="fr-FR" w:eastAsia="en-US"/>
        </w:rPr>
        <w:t xml:space="preserve"> d</w:t>
      </w:r>
      <w:r>
        <w:rPr>
          <w:lang w:val="fr-FR" w:eastAsia="en-US"/>
        </w:rPr>
        <w:t>’</w:t>
      </w:r>
      <w:r w:rsidRPr="00735E6E">
        <w:rPr>
          <w:lang w:val="fr-FR" w:eastAsia="en-US"/>
        </w:rPr>
        <w:t>autre part, le jugement à être rendu dans le cadre de leurs procédures civiles. La règle prétorienne sur laquelle ils s</w:t>
      </w:r>
      <w:r>
        <w:rPr>
          <w:lang w:val="fr-FR" w:eastAsia="en-US"/>
        </w:rPr>
        <w:t>’</w:t>
      </w:r>
      <w:r w:rsidRPr="00735E6E">
        <w:rPr>
          <w:lang w:val="fr-FR" w:eastAsia="en-US"/>
        </w:rPr>
        <w:t>appuient ne s</w:t>
      </w:r>
      <w:r>
        <w:rPr>
          <w:lang w:val="fr-FR" w:eastAsia="en-US"/>
        </w:rPr>
        <w:t>’</w:t>
      </w:r>
      <w:r w:rsidRPr="00735E6E">
        <w:rPr>
          <w:lang w:val="fr-FR" w:eastAsia="en-US"/>
        </w:rPr>
        <w:t>applique que lorsque le sort de la seconde instance est tributaire de celui de la première ou, en d</w:t>
      </w:r>
      <w:r>
        <w:rPr>
          <w:lang w:val="fr-FR" w:eastAsia="en-US"/>
        </w:rPr>
        <w:t>’</w:t>
      </w:r>
      <w:r w:rsidRPr="00735E6E">
        <w:rPr>
          <w:lang w:val="fr-FR" w:eastAsia="en-US"/>
        </w:rPr>
        <w:t>autres mots, quand l</w:t>
      </w:r>
      <w:r>
        <w:rPr>
          <w:lang w:val="fr-FR" w:eastAsia="en-US"/>
        </w:rPr>
        <w:t>’</w:t>
      </w:r>
      <w:r w:rsidRPr="00735E6E">
        <w:rPr>
          <w:lang w:val="fr-FR" w:eastAsia="en-US"/>
        </w:rPr>
        <w:t>issue de l</w:t>
      </w:r>
      <w:r>
        <w:rPr>
          <w:lang w:val="fr-FR" w:eastAsia="en-US"/>
        </w:rPr>
        <w:t>’</w:t>
      </w:r>
      <w:r w:rsidRPr="00735E6E">
        <w:rPr>
          <w:lang w:val="fr-FR" w:eastAsia="en-US"/>
        </w:rPr>
        <w:t>une est la prémisse essentielle de l</w:t>
      </w:r>
      <w:r>
        <w:rPr>
          <w:lang w:val="fr-FR" w:eastAsia="en-US"/>
        </w:rPr>
        <w:t>’</w:t>
      </w:r>
      <w:r w:rsidRPr="00735E6E">
        <w:rPr>
          <w:lang w:val="fr-FR" w:eastAsia="en-US"/>
        </w:rPr>
        <w:t>autre, ce qui n</w:t>
      </w:r>
      <w:r>
        <w:rPr>
          <w:lang w:val="fr-FR" w:eastAsia="en-US"/>
        </w:rPr>
        <w:t>’</w:t>
      </w:r>
      <w:r w:rsidRPr="00735E6E">
        <w:rPr>
          <w:lang w:val="fr-FR" w:eastAsia="en-US"/>
        </w:rPr>
        <w:t>était pas le cas en l</w:t>
      </w:r>
      <w:r>
        <w:rPr>
          <w:lang w:val="fr-FR" w:eastAsia="en-US"/>
        </w:rPr>
        <w:t>’</w:t>
      </w:r>
      <w:r w:rsidRPr="00735E6E">
        <w:rPr>
          <w:lang w:val="fr-FR" w:eastAsia="en-US"/>
        </w:rPr>
        <w:t>espèce. Ce qu</w:t>
      </w:r>
      <w:r>
        <w:rPr>
          <w:lang w:val="fr-FR" w:eastAsia="en-US"/>
        </w:rPr>
        <w:t>’</w:t>
      </w:r>
      <w:r w:rsidRPr="00735E6E">
        <w:rPr>
          <w:lang w:val="fr-FR" w:eastAsia="en-US"/>
        </w:rPr>
        <w:t>ils proposent est plutôt ceci : parce qu</w:t>
      </w:r>
      <w:r>
        <w:rPr>
          <w:lang w:val="fr-FR" w:eastAsia="en-US"/>
        </w:rPr>
        <w:t>’</w:t>
      </w:r>
      <w:r w:rsidRPr="00735E6E">
        <w:rPr>
          <w:lang w:val="fr-FR" w:eastAsia="en-US"/>
        </w:rPr>
        <w:t>ils auraient eu la possibilité de solliciter devant l</w:t>
      </w:r>
      <w:r>
        <w:rPr>
          <w:lang w:val="fr-FR" w:eastAsia="en-US"/>
        </w:rPr>
        <w:t>’</w:t>
      </w:r>
      <w:r w:rsidRPr="00735E6E">
        <w:rPr>
          <w:lang w:val="fr-FR" w:eastAsia="en-US"/>
        </w:rPr>
        <w:t>instance pénale une mesure réparatrice non pécuniaire en vertu de l</w:t>
      </w:r>
      <w:r>
        <w:rPr>
          <w:lang w:val="fr-FR" w:eastAsia="en-US"/>
        </w:rPr>
        <w:t>’</w:t>
      </w:r>
      <w:r w:rsidRPr="00735E6E">
        <w:rPr>
          <w:lang w:val="fr-FR" w:eastAsia="en-US"/>
        </w:rPr>
        <w:t xml:space="preserve">article 24(1) de la </w:t>
      </w:r>
      <w:r w:rsidRPr="00735E6E">
        <w:rPr>
          <w:i/>
          <w:iCs/>
          <w:lang w:val="fr-FR" w:eastAsia="en-US"/>
        </w:rPr>
        <w:t xml:space="preserve">Charte, </w:t>
      </w:r>
      <w:r w:rsidRPr="00735E6E">
        <w:rPr>
          <w:lang w:val="fr-FR" w:eastAsia="en-US"/>
        </w:rPr>
        <w:t>laquelle n</w:t>
      </w:r>
      <w:r>
        <w:rPr>
          <w:lang w:val="fr-FR" w:eastAsia="en-US"/>
        </w:rPr>
        <w:t>’</w:t>
      </w:r>
      <w:r w:rsidRPr="00735E6E">
        <w:rPr>
          <w:lang w:val="fr-FR" w:eastAsia="en-US"/>
        </w:rPr>
        <w:t>a finalement jamais été demandée, la prescription de leur recours civil fondé sur l</w:t>
      </w:r>
      <w:r>
        <w:rPr>
          <w:lang w:val="fr-FR" w:eastAsia="en-US"/>
        </w:rPr>
        <w:t>’</w:t>
      </w:r>
      <w:r w:rsidRPr="00735E6E">
        <w:rPr>
          <w:lang w:val="fr-FR" w:eastAsia="en-US"/>
        </w:rPr>
        <w:t xml:space="preserve">article 1457 </w:t>
      </w:r>
      <w:r w:rsidRPr="00735E6E">
        <w:rPr>
          <w:i/>
          <w:iCs/>
          <w:lang w:val="fr-FR" w:eastAsia="en-US"/>
        </w:rPr>
        <w:t>C.c.Q</w:t>
      </w:r>
      <w:r w:rsidRPr="00735E6E">
        <w:rPr>
          <w:lang w:val="fr-FR" w:eastAsia="en-US"/>
        </w:rPr>
        <w:t>.</w:t>
      </w:r>
      <w:r>
        <w:rPr>
          <w:lang w:val="fr-FR" w:eastAsia="en-US"/>
        </w:rPr>
        <w:t>,</w:t>
      </w:r>
      <w:r w:rsidRPr="00735E6E">
        <w:rPr>
          <w:lang w:val="fr-FR" w:eastAsia="en-US"/>
        </w:rPr>
        <w:t xml:space="preserve"> et ayant par ailleurs un tout autre objet, aurait été suspendue. Tel n</w:t>
      </w:r>
      <w:r>
        <w:rPr>
          <w:lang w:val="fr-FR" w:eastAsia="en-US"/>
        </w:rPr>
        <w:t>’</w:t>
      </w:r>
      <w:r w:rsidRPr="00735E6E">
        <w:rPr>
          <w:lang w:val="fr-FR" w:eastAsia="en-US"/>
        </w:rPr>
        <w:t>est pas le sens de la règle prétorienne que les appelants invoquent à leur profit. Au surplus, si tant est qu</w:t>
      </w:r>
      <w:r>
        <w:rPr>
          <w:lang w:val="fr-FR" w:eastAsia="en-US"/>
        </w:rPr>
        <w:t>’</w:t>
      </w:r>
      <w:r w:rsidRPr="00735E6E">
        <w:rPr>
          <w:lang w:val="fr-FR" w:eastAsia="en-US"/>
        </w:rPr>
        <w:t>il y ait eu risque de jugements contradictoires, la gestion de l</w:t>
      </w:r>
      <w:r>
        <w:rPr>
          <w:lang w:val="fr-FR" w:eastAsia="en-US"/>
        </w:rPr>
        <w:t>’</w:t>
      </w:r>
      <w:r w:rsidRPr="00735E6E">
        <w:rPr>
          <w:lang w:val="fr-FR" w:eastAsia="en-US"/>
        </w:rPr>
        <w:t xml:space="preserve">instance civile aurait facilement pu y obvier. </w:t>
      </w:r>
    </w:p>
    <w:p w14:paraId="14306854" w14:textId="5EFEB758" w:rsidR="00CF2D61" w:rsidRPr="009F10CC" w:rsidRDefault="00CF2D61" w:rsidP="00CF2D61">
      <w:pPr>
        <w:pStyle w:val="Paragraphe"/>
        <w:rPr>
          <w:lang w:eastAsia="ar-SA"/>
        </w:rPr>
      </w:pPr>
      <w:r>
        <w:rPr>
          <w:lang w:val="fr-FR" w:eastAsia="en-US"/>
        </w:rPr>
        <w:t xml:space="preserve">J’en conclus qu’il </w:t>
      </w:r>
      <w:r w:rsidRPr="00ED649A">
        <w:rPr>
          <w:lang w:val="fr-FR" w:eastAsia="en-US"/>
        </w:rPr>
        <w:t>n</w:t>
      </w:r>
      <w:r>
        <w:rPr>
          <w:lang w:val="fr-FR" w:eastAsia="en-US"/>
        </w:rPr>
        <w:t>’</w:t>
      </w:r>
      <w:r w:rsidRPr="00ED649A">
        <w:rPr>
          <w:lang w:val="fr-FR" w:eastAsia="en-US"/>
        </w:rPr>
        <w:t xml:space="preserve">y a donc pas eu </w:t>
      </w:r>
      <w:r>
        <w:rPr>
          <w:lang w:val="fr-FR" w:eastAsia="en-US"/>
        </w:rPr>
        <w:t xml:space="preserve">suspension de la </w:t>
      </w:r>
      <w:r w:rsidRPr="00ED649A">
        <w:rPr>
          <w:lang w:val="fr-FR" w:eastAsia="en-US"/>
        </w:rPr>
        <w:t>prescription du droit d</w:t>
      </w:r>
      <w:r>
        <w:rPr>
          <w:lang w:val="fr-FR" w:eastAsia="en-US"/>
        </w:rPr>
        <w:t>’</w:t>
      </w:r>
      <w:r w:rsidRPr="00ED649A">
        <w:rPr>
          <w:lang w:val="fr-FR" w:eastAsia="en-US"/>
        </w:rPr>
        <w:t xml:space="preserve">action des </w:t>
      </w:r>
      <w:r>
        <w:rPr>
          <w:lang w:val="fr-FR" w:eastAsia="en-US"/>
        </w:rPr>
        <w:t>appelants</w:t>
      </w:r>
      <w:r w:rsidRPr="00ED649A">
        <w:rPr>
          <w:lang w:val="fr-FR" w:eastAsia="en-US"/>
        </w:rPr>
        <w:t>, que celui-ci soit envisagé sous l</w:t>
      </w:r>
      <w:r>
        <w:rPr>
          <w:lang w:val="fr-FR" w:eastAsia="en-US"/>
        </w:rPr>
        <w:t>’</w:t>
      </w:r>
      <w:r w:rsidRPr="00ED649A">
        <w:rPr>
          <w:lang w:val="fr-FR" w:eastAsia="en-US"/>
        </w:rPr>
        <w:t>angle de l</w:t>
      </w:r>
      <w:r>
        <w:rPr>
          <w:lang w:val="fr-FR" w:eastAsia="en-US"/>
        </w:rPr>
        <w:t>’</w:t>
      </w:r>
      <w:r w:rsidRPr="00ED649A">
        <w:rPr>
          <w:lang w:val="fr-FR" w:eastAsia="en-US"/>
        </w:rPr>
        <w:t xml:space="preserve">article 1457 </w:t>
      </w:r>
      <w:r w:rsidRPr="00524011">
        <w:rPr>
          <w:i/>
          <w:iCs/>
          <w:lang w:val="fr-FR" w:eastAsia="en-US"/>
        </w:rPr>
        <w:t>C.c.Q</w:t>
      </w:r>
      <w:r w:rsidRPr="00ED649A">
        <w:rPr>
          <w:lang w:val="fr-FR" w:eastAsia="en-US"/>
        </w:rPr>
        <w:t xml:space="preserve">. ou du paragraphe 24(1) de la </w:t>
      </w:r>
      <w:r w:rsidRPr="00ED649A">
        <w:rPr>
          <w:i/>
          <w:iCs/>
          <w:lang w:val="fr-FR" w:eastAsia="en-US"/>
        </w:rPr>
        <w:t>Charte</w:t>
      </w:r>
      <w:r w:rsidRPr="00ED649A">
        <w:rPr>
          <w:lang w:val="fr-FR" w:eastAsia="en-US"/>
        </w:rPr>
        <w:t>.</w:t>
      </w:r>
    </w:p>
    <w:p w14:paraId="201F21A7" w14:textId="5856C136" w:rsidR="00CF2D61" w:rsidRPr="00B40200" w:rsidRDefault="00CF2D61" w:rsidP="00CF2D61">
      <w:pPr>
        <w:pStyle w:val="Paragraphe"/>
        <w:rPr>
          <w:lang w:val="fr-FR" w:eastAsia="en-US"/>
        </w:rPr>
      </w:pPr>
      <w:r>
        <w:t>Il y a donc lieu d’examiner le second moyen d’appel.</w:t>
      </w:r>
    </w:p>
    <w:p w14:paraId="655AD3EA" w14:textId="77F1AF74" w:rsidR="00CF2D61" w:rsidRDefault="00CF2D61" w:rsidP="00CF2D61">
      <w:pPr>
        <w:pStyle w:val="Titre9"/>
        <w:rPr>
          <w:iCs/>
          <w:sz w:val="24"/>
          <w:szCs w:val="24"/>
          <w:lang w:val="fr-FR" w:eastAsia="en-US"/>
        </w:rPr>
      </w:pPr>
      <w:r>
        <w:rPr>
          <w:sz w:val="24"/>
          <w:szCs w:val="24"/>
          <w:lang w:val="fr-FR" w:eastAsia="en-US"/>
        </w:rPr>
        <w:t>2</w:t>
      </w:r>
      <w:r w:rsidRPr="00146ABB">
        <w:rPr>
          <w:sz w:val="24"/>
          <w:szCs w:val="24"/>
          <w:vertAlign w:val="superscript"/>
          <w:lang w:val="fr-FR" w:eastAsia="en-US"/>
        </w:rPr>
        <w:t>e</w:t>
      </w:r>
      <w:r>
        <w:rPr>
          <w:sz w:val="24"/>
          <w:szCs w:val="24"/>
          <w:lang w:val="fr-FR" w:eastAsia="en-US"/>
        </w:rPr>
        <w:t xml:space="preserve"> moyen : l</w:t>
      </w:r>
      <w:r w:rsidRPr="009F1979">
        <w:rPr>
          <w:sz w:val="24"/>
          <w:szCs w:val="24"/>
          <w:lang w:val="fr-FR" w:eastAsia="en-US"/>
        </w:rPr>
        <w:t>a validité constitutionnelle de l</w:t>
      </w:r>
      <w:r>
        <w:rPr>
          <w:sz w:val="24"/>
          <w:szCs w:val="24"/>
          <w:lang w:val="fr-FR" w:eastAsia="en-US"/>
        </w:rPr>
        <w:t>’</w:t>
      </w:r>
      <w:r w:rsidRPr="009F1979">
        <w:rPr>
          <w:sz w:val="24"/>
          <w:szCs w:val="24"/>
          <w:lang w:val="fr-FR" w:eastAsia="en-US"/>
        </w:rPr>
        <w:t xml:space="preserve">article 586 </w:t>
      </w:r>
      <w:r w:rsidRPr="009F1979">
        <w:rPr>
          <w:iCs/>
          <w:sz w:val="24"/>
          <w:szCs w:val="24"/>
          <w:lang w:val="fr-FR" w:eastAsia="en-US"/>
        </w:rPr>
        <w:t>L.c.v.</w:t>
      </w:r>
    </w:p>
    <w:p w14:paraId="6880A673" w14:textId="77777777" w:rsidR="00CF2D61" w:rsidRPr="00335042" w:rsidRDefault="00CF2D61" w:rsidP="00CF2D61">
      <w:pPr>
        <w:pStyle w:val="Paragraphe"/>
        <w:rPr>
          <w:lang w:val="fr-FR" w:eastAsia="en-US"/>
        </w:rPr>
      </w:pPr>
      <w:r>
        <w:t>Pour débuter ce second volet, je tiens à souligner que le remède que recherchent les appelants est difficile à cerner.</w:t>
      </w:r>
    </w:p>
    <w:p w14:paraId="2A7E7FF1" w14:textId="27CFB221" w:rsidR="00CF2D61" w:rsidRPr="00335042" w:rsidRDefault="00CF2D61" w:rsidP="00CF2D61">
      <w:pPr>
        <w:pStyle w:val="Paragraphe"/>
        <w:rPr>
          <w:lang w:val="fr-FR" w:eastAsia="en-US"/>
        </w:rPr>
      </w:pPr>
      <w:r>
        <w:t xml:space="preserve">Comme je l’ai déjà indiqué, le jugement d’autorisation inclut dans la liste des questions à être traitées collectivement celle de la validité de l’article 586 </w:t>
      </w:r>
      <w:r w:rsidRPr="00D14C91">
        <w:rPr>
          <w:i/>
          <w:iCs/>
        </w:rPr>
        <w:t>L.</w:t>
      </w:r>
      <w:r>
        <w:rPr>
          <w:i/>
          <w:iCs/>
        </w:rPr>
        <w:t>c.v</w:t>
      </w:r>
      <w:r w:rsidRPr="00D14C91">
        <w:rPr>
          <w:i/>
          <w:iCs/>
        </w:rPr>
        <w:t>.</w:t>
      </w:r>
      <w:r>
        <w:t xml:space="preserve"> Les actions collectives font elles aussi état de cette question. Pourtant, aucune ne recherche de déclaration d’invalidité selon l’article 529(1) </w:t>
      </w:r>
      <w:r w:rsidRPr="00AA0992">
        <w:rPr>
          <w:i/>
          <w:iCs/>
        </w:rPr>
        <w:t>C.p.c.</w:t>
      </w:r>
      <w:r>
        <w:t>, les seules conclusions demandées étant pécuniaires. Il en va de même des conclusions énoncées dans le mémoire des appelants.</w:t>
      </w:r>
    </w:p>
    <w:p w14:paraId="51FF052F" w14:textId="6EF30A5B" w:rsidR="00CF2D61" w:rsidRPr="0065170D" w:rsidRDefault="00CF2D61" w:rsidP="00CF2D61">
      <w:pPr>
        <w:pStyle w:val="Paragraphe"/>
        <w:rPr>
          <w:lang w:val="fr-FR" w:eastAsia="en-US"/>
        </w:rPr>
      </w:pPr>
      <w:r>
        <w:t xml:space="preserve">Toutefois, dans chacun des trois dossiers réunis, un avis au Procureur général du Québec (« PGQ ») selon l’article 76 </w:t>
      </w:r>
      <w:r w:rsidRPr="009E2312">
        <w:rPr>
          <w:i/>
          <w:iCs/>
        </w:rPr>
        <w:t>C.p.c</w:t>
      </w:r>
      <w:r>
        <w:t xml:space="preserve">. a été produit. Tous les trois sont coiffés du titre </w:t>
      </w:r>
      <w:r w:rsidRPr="004C7E31">
        <w:rPr>
          <w:i/>
          <w:iCs/>
        </w:rPr>
        <w:t>Avis d</w:t>
      </w:r>
      <w:r>
        <w:rPr>
          <w:i/>
          <w:iCs/>
        </w:rPr>
        <w:t>’</w:t>
      </w:r>
      <w:r w:rsidRPr="004C7E31">
        <w:rPr>
          <w:i/>
          <w:iCs/>
        </w:rPr>
        <w:t>intention de soulever l</w:t>
      </w:r>
      <w:r>
        <w:rPr>
          <w:i/>
          <w:iCs/>
        </w:rPr>
        <w:t>’</w:t>
      </w:r>
      <w:r w:rsidRPr="004C7E31">
        <w:rPr>
          <w:i/>
          <w:iCs/>
        </w:rPr>
        <w:t>inconstitutionnalité de l</w:t>
      </w:r>
      <w:r>
        <w:rPr>
          <w:i/>
          <w:iCs/>
        </w:rPr>
        <w:t>’</w:t>
      </w:r>
      <w:r w:rsidRPr="004C7E31">
        <w:rPr>
          <w:i/>
          <w:iCs/>
        </w:rPr>
        <w:t>article 586 L.c.v</w:t>
      </w:r>
      <w:r w:rsidRPr="009E2312">
        <w:rPr>
          <w:i/>
          <w:iCs/>
        </w:rPr>
        <w:t>.</w:t>
      </w:r>
      <w:r>
        <w:rPr>
          <w:i/>
          <w:iCs/>
        </w:rPr>
        <w:t xml:space="preserve"> </w:t>
      </w:r>
      <w:r>
        <w:t xml:space="preserve">Les appelants allèguent avoir été victimes d’une violation intentionnelle, par les policiers municipaux à l’emploi de la Ville, de plusieurs de leurs droits protégés par la </w:t>
      </w:r>
      <w:r w:rsidRPr="009E2312">
        <w:rPr>
          <w:i/>
          <w:iCs/>
        </w:rPr>
        <w:t xml:space="preserve">Charte </w:t>
      </w:r>
      <w:r>
        <w:t xml:space="preserve">et la </w:t>
      </w:r>
      <w:r>
        <w:rPr>
          <w:i/>
          <w:iCs/>
        </w:rPr>
        <w:t xml:space="preserve">Charte </w:t>
      </w:r>
      <w:r w:rsidRPr="009E2312">
        <w:rPr>
          <w:i/>
          <w:iCs/>
        </w:rPr>
        <w:t>québécoise</w:t>
      </w:r>
      <w:r>
        <w:t xml:space="preserve">. Or, du fait « de la complexité du moyen procédural qu’est le recours collectif ainsi que du caractère intentionnel des faits reprochés à [la Ville] », la courte prescription de l’article 586 </w:t>
      </w:r>
      <w:r w:rsidRPr="004C7E31">
        <w:rPr>
          <w:i/>
          <w:iCs/>
        </w:rPr>
        <w:t>L.c.v.</w:t>
      </w:r>
      <w:r>
        <w:t xml:space="preserve"> aurait l’effet d’une immunité au bénéfice des policiers municipaux si elle leur était opposée. De plus, la reconnaissance de cette immunité serait arbitraire en ce que les policiers de la Sûreté du Québec et de la Gendarmerie royale du Canada n’en bénéficient pas alors qu’ils sont soumis au même cadre juridique que leurs vis-à-vis municipaux. De surcroît, cette immunité serait excessive en ce qu’elle priverait les appelants de la possibilité de se plaindre devant une instance judiciaire de la violation de plusieurs de leurs droits et libertés garantis par les Chartes, en l’occurrence ceux prévus à l’alinéa 2b) et aux articles 7, 9 et 10, aux al.11a) et 11b) et à l’article 15 de la </w:t>
      </w:r>
      <w:r w:rsidRPr="00BD7CBD">
        <w:rPr>
          <w:i/>
          <w:iCs/>
        </w:rPr>
        <w:t>Charte</w:t>
      </w:r>
      <w:r>
        <w:t xml:space="preserve"> ainsi qu’aux articles 1, 3, 4, 10, 24, 25, 28, 28.1, 29 et 32.1 de la </w:t>
      </w:r>
      <w:r w:rsidRPr="00BC3F27">
        <w:rPr>
          <w:i/>
          <w:iCs/>
        </w:rPr>
        <w:t>Charte québécoise</w:t>
      </w:r>
      <w:r>
        <w:t>.</w:t>
      </w:r>
    </w:p>
    <w:p w14:paraId="3F76C499" w14:textId="77777777" w:rsidR="00CF2D61" w:rsidRPr="0065170D" w:rsidRDefault="00CF2D61" w:rsidP="00CF2D61">
      <w:pPr>
        <w:pStyle w:val="Paragraphe"/>
        <w:rPr>
          <w:lang w:val="fr-FR" w:eastAsia="en-US"/>
        </w:rPr>
      </w:pPr>
      <w:r>
        <w:t>Les appelants enchaînent en écrivant :</w:t>
      </w:r>
    </w:p>
    <w:p w14:paraId="4A610A55" w14:textId="69842014" w:rsidR="00CF2D61" w:rsidRDefault="00CF2D61" w:rsidP="00CF2D61">
      <w:pPr>
        <w:pStyle w:val="Citationenretrait"/>
        <w:spacing w:line="240" w:lineRule="auto"/>
        <w:rPr>
          <w:rFonts w:cs="Arial"/>
          <w:i/>
          <w:iCs/>
          <w:szCs w:val="22"/>
          <w:lang w:eastAsia="fr-CA"/>
        </w:rPr>
      </w:pPr>
      <w:r w:rsidRPr="0065170D">
        <w:rPr>
          <w:rFonts w:cs="Arial"/>
          <w:lang w:eastAsia="fr-CA"/>
        </w:rPr>
        <w:t xml:space="preserve">Afin de donner le plein sens aux libertés et droits fondamentaux protégés susmentionnés par la </w:t>
      </w:r>
      <w:r w:rsidRPr="0065170D">
        <w:rPr>
          <w:rFonts w:cs="Arial"/>
          <w:i/>
          <w:iCs/>
          <w:szCs w:val="22"/>
          <w:lang w:eastAsia="fr-CA"/>
        </w:rPr>
        <w:t xml:space="preserve">Charte des droits et libertés de la personne </w:t>
      </w:r>
      <w:r w:rsidRPr="0065170D">
        <w:rPr>
          <w:rFonts w:cs="Arial"/>
          <w:lang w:eastAsia="fr-CA"/>
        </w:rPr>
        <w:t xml:space="preserve">et de la </w:t>
      </w:r>
      <w:r w:rsidRPr="0065170D">
        <w:rPr>
          <w:rFonts w:cs="Arial"/>
          <w:i/>
          <w:iCs/>
          <w:szCs w:val="22"/>
          <w:lang w:eastAsia="fr-CA"/>
        </w:rPr>
        <w:t>Charte</w:t>
      </w:r>
      <w:r w:rsidRPr="0065170D">
        <w:rPr>
          <w:rFonts w:cs="Arial"/>
          <w:lang w:eastAsia="fr-CA"/>
        </w:rPr>
        <w:t xml:space="preserve"> </w:t>
      </w:r>
      <w:r w:rsidRPr="0065170D">
        <w:rPr>
          <w:rFonts w:cs="Arial"/>
          <w:i/>
          <w:iCs/>
          <w:szCs w:val="22"/>
          <w:lang w:eastAsia="fr-CA"/>
        </w:rPr>
        <w:t xml:space="preserve">canadienne </w:t>
      </w:r>
      <w:r w:rsidRPr="0065170D">
        <w:rPr>
          <w:rFonts w:cs="Arial"/>
          <w:lang w:eastAsia="fr-CA"/>
        </w:rPr>
        <w:t xml:space="preserve">des </w:t>
      </w:r>
      <w:r w:rsidRPr="0065170D">
        <w:rPr>
          <w:rFonts w:cs="Arial"/>
          <w:i/>
          <w:iCs/>
          <w:szCs w:val="22"/>
          <w:lang w:eastAsia="fr-CA"/>
        </w:rPr>
        <w:t xml:space="preserve">droits et libertés, </w:t>
      </w:r>
      <w:r w:rsidRPr="00AD2BB7">
        <w:rPr>
          <w:rFonts w:cs="Arial"/>
          <w:u w:val="single"/>
          <w:lang w:eastAsia="fr-CA"/>
        </w:rPr>
        <w:t>on ne saurait appliquer la courte prescription</w:t>
      </w:r>
      <w:r w:rsidRPr="0065170D">
        <w:rPr>
          <w:rFonts w:cs="Arial"/>
          <w:lang w:eastAsia="fr-CA"/>
        </w:rPr>
        <w:t xml:space="preserve"> prévue </w:t>
      </w:r>
      <w:r w:rsidRPr="0065170D">
        <w:rPr>
          <w:rFonts w:cs="Arial"/>
          <w:szCs w:val="24"/>
          <w:lang w:eastAsia="fr-CA"/>
        </w:rPr>
        <w:t xml:space="preserve">à </w:t>
      </w:r>
      <w:r w:rsidRPr="0065170D">
        <w:rPr>
          <w:rFonts w:cs="Arial"/>
          <w:lang w:eastAsia="fr-CA"/>
        </w:rPr>
        <w:t>l</w:t>
      </w:r>
      <w:r>
        <w:rPr>
          <w:rFonts w:cs="Arial"/>
          <w:lang w:eastAsia="fr-CA"/>
        </w:rPr>
        <w:t>’</w:t>
      </w:r>
      <w:r w:rsidRPr="0065170D">
        <w:rPr>
          <w:rFonts w:cs="Arial"/>
          <w:lang w:eastAsia="fr-CA"/>
        </w:rPr>
        <w:t xml:space="preserve">article 586 de la </w:t>
      </w:r>
      <w:r w:rsidRPr="0065170D">
        <w:rPr>
          <w:rFonts w:cs="Arial"/>
          <w:i/>
          <w:iCs/>
          <w:szCs w:val="22"/>
          <w:lang w:eastAsia="fr-CA"/>
        </w:rPr>
        <w:t xml:space="preserve">Loi </w:t>
      </w:r>
      <w:r w:rsidRPr="0065170D">
        <w:rPr>
          <w:rFonts w:cs="Arial"/>
          <w:lang w:eastAsia="fr-CA"/>
        </w:rPr>
        <w:t xml:space="preserve">des </w:t>
      </w:r>
      <w:r w:rsidRPr="0065170D">
        <w:rPr>
          <w:rFonts w:cs="Arial"/>
          <w:i/>
          <w:iCs/>
          <w:szCs w:val="22"/>
          <w:lang w:eastAsia="fr-CA"/>
        </w:rPr>
        <w:t xml:space="preserve">cités et villes </w:t>
      </w:r>
      <w:r w:rsidRPr="0065170D">
        <w:rPr>
          <w:rFonts w:cs="Arial"/>
          <w:szCs w:val="24"/>
          <w:lang w:eastAsia="fr-CA"/>
        </w:rPr>
        <w:t xml:space="preserve">à </w:t>
      </w:r>
      <w:r w:rsidRPr="0065170D">
        <w:rPr>
          <w:rFonts w:cs="Arial"/>
          <w:lang w:eastAsia="fr-CA"/>
        </w:rPr>
        <w:t xml:space="preserve">une demande de réparation en vertu de la </w:t>
      </w:r>
      <w:r w:rsidRPr="0065170D">
        <w:rPr>
          <w:rFonts w:cs="Arial"/>
          <w:i/>
          <w:iCs/>
          <w:szCs w:val="22"/>
          <w:lang w:eastAsia="fr-CA"/>
        </w:rPr>
        <w:t xml:space="preserve">Charte </w:t>
      </w:r>
      <w:r w:rsidRPr="0065170D">
        <w:rPr>
          <w:rFonts w:cs="Arial"/>
          <w:lang w:eastAsia="fr-CA"/>
        </w:rPr>
        <w:t xml:space="preserve">des </w:t>
      </w:r>
      <w:r w:rsidRPr="0065170D">
        <w:rPr>
          <w:rFonts w:cs="Arial"/>
          <w:i/>
          <w:iCs/>
          <w:szCs w:val="22"/>
          <w:lang w:eastAsia="fr-CA"/>
        </w:rPr>
        <w:t xml:space="preserve">droits et libertés de la personne </w:t>
      </w:r>
      <w:r w:rsidRPr="0065170D">
        <w:rPr>
          <w:rFonts w:cs="Arial"/>
          <w:lang w:eastAsia="fr-CA"/>
        </w:rPr>
        <w:t xml:space="preserve">et de la </w:t>
      </w:r>
      <w:r w:rsidRPr="0065170D">
        <w:rPr>
          <w:rFonts w:cs="Arial"/>
          <w:i/>
          <w:iCs/>
          <w:szCs w:val="22"/>
          <w:lang w:eastAsia="fr-CA"/>
        </w:rPr>
        <w:t>Charte canadienne</w:t>
      </w:r>
      <w:r>
        <w:rPr>
          <w:rFonts w:cs="Arial"/>
          <w:i/>
          <w:iCs/>
          <w:szCs w:val="22"/>
          <w:lang w:eastAsia="fr-CA"/>
        </w:rPr>
        <w:t xml:space="preserve"> </w:t>
      </w:r>
      <w:r w:rsidRPr="0065170D">
        <w:rPr>
          <w:rFonts w:cs="Arial"/>
          <w:lang w:eastAsia="fr-CA"/>
        </w:rPr>
        <w:t xml:space="preserve">des </w:t>
      </w:r>
      <w:r w:rsidRPr="0065170D">
        <w:rPr>
          <w:rFonts w:cs="Arial"/>
          <w:i/>
          <w:iCs/>
          <w:szCs w:val="22"/>
          <w:lang w:eastAsia="fr-CA"/>
        </w:rPr>
        <w:t>droits et libertés</w:t>
      </w:r>
      <w:r w:rsidRPr="006E5323">
        <w:rPr>
          <w:rFonts w:cs="Arial"/>
          <w:szCs w:val="22"/>
          <w:lang w:eastAsia="fr-CA"/>
        </w:rPr>
        <w:t>;</w:t>
      </w:r>
    </w:p>
    <w:p w14:paraId="07D6362D" w14:textId="77777777" w:rsidR="00CF2D61" w:rsidRPr="00AD2BB7" w:rsidRDefault="00CF2D61" w:rsidP="006E5323">
      <w:pPr>
        <w:pStyle w:val="Citationenretrait"/>
        <w:spacing w:before="0" w:line="240" w:lineRule="auto"/>
        <w:jc w:val="right"/>
        <w:rPr>
          <w:rFonts w:cs="Arial"/>
          <w:lang w:eastAsia="fr-CA"/>
        </w:rPr>
      </w:pPr>
      <w:r>
        <w:rPr>
          <w:rFonts w:cs="Arial"/>
          <w:szCs w:val="22"/>
          <w:lang w:eastAsia="fr-CA"/>
        </w:rPr>
        <w:t>[Soulignements ajoutés]</w:t>
      </w:r>
    </w:p>
    <w:p w14:paraId="3FE900EA" w14:textId="39687844" w:rsidR="00CF2D61" w:rsidRDefault="00CF2D61" w:rsidP="00CF2D61">
      <w:pPr>
        <w:pStyle w:val="Paragraphe"/>
        <w:rPr>
          <w:lang w:val="fr-FR" w:eastAsia="en-US"/>
        </w:rPr>
      </w:pPr>
      <w:r>
        <w:rPr>
          <w:lang w:val="fr-FR" w:eastAsia="en-US"/>
        </w:rPr>
        <w:t xml:space="preserve">Enfin, c’est sous l’angle de l’article 7 de la </w:t>
      </w:r>
      <w:r w:rsidRPr="006B2C71">
        <w:rPr>
          <w:i/>
          <w:iCs/>
          <w:lang w:val="fr-FR" w:eastAsia="en-US"/>
        </w:rPr>
        <w:t>Charte</w:t>
      </w:r>
      <w:r>
        <w:rPr>
          <w:lang w:val="fr-FR" w:eastAsia="en-US"/>
        </w:rPr>
        <w:t xml:space="preserve">, et seulement sous ce dernier, que la question qui est soulevée est mise en jeu dans les avis sous l’article 76 </w:t>
      </w:r>
      <w:r w:rsidRPr="001D428E">
        <w:rPr>
          <w:i/>
          <w:iCs/>
          <w:lang w:val="fr-FR" w:eastAsia="en-US"/>
        </w:rPr>
        <w:t>C.p.c</w:t>
      </w:r>
      <w:r>
        <w:rPr>
          <w:lang w:val="fr-FR" w:eastAsia="en-US"/>
        </w:rPr>
        <w:t xml:space="preserve">. </w:t>
      </w:r>
    </w:p>
    <w:p w14:paraId="68D4DD0F" w14:textId="51E2691C" w:rsidR="00CF2D61" w:rsidRPr="00A07E78" w:rsidRDefault="00CF2D61" w:rsidP="00CF2D61">
      <w:pPr>
        <w:pStyle w:val="Paragraphe"/>
        <w:rPr>
          <w:lang w:val="fr-FR" w:eastAsia="en-US"/>
        </w:rPr>
      </w:pPr>
      <w:r>
        <w:rPr>
          <w:lang w:val="fr-FR"/>
        </w:rPr>
        <w:t>Cela dit, l</w:t>
      </w:r>
      <w:r>
        <w:t xml:space="preserve">’extrait suivant du jugement entrepris indique que les appelants ne recherchent pas une déclaration d’invalidité de l’article 586 </w:t>
      </w:r>
      <w:r w:rsidRPr="00BA4CE9">
        <w:rPr>
          <w:i/>
          <w:iCs/>
        </w:rPr>
        <w:t>L.c.v.</w:t>
      </w:r>
      <w:r>
        <w:t> :</w:t>
      </w:r>
    </w:p>
    <w:p w14:paraId="4931704D" w14:textId="1C6A62F5" w:rsidR="00CF2D61" w:rsidRPr="00A07E78" w:rsidRDefault="00CF2D61" w:rsidP="00CF2D61">
      <w:pPr>
        <w:pStyle w:val="Citationenretrait"/>
        <w:rPr>
          <w:lang w:eastAsia="ar-SA"/>
        </w:rPr>
      </w:pPr>
      <w:r w:rsidRPr="00A07E78">
        <w:rPr>
          <w:lang w:eastAsia="ar-SA"/>
        </w:rPr>
        <w:t>[</w:t>
      </w:r>
      <w:bookmarkStart w:id="31" w:name="par191"/>
      <w:r w:rsidRPr="00A07E78">
        <w:rPr>
          <w:lang w:eastAsia="ar-SA"/>
        </w:rPr>
        <w:t>191</w:t>
      </w:r>
      <w:bookmarkEnd w:id="31"/>
      <w:r w:rsidRPr="00A07E78">
        <w:rPr>
          <w:lang w:eastAsia="ar-SA"/>
        </w:rPr>
        <w:t>]</w:t>
      </w:r>
      <w:r>
        <w:rPr>
          <w:lang w:eastAsia="ar-SA"/>
        </w:rPr>
        <w:tab/>
      </w:r>
      <w:r w:rsidRPr="00A07E78">
        <w:rPr>
          <w:lang w:eastAsia="ar-SA"/>
        </w:rPr>
        <w:t>Pour pallier cela, les parties demanderesses ont présenté un moyen qui s</w:t>
      </w:r>
      <w:r>
        <w:rPr>
          <w:lang w:eastAsia="ar-SA"/>
        </w:rPr>
        <w:t>’</w:t>
      </w:r>
      <w:r w:rsidRPr="00A07E78">
        <w:rPr>
          <w:lang w:eastAsia="ar-SA"/>
        </w:rPr>
        <w:t>attaque à la validité de cet</w:t>
      </w:r>
      <w:r>
        <w:rPr>
          <w:lang w:eastAsia="ar-SA"/>
        </w:rPr>
        <w:t xml:space="preserve"> article 586 LCV </w:t>
      </w:r>
      <w:r w:rsidRPr="00A07E78">
        <w:rPr>
          <w:lang w:eastAsia="ar-SA"/>
        </w:rPr>
        <w:t>: elles allèguent que cet article leur est inopposable vu la nature des Recours et elles allèguent que cet article a une portée excessive puisqu</w:t>
      </w:r>
      <w:r>
        <w:rPr>
          <w:lang w:eastAsia="ar-SA"/>
        </w:rPr>
        <w:t>’</w:t>
      </w:r>
      <w:r w:rsidRPr="00A07E78">
        <w:rPr>
          <w:lang w:eastAsia="ar-SA"/>
        </w:rPr>
        <w:t>il viole les droits des personnes qu</w:t>
      </w:r>
      <w:r>
        <w:rPr>
          <w:lang w:eastAsia="ar-SA"/>
        </w:rPr>
        <w:t>’</w:t>
      </w:r>
      <w:r w:rsidRPr="00A07E78">
        <w:rPr>
          <w:lang w:eastAsia="ar-SA"/>
        </w:rPr>
        <w:t>elles représentent à la liberté et à la sécurité en contravention de l</w:t>
      </w:r>
      <w:r>
        <w:rPr>
          <w:lang w:eastAsia="ar-SA"/>
        </w:rPr>
        <w:t>’</w:t>
      </w:r>
      <w:r w:rsidRPr="00A07E78">
        <w:rPr>
          <w:lang w:eastAsia="ar-SA"/>
        </w:rPr>
        <w:t>article 7 de la</w:t>
      </w:r>
      <w:r>
        <w:rPr>
          <w:lang w:eastAsia="ar-SA"/>
        </w:rPr>
        <w:t xml:space="preserve"> </w:t>
      </w:r>
      <w:r w:rsidRPr="00C41878">
        <w:rPr>
          <w:i/>
          <w:iCs/>
          <w:lang w:eastAsia="ar-SA"/>
        </w:rPr>
        <w:t>Charte</w:t>
      </w:r>
      <w:r>
        <w:rPr>
          <w:lang w:eastAsia="ar-SA"/>
        </w:rPr>
        <w:t xml:space="preserve"> </w:t>
      </w:r>
      <w:r w:rsidRPr="00A07E78">
        <w:rPr>
          <w:lang w:eastAsia="ar-SA"/>
        </w:rPr>
        <w:t>et qu</w:t>
      </w:r>
      <w:r>
        <w:rPr>
          <w:lang w:eastAsia="ar-SA"/>
        </w:rPr>
        <w:t>’</w:t>
      </w:r>
      <w:r w:rsidRPr="00A07E78">
        <w:rPr>
          <w:lang w:eastAsia="ar-SA"/>
        </w:rPr>
        <w:t>il doit être déclaré inopposable en vertu des chartes canadienne et québécoise.</w:t>
      </w:r>
    </w:p>
    <w:p w14:paraId="08AE0A60" w14:textId="3BC8ACC5" w:rsidR="00CF2D61" w:rsidRDefault="00CF2D61" w:rsidP="00CF2D61">
      <w:pPr>
        <w:pStyle w:val="Citationenretrait"/>
        <w:rPr>
          <w:lang w:eastAsia="ar-SA"/>
        </w:rPr>
      </w:pPr>
      <w:r w:rsidRPr="00A07E78">
        <w:rPr>
          <w:lang w:eastAsia="ar-SA"/>
        </w:rPr>
        <w:t>[</w:t>
      </w:r>
      <w:bookmarkStart w:id="32" w:name="par192"/>
      <w:r w:rsidRPr="00A07E78">
        <w:rPr>
          <w:lang w:eastAsia="ar-SA"/>
        </w:rPr>
        <w:t>192</w:t>
      </w:r>
      <w:bookmarkEnd w:id="32"/>
      <w:r w:rsidRPr="00A07E78">
        <w:rPr>
          <w:lang w:eastAsia="ar-SA"/>
        </w:rPr>
        <w:t>]</w:t>
      </w:r>
      <w:r>
        <w:rPr>
          <w:lang w:eastAsia="ar-SA"/>
        </w:rPr>
        <w:tab/>
      </w:r>
      <w:r w:rsidRPr="00A07E78">
        <w:rPr>
          <w:lang w:eastAsia="ar-SA"/>
        </w:rPr>
        <w:t>Les parties demanderesses allèguent que ce sont les faits à l</w:t>
      </w:r>
      <w:r>
        <w:rPr>
          <w:lang w:eastAsia="ar-SA"/>
        </w:rPr>
        <w:t>’</w:t>
      </w:r>
      <w:r w:rsidRPr="00A07E78">
        <w:rPr>
          <w:lang w:eastAsia="ar-SA"/>
        </w:rPr>
        <w:t xml:space="preserve">origine des Recours qui rendent cet article inopérant. </w:t>
      </w:r>
      <w:r w:rsidRPr="00335042">
        <w:rPr>
          <w:u w:val="single"/>
          <w:lang w:eastAsia="ar-SA"/>
        </w:rPr>
        <w:t>Ils ne demandent pas que le Tribunal prononce l</w:t>
      </w:r>
      <w:r>
        <w:rPr>
          <w:u w:val="single"/>
          <w:lang w:eastAsia="ar-SA"/>
        </w:rPr>
        <w:t>’</w:t>
      </w:r>
      <w:r w:rsidRPr="00335042">
        <w:rPr>
          <w:u w:val="single"/>
          <w:lang w:eastAsia="ar-SA"/>
        </w:rPr>
        <w:t>invalidité de cet article de loi, contrairement au titre de la procédure qui soutient ce moyen</w:t>
      </w:r>
      <w:r w:rsidRPr="00A07E78">
        <w:rPr>
          <w:lang w:eastAsia="ar-SA"/>
        </w:rPr>
        <w:t>.</w:t>
      </w:r>
    </w:p>
    <w:p w14:paraId="17D0B488" w14:textId="77777777" w:rsidR="00CF2D61" w:rsidRPr="00A07E78" w:rsidRDefault="00CF2D61" w:rsidP="00CF2D61">
      <w:pPr>
        <w:pStyle w:val="Citationenretrait"/>
        <w:spacing w:before="0"/>
        <w:jc w:val="right"/>
        <w:rPr>
          <w:lang w:eastAsia="ar-SA"/>
        </w:rPr>
      </w:pPr>
      <w:r>
        <w:rPr>
          <w:lang w:eastAsia="ar-SA"/>
        </w:rPr>
        <w:t>[Soulignement ajouté; renvoi omis]</w:t>
      </w:r>
    </w:p>
    <w:p w14:paraId="75EEA51C" w14:textId="05CB4A31" w:rsidR="00CF2D61" w:rsidRPr="00B775F4" w:rsidRDefault="00CF2D61" w:rsidP="00CF2D61">
      <w:pPr>
        <w:pStyle w:val="Paragraphe"/>
        <w:rPr>
          <w:lang w:eastAsia="ar-SA"/>
        </w:rPr>
      </w:pPr>
      <w:r>
        <w:t xml:space="preserve">À l’audience devant la Cour, l’un des avocats qui occupent pour les appelants confirme que le moyen constitutionnel qu’ils font valoir a pour seul fondement l’article 7 de la </w:t>
      </w:r>
      <w:r w:rsidRPr="006F6987">
        <w:rPr>
          <w:i/>
          <w:iCs/>
        </w:rPr>
        <w:t>Charte</w:t>
      </w:r>
      <w:r>
        <w:t xml:space="preserve">. Il précise que l’article 15 de cette dernière n’est pas invoqué. Cette fois, il indique que c’est une déclaration d’invalidité </w:t>
      </w:r>
      <w:r w:rsidRPr="009F1979">
        <w:rPr>
          <w:i/>
          <w:iCs/>
        </w:rPr>
        <w:t>erga</w:t>
      </w:r>
      <w:r w:rsidR="006E5323">
        <w:rPr>
          <w:i/>
          <w:iCs/>
        </w:rPr>
        <w:t> </w:t>
      </w:r>
      <w:r w:rsidRPr="009F1979">
        <w:rPr>
          <w:i/>
          <w:iCs/>
        </w:rPr>
        <w:t>omnes</w:t>
      </w:r>
      <w:r>
        <w:t xml:space="preserve"> qui est réclamée sur la base de son article 52 alors que les avis produits selon l’article 76 </w:t>
      </w:r>
      <w:r w:rsidRPr="0053705E">
        <w:rPr>
          <w:i/>
          <w:iCs/>
        </w:rPr>
        <w:t>C.p.c</w:t>
      </w:r>
      <w:r>
        <w:t>. faisaient plutôt état d’une déclaration d’inapplicabilité.</w:t>
      </w:r>
    </w:p>
    <w:p w14:paraId="5F412B04" w14:textId="40928CC4" w:rsidR="00CF2D61" w:rsidRPr="0037723A" w:rsidRDefault="00CF2D61" w:rsidP="00CF2D61">
      <w:pPr>
        <w:pStyle w:val="Paragraphe"/>
        <w:rPr>
          <w:lang w:eastAsia="ar-SA"/>
        </w:rPr>
      </w:pPr>
      <w:r>
        <w:rPr>
          <w:szCs w:val="24"/>
        </w:rPr>
        <w:t xml:space="preserve">Étant donné la confusion qui existe quant au remède recherché, je me prononcerai à la fois sur l’inapplicabilité de l’article 586 </w:t>
      </w:r>
      <w:r w:rsidRPr="007D61DA">
        <w:rPr>
          <w:i/>
          <w:iCs/>
          <w:szCs w:val="24"/>
        </w:rPr>
        <w:t>L.c.v</w:t>
      </w:r>
      <w:r>
        <w:rPr>
          <w:szCs w:val="24"/>
        </w:rPr>
        <w:t>. et, si nécessaire, sur sa validité constitutionnelle.</w:t>
      </w:r>
    </w:p>
    <w:p w14:paraId="621C1E6E" w14:textId="77777777" w:rsidR="00CF2D61" w:rsidRPr="00622F63" w:rsidRDefault="00CF2D61" w:rsidP="006E5323">
      <w:pPr>
        <w:pStyle w:val="Paragraphe"/>
        <w:numPr>
          <w:ilvl w:val="0"/>
          <w:numId w:val="0"/>
        </w:numPr>
        <w:spacing w:before="0" w:after="0"/>
        <w:jc w:val="center"/>
        <w:rPr>
          <w:lang w:eastAsia="ar-SA"/>
        </w:rPr>
      </w:pPr>
      <w:r>
        <w:rPr>
          <w:szCs w:val="24"/>
        </w:rPr>
        <w:t>* * *</w:t>
      </w:r>
    </w:p>
    <w:p w14:paraId="6BC843F7" w14:textId="3B7A4F74" w:rsidR="00CF2D61" w:rsidRPr="00B80418" w:rsidRDefault="00CF2D61" w:rsidP="00CF2D61">
      <w:pPr>
        <w:pStyle w:val="Titre9"/>
        <w:tabs>
          <w:tab w:val="left" w:pos="1134"/>
        </w:tabs>
        <w:ind w:left="1134" w:hanging="414"/>
        <w:rPr>
          <w:sz w:val="22"/>
          <w:szCs w:val="22"/>
          <w:lang w:eastAsia="ar-SA"/>
        </w:rPr>
      </w:pPr>
      <w:r w:rsidRPr="00B80418">
        <w:rPr>
          <w:sz w:val="22"/>
          <w:szCs w:val="22"/>
          <w:lang w:eastAsia="ar-SA"/>
        </w:rPr>
        <w:t>a)</w:t>
      </w:r>
      <w:r>
        <w:rPr>
          <w:sz w:val="22"/>
          <w:szCs w:val="22"/>
          <w:lang w:eastAsia="ar-SA"/>
        </w:rPr>
        <w:tab/>
        <w:t>L’</w:t>
      </w:r>
      <w:r w:rsidRPr="00B80418">
        <w:rPr>
          <w:sz w:val="22"/>
          <w:szCs w:val="22"/>
          <w:lang w:eastAsia="ar-SA"/>
        </w:rPr>
        <w:t>application de la prescription de l</w:t>
      </w:r>
      <w:r>
        <w:rPr>
          <w:sz w:val="22"/>
          <w:szCs w:val="22"/>
          <w:lang w:eastAsia="ar-SA"/>
        </w:rPr>
        <w:t>’</w:t>
      </w:r>
      <w:r w:rsidRPr="00B80418">
        <w:rPr>
          <w:sz w:val="22"/>
          <w:szCs w:val="22"/>
          <w:lang w:eastAsia="ar-SA"/>
        </w:rPr>
        <w:t>article 586 L.c.</w:t>
      </w:r>
      <w:r>
        <w:rPr>
          <w:sz w:val="22"/>
          <w:szCs w:val="22"/>
          <w:lang w:eastAsia="ar-SA"/>
        </w:rPr>
        <w:t>v</w:t>
      </w:r>
      <w:r w:rsidRPr="00B80418">
        <w:rPr>
          <w:sz w:val="22"/>
          <w:szCs w:val="22"/>
          <w:lang w:eastAsia="ar-SA"/>
        </w:rPr>
        <w:t xml:space="preserve">. aux recours </w:t>
      </w:r>
      <w:r>
        <w:rPr>
          <w:sz w:val="22"/>
          <w:szCs w:val="22"/>
          <w:lang w:eastAsia="ar-SA"/>
        </w:rPr>
        <w:t>suivant</w:t>
      </w:r>
      <w:r w:rsidRPr="00B80418">
        <w:rPr>
          <w:sz w:val="22"/>
          <w:szCs w:val="22"/>
          <w:lang w:eastAsia="ar-SA"/>
        </w:rPr>
        <w:t xml:space="preserve"> la Charte et la Charte québécoise</w:t>
      </w:r>
    </w:p>
    <w:p w14:paraId="7CE44B0B" w14:textId="3B7C853A" w:rsidR="00CF2D61" w:rsidRDefault="00CF2D61" w:rsidP="00CF2D61">
      <w:pPr>
        <w:pStyle w:val="Paragraphe"/>
        <w:rPr>
          <w:lang w:eastAsia="ar-SA"/>
        </w:rPr>
      </w:pPr>
      <w:r>
        <w:rPr>
          <w:szCs w:val="24"/>
        </w:rPr>
        <w:t xml:space="preserve">La question de l’application des délais de prescription prévus dans la législation provinciale aux recours en réparation en vertu de la </w:t>
      </w:r>
      <w:r w:rsidRPr="00242AAC">
        <w:rPr>
          <w:i/>
          <w:iCs/>
          <w:szCs w:val="24"/>
        </w:rPr>
        <w:t>Charte</w:t>
      </w:r>
      <w:r>
        <w:rPr>
          <w:szCs w:val="24"/>
        </w:rPr>
        <w:t xml:space="preserve"> et de la </w:t>
      </w:r>
      <w:r w:rsidRPr="00EF607F">
        <w:rPr>
          <w:i/>
          <w:iCs/>
          <w:szCs w:val="24"/>
        </w:rPr>
        <w:t>Charte québécoise</w:t>
      </w:r>
      <w:r>
        <w:rPr>
          <w:szCs w:val="24"/>
        </w:rPr>
        <w:t xml:space="preserve"> a été examinée par la Cour dans les affaires </w:t>
      </w:r>
      <w:r w:rsidRPr="00F715D2">
        <w:rPr>
          <w:i/>
          <w:iCs/>
          <w:lang w:eastAsia="ar-SA"/>
        </w:rPr>
        <w:t>Gauthier c. Lambert</w:t>
      </w:r>
      <w:r w:rsidRPr="008F455D">
        <w:rPr>
          <w:rStyle w:val="Appelnotedebasdep"/>
          <w:lang w:eastAsia="ar-SA"/>
        </w:rPr>
        <w:footnoteReference w:id="46"/>
      </w:r>
      <w:r>
        <w:rPr>
          <w:lang w:eastAsia="ar-SA"/>
        </w:rPr>
        <w:t xml:space="preserve">, </w:t>
      </w:r>
      <w:r w:rsidRPr="00A258A7">
        <w:rPr>
          <w:i/>
          <w:iCs/>
          <w:lang w:eastAsia="ar-SA"/>
        </w:rPr>
        <w:t>Gauthier c. Beaumont</w:t>
      </w:r>
      <w:r w:rsidRPr="008F455D">
        <w:rPr>
          <w:rStyle w:val="Appelnotedebasdep"/>
          <w:lang w:eastAsia="ar-SA"/>
        </w:rPr>
        <w:footnoteReference w:id="47"/>
      </w:r>
      <w:r w:rsidRPr="008F455D">
        <w:rPr>
          <w:lang w:eastAsia="ar-SA"/>
        </w:rPr>
        <w:t xml:space="preserve">, </w:t>
      </w:r>
      <w:r w:rsidRPr="009A2974">
        <w:rPr>
          <w:i/>
          <w:iCs/>
        </w:rPr>
        <w:t>Olivier c. Procureur général du Canada</w:t>
      </w:r>
      <w:bookmarkStart w:id="33" w:name="_Ref218777330"/>
      <w:r w:rsidRPr="008F455D">
        <w:rPr>
          <w:rStyle w:val="Appelnotedebasdep"/>
        </w:rPr>
        <w:footnoteReference w:id="48"/>
      </w:r>
      <w:bookmarkEnd w:id="33"/>
      <w:r>
        <w:t xml:space="preserve"> et</w:t>
      </w:r>
      <w:r>
        <w:rPr>
          <w:i/>
          <w:iCs/>
        </w:rPr>
        <w:t xml:space="preserve"> </w:t>
      </w:r>
      <w:r w:rsidRPr="006C42B4">
        <w:rPr>
          <w:i/>
          <w:iCs/>
        </w:rPr>
        <w:t>Engler-Stringer c. Ville de Montréal</w:t>
      </w:r>
      <w:r w:rsidRPr="008F455D">
        <w:rPr>
          <w:rStyle w:val="Appelnotedebasdep"/>
        </w:rPr>
        <w:footnoteReference w:id="49"/>
      </w:r>
      <w:r>
        <w:rPr>
          <w:i/>
          <w:iCs/>
        </w:rPr>
        <w:t xml:space="preserve">. </w:t>
      </w:r>
      <w:r w:rsidRPr="008F455D">
        <w:t>Chaque fois</w:t>
      </w:r>
      <w:r>
        <w:rPr>
          <w:i/>
          <w:iCs/>
        </w:rPr>
        <w:t xml:space="preserve">, </w:t>
      </w:r>
      <w:r w:rsidRPr="008F455D">
        <w:t>elle a conclu à l</w:t>
      </w:r>
      <w:r>
        <w:t>’</w:t>
      </w:r>
      <w:r w:rsidRPr="008F455D">
        <w:t>appl</w:t>
      </w:r>
      <w:r>
        <w:t xml:space="preserve">ication de la prescription de l’article 586 </w:t>
      </w:r>
      <w:r w:rsidRPr="00812DA7">
        <w:rPr>
          <w:i/>
          <w:iCs/>
        </w:rPr>
        <w:t>L.c.v</w:t>
      </w:r>
      <w:r>
        <w:t>. à de tels recours, étant cependant entendu que cette règle trouve exception lorsque la réclamation concernée en est une pour préjudice corporel, auquel cas la prescription ne peut être inférieure à trois ans</w:t>
      </w:r>
      <w:r>
        <w:rPr>
          <w:rStyle w:val="Appelnotedebasdep"/>
        </w:rPr>
        <w:footnoteReference w:id="50"/>
      </w:r>
      <w:r>
        <w:t>.</w:t>
      </w:r>
    </w:p>
    <w:p w14:paraId="5D1FEFFD" w14:textId="0544D0CC" w:rsidR="00CF2D61" w:rsidRPr="00A53B96" w:rsidRDefault="00CF2D61" w:rsidP="00CF2D61">
      <w:pPr>
        <w:pStyle w:val="Paragraphe"/>
        <w:rPr>
          <w:rFonts w:cs="Arial"/>
          <w:szCs w:val="22"/>
          <w:lang w:eastAsia="fr-CA"/>
        </w:rPr>
      </w:pPr>
      <w:r>
        <w:rPr>
          <w:rFonts w:cs="Arial"/>
          <w:szCs w:val="22"/>
          <w:lang w:eastAsia="fr-CA"/>
        </w:rPr>
        <w:t xml:space="preserve">Une revue de la jurisprudence effectuée par la juge Thibault dans </w:t>
      </w:r>
      <w:r>
        <w:rPr>
          <w:rFonts w:cs="Arial"/>
          <w:i/>
          <w:iCs/>
          <w:szCs w:val="22"/>
          <w:lang w:eastAsia="fr-CA"/>
        </w:rPr>
        <w:t>Engler-Stringer</w:t>
      </w:r>
      <w:r w:rsidRPr="00D046B6">
        <w:rPr>
          <w:rStyle w:val="Appelnotedebasdep"/>
          <w:rFonts w:cs="Arial"/>
          <w:szCs w:val="22"/>
          <w:lang w:eastAsia="fr-CA"/>
        </w:rPr>
        <w:footnoteReference w:id="51"/>
      </w:r>
      <w:r>
        <w:rPr>
          <w:lang w:eastAsia="ar-SA"/>
        </w:rPr>
        <w:t xml:space="preserve"> et par </w:t>
      </w:r>
      <w:r>
        <w:rPr>
          <w:rFonts w:cs="Arial"/>
          <w:szCs w:val="22"/>
          <w:lang w:eastAsia="fr-CA"/>
        </w:rPr>
        <w:t xml:space="preserve">le juge Wagner dans </w:t>
      </w:r>
      <w:r>
        <w:rPr>
          <w:rFonts w:cs="Arial"/>
          <w:i/>
          <w:iCs/>
          <w:szCs w:val="22"/>
          <w:lang w:eastAsia="fr-CA"/>
        </w:rPr>
        <w:t>Olivier</w:t>
      </w:r>
      <w:r w:rsidRPr="00D046B6">
        <w:rPr>
          <w:rStyle w:val="Appelnotedebasdep"/>
          <w:rFonts w:cs="Arial"/>
          <w:szCs w:val="22"/>
          <w:lang w:eastAsia="fr-CA"/>
        </w:rPr>
        <w:footnoteReference w:id="52"/>
      </w:r>
      <w:r>
        <w:rPr>
          <w:rFonts w:cs="Arial"/>
          <w:szCs w:val="22"/>
          <w:lang w:eastAsia="fr-CA"/>
        </w:rPr>
        <w:t>, alors qu’il siégeait à la Cour,</w:t>
      </w:r>
      <w:r>
        <w:rPr>
          <w:lang w:eastAsia="ar-SA"/>
        </w:rPr>
        <w:t xml:space="preserve"> démontre que l’état du droit ailleurs au Canada est au même effet</w:t>
      </w:r>
      <w:r>
        <w:rPr>
          <w:rStyle w:val="Appelnotedebasdep"/>
          <w:lang w:eastAsia="ar-SA"/>
        </w:rPr>
        <w:footnoteReference w:id="53"/>
      </w:r>
      <w:r>
        <w:rPr>
          <w:lang w:eastAsia="ar-SA"/>
        </w:rPr>
        <w:t>.</w:t>
      </w:r>
    </w:p>
    <w:p w14:paraId="2D4694A7" w14:textId="77777777" w:rsidR="00CF2D61" w:rsidRDefault="00CF2D61" w:rsidP="00CF2D61">
      <w:pPr>
        <w:pStyle w:val="Paragraphe"/>
        <w:rPr>
          <w:lang w:eastAsia="ar-SA"/>
        </w:rPr>
      </w:pPr>
      <w:r>
        <w:rPr>
          <w:lang w:eastAsia="ar-SA"/>
        </w:rPr>
        <w:t>Depuis le prononcé de ces arrêts, la jurisprudence ailleurs au Canada a évolué dans la même direction</w:t>
      </w:r>
      <w:r>
        <w:rPr>
          <w:rStyle w:val="Appelnotedebasdep"/>
          <w:lang w:eastAsia="ar-SA"/>
        </w:rPr>
        <w:footnoteReference w:id="54"/>
      </w:r>
      <w:r>
        <w:rPr>
          <w:lang w:eastAsia="ar-SA"/>
        </w:rPr>
        <w:t>.</w:t>
      </w:r>
    </w:p>
    <w:p w14:paraId="07C1990C" w14:textId="36EDE2D4" w:rsidR="00CF2D61" w:rsidRDefault="00CF2D61" w:rsidP="00CF2D61">
      <w:pPr>
        <w:pStyle w:val="Paragraphe"/>
        <w:rPr>
          <w:lang w:eastAsia="ar-SA"/>
        </w:rPr>
      </w:pPr>
      <w:r>
        <w:rPr>
          <w:lang w:eastAsia="ar-SA"/>
        </w:rPr>
        <w:t xml:space="preserve">J’en conclus que l’article 586 </w:t>
      </w:r>
      <w:r w:rsidRPr="006731D6">
        <w:rPr>
          <w:i/>
          <w:iCs/>
          <w:lang w:eastAsia="ar-SA"/>
        </w:rPr>
        <w:t>L.c.v</w:t>
      </w:r>
      <w:r>
        <w:rPr>
          <w:lang w:eastAsia="ar-SA"/>
        </w:rPr>
        <w:t>. est ici applicable.</w:t>
      </w:r>
    </w:p>
    <w:p w14:paraId="291914B0" w14:textId="77777777" w:rsidR="00CF2D61" w:rsidRDefault="00CF2D61" w:rsidP="00CF2D61">
      <w:pPr>
        <w:pStyle w:val="Paragraphe"/>
        <w:rPr>
          <w:lang w:eastAsia="ar-SA"/>
        </w:rPr>
      </w:pPr>
      <w:r>
        <w:rPr>
          <w:lang w:eastAsia="ar-SA"/>
        </w:rPr>
        <w:t>Je dois donc me pencher sur la question de sa validité constitutionnelle.</w:t>
      </w:r>
    </w:p>
    <w:p w14:paraId="423B67AC" w14:textId="77777777" w:rsidR="00CF2D61" w:rsidRDefault="00CF2D61" w:rsidP="00CF2D61">
      <w:pPr>
        <w:pStyle w:val="Paragraphe"/>
        <w:numPr>
          <w:ilvl w:val="0"/>
          <w:numId w:val="0"/>
        </w:numPr>
        <w:spacing w:before="0" w:after="0"/>
        <w:jc w:val="center"/>
        <w:rPr>
          <w:lang w:eastAsia="ar-SA"/>
        </w:rPr>
      </w:pPr>
      <w:r>
        <w:rPr>
          <w:lang w:eastAsia="ar-SA"/>
        </w:rPr>
        <w:t>* * *</w:t>
      </w:r>
    </w:p>
    <w:p w14:paraId="7C05131D" w14:textId="5DA7B9A1" w:rsidR="00CF2D61" w:rsidRPr="007D61DA" w:rsidRDefault="00CF2D61" w:rsidP="00CF2D61">
      <w:pPr>
        <w:pStyle w:val="Titre9"/>
        <w:tabs>
          <w:tab w:val="left" w:pos="1134"/>
        </w:tabs>
        <w:ind w:left="1134" w:hanging="414"/>
        <w:rPr>
          <w:sz w:val="22"/>
          <w:szCs w:val="22"/>
          <w:lang w:eastAsia="ar-SA"/>
        </w:rPr>
      </w:pPr>
      <w:r>
        <w:rPr>
          <w:sz w:val="22"/>
          <w:szCs w:val="22"/>
          <w:lang w:eastAsia="ar-SA"/>
        </w:rPr>
        <w:t>b)</w:t>
      </w:r>
      <w:r>
        <w:rPr>
          <w:sz w:val="22"/>
          <w:szCs w:val="22"/>
          <w:lang w:eastAsia="ar-SA"/>
        </w:rPr>
        <w:tab/>
      </w:r>
      <w:r w:rsidRPr="007D61DA">
        <w:rPr>
          <w:sz w:val="22"/>
          <w:szCs w:val="22"/>
          <w:lang w:eastAsia="ar-SA"/>
        </w:rPr>
        <w:t>La validité constitutionnelle de l</w:t>
      </w:r>
      <w:r>
        <w:rPr>
          <w:sz w:val="22"/>
          <w:szCs w:val="22"/>
          <w:lang w:eastAsia="ar-SA"/>
        </w:rPr>
        <w:t>’</w:t>
      </w:r>
      <w:r w:rsidRPr="007D61DA">
        <w:rPr>
          <w:sz w:val="22"/>
          <w:szCs w:val="22"/>
          <w:lang w:eastAsia="ar-SA"/>
        </w:rPr>
        <w:t>article 586 L.c.v.</w:t>
      </w:r>
      <w:r>
        <w:rPr>
          <w:sz w:val="22"/>
          <w:szCs w:val="22"/>
          <w:lang w:eastAsia="ar-SA"/>
        </w:rPr>
        <w:t xml:space="preserve"> au regard de l’article 7 de la Charte</w:t>
      </w:r>
    </w:p>
    <w:p w14:paraId="69BB335F" w14:textId="57C41CDE" w:rsidR="00CF2D61" w:rsidRDefault="00CF2D61" w:rsidP="00CF2D61">
      <w:pPr>
        <w:pStyle w:val="Paragraphe"/>
        <w:rPr>
          <w:lang w:eastAsia="ar-SA"/>
        </w:rPr>
      </w:pPr>
      <w:r>
        <w:rPr>
          <w:lang w:eastAsia="ar-SA"/>
        </w:rPr>
        <w:t xml:space="preserve">L’article 7 de la </w:t>
      </w:r>
      <w:r w:rsidRPr="0037723A">
        <w:rPr>
          <w:i/>
          <w:iCs/>
          <w:lang w:eastAsia="ar-SA"/>
        </w:rPr>
        <w:t>Charte</w:t>
      </w:r>
      <w:r>
        <w:rPr>
          <w:lang w:eastAsia="ar-SA"/>
        </w:rPr>
        <w:t xml:space="preserve"> est ainsi rédigé :</w:t>
      </w:r>
    </w:p>
    <w:tbl>
      <w:tblPr>
        <w:tblW w:w="0" w:type="auto"/>
        <w:tblLayout w:type="fixed"/>
        <w:tblCellMar>
          <w:left w:w="70" w:type="dxa"/>
          <w:right w:w="70" w:type="dxa"/>
        </w:tblCellMar>
        <w:tblLook w:val="0000" w:firstRow="0" w:lastRow="0" w:firstColumn="0" w:lastColumn="0" w:noHBand="0" w:noVBand="0"/>
      </w:tblPr>
      <w:tblGrid>
        <w:gridCol w:w="4681"/>
        <w:gridCol w:w="4681"/>
      </w:tblGrid>
      <w:tr w:rsidR="00CF2D61" w:rsidRPr="00B3650D" w14:paraId="51C5449E" w14:textId="77777777" w:rsidTr="009E34B3">
        <w:tc>
          <w:tcPr>
            <w:tcW w:w="4681" w:type="dxa"/>
            <w:shd w:val="clear" w:color="auto" w:fill="auto"/>
          </w:tcPr>
          <w:p w14:paraId="4DAEBCD2" w14:textId="6B30B59A" w:rsidR="00CF2D61" w:rsidRDefault="00CF2D61" w:rsidP="009E34B3">
            <w:pPr>
              <w:pStyle w:val="Tableaugauchefranais"/>
              <w:spacing w:before="120" w:after="120"/>
              <w:jc w:val="both"/>
            </w:pPr>
            <w:r w:rsidRPr="00C41878">
              <w:rPr>
                <w:b/>
                <w:bCs/>
              </w:rPr>
              <w:t>7</w:t>
            </w:r>
            <w:r>
              <w:t> </w:t>
            </w:r>
            <w:r w:rsidRPr="00C41878">
              <w:t>Chacun a droit à la vie, à la liberté et à la sécurité de sa personne; il ne peut être porté atteinte à ce droit qu</w:t>
            </w:r>
            <w:r>
              <w:t>’</w:t>
            </w:r>
            <w:r w:rsidRPr="00C41878">
              <w:t>en conformité avec les principes de justice fondamentale.</w:t>
            </w:r>
          </w:p>
        </w:tc>
        <w:tc>
          <w:tcPr>
            <w:tcW w:w="4681" w:type="dxa"/>
            <w:shd w:val="clear" w:color="auto" w:fill="auto"/>
          </w:tcPr>
          <w:p w14:paraId="438EA10D" w14:textId="77777777" w:rsidR="00CF2D61" w:rsidRPr="00C41878" w:rsidRDefault="00CF2D61" w:rsidP="009E34B3">
            <w:pPr>
              <w:pStyle w:val="Tableaudroiteanglais"/>
              <w:spacing w:before="120" w:after="120"/>
            </w:pPr>
            <w:r w:rsidRPr="00C41878">
              <w:rPr>
                <w:b/>
                <w:bCs/>
              </w:rPr>
              <w:t>7</w:t>
            </w:r>
            <w:r>
              <w:t> </w:t>
            </w:r>
            <w:r w:rsidRPr="00C41878">
              <w:t>Everyone has the right to life, liberty and security of the person and the right not to be deprived thereof except in accordance with the principles of fundamental justice.</w:t>
            </w:r>
          </w:p>
        </w:tc>
      </w:tr>
    </w:tbl>
    <w:p w14:paraId="17E63386" w14:textId="7B051022" w:rsidR="00CF2D61" w:rsidRDefault="00CF2D61" w:rsidP="00CF2D61">
      <w:pPr>
        <w:pStyle w:val="Paragraphe"/>
        <w:rPr>
          <w:lang w:eastAsia="ar-SA"/>
        </w:rPr>
      </w:pPr>
      <w:r>
        <w:rPr>
          <w:lang w:eastAsia="ar-SA"/>
        </w:rPr>
        <w:t xml:space="preserve">Le fardeau qui incombe à celui qui invoque le droit protégé par l’article 7 de la </w:t>
      </w:r>
      <w:r w:rsidRPr="00C41878">
        <w:rPr>
          <w:i/>
          <w:iCs/>
          <w:lang w:eastAsia="ar-SA"/>
        </w:rPr>
        <w:t>Charte</w:t>
      </w:r>
      <w:r>
        <w:rPr>
          <w:lang w:eastAsia="ar-SA"/>
        </w:rPr>
        <w:t xml:space="preserve"> est celui que la Cour suprême énonce dans </w:t>
      </w:r>
      <w:r w:rsidRPr="00225490">
        <w:rPr>
          <w:i/>
          <w:iCs/>
          <w:lang w:eastAsia="ar-SA"/>
        </w:rPr>
        <w:t xml:space="preserve">Carter c. Procureur général </w:t>
      </w:r>
      <w:r>
        <w:rPr>
          <w:i/>
          <w:iCs/>
          <w:lang w:eastAsia="ar-SA"/>
        </w:rPr>
        <w:t>d</w:t>
      </w:r>
      <w:r w:rsidRPr="00225490">
        <w:rPr>
          <w:i/>
          <w:iCs/>
          <w:lang w:eastAsia="ar-SA"/>
        </w:rPr>
        <w:t>u Canada</w:t>
      </w:r>
      <w:r>
        <w:rPr>
          <w:rStyle w:val="Appelnotedebasdep"/>
          <w:lang w:eastAsia="ar-SA"/>
        </w:rPr>
        <w:footnoteReference w:id="55"/>
      </w:r>
      <w:r>
        <w:rPr>
          <w:i/>
          <w:iCs/>
          <w:lang w:eastAsia="ar-SA"/>
        </w:rPr>
        <w:t> </w:t>
      </w:r>
      <w:r>
        <w:rPr>
          <w:lang w:eastAsia="ar-SA"/>
        </w:rPr>
        <w:t>:</w:t>
      </w:r>
    </w:p>
    <w:p w14:paraId="75535226" w14:textId="55D086E4" w:rsidR="00CF2D61" w:rsidRDefault="00CF2D61" w:rsidP="00CF2D61">
      <w:pPr>
        <w:pStyle w:val="Citationenretrait"/>
      </w:pPr>
      <w:r>
        <w:t>[55</w:t>
      </w:r>
      <w:bookmarkStart w:id="34" w:name="par55"/>
      <w:r>
        <w:t>]</w:t>
      </w:r>
      <w:bookmarkEnd w:id="34"/>
      <w:r>
        <w:tab/>
        <w:t>Pour faire la preuve d’une violation de l’art. 7, les demandeurs doivent d’abord démontrer que la loi porte atteinte à leur vie, à leur liberté ou à la sécurité de leur personne, ou les en prive. Une fois qu’ils ont établi que l’art. 7 entre en jeu, ils doivent alors démontrer que la privation en cause n’est pas conforme aux principes de justice fondamentale.</w:t>
      </w:r>
    </w:p>
    <w:p w14:paraId="18837E08" w14:textId="25F47CD3" w:rsidR="00CF2D61" w:rsidRDefault="00CF2D61" w:rsidP="00CF2D61">
      <w:pPr>
        <w:pStyle w:val="Paragraphe"/>
      </w:pPr>
      <w:r>
        <w:t xml:space="preserve">La démonstration que la partie demanderesse doit faire est celle d’un lien de causalité suffisant entre la disposition législative attaquée et la mise en jeu du droit protégé par l’article 7 de la </w:t>
      </w:r>
      <w:r w:rsidRPr="00AD61D9">
        <w:rPr>
          <w:i/>
          <w:iCs/>
        </w:rPr>
        <w:t>Charte</w:t>
      </w:r>
      <w:r>
        <w:t>,</w:t>
      </w:r>
      <w:r>
        <w:rPr>
          <w:i/>
          <w:iCs/>
        </w:rPr>
        <w:t xml:space="preserve"> </w:t>
      </w:r>
      <w:r w:rsidRPr="00C07346">
        <w:t xml:space="preserve">comme la Cour suprême </w:t>
      </w:r>
      <w:r>
        <w:t>l’explique</w:t>
      </w:r>
      <w:r w:rsidRPr="00C07346">
        <w:t xml:space="preserve"> dans</w:t>
      </w:r>
      <w:r>
        <w:t xml:space="preserve"> </w:t>
      </w:r>
      <w:r w:rsidRPr="00C07346">
        <w:rPr>
          <w:i/>
          <w:iCs/>
        </w:rPr>
        <w:t>Procureur général du Canada c. Bedford</w:t>
      </w:r>
      <w:r>
        <w:rPr>
          <w:rStyle w:val="Appelnotedebasdep"/>
        </w:rPr>
        <w:footnoteReference w:id="56"/>
      </w:r>
      <w:r>
        <w:t> :</w:t>
      </w:r>
    </w:p>
    <w:p w14:paraId="0786C70F" w14:textId="669CE64B" w:rsidR="00CF2D61" w:rsidRPr="00E95F69" w:rsidRDefault="00CF2D61" w:rsidP="00CF2D61">
      <w:pPr>
        <w:pStyle w:val="Citationenretrait"/>
        <w:rPr>
          <w:color w:val="000000"/>
          <w:szCs w:val="22"/>
        </w:rPr>
      </w:pPr>
      <w:r w:rsidRPr="00E95F69">
        <w:rPr>
          <w:color w:val="000000"/>
          <w:szCs w:val="22"/>
        </w:rPr>
        <w:t>[76]</w:t>
      </w:r>
      <w:r>
        <w:rPr>
          <w:color w:val="000000"/>
          <w:szCs w:val="22"/>
        </w:rPr>
        <w:tab/>
      </w:r>
      <w:r w:rsidRPr="00E95F69">
        <w:rPr>
          <w:color w:val="000000"/>
          <w:szCs w:val="22"/>
        </w:rPr>
        <w:t>La norme du lien de causalité suffisant n</w:t>
      </w:r>
      <w:r>
        <w:rPr>
          <w:color w:val="000000"/>
          <w:szCs w:val="22"/>
        </w:rPr>
        <w:t>’</w:t>
      </w:r>
      <w:r w:rsidRPr="00E95F69">
        <w:rPr>
          <w:color w:val="000000"/>
          <w:szCs w:val="22"/>
        </w:rPr>
        <w:t>exige pas que la mesure législative ou autre reprochée à l</w:t>
      </w:r>
      <w:r>
        <w:rPr>
          <w:color w:val="000000"/>
          <w:szCs w:val="22"/>
        </w:rPr>
        <w:t>’</w:t>
      </w:r>
      <w:r w:rsidRPr="00E95F69">
        <w:rPr>
          <w:color w:val="000000"/>
          <w:szCs w:val="22"/>
        </w:rPr>
        <w:t>État soit l</w:t>
      </w:r>
      <w:r>
        <w:rPr>
          <w:color w:val="000000"/>
          <w:szCs w:val="22"/>
        </w:rPr>
        <w:t>’</w:t>
      </w:r>
      <w:r w:rsidRPr="00E95F69">
        <w:rPr>
          <w:color w:val="000000"/>
          <w:szCs w:val="22"/>
        </w:rPr>
        <w:t>unique ou la principale cause du préjudice subi par le demandeur, et il y est satisfait par déduction raisonnable, suivant la prépondérance des probabilités (</w:t>
      </w:r>
      <w:r w:rsidRPr="00E95F69">
        <w:rPr>
          <w:i/>
          <w:iCs/>
          <w:color w:val="000000"/>
          <w:szCs w:val="22"/>
        </w:rPr>
        <w:t>Canada (Premier ministre) c. Khadr</w:t>
      </w:r>
      <w:r w:rsidRPr="00E95F69">
        <w:rPr>
          <w:color w:val="000000"/>
          <w:szCs w:val="22"/>
        </w:rPr>
        <w:t>, 2010 CSC 3, [2010] 1 R.C.S. 44, par. 21). </w:t>
      </w:r>
      <w:r>
        <w:rPr>
          <w:color w:val="000000"/>
          <w:szCs w:val="22"/>
        </w:rPr>
        <w:t>[…]</w:t>
      </w:r>
    </w:p>
    <w:p w14:paraId="588F4F3B" w14:textId="77777777" w:rsidR="00CF2D61" w:rsidRPr="0027025F" w:rsidRDefault="00CF2D61" w:rsidP="008D2F56">
      <w:pPr>
        <w:pStyle w:val="Paragraphe"/>
        <w:keepNext/>
        <w:rPr>
          <w:rFonts w:cs="Arial"/>
          <w:szCs w:val="22"/>
          <w:lang w:eastAsia="ar-SA"/>
        </w:rPr>
      </w:pPr>
      <w:r>
        <w:rPr>
          <w:szCs w:val="24"/>
        </w:rPr>
        <w:t xml:space="preserve">Aussi, il est acquis que les décisions dans les affaires relatives à la </w:t>
      </w:r>
      <w:r w:rsidRPr="00E92D3E">
        <w:rPr>
          <w:i/>
          <w:iCs/>
          <w:szCs w:val="24"/>
        </w:rPr>
        <w:t>Charte</w:t>
      </w:r>
      <w:r>
        <w:rPr>
          <w:szCs w:val="24"/>
        </w:rPr>
        <w:t xml:space="preserve"> ne doivent pas être prises dans un vide factuel</w:t>
      </w:r>
      <w:r>
        <w:rPr>
          <w:rStyle w:val="Appelnotedebasdep"/>
          <w:szCs w:val="24"/>
        </w:rPr>
        <w:footnoteReference w:id="57"/>
      </w:r>
      <w:r>
        <w:rPr>
          <w:szCs w:val="24"/>
        </w:rPr>
        <w:t>.</w:t>
      </w:r>
    </w:p>
    <w:p w14:paraId="0CDF80E6" w14:textId="77777777" w:rsidR="00CF2D61" w:rsidRPr="003F60D7" w:rsidRDefault="00CF2D61" w:rsidP="008D2F56">
      <w:pPr>
        <w:pStyle w:val="Paragraphe"/>
        <w:keepNext/>
        <w:numPr>
          <w:ilvl w:val="0"/>
          <w:numId w:val="0"/>
        </w:numPr>
        <w:spacing w:before="0" w:after="0"/>
        <w:jc w:val="center"/>
        <w:rPr>
          <w:rFonts w:cs="Arial"/>
          <w:szCs w:val="22"/>
          <w:lang w:eastAsia="ar-SA"/>
        </w:rPr>
      </w:pPr>
      <w:r>
        <w:rPr>
          <w:rFonts w:cs="Arial"/>
          <w:spacing w:val="-3"/>
          <w:kern w:val="0"/>
          <w:szCs w:val="22"/>
        </w:rPr>
        <w:t>* * *</w:t>
      </w:r>
    </w:p>
    <w:p w14:paraId="7560B1B2" w14:textId="7F8761F9" w:rsidR="00CF2D61" w:rsidRDefault="00CF2D61" w:rsidP="00CF2D61">
      <w:pPr>
        <w:pStyle w:val="Paragraphe"/>
        <w:rPr>
          <w:lang w:eastAsia="ar-SA"/>
        </w:rPr>
      </w:pPr>
      <w:r>
        <w:rPr>
          <w:lang w:eastAsia="ar-SA"/>
        </w:rPr>
        <w:t xml:space="preserve">Contrairement à la question de l’applicabilité de l’article 586 de la </w:t>
      </w:r>
      <w:r w:rsidRPr="00F4062A">
        <w:rPr>
          <w:i/>
          <w:iCs/>
          <w:lang w:eastAsia="ar-SA"/>
        </w:rPr>
        <w:t>L.c.v</w:t>
      </w:r>
      <w:r w:rsidR="005D5DD2">
        <w:rPr>
          <w:i/>
          <w:iCs/>
          <w:lang w:eastAsia="ar-SA"/>
        </w:rPr>
        <w:t>.</w:t>
      </w:r>
      <w:r>
        <w:rPr>
          <w:lang w:eastAsia="ar-SA"/>
        </w:rPr>
        <w:t xml:space="preserve"> aux recours en vertu de la </w:t>
      </w:r>
      <w:r w:rsidRPr="00F4062A">
        <w:rPr>
          <w:i/>
          <w:iCs/>
          <w:lang w:eastAsia="ar-SA"/>
        </w:rPr>
        <w:t xml:space="preserve">Charte </w:t>
      </w:r>
      <w:r>
        <w:rPr>
          <w:lang w:eastAsia="ar-SA"/>
        </w:rPr>
        <w:t xml:space="preserve">et de la </w:t>
      </w:r>
      <w:r w:rsidRPr="00F4062A">
        <w:rPr>
          <w:i/>
          <w:iCs/>
          <w:lang w:eastAsia="ar-SA"/>
        </w:rPr>
        <w:t>Charte québécoise</w:t>
      </w:r>
      <w:r>
        <w:rPr>
          <w:lang w:eastAsia="ar-SA"/>
        </w:rPr>
        <w:t xml:space="preserve">, celle de sa validité n’a jamais été décidée par la Cour ou la Cour suprême. Dans </w:t>
      </w:r>
      <w:r w:rsidRPr="006C42B4">
        <w:rPr>
          <w:i/>
          <w:iCs/>
        </w:rPr>
        <w:t>Engler-Stringer</w:t>
      </w:r>
      <w:r>
        <w:rPr>
          <w:rStyle w:val="Appelnotedebasdep"/>
          <w:i/>
          <w:iCs/>
        </w:rPr>
        <w:footnoteReference w:id="58"/>
      </w:r>
      <w:r>
        <w:rPr>
          <w:lang w:eastAsia="ar-SA"/>
        </w:rPr>
        <w:t xml:space="preserve">, la juge Thibault a cru préférable de ne pas y répondre : </w:t>
      </w:r>
    </w:p>
    <w:p w14:paraId="198DF812" w14:textId="6D11878A" w:rsidR="00CF2D61" w:rsidRPr="00C311F0" w:rsidRDefault="00CF2D61" w:rsidP="00CF2D61">
      <w:pPr>
        <w:pStyle w:val="Citationenretrait"/>
        <w:rPr>
          <w:lang w:eastAsia="fr-CA"/>
        </w:rPr>
      </w:pPr>
      <w:r w:rsidRPr="00C311F0">
        <w:rPr>
          <w:lang w:eastAsia="fr-CA"/>
        </w:rPr>
        <w:t>[64]</w:t>
      </w:r>
      <w:r>
        <w:rPr>
          <w:lang w:eastAsia="fr-CA"/>
        </w:rPr>
        <w:tab/>
      </w:r>
      <w:r w:rsidRPr="00C311F0">
        <w:rPr>
          <w:lang w:eastAsia="fr-CA"/>
        </w:rPr>
        <w:t>En l</w:t>
      </w:r>
      <w:r>
        <w:rPr>
          <w:lang w:eastAsia="fr-CA"/>
        </w:rPr>
        <w:t>’</w:t>
      </w:r>
      <w:r w:rsidRPr="00C311F0">
        <w:rPr>
          <w:lang w:eastAsia="fr-CA"/>
        </w:rPr>
        <w:t>espèce, l</w:t>
      </w:r>
      <w:r>
        <w:rPr>
          <w:lang w:eastAsia="fr-CA"/>
        </w:rPr>
        <w:t>’</w:t>
      </w:r>
      <w:r w:rsidRPr="00C311F0">
        <w:rPr>
          <w:lang w:eastAsia="fr-CA"/>
        </w:rPr>
        <w:t>appelante n</w:t>
      </w:r>
      <w:r>
        <w:rPr>
          <w:lang w:eastAsia="fr-CA"/>
        </w:rPr>
        <w:t>’</w:t>
      </w:r>
      <w:r w:rsidRPr="00C311F0">
        <w:rPr>
          <w:lang w:eastAsia="fr-CA"/>
        </w:rPr>
        <w:t>a pas eu l</w:t>
      </w:r>
      <w:r>
        <w:rPr>
          <w:lang w:eastAsia="fr-CA"/>
        </w:rPr>
        <w:t>’</w:t>
      </w:r>
      <w:r w:rsidRPr="00C311F0">
        <w:rPr>
          <w:lang w:eastAsia="fr-CA"/>
        </w:rPr>
        <w:t>occasion d</w:t>
      </w:r>
      <w:r>
        <w:rPr>
          <w:lang w:eastAsia="fr-CA"/>
        </w:rPr>
        <w:t>’</w:t>
      </w:r>
      <w:r w:rsidRPr="00C311F0">
        <w:rPr>
          <w:lang w:eastAsia="fr-CA"/>
        </w:rPr>
        <w:t>établir le fondement factuel nécessaire à la présentation de son moyen constitutionnel. J</w:t>
      </w:r>
      <w:r>
        <w:rPr>
          <w:lang w:eastAsia="fr-CA"/>
        </w:rPr>
        <w:t>’</w:t>
      </w:r>
      <w:r w:rsidRPr="00C311F0">
        <w:rPr>
          <w:lang w:eastAsia="fr-CA"/>
        </w:rPr>
        <w:t>estime qu</w:t>
      </w:r>
      <w:r>
        <w:rPr>
          <w:lang w:eastAsia="fr-CA"/>
        </w:rPr>
        <w:t>’</w:t>
      </w:r>
      <w:r w:rsidRPr="00C311F0">
        <w:rPr>
          <w:lang w:eastAsia="fr-CA"/>
        </w:rPr>
        <w:t>il est préférable de ne pas statuer sur la question de l</w:t>
      </w:r>
      <w:r>
        <w:rPr>
          <w:lang w:eastAsia="fr-CA"/>
        </w:rPr>
        <w:t>’</w:t>
      </w:r>
      <w:r w:rsidRPr="00C311F0">
        <w:rPr>
          <w:lang w:eastAsia="fr-CA"/>
        </w:rPr>
        <w:t>opposabilité de l</w:t>
      </w:r>
      <w:r>
        <w:rPr>
          <w:lang w:eastAsia="fr-CA"/>
        </w:rPr>
        <w:t>’</w:t>
      </w:r>
      <w:r w:rsidRPr="00C311F0">
        <w:rPr>
          <w:lang w:eastAsia="fr-CA"/>
        </w:rPr>
        <w:t>article 586 </w:t>
      </w:r>
      <w:r w:rsidRPr="00C311F0">
        <w:rPr>
          <w:i/>
          <w:iCs/>
          <w:lang w:eastAsia="fr-CA"/>
        </w:rPr>
        <w:t>LCV</w:t>
      </w:r>
      <w:r>
        <w:rPr>
          <w:lang w:eastAsia="fr-CA"/>
        </w:rPr>
        <w:t xml:space="preserve"> </w:t>
      </w:r>
      <w:r w:rsidRPr="00C311F0">
        <w:rPr>
          <w:lang w:eastAsia="fr-CA"/>
        </w:rPr>
        <w:t>dans un vide factuel.</w:t>
      </w:r>
    </w:p>
    <w:p w14:paraId="76728E7F" w14:textId="317294FF" w:rsidR="00CF2D61" w:rsidRDefault="00CF2D61" w:rsidP="00CF2D61">
      <w:pPr>
        <w:pStyle w:val="Paragraphe"/>
        <w:rPr>
          <w:lang w:eastAsia="fr-CA"/>
        </w:rPr>
      </w:pPr>
      <w:r>
        <w:rPr>
          <w:lang w:eastAsia="fr-CA"/>
        </w:rPr>
        <w:t>Sa décision de ne pas le faire se conçoit aisément en ce que le débat dont la Cour était alors saisie portait sur un moyen d’irrecevabilité fondé sur la prescription dans le cadre duquel les faits allégués sont tenus pour avérés</w:t>
      </w:r>
      <w:r>
        <w:rPr>
          <w:rStyle w:val="Appelnotedebasdep"/>
          <w:lang w:eastAsia="fr-CA"/>
        </w:rPr>
        <w:footnoteReference w:id="59"/>
      </w:r>
      <w:r>
        <w:rPr>
          <w:lang w:eastAsia="fr-CA"/>
        </w:rPr>
        <w:t>, d’où sa conclusion quant à l’existence d’un vide factuel.</w:t>
      </w:r>
    </w:p>
    <w:p w14:paraId="23D194AD" w14:textId="05A4D19A" w:rsidR="00CF2D61" w:rsidRDefault="00CF2D61" w:rsidP="00CF2D61">
      <w:pPr>
        <w:pStyle w:val="Paragraphe"/>
        <w:rPr>
          <w:lang w:eastAsia="fr-CA"/>
        </w:rPr>
      </w:pPr>
      <w:r>
        <w:rPr>
          <w:lang w:eastAsia="fr-CA"/>
        </w:rPr>
        <w:t>En l’espèce, la situation se présente ici sous un jour différent. Un procès sur le fond a eu lieu et la preuve que les parties ont cru utile d’administrer a été faite. Voici ce que le juge en a retenu :</w:t>
      </w:r>
    </w:p>
    <w:p w14:paraId="3A41721C" w14:textId="6BDC447E" w:rsidR="00CF2D61" w:rsidRDefault="00CF2D61" w:rsidP="00CF2D61">
      <w:pPr>
        <w:pStyle w:val="Citationenretrait"/>
        <w:rPr>
          <w:rFonts w:cs="Arial"/>
          <w:color w:val="000000"/>
        </w:rPr>
      </w:pPr>
      <w:r>
        <w:rPr>
          <w:rFonts w:cs="Arial"/>
          <w:color w:val="000000"/>
        </w:rPr>
        <w:t>[192]</w:t>
      </w:r>
      <w:r>
        <w:rPr>
          <w:rFonts w:cs="Arial"/>
          <w:color w:val="000000"/>
        </w:rPr>
        <w:tab/>
        <w:t>Les parties demanderesses allèguent que ce sont les faits à l’origine des Recours qui rendent cet article inopérant. Ils ne demandent pas que le Tribunal prononce l’invalidité de cet article de loi, contrairement au titre de la procédure qui soutient ce moyen.</w:t>
      </w:r>
    </w:p>
    <w:p w14:paraId="7BC37E06" w14:textId="7D74BF98" w:rsidR="00CF2D61" w:rsidRPr="00C311F0" w:rsidRDefault="00CF2D61" w:rsidP="00CF2D61">
      <w:pPr>
        <w:pStyle w:val="Citationenretrait"/>
        <w:rPr>
          <w:lang w:eastAsia="fr-CA"/>
        </w:rPr>
      </w:pPr>
      <w:r w:rsidRPr="00A31AA6">
        <w:rPr>
          <w:rFonts w:cs="Arial"/>
          <w:color w:val="000000"/>
        </w:rPr>
        <w:t>[</w:t>
      </w:r>
      <w:bookmarkStart w:id="35" w:name="par193"/>
      <w:r w:rsidRPr="00A31AA6">
        <w:rPr>
          <w:rFonts w:cs="Arial"/>
          <w:color w:val="000000"/>
        </w:rPr>
        <w:t>193</w:t>
      </w:r>
      <w:bookmarkEnd w:id="35"/>
      <w:r w:rsidRPr="00A31AA6">
        <w:rPr>
          <w:rFonts w:cs="Arial"/>
          <w:color w:val="000000"/>
        </w:rPr>
        <w:t>]</w:t>
      </w:r>
      <w:r>
        <w:rPr>
          <w:rFonts w:cs="Arial"/>
          <w:color w:val="000000"/>
        </w:rPr>
        <w:tab/>
      </w:r>
      <w:r w:rsidRPr="00A31AA6">
        <w:rPr>
          <w:rFonts w:cs="Arial"/>
          <w:color w:val="000000"/>
        </w:rPr>
        <w:t>Outre l</w:t>
      </w:r>
      <w:r>
        <w:rPr>
          <w:rFonts w:cs="Arial"/>
          <w:color w:val="000000"/>
        </w:rPr>
        <w:t>’</w:t>
      </w:r>
      <w:r w:rsidRPr="00A31AA6">
        <w:rPr>
          <w:rFonts w:cs="Arial"/>
          <w:color w:val="000000"/>
        </w:rPr>
        <w:t>allégation présente dans leur avis, les parties demanderesses n</w:t>
      </w:r>
      <w:r>
        <w:rPr>
          <w:rFonts w:cs="Arial"/>
          <w:color w:val="000000"/>
        </w:rPr>
        <w:t>’</w:t>
      </w:r>
      <w:r w:rsidRPr="00A31AA6">
        <w:rPr>
          <w:rFonts w:cs="Arial"/>
          <w:color w:val="000000"/>
        </w:rPr>
        <w:t xml:space="preserve">allèguent ni ne prouvent que </w:t>
      </w:r>
      <w:r w:rsidRPr="00A31AA6">
        <w:rPr>
          <w:rFonts w:cs="Arial"/>
        </w:rPr>
        <w:t>l</w:t>
      </w:r>
      <w:r>
        <w:rPr>
          <w:rFonts w:cs="Arial"/>
        </w:rPr>
        <w:t>’</w:t>
      </w:r>
      <w:r w:rsidRPr="00A31AA6">
        <w:rPr>
          <w:rFonts w:cs="Arial"/>
        </w:rPr>
        <w:t>article 586 LCV </w:t>
      </w:r>
      <w:r w:rsidRPr="00A31AA6">
        <w:rPr>
          <w:rFonts w:cs="Arial"/>
          <w:color w:val="000000"/>
        </w:rPr>
        <w:t>porte atteinte à un droit garanti par la </w:t>
      </w:r>
      <w:r w:rsidRPr="00A31AA6">
        <w:rPr>
          <w:rFonts w:cs="Arial"/>
        </w:rPr>
        <w:t>Charte</w:t>
      </w:r>
      <w:r w:rsidRPr="00A31AA6">
        <w:rPr>
          <w:rFonts w:cs="Arial"/>
          <w:color w:val="000000"/>
        </w:rPr>
        <w:t>.</w:t>
      </w:r>
    </w:p>
    <w:p w14:paraId="15C6B4ED" w14:textId="4D8DF28D" w:rsidR="00CF2D61" w:rsidRPr="00F94023" w:rsidRDefault="00CF2D61" w:rsidP="00CF2D61">
      <w:pPr>
        <w:pStyle w:val="Paragraphe"/>
        <w:rPr>
          <w:lang w:eastAsia="ar-SA"/>
        </w:rPr>
      </w:pPr>
      <w:r>
        <w:rPr>
          <w:lang w:eastAsia="ar-SA"/>
        </w:rPr>
        <w:t xml:space="preserve">Les appelants reprochent au juge de ne pas avoir fait précéder sa conclusion d’une analyse permettant d’en comprendre le fondement. Ils ajoutent que, contrairement à ce que le juge écrit, leurs avis selon l’article 76 </w:t>
      </w:r>
      <w:r w:rsidRPr="00952ED1">
        <w:rPr>
          <w:i/>
          <w:iCs/>
          <w:lang w:eastAsia="ar-SA"/>
        </w:rPr>
        <w:t>C.p.c</w:t>
      </w:r>
      <w:r>
        <w:rPr>
          <w:lang w:eastAsia="ar-SA"/>
        </w:rPr>
        <w:t xml:space="preserve">. allèguent bel et bien une violation de l’article 7 de la </w:t>
      </w:r>
      <w:r w:rsidRPr="006E4EF2">
        <w:rPr>
          <w:i/>
          <w:iCs/>
          <w:lang w:eastAsia="ar-SA"/>
        </w:rPr>
        <w:t>Charte</w:t>
      </w:r>
      <w:r>
        <w:rPr>
          <w:lang w:eastAsia="ar-SA"/>
        </w:rPr>
        <w:t>.</w:t>
      </w:r>
    </w:p>
    <w:p w14:paraId="0317AE9C" w14:textId="40E32705" w:rsidR="00CF2D61" w:rsidRPr="003F1F66" w:rsidRDefault="00CF2D61" w:rsidP="008D2F56">
      <w:pPr>
        <w:pStyle w:val="Paragraphe"/>
        <w:keepNext/>
        <w:keepLines/>
        <w:rPr>
          <w:lang w:eastAsia="ar-SA"/>
        </w:rPr>
      </w:pPr>
      <w:r>
        <w:rPr>
          <w:szCs w:val="24"/>
        </w:rPr>
        <w:t xml:space="preserve">Les appelants font valoir que l’article 586 </w:t>
      </w:r>
      <w:r w:rsidRPr="004E5124">
        <w:rPr>
          <w:i/>
          <w:iCs/>
          <w:szCs w:val="24"/>
        </w:rPr>
        <w:t>L.c.v.</w:t>
      </w:r>
      <w:r>
        <w:rPr>
          <w:szCs w:val="24"/>
        </w:rPr>
        <w:t xml:space="preserve"> porterait atteinte au droit protégé par l’article 7 de la </w:t>
      </w:r>
      <w:r w:rsidRPr="004E5124">
        <w:rPr>
          <w:i/>
          <w:iCs/>
          <w:szCs w:val="24"/>
        </w:rPr>
        <w:t>Charte</w:t>
      </w:r>
      <w:r>
        <w:rPr>
          <w:szCs w:val="24"/>
        </w:rPr>
        <w:t xml:space="preserve"> en ce qu’il serait arbitraire en plus d’avoir une portée excessive. En limitant à six mois la période pendant laquelle il est possible de poursuivre une ville pour le travail de ses policiers, la disposition attaquée « empêche[rait] que soit contrôlé le travail policier qui peut porter atteinte à la liberté et à la sécurité de la personne, et ce, alors que le travail des policiers provinciaux et fédéraux » peut [l’être] à l’intérieur d’un délai 6 fois plus long (3 ans, soit le délai de droit commun) ». Pourtant, tous les policiers, quel que soit leur employeur, sont des représentants de l’État soumis au même cadre juridique. Pourquoi alors ce traitement inégal? Par ailleurs, sa portée excessive « découle[rait] du fait que cette prescription s’applique à un vaste éventail de fautes qui peuvent être commises par une Ville et ses divers mandataires ». Les appelants précisent leur pensée en indiquant que « [c]’est en étendant cette courte prescription au travail des policiers que la portée de la disposition devient excessive, surtout conjugué au caractère arbitraire ». De plus, ils soulignent que la raison d’être de la courte prescription en faveur des villes perd de sa raison d’être lorsque c’est le travail des policiers qui est en cause. En effet, contrairement aux autres employés municipaux, les policiers sont appelés à documenter leurs interventions, de sorte que l’écoulement du temps est peu susceptible de compromettre leur droit de se défendre lorsque ces interventions donnent lieu à une poursuite.</w:t>
      </w:r>
    </w:p>
    <w:p w14:paraId="3E92473A" w14:textId="77777777" w:rsidR="00CF2D61" w:rsidRPr="00335042" w:rsidRDefault="00CF2D61" w:rsidP="00CF2D61">
      <w:pPr>
        <w:pStyle w:val="Paragraphe"/>
        <w:numPr>
          <w:ilvl w:val="0"/>
          <w:numId w:val="0"/>
        </w:numPr>
        <w:spacing w:before="0" w:after="0"/>
        <w:jc w:val="center"/>
        <w:rPr>
          <w:lang w:eastAsia="ar-SA"/>
        </w:rPr>
      </w:pPr>
      <w:r>
        <w:rPr>
          <w:szCs w:val="24"/>
        </w:rPr>
        <w:t>* * *</w:t>
      </w:r>
    </w:p>
    <w:p w14:paraId="0CC34A87" w14:textId="7CEC9E8E" w:rsidR="00CF2D61" w:rsidRDefault="00CF2D61" w:rsidP="00CF2D61">
      <w:pPr>
        <w:pStyle w:val="Paragraphe"/>
        <w:rPr>
          <w:lang w:eastAsia="ar-SA"/>
        </w:rPr>
      </w:pPr>
      <w:r>
        <w:rPr>
          <w:lang w:val="fr-FR" w:eastAsia="en-US"/>
        </w:rPr>
        <w:t xml:space="preserve">Outre ces énoncés contenus dans leurs avis selon l’article 76 </w:t>
      </w:r>
      <w:r w:rsidRPr="003A1EE5">
        <w:rPr>
          <w:i/>
          <w:iCs/>
          <w:lang w:val="fr-FR" w:eastAsia="en-US"/>
        </w:rPr>
        <w:t>C.p.c</w:t>
      </w:r>
      <w:r>
        <w:rPr>
          <w:lang w:val="fr-FR" w:eastAsia="en-US"/>
        </w:rPr>
        <w:t xml:space="preserve">. et repris dans leur mémoire, les appelants, sauf de l’alléguer de façon générique, n’expliquent pas en quoi la prescription de l’article 586 </w:t>
      </w:r>
      <w:r w:rsidRPr="003A1EE5">
        <w:rPr>
          <w:i/>
          <w:iCs/>
          <w:lang w:val="fr-FR" w:eastAsia="en-US"/>
        </w:rPr>
        <w:t>L.c.v</w:t>
      </w:r>
      <w:r>
        <w:rPr>
          <w:lang w:val="fr-FR" w:eastAsia="en-US"/>
        </w:rPr>
        <w:t xml:space="preserve">. porterait atteinte à leur droit </w:t>
      </w:r>
      <w:r w:rsidRPr="00C41878">
        <w:t xml:space="preserve">à la vie, à la liberté et à la sécurité de </w:t>
      </w:r>
      <w:r>
        <w:t>leur</w:t>
      </w:r>
      <w:r w:rsidRPr="00C41878">
        <w:t xml:space="preserve"> personne</w:t>
      </w:r>
      <w:r>
        <w:t xml:space="preserve"> protégé par l’article 7 de la </w:t>
      </w:r>
      <w:r w:rsidRPr="00397280">
        <w:rPr>
          <w:i/>
          <w:iCs/>
        </w:rPr>
        <w:t>Charte</w:t>
      </w:r>
      <w:r>
        <w:t xml:space="preserve"> ni pourquoi cette atteinte, le cas échéant, ne serait pas conforme aux principes de justice fondamentale.</w:t>
      </w:r>
    </w:p>
    <w:p w14:paraId="0A88D89C" w14:textId="150F1517" w:rsidR="003E413C" w:rsidRPr="00F6105E" w:rsidRDefault="00CF2D61" w:rsidP="003E413C">
      <w:pPr>
        <w:pStyle w:val="Paragraphe"/>
        <w:rPr>
          <w:lang w:eastAsia="ar-SA"/>
        </w:rPr>
      </w:pPr>
      <w:r w:rsidRPr="00F6105E">
        <w:t xml:space="preserve">Certes, de l’accomplissement de la prescription suivant l’article 586 </w:t>
      </w:r>
      <w:r w:rsidRPr="00F6105E">
        <w:rPr>
          <w:i/>
          <w:iCs/>
        </w:rPr>
        <w:t>L.c.v</w:t>
      </w:r>
      <w:r w:rsidRPr="00F6105E">
        <w:t>. résulte la perte d’un droit d’action. C’est le propre de la prescription extinctive, quelle qu’en soit la durée</w:t>
      </w:r>
      <w:r w:rsidRPr="00F6105E">
        <w:rPr>
          <w:rStyle w:val="Appelnotedebasdep"/>
        </w:rPr>
        <w:footnoteReference w:id="60"/>
      </w:r>
      <w:r w:rsidRPr="00F6105E">
        <w:t xml:space="preserve">. Il est vrai que la prescription de l’article 586 </w:t>
      </w:r>
      <w:r w:rsidRPr="00F6105E">
        <w:rPr>
          <w:i/>
          <w:iCs/>
        </w:rPr>
        <w:t>L.c.v</w:t>
      </w:r>
      <w:r w:rsidRPr="00F6105E">
        <w:t xml:space="preserve">. se distingue de la prescription de droit commun en raison de sa courte durée et du fait qu’elle ne profite qu’aux villes. Pour autant, les appelants échouent à démontrer que le juge a erré en concluant qu’elle ne portait pas atteinte à </w:t>
      </w:r>
      <w:r w:rsidR="00D97945" w:rsidRPr="00F6105E">
        <w:t>leur vie, à leur</w:t>
      </w:r>
      <w:r w:rsidRPr="00F6105E">
        <w:t xml:space="preserve"> liberté et à la sécurité de leur personne.</w:t>
      </w:r>
      <w:r w:rsidR="00B80EC6" w:rsidRPr="00F6105E">
        <w:t xml:space="preserve"> </w:t>
      </w:r>
      <w:r w:rsidR="008F7600" w:rsidRPr="00F6105E">
        <w:t>Incidemment, j</w:t>
      </w:r>
      <w:r w:rsidR="003E413C" w:rsidRPr="00F6105E">
        <w:rPr>
          <w:lang w:eastAsia="ar-SA"/>
        </w:rPr>
        <w:t xml:space="preserve">e tiens à souligner que les appelants n’ont pas proposé, comme il leur aurait été possible de le faire, de situations raisonnablement prévisibles pour étayer leur analyse sur la </w:t>
      </w:r>
      <w:r w:rsidR="003E413C" w:rsidRPr="00F6105E">
        <w:rPr>
          <w:sz w:val="22"/>
          <w:szCs w:val="22"/>
          <w:lang w:eastAsia="ar-SA"/>
        </w:rPr>
        <w:t xml:space="preserve">validité </w:t>
      </w:r>
      <w:r w:rsidR="003E413C" w:rsidRPr="00F6105E">
        <w:rPr>
          <w:szCs w:val="24"/>
          <w:lang w:eastAsia="ar-SA"/>
        </w:rPr>
        <w:t xml:space="preserve">constitutionnelle de l’article 586 </w:t>
      </w:r>
      <w:r w:rsidR="003E413C" w:rsidRPr="00F6105E">
        <w:rPr>
          <w:i/>
          <w:iCs/>
          <w:szCs w:val="24"/>
          <w:lang w:eastAsia="ar-SA"/>
        </w:rPr>
        <w:t>L.c.v</w:t>
      </w:r>
      <w:r w:rsidR="003E413C" w:rsidRPr="00F6105E">
        <w:rPr>
          <w:szCs w:val="24"/>
          <w:lang w:eastAsia="ar-SA"/>
        </w:rPr>
        <w:t xml:space="preserve">. au regard de l’article 7 de la </w:t>
      </w:r>
      <w:r w:rsidR="003E413C" w:rsidRPr="00F6105E">
        <w:rPr>
          <w:i/>
          <w:iCs/>
          <w:szCs w:val="24"/>
          <w:lang w:eastAsia="ar-SA"/>
        </w:rPr>
        <w:t>Charte</w:t>
      </w:r>
      <w:r w:rsidR="003E413C" w:rsidRPr="00F6105E">
        <w:rPr>
          <w:rStyle w:val="Appelnotedebasdep"/>
          <w:szCs w:val="24"/>
          <w:lang w:eastAsia="ar-SA"/>
        </w:rPr>
        <w:footnoteReference w:id="61"/>
      </w:r>
      <w:r w:rsidR="003E413C" w:rsidRPr="00F6105E">
        <w:rPr>
          <w:szCs w:val="24"/>
          <w:lang w:eastAsia="ar-SA"/>
        </w:rPr>
        <w:t>.</w:t>
      </w:r>
    </w:p>
    <w:p w14:paraId="3B0EC7FA" w14:textId="004A5A52" w:rsidR="00CF2D61" w:rsidRPr="00F6105E" w:rsidRDefault="00B80EC6" w:rsidP="00CF2D61">
      <w:pPr>
        <w:pStyle w:val="Paragraphe"/>
        <w:rPr>
          <w:lang w:eastAsia="ar-SA"/>
        </w:rPr>
      </w:pPr>
      <w:r w:rsidRPr="00F6105E">
        <w:t xml:space="preserve">Du reste, je ne vois comment on peut prétendre que cet article 586 </w:t>
      </w:r>
      <w:r w:rsidRPr="00F6105E">
        <w:rPr>
          <w:i/>
          <w:iCs/>
        </w:rPr>
        <w:t>L.c.v.</w:t>
      </w:r>
      <w:r w:rsidRPr="00F6105E">
        <w:t xml:space="preserve"> </w:t>
      </w:r>
      <w:r w:rsidR="003E413C" w:rsidRPr="00F6105E">
        <w:t xml:space="preserve">contrevient à l’article 7 de la </w:t>
      </w:r>
      <w:r w:rsidR="003E413C" w:rsidRPr="00F6105E">
        <w:rPr>
          <w:i/>
          <w:iCs/>
        </w:rPr>
        <w:t>Charte</w:t>
      </w:r>
      <w:r w:rsidR="004F09B4" w:rsidRPr="00F6105E">
        <w:t xml:space="preserve">. À ce propos, </w:t>
      </w:r>
      <w:r w:rsidR="003E413C" w:rsidRPr="00F6105E">
        <w:t>l’</w:t>
      </w:r>
      <w:r w:rsidR="004F09B4" w:rsidRPr="00F6105E">
        <w:t xml:space="preserve">extrait </w:t>
      </w:r>
      <w:r w:rsidR="003E413C" w:rsidRPr="00F6105E">
        <w:t xml:space="preserve">suivant </w:t>
      </w:r>
      <w:r w:rsidR="004F09B4" w:rsidRPr="00F6105E">
        <w:t xml:space="preserve">des motifs du juge Macpherson de la Cour d’appel de l’Ontario dans </w:t>
      </w:r>
      <w:r w:rsidR="004F09B4" w:rsidRPr="00F6105E">
        <w:rPr>
          <w:i/>
          <w:iCs/>
        </w:rPr>
        <w:t>Rogers v. Faught</w:t>
      </w:r>
      <w:r w:rsidR="004F09B4" w:rsidRPr="00F6105E">
        <w:rPr>
          <w:rStyle w:val="Appelnotedebasdep"/>
        </w:rPr>
        <w:footnoteReference w:id="62"/>
      </w:r>
      <w:r w:rsidR="004F09B4" w:rsidRPr="00F6105E">
        <w:t> </w:t>
      </w:r>
      <w:r w:rsidR="003E413C" w:rsidRPr="00F6105E">
        <w:t>m’apparaît très pertinent</w:t>
      </w:r>
      <w:r w:rsidR="00F6105E">
        <w:t> </w:t>
      </w:r>
      <w:r w:rsidR="004F09B4" w:rsidRPr="00F6105E">
        <w:t>:</w:t>
      </w:r>
    </w:p>
    <w:p w14:paraId="00A94E69" w14:textId="132322F7" w:rsidR="004F09B4" w:rsidRPr="00F6105E" w:rsidRDefault="004F09B4" w:rsidP="004F09B4">
      <w:pPr>
        <w:pStyle w:val="Citationenretrait"/>
        <w:rPr>
          <w:lang w:val="en-CA" w:eastAsia="ar-SA"/>
        </w:rPr>
      </w:pPr>
      <w:r w:rsidRPr="00F6105E">
        <w:rPr>
          <w:lang w:val="en-CA"/>
        </w:rPr>
        <w:t>[</w:t>
      </w:r>
      <w:bookmarkStart w:id="36" w:name="par34"/>
      <w:r w:rsidRPr="00F6105E">
        <w:rPr>
          <w:lang w:val="en-CA"/>
        </w:rPr>
        <w:t>34</w:t>
      </w:r>
      <w:bookmarkEnd w:id="36"/>
      <w:r w:rsidRPr="00F6105E">
        <w:rPr>
          <w:lang w:val="en-CA"/>
        </w:rPr>
        <w:t>]</w:t>
      </w:r>
      <w:r w:rsidRPr="00F6105E">
        <w:rPr>
          <w:sz w:val="14"/>
          <w:szCs w:val="14"/>
          <w:lang w:val="en-CA"/>
        </w:rPr>
        <w:tab/>
      </w:r>
      <w:r w:rsidRPr="00F6105E">
        <w:rPr>
          <w:lang w:val="en-CA"/>
        </w:rPr>
        <w:t>Moreover, with respect to the appellants’ s. 7 claim, it must fail, as the motions judge noted, because</w:t>
      </w:r>
      <w:r w:rsidR="00F6105E">
        <w:rPr>
          <w:lang w:val="en-CA"/>
        </w:rPr>
        <w:t> s. 7 </w:t>
      </w:r>
      <w:r w:rsidRPr="00F6105E">
        <w:rPr>
          <w:lang w:val="en-CA"/>
        </w:rPr>
        <w:t>of the</w:t>
      </w:r>
      <w:r w:rsidR="00F6105E">
        <w:rPr>
          <w:lang w:val="en-CA"/>
        </w:rPr>
        <w:t> </w:t>
      </w:r>
      <w:r w:rsidR="00F6105E" w:rsidRPr="00F6105E">
        <w:rPr>
          <w:i/>
          <w:iCs/>
          <w:lang w:val="en-CA"/>
        </w:rPr>
        <w:t>Charter</w:t>
      </w:r>
      <w:r w:rsidR="00F6105E">
        <w:rPr>
          <w:lang w:val="en-CA"/>
        </w:rPr>
        <w:t> </w:t>
      </w:r>
      <w:r w:rsidRPr="00F6105E">
        <w:rPr>
          <w:lang w:val="en-CA"/>
        </w:rPr>
        <w:t>does not embrace the right to bring an action for the recovery of damages for personal injury.  A civil action is economic and proprietary in nature and as such outside the range of interests protected by s. 7: see, </w:t>
      </w:r>
      <w:r w:rsidRPr="00F6105E">
        <w:rPr>
          <w:i/>
          <w:iCs/>
          <w:lang w:val="en-CA"/>
        </w:rPr>
        <w:t>Filip v. Waterloo (City)</w:t>
      </w:r>
      <w:r w:rsidRPr="00F6105E">
        <w:rPr>
          <w:lang w:val="en-CA"/>
        </w:rPr>
        <w:t> (1992),</w:t>
      </w:r>
      <w:r w:rsidR="00F6105E">
        <w:rPr>
          <w:lang w:val="en-CA"/>
        </w:rPr>
        <w:t> 1992 CanLII 8652 (ON CA)</w:t>
      </w:r>
      <w:r w:rsidRPr="00F6105E">
        <w:rPr>
          <w:lang w:val="en-CA"/>
        </w:rPr>
        <w:t>, 98 D.L.R. (4th) 534 at 537-38 (Ont. C.A.).</w:t>
      </w:r>
    </w:p>
    <w:p w14:paraId="4EF3335F" w14:textId="393CDC4F" w:rsidR="00D97945" w:rsidRPr="00F6105E" w:rsidRDefault="00D97945" w:rsidP="00CF2D61">
      <w:pPr>
        <w:pStyle w:val="Paragraphe"/>
        <w:rPr>
          <w:lang w:eastAsia="ar-SA"/>
        </w:rPr>
      </w:pPr>
      <w:r w:rsidRPr="00F6105E">
        <w:rPr>
          <w:lang w:eastAsia="ar-SA"/>
        </w:rPr>
        <w:t>Cela met fin à la discussion</w:t>
      </w:r>
      <w:r w:rsidR="003E413C" w:rsidRPr="00F6105E">
        <w:rPr>
          <w:lang w:eastAsia="ar-SA"/>
        </w:rPr>
        <w:t xml:space="preserve"> sans qu’il soit nécessaire de se demander si l’article 586 </w:t>
      </w:r>
      <w:r w:rsidR="003E413C" w:rsidRPr="00F6105E">
        <w:rPr>
          <w:i/>
          <w:iCs/>
          <w:lang w:eastAsia="ar-SA"/>
        </w:rPr>
        <w:t>L.c.v.</w:t>
      </w:r>
      <w:r w:rsidR="003E413C" w:rsidRPr="00F6105E">
        <w:rPr>
          <w:lang w:eastAsia="ar-SA"/>
        </w:rPr>
        <w:t xml:space="preserve"> restreint </w:t>
      </w:r>
      <w:r w:rsidR="00F65DA8" w:rsidRPr="00F6105E">
        <w:rPr>
          <w:color w:val="000000"/>
        </w:rPr>
        <w:t xml:space="preserve">le droit des appelants protégé par l’article 7 de la </w:t>
      </w:r>
      <w:r w:rsidR="00F65DA8" w:rsidRPr="00F6105E">
        <w:rPr>
          <w:i/>
          <w:iCs/>
          <w:color w:val="000000"/>
        </w:rPr>
        <w:t>Charte</w:t>
      </w:r>
      <w:r w:rsidR="003E413C" w:rsidRPr="00F6105E">
        <w:rPr>
          <w:color w:val="000000"/>
        </w:rPr>
        <w:t xml:space="preserve"> d’une manière non conforme aux principes de justice fondamentale</w:t>
      </w:r>
      <w:r w:rsidR="003E413C" w:rsidRPr="00F6105E">
        <w:rPr>
          <w:rStyle w:val="Appelnotedebasdep"/>
          <w:color w:val="000000"/>
        </w:rPr>
        <w:footnoteReference w:id="63"/>
      </w:r>
      <w:r w:rsidR="003E413C" w:rsidRPr="00F6105E">
        <w:rPr>
          <w:color w:val="000000"/>
        </w:rPr>
        <w:t>.</w:t>
      </w:r>
    </w:p>
    <w:p w14:paraId="411A9EBB" w14:textId="4C4A06C9" w:rsidR="00CF2D61" w:rsidRDefault="00CF2D61" w:rsidP="00CF2D61">
      <w:pPr>
        <w:pStyle w:val="Paragraphe"/>
        <w:rPr>
          <w:lang w:eastAsia="ar-SA"/>
        </w:rPr>
      </w:pPr>
      <w:r>
        <w:rPr>
          <w:lang w:eastAsia="ar-SA"/>
        </w:rPr>
        <w:t xml:space="preserve">Par ailleurs, l’argument des appelants selon lequel cette courte prescription de l’article 586 </w:t>
      </w:r>
      <w:r w:rsidRPr="00EA72C9">
        <w:rPr>
          <w:i/>
          <w:iCs/>
          <w:lang w:eastAsia="ar-SA"/>
        </w:rPr>
        <w:t xml:space="preserve">L.c.v. </w:t>
      </w:r>
      <w:r w:rsidRPr="00E01343">
        <w:rPr>
          <w:lang w:eastAsia="ar-SA"/>
        </w:rPr>
        <w:t>équivau</w:t>
      </w:r>
      <w:r>
        <w:rPr>
          <w:lang w:eastAsia="ar-SA"/>
        </w:rPr>
        <w:t xml:space="preserve">drait à une immunité en faveur des villes et des policiers à leur emploi, ou du moins qu’elle ferait échec à tout recours intenté contre eux en vertu du paragraphe 24(1) de la </w:t>
      </w:r>
      <w:r w:rsidRPr="00EA72C9">
        <w:rPr>
          <w:i/>
          <w:iCs/>
          <w:lang w:eastAsia="ar-SA"/>
        </w:rPr>
        <w:t>Charte</w:t>
      </w:r>
      <w:r>
        <w:rPr>
          <w:lang w:eastAsia="ar-SA"/>
        </w:rPr>
        <w:t>, ne convainc pas davantage. Les appelants ne démontrent pas que le délai de six mois dont ils disposaient pour prendre action a eu un tel effet. À l’audience, l’un des avocats qui occupent pour les appelants a admis que la preuve n’établit pas qu’un délai de six mois était insuffisant pour permettre aux membres de prendre action.</w:t>
      </w:r>
    </w:p>
    <w:p w14:paraId="35484EC4" w14:textId="5CF77A3F" w:rsidR="00CF2D61" w:rsidRDefault="00CF2D61" w:rsidP="00CF2D61">
      <w:pPr>
        <w:pStyle w:val="Paragraphe"/>
        <w:rPr>
          <w:lang w:eastAsia="ar-SA"/>
        </w:rPr>
      </w:pPr>
      <w:r>
        <w:rPr>
          <w:lang w:eastAsia="ar-SA"/>
        </w:rPr>
        <w:t xml:space="preserve">Du reste, cette admission est conforme à la preuve. Comme le juge le rapporte, dans les six mois qui ont suivi leur arrestation, plusieurs des membres se sont mobilisés en confiant à un avocat le mandat de contester le constat d’infraction qu’ils avaient reçu. De même, ils ont été informés de leur droit d’intenter une poursuite civile pour obtenir réparation des torts qu’ils estiment avoir subis </w:t>
      </w:r>
      <w:r w:rsidRPr="009278F4">
        <w:rPr>
          <w:lang w:eastAsia="ar-SA"/>
        </w:rPr>
        <w:t xml:space="preserve">et un manifestant exclu des </w:t>
      </w:r>
      <w:r>
        <w:rPr>
          <w:lang w:eastAsia="ar-SA"/>
        </w:rPr>
        <w:t>actions</w:t>
      </w:r>
      <w:r w:rsidRPr="009278F4">
        <w:rPr>
          <w:lang w:eastAsia="ar-SA"/>
        </w:rPr>
        <w:t xml:space="preserve"> collecti</w:t>
      </w:r>
      <w:r>
        <w:rPr>
          <w:lang w:eastAsia="ar-SA"/>
        </w:rPr>
        <w:t>ves</w:t>
      </w:r>
      <w:r w:rsidRPr="009278F4">
        <w:rPr>
          <w:lang w:eastAsia="ar-SA"/>
        </w:rPr>
        <w:t xml:space="preserve"> a pu intenter son recours individuel dans les délais</w:t>
      </w:r>
      <w:r w:rsidRPr="009278F4">
        <w:rPr>
          <w:rStyle w:val="Appelnotedebasdep"/>
          <w:lang w:eastAsia="ar-SA"/>
        </w:rPr>
        <w:footnoteReference w:id="64"/>
      </w:r>
      <w:r w:rsidRPr="009278F4">
        <w:rPr>
          <w:lang w:eastAsia="ar-SA"/>
        </w:rPr>
        <w:t>.</w:t>
      </w:r>
      <w:r>
        <w:rPr>
          <w:lang w:eastAsia="ar-SA"/>
        </w:rPr>
        <w:t xml:space="preserve"> S’ils n’ont pas agi en temps opportun, c’est en raison de leur ignorance de la loi</w:t>
      </w:r>
      <w:r>
        <w:rPr>
          <w:rStyle w:val="Appelnotedebasdep"/>
          <w:lang w:eastAsia="ar-SA"/>
        </w:rPr>
        <w:footnoteReference w:id="65"/>
      </w:r>
      <w:r>
        <w:rPr>
          <w:lang w:eastAsia="ar-SA"/>
        </w:rPr>
        <w:t>. Ces conclusions factuelles du juge méritent déférence et ne sont d’ailleurs pas attaquées en appel.</w:t>
      </w:r>
    </w:p>
    <w:p w14:paraId="24D22637" w14:textId="6DAEDCB8" w:rsidR="00CF2D61" w:rsidRDefault="00CF2D61" w:rsidP="00CF2D61">
      <w:pPr>
        <w:pStyle w:val="Paragraphe"/>
        <w:rPr>
          <w:lang w:eastAsia="ar-SA"/>
        </w:rPr>
      </w:pPr>
      <w:r w:rsidRPr="00412F5D">
        <w:t>Enfin, l</w:t>
      </w:r>
      <w:r>
        <w:t>’</w:t>
      </w:r>
      <w:r w:rsidRPr="00412F5D">
        <w:t>argume</w:t>
      </w:r>
      <w:r w:rsidRPr="00A02512">
        <w:t>nt de la complexité</w:t>
      </w:r>
      <w:r w:rsidRPr="00ED649A">
        <w:rPr>
          <w:i/>
          <w:iCs/>
        </w:rPr>
        <w:t xml:space="preserve"> </w:t>
      </w:r>
      <w:r w:rsidRPr="00A02512">
        <w:t>des</w:t>
      </w:r>
      <w:r>
        <w:t xml:space="preserve"> actions collectives que les appelants font valoir ne résiste pas à l’analyse. La demande d’autorisation a pour effet de suspendre la prescription (art. 2908 </w:t>
      </w:r>
      <w:r w:rsidRPr="00ED649A">
        <w:rPr>
          <w:i/>
          <w:iCs/>
        </w:rPr>
        <w:t>C.c.Q.</w:t>
      </w:r>
      <w:r>
        <w:t>), de sorte que je n’identifie aucune problématique propre aux actions collectives.</w:t>
      </w:r>
    </w:p>
    <w:p w14:paraId="2D10E0CD" w14:textId="3F88005B" w:rsidR="00CF2D61" w:rsidRDefault="00CF2D61" w:rsidP="00CF2D61">
      <w:pPr>
        <w:pStyle w:val="Paragraphe"/>
        <w:rPr>
          <w:lang w:eastAsia="ar-SA"/>
        </w:rPr>
      </w:pPr>
      <w:r>
        <w:rPr>
          <w:lang w:eastAsia="ar-SA"/>
        </w:rPr>
        <w:t>En somme, je ne décèle aucune erreur révisable dans la conclusion du juge selon laquelle la perte par les membres de leur droit d’action n’a pour seule explication que l’ignorance de la loi, laquelle ne constitue pas une cause de suspension de la prescription</w:t>
      </w:r>
      <w:r>
        <w:rPr>
          <w:rStyle w:val="Appelnotedebasdep"/>
          <w:lang w:eastAsia="ar-SA"/>
        </w:rPr>
        <w:footnoteReference w:id="66"/>
      </w:r>
      <w:r>
        <w:rPr>
          <w:lang w:eastAsia="ar-SA"/>
        </w:rPr>
        <w:t>.</w:t>
      </w:r>
    </w:p>
    <w:p w14:paraId="7B8CE39F" w14:textId="2FD63E45" w:rsidR="00CF2D61" w:rsidRDefault="00CF2D61" w:rsidP="00CF2D61">
      <w:pPr>
        <w:pStyle w:val="Paragraphe"/>
      </w:pPr>
      <w:r>
        <w:t>Mes conclusions sur le premier et le second moyen d’appel scellent le sort du présent pourvoi et partant, justifient son rejet sans qu’il soit nécessaire d’examiner les autres moyens d’appel.</w:t>
      </w:r>
    </w:p>
    <w:p w14:paraId="67055215" w14:textId="77777777" w:rsidR="00CF2D61" w:rsidRPr="00A07E78" w:rsidRDefault="00CF2D61" w:rsidP="00CF2D61"/>
    <w:tbl>
      <w:tblPr>
        <w:tblW w:w="0" w:type="auto"/>
        <w:tblLayout w:type="fixed"/>
        <w:tblCellMar>
          <w:left w:w="0" w:type="dxa"/>
          <w:right w:w="0" w:type="dxa"/>
        </w:tblCellMar>
        <w:tblLook w:val="0000" w:firstRow="0" w:lastRow="0" w:firstColumn="0" w:lastColumn="0" w:noHBand="0" w:noVBand="0"/>
      </w:tblPr>
      <w:tblGrid>
        <w:gridCol w:w="4735"/>
        <w:gridCol w:w="4625"/>
      </w:tblGrid>
      <w:tr w:rsidR="00CF2D61" w14:paraId="4EC4CF29" w14:textId="77777777" w:rsidTr="009E34B3">
        <w:trPr>
          <w:cantSplit/>
          <w:trHeight w:val="513"/>
        </w:trPr>
        <w:tc>
          <w:tcPr>
            <w:tcW w:w="9360" w:type="dxa"/>
            <w:gridSpan w:val="2"/>
          </w:tcPr>
          <w:p w14:paraId="522ACB44" w14:textId="77777777" w:rsidR="00CF2D61" w:rsidRDefault="00CF2D61" w:rsidP="009E34B3"/>
        </w:tc>
      </w:tr>
      <w:tr w:rsidR="00CF2D61" w14:paraId="36664286" w14:textId="77777777" w:rsidTr="009E34B3">
        <w:trPr>
          <w:cantSplit/>
          <w:trHeight w:val="277"/>
        </w:trPr>
        <w:tc>
          <w:tcPr>
            <w:tcW w:w="4735" w:type="dxa"/>
            <w:vMerge w:val="restart"/>
          </w:tcPr>
          <w:p w14:paraId="6F4C4177" w14:textId="77777777" w:rsidR="00CF2D61" w:rsidRDefault="00CF2D61" w:rsidP="009E34B3"/>
        </w:tc>
        <w:tc>
          <w:tcPr>
            <w:tcW w:w="4625" w:type="dxa"/>
            <w:tcBorders>
              <w:bottom w:val="single" w:sz="8" w:space="0" w:color="auto"/>
            </w:tcBorders>
          </w:tcPr>
          <w:p w14:paraId="5B786FCF" w14:textId="77777777" w:rsidR="00CF2D61" w:rsidRDefault="00CF2D61" w:rsidP="009E34B3"/>
        </w:tc>
      </w:tr>
      <w:tr w:rsidR="00CF2D61" w:rsidRPr="00B3650D" w14:paraId="4916F267" w14:textId="77777777" w:rsidTr="009E34B3">
        <w:trPr>
          <w:cantSplit/>
          <w:trHeight w:val="276"/>
        </w:trPr>
        <w:tc>
          <w:tcPr>
            <w:tcW w:w="4735" w:type="dxa"/>
            <w:vMerge/>
          </w:tcPr>
          <w:p w14:paraId="0C12DEDB" w14:textId="77777777" w:rsidR="00CF2D61" w:rsidRDefault="00CF2D61" w:rsidP="009E34B3"/>
        </w:tc>
        <w:tc>
          <w:tcPr>
            <w:tcW w:w="4625" w:type="dxa"/>
          </w:tcPr>
          <w:p w14:paraId="4AFC38AC" w14:textId="52E1D17C" w:rsidR="00CF2D61" w:rsidRPr="000F01B6" w:rsidRDefault="00737FA5" w:rsidP="009E34B3">
            <w:pPr>
              <w:rPr>
                <w:lang w:val="en-CA"/>
              </w:rPr>
            </w:pPr>
            <w:r>
              <w:t>ÉRIC HARDY, J.C.A.</w:t>
            </w:r>
          </w:p>
        </w:tc>
      </w:tr>
      <w:bookmarkEnd w:id="11"/>
    </w:tbl>
    <w:p w14:paraId="3304481D" w14:textId="77777777" w:rsidR="00740A17" w:rsidRPr="00CF2D61" w:rsidRDefault="00740A17" w:rsidP="0010645A">
      <w:pPr>
        <w:rPr>
          <w:lang w:val="en-CA"/>
        </w:rPr>
      </w:pPr>
    </w:p>
    <w:sectPr w:rsidR="00740A17" w:rsidRPr="00CF2D61" w:rsidSect="00A9398A">
      <w:headerReference w:type="default" r:id="rId18"/>
      <w:pgSz w:w="12242" w:h="15842" w:code="1"/>
      <w:pgMar w:top="1440" w:right="1009" w:bottom="1440" w:left="1871" w:header="1440" w:footer="794" w:gutter="0"/>
      <w:paperSrc w:first="4" w:other="4"/>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D58A7" w14:textId="77777777" w:rsidR="0010645A" w:rsidRDefault="0010645A">
      <w:r>
        <w:separator/>
      </w:r>
    </w:p>
  </w:endnote>
  <w:endnote w:type="continuationSeparator" w:id="0">
    <w:p w14:paraId="06E57732" w14:textId="77777777" w:rsidR="0010645A" w:rsidRDefault="00106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A33C7" w14:textId="77777777" w:rsidR="00567595" w:rsidRDefault="0056759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966AE" w14:textId="77777777" w:rsidR="00567595" w:rsidRDefault="0056759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62C00" w14:textId="77777777" w:rsidR="00567595" w:rsidRDefault="0056759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FFCB1" w14:textId="77777777" w:rsidR="0010645A" w:rsidRDefault="0010645A">
      <w:r>
        <w:separator/>
      </w:r>
    </w:p>
  </w:footnote>
  <w:footnote w:type="continuationSeparator" w:id="0">
    <w:p w14:paraId="61257124" w14:textId="77777777" w:rsidR="0010645A" w:rsidRDefault="0010645A">
      <w:r>
        <w:continuationSeparator/>
      </w:r>
    </w:p>
  </w:footnote>
  <w:footnote w:id="1">
    <w:p w14:paraId="105E440B" w14:textId="77777777" w:rsidR="00CF2D61" w:rsidRPr="00B7231C" w:rsidRDefault="00CF2D61" w:rsidP="00CF2D61">
      <w:pPr>
        <w:pStyle w:val="Notedebasdepage"/>
      </w:pPr>
      <w:r w:rsidRPr="00B7231C">
        <w:rPr>
          <w:rStyle w:val="Appelnotedebasdep"/>
        </w:rPr>
        <w:footnoteRef/>
      </w:r>
      <w:r w:rsidRPr="00B7231C">
        <w:t xml:space="preserve"> </w:t>
      </w:r>
      <w:r w:rsidRPr="00B7231C">
        <w:tab/>
      </w:r>
      <w:r w:rsidRPr="00B7231C">
        <w:rPr>
          <w:i/>
          <w:iCs/>
        </w:rPr>
        <w:t>Saint-Laurent c. Ville de Québec</w:t>
      </w:r>
      <w:r w:rsidRPr="00B7231C">
        <w:t>, 2023 QCCS 1010 [jugement entrepris].</w:t>
      </w:r>
    </w:p>
  </w:footnote>
  <w:footnote w:id="2">
    <w:p w14:paraId="0B651FAF" w14:textId="77777777" w:rsidR="00CF2D61" w:rsidRPr="00B7231C" w:rsidRDefault="00CF2D61" w:rsidP="00CF2D61">
      <w:pPr>
        <w:pStyle w:val="Notedebasdepage"/>
      </w:pPr>
      <w:r w:rsidRPr="00B7231C">
        <w:rPr>
          <w:rStyle w:val="Appelnotedebasdep"/>
        </w:rPr>
        <w:footnoteRef/>
      </w:r>
      <w:r w:rsidRPr="00B7231C">
        <w:t xml:space="preserve"> </w:t>
      </w:r>
      <w:r w:rsidRPr="00B7231C">
        <w:tab/>
      </w:r>
      <w:bookmarkStart w:id="12" w:name="_Hlk217288661"/>
      <w:r w:rsidRPr="00B7231C">
        <w:t xml:space="preserve">Jugement entrepris, paragr. </w:t>
      </w:r>
      <w:bookmarkEnd w:id="12"/>
      <w:r w:rsidRPr="00B7231C">
        <w:t>155 et 169.</w:t>
      </w:r>
    </w:p>
  </w:footnote>
  <w:footnote w:id="3">
    <w:p w14:paraId="417D2D34" w14:textId="5F48C481" w:rsidR="00CF2D61" w:rsidRPr="00B7231C" w:rsidRDefault="00CF2D61" w:rsidP="00CF2D61">
      <w:pPr>
        <w:pStyle w:val="Notedebasdepage"/>
      </w:pPr>
      <w:r w:rsidRPr="00B7231C">
        <w:rPr>
          <w:rStyle w:val="Appelnotedebasdep"/>
        </w:rPr>
        <w:footnoteRef/>
      </w:r>
      <w:r w:rsidRPr="00B7231C">
        <w:t xml:space="preserve"> </w:t>
      </w:r>
      <w:r w:rsidRPr="00B7231C">
        <w:tab/>
        <w:t>La Cour supérieure a déclaré inconstitutionnel cet article 500.1 au motif que le système d</w:t>
      </w:r>
      <w:r>
        <w:t>’</w:t>
      </w:r>
      <w:r w:rsidRPr="00B7231C">
        <w:t xml:space="preserve">autorisation qui y était prévu était purement discrétionnaire : </w:t>
      </w:r>
      <w:r w:rsidRPr="00B7231C">
        <w:rPr>
          <w:i/>
          <w:iCs/>
        </w:rPr>
        <w:t>Garbeau c. Montréal (Ville de)</w:t>
      </w:r>
      <w:r w:rsidRPr="00B7231C">
        <w:t>, 2015 QCCS 5246, paragr. 483-486.</w:t>
      </w:r>
    </w:p>
  </w:footnote>
  <w:footnote w:id="4">
    <w:p w14:paraId="7A3BF94E" w14:textId="77777777" w:rsidR="00CF2D61" w:rsidRPr="00B7231C" w:rsidRDefault="00CF2D61" w:rsidP="00CF2D61">
      <w:pPr>
        <w:pStyle w:val="Notedebasdepage"/>
      </w:pPr>
      <w:r w:rsidRPr="00B7231C">
        <w:rPr>
          <w:rStyle w:val="Appelnotedebasdep"/>
        </w:rPr>
        <w:footnoteRef/>
      </w:r>
      <w:r w:rsidRPr="00B7231C">
        <w:t xml:space="preserve"> </w:t>
      </w:r>
      <w:r w:rsidRPr="00B7231C">
        <w:tab/>
        <w:t>Jugement entrepris, paragr. 65.</w:t>
      </w:r>
    </w:p>
  </w:footnote>
  <w:footnote w:id="5">
    <w:p w14:paraId="69D8283C" w14:textId="77777777" w:rsidR="00CF2D61" w:rsidRPr="00B7231C" w:rsidRDefault="00CF2D61" w:rsidP="00CF2D61">
      <w:pPr>
        <w:pStyle w:val="Notedebasdepage"/>
      </w:pPr>
      <w:r w:rsidRPr="00B7231C">
        <w:rPr>
          <w:rStyle w:val="Appelnotedebasdep"/>
        </w:rPr>
        <w:footnoteRef/>
      </w:r>
      <w:r w:rsidRPr="00B7231C">
        <w:t xml:space="preserve"> </w:t>
      </w:r>
      <w:r w:rsidRPr="00B7231C">
        <w:tab/>
      </w:r>
      <w:r>
        <w:rPr>
          <w:i/>
          <w:iCs/>
        </w:rPr>
        <w:t>Id.</w:t>
      </w:r>
      <w:r w:rsidRPr="00B7231C">
        <w:t>, paragr. 47.</w:t>
      </w:r>
    </w:p>
  </w:footnote>
  <w:footnote w:id="6">
    <w:p w14:paraId="248C6C3A" w14:textId="77777777" w:rsidR="00CF2D61" w:rsidRPr="00B7231C" w:rsidRDefault="00CF2D61" w:rsidP="00CF2D61">
      <w:pPr>
        <w:pStyle w:val="Notedebasdepage"/>
      </w:pPr>
      <w:r w:rsidRPr="00B7231C">
        <w:rPr>
          <w:rStyle w:val="Appelnotedebasdep"/>
        </w:rPr>
        <w:footnoteRef/>
      </w:r>
      <w:r w:rsidRPr="00B7231C">
        <w:t xml:space="preserve"> </w:t>
      </w:r>
      <w:r w:rsidRPr="00B7231C">
        <w:tab/>
      </w:r>
      <w:r>
        <w:rPr>
          <w:i/>
          <w:iCs/>
        </w:rPr>
        <w:t>Id.</w:t>
      </w:r>
      <w:r w:rsidRPr="00B7231C">
        <w:t>, paragr. 131.</w:t>
      </w:r>
    </w:p>
  </w:footnote>
  <w:footnote w:id="7">
    <w:p w14:paraId="3A20AC29" w14:textId="77777777" w:rsidR="00CF2D61" w:rsidRPr="00B7231C" w:rsidRDefault="00CF2D61" w:rsidP="00CF2D61">
      <w:pPr>
        <w:pStyle w:val="Notedebasdepage"/>
      </w:pPr>
      <w:r w:rsidRPr="00B7231C">
        <w:rPr>
          <w:rStyle w:val="Appelnotedebasdep"/>
        </w:rPr>
        <w:footnoteRef/>
      </w:r>
      <w:r w:rsidRPr="00B7231C">
        <w:t xml:space="preserve"> </w:t>
      </w:r>
      <w:r w:rsidRPr="00B7231C">
        <w:tab/>
      </w:r>
      <w:r>
        <w:rPr>
          <w:i/>
          <w:iCs/>
        </w:rPr>
        <w:t>Id.</w:t>
      </w:r>
      <w:r w:rsidRPr="00B7231C">
        <w:t>, paragr. 47 et 132.</w:t>
      </w:r>
    </w:p>
  </w:footnote>
  <w:footnote w:id="8">
    <w:p w14:paraId="1279787D" w14:textId="77777777" w:rsidR="00CF2D61" w:rsidRPr="00B7231C" w:rsidRDefault="00CF2D61" w:rsidP="00CF2D61">
      <w:pPr>
        <w:pStyle w:val="Notedebasdepage"/>
      </w:pPr>
      <w:r w:rsidRPr="00B7231C">
        <w:rPr>
          <w:rStyle w:val="Appelnotedebasdep"/>
        </w:rPr>
        <w:footnoteRef/>
      </w:r>
      <w:r w:rsidRPr="00B7231C">
        <w:t xml:space="preserve"> </w:t>
      </w:r>
      <w:r w:rsidRPr="00B7231C">
        <w:tab/>
      </w:r>
      <w:r>
        <w:rPr>
          <w:i/>
          <w:iCs/>
        </w:rPr>
        <w:t>Id.</w:t>
      </w:r>
      <w:r w:rsidRPr="00B7231C">
        <w:t>, paragr. 82.</w:t>
      </w:r>
    </w:p>
  </w:footnote>
  <w:footnote w:id="9">
    <w:p w14:paraId="591013D9" w14:textId="77777777" w:rsidR="00CF2D61" w:rsidRPr="00B7231C" w:rsidRDefault="00CF2D61" w:rsidP="00CF2D61">
      <w:pPr>
        <w:pStyle w:val="Notedebasdepage"/>
      </w:pPr>
      <w:r w:rsidRPr="00B7231C">
        <w:rPr>
          <w:rStyle w:val="Appelnotedebasdep"/>
        </w:rPr>
        <w:footnoteRef/>
      </w:r>
      <w:r w:rsidRPr="00B7231C">
        <w:t xml:space="preserve"> </w:t>
      </w:r>
      <w:r w:rsidRPr="00B7231C">
        <w:tab/>
      </w:r>
      <w:r>
        <w:rPr>
          <w:i/>
          <w:iCs/>
        </w:rPr>
        <w:t>Id.</w:t>
      </w:r>
      <w:r w:rsidRPr="00B7231C">
        <w:t>, paragr. 83, 96, 133 et 316.</w:t>
      </w:r>
    </w:p>
  </w:footnote>
  <w:footnote w:id="10">
    <w:p w14:paraId="58D64DC3" w14:textId="77777777" w:rsidR="00CF2D61" w:rsidRPr="009B1260" w:rsidRDefault="00CF2D61" w:rsidP="00CF2D61">
      <w:pPr>
        <w:pStyle w:val="Notedebasdepage"/>
        <w:rPr>
          <w:lang w:val="en-CA"/>
        </w:rPr>
      </w:pPr>
      <w:r w:rsidRPr="00B7231C">
        <w:rPr>
          <w:rStyle w:val="Appelnotedebasdep"/>
        </w:rPr>
        <w:footnoteRef/>
      </w:r>
      <w:r w:rsidRPr="009B1260">
        <w:rPr>
          <w:lang w:val="en-CA"/>
        </w:rPr>
        <w:t xml:space="preserve"> </w:t>
      </w:r>
      <w:r w:rsidRPr="009B1260">
        <w:rPr>
          <w:lang w:val="en-CA"/>
        </w:rPr>
        <w:tab/>
      </w:r>
      <w:r w:rsidRPr="009B1260">
        <w:rPr>
          <w:i/>
          <w:iCs/>
          <w:lang w:val="en-CA"/>
        </w:rPr>
        <w:t>Id.</w:t>
      </w:r>
      <w:r w:rsidRPr="009B1260">
        <w:rPr>
          <w:lang w:val="en-CA"/>
        </w:rPr>
        <w:t>, paragr. 167.</w:t>
      </w:r>
    </w:p>
  </w:footnote>
  <w:footnote w:id="11">
    <w:p w14:paraId="30721B31" w14:textId="77777777" w:rsidR="00CF2D61" w:rsidRPr="009B1260" w:rsidRDefault="00CF2D61" w:rsidP="00CF2D61">
      <w:pPr>
        <w:pStyle w:val="Notedebasdepage"/>
        <w:rPr>
          <w:lang w:val="en-CA"/>
        </w:rPr>
      </w:pPr>
      <w:r w:rsidRPr="00B7231C">
        <w:rPr>
          <w:rStyle w:val="Appelnotedebasdep"/>
        </w:rPr>
        <w:footnoteRef/>
      </w:r>
      <w:r w:rsidRPr="009B1260">
        <w:rPr>
          <w:lang w:val="en-CA"/>
        </w:rPr>
        <w:t xml:space="preserve"> </w:t>
      </w:r>
      <w:r w:rsidRPr="009B1260">
        <w:rPr>
          <w:lang w:val="en-CA"/>
        </w:rPr>
        <w:tab/>
      </w:r>
      <w:bookmarkStart w:id="14" w:name="_Hlk208062306"/>
      <w:r w:rsidRPr="009B1260">
        <w:rPr>
          <w:i/>
          <w:iCs/>
          <w:lang w:val="en-CA"/>
        </w:rPr>
        <w:t>Id.</w:t>
      </w:r>
      <w:r w:rsidRPr="009B1260">
        <w:rPr>
          <w:lang w:val="en-CA"/>
        </w:rPr>
        <w:t xml:space="preserve">, paragr. </w:t>
      </w:r>
      <w:bookmarkEnd w:id="14"/>
      <w:r w:rsidRPr="009B1260">
        <w:rPr>
          <w:lang w:val="en-CA"/>
        </w:rPr>
        <w:t>201.2.</w:t>
      </w:r>
    </w:p>
  </w:footnote>
  <w:footnote w:id="12">
    <w:p w14:paraId="2489E91D" w14:textId="77777777" w:rsidR="00CF2D61" w:rsidRPr="009B1260" w:rsidRDefault="00CF2D61" w:rsidP="00CF2D61">
      <w:pPr>
        <w:pStyle w:val="Notedebasdepage"/>
        <w:rPr>
          <w:lang w:val="en-CA"/>
        </w:rPr>
      </w:pPr>
      <w:r w:rsidRPr="00B7231C">
        <w:rPr>
          <w:rStyle w:val="Appelnotedebasdep"/>
        </w:rPr>
        <w:footnoteRef/>
      </w:r>
      <w:r w:rsidRPr="009B1260">
        <w:rPr>
          <w:lang w:val="en-CA"/>
        </w:rPr>
        <w:t xml:space="preserve"> </w:t>
      </w:r>
      <w:r w:rsidRPr="009B1260">
        <w:rPr>
          <w:lang w:val="en-CA"/>
        </w:rPr>
        <w:tab/>
      </w:r>
      <w:r w:rsidRPr="009B1260">
        <w:rPr>
          <w:i/>
          <w:iCs/>
          <w:lang w:val="en-CA"/>
        </w:rPr>
        <w:t>Id.</w:t>
      </w:r>
      <w:r w:rsidRPr="009B1260">
        <w:rPr>
          <w:lang w:val="en-CA"/>
        </w:rPr>
        <w:t>, paragr. 201.5.</w:t>
      </w:r>
    </w:p>
  </w:footnote>
  <w:footnote w:id="13">
    <w:p w14:paraId="59C0CDDB" w14:textId="77777777" w:rsidR="00CF2D61" w:rsidRPr="009B1260" w:rsidRDefault="00CF2D61" w:rsidP="00CF2D61">
      <w:pPr>
        <w:pStyle w:val="Notedebasdepage"/>
        <w:rPr>
          <w:lang w:val="en-CA"/>
        </w:rPr>
      </w:pPr>
      <w:r w:rsidRPr="00B7231C">
        <w:rPr>
          <w:rStyle w:val="Appelnotedebasdep"/>
        </w:rPr>
        <w:footnoteRef/>
      </w:r>
      <w:r w:rsidRPr="009B1260">
        <w:rPr>
          <w:lang w:val="en-CA"/>
        </w:rPr>
        <w:t xml:space="preserve"> </w:t>
      </w:r>
      <w:r w:rsidRPr="009B1260">
        <w:rPr>
          <w:lang w:val="en-CA"/>
        </w:rPr>
        <w:tab/>
      </w:r>
      <w:r w:rsidRPr="009B1260">
        <w:rPr>
          <w:i/>
          <w:iCs/>
          <w:lang w:val="en-CA"/>
        </w:rPr>
        <w:t>Id.</w:t>
      </w:r>
      <w:r w:rsidRPr="009B1260">
        <w:rPr>
          <w:lang w:val="en-CA"/>
        </w:rPr>
        <w:t>, paragr. 201.7.</w:t>
      </w:r>
    </w:p>
  </w:footnote>
  <w:footnote w:id="14">
    <w:p w14:paraId="54A63FF8" w14:textId="77777777" w:rsidR="00CF2D61" w:rsidRPr="009B1260" w:rsidRDefault="00CF2D61" w:rsidP="00CF2D61">
      <w:pPr>
        <w:pStyle w:val="Notedebasdepage"/>
        <w:rPr>
          <w:lang w:val="en-CA"/>
        </w:rPr>
      </w:pPr>
      <w:r w:rsidRPr="00B7231C">
        <w:rPr>
          <w:rStyle w:val="Appelnotedebasdep"/>
        </w:rPr>
        <w:footnoteRef/>
      </w:r>
      <w:r w:rsidRPr="009B1260">
        <w:rPr>
          <w:lang w:val="en-CA"/>
        </w:rPr>
        <w:t xml:space="preserve"> </w:t>
      </w:r>
      <w:r w:rsidRPr="009B1260">
        <w:rPr>
          <w:lang w:val="en-CA"/>
        </w:rPr>
        <w:tab/>
      </w:r>
      <w:r w:rsidRPr="009B1260">
        <w:rPr>
          <w:i/>
          <w:iCs/>
          <w:lang w:val="en-CA"/>
        </w:rPr>
        <w:t>Id.</w:t>
      </w:r>
      <w:r w:rsidRPr="009B1260">
        <w:rPr>
          <w:lang w:val="en-CA"/>
        </w:rPr>
        <w:t>, paragr. 201.8.</w:t>
      </w:r>
    </w:p>
  </w:footnote>
  <w:footnote w:id="15">
    <w:p w14:paraId="08F0FF23" w14:textId="77777777" w:rsidR="00CF2D61" w:rsidRPr="00B7231C" w:rsidRDefault="00CF2D61" w:rsidP="00CF2D61">
      <w:pPr>
        <w:pStyle w:val="Notedebasdepage"/>
      </w:pPr>
      <w:r w:rsidRPr="00B7231C">
        <w:rPr>
          <w:rStyle w:val="Appelnotedebasdep"/>
        </w:rPr>
        <w:footnoteRef/>
      </w:r>
      <w:r w:rsidRPr="009B1260">
        <w:rPr>
          <w:lang w:val="en-CA"/>
        </w:rPr>
        <w:t xml:space="preserve"> </w:t>
      </w:r>
      <w:r w:rsidRPr="009B1260">
        <w:rPr>
          <w:lang w:val="en-CA"/>
        </w:rPr>
        <w:tab/>
      </w:r>
      <w:r w:rsidRPr="009B1260">
        <w:rPr>
          <w:i/>
          <w:iCs/>
          <w:lang w:val="en-CA"/>
        </w:rPr>
        <w:t>Id.</w:t>
      </w:r>
      <w:r w:rsidRPr="009B1260">
        <w:rPr>
          <w:lang w:val="en-CA"/>
        </w:rPr>
        <w:t xml:space="preserve">, paragr. </w:t>
      </w:r>
      <w:r w:rsidRPr="00B7231C">
        <w:t>201.9.</w:t>
      </w:r>
    </w:p>
  </w:footnote>
  <w:footnote w:id="16">
    <w:p w14:paraId="2078A6BA" w14:textId="77777777" w:rsidR="00CF2D61" w:rsidRPr="00B7231C" w:rsidRDefault="00CF2D61" w:rsidP="00CF2D61">
      <w:pPr>
        <w:pStyle w:val="Notedebasdepage"/>
      </w:pPr>
      <w:r w:rsidRPr="00B7231C">
        <w:rPr>
          <w:rStyle w:val="Appelnotedebasdep"/>
        </w:rPr>
        <w:footnoteRef/>
      </w:r>
      <w:r w:rsidRPr="00B7231C">
        <w:t xml:space="preserve"> </w:t>
      </w:r>
      <w:r w:rsidRPr="00B7231C">
        <w:tab/>
      </w:r>
      <w:r>
        <w:rPr>
          <w:i/>
          <w:iCs/>
        </w:rPr>
        <w:t>Id.</w:t>
      </w:r>
      <w:r w:rsidRPr="00B7231C">
        <w:t>, paragr. 201.10.</w:t>
      </w:r>
    </w:p>
  </w:footnote>
  <w:footnote w:id="17">
    <w:p w14:paraId="4FA0EC36" w14:textId="77777777" w:rsidR="00CF2D61" w:rsidRPr="00B7231C" w:rsidRDefault="00CF2D61" w:rsidP="00CF2D61">
      <w:pPr>
        <w:pStyle w:val="Notedebasdepage"/>
      </w:pPr>
      <w:r w:rsidRPr="00B7231C">
        <w:rPr>
          <w:rStyle w:val="Appelnotedebasdep"/>
        </w:rPr>
        <w:footnoteRef/>
      </w:r>
      <w:r w:rsidRPr="00B7231C">
        <w:t xml:space="preserve"> </w:t>
      </w:r>
      <w:r w:rsidRPr="00B7231C">
        <w:tab/>
      </w:r>
      <w:r>
        <w:rPr>
          <w:i/>
          <w:iCs/>
        </w:rPr>
        <w:t>Id.</w:t>
      </w:r>
      <w:r w:rsidRPr="00B7231C">
        <w:t>, paragr. 201.14 et compte</w:t>
      </w:r>
      <w:r>
        <w:t> </w:t>
      </w:r>
      <w:r w:rsidRPr="00B7231C">
        <w:t>rendu de cette rencontre préparé par Me Gabriel-Michaud-Brière.</w:t>
      </w:r>
    </w:p>
  </w:footnote>
  <w:footnote w:id="18">
    <w:p w14:paraId="6B92A7C2" w14:textId="77777777" w:rsidR="00CF2D61" w:rsidRPr="00B7231C" w:rsidRDefault="00CF2D61" w:rsidP="00CF2D61">
      <w:pPr>
        <w:pStyle w:val="Notedebasdepage"/>
      </w:pPr>
      <w:r w:rsidRPr="00B7231C">
        <w:rPr>
          <w:rStyle w:val="Appelnotedebasdep"/>
        </w:rPr>
        <w:footnoteRef/>
      </w:r>
      <w:r w:rsidRPr="00B7231C">
        <w:t xml:space="preserve"> </w:t>
      </w:r>
      <w:r w:rsidRPr="00B7231C">
        <w:tab/>
      </w:r>
      <w:r w:rsidRPr="00B7231C">
        <w:rPr>
          <w:i/>
          <w:iCs/>
        </w:rPr>
        <w:t>Duchesne c. Ville de Québec</w:t>
      </w:r>
      <w:r w:rsidRPr="00B7231C">
        <w:t>, 2016 QCCS 6851.</w:t>
      </w:r>
    </w:p>
  </w:footnote>
  <w:footnote w:id="19">
    <w:p w14:paraId="743ABD00" w14:textId="77777777" w:rsidR="00CF2D61" w:rsidRPr="00B7231C" w:rsidRDefault="00CF2D61" w:rsidP="00CF2D61">
      <w:pPr>
        <w:pStyle w:val="Notedebasdepage"/>
      </w:pPr>
      <w:r w:rsidRPr="00B7231C">
        <w:rPr>
          <w:rStyle w:val="Appelnotedebasdep"/>
        </w:rPr>
        <w:footnoteRef/>
      </w:r>
      <w:r w:rsidRPr="00B7231C">
        <w:t xml:space="preserve"> </w:t>
      </w:r>
      <w:r w:rsidRPr="00B7231C">
        <w:tab/>
      </w:r>
      <w:r w:rsidRPr="00B7231C">
        <w:rPr>
          <w:rFonts w:cs="Arial"/>
          <w:i/>
          <w:iCs/>
        </w:rPr>
        <w:t>Loi sur les cités et villes</w:t>
      </w:r>
      <w:r w:rsidRPr="00B7231C">
        <w:rPr>
          <w:rFonts w:cs="Arial"/>
        </w:rPr>
        <w:t>, RLRQ, c. C</w:t>
      </w:r>
      <w:r w:rsidRPr="00B7231C">
        <w:rPr>
          <w:rFonts w:cs="Arial"/>
        </w:rPr>
        <w:noBreakHyphen/>
        <w:t>19.</w:t>
      </w:r>
    </w:p>
  </w:footnote>
  <w:footnote w:id="20">
    <w:p w14:paraId="0C71AF33" w14:textId="05C0F42E" w:rsidR="00CF2D61" w:rsidRDefault="00CF2D61" w:rsidP="00CF2D61">
      <w:pPr>
        <w:pStyle w:val="Notedebasdepage"/>
      </w:pPr>
      <w:r>
        <w:rPr>
          <w:rStyle w:val="Appelnotedebasdep"/>
        </w:rPr>
        <w:footnoteRef/>
      </w:r>
      <w:r>
        <w:t xml:space="preserve"> </w:t>
      </w:r>
      <w:r>
        <w:tab/>
      </w:r>
      <w:r w:rsidRPr="005E6FE5">
        <w:rPr>
          <w:i/>
          <w:iCs/>
        </w:rPr>
        <w:t>Charte canadienne</w:t>
      </w:r>
      <w:r>
        <w:t xml:space="preserve"> </w:t>
      </w:r>
      <w:r w:rsidRPr="002A5689">
        <w:rPr>
          <w:rFonts w:cs="Arial"/>
          <w:i/>
          <w:iCs/>
          <w:color w:val="000000"/>
        </w:rPr>
        <w:t>des droits et libertés,</w:t>
      </w:r>
      <w:r>
        <w:rPr>
          <w:rFonts w:cs="Arial"/>
          <w:i/>
          <w:iCs/>
          <w:color w:val="000000"/>
        </w:rPr>
        <w:t xml:space="preserve"> </w:t>
      </w:r>
      <w:r w:rsidRPr="002A5689">
        <w:rPr>
          <w:rFonts w:cs="Arial"/>
          <w:color w:val="000000"/>
        </w:rPr>
        <w:t>partie 1 de la</w:t>
      </w:r>
      <w:r>
        <w:rPr>
          <w:rFonts w:cs="Arial"/>
          <w:color w:val="000000"/>
        </w:rPr>
        <w:t xml:space="preserve"> </w:t>
      </w:r>
      <w:r w:rsidRPr="00A757B7">
        <w:rPr>
          <w:rFonts w:cs="Arial"/>
          <w:i/>
          <w:iCs/>
        </w:rPr>
        <w:t>Loi constitutionnelle de 1982</w:t>
      </w:r>
      <w:r w:rsidRPr="002A5689">
        <w:rPr>
          <w:rFonts w:cs="Arial"/>
          <w:color w:val="000000"/>
        </w:rPr>
        <w:t xml:space="preserve">, constituant </w:t>
      </w:r>
      <w:r w:rsidRPr="00A757B7">
        <w:rPr>
          <w:rFonts w:cs="Arial"/>
        </w:rPr>
        <w:t>l</w:t>
      </w:r>
      <w:r>
        <w:rPr>
          <w:rFonts w:cs="Arial"/>
        </w:rPr>
        <w:t>’</w:t>
      </w:r>
      <w:r w:rsidRPr="00A757B7">
        <w:rPr>
          <w:rFonts w:cs="Arial"/>
        </w:rPr>
        <w:t xml:space="preserve">annexe B de la </w:t>
      </w:r>
      <w:r w:rsidRPr="00A757B7">
        <w:rPr>
          <w:rFonts w:cs="Arial"/>
          <w:i/>
          <w:iCs/>
        </w:rPr>
        <w:t xml:space="preserve">Loi de 1982 sur le Canada </w:t>
      </w:r>
      <w:r w:rsidRPr="001A6A25">
        <w:rPr>
          <w:rFonts w:cs="Arial"/>
        </w:rPr>
        <w:t>(</w:t>
      </w:r>
      <w:r w:rsidRPr="00A757B7">
        <w:rPr>
          <w:rFonts w:cs="Arial"/>
        </w:rPr>
        <w:t>R.-U.), 1982, c. 11</w:t>
      </w:r>
      <w:r w:rsidRPr="002A5689">
        <w:rPr>
          <w:rFonts w:cs="Arial"/>
          <w:color w:val="000000"/>
        </w:rPr>
        <w:t>.</w:t>
      </w:r>
    </w:p>
  </w:footnote>
  <w:footnote w:id="21">
    <w:p w14:paraId="005AF74C" w14:textId="77777777" w:rsidR="00CF2D61" w:rsidRPr="00E92619" w:rsidRDefault="00CF2D61" w:rsidP="00CF2D61">
      <w:pPr>
        <w:pStyle w:val="Notedebasdepage"/>
      </w:pPr>
      <w:r>
        <w:rPr>
          <w:rStyle w:val="Appelnotedebasdep"/>
        </w:rPr>
        <w:footnoteRef/>
      </w:r>
      <w:r>
        <w:t xml:space="preserve"> </w:t>
      </w:r>
      <w:r>
        <w:tab/>
      </w:r>
      <w:r w:rsidRPr="003B0FE9">
        <w:rPr>
          <w:i/>
          <w:iCs/>
          <w:szCs w:val="24"/>
        </w:rPr>
        <w:t xml:space="preserve">Charte </w:t>
      </w:r>
      <w:r>
        <w:rPr>
          <w:i/>
          <w:iCs/>
          <w:szCs w:val="24"/>
        </w:rPr>
        <w:t>des droits et libertés de la personne</w:t>
      </w:r>
      <w:r w:rsidRPr="005E6FE5">
        <w:rPr>
          <w:szCs w:val="24"/>
        </w:rPr>
        <w:t>, RLRQ</w:t>
      </w:r>
      <w:r>
        <w:rPr>
          <w:szCs w:val="24"/>
        </w:rPr>
        <w:t>,</w:t>
      </w:r>
      <w:r w:rsidRPr="005E6FE5">
        <w:rPr>
          <w:szCs w:val="24"/>
        </w:rPr>
        <w:t xml:space="preserve"> c. C-12.</w:t>
      </w:r>
    </w:p>
  </w:footnote>
  <w:footnote w:id="22">
    <w:p w14:paraId="3CCDC1D4" w14:textId="77777777" w:rsidR="00CF2D61" w:rsidRPr="00B7231C" w:rsidRDefault="00CF2D61" w:rsidP="00CF2D61">
      <w:pPr>
        <w:pStyle w:val="Notedebasdepage"/>
      </w:pPr>
      <w:r w:rsidRPr="00B7231C">
        <w:rPr>
          <w:rStyle w:val="Appelnotedebasdep"/>
        </w:rPr>
        <w:footnoteRef/>
      </w:r>
      <w:r w:rsidRPr="00B7231C">
        <w:t xml:space="preserve"> </w:t>
      </w:r>
      <w:r w:rsidRPr="00B7231C">
        <w:tab/>
        <w:t>Jugement entrepris, paragr. 139.</w:t>
      </w:r>
    </w:p>
  </w:footnote>
  <w:footnote w:id="23">
    <w:p w14:paraId="3C91A3BB" w14:textId="77777777" w:rsidR="00CF2D61" w:rsidRPr="00B7231C" w:rsidRDefault="00CF2D61" w:rsidP="00CF2D61">
      <w:pPr>
        <w:pStyle w:val="Notedebasdepage"/>
      </w:pPr>
      <w:r w:rsidRPr="00B7231C">
        <w:rPr>
          <w:rStyle w:val="Appelnotedebasdep"/>
        </w:rPr>
        <w:footnoteRef/>
      </w:r>
      <w:r w:rsidRPr="00B7231C">
        <w:t xml:space="preserve"> </w:t>
      </w:r>
      <w:r w:rsidRPr="00B7231C">
        <w:tab/>
      </w:r>
      <w:r>
        <w:rPr>
          <w:i/>
          <w:iCs/>
        </w:rPr>
        <w:t>Id.</w:t>
      </w:r>
      <w:r w:rsidRPr="00B7231C">
        <w:t>, note de bas de page 40.</w:t>
      </w:r>
    </w:p>
  </w:footnote>
  <w:footnote w:id="24">
    <w:p w14:paraId="3A430A43" w14:textId="0A6B541A" w:rsidR="00CF2D61" w:rsidRPr="00B7231C" w:rsidRDefault="00CF2D61" w:rsidP="00CF2D61">
      <w:pPr>
        <w:pStyle w:val="Notedebasdepage"/>
      </w:pPr>
      <w:r w:rsidRPr="00B7231C">
        <w:rPr>
          <w:rStyle w:val="Appelnotedebasdep"/>
        </w:rPr>
        <w:footnoteRef/>
      </w:r>
      <w:r w:rsidRPr="00B7231C">
        <w:t xml:space="preserve"> </w:t>
      </w:r>
      <w:r w:rsidRPr="00B7231C">
        <w:tab/>
      </w:r>
      <w:r w:rsidRPr="00B7231C">
        <w:rPr>
          <w:i/>
          <w:iCs/>
        </w:rPr>
        <w:t>Garbeau c. Montréal (Ville de), supra</w:t>
      </w:r>
      <w:r w:rsidRPr="00B7231C">
        <w:t xml:space="preserve">, note </w:t>
      </w:r>
      <w:r w:rsidRPr="00B7231C">
        <w:fldChar w:fldCharType="begin"/>
      </w:r>
      <w:r w:rsidRPr="00B7231C">
        <w:instrText xml:space="preserve"> NOTEREF _Ref218587018 \h </w:instrText>
      </w:r>
      <w:r w:rsidRPr="00A23E52">
        <w:instrText xml:space="preserve"> \* MERGEFORMAT </w:instrText>
      </w:r>
      <w:r w:rsidRPr="00B7231C">
        <w:fldChar w:fldCharType="separate"/>
      </w:r>
      <w:r w:rsidR="00A9398A">
        <w:t>3</w:t>
      </w:r>
      <w:r w:rsidRPr="00B7231C">
        <w:fldChar w:fldCharType="end"/>
      </w:r>
      <w:r w:rsidRPr="00B7231C">
        <w:rPr>
          <w:i/>
          <w:iCs/>
        </w:rPr>
        <w:t xml:space="preserve">, </w:t>
      </w:r>
      <w:r w:rsidRPr="00B7231C">
        <w:t>jugement entrepris,</w:t>
      </w:r>
      <w:r w:rsidRPr="00B7231C">
        <w:rPr>
          <w:i/>
          <w:iCs/>
        </w:rPr>
        <w:t xml:space="preserve"> </w:t>
      </w:r>
      <w:r w:rsidRPr="00B7231C">
        <w:t>paragr. 140.</w:t>
      </w:r>
    </w:p>
  </w:footnote>
  <w:footnote w:id="25">
    <w:p w14:paraId="38ED7133" w14:textId="77777777" w:rsidR="00CF2D61" w:rsidRPr="00B7231C" w:rsidRDefault="00CF2D61" w:rsidP="00CF2D61">
      <w:pPr>
        <w:pStyle w:val="Notedebasdepage"/>
      </w:pPr>
      <w:r w:rsidRPr="00B7231C">
        <w:rPr>
          <w:rStyle w:val="Appelnotedebasdep"/>
        </w:rPr>
        <w:footnoteRef/>
      </w:r>
      <w:r w:rsidRPr="00B7231C">
        <w:t xml:space="preserve"> </w:t>
      </w:r>
      <w:r w:rsidRPr="00B7231C">
        <w:tab/>
        <w:t>Jugement entrepris, paragr. 155.</w:t>
      </w:r>
    </w:p>
  </w:footnote>
  <w:footnote w:id="26">
    <w:p w14:paraId="081C8899" w14:textId="77777777" w:rsidR="00CF2D61" w:rsidRPr="00735E6E" w:rsidRDefault="00CF2D61" w:rsidP="00CF2D61">
      <w:pPr>
        <w:pStyle w:val="Notedebasdepage"/>
      </w:pPr>
      <w:r w:rsidRPr="00B7231C">
        <w:rPr>
          <w:rStyle w:val="Appelnotedebasdep"/>
        </w:rPr>
        <w:footnoteRef/>
      </w:r>
      <w:r w:rsidRPr="00735E6E">
        <w:t xml:space="preserve"> </w:t>
      </w:r>
      <w:r w:rsidRPr="00735E6E">
        <w:tab/>
      </w:r>
      <w:r w:rsidRPr="00735E6E">
        <w:rPr>
          <w:i/>
          <w:iCs/>
        </w:rPr>
        <w:t>Id.</w:t>
      </w:r>
      <w:r w:rsidRPr="00735E6E">
        <w:t>, paragr. 179.</w:t>
      </w:r>
    </w:p>
  </w:footnote>
  <w:footnote w:id="27">
    <w:p w14:paraId="49B10B9B" w14:textId="77777777" w:rsidR="00CF2D61" w:rsidRPr="00735E6E" w:rsidRDefault="00CF2D61" w:rsidP="00CF2D61">
      <w:pPr>
        <w:pStyle w:val="Notedebasdepage"/>
      </w:pPr>
      <w:r w:rsidRPr="00B7231C">
        <w:rPr>
          <w:rStyle w:val="Appelnotedebasdep"/>
        </w:rPr>
        <w:footnoteRef/>
      </w:r>
      <w:r w:rsidRPr="00735E6E">
        <w:t xml:space="preserve"> </w:t>
      </w:r>
      <w:r w:rsidRPr="00735E6E">
        <w:tab/>
      </w:r>
      <w:r w:rsidRPr="00735E6E">
        <w:rPr>
          <w:i/>
          <w:iCs/>
        </w:rPr>
        <w:t>Id.</w:t>
      </w:r>
      <w:r w:rsidRPr="00735E6E">
        <w:t>, paragr. 180.</w:t>
      </w:r>
    </w:p>
  </w:footnote>
  <w:footnote w:id="28">
    <w:p w14:paraId="281711BA" w14:textId="77777777" w:rsidR="00CF2D61" w:rsidRPr="00B7231C" w:rsidRDefault="00CF2D61" w:rsidP="00CF2D61">
      <w:pPr>
        <w:pStyle w:val="Notedebasdepage"/>
      </w:pPr>
      <w:r w:rsidRPr="00B7231C">
        <w:rPr>
          <w:rStyle w:val="Appelnotedebasdep"/>
        </w:rPr>
        <w:footnoteRef/>
      </w:r>
      <w:r w:rsidRPr="00735E6E">
        <w:t xml:space="preserve"> </w:t>
      </w:r>
      <w:r w:rsidRPr="00735E6E">
        <w:tab/>
      </w:r>
      <w:r w:rsidRPr="00735E6E">
        <w:rPr>
          <w:i/>
          <w:iCs/>
        </w:rPr>
        <w:t>Id.</w:t>
      </w:r>
      <w:r w:rsidRPr="00735E6E">
        <w:t xml:space="preserve">, paragr. </w:t>
      </w:r>
      <w:r w:rsidRPr="00B7231C">
        <w:t>193 et 202-204.</w:t>
      </w:r>
    </w:p>
  </w:footnote>
  <w:footnote w:id="29">
    <w:p w14:paraId="180FCCF0" w14:textId="37255048" w:rsidR="00CF2D61" w:rsidRPr="00B7231C" w:rsidRDefault="00CF2D61" w:rsidP="00CF2D61">
      <w:pPr>
        <w:pStyle w:val="Notedebasdepage"/>
      </w:pPr>
      <w:r w:rsidRPr="00B7231C">
        <w:rPr>
          <w:rStyle w:val="Appelnotedebasdep"/>
        </w:rPr>
        <w:footnoteRef/>
      </w:r>
      <w:r w:rsidRPr="00B7231C">
        <w:t xml:space="preserve"> </w:t>
      </w:r>
      <w:r w:rsidRPr="00B7231C">
        <w:tab/>
        <w:t xml:space="preserve">Art. 1457 </w:t>
      </w:r>
      <w:r w:rsidRPr="00B7231C">
        <w:rPr>
          <w:i/>
          <w:iCs/>
        </w:rPr>
        <w:t>C.c.Q</w:t>
      </w:r>
      <w:r w:rsidRPr="00B7231C">
        <w:t xml:space="preserve">.; </w:t>
      </w:r>
      <w:r w:rsidRPr="00B7231C">
        <w:rPr>
          <w:i/>
          <w:iCs/>
        </w:rPr>
        <w:t>Laniel-Supérieur inc. c. Régie des alcools, des courses et des jeux</w:t>
      </w:r>
      <w:r w:rsidRPr="00B7231C">
        <w:t xml:space="preserve">, 2019 QCCA 753, paragr. 41, référant à </w:t>
      </w:r>
      <w:r w:rsidRPr="00B7231C">
        <w:rPr>
          <w:i/>
          <w:iCs/>
        </w:rPr>
        <w:t>Daigle c. Mathieu</w:t>
      </w:r>
      <w:r w:rsidRPr="00B7231C">
        <w:t>, 2010 QCCA 1612, paragr. 49, demande d</w:t>
      </w:r>
      <w:r>
        <w:t>’</w:t>
      </w:r>
      <w:r w:rsidRPr="00B7231C">
        <w:t>autorisation d</w:t>
      </w:r>
      <w:r>
        <w:t>’</w:t>
      </w:r>
      <w:r w:rsidRPr="00B7231C">
        <w:t>appel à la Cour suprême rejetée, 31 mars 2011, dossier n</w:t>
      </w:r>
      <w:r w:rsidRPr="00B7231C">
        <w:rPr>
          <w:vertAlign w:val="superscript"/>
        </w:rPr>
        <w:t>o</w:t>
      </w:r>
      <w:r w:rsidRPr="00B7231C">
        <w:t xml:space="preserve"> 33934.</w:t>
      </w:r>
    </w:p>
  </w:footnote>
  <w:footnote w:id="30">
    <w:p w14:paraId="3135C7CA" w14:textId="7F216F1E" w:rsidR="00CF2D61" w:rsidRDefault="00CF2D61" w:rsidP="00CF2D61">
      <w:pPr>
        <w:pStyle w:val="Notedebasdepage"/>
      </w:pPr>
      <w:r>
        <w:rPr>
          <w:rStyle w:val="Appelnotedebasdep"/>
        </w:rPr>
        <w:footnoteRef/>
      </w:r>
      <w:r>
        <w:t xml:space="preserve"> </w:t>
      </w:r>
      <w:r>
        <w:tab/>
      </w:r>
      <w:r w:rsidRPr="00B7231C">
        <w:rPr>
          <w:i/>
          <w:iCs/>
        </w:rPr>
        <w:t>Laniel-Supérieur inc. c. Régie des alcools, des courses et des jeux</w:t>
      </w:r>
      <w:r w:rsidRPr="00B7231C">
        <w:t xml:space="preserve">, </w:t>
      </w:r>
      <w:r>
        <w:rPr>
          <w:i/>
          <w:iCs/>
        </w:rPr>
        <w:t>supra</w:t>
      </w:r>
      <w:r>
        <w:t xml:space="preserve">, note </w:t>
      </w:r>
      <w:r>
        <w:fldChar w:fldCharType="begin"/>
      </w:r>
      <w:r>
        <w:instrText xml:space="preserve"> NOTEREF _Ref218587315 \h </w:instrText>
      </w:r>
      <w:r>
        <w:fldChar w:fldCharType="separate"/>
      </w:r>
      <w:r w:rsidR="00A9398A">
        <w:t>29</w:t>
      </w:r>
      <w:r>
        <w:fldChar w:fldCharType="end"/>
      </w:r>
      <w:r w:rsidRPr="00B7231C">
        <w:t>, paragr. 41</w:t>
      </w:r>
      <w:r>
        <w:t xml:space="preserve">, référant à </w:t>
      </w:r>
      <w:r w:rsidRPr="003525B4">
        <w:rPr>
          <w:rFonts w:cs="Arial"/>
          <w:i/>
          <w:iCs/>
          <w:color w:val="000000"/>
        </w:rPr>
        <w:t>Banque de Commerce Canadienne Impériale c. Coopératives fédérées du Québec</w:t>
      </w:r>
      <w:r w:rsidRPr="003525B4">
        <w:rPr>
          <w:rFonts w:cs="Arial"/>
          <w:color w:val="000000"/>
        </w:rPr>
        <w:t>, </w:t>
      </w:r>
      <w:r w:rsidRPr="00EA1235">
        <w:rPr>
          <w:rFonts w:cs="Arial"/>
        </w:rPr>
        <w:t>1998 CanLII 13040 (QC CA)</w:t>
      </w:r>
      <w:r w:rsidRPr="003525B4">
        <w:rPr>
          <w:rFonts w:cs="Arial"/>
          <w:color w:val="000000"/>
        </w:rPr>
        <w:t>, [1998] R.J.Q. 2261 (C.A.)</w:t>
      </w:r>
      <w:r>
        <w:rPr>
          <w:rFonts w:cs="Arial"/>
          <w:color w:val="000000"/>
        </w:rPr>
        <w:t xml:space="preserve"> et </w:t>
      </w:r>
      <w:r w:rsidRPr="00EA1235">
        <w:rPr>
          <w:rFonts w:cs="Arial"/>
          <w:i/>
          <w:iCs/>
          <w:color w:val="000000"/>
        </w:rPr>
        <w:t>S.C. c. Archevêque catholique romain de Québec</w:t>
      </w:r>
      <w:r w:rsidRPr="00EA1235">
        <w:rPr>
          <w:rFonts w:cs="Arial"/>
          <w:color w:val="000000"/>
        </w:rPr>
        <w:t>, </w:t>
      </w:r>
      <w:r w:rsidRPr="00EA1235">
        <w:rPr>
          <w:rFonts w:cs="Arial"/>
        </w:rPr>
        <w:t>2009 QCCA 1349</w:t>
      </w:r>
      <w:r w:rsidRPr="00EA1235">
        <w:rPr>
          <w:rFonts w:cs="Arial"/>
          <w:color w:val="000000"/>
        </w:rPr>
        <w:t>, paragr. </w:t>
      </w:r>
      <w:r w:rsidRPr="00EA1235">
        <w:rPr>
          <w:rFonts w:cs="Arial"/>
        </w:rPr>
        <w:t>141-144 </w:t>
      </w:r>
      <w:r w:rsidRPr="00EA1235">
        <w:rPr>
          <w:rFonts w:cs="Arial"/>
          <w:color w:val="000000"/>
        </w:rPr>
        <w:t>(motifs dissidents du juge Chamberland confirmés par </w:t>
      </w:r>
      <w:r w:rsidRPr="00EA1235">
        <w:rPr>
          <w:rFonts w:cs="Arial"/>
          <w:i/>
          <w:iCs/>
          <w:color w:val="000000"/>
        </w:rPr>
        <w:t>Christensen c. Archevêque catholique romain de Québec</w:t>
      </w:r>
      <w:r w:rsidRPr="00EA1235">
        <w:rPr>
          <w:rFonts w:cs="Arial"/>
          <w:color w:val="000000"/>
        </w:rPr>
        <w:t>, </w:t>
      </w:r>
      <w:r w:rsidRPr="00EA1235">
        <w:rPr>
          <w:rFonts w:cs="Arial"/>
        </w:rPr>
        <w:t>2010 CSC 44</w:t>
      </w:r>
      <w:r w:rsidRPr="00EA1235">
        <w:rPr>
          <w:rFonts w:cs="Arial"/>
          <w:color w:val="000000"/>
        </w:rPr>
        <w:t>)</w:t>
      </w:r>
      <w:r>
        <w:rPr>
          <w:rFonts w:cs="Arial"/>
          <w:color w:val="000000"/>
        </w:rPr>
        <w:t>.</w:t>
      </w:r>
    </w:p>
  </w:footnote>
  <w:footnote w:id="31">
    <w:p w14:paraId="773E577D" w14:textId="1EBC5259" w:rsidR="00CF2D61" w:rsidRPr="00B7231C" w:rsidRDefault="00CF2D61" w:rsidP="00CF2D61">
      <w:pPr>
        <w:pStyle w:val="Notedebasdepage"/>
      </w:pPr>
      <w:r w:rsidRPr="00B7231C">
        <w:rPr>
          <w:rStyle w:val="Appelnotedebasdep"/>
        </w:rPr>
        <w:footnoteRef/>
      </w:r>
      <w:r w:rsidRPr="00B7231C">
        <w:t xml:space="preserve"> </w:t>
      </w:r>
      <w:r w:rsidRPr="00B7231C">
        <w:tab/>
      </w:r>
      <w:r w:rsidRPr="00B7231C">
        <w:rPr>
          <w:i/>
          <w:iCs/>
        </w:rPr>
        <w:t>Pellerin Savitz s.e.n.c.r.l. c. Guindon</w:t>
      </w:r>
      <w:r w:rsidRPr="00B7231C">
        <w:t>, 2017 CSC 29, [2017] 1 R.C.S. 575, paragr. 11</w:t>
      </w:r>
      <w:r w:rsidRPr="00B7231C">
        <w:rPr>
          <w:i/>
          <w:iCs/>
        </w:rPr>
        <w:t>; Municipalité d</w:t>
      </w:r>
      <w:r>
        <w:rPr>
          <w:i/>
          <w:iCs/>
        </w:rPr>
        <w:t>’</w:t>
      </w:r>
      <w:r w:rsidRPr="00B7231C">
        <w:rPr>
          <w:i/>
          <w:iCs/>
        </w:rPr>
        <w:t>Oka c. Ustushenkova</w:t>
      </w:r>
      <w:r w:rsidRPr="00B7231C">
        <w:t xml:space="preserve">, 2021 QCCA 1932, paragr. 12; </w:t>
      </w:r>
      <w:r w:rsidRPr="00B7231C">
        <w:rPr>
          <w:i/>
          <w:iCs/>
        </w:rPr>
        <w:t>Djamad c. Banque Royale du Canada</w:t>
      </w:r>
      <w:r w:rsidRPr="00B7231C">
        <w:t xml:space="preserve">, 2021 QCCA 371, paragr. 33; </w:t>
      </w:r>
      <w:r w:rsidRPr="00B7231C">
        <w:rPr>
          <w:rFonts w:cs="Arial"/>
          <w:i/>
          <w:iCs/>
        </w:rPr>
        <w:t>Société d</w:t>
      </w:r>
      <w:r>
        <w:rPr>
          <w:rFonts w:cs="Arial"/>
          <w:i/>
          <w:iCs/>
        </w:rPr>
        <w:t>’</w:t>
      </w:r>
      <w:r w:rsidRPr="00B7231C">
        <w:rPr>
          <w:rFonts w:cs="Arial"/>
          <w:i/>
          <w:iCs/>
        </w:rPr>
        <w:t>assurances générales Northbridge c. Lumen, division de Sonepar inc.</w:t>
      </w:r>
      <w:r w:rsidRPr="00B7231C">
        <w:rPr>
          <w:rFonts w:cs="Arial"/>
        </w:rPr>
        <w:t>, 2019 QCCA 1555, paragr. 16</w:t>
      </w:r>
      <w:r>
        <w:rPr>
          <w:rFonts w:cs="Arial"/>
        </w:rPr>
        <w:t xml:space="preserve">; </w:t>
      </w:r>
      <w:r w:rsidRPr="00B7231C">
        <w:rPr>
          <w:i/>
          <w:iCs/>
        </w:rPr>
        <w:t>Québec (Sous-ministre du Revenu) c. Plante</w:t>
      </w:r>
      <w:r w:rsidRPr="00B7231C">
        <w:t xml:space="preserve">, 2008 QCCA 2257, </w:t>
      </w:r>
      <w:r w:rsidRPr="00B7231C">
        <w:rPr>
          <w:rFonts w:cs="Arial"/>
        </w:rPr>
        <w:t>paragr. 11</w:t>
      </w:r>
      <w:r>
        <w:rPr>
          <w:rFonts w:cs="Arial"/>
        </w:rPr>
        <w:t xml:space="preserve">; </w:t>
      </w:r>
      <w:r w:rsidRPr="00B7231C">
        <w:rPr>
          <w:i/>
          <w:iCs/>
        </w:rPr>
        <w:t xml:space="preserve">Air Transat AT inc. c. Taillefer, </w:t>
      </w:r>
      <w:r w:rsidRPr="00A23E52">
        <w:t>2006</w:t>
      </w:r>
      <w:r w:rsidRPr="00B7231C">
        <w:t xml:space="preserve"> QCCA 18, paragr. 8-12 référant à </w:t>
      </w:r>
      <w:r w:rsidRPr="00B7231C">
        <w:rPr>
          <w:i/>
          <w:iCs/>
        </w:rPr>
        <w:t>Joy Oil Co. c. R</w:t>
      </w:r>
      <w:r w:rsidRPr="00B7231C">
        <w:t>., [1951] R.C.S. 624.</w:t>
      </w:r>
    </w:p>
  </w:footnote>
  <w:footnote w:id="32">
    <w:p w14:paraId="2DAF3EB6" w14:textId="5939EF79" w:rsidR="00CF2D61" w:rsidRPr="00B7231C" w:rsidRDefault="00CF2D61" w:rsidP="00CF2D61">
      <w:pPr>
        <w:pStyle w:val="Notedebasdepage"/>
      </w:pPr>
      <w:r w:rsidRPr="00B7231C">
        <w:rPr>
          <w:rStyle w:val="Appelnotedebasdep"/>
        </w:rPr>
        <w:footnoteRef/>
      </w:r>
      <w:r w:rsidRPr="00B7231C">
        <w:t xml:space="preserve"> </w:t>
      </w:r>
      <w:r w:rsidRPr="00B7231C">
        <w:tab/>
      </w:r>
      <w:r w:rsidRPr="00B7231C">
        <w:rPr>
          <w:i/>
          <w:iCs/>
        </w:rPr>
        <w:t>Laniel-Supérieur inc. c. Régie des alcools, des courses et des jeux</w:t>
      </w:r>
      <w:r w:rsidRPr="00B7231C">
        <w:t xml:space="preserve">, </w:t>
      </w:r>
      <w:r>
        <w:rPr>
          <w:i/>
          <w:iCs/>
        </w:rPr>
        <w:t>supra</w:t>
      </w:r>
      <w:r>
        <w:t xml:space="preserve">, note </w:t>
      </w:r>
      <w:r>
        <w:fldChar w:fldCharType="begin"/>
      </w:r>
      <w:r>
        <w:instrText xml:space="preserve"> NOTEREF _Ref218587315 \h </w:instrText>
      </w:r>
      <w:r>
        <w:fldChar w:fldCharType="separate"/>
      </w:r>
      <w:r w:rsidR="00A9398A">
        <w:t>29</w:t>
      </w:r>
      <w:r>
        <w:fldChar w:fldCharType="end"/>
      </w:r>
      <w:r w:rsidRPr="00B7231C">
        <w:t>, paragr. 47-49.</w:t>
      </w:r>
      <w:r>
        <w:t xml:space="preserve"> Voir également </w:t>
      </w:r>
      <w:r w:rsidRPr="00B7231C">
        <w:rPr>
          <w:i/>
          <w:iCs/>
        </w:rPr>
        <w:t>Lapierre c. Lessard</w:t>
      </w:r>
      <w:r w:rsidRPr="00B7231C">
        <w:t>, 38 B.R. 373</w:t>
      </w:r>
      <w:r>
        <w:t>, p. 377-378</w:t>
      </w:r>
      <w:r w:rsidRPr="00B7231C">
        <w:t xml:space="preserve"> repris dans </w:t>
      </w:r>
      <w:r w:rsidRPr="00B7231C">
        <w:rPr>
          <w:i/>
          <w:iCs/>
        </w:rPr>
        <w:t>Gille c. Placements Diar inc.</w:t>
      </w:r>
      <w:r w:rsidRPr="00B7231C">
        <w:t>, [1992] R.J.Q. 2746 (C.A.).</w:t>
      </w:r>
    </w:p>
  </w:footnote>
  <w:footnote w:id="33">
    <w:p w14:paraId="37059FF6" w14:textId="331CDF9A" w:rsidR="00CF2D61" w:rsidRPr="00B7231C" w:rsidRDefault="00CF2D61" w:rsidP="00CF2D61">
      <w:pPr>
        <w:pStyle w:val="Notedebasdepage"/>
      </w:pPr>
      <w:r w:rsidRPr="00B7231C">
        <w:rPr>
          <w:rStyle w:val="Appelnotedebasdep"/>
        </w:rPr>
        <w:footnoteRef/>
      </w:r>
      <w:r w:rsidRPr="00B7231C">
        <w:t xml:space="preserve"> </w:t>
      </w:r>
      <w:r w:rsidRPr="00B7231C">
        <w:tab/>
      </w:r>
      <w:bookmarkStart w:id="18" w:name="_Hlk226731030"/>
      <w:r w:rsidRPr="00B7231C">
        <w:rPr>
          <w:i/>
          <w:iCs/>
        </w:rPr>
        <w:t>Popovic c. Ville de Montréal</w:t>
      </w:r>
      <w:r w:rsidRPr="00B7231C">
        <w:t>, 2008 QCCA 2371</w:t>
      </w:r>
      <w:bookmarkEnd w:id="18"/>
      <w:r w:rsidRPr="00B7231C">
        <w:t xml:space="preserve">. Cet extrait des motifs du juge Rochon est repris dans </w:t>
      </w:r>
      <w:r w:rsidRPr="00B7231C">
        <w:rPr>
          <w:i/>
          <w:iCs/>
        </w:rPr>
        <w:t>Engler-Stringer c. Ville de Montréal</w:t>
      </w:r>
      <w:r w:rsidRPr="00B7231C">
        <w:t xml:space="preserve">, 2013 QCCA 707, paragr. 41. Voir également </w:t>
      </w:r>
      <w:r w:rsidRPr="00B7231C">
        <w:rPr>
          <w:i/>
          <w:iCs/>
        </w:rPr>
        <w:t>Restaurant Le Relais de Saint-Jean inc. c. Agence du revenu du Québec</w:t>
      </w:r>
      <w:r w:rsidRPr="00B7231C">
        <w:t>, 2020 QCCA 823, paragr. 49-50, demande d</w:t>
      </w:r>
      <w:r>
        <w:t>’</w:t>
      </w:r>
      <w:r w:rsidRPr="00B7231C">
        <w:t>autorisation d</w:t>
      </w:r>
      <w:r>
        <w:t>’</w:t>
      </w:r>
      <w:r w:rsidRPr="00B7231C">
        <w:t>appel à la Cour suprême rejetée, 6 mai 2021, dossier n</w:t>
      </w:r>
      <w:r w:rsidRPr="00B7231C">
        <w:rPr>
          <w:vertAlign w:val="superscript"/>
        </w:rPr>
        <w:t>o</w:t>
      </w:r>
      <w:r w:rsidRPr="00B7231C">
        <w:t xml:space="preserve"> 39434; </w:t>
      </w:r>
      <w:r w:rsidRPr="00B7231C">
        <w:rPr>
          <w:i/>
          <w:iCs/>
        </w:rPr>
        <w:t>Laniel-Supérieur inc. c. Régie des alcools, des courses et des jeux</w:t>
      </w:r>
      <w:r w:rsidRPr="00B7231C">
        <w:t xml:space="preserve">, </w:t>
      </w:r>
      <w:r>
        <w:rPr>
          <w:i/>
          <w:iCs/>
        </w:rPr>
        <w:t>supra</w:t>
      </w:r>
      <w:r>
        <w:t xml:space="preserve">, note </w:t>
      </w:r>
      <w:r>
        <w:fldChar w:fldCharType="begin"/>
      </w:r>
      <w:r>
        <w:instrText xml:space="preserve"> NOTEREF _Ref218587315 \h </w:instrText>
      </w:r>
      <w:r>
        <w:fldChar w:fldCharType="separate"/>
      </w:r>
      <w:r w:rsidR="00A9398A">
        <w:t>29</w:t>
      </w:r>
      <w:r>
        <w:fldChar w:fldCharType="end"/>
      </w:r>
      <w:r w:rsidRPr="00B7231C">
        <w:t>, paragr. 46-47.</w:t>
      </w:r>
    </w:p>
  </w:footnote>
  <w:footnote w:id="34">
    <w:p w14:paraId="6DD68405" w14:textId="77777777" w:rsidR="00CF2D61" w:rsidRDefault="00CF2D61" w:rsidP="00CF2D61">
      <w:pPr>
        <w:pStyle w:val="Notedebasdepage"/>
      </w:pPr>
      <w:r>
        <w:rPr>
          <w:rStyle w:val="Appelnotedebasdep"/>
        </w:rPr>
        <w:footnoteRef/>
      </w:r>
      <w:r>
        <w:t xml:space="preserve"> </w:t>
      </w:r>
      <w:r>
        <w:tab/>
      </w:r>
      <w:r w:rsidRPr="00735E6E">
        <w:rPr>
          <w:i/>
          <w:iCs/>
        </w:rPr>
        <w:t>9299-2742 Québec inc. (Gestion OFA Environnement) c. Procureur général du Québec</w:t>
      </w:r>
      <w:r>
        <w:t>, 2026 QCCA 614, paragr. 53-54.</w:t>
      </w:r>
    </w:p>
  </w:footnote>
  <w:footnote w:id="35">
    <w:p w14:paraId="5993A3FC" w14:textId="647E54F1" w:rsidR="00CF2D61" w:rsidRDefault="00CF2D61" w:rsidP="00CF2D61">
      <w:pPr>
        <w:pStyle w:val="Notedebasdepage"/>
      </w:pPr>
      <w:r>
        <w:rPr>
          <w:rStyle w:val="Appelnotedebasdep"/>
        </w:rPr>
        <w:footnoteRef/>
      </w:r>
      <w:r>
        <w:t xml:space="preserve"> </w:t>
      </w:r>
      <w:r>
        <w:tab/>
      </w:r>
      <w:r w:rsidRPr="00B7231C">
        <w:rPr>
          <w:i/>
          <w:iCs/>
        </w:rPr>
        <w:t>Popovic c. Ville de Montréal</w:t>
      </w:r>
      <w:r w:rsidRPr="00B7231C">
        <w:t xml:space="preserve">, </w:t>
      </w:r>
      <w:r w:rsidRPr="004601BF">
        <w:rPr>
          <w:i/>
          <w:iCs/>
        </w:rPr>
        <w:t>supra</w:t>
      </w:r>
      <w:r>
        <w:t xml:space="preserve">, note </w:t>
      </w:r>
      <w:r>
        <w:fldChar w:fldCharType="begin"/>
      </w:r>
      <w:r>
        <w:instrText xml:space="preserve"> NOTEREF _Ref218587527 \h </w:instrText>
      </w:r>
      <w:r>
        <w:fldChar w:fldCharType="separate"/>
      </w:r>
      <w:r w:rsidR="00A9398A">
        <w:t>33</w:t>
      </w:r>
      <w:r>
        <w:fldChar w:fldCharType="end"/>
      </w:r>
      <w:r>
        <w:t xml:space="preserve">, </w:t>
      </w:r>
      <w:r w:rsidRPr="00121488">
        <w:t xml:space="preserve">repris dans </w:t>
      </w:r>
      <w:r w:rsidRPr="00121488">
        <w:rPr>
          <w:i/>
          <w:iCs/>
        </w:rPr>
        <w:t>9299-2742 Québec inc. (Gestion OFA Environnement) c. Procureur général du Québec</w:t>
      </w:r>
      <w:r w:rsidRPr="00006E74">
        <w:t>,</w:t>
      </w:r>
      <w:r>
        <w:rPr>
          <w:i/>
          <w:iCs/>
        </w:rPr>
        <w:t xml:space="preserve"> supra, </w:t>
      </w:r>
      <w:r w:rsidRPr="00006E74">
        <w:t xml:space="preserve">note </w:t>
      </w:r>
      <w:r>
        <w:fldChar w:fldCharType="begin"/>
      </w:r>
      <w:r>
        <w:instrText xml:space="preserve"> NOTEREF _Ref229401603 \h </w:instrText>
      </w:r>
      <w:r>
        <w:fldChar w:fldCharType="separate"/>
      </w:r>
      <w:r w:rsidR="00A9398A">
        <w:t>34</w:t>
      </w:r>
      <w:r>
        <w:fldChar w:fldCharType="end"/>
      </w:r>
      <w:r w:rsidRPr="00006E74">
        <w:t>, paragr. 59</w:t>
      </w:r>
      <w:r>
        <w:rPr>
          <w:i/>
          <w:iCs/>
        </w:rPr>
        <w:t>.</w:t>
      </w:r>
    </w:p>
  </w:footnote>
  <w:footnote w:id="36">
    <w:p w14:paraId="1006D13E" w14:textId="1CD102CE" w:rsidR="00CF2D61" w:rsidRPr="00B7231C" w:rsidRDefault="00CF2D61" w:rsidP="00CF2D61">
      <w:pPr>
        <w:pStyle w:val="Notedebasdepage"/>
      </w:pPr>
      <w:r w:rsidRPr="00B7231C">
        <w:rPr>
          <w:rStyle w:val="Appelnotedebasdep"/>
        </w:rPr>
        <w:footnoteRef/>
      </w:r>
      <w:r w:rsidRPr="00B7231C">
        <w:t xml:space="preserve"> </w:t>
      </w:r>
      <w:r w:rsidRPr="00B7231C">
        <w:tab/>
        <w:t>Voir au même effet</w:t>
      </w:r>
      <w:r>
        <w:t xml:space="preserve"> </w:t>
      </w:r>
      <w:r w:rsidRPr="00735E6E">
        <w:rPr>
          <w:i/>
          <w:iCs/>
        </w:rPr>
        <w:t>Mercier c. Singh</w:t>
      </w:r>
      <w:r w:rsidRPr="00735E6E">
        <w:t>, 2018 QCCA 666, paragr. 39</w:t>
      </w:r>
      <w:r>
        <w:t xml:space="preserve">; </w:t>
      </w:r>
      <w:r w:rsidRPr="00B7231C">
        <w:rPr>
          <w:i/>
          <w:iCs/>
        </w:rPr>
        <w:t>Hébert c. Montréal (Service de police de la Ville de) (SPVM)</w:t>
      </w:r>
      <w:r w:rsidRPr="00B7231C">
        <w:t xml:space="preserve">, 2016 QCCA 430, paragr. 38; </w:t>
      </w:r>
      <w:r w:rsidRPr="00B7231C">
        <w:rPr>
          <w:i/>
          <w:iCs/>
        </w:rPr>
        <w:t>Engler-Stringer c. Ville de Montréal</w:t>
      </w:r>
      <w:r w:rsidRPr="00B7231C">
        <w:t xml:space="preserve">, </w:t>
      </w:r>
      <w:r w:rsidRPr="00B7231C">
        <w:rPr>
          <w:i/>
          <w:iCs/>
        </w:rPr>
        <w:t>supra</w:t>
      </w:r>
      <w:r w:rsidRPr="00B7231C">
        <w:t>, note</w:t>
      </w:r>
      <w:r>
        <w:t> </w:t>
      </w:r>
      <w:r w:rsidRPr="00B7231C">
        <w:fldChar w:fldCharType="begin"/>
      </w:r>
      <w:r w:rsidRPr="00B7231C">
        <w:instrText xml:space="preserve"> NOTEREF _Ref218587527 \h </w:instrText>
      </w:r>
      <w:r w:rsidRPr="00A23E52">
        <w:instrText xml:space="preserve"> \* MERGEFORMAT </w:instrText>
      </w:r>
      <w:r w:rsidRPr="00B7231C">
        <w:fldChar w:fldCharType="separate"/>
      </w:r>
      <w:r w:rsidR="00A9398A">
        <w:t>33</w:t>
      </w:r>
      <w:r w:rsidRPr="00B7231C">
        <w:fldChar w:fldCharType="end"/>
      </w:r>
      <w:r w:rsidRPr="00B7231C">
        <w:t>, paragr. 44.</w:t>
      </w:r>
    </w:p>
  </w:footnote>
  <w:footnote w:id="37">
    <w:p w14:paraId="7095F111" w14:textId="61E7BFCC" w:rsidR="00CF2D61" w:rsidRDefault="00CF2D61" w:rsidP="00CF2D61">
      <w:pPr>
        <w:pStyle w:val="Notedebasdepage"/>
      </w:pPr>
      <w:r>
        <w:rPr>
          <w:rStyle w:val="Appelnotedebasdep"/>
        </w:rPr>
        <w:footnoteRef/>
      </w:r>
      <w:r>
        <w:t xml:space="preserve"> </w:t>
      </w:r>
      <w:r>
        <w:tab/>
      </w:r>
      <w:r w:rsidRPr="00412F5D">
        <w:rPr>
          <w:i/>
          <w:iCs/>
        </w:rPr>
        <w:t>9299-2742 Québec inc. (Gestion OFA Environnement) c. Procureur général du Québec</w:t>
      </w:r>
      <w:r w:rsidRPr="00412F5D">
        <w:t xml:space="preserve">, </w:t>
      </w:r>
      <w:r w:rsidRPr="00412F5D">
        <w:rPr>
          <w:i/>
          <w:iCs/>
        </w:rPr>
        <w:t xml:space="preserve">supra, </w:t>
      </w:r>
      <w:r w:rsidRPr="00412F5D">
        <w:t>note</w:t>
      </w:r>
      <w:r>
        <w:t> </w:t>
      </w:r>
      <w:r w:rsidRPr="00412F5D">
        <w:fldChar w:fldCharType="begin"/>
      </w:r>
      <w:r w:rsidRPr="00412F5D">
        <w:instrText xml:space="preserve"> NOTEREF _Ref229401603 \h </w:instrText>
      </w:r>
      <w:r>
        <w:instrText xml:space="preserve"> \* MERGEFORMAT </w:instrText>
      </w:r>
      <w:r w:rsidRPr="00412F5D">
        <w:fldChar w:fldCharType="separate"/>
      </w:r>
      <w:r w:rsidR="00A9398A">
        <w:t>34</w:t>
      </w:r>
      <w:r w:rsidRPr="00412F5D">
        <w:fldChar w:fldCharType="end"/>
      </w:r>
      <w:r w:rsidRPr="00412F5D">
        <w:t>.</w:t>
      </w:r>
    </w:p>
  </w:footnote>
  <w:footnote w:id="38">
    <w:p w14:paraId="434E0632" w14:textId="77777777" w:rsidR="00CF2D61" w:rsidRPr="00B7231C" w:rsidRDefault="00CF2D61" w:rsidP="00CF2D61">
      <w:pPr>
        <w:pStyle w:val="Notedebasdepage"/>
      </w:pPr>
      <w:r w:rsidRPr="00B7231C">
        <w:rPr>
          <w:rStyle w:val="Appelnotedebasdep"/>
        </w:rPr>
        <w:footnoteRef/>
      </w:r>
      <w:r w:rsidRPr="00B7231C">
        <w:t xml:space="preserve"> </w:t>
      </w:r>
      <w:r w:rsidRPr="00B7231C">
        <w:tab/>
        <w:t>Jugement entrepris, paragr. 184.</w:t>
      </w:r>
    </w:p>
  </w:footnote>
  <w:footnote w:id="39">
    <w:p w14:paraId="23509118" w14:textId="77777777" w:rsidR="00CF2D61" w:rsidRPr="00B7231C" w:rsidRDefault="00CF2D61" w:rsidP="00CF2D61">
      <w:pPr>
        <w:pStyle w:val="Notedebasdepage"/>
      </w:pPr>
      <w:r w:rsidRPr="00B7231C">
        <w:rPr>
          <w:rStyle w:val="Appelnotedebasdep"/>
        </w:rPr>
        <w:footnoteRef/>
      </w:r>
      <w:r w:rsidRPr="00B7231C">
        <w:t xml:space="preserve"> </w:t>
      </w:r>
      <w:r w:rsidRPr="00B7231C">
        <w:tab/>
      </w:r>
      <w:r>
        <w:rPr>
          <w:i/>
          <w:iCs/>
        </w:rPr>
        <w:t>Id.</w:t>
      </w:r>
      <w:r w:rsidRPr="00B7231C">
        <w:t xml:space="preserve">, </w:t>
      </w:r>
      <w:r w:rsidRPr="00B7231C">
        <w:rPr>
          <w:rFonts w:cs="Arial"/>
        </w:rPr>
        <w:t>paragr. 185.</w:t>
      </w:r>
    </w:p>
  </w:footnote>
  <w:footnote w:id="40">
    <w:p w14:paraId="64DB12E5" w14:textId="77777777" w:rsidR="00CF2D61" w:rsidRPr="00B7231C" w:rsidRDefault="00CF2D61" w:rsidP="00CF2D61">
      <w:pPr>
        <w:pStyle w:val="Notedebasdepage"/>
      </w:pPr>
      <w:r w:rsidRPr="00B7231C">
        <w:rPr>
          <w:rStyle w:val="Appelnotedebasdep"/>
        </w:rPr>
        <w:footnoteRef/>
      </w:r>
      <w:r w:rsidRPr="00B7231C">
        <w:t xml:space="preserve"> </w:t>
      </w:r>
      <w:r w:rsidRPr="00B7231C">
        <w:tab/>
      </w:r>
      <w:r w:rsidRPr="00B7231C">
        <w:rPr>
          <w:i/>
          <w:iCs/>
        </w:rPr>
        <w:t>Ville de Vancouver c. Ward</w:t>
      </w:r>
      <w:r w:rsidRPr="00B7231C">
        <w:t>, 2010 CSC 27, [2010] 2 R.C.S. 28</w:t>
      </w:r>
      <w:r>
        <w:t xml:space="preserve">, cité à la note de bas de page 59 du jugement entrepris. </w:t>
      </w:r>
      <w:r w:rsidRPr="00B7231C">
        <w:t xml:space="preserve">Voir également </w:t>
      </w:r>
      <w:r w:rsidRPr="00B7231C">
        <w:rPr>
          <w:i/>
          <w:iCs/>
        </w:rPr>
        <w:t>Mills c. R</w:t>
      </w:r>
      <w:r w:rsidRPr="00B7231C">
        <w:t>., [1986] 1 R.C.S. 863, p. 952-953.</w:t>
      </w:r>
    </w:p>
  </w:footnote>
  <w:footnote w:id="41">
    <w:p w14:paraId="4370B87A" w14:textId="65AE3C7B" w:rsidR="00CF2D61" w:rsidRPr="00B050FD" w:rsidRDefault="00CF2D61" w:rsidP="00CF2D61">
      <w:pPr>
        <w:pStyle w:val="Notedebasdepage"/>
      </w:pPr>
      <w:r>
        <w:rPr>
          <w:rStyle w:val="Appelnotedebasdep"/>
        </w:rPr>
        <w:footnoteRef/>
      </w:r>
      <w:r w:rsidRPr="00B3650D">
        <w:rPr>
          <w:lang w:val="en-CA"/>
        </w:rPr>
        <w:t xml:space="preserve"> </w:t>
      </w:r>
      <w:r w:rsidRPr="00B3650D">
        <w:rPr>
          <w:lang w:val="en-CA"/>
        </w:rPr>
        <w:tab/>
      </w:r>
      <w:r w:rsidRPr="00B3650D">
        <w:rPr>
          <w:i/>
          <w:iCs/>
          <w:lang w:val="en-CA"/>
        </w:rPr>
        <w:t>R. c. Conway</w:t>
      </w:r>
      <w:r w:rsidRPr="00B3650D">
        <w:rPr>
          <w:lang w:val="en-CA"/>
        </w:rPr>
        <w:t xml:space="preserve">, 2010 CSC 22, [2010] 1 R.C.S. 765, paragr. </w:t>
      </w:r>
      <w:r w:rsidRPr="00735E6E">
        <w:t xml:space="preserve">20; </w:t>
      </w:r>
      <w:r w:rsidRPr="00735E6E">
        <w:rPr>
          <w:i/>
          <w:iCs/>
        </w:rPr>
        <w:t>R. c. 974649 Ontario inc</w:t>
      </w:r>
      <w:r w:rsidRPr="00735E6E">
        <w:t xml:space="preserve">., 2001 CSC 81, [2001] 3 R.C.S. 575, paragr. 15, 17-24, 52, 53, 55-56 et 59; </w:t>
      </w:r>
      <w:r w:rsidRPr="00735E6E">
        <w:rPr>
          <w:i/>
          <w:iCs/>
        </w:rPr>
        <w:t>Mills c. R</w:t>
      </w:r>
      <w:r w:rsidRPr="00735E6E">
        <w:t xml:space="preserve">., </w:t>
      </w:r>
      <w:r w:rsidRPr="00735E6E">
        <w:rPr>
          <w:i/>
          <w:iCs/>
        </w:rPr>
        <w:t>supra</w:t>
      </w:r>
      <w:r w:rsidRPr="00735E6E">
        <w:t>, note </w:t>
      </w:r>
      <w:r w:rsidRPr="00735E6E">
        <w:fldChar w:fldCharType="begin"/>
      </w:r>
      <w:r w:rsidRPr="00735E6E">
        <w:instrText xml:space="preserve"> NOTEREF _Ref227077890 \h </w:instrText>
      </w:r>
      <w:r>
        <w:instrText xml:space="preserve"> \* MERGEFORMAT </w:instrText>
      </w:r>
      <w:r w:rsidRPr="00735E6E">
        <w:fldChar w:fldCharType="separate"/>
      </w:r>
      <w:r w:rsidR="00A9398A">
        <w:t>40</w:t>
      </w:r>
      <w:r w:rsidRPr="00735E6E">
        <w:fldChar w:fldCharType="end"/>
      </w:r>
      <w:r w:rsidRPr="00735E6E">
        <w:t>, p. 881-882, 890, 953</w:t>
      </w:r>
      <w:r w:rsidR="009B5505">
        <w:t>,</w:t>
      </w:r>
      <w:r>
        <w:t xml:space="preserve"> </w:t>
      </w:r>
      <w:r w:rsidRPr="00735E6E">
        <w:t>965 et 971. Il faut toutefois souligner qu</w:t>
      </w:r>
      <w:r>
        <w:t>’</w:t>
      </w:r>
      <w:r w:rsidRPr="00735E6E">
        <w:t>une telle mesure en est une d</w:t>
      </w:r>
      <w:r>
        <w:t>’</w:t>
      </w:r>
      <w:r w:rsidRPr="00735E6E">
        <w:t>exception</w:t>
      </w:r>
      <w:r>
        <w:t>,</w:t>
      </w:r>
      <w:r w:rsidRPr="00735E6E">
        <w:t xml:space="preserve"> comme la Cour suprême l</w:t>
      </w:r>
      <w:r>
        <w:t>’</w:t>
      </w:r>
      <w:r w:rsidRPr="00735E6E">
        <w:t xml:space="preserve">enseigne dans </w:t>
      </w:r>
      <w:r w:rsidRPr="00735E6E">
        <w:rPr>
          <w:i/>
          <w:iCs/>
        </w:rPr>
        <w:t>R. c. Taillefer; R. c. Duguay</w:t>
      </w:r>
      <w:r w:rsidRPr="00735E6E">
        <w:t>, 2003 CSC 70, [2003] 3 R.C.S. 307, paragr. 117.</w:t>
      </w:r>
    </w:p>
  </w:footnote>
  <w:footnote w:id="42">
    <w:p w14:paraId="5661FFA1" w14:textId="4D095F65" w:rsidR="00CF2D61" w:rsidRPr="00B7231C" w:rsidRDefault="00CF2D61" w:rsidP="00CF2D61">
      <w:pPr>
        <w:pStyle w:val="Notedebasdepage"/>
      </w:pPr>
      <w:r w:rsidRPr="00B7231C">
        <w:rPr>
          <w:rStyle w:val="Appelnotedebasdep"/>
        </w:rPr>
        <w:footnoteRef/>
      </w:r>
      <w:r w:rsidRPr="00B7231C">
        <w:t xml:space="preserve"> </w:t>
      </w:r>
      <w:r w:rsidRPr="00B7231C">
        <w:tab/>
      </w:r>
      <w:r w:rsidRPr="00B7231C">
        <w:rPr>
          <w:i/>
          <w:iCs/>
        </w:rPr>
        <w:t>Moscowitz</w:t>
      </w:r>
      <w:r w:rsidRPr="00B7231C">
        <w:t xml:space="preserve"> c. </w:t>
      </w:r>
      <w:r w:rsidRPr="00B7231C">
        <w:rPr>
          <w:i/>
          <w:iCs/>
        </w:rPr>
        <w:t>Procureure générale du Québec</w:t>
      </w:r>
      <w:r w:rsidRPr="00B7231C">
        <w:t>, 2020 QCCA 412, demande d</w:t>
      </w:r>
      <w:r>
        <w:t>’</w:t>
      </w:r>
      <w:r w:rsidRPr="00B7231C">
        <w:t>autorisation d</w:t>
      </w:r>
      <w:r>
        <w:t>’</w:t>
      </w:r>
      <w:r w:rsidRPr="00B7231C">
        <w:t xml:space="preserve">appel à la Cour suprême rejetée, 27 août 2020, </w:t>
      </w:r>
      <w:r w:rsidRPr="00B7231C">
        <w:rPr>
          <w:rFonts w:cs="Arial"/>
        </w:rPr>
        <w:t>n</w:t>
      </w:r>
      <w:r w:rsidRPr="00B7231C">
        <w:rPr>
          <w:rFonts w:cs="Arial"/>
          <w:vertAlign w:val="superscript"/>
        </w:rPr>
        <w:t>o</w:t>
      </w:r>
      <w:r w:rsidRPr="00B7231C">
        <w:rPr>
          <w:rFonts w:cs="Arial"/>
        </w:rPr>
        <w:t> </w:t>
      </w:r>
      <w:r w:rsidRPr="00B7231C">
        <w:t>39166.</w:t>
      </w:r>
    </w:p>
  </w:footnote>
  <w:footnote w:id="43">
    <w:p w14:paraId="08989F21" w14:textId="572D2001" w:rsidR="00CF2D61" w:rsidRDefault="00CF2D61" w:rsidP="00CF2D61">
      <w:pPr>
        <w:pStyle w:val="Notedebasdepage"/>
      </w:pPr>
      <w:r>
        <w:rPr>
          <w:rStyle w:val="Appelnotedebasdep"/>
        </w:rPr>
        <w:footnoteRef/>
      </w:r>
      <w:r>
        <w:t xml:space="preserve"> </w:t>
      </w:r>
      <w:r>
        <w:tab/>
      </w:r>
      <w:r w:rsidRPr="00735E6E">
        <w:rPr>
          <w:i/>
          <w:iCs/>
        </w:rPr>
        <w:t>9299-2742 Québec inc. (Gestion OFA Environnement) c. Procureur général du Québec</w:t>
      </w:r>
      <w:r w:rsidRPr="00735E6E">
        <w:t>,</w:t>
      </w:r>
      <w:r w:rsidRPr="00735E6E">
        <w:rPr>
          <w:i/>
          <w:iCs/>
        </w:rPr>
        <w:t xml:space="preserve"> supra, </w:t>
      </w:r>
      <w:r w:rsidRPr="00735E6E">
        <w:t>note</w:t>
      </w:r>
      <w:r w:rsidR="00567595">
        <w:t> </w:t>
      </w:r>
      <w:r w:rsidRPr="00735E6E">
        <w:fldChar w:fldCharType="begin"/>
      </w:r>
      <w:r w:rsidRPr="00735E6E">
        <w:instrText xml:space="preserve"> NOTEREF _Ref229401603 \h </w:instrText>
      </w:r>
      <w:r>
        <w:instrText xml:space="preserve"> \* MERGEFORMAT </w:instrText>
      </w:r>
      <w:r w:rsidRPr="00735E6E">
        <w:fldChar w:fldCharType="separate"/>
      </w:r>
      <w:r w:rsidR="00A9398A">
        <w:t>34</w:t>
      </w:r>
      <w:r w:rsidRPr="00735E6E">
        <w:fldChar w:fldCharType="end"/>
      </w:r>
      <w:r w:rsidRPr="00735E6E">
        <w:t>, paragr. 58.</w:t>
      </w:r>
    </w:p>
  </w:footnote>
  <w:footnote w:id="44">
    <w:p w14:paraId="621D6E15" w14:textId="02206271" w:rsidR="00CF2D61" w:rsidRDefault="00CF2D61" w:rsidP="00CF2D61">
      <w:pPr>
        <w:pStyle w:val="Notedebasdepage"/>
      </w:pPr>
      <w:r>
        <w:rPr>
          <w:rStyle w:val="Appelnotedebasdep"/>
        </w:rPr>
        <w:footnoteRef/>
      </w:r>
      <w:r>
        <w:t xml:space="preserve"> </w:t>
      </w:r>
      <w:r>
        <w:tab/>
      </w:r>
      <w:r w:rsidRPr="00B7231C">
        <w:rPr>
          <w:i/>
          <w:iCs/>
        </w:rPr>
        <w:t>Engler-Stringer c. Ville de Montréal</w:t>
      </w:r>
      <w:r w:rsidRPr="00B7231C">
        <w:t xml:space="preserve">, </w:t>
      </w:r>
      <w:r w:rsidRPr="00B7231C">
        <w:rPr>
          <w:i/>
          <w:iCs/>
        </w:rPr>
        <w:t>supra</w:t>
      </w:r>
      <w:r w:rsidRPr="00B7231C">
        <w:t xml:space="preserve">, note </w:t>
      </w:r>
      <w:r w:rsidRPr="00B7231C">
        <w:fldChar w:fldCharType="begin"/>
      </w:r>
      <w:r w:rsidRPr="00B7231C">
        <w:instrText xml:space="preserve"> NOTEREF _Ref218587527 \h </w:instrText>
      </w:r>
      <w:r w:rsidRPr="00A23E52">
        <w:instrText xml:space="preserve"> \* MERGEFORMAT </w:instrText>
      </w:r>
      <w:r w:rsidRPr="00B7231C">
        <w:fldChar w:fldCharType="separate"/>
      </w:r>
      <w:r w:rsidR="00A9398A">
        <w:t>33</w:t>
      </w:r>
      <w:r w:rsidRPr="00B7231C">
        <w:fldChar w:fldCharType="end"/>
      </w:r>
      <w:r w:rsidRPr="00B7231C">
        <w:t>, paragr.</w:t>
      </w:r>
      <w:r>
        <w:t xml:space="preserve"> 44.</w:t>
      </w:r>
    </w:p>
  </w:footnote>
  <w:footnote w:id="45">
    <w:p w14:paraId="1E150535" w14:textId="0E614595" w:rsidR="00CF2D61" w:rsidRDefault="00CF2D61" w:rsidP="00CF2D61">
      <w:pPr>
        <w:pStyle w:val="Notedebasdepage"/>
      </w:pPr>
      <w:r>
        <w:rPr>
          <w:rStyle w:val="Appelnotedebasdep"/>
        </w:rPr>
        <w:footnoteRef/>
      </w:r>
      <w:r>
        <w:t xml:space="preserve"> </w:t>
      </w:r>
      <w:r>
        <w:tab/>
      </w:r>
      <w:r w:rsidRPr="00B7231C">
        <w:rPr>
          <w:i/>
          <w:iCs/>
        </w:rPr>
        <w:t>Popovic c. Ville de Montréal</w:t>
      </w:r>
      <w:r w:rsidRPr="00B7231C">
        <w:t xml:space="preserve">, </w:t>
      </w:r>
      <w:r w:rsidRPr="004601BF">
        <w:rPr>
          <w:i/>
          <w:iCs/>
        </w:rPr>
        <w:t>supra</w:t>
      </w:r>
      <w:r>
        <w:t xml:space="preserve">, note </w:t>
      </w:r>
      <w:r>
        <w:fldChar w:fldCharType="begin"/>
      </w:r>
      <w:r>
        <w:instrText xml:space="preserve"> NOTEREF _Ref218587527 \h </w:instrText>
      </w:r>
      <w:r>
        <w:fldChar w:fldCharType="separate"/>
      </w:r>
      <w:r w:rsidR="00A9398A">
        <w:t>33</w:t>
      </w:r>
      <w:r>
        <w:fldChar w:fldCharType="end"/>
      </w:r>
      <w:r>
        <w:t>, paragr. 80.</w:t>
      </w:r>
    </w:p>
  </w:footnote>
  <w:footnote w:id="46">
    <w:p w14:paraId="2775731C" w14:textId="48CFC098" w:rsidR="00CF2D61" w:rsidRPr="00B7231C" w:rsidRDefault="00CF2D61" w:rsidP="00CF2D61">
      <w:pPr>
        <w:pStyle w:val="Notedebasdepage"/>
      </w:pPr>
      <w:r w:rsidRPr="00B7231C">
        <w:rPr>
          <w:rStyle w:val="Appelnotedebasdep"/>
        </w:rPr>
        <w:footnoteRef/>
      </w:r>
      <w:r w:rsidRPr="00B7231C">
        <w:t xml:space="preserve"> </w:t>
      </w:r>
      <w:r w:rsidRPr="00B7231C">
        <w:tab/>
      </w:r>
      <w:r w:rsidRPr="00B7231C">
        <w:rPr>
          <w:i/>
          <w:iCs/>
        </w:rPr>
        <w:t>Gauthier c. Lambert</w:t>
      </w:r>
      <w:r w:rsidRPr="00B7231C">
        <w:t>, [1988] R.D.J. 14 (C.A.), paragr. 4-5, demande d</w:t>
      </w:r>
      <w:r>
        <w:t>’</w:t>
      </w:r>
      <w:r w:rsidRPr="00B7231C">
        <w:t>autorisation d</w:t>
      </w:r>
      <w:r>
        <w:t>’</w:t>
      </w:r>
      <w:r w:rsidRPr="00B7231C">
        <w:t>appel à la Cour suprême rejetée, 26 mai 1988, n</w:t>
      </w:r>
      <w:r w:rsidRPr="00B7231C">
        <w:rPr>
          <w:vertAlign w:val="superscript"/>
        </w:rPr>
        <w:t>o</w:t>
      </w:r>
      <w:r w:rsidRPr="00B7231C">
        <w:t xml:space="preserve"> 20769.</w:t>
      </w:r>
    </w:p>
  </w:footnote>
  <w:footnote w:id="47">
    <w:p w14:paraId="5FCDBD21" w14:textId="0617A6A6" w:rsidR="00CF2D61" w:rsidRPr="00B7231C" w:rsidRDefault="00CF2D61" w:rsidP="00CF2D61">
      <w:pPr>
        <w:pStyle w:val="Notedebasdepage"/>
      </w:pPr>
      <w:r w:rsidRPr="00B7231C">
        <w:rPr>
          <w:rStyle w:val="Appelnotedebasdep"/>
        </w:rPr>
        <w:footnoteRef/>
      </w:r>
      <w:r w:rsidRPr="00B7231C">
        <w:t xml:space="preserve"> </w:t>
      </w:r>
      <w:r w:rsidRPr="00B7231C">
        <w:tab/>
      </w:r>
      <w:r w:rsidRPr="00B7231C">
        <w:rPr>
          <w:i/>
          <w:iCs/>
        </w:rPr>
        <w:t>Gauthier c. Beaumont</w:t>
      </w:r>
      <w:r w:rsidRPr="00B7231C">
        <w:t>, [1996] R.D.J. 126 (C.A.), paragr. 10-11, pourvoi à la Cour suprême accueilli, mais non sur la question de l</w:t>
      </w:r>
      <w:r>
        <w:t>’</w:t>
      </w:r>
      <w:r w:rsidRPr="00B7231C">
        <w:t>application de la prescription prévue à l</w:t>
      </w:r>
      <w:r>
        <w:t>’</w:t>
      </w:r>
      <w:r w:rsidRPr="00B7231C">
        <w:t xml:space="preserve">article 586 de la </w:t>
      </w:r>
      <w:r w:rsidRPr="00B7231C">
        <w:rPr>
          <w:i/>
          <w:iCs/>
        </w:rPr>
        <w:t>L.c.v.</w:t>
      </w:r>
      <w:r w:rsidRPr="00B7231C">
        <w:t xml:space="preserve"> à un recours fondé sur la </w:t>
      </w:r>
      <w:r w:rsidRPr="00B7231C">
        <w:rPr>
          <w:i/>
          <w:iCs/>
        </w:rPr>
        <w:t>Charte québécoise </w:t>
      </w:r>
      <w:r w:rsidRPr="00B7231C">
        <w:t xml:space="preserve">: </w:t>
      </w:r>
      <w:r w:rsidRPr="00B7231C">
        <w:rPr>
          <w:i/>
          <w:iCs/>
        </w:rPr>
        <w:t>Gauthier c. Beaumont</w:t>
      </w:r>
      <w:r w:rsidRPr="00B7231C">
        <w:t>, [1998] 2 R.C.S. 3.</w:t>
      </w:r>
    </w:p>
  </w:footnote>
  <w:footnote w:id="48">
    <w:p w14:paraId="72DD9186" w14:textId="7234F98E" w:rsidR="00CF2D61" w:rsidRPr="00B7231C" w:rsidRDefault="00CF2D61" w:rsidP="00CF2D61">
      <w:pPr>
        <w:pStyle w:val="Notedebasdepage"/>
      </w:pPr>
      <w:r w:rsidRPr="00B7231C">
        <w:rPr>
          <w:rStyle w:val="Appelnotedebasdep"/>
        </w:rPr>
        <w:footnoteRef/>
      </w:r>
      <w:r w:rsidRPr="00B7231C">
        <w:t xml:space="preserve"> </w:t>
      </w:r>
      <w:r w:rsidRPr="00B7231C">
        <w:tab/>
      </w:r>
      <w:r w:rsidRPr="00B7231C">
        <w:rPr>
          <w:i/>
          <w:iCs/>
        </w:rPr>
        <w:t>Olivier c. Procureur général du Canada</w:t>
      </w:r>
      <w:r w:rsidRPr="00B7231C">
        <w:t>, 2013 QCCA 70, paragr. 45-51</w:t>
      </w:r>
      <w:r>
        <w:t>,</w:t>
      </w:r>
      <w:r w:rsidRPr="00B7231C">
        <w:t xml:space="preserve"> demande d</w:t>
      </w:r>
      <w:r>
        <w:t>’</w:t>
      </w:r>
      <w:r w:rsidRPr="00B7231C">
        <w:t>autorisation d</w:t>
      </w:r>
      <w:r>
        <w:t>’</w:t>
      </w:r>
      <w:r w:rsidRPr="00B7231C">
        <w:t>appeler à la Cour suprême rejetée, 11 juillet 2013, n</w:t>
      </w:r>
      <w:r w:rsidRPr="00B7231C">
        <w:rPr>
          <w:vertAlign w:val="superscript"/>
        </w:rPr>
        <w:t>o</w:t>
      </w:r>
      <w:r w:rsidRPr="00B7231C">
        <w:t xml:space="preserve"> 35284.</w:t>
      </w:r>
    </w:p>
  </w:footnote>
  <w:footnote w:id="49">
    <w:p w14:paraId="3924A928" w14:textId="3D6EB88B" w:rsidR="00CF2D61" w:rsidRPr="00B7231C" w:rsidRDefault="00CF2D61" w:rsidP="00CF2D61">
      <w:pPr>
        <w:pStyle w:val="Notedebasdepage"/>
      </w:pPr>
      <w:r w:rsidRPr="00B7231C">
        <w:rPr>
          <w:rStyle w:val="Appelnotedebasdep"/>
        </w:rPr>
        <w:footnoteRef/>
      </w:r>
      <w:r w:rsidRPr="00B7231C">
        <w:t xml:space="preserve"> </w:t>
      </w:r>
      <w:r w:rsidRPr="00B7231C">
        <w:tab/>
      </w:r>
      <w:r w:rsidRPr="00B7231C">
        <w:rPr>
          <w:i/>
          <w:iCs/>
        </w:rPr>
        <w:t>Engler-Stringer c. Ville de Montréal</w:t>
      </w:r>
      <w:r w:rsidRPr="00B7231C">
        <w:t xml:space="preserve">, </w:t>
      </w:r>
      <w:r w:rsidRPr="00B7231C">
        <w:rPr>
          <w:i/>
          <w:iCs/>
        </w:rPr>
        <w:t>supra</w:t>
      </w:r>
      <w:r w:rsidRPr="00B7231C">
        <w:t>, note</w:t>
      </w:r>
      <w:r>
        <w:t xml:space="preserve"> </w:t>
      </w:r>
      <w:r>
        <w:fldChar w:fldCharType="begin"/>
      </w:r>
      <w:r>
        <w:instrText xml:space="preserve"> NOTEREF _Ref218587527 \h </w:instrText>
      </w:r>
      <w:r>
        <w:fldChar w:fldCharType="separate"/>
      </w:r>
      <w:r w:rsidR="00A9398A">
        <w:t>33</w:t>
      </w:r>
      <w:r>
        <w:fldChar w:fldCharType="end"/>
      </w:r>
      <w:r w:rsidRPr="00B7231C">
        <w:t>.</w:t>
      </w:r>
    </w:p>
  </w:footnote>
  <w:footnote w:id="50">
    <w:p w14:paraId="4E7A3786" w14:textId="77777777" w:rsidR="00CF2D61" w:rsidRPr="00B7231C" w:rsidRDefault="00CF2D61" w:rsidP="00CF2D61">
      <w:pPr>
        <w:pStyle w:val="Notedebasdepage"/>
      </w:pPr>
      <w:r w:rsidRPr="00B7231C">
        <w:rPr>
          <w:rStyle w:val="Appelnotedebasdep"/>
        </w:rPr>
        <w:footnoteRef/>
      </w:r>
      <w:r w:rsidRPr="00B7231C">
        <w:t xml:space="preserve"> </w:t>
      </w:r>
      <w:r w:rsidRPr="00B7231C">
        <w:tab/>
        <w:t xml:space="preserve">Art. 2930 </w:t>
      </w:r>
      <w:r w:rsidRPr="00B7231C">
        <w:rPr>
          <w:i/>
          <w:iCs/>
        </w:rPr>
        <w:t>C.c.Q</w:t>
      </w:r>
      <w:r w:rsidRPr="00B7231C">
        <w:t>.</w:t>
      </w:r>
    </w:p>
  </w:footnote>
  <w:footnote w:id="51">
    <w:p w14:paraId="41B10145" w14:textId="3854FE63" w:rsidR="00CF2D61" w:rsidRDefault="00CF2D61" w:rsidP="00CF2D61">
      <w:pPr>
        <w:pStyle w:val="Notedebasdepage"/>
      </w:pPr>
      <w:r>
        <w:rPr>
          <w:rStyle w:val="Appelnotedebasdep"/>
        </w:rPr>
        <w:footnoteRef/>
      </w:r>
      <w:r>
        <w:t xml:space="preserve"> </w:t>
      </w:r>
      <w:r>
        <w:tab/>
      </w:r>
      <w:r w:rsidRPr="00B7231C">
        <w:rPr>
          <w:i/>
          <w:iCs/>
        </w:rPr>
        <w:t>Engler-Stringer c. Ville de Montréal</w:t>
      </w:r>
      <w:r w:rsidRPr="00B7231C">
        <w:t xml:space="preserve">, </w:t>
      </w:r>
      <w:r w:rsidRPr="00B7231C">
        <w:rPr>
          <w:i/>
          <w:iCs/>
        </w:rPr>
        <w:t>supra</w:t>
      </w:r>
      <w:r w:rsidRPr="00B7231C">
        <w:t>, note</w:t>
      </w:r>
      <w:r>
        <w:t xml:space="preserve"> </w:t>
      </w:r>
      <w:r>
        <w:fldChar w:fldCharType="begin"/>
      </w:r>
      <w:r>
        <w:instrText xml:space="preserve"> NOTEREF _Ref218587527 \h </w:instrText>
      </w:r>
      <w:r>
        <w:fldChar w:fldCharType="separate"/>
      </w:r>
      <w:r w:rsidR="00A9398A">
        <w:t>33</w:t>
      </w:r>
      <w:r>
        <w:fldChar w:fldCharType="end"/>
      </w:r>
      <w:r>
        <w:t>.</w:t>
      </w:r>
    </w:p>
  </w:footnote>
  <w:footnote w:id="52">
    <w:p w14:paraId="3E8A9BFE" w14:textId="0DC60261" w:rsidR="00CF2D61" w:rsidRDefault="00CF2D61" w:rsidP="00CF2D61">
      <w:pPr>
        <w:pStyle w:val="Notedebasdepage"/>
      </w:pPr>
      <w:r>
        <w:rPr>
          <w:rStyle w:val="Appelnotedebasdep"/>
        </w:rPr>
        <w:footnoteRef/>
      </w:r>
      <w:r>
        <w:t xml:space="preserve"> </w:t>
      </w:r>
      <w:r>
        <w:tab/>
      </w:r>
      <w:r w:rsidRPr="00B7231C">
        <w:rPr>
          <w:i/>
          <w:iCs/>
        </w:rPr>
        <w:t>Olivier c. Procureur général du Canada</w:t>
      </w:r>
      <w:r w:rsidRPr="00B7231C">
        <w:t xml:space="preserve">, </w:t>
      </w:r>
      <w:r w:rsidRPr="00B7231C">
        <w:rPr>
          <w:i/>
          <w:iCs/>
        </w:rPr>
        <w:t>supra</w:t>
      </w:r>
      <w:r w:rsidRPr="00B7231C">
        <w:t>, note</w:t>
      </w:r>
      <w:r>
        <w:t xml:space="preserve"> </w:t>
      </w:r>
      <w:r>
        <w:fldChar w:fldCharType="begin"/>
      </w:r>
      <w:r>
        <w:instrText xml:space="preserve"> NOTEREF _Ref218777330 \h </w:instrText>
      </w:r>
      <w:r>
        <w:fldChar w:fldCharType="separate"/>
      </w:r>
      <w:r w:rsidR="00A9398A">
        <w:t>48</w:t>
      </w:r>
      <w:r>
        <w:fldChar w:fldCharType="end"/>
      </w:r>
      <w:r>
        <w:t>.</w:t>
      </w:r>
    </w:p>
  </w:footnote>
  <w:footnote w:id="53">
    <w:p w14:paraId="668F36A3" w14:textId="32866F28" w:rsidR="00CF2D61" w:rsidRPr="00B7231C" w:rsidRDefault="00CF2D61" w:rsidP="00CF2D61">
      <w:pPr>
        <w:pStyle w:val="Notedebasdepage"/>
      </w:pPr>
      <w:r w:rsidRPr="00B7231C">
        <w:rPr>
          <w:rStyle w:val="Appelnotedebasdep"/>
        </w:rPr>
        <w:footnoteRef/>
      </w:r>
      <w:r w:rsidRPr="00B7231C">
        <w:t xml:space="preserve"> </w:t>
      </w:r>
      <w:r w:rsidRPr="00B7231C">
        <w:tab/>
      </w:r>
      <w:r w:rsidRPr="00B7231C">
        <w:rPr>
          <w:i/>
          <w:iCs/>
        </w:rPr>
        <w:t>Engler-Stringer c. Ville de Montréal</w:t>
      </w:r>
      <w:r w:rsidRPr="00B7231C">
        <w:t xml:space="preserve">, </w:t>
      </w:r>
      <w:r w:rsidRPr="00B7231C">
        <w:rPr>
          <w:i/>
          <w:iCs/>
        </w:rPr>
        <w:t>supra</w:t>
      </w:r>
      <w:r w:rsidRPr="00B7231C">
        <w:t>, note</w:t>
      </w:r>
      <w:r>
        <w:t xml:space="preserve"> </w:t>
      </w:r>
      <w:r>
        <w:fldChar w:fldCharType="begin"/>
      </w:r>
      <w:r>
        <w:instrText xml:space="preserve"> NOTEREF _Ref218587527 \h </w:instrText>
      </w:r>
      <w:r>
        <w:fldChar w:fldCharType="separate"/>
      </w:r>
      <w:r w:rsidR="00A9398A">
        <w:t>33</w:t>
      </w:r>
      <w:r>
        <w:fldChar w:fldCharType="end"/>
      </w:r>
      <w:r w:rsidRPr="00B7231C">
        <w:t xml:space="preserve">, paragr. 55-63; </w:t>
      </w:r>
      <w:r w:rsidRPr="00B7231C">
        <w:rPr>
          <w:i/>
          <w:iCs/>
        </w:rPr>
        <w:t>Olivier c. Procureur général du Canada</w:t>
      </w:r>
      <w:r w:rsidRPr="00B7231C">
        <w:t xml:space="preserve">, </w:t>
      </w:r>
      <w:r w:rsidRPr="00B7231C">
        <w:rPr>
          <w:i/>
          <w:iCs/>
        </w:rPr>
        <w:t>supra</w:t>
      </w:r>
      <w:r w:rsidRPr="00B7231C">
        <w:t>, note</w:t>
      </w:r>
      <w:r>
        <w:t xml:space="preserve"> </w:t>
      </w:r>
      <w:r>
        <w:fldChar w:fldCharType="begin"/>
      </w:r>
      <w:r>
        <w:instrText xml:space="preserve"> NOTEREF _Ref218777330 \h </w:instrText>
      </w:r>
      <w:r>
        <w:fldChar w:fldCharType="separate"/>
      </w:r>
      <w:r w:rsidR="00A9398A">
        <w:t>48</w:t>
      </w:r>
      <w:r>
        <w:fldChar w:fldCharType="end"/>
      </w:r>
      <w:r w:rsidRPr="00B7231C">
        <w:t xml:space="preserve">, </w:t>
      </w:r>
      <w:r w:rsidRPr="00B7231C">
        <w:rPr>
          <w:rFonts w:cs="Arial"/>
        </w:rPr>
        <w:t>paragr. 49-50</w:t>
      </w:r>
      <w:r w:rsidRPr="00B7231C">
        <w:t>.</w:t>
      </w:r>
    </w:p>
  </w:footnote>
  <w:footnote w:id="54">
    <w:p w14:paraId="1F30037A" w14:textId="77777777" w:rsidR="00CF2D61" w:rsidRPr="00B7231C" w:rsidRDefault="00CF2D61" w:rsidP="00CF2D61">
      <w:pPr>
        <w:pStyle w:val="Notedebasdepage"/>
      </w:pPr>
      <w:r w:rsidRPr="00B7231C">
        <w:rPr>
          <w:rStyle w:val="Appelnotedebasdep"/>
        </w:rPr>
        <w:footnoteRef/>
      </w:r>
      <w:r w:rsidRPr="00A23E52">
        <w:t xml:space="preserve"> </w:t>
      </w:r>
      <w:r w:rsidRPr="00A23E52">
        <w:tab/>
      </w:r>
      <w:r w:rsidRPr="00A23E52">
        <w:rPr>
          <w:i/>
          <w:iCs/>
        </w:rPr>
        <w:t>Newman c. R</w:t>
      </w:r>
      <w:r w:rsidRPr="00A23E52">
        <w:t xml:space="preserve">., 2016 CAF 213, paragr. </w:t>
      </w:r>
      <w:r w:rsidRPr="00F62930">
        <w:rPr>
          <w:lang w:val="en-CA"/>
        </w:rPr>
        <w:t xml:space="preserve">30-34; </w:t>
      </w:r>
      <w:r w:rsidRPr="00F62930">
        <w:rPr>
          <w:rFonts w:cs="Arial"/>
          <w:i/>
          <w:iCs/>
          <w:color w:val="000000"/>
          <w:lang w:val="en-CA"/>
        </w:rPr>
        <w:t xml:space="preserve">Nungwana v. Canada (Attorney General), </w:t>
      </w:r>
      <w:r w:rsidRPr="00F62930">
        <w:rPr>
          <w:rFonts w:cs="Arial"/>
          <w:color w:val="000000"/>
          <w:lang w:val="en-CA"/>
        </w:rPr>
        <w:t xml:space="preserve">2020 BCSC 1634, paragr. </w:t>
      </w:r>
      <w:r w:rsidRPr="00B7231C">
        <w:rPr>
          <w:rFonts w:cs="Arial"/>
          <w:color w:val="000000"/>
        </w:rPr>
        <w:t xml:space="preserve">125; </w:t>
      </w:r>
      <w:r w:rsidRPr="00B7231C">
        <w:rPr>
          <w:i/>
          <w:iCs/>
        </w:rPr>
        <w:t>Coffey v. Fraser Valley (Regional District)</w:t>
      </w:r>
      <w:r w:rsidRPr="00B7231C">
        <w:t>, 2018 BCSC 959, paragr. 31-35, 52-57.</w:t>
      </w:r>
    </w:p>
  </w:footnote>
  <w:footnote w:id="55">
    <w:p w14:paraId="10022741" w14:textId="77777777" w:rsidR="00CF2D61" w:rsidRPr="00B7231C" w:rsidRDefault="00CF2D61" w:rsidP="00CF2D61">
      <w:pPr>
        <w:pStyle w:val="Notedebasdepage"/>
      </w:pPr>
      <w:r w:rsidRPr="00B7231C">
        <w:rPr>
          <w:rStyle w:val="Appelnotedebasdep"/>
        </w:rPr>
        <w:footnoteRef/>
      </w:r>
      <w:r w:rsidRPr="00B7231C">
        <w:t xml:space="preserve"> </w:t>
      </w:r>
      <w:r w:rsidRPr="00B7231C">
        <w:tab/>
      </w:r>
      <w:r w:rsidRPr="00B7231C">
        <w:rPr>
          <w:i/>
          <w:iCs/>
        </w:rPr>
        <w:t>Carter c. Procureur général du Canada</w:t>
      </w:r>
      <w:r w:rsidRPr="00B7231C">
        <w:t xml:space="preserve">, 2015 CSC 5, [2015] 1 R.C.S. 331. Voir également </w:t>
      </w:r>
      <w:r w:rsidRPr="00B7231C">
        <w:rPr>
          <w:i/>
          <w:iCs/>
        </w:rPr>
        <w:t>Pearlman c. Comité judiciaire de la Société du Barreau du Manitoba</w:t>
      </w:r>
      <w:r w:rsidRPr="00B7231C">
        <w:t>, [1991] 2 R.C.S. 869, p. 881-882.</w:t>
      </w:r>
    </w:p>
  </w:footnote>
  <w:footnote w:id="56">
    <w:p w14:paraId="3DA8AA7A" w14:textId="1939BE4A" w:rsidR="00CF2D61" w:rsidRPr="00B7231C" w:rsidRDefault="00CF2D61" w:rsidP="00CF2D61">
      <w:pPr>
        <w:pStyle w:val="Notedebasdepage"/>
      </w:pPr>
      <w:r w:rsidRPr="00B7231C">
        <w:rPr>
          <w:rStyle w:val="Appelnotedebasdep"/>
        </w:rPr>
        <w:footnoteRef/>
      </w:r>
      <w:r w:rsidRPr="00B7231C">
        <w:t xml:space="preserve"> </w:t>
      </w:r>
      <w:r w:rsidRPr="00B7231C">
        <w:tab/>
      </w:r>
      <w:r w:rsidRPr="00B7231C">
        <w:rPr>
          <w:i/>
          <w:iCs/>
        </w:rPr>
        <w:t>Procureur général du Canada c. Bedford</w:t>
      </w:r>
      <w:r w:rsidRPr="00B7231C">
        <w:t xml:space="preserve">, 2013 CSC 72, [2013] 3 R.C.S. 1101, repris dans </w:t>
      </w:r>
      <w:r w:rsidRPr="00B7231C">
        <w:rPr>
          <w:i/>
          <w:iCs/>
        </w:rPr>
        <w:t>Kazemi (Succession) c. République islamique d</w:t>
      </w:r>
      <w:r>
        <w:rPr>
          <w:i/>
          <w:iCs/>
        </w:rPr>
        <w:t>’</w:t>
      </w:r>
      <w:r w:rsidRPr="00B7231C">
        <w:rPr>
          <w:i/>
          <w:iCs/>
        </w:rPr>
        <w:t>Iran</w:t>
      </w:r>
      <w:r w:rsidRPr="00B7231C">
        <w:t>, 2014 CSC 62, [2014] 3 R.C.S. 176, paragr. 131-132.</w:t>
      </w:r>
    </w:p>
  </w:footnote>
  <w:footnote w:id="57">
    <w:p w14:paraId="0AA0D733" w14:textId="308A3ABA" w:rsidR="00CF2D61" w:rsidRPr="00B7231C" w:rsidRDefault="00CF2D61" w:rsidP="00CF2D61">
      <w:pPr>
        <w:pStyle w:val="Notedebasdepage"/>
      </w:pPr>
      <w:r w:rsidRPr="00B7231C">
        <w:rPr>
          <w:rStyle w:val="Appelnotedebasdep"/>
        </w:rPr>
        <w:footnoteRef/>
      </w:r>
      <w:r w:rsidRPr="00F62930">
        <w:t xml:space="preserve"> </w:t>
      </w:r>
      <w:r w:rsidRPr="00F62930">
        <w:tab/>
      </w:r>
      <w:r w:rsidRPr="00F62930">
        <w:rPr>
          <w:i/>
          <w:iCs/>
        </w:rPr>
        <w:t>Mackay c. Manitoba</w:t>
      </w:r>
      <w:r w:rsidRPr="00F62930">
        <w:t xml:space="preserve">, [1989] 2 R.C.S. 357, p. 361-362. </w:t>
      </w:r>
      <w:r w:rsidRPr="00B7231C">
        <w:t xml:space="preserve">Voir également </w:t>
      </w:r>
      <w:r w:rsidRPr="00B7231C">
        <w:rPr>
          <w:i/>
          <w:iCs/>
        </w:rPr>
        <w:t>Phillips c. Nouvelle-Écosse (Commission d</w:t>
      </w:r>
      <w:r>
        <w:rPr>
          <w:i/>
          <w:iCs/>
        </w:rPr>
        <w:t>’</w:t>
      </w:r>
      <w:r w:rsidRPr="00B7231C">
        <w:rPr>
          <w:i/>
          <w:iCs/>
        </w:rPr>
        <w:t>enquête sur la tragédie de la mine Westray)</w:t>
      </w:r>
      <w:r w:rsidRPr="00B7231C">
        <w:t xml:space="preserve">, [1995] 2 R.C.S. 97; </w:t>
      </w:r>
      <w:r w:rsidRPr="00B7231C">
        <w:rPr>
          <w:i/>
          <w:iCs/>
        </w:rPr>
        <w:t>R. c. Edwards Books and Art Ltd.</w:t>
      </w:r>
      <w:r w:rsidRPr="00B7231C">
        <w:t>, [1986] 2 R.C.S. 713.</w:t>
      </w:r>
    </w:p>
  </w:footnote>
  <w:footnote w:id="58">
    <w:p w14:paraId="576C80F0" w14:textId="78335C50" w:rsidR="00CF2D61" w:rsidRDefault="00CF2D61" w:rsidP="00CF2D61">
      <w:pPr>
        <w:pStyle w:val="Notedebasdepage"/>
      </w:pPr>
      <w:r>
        <w:rPr>
          <w:rStyle w:val="Appelnotedebasdep"/>
        </w:rPr>
        <w:footnoteRef/>
      </w:r>
      <w:r>
        <w:t xml:space="preserve"> </w:t>
      </w:r>
      <w:r>
        <w:tab/>
      </w:r>
      <w:r w:rsidRPr="00B7231C">
        <w:rPr>
          <w:i/>
          <w:iCs/>
        </w:rPr>
        <w:t>Engler-Stringer c. Ville de Montréal</w:t>
      </w:r>
      <w:r w:rsidRPr="00B7231C">
        <w:t xml:space="preserve">, </w:t>
      </w:r>
      <w:r w:rsidRPr="00B7231C">
        <w:rPr>
          <w:i/>
          <w:iCs/>
        </w:rPr>
        <w:t>supra</w:t>
      </w:r>
      <w:r w:rsidRPr="00B7231C">
        <w:t>, note</w:t>
      </w:r>
      <w:r>
        <w:t xml:space="preserve"> </w:t>
      </w:r>
      <w:r>
        <w:fldChar w:fldCharType="begin"/>
      </w:r>
      <w:r>
        <w:instrText xml:space="preserve"> NOTEREF _Ref218587527 \h </w:instrText>
      </w:r>
      <w:r>
        <w:fldChar w:fldCharType="separate"/>
      </w:r>
      <w:r w:rsidR="00A9398A">
        <w:t>33</w:t>
      </w:r>
      <w:r>
        <w:fldChar w:fldCharType="end"/>
      </w:r>
      <w:r>
        <w:t>.</w:t>
      </w:r>
    </w:p>
  </w:footnote>
  <w:footnote w:id="59">
    <w:p w14:paraId="789B66FA" w14:textId="77777777" w:rsidR="00CF2D61" w:rsidRPr="00D12FD6" w:rsidRDefault="00CF2D61" w:rsidP="00CF2D61">
      <w:pPr>
        <w:pStyle w:val="Notedebasdepage"/>
      </w:pPr>
      <w:r>
        <w:rPr>
          <w:rStyle w:val="Appelnotedebasdep"/>
        </w:rPr>
        <w:footnoteRef/>
      </w:r>
      <w:r w:rsidRPr="00D12FD6">
        <w:t xml:space="preserve"> </w:t>
      </w:r>
      <w:r w:rsidRPr="00D12FD6">
        <w:tab/>
      </w:r>
      <w:r w:rsidRPr="00D12FD6">
        <w:rPr>
          <w:i/>
          <w:iCs/>
        </w:rPr>
        <w:t>Id</w:t>
      </w:r>
      <w:r w:rsidRPr="00D12FD6">
        <w:t>., paragr. 39, 44 et 50.</w:t>
      </w:r>
    </w:p>
  </w:footnote>
  <w:footnote w:id="60">
    <w:p w14:paraId="7CCA8552" w14:textId="77777777" w:rsidR="00CF2D61" w:rsidRPr="00191435" w:rsidRDefault="00CF2D61" w:rsidP="00CF2D61">
      <w:pPr>
        <w:pStyle w:val="Notedebasdepage"/>
      </w:pPr>
      <w:r w:rsidRPr="00B7231C">
        <w:rPr>
          <w:rStyle w:val="Appelnotedebasdep"/>
        </w:rPr>
        <w:footnoteRef/>
      </w:r>
      <w:r w:rsidRPr="00191435">
        <w:t xml:space="preserve"> </w:t>
      </w:r>
      <w:r w:rsidRPr="00191435">
        <w:tab/>
        <w:t xml:space="preserve">Art. 2875 </w:t>
      </w:r>
      <w:r w:rsidRPr="00191435">
        <w:rPr>
          <w:i/>
          <w:iCs/>
        </w:rPr>
        <w:t>C.c.Q</w:t>
      </w:r>
      <w:r w:rsidRPr="00191435">
        <w:t>.</w:t>
      </w:r>
    </w:p>
  </w:footnote>
  <w:footnote w:id="61">
    <w:p w14:paraId="46EA0128" w14:textId="628E1862" w:rsidR="003E413C" w:rsidRDefault="003E413C" w:rsidP="003E413C">
      <w:pPr>
        <w:pStyle w:val="Notedebasdepage"/>
      </w:pPr>
      <w:r>
        <w:rPr>
          <w:rStyle w:val="Appelnotedebasdep"/>
        </w:rPr>
        <w:footnoteRef/>
      </w:r>
      <w:r>
        <w:t xml:space="preserve"> </w:t>
      </w:r>
      <w:r>
        <w:tab/>
      </w:r>
      <w:r w:rsidRPr="00412F5D">
        <w:rPr>
          <w:i/>
          <w:iCs/>
        </w:rPr>
        <w:t>R. c. Kloubakov</w:t>
      </w:r>
      <w:r w:rsidRPr="00412F5D">
        <w:t xml:space="preserve">, 2025 CSC 25; paragr. 143 référant à </w:t>
      </w:r>
      <w:r w:rsidRPr="00412F5D">
        <w:rPr>
          <w:i/>
          <w:iCs/>
        </w:rPr>
        <w:t>R. c. Appulonappa</w:t>
      </w:r>
      <w:r w:rsidRPr="00412F5D">
        <w:t>, 2015 CSC 59, [2015] 3</w:t>
      </w:r>
      <w:r>
        <w:t> </w:t>
      </w:r>
      <w:r w:rsidRPr="00412F5D">
        <w:t xml:space="preserve">R.C.S. 754, paragr. 28; </w:t>
      </w:r>
      <w:r w:rsidRPr="00412F5D">
        <w:rPr>
          <w:i/>
          <w:iCs/>
        </w:rPr>
        <w:t>R. c. Hills</w:t>
      </w:r>
      <w:r w:rsidRPr="00412F5D">
        <w:t>, 2023 CSC 2, [2023] 1 R.C.S. 6, paragr. 73</w:t>
      </w:r>
      <w:r w:rsidR="00F6105E">
        <w:t>,</w:t>
      </w:r>
      <w:r w:rsidRPr="00412F5D">
        <w:t xml:space="preserve"> repris dans </w:t>
      </w:r>
      <w:r w:rsidR="00F65DA8" w:rsidRPr="00F65DA8">
        <w:rPr>
          <w:i/>
          <w:iCs/>
        </w:rPr>
        <w:t xml:space="preserve">Procureur général du </w:t>
      </w:r>
      <w:r w:rsidRPr="00F65DA8">
        <w:rPr>
          <w:i/>
          <w:iCs/>
        </w:rPr>
        <w:t>Québec</w:t>
      </w:r>
      <w:r w:rsidRPr="00412F5D">
        <w:rPr>
          <w:i/>
          <w:iCs/>
        </w:rPr>
        <w:t xml:space="preserve"> c. Senneville</w:t>
      </w:r>
      <w:r w:rsidRPr="00412F5D">
        <w:t>, 2025 CSC 33, paragr. 50.</w:t>
      </w:r>
    </w:p>
  </w:footnote>
  <w:footnote w:id="62">
    <w:p w14:paraId="1ECF405A" w14:textId="0D0DB254" w:rsidR="004F09B4" w:rsidRPr="00F6105E" w:rsidRDefault="004F09B4">
      <w:pPr>
        <w:pStyle w:val="Notedebasdepage"/>
      </w:pPr>
      <w:r>
        <w:rPr>
          <w:rStyle w:val="Appelnotedebasdep"/>
        </w:rPr>
        <w:footnoteRef/>
      </w:r>
      <w:r>
        <w:t xml:space="preserve"> </w:t>
      </w:r>
      <w:r>
        <w:tab/>
      </w:r>
      <w:r w:rsidRPr="00F6105E">
        <w:rPr>
          <w:i/>
          <w:iCs/>
        </w:rPr>
        <w:t>Rogers v. Faught</w:t>
      </w:r>
      <w:r w:rsidRPr="00F6105E">
        <w:t>, 2002 CanLII 19268 (</w:t>
      </w:r>
      <w:r w:rsidR="0072650A">
        <w:t>ON CA</w:t>
      </w:r>
      <w:r w:rsidRPr="00F6105E">
        <w:t>).</w:t>
      </w:r>
    </w:p>
  </w:footnote>
  <w:footnote w:id="63">
    <w:p w14:paraId="02F4D317" w14:textId="5FFB5694" w:rsidR="003E413C" w:rsidRDefault="003E413C">
      <w:pPr>
        <w:pStyle w:val="Notedebasdepage"/>
      </w:pPr>
      <w:r w:rsidRPr="00F6105E">
        <w:rPr>
          <w:rStyle w:val="Appelnotedebasdep"/>
        </w:rPr>
        <w:footnoteRef/>
      </w:r>
      <w:r w:rsidRPr="00F6105E">
        <w:t xml:space="preserve"> </w:t>
      </w:r>
      <w:r w:rsidRPr="00F6105E">
        <w:tab/>
      </w:r>
      <w:r w:rsidR="00F65DA8" w:rsidRPr="00F6105E">
        <w:rPr>
          <w:i/>
          <w:iCs/>
        </w:rPr>
        <w:t>Procureur général du</w:t>
      </w:r>
      <w:r w:rsidR="00F65DA8" w:rsidRPr="00F6105E">
        <w:t xml:space="preserve"> </w:t>
      </w:r>
      <w:r w:rsidRPr="00F6105E">
        <w:rPr>
          <w:i/>
          <w:iCs/>
        </w:rPr>
        <w:t>Canada c. Fédération des ordres professionnels de juristes du Canada</w:t>
      </w:r>
      <w:r w:rsidRPr="00F6105E">
        <w:t>, 2015</w:t>
      </w:r>
      <w:r w:rsidR="0072650A">
        <w:t> </w:t>
      </w:r>
      <w:r w:rsidRPr="00F6105E">
        <w:t>CSC 7, [2015] 1 R.C.S. 401, paragr. 69</w:t>
      </w:r>
      <w:r>
        <w:t>.</w:t>
      </w:r>
    </w:p>
  </w:footnote>
  <w:footnote w:id="64">
    <w:p w14:paraId="0069886A" w14:textId="77777777" w:rsidR="00CF2D61" w:rsidRPr="00B7231C" w:rsidRDefault="00CF2D61" w:rsidP="00CF2D61">
      <w:pPr>
        <w:pStyle w:val="Notedebasdepage"/>
      </w:pPr>
      <w:r w:rsidRPr="00B7231C">
        <w:rPr>
          <w:rStyle w:val="Appelnotedebasdep"/>
        </w:rPr>
        <w:footnoteRef/>
      </w:r>
      <w:r w:rsidRPr="00B7231C">
        <w:t xml:space="preserve"> </w:t>
      </w:r>
      <w:r w:rsidRPr="00B7231C">
        <w:tab/>
        <w:t xml:space="preserve">Jugement entrepris, </w:t>
      </w:r>
      <w:r w:rsidRPr="00B7231C">
        <w:rPr>
          <w:rFonts w:cs="Arial"/>
        </w:rPr>
        <w:t>paragr. 201.9.</w:t>
      </w:r>
    </w:p>
  </w:footnote>
  <w:footnote w:id="65">
    <w:p w14:paraId="6BA2F417" w14:textId="77777777" w:rsidR="00CF2D61" w:rsidRDefault="00CF2D61" w:rsidP="00CF2D61">
      <w:pPr>
        <w:pStyle w:val="Notedebasdepage"/>
      </w:pPr>
      <w:r w:rsidRPr="00B7231C">
        <w:rPr>
          <w:rStyle w:val="Appelnotedebasdep"/>
        </w:rPr>
        <w:footnoteRef/>
      </w:r>
      <w:r w:rsidRPr="00B7231C">
        <w:t xml:space="preserve"> </w:t>
      </w:r>
      <w:r w:rsidRPr="00B7231C">
        <w:tab/>
      </w:r>
      <w:r>
        <w:rPr>
          <w:i/>
          <w:iCs/>
        </w:rPr>
        <w:t>Id.</w:t>
      </w:r>
      <w:r w:rsidRPr="00B7231C">
        <w:t>, paragr. 52-53, 56-57, 66, 67, 84-87, 94, 97, 134, 137, 147-152, 201.1 à 201.14 et 202.</w:t>
      </w:r>
    </w:p>
  </w:footnote>
  <w:footnote w:id="66">
    <w:p w14:paraId="3D06788D" w14:textId="77777777" w:rsidR="00CF2D61" w:rsidRDefault="00CF2D61" w:rsidP="00CF2D61">
      <w:pPr>
        <w:pStyle w:val="Notedebasdepage"/>
      </w:pPr>
      <w:r>
        <w:rPr>
          <w:rStyle w:val="Appelnotedebasdep"/>
        </w:rPr>
        <w:footnoteRef/>
      </w:r>
      <w:r>
        <w:t xml:space="preserve"> </w:t>
      </w:r>
      <w:r>
        <w:tab/>
      </w:r>
      <w:r w:rsidRPr="005E6FE5">
        <w:rPr>
          <w:rFonts w:cs="Arial"/>
          <w:i/>
          <w:iCs/>
          <w:color w:val="000000"/>
        </w:rPr>
        <w:t xml:space="preserve">9261-2738 </w:t>
      </w:r>
      <w:r w:rsidRPr="005E6FE5">
        <w:t>Québec</w:t>
      </w:r>
      <w:r w:rsidRPr="005E6FE5">
        <w:rPr>
          <w:rFonts w:cs="Arial"/>
          <w:i/>
          <w:iCs/>
          <w:color w:val="000000"/>
        </w:rPr>
        <w:t xml:space="preserve"> inc. c. </w:t>
      </w:r>
      <w:r w:rsidRPr="005E6FE5">
        <w:rPr>
          <w:i/>
          <w:iCs/>
        </w:rPr>
        <w:t>Succession</w:t>
      </w:r>
      <w:r w:rsidRPr="005E6FE5">
        <w:rPr>
          <w:rFonts w:cs="Arial"/>
          <w:i/>
          <w:iCs/>
          <w:color w:val="000000"/>
        </w:rPr>
        <w:t xml:space="preserve"> de Nadeau, </w:t>
      </w:r>
      <w:r w:rsidRPr="005E6FE5">
        <w:rPr>
          <w:rFonts w:cs="Arial"/>
          <w:color w:val="000000"/>
        </w:rPr>
        <w:t>2020 QCCA 732, paragr.</w:t>
      </w:r>
      <w:r w:rsidRPr="005E6FE5">
        <w:rPr>
          <w:rFonts w:cs="Arial"/>
          <w:color w:val="000000"/>
          <w:sz w:val="22"/>
          <w:szCs w:val="22"/>
        </w:rPr>
        <w:t xml:space="preserve"> </w:t>
      </w:r>
      <w:r w:rsidRPr="005E6FE5">
        <w:rPr>
          <w:rFonts w:cs="Arial"/>
          <w:color w:val="000000"/>
        </w:rPr>
        <w:t>18</w:t>
      </w:r>
      <w:r>
        <w:rPr>
          <w:rFonts w:cs="Arial"/>
          <w:color w:val="000000"/>
        </w:rPr>
        <w:t xml:space="preserve">; </w:t>
      </w:r>
      <w:r w:rsidRPr="00C177EB">
        <w:rPr>
          <w:rFonts w:cs="Arial"/>
          <w:i/>
          <w:iCs/>
          <w:color w:val="000000"/>
        </w:rPr>
        <w:t>9103-4421 Québec inc. c. Hôpital du Sacré-Coeur de Montréal</w:t>
      </w:r>
      <w:r w:rsidRPr="00C177EB">
        <w:rPr>
          <w:rFonts w:cs="Arial"/>
          <w:color w:val="000000"/>
        </w:rPr>
        <w:t>, 2016 QCC</w:t>
      </w:r>
      <w:r>
        <w:rPr>
          <w:rFonts w:cs="Arial"/>
          <w:color w:val="000000"/>
        </w:rPr>
        <w:t xml:space="preserve">A </w:t>
      </w:r>
      <w:r w:rsidRPr="00C177EB">
        <w:rPr>
          <w:rFonts w:cs="Arial"/>
          <w:color w:val="000000"/>
        </w:rPr>
        <w:t>15, paragr. 29-30</w:t>
      </w:r>
      <w:r>
        <w:rPr>
          <w:rFonts w:cs="Arial"/>
          <w:color w:val="00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1B2B8" w14:textId="77777777" w:rsidR="00567595" w:rsidRDefault="0056759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FCE94" w14:textId="77777777" w:rsidR="00CF2D61" w:rsidRDefault="00CF2D61" w:rsidP="00DA0235">
    <w:pPr>
      <w:tabs>
        <w:tab w:val="center" w:pos="4709"/>
        <w:tab w:val="right" w:pos="9360"/>
      </w:tabs>
      <w:spacing w:line="240" w:lineRule="auto"/>
      <w:ind w:right="522"/>
    </w:pPr>
    <w:r>
      <w:t>200-09-010622-238, 200-09-010623-236, 200-09-010624-234</w:t>
    </w:r>
    <w:r>
      <w:tab/>
      <w:t xml:space="preserve">PAGE : </w:t>
    </w:r>
    <w:r>
      <w:fldChar w:fldCharType="begin"/>
    </w:r>
    <w:r>
      <w:instrText xml:space="preserve"> PAGE </w:instrText>
    </w:r>
    <w:r>
      <w:fldChar w:fldCharType="separate"/>
    </w:r>
    <w:r>
      <w:t>0</w:t>
    </w:r>
    <w:r>
      <w:fldChar w:fldCharType="end"/>
    </w:r>
  </w:p>
  <w:p w14:paraId="62F50850" w14:textId="77777777" w:rsidR="00CF2D61" w:rsidRDefault="00CF2D61" w:rsidP="00DA0235">
    <w:pPr>
      <w:tabs>
        <w:tab w:val="center" w:pos="4709"/>
        <w:tab w:val="right" w:pos="9360"/>
      </w:tabs>
      <w:spacing w:line="240" w:lineRule="auto"/>
      <w:ind w:right="522"/>
    </w:pPr>
  </w:p>
  <w:p w14:paraId="6D4CCB56" w14:textId="77777777" w:rsidR="00CF2D61" w:rsidRDefault="00CF2D61" w:rsidP="00DA0235">
    <w:pPr>
      <w:tabs>
        <w:tab w:val="center" w:pos="4709"/>
        <w:tab w:val="right" w:pos="9360"/>
      </w:tabs>
      <w:spacing w:line="240" w:lineRule="auto"/>
      <w:ind w:right="52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4DB7D" w14:textId="77777777" w:rsidR="00567595" w:rsidRDefault="00567595">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C3BA3" w14:textId="46D2B377" w:rsidR="007E33E4" w:rsidRDefault="0010645A" w:rsidP="00CF2D61">
    <w:pPr>
      <w:tabs>
        <w:tab w:val="center" w:pos="4709"/>
        <w:tab w:val="right" w:pos="9360"/>
      </w:tabs>
      <w:spacing w:line="240" w:lineRule="auto"/>
      <w:ind w:right="522"/>
    </w:pPr>
    <w:bookmarkStart w:id="37" w:name="EntDossier"/>
    <w:r>
      <w:t>200-09-010622-238</w:t>
    </w:r>
    <w:bookmarkEnd w:id="37"/>
    <w:r>
      <w:t>, 200-09-010623-236, 200-09-010624-234</w:t>
    </w:r>
    <w:r w:rsidR="007E33E4">
      <w:tab/>
      <w:t xml:space="preserve">PAGE : </w:t>
    </w:r>
    <w:r w:rsidR="007E33E4">
      <w:fldChar w:fldCharType="begin"/>
    </w:r>
    <w:r w:rsidR="007E33E4">
      <w:instrText xml:space="preserve"> PAGE </w:instrText>
    </w:r>
    <w:r w:rsidR="007E33E4">
      <w:fldChar w:fldCharType="separate"/>
    </w:r>
    <w:r w:rsidR="008D18FC">
      <w:rPr>
        <w:noProof/>
      </w:rPr>
      <w:t>2</w:t>
    </w:r>
    <w:r w:rsidR="007E33E4">
      <w:fldChar w:fldCharType="end"/>
    </w:r>
  </w:p>
  <w:p w14:paraId="5B088BF1" w14:textId="77777777" w:rsidR="007E33E4" w:rsidRDefault="007E33E4" w:rsidP="00CF2D61">
    <w:pPr>
      <w:tabs>
        <w:tab w:val="center" w:pos="4709"/>
        <w:tab w:val="right" w:pos="9360"/>
      </w:tabs>
      <w:spacing w:line="240" w:lineRule="auto"/>
      <w:ind w:right="522"/>
    </w:pPr>
  </w:p>
  <w:p w14:paraId="686D50B3" w14:textId="77777777" w:rsidR="00CF2D61" w:rsidRDefault="00CF2D61" w:rsidP="00CF2D61">
    <w:pPr>
      <w:tabs>
        <w:tab w:val="center" w:pos="4709"/>
        <w:tab w:val="right" w:pos="9360"/>
      </w:tabs>
      <w:spacing w:line="240" w:lineRule="auto"/>
      <w:ind w:right="52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0E1E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F12EA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F2647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51C3B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4EAB8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61219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8070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6436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DCE6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34AE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8BB52DE"/>
    <w:multiLevelType w:val="multilevel"/>
    <w:tmpl w:val="79E601F0"/>
    <w:lvl w:ilvl="0">
      <w:start w:val="1"/>
      <w:numFmt w:val="decimal"/>
      <w:pStyle w:val="Paragraphe"/>
      <w:lvlText w:val="[%1]"/>
      <w:lvlJc w:val="left"/>
      <w:pPr>
        <w:tabs>
          <w:tab w:val="num" w:pos="720"/>
        </w:tabs>
        <w:ind w:left="0" w:firstLine="0"/>
      </w:pPr>
      <w:rPr>
        <w:rFonts w:hint="default"/>
      </w:rPr>
    </w:lvl>
    <w:lvl w:ilvl="1">
      <w:start w:val="1"/>
      <w:numFmt w:val="decimal"/>
      <w:pStyle w:val="Sous-paragraphe"/>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2EE53A55"/>
    <w:multiLevelType w:val="hybridMultilevel"/>
    <w:tmpl w:val="1DFEFDF0"/>
    <w:lvl w:ilvl="0" w:tplc="76ECB0E6">
      <w:start w:val="1"/>
      <w:numFmt w:val="decimal"/>
      <w:lvlText w:val="%1."/>
      <w:lvlJc w:val="left"/>
      <w:pPr>
        <w:ind w:left="720" w:hanging="360"/>
      </w:pPr>
      <w:rPr>
        <w:rFonts w:ascii="Arial" w:hAnsi="Arial" w:hint="default"/>
        <w:b/>
        <w:i w:val="0"/>
        <w:sz w:val="24"/>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43F95975"/>
    <w:multiLevelType w:val="hybridMultilevel"/>
    <w:tmpl w:val="3BF215A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44F536EC"/>
    <w:multiLevelType w:val="hybridMultilevel"/>
    <w:tmpl w:val="9528A846"/>
    <w:lvl w:ilvl="0" w:tplc="7E585836">
      <w:start w:val="1"/>
      <w:numFmt w:val="decimal"/>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4A9D1B84"/>
    <w:multiLevelType w:val="multilevel"/>
    <w:tmpl w:val="2766DEE4"/>
    <w:lvl w:ilvl="0">
      <w:start w:val="1"/>
      <w:numFmt w:val="bullet"/>
      <w:lvlText w:val=""/>
      <w:lvlJc w:val="left"/>
      <w:pPr>
        <w:tabs>
          <w:tab w:val="num" w:pos="792"/>
        </w:tabs>
        <w:ind w:left="792" w:hanging="72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609C0DCC"/>
    <w:multiLevelType w:val="multilevel"/>
    <w:tmpl w:val="F11C8164"/>
    <w:lvl w:ilvl="0">
      <w:start w:val="1"/>
      <w:numFmt w:val="decimal"/>
      <w:lvlText w:val="[%1]"/>
      <w:lvlJc w:val="left"/>
      <w:pPr>
        <w:tabs>
          <w:tab w:val="num" w:pos="360"/>
        </w:tabs>
        <w:ind w:left="0" w:firstLine="0"/>
      </w:pPr>
      <w:rPr>
        <w:rFonts w:ascii="Arial" w:hAnsi="Arial" w:hint="default"/>
        <w:b w:val="0"/>
        <w:i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15:restartNumberingAfterBreak="0">
    <w:nsid w:val="68500434"/>
    <w:multiLevelType w:val="hybridMultilevel"/>
    <w:tmpl w:val="FD70804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005744867">
    <w:abstractNumId w:val="15"/>
  </w:num>
  <w:num w:numId="2" w16cid:durableId="2126729408">
    <w:abstractNumId w:val="15"/>
  </w:num>
  <w:num w:numId="3" w16cid:durableId="1932200708">
    <w:abstractNumId w:val="15"/>
  </w:num>
  <w:num w:numId="4" w16cid:durableId="1181696905">
    <w:abstractNumId w:val="8"/>
  </w:num>
  <w:num w:numId="5" w16cid:durableId="480579356">
    <w:abstractNumId w:val="3"/>
  </w:num>
  <w:num w:numId="6" w16cid:durableId="827285401">
    <w:abstractNumId w:val="2"/>
  </w:num>
  <w:num w:numId="7" w16cid:durableId="1914662429">
    <w:abstractNumId w:val="1"/>
  </w:num>
  <w:num w:numId="8" w16cid:durableId="2108848720">
    <w:abstractNumId w:val="0"/>
  </w:num>
  <w:num w:numId="9" w16cid:durableId="1457991691">
    <w:abstractNumId w:val="9"/>
  </w:num>
  <w:num w:numId="10" w16cid:durableId="1496067544">
    <w:abstractNumId w:val="7"/>
  </w:num>
  <w:num w:numId="11" w16cid:durableId="1404836006">
    <w:abstractNumId w:val="6"/>
  </w:num>
  <w:num w:numId="12" w16cid:durableId="401564615">
    <w:abstractNumId w:val="5"/>
  </w:num>
  <w:num w:numId="13" w16cid:durableId="1963922308">
    <w:abstractNumId w:val="4"/>
  </w:num>
  <w:num w:numId="14" w16cid:durableId="101456703">
    <w:abstractNumId w:val="15"/>
  </w:num>
  <w:num w:numId="15" w16cid:durableId="1382091185">
    <w:abstractNumId w:val="15"/>
  </w:num>
  <w:num w:numId="16" w16cid:durableId="1993637402">
    <w:abstractNumId w:val="15"/>
  </w:num>
  <w:num w:numId="17" w16cid:durableId="1263806435">
    <w:abstractNumId w:val="14"/>
  </w:num>
  <w:num w:numId="18" w16cid:durableId="43604593">
    <w:abstractNumId w:val="10"/>
  </w:num>
  <w:num w:numId="19" w16cid:durableId="583611299">
    <w:abstractNumId w:val="12"/>
  </w:num>
  <w:num w:numId="20" w16cid:durableId="713622919">
    <w:abstractNumId w:val="11"/>
  </w:num>
  <w:num w:numId="21" w16cid:durableId="44378849">
    <w:abstractNumId w:val="13"/>
  </w:num>
  <w:num w:numId="22" w16cid:durableId="42041508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nNBChoix" w:val="3"/>
    <w:docVar w:name="MotifJuge1" w:val="MOTIFS DU JUGE"/>
    <w:docVar w:name="MotifJuge2" w:val="MOTIFS DU JUGE"/>
    <w:docVar w:name="MotifJuge3" w:val="MOTIFS DU JUGE"/>
    <w:docVar w:name="NomFamJuge1" w:val="VAUCLAIR"/>
    <w:docVar w:name="NomFamJuge2" w:val="BEAUPRÉ"/>
    <w:docVar w:name="NomFamJuge3" w:val="HARDY"/>
    <w:docVar w:name="NomFamJuge4" w:val="MAILHOT"/>
    <w:docVar w:name="NomFamJuge5" w:val="BAUDOUIN"/>
    <w:docVar w:name="QteJuge1" w:val=", J.C.A."/>
    <w:docVar w:name="QteJuge2" w:val=", J.C.A."/>
    <w:docVar w:name="QteJuge3" w:val=", J.C.A."/>
    <w:docVar w:name="stPremiereFois" w:val="Non"/>
  </w:docVars>
  <w:rsids>
    <w:rsidRoot w:val="0010645A"/>
    <w:rsid w:val="00000830"/>
    <w:rsid w:val="000131E1"/>
    <w:rsid w:val="000306B3"/>
    <w:rsid w:val="0004394C"/>
    <w:rsid w:val="00053691"/>
    <w:rsid w:val="000A7516"/>
    <w:rsid w:val="000B42AF"/>
    <w:rsid w:val="000E4126"/>
    <w:rsid w:val="0010645A"/>
    <w:rsid w:val="00110B53"/>
    <w:rsid w:val="00112321"/>
    <w:rsid w:val="00117914"/>
    <w:rsid w:val="0013028C"/>
    <w:rsid w:val="0015610F"/>
    <w:rsid w:val="00160B31"/>
    <w:rsid w:val="00162C29"/>
    <w:rsid w:val="00171201"/>
    <w:rsid w:val="00172A97"/>
    <w:rsid w:val="00181F56"/>
    <w:rsid w:val="00190FA7"/>
    <w:rsid w:val="001972F2"/>
    <w:rsid w:val="00205DC4"/>
    <w:rsid w:val="0021548E"/>
    <w:rsid w:val="002273F5"/>
    <w:rsid w:val="002865A5"/>
    <w:rsid w:val="00291158"/>
    <w:rsid w:val="00297BE5"/>
    <w:rsid w:val="002B4A07"/>
    <w:rsid w:val="002C4107"/>
    <w:rsid w:val="002E1F0E"/>
    <w:rsid w:val="002E229C"/>
    <w:rsid w:val="002E51F1"/>
    <w:rsid w:val="002F1350"/>
    <w:rsid w:val="002F6136"/>
    <w:rsid w:val="002F6F36"/>
    <w:rsid w:val="003065F2"/>
    <w:rsid w:val="00322DE0"/>
    <w:rsid w:val="0032363D"/>
    <w:rsid w:val="0033190E"/>
    <w:rsid w:val="00337C96"/>
    <w:rsid w:val="00346A22"/>
    <w:rsid w:val="00361325"/>
    <w:rsid w:val="00374888"/>
    <w:rsid w:val="00374E40"/>
    <w:rsid w:val="00392E75"/>
    <w:rsid w:val="003D3B3A"/>
    <w:rsid w:val="003D487D"/>
    <w:rsid w:val="003E0B65"/>
    <w:rsid w:val="003E3239"/>
    <w:rsid w:val="003E3E3C"/>
    <w:rsid w:val="003E413C"/>
    <w:rsid w:val="00423DF1"/>
    <w:rsid w:val="004264FD"/>
    <w:rsid w:val="00430C58"/>
    <w:rsid w:val="004331C4"/>
    <w:rsid w:val="0043564D"/>
    <w:rsid w:val="00441C25"/>
    <w:rsid w:val="00446452"/>
    <w:rsid w:val="00472DC8"/>
    <w:rsid w:val="004802EC"/>
    <w:rsid w:val="004947C5"/>
    <w:rsid w:val="004A29F1"/>
    <w:rsid w:val="004A6641"/>
    <w:rsid w:val="004B1106"/>
    <w:rsid w:val="004B1E94"/>
    <w:rsid w:val="004B33FF"/>
    <w:rsid w:val="004D2F69"/>
    <w:rsid w:val="004E4FBA"/>
    <w:rsid w:val="004F09B4"/>
    <w:rsid w:val="005131F1"/>
    <w:rsid w:val="0051484F"/>
    <w:rsid w:val="00516B3E"/>
    <w:rsid w:val="0052441B"/>
    <w:rsid w:val="005262C9"/>
    <w:rsid w:val="00531D70"/>
    <w:rsid w:val="00566BF6"/>
    <w:rsid w:val="00567595"/>
    <w:rsid w:val="00583434"/>
    <w:rsid w:val="0058349F"/>
    <w:rsid w:val="005A78BF"/>
    <w:rsid w:val="005B6B4C"/>
    <w:rsid w:val="005C7516"/>
    <w:rsid w:val="005D1522"/>
    <w:rsid w:val="005D2FCF"/>
    <w:rsid w:val="005D463A"/>
    <w:rsid w:val="005D5DD2"/>
    <w:rsid w:val="005F5F5F"/>
    <w:rsid w:val="00624770"/>
    <w:rsid w:val="0064250B"/>
    <w:rsid w:val="00673FA2"/>
    <w:rsid w:val="006826AA"/>
    <w:rsid w:val="0068356A"/>
    <w:rsid w:val="006A0DB0"/>
    <w:rsid w:val="006A6629"/>
    <w:rsid w:val="006B396B"/>
    <w:rsid w:val="006C0A59"/>
    <w:rsid w:val="006E5323"/>
    <w:rsid w:val="0072650A"/>
    <w:rsid w:val="00737FA5"/>
    <w:rsid w:val="00740A17"/>
    <w:rsid w:val="007462D6"/>
    <w:rsid w:val="0074738B"/>
    <w:rsid w:val="0076062E"/>
    <w:rsid w:val="007901CC"/>
    <w:rsid w:val="007953F3"/>
    <w:rsid w:val="007A7803"/>
    <w:rsid w:val="007B061E"/>
    <w:rsid w:val="007B48D5"/>
    <w:rsid w:val="007D087C"/>
    <w:rsid w:val="007E0BA0"/>
    <w:rsid w:val="007E33E4"/>
    <w:rsid w:val="007E4079"/>
    <w:rsid w:val="007E4CC9"/>
    <w:rsid w:val="007F40FD"/>
    <w:rsid w:val="00800D23"/>
    <w:rsid w:val="00816273"/>
    <w:rsid w:val="0082717B"/>
    <w:rsid w:val="00827B04"/>
    <w:rsid w:val="0083032E"/>
    <w:rsid w:val="00841907"/>
    <w:rsid w:val="00843E4F"/>
    <w:rsid w:val="0086036A"/>
    <w:rsid w:val="008649B2"/>
    <w:rsid w:val="008653A3"/>
    <w:rsid w:val="008657A2"/>
    <w:rsid w:val="00866645"/>
    <w:rsid w:val="008743B8"/>
    <w:rsid w:val="00882210"/>
    <w:rsid w:val="008A6185"/>
    <w:rsid w:val="008B6A9C"/>
    <w:rsid w:val="008C1FE9"/>
    <w:rsid w:val="008C7DCE"/>
    <w:rsid w:val="008D18FC"/>
    <w:rsid w:val="008D2F56"/>
    <w:rsid w:val="008D398B"/>
    <w:rsid w:val="008D7E49"/>
    <w:rsid w:val="008E5E9D"/>
    <w:rsid w:val="008F364A"/>
    <w:rsid w:val="008F3F53"/>
    <w:rsid w:val="008F7600"/>
    <w:rsid w:val="0090080F"/>
    <w:rsid w:val="00913E03"/>
    <w:rsid w:val="009229E9"/>
    <w:rsid w:val="00926953"/>
    <w:rsid w:val="00932703"/>
    <w:rsid w:val="00936469"/>
    <w:rsid w:val="009400B7"/>
    <w:rsid w:val="00954DC2"/>
    <w:rsid w:val="00956D91"/>
    <w:rsid w:val="00957B92"/>
    <w:rsid w:val="00970966"/>
    <w:rsid w:val="00974442"/>
    <w:rsid w:val="009A6028"/>
    <w:rsid w:val="009B5505"/>
    <w:rsid w:val="009F1F69"/>
    <w:rsid w:val="00A045EF"/>
    <w:rsid w:val="00A23BF4"/>
    <w:rsid w:val="00A2593B"/>
    <w:rsid w:val="00A34E05"/>
    <w:rsid w:val="00A43D8B"/>
    <w:rsid w:val="00A454F1"/>
    <w:rsid w:val="00A543CC"/>
    <w:rsid w:val="00A83784"/>
    <w:rsid w:val="00A9398A"/>
    <w:rsid w:val="00A93CFF"/>
    <w:rsid w:val="00AB2B17"/>
    <w:rsid w:val="00AB7DD2"/>
    <w:rsid w:val="00AD2091"/>
    <w:rsid w:val="00AE1B6D"/>
    <w:rsid w:val="00AF0C7C"/>
    <w:rsid w:val="00B01D86"/>
    <w:rsid w:val="00B07E4E"/>
    <w:rsid w:val="00B11FD1"/>
    <w:rsid w:val="00B137E9"/>
    <w:rsid w:val="00B30EA2"/>
    <w:rsid w:val="00B35518"/>
    <w:rsid w:val="00B35E9C"/>
    <w:rsid w:val="00B3650D"/>
    <w:rsid w:val="00B36ED3"/>
    <w:rsid w:val="00B513C9"/>
    <w:rsid w:val="00B56EF4"/>
    <w:rsid w:val="00B70485"/>
    <w:rsid w:val="00B80EC6"/>
    <w:rsid w:val="00B82A13"/>
    <w:rsid w:val="00BE3BC7"/>
    <w:rsid w:val="00C02AF8"/>
    <w:rsid w:val="00C06E08"/>
    <w:rsid w:val="00C17E01"/>
    <w:rsid w:val="00C31AC4"/>
    <w:rsid w:val="00C409BE"/>
    <w:rsid w:val="00C423CA"/>
    <w:rsid w:val="00C42B6A"/>
    <w:rsid w:val="00C652ED"/>
    <w:rsid w:val="00C7793C"/>
    <w:rsid w:val="00C83005"/>
    <w:rsid w:val="00C939A8"/>
    <w:rsid w:val="00C97145"/>
    <w:rsid w:val="00CF2D61"/>
    <w:rsid w:val="00D010FD"/>
    <w:rsid w:val="00D02812"/>
    <w:rsid w:val="00D045EF"/>
    <w:rsid w:val="00D20056"/>
    <w:rsid w:val="00D2110A"/>
    <w:rsid w:val="00D90B92"/>
    <w:rsid w:val="00D97945"/>
    <w:rsid w:val="00DA207D"/>
    <w:rsid w:val="00DB2119"/>
    <w:rsid w:val="00DC05BC"/>
    <w:rsid w:val="00DD3A24"/>
    <w:rsid w:val="00DF3516"/>
    <w:rsid w:val="00DF5E88"/>
    <w:rsid w:val="00E03C07"/>
    <w:rsid w:val="00E20E3C"/>
    <w:rsid w:val="00E36290"/>
    <w:rsid w:val="00E81E61"/>
    <w:rsid w:val="00E848B4"/>
    <w:rsid w:val="00E91417"/>
    <w:rsid w:val="00E94329"/>
    <w:rsid w:val="00EB1377"/>
    <w:rsid w:val="00EC1E33"/>
    <w:rsid w:val="00EC6F47"/>
    <w:rsid w:val="00F07022"/>
    <w:rsid w:val="00F1119E"/>
    <w:rsid w:val="00F26635"/>
    <w:rsid w:val="00F306C7"/>
    <w:rsid w:val="00F33E30"/>
    <w:rsid w:val="00F35A34"/>
    <w:rsid w:val="00F40882"/>
    <w:rsid w:val="00F43559"/>
    <w:rsid w:val="00F5789B"/>
    <w:rsid w:val="00F6105E"/>
    <w:rsid w:val="00F62930"/>
    <w:rsid w:val="00F65DA8"/>
    <w:rsid w:val="00F75AAB"/>
    <w:rsid w:val="00F75C76"/>
    <w:rsid w:val="00FB1BCE"/>
    <w:rsid w:val="00FB2131"/>
    <w:rsid w:val="00FC720B"/>
    <w:rsid w:val="00FE3FE9"/>
    <w:rsid w:val="00FE6A10"/>
    <w:rsid w:val="00FF16E6"/>
    <w:rsid w:val="00FF7BB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F571C5"/>
  <w15:chartTrackingRefBased/>
  <w15:docId w15:val="{D695F133-3315-4F61-857D-4F96253D5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80" w:lineRule="exact"/>
    </w:pPr>
    <w:rPr>
      <w:rFonts w:ascii="Arial" w:hAnsi="Arial"/>
      <w:sz w:val="24"/>
      <w:lang w:eastAsia="fr-FR"/>
    </w:rPr>
  </w:style>
  <w:style w:type="paragraph" w:styleId="Titre1">
    <w:name w:val="heading 1"/>
    <w:basedOn w:val="Normal"/>
    <w:next w:val="Normal"/>
    <w:qFormat/>
    <w:pPr>
      <w:keepNext/>
      <w:spacing w:before="240" w:after="60" w:line="500" w:lineRule="exact"/>
      <w:outlineLvl w:val="0"/>
    </w:pPr>
    <w:rPr>
      <w:b/>
      <w:kern w:val="28"/>
      <w:sz w:val="28"/>
    </w:rPr>
  </w:style>
  <w:style w:type="paragraph" w:styleId="Titre2">
    <w:name w:val="heading 2"/>
    <w:basedOn w:val="Normal"/>
    <w:next w:val="Normal"/>
    <w:qFormat/>
    <w:pPr>
      <w:keepNext/>
      <w:spacing w:before="240" w:after="60"/>
      <w:outlineLvl w:val="1"/>
    </w:pPr>
    <w:rPr>
      <w:b/>
      <w:i/>
    </w:rPr>
  </w:style>
  <w:style w:type="paragraph" w:styleId="Titre3">
    <w:name w:val="heading 3"/>
    <w:basedOn w:val="Normal"/>
    <w:next w:val="Normal"/>
    <w:qFormat/>
    <w:pPr>
      <w:keepNext/>
      <w:spacing w:before="240" w:after="60"/>
      <w:outlineLvl w:val="2"/>
    </w:pPr>
  </w:style>
  <w:style w:type="paragraph" w:styleId="Titre4">
    <w:name w:val="heading 4"/>
    <w:basedOn w:val="Normal"/>
    <w:next w:val="Normal"/>
    <w:qFormat/>
    <w:pPr>
      <w:keepNext/>
      <w:spacing w:before="240" w:after="60"/>
      <w:outlineLvl w:val="3"/>
    </w:pPr>
    <w:rPr>
      <w:b/>
    </w:rPr>
  </w:style>
  <w:style w:type="paragraph" w:styleId="Titre5">
    <w:name w:val="heading 5"/>
    <w:basedOn w:val="Normal"/>
    <w:next w:val="Normal"/>
    <w:qFormat/>
    <w:pPr>
      <w:spacing w:before="240" w:after="60"/>
      <w:outlineLvl w:val="4"/>
    </w:pPr>
    <w:rPr>
      <w:sz w:val="22"/>
    </w:rPr>
  </w:style>
  <w:style w:type="paragraph" w:styleId="Titre6">
    <w:name w:val="heading 6"/>
    <w:basedOn w:val="Normal"/>
    <w:next w:val="Normal"/>
    <w:qFormat/>
    <w:pPr>
      <w:spacing w:before="240" w:after="60"/>
      <w:outlineLvl w:val="5"/>
    </w:pPr>
    <w:rPr>
      <w:i/>
      <w:sz w:val="22"/>
    </w:rPr>
  </w:style>
  <w:style w:type="paragraph" w:styleId="Titre7">
    <w:name w:val="heading 7"/>
    <w:basedOn w:val="Normal"/>
    <w:next w:val="Normal"/>
    <w:qFormat/>
    <w:pPr>
      <w:spacing w:before="240" w:after="60"/>
      <w:outlineLvl w:val="6"/>
    </w:pPr>
    <w:rPr>
      <w:sz w:val="20"/>
    </w:rPr>
  </w:style>
  <w:style w:type="paragraph" w:styleId="Titre8">
    <w:name w:val="heading 8"/>
    <w:basedOn w:val="Normal"/>
    <w:next w:val="Normal"/>
    <w:qFormat/>
    <w:pPr>
      <w:spacing w:before="240" w:after="60"/>
      <w:outlineLvl w:val="7"/>
    </w:pPr>
    <w:rPr>
      <w:i/>
      <w:sz w:val="20"/>
    </w:rPr>
  </w:style>
  <w:style w:type="paragraph" w:styleId="Titre9">
    <w:name w:val="heading 9"/>
    <w:basedOn w:val="Normal"/>
    <w:next w:val="Normal"/>
    <w:qFormat/>
    <w:p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
    <w:name w:val="Paragraphe"/>
    <w:basedOn w:val="Normal"/>
    <w:rsid w:val="00CF2D61"/>
    <w:pPr>
      <w:numPr>
        <w:numId w:val="18"/>
      </w:numPr>
      <w:spacing w:before="120" w:after="120"/>
      <w:jc w:val="both"/>
    </w:pPr>
    <w:rPr>
      <w:kern w:val="28"/>
    </w:rPr>
  </w:style>
  <w:style w:type="paragraph" w:customStyle="1" w:styleId="Citationenretrait">
    <w:name w:val="Citation en retrait"/>
    <w:basedOn w:val="Normal"/>
    <w:pPr>
      <w:spacing w:before="120" w:after="120"/>
      <w:ind w:left="720" w:right="720"/>
      <w:jc w:val="both"/>
    </w:pPr>
    <w:rPr>
      <w:kern w:val="24"/>
      <w:sz w:val="22"/>
    </w:rPr>
  </w:style>
  <w:style w:type="character" w:customStyle="1" w:styleId="Citationintgre">
    <w:name w:val="Citation intégrée"/>
    <w:rPr>
      <w:rFonts w:ascii="Arial" w:hAnsi="Arial"/>
      <w:i/>
      <w:noProof w:val="0"/>
      <w:sz w:val="22"/>
      <w:lang w:val="fr-CA"/>
    </w:rPr>
  </w:style>
  <w:style w:type="paragraph" w:styleId="Corpsdetexte">
    <w:name w:val="Body Text"/>
    <w:basedOn w:val="Normal"/>
    <w:semiHidden/>
    <w:pPr>
      <w:spacing w:after="120"/>
    </w:pPr>
  </w:style>
  <w:style w:type="paragraph" w:styleId="Notedebasdepage">
    <w:name w:val="footnote text"/>
    <w:basedOn w:val="Normal"/>
    <w:link w:val="NotedebasdepageCar"/>
    <w:semiHidden/>
    <w:pPr>
      <w:spacing w:line="240" w:lineRule="auto"/>
      <w:ind w:left="360" w:hanging="360"/>
      <w:jc w:val="both"/>
    </w:pPr>
    <w:rPr>
      <w:sz w:val="20"/>
    </w:rPr>
  </w:style>
  <w:style w:type="paragraph" w:styleId="Notedefin">
    <w:name w:val="endnote text"/>
    <w:basedOn w:val="Normal"/>
    <w:semiHidden/>
    <w:pPr>
      <w:ind w:left="-360"/>
      <w:jc w:val="both"/>
    </w:pPr>
    <w:rPr>
      <w:sz w:val="20"/>
    </w:rPr>
  </w:style>
  <w:style w:type="paragraph" w:customStyle="1" w:styleId="zSoquijlblCour">
    <w:name w:val="zSoquij_lblCour"/>
    <w:basedOn w:val="Normal"/>
    <w:pPr>
      <w:spacing w:line="500" w:lineRule="exact"/>
      <w:jc w:val="center"/>
    </w:pPr>
    <w:rPr>
      <w:b/>
      <w:sz w:val="36"/>
    </w:rPr>
  </w:style>
  <w:style w:type="paragraph" w:customStyle="1" w:styleId="zSoquijlblPays">
    <w:name w:val="zSoquij_lblPays"/>
    <w:basedOn w:val="Normal"/>
  </w:style>
  <w:style w:type="paragraph" w:customStyle="1" w:styleId="zSoquijlblProvince">
    <w:name w:val="zSoquij_lblProvince"/>
    <w:basedOn w:val="Normal"/>
  </w:style>
  <w:style w:type="paragraph" w:customStyle="1" w:styleId="zSoquijlblGreffe">
    <w:name w:val="zSoquij_lblGreffe"/>
    <w:basedOn w:val="Normal"/>
  </w:style>
  <w:style w:type="paragraph" w:customStyle="1" w:styleId="zSoquijdatGreffe">
    <w:name w:val="zSoquij_datGreffe"/>
    <w:basedOn w:val="Normal"/>
  </w:style>
  <w:style w:type="paragraph" w:customStyle="1" w:styleId="zSoquijdatDivision">
    <w:name w:val="zSoquij_datDivision"/>
    <w:basedOn w:val="Normal"/>
    <w:pPr>
      <w:jc w:val="center"/>
    </w:pPr>
    <w:rPr>
      <w:sz w:val="22"/>
    </w:rPr>
  </w:style>
  <w:style w:type="paragraph" w:customStyle="1" w:styleId="zSoquijlblNoDossier">
    <w:name w:val="zSoquij_lblNoDossier"/>
    <w:basedOn w:val="Normal"/>
  </w:style>
  <w:style w:type="paragraph" w:customStyle="1" w:styleId="zSoquijdatNoDossier">
    <w:name w:val="zSoquij_datNoDossier"/>
    <w:basedOn w:val="Normal"/>
  </w:style>
  <w:style w:type="paragraph" w:customStyle="1" w:styleId="zSoquijdatNoDossierAnt">
    <w:name w:val="zSoquij_datNoDossierAnt"/>
    <w:basedOn w:val="Normal"/>
    <w:pPr>
      <w:ind w:left="950"/>
    </w:pPr>
  </w:style>
  <w:style w:type="paragraph" w:customStyle="1" w:styleId="zSoquijdatDateJugement">
    <w:name w:val="zSoquij_datDateJugement"/>
    <w:basedOn w:val="Normal"/>
  </w:style>
  <w:style w:type="paragraph" w:customStyle="1" w:styleId="zSoquijlblDateJugement">
    <w:name w:val="zSoquij_lblDateJugement"/>
    <w:basedOn w:val="Normal"/>
  </w:style>
  <w:style w:type="paragraph" w:customStyle="1" w:styleId="zSoquijlblJuge">
    <w:name w:val="zSoquij_lblJuge"/>
    <w:basedOn w:val="Normal"/>
    <w:rPr>
      <w:b/>
    </w:rPr>
  </w:style>
  <w:style w:type="paragraph" w:customStyle="1" w:styleId="zSoquijdatQteJuge">
    <w:name w:val="zSoquij_datQteJuge"/>
    <w:basedOn w:val="Normal"/>
    <w:rPr>
      <w:b/>
    </w:rPr>
  </w:style>
  <w:style w:type="paragraph" w:customStyle="1" w:styleId="zSoquijdatJuge">
    <w:name w:val="zSoquij_datJuge"/>
    <w:basedOn w:val="Normal"/>
    <w:rPr>
      <w:b/>
    </w:rPr>
  </w:style>
  <w:style w:type="paragraph" w:customStyle="1" w:styleId="zSoquijdatNomPartieDem">
    <w:name w:val="zSoquij_datNomPartieDem"/>
    <w:basedOn w:val="Normal"/>
    <w:rPr>
      <w:b/>
      <w:bCs/>
    </w:rPr>
  </w:style>
  <w:style w:type="paragraph" w:customStyle="1" w:styleId="zSoquijdatQtePartieDem">
    <w:name w:val="zSoquij_datQtePartieDem"/>
    <w:basedOn w:val="Normal"/>
    <w:pPr>
      <w:ind w:left="708"/>
    </w:pPr>
  </w:style>
  <w:style w:type="paragraph" w:customStyle="1" w:styleId="zSoquijlblLienParties">
    <w:name w:val="zSoquij_lblLienParties"/>
    <w:basedOn w:val="Normal"/>
  </w:style>
  <w:style w:type="paragraph" w:customStyle="1" w:styleId="zSoquijdatNomPartieDef">
    <w:name w:val="zSoquij_datNomPartieDef"/>
    <w:basedOn w:val="Normal"/>
    <w:rPr>
      <w:b/>
      <w:bCs/>
    </w:rPr>
  </w:style>
  <w:style w:type="paragraph" w:customStyle="1" w:styleId="zSoquijdatQtePartieDef">
    <w:name w:val="zSoquij_datQtePartieDef"/>
    <w:basedOn w:val="Normal"/>
    <w:pPr>
      <w:ind w:left="708"/>
    </w:pPr>
  </w:style>
  <w:style w:type="paragraph" w:customStyle="1" w:styleId="zSoquijlblTypeDocument">
    <w:name w:val="zSoquij_lblTypeDocument"/>
    <w:basedOn w:val="Normal"/>
    <w:pPr>
      <w:jc w:val="center"/>
    </w:pPr>
  </w:style>
  <w:style w:type="paragraph" w:customStyle="1" w:styleId="zSoquijlblProcureurDem">
    <w:name w:val="zSoquij_lblProcureurDem"/>
    <w:basedOn w:val="Normal"/>
  </w:style>
  <w:style w:type="paragraph" w:customStyle="1" w:styleId="zSoquijlblProcureurDef">
    <w:name w:val="zSoquij_lblProcureurDef"/>
    <w:basedOn w:val="Normal"/>
  </w:style>
  <w:style w:type="paragraph" w:customStyle="1" w:styleId="zSoquijlblDateAudience">
    <w:name w:val="zSoquij_lblDateAudience"/>
    <w:basedOn w:val="Normal"/>
  </w:style>
  <w:style w:type="paragraph" w:customStyle="1" w:styleId="zSoquijdatDateAudience">
    <w:name w:val="zSoquij_datDateAudience"/>
    <w:basedOn w:val="Normal"/>
  </w:style>
  <w:style w:type="paragraph" w:customStyle="1" w:styleId="zSoquijlblNomChambre">
    <w:name w:val="zSoquij_lblNomChambre"/>
    <w:basedOn w:val="Normal"/>
  </w:style>
  <w:style w:type="paragraph" w:customStyle="1" w:styleId="zSoquijlblOpinionJuge">
    <w:name w:val="zSoquij_lblOpinionJuge"/>
    <w:basedOn w:val="Normal"/>
    <w:pPr>
      <w:jc w:val="center"/>
    </w:pPr>
  </w:style>
  <w:style w:type="character" w:customStyle="1" w:styleId="zSoquijlblEntNoDossier">
    <w:name w:val="zSoquij_lblEntNoDossier"/>
    <w:basedOn w:val="Policepardfaut"/>
    <w:rPr>
      <w:noProof w:val="0"/>
      <w:lang w:val="fr-CA"/>
    </w:rPr>
  </w:style>
  <w:style w:type="paragraph" w:customStyle="1" w:styleId="zSoquijlblTitrePartie">
    <w:name w:val="zSoquij_lblTitrePartie"/>
    <w:basedOn w:val="Normal"/>
  </w:style>
  <w:style w:type="paragraph" w:customStyle="1" w:styleId="zSoquijdatIdJuge">
    <w:name w:val="zSoquij_datIdJuge"/>
    <w:basedOn w:val="Normal"/>
    <w:pPr>
      <w:jc w:val="right"/>
    </w:pPr>
  </w:style>
  <w:style w:type="paragraph" w:customStyle="1" w:styleId="Sous-paragraphe">
    <w:name w:val="Sous-paragraphe"/>
    <w:basedOn w:val="Normal"/>
    <w:pPr>
      <w:widowControl w:val="0"/>
      <w:numPr>
        <w:ilvl w:val="1"/>
        <w:numId w:val="18"/>
      </w:numPr>
      <w:spacing w:after="120"/>
      <w:jc w:val="both"/>
    </w:pPr>
    <w:rPr>
      <w:kern w:val="28"/>
    </w:rPr>
  </w:style>
  <w:style w:type="paragraph" w:customStyle="1" w:styleId="zSoquijdatNomProcureurDem">
    <w:name w:val="zSoquij_datNomProcureurDem"/>
    <w:basedOn w:val="zSoquijlblProcureurDem"/>
    <w:pPr>
      <w:keepNext/>
    </w:pPr>
  </w:style>
  <w:style w:type="paragraph" w:customStyle="1" w:styleId="zSoquijdatNomProcureurDef">
    <w:name w:val="zSoquij_datNomProcureurDef"/>
    <w:basedOn w:val="zSoquijlblProcureurDef"/>
    <w:pPr>
      <w:keepNext/>
    </w:pPr>
  </w:style>
  <w:style w:type="paragraph" w:customStyle="1" w:styleId="zSoquijdatCabinetProcureurDem">
    <w:name w:val="zSoquij_datCabinetProcureurDem"/>
    <w:basedOn w:val="Normal"/>
    <w:pPr>
      <w:keepNext/>
    </w:pPr>
  </w:style>
  <w:style w:type="paragraph" w:customStyle="1" w:styleId="zSoquijdatCabinetProcureurDef">
    <w:name w:val="zSoquij_datCabinetProcureurDef"/>
    <w:basedOn w:val="zSoquijlblProcureurDef"/>
    <w:pPr>
      <w:keepNext/>
    </w:pPr>
  </w:style>
  <w:style w:type="paragraph" w:styleId="En-tte">
    <w:name w:val="header"/>
    <w:basedOn w:val="Normal"/>
    <w:semiHidden/>
    <w:pPr>
      <w:tabs>
        <w:tab w:val="center" w:pos="4320"/>
        <w:tab w:val="right" w:pos="8640"/>
      </w:tabs>
    </w:pPr>
  </w:style>
  <w:style w:type="paragraph" w:styleId="Pieddepage">
    <w:name w:val="footer"/>
    <w:basedOn w:val="Normal"/>
    <w:semiHidden/>
    <w:pPr>
      <w:tabs>
        <w:tab w:val="center" w:pos="4320"/>
        <w:tab w:val="right" w:pos="8640"/>
      </w:tabs>
    </w:pPr>
  </w:style>
  <w:style w:type="paragraph" w:customStyle="1" w:styleId="Tableaudroiteanglais">
    <w:name w:val="Tableau droite anglais"/>
    <w:basedOn w:val="Tableaugauchefranais"/>
    <w:pPr>
      <w:ind w:left="144" w:right="720"/>
      <w:jc w:val="both"/>
    </w:pPr>
    <w:rPr>
      <w:lang w:val="en-CA"/>
    </w:rPr>
  </w:style>
  <w:style w:type="paragraph" w:customStyle="1" w:styleId="Tableaugauchefranais">
    <w:name w:val="Tableau gauche français"/>
    <w:basedOn w:val="Normal"/>
    <w:pPr>
      <w:ind w:left="720" w:right="144"/>
    </w:pPr>
    <w:rPr>
      <w:sz w:val="22"/>
    </w:rPr>
  </w:style>
  <w:style w:type="character" w:styleId="Appelnotedebasdep">
    <w:name w:val="footnote reference"/>
    <w:uiPriority w:val="99"/>
    <w:semiHidden/>
    <w:rPr>
      <w:noProof w:val="0"/>
      <w:vertAlign w:val="superscript"/>
      <w:lang w:val="fr-CA"/>
    </w:rPr>
  </w:style>
  <w:style w:type="paragraph" w:styleId="Corpsdetexte3">
    <w:name w:val="Body Text 3"/>
    <w:basedOn w:val="Normal"/>
    <w:semiHidden/>
    <w:pPr>
      <w:spacing w:after="120"/>
    </w:pPr>
    <w:rPr>
      <w:sz w:val="16"/>
    </w:rPr>
  </w:style>
  <w:style w:type="paragraph" w:customStyle="1" w:styleId="zSoquijdatRepertorie">
    <w:name w:val="zSoquij_datRepertorie"/>
    <w:basedOn w:val="zSoquijlblCour"/>
    <w:pPr>
      <w:spacing w:line="240" w:lineRule="auto"/>
      <w:jc w:val="left"/>
    </w:pPr>
    <w:rPr>
      <w:sz w:val="22"/>
    </w:rPr>
  </w:style>
  <w:style w:type="paragraph" w:customStyle="1" w:styleId="zSoquijdatRefNeutre">
    <w:name w:val="zSoquij_datRefNeutre"/>
    <w:basedOn w:val="zSoquijlblCour"/>
    <w:pPr>
      <w:spacing w:line="240" w:lineRule="auto"/>
      <w:jc w:val="left"/>
    </w:pPr>
    <w:rPr>
      <w:sz w:val="22"/>
    </w:rPr>
  </w:style>
  <w:style w:type="table" w:styleId="Grilledutableau">
    <w:name w:val="Table Grid"/>
    <w:basedOn w:val="TableauNormal"/>
    <w:uiPriority w:val="39"/>
    <w:rsid w:val="00E20E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3E3239"/>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E3239"/>
    <w:rPr>
      <w:rFonts w:ascii="Segoe UI" w:hAnsi="Segoe UI" w:cs="Segoe UI"/>
      <w:sz w:val="18"/>
      <w:szCs w:val="18"/>
      <w:lang w:eastAsia="fr-FR"/>
    </w:rPr>
  </w:style>
  <w:style w:type="paragraph" w:customStyle="1" w:styleId="paragraphe0">
    <w:name w:val="paragraphe"/>
    <w:basedOn w:val="Normal"/>
    <w:rsid w:val="00CF2D61"/>
    <w:pPr>
      <w:spacing w:before="120" w:after="120" w:line="500" w:lineRule="atLeast"/>
      <w:jc w:val="both"/>
    </w:pPr>
    <w:rPr>
      <w:rFonts w:cs="Arial"/>
      <w:szCs w:val="24"/>
      <w:lang w:eastAsia="fr-CA"/>
    </w:rPr>
  </w:style>
  <w:style w:type="paragraph" w:customStyle="1" w:styleId="citationenretrait0">
    <w:name w:val="citationenretrait"/>
    <w:basedOn w:val="Normal"/>
    <w:rsid w:val="00CF2D61"/>
    <w:pPr>
      <w:spacing w:before="100" w:beforeAutospacing="1" w:after="100" w:afterAutospacing="1" w:line="240" w:lineRule="auto"/>
    </w:pPr>
    <w:rPr>
      <w:rFonts w:ascii="Times New Roman" w:hAnsi="Times New Roman"/>
      <w:szCs w:val="24"/>
      <w:lang w:eastAsia="fr-CA"/>
    </w:rPr>
  </w:style>
  <w:style w:type="paragraph" w:customStyle="1" w:styleId="paragrsimple">
    <w:name w:val="paragrsimple"/>
    <w:basedOn w:val="Normal"/>
    <w:rsid w:val="00CF2D61"/>
    <w:pPr>
      <w:spacing w:before="100" w:beforeAutospacing="1" w:after="100" w:afterAutospacing="1" w:line="240" w:lineRule="auto"/>
    </w:pPr>
    <w:rPr>
      <w:rFonts w:ascii="Times New Roman" w:hAnsi="Times New Roman"/>
      <w:szCs w:val="24"/>
      <w:lang w:eastAsia="fr-CA"/>
    </w:rPr>
  </w:style>
  <w:style w:type="character" w:customStyle="1" w:styleId="reflex2-link">
    <w:name w:val="reflex2-link"/>
    <w:basedOn w:val="Policepardfaut"/>
    <w:rsid w:val="00CF2D61"/>
  </w:style>
  <w:style w:type="character" w:styleId="Hyperlien">
    <w:name w:val="Hyperlink"/>
    <w:basedOn w:val="Policepardfaut"/>
    <w:uiPriority w:val="99"/>
    <w:unhideWhenUsed/>
    <w:rsid w:val="00CF2D61"/>
    <w:rPr>
      <w:color w:val="0000FF"/>
      <w:u w:val="single"/>
    </w:rPr>
  </w:style>
  <w:style w:type="character" w:customStyle="1" w:styleId="bold1">
    <w:name w:val="bold1"/>
    <w:basedOn w:val="Policepardfaut"/>
    <w:rsid w:val="00CF2D61"/>
  </w:style>
  <w:style w:type="character" w:customStyle="1" w:styleId="italic1">
    <w:name w:val="italic1"/>
    <w:basedOn w:val="Policepardfaut"/>
    <w:rsid w:val="00CF2D61"/>
  </w:style>
  <w:style w:type="character" w:customStyle="1" w:styleId="reflex3-missing">
    <w:name w:val="reflex3-missing"/>
    <w:basedOn w:val="Policepardfaut"/>
    <w:rsid w:val="00CF2D61"/>
  </w:style>
  <w:style w:type="paragraph" w:styleId="Textebrut">
    <w:name w:val="Plain Text"/>
    <w:basedOn w:val="Normal"/>
    <w:link w:val="TextebrutCar"/>
    <w:uiPriority w:val="99"/>
    <w:semiHidden/>
    <w:unhideWhenUsed/>
    <w:rsid w:val="00CF2D61"/>
    <w:pPr>
      <w:spacing w:line="240" w:lineRule="auto"/>
    </w:pPr>
    <w:rPr>
      <w:rFonts w:ascii="Courier New" w:hAnsi="Courier New" w:cs="Courier New"/>
      <w:sz w:val="20"/>
      <w:lang w:eastAsia="fr-CA"/>
    </w:rPr>
  </w:style>
  <w:style w:type="character" w:customStyle="1" w:styleId="TextebrutCar">
    <w:name w:val="Texte brut Car"/>
    <w:basedOn w:val="Policepardfaut"/>
    <w:link w:val="Textebrut"/>
    <w:uiPriority w:val="99"/>
    <w:semiHidden/>
    <w:rsid w:val="00CF2D61"/>
    <w:rPr>
      <w:rFonts w:ascii="Courier New" w:hAnsi="Courier New" w:cs="Courier New"/>
    </w:rPr>
  </w:style>
  <w:style w:type="paragraph" w:customStyle="1" w:styleId="paragnum">
    <w:name w:val="paragnum"/>
    <w:basedOn w:val="Normal"/>
    <w:rsid w:val="00CF2D61"/>
    <w:pPr>
      <w:spacing w:before="100" w:beforeAutospacing="1" w:after="100" w:afterAutospacing="1" w:line="240" w:lineRule="auto"/>
    </w:pPr>
    <w:rPr>
      <w:rFonts w:ascii="Times New Roman" w:hAnsi="Times New Roman"/>
      <w:szCs w:val="24"/>
      <w:lang w:eastAsia="fr-CA"/>
    </w:rPr>
  </w:style>
  <w:style w:type="character" w:customStyle="1" w:styleId="verdana">
    <w:name w:val="verdana"/>
    <w:basedOn w:val="Policepardfaut"/>
    <w:rsid w:val="00CF2D61"/>
  </w:style>
  <w:style w:type="paragraph" w:customStyle="1" w:styleId="loose">
    <w:name w:val="loose"/>
    <w:basedOn w:val="Normal"/>
    <w:rsid w:val="00CF2D61"/>
    <w:pPr>
      <w:spacing w:before="100" w:beforeAutospacing="1" w:after="100" w:afterAutospacing="1" w:line="240" w:lineRule="auto"/>
    </w:pPr>
    <w:rPr>
      <w:rFonts w:ascii="Times New Roman" w:hAnsi="Times New Roman"/>
      <w:szCs w:val="24"/>
      <w:lang w:eastAsia="fr-CA"/>
    </w:rPr>
  </w:style>
  <w:style w:type="character" w:customStyle="1" w:styleId="decisia-reflex2-icon">
    <w:name w:val="decisia-reflex2-icon"/>
    <w:basedOn w:val="Policepardfaut"/>
    <w:rsid w:val="00CF2D61"/>
  </w:style>
  <w:style w:type="character" w:customStyle="1" w:styleId="solexhl">
    <w:name w:val="solexhl"/>
    <w:basedOn w:val="Policepardfaut"/>
    <w:rsid w:val="00CF2D61"/>
  </w:style>
  <w:style w:type="paragraph" w:styleId="Rvision">
    <w:name w:val="Revision"/>
    <w:hidden/>
    <w:uiPriority w:val="99"/>
    <w:semiHidden/>
    <w:rsid w:val="00CF2D61"/>
    <w:rPr>
      <w:rFonts w:ascii="Arial" w:hAnsi="Arial"/>
      <w:sz w:val="24"/>
      <w:lang w:eastAsia="fr-FR"/>
    </w:rPr>
  </w:style>
  <w:style w:type="character" w:styleId="Marquedecommentaire">
    <w:name w:val="annotation reference"/>
    <w:basedOn w:val="Policepardfaut"/>
    <w:uiPriority w:val="99"/>
    <w:semiHidden/>
    <w:unhideWhenUsed/>
    <w:rsid w:val="00CF2D61"/>
    <w:rPr>
      <w:sz w:val="16"/>
      <w:szCs w:val="16"/>
    </w:rPr>
  </w:style>
  <w:style w:type="paragraph" w:styleId="Commentaire">
    <w:name w:val="annotation text"/>
    <w:basedOn w:val="Normal"/>
    <w:link w:val="CommentaireCar"/>
    <w:uiPriority w:val="99"/>
    <w:unhideWhenUsed/>
    <w:rsid w:val="00CF2D61"/>
    <w:pPr>
      <w:spacing w:line="240" w:lineRule="auto"/>
    </w:pPr>
    <w:rPr>
      <w:sz w:val="20"/>
    </w:rPr>
  </w:style>
  <w:style w:type="character" w:customStyle="1" w:styleId="CommentaireCar">
    <w:name w:val="Commentaire Car"/>
    <w:basedOn w:val="Policepardfaut"/>
    <w:link w:val="Commentaire"/>
    <w:uiPriority w:val="99"/>
    <w:rsid w:val="00CF2D61"/>
    <w:rPr>
      <w:rFonts w:ascii="Arial" w:hAnsi="Arial"/>
      <w:lang w:eastAsia="fr-FR"/>
    </w:rPr>
  </w:style>
  <w:style w:type="paragraph" w:styleId="Objetducommentaire">
    <w:name w:val="annotation subject"/>
    <w:basedOn w:val="Commentaire"/>
    <w:next w:val="Commentaire"/>
    <w:link w:val="ObjetducommentaireCar"/>
    <w:uiPriority w:val="99"/>
    <w:semiHidden/>
    <w:unhideWhenUsed/>
    <w:rsid w:val="00CF2D61"/>
    <w:rPr>
      <w:b/>
      <w:bCs/>
    </w:rPr>
  </w:style>
  <w:style w:type="character" w:customStyle="1" w:styleId="ObjetducommentaireCar">
    <w:name w:val="Objet du commentaire Car"/>
    <w:basedOn w:val="CommentaireCar"/>
    <w:link w:val="Objetducommentaire"/>
    <w:uiPriority w:val="99"/>
    <w:semiHidden/>
    <w:rsid w:val="00CF2D61"/>
    <w:rPr>
      <w:rFonts w:ascii="Arial" w:hAnsi="Arial"/>
      <w:b/>
      <w:bCs/>
      <w:lang w:eastAsia="fr-FR"/>
    </w:rPr>
  </w:style>
  <w:style w:type="character" w:customStyle="1" w:styleId="NotedebasdepageCar">
    <w:name w:val="Note de bas de page Car"/>
    <w:basedOn w:val="Policepardfaut"/>
    <w:link w:val="Notedebasdepage"/>
    <w:semiHidden/>
    <w:rsid w:val="00CF2D61"/>
    <w:rPr>
      <w:rFonts w:ascii="Arial" w:hAnsi="Arial"/>
      <w:lang w:eastAsia="fr-FR"/>
    </w:rPr>
  </w:style>
  <w:style w:type="character" w:styleId="Mentionnonrsolue">
    <w:name w:val="Unresolved Mention"/>
    <w:basedOn w:val="Policepardfaut"/>
    <w:uiPriority w:val="99"/>
    <w:semiHidden/>
    <w:unhideWhenUsed/>
    <w:rsid w:val="007E40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192004">
      <w:bodyDiv w:val="1"/>
      <w:marLeft w:val="0"/>
      <w:marRight w:val="0"/>
      <w:marTop w:val="0"/>
      <w:marBottom w:val="0"/>
      <w:divBdr>
        <w:top w:val="none" w:sz="0" w:space="0" w:color="auto"/>
        <w:left w:val="none" w:sz="0" w:space="0" w:color="auto"/>
        <w:bottom w:val="none" w:sz="0" w:space="0" w:color="auto"/>
        <w:right w:val="none" w:sz="0" w:space="0" w:color="auto"/>
      </w:divBdr>
    </w:div>
    <w:div w:id="214638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canlii.org/fr/qc/legis/lois/rlrq-c-c-19/derniere/rlrq-c-c-19.html" TargetMode="External"/><Relationship Id="rId2" Type="http://schemas.openxmlformats.org/officeDocument/2006/relationships/numbering" Target="numbering.xml"/><Relationship Id="rId16" Type="http://schemas.openxmlformats.org/officeDocument/2006/relationships/hyperlink" Target="https://www.canlii.org/fr/qc/legis/lois/rlrq-c-c-19/derniere/rlrq-c-c-19.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anlii.org/fr/qc/legis/lois/rlrq-c-ccq-1991/derniere/rlrq-c-ccq-1991.html"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canlii.org/fr/qc/legis/lois/rlrq-c-ccq-1991/derniere/rlrq-c-ccq-1991.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8A525-8000-4EBF-92DB-64B5AB8AA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15</Pages>
  <Words>7142</Words>
  <Characters>39284</Characters>
  <Application>Microsoft Office Word</Application>
  <DocSecurity>0</DocSecurity>
  <Lines>327</Lines>
  <Paragraphs>92</Paragraphs>
  <ScaleCrop>false</ScaleCrop>
  <HeadingPairs>
    <vt:vector size="2" baseType="variant">
      <vt:variant>
        <vt:lpstr>Titre</vt:lpstr>
      </vt:variant>
      <vt:variant>
        <vt:i4>1</vt:i4>
      </vt:variant>
    </vt:vector>
  </HeadingPairs>
  <TitlesOfParts>
    <vt:vector size="1" baseType="lpstr">
      <vt:lpstr>Gabarit de jugement pour la cour d'appel</vt:lpstr>
    </vt:vector>
  </TitlesOfParts>
  <Manager>Patrice Tardif</Manager>
  <Company>MJQ</Company>
  <LinksUpToDate>false</LinksUpToDate>
  <CharactersWithSpaces>46334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Gabarit de jugement pour la cour d'appel</dc:title>
  <dc:subject/>
  <dc:creator>Dominique Talbot</dc:creator>
  <cp:keywords/>
  <dc:description/>
  <cp:lastModifiedBy>Paillé, Pryscilla</cp:lastModifiedBy>
  <cp:revision>16</cp:revision>
  <cp:lastPrinted>2026-06-25T14:32:00Z</cp:lastPrinted>
  <dcterms:created xsi:type="dcterms:W3CDTF">2026-06-23T20:17:00Z</dcterms:created>
  <dcterms:modified xsi:type="dcterms:W3CDTF">2026-06-26T11:18:00Z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quij_DateModification">
    <vt:lpwstr>04-26-2001</vt:lpwstr>
  </property>
  <property fmtid="{D5CDD505-2E9C-101B-9397-08002B2CF9AE}" pid="3" name="Soquij_Version">
    <vt:lpwstr>1.6</vt:lpwstr>
  </property>
  <property fmtid="{D5CDD505-2E9C-101B-9397-08002B2CF9AE}" pid="4" name="Soquij_ModifiePar">
    <vt:lpwstr>renste</vt:lpwstr>
  </property>
  <property fmtid="{D5CDD505-2E9C-101B-9397-08002B2CF9AE}" pid="5" name="Soquij_Modele">
    <vt:lpwstr>Edj</vt:lpwstr>
  </property>
  <property fmtid="{D5CDD505-2E9C-101B-9397-08002B2CF9AE}" pid="6" name="Soquij_Cour">
    <vt:lpwstr>CA</vt:lpwstr>
  </property>
  <property fmtid="{D5CDD505-2E9C-101B-9397-08002B2CF9AE}" pid="7" name="Soquij_Langue">
    <vt:lpwstr>Fra</vt:lpwstr>
  </property>
</Properties>
</file>