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CellMar>
          <w:left w:w="0" w:type="dxa"/>
          <w:right w:w="0" w:type="dxa"/>
        </w:tblCellMar>
        <w:tblLook w:val="0000" w:firstRow="0" w:lastRow="0" w:firstColumn="0" w:lastColumn="0" w:noHBand="0" w:noVBand="0"/>
      </w:tblPr>
      <w:tblGrid>
        <w:gridCol w:w="1030"/>
        <w:gridCol w:w="246"/>
        <w:gridCol w:w="344"/>
        <w:gridCol w:w="2350"/>
        <w:gridCol w:w="3402"/>
        <w:gridCol w:w="1988"/>
      </w:tblGrid>
      <w:tr w:rsidR="00896545" w14:paraId="5F141852" w14:textId="77777777" w:rsidTr="008D18FC">
        <w:trPr>
          <w:trHeight w:val="248"/>
        </w:trPr>
        <w:tc>
          <w:tcPr>
            <w:tcW w:w="7372" w:type="dxa"/>
            <w:gridSpan w:val="5"/>
          </w:tcPr>
          <w:p w14:paraId="701B7799" w14:textId="248CD1D8" w:rsidR="008F364A" w:rsidRPr="00EB0565" w:rsidRDefault="00EB0565" w:rsidP="00EB0565">
            <w:pPr>
              <w:pStyle w:val="zSoquijdatRepertorie"/>
              <w:rPr>
                <w:rFonts w:cs="Arial"/>
              </w:rPr>
            </w:pPr>
            <w:r>
              <w:rPr>
                <w:rFonts w:cs="Arial"/>
              </w:rPr>
              <w:t>Ville de Québec c. 9252-0451 Québec inc.</w:t>
            </w:r>
          </w:p>
        </w:tc>
        <w:tc>
          <w:tcPr>
            <w:tcW w:w="1988" w:type="dxa"/>
          </w:tcPr>
          <w:p w14:paraId="68C81680" w14:textId="62DFF2C8" w:rsidR="008F364A" w:rsidRPr="00966F24" w:rsidRDefault="00966F24" w:rsidP="00966F24">
            <w:pPr>
              <w:pStyle w:val="zSoquijdatRefNeutre"/>
              <w:jc w:val="right"/>
              <w:rPr>
                <w:rFonts w:cs="Arial"/>
              </w:rPr>
            </w:pPr>
            <w:r w:rsidRPr="00966F24">
              <w:rPr>
                <w:rFonts w:cs="Arial"/>
              </w:rPr>
              <w:t>2026 QCCA 1106</w:t>
            </w:r>
          </w:p>
        </w:tc>
      </w:tr>
      <w:tr w:rsidR="00896545" w14:paraId="152807F2" w14:textId="77777777" w:rsidTr="008D18FC">
        <w:trPr>
          <w:trHeight w:val="247"/>
        </w:trPr>
        <w:tc>
          <w:tcPr>
            <w:tcW w:w="9360" w:type="dxa"/>
            <w:gridSpan w:val="6"/>
          </w:tcPr>
          <w:p w14:paraId="20F5EA3E" w14:textId="77777777" w:rsidR="008F364A" w:rsidRDefault="000037E1">
            <w:pPr>
              <w:pStyle w:val="zSoquijlblCour"/>
            </w:pPr>
            <w:r>
              <w:t>COUR D’APPEL</w:t>
            </w:r>
          </w:p>
        </w:tc>
      </w:tr>
      <w:tr w:rsidR="00896545" w14:paraId="23646549" w14:textId="77777777" w:rsidTr="008D18FC">
        <w:trPr>
          <w:trHeight w:val="540"/>
        </w:trPr>
        <w:tc>
          <w:tcPr>
            <w:tcW w:w="9360" w:type="dxa"/>
            <w:gridSpan w:val="6"/>
          </w:tcPr>
          <w:p w14:paraId="3BC583F7" w14:textId="77777777" w:rsidR="008F364A" w:rsidRDefault="008F364A">
            <w:pPr>
              <w:pStyle w:val="zSoquijdatDivision"/>
            </w:pPr>
          </w:p>
        </w:tc>
      </w:tr>
      <w:tr w:rsidR="00896545" w14:paraId="3C957BD0" w14:textId="77777777" w:rsidTr="008D18FC">
        <w:tc>
          <w:tcPr>
            <w:tcW w:w="9360" w:type="dxa"/>
            <w:gridSpan w:val="6"/>
          </w:tcPr>
          <w:p w14:paraId="5D8E7118" w14:textId="77777777" w:rsidR="008F364A" w:rsidRDefault="000037E1">
            <w:pPr>
              <w:pStyle w:val="zSoquijlblPays"/>
            </w:pPr>
            <w:r>
              <w:t>CANADA</w:t>
            </w:r>
          </w:p>
        </w:tc>
      </w:tr>
      <w:tr w:rsidR="00896545" w14:paraId="3352989E" w14:textId="77777777" w:rsidTr="008D18FC">
        <w:tc>
          <w:tcPr>
            <w:tcW w:w="9360" w:type="dxa"/>
            <w:gridSpan w:val="6"/>
          </w:tcPr>
          <w:p w14:paraId="4DBBA916" w14:textId="77777777" w:rsidR="008F364A" w:rsidRDefault="000037E1">
            <w:pPr>
              <w:pStyle w:val="zSoquijlblProvince"/>
            </w:pPr>
            <w:r>
              <w:t>PROVINCE DE QUÉBEC</w:t>
            </w:r>
          </w:p>
        </w:tc>
      </w:tr>
      <w:tr w:rsidR="00896545" w14:paraId="3D4E3C7E" w14:textId="77777777" w:rsidTr="00AE1B6D">
        <w:tc>
          <w:tcPr>
            <w:tcW w:w="1276" w:type="dxa"/>
            <w:gridSpan w:val="2"/>
          </w:tcPr>
          <w:p w14:paraId="02B5C742" w14:textId="77777777" w:rsidR="008F364A" w:rsidRDefault="000037E1">
            <w:pPr>
              <w:pStyle w:val="zSoquijlblGreffe"/>
            </w:pPr>
            <w:r w:rsidRPr="008E5E9D">
              <w:t>SIÈGE</w:t>
            </w:r>
            <w:r w:rsidR="00740A17">
              <w:t xml:space="preserve"> DE</w:t>
            </w:r>
          </w:p>
          <w:p w14:paraId="12A9EAFF" w14:textId="77777777" w:rsidR="008F364A" w:rsidRDefault="008F364A">
            <w:pPr>
              <w:pStyle w:val="zSoquijlblGreffe"/>
            </w:pPr>
          </w:p>
        </w:tc>
        <w:tc>
          <w:tcPr>
            <w:tcW w:w="8084" w:type="dxa"/>
            <w:gridSpan w:val="4"/>
          </w:tcPr>
          <w:p w14:paraId="1BA8FF13" w14:textId="08A1724A" w:rsidR="008F364A" w:rsidRDefault="000037E1" w:rsidP="00AE1B6D">
            <w:pPr>
              <w:pStyle w:val="zSoquijdatGreffe"/>
              <w:ind w:left="-22"/>
            </w:pPr>
            <w:bookmarkStart w:id="0" w:name="NomGreffe"/>
            <w:r>
              <w:t>QUÉBEC</w:t>
            </w:r>
            <w:bookmarkEnd w:id="0"/>
          </w:p>
        </w:tc>
      </w:tr>
      <w:tr w:rsidR="00896545" w14:paraId="77D5C3FA" w14:textId="77777777" w:rsidTr="008D18FC">
        <w:tc>
          <w:tcPr>
            <w:tcW w:w="1030" w:type="dxa"/>
          </w:tcPr>
          <w:p w14:paraId="7D737746" w14:textId="77777777" w:rsidR="008F364A" w:rsidRDefault="000037E1">
            <w:pPr>
              <w:pStyle w:val="zSoquijlblNoDossier"/>
            </w:pPr>
            <w:r>
              <w:t>N° :</w:t>
            </w:r>
          </w:p>
        </w:tc>
        <w:tc>
          <w:tcPr>
            <w:tcW w:w="8330" w:type="dxa"/>
            <w:gridSpan w:val="5"/>
          </w:tcPr>
          <w:p w14:paraId="51B3BFE6" w14:textId="01AFF333" w:rsidR="008F364A" w:rsidRDefault="000037E1">
            <w:pPr>
              <w:pStyle w:val="zSoquijdatNoDossier"/>
            </w:pPr>
            <w:bookmarkStart w:id="1" w:name="NoDossier"/>
            <w:r>
              <w:t>200-09-700125-245</w:t>
            </w:r>
            <w:bookmarkEnd w:id="1"/>
          </w:p>
        </w:tc>
      </w:tr>
      <w:tr w:rsidR="00896545" w14:paraId="79D6DD42" w14:textId="77777777" w:rsidTr="008D18FC">
        <w:tc>
          <w:tcPr>
            <w:tcW w:w="9360" w:type="dxa"/>
            <w:gridSpan w:val="6"/>
          </w:tcPr>
          <w:p w14:paraId="768C2791" w14:textId="3E0048ED" w:rsidR="004C0AAB" w:rsidRDefault="000037E1" w:rsidP="004C0AAB">
            <w:pPr>
              <w:pStyle w:val="zSoquijdatNoDossierAnt"/>
            </w:pPr>
            <w:r>
              <w:t xml:space="preserve">(200-17-030338-198) </w:t>
            </w:r>
            <w:r>
              <w:rPr>
                <w:szCs w:val="24"/>
              </w:rPr>
              <w:t>(200-17-030764-203)</w:t>
            </w:r>
          </w:p>
        </w:tc>
      </w:tr>
      <w:tr w:rsidR="00896545" w14:paraId="5C5ECA95" w14:textId="77777777" w:rsidTr="008D18FC">
        <w:tc>
          <w:tcPr>
            <w:tcW w:w="9360" w:type="dxa"/>
            <w:gridSpan w:val="6"/>
          </w:tcPr>
          <w:p w14:paraId="5ECC3D76" w14:textId="77777777" w:rsidR="008F364A" w:rsidRDefault="008F364A"/>
        </w:tc>
      </w:tr>
      <w:tr w:rsidR="00896545" w14:paraId="5A031F74" w14:textId="77777777" w:rsidTr="008D18FC">
        <w:tc>
          <w:tcPr>
            <w:tcW w:w="1030" w:type="dxa"/>
          </w:tcPr>
          <w:p w14:paraId="3B8E937D" w14:textId="77777777" w:rsidR="008F364A" w:rsidRDefault="000037E1">
            <w:pPr>
              <w:pStyle w:val="zSoquijlblDateJugement"/>
            </w:pPr>
            <w:r>
              <w:t>DATE :</w:t>
            </w:r>
          </w:p>
        </w:tc>
        <w:tc>
          <w:tcPr>
            <w:tcW w:w="8330" w:type="dxa"/>
            <w:gridSpan w:val="5"/>
          </w:tcPr>
          <w:p w14:paraId="67BD08AF" w14:textId="40C368B9" w:rsidR="008F364A" w:rsidRDefault="000037E1">
            <w:pPr>
              <w:pStyle w:val="zSoquijdatDateJugement"/>
            </w:pPr>
            <w:r>
              <w:t xml:space="preserve">13 </w:t>
            </w:r>
            <w:r w:rsidR="002D6919">
              <w:t>août</w:t>
            </w:r>
            <w:r w:rsidR="0087220B">
              <w:t xml:space="preserve"> 2026</w:t>
            </w:r>
          </w:p>
        </w:tc>
      </w:tr>
      <w:tr w:rsidR="00896545" w14:paraId="0E2C2A83" w14:textId="77777777" w:rsidTr="008D18FC">
        <w:tc>
          <w:tcPr>
            <w:tcW w:w="9360" w:type="dxa"/>
            <w:gridSpan w:val="6"/>
            <w:tcBorders>
              <w:bottom w:val="single" w:sz="8" w:space="0" w:color="auto"/>
            </w:tcBorders>
          </w:tcPr>
          <w:p w14:paraId="44DA84F9" w14:textId="77777777" w:rsidR="008F364A" w:rsidRDefault="008F364A"/>
        </w:tc>
      </w:tr>
      <w:tr w:rsidR="00896545" w14:paraId="565FDEB9" w14:textId="77777777" w:rsidTr="008D18FC">
        <w:tc>
          <w:tcPr>
            <w:tcW w:w="9360" w:type="dxa"/>
            <w:gridSpan w:val="6"/>
            <w:tcBorders>
              <w:top w:val="single" w:sz="8" w:space="0" w:color="auto"/>
            </w:tcBorders>
          </w:tcPr>
          <w:p w14:paraId="4F67A633" w14:textId="77777777" w:rsidR="008F364A" w:rsidRDefault="008F364A"/>
        </w:tc>
      </w:tr>
      <w:tr w:rsidR="00896545" w14:paraId="46DF85E5" w14:textId="77777777" w:rsidTr="008D18FC">
        <w:tc>
          <w:tcPr>
            <w:tcW w:w="1620" w:type="dxa"/>
            <w:gridSpan w:val="3"/>
          </w:tcPr>
          <w:p w14:paraId="36F04423" w14:textId="77777777" w:rsidR="008F364A" w:rsidRDefault="000037E1" w:rsidP="00423DF1">
            <w:pPr>
              <w:pStyle w:val="zSoquijlblJuge"/>
              <w:ind w:right="-142"/>
            </w:pPr>
            <w:bookmarkStart w:id="2" w:name="FORMATION"/>
            <w:r>
              <w:t>FORMATION</w:t>
            </w:r>
            <w:r w:rsidR="00B513C9">
              <w:t> </w:t>
            </w:r>
            <w:r w:rsidR="00740A17">
              <w:t>:</w:t>
            </w:r>
            <w:bookmarkEnd w:id="2"/>
          </w:p>
        </w:tc>
        <w:tc>
          <w:tcPr>
            <w:tcW w:w="2350" w:type="dxa"/>
          </w:tcPr>
          <w:p w14:paraId="3A72BFE4" w14:textId="77777777" w:rsidR="008F364A" w:rsidRDefault="000037E1">
            <w:pPr>
              <w:pStyle w:val="zSoquijdatQteJuge"/>
            </w:pPr>
            <w:bookmarkStart w:id="3" w:name="Honorables"/>
            <w:r>
              <w:t>LES HONORABLES</w:t>
            </w:r>
            <w:bookmarkEnd w:id="3"/>
          </w:p>
        </w:tc>
        <w:tc>
          <w:tcPr>
            <w:tcW w:w="5390" w:type="dxa"/>
            <w:gridSpan w:val="2"/>
          </w:tcPr>
          <w:p w14:paraId="5B60A53C" w14:textId="0FD6A2E1" w:rsidR="004C0AAB" w:rsidRDefault="000037E1">
            <w:pPr>
              <w:pStyle w:val="zSoquijdatJuge"/>
            </w:pPr>
            <w:bookmarkStart w:id="4" w:name="NomJuge2"/>
            <w:r>
              <w:t>MARIE-JOSÉE HOGUE, J.C.A.</w:t>
            </w:r>
            <w:r>
              <w:rPr>
                <w:rStyle w:val="Appelnotedebasdep"/>
                <w:rFonts w:ascii="Symbol" w:hAnsi="Symbol"/>
              </w:rPr>
              <w:footnoteReference w:customMarkFollows="1" w:id="1"/>
              <w:sym w:font="Symbol" w:char="F02A"/>
            </w:r>
          </w:p>
          <w:p w14:paraId="127216D9" w14:textId="7E9CAB32" w:rsidR="008F364A" w:rsidRDefault="000037E1">
            <w:pPr>
              <w:pStyle w:val="zSoquijdatJuge"/>
            </w:pPr>
            <w:r>
              <w:t>SOPHIE LAVALLÉE, J.C.A.</w:t>
            </w:r>
            <w:bookmarkEnd w:id="4"/>
          </w:p>
          <w:p w14:paraId="0A219F0E" w14:textId="46D49123" w:rsidR="005A78BF" w:rsidRDefault="000037E1" w:rsidP="004C0AAB">
            <w:pPr>
              <w:pStyle w:val="zSoquijdatJuge"/>
              <w:rPr>
                <w:lang w:val="de-DE"/>
              </w:rPr>
            </w:pPr>
            <w:bookmarkStart w:id="5" w:name="_Hlt520513784"/>
            <w:bookmarkStart w:id="6" w:name="NomJuge3"/>
            <w:bookmarkEnd w:id="5"/>
            <w:r w:rsidRPr="004C0AAB">
              <w:rPr>
                <w:lang w:val="en-CA"/>
              </w:rPr>
              <w:t>PETER KALICHMAN, J.C.A.</w:t>
            </w:r>
            <w:bookmarkEnd w:id="6"/>
          </w:p>
        </w:tc>
      </w:tr>
      <w:tr w:rsidR="00896545" w14:paraId="634E390A" w14:textId="77777777" w:rsidTr="008D18FC">
        <w:tc>
          <w:tcPr>
            <w:tcW w:w="9360" w:type="dxa"/>
            <w:gridSpan w:val="6"/>
            <w:tcBorders>
              <w:bottom w:val="single" w:sz="8" w:space="0" w:color="auto"/>
            </w:tcBorders>
          </w:tcPr>
          <w:p w14:paraId="082089AC" w14:textId="77777777" w:rsidR="008F364A" w:rsidRDefault="008F364A">
            <w:pPr>
              <w:rPr>
                <w:lang w:val="de-DE"/>
              </w:rPr>
            </w:pPr>
          </w:p>
        </w:tc>
      </w:tr>
      <w:tr w:rsidR="00896545" w14:paraId="528EECA9" w14:textId="77777777" w:rsidTr="008D18FC">
        <w:tc>
          <w:tcPr>
            <w:tcW w:w="9360" w:type="dxa"/>
            <w:gridSpan w:val="6"/>
          </w:tcPr>
          <w:p w14:paraId="4AEF1F41" w14:textId="77777777" w:rsidR="008F364A" w:rsidRDefault="008F364A">
            <w:pPr>
              <w:pStyle w:val="zSoquijlblTitrePartie"/>
              <w:rPr>
                <w:lang w:val="de-DE"/>
              </w:rPr>
            </w:pPr>
          </w:p>
        </w:tc>
      </w:tr>
      <w:tr w:rsidR="00896545" w14:paraId="0CA83963" w14:textId="77777777" w:rsidTr="008D18FC">
        <w:tc>
          <w:tcPr>
            <w:tcW w:w="9360" w:type="dxa"/>
            <w:gridSpan w:val="6"/>
          </w:tcPr>
          <w:p w14:paraId="5019E663" w14:textId="0C700DDE" w:rsidR="008F364A" w:rsidRPr="004C0AAB" w:rsidRDefault="000037E1" w:rsidP="004C0AAB">
            <w:pPr>
              <w:pStyle w:val="zSoquijdatNomPartieDem"/>
              <w:rPr>
                <w:szCs w:val="24"/>
                <w:lang w:val="es-ES"/>
              </w:rPr>
            </w:pPr>
            <w:r>
              <w:rPr>
                <w:szCs w:val="24"/>
                <w:lang w:val="es-ES"/>
              </w:rPr>
              <w:t>VILLE DE QUÉBEC</w:t>
            </w:r>
          </w:p>
        </w:tc>
      </w:tr>
      <w:tr w:rsidR="00896545" w14:paraId="3405C211" w14:textId="77777777" w:rsidTr="008D18FC">
        <w:tc>
          <w:tcPr>
            <w:tcW w:w="9360" w:type="dxa"/>
            <w:gridSpan w:val="6"/>
          </w:tcPr>
          <w:p w14:paraId="2CAE4124" w14:textId="229BAED8" w:rsidR="008F364A" w:rsidRDefault="000037E1">
            <w:pPr>
              <w:pStyle w:val="zSoquijdatQtePartieDem"/>
              <w:rPr>
                <w:lang w:val="de-DE"/>
              </w:rPr>
            </w:pPr>
            <w:r>
              <w:t>APPELANTE/INTIMÉE INCIDENTE – défenderesse</w:t>
            </w:r>
            <w:r w:rsidR="005C59F4">
              <w:t xml:space="preserve"> reconventionnelle</w:t>
            </w:r>
          </w:p>
        </w:tc>
      </w:tr>
      <w:tr w:rsidR="00896545" w14:paraId="103B031C" w14:textId="77777777" w:rsidTr="008D18FC">
        <w:tc>
          <w:tcPr>
            <w:tcW w:w="9360" w:type="dxa"/>
            <w:gridSpan w:val="6"/>
          </w:tcPr>
          <w:p w14:paraId="5BF2E4A9" w14:textId="77777777" w:rsidR="008F364A" w:rsidRDefault="000037E1">
            <w:pPr>
              <w:pStyle w:val="zSoquijlblLienParties"/>
              <w:rPr>
                <w:lang w:val="en-CA"/>
              </w:rPr>
            </w:pPr>
            <w:r>
              <w:rPr>
                <w:lang w:val="en-CA"/>
              </w:rPr>
              <w:t>c.</w:t>
            </w:r>
          </w:p>
        </w:tc>
      </w:tr>
      <w:tr w:rsidR="00896545" w14:paraId="00B62841" w14:textId="77777777" w:rsidTr="008D18FC">
        <w:tc>
          <w:tcPr>
            <w:tcW w:w="9360" w:type="dxa"/>
            <w:gridSpan w:val="6"/>
          </w:tcPr>
          <w:p w14:paraId="42F3093C" w14:textId="77777777" w:rsidR="008F364A" w:rsidRDefault="008F364A">
            <w:pPr>
              <w:rPr>
                <w:lang w:val="en-CA"/>
              </w:rPr>
            </w:pPr>
          </w:p>
        </w:tc>
      </w:tr>
      <w:tr w:rsidR="00896545" w14:paraId="29347CE9" w14:textId="77777777" w:rsidTr="008D18FC">
        <w:tc>
          <w:tcPr>
            <w:tcW w:w="9360" w:type="dxa"/>
            <w:gridSpan w:val="6"/>
          </w:tcPr>
          <w:p w14:paraId="6732F6D7" w14:textId="5D0EC215" w:rsidR="008F364A" w:rsidRPr="004C0AAB" w:rsidRDefault="000037E1" w:rsidP="004C0AAB">
            <w:pPr>
              <w:pStyle w:val="zSoquijdatNomPartieDef"/>
              <w:rPr>
                <w:szCs w:val="24"/>
                <w:lang w:val="es-ES"/>
              </w:rPr>
            </w:pPr>
            <w:r>
              <w:rPr>
                <w:szCs w:val="24"/>
                <w:lang w:val="es-ES"/>
              </w:rPr>
              <w:t>9252-0451 QUÉBEC INC.</w:t>
            </w:r>
          </w:p>
        </w:tc>
      </w:tr>
      <w:tr w:rsidR="00896545" w14:paraId="2D81772E" w14:textId="77777777" w:rsidTr="008D18FC">
        <w:tc>
          <w:tcPr>
            <w:tcW w:w="9360" w:type="dxa"/>
            <w:gridSpan w:val="6"/>
          </w:tcPr>
          <w:p w14:paraId="5DA8BDAD" w14:textId="76B3AD35" w:rsidR="008F364A" w:rsidRPr="005C59F4" w:rsidRDefault="000037E1">
            <w:pPr>
              <w:pStyle w:val="zSoquijdatQtePartieDef"/>
            </w:pPr>
            <w:r>
              <w:t xml:space="preserve">INTIMÉE/APPELANTE INCIDENTE – demanderesse </w:t>
            </w:r>
            <w:r w:rsidR="005C59F4">
              <w:t>reconventionnelle</w:t>
            </w:r>
          </w:p>
        </w:tc>
      </w:tr>
      <w:tr w:rsidR="00896545" w14:paraId="58149A3D" w14:textId="77777777" w:rsidTr="008D18FC">
        <w:tc>
          <w:tcPr>
            <w:tcW w:w="9360" w:type="dxa"/>
            <w:gridSpan w:val="6"/>
          </w:tcPr>
          <w:p w14:paraId="06F74B68" w14:textId="77777777" w:rsidR="0087220B" w:rsidRDefault="0087220B">
            <w:pPr>
              <w:pStyle w:val="zSoquijdatQtePartieDef"/>
            </w:pPr>
          </w:p>
        </w:tc>
      </w:tr>
      <w:tr w:rsidR="00896545" w14:paraId="77BB8B20" w14:textId="77777777" w:rsidTr="008D18FC">
        <w:tc>
          <w:tcPr>
            <w:tcW w:w="9360" w:type="dxa"/>
            <w:gridSpan w:val="6"/>
          </w:tcPr>
          <w:p w14:paraId="5AC5F7AD" w14:textId="77777777" w:rsidR="008F364A" w:rsidRPr="005C59F4" w:rsidRDefault="008F364A"/>
        </w:tc>
      </w:tr>
      <w:tr w:rsidR="00896545" w14:paraId="3FC46E49" w14:textId="77777777" w:rsidTr="008D18FC">
        <w:tc>
          <w:tcPr>
            <w:tcW w:w="9360" w:type="dxa"/>
            <w:gridSpan w:val="6"/>
            <w:tcBorders>
              <w:top w:val="single" w:sz="8" w:space="0" w:color="auto"/>
            </w:tcBorders>
          </w:tcPr>
          <w:p w14:paraId="70D53E50" w14:textId="77777777" w:rsidR="008F364A" w:rsidRPr="005C59F4" w:rsidRDefault="008F364A">
            <w:bookmarkStart w:id="7" w:name="Arret"/>
          </w:p>
        </w:tc>
      </w:tr>
      <w:tr w:rsidR="00896545" w14:paraId="22C3DFC0" w14:textId="77777777" w:rsidTr="008D18FC">
        <w:tc>
          <w:tcPr>
            <w:tcW w:w="9360" w:type="dxa"/>
            <w:gridSpan w:val="6"/>
          </w:tcPr>
          <w:p w14:paraId="6DC7BDA9" w14:textId="5A0CB7B5" w:rsidR="008F364A" w:rsidRDefault="000037E1">
            <w:pPr>
              <w:pStyle w:val="zSoquijlblTypeDocument"/>
            </w:pPr>
            <w:bookmarkStart w:id="8" w:name="TitreDocument"/>
            <w:r>
              <w:t>ARRÊT</w:t>
            </w:r>
            <w:bookmarkEnd w:id="8"/>
          </w:p>
        </w:tc>
      </w:tr>
      <w:tr w:rsidR="00896545" w14:paraId="6E7A55D6" w14:textId="77777777" w:rsidTr="008D18FC">
        <w:tc>
          <w:tcPr>
            <w:tcW w:w="9360" w:type="dxa"/>
            <w:gridSpan w:val="6"/>
            <w:tcBorders>
              <w:bottom w:val="single" w:sz="8" w:space="0" w:color="auto"/>
            </w:tcBorders>
          </w:tcPr>
          <w:p w14:paraId="4F6B9D32" w14:textId="77777777" w:rsidR="008F364A" w:rsidRDefault="008F364A"/>
        </w:tc>
      </w:tr>
      <w:tr w:rsidR="00896545" w14:paraId="234BD207" w14:textId="77777777" w:rsidTr="008D18FC">
        <w:tc>
          <w:tcPr>
            <w:tcW w:w="9360" w:type="dxa"/>
            <w:gridSpan w:val="6"/>
            <w:tcBorders>
              <w:top w:val="single" w:sz="8" w:space="0" w:color="auto"/>
            </w:tcBorders>
          </w:tcPr>
          <w:p w14:paraId="663BE84D" w14:textId="77777777" w:rsidR="008F364A" w:rsidRDefault="008F364A"/>
        </w:tc>
      </w:tr>
    </w:tbl>
    <w:p w14:paraId="06FB157E" w14:textId="1E82C2AC" w:rsidR="004E2087" w:rsidRDefault="000037E1" w:rsidP="00440C04">
      <w:pPr>
        <w:pStyle w:val="Paragraphe"/>
        <w:tabs>
          <w:tab w:val="clear" w:pos="720"/>
          <w:tab w:val="num" w:pos="709"/>
        </w:tabs>
        <w:spacing w:line="240" w:lineRule="auto"/>
      </w:pPr>
      <w:r w:rsidRPr="006654A2">
        <w:t>L</w:t>
      </w:r>
      <w:r>
        <w:t>’</w:t>
      </w:r>
      <w:r w:rsidRPr="006654A2">
        <w:t>appelante se pourvoit contre un jugement de la Cour supérieure (l</w:t>
      </w:r>
      <w:r>
        <w:t>’</w:t>
      </w:r>
      <w:r w:rsidRPr="006654A2">
        <w:t xml:space="preserve">honorable Jacques </w:t>
      </w:r>
      <w:r>
        <w:t xml:space="preserve">G. </w:t>
      </w:r>
      <w:r w:rsidRPr="006654A2">
        <w:t>Bouchard)</w:t>
      </w:r>
      <w:r>
        <w:rPr>
          <w:rStyle w:val="Appelnotedebasdep"/>
        </w:rPr>
        <w:footnoteReference w:id="2"/>
      </w:r>
      <w:r>
        <w:t xml:space="preserve">, </w:t>
      </w:r>
      <w:r w:rsidRPr="006654A2">
        <w:t>faisant partiellement droit à la demande en dommages-intérêts de l</w:t>
      </w:r>
      <w:r>
        <w:t>’</w:t>
      </w:r>
      <w:r w:rsidRPr="006654A2">
        <w:t xml:space="preserve">intimée. </w:t>
      </w:r>
      <w:r>
        <w:t>Pour sa part, l’</w:t>
      </w:r>
      <w:r w:rsidRPr="006654A2">
        <w:t>intimée forme un appel incident faisant valoir que le juge aurait dû lui accorder l</w:t>
      </w:r>
      <w:r>
        <w:t>’</w:t>
      </w:r>
      <w:r w:rsidRPr="006654A2">
        <w:t>intégralité d</w:t>
      </w:r>
      <w:r w:rsidR="00F829B1">
        <w:t>e la somme</w:t>
      </w:r>
      <w:r w:rsidRPr="006654A2">
        <w:t xml:space="preserve"> réclamé</w:t>
      </w:r>
      <w:r w:rsidR="00F829B1">
        <w:t>e</w:t>
      </w:r>
      <w:r w:rsidRPr="006654A2">
        <w:t>.</w:t>
      </w:r>
    </w:p>
    <w:p w14:paraId="69743725" w14:textId="0ACC841E" w:rsidR="004E2087" w:rsidRDefault="000037E1" w:rsidP="00440C04">
      <w:pPr>
        <w:pStyle w:val="Paragraphe"/>
        <w:tabs>
          <w:tab w:val="clear" w:pos="720"/>
          <w:tab w:val="num" w:pos="709"/>
        </w:tabs>
        <w:spacing w:line="240" w:lineRule="auto"/>
      </w:pPr>
      <w:r w:rsidRPr="006654A2">
        <w:t>Le litige porte sur deux terrains vacants (</w:t>
      </w:r>
      <w:r w:rsidR="007C30A3">
        <w:t xml:space="preserve">les </w:t>
      </w:r>
      <w:r w:rsidR="0076026F">
        <w:t>«</w:t>
      </w:r>
      <w:r w:rsidR="002C24AB">
        <w:t> </w:t>
      </w:r>
      <w:r w:rsidRPr="0076026F">
        <w:rPr>
          <w:b/>
          <w:bCs/>
        </w:rPr>
        <w:t>Lots</w:t>
      </w:r>
      <w:r w:rsidR="002C24AB">
        <w:rPr>
          <w:b/>
          <w:bCs/>
        </w:rPr>
        <w:t> </w:t>
      </w:r>
      <w:r w:rsidR="0076026F" w:rsidRPr="007C30A3">
        <w:t>»</w:t>
      </w:r>
      <w:r w:rsidRPr="006654A2">
        <w:t>) que l</w:t>
      </w:r>
      <w:r>
        <w:t>’</w:t>
      </w:r>
      <w:r w:rsidRPr="006654A2">
        <w:t>appelante, la Ville de Québec (</w:t>
      </w:r>
      <w:r w:rsidR="007C30A3">
        <w:t xml:space="preserve">la </w:t>
      </w:r>
      <w:r w:rsidR="0076026F">
        <w:t>«</w:t>
      </w:r>
      <w:r w:rsidR="002C24AB">
        <w:t> </w:t>
      </w:r>
      <w:r w:rsidRPr="00FA6136">
        <w:rPr>
          <w:b/>
          <w:bCs/>
        </w:rPr>
        <w:t>Ville</w:t>
      </w:r>
      <w:r w:rsidR="002C24AB">
        <w:rPr>
          <w:b/>
          <w:bCs/>
        </w:rPr>
        <w:t> </w:t>
      </w:r>
      <w:r w:rsidR="0076026F" w:rsidRPr="007C30A3">
        <w:t>»</w:t>
      </w:r>
      <w:r w:rsidRPr="006654A2">
        <w:t>)</w:t>
      </w:r>
      <w:r>
        <w:t>,</w:t>
      </w:r>
      <w:r w:rsidRPr="006654A2">
        <w:t xml:space="preserve"> a vendus pour non-paiement de taxes en 2019. L</w:t>
      </w:r>
      <w:r>
        <w:t>’</w:t>
      </w:r>
      <w:r w:rsidRPr="006654A2">
        <w:t>intimée, 9252-0451 Québec inc. (</w:t>
      </w:r>
      <w:r w:rsidR="0076026F">
        <w:t>«</w:t>
      </w:r>
      <w:r w:rsidR="002C24AB">
        <w:t> </w:t>
      </w:r>
      <w:r w:rsidRPr="00FA6136">
        <w:rPr>
          <w:b/>
          <w:bCs/>
        </w:rPr>
        <w:t>9252</w:t>
      </w:r>
      <w:r w:rsidR="002C24AB">
        <w:rPr>
          <w:b/>
          <w:bCs/>
        </w:rPr>
        <w:t> </w:t>
      </w:r>
      <w:r w:rsidR="0076026F" w:rsidRPr="007C30A3">
        <w:t>»</w:t>
      </w:r>
      <w:r w:rsidRPr="006654A2">
        <w:t xml:space="preserve">), a acheté les Lots, mais avant que la vente ne </w:t>
      </w:r>
      <w:r>
        <w:t>soit</w:t>
      </w:r>
      <w:r w:rsidRPr="006654A2">
        <w:t xml:space="preserve"> finalisée, les propriétaires des terrains avoisinants ont intenté </w:t>
      </w:r>
      <w:r>
        <w:t>de</w:t>
      </w:r>
      <w:r w:rsidRPr="006654A2">
        <w:t xml:space="preserve">s </w:t>
      </w:r>
      <w:r>
        <w:t xml:space="preserve">demandes </w:t>
      </w:r>
      <w:r w:rsidRPr="006654A2">
        <w:t>afin d</w:t>
      </w:r>
      <w:r>
        <w:t xml:space="preserve">’en </w:t>
      </w:r>
      <w:r w:rsidRPr="006654A2">
        <w:t xml:space="preserve">être déclarés propriétaires par prescription acquisitive. Dans le cadre de </w:t>
      </w:r>
      <w:r w:rsidR="00FF5A56">
        <w:t xml:space="preserve">ces </w:t>
      </w:r>
      <w:r>
        <w:t>deux instances distinctes</w:t>
      </w:r>
      <w:r w:rsidRPr="006654A2">
        <w:t xml:space="preserve">, </w:t>
      </w:r>
      <w:r>
        <w:lastRenderedPageBreak/>
        <w:t xml:space="preserve">une pour chaque </w:t>
      </w:r>
      <w:r w:rsidR="00336EB7">
        <w:t>l</w:t>
      </w:r>
      <w:r>
        <w:t xml:space="preserve">ot, </w:t>
      </w:r>
      <w:r w:rsidRPr="006654A2">
        <w:t>9252 a introduit des demandes reconventionnelles visant à obtenir des dommages-intérêts pour perte de profits</w:t>
      </w:r>
      <w:r w:rsidRPr="00FA6136">
        <w:t xml:space="preserve">, troubles et inconvénients ainsi que des honoraires extrajudiciaires pour abus de droit. </w:t>
      </w:r>
      <w:r>
        <w:t>L</w:t>
      </w:r>
      <w:r w:rsidRPr="006654A2">
        <w:t xml:space="preserve">es demandes des </w:t>
      </w:r>
      <w:r>
        <w:t>v</w:t>
      </w:r>
      <w:r w:rsidRPr="006654A2">
        <w:t xml:space="preserve">oisins ont été accueillies et ceux-ci ont été déclarés propriétaires des Lots. 9252 a poursuivi ses demandes reconventionnelles à l’encontre de la Ville, lesquelles ont finalement été jointes </w:t>
      </w:r>
      <w:r>
        <w:t>en vue d’un seul procès</w:t>
      </w:r>
      <w:r w:rsidRPr="006654A2">
        <w:t>.</w:t>
      </w:r>
    </w:p>
    <w:p w14:paraId="2A74855F" w14:textId="1972EFFE" w:rsidR="004E2087" w:rsidRDefault="000037E1" w:rsidP="00440C04">
      <w:pPr>
        <w:pStyle w:val="Paragraphe"/>
        <w:tabs>
          <w:tab w:val="clear" w:pos="720"/>
          <w:tab w:val="num" w:pos="709"/>
        </w:tabs>
        <w:spacing w:line="240" w:lineRule="auto"/>
      </w:pPr>
      <w:r>
        <w:t>Le juge a donné raison à 9252</w:t>
      </w:r>
      <w:r w:rsidR="00F829B1">
        <w:t>,</w:t>
      </w:r>
      <w:r>
        <w:t xml:space="preserve"> estimant que la Ville avait commis une faute et </w:t>
      </w:r>
      <w:r w:rsidR="00F829B1">
        <w:t xml:space="preserve">il </w:t>
      </w:r>
      <w:r>
        <w:t>l’a condamnée à verser des dommages-intérêts de 68 </w:t>
      </w:r>
      <w:r w:rsidR="00FF5A56">
        <w:t>76</w:t>
      </w:r>
      <w:r>
        <w:t>5,98 $, soit une portion de la somme réclamée.</w:t>
      </w:r>
    </w:p>
    <w:p w14:paraId="532D5BD0" w14:textId="77777777" w:rsidR="004E2087" w:rsidRDefault="000037E1" w:rsidP="00440C04">
      <w:pPr>
        <w:pStyle w:val="Paragraphe"/>
        <w:tabs>
          <w:tab w:val="clear" w:pos="720"/>
          <w:tab w:val="num" w:pos="709"/>
        </w:tabs>
        <w:spacing w:line="240" w:lineRule="auto"/>
      </w:pPr>
      <w:r w:rsidRPr="00526A5C">
        <w:t>Pour les motifs plus amplement exposés ci-après, la Cour conclut qu</w:t>
      </w:r>
      <w:r>
        <w:t>’</w:t>
      </w:r>
      <w:r w:rsidRPr="00526A5C">
        <w:t>il y a lieu d</w:t>
      </w:r>
      <w:r>
        <w:t>’</w:t>
      </w:r>
      <w:r w:rsidRPr="00526A5C">
        <w:t>infirmer le jugement.</w:t>
      </w:r>
    </w:p>
    <w:p w14:paraId="0E280D49" w14:textId="77777777" w:rsidR="004E2087" w:rsidRDefault="000037E1" w:rsidP="00440C04">
      <w:pPr>
        <w:pStyle w:val="Paragraphe"/>
        <w:numPr>
          <w:ilvl w:val="0"/>
          <w:numId w:val="0"/>
        </w:numPr>
        <w:spacing w:line="240" w:lineRule="auto"/>
        <w:jc w:val="center"/>
      </w:pPr>
      <w:r>
        <w:t>*</w:t>
      </w:r>
    </w:p>
    <w:p w14:paraId="31927161" w14:textId="4D8E366B" w:rsidR="004E2087" w:rsidRPr="00E116BA" w:rsidRDefault="000037E1" w:rsidP="00440C04">
      <w:pPr>
        <w:pStyle w:val="Paragraphe"/>
        <w:spacing w:line="240" w:lineRule="auto"/>
      </w:pPr>
      <w:r w:rsidRPr="008E576B">
        <w:t xml:space="preserve">Les faits essentiels du pourvoi </w:t>
      </w:r>
      <w:r>
        <w:t>se</w:t>
      </w:r>
      <w:r w:rsidRPr="008E576B">
        <w:t xml:space="preserve"> résum</w:t>
      </w:r>
      <w:r>
        <w:t>ent</w:t>
      </w:r>
      <w:r w:rsidRPr="008E576B">
        <w:t xml:space="preserve"> </w:t>
      </w:r>
      <w:r>
        <w:t>ainsi</w:t>
      </w:r>
      <w:r w:rsidRPr="008E576B">
        <w:t>.</w:t>
      </w:r>
      <w:r>
        <w:t xml:space="preserve"> </w:t>
      </w:r>
      <w:r w:rsidRPr="008E576B">
        <w:t xml:space="preserve">En 1970, les Lots, </w:t>
      </w:r>
      <w:r w:rsidR="004F35EC">
        <w:t>qui faisaient</w:t>
      </w:r>
      <w:r w:rsidRPr="008E576B">
        <w:t xml:space="preserve"> partie à l</w:t>
      </w:r>
      <w:r>
        <w:t>’</w:t>
      </w:r>
      <w:r w:rsidRPr="008E576B">
        <w:t>époque de la Cité de Charlesbourg (</w:t>
      </w:r>
      <w:r w:rsidR="007C30A3">
        <w:t xml:space="preserve">la </w:t>
      </w:r>
      <w:r w:rsidR="0076026F">
        <w:t>«</w:t>
      </w:r>
      <w:r w:rsidR="002C24AB">
        <w:t> </w:t>
      </w:r>
      <w:r w:rsidRPr="00E246BE">
        <w:rPr>
          <w:b/>
          <w:bCs/>
        </w:rPr>
        <w:t>Cité</w:t>
      </w:r>
      <w:r w:rsidR="002C24AB">
        <w:rPr>
          <w:b/>
          <w:bCs/>
        </w:rPr>
        <w:t> </w:t>
      </w:r>
      <w:r w:rsidR="0076026F" w:rsidRPr="007C30A3">
        <w:t>»</w:t>
      </w:r>
      <w:r w:rsidRPr="008E576B">
        <w:t>), appartenaient à Parc Richelieu</w:t>
      </w:r>
      <w:r w:rsidR="007C30A3">
        <w:t> </w:t>
      </w:r>
      <w:r w:rsidRPr="008E576B">
        <w:t>ltée (</w:t>
      </w:r>
      <w:r w:rsidR="0076026F">
        <w:t>«</w:t>
      </w:r>
      <w:r w:rsidR="002C24AB">
        <w:t> </w:t>
      </w:r>
      <w:r w:rsidRPr="00E246BE">
        <w:rPr>
          <w:b/>
          <w:bCs/>
        </w:rPr>
        <w:t>Parc Richelieu</w:t>
      </w:r>
      <w:r w:rsidR="002C24AB">
        <w:rPr>
          <w:b/>
          <w:bCs/>
        </w:rPr>
        <w:t> </w:t>
      </w:r>
      <w:r w:rsidR="0076026F" w:rsidRPr="007C30A3">
        <w:t>»</w:t>
      </w:r>
      <w:r w:rsidRPr="008E576B">
        <w:t xml:space="preserve">). En première instance, une certaine confusion régnait quant à l’identité du propriétaire des </w:t>
      </w:r>
      <w:r>
        <w:t>L</w:t>
      </w:r>
      <w:r w:rsidRPr="008E576B">
        <w:t xml:space="preserve">ots après cette période, vraisemblablement en raison de discussions qui </w:t>
      </w:r>
      <w:r w:rsidR="006914D3">
        <w:t>o</w:t>
      </w:r>
      <w:r w:rsidRPr="008E576B">
        <w:t xml:space="preserve">nt eu lieu entre </w:t>
      </w:r>
      <w:r w:rsidRPr="00E116BA">
        <w:t xml:space="preserve">la </w:t>
      </w:r>
      <w:r w:rsidRPr="00DF012F">
        <w:t>Cité et Parc Richelieu à propos de leur cession par cette dernière pour la somme de 1 $. Toutefois, aucune vente ne s’est concrétisée et, en appel, il n’est pas contesté que la propriétaire enregistrée des Lots est bien Parc Richelieu.</w:t>
      </w:r>
    </w:p>
    <w:p w14:paraId="5A145121" w14:textId="10F994A9" w:rsidR="004E2087" w:rsidRPr="00120BCA" w:rsidRDefault="000037E1" w:rsidP="00440C04">
      <w:pPr>
        <w:pStyle w:val="Paragraphe"/>
        <w:spacing w:line="240" w:lineRule="auto"/>
      </w:pPr>
      <w:r w:rsidRPr="00E116BA">
        <w:t xml:space="preserve">De 1970 à 2012, ni la Cité ni la Ville, </w:t>
      </w:r>
      <w:r>
        <w:t>qui ont</w:t>
      </w:r>
      <w:r w:rsidRPr="00E116BA">
        <w:t xml:space="preserve"> fusionné en 2000, n’ont envoyé </w:t>
      </w:r>
      <w:r w:rsidR="004F35EC">
        <w:t>d’</w:t>
      </w:r>
      <w:r w:rsidRPr="00E116BA">
        <w:t>avis d’imposition de taxes municipales à l’égard des Lots. Cependant, en 2013, et chaque année par la suite jusqu’en 2018, la Ville a envoyé un avis d’imposition à Parc Richelieu. Cette dernière ayant été dissoute en 1999 et n’ayant pas d’adresse connue</w:t>
      </w:r>
      <w:r w:rsidRPr="00120BCA">
        <w:t xml:space="preserve">, </w:t>
      </w:r>
      <w:bookmarkStart w:id="9" w:name="_Hlk233901090"/>
      <w:r w:rsidRPr="00120BCA">
        <w:t>la Ville, conformément à sa pratique interne, a envoyé les avis d’imposition à son propre service des finances.</w:t>
      </w:r>
      <w:bookmarkEnd w:id="9"/>
    </w:p>
    <w:p w14:paraId="58795659" w14:textId="29582F5D" w:rsidR="004E2087" w:rsidRDefault="000037E1" w:rsidP="00440C04">
      <w:pPr>
        <w:pStyle w:val="Paragraphe"/>
        <w:spacing w:line="240" w:lineRule="auto"/>
      </w:pPr>
      <w:r w:rsidRPr="00120BCA">
        <w:t>En 2018, la Ville entreprend un processus de vente des Lots</w:t>
      </w:r>
      <w:r w:rsidRPr="00E116BA">
        <w:t xml:space="preserve"> pour non-paiement de taxes et, le 13 novembre 2018, ceux-ci sont adjugés à 9252. Avant que 9252 ne </w:t>
      </w:r>
      <w:r w:rsidRPr="000F36DD">
        <w:t xml:space="preserve">devienne propriétaire </w:t>
      </w:r>
      <w:r>
        <w:t>irrévocable</w:t>
      </w:r>
      <w:r>
        <w:rPr>
          <w:rStyle w:val="Appelnotedebasdep"/>
        </w:rPr>
        <w:footnoteReference w:id="3"/>
      </w:r>
      <w:r w:rsidRPr="000F36DD">
        <w:t>, certains propriétaires de terrains adjacents (</w:t>
      </w:r>
      <w:r w:rsidR="007C30A3">
        <w:t xml:space="preserve">les </w:t>
      </w:r>
      <w:r w:rsidR="0076026F">
        <w:t>«</w:t>
      </w:r>
      <w:r w:rsidR="002C24AB">
        <w:t> </w:t>
      </w:r>
      <w:r w:rsidRPr="000F36DD">
        <w:rPr>
          <w:b/>
          <w:bCs/>
        </w:rPr>
        <w:t>Voisins</w:t>
      </w:r>
      <w:r w:rsidR="002C24AB">
        <w:rPr>
          <w:b/>
          <w:bCs/>
        </w:rPr>
        <w:t> </w:t>
      </w:r>
      <w:r w:rsidR="0076026F" w:rsidRPr="007C30A3">
        <w:t>»</w:t>
      </w:r>
      <w:r w:rsidRPr="000F36DD">
        <w:t>)</w:t>
      </w:r>
      <w:r w:rsidR="00540B64">
        <w:t xml:space="preserve"> qui</w:t>
      </w:r>
      <w:r w:rsidRPr="000F36DD">
        <w:t xml:space="preserve"> affirment avoir été en possession utile des Lots pendant plus de 10</w:t>
      </w:r>
      <w:r w:rsidR="00336EB7">
        <w:t> </w:t>
      </w:r>
      <w:r w:rsidRPr="000F36DD">
        <w:t xml:space="preserve">ans intentent des demandes visant à être reconnus propriétaires par prescription acquisitive. </w:t>
      </w:r>
      <w:r w:rsidR="00540B64">
        <w:t xml:space="preserve">9252 se constitue demanderesse reconventionnelle dans chacune de ces instances </w:t>
      </w:r>
      <w:r w:rsidR="006914D3">
        <w:t>afin d’</w:t>
      </w:r>
      <w:r w:rsidR="006914D3" w:rsidRPr="006654A2">
        <w:t>obtenir des dommages-intérêts pour perte de profits</w:t>
      </w:r>
      <w:r w:rsidR="006914D3">
        <w:t xml:space="preserve"> et</w:t>
      </w:r>
      <w:r w:rsidR="006914D3" w:rsidRPr="00FA6136">
        <w:t xml:space="preserve"> troubles et inconvénients ainsi que des honoraires extrajudiciaires pour abus de droit</w:t>
      </w:r>
      <w:r w:rsidR="006914D3">
        <w:t>.</w:t>
      </w:r>
      <w:r w:rsidR="00540B64">
        <w:t xml:space="preserve"> </w:t>
      </w:r>
      <w:r w:rsidR="006914D3">
        <w:t>S</w:t>
      </w:r>
      <w:r w:rsidR="00540B64">
        <w:t>es</w:t>
      </w:r>
      <w:r w:rsidRPr="000F36DD">
        <w:t xml:space="preserve"> demandes sont suspendues dans l’attente d’un jugement final concernant la propriété des Lots.</w:t>
      </w:r>
    </w:p>
    <w:p w14:paraId="37BC76B1" w14:textId="77777777" w:rsidR="00336EB7" w:rsidRPr="000F36DD" w:rsidRDefault="00336EB7" w:rsidP="00336EB7"/>
    <w:p w14:paraId="41F27BBC" w14:textId="29AA2E99" w:rsidR="004E2087" w:rsidRPr="000F36DD" w:rsidRDefault="000037E1" w:rsidP="00440C04">
      <w:pPr>
        <w:pStyle w:val="Paragraphe"/>
        <w:spacing w:line="240" w:lineRule="auto"/>
      </w:pPr>
      <w:r w:rsidRPr="000F36DD">
        <w:lastRenderedPageBreak/>
        <w:t>Alors que l</w:t>
      </w:r>
      <w:r w:rsidR="00540B64">
        <w:t>es instances suivent leur</w:t>
      </w:r>
      <w:r w:rsidRPr="000F36DD">
        <w:t xml:space="preserve"> cours, 9252 </w:t>
      </w:r>
      <w:r w:rsidR="0066210B">
        <w:t>omet</w:t>
      </w:r>
      <w:r w:rsidRPr="000F36DD">
        <w:t xml:space="preserve"> de payer les taxes municipales sur les Lots et la Ville les met à nouveau en vente. Ils sont adjugés à Brigitte Hannequin, qui finira par renoncer à ses droits sur les Lots en considération d’un paiement par la Ville de 96 672,53 $.</w:t>
      </w:r>
    </w:p>
    <w:p w14:paraId="0E81A840" w14:textId="7123C1F5" w:rsidR="004E2087" w:rsidRDefault="000037E1" w:rsidP="00440C04">
      <w:pPr>
        <w:pStyle w:val="Paragraphe"/>
        <w:spacing w:line="240" w:lineRule="auto"/>
      </w:pPr>
      <w:r>
        <w:t>Dans deux jugements rendus en juin 2022, les demandes en prescription acquisitive des Voisins sont accueillies et ceux-ci sont déclarés propriétaires des Lots</w:t>
      </w:r>
      <w:r>
        <w:rPr>
          <w:rStyle w:val="Appelnotedebasdep"/>
        </w:rPr>
        <w:footnoteReference w:id="4"/>
      </w:r>
      <w:r>
        <w:t xml:space="preserve">. </w:t>
      </w:r>
      <w:r w:rsidRPr="003E7011">
        <w:t xml:space="preserve">Par la suite, les dossiers, qui ne portent désormais que sur la demande reconventionnelle de 9252, sont joints </w:t>
      </w:r>
      <w:r w:rsidR="006914D3">
        <w:t>en vue</w:t>
      </w:r>
      <w:r w:rsidRPr="003E7011">
        <w:t xml:space="preserve"> du procès, la Ville étant </w:t>
      </w:r>
      <w:r w:rsidR="006914D3">
        <w:t xml:space="preserve">désormais </w:t>
      </w:r>
      <w:r w:rsidRPr="003E7011">
        <w:t>la seule partie défenderesse</w:t>
      </w:r>
      <w:r>
        <w:rPr>
          <w:rStyle w:val="Appelnotedebasdep"/>
        </w:rPr>
        <w:footnoteReference w:id="5"/>
      </w:r>
      <w:r>
        <w:t>. L</w:t>
      </w:r>
      <w:r w:rsidRPr="003E7011">
        <w:t xml:space="preserve">e procès se </w:t>
      </w:r>
      <w:r w:rsidR="00540B64">
        <w:t>déroule</w:t>
      </w:r>
      <w:r w:rsidRPr="003E7011">
        <w:t xml:space="preserve"> en juin 2024.</w:t>
      </w:r>
    </w:p>
    <w:p w14:paraId="1F2067A2" w14:textId="5C29B1FC" w:rsidR="004E2087" w:rsidRDefault="000037E1" w:rsidP="007F5753">
      <w:pPr>
        <w:spacing w:before="120" w:after="120" w:line="240" w:lineRule="auto"/>
        <w:jc w:val="center"/>
      </w:pPr>
      <w:r>
        <w:t>*</w:t>
      </w:r>
      <w:r w:rsidR="007F5753" w:rsidRPr="007F5753">
        <w:rPr>
          <w:sz w:val="8"/>
          <w:szCs w:val="4"/>
        </w:rPr>
        <w:t> </w:t>
      </w:r>
      <w:r>
        <w:t>*</w:t>
      </w:r>
    </w:p>
    <w:p w14:paraId="39347729" w14:textId="22AAE272" w:rsidR="004E2087" w:rsidRDefault="000037E1" w:rsidP="00440C04">
      <w:pPr>
        <w:pStyle w:val="Paragraphe"/>
        <w:spacing w:line="240" w:lineRule="auto"/>
      </w:pPr>
      <w:r>
        <w:t xml:space="preserve">Se fondant sur son interprétation de </w:t>
      </w:r>
      <w:r w:rsidRPr="000F36DD">
        <w:t xml:space="preserve">divers articles de la </w:t>
      </w:r>
      <w:r w:rsidRPr="000F36DD">
        <w:rPr>
          <w:i/>
          <w:iCs/>
        </w:rPr>
        <w:t>Loi sur la fiscalité municipale</w:t>
      </w:r>
      <w:r>
        <w:rPr>
          <w:rStyle w:val="Appelnotedebasdep"/>
        </w:rPr>
        <w:footnoteReference w:id="6"/>
      </w:r>
      <w:r w:rsidRPr="000F36DD">
        <w:t xml:space="preserve">, de la </w:t>
      </w:r>
      <w:r w:rsidRPr="000F36DD">
        <w:rPr>
          <w:i/>
          <w:iCs/>
        </w:rPr>
        <w:t>Loi sur les cités et villes</w:t>
      </w:r>
      <w:r>
        <w:rPr>
          <w:rStyle w:val="Appelnotedebasdep"/>
        </w:rPr>
        <w:footnoteReference w:id="7"/>
      </w:r>
      <w:r w:rsidRPr="000F36DD">
        <w:rPr>
          <w:i/>
          <w:iCs/>
        </w:rPr>
        <w:t xml:space="preserve"> </w:t>
      </w:r>
      <w:r w:rsidRPr="000F36DD">
        <w:t xml:space="preserve">et du </w:t>
      </w:r>
      <w:r w:rsidRPr="000F36DD">
        <w:rPr>
          <w:i/>
          <w:iCs/>
        </w:rPr>
        <w:t>Code civil du Québec</w:t>
      </w:r>
      <w:r w:rsidRPr="000F36DD">
        <w:t xml:space="preserve">, le juge conclut que la Ville a commis une faute en faisant parvenir </w:t>
      </w:r>
      <w:r w:rsidR="006914D3">
        <w:t>les</w:t>
      </w:r>
      <w:r w:rsidRPr="000F36DD">
        <w:t xml:space="preserve"> avis d’imposition à Parc Richelieu plutôt qu’aux Voisins, qui étaient en réalité les propriétaires des Lots. Cette</w:t>
      </w:r>
      <w:r>
        <w:t xml:space="preserve"> erreur, estime-t-il, engage la responsabilité de la Ville envers 9252 et explique pourquoi cette dernière n</w:t>
      </w:r>
      <w:r w:rsidR="006914D3">
        <w:t>’a pu</w:t>
      </w:r>
      <w:r>
        <w:t xml:space="preserve"> obtenir </w:t>
      </w:r>
      <w:r w:rsidR="006914D3">
        <w:t>de</w:t>
      </w:r>
      <w:r>
        <w:t xml:space="preserve"> titre de propriété sur les Lots qui avaient été adjugés en sa faveur.</w:t>
      </w:r>
    </w:p>
    <w:p w14:paraId="2CCC3A69" w14:textId="4743CA21" w:rsidR="004E2087" w:rsidRDefault="000037E1" w:rsidP="00440C04">
      <w:pPr>
        <w:pStyle w:val="Paragraphe"/>
        <w:spacing w:line="240" w:lineRule="auto"/>
      </w:pPr>
      <w:r>
        <w:t>Le juge rejette la demande de 9252 relative à la perte de profits au motif qu’elle est « hautement spéculative », mais lui accorde 38 765,98 $, soit le remboursement du prix qu’elle a payé pour acquérir les Lots, déduction faite d</w:t>
      </w:r>
      <w:r w:rsidR="00540B64">
        <w:t>e la somme reçue</w:t>
      </w:r>
      <w:r>
        <w:t xml:space="preserve"> à la suite de la deuxième vente pour </w:t>
      </w:r>
      <w:r w:rsidR="0022394E">
        <w:t>non-</w:t>
      </w:r>
      <w:r>
        <w:t xml:space="preserve">paiement des taxes. Il lui accorde également une somme de 30 000 $ </w:t>
      </w:r>
      <w:r w:rsidR="0015143D">
        <w:t xml:space="preserve">à titre de dédommagement </w:t>
      </w:r>
      <w:r>
        <w:t>pour troubles, ennuis et inconvénients, mais rejette sa</w:t>
      </w:r>
      <w:r w:rsidR="0015143D">
        <w:t xml:space="preserve"> réclamation</w:t>
      </w:r>
      <w:r w:rsidRPr="0015143D">
        <w:t xml:space="preserve"> </w:t>
      </w:r>
      <w:r w:rsidR="0015143D">
        <w:t xml:space="preserve">d’honoraires extrajudiciaires </w:t>
      </w:r>
      <w:r w:rsidRPr="0015143D">
        <w:t>pour abus</w:t>
      </w:r>
      <w:r>
        <w:t>.</w:t>
      </w:r>
      <w:r w:rsidR="00862025">
        <w:t xml:space="preserve"> </w:t>
      </w:r>
    </w:p>
    <w:p w14:paraId="31E991CE" w14:textId="24EC2050" w:rsidR="004E2087" w:rsidRPr="000F36DD" w:rsidRDefault="000037E1" w:rsidP="00440C04">
      <w:pPr>
        <w:pStyle w:val="Paragraphe"/>
        <w:spacing w:line="240" w:lineRule="auto"/>
      </w:pPr>
      <w:r>
        <w:t>La Ville invoque deux moyens d’appel qui soulèvent une seule question</w:t>
      </w:r>
      <w:r w:rsidR="002C24AB">
        <w:t> </w:t>
      </w:r>
      <w:r>
        <w:t xml:space="preserve">: </w:t>
      </w:r>
      <w:r w:rsidRPr="000F36DD">
        <w:t>le juge a-t-il commis une erreur en concluant que la Ville a</w:t>
      </w:r>
      <w:r>
        <w:t>vait</w:t>
      </w:r>
      <w:r w:rsidRPr="000F36DD">
        <w:t xml:space="preserve"> commis une faute en envoyant </w:t>
      </w:r>
      <w:r w:rsidR="006914D3">
        <w:t>les</w:t>
      </w:r>
      <w:r w:rsidRPr="000F36DD">
        <w:t xml:space="preserve"> avis d’imposition à Parc Richelieu au lieu de l</w:t>
      </w:r>
      <w:r w:rsidR="006914D3">
        <w:t xml:space="preserve">es </w:t>
      </w:r>
      <w:r w:rsidRPr="000F36DD">
        <w:t>envoyer aux Voisins?</w:t>
      </w:r>
    </w:p>
    <w:p w14:paraId="688B667F" w14:textId="0BA9E450" w:rsidR="004E2087" w:rsidRDefault="000037E1" w:rsidP="00440C04">
      <w:pPr>
        <w:pStyle w:val="Paragraphe"/>
        <w:spacing w:line="240" w:lineRule="auto"/>
      </w:pPr>
      <w:r w:rsidRPr="000F36DD">
        <w:t>Dans son appel incident</w:t>
      </w:r>
      <w:r>
        <w:rPr>
          <w:rStyle w:val="Appelnotedebasdep"/>
        </w:rPr>
        <w:footnoteReference w:id="8"/>
      </w:r>
      <w:r w:rsidRPr="000F36DD">
        <w:t>, 9252 soulève de nombreux moyens à l’encontre de la décision du juge de rejeter sa réclamation pour</w:t>
      </w:r>
      <w:r w:rsidRPr="003E7011">
        <w:t xml:space="preserve"> perte de profits, </w:t>
      </w:r>
      <w:r>
        <w:t xml:space="preserve">lesquels </w:t>
      </w:r>
      <w:r w:rsidRPr="003E7011">
        <w:t>se résume</w:t>
      </w:r>
      <w:r>
        <w:t>nt ainsi </w:t>
      </w:r>
      <w:r w:rsidRPr="003E7011">
        <w:t>:</w:t>
      </w:r>
      <w:r>
        <w:t xml:space="preserve"> l</w:t>
      </w:r>
      <w:r w:rsidRPr="003E7011">
        <w:t>e juge a</w:t>
      </w:r>
      <w:r w:rsidR="0015143D">
        <w:t>-t-il</w:t>
      </w:r>
      <w:r>
        <w:t xml:space="preserve"> </w:t>
      </w:r>
      <w:r w:rsidRPr="003E7011">
        <w:t>commis une erreur de fait et de droit en ne retenant pas la réclamation pour perte de profits de 9252</w:t>
      </w:r>
      <w:r w:rsidR="0015143D">
        <w:t>?</w:t>
      </w:r>
      <w:r>
        <w:t xml:space="preserve"> </w:t>
      </w:r>
      <w:r w:rsidRPr="003E7011">
        <w:t>Elle fait également valoir que le juge a commis une erreur mixte de fait et de droit en concluant que la Ville n’a</w:t>
      </w:r>
      <w:r w:rsidR="006914D3">
        <w:t>vait</w:t>
      </w:r>
      <w:r w:rsidRPr="003E7011">
        <w:t xml:space="preserve"> pas abusé de son droit d’ester en </w:t>
      </w:r>
      <w:r w:rsidRPr="003E7011">
        <w:lastRenderedPageBreak/>
        <w:t xml:space="preserve">justice et en refusant </w:t>
      </w:r>
      <w:r>
        <w:t xml:space="preserve">conséquemment </w:t>
      </w:r>
      <w:r w:rsidRPr="003E7011">
        <w:t>d</w:t>
      </w:r>
      <w:r w:rsidR="006914D3">
        <w:t>’accueillir</w:t>
      </w:r>
      <w:r w:rsidRPr="003E7011">
        <w:t xml:space="preserve"> sa demande relative aux </w:t>
      </w:r>
      <w:r w:rsidR="006914D3">
        <w:t>honoraires</w:t>
      </w:r>
      <w:r w:rsidRPr="003E7011">
        <w:t xml:space="preserve"> extrajudiciaires.</w:t>
      </w:r>
    </w:p>
    <w:p w14:paraId="46E80E19" w14:textId="77777777" w:rsidR="004E2087" w:rsidRDefault="000037E1" w:rsidP="007F5753">
      <w:pPr>
        <w:pStyle w:val="Paragraphe"/>
        <w:numPr>
          <w:ilvl w:val="0"/>
          <w:numId w:val="0"/>
        </w:numPr>
        <w:spacing w:after="0" w:line="240" w:lineRule="auto"/>
        <w:jc w:val="center"/>
      </w:pPr>
      <w:r>
        <w:t>***</w:t>
      </w:r>
    </w:p>
    <w:p w14:paraId="4F71A781" w14:textId="78946DC5" w:rsidR="004E2087" w:rsidRPr="00E116BA" w:rsidRDefault="000037E1" w:rsidP="00440C04">
      <w:pPr>
        <w:pStyle w:val="Paragraphe"/>
        <w:spacing w:line="240" w:lineRule="auto"/>
      </w:pPr>
      <w:r w:rsidRPr="003E7011">
        <w:t>En ce qui concerne l</w:t>
      </w:r>
      <w:r>
        <w:t>’</w:t>
      </w:r>
      <w:r w:rsidRPr="003E7011">
        <w:t xml:space="preserve">appel principal, la Ville </w:t>
      </w:r>
      <w:r>
        <w:t>soutient</w:t>
      </w:r>
      <w:r w:rsidRPr="003E7011">
        <w:t xml:space="preserve"> que le juge a commis une erreur en concluant qu</w:t>
      </w:r>
      <w:r>
        <w:t>’</w:t>
      </w:r>
      <w:r w:rsidRPr="003E7011">
        <w:t>elle a</w:t>
      </w:r>
      <w:r w:rsidR="006914D3">
        <w:t>vait</w:t>
      </w:r>
      <w:r w:rsidRPr="003E7011">
        <w:t xml:space="preserve"> commis une faute </w:t>
      </w:r>
      <w:r>
        <w:t>en envoyant l</w:t>
      </w:r>
      <w:r w:rsidR="006914D3">
        <w:t xml:space="preserve">es </w:t>
      </w:r>
      <w:r>
        <w:t>avis d’imposition au propriétaire inscrit sur le rôle d’évaluation fonci</w:t>
      </w:r>
      <w:r w:rsidR="00185F81">
        <w:t>ère</w:t>
      </w:r>
      <w:r>
        <w:t xml:space="preserve">, soit Parc Richelieu. </w:t>
      </w:r>
      <w:r w:rsidRPr="003E7011">
        <w:t xml:space="preserve">Selon elle, la conclusion du juge ne tient pas compte </w:t>
      </w:r>
      <w:r w:rsidRPr="00E116BA">
        <w:t xml:space="preserve">du caractère immuable du rôle. Il </w:t>
      </w:r>
      <w:r>
        <w:t>est établi</w:t>
      </w:r>
      <w:r w:rsidRPr="00E116BA">
        <w:t>, ajoute-t-elle, que le rôle est présumé exact et</w:t>
      </w:r>
      <w:r>
        <w:t xml:space="preserve"> que</w:t>
      </w:r>
      <w:r w:rsidRPr="00E116BA">
        <w:t xml:space="preserve">, de toute façon, </w:t>
      </w:r>
      <w:r>
        <w:t xml:space="preserve">il </w:t>
      </w:r>
      <w:r w:rsidRPr="00E116BA">
        <w:t>n’a jamais été contesté par 9252. Elle fait valoir que l’envoi de</w:t>
      </w:r>
      <w:r w:rsidR="006914D3">
        <w:t>s</w:t>
      </w:r>
      <w:r w:rsidRPr="00E116BA">
        <w:t xml:space="preserve"> avis d’imposition à Parc Richelieu est conforme aux normes applicables en matière de fiscalité municipale et ne saurait constituer une faute.</w:t>
      </w:r>
    </w:p>
    <w:p w14:paraId="5633D235" w14:textId="77777777" w:rsidR="004E2087" w:rsidRPr="00E116BA" w:rsidRDefault="000037E1" w:rsidP="00440C04">
      <w:pPr>
        <w:pStyle w:val="Paragraphe"/>
        <w:spacing w:line="240" w:lineRule="auto"/>
      </w:pPr>
      <w:r w:rsidRPr="00E116BA">
        <w:t>La Cour convient avec l’appelante que le juge a erré en concluant en l’espèce qu’elle avait commis une faute.</w:t>
      </w:r>
    </w:p>
    <w:p w14:paraId="1D142CFF" w14:textId="46B6BF96" w:rsidR="004E2087" w:rsidRDefault="000037E1" w:rsidP="00440C04">
      <w:pPr>
        <w:pStyle w:val="Paragraphe"/>
        <w:spacing w:line="240" w:lineRule="auto"/>
      </w:pPr>
      <w:r w:rsidRPr="00E116BA">
        <w:t>Le raisonnement du juge repose</w:t>
      </w:r>
      <w:r w:rsidRPr="00D816BA">
        <w:t xml:space="preserve"> sur le fait que les Voisins étaient propriétaires des Lots et que la Ville a donc commis une faute en envoyant l</w:t>
      </w:r>
      <w:r w:rsidR="006914D3">
        <w:t xml:space="preserve">es </w:t>
      </w:r>
      <w:r w:rsidRPr="00D816BA">
        <w:t xml:space="preserve">avis d’imposition à Parc Richelieu. </w:t>
      </w:r>
      <w:r w:rsidRPr="00613AC9">
        <w:t>Le juge adopte ainsi une définition de «</w:t>
      </w:r>
      <w:r w:rsidR="002C24AB">
        <w:t> </w:t>
      </w:r>
      <w:r w:rsidRPr="00613AC9">
        <w:t>propriétaire</w:t>
      </w:r>
      <w:r w:rsidR="002C24AB">
        <w:t> </w:t>
      </w:r>
      <w:r w:rsidRPr="00613AC9">
        <w:t xml:space="preserve">» qui, dans le contexte de l’imposition, de la perception et du recouvrement des taxes, ne tient pas compte de la nuance que </w:t>
      </w:r>
      <w:r w:rsidR="00925CD5">
        <w:t>la</w:t>
      </w:r>
      <w:r w:rsidRPr="00613AC9">
        <w:t xml:space="preserve"> Cour a retenue dans l’affaire </w:t>
      </w:r>
      <w:r w:rsidRPr="00B37E62">
        <w:rPr>
          <w:i/>
          <w:iCs/>
        </w:rPr>
        <w:t>Boisbriand</w:t>
      </w:r>
      <w:r>
        <w:rPr>
          <w:rStyle w:val="Appelnotedebasdep"/>
        </w:rPr>
        <w:footnoteReference w:id="9"/>
      </w:r>
      <w:r w:rsidRPr="00613AC9">
        <w:t xml:space="preserve">. Il privilégie plutôt une interprétation – </w:t>
      </w:r>
      <w:r>
        <w:t xml:space="preserve">également </w:t>
      </w:r>
      <w:r w:rsidRPr="00613AC9">
        <w:t xml:space="preserve">rejetée par </w:t>
      </w:r>
      <w:r w:rsidR="0015143D">
        <w:t>la</w:t>
      </w:r>
      <w:r w:rsidR="0015143D" w:rsidRPr="00613AC9">
        <w:t xml:space="preserve"> </w:t>
      </w:r>
      <w:r w:rsidRPr="00613AC9">
        <w:t>Cour</w:t>
      </w:r>
      <w:r>
        <w:t xml:space="preserve"> dans </w:t>
      </w:r>
      <w:r w:rsidRPr="00120BCA">
        <w:rPr>
          <w:i/>
          <w:iCs/>
        </w:rPr>
        <w:t>Boisbriand</w:t>
      </w:r>
      <w:r w:rsidRPr="00613AC9">
        <w:t xml:space="preserve"> – selon laquelle peu importe qui figure sur le rôle, la vente pour non-paiement de taxes ne peut être valide que lorsqu’elle est exercée à l’encontre du véritable propriétaire</w:t>
      </w:r>
      <w:r>
        <w:rPr>
          <w:rStyle w:val="Appelnotedebasdep"/>
        </w:rPr>
        <w:footnoteReference w:id="10"/>
      </w:r>
      <w:r w:rsidRPr="00613AC9">
        <w:t>. Outre le fait que ni la vente ni le rôle d</w:t>
      </w:r>
      <w:r w:rsidR="00185F81">
        <w:t>’</w:t>
      </w:r>
      <w:r w:rsidRPr="00613AC9">
        <w:t>évaluation fonci</w:t>
      </w:r>
      <w:r w:rsidR="00185F81">
        <w:t>ère</w:t>
      </w:r>
      <w:r w:rsidRPr="00613AC9">
        <w:t xml:space="preserve"> n’ont été contestés en l’espèce, la conclusion du juge selon laquelle la Ville a commis une faute n’est tout simplement pas étayée par la preuve.</w:t>
      </w:r>
    </w:p>
    <w:p w14:paraId="2A0F0223" w14:textId="6F33BF80" w:rsidR="004E2087" w:rsidRDefault="000037E1" w:rsidP="00440C04">
      <w:pPr>
        <w:pStyle w:val="Paragraphe"/>
        <w:spacing w:line="240" w:lineRule="auto"/>
      </w:pPr>
      <w:r w:rsidRPr="00E116BA">
        <w:t xml:space="preserve">Le fait que les Voisins </w:t>
      </w:r>
      <w:r>
        <w:t>aient</w:t>
      </w:r>
      <w:r w:rsidRPr="00E116BA">
        <w:t xml:space="preserve"> été reconnus </w:t>
      </w:r>
      <w:r>
        <w:t xml:space="preserve">propriétaires </w:t>
      </w:r>
      <w:r w:rsidRPr="00E116BA">
        <w:t xml:space="preserve">des Lots par prescription acquisitive ne constitue pas un fondement suffisant pour conclure que la Ville a commis une faute en envoyant </w:t>
      </w:r>
      <w:r w:rsidR="002510FC">
        <w:t>les</w:t>
      </w:r>
      <w:r w:rsidR="002510FC" w:rsidRPr="00E116BA">
        <w:t xml:space="preserve"> </w:t>
      </w:r>
      <w:r w:rsidRPr="00E116BA">
        <w:t>avis d’imposition à Parc Richelieu. Rien dans la preuve ne permet de conclure que la Ville savait ou aurait dû savoir que les Voisins étaient en possession des Lots, et encore moins que leur possession s’était transformée en droit de propriété. Contrairement à ce que conclut le juge, l</w:t>
      </w:r>
      <w:r w:rsidR="002B21DF">
        <w:t>’absence de contestation par</w:t>
      </w:r>
      <w:r w:rsidRPr="00E116BA">
        <w:t xml:space="preserve"> la Ville </w:t>
      </w:r>
      <w:r w:rsidR="002B21DF">
        <w:t>des recours en déclaration de propriété</w:t>
      </w:r>
      <w:r w:rsidRPr="00E116BA">
        <w:t xml:space="preserve"> par prescription acquisitive </w:t>
      </w:r>
      <w:r w:rsidR="002B21DF">
        <w:t xml:space="preserve">des Voisins </w:t>
      </w:r>
      <w:r w:rsidRPr="00E116BA">
        <w:t>ne « confirme » nullement qu’elle n</w:t>
      </w:r>
      <w:r w:rsidR="002B21DF">
        <w:t>e pouvait</w:t>
      </w:r>
      <w:r w:rsidRPr="00E116BA">
        <w:t xml:space="preserve"> ignorer </w:t>
      </w:r>
      <w:r w:rsidR="002B21DF">
        <w:t xml:space="preserve">que </w:t>
      </w:r>
      <w:r w:rsidR="00D979DF">
        <w:t>ces derniers</w:t>
      </w:r>
      <w:r w:rsidR="002B21DF">
        <w:t xml:space="preserve"> étaient en</w:t>
      </w:r>
      <w:r w:rsidRPr="00E116BA">
        <w:t xml:space="preserve"> possession</w:t>
      </w:r>
      <w:r w:rsidR="002B21DF">
        <w:t xml:space="preserve"> des Lots</w:t>
      </w:r>
      <w:r w:rsidRPr="00E116BA">
        <w:t>. Une telle conclusion ne peut raisonnablement être tirée</w:t>
      </w:r>
      <w:r w:rsidRPr="00D816BA">
        <w:t xml:space="preserve"> de l’absence de contestation </w:t>
      </w:r>
      <w:r w:rsidR="0022394E">
        <w:t>par</w:t>
      </w:r>
      <w:r w:rsidRPr="00D816BA">
        <w:t xml:space="preserve"> la Ville, d’autant plus que celle-ci ne revendiquait pas la propriété des Lots.</w:t>
      </w:r>
    </w:p>
    <w:p w14:paraId="1CD1C7D7" w14:textId="452605A3" w:rsidR="004E2087" w:rsidRPr="00E116BA" w:rsidRDefault="000037E1" w:rsidP="00440C04">
      <w:pPr>
        <w:pStyle w:val="Paragraphe"/>
        <w:spacing w:line="240" w:lineRule="auto"/>
      </w:pPr>
      <w:r>
        <w:t>L</w:t>
      </w:r>
      <w:r w:rsidRPr="00D816BA">
        <w:t>a Ville n’a commis aucune faute en envoyant l</w:t>
      </w:r>
      <w:r w:rsidR="002510FC">
        <w:t xml:space="preserve">es </w:t>
      </w:r>
      <w:r w:rsidRPr="00D816BA">
        <w:t>avis d’imposition à Parc Richelieu, dont le nom figurait sur le rôle d’évaluation</w:t>
      </w:r>
      <w:r>
        <w:t xml:space="preserve"> fonci</w:t>
      </w:r>
      <w:r w:rsidR="00185F81">
        <w:t>ère</w:t>
      </w:r>
      <w:r w:rsidRPr="00D816BA">
        <w:t xml:space="preserve">, lequel avait été constitué bien avant </w:t>
      </w:r>
      <w:r w:rsidRPr="00E116BA">
        <w:t xml:space="preserve">que les Voisins ne cherchent à faire reconnaître leurs droits. Non seulement </w:t>
      </w:r>
      <w:r w:rsidRPr="00E116BA">
        <w:lastRenderedPageBreak/>
        <w:t>le rôle est présumé valide</w:t>
      </w:r>
      <w:r>
        <w:rPr>
          <w:rStyle w:val="Appelnotedebasdep"/>
        </w:rPr>
        <w:footnoteReference w:id="11"/>
      </w:r>
      <w:r w:rsidRPr="00E116BA">
        <w:t>, mais il n’a jamais été contesté par 9252 ni par quiconque d’autre. La Ville n’avait aucune obligation dans ces circonstances de mener une enquête pour déterminer si le rôle d’évaluation fonci</w:t>
      </w:r>
      <w:r w:rsidR="00185F81">
        <w:t>ère</w:t>
      </w:r>
      <w:r w:rsidRPr="00E116BA">
        <w:t xml:space="preserve"> était exact et ne saurait être tenue responsable d’avoir envoyé l</w:t>
      </w:r>
      <w:r w:rsidR="002510FC">
        <w:t xml:space="preserve">es </w:t>
      </w:r>
      <w:r w:rsidRPr="00E116BA">
        <w:t>avis d’imposition à la propriétaire inscrite, Parc Richelieu, même si celle-ci avait été dissoute.</w:t>
      </w:r>
    </w:p>
    <w:p w14:paraId="36EC55C1" w14:textId="77A9C350" w:rsidR="004E2087" w:rsidRDefault="000037E1" w:rsidP="00440C04">
      <w:pPr>
        <w:pStyle w:val="Paragraphe"/>
        <w:spacing w:line="240" w:lineRule="auto"/>
      </w:pPr>
      <w:r w:rsidRPr="00E116BA">
        <w:t xml:space="preserve">9252 fait valoir que, même si la Ville n’avait pas commis de faute en envoyant l’avis d’imposition à Parc Richelieu, le juge aurait pu conclure que sa responsabilité avait été engagée par une autre faute. Selon elle, le fait que la Ville n’ait pas pris de mesures raisonnables pour signifier l’avis d’imposition à Parc Richelieu et se soit contentée de l’envoyer à ses propres bureaux, conformément à une pratique interne, constitue une faute distincte. Elle ajoute que la preuve révèle que </w:t>
      </w:r>
      <w:r>
        <w:t>«</w:t>
      </w:r>
      <w:r w:rsidR="002C24AB">
        <w:t> </w:t>
      </w:r>
      <w:r w:rsidRPr="006933B9">
        <w:t>Parc Richelieu et ses administrateurs avaient un domicile connu au Québec</w:t>
      </w:r>
      <w:r w:rsidR="002C24AB">
        <w:t> </w:t>
      </w:r>
      <w:r>
        <w:t>»</w:t>
      </w:r>
      <w:r w:rsidRPr="00E116BA">
        <w:t>, d</w:t>
      </w:r>
      <w:r>
        <w:t>ont la Ville aurait facilement pu trouver les coordonnées.</w:t>
      </w:r>
    </w:p>
    <w:p w14:paraId="23A28E01" w14:textId="77777777" w:rsidR="004E2087" w:rsidRDefault="000037E1" w:rsidP="00440C04">
      <w:pPr>
        <w:pStyle w:val="Paragraphe"/>
        <w:spacing w:line="240" w:lineRule="auto"/>
      </w:pPr>
      <w:r>
        <w:t>Cet argument ne saurait être retenu.</w:t>
      </w:r>
    </w:p>
    <w:p w14:paraId="2E2E7B61" w14:textId="627B1ACA" w:rsidR="004E2087" w:rsidRPr="00E116BA" w:rsidRDefault="000037E1" w:rsidP="00440C04">
      <w:pPr>
        <w:pStyle w:val="Paragraphe"/>
        <w:spacing w:line="240" w:lineRule="auto"/>
      </w:pPr>
      <w:r w:rsidRPr="00D816BA">
        <w:t xml:space="preserve">La Cour convient que la Ville n’a pas déployé d’efforts raisonnables pour trouver une adresse pour Parc Richelieu et que cela a pu avoir une incidence sur la validité de la vente pour </w:t>
      </w:r>
      <w:r w:rsidR="0022394E">
        <w:t xml:space="preserve">non-paiement de </w:t>
      </w:r>
      <w:r w:rsidRPr="00D816BA">
        <w:t>taxe</w:t>
      </w:r>
      <w:r w:rsidR="0022394E">
        <w:t>s</w:t>
      </w:r>
      <w:r>
        <w:rPr>
          <w:rStyle w:val="Appelnotedebasdep"/>
        </w:rPr>
        <w:footnoteReference w:id="12"/>
      </w:r>
      <w:r w:rsidRPr="00D816BA">
        <w:t xml:space="preserve">. </w:t>
      </w:r>
      <w:r>
        <w:t>Toutefois,</w:t>
      </w:r>
      <w:r w:rsidRPr="00A16FA9">
        <w:t xml:space="preserve"> 9252 n</w:t>
      </w:r>
      <w:r>
        <w:t>’</w:t>
      </w:r>
      <w:r w:rsidRPr="00A16FA9">
        <w:t>a pas contesté la validité de la vente</w:t>
      </w:r>
      <w:r w:rsidRPr="001A286B">
        <w:t xml:space="preserve">. De plus, même si la conduite de la Ville constituait une faute dans les circonstances, il n’y aurait aucun lien de causalité entre </w:t>
      </w:r>
      <w:r w:rsidR="00FF5A56">
        <w:t>cette</w:t>
      </w:r>
      <w:r w:rsidRPr="001A286B">
        <w:t xml:space="preserve"> faute et les dommages-</w:t>
      </w:r>
      <w:r w:rsidRPr="00DF012F">
        <w:t xml:space="preserve">intérêts réclamés. Rien dans le dossier ne suggère que la vente pour non-paiement de taxes n’aurait pas eu lieu si les avis avaient été envoyés au domicile de Parc Richelieu et ses administrateurs puisque, tel que </w:t>
      </w:r>
      <w:r w:rsidR="002510FC">
        <w:t xml:space="preserve">cela a été </w:t>
      </w:r>
      <w:r w:rsidRPr="00DF012F">
        <w:t xml:space="preserve">mentionné, cette compagnie </w:t>
      </w:r>
      <w:r w:rsidR="00FF5A56">
        <w:t>étai</w:t>
      </w:r>
      <w:r w:rsidRPr="00DF012F">
        <w:t>t dissoute depuis 1999</w:t>
      </w:r>
      <w:r>
        <w:t>.</w:t>
      </w:r>
      <w:r w:rsidRPr="00DF012F">
        <w:t xml:space="preserve"> Il importe</w:t>
      </w:r>
      <w:r w:rsidRPr="00E116BA">
        <w:t xml:space="preserve"> de souligner que la Ville n’est pas responsable du fait que la propriété des Lots ait été acquise par les Voisins et</w:t>
      </w:r>
      <w:r w:rsidR="00FF5A56">
        <w:t>,</w:t>
      </w:r>
      <w:r w:rsidRPr="00E116BA">
        <w:t xml:space="preserve"> contrairement à ce que conclut le juge, c’est pour cette raison</w:t>
      </w:r>
      <w:r>
        <w:t xml:space="preserve"> – </w:t>
      </w:r>
      <w:r w:rsidRPr="00E116BA">
        <w:t xml:space="preserve">et non une quelconque faute de la Ville </w:t>
      </w:r>
      <w:r>
        <w:t xml:space="preserve">– </w:t>
      </w:r>
      <w:r w:rsidRPr="00E116BA">
        <w:t>que 9252 « n’a pas pu acquérir un bon et valable titre de propriété sur les lots adjugés en sa faveur »</w:t>
      </w:r>
      <w:r>
        <w:rPr>
          <w:rStyle w:val="Appelnotedebasdep"/>
        </w:rPr>
        <w:footnoteReference w:id="13"/>
      </w:r>
      <w:r w:rsidRPr="00E116BA">
        <w:t xml:space="preserve">.  </w:t>
      </w:r>
    </w:p>
    <w:p w14:paraId="484008DC" w14:textId="6F7F3333" w:rsidR="004E2087" w:rsidRPr="00E116BA" w:rsidRDefault="000037E1" w:rsidP="00440C04">
      <w:pPr>
        <w:pStyle w:val="Paragraphe"/>
        <w:spacing w:line="240" w:lineRule="auto"/>
      </w:pPr>
      <w:r w:rsidRPr="00E116BA">
        <w:t>Il est tout aussi important de souligner à nouveau que 9252 a choisi de ne pas demander l’annulation de la vente pour</w:t>
      </w:r>
      <w:r w:rsidR="0022394E">
        <w:t xml:space="preserve"> non-paiement de</w:t>
      </w:r>
      <w:r w:rsidRPr="00E116BA">
        <w:t xml:space="preserve"> taxes, ce qui aurait pu lui permettre d’obtenir le remboursement du prix de vente. Bien que rien ne l’empêch</w:t>
      </w:r>
      <w:r w:rsidR="00FF5A56">
        <w:t>ait</w:t>
      </w:r>
      <w:r w:rsidRPr="00E116BA">
        <w:t xml:space="preserve"> d’intenter une action en dommages-intérêts fondée sur une prétendue faute</w:t>
      </w:r>
      <w:r>
        <w:rPr>
          <w:rStyle w:val="Appelnotedebasdep"/>
        </w:rPr>
        <w:footnoteReference w:id="14"/>
      </w:r>
      <w:r w:rsidRPr="00E116BA">
        <w:t xml:space="preserve">, il semblerait, d’après les observations formulées lors de l’audience, que sa décision de procéder de cette manière était stratégique et motivée par l’intention de réclamer des dommages-intérêts pour perte de profits, </w:t>
      </w:r>
      <w:r w:rsidR="00FF5A56">
        <w:t>une telle réclamation n’étant pas susceptible de</w:t>
      </w:r>
      <w:r w:rsidRPr="00E116BA">
        <w:t xml:space="preserve"> découler de l’annulation de la vente.</w:t>
      </w:r>
    </w:p>
    <w:p w14:paraId="5BA0CAD8" w14:textId="77777777" w:rsidR="004E2087" w:rsidRPr="00D816BA" w:rsidRDefault="000037E1" w:rsidP="00440C04">
      <w:pPr>
        <w:pStyle w:val="Paragraphe"/>
        <w:spacing w:line="240" w:lineRule="auto"/>
      </w:pPr>
      <w:r w:rsidRPr="00D816BA">
        <w:lastRenderedPageBreak/>
        <w:t>Bien qu’il ne soit pas nécessaire en l’espèce de se prononcer sur l’appel incident, la Cour ajoute que 9252 n’a pas réussi à démontrer l’existence d’une erreur manifeste et déterminante dans le raisonnement du juge concernant l’évaluation des dommages-intérêts.</w:t>
      </w:r>
    </w:p>
    <w:p w14:paraId="4292A207" w14:textId="77777777" w:rsidR="004E2087" w:rsidRPr="0090430F" w:rsidRDefault="000037E1" w:rsidP="007F5753">
      <w:pPr>
        <w:pStyle w:val="Paragraphe"/>
        <w:numPr>
          <w:ilvl w:val="0"/>
          <w:numId w:val="0"/>
        </w:numPr>
        <w:spacing w:before="240" w:line="240" w:lineRule="auto"/>
        <w:rPr>
          <w:b/>
          <w:bCs/>
        </w:rPr>
      </w:pPr>
      <w:r w:rsidRPr="0090430F">
        <w:rPr>
          <w:b/>
          <w:bCs/>
        </w:rPr>
        <w:t xml:space="preserve">POUR CES MOTIFS, </w:t>
      </w:r>
      <w:r>
        <w:rPr>
          <w:b/>
          <w:bCs/>
        </w:rPr>
        <w:t>LA COUR :</w:t>
      </w:r>
    </w:p>
    <w:p w14:paraId="0E5EAD0E" w14:textId="77777777" w:rsidR="004E2087" w:rsidRDefault="000037E1" w:rsidP="00440C04">
      <w:pPr>
        <w:pStyle w:val="Paragraphe"/>
        <w:spacing w:line="240" w:lineRule="auto"/>
      </w:pPr>
      <w:r w:rsidRPr="008549C0">
        <w:rPr>
          <w:b/>
          <w:bCs/>
        </w:rPr>
        <w:t>ACCUEILLE</w:t>
      </w:r>
      <w:r>
        <w:t xml:space="preserve"> l’appel avec les frais de justice tant en première instance qu’en appel;</w:t>
      </w:r>
    </w:p>
    <w:p w14:paraId="6121A2A3" w14:textId="77777777" w:rsidR="004E2087" w:rsidRDefault="000037E1" w:rsidP="00440C04">
      <w:pPr>
        <w:pStyle w:val="Paragraphe"/>
        <w:spacing w:line="240" w:lineRule="auto"/>
      </w:pPr>
      <w:r w:rsidRPr="00D816BA">
        <w:rPr>
          <w:b/>
          <w:bCs/>
        </w:rPr>
        <w:t>REJETTE</w:t>
      </w:r>
      <w:r>
        <w:t xml:space="preserve"> l’appel incident avec les frais de justice.</w:t>
      </w:r>
    </w:p>
    <w:p w14:paraId="3D1CAA8D" w14:textId="36AF5DFF" w:rsidR="004C0AAB" w:rsidRDefault="004C0AAB" w:rsidP="00440C04">
      <w:pPr>
        <w:spacing w:line="240" w:lineRule="auto"/>
      </w:pPr>
    </w:p>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1997"/>
        <w:gridCol w:w="2685"/>
        <w:gridCol w:w="4680"/>
      </w:tblGrid>
      <w:tr w:rsidR="00896545" w14:paraId="1359DE14" w14:textId="77777777" w:rsidTr="003E3239">
        <w:trPr>
          <w:trHeight w:val="576"/>
        </w:trPr>
        <w:tc>
          <w:tcPr>
            <w:tcW w:w="9362" w:type="dxa"/>
            <w:gridSpan w:val="3"/>
            <w:tcBorders>
              <w:top w:val="nil"/>
              <w:bottom w:val="nil"/>
            </w:tcBorders>
          </w:tcPr>
          <w:p w14:paraId="5A8DF76C" w14:textId="77777777" w:rsidR="008F364A" w:rsidRDefault="008F364A" w:rsidP="00440C04">
            <w:pPr>
              <w:keepNext/>
              <w:spacing w:line="240" w:lineRule="auto"/>
            </w:pPr>
          </w:p>
        </w:tc>
      </w:tr>
      <w:tr w:rsidR="00896545" w14:paraId="40886D6F" w14:textId="77777777" w:rsidTr="00117914">
        <w:trPr>
          <w:trHeight w:val="283"/>
        </w:trPr>
        <w:tc>
          <w:tcPr>
            <w:tcW w:w="4682" w:type="dxa"/>
            <w:gridSpan w:val="2"/>
            <w:tcBorders>
              <w:top w:val="nil"/>
              <w:bottom w:val="nil"/>
            </w:tcBorders>
          </w:tcPr>
          <w:p w14:paraId="22D5751F" w14:textId="77777777" w:rsidR="008F364A" w:rsidRDefault="008F364A" w:rsidP="00440C04">
            <w:pPr>
              <w:keepNext/>
              <w:spacing w:line="240" w:lineRule="auto"/>
            </w:pPr>
            <w:bookmarkStart w:id="10" w:name="Signature2"/>
          </w:p>
        </w:tc>
        <w:tc>
          <w:tcPr>
            <w:tcW w:w="4680" w:type="dxa"/>
            <w:tcBorders>
              <w:top w:val="nil"/>
              <w:bottom w:val="single" w:sz="8" w:space="0" w:color="auto"/>
            </w:tcBorders>
          </w:tcPr>
          <w:p w14:paraId="71FAE0A1" w14:textId="77777777" w:rsidR="008F364A" w:rsidRDefault="008F364A" w:rsidP="00440C04">
            <w:pPr>
              <w:keepNext/>
              <w:spacing w:line="240" w:lineRule="auto"/>
            </w:pPr>
          </w:p>
        </w:tc>
      </w:tr>
      <w:tr w:rsidR="00896545" w14:paraId="283556BB" w14:textId="77777777" w:rsidTr="00117914">
        <w:trPr>
          <w:trHeight w:val="283"/>
        </w:trPr>
        <w:tc>
          <w:tcPr>
            <w:tcW w:w="4682" w:type="dxa"/>
            <w:gridSpan w:val="2"/>
            <w:tcBorders>
              <w:top w:val="nil"/>
            </w:tcBorders>
          </w:tcPr>
          <w:p w14:paraId="4CDB195C" w14:textId="77777777" w:rsidR="008F364A" w:rsidRDefault="008F364A" w:rsidP="00440C04">
            <w:pPr>
              <w:keepNext/>
              <w:spacing w:line="240" w:lineRule="auto"/>
            </w:pPr>
          </w:p>
        </w:tc>
        <w:tc>
          <w:tcPr>
            <w:tcW w:w="4680" w:type="dxa"/>
            <w:tcBorders>
              <w:top w:val="single" w:sz="8" w:space="0" w:color="auto"/>
            </w:tcBorders>
          </w:tcPr>
          <w:p w14:paraId="0C68B6B1" w14:textId="5E52E4D1" w:rsidR="008F364A" w:rsidRPr="0087220B" w:rsidRDefault="000037E1" w:rsidP="00440C04">
            <w:pPr>
              <w:pStyle w:val="zSoquijdatJuge"/>
              <w:spacing w:line="240" w:lineRule="auto"/>
              <w:rPr>
                <w:b w:val="0"/>
                <w:bCs/>
              </w:rPr>
            </w:pPr>
            <w:r>
              <w:rPr>
                <w:b w:val="0"/>
                <w:bCs/>
              </w:rPr>
              <w:t>SOPHIE LAVALLÉE, J.C.A.</w:t>
            </w:r>
          </w:p>
        </w:tc>
      </w:tr>
      <w:tr w:rsidR="00896545" w14:paraId="4AA407A6" w14:textId="77777777" w:rsidTr="00117914">
        <w:trPr>
          <w:trHeight w:val="283"/>
        </w:trPr>
        <w:tc>
          <w:tcPr>
            <w:tcW w:w="4682" w:type="dxa"/>
            <w:gridSpan w:val="2"/>
            <w:tcBorders>
              <w:top w:val="nil"/>
            </w:tcBorders>
          </w:tcPr>
          <w:p w14:paraId="214D00C7" w14:textId="77777777" w:rsidR="008F364A" w:rsidRDefault="008F364A" w:rsidP="00440C04">
            <w:pPr>
              <w:keepNext/>
              <w:spacing w:line="240" w:lineRule="auto"/>
            </w:pPr>
            <w:bookmarkStart w:id="11" w:name="Signature3"/>
            <w:bookmarkEnd w:id="10"/>
          </w:p>
        </w:tc>
        <w:tc>
          <w:tcPr>
            <w:tcW w:w="4680" w:type="dxa"/>
            <w:tcBorders>
              <w:top w:val="nil"/>
            </w:tcBorders>
          </w:tcPr>
          <w:p w14:paraId="222398A7" w14:textId="77777777" w:rsidR="008F364A" w:rsidRDefault="008F364A" w:rsidP="00440C04">
            <w:pPr>
              <w:keepNext/>
              <w:spacing w:line="240" w:lineRule="auto"/>
            </w:pPr>
          </w:p>
        </w:tc>
      </w:tr>
      <w:tr w:rsidR="00896545" w14:paraId="639AC884" w14:textId="77777777" w:rsidTr="00117914">
        <w:trPr>
          <w:trHeight w:val="283"/>
        </w:trPr>
        <w:tc>
          <w:tcPr>
            <w:tcW w:w="4682" w:type="dxa"/>
            <w:gridSpan w:val="2"/>
            <w:tcBorders>
              <w:top w:val="nil"/>
              <w:bottom w:val="nil"/>
            </w:tcBorders>
          </w:tcPr>
          <w:p w14:paraId="11C64200" w14:textId="77777777" w:rsidR="008F364A" w:rsidRDefault="008F364A" w:rsidP="00440C04">
            <w:pPr>
              <w:keepNext/>
              <w:spacing w:line="240" w:lineRule="auto"/>
            </w:pPr>
          </w:p>
        </w:tc>
        <w:tc>
          <w:tcPr>
            <w:tcW w:w="4680" w:type="dxa"/>
            <w:tcBorders>
              <w:top w:val="nil"/>
              <w:bottom w:val="single" w:sz="8" w:space="0" w:color="auto"/>
            </w:tcBorders>
          </w:tcPr>
          <w:p w14:paraId="7DDEB38B" w14:textId="77777777" w:rsidR="008F364A" w:rsidRDefault="008F364A" w:rsidP="00440C04">
            <w:pPr>
              <w:keepNext/>
              <w:spacing w:line="240" w:lineRule="auto"/>
            </w:pPr>
          </w:p>
        </w:tc>
      </w:tr>
      <w:tr w:rsidR="00896545" w14:paraId="5E569414" w14:textId="77777777" w:rsidTr="00117914">
        <w:trPr>
          <w:trHeight w:val="283"/>
        </w:trPr>
        <w:tc>
          <w:tcPr>
            <w:tcW w:w="4682" w:type="dxa"/>
            <w:gridSpan w:val="2"/>
            <w:tcBorders>
              <w:top w:val="nil"/>
            </w:tcBorders>
          </w:tcPr>
          <w:p w14:paraId="440B54E2" w14:textId="77777777" w:rsidR="008F364A" w:rsidRDefault="008F364A" w:rsidP="00440C04">
            <w:pPr>
              <w:keepNext/>
              <w:spacing w:line="240" w:lineRule="auto"/>
            </w:pPr>
          </w:p>
        </w:tc>
        <w:tc>
          <w:tcPr>
            <w:tcW w:w="4680" w:type="dxa"/>
            <w:tcBorders>
              <w:top w:val="single" w:sz="8" w:space="0" w:color="auto"/>
            </w:tcBorders>
          </w:tcPr>
          <w:p w14:paraId="01C42F48" w14:textId="33CA57AB" w:rsidR="008F364A" w:rsidRPr="0087220B" w:rsidRDefault="00CE60F7" w:rsidP="00440C04">
            <w:pPr>
              <w:keepNext/>
              <w:spacing w:line="240" w:lineRule="auto"/>
              <w:rPr>
                <w:lang w:val="en-CA"/>
              </w:rPr>
            </w:pPr>
            <w:r w:rsidRPr="004C0AAB">
              <w:rPr>
                <w:lang w:val="en-CA"/>
              </w:rPr>
              <w:t>PETER KALICHMAN, J.C.A.</w:t>
            </w:r>
          </w:p>
        </w:tc>
      </w:tr>
      <w:bookmarkEnd w:id="11"/>
      <w:tr w:rsidR="00896545" w14:paraId="17A0472E" w14:textId="77777777" w:rsidTr="00423DF1">
        <w:tc>
          <w:tcPr>
            <w:tcW w:w="9362" w:type="dxa"/>
            <w:gridSpan w:val="3"/>
          </w:tcPr>
          <w:p w14:paraId="583F8363" w14:textId="77777777" w:rsidR="005A78BF" w:rsidRDefault="005A78BF" w:rsidP="00440C04">
            <w:pPr>
              <w:spacing w:line="240" w:lineRule="auto"/>
              <w:rPr>
                <w:lang w:val="en-CA"/>
              </w:rPr>
            </w:pPr>
          </w:p>
        </w:tc>
      </w:tr>
      <w:tr w:rsidR="00896545" w14:paraId="05E8C3B1" w14:textId="77777777" w:rsidTr="00423DF1">
        <w:tc>
          <w:tcPr>
            <w:tcW w:w="9362" w:type="dxa"/>
            <w:gridSpan w:val="3"/>
          </w:tcPr>
          <w:p w14:paraId="7607021B" w14:textId="77777777" w:rsidR="007C30A3" w:rsidRDefault="007C30A3" w:rsidP="00440C04">
            <w:pPr>
              <w:spacing w:line="240" w:lineRule="auto"/>
              <w:rPr>
                <w:lang w:val="en-CA"/>
              </w:rPr>
            </w:pPr>
          </w:p>
        </w:tc>
      </w:tr>
      <w:tr w:rsidR="00896545" w14:paraId="38044C12" w14:textId="77777777" w:rsidTr="00423DF1">
        <w:tc>
          <w:tcPr>
            <w:tcW w:w="9362" w:type="dxa"/>
            <w:gridSpan w:val="3"/>
          </w:tcPr>
          <w:p w14:paraId="7AD77DDC" w14:textId="5C4F26AF" w:rsidR="005A78BF" w:rsidRPr="004C0AAB" w:rsidRDefault="000037E1" w:rsidP="00440C04">
            <w:pPr>
              <w:pStyle w:val="zSoquijdatNomProcureurDem"/>
              <w:spacing w:line="240" w:lineRule="auto"/>
              <w:rPr>
                <w:szCs w:val="24"/>
                <w:lang w:val="es-ES"/>
              </w:rPr>
            </w:pPr>
            <w:r>
              <w:rPr>
                <w:szCs w:val="24"/>
                <w:lang w:val="es-ES"/>
              </w:rPr>
              <w:t>Me Émilie Morissette</w:t>
            </w:r>
          </w:p>
        </w:tc>
      </w:tr>
      <w:tr w:rsidR="00896545" w14:paraId="42C81E9F" w14:textId="77777777" w:rsidTr="00423DF1">
        <w:tc>
          <w:tcPr>
            <w:tcW w:w="9362" w:type="dxa"/>
            <w:gridSpan w:val="3"/>
          </w:tcPr>
          <w:p w14:paraId="06533FED" w14:textId="1C7C016B" w:rsidR="004C0AAB" w:rsidRDefault="000037E1" w:rsidP="00440C04">
            <w:pPr>
              <w:pStyle w:val="zSoquijdatNomProcureurDem"/>
              <w:spacing w:line="240" w:lineRule="auto"/>
              <w:rPr>
                <w:szCs w:val="24"/>
                <w:lang w:val="es-ES"/>
              </w:rPr>
            </w:pPr>
            <w:r>
              <w:rPr>
                <w:szCs w:val="24"/>
                <w:lang w:val="es-ES"/>
              </w:rPr>
              <w:t>Me Émilie Bissonnette</w:t>
            </w:r>
          </w:p>
        </w:tc>
      </w:tr>
      <w:tr w:rsidR="00896545" w14:paraId="1894F377" w14:textId="77777777" w:rsidTr="00423DF1">
        <w:tc>
          <w:tcPr>
            <w:tcW w:w="9362" w:type="dxa"/>
            <w:gridSpan w:val="3"/>
          </w:tcPr>
          <w:p w14:paraId="17E71ECA" w14:textId="638BE5FB" w:rsidR="005A78BF" w:rsidRPr="004C0AAB" w:rsidRDefault="000037E1" w:rsidP="00440C04">
            <w:pPr>
              <w:pStyle w:val="zSoquijdatNomProcureurDem"/>
              <w:spacing w:line="240" w:lineRule="auto"/>
              <w:rPr>
                <w:szCs w:val="24"/>
                <w:lang w:val="es-ES"/>
              </w:rPr>
            </w:pPr>
            <w:r>
              <w:rPr>
                <w:szCs w:val="24"/>
                <w:lang w:val="es-ES"/>
              </w:rPr>
              <w:t>GIASSON &amp; ASSOCIÉS</w:t>
            </w:r>
          </w:p>
        </w:tc>
      </w:tr>
      <w:tr w:rsidR="00896545" w14:paraId="1307B38B" w14:textId="77777777" w:rsidTr="00423DF1">
        <w:tc>
          <w:tcPr>
            <w:tcW w:w="9362" w:type="dxa"/>
            <w:gridSpan w:val="3"/>
          </w:tcPr>
          <w:p w14:paraId="254CEC08" w14:textId="29D1676A" w:rsidR="005A78BF" w:rsidRDefault="000037E1" w:rsidP="00440C04">
            <w:pPr>
              <w:pStyle w:val="zSoquijlblProcureurDem"/>
              <w:spacing w:line="240" w:lineRule="auto"/>
              <w:rPr>
                <w:lang w:val="en-CA"/>
              </w:rPr>
            </w:pPr>
            <w:r>
              <w:t>Pour l’appelante/intimée incidente</w:t>
            </w:r>
          </w:p>
        </w:tc>
      </w:tr>
      <w:tr w:rsidR="00896545" w14:paraId="1FD01EC9" w14:textId="77777777" w:rsidTr="00423DF1">
        <w:tc>
          <w:tcPr>
            <w:tcW w:w="9362" w:type="dxa"/>
            <w:gridSpan w:val="3"/>
          </w:tcPr>
          <w:p w14:paraId="297F9DA9" w14:textId="77777777" w:rsidR="005A78BF" w:rsidRDefault="005A78BF" w:rsidP="00440C04">
            <w:pPr>
              <w:spacing w:line="240" w:lineRule="auto"/>
              <w:rPr>
                <w:lang w:val="en-CA"/>
              </w:rPr>
            </w:pPr>
          </w:p>
        </w:tc>
      </w:tr>
      <w:tr w:rsidR="00896545" w14:paraId="5705F634" w14:textId="77777777" w:rsidTr="00423DF1">
        <w:tc>
          <w:tcPr>
            <w:tcW w:w="9362" w:type="dxa"/>
            <w:gridSpan w:val="3"/>
          </w:tcPr>
          <w:p w14:paraId="0E39B5F3" w14:textId="15B9DB01" w:rsidR="005A78BF" w:rsidRPr="004C0AAB" w:rsidRDefault="000037E1" w:rsidP="00440C04">
            <w:pPr>
              <w:pStyle w:val="zSoquijdatNomProcureurDef"/>
              <w:spacing w:line="240" w:lineRule="auto"/>
              <w:rPr>
                <w:szCs w:val="24"/>
                <w:lang w:val="es-ES"/>
              </w:rPr>
            </w:pPr>
            <w:r>
              <w:rPr>
                <w:szCs w:val="24"/>
                <w:lang w:val="es-ES"/>
              </w:rPr>
              <w:t>Me Philippe Boily</w:t>
            </w:r>
          </w:p>
        </w:tc>
      </w:tr>
      <w:tr w:rsidR="00896545" w14:paraId="02300062" w14:textId="77777777" w:rsidTr="00423DF1">
        <w:tc>
          <w:tcPr>
            <w:tcW w:w="9362" w:type="dxa"/>
            <w:gridSpan w:val="3"/>
          </w:tcPr>
          <w:p w14:paraId="357FC832" w14:textId="7C16E771" w:rsidR="004C0AAB" w:rsidRDefault="000037E1" w:rsidP="00440C04">
            <w:pPr>
              <w:pStyle w:val="zSoquijdatNomProcureurDef"/>
              <w:spacing w:line="240" w:lineRule="auto"/>
              <w:rPr>
                <w:szCs w:val="24"/>
                <w:lang w:val="es-ES"/>
              </w:rPr>
            </w:pPr>
            <w:r>
              <w:rPr>
                <w:szCs w:val="24"/>
                <w:lang w:val="es-ES"/>
              </w:rPr>
              <w:t>Me Pascal Girard</w:t>
            </w:r>
          </w:p>
        </w:tc>
      </w:tr>
      <w:tr w:rsidR="00896545" w14:paraId="49FB6730" w14:textId="77777777" w:rsidTr="00423DF1">
        <w:tc>
          <w:tcPr>
            <w:tcW w:w="9362" w:type="dxa"/>
            <w:gridSpan w:val="3"/>
          </w:tcPr>
          <w:p w14:paraId="1AC31B4F" w14:textId="5E7BB0A1" w:rsidR="005A78BF" w:rsidRPr="004C0AAB" w:rsidRDefault="000037E1" w:rsidP="00440C04">
            <w:pPr>
              <w:pStyle w:val="zSoquijdatNomProcureurDef"/>
              <w:spacing w:line="240" w:lineRule="auto"/>
              <w:rPr>
                <w:szCs w:val="24"/>
                <w:lang w:val="es-ES"/>
              </w:rPr>
            </w:pPr>
            <w:r>
              <w:rPr>
                <w:szCs w:val="24"/>
                <w:lang w:val="es-ES"/>
              </w:rPr>
              <w:t>LÉVESQUE LAVOIE AVOCATS</w:t>
            </w:r>
          </w:p>
        </w:tc>
      </w:tr>
      <w:tr w:rsidR="00896545" w14:paraId="740623C2" w14:textId="77777777" w:rsidTr="00423DF1">
        <w:tc>
          <w:tcPr>
            <w:tcW w:w="9362" w:type="dxa"/>
            <w:gridSpan w:val="3"/>
          </w:tcPr>
          <w:p w14:paraId="4CB26CD6" w14:textId="31C2E29A" w:rsidR="005A78BF" w:rsidRDefault="000037E1" w:rsidP="00440C04">
            <w:pPr>
              <w:pStyle w:val="zSoquijlblProcureurDef"/>
              <w:spacing w:line="240" w:lineRule="auto"/>
              <w:rPr>
                <w:lang w:val="en-CA"/>
              </w:rPr>
            </w:pPr>
            <w:r>
              <w:t>Pour l’intimée/appelante incidente</w:t>
            </w:r>
          </w:p>
        </w:tc>
      </w:tr>
      <w:tr w:rsidR="00896545" w14:paraId="73068983" w14:textId="77777777" w:rsidTr="00423DF1">
        <w:tc>
          <w:tcPr>
            <w:tcW w:w="9362" w:type="dxa"/>
            <w:gridSpan w:val="3"/>
          </w:tcPr>
          <w:p w14:paraId="2A96B766" w14:textId="77777777" w:rsidR="005A78BF" w:rsidRDefault="005A78BF" w:rsidP="00440C04">
            <w:pPr>
              <w:spacing w:line="240" w:lineRule="auto"/>
              <w:rPr>
                <w:lang w:val="en-CA"/>
              </w:rPr>
            </w:pPr>
          </w:p>
        </w:tc>
      </w:tr>
      <w:tr w:rsidR="00896545" w14:paraId="1F58C1AA" w14:textId="77777777" w:rsidTr="00423DF1">
        <w:tc>
          <w:tcPr>
            <w:tcW w:w="1997" w:type="dxa"/>
          </w:tcPr>
          <w:p w14:paraId="5CD64F0A" w14:textId="77777777" w:rsidR="005A78BF" w:rsidRDefault="000037E1" w:rsidP="00440C04">
            <w:pPr>
              <w:pStyle w:val="zSoquijlblDateAudience"/>
              <w:spacing w:line="240" w:lineRule="auto"/>
            </w:pPr>
            <w:r>
              <w:t>Date d’audience :</w:t>
            </w:r>
          </w:p>
        </w:tc>
        <w:tc>
          <w:tcPr>
            <w:tcW w:w="7365" w:type="dxa"/>
            <w:gridSpan w:val="2"/>
          </w:tcPr>
          <w:p w14:paraId="24A31491" w14:textId="5368D450" w:rsidR="005A78BF" w:rsidRDefault="000037E1" w:rsidP="00440C04">
            <w:pPr>
              <w:pStyle w:val="zSoquijdatDateAudience"/>
              <w:spacing w:line="240" w:lineRule="auto"/>
            </w:pPr>
            <w:r>
              <w:t>20</w:t>
            </w:r>
            <w:r w:rsidR="002C24AB">
              <w:t> </w:t>
            </w:r>
            <w:r>
              <w:t>novembre 2025</w:t>
            </w:r>
          </w:p>
        </w:tc>
      </w:tr>
      <w:bookmarkEnd w:id="7"/>
    </w:tbl>
    <w:p w14:paraId="4034B98F" w14:textId="77777777" w:rsidR="00740A17" w:rsidRDefault="00740A17" w:rsidP="00440C04">
      <w:pPr>
        <w:spacing w:line="240" w:lineRule="auto"/>
      </w:pPr>
    </w:p>
    <w:sectPr w:rsidR="00740A17" w:rsidSect="004C0AAB">
      <w:headerReference w:type="even" r:id="rId8"/>
      <w:headerReference w:type="default" r:id="rId9"/>
      <w:footerReference w:type="even" r:id="rId10"/>
      <w:footerReference w:type="default" r:id="rId11"/>
      <w:headerReference w:type="first" r:id="rId12"/>
      <w:footerReference w:type="first" r:id="rId13"/>
      <w:pgSz w:w="12242" w:h="15842" w:code="1"/>
      <w:pgMar w:top="1440" w:right="1008" w:bottom="1440" w:left="1872" w:header="1440" w:footer="7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4346" w14:textId="77777777" w:rsidR="00050B4D" w:rsidRDefault="00050B4D">
      <w:pPr>
        <w:spacing w:line="240" w:lineRule="auto"/>
      </w:pPr>
      <w:r>
        <w:separator/>
      </w:r>
    </w:p>
  </w:endnote>
  <w:endnote w:type="continuationSeparator" w:id="0">
    <w:p w14:paraId="10E3B6E9" w14:textId="77777777" w:rsidR="00050B4D" w:rsidRDefault="00050B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2CAC" w14:textId="77777777" w:rsidR="00185F81" w:rsidRDefault="00185F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39A7" w14:textId="77777777" w:rsidR="00185F81" w:rsidRDefault="00185F8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5F9E" w14:textId="77777777" w:rsidR="00185F81" w:rsidRDefault="00185F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04D1" w14:textId="77777777" w:rsidR="00050B4D" w:rsidRDefault="00050B4D">
      <w:r>
        <w:separator/>
      </w:r>
    </w:p>
  </w:footnote>
  <w:footnote w:type="continuationSeparator" w:id="0">
    <w:p w14:paraId="10CF170E" w14:textId="77777777" w:rsidR="00050B4D" w:rsidRDefault="00050B4D">
      <w:r>
        <w:continuationSeparator/>
      </w:r>
    </w:p>
  </w:footnote>
  <w:footnote w:id="1">
    <w:p w14:paraId="556A8912" w14:textId="77777777" w:rsidR="0087220B" w:rsidRPr="007C30A3" w:rsidRDefault="000037E1" w:rsidP="0087220B">
      <w:pPr>
        <w:pStyle w:val="Notedebasdepage"/>
        <w:rPr>
          <w:color w:val="000000" w:themeColor="text1"/>
        </w:rPr>
      </w:pPr>
      <w:r w:rsidRPr="007C30A3">
        <w:rPr>
          <w:rStyle w:val="Appelnotedebasdep"/>
          <w:rFonts w:ascii="Symbol" w:hAnsi="Symbol"/>
          <w:color w:val="000000" w:themeColor="text1"/>
        </w:rPr>
        <w:sym w:font="Symbol" w:char="F02A"/>
      </w:r>
      <w:r w:rsidRPr="007C30A3">
        <w:rPr>
          <w:color w:val="000000" w:themeColor="text1"/>
        </w:rPr>
        <w:t xml:space="preserve"> </w:t>
      </w:r>
      <w:r w:rsidRPr="007C30A3">
        <w:rPr>
          <w:color w:val="000000" w:themeColor="text1"/>
        </w:rPr>
        <w:tab/>
        <w:t>La juge n’a pas participé au dispositif final de l’arrêt.</w:t>
      </w:r>
    </w:p>
  </w:footnote>
  <w:footnote w:id="2">
    <w:p w14:paraId="62693C07"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9252-0451 Québec inc. c. Ville de Québec</w:t>
      </w:r>
      <w:r w:rsidRPr="007C30A3">
        <w:rPr>
          <w:color w:val="000000" w:themeColor="text1"/>
        </w:rPr>
        <w:t>, 2024 QCCS 4300 [jugement entrepris].</w:t>
      </w:r>
    </w:p>
  </w:footnote>
  <w:footnote w:id="3">
    <w:p w14:paraId="7A30B932" w14:textId="7DDC0E81"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Loi sur les cités et villes</w:t>
      </w:r>
      <w:r w:rsidRPr="007C30A3">
        <w:rPr>
          <w:color w:val="000000" w:themeColor="text1"/>
        </w:rPr>
        <w:t>, RLRQ c. C-19</w:t>
      </w:r>
      <w:r w:rsidR="004F35EC" w:rsidRPr="007C30A3">
        <w:rPr>
          <w:color w:val="000000" w:themeColor="text1"/>
        </w:rPr>
        <w:t>, art. 524</w:t>
      </w:r>
      <w:r w:rsidRPr="007C30A3">
        <w:rPr>
          <w:color w:val="000000" w:themeColor="text1"/>
        </w:rPr>
        <w:t>.</w:t>
      </w:r>
    </w:p>
  </w:footnote>
  <w:footnote w:id="4">
    <w:p w14:paraId="3A3DBF81"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Bolduc c. 9252-0451 Québec inc</w:t>
      </w:r>
      <w:r w:rsidRPr="007C30A3">
        <w:rPr>
          <w:color w:val="000000" w:themeColor="text1"/>
        </w:rPr>
        <w:t xml:space="preserve">., C.S. Québec, n° 200-17-030764-203, 10 juin 2022, Paradis, j.c.s.; </w:t>
      </w:r>
      <w:r w:rsidRPr="007C30A3">
        <w:rPr>
          <w:i/>
          <w:iCs/>
          <w:color w:val="000000" w:themeColor="text1"/>
        </w:rPr>
        <w:t>9021-0800 Québec inc. c. 9252-0451 Québec inc</w:t>
      </w:r>
      <w:r w:rsidRPr="007C30A3">
        <w:rPr>
          <w:color w:val="000000" w:themeColor="text1"/>
        </w:rPr>
        <w:t xml:space="preserve">., 2022 QCCS 2727; </w:t>
      </w:r>
      <w:r w:rsidRPr="007C30A3">
        <w:rPr>
          <w:i/>
          <w:iCs/>
          <w:color w:val="000000" w:themeColor="text1"/>
        </w:rPr>
        <w:t>9201-0800 Québec inc. c. 9252-0451 Québec inc.</w:t>
      </w:r>
      <w:r w:rsidRPr="007C30A3">
        <w:rPr>
          <w:color w:val="000000" w:themeColor="text1"/>
        </w:rPr>
        <w:t>, 2022 QCCS 2711.</w:t>
      </w:r>
    </w:p>
  </w:footnote>
  <w:footnote w:id="5">
    <w:p w14:paraId="6DE899F1"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9201-0800 Québec inc. c. 9252-0451 Québec inc.</w:t>
      </w:r>
      <w:r w:rsidRPr="007C30A3">
        <w:rPr>
          <w:color w:val="000000" w:themeColor="text1"/>
        </w:rPr>
        <w:t>, 2023 QCCS 5328.</w:t>
      </w:r>
    </w:p>
  </w:footnote>
  <w:footnote w:id="6">
    <w:p w14:paraId="25A98138" w14:textId="642D287A" w:rsidR="006914D3" w:rsidRPr="007C30A3" w:rsidRDefault="000037E1">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t>RLRQ, c. F-2.1.</w:t>
      </w:r>
    </w:p>
  </w:footnote>
  <w:footnote w:id="7">
    <w:p w14:paraId="6853CB10" w14:textId="10DC627C" w:rsidR="006914D3" w:rsidRPr="007C30A3" w:rsidRDefault="000037E1">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t>RLRQ, c. C-19.</w:t>
      </w:r>
    </w:p>
  </w:footnote>
  <w:footnote w:id="8">
    <w:p w14:paraId="708E572C" w14:textId="72D448F2" w:rsidR="004E2087" w:rsidRPr="007C30A3" w:rsidRDefault="000037E1" w:rsidP="0015143D">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t>Techniquement, l</w:t>
      </w:r>
      <w:r w:rsidR="0015143D" w:rsidRPr="007C30A3">
        <w:rPr>
          <w:color w:val="000000" w:themeColor="text1"/>
        </w:rPr>
        <w:t>’</w:t>
      </w:r>
      <w:r w:rsidRPr="007C30A3">
        <w:rPr>
          <w:color w:val="000000" w:themeColor="text1"/>
        </w:rPr>
        <w:t>appel incident a été formé hors délai. Toutefois, étant donné que 9252 se trouvait encore dans les délais impartis pour former son propre appel, le fait que l</w:t>
      </w:r>
      <w:r w:rsidR="0015143D" w:rsidRPr="007C30A3">
        <w:rPr>
          <w:color w:val="000000" w:themeColor="text1"/>
        </w:rPr>
        <w:t>’</w:t>
      </w:r>
      <w:r w:rsidRPr="007C30A3">
        <w:rPr>
          <w:color w:val="000000" w:themeColor="text1"/>
        </w:rPr>
        <w:t>appel incident n</w:t>
      </w:r>
      <w:r w:rsidR="0015143D" w:rsidRPr="007C30A3">
        <w:rPr>
          <w:color w:val="000000" w:themeColor="text1"/>
        </w:rPr>
        <w:t>’</w:t>
      </w:r>
      <w:r w:rsidRPr="007C30A3">
        <w:rPr>
          <w:color w:val="000000" w:themeColor="text1"/>
        </w:rPr>
        <w:t>ait pas été formé dans les délais n</w:t>
      </w:r>
      <w:r w:rsidR="0015143D" w:rsidRPr="007C30A3">
        <w:rPr>
          <w:color w:val="000000" w:themeColor="text1"/>
        </w:rPr>
        <w:t>’</w:t>
      </w:r>
      <w:r w:rsidRPr="007C30A3">
        <w:rPr>
          <w:color w:val="000000" w:themeColor="text1"/>
        </w:rPr>
        <w:t>a aucune incidence.</w:t>
      </w:r>
    </w:p>
  </w:footnote>
  <w:footnote w:id="9">
    <w:p w14:paraId="1FB32A6C"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Boisbriand (Ville) c. Cordia Ltd</w:t>
      </w:r>
      <w:r w:rsidRPr="007C30A3">
        <w:rPr>
          <w:color w:val="000000" w:themeColor="text1"/>
        </w:rPr>
        <w:t>., 2000 CanLII 10095 (QC CA), [2000] R.J.Q. 2863, par. 35.</w:t>
      </w:r>
    </w:p>
  </w:footnote>
  <w:footnote w:id="10">
    <w:p w14:paraId="376F3964"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Id</w:t>
      </w:r>
      <w:r w:rsidRPr="007C30A3">
        <w:rPr>
          <w:color w:val="000000" w:themeColor="text1"/>
        </w:rPr>
        <w:t xml:space="preserve">., par. 39. </w:t>
      </w:r>
    </w:p>
  </w:footnote>
  <w:footnote w:id="11">
    <w:p w14:paraId="40F98818"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Communauté urbaine de Montréal c. Atlantic Construction inc.</w:t>
      </w:r>
      <w:r w:rsidRPr="007C30A3">
        <w:rPr>
          <w:color w:val="000000" w:themeColor="text1"/>
        </w:rPr>
        <w:t>, 1998 CanLII 12474 (QC CA).</w:t>
      </w:r>
    </w:p>
  </w:footnote>
  <w:footnote w:id="12">
    <w:p w14:paraId="3FE6E798" w14:textId="00B5C77F"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t xml:space="preserve">Voir par exemple </w:t>
      </w:r>
      <w:r w:rsidRPr="007C30A3">
        <w:rPr>
          <w:i/>
          <w:iCs/>
          <w:color w:val="000000" w:themeColor="text1"/>
        </w:rPr>
        <w:t>Immeubles Elgeco (1983) inc. c. Argenteuil (Municipalité régionale du comté)</w:t>
      </w:r>
      <w:r w:rsidRPr="007C30A3">
        <w:rPr>
          <w:color w:val="000000" w:themeColor="text1"/>
        </w:rPr>
        <w:t>, [1996] R.J.Q. 8, 1995 CanLII 4993 (QC CA).</w:t>
      </w:r>
    </w:p>
  </w:footnote>
  <w:footnote w:id="13">
    <w:p w14:paraId="184F9B1F"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t>Jugement entrepris, par. 32.</w:t>
      </w:r>
    </w:p>
  </w:footnote>
  <w:footnote w:id="14">
    <w:p w14:paraId="40FEB320" w14:textId="77777777" w:rsidR="004E2087" w:rsidRPr="007C30A3" w:rsidRDefault="000037E1" w:rsidP="004E2087">
      <w:pPr>
        <w:pStyle w:val="Notedebasdepage"/>
        <w:rPr>
          <w:color w:val="000000" w:themeColor="text1"/>
        </w:rPr>
      </w:pPr>
      <w:r w:rsidRPr="007C30A3">
        <w:rPr>
          <w:rStyle w:val="Appelnotedebasdep"/>
          <w:color w:val="000000" w:themeColor="text1"/>
        </w:rPr>
        <w:footnoteRef/>
      </w:r>
      <w:r w:rsidRPr="007C30A3">
        <w:rPr>
          <w:color w:val="000000" w:themeColor="text1"/>
        </w:rPr>
        <w:t xml:space="preserve"> </w:t>
      </w:r>
      <w:r w:rsidRPr="007C30A3">
        <w:rPr>
          <w:color w:val="000000" w:themeColor="text1"/>
        </w:rPr>
        <w:tab/>
      </w:r>
      <w:r w:rsidRPr="007C30A3">
        <w:rPr>
          <w:i/>
          <w:iCs/>
          <w:color w:val="000000" w:themeColor="text1"/>
        </w:rPr>
        <w:t>Corporation municipale d’Austin c. Leroux</w:t>
      </w:r>
      <w:r w:rsidRPr="007C30A3">
        <w:rPr>
          <w:color w:val="000000" w:themeColor="text1"/>
        </w:rPr>
        <w:t>, [1975] C.A. 715, p. 718.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61AD" w14:textId="77777777" w:rsidR="00185F81" w:rsidRDefault="00185F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05C1" w14:textId="7DA8F40D" w:rsidR="007E33E4" w:rsidRDefault="000037E1" w:rsidP="00DB2119">
    <w:pPr>
      <w:tabs>
        <w:tab w:val="center" w:pos="4709"/>
        <w:tab w:val="right" w:pos="9360"/>
      </w:tabs>
      <w:spacing w:line="360" w:lineRule="auto"/>
      <w:ind w:right="524"/>
    </w:pPr>
    <w:bookmarkStart w:id="12" w:name="EntDossier"/>
    <w:r>
      <w:t>200-09-700125-245</w:t>
    </w:r>
    <w:bookmarkEnd w:id="12"/>
    <w:r w:rsidRPr="007462D6">
      <w:t xml:space="preserve"> </w:t>
    </w:r>
    <w:r>
      <w:tab/>
    </w:r>
    <w:r>
      <w:tab/>
      <w:t xml:space="preserve">PAGE : </w:t>
    </w:r>
    <w:r>
      <w:fldChar w:fldCharType="begin"/>
    </w:r>
    <w:r>
      <w:instrText xml:space="preserve"> PAGE </w:instrText>
    </w:r>
    <w:r>
      <w:fldChar w:fldCharType="separate"/>
    </w:r>
    <w:r>
      <w:t>6</w:t>
    </w:r>
    <w:r>
      <w:fldChar w:fldCharType="end"/>
    </w:r>
  </w:p>
  <w:p w14:paraId="7A76985F" w14:textId="77777777" w:rsidR="007E33E4" w:rsidRDefault="007E33E4" w:rsidP="00DB2119">
    <w:pPr>
      <w:tabs>
        <w:tab w:val="center" w:pos="4709"/>
        <w:tab w:val="right" w:pos="9360"/>
      </w:tabs>
      <w:spacing w:line="360" w:lineRule="auto"/>
      <w:ind w:right="52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FCE7" w14:textId="77777777" w:rsidR="00185F81" w:rsidRDefault="00185F8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E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12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2647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1C3B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EAB8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121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07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43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CE6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34A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BB52DE"/>
    <w:multiLevelType w:val="multilevel"/>
    <w:tmpl w:val="79E601F0"/>
    <w:lvl w:ilvl="0">
      <w:start w:val="1"/>
      <w:numFmt w:val="decimal"/>
      <w:pStyle w:val="Paragraphe"/>
      <w:lvlText w:val="[%1]"/>
      <w:lvlJc w:val="left"/>
      <w:pPr>
        <w:tabs>
          <w:tab w:val="num" w:pos="720"/>
        </w:tabs>
        <w:ind w:left="0" w:firstLine="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4A9D1B84"/>
    <w:multiLevelType w:val="multilevel"/>
    <w:tmpl w:val="2766DEE4"/>
    <w:lvl w:ilvl="0">
      <w:start w:val="1"/>
      <w:numFmt w:val="bullet"/>
      <w:lvlText w:val=""/>
      <w:lvlJc w:val="left"/>
      <w:pPr>
        <w:tabs>
          <w:tab w:val="num" w:pos="792"/>
        </w:tabs>
        <w:ind w:left="792" w:hanging="72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609C0DCC"/>
    <w:multiLevelType w:val="multilevel"/>
    <w:tmpl w:val="F11C8164"/>
    <w:lvl w:ilvl="0">
      <w:start w:val="1"/>
      <w:numFmt w:val="decimal"/>
      <w:lvlText w:val="[%1]"/>
      <w:lvlJc w:val="left"/>
      <w:pPr>
        <w:tabs>
          <w:tab w:val="num" w:pos="360"/>
        </w:tabs>
        <w:ind w:left="0" w:firstLine="0"/>
      </w:pPr>
      <w:rPr>
        <w:rFonts w:ascii="Arial" w:hAnsi="Arial" w:hint="default"/>
        <w:b w:val="0"/>
        <w:i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710375578">
    <w:abstractNumId w:val="12"/>
  </w:num>
  <w:num w:numId="2" w16cid:durableId="1229458607">
    <w:abstractNumId w:val="12"/>
  </w:num>
  <w:num w:numId="3" w16cid:durableId="1075932588">
    <w:abstractNumId w:val="12"/>
  </w:num>
  <w:num w:numId="4" w16cid:durableId="172381194">
    <w:abstractNumId w:val="8"/>
  </w:num>
  <w:num w:numId="5" w16cid:durableId="91702450">
    <w:abstractNumId w:val="3"/>
  </w:num>
  <w:num w:numId="6" w16cid:durableId="1084031717">
    <w:abstractNumId w:val="2"/>
  </w:num>
  <w:num w:numId="7" w16cid:durableId="2135368714">
    <w:abstractNumId w:val="1"/>
  </w:num>
  <w:num w:numId="8" w16cid:durableId="920875070">
    <w:abstractNumId w:val="0"/>
  </w:num>
  <w:num w:numId="9" w16cid:durableId="1787776363">
    <w:abstractNumId w:val="9"/>
  </w:num>
  <w:num w:numId="10" w16cid:durableId="1434470657">
    <w:abstractNumId w:val="7"/>
  </w:num>
  <w:num w:numId="11" w16cid:durableId="1550067179">
    <w:abstractNumId w:val="6"/>
  </w:num>
  <w:num w:numId="12" w16cid:durableId="2060594874">
    <w:abstractNumId w:val="5"/>
  </w:num>
  <w:num w:numId="13" w16cid:durableId="86466432">
    <w:abstractNumId w:val="4"/>
  </w:num>
  <w:num w:numId="14" w16cid:durableId="142894636">
    <w:abstractNumId w:val="12"/>
  </w:num>
  <w:num w:numId="15" w16cid:durableId="1296059268">
    <w:abstractNumId w:val="12"/>
  </w:num>
  <w:num w:numId="16" w16cid:durableId="469445172">
    <w:abstractNumId w:val="12"/>
  </w:num>
  <w:num w:numId="17" w16cid:durableId="393430248">
    <w:abstractNumId w:val="11"/>
  </w:num>
  <w:num w:numId="18" w16cid:durableId="1482383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AB"/>
    <w:rsid w:val="000037E1"/>
    <w:rsid w:val="000131E1"/>
    <w:rsid w:val="0004394C"/>
    <w:rsid w:val="00050B4D"/>
    <w:rsid w:val="00053691"/>
    <w:rsid w:val="000A7516"/>
    <w:rsid w:val="000B42AF"/>
    <w:rsid w:val="000B7A16"/>
    <w:rsid w:val="000C6D57"/>
    <w:rsid w:val="000E05E9"/>
    <w:rsid w:val="000E6484"/>
    <w:rsid w:val="000F36DD"/>
    <w:rsid w:val="00110B53"/>
    <w:rsid w:val="00112321"/>
    <w:rsid w:val="00117914"/>
    <w:rsid w:val="00120BCA"/>
    <w:rsid w:val="0013028C"/>
    <w:rsid w:val="0015143D"/>
    <w:rsid w:val="0015610F"/>
    <w:rsid w:val="00160B31"/>
    <w:rsid w:val="00181F56"/>
    <w:rsid w:val="00185F81"/>
    <w:rsid w:val="00190FA7"/>
    <w:rsid w:val="001972F2"/>
    <w:rsid w:val="001A286B"/>
    <w:rsid w:val="001E232D"/>
    <w:rsid w:val="00205DC4"/>
    <w:rsid w:val="0021548E"/>
    <w:rsid w:val="0022394E"/>
    <w:rsid w:val="002273F5"/>
    <w:rsid w:val="002510FC"/>
    <w:rsid w:val="00256C5F"/>
    <w:rsid w:val="00262104"/>
    <w:rsid w:val="002B21DF"/>
    <w:rsid w:val="002B4A07"/>
    <w:rsid w:val="002C24AB"/>
    <w:rsid w:val="002C4107"/>
    <w:rsid w:val="002D3940"/>
    <w:rsid w:val="002D6919"/>
    <w:rsid w:val="002E1F0E"/>
    <w:rsid w:val="002E229C"/>
    <w:rsid w:val="002E4FCE"/>
    <w:rsid w:val="002E51F1"/>
    <w:rsid w:val="002F1350"/>
    <w:rsid w:val="002F6136"/>
    <w:rsid w:val="00322DE0"/>
    <w:rsid w:val="0032363D"/>
    <w:rsid w:val="0033190E"/>
    <w:rsid w:val="003349F8"/>
    <w:rsid w:val="00336EB7"/>
    <w:rsid w:val="00361325"/>
    <w:rsid w:val="00374888"/>
    <w:rsid w:val="00374BDC"/>
    <w:rsid w:val="00374E40"/>
    <w:rsid w:val="00380A66"/>
    <w:rsid w:val="00382ADE"/>
    <w:rsid w:val="003856CC"/>
    <w:rsid w:val="00392E75"/>
    <w:rsid w:val="003B49FF"/>
    <w:rsid w:val="003D487D"/>
    <w:rsid w:val="003E3239"/>
    <w:rsid w:val="003E3E3C"/>
    <w:rsid w:val="003E7011"/>
    <w:rsid w:val="00423DF1"/>
    <w:rsid w:val="00430C58"/>
    <w:rsid w:val="004331C4"/>
    <w:rsid w:val="0043564D"/>
    <w:rsid w:val="00440C04"/>
    <w:rsid w:val="00441C25"/>
    <w:rsid w:val="00446452"/>
    <w:rsid w:val="00472DC8"/>
    <w:rsid w:val="004802EC"/>
    <w:rsid w:val="004A29F1"/>
    <w:rsid w:val="004A6641"/>
    <w:rsid w:val="004B1E94"/>
    <w:rsid w:val="004B33FF"/>
    <w:rsid w:val="004C0AAB"/>
    <w:rsid w:val="004C1CC2"/>
    <w:rsid w:val="004D2F69"/>
    <w:rsid w:val="004E2087"/>
    <w:rsid w:val="004E4FBA"/>
    <w:rsid w:val="004F35EC"/>
    <w:rsid w:val="005131F1"/>
    <w:rsid w:val="0051484F"/>
    <w:rsid w:val="00516B3E"/>
    <w:rsid w:val="005262C9"/>
    <w:rsid w:val="00526A5C"/>
    <w:rsid w:val="00531D70"/>
    <w:rsid w:val="00540B64"/>
    <w:rsid w:val="00566BF6"/>
    <w:rsid w:val="00583434"/>
    <w:rsid w:val="0058349F"/>
    <w:rsid w:val="005A78BF"/>
    <w:rsid w:val="005A7DC3"/>
    <w:rsid w:val="005B6B4C"/>
    <w:rsid w:val="005C59F4"/>
    <w:rsid w:val="005C7516"/>
    <w:rsid w:val="005D1522"/>
    <w:rsid w:val="005F5F5F"/>
    <w:rsid w:val="00601558"/>
    <w:rsid w:val="00613AC9"/>
    <w:rsid w:val="00624770"/>
    <w:rsid w:val="00624F81"/>
    <w:rsid w:val="0064250B"/>
    <w:rsid w:val="0066210B"/>
    <w:rsid w:val="006654A2"/>
    <w:rsid w:val="006826AA"/>
    <w:rsid w:val="0068356A"/>
    <w:rsid w:val="006914D3"/>
    <w:rsid w:val="006933B9"/>
    <w:rsid w:val="006A0DB0"/>
    <w:rsid w:val="006A33F5"/>
    <w:rsid w:val="006A6629"/>
    <w:rsid w:val="006C5FEC"/>
    <w:rsid w:val="0071298B"/>
    <w:rsid w:val="00740A17"/>
    <w:rsid w:val="007462D6"/>
    <w:rsid w:val="0074738B"/>
    <w:rsid w:val="0076026F"/>
    <w:rsid w:val="0076062E"/>
    <w:rsid w:val="007901CC"/>
    <w:rsid w:val="007953F3"/>
    <w:rsid w:val="007A7803"/>
    <w:rsid w:val="007B061E"/>
    <w:rsid w:val="007B48D5"/>
    <w:rsid w:val="007C30A3"/>
    <w:rsid w:val="007D087C"/>
    <w:rsid w:val="007E33E4"/>
    <w:rsid w:val="007E4BF1"/>
    <w:rsid w:val="007E4CC9"/>
    <w:rsid w:val="007F3888"/>
    <w:rsid w:val="007F40FD"/>
    <w:rsid w:val="007F5753"/>
    <w:rsid w:val="00800D23"/>
    <w:rsid w:val="00816273"/>
    <w:rsid w:val="0082141C"/>
    <w:rsid w:val="0082717B"/>
    <w:rsid w:val="00827B04"/>
    <w:rsid w:val="0083032E"/>
    <w:rsid w:val="00841907"/>
    <w:rsid w:val="00846C64"/>
    <w:rsid w:val="008549C0"/>
    <w:rsid w:val="0086036A"/>
    <w:rsid w:val="00862025"/>
    <w:rsid w:val="008653A3"/>
    <w:rsid w:val="008657A2"/>
    <w:rsid w:val="00866645"/>
    <w:rsid w:val="0087220B"/>
    <w:rsid w:val="00882210"/>
    <w:rsid w:val="00896545"/>
    <w:rsid w:val="008A6185"/>
    <w:rsid w:val="008C1FE9"/>
    <w:rsid w:val="008C21F0"/>
    <w:rsid w:val="008C7DCE"/>
    <w:rsid w:val="008D18FC"/>
    <w:rsid w:val="008D21C6"/>
    <w:rsid w:val="008D398B"/>
    <w:rsid w:val="008D7E49"/>
    <w:rsid w:val="008E576B"/>
    <w:rsid w:val="008E5E9D"/>
    <w:rsid w:val="008F364A"/>
    <w:rsid w:val="008F3F53"/>
    <w:rsid w:val="0090430F"/>
    <w:rsid w:val="0090631F"/>
    <w:rsid w:val="00913E03"/>
    <w:rsid w:val="009229E9"/>
    <w:rsid w:val="00925CD5"/>
    <w:rsid w:val="00926953"/>
    <w:rsid w:val="00932703"/>
    <w:rsid w:val="00936469"/>
    <w:rsid w:val="009400B7"/>
    <w:rsid w:val="00954DC2"/>
    <w:rsid w:val="00957B92"/>
    <w:rsid w:val="00966F24"/>
    <w:rsid w:val="00970966"/>
    <w:rsid w:val="00974442"/>
    <w:rsid w:val="009C36BB"/>
    <w:rsid w:val="009F1F69"/>
    <w:rsid w:val="00A16FA9"/>
    <w:rsid w:val="00A23BF4"/>
    <w:rsid w:val="00A2593B"/>
    <w:rsid w:val="00A34E05"/>
    <w:rsid w:val="00A43D8B"/>
    <w:rsid w:val="00A454F1"/>
    <w:rsid w:val="00A543CC"/>
    <w:rsid w:val="00A93CFF"/>
    <w:rsid w:val="00AB7DD2"/>
    <w:rsid w:val="00AE1B6D"/>
    <w:rsid w:val="00AF0C7C"/>
    <w:rsid w:val="00B01D86"/>
    <w:rsid w:val="00B07E4E"/>
    <w:rsid w:val="00B113BB"/>
    <w:rsid w:val="00B11FD1"/>
    <w:rsid w:val="00B137E9"/>
    <w:rsid w:val="00B27E79"/>
    <w:rsid w:val="00B30EA2"/>
    <w:rsid w:val="00B36ED3"/>
    <w:rsid w:val="00B37E62"/>
    <w:rsid w:val="00B513C9"/>
    <w:rsid w:val="00B56EF4"/>
    <w:rsid w:val="00B651F0"/>
    <w:rsid w:val="00B70485"/>
    <w:rsid w:val="00B82A13"/>
    <w:rsid w:val="00C02AF8"/>
    <w:rsid w:val="00C17E01"/>
    <w:rsid w:val="00C31AC4"/>
    <w:rsid w:val="00C409BE"/>
    <w:rsid w:val="00C423CA"/>
    <w:rsid w:val="00C652ED"/>
    <w:rsid w:val="00C7793C"/>
    <w:rsid w:val="00C939A8"/>
    <w:rsid w:val="00C97145"/>
    <w:rsid w:val="00CE60F7"/>
    <w:rsid w:val="00D010FD"/>
    <w:rsid w:val="00D02812"/>
    <w:rsid w:val="00D20056"/>
    <w:rsid w:val="00D816BA"/>
    <w:rsid w:val="00D979DF"/>
    <w:rsid w:val="00DB2119"/>
    <w:rsid w:val="00DC05BC"/>
    <w:rsid w:val="00DD3A24"/>
    <w:rsid w:val="00DF012F"/>
    <w:rsid w:val="00DF3516"/>
    <w:rsid w:val="00E03C07"/>
    <w:rsid w:val="00E116BA"/>
    <w:rsid w:val="00E20E3C"/>
    <w:rsid w:val="00E246BE"/>
    <w:rsid w:val="00E36290"/>
    <w:rsid w:val="00E81E61"/>
    <w:rsid w:val="00E848B4"/>
    <w:rsid w:val="00E91417"/>
    <w:rsid w:val="00E94329"/>
    <w:rsid w:val="00EB0565"/>
    <w:rsid w:val="00EB1377"/>
    <w:rsid w:val="00EC1E33"/>
    <w:rsid w:val="00EF6108"/>
    <w:rsid w:val="00F0476B"/>
    <w:rsid w:val="00F07022"/>
    <w:rsid w:val="00F1119E"/>
    <w:rsid w:val="00F26635"/>
    <w:rsid w:val="00F33E30"/>
    <w:rsid w:val="00F35A34"/>
    <w:rsid w:val="00F40882"/>
    <w:rsid w:val="00F43559"/>
    <w:rsid w:val="00F5789B"/>
    <w:rsid w:val="00F63FB3"/>
    <w:rsid w:val="00F75AAB"/>
    <w:rsid w:val="00F75C76"/>
    <w:rsid w:val="00F829B1"/>
    <w:rsid w:val="00FA6136"/>
    <w:rsid w:val="00FA7DEB"/>
    <w:rsid w:val="00FC720B"/>
    <w:rsid w:val="00FE3FE9"/>
    <w:rsid w:val="00FE41F5"/>
    <w:rsid w:val="00FE6A10"/>
    <w:rsid w:val="00FF5A5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96F9E-0055-4335-843A-EF83CEF8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80" w:lineRule="exact"/>
    </w:pPr>
    <w:rPr>
      <w:rFonts w:ascii="Arial" w:hAnsi="Arial"/>
      <w:sz w:val="24"/>
      <w:lang w:eastAsia="fr-FR"/>
    </w:rPr>
  </w:style>
  <w:style w:type="paragraph" w:styleId="Titre1">
    <w:name w:val="heading 1"/>
    <w:basedOn w:val="Normal"/>
    <w:next w:val="Normal"/>
    <w:qFormat/>
    <w:pPr>
      <w:keepNext/>
      <w:spacing w:before="240" w:after="60" w:line="500" w:lineRule="exact"/>
      <w:outlineLvl w:val="0"/>
    </w:pPr>
    <w:rPr>
      <w:b/>
      <w:kern w:val="28"/>
      <w:sz w:val="28"/>
    </w:rPr>
  </w:style>
  <w:style w:type="paragraph" w:styleId="Titre2">
    <w:name w:val="heading 2"/>
    <w:basedOn w:val="Normal"/>
    <w:next w:val="Normal"/>
    <w:qFormat/>
    <w:pPr>
      <w:keepNext/>
      <w:spacing w:before="240" w:after="60"/>
      <w:outlineLvl w:val="1"/>
    </w:pPr>
    <w:rPr>
      <w:b/>
      <w:i/>
    </w:rPr>
  </w:style>
  <w:style w:type="paragraph" w:styleId="Titre3">
    <w:name w:val="heading 3"/>
    <w:basedOn w:val="Normal"/>
    <w:next w:val="Normal"/>
    <w:qFormat/>
    <w:pPr>
      <w:keepNext/>
      <w:spacing w:before="240" w:after="60"/>
      <w:outlineLvl w:val="2"/>
    </w:pPr>
  </w:style>
  <w:style w:type="paragraph" w:styleId="Titre4">
    <w:name w:val="heading 4"/>
    <w:basedOn w:val="Normal"/>
    <w:next w:val="Normal"/>
    <w:qFormat/>
    <w:pPr>
      <w:keepNext/>
      <w:spacing w:before="240" w:after="60"/>
      <w:outlineLvl w:val="3"/>
    </w:pPr>
    <w:rPr>
      <w:b/>
    </w:r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link w:val="ParagrapheCar"/>
    <w:qFormat/>
    <w:pPr>
      <w:numPr>
        <w:numId w:val="18"/>
      </w:numPr>
      <w:spacing w:before="120" w:after="120" w:line="500" w:lineRule="exact"/>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link w:val="NotedebasdepageCar"/>
    <w:qFormat/>
    <w:pPr>
      <w:spacing w:line="240" w:lineRule="auto"/>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spacing w:line="500" w:lineRule="exact"/>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style>
  <w:style w:type="paragraph" w:customStyle="1" w:styleId="zSoquijdatGreffe">
    <w:name w:val="zSoquij_datGreffe"/>
    <w:basedOn w:val="Normal"/>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pPr>
      <w:ind w:left="950"/>
    </w:pPr>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Pr>
      <w:b/>
    </w:rPr>
  </w:style>
  <w:style w:type="paragraph" w:customStyle="1" w:styleId="zSoquijdatQteJuge">
    <w:name w:val="zSoquij_datQteJuge"/>
    <w:basedOn w:val="Normal"/>
    <w:rPr>
      <w:b/>
    </w:rPr>
  </w:style>
  <w:style w:type="paragraph" w:customStyle="1" w:styleId="zSoquijdatJuge">
    <w:name w:val="zSoquij_datJuge"/>
    <w:basedOn w:val="Normal"/>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jc w:val="center"/>
    </w:pPr>
  </w:style>
  <w:style w:type="character" w:customStyle="1" w:styleId="zSoquijlblEntNoDossier">
    <w:name w:val="zSoquij_lblEntNoDossier"/>
    <w:basedOn w:val="Policepardfaut"/>
    <w:rPr>
      <w:noProof w:val="0"/>
      <w:lang w:val="fr-CA"/>
    </w:rPr>
  </w:style>
  <w:style w:type="paragraph" w:customStyle="1" w:styleId="zSoquijlblTitrePartie">
    <w:name w:val="zSoquij_lblTitrePartie"/>
    <w:basedOn w:val="Normal"/>
  </w:style>
  <w:style w:type="paragraph" w:customStyle="1" w:styleId="zSoquijdatIdJuge">
    <w:name w:val="zSoquij_datIdJuge"/>
    <w:basedOn w:val="Normal"/>
    <w:pPr>
      <w:jc w:val="right"/>
    </w:pPr>
  </w:style>
  <w:style w:type="paragraph" w:customStyle="1" w:styleId="Sous-paragraphe">
    <w:name w:val="Sous-paragraphe"/>
    <w:basedOn w:val="Normal"/>
    <w:qFormat/>
    <w:pPr>
      <w:widowControl w:val="0"/>
      <w:numPr>
        <w:ilvl w:val="1"/>
        <w:numId w:val="18"/>
      </w:numPr>
      <w:spacing w:after="120"/>
      <w:jc w:val="both"/>
    </w:pPr>
    <w:rPr>
      <w:kern w:val="28"/>
    </w:rPr>
  </w:style>
  <w:style w:type="paragraph" w:customStyle="1" w:styleId="zSoquijdatNomProcureurDem">
    <w:name w:val="zSoquij_datNomProcureurDem"/>
    <w:basedOn w:val="zSoquijlblProcureurDem"/>
    <w:pPr>
      <w:keepNext/>
    </w:pPr>
  </w:style>
  <w:style w:type="paragraph" w:customStyle="1" w:styleId="zSoquijdatNomProcureurDef">
    <w:name w:val="zSoquij_datNomProcureurDef"/>
    <w:basedOn w:val="zSoquijlblProcureurDef"/>
    <w:pPr>
      <w:keepNext/>
    </w:pPr>
  </w:style>
  <w:style w:type="paragraph" w:customStyle="1" w:styleId="zSoquijdatCabinetProcureurDem">
    <w:name w:val="zSoquij_datCabinetProcureurDem"/>
    <w:basedOn w:val="Normal"/>
    <w:pPr>
      <w:keepNext/>
    </w:pPr>
  </w:style>
  <w:style w:type="paragraph" w:customStyle="1" w:styleId="zSoquijdatCabinetProcureurDef">
    <w:name w:val="zSoquij_datCabinetProcureurDef"/>
    <w:basedOn w:val="zSoquijlblProcureurDef"/>
    <w:pPr>
      <w:keepNext/>
    </w:p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paragraph" w:customStyle="1" w:styleId="Tableaudroiteanglais">
    <w:name w:val="Tableau droite anglais"/>
    <w:basedOn w:val="Tableaugauchefranais"/>
    <w:pPr>
      <w:ind w:left="144" w:right="720"/>
      <w:jc w:val="both"/>
    </w:pPr>
    <w:rPr>
      <w:lang w:val="en-CA"/>
    </w:rPr>
  </w:style>
  <w:style w:type="paragraph" w:customStyle="1" w:styleId="Tableaugauchefranais">
    <w:name w:val="Tableau gauche français"/>
    <w:basedOn w:val="Normal"/>
    <w:pPr>
      <w:ind w:left="720" w:right="144"/>
    </w:pPr>
    <w:rPr>
      <w:sz w:val="22"/>
    </w:rPr>
  </w:style>
  <w:style w:type="character" w:styleId="Appelnotedebasdep">
    <w:name w:val="footnote reference"/>
    <w:qFormat/>
    <w:rPr>
      <w:noProof w:val="0"/>
      <w:vertAlign w:val="superscript"/>
      <w:lang w:val="fr-CA"/>
    </w:rPr>
  </w:style>
  <w:style w:type="paragraph" w:styleId="Corpsdetexte3">
    <w:name w:val="Body Text 3"/>
    <w:basedOn w:val="Normal"/>
    <w:semiHidden/>
    <w:pPr>
      <w:spacing w:after="120"/>
    </w:pPr>
    <w:rPr>
      <w:sz w:val="16"/>
    </w:rPr>
  </w:style>
  <w:style w:type="paragraph" w:customStyle="1" w:styleId="zSoquijdatRepertorie">
    <w:name w:val="zSoquij_datRepertorie"/>
    <w:basedOn w:val="zSoquijlblCour"/>
    <w:pPr>
      <w:spacing w:line="240" w:lineRule="auto"/>
      <w:jc w:val="left"/>
    </w:pPr>
    <w:rPr>
      <w:sz w:val="22"/>
    </w:rPr>
  </w:style>
  <w:style w:type="paragraph" w:customStyle="1" w:styleId="zSoquijdatRefNeutre">
    <w:name w:val="zSoquij_datRefNeutre"/>
    <w:basedOn w:val="zSoquijlblCour"/>
    <w:pPr>
      <w:spacing w:line="240" w:lineRule="auto"/>
      <w:jc w:val="left"/>
    </w:pPr>
    <w:rPr>
      <w:sz w:val="22"/>
    </w:rPr>
  </w:style>
  <w:style w:type="table" w:styleId="Grilledutableau">
    <w:name w:val="Table Grid"/>
    <w:basedOn w:val="TableauNormal"/>
    <w:uiPriority w:val="39"/>
    <w:rsid w:val="00E2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23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3239"/>
    <w:rPr>
      <w:rFonts w:ascii="Segoe UI" w:hAnsi="Segoe UI" w:cs="Segoe UI"/>
      <w:sz w:val="18"/>
      <w:szCs w:val="18"/>
      <w:lang w:eastAsia="fr-FR"/>
    </w:rPr>
  </w:style>
  <w:style w:type="character" w:customStyle="1" w:styleId="NotedebasdepageCar">
    <w:name w:val="Note de bas de page Car"/>
    <w:basedOn w:val="Policepardfaut"/>
    <w:link w:val="Notedebasdepage"/>
    <w:rsid w:val="004E2087"/>
    <w:rPr>
      <w:rFonts w:ascii="Arial" w:hAnsi="Arial"/>
      <w:lang w:eastAsia="fr-FR"/>
    </w:rPr>
  </w:style>
  <w:style w:type="character" w:customStyle="1" w:styleId="ParagrapheCar">
    <w:name w:val="Paragraphe Car"/>
    <w:link w:val="Paragraphe"/>
    <w:qFormat/>
    <w:rsid w:val="004E2087"/>
    <w:rPr>
      <w:rFonts w:ascii="Arial" w:hAnsi="Arial"/>
      <w:kern w:val="28"/>
      <w:sz w:val="24"/>
      <w:lang w:eastAsia="fr-FR"/>
    </w:rPr>
  </w:style>
  <w:style w:type="paragraph" w:styleId="Rvision">
    <w:name w:val="Revision"/>
    <w:hidden/>
    <w:uiPriority w:val="99"/>
    <w:semiHidden/>
    <w:rsid w:val="00F829B1"/>
    <w:rPr>
      <w:rFonts w:ascii="Arial" w:hAnsi="Arial"/>
      <w:sz w:val="24"/>
      <w:lang w:eastAsia="fr-FR"/>
    </w:rPr>
  </w:style>
  <w:style w:type="character" w:styleId="Marquedecommentaire">
    <w:name w:val="annotation reference"/>
    <w:basedOn w:val="Policepardfaut"/>
    <w:uiPriority w:val="99"/>
    <w:semiHidden/>
    <w:unhideWhenUsed/>
    <w:rsid w:val="00FF5A56"/>
    <w:rPr>
      <w:sz w:val="16"/>
      <w:szCs w:val="16"/>
    </w:rPr>
  </w:style>
  <w:style w:type="paragraph" w:styleId="Commentaire">
    <w:name w:val="annotation text"/>
    <w:basedOn w:val="Normal"/>
    <w:link w:val="CommentaireCar"/>
    <w:uiPriority w:val="99"/>
    <w:unhideWhenUsed/>
    <w:rsid w:val="00FF5A56"/>
    <w:pPr>
      <w:spacing w:line="240" w:lineRule="auto"/>
    </w:pPr>
    <w:rPr>
      <w:sz w:val="20"/>
    </w:rPr>
  </w:style>
  <w:style w:type="character" w:customStyle="1" w:styleId="CommentaireCar">
    <w:name w:val="Commentaire Car"/>
    <w:basedOn w:val="Policepardfaut"/>
    <w:link w:val="Commentaire"/>
    <w:uiPriority w:val="99"/>
    <w:rsid w:val="00FF5A56"/>
    <w:rPr>
      <w:rFonts w:ascii="Arial" w:hAnsi="Arial"/>
      <w:lang w:eastAsia="fr-FR"/>
    </w:rPr>
  </w:style>
  <w:style w:type="paragraph" w:styleId="Objetducommentaire">
    <w:name w:val="annotation subject"/>
    <w:basedOn w:val="Commentaire"/>
    <w:next w:val="Commentaire"/>
    <w:link w:val="ObjetducommentaireCar"/>
    <w:uiPriority w:val="99"/>
    <w:semiHidden/>
    <w:unhideWhenUsed/>
    <w:rsid w:val="00FF5A56"/>
    <w:rPr>
      <w:b/>
      <w:bCs/>
    </w:rPr>
  </w:style>
  <w:style w:type="character" w:customStyle="1" w:styleId="ObjetducommentaireCar">
    <w:name w:val="Objet du commentaire Car"/>
    <w:basedOn w:val="CommentaireCar"/>
    <w:link w:val="Objetducommentaire"/>
    <w:uiPriority w:val="99"/>
    <w:semiHidden/>
    <w:rsid w:val="00FF5A56"/>
    <w:rPr>
      <w:rFonts w:ascii="Arial" w:hAnsi="Arial"/>
      <w:b/>
      <w:bCs/>
      <w:lang w:eastAsia="fr-FR"/>
    </w:rPr>
  </w:style>
  <w:style w:type="character" w:styleId="Hyperlien">
    <w:name w:val="Hyperlink"/>
    <w:basedOn w:val="Policepardfaut"/>
    <w:uiPriority w:val="99"/>
    <w:unhideWhenUsed/>
    <w:rsid w:val="002510FC"/>
    <w:rPr>
      <w:color w:val="0563C1" w:themeColor="hyperlink"/>
      <w:u w:val="single"/>
    </w:rPr>
  </w:style>
  <w:style w:type="character" w:customStyle="1" w:styleId="Mentionnonrsolue1">
    <w:name w:val="Mention non résolue1"/>
    <w:basedOn w:val="Policepardfaut"/>
    <w:uiPriority w:val="99"/>
    <w:semiHidden/>
    <w:unhideWhenUsed/>
    <w:rsid w:val="00251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A525-8000-4EBF-92DB-64B5AB8AA0D3}">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1928</Words>
  <Characters>10604</Characters>
  <Application>Microsoft Office Word</Application>
  <DocSecurity>0</DocSecurity>
  <Lines>88</Lines>
  <Paragraphs>25</Paragraphs>
  <ScaleCrop>false</ScaleCrop>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Deschênes, Gabrielle</cp:lastModifiedBy>
  <cp:revision>3</cp:revision>
  <dcterms:created xsi:type="dcterms:W3CDTF">2026-08-17T13:04:00Z</dcterms:created>
  <dcterms:modified xsi:type="dcterms:W3CDTF">2026-08-17T13:05:00Z</dcterms:modified>
</cp:coreProperties>
</file>