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05" w:type="dxa"/>
        <w:tblLayout w:type="fixed"/>
        <w:tblCellMar>
          <w:left w:w="70" w:type="dxa"/>
          <w:right w:w="70" w:type="dxa"/>
        </w:tblCellMar>
        <w:tblLook w:val="0000" w:firstRow="0" w:lastRow="0" w:firstColumn="0" w:lastColumn="0" w:noHBand="0" w:noVBand="0"/>
      </w:tblPr>
      <w:tblGrid>
        <w:gridCol w:w="1134"/>
        <w:gridCol w:w="491"/>
        <w:gridCol w:w="5460"/>
        <w:gridCol w:w="2420"/>
      </w:tblGrid>
      <w:tr w:rsidR="006D491C" w14:paraId="6FF9B1F9" w14:textId="77777777">
        <w:trPr>
          <w:trHeight w:val="360"/>
        </w:trPr>
        <w:tc>
          <w:tcPr>
            <w:tcW w:w="7085" w:type="dxa"/>
            <w:gridSpan w:val="3"/>
          </w:tcPr>
          <w:p w14:paraId="43839139" w14:textId="2250BB08" w:rsidR="006D491C" w:rsidRPr="00C75C87" w:rsidRDefault="00C75C87" w:rsidP="00C75C87">
            <w:pPr>
              <w:pStyle w:val="zSoquijdatRepertorie"/>
              <w:rPr>
                <w:rFonts w:cs="Arial"/>
              </w:rPr>
            </w:pPr>
            <w:r>
              <w:rPr>
                <w:rFonts w:cs="Arial"/>
              </w:rPr>
              <w:t>Harvest Ministries International c. Proulx</w:t>
            </w:r>
          </w:p>
        </w:tc>
        <w:tc>
          <w:tcPr>
            <w:tcW w:w="2420" w:type="dxa"/>
          </w:tcPr>
          <w:p w14:paraId="29670363" w14:textId="60AB87A8" w:rsidR="006D491C" w:rsidRPr="001F425F" w:rsidRDefault="001F425F" w:rsidP="001F425F">
            <w:pPr>
              <w:pStyle w:val="zSoquijdatRefNeutre"/>
              <w:jc w:val="right"/>
              <w:rPr>
                <w:rFonts w:cs="Arial"/>
              </w:rPr>
            </w:pPr>
            <w:r w:rsidRPr="001F425F">
              <w:rPr>
                <w:rFonts w:cs="Arial"/>
              </w:rPr>
              <w:t>2026 QCCS 2975</w:t>
            </w:r>
          </w:p>
        </w:tc>
      </w:tr>
      <w:tr w:rsidR="006D491C" w14:paraId="41F2BD03" w14:textId="77777777">
        <w:trPr>
          <w:trHeight w:val="900"/>
        </w:trPr>
        <w:tc>
          <w:tcPr>
            <w:tcW w:w="9505" w:type="dxa"/>
            <w:gridSpan w:val="4"/>
            <w:vAlign w:val="bottom"/>
          </w:tcPr>
          <w:p w14:paraId="592D8276" w14:textId="317B6F4D" w:rsidR="006D491C" w:rsidRDefault="006D491C">
            <w:pPr>
              <w:pStyle w:val="zSoquijlblCour"/>
            </w:pPr>
            <w:r>
              <w:t xml:space="preserve">COUR </w:t>
            </w:r>
            <w:r w:rsidR="008A533B">
              <w:t>SUPÉRIEURE</w:t>
            </w:r>
          </w:p>
        </w:tc>
      </w:tr>
      <w:tr w:rsidR="006D491C" w14:paraId="68529E4B" w14:textId="77777777">
        <w:trPr>
          <w:trHeight w:val="540"/>
        </w:trPr>
        <w:tc>
          <w:tcPr>
            <w:tcW w:w="9505" w:type="dxa"/>
            <w:gridSpan w:val="4"/>
          </w:tcPr>
          <w:p w14:paraId="1849F542" w14:textId="77777777" w:rsidR="006D491C" w:rsidRDefault="006D491C">
            <w:pPr>
              <w:pStyle w:val="zSoquijdatDivision"/>
            </w:pPr>
          </w:p>
        </w:tc>
      </w:tr>
      <w:tr w:rsidR="006D491C" w14:paraId="553C276C" w14:textId="77777777">
        <w:tc>
          <w:tcPr>
            <w:tcW w:w="9505" w:type="dxa"/>
            <w:gridSpan w:val="4"/>
          </w:tcPr>
          <w:p w14:paraId="448FA1BA" w14:textId="77777777" w:rsidR="006D491C" w:rsidRDefault="006D491C">
            <w:pPr>
              <w:pStyle w:val="zSoquijlblPays"/>
            </w:pPr>
            <w:r>
              <w:t>CANADA</w:t>
            </w:r>
          </w:p>
        </w:tc>
      </w:tr>
      <w:tr w:rsidR="006D491C" w14:paraId="349B102F" w14:textId="77777777">
        <w:tc>
          <w:tcPr>
            <w:tcW w:w="9505" w:type="dxa"/>
            <w:gridSpan w:val="4"/>
          </w:tcPr>
          <w:p w14:paraId="7FC145AE" w14:textId="77777777" w:rsidR="006D491C" w:rsidRDefault="006D491C">
            <w:pPr>
              <w:pStyle w:val="zSoquijlblProvince"/>
            </w:pPr>
            <w:r>
              <w:t>PROVINCE DE QUÉBEC</w:t>
            </w:r>
          </w:p>
        </w:tc>
      </w:tr>
      <w:tr w:rsidR="006D491C" w14:paraId="00CF94D2" w14:textId="77777777">
        <w:tblPrEx>
          <w:tblCellMar>
            <w:left w:w="0" w:type="dxa"/>
            <w:right w:w="0" w:type="dxa"/>
          </w:tblCellMar>
        </w:tblPrEx>
        <w:trPr>
          <w:cantSplit/>
        </w:trPr>
        <w:tc>
          <w:tcPr>
            <w:tcW w:w="1625" w:type="dxa"/>
            <w:gridSpan w:val="2"/>
          </w:tcPr>
          <w:p w14:paraId="3BC8AB2C" w14:textId="77777777" w:rsidR="006D491C" w:rsidRDefault="006D491C">
            <w:pPr>
              <w:pStyle w:val="zSoquijlblGreffe"/>
            </w:pPr>
            <w:r>
              <w:t>DISTRICT DE</w:t>
            </w:r>
          </w:p>
        </w:tc>
        <w:tc>
          <w:tcPr>
            <w:tcW w:w="7880" w:type="dxa"/>
            <w:gridSpan w:val="2"/>
          </w:tcPr>
          <w:p w14:paraId="1C5B977F" w14:textId="28AC31DD" w:rsidR="006D491C" w:rsidRPr="00940769" w:rsidRDefault="00AF2C63">
            <w:pPr>
              <w:pStyle w:val="zSoquijdatGreffe"/>
              <w:rPr>
                <w:bCs/>
              </w:rPr>
            </w:pPr>
            <w:r>
              <w:rPr>
                <w:bCs/>
              </w:rPr>
              <w:t>QUÉBEC</w:t>
            </w:r>
          </w:p>
        </w:tc>
      </w:tr>
      <w:tr w:rsidR="006D491C" w14:paraId="6A5AB3DE" w14:textId="77777777">
        <w:trPr>
          <w:trHeight w:val="540"/>
        </w:trPr>
        <w:tc>
          <w:tcPr>
            <w:tcW w:w="9505" w:type="dxa"/>
            <w:gridSpan w:val="4"/>
          </w:tcPr>
          <w:p w14:paraId="0C2B0B3C" w14:textId="63958E31" w:rsidR="006D491C" w:rsidRDefault="008A533B" w:rsidP="00C92B23">
            <w:pPr>
              <w:pStyle w:val="zSoquijlblNomChambre"/>
            </w:pPr>
            <w:r>
              <w:rPr>
                <w:lang w:val="fr-FR"/>
              </w:rPr>
              <w:t xml:space="preserve"> </w:t>
            </w:r>
          </w:p>
        </w:tc>
      </w:tr>
      <w:tr w:rsidR="006D491C" w14:paraId="73AA66B3" w14:textId="77777777" w:rsidTr="00222E6E">
        <w:tc>
          <w:tcPr>
            <w:tcW w:w="1134" w:type="dxa"/>
          </w:tcPr>
          <w:p w14:paraId="34B338E5" w14:textId="77777777" w:rsidR="006D491C" w:rsidRDefault="006D491C">
            <w:pPr>
              <w:pStyle w:val="zSoquijlblNoDossier"/>
            </w:pPr>
            <w:r>
              <w:t>N° :</w:t>
            </w:r>
          </w:p>
        </w:tc>
        <w:tc>
          <w:tcPr>
            <w:tcW w:w="8371" w:type="dxa"/>
            <w:gridSpan w:val="3"/>
          </w:tcPr>
          <w:p w14:paraId="5A9A7C96" w14:textId="1B7C8B2C" w:rsidR="006D491C" w:rsidRPr="00940769" w:rsidRDefault="00AF2C63">
            <w:pPr>
              <w:pStyle w:val="zSoquijdatNoDossier"/>
              <w:rPr>
                <w:bCs/>
              </w:rPr>
            </w:pPr>
            <w:r>
              <w:rPr>
                <w:bCs/>
              </w:rPr>
              <w:t>200-17-035129-238</w:t>
            </w:r>
          </w:p>
        </w:tc>
      </w:tr>
      <w:tr w:rsidR="006D491C" w14:paraId="2E2C0671" w14:textId="77777777" w:rsidTr="00222E6E">
        <w:tblPrEx>
          <w:tblCellMar>
            <w:left w:w="0" w:type="dxa"/>
            <w:right w:w="0" w:type="dxa"/>
          </w:tblCellMar>
        </w:tblPrEx>
        <w:trPr>
          <w:cantSplit/>
        </w:trPr>
        <w:tc>
          <w:tcPr>
            <w:tcW w:w="1134" w:type="dxa"/>
          </w:tcPr>
          <w:p w14:paraId="6B32C38E" w14:textId="77777777" w:rsidR="006D491C" w:rsidRDefault="006D491C">
            <w:pPr>
              <w:pStyle w:val="zSoquijlblGreffe"/>
            </w:pPr>
          </w:p>
        </w:tc>
        <w:tc>
          <w:tcPr>
            <w:tcW w:w="8371" w:type="dxa"/>
            <w:gridSpan w:val="3"/>
          </w:tcPr>
          <w:p w14:paraId="15851965" w14:textId="13F3E48A" w:rsidR="006D491C" w:rsidRPr="00940769" w:rsidRDefault="00BC6CD2">
            <w:pPr>
              <w:pStyle w:val="zSoquijdatNoDossierAnt"/>
              <w:rPr>
                <w:bCs/>
              </w:rPr>
            </w:pPr>
            <w:r>
              <w:rPr>
                <w:bCs/>
              </w:rPr>
              <w:t xml:space="preserve"> </w:t>
            </w:r>
          </w:p>
        </w:tc>
      </w:tr>
      <w:tr w:rsidR="006D491C" w14:paraId="1B2280D7" w14:textId="77777777">
        <w:trPr>
          <w:cantSplit/>
          <w:trHeight w:val="235"/>
        </w:trPr>
        <w:tc>
          <w:tcPr>
            <w:tcW w:w="9505" w:type="dxa"/>
            <w:gridSpan w:val="4"/>
          </w:tcPr>
          <w:p w14:paraId="69FFF337" w14:textId="77777777" w:rsidR="006D491C" w:rsidRDefault="006D491C"/>
        </w:tc>
      </w:tr>
      <w:tr w:rsidR="006D491C" w14:paraId="105961C3" w14:textId="77777777" w:rsidTr="00222E6E">
        <w:tc>
          <w:tcPr>
            <w:tcW w:w="1134" w:type="dxa"/>
          </w:tcPr>
          <w:p w14:paraId="15B57540" w14:textId="77777777" w:rsidR="006D491C" w:rsidRPr="00451034" w:rsidRDefault="006D491C">
            <w:pPr>
              <w:pStyle w:val="zSoquijlblDateJugement"/>
            </w:pPr>
            <w:r w:rsidRPr="00451034">
              <w:t>DATE :</w:t>
            </w:r>
          </w:p>
        </w:tc>
        <w:tc>
          <w:tcPr>
            <w:tcW w:w="8371" w:type="dxa"/>
            <w:gridSpan w:val="3"/>
          </w:tcPr>
          <w:p w14:paraId="6D5FD41E" w14:textId="197355B6" w:rsidR="006D491C" w:rsidRPr="00451034" w:rsidRDefault="0060394A">
            <w:pPr>
              <w:pStyle w:val="zSoquijdatDateJugement"/>
              <w:rPr>
                <w:bCs/>
              </w:rPr>
            </w:pPr>
            <w:r w:rsidRPr="00451034">
              <w:rPr>
                <w:bCs/>
              </w:rPr>
              <w:t>3</w:t>
            </w:r>
            <w:r w:rsidR="00451034" w:rsidRPr="00451034">
              <w:rPr>
                <w:bCs/>
              </w:rPr>
              <w:t>1</w:t>
            </w:r>
            <w:r w:rsidR="00AF2C63" w:rsidRPr="00451034">
              <w:rPr>
                <w:bCs/>
              </w:rPr>
              <w:t xml:space="preserve"> </w:t>
            </w:r>
            <w:r w:rsidR="00A57B65" w:rsidRPr="00451034">
              <w:rPr>
                <w:bCs/>
              </w:rPr>
              <w:t>juillet</w:t>
            </w:r>
            <w:r w:rsidR="00AF2C63" w:rsidRPr="00451034">
              <w:rPr>
                <w:bCs/>
              </w:rPr>
              <w:t xml:space="preserve"> 2026</w:t>
            </w:r>
          </w:p>
        </w:tc>
      </w:tr>
      <w:tr w:rsidR="006D491C" w14:paraId="63EC5CAF" w14:textId="77777777">
        <w:tc>
          <w:tcPr>
            <w:tcW w:w="9505" w:type="dxa"/>
            <w:gridSpan w:val="4"/>
          </w:tcPr>
          <w:p w14:paraId="500827D1" w14:textId="77777777" w:rsidR="006D491C" w:rsidRDefault="006D491C">
            <w:pPr>
              <w:ind w:left="14" w:right="-67"/>
            </w:pPr>
            <w:r>
              <w:t>______________________________________________________________________</w:t>
            </w:r>
          </w:p>
        </w:tc>
      </w:tr>
      <w:tr w:rsidR="006D491C" w14:paraId="5E6A0E20" w14:textId="77777777">
        <w:tc>
          <w:tcPr>
            <w:tcW w:w="9505" w:type="dxa"/>
            <w:gridSpan w:val="4"/>
          </w:tcPr>
          <w:p w14:paraId="7DAC84A8" w14:textId="77777777" w:rsidR="006D491C" w:rsidRDefault="006D491C"/>
        </w:tc>
      </w:tr>
      <w:tr w:rsidR="006D491C" w14:paraId="07F8099D" w14:textId="77777777">
        <w:tc>
          <w:tcPr>
            <w:tcW w:w="9505" w:type="dxa"/>
            <w:gridSpan w:val="4"/>
          </w:tcPr>
          <w:tbl>
            <w:tblPr>
              <w:tblW w:w="9505" w:type="dxa"/>
              <w:tblLayout w:type="fixed"/>
              <w:tblCellMar>
                <w:left w:w="0" w:type="dxa"/>
                <w:right w:w="0" w:type="dxa"/>
              </w:tblCellMar>
              <w:tblLook w:val="0000" w:firstRow="0" w:lastRow="0" w:firstColumn="0" w:lastColumn="0" w:noHBand="0" w:noVBand="0"/>
            </w:tblPr>
            <w:tblGrid>
              <w:gridCol w:w="3200"/>
              <w:gridCol w:w="1820"/>
              <w:gridCol w:w="4485"/>
            </w:tblGrid>
            <w:tr w:rsidR="00890799" w:rsidRPr="00EA248A" w14:paraId="33A20DAA" w14:textId="77777777" w:rsidTr="00B8040C">
              <w:tc>
                <w:tcPr>
                  <w:tcW w:w="3200" w:type="dxa"/>
                </w:tcPr>
                <w:p w14:paraId="25ACCD73" w14:textId="77777777" w:rsidR="00890799" w:rsidRDefault="00890799" w:rsidP="00890799">
                  <w:pPr>
                    <w:pStyle w:val="zSoquijlblJuge"/>
                    <w:ind w:left="0"/>
                  </w:pPr>
                  <w:r>
                    <w:t>SOUS LA PRÉSIDENCE DE</w:t>
                  </w:r>
                </w:p>
              </w:tc>
              <w:tc>
                <w:tcPr>
                  <w:tcW w:w="1820" w:type="dxa"/>
                </w:tcPr>
                <w:p w14:paraId="715276DD" w14:textId="77777777" w:rsidR="00890799" w:rsidRDefault="00890799" w:rsidP="00890799">
                  <w:pPr>
                    <w:pStyle w:val="zSoquijdatQteJuge"/>
                  </w:pPr>
                  <w:r>
                    <w:t>L’HONORABLE</w:t>
                  </w:r>
                </w:p>
              </w:tc>
              <w:tc>
                <w:tcPr>
                  <w:tcW w:w="4485" w:type="dxa"/>
                </w:tcPr>
                <w:p w14:paraId="03A6DE12" w14:textId="6B6A6110" w:rsidR="00890799" w:rsidRPr="008A533B" w:rsidRDefault="008A533B" w:rsidP="00890799">
                  <w:pPr>
                    <w:pStyle w:val="zSoquijdatJuge"/>
                    <w:rPr>
                      <w:lang w:val="en-CA"/>
                    </w:rPr>
                  </w:pPr>
                  <w:r w:rsidRPr="008A533B">
                    <w:rPr>
                      <w:lang w:val="en-CA"/>
                    </w:rPr>
                    <w:t>ALAIN TRUDEL, J.C.S.</w:t>
                  </w:r>
                </w:p>
              </w:tc>
            </w:tr>
          </w:tbl>
          <w:p w14:paraId="6AF30447" w14:textId="77777777" w:rsidR="006D491C" w:rsidRDefault="006D491C">
            <w:pPr>
              <w:ind w:left="14" w:right="-67"/>
            </w:pPr>
            <w:r>
              <w:t>_____________________________________________________________________</w:t>
            </w:r>
          </w:p>
        </w:tc>
      </w:tr>
      <w:tr w:rsidR="006D491C" w14:paraId="6ECB1BF3" w14:textId="77777777">
        <w:tc>
          <w:tcPr>
            <w:tcW w:w="9505" w:type="dxa"/>
            <w:gridSpan w:val="4"/>
          </w:tcPr>
          <w:p w14:paraId="51957C37" w14:textId="77777777" w:rsidR="006D491C" w:rsidRDefault="006D491C">
            <w:pPr>
              <w:pStyle w:val="zSoquijlblTitrePartie"/>
            </w:pPr>
          </w:p>
        </w:tc>
      </w:tr>
      <w:tr w:rsidR="00402A4B" w14:paraId="6592484F" w14:textId="77777777">
        <w:tc>
          <w:tcPr>
            <w:tcW w:w="9505" w:type="dxa"/>
            <w:gridSpan w:val="4"/>
          </w:tcPr>
          <w:p w14:paraId="00FC2E8B" w14:textId="77777777" w:rsidR="00402A4B" w:rsidRDefault="00402A4B" w:rsidP="00402A4B"/>
        </w:tc>
      </w:tr>
      <w:tr w:rsidR="00402A4B" w14:paraId="19242AC2" w14:textId="77777777">
        <w:tc>
          <w:tcPr>
            <w:tcW w:w="9505" w:type="dxa"/>
            <w:gridSpan w:val="4"/>
          </w:tcPr>
          <w:p w14:paraId="37ECF949" w14:textId="45C05C53" w:rsidR="00402A4B" w:rsidRPr="00170EF1" w:rsidRDefault="001456A9" w:rsidP="00402A4B">
            <w:pPr>
              <w:pStyle w:val="zSoquijdatNomPartieDem"/>
              <w:rPr>
                <w:bCs w:val="0"/>
              </w:rPr>
            </w:pPr>
            <w:r>
              <w:rPr>
                <w:bCs w:val="0"/>
              </w:rPr>
              <w:t>HARVEST MINISTRIES INTERNATIONAL</w:t>
            </w:r>
          </w:p>
        </w:tc>
      </w:tr>
      <w:tr w:rsidR="00BC6CD2" w14:paraId="3484D993" w14:textId="77777777">
        <w:tc>
          <w:tcPr>
            <w:tcW w:w="9505" w:type="dxa"/>
            <w:gridSpan w:val="4"/>
          </w:tcPr>
          <w:p w14:paraId="696DCE01" w14:textId="262E1C2A" w:rsidR="00BC6CD2" w:rsidRPr="00BC6CD2" w:rsidRDefault="00BC6CD2" w:rsidP="00402A4B">
            <w:pPr>
              <w:pStyle w:val="zSoquijdatNomPartieDem"/>
              <w:rPr>
                <w:b w:val="0"/>
              </w:rPr>
            </w:pPr>
            <w:r>
              <w:rPr>
                <w:b w:val="0"/>
              </w:rPr>
              <w:tab/>
            </w:r>
            <w:r w:rsidR="001456A9">
              <w:rPr>
                <w:b w:val="0"/>
              </w:rPr>
              <w:t>Demanderesse</w:t>
            </w:r>
          </w:p>
        </w:tc>
      </w:tr>
      <w:tr w:rsidR="00170EF1" w14:paraId="6D2ED501" w14:textId="77777777">
        <w:tc>
          <w:tcPr>
            <w:tcW w:w="9505" w:type="dxa"/>
            <w:gridSpan w:val="4"/>
          </w:tcPr>
          <w:p w14:paraId="65F117E7" w14:textId="2684FA6A" w:rsidR="00170EF1" w:rsidRDefault="00BC6CD2" w:rsidP="00402A4B">
            <w:pPr>
              <w:pStyle w:val="zSoquijdatNomPartieDem"/>
              <w:rPr>
                <w:b w:val="0"/>
              </w:rPr>
            </w:pPr>
            <w:r>
              <w:rPr>
                <w:b w:val="0"/>
              </w:rPr>
              <w:t>c.</w:t>
            </w:r>
          </w:p>
        </w:tc>
      </w:tr>
      <w:tr w:rsidR="00BC6CD2" w14:paraId="5D9AB8F8" w14:textId="77777777">
        <w:tc>
          <w:tcPr>
            <w:tcW w:w="9505" w:type="dxa"/>
            <w:gridSpan w:val="4"/>
          </w:tcPr>
          <w:p w14:paraId="28AF068B" w14:textId="5864D0E4" w:rsidR="00BC6CD2" w:rsidRDefault="001456A9" w:rsidP="00402A4B">
            <w:pPr>
              <w:pStyle w:val="zSoquijdatNomPartieDem"/>
              <w:rPr>
                <w:b w:val="0"/>
              </w:rPr>
            </w:pPr>
            <w:r>
              <w:rPr>
                <w:bCs w:val="0"/>
              </w:rPr>
              <w:t>HON. CAROLINE PROULX</w:t>
            </w:r>
          </w:p>
        </w:tc>
      </w:tr>
      <w:tr w:rsidR="001456A9" w14:paraId="5A6908C2" w14:textId="77777777">
        <w:tc>
          <w:tcPr>
            <w:tcW w:w="9505" w:type="dxa"/>
            <w:gridSpan w:val="4"/>
          </w:tcPr>
          <w:p w14:paraId="2A6AB330" w14:textId="57E49B4D" w:rsidR="001456A9" w:rsidRPr="001456A9" w:rsidRDefault="00B80F9E" w:rsidP="00402A4B">
            <w:pPr>
              <w:pStyle w:val="zSoquijdatNomPartieDem"/>
              <w:rPr>
                <w:b w:val="0"/>
              </w:rPr>
            </w:pPr>
            <w:r>
              <w:rPr>
                <w:b w:val="0"/>
              </w:rPr>
              <w:t>e</w:t>
            </w:r>
            <w:r w:rsidR="001456A9" w:rsidRPr="001456A9">
              <w:rPr>
                <w:b w:val="0"/>
              </w:rPr>
              <w:t>t</w:t>
            </w:r>
          </w:p>
        </w:tc>
      </w:tr>
      <w:tr w:rsidR="001456A9" w14:paraId="254D54BF" w14:textId="77777777">
        <w:tc>
          <w:tcPr>
            <w:tcW w:w="9505" w:type="dxa"/>
            <w:gridSpan w:val="4"/>
          </w:tcPr>
          <w:p w14:paraId="4B9B7110" w14:textId="5196594A" w:rsidR="001456A9" w:rsidRDefault="001456A9" w:rsidP="00402A4B">
            <w:pPr>
              <w:pStyle w:val="zSoquijdatNomPartieDem"/>
              <w:rPr>
                <w:bCs w:val="0"/>
              </w:rPr>
            </w:pPr>
            <w:r>
              <w:rPr>
                <w:bCs w:val="0"/>
              </w:rPr>
              <w:t>SOCIÉTÉ DU CENTRE DES CONGRÈS DE QUÉBEC</w:t>
            </w:r>
          </w:p>
        </w:tc>
      </w:tr>
      <w:tr w:rsidR="001456A9" w14:paraId="5FBD543B" w14:textId="77777777">
        <w:tc>
          <w:tcPr>
            <w:tcW w:w="9505" w:type="dxa"/>
            <w:gridSpan w:val="4"/>
          </w:tcPr>
          <w:p w14:paraId="049EEB81" w14:textId="419261E4" w:rsidR="001456A9" w:rsidRPr="001456A9" w:rsidRDefault="00B80F9E" w:rsidP="00402A4B">
            <w:pPr>
              <w:pStyle w:val="zSoquijdatNomPartieDem"/>
              <w:rPr>
                <w:b w:val="0"/>
              </w:rPr>
            </w:pPr>
            <w:r>
              <w:rPr>
                <w:b w:val="0"/>
              </w:rPr>
              <w:t>e</w:t>
            </w:r>
            <w:r w:rsidRPr="001456A9">
              <w:rPr>
                <w:b w:val="0"/>
              </w:rPr>
              <w:t>t</w:t>
            </w:r>
          </w:p>
        </w:tc>
      </w:tr>
      <w:tr w:rsidR="001456A9" w14:paraId="223EF771" w14:textId="77777777">
        <w:tc>
          <w:tcPr>
            <w:tcW w:w="9505" w:type="dxa"/>
            <w:gridSpan w:val="4"/>
          </w:tcPr>
          <w:p w14:paraId="17C957EE" w14:textId="20325A6F" w:rsidR="001456A9" w:rsidRDefault="001456A9" w:rsidP="00402A4B">
            <w:pPr>
              <w:pStyle w:val="zSoquijdatNomPartieDem"/>
              <w:rPr>
                <w:bCs w:val="0"/>
              </w:rPr>
            </w:pPr>
            <w:r>
              <w:rPr>
                <w:bCs w:val="0"/>
              </w:rPr>
              <w:t>PROCUREUR GÉNÉRAL DU QUÉBEC</w:t>
            </w:r>
          </w:p>
        </w:tc>
      </w:tr>
      <w:tr w:rsidR="001456A9" w14:paraId="3DEE7392" w14:textId="77777777">
        <w:tc>
          <w:tcPr>
            <w:tcW w:w="9505" w:type="dxa"/>
            <w:gridSpan w:val="4"/>
          </w:tcPr>
          <w:p w14:paraId="76DAAB67" w14:textId="2B4C470F" w:rsidR="001456A9" w:rsidRPr="001456A9" w:rsidRDefault="001456A9" w:rsidP="00402A4B">
            <w:pPr>
              <w:pStyle w:val="zSoquijdatNomPartieDem"/>
              <w:rPr>
                <w:b w:val="0"/>
              </w:rPr>
            </w:pPr>
            <w:r>
              <w:rPr>
                <w:b w:val="0"/>
              </w:rPr>
              <w:tab/>
              <w:t>Défendeurs</w:t>
            </w:r>
          </w:p>
        </w:tc>
      </w:tr>
      <w:tr w:rsidR="001456A9" w14:paraId="71BDF922" w14:textId="77777777">
        <w:tc>
          <w:tcPr>
            <w:tcW w:w="9505" w:type="dxa"/>
            <w:gridSpan w:val="4"/>
          </w:tcPr>
          <w:p w14:paraId="45DE06F7" w14:textId="64C2533F" w:rsidR="001456A9" w:rsidRPr="001456A9" w:rsidRDefault="00B80F9E" w:rsidP="00402A4B">
            <w:pPr>
              <w:pStyle w:val="zSoquijdatNomPartieDem"/>
              <w:rPr>
                <w:b w:val="0"/>
              </w:rPr>
            </w:pPr>
            <w:r>
              <w:rPr>
                <w:b w:val="0"/>
              </w:rPr>
              <w:t>e</w:t>
            </w:r>
            <w:r w:rsidRPr="001456A9">
              <w:rPr>
                <w:b w:val="0"/>
              </w:rPr>
              <w:t>t</w:t>
            </w:r>
          </w:p>
        </w:tc>
      </w:tr>
      <w:tr w:rsidR="001456A9" w14:paraId="4CFA9FD7" w14:textId="77777777">
        <w:tc>
          <w:tcPr>
            <w:tcW w:w="9505" w:type="dxa"/>
            <w:gridSpan w:val="4"/>
          </w:tcPr>
          <w:p w14:paraId="52EF9A2D" w14:textId="7180D26F" w:rsidR="001456A9" w:rsidRDefault="001456A9" w:rsidP="00402A4B">
            <w:pPr>
              <w:pStyle w:val="zSoquijdatNomPartieDem"/>
              <w:rPr>
                <w:bCs w:val="0"/>
              </w:rPr>
            </w:pPr>
            <w:r>
              <w:rPr>
                <w:bCs w:val="0"/>
              </w:rPr>
              <w:t>L’ALLIANCE ÉVANGÉLIQUE DU CANADA</w:t>
            </w:r>
          </w:p>
        </w:tc>
      </w:tr>
      <w:tr w:rsidR="001456A9" w14:paraId="705DAD86" w14:textId="77777777">
        <w:tc>
          <w:tcPr>
            <w:tcW w:w="9505" w:type="dxa"/>
            <w:gridSpan w:val="4"/>
          </w:tcPr>
          <w:p w14:paraId="1BB1001A" w14:textId="42B5D721" w:rsidR="001456A9" w:rsidRPr="001456A9" w:rsidRDefault="00B80F9E" w:rsidP="00402A4B">
            <w:pPr>
              <w:pStyle w:val="zSoquijdatNomPartieDem"/>
              <w:rPr>
                <w:b w:val="0"/>
              </w:rPr>
            </w:pPr>
            <w:r>
              <w:rPr>
                <w:b w:val="0"/>
              </w:rPr>
              <w:t>e</w:t>
            </w:r>
            <w:r w:rsidRPr="001456A9">
              <w:rPr>
                <w:b w:val="0"/>
              </w:rPr>
              <w:t>t</w:t>
            </w:r>
          </w:p>
        </w:tc>
      </w:tr>
      <w:tr w:rsidR="001456A9" w14:paraId="396C9E8B" w14:textId="77777777">
        <w:tc>
          <w:tcPr>
            <w:tcW w:w="9505" w:type="dxa"/>
            <w:gridSpan w:val="4"/>
          </w:tcPr>
          <w:p w14:paraId="56E20F2A" w14:textId="2F2583A3" w:rsidR="001456A9" w:rsidRDefault="001456A9" w:rsidP="00402A4B">
            <w:pPr>
              <w:pStyle w:val="zSoquijdatNomPartieDem"/>
              <w:rPr>
                <w:bCs w:val="0"/>
              </w:rPr>
            </w:pPr>
            <w:r>
              <w:rPr>
                <w:bCs w:val="0"/>
              </w:rPr>
              <w:t>RÉSEAU ÉVANGÉLIQUE DU QUÉBEC</w:t>
            </w:r>
          </w:p>
        </w:tc>
      </w:tr>
      <w:tr w:rsidR="001456A9" w14:paraId="2ABAF949" w14:textId="77777777">
        <w:tc>
          <w:tcPr>
            <w:tcW w:w="9505" w:type="dxa"/>
            <w:gridSpan w:val="4"/>
          </w:tcPr>
          <w:p w14:paraId="7CE2FAC3" w14:textId="1EBBFF63" w:rsidR="001456A9" w:rsidRPr="001456A9" w:rsidRDefault="00B80F9E" w:rsidP="00402A4B">
            <w:pPr>
              <w:pStyle w:val="zSoquijdatNomPartieDem"/>
              <w:rPr>
                <w:b w:val="0"/>
              </w:rPr>
            </w:pPr>
            <w:r>
              <w:rPr>
                <w:b w:val="0"/>
              </w:rPr>
              <w:t>e</w:t>
            </w:r>
            <w:r w:rsidRPr="001456A9">
              <w:rPr>
                <w:b w:val="0"/>
              </w:rPr>
              <w:t>t</w:t>
            </w:r>
          </w:p>
        </w:tc>
      </w:tr>
      <w:tr w:rsidR="001456A9" w:rsidRPr="00EA248A" w14:paraId="3BFFDAF9" w14:textId="77777777">
        <w:tc>
          <w:tcPr>
            <w:tcW w:w="9505" w:type="dxa"/>
            <w:gridSpan w:val="4"/>
          </w:tcPr>
          <w:p w14:paraId="3EA43130" w14:textId="74117E92" w:rsidR="001456A9" w:rsidRPr="001456A9" w:rsidRDefault="001456A9" w:rsidP="00402A4B">
            <w:pPr>
              <w:pStyle w:val="zSoquijdatNomPartieDem"/>
              <w:rPr>
                <w:bCs w:val="0"/>
                <w:lang w:val="en-CA"/>
              </w:rPr>
            </w:pPr>
            <w:r w:rsidRPr="001456A9">
              <w:rPr>
                <w:bCs w:val="0"/>
                <w:lang w:val="en-CA"/>
              </w:rPr>
              <w:t>CANADIAN CENTRE FOR CHRISTIAN C</w:t>
            </w:r>
            <w:r>
              <w:rPr>
                <w:bCs w:val="0"/>
                <w:lang w:val="en-CA"/>
              </w:rPr>
              <w:t>HARITIES</w:t>
            </w:r>
          </w:p>
        </w:tc>
      </w:tr>
      <w:tr w:rsidR="001456A9" w:rsidRPr="001456A9" w14:paraId="0804F508" w14:textId="77777777">
        <w:tc>
          <w:tcPr>
            <w:tcW w:w="9505" w:type="dxa"/>
            <w:gridSpan w:val="4"/>
          </w:tcPr>
          <w:p w14:paraId="2EBC4738" w14:textId="6803D06D" w:rsidR="001456A9" w:rsidRPr="001456A9" w:rsidRDefault="001456A9" w:rsidP="00402A4B">
            <w:pPr>
              <w:pStyle w:val="zSoquijdatNomPartieDem"/>
              <w:rPr>
                <w:b w:val="0"/>
                <w:lang w:val="en-CA"/>
              </w:rPr>
            </w:pPr>
            <w:r>
              <w:rPr>
                <w:b w:val="0"/>
                <w:lang w:val="en-CA"/>
              </w:rPr>
              <w:tab/>
              <w:t>Co-intervenants</w:t>
            </w:r>
          </w:p>
        </w:tc>
      </w:tr>
      <w:tr w:rsidR="001456A9" w:rsidRPr="001456A9" w14:paraId="7AC14401" w14:textId="77777777">
        <w:tc>
          <w:tcPr>
            <w:tcW w:w="9505" w:type="dxa"/>
            <w:gridSpan w:val="4"/>
          </w:tcPr>
          <w:p w14:paraId="737F6E8E" w14:textId="3BAE360E" w:rsidR="001456A9" w:rsidRPr="001456A9" w:rsidRDefault="00B80F9E" w:rsidP="00402A4B">
            <w:pPr>
              <w:pStyle w:val="zSoquijdatNomPartieDem"/>
              <w:rPr>
                <w:b w:val="0"/>
                <w:lang w:val="en-CA"/>
              </w:rPr>
            </w:pPr>
            <w:r>
              <w:rPr>
                <w:b w:val="0"/>
              </w:rPr>
              <w:t>e</w:t>
            </w:r>
            <w:r w:rsidRPr="001456A9">
              <w:rPr>
                <w:b w:val="0"/>
              </w:rPr>
              <w:t>t</w:t>
            </w:r>
          </w:p>
        </w:tc>
      </w:tr>
      <w:tr w:rsidR="001456A9" w:rsidRPr="001456A9" w14:paraId="7E0640DD" w14:textId="77777777">
        <w:tc>
          <w:tcPr>
            <w:tcW w:w="9505" w:type="dxa"/>
            <w:gridSpan w:val="4"/>
          </w:tcPr>
          <w:p w14:paraId="5FBD58D8" w14:textId="3A5F6F94" w:rsidR="001456A9" w:rsidRPr="001456A9" w:rsidRDefault="001456A9" w:rsidP="00402A4B">
            <w:pPr>
              <w:pStyle w:val="zSoquijdatNomPartieDem"/>
              <w:rPr>
                <w:bCs w:val="0"/>
              </w:rPr>
            </w:pPr>
            <w:r w:rsidRPr="001456A9">
              <w:rPr>
                <w:bCs w:val="0"/>
              </w:rPr>
              <w:t>ALLIANCE DES CHRÉTIENS EN D</w:t>
            </w:r>
            <w:r>
              <w:rPr>
                <w:bCs w:val="0"/>
              </w:rPr>
              <w:t>ROIT</w:t>
            </w:r>
          </w:p>
        </w:tc>
      </w:tr>
      <w:tr w:rsidR="00170EF1" w14:paraId="1D4F64C1" w14:textId="77777777">
        <w:tc>
          <w:tcPr>
            <w:tcW w:w="9505" w:type="dxa"/>
            <w:gridSpan w:val="4"/>
          </w:tcPr>
          <w:p w14:paraId="6CD75E73" w14:textId="33180B82" w:rsidR="00170EF1" w:rsidRPr="00BC6CD2" w:rsidRDefault="00BC6CD2" w:rsidP="00402A4B">
            <w:pPr>
              <w:pStyle w:val="zSoquijdatNomPartieDem"/>
              <w:rPr>
                <w:b w:val="0"/>
              </w:rPr>
            </w:pPr>
            <w:r w:rsidRPr="001456A9">
              <w:rPr>
                <w:b w:val="0"/>
              </w:rPr>
              <w:tab/>
            </w:r>
            <w:r w:rsidR="001456A9">
              <w:rPr>
                <w:b w:val="0"/>
              </w:rPr>
              <w:t>Intervenante</w:t>
            </w:r>
          </w:p>
        </w:tc>
      </w:tr>
      <w:tr w:rsidR="00402A4B" w14:paraId="44CF6B7A" w14:textId="77777777">
        <w:tc>
          <w:tcPr>
            <w:tcW w:w="9505" w:type="dxa"/>
            <w:gridSpan w:val="4"/>
          </w:tcPr>
          <w:p w14:paraId="5BE6EAED" w14:textId="77777777" w:rsidR="00402A4B" w:rsidRDefault="00402A4B" w:rsidP="00402A4B">
            <w:pPr>
              <w:ind w:left="14" w:right="-95"/>
            </w:pPr>
            <w:r>
              <w:t>______________________________________________________________________</w:t>
            </w:r>
          </w:p>
        </w:tc>
      </w:tr>
      <w:tr w:rsidR="00402A4B" w14:paraId="10E6C37A" w14:textId="77777777">
        <w:tc>
          <w:tcPr>
            <w:tcW w:w="9505" w:type="dxa"/>
            <w:gridSpan w:val="4"/>
          </w:tcPr>
          <w:p w14:paraId="645AF7F1" w14:textId="77777777" w:rsidR="00402A4B" w:rsidRDefault="00402A4B" w:rsidP="00402A4B">
            <w:pPr>
              <w:jc w:val="center"/>
            </w:pPr>
          </w:p>
        </w:tc>
      </w:tr>
      <w:tr w:rsidR="00402A4B" w14:paraId="2FFCC076" w14:textId="77777777">
        <w:tc>
          <w:tcPr>
            <w:tcW w:w="9505" w:type="dxa"/>
            <w:gridSpan w:val="4"/>
          </w:tcPr>
          <w:p w14:paraId="7FE5DA83" w14:textId="77777777" w:rsidR="00402A4B" w:rsidRDefault="00402A4B" w:rsidP="00402A4B">
            <w:pPr>
              <w:pStyle w:val="zSoquijlblTypeDocument"/>
            </w:pPr>
            <w:r>
              <w:t>JUGEMENT</w:t>
            </w:r>
          </w:p>
        </w:tc>
      </w:tr>
      <w:tr w:rsidR="00402A4B" w14:paraId="0434DE58" w14:textId="77777777">
        <w:tc>
          <w:tcPr>
            <w:tcW w:w="9505" w:type="dxa"/>
            <w:gridSpan w:val="4"/>
          </w:tcPr>
          <w:p w14:paraId="0E7045DD" w14:textId="77777777" w:rsidR="00402A4B" w:rsidRDefault="00402A4B" w:rsidP="00402A4B">
            <w:pPr>
              <w:ind w:left="14" w:right="-70"/>
            </w:pPr>
            <w:r>
              <w:t>______________________________________________________________________</w:t>
            </w:r>
          </w:p>
        </w:tc>
      </w:tr>
      <w:tr w:rsidR="00402A4B" w14:paraId="4307276E" w14:textId="77777777">
        <w:tc>
          <w:tcPr>
            <w:tcW w:w="9505" w:type="dxa"/>
            <w:gridSpan w:val="4"/>
          </w:tcPr>
          <w:p w14:paraId="7B428C23" w14:textId="77777777" w:rsidR="00402A4B" w:rsidRDefault="00402A4B" w:rsidP="00402A4B"/>
        </w:tc>
      </w:tr>
    </w:tbl>
    <w:p w14:paraId="04808599" w14:textId="38FD6C36" w:rsidR="006D491C" w:rsidRPr="00D3123B" w:rsidRDefault="00D3123B" w:rsidP="00D3123B">
      <w:pPr>
        <w:pStyle w:val="Paragraphe"/>
        <w:numPr>
          <w:ilvl w:val="0"/>
          <w:numId w:val="0"/>
        </w:numPr>
        <w:spacing w:line="240" w:lineRule="auto"/>
        <w:rPr>
          <w:b/>
          <w:bCs/>
          <w:smallCaps/>
          <w:u w:val="single"/>
        </w:rPr>
      </w:pPr>
      <w:r w:rsidRPr="00D3123B">
        <w:rPr>
          <w:b/>
          <w:bCs/>
          <w:smallCaps/>
          <w:u w:val="single"/>
        </w:rPr>
        <w:lastRenderedPageBreak/>
        <w:t xml:space="preserve">Aperçu </w:t>
      </w:r>
    </w:p>
    <w:p w14:paraId="785EAA41" w14:textId="1D653542" w:rsidR="00747C78" w:rsidRDefault="005530F6" w:rsidP="00D772CE">
      <w:pPr>
        <w:pStyle w:val="Paragraphe"/>
        <w:spacing w:line="240" w:lineRule="auto"/>
      </w:pPr>
      <w:r>
        <w:tab/>
      </w:r>
      <w:r w:rsidR="00B005DC">
        <w:t>La décision d</w:t>
      </w:r>
      <w:r w:rsidR="00E660A9">
        <w:t>es défendeurs</w:t>
      </w:r>
      <w:r w:rsidR="00B005DC">
        <w:t xml:space="preserve"> </w:t>
      </w:r>
      <w:r w:rsidR="00037A75">
        <w:t xml:space="preserve">du 2 juin 2023 </w:t>
      </w:r>
      <w:r w:rsidR="00B005DC">
        <w:t>de résilier l</w:t>
      </w:r>
      <w:r w:rsidR="00037A75">
        <w:t>’entente de location</w:t>
      </w:r>
      <w:r w:rsidR="00B005DC">
        <w:t xml:space="preserve"> intervenue entre la demanderesse et la Société du centre des congrès de Québec </w:t>
      </w:r>
      <w:r w:rsidR="00037A75">
        <w:t>(« </w:t>
      </w:r>
      <w:r w:rsidR="00037A75" w:rsidRPr="00037A75">
        <w:rPr>
          <w:b/>
          <w:bCs/>
        </w:rPr>
        <w:t>SCCQ</w:t>
      </w:r>
      <w:r w:rsidR="00037A75">
        <w:t xml:space="preserve"> ») </w:t>
      </w:r>
      <w:r w:rsidR="00B005DC">
        <w:t xml:space="preserve">pour la tenue d’un évènement intitulé « </w:t>
      </w:r>
      <w:r w:rsidR="00B005DC" w:rsidRPr="00037A75">
        <w:rPr>
          <w:i/>
          <w:iCs/>
        </w:rPr>
        <w:t>Foi, Feu et Liberté</w:t>
      </w:r>
      <w:r w:rsidR="00B005DC">
        <w:t> » du 2</w:t>
      </w:r>
      <w:r w:rsidR="00037A75">
        <w:t>2</w:t>
      </w:r>
      <w:r w:rsidR="00B005DC">
        <w:t xml:space="preserve"> juin au 2 juillet 2023 constitue-t-elle une </w:t>
      </w:r>
      <w:r w:rsidR="00747C78">
        <w:t xml:space="preserve">atteinte ou </w:t>
      </w:r>
      <w:r w:rsidR="00B005DC">
        <w:t>violation aux droits et libertés fondamentaux de cette dernière ?</w:t>
      </w:r>
    </w:p>
    <w:p w14:paraId="76DE09D5" w14:textId="2BF7083E" w:rsidR="00D3123B" w:rsidRDefault="005530F6" w:rsidP="00D772CE">
      <w:pPr>
        <w:pStyle w:val="Paragraphe"/>
        <w:spacing w:line="240" w:lineRule="auto"/>
      </w:pPr>
      <w:r>
        <w:tab/>
      </w:r>
      <w:r w:rsidR="00747C78">
        <w:t xml:space="preserve">Dans l’affirmative, cette atteinte ou violation est-elle intentionnelle ? Mérite-t-elle réparation ? </w:t>
      </w:r>
      <w:r w:rsidR="00B005DC">
        <w:t xml:space="preserve">     </w:t>
      </w:r>
      <w:r w:rsidR="00D3123B">
        <w:t xml:space="preserve"> </w:t>
      </w:r>
    </w:p>
    <w:p w14:paraId="72E0A94B" w14:textId="3F03F762" w:rsidR="00D3123B" w:rsidRDefault="005530F6" w:rsidP="00D772CE">
      <w:pPr>
        <w:pStyle w:val="Paragraphe"/>
        <w:spacing w:line="240" w:lineRule="auto"/>
      </w:pPr>
      <w:r>
        <w:tab/>
      </w:r>
      <w:r w:rsidR="00B005DC">
        <w:t>Telle</w:t>
      </w:r>
      <w:r w:rsidR="00747C78">
        <w:t>s</w:t>
      </w:r>
      <w:r w:rsidR="00B005DC">
        <w:t xml:space="preserve"> s</w:t>
      </w:r>
      <w:r w:rsidR="00747C78">
        <w:t>on</w:t>
      </w:r>
      <w:r w:rsidR="00B005DC">
        <w:t xml:space="preserve">t </w:t>
      </w:r>
      <w:r w:rsidR="00747C78">
        <w:t xml:space="preserve">les principales </w:t>
      </w:r>
      <w:r w:rsidR="00B005DC">
        <w:t>question</w:t>
      </w:r>
      <w:r w:rsidR="00747C78">
        <w:t>s</w:t>
      </w:r>
      <w:r w:rsidR="00B005DC">
        <w:t xml:space="preserve"> que soulève le litige.</w:t>
      </w:r>
    </w:p>
    <w:p w14:paraId="114BD920" w14:textId="489A137A" w:rsidR="00D3123B" w:rsidRPr="00333B0B" w:rsidRDefault="00D3123B" w:rsidP="00D3123B">
      <w:pPr>
        <w:pStyle w:val="Paragraphe"/>
        <w:numPr>
          <w:ilvl w:val="0"/>
          <w:numId w:val="0"/>
        </w:numPr>
        <w:spacing w:line="240" w:lineRule="auto"/>
        <w:rPr>
          <w:b/>
          <w:bCs/>
          <w:smallCaps/>
          <w:u w:val="single"/>
        </w:rPr>
      </w:pPr>
      <w:r w:rsidRPr="00333B0B">
        <w:rPr>
          <w:b/>
          <w:bCs/>
          <w:smallCaps/>
          <w:u w:val="single"/>
        </w:rPr>
        <w:t xml:space="preserve">Contexte </w:t>
      </w:r>
    </w:p>
    <w:p w14:paraId="44F8A7C0" w14:textId="163641AC" w:rsidR="008B51EB" w:rsidRDefault="005530F6" w:rsidP="00D772CE">
      <w:pPr>
        <w:pStyle w:val="Paragraphe"/>
        <w:spacing w:line="240" w:lineRule="auto"/>
      </w:pPr>
      <w:r>
        <w:tab/>
      </w:r>
      <w:r w:rsidR="008B51EB">
        <w:t>Les faits de l’affaire sont relativement simples et se résument comme suit.</w:t>
      </w:r>
    </w:p>
    <w:p w14:paraId="2468965C" w14:textId="3A821982" w:rsidR="00B64706" w:rsidRDefault="005530F6" w:rsidP="00D772CE">
      <w:pPr>
        <w:pStyle w:val="Paragraphe"/>
        <w:spacing w:line="240" w:lineRule="auto"/>
      </w:pPr>
      <w:r>
        <w:tab/>
      </w:r>
      <w:r w:rsidR="00037A75">
        <w:t>Harvest Ministries International (« </w:t>
      </w:r>
      <w:r w:rsidR="00037A75" w:rsidRPr="004615B9">
        <w:rPr>
          <w:b/>
          <w:bCs/>
        </w:rPr>
        <w:t>HMI</w:t>
      </w:r>
      <w:r w:rsidR="00037A75">
        <w:t> ») est une organisation chrétienne basée à Kelowa en Colombie-Britannique et dirigée par le pasteur Arthur Lucier.</w:t>
      </w:r>
    </w:p>
    <w:p w14:paraId="19010812" w14:textId="2C1968A5" w:rsidR="00037A75" w:rsidRDefault="005530F6" w:rsidP="00D772CE">
      <w:pPr>
        <w:pStyle w:val="Paragraphe"/>
        <w:spacing w:line="240" w:lineRule="auto"/>
      </w:pPr>
      <w:r>
        <w:tab/>
      </w:r>
      <w:r w:rsidR="00F74317">
        <w:t>Elle est constituée en</w:t>
      </w:r>
      <w:r w:rsidR="00B0618D">
        <w:t xml:space="preserve"> société </w:t>
      </w:r>
      <w:r w:rsidR="00194058">
        <w:t xml:space="preserve">à but non lucratif </w:t>
      </w:r>
      <w:r w:rsidR="00B0618D">
        <w:t xml:space="preserve">sous l’égide de la </w:t>
      </w:r>
      <w:r w:rsidR="0009653E" w:rsidRPr="00B64706">
        <w:rPr>
          <w:i/>
          <w:iCs/>
        </w:rPr>
        <w:t xml:space="preserve">Loi sur les </w:t>
      </w:r>
      <w:r w:rsidR="00F74317">
        <w:rPr>
          <w:i/>
          <w:iCs/>
        </w:rPr>
        <w:t>S</w:t>
      </w:r>
      <w:r w:rsidR="0009653E" w:rsidRPr="00B64706">
        <w:rPr>
          <w:i/>
          <w:iCs/>
        </w:rPr>
        <w:t>ociétés</w:t>
      </w:r>
      <w:r w:rsidR="0009653E">
        <w:t xml:space="preserve"> de la Colombie-Britannique</w:t>
      </w:r>
      <w:r w:rsidR="00194058">
        <w:rPr>
          <w:rStyle w:val="Appelnotedebasdep"/>
        </w:rPr>
        <w:footnoteReference w:id="1"/>
      </w:r>
      <w:r w:rsidR="0009653E">
        <w:t xml:space="preserve"> </w:t>
      </w:r>
      <w:r w:rsidR="00194058">
        <w:t>et inscrite à titre d’organisme de bienfaisance auprès de l’agence de revenu du Canada.</w:t>
      </w:r>
    </w:p>
    <w:p w14:paraId="276FEDBC" w14:textId="4674D1E0" w:rsidR="002E65C4" w:rsidRDefault="005530F6" w:rsidP="00D772CE">
      <w:pPr>
        <w:pStyle w:val="Paragraphe"/>
        <w:spacing w:line="240" w:lineRule="auto"/>
      </w:pPr>
      <w:r>
        <w:tab/>
      </w:r>
      <w:r w:rsidR="002E65C4">
        <w:t xml:space="preserve">L’article 2 des </w:t>
      </w:r>
      <w:r w:rsidR="00E629FF">
        <w:t>lettres patentes</w:t>
      </w:r>
      <w:r w:rsidR="00B64706">
        <w:t xml:space="preserve"> </w:t>
      </w:r>
      <w:r w:rsidR="002E65C4">
        <w:t>de l’organisation énumère ses objectifs de la manière suivante</w:t>
      </w:r>
      <w:r w:rsidR="00E629FF">
        <w:rPr>
          <w:rStyle w:val="Appelnotedebasdep"/>
        </w:rPr>
        <w:footnoteReference w:id="2"/>
      </w:r>
      <w:r w:rsidR="002E65C4">
        <w:t> :</w:t>
      </w:r>
    </w:p>
    <w:p w14:paraId="2A59D469" w14:textId="507CA6AB" w:rsidR="00194058" w:rsidRPr="00E629FF" w:rsidRDefault="002E65C4" w:rsidP="00E629FF">
      <w:pPr>
        <w:pStyle w:val="Citationenretrait"/>
        <w:numPr>
          <w:ilvl w:val="0"/>
          <w:numId w:val="24"/>
        </w:numPr>
      </w:pPr>
      <w:r w:rsidRPr="00E629FF">
        <w:t>Glorifier Dieu dans tout ce que nous sommes et faisons, et lui offrir un culte entier, animé par l’</w:t>
      </w:r>
      <w:r w:rsidR="00F22CA6" w:rsidRPr="00E629FF">
        <w:t>E</w:t>
      </w:r>
      <w:r w:rsidRPr="00E629FF">
        <w:t>sprit, conformément aux Écritures.</w:t>
      </w:r>
    </w:p>
    <w:p w14:paraId="5F21DFB6" w14:textId="0DD6946C" w:rsidR="002E65C4" w:rsidRPr="00E629FF" w:rsidRDefault="00F22CA6" w:rsidP="00E629FF">
      <w:pPr>
        <w:pStyle w:val="Citationenretrait"/>
        <w:numPr>
          <w:ilvl w:val="0"/>
          <w:numId w:val="24"/>
        </w:numPr>
      </w:pPr>
      <w:r w:rsidRPr="00E629FF">
        <w:t>Employer tous les moyens prévus dans les Écritures afin d’assurer le bien-être spirituel et conduire à la pleine maturité en Christ tous ceux que Dieu unit à notre famille d’église.</w:t>
      </w:r>
    </w:p>
    <w:p w14:paraId="62ECAAA9" w14:textId="6FB85BC1" w:rsidR="00F22CA6" w:rsidRPr="00E629FF" w:rsidRDefault="00F22CA6" w:rsidP="00E629FF">
      <w:pPr>
        <w:pStyle w:val="Citationenretrait"/>
        <w:numPr>
          <w:ilvl w:val="0"/>
          <w:numId w:val="24"/>
        </w:numPr>
      </w:pPr>
      <w:r w:rsidRPr="00E629FF">
        <w:t>Accomplir, partout dans le monde, la Grande Commission que Dieu a confiée à Son Église selon Matthieu 28:19, 20 et Luc 24:46, 47.</w:t>
      </w:r>
    </w:p>
    <w:p w14:paraId="78CF67DE" w14:textId="7897ABA1" w:rsidR="00F22CA6" w:rsidRPr="00E629FF" w:rsidRDefault="00F22CA6" w:rsidP="00E629FF">
      <w:pPr>
        <w:pStyle w:val="Citationenretrait"/>
        <w:numPr>
          <w:ilvl w:val="0"/>
          <w:numId w:val="24"/>
        </w:numPr>
      </w:pPr>
      <w:r w:rsidRPr="00E629FF">
        <w:t>Étendre le Royaume de Dieu dans et à tous les domaines de la vie.</w:t>
      </w:r>
    </w:p>
    <w:p w14:paraId="0F39395C" w14:textId="3F108725" w:rsidR="00F22CA6" w:rsidRPr="00E629FF" w:rsidRDefault="009E109F" w:rsidP="00E629FF">
      <w:pPr>
        <w:pStyle w:val="Citationenretrait"/>
        <w:numPr>
          <w:ilvl w:val="0"/>
          <w:numId w:val="24"/>
        </w:numPr>
      </w:pPr>
      <w:r w:rsidRPr="00E629FF">
        <w:t>Soutenir, collaborer, prier et bénir la communauté chrétienne dans son ensemble, conformément aux principes de l’œuvre de Dieu.</w:t>
      </w:r>
    </w:p>
    <w:p w14:paraId="0541CFA3" w14:textId="67B7C20E" w:rsidR="009E109F" w:rsidRPr="00E629FF" w:rsidRDefault="009E109F" w:rsidP="00E629FF">
      <w:pPr>
        <w:pStyle w:val="Citationenretrait"/>
        <w:numPr>
          <w:ilvl w:val="0"/>
          <w:numId w:val="24"/>
        </w:numPr>
      </w:pPr>
      <w:r w:rsidRPr="00E629FF">
        <w:lastRenderedPageBreak/>
        <w:t>Enseigner une doctrine saine menant à une vie sainte conforme à l’exemple du Christ.</w:t>
      </w:r>
    </w:p>
    <w:p w14:paraId="32325A2E" w14:textId="20B22178" w:rsidR="009E109F" w:rsidRPr="00E629FF" w:rsidRDefault="00E629FF" w:rsidP="00E629FF">
      <w:pPr>
        <w:pStyle w:val="Citationenretrait"/>
        <w:numPr>
          <w:ilvl w:val="0"/>
          <w:numId w:val="24"/>
        </w:numPr>
      </w:pPr>
      <w:r w:rsidRPr="00E629FF">
        <w:t>Fournir une éducation chrétienne en dispensant, de façon quotidienne, des enseignements académiques et religieux, tant le jour que le soir, du lundi au vendredi ainsi que les fins de semaine ; incluant l’éducation préscolaire, la maternelle, le primaire, l’intermédiaire, le secondaire et le postsecondaire, tant dans les locaux de l’église qu’à domicile.</w:t>
      </w:r>
    </w:p>
    <w:p w14:paraId="7DB06B48" w14:textId="53E74CBE" w:rsidR="00E629FF" w:rsidRPr="00E629FF" w:rsidRDefault="00E629FF" w:rsidP="00E629FF">
      <w:pPr>
        <w:pStyle w:val="Citationenretrait"/>
        <w:numPr>
          <w:ilvl w:val="0"/>
          <w:numId w:val="24"/>
        </w:numPr>
      </w:pPr>
      <w:r w:rsidRPr="00E629FF">
        <w:t>Servir l’Église et la communauté par des actes et des ministères de service chrétien et de charité, conformément aux enseignements de la Parole de Dieu.</w:t>
      </w:r>
    </w:p>
    <w:p w14:paraId="2EEC4596" w14:textId="018C854E" w:rsidR="00037A75" w:rsidRDefault="005530F6" w:rsidP="00D772CE">
      <w:pPr>
        <w:pStyle w:val="Paragraphe"/>
        <w:spacing w:line="240" w:lineRule="auto"/>
      </w:pPr>
      <w:r>
        <w:tab/>
      </w:r>
      <w:r w:rsidR="00037A75">
        <w:t>Les 31 janvier et 2 février 2023, HMI et l</w:t>
      </w:r>
      <w:r w:rsidR="00B0618D">
        <w:t>a</w:t>
      </w:r>
      <w:r w:rsidR="00037A75">
        <w:t xml:space="preserve"> SCCQ ratifient une entente de location</w:t>
      </w:r>
      <w:r w:rsidR="005E3BA2">
        <w:rPr>
          <w:rStyle w:val="Appelnotedebasdep"/>
        </w:rPr>
        <w:footnoteReference w:id="3"/>
      </w:r>
      <w:r w:rsidR="00037A75">
        <w:t xml:space="preserve"> </w:t>
      </w:r>
      <w:r w:rsidR="00BF3BB5">
        <w:t xml:space="preserve">des installations </w:t>
      </w:r>
      <w:r w:rsidR="00037A75">
        <w:t xml:space="preserve">du </w:t>
      </w:r>
      <w:r w:rsidR="00BF3BB5">
        <w:t>C</w:t>
      </w:r>
      <w:r w:rsidR="00037A75">
        <w:t>entre de</w:t>
      </w:r>
      <w:r w:rsidR="00BF3BB5">
        <w:t>s</w:t>
      </w:r>
      <w:r w:rsidR="00037A75">
        <w:t xml:space="preserve"> congrès de Québec dans le but d’y tenir </w:t>
      </w:r>
      <w:r w:rsidR="00BF3BB5">
        <w:t xml:space="preserve">pendant dix (10) jours, soit du 22 juin au 2 juillet 2023, </w:t>
      </w:r>
      <w:r w:rsidR="00037A75">
        <w:t xml:space="preserve">l’évènement </w:t>
      </w:r>
      <w:r w:rsidR="00037A75" w:rsidRPr="00037A75">
        <w:rPr>
          <w:i/>
          <w:iCs/>
        </w:rPr>
        <w:t xml:space="preserve">Rallye Foi, Feu, Liberté/ Faith, Fire, Freedom Rallye </w:t>
      </w:r>
      <w:r w:rsidR="00037A75" w:rsidRPr="00037A75">
        <w:t>devant accueillir plus de 1 </w:t>
      </w:r>
      <w:r w:rsidR="00BF3BB5">
        <w:t>2</w:t>
      </w:r>
      <w:r w:rsidR="00037A75" w:rsidRPr="00037A75">
        <w:t>00 participants</w:t>
      </w:r>
      <w:r w:rsidR="00BF3BB5">
        <w:t xml:space="preserve"> par jour</w:t>
      </w:r>
      <w:r w:rsidR="00037A75" w:rsidRPr="00037A75">
        <w:t>.</w:t>
      </w:r>
    </w:p>
    <w:p w14:paraId="54E58092" w14:textId="77777777" w:rsidR="00293888" w:rsidRDefault="005530F6" w:rsidP="001A38F2">
      <w:pPr>
        <w:pStyle w:val="Paragraphe"/>
        <w:spacing w:line="240" w:lineRule="auto"/>
      </w:pPr>
      <w:r>
        <w:tab/>
      </w:r>
      <w:r w:rsidR="006855DE">
        <w:t>Ce rassemblement se veut l’évènement culminant d’une série de rencontres organisées par la demanderesse dans différentes villes du Québec dans le cadre d’un mouvement intitulé « </w:t>
      </w:r>
      <w:r w:rsidR="006855DE" w:rsidRPr="00774559">
        <w:rPr>
          <w:i/>
          <w:iCs/>
        </w:rPr>
        <w:t>Battle for Canada</w:t>
      </w:r>
      <w:r w:rsidR="006855DE">
        <w:t> »</w:t>
      </w:r>
      <w:r w:rsidR="00293888">
        <w:t>.</w:t>
      </w:r>
      <w:r w:rsidR="00774559">
        <w:t xml:space="preserve"> </w:t>
      </w:r>
      <w:r w:rsidR="00293888">
        <w:t xml:space="preserve">Le rassemblement </w:t>
      </w:r>
      <w:r w:rsidR="00774559">
        <w:t xml:space="preserve">de Québec </w:t>
      </w:r>
      <w:r w:rsidR="00293888">
        <w:t xml:space="preserve">prévu au Centre des congrès </w:t>
      </w:r>
      <w:r w:rsidR="00774559">
        <w:t>a pour objectif principal d’unifier les deux peuples fondateurs du Canada.</w:t>
      </w:r>
    </w:p>
    <w:p w14:paraId="2E1CA186" w14:textId="363BF71C" w:rsidR="00774559" w:rsidRDefault="00293888" w:rsidP="001A38F2">
      <w:pPr>
        <w:pStyle w:val="Paragraphe"/>
        <w:spacing w:line="240" w:lineRule="auto"/>
      </w:pPr>
      <w:r>
        <w:t>L</w:t>
      </w:r>
      <w:r w:rsidR="00EA4F38">
        <w:t xml:space="preserve">e choix des dates retenues pour l’évènement, </w:t>
      </w:r>
      <w:r>
        <w:t xml:space="preserve">qui comprennent le </w:t>
      </w:r>
      <w:r w:rsidR="003271D7">
        <w:t>jour de la Fête nationale du Québec</w:t>
      </w:r>
      <w:r w:rsidR="001A6449">
        <w:t xml:space="preserve"> </w:t>
      </w:r>
      <w:r>
        <w:t xml:space="preserve">et celui de la Fête du Canada ainsi que </w:t>
      </w:r>
      <w:r w:rsidR="001A6449">
        <w:t>la proximité des plaines d’Abraham</w:t>
      </w:r>
      <w:r>
        <w:t xml:space="preserve">, lieu chargé d’histoire, </w:t>
      </w:r>
      <w:r w:rsidR="003271D7">
        <w:t>n</w:t>
      </w:r>
      <w:r w:rsidR="001A6449">
        <w:t xml:space="preserve">e </w:t>
      </w:r>
      <w:r w:rsidR="003271D7">
        <w:t>s</w:t>
      </w:r>
      <w:r w:rsidR="001A6449">
        <w:t>on</w:t>
      </w:r>
      <w:r w:rsidR="003271D7">
        <w:t>t pas anodin</w:t>
      </w:r>
      <w:r w:rsidR="001A6449">
        <w:t>s</w:t>
      </w:r>
      <w:r w:rsidR="003271D7">
        <w:t>.</w:t>
      </w:r>
    </w:p>
    <w:p w14:paraId="5839EA70" w14:textId="0A06ADCF" w:rsidR="00552BB2" w:rsidRDefault="006855DE" w:rsidP="00552BB2">
      <w:pPr>
        <w:pStyle w:val="Paragraphe"/>
        <w:spacing w:line="240" w:lineRule="auto"/>
      </w:pPr>
      <w:r>
        <w:t>L</w:t>
      </w:r>
      <w:r w:rsidR="00481F1E">
        <w:t>a demanderesse publicise l</w:t>
      </w:r>
      <w:r w:rsidR="006D713C">
        <w:t>a tenue de l</w:t>
      </w:r>
      <w:r w:rsidR="00481F1E">
        <w:t xml:space="preserve">’évènement par le biais des réseaux sociaux </w:t>
      </w:r>
      <w:r w:rsidR="006D713C">
        <w:t xml:space="preserve">en </w:t>
      </w:r>
      <w:r w:rsidR="00481F1E">
        <w:t>utilisant divers slogans</w:t>
      </w:r>
      <w:r w:rsidR="00194C64">
        <w:t>,</w:t>
      </w:r>
      <w:r w:rsidR="00481F1E">
        <w:t xml:space="preserve"> tels « </w:t>
      </w:r>
      <w:r w:rsidR="00481F1E" w:rsidRPr="003271D7">
        <w:rPr>
          <w:i/>
          <w:iCs/>
        </w:rPr>
        <w:t>Préparons le chemin</w:t>
      </w:r>
      <w:r w:rsidR="00481F1E">
        <w:t> », « </w:t>
      </w:r>
      <w:r w:rsidR="00481F1E" w:rsidRPr="003271D7">
        <w:rPr>
          <w:i/>
          <w:iCs/>
        </w:rPr>
        <w:t>Combat pour le Canada</w:t>
      </w:r>
      <w:r w:rsidR="00481F1E">
        <w:t> »</w:t>
      </w:r>
      <w:r w:rsidR="00EA4F38">
        <w:t xml:space="preserve"> et</w:t>
      </w:r>
      <w:r w:rsidR="00481F1E">
        <w:t xml:space="preserve"> « </w:t>
      </w:r>
      <w:r w:rsidR="00481F1E" w:rsidRPr="003271D7">
        <w:rPr>
          <w:i/>
          <w:iCs/>
        </w:rPr>
        <w:t>Rassemblement de grève nationale de prière</w:t>
      </w:r>
      <w:r w:rsidR="00481F1E">
        <w:t> »</w:t>
      </w:r>
      <w:r w:rsidR="00481F1E">
        <w:rPr>
          <w:rStyle w:val="Appelnotedebasdep"/>
        </w:rPr>
        <w:footnoteReference w:id="4"/>
      </w:r>
      <w:r w:rsidR="00EA4F38">
        <w:t>.</w:t>
      </w:r>
      <w:r w:rsidR="003271D7">
        <w:t xml:space="preserve"> </w:t>
      </w:r>
      <w:r w:rsidR="00EA4F38">
        <w:t xml:space="preserve">Les publicités réfèrent les intéressés à consulter et s’inscrire sur les sites web </w:t>
      </w:r>
      <w:r w:rsidR="00EA4F38" w:rsidRPr="003271D7">
        <w:rPr>
          <w:i/>
          <w:iCs/>
        </w:rPr>
        <w:t>battleforcanada.com</w:t>
      </w:r>
      <w:r w:rsidR="00EA4F38">
        <w:t xml:space="preserve"> et </w:t>
      </w:r>
      <w:r w:rsidR="00EA4F38" w:rsidRPr="003271D7">
        <w:rPr>
          <w:i/>
          <w:iCs/>
        </w:rPr>
        <w:t>rra.ca</w:t>
      </w:r>
      <w:r w:rsidR="00EA4F38">
        <w:rPr>
          <w:rStyle w:val="Appelnotedebasdep"/>
        </w:rPr>
        <w:footnoteReference w:id="5"/>
      </w:r>
      <w:r w:rsidR="00EA4F38">
        <w:t xml:space="preserve">. </w:t>
      </w:r>
      <w:r w:rsidR="00774559" w:rsidRPr="003271D7">
        <w:rPr>
          <w:i/>
          <w:iCs/>
        </w:rPr>
        <w:t xml:space="preserve"> </w:t>
      </w:r>
      <w:r w:rsidR="00552BB2">
        <w:t xml:space="preserve">L’invitation est lancée non seulement aux membres de la demanderesse mais également à tout intéressé. </w:t>
      </w:r>
    </w:p>
    <w:p w14:paraId="169413A3" w14:textId="142EC3E5" w:rsidR="00E17695" w:rsidRDefault="00BF3BB5" w:rsidP="00D772CE">
      <w:pPr>
        <w:pStyle w:val="Paragraphe"/>
        <w:spacing w:line="240" w:lineRule="auto"/>
      </w:pPr>
      <w:r>
        <w:t>Le 31 mai 2023</w:t>
      </w:r>
      <w:r w:rsidR="00E17695">
        <w:t xml:space="preserve"> en fin d’après-midi</w:t>
      </w:r>
      <w:r>
        <w:t>, le journaliste Sébastien Bovet, chef du bureau parlementaire de Radio-Canada</w:t>
      </w:r>
      <w:r w:rsidR="00E17695">
        <w:t>, Québec</w:t>
      </w:r>
      <w:r>
        <w:t xml:space="preserve"> </w:t>
      </w:r>
      <w:r w:rsidR="00D960AF">
        <w:t xml:space="preserve">transmet </w:t>
      </w:r>
      <w:r w:rsidR="00E46C34">
        <w:t xml:space="preserve">à </w:t>
      </w:r>
      <w:r w:rsidR="00E17695">
        <w:t xml:space="preserve">Brigitte Roussy, </w:t>
      </w:r>
      <w:r w:rsidR="00D960AF">
        <w:t>attachée de presse de la ministre du Tourisme</w:t>
      </w:r>
      <w:r w:rsidR="00E17695">
        <w:t xml:space="preserve"> Caroline Proulx, un courriel visant à </w:t>
      </w:r>
      <w:r w:rsidR="00D960AF">
        <w:t xml:space="preserve">obtenir une réaction de </w:t>
      </w:r>
      <w:r w:rsidR="00E17695">
        <w:t xml:space="preserve">cette dernière </w:t>
      </w:r>
      <w:r w:rsidR="00D960AF">
        <w:t xml:space="preserve">sur la tenue de l’évènement </w:t>
      </w:r>
      <w:r w:rsidR="00D960AF" w:rsidRPr="00E17695">
        <w:rPr>
          <w:i/>
          <w:iCs/>
        </w:rPr>
        <w:t>Rallye Foi, Feu, Liberté</w:t>
      </w:r>
      <w:r w:rsidR="00D960AF">
        <w:t xml:space="preserve"> au Centre des congrès de Québec.</w:t>
      </w:r>
    </w:p>
    <w:p w14:paraId="6E924C3B" w14:textId="49C207FD" w:rsidR="00D960AF" w:rsidRDefault="00D960AF" w:rsidP="00D772CE">
      <w:pPr>
        <w:pStyle w:val="Paragraphe"/>
        <w:spacing w:line="240" w:lineRule="auto"/>
      </w:pPr>
      <w:r>
        <w:t>Son courriel</w:t>
      </w:r>
      <w:r w:rsidR="00E17695">
        <w:rPr>
          <w:rStyle w:val="Appelnotedebasdep"/>
        </w:rPr>
        <w:footnoteReference w:id="6"/>
      </w:r>
      <w:r>
        <w:t xml:space="preserve"> se lit, pour l’essentiel, comme suit :</w:t>
      </w:r>
    </w:p>
    <w:p w14:paraId="3CC0A28C" w14:textId="77777777" w:rsidR="00D960AF" w:rsidRPr="00E17695" w:rsidRDefault="00D960AF" w:rsidP="00E17695">
      <w:pPr>
        <w:pStyle w:val="Citationenretrait"/>
        <w:rPr>
          <w:i/>
          <w:iCs/>
        </w:rPr>
      </w:pPr>
      <w:r w:rsidRPr="00E17695">
        <w:rPr>
          <w:i/>
          <w:iCs/>
        </w:rPr>
        <w:t>Salut Brigitte, j’epère que tu vas bien.</w:t>
      </w:r>
    </w:p>
    <w:p w14:paraId="32157BE6" w14:textId="77777777" w:rsidR="00D960AF" w:rsidRPr="00E17695" w:rsidRDefault="00D960AF" w:rsidP="00E17695">
      <w:pPr>
        <w:pStyle w:val="Citationenretrait"/>
        <w:rPr>
          <w:i/>
          <w:iCs/>
        </w:rPr>
      </w:pPr>
      <w:r w:rsidRPr="00E17695">
        <w:rPr>
          <w:i/>
          <w:iCs/>
        </w:rPr>
        <w:lastRenderedPageBreak/>
        <w:t>Du 23 juin au 2 juillet, le Centre des congrès de Québec accueillera un évènement qui s’appelle « Rallye foi, feu, libertés »</w:t>
      </w:r>
    </w:p>
    <w:p w14:paraId="14F3C27B" w14:textId="6EA1E659" w:rsidR="00D960AF" w:rsidRPr="00E17695" w:rsidRDefault="00D960AF" w:rsidP="00E17695">
      <w:pPr>
        <w:pStyle w:val="Citationenretrait"/>
        <w:rPr>
          <w:i/>
          <w:iCs/>
        </w:rPr>
      </w:pPr>
      <w:r w:rsidRPr="00E17695">
        <w:rPr>
          <w:i/>
          <w:iCs/>
        </w:rPr>
        <w:t xml:space="preserve">Site de l’évènement : </w:t>
      </w:r>
      <w:hyperlink r:id="rId8" w:history="1">
        <w:r w:rsidR="00640D12">
          <w:rPr>
            <w:rStyle w:val="Hyperlien"/>
            <w:i/>
            <w:iCs/>
          </w:rPr>
          <w:t>https://www.battleforcanada.com/</w:t>
        </w:r>
      </w:hyperlink>
    </w:p>
    <w:p w14:paraId="4EDE8140" w14:textId="5945A5C8" w:rsidR="00D960AF" w:rsidRPr="00E17695" w:rsidRDefault="00D960AF" w:rsidP="00E17695">
      <w:pPr>
        <w:pStyle w:val="Citationenretrait"/>
        <w:rPr>
          <w:i/>
          <w:iCs/>
        </w:rPr>
      </w:pPr>
      <w:r w:rsidRPr="00E17695">
        <w:rPr>
          <w:i/>
          <w:iCs/>
        </w:rPr>
        <w:t xml:space="preserve">L’évènement semble organisé par un organisme qui s’appelle « Canadian Firewall ». Site : </w:t>
      </w:r>
      <w:hyperlink r:id="rId9" w:history="1">
        <w:r w:rsidR="00640D12">
          <w:rPr>
            <w:rStyle w:val="Hyperlien"/>
            <w:i/>
            <w:iCs/>
          </w:rPr>
          <w:t>https://www.canadianfirewall.ca/</w:t>
        </w:r>
      </w:hyperlink>
    </w:p>
    <w:p w14:paraId="06AF1E4E" w14:textId="77777777" w:rsidR="00E17695" w:rsidRPr="00E17695" w:rsidRDefault="00E17695" w:rsidP="00E17695">
      <w:pPr>
        <w:pStyle w:val="Citationenretrait"/>
        <w:rPr>
          <w:i/>
          <w:iCs/>
        </w:rPr>
      </w:pPr>
      <w:r w:rsidRPr="00E17695">
        <w:rPr>
          <w:i/>
          <w:iCs/>
        </w:rPr>
        <w:t>Selon les infos du site, il s’agit d’un groupe évangélique, anti-avortement, qui dénonce des lois qui portent atteinte à la parole de Dieu, à la famille et au sexe. Bref, tu vois le genre.</w:t>
      </w:r>
    </w:p>
    <w:p w14:paraId="73DE9027" w14:textId="77777777" w:rsidR="00E17695" w:rsidRPr="00E17695" w:rsidRDefault="00E17695" w:rsidP="00E17695">
      <w:pPr>
        <w:pStyle w:val="Citationenretrait"/>
        <w:rPr>
          <w:i/>
          <w:iCs/>
        </w:rPr>
      </w:pPr>
      <w:r w:rsidRPr="00E17695">
        <w:rPr>
          <w:i/>
          <w:iCs/>
        </w:rPr>
        <w:t>Le centre des congrès affirme en gros qu’il loue des salles et qu’il ne s’occupe pas des contenus.</w:t>
      </w:r>
    </w:p>
    <w:p w14:paraId="4C2B2831" w14:textId="77777777" w:rsidR="00E17695" w:rsidRPr="00E17695" w:rsidRDefault="00E17695" w:rsidP="00E17695">
      <w:pPr>
        <w:pStyle w:val="Citationenretrait"/>
        <w:rPr>
          <w:i/>
          <w:iCs/>
        </w:rPr>
      </w:pPr>
      <w:r w:rsidRPr="00E17695">
        <w:rPr>
          <w:i/>
          <w:iCs/>
        </w:rPr>
        <w:t>J’aimerais savoir comment la ministre réagit à ce genre d’évènement, si elle est à l’aise avec la tenue de l’évènement.</w:t>
      </w:r>
    </w:p>
    <w:p w14:paraId="783B44E1" w14:textId="72AF7001" w:rsidR="00D960AF" w:rsidRPr="00E17695" w:rsidRDefault="00E17695" w:rsidP="00E17695">
      <w:pPr>
        <w:pStyle w:val="Citationenretrait"/>
        <w:rPr>
          <w:i/>
          <w:iCs/>
        </w:rPr>
      </w:pPr>
      <w:r w:rsidRPr="00E17695">
        <w:rPr>
          <w:i/>
          <w:iCs/>
        </w:rPr>
        <w:t xml:space="preserve">Merci. </w:t>
      </w:r>
    </w:p>
    <w:p w14:paraId="603C5AFE" w14:textId="235A27A4" w:rsidR="00E17695" w:rsidRDefault="00E17695" w:rsidP="00546FCD">
      <w:pPr>
        <w:pStyle w:val="Paragraphe"/>
        <w:spacing w:line="240" w:lineRule="auto"/>
      </w:pPr>
      <w:r>
        <w:t>La ministre Proulx est interpellée à titre de ministre responsable de la Société du Centre des congrès de Québec.</w:t>
      </w:r>
      <w:r>
        <w:rPr>
          <w:rStyle w:val="Appelnotedebasdep"/>
        </w:rPr>
        <w:footnoteReference w:id="7"/>
      </w:r>
    </w:p>
    <w:p w14:paraId="27DFE9D1" w14:textId="02C3E7DF" w:rsidR="00E3594B" w:rsidRDefault="00E17695" w:rsidP="00546FCD">
      <w:pPr>
        <w:pStyle w:val="Paragraphe"/>
        <w:spacing w:line="240" w:lineRule="auto"/>
      </w:pPr>
      <w:r>
        <w:t xml:space="preserve">Le courriel du journaliste est acheminé à Marie-Christine Fillion, </w:t>
      </w:r>
      <w:r w:rsidR="00E46C34">
        <w:t>d</w:t>
      </w:r>
      <w:r>
        <w:t>irectrice de cabinet de la ministre</w:t>
      </w:r>
      <w:r w:rsidR="00B80D68">
        <w:t>,</w:t>
      </w:r>
      <w:r>
        <w:t xml:space="preserve"> </w:t>
      </w:r>
      <w:r w:rsidR="00E3594B">
        <w:t xml:space="preserve">qui relaie aussitôt la demande au cabinet du premier ministre, de la </w:t>
      </w:r>
      <w:r w:rsidR="00770295">
        <w:t>m</w:t>
      </w:r>
      <w:r w:rsidR="00E3594B">
        <w:t xml:space="preserve">inistre de la </w:t>
      </w:r>
      <w:r w:rsidR="00F6108E">
        <w:t>Condition</w:t>
      </w:r>
      <w:r w:rsidR="00E3594B">
        <w:t xml:space="preserve"> féminine et enfin à Pierre-Michel Bouchard, </w:t>
      </w:r>
      <w:r w:rsidR="00E46C34">
        <w:t>p</w:t>
      </w:r>
      <w:r w:rsidR="00E3594B">
        <w:t xml:space="preserve">résident-directeur général du Centre des congrès. </w:t>
      </w:r>
    </w:p>
    <w:p w14:paraId="7440EC07" w14:textId="77777777" w:rsidR="00F3135E" w:rsidRDefault="00E3594B" w:rsidP="00546FCD">
      <w:pPr>
        <w:pStyle w:val="Paragraphe"/>
        <w:spacing w:line="240" w:lineRule="auto"/>
      </w:pPr>
      <w:r>
        <w:t xml:space="preserve">La ministre Proulx est informée de la demande du journaliste Bovet dès son arrivée au bureau le </w:t>
      </w:r>
      <w:r w:rsidR="00770295">
        <w:t>lendemain matin, le 1</w:t>
      </w:r>
      <w:r w:rsidR="00770295" w:rsidRPr="00770295">
        <w:rPr>
          <w:vertAlign w:val="superscript"/>
        </w:rPr>
        <w:t>er</w:t>
      </w:r>
      <w:r w:rsidR="00770295">
        <w:t xml:space="preserve"> juin 2023</w:t>
      </w:r>
      <w:r w:rsidR="00F3135E">
        <w:t>,</w:t>
      </w:r>
      <w:r w:rsidR="00770295">
        <w:t xml:space="preserve"> vers 7h00.</w:t>
      </w:r>
    </w:p>
    <w:p w14:paraId="2B37DDFD" w14:textId="41E6D8C7" w:rsidR="00770295" w:rsidRDefault="00F3135E" w:rsidP="00546FCD">
      <w:pPr>
        <w:pStyle w:val="Paragraphe"/>
        <w:spacing w:line="240" w:lineRule="auto"/>
      </w:pPr>
      <w:r>
        <w:t xml:space="preserve">En compagnie de sa directrice de cabinet, elle </w:t>
      </w:r>
      <w:r w:rsidR="00770295">
        <w:t xml:space="preserve">consulte le </w:t>
      </w:r>
      <w:r>
        <w:t xml:space="preserve">site </w:t>
      </w:r>
      <w:r w:rsidR="00770295">
        <w:t xml:space="preserve">web de </w:t>
      </w:r>
      <w:r w:rsidR="00C0440D">
        <w:t xml:space="preserve">l’organisation </w:t>
      </w:r>
      <w:r w:rsidR="00770295">
        <w:t>HMI dont elle ignorait</w:t>
      </w:r>
      <w:r>
        <w:t xml:space="preserve"> </w:t>
      </w:r>
      <w:r w:rsidR="00770295">
        <w:t>l’existence</w:t>
      </w:r>
      <w:r>
        <w:t xml:space="preserve"> auparavant.  </w:t>
      </w:r>
    </w:p>
    <w:p w14:paraId="3525AF1F" w14:textId="6D793959" w:rsidR="00770295" w:rsidRDefault="00F3135E" w:rsidP="00546FCD">
      <w:pPr>
        <w:pStyle w:val="Paragraphe"/>
        <w:spacing w:line="240" w:lineRule="auto"/>
      </w:pPr>
      <w:r>
        <w:t xml:space="preserve">Une information contenue à la première page </w:t>
      </w:r>
      <w:r w:rsidR="00C0440D">
        <w:t xml:space="preserve">du site </w:t>
      </w:r>
      <w:r>
        <w:t>web consulté retient son attention.</w:t>
      </w:r>
      <w:r w:rsidR="007F00CF">
        <w:rPr>
          <w:rStyle w:val="Appelnotedebasdep"/>
        </w:rPr>
        <w:footnoteReference w:id="8"/>
      </w:r>
      <w:r>
        <w:t xml:space="preserve"> La mention suivante y apparaît : </w:t>
      </w:r>
    </w:p>
    <w:p w14:paraId="7E9E3C9B" w14:textId="451577A5" w:rsidR="00F3135E" w:rsidRDefault="00F3135E" w:rsidP="00F3135E">
      <w:pPr>
        <w:pStyle w:val="Citationenretrait"/>
      </w:pPr>
      <w:r>
        <w:t>« Mittre fin à l’avortement</w:t>
      </w:r>
    </w:p>
    <w:p w14:paraId="5B798D94" w14:textId="35E1ADBE" w:rsidR="00F3135E" w:rsidRDefault="00F3135E" w:rsidP="00F3135E">
      <w:pPr>
        <w:pStyle w:val="Citationenretrait"/>
      </w:pPr>
      <w:r>
        <w:t xml:space="preserve">En 1969, le gouvernement de Pierre Trudeau a légalisé l’avortement au Canada. Initialement, il y avait des règlements concernant le moment où les grossesses pouvaient prendre fin, mais en 1968, la loi sur l’avortement a été annulée comme </w:t>
      </w:r>
      <w:r>
        <w:lastRenderedPageBreak/>
        <w:t>étant « inconstitutionnelle », laissant le Canada sans loi et autorisant les avortements à terme. Cette mesure, qui a entraîné l’avortement de quelque 4 millions de bébés à ce jour, a fait de l’utérus de la mère, l’endroit le plus dangereux pour un enfant au Canada. Nous devons prier pour le caractère sacré de la vie, et pour que l’avortement cesse au Canada ! » (sic)</w:t>
      </w:r>
    </w:p>
    <w:p w14:paraId="45B15AE0" w14:textId="77777777" w:rsidR="00564F1A" w:rsidRDefault="00564F1A" w:rsidP="00546FCD">
      <w:pPr>
        <w:pStyle w:val="Paragraphe"/>
        <w:spacing w:line="240" w:lineRule="auto"/>
      </w:pPr>
      <w:r>
        <w:t>Outrée par la teneur du message véhiculé qu’elle considère faux et contraire aux valeurs fondamentales du Québec, la ministre décide de mettre fin à l’entente de location liant la SCCQ à HMI pour la tenue de l’évènement à venir.</w:t>
      </w:r>
    </w:p>
    <w:p w14:paraId="63D2C1FD" w14:textId="727FB0B1" w:rsidR="002D55E1" w:rsidRDefault="00C0440D" w:rsidP="00546FCD">
      <w:pPr>
        <w:pStyle w:val="Paragraphe"/>
        <w:spacing w:line="240" w:lineRule="auto"/>
      </w:pPr>
      <w:r>
        <w:t xml:space="preserve">La ministre </w:t>
      </w:r>
      <w:r w:rsidR="00546FCD">
        <w:t xml:space="preserve">Proulx et </w:t>
      </w:r>
      <w:r>
        <w:t xml:space="preserve">sa directrice de cabinet </w:t>
      </w:r>
      <w:r w:rsidR="00564F1A">
        <w:t>communique</w:t>
      </w:r>
      <w:r w:rsidR="00546FCD">
        <w:t>nt</w:t>
      </w:r>
      <w:r w:rsidR="00564F1A">
        <w:t xml:space="preserve"> avec</w:t>
      </w:r>
      <w:r w:rsidR="00546FCD">
        <w:t xml:space="preserve"> le</w:t>
      </w:r>
      <w:r w:rsidR="00A65142">
        <w:t xml:space="preserve">s PDG </w:t>
      </w:r>
      <w:r w:rsidR="00564F1A">
        <w:t xml:space="preserve">de la Société du Parc olympique </w:t>
      </w:r>
      <w:r w:rsidR="00A65142">
        <w:t xml:space="preserve">et des Centres des congrès de Québec et Montréal </w:t>
      </w:r>
      <w:r w:rsidR="00564F1A">
        <w:t>afin de s’enquérir si des directives</w:t>
      </w:r>
      <w:r w:rsidR="00EA0089">
        <w:t xml:space="preserve"> énonçant des critères précis</w:t>
      </w:r>
      <w:r w:rsidR="00564F1A">
        <w:t xml:space="preserve"> concernant la location des installations</w:t>
      </w:r>
      <w:r w:rsidR="002D55E1">
        <w:t xml:space="preserve"> publiques relevant des sociétés d’</w:t>
      </w:r>
      <w:r w:rsidR="00B80D68">
        <w:t>É</w:t>
      </w:r>
      <w:r w:rsidR="002D55E1">
        <w:t xml:space="preserve">tat sous </w:t>
      </w:r>
      <w:r w:rsidR="00E46C34">
        <w:t>s</w:t>
      </w:r>
      <w:r w:rsidR="002D55E1">
        <w:t>a gouverne</w:t>
      </w:r>
      <w:r w:rsidR="00564F1A">
        <w:t xml:space="preserve"> existent et </w:t>
      </w:r>
      <w:r w:rsidR="002D55E1">
        <w:t xml:space="preserve">si </w:t>
      </w:r>
      <w:r w:rsidR="00A65142">
        <w:t>ces derni</w:t>
      </w:r>
      <w:r>
        <w:t>e</w:t>
      </w:r>
      <w:r w:rsidR="00A65142">
        <w:t xml:space="preserve">rs ont </w:t>
      </w:r>
      <w:r w:rsidR="002D55E1">
        <w:t xml:space="preserve">déjà refusé la location de </w:t>
      </w:r>
      <w:r w:rsidR="00A65142">
        <w:t>leurs</w:t>
      </w:r>
      <w:r w:rsidR="002D55E1">
        <w:t xml:space="preserve"> espaces en raison</w:t>
      </w:r>
      <w:r w:rsidR="00A65142">
        <w:t xml:space="preserve">, notamment, de </w:t>
      </w:r>
      <w:r w:rsidR="00EA0089">
        <w:t>conflit</w:t>
      </w:r>
      <w:r w:rsidR="00A65142">
        <w:t>s</w:t>
      </w:r>
      <w:r w:rsidR="00EA0089">
        <w:t xml:space="preserve"> de valeurs. </w:t>
      </w:r>
    </w:p>
    <w:p w14:paraId="2B1E34DB" w14:textId="2C9C1808" w:rsidR="002D55E1" w:rsidRDefault="00A65142" w:rsidP="00546FCD">
      <w:pPr>
        <w:pStyle w:val="Paragraphe"/>
        <w:spacing w:line="240" w:lineRule="auto"/>
      </w:pPr>
      <w:r>
        <w:t>La ministre s’entretient plus particulièrement avec Michel Labrecque de la Société du Parc Olympique</w:t>
      </w:r>
      <w:r w:rsidR="004670DA">
        <w:t>,</w:t>
      </w:r>
      <w:r>
        <w:t xml:space="preserve"> qui lui mentionne </w:t>
      </w:r>
      <w:r w:rsidR="002D55E1">
        <w:t xml:space="preserve">qu’aucune directive précise n’existe </w:t>
      </w:r>
      <w:r w:rsidR="00EA0089">
        <w:t xml:space="preserve">à ce sujet </w:t>
      </w:r>
      <w:r w:rsidR="00E46C34">
        <w:t>mais</w:t>
      </w:r>
      <w:r w:rsidR="00EA0089">
        <w:t xml:space="preserve"> </w:t>
      </w:r>
      <w:r w:rsidR="002D55E1">
        <w:t>qu</w:t>
      </w:r>
      <w:r>
        <w:t xml:space="preserve">’il a </w:t>
      </w:r>
      <w:r w:rsidR="002D55E1">
        <w:t>déjà refusé de contracter avec une organisation dont le message portait</w:t>
      </w:r>
      <w:r w:rsidR="00EA0089">
        <w:t>,</w:t>
      </w:r>
      <w:r w:rsidR="002D55E1">
        <w:t xml:space="preserve"> selon </w:t>
      </w:r>
      <w:r>
        <w:t>lui</w:t>
      </w:r>
      <w:r w:rsidR="00EA0089">
        <w:t>,</w:t>
      </w:r>
      <w:r w:rsidR="002D55E1">
        <w:t xml:space="preserve"> atteinte au respect des femmes.</w:t>
      </w:r>
    </w:p>
    <w:p w14:paraId="4F1100D0" w14:textId="7B52A62C" w:rsidR="00564F1A" w:rsidRDefault="00564F1A" w:rsidP="00546FCD">
      <w:pPr>
        <w:pStyle w:val="Paragraphe"/>
        <w:spacing w:line="240" w:lineRule="auto"/>
      </w:pPr>
      <w:r>
        <w:t>Satisfaite de</w:t>
      </w:r>
      <w:r w:rsidR="00A65142">
        <w:t xml:space="preserve">s informations obtenues, </w:t>
      </w:r>
      <w:r w:rsidR="002D55E1">
        <w:t>la ministre</w:t>
      </w:r>
      <w:r>
        <w:t xml:space="preserve"> </w:t>
      </w:r>
      <w:r w:rsidR="00E46C34">
        <w:t xml:space="preserve">décide de résilier l’entente de location. Elle </w:t>
      </w:r>
      <w:r>
        <w:t xml:space="preserve">charge </w:t>
      </w:r>
      <w:r w:rsidR="00E46C34">
        <w:t xml:space="preserve">aussitôt </w:t>
      </w:r>
      <w:r>
        <w:t xml:space="preserve">sa directrice de cabinet de mettre en œuvre </w:t>
      </w:r>
      <w:r w:rsidR="002D55E1">
        <w:t>sa</w:t>
      </w:r>
      <w:r>
        <w:t xml:space="preserve"> décision</w:t>
      </w:r>
      <w:r w:rsidR="004670DA">
        <w:t>,</w:t>
      </w:r>
      <w:r w:rsidR="002D55E1">
        <w:t xml:space="preserve"> </w:t>
      </w:r>
      <w:r w:rsidR="00EA0089">
        <w:t xml:space="preserve">qui </w:t>
      </w:r>
      <w:r w:rsidR="00E46C34">
        <w:t>est</w:t>
      </w:r>
      <w:r w:rsidR="00EA0089">
        <w:t xml:space="preserve"> partagée avec le cabinet de la ministre de la </w:t>
      </w:r>
      <w:r w:rsidR="00C0440D">
        <w:t>C</w:t>
      </w:r>
      <w:r w:rsidR="00EA0089">
        <w:t xml:space="preserve">ondition féminine et </w:t>
      </w:r>
      <w:r>
        <w:t xml:space="preserve">ensuite </w:t>
      </w:r>
      <w:r w:rsidR="00EA0089">
        <w:t>autorisée</w:t>
      </w:r>
      <w:r>
        <w:t xml:space="preserve"> par le bureau du premier ministre.</w:t>
      </w:r>
    </w:p>
    <w:p w14:paraId="000DFA4C" w14:textId="0B47A5D3" w:rsidR="00BA3309" w:rsidRDefault="00EA0089" w:rsidP="00546FCD">
      <w:pPr>
        <w:pStyle w:val="Paragraphe"/>
        <w:spacing w:line="240" w:lineRule="auto"/>
      </w:pPr>
      <w:r>
        <w:t>Le même jour, à 14h41, Fillion informe</w:t>
      </w:r>
      <w:r w:rsidR="00BA3309">
        <w:t xml:space="preserve"> par écrit </w:t>
      </w:r>
      <w:r w:rsidR="00DA77D3">
        <w:t>Pierre-Michel Bouchard, p</w:t>
      </w:r>
      <w:r w:rsidR="00BA3309">
        <w:t>résident-directeur général du Centre des congrès de la décision de la ministre en ces termes</w:t>
      </w:r>
      <w:r w:rsidR="00BC1CDD">
        <w:rPr>
          <w:rStyle w:val="Appelnotedebasdep"/>
        </w:rPr>
        <w:footnoteReference w:id="9"/>
      </w:r>
      <w:r w:rsidR="00BA3309">
        <w:t> :</w:t>
      </w:r>
    </w:p>
    <w:p w14:paraId="4468A4D4" w14:textId="6BEAF6B8" w:rsidR="00D3123B" w:rsidRPr="00BA3309" w:rsidRDefault="00BA3309" w:rsidP="00BA3309">
      <w:pPr>
        <w:pStyle w:val="Citationenretrait"/>
        <w:rPr>
          <w:i/>
          <w:iCs/>
        </w:rPr>
      </w:pPr>
      <w:r w:rsidRPr="00BA3309">
        <w:rPr>
          <w:i/>
          <w:iCs/>
        </w:rPr>
        <w:t>« Bonjour,</w:t>
      </w:r>
    </w:p>
    <w:p w14:paraId="0B1B37DF" w14:textId="00024268" w:rsidR="00BA3309" w:rsidRPr="00BA3309" w:rsidRDefault="00BA3309" w:rsidP="00BA3309">
      <w:pPr>
        <w:pStyle w:val="Citationenretrait"/>
        <w:rPr>
          <w:i/>
          <w:iCs/>
        </w:rPr>
      </w:pPr>
      <w:r w:rsidRPr="00BA3309">
        <w:rPr>
          <w:i/>
          <w:iCs/>
        </w:rPr>
        <w:t>Nous souhaitons l’annulation de l’évènement.</w:t>
      </w:r>
    </w:p>
    <w:p w14:paraId="126544A2" w14:textId="08ED5355" w:rsidR="00BA3309" w:rsidRPr="00BA3309" w:rsidRDefault="00BA3309" w:rsidP="00BA3309">
      <w:pPr>
        <w:pStyle w:val="Citationenretrait"/>
        <w:rPr>
          <w:i/>
          <w:iCs/>
        </w:rPr>
      </w:pPr>
      <w:r w:rsidRPr="00BA3309">
        <w:rPr>
          <w:i/>
          <w:iCs/>
        </w:rPr>
        <w:t>Nous croyons fermement à la liberté d’expression mais tout autant à la liberté de choix.</w:t>
      </w:r>
    </w:p>
    <w:p w14:paraId="4A9E9224" w14:textId="48D3F9B0" w:rsidR="00BA3309" w:rsidRPr="00BA3309" w:rsidRDefault="00BA3309" w:rsidP="00BA3309">
      <w:pPr>
        <w:pStyle w:val="Citationenretrait"/>
        <w:rPr>
          <w:i/>
          <w:iCs/>
        </w:rPr>
      </w:pPr>
      <w:r w:rsidRPr="00BA3309">
        <w:rPr>
          <w:i/>
          <w:iCs/>
        </w:rPr>
        <w:t>Nous avons un profond malaise avec la tenue de cet évènement dans une société publique. Rien ne les empêche de tenir l’évènement ailleurs, dans une salle privée.</w:t>
      </w:r>
    </w:p>
    <w:p w14:paraId="3CD3B49B" w14:textId="2BFEDDF4" w:rsidR="00BA3309" w:rsidRPr="00BA3309" w:rsidRDefault="00BA3309" w:rsidP="00BA3309">
      <w:pPr>
        <w:pStyle w:val="Citationenretrait"/>
        <w:rPr>
          <w:i/>
          <w:iCs/>
        </w:rPr>
      </w:pPr>
      <w:r w:rsidRPr="00BA3309">
        <w:rPr>
          <w:i/>
          <w:iCs/>
        </w:rPr>
        <w:t>Merci beaucoup,</w:t>
      </w:r>
    </w:p>
    <w:p w14:paraId="5BE30F49" w14:textId="77777777" w:rsidR="00BA3309" w:rsidRPr="00BA3309" w:rsidRDefault="00BA3309" w:rsidP="00BA3309">
      <w:pPr>
        <w:pStyle w:val="Citationenretrait"/>
        <w:rPr>
          <w:i/>
          <w:iCs/>
        </w:rPr>
      </w:pPr>
      <w:r w:rsidRPr="00BA3309">
        <w:rPr>
          <w:i/>
          <w:iCs/>
        </w:rPr>
        <w:t xml:space="preserve">Marie-Christine Fillion </w:t>
      </w:r>
    </w:p>
    <w:p w14:paraId="220A41A6" w14:textId="16F44A22" w:rsidR="00BC1CDD" w:rsidRDefault="00BA3309" w:rsidP="00BC1CDD">
      <w:pPr>
        <w:pStyle w:val="Citationenretrait"/>
        <w:spacing w:before="0"/>
        <w:rPr>
          <w:i/>
          <w:iCs/>
        </w:rPr>
      </w:pPr>
      <w:r w:rsidRPr="00BA3309">
        <w:rPr>
          <w:i/>
          <w:iCs/>
        </w:rPr>
        <w:t>Directrice de cabinet »</w:t>
      </w:r>
    </w:p>
    <w:p w14:paraId="679D4E44" w14:textId="24165F1D" w:rsidR="007F00CF" w:rsidRDefault="007F00CF" w:rsidP="003B5B9C">
      <w:pPr>
        <w:pStyle w:val="Paragraphe"/>
        <w:spacing w:line="240" w:lineRule="auto"/>
      </w:pPr>
      <w:r>
        <w:lastRenderedPageBreak/>
        <w:t xml:space="preserve">Le journaliste Bovet est par la suite informé de la position et des motivations de la </w:t>
      </w:r>
      <w:r w:rsidR="00B80D68">
        <w:t>m</w:t>
      </w:r>
      <w:r>
        <w:t>inistre eu égard à l’annulation de l’entente de location intervenue avec HMI</w:t>
      </w:r>
      <w:r w:rsidR="007D6AC3">
        <w:t xml:space="preserve"> et l</w:t>
      </w:r>
      <w:r>
        <w:t xml:space="preserve">es médias publient la nouvelle </w:t>
      </w:r>
      <w:r w:rsidR="00650234">
        <w:t>aussi</w:t>
      </w:r>
      <w:r>
        <w:t>tôt</w:t>
      </w:r>
      <w:r w:rsidR="00650234">
        <w:t xml:space="preserve">. </w:t>
      </w:r>
    </w:p>
    <w:p w14:paraId="2E6FB095" w14:textId="2CBDD9D3" w:rsidR="003B5B9C" w:rsidRDefault="00650234" w:rsidP="003B5B9C">
      <w:pPr>
        <w:pStyle w:val="Paragraphe"/>
        <w:spacing w:line="240" w:lineRule="auto"/>
      </w:pPr>
      <w:r w:rsidRPr="00650234">
        <w:t xml:space="preserve">Le </w:t>
      </w:r>
      <w:r>
        <w:t xml:space="preserve">2 juin </w:t>
      </w:r>
      <w:r w:rsidR="005E3BA2">
        <w:t xml:space="preserve">2023, </w:t>
      </w:r>
      <w:r w:rsidR="003B5B9C">
        <w:t>Bouchard informe HMI que l’évènement ne pourra pas se tenir au Centre des congrès</w:t>
      </w:r>
      <w:r w:rsidR="004670DA">
        <w:t>,</w:t>
      </w:r>
      <w:r w:rsidR="003B5B9C">
        <w:t xml:space="preserve"> précisant </w:t>
      </w:r>
      <w:r w:rsidR="003B526B">
        <w:t xml:space="preserve">notamment </w:t>
      </w:r>
      <w:r w:rsidR="003B5B9C">
        <w:t>que son organisation relève des autorités gouvernementales et qu’à la suite de discussions avec ses principaux, il a été décidé que l’évènement devrait se tenir ailleurs, dans un établissement privé de la Ville de Québec. Il confirme que le dépôt fait au moment de la réservation sera remboursé promptement.</w:t>
      </w:r>
    </w:p>
    <w:p w14:paraId="4ECAF40F" w14:textId="1FBDA990" w:rsidR="003B526B" w:rsidRDefault="003B526B" w:rsidP="003B5B9C">
      <w:pPr>
        <w:pStyle w:val="Paragraphe"/>
        <w:spacing w:line="240" w:lineRule="auto"/>
      </w:pPr>
      <w:r>
        <w:t>Il est utile de reproduire le courriel énonçant les motifs de résiliation du contrat. L’essentiel de la correspondance se lit comme suit :</w:t>
      </w:r>
    </w:p>
    <w:p w14:paraId="30DC292A" w14:textId="59092136" w:rsidR="003B526B" w:rsidRPr="003B526B" w:rsidRDefault="00F91053" w:rsidP="003B526B">
      <w:pPr>
        <w:pStyle w:val="Citationenretrait"/>
        <w:rPr>
          <w:i/>
          <w:iCs/>
          <w:lang w:val="en-CA"/>
        </w:rPr>
      </w:pPr>
      <w:r>
        <w:rPr>
          <w:i/>
          <w:iCs/>
          <w:lang w:val="en-CA"/>
        </w:rPr>
        <w:t>“</w:t>
      </w:r>
      <w:r w:rsidR="003B526B" w:rsidRPr="003B526B">
        <w:rPr>
          <w:i/>
          <w:iCs/>
          <w:lang w:val="en-CA"/>
        </w:rPr>
        <w:t>Please be informed that your event will not be held at our facilities for the following reasons:</w:t>
      </w:r>
    </w:p>
    <w:p w14:paraId="0923ECE1" w14:textId="6B77B7F0" w:rsidR="003B526B" w:rsidRPr="003B526B" w:rsidRDefault="003B526B" w:rsidP="004629F7">
      <w:pPr>
        <w:pStyle w:val="Citationenretrait"/>
        <w:numPr>
          <w:ilvl w:val="0"/>
          <w:numId w:val="26"/>
        </w:numPr>
        <w:rPr>
          <w:i/>
          <w:iCs/>
          <w:lang w:val="en-CA"/>
        </w:rPr>
      </w:pPr>
      <w:r w:rsidRPr="003B526B">
        <w:rPr>
          <w:i/>
          <w:iCs/>
          <w:lang w:val="en-CA"/>
        </w:rPr>
        <w:t>I was made aware that one of our employees was physically assaulted by Mr. Art Lucier on April 28 2023. This behavior is unacceptable to us.</w:t>
      </w:r>
    </w:p>
    <w:p w14:paraId="42432531" w14:textId="1750EF8D" w:rsidR="003B526B" w:rsidRPr="003B526B" w:rsidRDefault="003B526B" w:rsidP="004629F7">
      <w:pPr>
        <w:pStyle w:val="Citationenretrait"/>
        <w:numPr>
          <w:ilvl w:val="0"/>
          <w:numId w:val="26"/>
        </w:numPr>
        <w:rPr>
          <w:i/>
          <w:iCs/>
          <w:lang w:val="en-CA"/>
        </w:rPr>
      </w:pPr>
      <w:r w:rsidRPr="003B526B">
        <w:rPr>
          <w:i/>
          <w:iCs/>
          <w:lang w:val="en-CA"/>
        </w:rPr>
        <w:t xml:space="preserve">Futhermore, as we are owned by the </w:t>
      </w:r>
      <w:r w:rsidR="00DE0A0C" w:rsidRPr="003B526B">
        <w:rPr>
          <w:i/>
          <w:iCs/>
          <w:lang w:val="en-CA"/>
        </w:rPr>
        <w:t>Govern</w:t>
      </w:r>
      <w:r w:rsidR="00DE0A0C">
        <w:rPr>
          <w:i/>
          <w:iCs/>
          <w:lang w:val="en-CA"/>
        </w:rPr>
        <w:t>e</w:t>
      </w:r>
      <w:r w:rsidR="00DE0A0C" w:rsidRPr="003B526B">
        <w:rPr>
          <w:i/>
          <w:iCs/>
          <w:lang w:val="en-CA"/>
        </w:rPr>
        <w:t>ment</w:t>
      </w:r>
      <w:r w:rsidRPr="003B526B">
        <w:rPr>
          <w:i/>
          <w:iCs/>
          <w:lang w:val="en-CA"/>
        </w:rPr>
        <w:t xml:space="preserve"> of the Province Quebec, and after discussions with our authorities, we all consider that your event should be held elsewhere in the City, in a private facility.</w:t>
      </w:r>
    </w:p>
    <w:p w14:paraId="24F69E25" w14:textId="224AAEF4" w:rsidR="003B526B" w:rsidRPr="003B526B" w:rsidRDefault="003B526B" w:rsidP="004629F7">
      <w:pPr>
        <w:pStyle w:val="Citationenretrait"/>
        <w:numPr>
          <w:ilvl w:val="0"/>
          <w:numId w:val="26"/>
        </w:numPr>
        <w:rPr>
          <w:i/>
          <w:iCs/>
          <w:lang w:val="en-CA"/>
        </w:rPr>
      </w:pPr>
      <w:r w:rsidRPr="003B526B">
        <w:rPr>
          <w:i/>
          <w:iCs/>
          <w:lang w:val="en-CA"/>
        </w:rPr>
        <w:t>Your deposit will be refunded promptly.</w:t>
      </w:r>
    </w:p>
    <w:p w14:paraId="241DC703" w14:textId="56504B2A" w:rsidR="003B526B" w:rsidRPr="00DE0A0C" w:rsidRDefault="003B526B" w:rsidP="004629F7">
      <w:pPr>
        <w:pStyle w:val="Citationenretrait"/>
        <w:numPr>
          <w:ilvl w:val="0"/>
          <w:numId w:val="26"/>
        </w:numPr>
        <w:rPr>
          <w:i/>
          <w:iCs/>
          <w:lang w:val="en-CA"/>
        </w:rPr>
      </w:pPr>
      <w:r w:rsidRPr="003B526B">
        <w:rPr>
          <w:i/>
          <w:iCs/>
          <w:lang w:val="en-CA"/>
        </w:rPr>
        <w:t>We trust that you will inform all already registered participants and delete all references to our facility on your website and other advertising material.</w:t>
      </w:r>
      <w:r w:rsidR="00F91053">
        <w:rPr>
          <w:lang w:val="en-CA"/>
        </w:rPr>
        <w:t>”</w:t>
      </w:r>
      <w:r w:rsidRPr="004629F7">
        <w:rPr>
          <w:rStyle w:val="Appelnotedebasdep"/>
          <w:lang w:val="en-CA"/>
        </w:rPr>
        <w:t xml:space="preserve"> </w:t>
      </w:r>
      <w:r w:rsidRPr="00DE0A0C">
        <w:rPr>
          <w:rStyle w:val="Appelnotedebasdep"/>
          <w:sz w:val="24"/>
          <w:szCs w:val="24"/>
        </w:rPr>
        <w:footnoteReference w:id="10"/>
      </w:r>
      <w:r w:rsidR="00DE0A0C">
        <w:rPr>
          <w:lang w:val="en-CA"/>
        </w:rPr>
        <w:t xml:space="preserve">  (sic)</w:t>
      </w:r>
    </w:p>
    <w:p w14:paraId="099CA978" w14:textId="2A3D10B1" w:rsidR="00212A64" w:rsidRDefault="00DA77D3" w:rsidP="008607DE">
      <w:pPr>
        <w:pStyle w:val="Paragraphe"/>
        <w:spacing w:line="240" w:lineRule="auto"/>
      </w:pPr>
      <w:r>
        <w:t>Plus tard en journée</w:t>
      </w:r>
      <w:r w:rsidR="007F00CF">
        <w:t>, lors d’une mêlée de presse</w:t>
      </w:r>
      <w:r w:rsidR="007F00CF">
        <w:rPr>
          <w:rStyle w:val="Appelnotedebasdep"/>
        </w:rPr>
        <w:footnoteReference w:id="11"/>
      </w:r>
      <w:r w:rsidR="00BE6990">
        <w:t xml:space="preserve"> tenue en compagnie de l’honorable Martine Biron, ministre de la </w:t>
      </w:r>
      <w:r w:rsidR="00C0440D">
        <w:t>C</w:t>
      </w:r>
      <w:r w:rsidR="00BE6990">
        <w:t>ondition féminine</w:t>
      </w:r>
      <w:r w:rsidR="007F00CF">
        <w:t>, la ministre</w:t>
      </w:r>
      <w:r w:rsidR="003B5B9C">
        <w:t xml:space="preserve"> Proulx</w:t>
      </w:r>
      <w:r w:rsidR="007F00CF">
        <w:t xml:space="preserve"> s’exprime publiquement </w:t>
      </w:r>
      <w:r w:rsidR="007D6AC3">
        <w:t>sur le sujet.</w:t>
      </w:r>
      <w:r w:rsidR="00C0440D">
        <w:t xml:space="preserve"> </w:t>
      </w:r>
      <w:r w:rsidR="007D6AC3">
        <w:t xml:space="preserve">Elle mentionne aux journalistes </w:t>
      </w:r>
      <w:r w:rsidR="00212A64">
        <w:t>avoir donné des directives aux présidents-directeurs généraux de la SCCQ, du Palais des congrès de Montréal et de la Société de développement de mise en valeur du Parc Olympique que des évènements comme le Rallye ne se tiendraient pas dans leurs établissements.</w:t>
      </w:r>
    </w:p>
    <w:p w14:paraId="050BDDFC" w14:textId="0F59AF11" w:rsidR="00212A64" w:rsidRDefault="00212A64" w:rsidP="008607DE">
      <w:pPr>
        <w:pStyle w:val="Paragraphe"/>
        <w:spacing w:line="240" w:lineRule="auto"/>
      </w:pPr>
      <w:r>
        <w:t>Elle s’exprime plus précisément ainsi :</w:t>
      </w:r>
    </w:p>
    <w:p w14:paraId="2F6AE152" w14:textId="478E042E" w:rsidR="00212A64" w:rsidRDefault="00212A64" w:rsidP="00212A64">
      <w:pPr>
        <w:pStyle w:val="Citationenretrait"/>
      </w:pPr>
      <w:r>
        <w:t xml:space="preserve">« C’est contre les principes fondamentaux du Québec. […] Ce type d’événement n’aura pas lieu chez nous ». </w:t>
      </w:r>
    </w:p>
    <w:p w14:paraId="2AB41582" w14:textId="7C28E48C" w:rsidR="00BC1CDD" w:rsidRDefault="00212A64" w:rsidP="008607DE">
      <w:pPr>
        <w:pStyle w:val="Citationenretrait"/>
      </w:pPr>
      <w:r>
        <w:t xml:space="preserve">Oui à la liberté d’expression, mais non d’accueillir des événements qui sont en contradiction avec les principes fondamentaux du Québec. […] Nos PDG sont suffisamment intelligents, pis lorsqu’ils ont des doutes, ils appellent au ministère […] pour s’assurer que la tenue des événements correspond aux principes </w:t>
      </w:r>
      <w:r>
        <w:lastRenderedPageBreak/>
        <w:t>fondamentaux du Québec. Il n’y a jamais eu d’enjeu jusqu’à présent. Il n’y a pas eu ce type d’intervention qui a dû être faite de la part de la ministre pour recadrer le message […] »</w:t>
      </w:r>
    </w:p>
    <w:p w14:paraId="47582A52" w14:textId="337CA117" w:rsidR="00212A64" w:rsidRDefault="003B5B9C" w:rsidP="008607DE">
      <w:pPr>
        <w:pStyle w:val="Paragraphe"/>
        <w:spacing w:line="240" w:lineRule="auto"/>
      </w:pPr>
      <w:r>
        <w:t>D’une même voix, la ministre Biron mentionne</w:t>
      </w:r>
      <w:r w:rsidR="00212A64">
        <w:t> :</w:t>
      </w:r>
    </w:p>
    <w:p w14:paraId="6D1E4F43" w14:textId="20B474F4" w:rsidR="00212A64" w:rsidRDefault="003B5B9C" w:rsidP="008607DE">
      <w:pPr>
        <w:pStyle w:val="Citationenretrait"/>
      </w:pPr>
      <w:r>
        <w:t>« On est un gouvernement résolument pro-choix. Je remercie Caroline pour sa vigilance et sa promptitude à agir […]. Ça n’empêchera pas l’organisation de se trouver un endroit privé s’il le souhaite. Oui, la liberté d’expression, j’en suis, mais au gouvernement, on a des principes et on a décidé d’être conséquent. »</w:t>
      </w:r>
    </w:p>
    <w:p w14:paraId="404DCDF7" w14:textId="4B538430" w:rsidR="003B5B9C" w:rsidRDefault="00DA77D3" w:rsidP="003637BD">
      <w:pPr>
        <w:pStyle w:val="Paragraphe"/>
        <w:spacing w:line="240" w:lineRule="auto"/>
      </w:pPr>
      <w:r>
        <w:t>Arthur Lucier témoigne avoir appris la résiliation de l’entente de location par le biais des médias le 2 juin 2023.</w:t>
      </w:r>
    </w:p>
    <w:p w14:paraId="35E542FF" w14:textId="0A5A469A" w:rsidR="00602CE9" w:rsidRDefault="00602CE9" w:rsidP="003637BD">
      <w:pPr>
        <w:pStyle w:val="Paragraphe"/>
        <w:spacing w:line="240" w:lineRule="auto"/>
      </w:pPr>
      <w:r>
        <w:t>Le 5 juin 2023, par l</w:t>
      </w:r>
      <w:r w:rsidR="00E46C34">
        <w:t>’intermédiaire</w:t>
      </w:r>
      <w:r>
        <w:t xml:space="preserve"> de ses procureurs, HMI met </w:t>
      </w:r>
      <w:r w:rsidR="001E06DC" w:rsidRPr="00374608">
        <w:t>les</w:t>
      </w:r>
      <w:r w:rsidR="001E06DC">
        <w:t xml:space="preserve"> </w:t>
      </w:r>
      <w:r>
        <w:t>défendeurs en demeure de respecter leurs obligations aux termes de l’entente de location intervenue en février 2023</w:t>
      </w:r>
      <w:r w:rsidR="004670DA">
        <w:t>,</w:t>
      </w:r>
      <w:r>
        <w:t xml:space="preserve"> soulevant le caractère abusif</w:t>
      </w:r>
      <w:r w:rsidR="003637BD">
        <w:t xml:space="preserve"> et </w:t>
      </w:r>
      <w:r>
        <w:t>discriminatoire</w:t>
      </w:r>
      <w:r w:rsidR="003637BD">
        <w:t xml:space="preserve"> de sa décision et ses effets </w:t>
      </w:r>
      <w:r>
        <w:t>attentatoire</w:t>
      </w:r>
      <w:r w:rsidR="003637BD">
        <w:t>s</w:t>
      </w:r>
      <w:r>
        <w:t xml:space="preserve"> aux libertés fondamentales d’expression et de religion de sa cliente</w:t>
      </w:r>
      <w:r w:rsidR="003637BD">
        <w:t xml:space="preserve">. </w:t>
      </w:r>
    </w:p>
    <w:p w14:paraId="0BF20DED" w14:textId="4E6023A4" w:rsidR="003637BD" w:rsidRDefault="00FC36A4" w:rsidP="003637BD">
      <w:pPr>
        <w:pStyle w:val="Paragraphe"/>
        <w:spacing w:line="240" w:lineRule="auto"/>
      </w:pPr>
      <w:r>
        <w:t>Cette</w:t>
      </w:r>
      <w:r w:rsidR="003637BD">
        <w:t xml:space="preserve"> mise </w:t>
      </w:r>
      <w:r w:rsidR="001E06DC">
        <w:t>en</w:t>
      </w:r>
      <w:r w:rsidR="003637BD">
        <w:t xml:space="preserve"> demeure est adressée en vain.</w:t>
      </w:r>
    </w:p>
    <w:p w14:paraId="44D572B1" w14:textId="6BE6E2AC" w:rsidR="00602CE9" w:rsidRDefault="00602CE9" w:rsidP="003637BD">
      <w:pPr>
        <w:pStyle w:val="Paragraphe"/>
        <w:spacing w:line="240" w:lineRule="auto"/>
      </w:pPr>
      <w:r>
        <w:t>Dès lors, les représentants de la demanderesse multiplient les efforts afin de relocaliser l’évènement dans un établissement de propriété privée</w:t>
      </w:r>
      <w:r w:rsidR="003637BD">
        <w:t xml:space="preserve"> de la Ville de Québec,</w:t>
      </w:r>
      <w:r>
        <w:t xml:space="preserve"> </w:t>
      </w:r>
      <w:r w:rsidR="003637BD">
        <w:t xml:space="preserve">avec un </w:t>
      </w:r>
      <w:r>
        <w:t>succès</w:t>
      </w:r>
      <w:r w:rsidR="003637BD">
        <w:t xml:space="preserve"> plus que mitigé</w:t>
      </w:r>
      <w:r>
        <w:t xml:space="preserve">. </w:t>
      </w:r>
    </w:p>
    <w:p w14:paraId="3F45C48D" w14:textId="53CE5919" w:rsidR="00DA77D3" w:rsidRDefault="00602CE9" w:rsidP="003637BD">
      <w:pPr>
        <w:pStyle w:val="Paragraphe"/>
        <w:spacing w:line="240" w:lineRule="auto"/>
      </w:pPr>
      <w:r>
        <w:t xml:space="preserve">Le 13 juin 2023, la demanderesse </w:t>
      </w:r>
      <w:r w:rsidR="00FC36A4">
        <w:t xml:space="preserve">se voit contrainte de </w:t>
      </w:r>
      <w:r>
        <w:t>publicise</w:t>
      </w:r>
      <w:r w:rsidR="00FC36A4">
        <w:t>r</w:t>
      </w:r>
      <w:r>
        <w:t xml:space="preserve"> l’annulation de l’évènement. Malgré cela, près de 200 personnes se </w:t>
      </w:r>
      <w:r w:rsidR="003637BD">
        <w:t xml:space="preserve">réunissent dans un autre établissement de la Ville de Québec et participent tout de même à des réunions de prière et rassemblements sur les Plaines </w:t>
      </w:r>
      <w:r w:rsidR="001E06DC">
        <w:t>d</w:t>
      </w:r>
      <w:r w:rsidR="003637BD">
        <w:t xml:space="preserve">’Abraham. </w:t>
      </w:r>
      <w:r>
        <w:t xml:space="preserve">   </w:t>
      </w:r>
    </w:p>
    <w:p w14:paraId="738E9B92" w14:textId="77777777" w:rsidR="0061532B" w:rsidRDefault="003637BD" w:rsidP="003637BD">
      <w:pPr>
        <w:pStyle w:val="Paragraphe"/>
        <w:spacing w:line="240" w:lineRule="auto"/>
      </w:pPr>
      <w:r>
        <w:t>C’est dans ce contexte que la demanderesse loge au mois d’août 2023 contre les défendeurs une demande introductive d’instance en dommages</w:t>
      </w:r>
      <w:r w:rsidR="002A590A">
        <w:t>.</w:t>
      </w:r>
    </w:p>
    <w:p w14:paraId="34A97209" w14:textId="03947DAF" w:rsidR="002A590A" w:rsidRDefault="0061532B" w:rsidP="003637BD">
      <w:pPr>
        <w:pStyle w:val="Paragraphe"/>
        <w:spacing w:line="240" w:lineRule="auto"/>
      </w:pPr>
      <w:r>
        <w:t>Elle cherche à obtenir une déclaration du Tribunal à l’effet que par leurs agissements, les défende</w:t>
      </w:r>
      <w:r w:rsidR="006F6080">
        <w:t>u</w:t>
      </w:r>
      <w:r>
        <w:t xml:space="preserve">rs ont attenté à ses droits de liberté </w:t>
      </w:r>
      <w:r w:rsidR="00022BDA">
        <w:t xml:space="preserve">d’expression, </w:t>
      </w:r>
      <w:r>
        <w:t xml:space="preserve">de religion, </w:t>
      </w:r>
      <w:r w:rsidR="00022BDA">
        <w:t>d’</w:t>
      </w:r>
      <w:r>
        <w:t xml:space="preserve">opinion, </w:t>
      </w:r>
      <w:r w:rsidR="00022BDA">
        <w:t xml:space="preserve">de </w:t>
      </w:r>
      <w:r>
        <w:t xml:space="preserve">réunion pacifique ainsi qu’à la non-discrimination pour des motifs de religion ou d’opinion politique. </w:t>
      </w:r>
    </w:p>
    <w:p w14:paraId="617F2D49" w14:textId="5FAA2EC4" w:rsidR="002A590A" w:rsidRDefault="0061532B" w:rsidP="003637BD">
      <w:pPr>
        <w:pStyle w:val="Paragraphe"/>
        <w:spacing w:line="240" w:lineRule="auto"/>
      </w:pPr>
      <w:r>
        <w:t>S</w:t>
      </w:r>
      <w:r w:rsidR="002A590A">
        <w:t xml:space="preserve">a réclamation </w:t>
      </w:r>
      <w:r>
        <w:t xml:space="preserve">en dommages </w:t>
      </w:r>
      <w:r w:rsidR="002A590A">
        <w:t>se ventile comme suit :</w:t>
      </w:r>
    </w:p>
    <w:p w14:paraId="1018A9B1" w14:textId="1421AA8B" w:rsidR="00602CE9" w:rsidRDefault="002A590A" w:rsidP="007071FB">
      <w:pPr>
        <w:pStyle w:val="Paragraphe"/>
        <w:numPr>
          <w:ilvl w:val="0"/>
          <w:numId w:val="33"/>
        </w:numPr>
        <w:tabs>
          <w:tab w:val="left" w:pos="1418"/>
          <w:tab w:val="right" w:pos="9072"/>
        </w:tabs>
        <w:spacing w:before="0" w:after="80" w:line="240" w:lineRule="auto"/>
        <w:ind w:firstLine="272"/>
      </w:pPr>
      <w:r>
        <w:t>Dommages-intérêts compensatoires :</w:t>
      </w:r>
      <w:r w:rsidR="007071FB">
        <w:tab/>
      </w:r>
      <w:r>
        <w:t>30 636,92 $;</w:t>
      </w:r>
    </w:p>
    <w:p w14:paraId="6BBC1573" w14:textId="09B8E3BD" w:rsidR="002A590A" w:rsidRDefault="0061532B" w:rsidP="007071FB">
      <w:pPr>
        <w:pStyle w:val="Paragraphe"/>
        <w:numPr>
          <w:ilvl w:val="0"/>
          <w:numId w:val="33"/>
        </w:numPr>
        <w:tabs>
          <w:tab w:val="left" w:pos="1418"/>
          <w:tab w:val="right" w:pos="9072"/>
        </w:tabs>
        <w:spacing w:before="0" w:after="40" w:line="240" w:lineRule="auto"/>
        <w:ind w:firstLine="272"/>
      </w:pPr>
      <w:r>
        <w:t xml:space="preserve">Dommages punitifs : </w:t>
      </w:r>
      <w:r w:rsidR="00B07EE4">
        <w:t>i)</w:t>
      </w:r>
      <w:r w:rsidR="002D642A">
        <w:t xml:space="preserve"> </w:t>
      </w:r>
      <w:r w:rsidR="00B07EE4">
        <w:t>Hon. Caroline Proulx :</w:t>
      </w:r>
      <w:r w:rsidR="007071FB">
        <w:tab/>
      </w:r>
      <w:r w:rsidR="00B07EE4">
        <w:t xml:space="preserve">45 </w:t>
      </w:r>
      <w:r>
        <w:t>000,00 $;</w:t>
      </w:r>
    </w:p>
    <w:p w14:paraId="5B7DBC03" w14:textId="3E3DA602" w:rsidR="00B07EE4" w:rsidRDefault="00B07EE4" w:rsidP="007071FB">
      <w:pPr>
        <w:pStyle w:val="Paragraphe"/>
        <w:numPr>
          <w:ilvl w:val="0"/>
          <w:numId w:val="0"/>
        </w:numPr>
        <w:tabs>
          <w:tab w:val="right" w:pos="9072"/>
        </w:tabs>
        <w:spacing w:before="0" w:after="0" w:line="240" w:lineRule="auto"/>
        <w:ind w:left="3657"/>
      </w:pPr>
      <w:r>
        <w:t>ii)</w:t>
      </w:r>
      <w:r w:rsidR="002D642A">
        <w:t xml:space="preserve"> </w:t>
      </w:r>
      <w:r>
        <w:t>SCCQ :</w:t>
      </w:r>
      <w:r w:rsidR="002D642A">
        <w:tab/>
        <w:t xml:space="preserve">  </w:t>
      </w:r>
      <w:r>
        <w:t>5 000,00 $</w:t>
      </w:r>
      <w:r w:rsidR="002D642A">
        <w:t>;</w:t>
      </w:r>
    </w:p>
    <w:p w14:paraId="448C1DD6" w14:textId="77777777" w:rsidR="007071FB" w:rsidRDefault="001A0753" w:rsidP="007071FB">
      <w:pPr>
        <w:pStyle w:val="Paragraphe"/>
        <w:numPr>
          <w:ilvl w:val="0"/>
          <w:numId w:val="0"/>
        </w:numPr>
        <w:tabs>
          <w:tab w:val="right" w:pos="9072"/>
        </w:tabs>
        <w:spacing w:before="0" w:after="0" w:line="240" w:lineRule="auto"/>
        <w:ind w:left="3657"/>
      </w:pPr>
      <w:r>
        <w:tab/>
        <w:t>________________</w:t>
      </w:r>
    </w:p>
    <w:p w14:paraId="6D556008" w14:textId="224B97FA" w:rsidR="0061532B" w:rsidRPr="007071FB" w:rsidRDefault="00375E43" w:rsidP="007071FB">
      <w:pPr>
        <w:pStyle w:val="Paragraphe"/>
        <w:numPr>
          <w:ilvl w:val="0"/>
          <w:numId w:val="0"/>
        </w:numPr>
        <w:tabs>
          <w:tab w:val="right" w:pos="9072"/>
        </w:tabs>
        <w:spacing w:before="0" w:after="0" w:line="240" w:lineRule="auto"/>
        <w:ind w:left="3657"/>
      </w:pPr>
      <w:r w:rsidRPr="00067D48">
        <w:rPr>
          <w:b/>
          <w:bCs/>
          <w:smallCaps/>
        </w:rPr>
        <w:t>Total :</w:t>
      </w:r>
      <w:r w:rsidR="00B07EE4">
        <w:rPr>
          <w:smallCaps/>
        </w:rPr>
        <w:tab/>
      </w:r>
      <w:r w:rsidRPr="00375E43">
        <w:rPr>
          <w:smallCaps/>
        </w:rPr>
        <w:t>80 636,92 $;</w:t>
      </w:r>
    </w:p>
    <w:p w14:paraId="31CF383A" w14:textId="77777777" w:rsidR="00C2164F" w:rsidRDefault="00C2164F">
      <w:pPr>
        <w:rPr>
          <w:b/>
          <w:bCs/>
          <w:smallCaps/>
          <w:kern w:val="28"/>
          <w:u w:val="single"/>
        </w:rPr>
      </w:pPr>
      <w:r>
        <w:rPr>
          <w:b/>
          <w:bCs/>
          <w:smallCaps/>
          <w:u w:val="single"/>
        </w:rPr>
        <w:br w:type="page"/>
      </w:r>
    </w:p>
    <w:p w14:paraId="09F9C9E5" w14:textId="777A81B7" w:rsidR="00D3123B" w:rsidRPr="00D3123B" w:rsidRDefault="00D3123B" w:rsidP="00D3123B">
      <w:pPr>
        <w:pStyle w:val="Paragraphe"/>
        <w:numPr>
          <w:ilvl w:val="0"/>
          <w:numId w:val="0"/>
        </w:numPr>
        <w:spacing w:line="240" w:lineRule="auto"/>
        <w:rPr>
          <w:b/>
          <w:bCs/>
          <w:smallCaps/>
          <w:u w:val="single"/>
        </w:rPr>
      </w:pPr>
      <w:r w:rsidRPr="00D3123B">
        <w:rPr>
          <w:b/>
          <w:bCs/>
          <w:smallCaps/>
          <w:u w:val="single"/>
        </w:rPr>
        <w:lastRenderedPageBreak/>
        <w:t xml:space="preserve">Questions en litige </w:t>
      </w:r>
    </w:p>
    <w:p w14:paraId="3E25D51D" w14:textId="3822DD40" w:rsidR="00D3123B" w:rsidRDefault="00D3123B" w:rsidP="00D772CE">
      <w:pPr>
        <w:pStyle w:val="Paragraphe"/>
        <w:spacing w:line="240" w:lineRule="auto"/>
      </w:pPr>
      <w:r>
        <w:t xml:space="preserve"> Le litige soulève les questions suivantes.</w:t>
      </w:r>
    </w:p>
    <w:p w14:paraId="0DA2D865" w14:textId="0FF11607" w:rsidR="00D3123B" w:rsidRPr="00D3123B" w:rsidRDefault="00D3123B" w:rsidP="009529BD">
      <w:pPr>
        <w:pStyle w:val="TableParagraph"/>
        <w:numPr>
          <w:ilvl w:val="0"/>
          <w:numId w:val="19"/>
        </w:numPr>
        <w:tabs>
          <w:tab w:val="left" w:pos="793"/>
          <w:tab w:val="left" w:pos="799"/>
        </w:tabs>
        <w:spacing w:before="116"/>
        <w:ind w:left="1276" w:right="78" w:hanging="425"/>
        <w:jc w:val="both"/>
        <w:rPr>
          <w:sz w:val="24"/>
          <w:szCs w:val="24"/>
        </w:rPr>
      </w:pPr>
      <w:r w:rsidRPr="00D3123B">
        <w:rPr>
          <w:color w:val="030303"/>
          <w:sz w:val="24"/>
          <w:szCs w:val="24"/>
        </w:rPr>
        <w:t xml:space="preserve">Est-ce que la </w:t>
      </w:r>
      <w:r w:rsidR="00B80D68">
        <w:rPr>
          <w:color w:val="030303"/>
          <w:sz w:val="24"/>
          <w:szCs w:val="24"/>
        </w:rPr>
        <w:t>m</w:t>
      </w:r>
      <w:r w:rsidR="00FC36A4">
        <w:rPr>
          <w:color w:val="030303"/>
          <w:sz w:val="24"/>
          <w:szCs w:val="24"/>
        </w:rPr>
        <w:t xml:space="preserve">inistre du </w:t>
      </w:r>
      <w:r w:rsidR="00B80D68">
        <w:rPr>
          <w:color w:val="030303"/>
          <w:sz w:val="24"/>
          <w:szCs w:val="24"/>
        </w:rPr>
        <w:t>T</w:t>
      </w:r>
      <w:r w:rsidR="00FC36A4">
        <w:rPr>
          <w:color w:val="030303"/>
          <w:sz w:val="24"/>
          <w:szCs w:val="24"/>
        </w:rPr>
        <w:t>ourisme e</w:t>
      </w:r>
      <w:r w:rsidRPr="00D3123B">
        <w:rPr>
          <w:color w:val="030303"/>
          <w:sz w:val="24"/>
          <w:szCs w:val="24"/>
        </w:rPr>
        <w:t>t/ou la SCCQ</w:t>
      </w:r>
      <w:r w:rsidRPr="00D3123B">
        <w:rPr>
          <w:color w:val="030303"/>
          <w:spacing w:val="25"/>
          <w:sz w:val="24"/>
          <w:szCs w:val="24"/>
        </w:rPr>
        <w:t xml:space="preserve"> </w:t>
      </w:r>
      <w:r w:rsidRPr="00D3123B">
        <w:rPr>
          <w:color w:val="030303"/>
          <w:sz w:val="24"/>
          <w:szCs w:val="24"/>
        </w:rPr>
        <w:t>ont commis</w:t>
      </w:r>
      <w:r w:rsidRPr="00D3123B">
        <w:rPr>
          <w:color w:val="030303"/>
          <w:spacing w:val="28"/>
          <w:sz w:val="24"/>
          <w:szCs w:val="24"/>
        </w:rPr>
        <w:t xml:space="preserve"> </w:t>
      </w:r>
      <w:r w:rsidRPr="00D3123B">
        <w:rPr>
          <w:color w:val="030303"/>
          <w:sz w:val="24"/>
          <w:szCs w:val="24"/>
        </w:rPr>
        <w:t>une faute en résiliant le bail ? Le cas échéant, quels sont les dommages subis par HMI en</w:t>
      </w:r>
      <w:r w:rsidRPr="00D3123B">
        <w:rPr>
          <w:color w:val="030303"/>
          <w:spacing w:val="-4"/>
          <w:sz w:val="24"/>
          <w:szCs w:val="24"/>
        </w:rPr>
        <w:t xml:space="preserve"> </w:t>
      </w:r>
      <w:r w:rsidRPr="00D3123B">
        <w:rPr>
          <w:color w:val="030303"/>
          <w:sz w:val="24"/>
          <w:szCs w:val="24"/>
        </w:rPr>
        <w:t>lien avec la résiliation du bail ?</w:t>
      </w:r>
    </w:p>
    <w:p w14:paraId="005CCF64" w14:textId="77777777" w:rsidR="00D3123B" w:rsidRPr="00D3123B" w:rsidRDefault="00D3123B" w:rsidP="009529BD">
      <w:pPr>
        <w:pStyle w:val="TableParagraph"/>
        <w:tabs>
          <w:tab w:val="left" w:pos="799"/>
        </w:tabs>
        <w:spacing w:before="11"/>
        <w:ind w:left="1276" w:right="78" w:hanging="425"/>
        <w:jc w:val="both"/>
        <w:rPr>
          <w:sz w:val="24"/>
          <w:szCs w:val="24"/>
        </w:rPr>
      </w:pPr>
    </w:p>
    <w:p w14:paraId="67E314B9" w14:textId="6761DCF9" w:rsidR="00D3123B" w:rsidRPr="00D3123B" w:rsidRDefault="00D3123B" w:rsidP="009529BD">
      <w:pPr>
        <w:pStyle w:val="TableParagraph"/>
        <w:numPr>
          <w:ilvl w:val="0"/>
          <w:numId w:val="19"/>
        </w:numPr>
        <w:tabs>
          <w:tab w:val="left" w:pos="791"/>
        </w:tabs>
        <w:ind w:left="1276" w:right="98" w:hanging="425"/>
        <w:jc w:val="both"/>
        <w:rPr>
          <w:sz w:val="24"/>
          <w:szCs w:val="24"/>
        </w:rPr>
      </w:pPr>
      <w:r w:rsidRPr="00D3123B">
        <w:rPr>
          <w:color w:val="030303"/>
          <w:sz w:val="24"/>
          <w:szCs w:val="24"/>
        </w:rPr>
        <w:t>La</w:t>
      </w:r>
      <w:r w:rsidRPr="00D3123B">
        <w:rPr>
          <w:color w:val="030303"/>
          <w:spacing w:val="28"/>
          <w:sz w:val="24"/>
          <w:szCs w:val="24"/>
        </w:rPr>
        <w:t xml:space="preserve"> </w:t>
      </w:r>
      <w:r w:rsidR="00B80D68">
        <w:rPr>
          <w:color w:val="030303"/>
          <w:sz w:val="24"/>
          <w:szCs w:val="24"/>
        </w:rPr>
        <w:t>m</w:t>
      </w:r>
      <w:r w:rsidR="00FC36A4">
        <w:rPr>
          <w:color w:val="030303"/>
          <w:sz w:val="24"/>
          <w:szCs w:val="24"/>
        </w:rPr>
        <w:t xml:space="preserve">inistre du </w:t>
      </w:r>
      <w:r w:rsidR="00B80D68">
        <w:rPr>
          <w:color w:val="030303"/>
          <w:sz w:val="24"/>
          <w:szCs w:val="24"/>
        </w:rPr>
        <w:t>T</w:t>
      </w:r>
      <w:r w:rsidR="00FC36A4">
        <w:rPr>
          <w:color w:val="030303"/>
          <w:sz w:val="24"/>
          <w:szCs w:val="24"/>
        </w:rPr>
        <w:t xml:space="preserve">ourisme </w:t>
      </w:r>
      <w:r w:rsidRPr="00D3123B">
        <w:rPr>
          <w:color w:val="030303"/>
          <w:sz w:val="24"/>
          <w:szCs w:val="24"/>
        </w:rPr>
        <w:t>et/ou</w:t>
      </w:r>
      <w:r w:rsidRPr="00D3123B">
        <w:rPr>
          <w:color w:val="030303"/>
          <w:spacing w:val="27"/>
          <w:sz w:val="24"/>
          <w:szCs w:val="24"/>
        </w:rPr>
        <w:t xml:space="preserve"> </w:t>
      </w:r>
      <w:r w:rsidRPr="00D3123B">
        <w:rPr>
          <w:color w:val="030303"/>
          <w:sz w:val="24"/>
          <w:szCs w:val="24"/>
        </w:rPr>
        <w:t>la</w:t>
      </w:r>
      <w:r w:rsidRPr="00D3123B">
        <w:rPr>
          <w:color w:val="030303"/>
          <w:spacing w:val="28"/>
          <w:sz w:val="24"/>
          <w:szCs w:val="24"/>
        </w:rPr>
        <w:t xml:space="preserve"> </w:t>
      </w:r>
      <w:r w:rsidRPr="00D3123B">
        <w:rPr>
          <w:color w:val="030303"/>
          <w:sz w:val="24"/>
          <w:szCs w:val="24"/>
        </w:rPr>
        <w:t>SCCQ</w:t>
      </w:r>
      <w:r w:rsidRPr="00D3123B">
        <w:rPr>
          <w:color w:val="030303"/>
          <w:spacing w:val="34"/>
          <w:sz w:val="24"/>
          <w:szCs w:val="24"/>
        </w:rPr>
        <w:t xml:space="preserve"> </w:t>
      </w:r>
      <w:r w:rsidRPr="00D3123B">
        <w:rPr>
          <w:color w:val="030303"/>
          <w:sz w:val="24"/>
          <w:szCs w:val="24"/>
        </w:rPr>
        <w:t>ont-elles</w:t>
      </w:r>
      <w:r w:rsidRPr="00D3123B">
        <w:rPr>
          <w:color w:val="030303"/>
          <w:spacing w:val="37"/>
          <w:sz w:val="24"/>
          <w:szCs w:val="24"/>
        </w:rPr>
        <w:t xml:space="preserve"> </w:t>
      </w:r>
      <w:r w:rsidRPr="00D3123B">
        <w:rPr>
          <w:color w:val="030303"/>
          <w:sz w:val="24"/>
          <w:szCs w:val="24"/>
        </w:rPr>
        <w:t>porté</w:t>
      </w:r>
      <w:r w:rsidRPr="00D3123B">
        <w:rPr>
          <w:color w:val="030303"/>
          <w:spacing w:val="31"/>
          <w:sz w:val="24"/>
          <w:szCs w:val="24"/>
        </w:rPr>
        <w:t xml:space="preserve"> </w:t>
      </w:r>
      <w:r w:rsidRPr="00D3123B">
        <w:rPr>
          <w:color w:val="030303"/>
          <w:sz w:val="24"/>
          <w:szCs w:val="24"/>
        </w:rPr>
        <w:t>atteinte</w:t>
      </w:r>
      <w:r w:rsidRPr="00D3123B">
        <w:rPr>
          <w:color w:val="030303"/>
          <w:spacing w:val="33"/>
          <w:sz w:val="24"/>
          <w:szCs w:val="24"/>
        </w:rPr>
        <w:t xml:space="preserve"> </w:t>
      </w:r>
      <w:r w:rsidRPr="00D3123B">
        <w:rPr>
          <w:color w:val="030303"/>
          <w:sz w:val="24"/>
          <w:szCs w:val="24"/>
        </w:rPr>
        <w:t>aux</w:t>
      </w:r>
      <w:r w:rsidRPr="00D3123B">
        <w:rPr>
          <w:color w:val="030303"/>
          <w:spacing w:val="31"/>
          <w:sz w:val="24"/>
          <w:szCs w:val="24"/>
        </w:rPr>
        <w:t xml:space="preserve"> </w:t>
      </w:r>
      <w:r w:rsidRPr="00D3123B">
        <w:rPr>
          <w:color w:val="030303"/>
          <w:sz w:val="24"/>
          <w:szCs w:val="24"/>
        </w:rPr>
        <w:t>droits</w:t>
      </w:r>
      <w:r w:rsidRPr="00D3123B">
        <w:rPr>
          <w:color w:val="030303"/>
          <w:spacing w:val="33"/>
          <w:sz w:val="24"/>
          <w:szCs w:val="24"/>
        </w:rPr>
        <w:t xml:space="preserve"> </w:t>
      </w:r>
      <w:r w:rsidRPr="00D3123B">
        <w:rPr>
          <w:color w:val="030303"/>
          <w:sz w:val="24"/>
          <w:szCs w:val="24"/>
        </w:rPr>
        <w:t>et</w:t>
      </w:r>
      <w:r w:rsidRPr="00D3123B">
        <w:rPr>
          <w:color w:val="030303"/>
          <w:spacing w:val="23"/>
          <w:sz w:val="24"/>
          <w:szCs w:val="24"/>
        </w:rPr>
        <w:t xml:space="preserve"> </w:t>
      </w:r>
      <w:r w:rsidRPr="00D3123B">
        <w:rPr>
          <w:color w:val="030303"/>
          <w:sz w:val="24"/>
          <w:szCs w:val="24"/>
        </w:rPr>
        <w:t>libertés</w:t>
      </w:r>
      <w:r w:rsidRPr="00D3123B">
        <w:rPr>
          <w:color w:val="030303"/>
          <w:spacing w:val="31"/>
          <w:sz w:val="24"/>
          <w:szCs w:val="24"/>
        </w:rPr>
        <w:t xml:space="preserve"> </w:t>
      </w:r>
      <w:r w:rsidRPr="00D3123B">
        <w:rPr>
          <w:color w:val="030303"/>
          <w:sz w:val="24"/>
          <w:szCs w:val="24"/>
        </w:rPr>
        <w:t>fondamentaux de HMI</w:t>
      </w:r>
      <w:r w:rsidR="00DD5ED9">
        <w:rPr>
          <w:color w:val="030303"/>
          <w:sz w:val="24"/>
          <w:szCs w:val="24"/>
        </w:rPr>
        <w:t> </w:t>
      </w:r>
      <w:r w:rsidR="00DD5ED9">
        <w:rPr>
          <w:color w:val="1A1A1A"/>
          <w:sz w:val="24"/>
          <w:szCs w:val="24"/>
        </w:rPr>
        <w:t>?</w:t>
      </w:r>
    </w:p>
    <w:p w14:paraId="0D9EF22C" w14:textId="77777777" w:rsidR="00D3123B" w:rsidRPr="00D3123B" w:rsidRDefault="00D3123B" w:rsidP="00460FCE">
      <w:pPr>
        <w:pStyle w:val="TableParagraph"/>
        <w:spacing w:before="6"/>
        <w:ind w:left="709"/>
        <w:jc w:val="both"/>
        <w:rPr>
          <w:sz w:val="24"/>
          <w:szCs w:val="24"/>
        </w:rPr>
      </w:pPr>
    </w:p>
    <w:p w14:paraId="69D4FDB7" w14:textId="01592C89" w:rsidR="00D3123B" w:rsidRPr="009D7164" w:rsidRDefault="00D3123B" w:rsidP="009529BD">
      <w:pPr>
        <w:pStyle w:val="TableParagraph"/>
        <w:numPr>
          <w:ilvl w:val="2"/>
          <w:numId w:val="17"/>
        </w:numPr>
        <w:tabs>
          <w:tab w:val="left" w:pos="1134"/>
        </w:tabs>
        <w:spacing w:before="18"/>
        <w:ind w:left="1701" w:hanging="425"/>
        <w:jc w:val="both"/>
        <w:rPr>
          <w:sz w:val="24"/>
          <w:szCs w:val="24"/>
        </w:rPr>
      </w:pPr>
      <w:r w:rsidRPr="00D3123B">
        <w:rPr>
          <w:color w:val="030303"/>
          <w:sz w:val="24"/>
          <w:szCs w:val="24"/>
        </w:rPr>
        <w:t>Liberté</w:t>
      </w:r>
      <w:r w:rsidRPr="00D3123B">
        <w:rPr>
          <w:color w:val="030303"/>
          <w:spacing w:val="-3"/>
          <w:sz w:val="24"/>
          <w:szCs w:val="24"/>
        </w:rPr>
        <w:t xml:space="preserve"> </w:t>
      </w:r>
      <w:r w:rsidRPr="00D3123B">
        <w:rPr>
          <w:color w:val="030303"/>
          <w:sz w:val="24"/>
          <w:szCs w:val="24"/>
        </w:rPr>
        <w:t>d'expression</w:t>
      </w:r>
      <w:r w:rsidRPr="00D3123B">
        <w:rPr>
          <w:color w:val="030303"/>
          <w:spacing w:val="13"/>
          <w:sz w:val="24"/>
          <w:szCs w:val="24"/>
        </w:rPr>
        <w:t xml:space="preserve"> </w:t>
      </w:r>
      <w:r w:rsidRPr="00D3123B">
        <w:rPr>
          <w:color w:val="030303"/>
          <w:sz w:val="24"/>
          <w:szCs w:val="24"/>
        </w:rPr>
        <w:t>et d'opinion</w:t>
      </w:r>
      <w:r w:rsidR="00A111CA">
        <w:rPr>
          <w:color w:val="030303"/>
          <w:sz w:val="24"/>
          <w:szCs w:val="24"/>
        </w:rPr>
        <w:t> ;</w:t>
      </w:r>
      <w:r w:rsidR="0081213E">
        <w:rPr>
          <w:rStyle w:val="Appelnotedebasdep"/>
          <w:color w:val="030303"/>
          <w:sz w:val="24"/>
          <w:szCs w:val="24"/>
        </w:rPr>
        <w:footnoteReference w:id="12"/>
      </w:r>
      <w:r w:rsidR="0081213E">
        <w:rPr>
          <w:color w:val="030303"/>
          <w:sz w:val="24"/>
          <w:szCs w:val="24"/>
        </w:rPr>
        <w:t> </w:t>
      </w:r>
    </w:p>
    <w:p w14:paraId="2B16383D" w14:textId="02FD92DA" w:rsidR="00D3123B" w:rsidRPr="00107718" w:rsidRDefault="00D3123B" w:rsidP="009529BD">
      <w:pPr>
        <w:pStyle w:val="TableParagraph"/>
        <w:numPr>
          <w:ilvl w:val="2"/>
          <w:numId w:val="17"/>
        </w:numPr>
        <w:spacing w:before="18"/>
        <w:ind w:left="1701" w:hanging="425"/>
        <w:jc w:val="both"/>
        <w:rPr>
          <w:sz w:val="24"/>
          <w:szCs w:val="24"/>
        </w:rPr>
      </w:pPr>
      <w:r w:rsidRPr="00460FCE">
        <w:rPr>
          <w:color w:val="030303"/>
          <w:sz w:val="24"/>
          <w:szCs w:val="24"/>
        </w:rPr>
        <w:t>Liberté</w:t>
      </w:r>
      <w:r w:rsidRPr="00460FCE">
        <w:rPr>
          <w:color w:val="030303"/>
          <w:spacing w:val="2"/>
          <w:sz w:val="24"/>
          <w:szCs w:val="24"/>
        </w:rPr>
        <w:t xml:space="preserve"> </w:t>
      </w:r>
      <w:r w:rsidRPr="00460FCE">
        <w:rPr>
          <w:color w:val="030303"/>
          <w:sz w:val="24"/>
          <w:szCs w:val="24"/>
        </w:rPr>
        <w:t>de</w:t>
      </w:r>
      <w:r w:rsidRPr="00460FCE">
        <w:rPr>
          <w:color w:val="030303"/>
          <w:spacing w:val="-12"/>
          <w:sz w:val="24"/>
          <w:szCs w:val="24"/>
        </w:rPr>
        <w:t xml:space="preserve"> </w:t>
      </w:r>
      <w:r w:rsidRPr="00460FCE">
        <w:rPr>
          <w:color w:val="030303"/>
          <w:sz w:val="24"/>
          <w:szCs w:val="24"/>
        </w:rPr>
        <w:t>réunion</w:t>
      </w:r>
      <w:r w:rsidRPr="00460FCE">
        <w:rPr>
          <w:color w:val="030303"/>
          <w:spacing w:val="-2"/>
          <w:sz w:val="24"/>
          <w:szCs w:val="24"/>
        </w:rPr>
        <w:t xml:space="preserve"> </w:t>
      </w:r>
      <w:r w:rsidRPr="00460FCE">
        <w:rPr>
          <w:color w:val="030303"/>
          <w:sz w:val="24"/>
          <w:szCs w:val="24"/>
        </w:rPr>
        <w:t>pacifique</w:t>
      </w:r>
      <w:r w:rsidR="00A111CA">
        <w:rPr>
          <w:color w:val="030303"/>
          <w:sz w:val="24"/>
          <w:szCs w:val="24"/>
        </w:rPr>
        <w:t> ;</w:t>
      </w:r>
      <w:r w:rsidR="00A111CA">
        <w:rPr>
          <w:rStyle w:val="Appelnotedebasdep"/>
          <w:color w:val="030303"/>
          <w:sz w:val="24"/>
          <w:szCs w:val="24"/>
        </w:rPr>
        <w:footnoteReference w:id="13"/>
      </w:r>
    </w:p>
    <w:p w14:paraId="0511A204" w14:textId="77777777" w:rsidR="00B11521" w:rsidRPr="00B11521" w:rsidRDefault="009D7164" w:rsidP="009529BD">
      <w:pPr>
        <w:pStyle w:val="TableParagraph"/>
        <w:numPr>
          <w:ilvl w:val="2"/>
          <w:numId w:val="17"/>
        </w:numPr>
        <w:tabs>
          <w:tab w:val="left" w:pos="1140"/>
        </w:tabs>
        <w:spacing w:before="18"/>
        <w:ind w:left="1701" w:hanging="425"/>
        <w:jc w:val="both"/>
        <w:rPr>
          <w:sz w:val="24"/>
          <w:szCs w:val="24"/>
        </w:rPr>
      </w:pPr>
      <w:r w:rsidRPr="009D7164">
        <w:rPr>
          <w:color w:val="030303"/>
          <w:sz w:val="24"/>
          <w:szCs w:val="24"/>
        </w:rPr>
        <w:t>Liberté</w:t>
      </w:r>
      <w:r w:rsidRPr="009D7164">
        <w:rPr>
          <w:color w:val="030303"/>
          <w:spacing w:val="4"/>
          <w:sz w:val="24"/>
          <w:szCs w:val="24"/>
        </w:rPr>
        <w:t xml:space="preserve"> </w:t>
      </w:r>
      <w:r w:rsidRPr="009D7164">
        <w:rPr>
          <w:color w:val="030303"/>
          <w:sz w:val="24"/>
          <w:szCs w:val="24"/>
        </w:rPr>
        <w:t>de</w:t>
      </w:r>
      <w:r w:rsidRPr="009D7164">
        <w:rPr>
          <w:color w:val="030303"/>
          <w:spacing w:val="-5"/>
          <w:sz w:val="24"/>
          <w:szCs w:val="24"/>
        </w:rPr>
        <w:t xml:space="preserve"> </w:t>
      </w:r>
      <w:r w:rsidRPr="009D7164">
        <w:rPr>
          <w:color w:val="030303"/>
          <w:sz w:val="24"/>
          <w:szCs w:val="24"/>
        </w:rPr>
        <w:t>religion</w:t>
      </w:r>
      <w:r w:rsidR="00A111CA">
        <w:rPr>
          <w:color w:val="030303"/>
          <w:sz w:val="24"/>
          <w:szCs w:val="24"/>
        </w:rPr>
        <w:t> ;</w:t>
      </w:r>
      <w:r w:rsidR="00A111CA">
        <w:rPr>
          <w:rStyle w:val="Appelnotedebasdep"/>
          <w:color w:val="030303"/>
          <w:sz w:val="24"/>
          <w:szCs w:val="24"/>
        </w:rPr>
        <w:footnoteReference w:id="14"/>
      </w:r>
      <w:r w:rsidR="00A111CA">
        <w:rPr>
          <w:color w:val="030303"/>
          <w:sz w:val="24"/>
          <w:szCs w:val="24"/>
        </w:rPr>
        <w:t xml:space="preserve"> </w:t>
      </w:r>
    </w:p>
    <w:p w14:paraId="77C5375B" w14:textId="533493F0" w:rsidR="00B11521" w:rsidRPr="00B11521" w:rsidRDefault="00B11521" w:rsidP="009529BD">
      <w:pPr>
        <w:pStyle w:val="TableParagraph"/>
        <w:numPr>
          <w:ilvl w:val="2"/>
          <w:numId w:val="17"/>
        </w:numPr>
        <w:tabs>
          <w:tab w:val="left" w:pos="1140"/>
        </w:tabs>
        <w:spacing w:before="18"/>
        <w:ind w:left="1701" w:hanging="425"/>
        <w:jc w:val="both"/>
        <w:rPr>
          <w:sz w:val="24"/>
          <w:szCs w:val="24"/>
        </w:rPr>
      </w:pPr>
      <w:r>
        <w:rPr>
          <w:color w:val="030303"/>
          <w:sz w:val="24"/>
          <w:szCs w:val="24"/>
        </w:rPr>
        <w:t>Droit à l’égalité sans discrimination fondée sur la religion ou les convictions politiques</w:t>
      </w:r>
      <w:r w:rsidR="00B94FB0">
        <w:rPr>
          <w:color w:val="030303"/>
          <w:sz w:val="24"/>
          <w:szCs w:val="24"/>
        </w:rPr>
        <w:t xml:space="preserve"> </w:t>
      </w:r>
      <w:r>
        <w:rPr>
          <w:color w:val="030303"/>
          <w:sz w:val="24"/>
          <w:szCs w:val="24"/>
        </w:rPr>
        <w:t>;</w:t>
      </w:r>
      <w:r w:rsidRPr="00B11521">
        <w:rPr>
          <w:rStyle w:val="Appelnotedebasdep"/>
          <w:color w:val="030303"/>
          <w:sz w:val="24"/>
          <w:szCs w:val="24"/>
        </w:rPr>
        <w:t xml:space="preserve"> </w:t>
      </w:r>
      <w:r>
        <w:rPr>
          <w:rStyle w:val="Appelnotedebasdep"/>
          <w:color w:val="030303"/>
          <w:sz w:val="24"/>
          <w:szCs w:val="24"/>
        </w:rPr>
        <w:footnoteReference w:id="15"/>
      </w:r>
    </w:p>
    <w:p w14:paraId="2EEB15C9" w14:textId="2D9A16B4" w:rsidR="00D3123B" w:rsidRPr="00D3123B" w:rsidRDefault="00D3123B" w:rsidP="000374D0">
      <w:pPr>
        <w:pStyle w:val="TableParagraph"/>
        <w:numPr>
          <w:ilvl w:val="0"/>
          <w:numId w:val="20"/>
        </w:numPr>
        <w:tabs>
          <w:tab w:val="left" w:pos="670"/>
          <w:tab w:val="left" w:pos="693"/>
        </w:tabs>
        <w:spacing w:before="120" w:after="120"/>
        <w:ind w:left="1276" w:right="101" w:hanging="425"/>
        <w:jc w:val="both"/>
        <w:rPr>
          <w:sz w:val="24"/>
          <w:szCs w:val="24"/>
        </w:rPr>
      </w:pPr>
      <w:r w:rsidRPr="00D3123B">
        <w:rPr>
          <w:color w:val="030303"/>
          <w:sz w:val="24"/>
          <w:szCs w:val="24"/>
        </w:rPr>
        <w:t>S'il existe une atteinte (intentionnelle ou non), quelle est la réparation appropriée dans les circonstances ?</w:t>
      </w:r>
    </w:p>
    <w:p w14:paraId="33149439" w14:textId="3F89FB6B" w:rsidR="00D3123B" w:rsidRPr="00D3123B" w:rsidRDefault="00D3123B" w:rsidP="000374D0">
      <w:pPr>
        <w:pStyle w:val="Paragraphe"/>
        <w:numPr>
          <w:ilvl w:val="0"/>
          <w:numId w:val="0"/>
        </w:numPr>
        <w:spacing w:line="240" w:lineRule="auto"/>
        <w:rPr>
          <w:b/>
          <w:bCs/>
          <w:smallCaps/>
          <w:u w:val="single"/>
        </w:rPr>
      </w:pPr>
      <w:r w:rsidRPr="00D3123B">
        <w:rPr>
          <w:b/>
          <w:bCs/>
          <w:smallCaps/>
          <w:u w:val="single"/>
        </w:rPr>
        <w:t>Analyse et décision</w:t>
      </w:r>
    </w:p>
    <w:p w14:paraId="4F51B00C" w14:textId="4F8D0C38" w:rsidR="00D3123B" w:rsidRDefault="003A39F7" w:rsidP="000374D0">
      <w:pPr>
        <w:pStyle w:val="Paragraphe"/>
        <w:spacing w:line="240" w:lineRule="auto"/>
      </w:pPr>
      <w:r>
        <w:t>Le Tribunal répond aux questions que soulève le litige de la manière suivante.</w:t>
      </w:r>
    </w:p>
    <w:p w14:paraId="12BFFDE4" w14:textId="035E1345" w:rsidR="003A39F7" w:rsidRPr="003A39F7" w:rsidRDefault="003A39F7" w:rsidP="003A39F7">
      <w:pPr>
        <w:pStyle w:val="TableParagraph"/>
        <w:tabs>
          <w:tab w:val="left" w:pos="793"/>
          <w:tab w:val="left" w:pos="799"/>
        </w:tabs>
        <w:spacing w:before="116"/>
        <w:ind w:right="78"/>
        <w:jc w:val="both"/>
        <w:rPr>
          <w:b/>
          <w:bCs/>
          <w:i/>
          <w:iCs/>
          <w:sz w:val="24"/>
          <w:szCs w:val="24"/>
        </w:rPr>
      </w:pPr>
      <w:r w:rsidRPr="003A39F7">
        <w:rPr>
          <w:b/>
          <w:bCs/>
          <w:i/>
          <w:iCs/>
          <w:color w:val="030303"/>
          <w:sz w:val="24"/>
          <w:szCs w:val="24"/>
        </w:rPr>
        <w:t xml:space="preserve">Est-ce que la </w:t>
      </w:r>
      <w:r w:rsidR="00B80D68">
        <w:rPr>
          <w:b/>
          <w:bCs/>
          <w:i/>
          <w:iCs/>
          <w:color w:val="030303"/>
          <w:sz w:val="24"/>
          <w:szCs w:val="24"/>
        </w:rPr>
        <w:t>m</w:t>
      </w:r>
      <w:r w:rsidR="00FC36A4">
        <w:rPr>
          <w:b/>
          <w:bCs/>
          <w:i/>
          <w:iCs/>
          <w:color w:val="030303"/>
          <w:sz w:val="24"/>
          <w:szCs w:val="24"/>
        </w:rPr>
        <w:t xml:space="preserve">inistre du </w:t>
      </w:r>
      <w:r w:rsidR="00B80D68">
        <w:rPr>
          <w:b/>
          <w:bCs/>
          <w:i/>
          <w:iCs/>
          <w:color w:val="030303"/>
          <w:sz w:val="24"/>
          <w:szCs w:val="24"/>
        </w:rPr>
        <w:t>T</w:t>
      </w:r>
      <w:r w:rsidR="00FC36A4">
        <w:rPr>
          <w:b/>
          <w:bCs/>
          <w:i/>
          <w:iCs/>
          <w:color w:val="030303"/>
          <w:sz w:val="24"/>
          <w:szCs w:val="24"/>
        </w:rPr>
        <w:t xml:space="preserve">ourisme </w:t>
      </w:r>
      <w:r w:rsidRPr="003A39F7">
        <w:rPr>
          <w:b/>
          <w:bCs/>
          <w:i/>
          <w:iCs/>
          <w:color w:val="030303"/>
          <w:sz w:val="24"/>
          <w:szCs w:val="24"/>
        </w:rPr>
        <w:t>et/ou la SCCQ</w:t>
      </w:r>
      <w:r w:rsidRPr="003A39F7">
        <w:rPr>
          <w:b/>
          <w:bCs/>
          <w:i/>
          <w:iCs/>
          <w:color w:val="030303"/>
          <w:spacing w:val="25"/>
          <w:sz w:val="24"/>
          <w:szCs w:val="24"/>
        </w:rPr>
        <w:t xml:space="preserve"> </w:t>
      </w:r>
      <w:r w:rsidRPr="003A39F7">
        <w:rPr>
          <w:b/>
          <w:bCs/>
          <w:i/>
          <w:iCs/>
          <w:color w:val="030303"/>
          <w:sz w:val="24"/>
          <w:szCs w:val="24"/>
        </w:rPr>
        <w:t>ont commis</w:t>
      </w:r>
      <w:r w:rsidRPr="003A39F7">
        <w:rPr>
          <w:b/>
          <w:bCs/>
          <w:i/>
          <w:iCs/>
          <w:color w:val="030303"/>
          <w:spacing w:val="28"/>
          <w:sz w:val="24"/>
          <w:szCs w:val="24"/>
        </w:rPr>
        <w:t xml:space="preserve"> </w:t>
      </w:r>
      <w:r w:rsidRPr="003A39F7">
        <w:rPr>
          <w:b/>
          <w:bCs/>
          <w:i/>
          <w:iCs/>
          <w:color w:val="030303"/>
          <w:sz w:val="24"/>
          <w:szCs w:val="24"/>
        </w:rPr>
        <w:t>une faute en résiliant le bail ? Le cas échéant, quels sont les dommages subis par HMI en</w:t>
      </w:r>
      <w:r w:rsidRPr="003A39F7">
        <w:rPr>
          <w:b/>
          <w:bCs/>
          <w:i/>
          <w:iCs/>
          <w:color w:val="030303"/>
          <w:spacing w:val="-4"/>
          <w:sz w:val="24"/>
          <w:szCs w:val="24"/>
        </w:rPr>
        <w:t xml:space="preserve"> </w:t>
      </w:r>
      <w:r w:rsidRPr="003A39F7">
        <w:rPr>
          <w:b/>
          <w:bCs/>
          <w:i/>
          <w:iCs/>
          <w:color w:val="030303"/>
          <w:sz w:val="24"/>
          <w:szCs w:val="24"/>
        </w:rPr>
        <w:t>lien avec la résiliation du bail ?</w:t>
      </w:r>
    </w:p>
    <w:p w14:paraId="07DEBCF1" w14:textId="517874A8" w:rsidR="00BE6E58" w:rsidRPr="00BE6E58" w:rsidRDefault="00BE6E58" w:rsidP="003271D7">
      <w:pPr>
        <w:pStyle w:val="Paragraphe"/>
        <w:numPr>
          <w:ilvl w:val="0"/>
          <w:numId w:val="0"/>
        </w:numPr>
        <w:ind w:firstLine="731"/>
        <w:rPr>
          <w:i/>
          <w:iCs/>
          <w:u w:val="single"/>
        </w:rPr>
      </w:pPr>
      <w:r w:rsidRPr="00BE6E58">
        <w:rPr>
          <w:i/>
          <w:iCs/>
          <w:u w:val="single"/>
        </w:rPr>
        <w:t>La responsabilité contractuelle de la SCCQ</w:t>
      </w:r>
    </w:p>
    <w:p w14:paraId="6E269E13" w14:textId="67133703" w:rsidR="00771EFA" w:rsidRDefault="00771EFA" w:rsidP="00650234">
      <w:pPr>
        <w:pStyle w:val="Paragraphe"/>
        <w:spacing w:line="240" w:lineRule="auto"/>
      </w:pPr>
      <w:r>
        <w:t>L</w:t>
      </w:r>
      <w:r w:rsidR="005E3BA2">
        <w:t xml:space="preserve">a demanderesse et la SCCQ </w:t>
      </w:r>
      <w:r>
        <w:t xml:space="preserve">sont liées par un </w:t>
      </w:r>
      <w:r w:rsidR="005E3BA2">
        <w:t xml:space="preserve">contrat de </w:t>
      </w:r>
      <w:r>
        <w:t xml:space="preserve">bail </w:t>
      </w:r>
      <w:r w:rsidR="005E3BA2">
        <w:t xml:space="preserve">locatif au sens des articles 1851 et suivants du </w:t>
      </w:r>
      <w:r w:rsidR="005E3BA2" w:rsidRPr="00627DA3">
        <w:rPr>
          <w:i/>
          <w:iCs/>
        </w:rPr>
        <w:t>Code civil du Québec</w:t>
      </w:r>
      <w:r w:rsidR="005E3BA2">
        <w:t>.</w:t>
      </w:r>
    </w:p>
    <w:p w14:paraId="1157B425" w14:textId="748905F6" w:rsidR="006E5C99" w:rsidRDefault="005E3BA2" w:rsidP="006E5C99">
      <w:pPr>
        <w:pStyle w:val="Paragraphe"/>
        <w:spacing w:line="240" w:lineRule="auto"/>
      </w:pPr>
      <w:r>
        <w:t xml:space="preserve">Par </w:t>
      </w:r>
      <w:r w:rsidR="00022BDA">
        <w:t xml:space="preserve">un </w:t>
      </w:r>
      <w:r>
        <w:t xml:space="preserve">courriel daté du </w:t>
      </w:r>
      <w:r w:rsidR="00CA27BA">
        <w:t>2</w:t>
      </w:r>
      <w:r>
        <w:t xml:space="preserve"> juin 2023, la SCCQ informe la demanderesse qu’elle met fin </w:t>
      </w:r>
      <w:r w:rsidR="000C34E3">
        <w:t xml:space="preserve">à l’entente de </w:t>
      </w:r>
      <w:r w:rsidR="00650234">
        <w:t>location</w:t>
      </w:r>
      <w:r w:rsidR="00107718">
        <w:t>.</w:t>
      </w:r>
      <w:r w:rsidR="00107718" w:rsidRPr="00107718">
        <w:t xml:space="preserve"> </w:t>
      </w:r>
      <w:r w:rsidR="00107718">
        <w:t xml:space="preserve">Elle précise que cette décision se fonde </w:t>
      </w:r>
      <w:r w:rsidR="006E5C99">
        <w:t>sur deux motifs.</w:t>
      </w:r>
    </w:p>
    <w:p w14:paraId="671BDB25" w14:textId="02999EFA" w:rsidR="006E5C99" w:rsidRDefault="00C31559" w:rsidP="006E5C99">
      <w:pPr>
        <w:pStyle w:val="Paragraphe"/>
        <w:spacing w:line="240" w:lineRule="auto"/>
      </w:pPr>
      <w:r>
        <w:t>D’abord, e</w:t>
      </w:r>
      <w:r w:rsidR="006E5C99">
        <w:t xml:space="preserve">lle invoque </w:t>
      </w:r>
      <w:r>
        <w:t>l</w:t>
      </w:r>
      <w:r w:rsidR="00107718">
        <w:t>e fait qu</w:t>
      </w:r>
      <w:r w:rsidR="006E5C99">
        <w:t>e M. Lucier aurait agressé physiquement u</w:t>
      </w:r>
      <w:r w:rsidR="00107718">
        <w:t>n de ses représentants au mois d’avril précédent</w:t>
      </w:r>
      <w:r w:rsidR="006E5C99">
        <w:t xml:space="preserve">. </w:t>
      </w:r>
    </w:p>
    <w:p w14:paraId="7EE613CC" w14:textId="71F724B7" w:rsidR="00511A15" w:rsidRDefault="00511A15" w:rsidP="00511A15">
      <w:pPr>
        <w:pStyle w:val="Paragraphe"/>
        <w:spacing w:line="240" w:lineRule="auto"/>
      </w:pPr>
      <w:r>
        <w:lastRenderedPageBreak/>
        <w:t>La SCCQ mentionne ensuite qu’elle est une société mandataire de l’État et qu’à la suite d’une discussion avec ses principaux, il a été convenu que l’évènement devrait se tenir ailleurs, dans un établissement privé de la Ville de Québec.</w:t>
      </w:r>
    </w:p>
    <w:p w14:paraId="517061A5" w14:textId="44533858" w:rsidR="00C31559" w:rsidRDefault="00C31559" w:rsidP="00C31559">
      <w:pPr>
        <w:pStyle w:val="Paragraphe"/>
        <w:spacing w:line="240" w:lineRule="auto"/>
      </w:pPr>
      <w:r>
        <w:t xml:space="preserve">S’agissant du premier motif, la SCCQ n’insiste pas pour le mettre de l’avant et ne présente à son soutien qu’une preuve très peu élaborée ni convaincante. </w:t>
      </w:r>
    </w:p>
    <w:p w14:paraId="505A3C7A" w14:textId="438EDDC9" w:rsidR="00C31559" w:rsidRDefault="00C31559" w:rsidP="00EF4890">
      <w:pPr>
        <w:pStyle w:val="Paragraphe"/>
        <w:spacing w:line="240" w:lineRule="auto"/>
      </w:pPr>
      <w:r>
        <w:t>Qu’en est-il du second ?</w:t>
      </w:r>
    </w:p>
    <w:p w14:paraId="119F947B" w14:textId="411A3B23" w:rsidR="00CD74FF" w:rsidRDefault="00C31559" w:rsidP="00EF4890">
      <w:pPr>
        <w:pStyle w:val="Paragraphe"/>
        <w:spacing w:line="240" w:lineRule="auto"/>
      </w:pPr>
      <w:r>
        <w:t>Le 2 juin 2023, l</w:t>
      </w:r>
      <w:r w:rsidR="00CD74FF">
        <w:t>a SCCQ confirme qu’elle résilie unilatéralement l’entente de location</w:t>
      </w:r>
      <w:r>
        <w:t xml:space="preserve"> intervenue avec la demanderesse</w:t>
      </w:r>
      <w:r w:rsidR="00CD74FF">
        <w:t xml:space="preserve"> et qu’elle ne respectera pas ses obligations envers </w:t>
      </w:r>
      <w:r>
        <w:t>cette dernière</w:t>
      </w:r>
      <w:r w:rsidR="00CD74FF">
        <w:t>.</w:t>
      </w:r>
    </w:p>
    <w:p w14:paraId="0290DF2E" w14:textId="15449B3B" w:rsidR="00C31559" w:rsidRDefault="00C31559" w:rsidP="00EF4890">
      <w:pPr>
        <w:pStyle w:val="Paragraphe"/>
        <w:spacing w:line="240" w:lineRule="auto"/>
      </w:pPr>
      <w:r>
        <w:t>Ce faisant, elle engage sa responsabilité contractuelle.</w:t>
      </w:r>
    </w:p>
    <w:p w14:paraId="1ABBA5E9" w14:textId="77777777" w:rsidR="00457AEB" w:rsidRDefault="00457AEB" w:rsidP="00457AEB">
      <w:pPr>
        <w:pStyle w:val="Paragraphe"/>
      </w:pPr>
      <w:r>
        <w:t xml:space="preserve">L’article 1863 du </w:t>
      </w:r>
      <w:r w:rsidRPr="00627DA3">
        <w:rPr>
          <w:i/>
          <w:iCs/>
        </w:rPr>
        <w:t>Code civil du Québec</w:t>
      </w:r>
      <w:r>
        <w:t xml:space="preserve"> énonce :</w:t>
      </w:r>
    </w:p>
    <w:p w14:paraId="2BD89185" w14:textId="77777777" w:rsidR="00457AEB" w:rsidRPr="00320DCD" w:rsidRDefault="00457AEB" w:rsidP="00457AEB">
      <w:pPr>
        <w:pStyle w:val="Citationenretrait"/>
        <w:rPr>
          <w:lang w:eastAsia="fr-CA"/>
        </w:rPr>
      </w:pPr>
      <w:r w:rsidRPr="00320DCD">
        <w:rPr>
          <w:b/>
          <w:bCs/>
        </w:rPr>
        <w:t>1863.</w:t>
      </w:r>
      <w:r>
        <w:t xml:space="preserve"> </w:t>
      </w:r>
      <w:r w:rsidRPr="00320DCD">
        <w:rPr>
          <w:lang w:eastAsia="fr-CA"/>
        </w:rPr>
        <w:t>L’inexécution d’une obligation par l’une des parties confère à l’autre le droit de demander, outre des dommages-intérêts, l’exécution en nature, dans les cas qui le permettent. Si l’inexécution lui cause à elle-même ou, s’agissant d’un bail immobilier, aux autres occupants, un préjudice sérieux, elle peut demander la résiliation du bail.</w:t>
      </w:r>
    </w:p>
    <w:p w14:paraId="2E5365CC" w14:textId="77777777" w:rsidR="00457AEB" w:rsidRPr="00320DCD" w:rsidRDefault="00457AEB" w:rsidP="00457AEB">
      <w:pPr>
        <w:pStyle w:val="Citationenretrait"/>
        <w:rPr>
          <w:lang w:eastAsia="fr-CA"/>
        </w:rPr>
      </w:pPr>
      <w:r w:rsidRPr="00320DCD">
        <w:rPr>
          <w:lang w:eastAsia="fr-CA"/>
        </w:rPr>
        <w:t>L’inexécution confère, en outre, au locataire le droit de demander une diminution de loyer; lorsque le tribunal accorde une telle diminution de loyer, le locateur qui remédie au défaut a néanmoins le droit au rétablissement du loyer pour l’avenir.</w:t>
      </w:r>
    </w:p>
    <w:p w14:paraId="014E9E0D" w14:textId="435AACAD" w:rsidR="0077033C" w:rsidRDefault="0077033C" w:rsidP="0077033C">
      <w:pPr>
        <w:pStyle w:val="Paragraphe"/>
        <w:spacing w:line="240" w:lineRule="auto"/>
      </w:pPr>
      <w:r>
        <w:t xml:space="preserve">Il est utile ici de souligner que </w:t>
      </w:r>
      <w:r w:rsidR="00CD74FF">
        <w:t>l’</w:t>
      </w:r>
      <w:r>
        <w:t xml:space="preserve">entente de location </w:t>
      </w:r>
      <w:r w:rsidR="00C31559">
        <w:t xml:space="preserve">ne </w:t>
      </w:r>
      <w:r>
        <w:t xml:space="preserve">prévoit aucune clause permettant </w:t>
      </w:r>
      <w:r w:rsidR="00C31559">
        <w:t>au bailleur</w:t>
      </w:r>
      <w:r>
        <w:t xml:space="preserve"> d’y mettre fin unilatéralement outre les cas usuels de défaut de paiement, d</w:t>
      </w:r>
      <w:r w:rsidR="00C31559">
        <w:t>e</w:t>
      </w:r>
      <w:r>
        <w:t xml:space="preserve"> défaut du locataire de rencontrer ses obligations</w:t>
      </w:r>
      <w:r w:rsidR="00C31559">
        <w:t xml:space="preserve"> prévues au bail</w:t>
      </w:r>
      <w:r>
        <w:t>, d’insolvabilité ou encore de force majeure qui ne trouvent pas application dans la présente affaire.</w:t>
      </w:r>
    </w:p>
    <w:p w14:paraId="026C1036" w14:textId="26102A16" w:rsidR="00EF4890" w:rsidRDefault="007C54C4" w:rsidP="00EF4890">
      <w:pPr>
        <w:pStyle w:val="Paragraphe"/>
        <w:spacing w:line="240" w:lineRule="auto"/>
      </w:pPr>
      <w:r>
        <w:t>L</w:t>
      </w:r>
      <w:r w:rsidR="00EF4890">
        <w:t xml:space="preserve">a SCCQ ne fait valoir </w:t>
      </w:r>
      <w:r w:rsidR="00C27749">
        <w:t xml:space="preserve">au soutien de sa décision </w:t>
      </w:r>
      <w:r w:rsidR="00EF4890">
        <w:t xml:space="preserve">aucun manquement de </w:t>
      </w:r>
      <w:r w:rsidR="00C27749">
        <w:t>la demanderesse</w:t>
      </w:r>
      <w:r w:rsidR="00EF4890">
        <w:t xml:space="preserve"> à ses obligations</w:t>
      </w:r>
      <w:r>
        <w:t xml:space="preserve"> ni </w:t>
      </w:r>
      <w:r w:rsidR="00EF4890">
        <w:t xml:space="preserve">préjudice sérieux </w:t>
      </w:r>
      <w:r w:rsidR="00C27749">
        <w:t>pou</w:t>
      </w:r>
      <w:r>
        <w:t>vant</w:t>
      </w:r>
      <w:r w:rsidR="00EF4890">
        <w:t xml:space="preserve"> </w:t>
      </w:r>
      <w:r w:rsidR="00C27749">
        <w:t xml:space="preserve">justifier </w:t>
      </w:r>
      <w:r w:rsidR="00EF4890">
        <w:t>la résiliation de l’entente de location.</w:t>
      </w:r>
    </w:p>
    <w:p w14:paraId="1991678E" w14:textId="288DAFCA" w:rsidR="00AA75C9" w:rsidRDefault="007C54C4" w:rsidP="006D5DF3">
      <w:pPr>
        <w:pStyle w:val="Paragraphe"/>
        <w:spacing w:line="240" w:lineRule="auto"/>
      </w:pPr>
      <w:r>
        <w:t>En fait, l</w:t>
      </w:r>
      <w:r w:rsidR="00C27749">
        <w:t>a SCCQ</w:t>
      </w:r>
      <w:r w:rsidR="0077033C">
        <w:t xml:space="preserve"> p</w:t>
      </w:r>
      <w:r w:rsidR="007C4B26">
        <w:t xml:space="preserve">laide qu’elle n’est pas le véritable auteur de la décision de résilier l’entente de location et </w:t>
      </w:r>
      <w:r w:rsidR="00AA75C9">
        <w:t>se limite à soulever sa qualité de mandataire de l’État</w:t>
      </w:r>
      <w:r w:rsidR="007C4B26">
        <w:t xml:space="preserve">. Elle </w:t>
      </w:r>
      <w:r w:rsidR="00AA75C9">
        <w:t>renvo</w:t>
      </w:r>
      <w:r w:rsidR="007C4B26">
        <w:t>i</w:t>
      </w:r>
      <w:r w:rsidR="00AA75C9">
        <w:t xml:space="preserve">e </w:t>
      </w:r>
      <w:r w:rsidR="007C4B26">
        <w:t xml:space="preserve">ni plus ni moins </w:t>
      </w:r>
      <w:r w:rsidR="00AA75C9">
        <w:t xml:space="preserve">la responsabilité de </w:t>
      </w:r>
      <w:r>
        <w:t>cette</w:t>
      </w:r>
      <w:r w:rsidR="00AA75C9">
        <w:t xml:space="preserve"> décision à la ministre du Tourisme </w:t>
      </w:r>
      <w:r w:rsidR="007C4B26">
        <w:t xml:space="preserve">Caroline </w:t>
      </w:r>
      <w:r w:rsidR="00AA75C9">
        <w:t xml:space="preserve">Proulx de qui elle relève au sens de la </w:t>
      </w:r>
      <w:r w:rsidR="00AA75C9" w:rsidRPr="007F67BB">
        <w:rPr>
          <w:i/>
          <w:iCs/>
        </w:rPr>
        <w:t>Loi sur la Société du Centre des congrès de Québec.</w:t>
      </w:r>
      <w:r w:rsidR="0013342B">
        <w:rPr>
          <w:rStyle w:val="Appelnotedebasdep"/>
        </w:rPr>
        <w:footnoteReference w:id="16"/>
      </w:r>
      <w:r w:rsidR="007F67BB">
        <w:t xml:space="preserve"> (« </w:t>
      </w:r>
      <w:r w:rsidR="007F67BB" w:rsidRPr="007F67BB">
        <w:rPr>
          <w:b/>
          <w:bCs/>
        </w:rPr>
        <w:t>La Loi</w:t>
      </w:r>
      <w:r w:rsidR="007F67BB">
        <w:t> »)</w:t>
      </w:r>
    </w:p>
    <w:p w14:paraId="6504C07D" w14:textId="4A3BE41D" w:rsidR="0077033C" w:rsidRDefault="000756CA" w:rsidP="00EF4890">
      <w:pPr>
        <w:pStyle w:val="Paragraphe"/>
        <w:spacing w:line="240" w:lineRule="auto"/>
      </w:pPr>
      <w:r>
        <w:lastRenderedPageBreak/>
        <w:t xml:space="preserve">Or, cette prétention </w:t>
      </w:r>
      <w:r w:rsidR="007C4B26">
        <w:t>ne</w:t>
      </w:r>
      <w:r>
        <w:t xml:space="preserve"> lui est</w:t>
      </w:r>
      <w:r w:rsidR="007C4B26">
        <w:t xml:space="preserve"> d’aucun secours </w:t>
      </w:r>
      <w:r w:rsidR="00555F82">
        <w:t xml:space="preserve">eu égard </w:t>
      </w:r>
      <w:r w:rsidR="007C4B26">
        <w:t>à la réclamation d’HMI avec qui elle a dûment contracté l’entente de location de</w:t>
      </w:r>
      <w:r w:rsidR="00CD74FF">
        <w:t xml:space="preserve"> </w:t>
      </w:r>
      <w:r w:rsidR="007C4B26">
        <w:t>s</w:t>
      </w:r>
      <w:r w:rsidR="00CD74FF">
        <w:t>es</w:t>
      </w:r>
      <w:r w:rsidR="007C4B26">
        <w:t xml:space="preserve"> installations du Centre des congrès de Québec.</w:t>
      </w:r>
    </w:p>
    <w:p w14:paraId="73D8921E" w14:textId="728BFC54" w:rsidR="0077033C" w:rsidRDefault="0077033C" w:rsidP="00650234">
      <w:pPr>
        <w:pStyle w:val="Paragraphe"/>
        <w:spacing w:line="240" w:lineRule="auto"/>
      </w:pPr>
      <w:r>
        <w:t>En résiliant unilatéralement et sans fon</w:t>
      </w:r>
      <w:r w:rsidR="009F4419">
        <w:t>d</w:t>
      </w:r>
      <w:r>
        <w:t>ement</w:t>
      </w:r>
      <w:r w:rsidR="009F4419">
        <w:t xml:space="preserve"> juridique</w:t>
      </w:r>
      <w:r>
        <w:t xml:space="preserve"> l’entente de location, </w:t>
      </w:r>
      <w:r w:rsidR="007C4B26">
        <w:t xml:space="preserve">la </w:t>
      </w:r>
      <w:r w:rsidR="00AA75C9">
        <w:t>SCCQ</w:t>
      </w:r>
      <w:r w:rsidR="007C4B26">
        <w:t xml:space="preserve"> </w:t>
      </w:r>
      <w:r w:rsidR="00AA75C9">
        <w:t>commet une faute contractuelle</w:t>
      </w:r>
      <w:r w:rsidR="007C4B26">
        <w:t xml:space="preserve"> envers sa cocontractante.</w:t>
      </w:r>
    </w:p>
    <w:p w14:paraId="113DC976" w14:textId="122966ED" w:rsidR="00B563F0" w:rsidRDefault="00B563F0" w:rsidP="006C5471">
      <w:pPr>
        <w:pStyle w:val="Paragraphe"/>
        <w:spacing w:line="240" w:lineRule="auto"/>
      </w:pPr>
      <w:r>
        <w:t xml:space="preserve">HMI est </w:t>
      </w:r>
      <w:r w:rsidR="007C4B26">
        <w:t xml:space="preserve">ainsi </w:t>
      </w:r>
      <w:r>
        <w:t>bien fondée d</w:t>
      </w:r>
      <w:r w:rsidR="00457AEB">
        <w:t>e soulever</w:t>
      </w:r>
      <w:r>
        <w:t xml:space="preserve"> l’inexécution d</w:t>
      </w:r>
      <w:r w:rsidR="00CD74FF">
        <w:t>es obligations de la SCCQ à son endroit et plus particulièrement l’</w:t>
      </w:r>
      <w:r>
        <w:t xml:space="preserve">obligation </w:t>
      </w:r>
      <w:r w:rsidR="00E35430">
        <w:t>fondamentale de lui procurer la jouissance des lieux loués</w:t>
      </w:r>
      <w:r w:rsidR="00AA75C9">
        <w:t xml:space="preserve">. HMI est également justifiée </w:t>
      </w:r>
      <w:r w:rsidR="00457AEB">
        <w:t xml:space="preserve">de rechercher compensation pour les dommages encourus </w:t>
      </w:r>
      <w:r w:rsidR="00374608">
        <w:t xml:space="preserve">qui sont une conséquence directe </w:t>
      </w:r>
      <w:r w:rsidR="00457AEB">
        <w:t xml:space="preserve">de </w:t>
      </w:r>
      <w:r w:rsidR="00E35430">
        <w:t>la</w:t>
      </w:r>
      <w:r w:rsidR="00457AEB">
        <w:t xml:space="preserve"> résiliation</w:t>
      </w:r>
      <w:r w:rsidR="00E35430">
        <w:t xml:space="preserve"> de l’entente de location</w:t>
      </w:r>
      <w:r w:rsidR="00457AEB">
        <w:t>.</w:t>
      </w:r>
      <w:r>
        <w:t xml:space="preserve">   </w:t>
      </w:r>
    </w:p>
    <w:p w14:paraId="3CF3A4BA" w14:textId="09813C6E" w:rsidR="003A39F7" w:rsidRPr="00BE6E58" w:rsidRDefault="00BE6E58" w:rsidP="006C5471">
      <w:pPr>
        <w:pStyle w:val="Paragraphe"/>
        <w:numPr>
          <w:ilvl w:val="0"/>
          <w:numId w:val="0"/>
        </w:numPr>
        <w:spacing w:line="240" w:lineRule="auto"/>
        <w:ind w:firstLine="731"/>
        <w:rPr>
          <w:i/>
          <w:iCs/>
          <w:u w:val="single"/>
        </w:rPr>
      </w:pPr>
      <w:r w:rsidRPr="00BE6E58">
        <w:rPr>
          <w:i/>
          <w:iCs/>
          <w:u w:val="single"/>
        </w:rPr>
        <w:t xml:space="preserve">La responsabilité extracontractuelle de la </w:t>
      </w:r>
      <w:r w:rsidR="00B80D68">
        <w:rPr>
          <w:i/>
          <w:iCs/>
          <w:u w:val="single"/>
        </w:rPr>
        <w:t>m</w:t>
      </w:r>
      <w:r w:rsidRPr="00BE6E58">
        <w:rPr>
          <w:i/>
          <w:iCs/>
          <w:u w:val="single"/>
        </w:rPr>
        <w:t>inistre Proulx</w:t>
      </w:r>
      <w:r w:rsidR="003A39F7" w:rsidRPr="00BE6E58">
        <w:rPr>
          <w:i/>
          <w:iCs/>
          <w:u w:val="single"/>
        </w:rPr>
        <w:t xml:space="preserve"> </w:t>
      </w:r>
    </w:p>
    <w:p w14:paraId="278E1B15" w14:textId="5D1A71F8" w:rsidR="0003284A" w:rsidRDefault="00AA75C9" w:rsidP="006C5471">
      <w:pPr>
        <w:pStyle w:val="Paragraphe"/>
        <w:spacing w:line="240" w:lineRule="auto"/>
      </w:pPr>
      <w:r>
        <w:t xml:space="preserve">Alléguant la faute extracontractuelle de la défenderesse Caroline Proulx, HMI recherche </w:t>
      </w:r>
      <w:r w:rsidR="0003284A">
        <w:t>également la</w:t>
      </w:r>
      <w:r>
        <w:t xml:space="preserve"> condamnation </w:t>
      </w:r>
      <w:r w:rsidR="006F6080" w:rsidRPr="006F6080">
        <w:rPr>
          <w:i/>
          <w:iCs/>
        </w:rPr>
        <w:t>in solidum</w:t>
      </w:r>
      <w:r w:rsidR="00BD2081">
        <w:t xml:space="preserve"> </w:t>
      </w:r>
      <w:r w:rsidR="0003284A">
        <w:t xml:space="preserve">de cette dernière </w:t>
      </w:r>
      <w:r>
        <w:t>aux dommages</w:t>
      </w:r>
      <w:r w:rsidR="0003284A">
        <w:t>.</w:t>
      </w:r>
    </w:p>
    <w:p w14:paraId="7543585F" w14:textId="4A26D336" w:rsidR="00E82CC3" w:rsidRDefault="00BD2081" w:rsidP="00E82CC3">
      <w:pPr>
        <w:pStyle w:val="Paragraphe"/>
        <w:spacing w:line="240" w:lineRule="auto"/>
      </w:pPr>
      <w:r>
        <w:t>Elle</w:t>
      </w:r>
      <w:r w:rsidR="0003284A">
        <w:t xml:space="preserve"> plaide que la ministre Proulx </w:t>
      </w:r>
      <w:r w:rsidR="00FC473C">
        <w:t xml:space="preserve">est intervenue directement auprès de la SCCQ, en toute connaissance de cause, afin de la contraindre </w:t>
      </w:r>
      <w:r w:rsidR="0003284A">
        <w:t xml:space="preserve">à rompre l’entente de location </w:t>
      </w:r>
      <w:r w:rsidR="00FC473C">
        <w:t>liant cette dernière à la demanderesse</w:t>
      </w:r>
      <w:r w:rsidR="00B80D68">
        <w:t>,</w:t>
      </w:r>
      <w:r w:rsidR="00FC473C">
        <w:t xml:space="preserve"> et ce, sans justification légale </w:t>
      </w:r>
      <w:r w:rsidR="00D418DF">
        <w:t xml:space="preserve">ni </w:t>
      </w:r>
      <w:r w:rsidR="00FC473C">
        <w:t xml:space="preserve">habilitation législative ou réglementaire. </w:t>
      </w:r>
    </w:p>
    <w:p w14:paraId="2564B74A" w14:textId="53151E4A" w:rsidR="009800F3" w:rsidRDefault="003271D7" w:rsidP="00E82CC3">
      <w:pPr>
        <w:pStyle w:val="Paragraphe"/>
        <w:spacing w:line="240" w:lineRule="auto"/>
      </w:pPr>
      <w:r>
        <w:t>L</w:t>
      </w:r>
      <w:r w:rsidR="00FC473C">
        <w:t xml:space="preserve">’intervention </w:t>
      </w:r>
      <w:r>
        <w:t xml:space="preserve">spontanée </w:t>
      </w:r>
      <w:r w:rsidR="00FC473C">
        <w:t xml:space="preserve">de la ministre </w:t>
      </w:r>
      <w:r>
        <w:t xml:space="preserve">n’étant </w:t>
      </w:r>
      <w:r w:rsidR="00FC473C">
        <w:t xml:space="preserve">fondée sur aucune </w:t>
      </w:r>
      <w:r w:rsidR="0003284A">
        <w:t xml:space="preserve">règle </w:t>
      </w:r>
      <w:r>
        <w:t>statutaire</w:t>
      </w:r>
      <w:r w:rsidR="00FC473C">
        <w:t>, l</w:t>
      </w:r>
      <w:r w:rsidR="00C743CD">
        <w:t>a</w:t>
      </w:r>
      <w:r w:rsidR="00FC473C">
        <w:t xml:space="preserve"> demanderesse argue </w:t>
      </w:r>
      <w:r w:rsidR="00EC492C">
        <w:t>qu</w:t>
      </w:r>
      <w:r w:rsidR="00C743CD">
        <w:t xml:space="preserve">’elle </w:t>
      </w:r>
      <w:r w:rsidR="00EC492C">
        <w:t xml:space="preserve">est fautive, relève </w:t>
      </w:r>
      <w:r w:rsidR="0003284A">
        <w:t xml:space="preserve">de </w:t>
      </w:r>
      <w:r w:rsidR="00492160">
        <w:t xml:space="preserve">l’abus de droit et de </w:t>
      </w:r>
      <w:r w:rsidR="0003284A">
        <w:t>l’arbitraire</w:t>
      </w:r>
      <w:r w:rsidR="00FC473C">
        <w:t xml:space="preserve"> et qu’elle engage </w:t>
      </w:r>
      <w:r w:rsidR="00C743CD">
        <w:t>l</w:t>
      </w:r>
      <w:r w:rsidR="00FC473C">
        <w:t>a responsabilité civile extracontractuelle</w:t>
      </w:r>
      <w:r w:rsidR="00C743CD">
        <w:t xml:space="preserve"> de cette dernière</w:t>
      </w:r>
      <w:r w:rsidR="00FC473C">
        <w:t>.</w:t>
      </w:r>
    </w:p>
    <w:p w14:paraId="0438D3AC" w14:textId="77777777" w:rsidR="009800F3" w:rsidRDefault="009800F3" w:rsidP="00E82CC3">
      <w:pPr>
        <w:pStyle w:val="Paragraphe"/>
        <w:spacing w:line="240" w:lineRule="auto"/>
      </w:pPr>
      <w:r>
        <w:t xml:space="preserve">Le recours de la demanderesse se fonde sur les dispositions de l’article 1457 du </w:t>
      </w:r>
      <w:r w:rsidRPr="00B634A9">
        <w:rPr>
          <w:i/>
          <w:iCs/>
        </w:rPr>
        <w:t>Code civil du Québec</w:t>
      </w:r>
      <w:r>
        <w:t>. Cet article énonce :</w:t>
      </w:r>
    </w:p>
    <w:p w14:paraId="71F0258F" w14:textId="2B1613F7" w:rsidR="009800F3" w:rsidRPr="009800F3" w:rsidRDefault="009800F3" w:rsidP="009800F3">
      <w:pPr>
        <w:pStyle w:val="Citationenretrait"/>
        <w:rPr>
          <w:lang w:eastAsia="fr-CA"/>
        </w:rPr>
      </w:pPr>
      <w:r w:rsidRPr="009800F3">
        <w:rPr>
          <w:b/>
          <w:bCs/>
          <w:lang w:eastAsia="fr-CA"/>
        </w:rPr>
        <w:t>1457.</w:t>
      </w:r>
      <w:r>
        <w:rPr>
          <w:lang w:eastAsia="fr-CA"/>
        </w:rPr>
        <w:t xml:space="preserve"> </w:t>
      </w:r>
      <w:r w:rsidRPr="009800F3">
        <w:rPr>
          <w:lang w:eastAsia="fr-CA"/>
        </w:rPr>
        <w:t>Toute personne a le devoir de respecter les règles de conduite qui, suivant les circonstances, les usages ou la loi, s’imposent à elle, de manière à ne pas causer de préjudice à autrui.</w:t>
      </w:r>
    </w:p>
    <w:p w14:paraId="24DDE0A7" w14:textId="77777777" w:rsidR="009800F3" w:rsidRPr="009800F3" w:rsidRDefault="009800F3" w:rsidP="009800F3">
      <w:pPr>
        <w:pStyle w:val="Citationenretrait"/>
        <w:rPr>
          <w:lang w:eastAsia="fr-CA"/>
        </w:rPr>
      </w:pPr>
      <w:r w:rsidRPr="009800F3">
        <w:rPr>
          <w:lang w:eastAsia="fr-CA"/>
        </w:rPr>
        <w:t>Elle est, lorsqu’elle est douée de raison et qu’elle manque à ce devoir, responsable du préjudice qu’elle cause par cette faute à autrui et tenue de réparer ce préjudice, qu’il soit corporel, moral ou matériel.</w:t>
      </w:r>
    </w:p>
    <w:p w14:paraId="6F002A53" w14:textId="77777777" w:rsidR="009800F3" w:rsidRPr="009800F3" w:rsidRDefault="009800F3" w:rsidP="009800F3">
      <w:pPr>
        <w:pStyle w:val="Citationenretrait"/>
        <w:rPr>
          <w:lang w:eastAsia="fr-CA"/>
        </w:rPr>
      </w:pPr>
      <w:r w:rsidRPr="009800F3">
        <w:rPr>
          <w:lang w:eastAsia="fr-CA"/>
        </w:rPr>
        <w:t>Elle est aussi tenue, en certains cas, de réparer le préjudice causé à autrui par le fait ou la faute d’une autre personne ou par le fait des biens qu’elle a sous sa garde.</w:t>
      </w:r>
    </w:p>
    <w:p w14:paraId="2C16DE38" w14:textId="6740EA06" w:rsidR="00BB177C" w:rsidRDefault="00E82CC3" w:rsidP="00BB177C">
      <w:pPr>
        <w:pStyle w:val="Paragraphe"/>
        <w:spacing w:line="240" w:lineRule="auto"/>
      </w:pPr>
      <w:r>
        <w:t xml:space="preserve">Agissant dans sa capacité </w:t>
      </w:r>
      <w:r w:rsidR="0077283D">
        <w:t xml:space="preserve">de ministre désignée par le gouvernement </w:t>
      </w:r>
      <w:r>
        <w:t xml:space="preserve">à titre de </w:t>
      </w:r>
      <w:r w:rsidR="0077283D">
        <w:t>responsable de l’application de la Loi</w:t>
      </w:r>
      <w:r w:rsidR="00136B18">
        <w:rPr>
          <w:rStyle w:val="Appelnotedebasdep"/>
        </w:rPr>
        <w:footnoteReference w:id="17"/>
      </w:r>
      <w:r w:rsidR="0077283D">
        <w:t>,</w:t>
      </w:r>
      <w:r>
        <w:t xml:space="preserve"> la ministre </w:t>
      </w:r>
      <w:r w:rsidR="0077283D">
        <w:t xml:space="preserve">Proulx </w:t>
      </w:r>
      <w:r w:rsidR="003271D7">
        <w:t>fait valoir</w:t>
      </w:r>
      <w:r>
        <w:t xml:space="preserve"> que son intervention </w:t>
      </w:r>
      <w:r>
        <w:lastRenderedPageBreak/>
        <w:t>auprès de la SCCQ résulte d’une mise en balance des différents intérêts légitimes et valeurs québécoises</w:t>
      </w:r>
      <w:r w:rsidR="00B80D68">
        <w:t>,</w:t>
      </w:r>
      <w:r>
        <w:t xml:space="preserve"> tel</w:t>
      </w:r>
      <w:r w:rsidR="00B80D68">
        <w:t>le</w:t>
      </w:r>
      <w:r>
        <w:t>s d’une part, la liberté d’expression et</w:t>
      </w:r>
      <w:r w:rsidR="00B80D68">
        <w:t>,</w:t>
      </w:r>
      <w:r>
        <w:t xml:space="preserve"> d’autre part</w:t>
      </w:r>
      <w:r w:rsidR="004670DA">
        <w:t>,</w:t>
      </w:r>
      <w:r>
        <w:t xml:space="preserve"> la dignité de la femme et sa liberté de choix.</w:t>
      </w:r>
    </w:p>
    <w:p w14:paraId="38D27378" w14:textId="4EB7D544" w:rsidR="00956B5C" w:rsidRDefault="00956B5C" w:rsidP="00956B5C">
      <w:pPr>
        <w:pStyle w:val="Paragraphe"/>
        <w:spacing w:line="240" w:lineRule="auto"/>
      </w:pPr>
      <w:r w:rsidRPr="00956B5C">
        <w:t xml:space="preserve">Elle </w:t>
      </w:r>
      <w:r>
        <w:t>revendique ainsi le droit de</w:t>
      </w:r>
      <w:r w:rsidRPr="00956B5C">
        <w:t xml:space="preserve"> l’État </w:t>
      </w:r>
      <w:r w:rsidRPr="00956B5C">
        <w:rPr>
          <w:lang w:eastAsia="fr-CA"/>
        </w:rPr>
        <w:t>de s'assurer qu'un évènement qui se tient dans un établissement public sous sa gouverne soit compatible avec le</w:t>
      </w:r>
      <w:r>
        <w:rPr>
          <w:lang w:eastAsia="fr-CA"/>
        </w:rPr>
        <w:t xml:space="preserve"> </w:t>
      </w:r>
      <w:r w:rsidRPr="00956B5C">
        <w:rPr>
          <w:lang w:eastAsia="fr-CA"/>
        </w:rPr>
        <w:t>respect des valeurs démocratiques, de l'ordre public et du bien-être général des citoyens du Québec</w:t>
      </w:r>
      <w:r>
        <w:rPr>
          <w:lang w:eastAsia="fr-CA"/>
        </w:rPr>
        <w:t xml:space="preserve"> et que</w:t>
      </w:r>
      <w:r w:rsidR="0097514A">
        <w:rPr>
          <w:lang w:eastAsia="fr-CA"/>
        </w:rPr>
        <w:t>,</w:t>
      </w:r>
      <w:r>
        <w:rPr>
          <w:lang w:eastAsia="fr-CA"/>
        </w:rPr>
        <w:t xml:space="preserve"> dans les circonstances de</w:t>
      </w:r>
      <w:r>
        <w:t xml:space="preserve"> la présente affaire, son intervention était raisonnable, nécessaire et respectueuse des attentes des Québécois et Québécoises.</w:t>
      </w:r>
    </w:p>
    <w:p w14:paraId="18BE613C" w14:textId="28B9C0BB" w:rsidR="00136B18" w:rsidRDefault="00136B18" w:rsidP="00956B5C">
      <w:pPr>
        <w:pStyle w:val="Paragraphe"/>
        <w:spacing w:line="240" w:lineRule="auto"/>
      </w:pPr>
      <w:r>
        <w:t xml:space="preserve">Avec égards, le Tribunal conclut que l’intervention de la ministre n’est fondée sur aucune habilité législative ou réglementaire et qu’en exigeant de la SCCQ </w:t>
      </w:r>
      <w:r w:rsidR="00BD2081">
        <w:t>la</w:t>
      </w:r>
      <w:r>
        <w:t xml:space="preserve"> résili</w:t>
      </w:r>
      <w:r w:rsidR="00BD2081">
        <w:t>ation</w:t>
      </w:r>
      <w:r>
        <w:t xml:space="preserve"> sans droit </w:t>
      </w:r>
      <w:r w:rsidR="00BD2081">
        <w:t xml:space="preserve">de </w:t>
      </w:r>
      <w:r>
        <w:t xml:space="preserve">l’entente de location, </w:t>
      </w:r>
      <w:r w:rsidR="00956B5C">
        <w:t>pour des motifs de nature arbitraire</w:t>
      </w:r>
      <w:r w:rsidR="003E76CC">
        <w:t xml:space="preserve"> fondés sur un désaccord idéologique</w:t>
      </w:r>
      <w:r w:rsidR="00956B5C">
        <w:t xml:space="preserve">, </w:t>
      </w:r>
      <w:r>
        <w:t xml:space="preserve">elle </w:t>
      </w:r>
      <w:r w:rsidR="00492160">
        <w:t xml:space="preserve">abuse de ses droits et </w:t>
      </w:r>
      <w:r>
        <w:t>engage sa responsabilité extracontractuelle. Voici pourquoi.</w:t>
      </w:r>
    </w:p>
    <w:p w14:paraId="745C6FDD" w14:textId="1477C48D" w:rsidR="00EA74C2" w:rsidRDefault="00136B18" w:rsidP="00BB177C">
      <w:pPr>
        <w:pStyle w:val="Paragraphe"/>
        <w:spacing w:line="240" w:lineRule="auto"/>
      </w:pPr>
      <w:r>
        <w:t>La preuve non contestée r</w:t>
      </w:r>
      <w:r w:rsidR="00EA74C2">
        <w:t xml:space="preserve">évèle </w:t>
      </w:r>
      <w:r>
        <w:t xml:space="preserve">que la </w:t>
      </w:r>
      <w:r w:rsidR="00D418DF">
        <w:t xml:space="preserve">décision de la </w:t>
      </w:r>
      <w:r>
        <w:t>ministre</w:t>
      </w:r>
      <w:r w:rsidR="00EA74C2">
        <w:t xml:space="preserve"> de résilier l’entente de location </w:t>
      </w:r>
      <w:r w:rsidR="00D418DF">
        <w:t xml:space="preserve">est prise </w:t>
      </w:r>
      <w:r w:rsidR="00EA74C2">
        <w:t xml:space="preserve">en réaction à sa consultation du contenu du site web de la demanderesse et plus particulièrement de la mention suivante concernant </w:t>
      </w:r>
      <w:r w:rsidR="00CF4D9E">
        <w:t xml:space="preserve">la légalisation de </w:t>
      </w:r>
      <w:r w:rsidR="00EA74C2">
        <w:t>l’avortement, à savoir que « </w:t>
      </w:r>
      <w:r w:rsidR="00EA74C2" w:rsidRPr="00EA74C2">
        <w:rPr>
          <w:i/>
          <w:iCs/>
        </w:rPr>
        <w:t>Cette mesure, qui a entraîné l’avortement de quelque 4 millions de bébés à ce jour,</w:t>
      </w:r>
      <w:r w:rsidR="00EA74C2">
        <w:t xml:space="preserve"> </w:t>
      </w:r>
      <w:r w:rsidR="00EA74C2" w:rsidRPr="00EA74C2">
        <w:rPr>
          <w:i/>
          <w:iCs/>
        </w:rPr>
        <w:t xml:space="preserve">a fait </w:t>
      </w:r>
      <w:r w:rsidR="00CF4D9E">
        <w:rPr>
          <w:i/>
          <w:iCs/>
        </w:rPr>
        <w:t xml:space="preserve">de </w:t>
      </w:r>
      <w:r w:rsidR="00EA74C2" w:rsidRPr="00EA74C2">
        <w:rPr>
          <w:i/>
          <w:iCs/>
        </w:rPr>
        <w:t>l’utérus de la mère l’endroit le plus dangereux pour un enfant au Canada</w:t>
      </w:r>
      <w:r w:rsidR="00EA74C2">
        <w:t> »</w:t>
      </w:r>
      <w:r w:rsidR="00EA74C2">
        <w:rPr>
          <w:rStyle w:val="Appelnotedebasdep"/>
        </w:rPr>
        <w:footnoteReference w:id="18"/>
      </w:r>
      <w:r w:rsidR="00EA74C2">
        <w:t>.</w:t>
      </w:r>
      <w:r w:rsidR="00BD2081">
        <w:t xml:space="preserve"> (sic)</w:t>
      </w:r>
    </w:p>
    <w:p w14:paraId="2532CD28" w14:textId="20A46FA4" w:rsidR="00944502" w:rsidRDefault="00944502" w:rsidP="00BB177C">
      <w:pPr>
        <w:pStyle w:val="Paragraphe"/>
        <w:spacing w:line="240" w:lineRule="auto"/>
      </w:pPr>
      <w:r>
        <w:t>Choquée et convaincue que la position exprimée par la demanderesse est en décalage complet avec les valeurs québécoises</w:t>
      </w:r>
      <w:r w:rsidR="00764E51">
        <w:t xml:space="preserve">, </w:t>
      </w:r>
      <w:r w:rsidR="00BD2081">
        <w:t xml:space="preserve">qu’elle </w:t>
      </w:r>
      <w:r>
        <w:t>représente une atteinte à la dignité de la femme et à sa liberté de choix</w:t>
      </w:r>
      <w:r w:rsidR="00764E51">
        <w:t xml:space="preserve"> et qu’elle constitue de la désinformation</w:t>
      </w:r>
      <w:r>
        <w:t>, la ministre</w:t>
      </w:r>
      <w:r w:rsidR="00764E51">
        <w:t xml:space="preserve"> décide d’intervenir</w:t>
      </w:r>
      <w:r w:rsidR="00492160">
        <w:t xml:space="preserve"> et, sans</w:t>
      </w:r>
      <w:r w:rsidR="00492160" w:rsidRPr="00492160">
        <w:t xml:space="preserve"> </w:t>
      </w:r>
      <w:r w:rsidR="00492160">
        <w:t>procéder à quelque mise en balance des différents intérêts légitimes en présence,</w:t>
      </w:r>
      <w:r w:rsidR="00764E51">
        <w:t xml:space="preserve"> </w:t>
      </w:r>
      <w:r>
        <w:t>ordonne à la société d’</w:t>
      </w:r>
      <w:r w:rsidR="00B80D68">
        <w:t>É</w:t>
      </w:r>
      <w:r>
        <w:t>tat sous sa gouverne de résilier l’entente de location intervenue avec la demanderesse.</w:t>
      </w:r>
    </w:p>
    <w:p w14:paraId="519ECA9B" w14:textId="2FAE1E45" w:rsidR="00944502" w:rsidRDefault="00C77142" w:rsidP="00BB177C">
      <w:pPr>
        <w:pStyle w:val="Paragraphe"/>
        <w:spacing w:line="240" w:lineRule="auto"/>
      </w:pPr>
      <w:r>
        <w:t>Il faut savoir que l</w:t>
      </w:r>
      <w:r w:rsidR="00944502">
        <w:t xml:space="preserve">a SCCQ est constituée en personne morale et est une société mandataire de l’État. La Loi prévoit qu’elle n’engage qu’elle-même lorsqu’elle agit en son nom et relève de l’autorité de la ministre du </w:t>
      </w:r>
      <w:r w:rsidR="00B80D68">
        <w:t>T</w:t>
      </w:r>
      <w:r w:rsidR="00944502">
        <w:t>ourisme.</w:t>
      </w:r>
      <w:r w:rsidR="00944502">
        <w:rPr>
          <w:rStyle w:val="Appelnotedebasdep"/>
        </w:rPr>
        <w:footnoteReference w:id="19"/>
      </w:r>
    </w:p>
    <w:p w14:paraId="0FAB9B51" w14:textId="77777777" w:rsidR="00140187" w:rsidRDefault="006F6236" w:rsidP="00BB177C">
      <w:pPr>
        <w:pStyle w:val="Paragraphe"/>
        <w:spacing w:line="240" w:lineRule="auto"/>
      </w:pPr>
      <w:r>
        <w:t>Elle a pour objet</w:t>
      </w:r>
      <w:r w:rsidR="00140187">
        <w:t> :</w:t>
      </w:r>
    </w:p>
    <w:p w14:paraId="69933A22" w14:textId="12B1C545" w:rsidR="00140187" w:rsidRPr="00140187" w:rsidRDefault="00140187" w:rsidP="00140187">
      <w:pPr>
        <w:pStyle w:val="Citationenretrait"/>
        <w:rPr>
          <w:lang w:eastAsia="fr-CA"/>
        </w:rPr>
      </w:pPr>
      <w:r w:rsidRPr="00140187">
        <w:rPr>
          <w:lang w:eastAsia="fr-CA"/>
        </w:rPr>
        <w:t>1° d’administrer et d’exploiter le Centre des congrès de Québec ainsi que tout autre établissement situé dans la région de Québec ou les régions environnantes et dédié à la tenue de congrès, de salons ou d’expositions dont le gouvernement lui confie la responsabilité;</w:t>
      </w:r>
    </w:p>
    <w:p w14:paraId="502A2250" w14:textId="48E9AF2C" w:rsidR="00140187" w:rsidRPr="00140187" w:rsidRDefault="00140187" w:rsidP="00140187">
      <w:pPr>
        <w:pStyle w:val="Citationenretrait"/>
        <w:rPr>
          <w:lang w:eastAsia="fr-CA"/>
        </w:rPr>
      </w:pPr>
      <w:r w:rsidRPr="00140187">
        <w:rPr>
          <w:lang w:eastAsia="fr-CA"/>
        </w:rPr>
        <w:t>2° d’élaborer des projets de développement ou d’exploitation des établissements visés au paragraphe 1°;</w:t>
      </w:r>
    </w:p>
    <w:p w14:paraId="7B73297B" w14:textId="2CDAAB5E" w:rsidR="00140187" w:rsidRPr="00140187" w:rsidRDefault="00140187" w:rsidP="00140187">
      <w:pPr>
        <w:pStyle w:val="Citationenretrait"/>
        <w:rPr>
          <w:lang w:eastAsia="fr-CA"/>
        </w:rPr>
      </w:pPr>
      <w:r w:rsidRPr="00140187">
        <w:rPr>
          <w:lang w:eastAsia="fr-CA"/>
        </w:rPr>
        <w:lastRenderedPageBreak/>
        <w:t>3° d’exercer des activités commerciales et autres activités de nature à contribuer au développement et à la promotion des établissements visés au paragraphe 1° et de maximiser les retombées économiques, touristiques, intellectuelles et sociales générées par leur exploitation.</w:t>
      </w:r>
      <w:r>
        <w:rPr>
          <w:rStyle w:val="Appelnotedebasdep"/>
          <w:lang w:eastAsia="fr-CA"/>
        </w:rPr>
        <w:footnoteReference w:id="20"/>
      </w:r>
    </w:p>
    <w:p w14:paraId="10D814D2" w14:textId="4FC742D7" w:rsidR="00C77142" w:rsidRDefault="00C77142" w:rsidP="00DC6756">
      <w:pPr>
        <w:pStyle w:val="Paragraphe"/>
        <w:spacing w:line="240" w:lineRule="auto"/>
      </w:pPr>
      <w:r>
        <w:t>À titre de ministre responsable de l’application de la Loi, la ministre a le pouvoir de donner des directives sur les orientations et les objectifs généraux de la société d’</w:t>
      </w:r>
      <w:r w:rsidR="0097514A">
        <w:t>É</w:t>
      </w:r>
      <w:r>
        <w:t xml:space="preserve">tat sous sa gouverne. L’article 40 de la </w:t>
      </w:r>
      <w:r w:rsidRPr="00C77142">
        <w:rPr>
          <w:i/>
          <w:iCs/>
        </w:rPr>
        <w:t>Loi sur la gouvernance des sociétés d’état</w:t>
      </w:r>
      <w:r>
        <w:rPr>
          <w:rStyle w:val="Appelnotedebasdep"/>
        </w:rPr>
        <w:footnoteReference w:id="21"/>
      </w:r>
      <w:r w:rsidRPr="00C77142">
        <w:rPr>
          <w:i/>
          <w:iCs/>
        </w:rPr>
        <w:t xml:space="preserve"> </w:t>
      </w:r>
      <w:r>
        <w:t>prévoit spécifiquement ce pouvoir. Cet article énonce :</w:t>
      </w:r>
    </w:p>
    <w:p w14:paraId="4CA37875" w14:textId="77777777" w:rsidR="00C77142" w:rsidRDefault="00C77142" w:rsidP="00C77142">
      <w:pPr>
        <w:pStyle w:val="Citationenretrait"/>
        <w:rPr>
          <w:lang w:eastAsia="fr-CA"/>
        </w:rPr>
      </w:pPr>
      <w:r>
        <w:rPr>
          <w:rFonts w:ascii="Arial-BoldMT" w:hAnsi="Arial-BoldMT" w:cs="Arial-BoldMT"/>
          <w:b/>
          <w:bCs/>
          <w:szCs w:val="24"/>
          <w:lang w:eastAsia="fr-CA"/>
        </w:rPr>
        <w:t xml:space="preserve">40. </w:t>
      </w:r>
      <w:r>
        <w:rPr>
          <w:lang w:eastAsia="fr-CA"/>
        </w:rPr>
        <w:t>Le ministre peut donner des directives sur l’orientation et les objectifs généraux qu’une société doit poursuivre.</w:t>
      </w:r>
    </w:p>
    <w:p w14:paraId="3650F4E0" w14:textId="77777777" w:rsidR="00C77142" w:rsidRDefault="00C77142" w:rsidP="00C77142">
      <w:pPr>
        <w:pStyle w:val="Citationenretrait"/>
        <w:rPr>
          <w:lang w:eastAsia="fr-CA"/>
        </w:rPr>
      </w:pPr>
      <w:r>
        <w:rPr>
          <w:lang w:eastAsia="fr-CA"/>
        </w:rPr>
        <w:t>Ces directives doivent être approuvées par le gouvernement et entrent en vigueur le jour de leur approbation. Une fois approuvées, elles lient la société qui est tenue de s’y conformer.</w:t>
      </w:r>
    </w:p>
    <w:p w14:paraId="5ACEFD14" w14:textId="77777777" w:rsidR="00C77142" w:rsidRDefault="00C77142" w:rsidP="00C77142">
      <w:pPr>
        <w:pStyle w:val="Citationenretrait"/>
      </w:pPr>
      <w:r>
        <w:rPr>
          <w:lang w:eastAsia="fr-CA"/>
        </w:rPr>
        <w:t>Toute directive est déposée devant l’Assemblée nationale dans les 15 jours de son approbation par le gouvernement ou, si elle ne siège pas, dans les 15 jours de la reprise de ses travaux.</w:t>
      </w:r>
    </w:p>
    <w:p w14:paraId="53416216" w14:textId="45EE298E" w:rsidR="007F67BB" w:rsidRDefault="0031575C" w:rsidP="00BB177C">
      <w:pPr>
        <w:pStyle w:val="Paragraphe"/>
        <w:spacing w:line="240" w:lineRule="auto"/>
      </w:pPr>
      <w:r>
        <w:t>I</w:t>
      </w:r>
      <w:r w:rsidR="007F67BB">
        <w:t xml:space="preserve">l ressort de la preuve et plus précisément du témoignage de la ministre défenderesse qu’il n’existe, au moment de prendre sa décision, aucune </w:t>
      </w:r>
      <w:r w:rsidR="00C77142">
        <w:t>directive p</w:t>
      </w:r>
      <w:r w:rsidR="007F67BB">
        <w:t>ermettant d’encadrer le type d’activité ou encore le contenu des rassemblements, réunions ou congrès qui se tiennent au Centre des congrès de Québec.</w:t>
      </w:r>
    </w:p>
    <w:p w14:paraId="41087775" w14:textId="3C8A509C" w:rsidR="00764E51" w:rsidRDefault="007F67BB" w:rsidP="00BB177C">
      <w:pPr>
        <w:pStyle w:val="Paragraphe"/>
        <w:spacing w:line="240" w:lineRule="auto"/>
      </w:pPr>
      <w:r>
        <w:t>La ministre s’en enquiert d’ailleurs auprès des présidents</w:t>
      </w:r>
      <w:r w:rsidR="00B80D68">
        <w:t>-</w:t>
      </w:r>
      <w:r>
        <w:t>direct</w:t>
      </w:r>
      <w:r w:rsidR="00764E51">
        <w:t>e</w:t>
      </w:r>
      <w:r>
        <w:t>urs généraux de</w:t>
      </w:r>
      <w:r w:rsidR="006A02F5">
        <w:t xml:space="preserve"> la SCCQ, de</w:t>
      </w:r>
      <w:r>
        <w:t xml:space="preserve"> la Société du palais des congrès de Montréal et de la Société </w:t>
      </w:r>
      <w:r w:rsidR="00764E51">
        <w:t>du Parc Olympique avant de confirmer</w:t>
      </w:r>
      <w:r w:rsidR="003E329C">
        <w:t>, en toute connaissance de cause,</w:t>
      </w:r>
      <w:r w:rsidR="00764E51">
        <w:t xml:space="preserve"> sa décision de résilier l’entente de location à la demanderesse.</w:t>
      </w:r>
    </w:p>
    <w:p w14:paraId="42BC467C" w14:textId="4E32FD7C" w:rsidR="00021997" w:rsidRDefault="00D157AC" w:rsidP="00BB177C">
      <w:pPr>
        <w:pStyle w:val="Paragraphe"/>
        <w:spacing w:line="240" w:lineRule="auto"/>
      </w:pPr>
      <w:r>
        <w:t xml:space="preserve">Elle intervient tout de même auprès de la SCCQ </w:t>
      </w:r>
      <w:r w:rsidR="003E329C">
        <w:t xml:space="preserve">et </w:t>
      </w:r>
      <w:r>
        <w:t>exige la résiliation de l’entente de location</w:t>
      </w:r>
      <w:r w:rsidR="00DF7386">
        <w:t xml:space="preserve"> </w:t>
      </w:r>
      <w:r w:rsidR="005D66D3">
        <w:t>avec l’intention bien précise d’empêcher</w:t>
      </w:r>
      <w:r w:rsidR="0031575C">
        <w:t>,</w:t>
      </w:r>
      <w:r w:rsidR="0031575C" w:rsidRPr="0031575C">
        <w:t xml:space="preserve"> </w:t>
      </w:r>
      <w:r w:rsidR="0031575C">
        <w:t>quoi qu’il en coûte,</w:t>
      </w:r>
      <w:r w:rsidR="005D66D3">
        <w:t xml:space="preserve"> une organisation qui tient un discours anti-avortement de tenir un évènement au Centre des congrès de Québec.</w:t>
      </w:r>
    </w:p>
    <w:p w14:paraId="2C636A66" w14:textId="221E0A19" w:rsidR="006A02F5" w:rsidRDefault="005D66D3" w:rsidP="00BB177C">
      <w:pPr>
        <w:pStyle w:val="Paragraphe"/>
        <w:spacing w:line="240" w:lineRule="auto"/>
      </w:pPr>
      <w:r>
        <w:t xml:space="preserve">La ministre témoigne avoir agi </w:t>
      </w:r>
      <w:r w:rsidR="00DF7386">
        <w:t>au nom de la défense des valeurs fondamentales du Québec</w:t>
      </w:r>
      <w:r w:rsidR="00021997">
        <w:t xml:space="preserve">. </w:t>
      </w:r>
      <w:r w:rsidR="0031575C">
        <w:t>Or, l</w:t>
      </w:r>
      <w:r w:rsidR="00021997">
        <w:t xml:space="preserve">a preuve démontre qu’en agissant de la sorte, </w:t>
      </w:r>
      <w:r w:rsidR="0031575C">
        <w:t>elle</w:t>
      </w:r>
      <w:r w:rsidR="00021997">
        <w:t xml:space="preserve"> savait pertinemment </w:t>
      </w:r>
      <w:r w:rsidR="00D157AC">
        <w:t xml:space="preserve">que </w:t>
      </w:r>
      <w:r w:rsidR="00021997">
        <w:t>la SCCQ</w:t>
      </w:r>
      <w:r w:rsidR="00D157AC">
        <w:t xml:space="preserve"> manquerait à ses obligations contractuelles envers la demanderesse</w:t>
      </w:r>
      <w:r w:rsidR="00021997">
        <w:t xml:space="preserve"> et causerait à cette dernière d’importants dommages découlant de l’annulation à la dernière minute du rassemblement prévu.</w:t>
      </w:r>
      <w:r w:rsidR="00DF7386">
        <w:t xml:space="preserve"> </w:t>
      </w:r>
    </w:p>
    <w:p w14:paraId="3C6D89BB" w14:textId="5A9A7441" w:rsidR="00DF7386" w:rsidRDefault="00DF7386" w:rsidP="00DE508B">
      <w:pPr>
        <w:pStyle w:val="Paragraphe"/>
        <w:spacing w:line="240" w:lineRule="auto"/>
      </w:pPr>
      <w:r>
        <w:t xml:space="preserve">Sans habilité législative ou </w:t>
      </w:r>
      <w:r w:rsidR="00B80D68">
        <w:t>réglementaire</w:t>
      </w:r>
      <w:r>
        <w:t xml:space="preserve">, la ministre </w:t>
      </w:r>
      <w:r w:rsidR="00F861BD">
        <w:t xml:space="preserve">s’arroge </w:t>
      </w:r>
      <w:r>
        <w:t xml:space="preserve">ainsi </w:t>
      </w:r>
      <w:r w:rsidR="00F861BD">
        <w:t>un</w:t>
      </w:r>
      <w:r>
        <w:t xml:space="preserve"> pouvoir </w:t>
      </w:r>
      <w:r w:rsidR="00F861BD">
        <w:t xml:space="preserve">qu’elle utilise </w:t>
      </w:r>
      <w:r>
        <w:t>de manière arbitraire</w:t>
      </w:r>
      <w:r w:rsidR="006F6080">
        <w:t xml:space="preserve"> et </w:t>
      </w:r>
      <w:r w:rsidR="00492160">
        <w:t xml:space="preserve">abusive </w:t>
      </w:r>
      <w:r w:rsidR="003E329C">
        <w:t>en l’absence de</w:t>
      </w:r>
      <w:r w:rsidR="00F861BD">
        <w:t xml:space="preserve"> </w:t>
      </w:r>
      <w:r w:rsidR="003E329C">
        <w:t xml:space="preserve">toute </w:t>
      </w:r>
      <w:r>
        <w:t xml:space="preserve">considération pour </w:t>
      </w:r>
      <w:r>
        <w:lastRenderedPageBreak/>
        <w:t>les</w:t>
      </w:r>
      <w:r w:rsidR="003E329C">
        <w:t xml:space="preserve"> droits de la demanderesse</w:t>
      </w:r>
      <w:r w:rsidR="006F6080">
        <w:t xml:space="preserve">, </w:t>
      </w:r>
      <w:r w:rsidR="003E329C">
        <w:t>les obligations</w:t>
      </w:r>
      <w:r>
        <w:t xml:space="preserve"> </w:t>
      </w:r>
      <w:r w:rsidR="003E329C">
        <w:t>contractuelles de sa mandataire envers cette dernière</w:t>
      </w:r>
      <w:r w:rsidR="006F6080">
        <w:t xml:space="preserve"> et </w:t>
      </w:r>
      <w:r w:rsidR="005D66D3">
        <w:t>l</w:t>
      </w:r>
      <w:r w:rsidR="003E329C">
        <w:t xml:space="preserve">es </w:t>
      </w:r>
      <w:r>
        <w:t>objectifs de la SCCQ qui</w:t>
      </w:r>
      <w:r w:rsidR="006F6080">
        <w:t>, rappelons-le,</w:t>
      </w:r>
      <w:r>
        <w:t xml:space="preserve"> visent à </w:t>
      </w:r>
      <w:r w:rsidRPr="00140187">
        <w:rPr>
          <w:lang w:eastAsia="fr-CA"/>
        </w:rPr>
        <w:t xml:space="preserve">exercer des activités commerciales </w:t>
      </w:r>
      <w:r>
        <w:rPr>
          <w:lang w:eastAsia="fr-CA"/>
        </w:rPr>
        <w:t xml:space="preserve">permettant de </w:t>
      </w:r>
      <w:r w:rsidRPr="00140187">
        <w:rPr>
          <w:lang w:eastAsia="fr-CA"/>
        </w:rPr>
        <w:t xml:space="preserve">contribuer au développement </w:t>
      </w:r>
      <w:r>
        <w:rPr>
          <w:lang w:eastAsia="fr-CA"/>
        </w:rPr>
        <w:t>de ses établissements</w:t>
      </w:r>
      <w:r w:rsidR="00362CDF">
        <w:rPr>
          <w:lang w:eastAsia="fr-CA"/>
        </w:rPr>
        <w:t xml:space="preserve"> et</w:t>
      </w:r>
      <w:r w:rsidR="00362CDF" w:rsidRPr="00362CDF">
        <w:rPr>
          <w:lang w:eastAsia="fr-CA"/>
        </w:rPr>
        <w:t xml:space="preserve"> </w:t>
      </w:r>
      <w:r w:rsidR="003E329C">
        <w:rPr>
          <w:lang w:eastAsia="fr-CA"/>
        </w:rPr>
        <w:t xml:space="preserve">de </w:t>
      </w:r>
      <w:r w:rsidR="00362CDF" w:rsidRPr="00140187">
        <w:rPr>
          <w:lang w:eastAsia="fr-CA"/>
        </w:rPr>
        <w:t>maximiser les retombées économiques, touristiques, intellectuelles et sociales générées par leur exploitation</w:t>
      </w:r>
      <w:r w:rsidR="003E329C">
        <w:rPr>
          <w:lang w:eastAsia="fr-CA"/>
        </w:rPr>
        <w:t>.</w:t>
      </w:r>
      <w:r w:rsidR="001946CC">
        <w:rPr>
          <w:rStyle w:val="Appelnotedebasdep"/>
          <w:lang w:eastAsia="fr-CA"/>
        </w:rPr>
        <w:footnoteReference w:id="22"/>
      </w:r>
      <w:r w:rsidR="00283437">
        <w:t xml:space="preserve"> </w:t>
      </w:r>
    </w:p>
    <w:p w14:paraId="00CED08D" w14:textId="77777777" w:rsidR="0031575C" w:rsidRDefault="00E615B7" w:rsidP="00BB177C">
      <w:pPr>
        <w:pStyle w:val="Paragraphe"/>
        <w:spacing w:line="240" w:lineRule="auto"/>
      </w:pPr>
      <w:r>
        <w:t xml:space="preserve">Bien que la ministre soit un tiers à l’entente de location, par </w:t>
      </w:r>
      <w:r w:rsidR="00283437">
        <w:t xml:space="preserve">la transmission à la SCCQ de sa volonté </w:t>
      </w:r>
      <w:r w:rsidR="00021997">
        <w:t xml:space="preserve">claire </w:t>
      </w:r>
      <w:r w:rsidR="00283437">
        <w:t>d’annuler l’évènement</w:t>
      </w:r>
      <w:r>
        <w:t xml:space="preserve">, elle </w:t>
      </w:r>
      <w:r w:rsidR="002F2A1C">
        <w:t xml:space="preserve">s’associe et </w:t>
      </w:r>
      <w:r>
        <w:t>contribue sciemment à la violation des obligations contractuelles de cette dernière envers la demanderesse</w:t>
      </w:r>
      <w:r w:rsidR="002F2A1C">
        <w:t>.</w:t>
      </w:r>
    </w:p>
    <w:p w14:paraId="514E0700" w14:textId="50BA5EBF" w:rsidR="006A02F5" w:rsidRDefault="002F2A1C" w:rsidP="00FC69A3">
      <w:pPr>
        <w:pStyle w:val="Paragraphe"/>
        <w:spacing w:line="240" w:lineRule="auto"/>
      </w:pPr>
      <w:r>
        <w:t>Il s’agit</w:t>
      </w:r>
      <w:r w:rsidR="0031575C">
        <w:t xml:space="preserve"> là</w:t>
      </w:r>
      <w:r>
        <w:t xml:space="preserve"> d’un comportement fautif qui </w:t>
      </w:r>
      <w:r w:rsidR="00E615B7">
        <w:t xml:space="preserve">engage sa responsabilité </w:t>
      </w:r>
      <w:r>
        <w:t>extracontractuelle.</w:t>
      </w:r>
      <w:r w:rsidR="0023440E">
        <w:rPr>
          <w:rStyle w:val="Appelnotedebasdep"/>
        </w:rPr>
        <w:footnoteReference w:id="23"/>
      </w:r>
      <w:r w:rsidR="00E615B7">
        <w:t xml:space="preserve">  </w:t>
      </w:r>
    </w:p>
    <w:p w14:paraId="6A3B2EBF" w14:textId="7CA72377" w:rsidR="003A39F7" w:rsidRPr="00E35430" w:rsidRDefault="00E35430" w:rsidP="00FC69A3">
      <w:pPr>
        <w:pStyle w:val="Paragraphe"/>
        <w:numPr>
          <w:ilvl w:val="0"/>
          <w:numId w:val="0"/>
        </w:numPr>
        <w:spacing w:line="240" w:lineRule="auto"/>
        <w:ind w:firstLine="731"/>
        <w:rPr>
          <w:i/>
          <w:iCs/>
          <w:u w:val="single"/>
        </w:rPr>
      </w:pPr>
      <w:r w:rsidRPr="00E35430">
        <w:rPr>
          <w:i/>
          <w:iCs/>
          <w:u w:val="single"/>
        </w:rPr>
        <w:t>Les dommages</w:t>
      </w:r>
    </w:p>
    <w:p w14:paraId="04DE377F" w14:textId="46DBF867" w:rsidR="00307464" w:rsidRDefault="00307464" w:rsidP="00FC69A3">
      <w:pPr>
        <w:pStyle w:val="Paragraphe"/>
        <w:spacing w:line="240" w:lineRule="auto"/>
      </w:pPr>
      <w:r>
        <w:t>Les défende</w:t>
      </w:r>
      <w:r w:rsidR="006F6080">
        <w:t>u</w:t>
      </w:r>
      <w:r>
        <w:t xml:space="preserve">rs admettent que la demanderesse a subi des dommages de nature compensatoire </w:t>
      </w:r>
      <w:r w:rsidR="0031575C">
        <w:t xml:space="preserve">en lien avec la résiliation de l’entente de location </w:t>
      </w:r>
      <w:r>
        <w:t>pour un montant de 30 636,92 $.</w:t>
      </w:r>
      <w:r>
        <w:rPr>
          <w:rStyle w:val="Appelnotedebasdep"/>
        </w:rPr>
        <w:footnoteReference w:id="24"/>
      </w:r>
    </w:p>
    <w:p w14:paraId="0986D37A" w14:textId="78251A9A" w:rsidR="00307464" w:rsidRDefault="00307464" w:rsidP="00307464">
      <w:pPr>
        <w:pStyle w:val="Paragraphe"/>
        <w:spacing w:line="240" w:lineRule="auto"/>
      </w:pPr>
      <w:r>
        <w:t>Vu ce qui précède et les conclusions du Tribunal relatives à la faute contractuelle de la SCCQ (résiliation fautive de l’entente de location) et la faute extracontractuelle de la ministre Proulx</w:t>
      </w:r>
      <w:r w:rsidR="00B80D68">
        <w:t>,</w:t>
      </w:r>
      <w:r>
        <w:t xml:space="preserve"> qui participent toutes deux </w:t>
      </w:r>
      <w:r w:rsidR="00F417FF" w:rsidRPr="00374608">
        <w:t>au</w:t>
      </w:r>
      <w:r w:rsidR="00021997">
        <w:t>x</w:t>
      </w:r>
      <w:r w:rsidR="00F417FF">
        <w:t xml:space="preserve"> </w:t>
      </w:r>
      <w:r>
        <w:t>préjudice</w:t>
      </w:r>
      <w:r w:rsidR="00021997">
        <w:t>s</w:t>
      </w:r>
      <w:r>
        <w:t xml:space="preserve"> subi</w:t>
      </w:r>
      <w:r w:rsidR="00021997">
        <w:t>s</w:t>
      </w:r>
      <w:r>
        <w:t xml:space="preserve"> par la demanderesse, les </w:t>
      </w:r>
      <w:r w:rsidR="002A590A">
        <w:t>d</w:t>
      </w:r>
      <w:r>
        <w:t>éfende</w:t>
      </w:r>
      <w:r w:rsidR="006F6080">
        <w:t>urs</w:t>
      </w:r>
      <w:r>
        <w:t xml:space="preserve"> sont condamnés </w:t>
      </w:r>
      <w:r w:rsidRPr="00307464">
        <w:rPr>
          <w:i/>
          <w:iCs/>
        </w:rPr>
        <w:t>in solidum</w:t>
      </w:r>
      <w:r>
        <w:t xml:space="preserve"> au paiement du montant de dommage admis.</w:t>
      </w:r>
    </w:p>
    <w:p w14:paraId="57574380" w14:textId="15BC34AF" w:rsidR="00CC7B54" w:rsidRDefault="00CC7B54" w:rsidP="00FC69A3">
      <w:pPr>
        <w:pStyle w:val="Paragraphe"/>
        <w:spacing w:line="240" w:lineRule="auto"/>
      </w:pPr>
      <w:r>
        <w:t>Pour valoir entre les défende</w:t>
      </w:r>
      <w:r w:rsidR="006F6080">
        <w:t>u</w:t>
      </w:r>
      <w:r>
        <w:t>rs seulement, le Tribunal retient que c’est à la suite d’une directive de son mandant</w:t>
      </w:r>
      <w:r w:rsidR="00A974AA">
        <w:t>, la ministre du Tourisme,</w:t>
      </w:r>
      <w:r>
        <w:t xml:space="preserve"> que la SCCQ résilie l’entente de location</w:t>
      </w:r>
      <w:r w:rsidR="00A974AA">
        <w:t xml:space="preserve">. </w:t>
      </w:r>
      <w:r>
        <w:t>Dans ces circonstances, la ministre du Tourisme doit supporter 100 % de la condamnation.</w:t>
      </w:r>
    </w:p>
    <w:p w14:paraId="32DCC663" w14:textId="790E7806" w:rsidR="003A39F7" w:rsidRDefault="003A39F7" w:rsidP="00FC69A3">
      <w:pPr>
        <w:pStyle w:val="Sous-paragraphe"/>
        <w:numPr>
          <w:ilvl w:val="0"/>
          <w:numId w:val="0"/>
        </w:numPr>
        <w:spacing w:before="120"/>
        <w:rPr>
          <w:b/>
          <w:bCs/>
          <w:i/>
          <w:iCs/>
          <w:color w:val="1A1A1A"/>
        </w:rPr>
      </w:pPr>
      <w:r w:rsidRPr="003A39F7">
        <w:rPr>
          <w:b/>
          <w:bCs/>
          <w:i/>
          <w:iCs/>
        </w:rPr>
        <w:t>La</w:t>
      </w:r>
      <w:r w:rsidRPr="003A39F7">
        <w:rPr>
          <w:b/>
          <w:bCs/>
          <w:i/>
          <w:iCs/>
          <w:spacing w:val="28"/>
        </w:rPr>
        <w:t xml:space="preserve"> </w:t>
      </w:r>
      <w:r w:rsidR="00B80D68">
        <w:rPr>
          <w:b/>
          <w:bCs/>
          <w:i/>
          <w:iCs/>
        </w:rPr>
        <w:t>m</w:t>
      </w:r>
      <w:r w:rsidR="00FC36A4">
        <w:rPr>
          <w:b/>
          <w:bCs/>
          <w:i/>
          <w:iCs/>
        </w:rPr>
        <w:t xml:space="preserve">inistre du </w:t>
      </w:r>
      <w:r w:rsidR="00B80D68">
        <w:rPr>
          <w:b/>
          <w:bCs/>
          <w:i/>
          <w:iCs/>
        </w:rPr>
        <w:t>T</w:t>
      </w:r>
      <w:r w:rsidR="00FC36A4">
        <w:rPr>
          <w:b/>
          <w:bCs/>
          <w:i/>
          <w:iCs/>
        </w:rPr>
        <w:t xml:space="preserve">ourisme </w:t>
      </w:r>
      <w:r w:rsidRPr="003A39F7">
        <w:rPr>
          <w:b/>
          <w:bCs/>
          <w:i/>
          <w:iCs/>
        </w:rPr>
        <w:t>et/ou</w:t>
      </w:r>
      <w:r w:rsidRPr="003A39F7">
        <w:rPr>
          <w:b/>
          <w:bCs/>
          <w:i/>
          <w:iCs/>
          <w:spacing w:val="27"/>
        </w:rPr>
        <w:t xml:space="preserve"> </w:t>
      </w:r>
      <w:r w:rsidRPr="003A39F7">
        <w:rPr>
          <w:b/>
          <w:bCs/>
          <w:i/>
          <w:iCs/>
        </w:rPr>
        <w:t>la</w:t>
      </w:r>
      <w:r w:rsidRPr="003A39F7">
        <w:rPr>
          <w:b/>
          <w:bCs/>
          <w:i/>
          <w:iCs/>
          <w:spacing w:val="28"/>
        </w:rPr>
        <w:t xml:space="preserve"> </w:t>
      </w:r>
      <w:r w:rsidRPr="003A39F7">
        <w:rPr>
          <w:b/>
          <w:bCs/>
          <w:i/>
          <w:iCs/>
        </w:rPr>
        <w:t>SCCQ</w:t>
      </w:r>
      <w:r w:rsidRPr="003A39F7">
        <w:rPr>
          <w:b/>
          <w:bCs/>
          <w:i/>
          <w:iCs/>
          <w:spacing w:val="34"/>
        </w:rPr>
        <w:t xml:space="preserve"> </w:t>
      </w:r>
      <w:r w:rsidRPr="003A39F7">
        <w:rPr>
          <w:b/>
          <w:bCs/>
          <w:i/>
          <w:iCs/>
        </w:rPr>
        <w:t>ont-elles</w:t>
      </w:r>
      <w:r w:rsidRPr="003A39F7">
        <w:rPr>
          <w:b/>
          <w:bCs/>
          <w:i/>
          <w:iCs/>
          <w:spacing w:val="37"/>
        </w:rPr>
        <w:t xml:space="preserve"> </w:t>
      </w:r>
      <w:r w:rsidRPr="003A39F7">
        <w:rPr>
          <w:b/>
          <w:bCs/>
          <w:i/>
          <w:iCs/>
        </w:rPr>
        <w:t>porté</w:t>
      </w:r>
      <w:r w:rsidRPr="003A39F7">
        <w:rPr>
          <w:b/>
          <w:bCs/>
          <w:i/>
          <w:iCs/>
          <w:spacing w:val="31"/>
        </w:rPr>
        <w:t xml:space="preserve"> </w:t>
      </w:r>
      <w:r w:rsidRPr="003A39F7">
        <w:rPr>
          <w:b/>
          <w:bCs/>
          <w:i/>
          <w:iCs/>
        </w:rPr>
        <w:t>atteinte</w:t>
      </w:r>
      <w:r w:rsidRPr="003A39F7">
        <w:rPr>
          <w:b/>
          <w:bCs/>
          <w:i/>
          <w:iCs/>
          <w:spacing w:val="33"/>
        </w:rPr>
        <w:t xml:space="preserve"> </w:t>
      </w:r>
      <w:r w:rsidRPr="003A39F7">
        <w:rPr>
          <w:b/>
          <w:bCs/>
          <w:i/>
          <w:iCs/>
        </w:rPr>
        <w:t>aux</w:t>
      </w:r>
      <w:r w:rsidRPr="003A39F7">
        <w:rPr>
          <w:b/>
          <w:bCs/>
          <w:i/>
          <w:iCs/>
          <w:spacing w:val="31"/>
        </w:rPr>
        <w:t xml:space="preserve"> </w:t>
      </w:r>
      <w:r w:rsidRPr="003A39F7">
        <w:rPr>
          <w:b/>
          <w:bCs/>
          <w:i/>
          <w:iCs/>
        </w:rPr>
        <w:t>droits</w:t>
      </w:r>
      <w:r w:rsidRPr="003A39F7">
        <w:rPr>
          <w:b/>
          <w:bCs/>
          <w:i/>
          <w:iCs/>
          <w:spacing w:val="33"/>
        </w:rPr>
        <w:t xml:space="preserve"> </w:t>
      </w:r>
      <w:r w:rsidRPr="003A39F7">
        <w:rPr>
          <w:b/>
          <w:bCs/>
          <w:i/>
          <w:iCs/>
        </w:rPr>
        <w:t>et</w:t>
      </w:r>
      <w:r w:rsidRPr="003A39F7">
        <w:rPr>
          <w:b/>
          <w:bCs/>
          <w:i/>
          <w:iCs/>
          <w:spacing w:val="23"/>
        </w:rPr>
        <w:t xml:space="preserve"> </w:t>
      </w:r>
      <w:r w:rsidRPr="003A39F7">
        <w:rPr>
          <w:b/>
          <w:bCs/>
          <w:i/>
          <w:iCs/>
        </w:rPr>
        <w:t>libertés</w:t>
      </w:r>
      <w:r w:rsidRPr="003A39F7">
        <w:rPr>
          <w:b/>
          <w:bCs/>
          <w:i/>
          <w:iCs/>
          <w:spacing w:val="31"/>
        </w:rPr>
        <w:t xml:space="preserve"> </w:t>
      </w:r>
      <w:r w:rsidRPr="003A39F7">
        <w:rPr>
          <w:b/>
          <w:bCs/>
          <w:i/>
          <w:iCs/>
        </w:rPr>
        <w:t xml:space="preserve">fondamentaux suivants de HMI </w:t>
      </w:r>
      <w:r w:rsidRPr="003A39F7">
        <w:rPr>
          <w:b/>
          <w:bCs/>
          <w:i/>
          <w:iCs/>
          <w:color w:val="1A1A1A"/>
        </w:rPr>
        <w:t>:</w:t>
      </w:r>
    </w:p>
    <w:p w14:paraId="631453F8" w14:textId="68C22F42" w:rsidR="00F03DDA" w:rsidRDefault="00D82A6C" w:rsidP="00FC69A3">
      <w:pPr>
        <w:pStyle w:val="Paragraphe"/>
        <w:spacing w:line="240" w:lineRule="auto"/>
        <w:rPr>
          <w:lang w:eastAsia="fr-CA"/>
        </w:rPr>
      </w:pPr>
      <w:r>
        <w:rPr>
          <w:lang w:eastAsia="fr-CA"/>
        </w:rPr>
        <w:t>Avant toute chose, l</w:t>
      </w:r>
      <w:r w:rsidR="00F03DDA">
        <w:rPr>
          <w:lang w:eastAsia="fr-CA"/>
        </w:rPr>
        <w:t>e</w:t>
      </w:r>
      <w:r w:rsidR="003D1258">
        <w:rPr>
          <w:lang w:eastAsia="fr-CA"/>
        </w:rPr>
        <w:t xml:space="preserve">s avocats du </w:t>
      </w:r>
      <w:r w:rsidR="00F03DDA">
        <w:rPr>
          <w:lang w:eastAsia="fr-CA"/>
        </w:rPr>
        <w:t>P</w:t>
      </w:r>
      <w:r w:rsidR="003D1258">
        <w:rPr>
          <w:lang w:eastAsia="fr-CA"/>
        </w:rPr>
        <w:t>rocureur général du Québec (« </w:t>
      </w:r>
      <w:r w:rsidR="003D1258" w:rsidRPr="003D1258">
        <w:rPr>
          <w:b/>
          <w:bCs/>
          <w:lang w:eastAsia="fr-CA"/>
        </w:rPr>
        <w:t>PGQ</w:t>
      </w:r>
      <w:r w:rsidR="003D1258">
        <w:rPr>
          <w:lang w:eastAsia="fr-CA"/>
        </w:rPr>
        <w:t> »)</w:t>
      </w:r>
      <w:r w:rsidR="00F03DDA">
        <w:rPr>
          <w:lang w:eastAsia="fr-CA"/>
        </w:rPr>
        <w:t xml:space="preserve"> invite</w:t>
      </w:r>
      <w:r w:rsidR="004670DA">
        <w:rPr>
          <w:lang w:eastAsia="fr-CA"/>
        </w:rPr>
        <w:t>nt</w:t>
      </w:r>
      <w:r w:rsidR="00F03DDA">
        <w:rPr>
          <w:lang w:eastAsia="fr-CA"/>
        </w:rPr>
        <w:t xml:space="preserve"> le Tribunal </w:t>
      </w:r>
      <w:r>
        <w:rPr>
          <w:lang w:eastAsia="fr-CA"/>
        </w:rPr>
        <w:t>à</w:t>
      </w:r>
      <w:r w:rsidR="00F03DDA">
        <w:rPr>
          <w:lang w:eastAsia="fr-CA"/>
        </w:rPr>
        <w:t xml:space="preserve"> faire preuve de retenu</w:t>
      </w:r>
      <w:r>
        <w:rPr>
          <w:lang w:eastAsia="fr-CA"/>
        </w:rPr>
        <w:t>e</w:t>
      </w:r>
      <w:r w:rsidR="00F03DDA">
        <w:rPr>
          <w:lang w:eastAsia="fr-CA"/>
        </w:rPr>
        <w:t xml:space="preserve"> judiciaire quant aux questions constitutionnelle</w:t>
      </w:r>
      <w:r w:rsidR="00D418DF">
        <w:rPr>
          <w:lang w:eastAsia="fr-CA"/>
        </w:rPr>
        <w:t>s</w:t>
      </w:r>
      <w:r w:rsidR="00F03DDA">
        <w:rPr>
          <w:lang w:eastAsia="fr-CA"/>
        </w:rPr>
        <w:t xml:space="preserve"> soulevées par la demanderesse et</w:t>
      </w:r>
      <w:r w:rsidR="00742D75">
        <w:rPr>
          <w:lang w:eastAsia="fr-CA"/>
        </w:rPr>
        <w:t xml:space="preserve"> à</w:t>
      </w:r>
      <w:r w:rsidR="00F03DDA">
        <w:rPr>
          <w:lang w:eastAsia="fr-CA"/>
        </w:rPr>
        <w:t xml:space="preserve"> reconnaître que la présente affaire peut se résoudre entièrement en se limitant aux principes de droit civil qui s’appliquent </w:t>
      </w:r>
      <w:r>
        <w:rPr>
          <w:lang w:eastAsia="fr-CA"/>
        </w:rPr>
        <w:t xml:space="preserve">à l’entente de location </w:t>
      </w:r>
      <w:r w:rsidR="00F03DDA">
        <w:rPr>
          <w:lang w:eastAsia="fr-CA"/>
        </w:rPr>
        <w:t>intervenu</w:t>
      </w:r>
      <w:r>
        <w:rPr>
          <w:lang w:eastAsia="fr-CA"/>
        </w:rPr>
        <w:t>e</w:t>
      </w:r>
      <w:r w:rsidR="00F03DDA">
        <w:rPr>
          <w:lang w:eastAsia="fr-CA"/>
        </w:rPr>
        <w:t xml:space="preserve"> entre les parties.</w:t>
      </w:r>
    </w:p>
    <w:p w14:paraId="3FD0264F" w14:textId="4D1158D7" w:rsidR="00D82A6C" w:rsidRPr="00D82A6C" w:rsidRDefault="00D82A6C" w:rsidP="00BB1B51">
      <w:pPr>
        <w:pStyle w:val="Paragraphe"/>
        <w:spacing w:line="240" w:lineRule="auto"/>
        <w:rPr>
          <w:b/>
          <w:bCs/>
          <w:lang w:eastAsia="fr-CA"/>
        </w:rPr>
      </w:pPr>
      <w:r>
        <w:rPr>
          <w:lang w:eastAsia="fr-CA"/>
        </w:rPr>
        <w:t xml:space="preserve">Le PGQ s’appuie sur les </w:t>
      </w:r>
      <w:r w:rsidR="00742D75">
        <w:rPr>
          <w:lang w:eastAsia="fr-CA"/>
        </w:rPr>
        <w:t xml:space="preserve">enseignements de la </w:t>
      </w:r>
      <w:r>
        <w:rPr>
          <w:lang w:eastAsia="fr-CA"/>
        </w:rPr>
        <w:t xml:space="preserve">Cour suprême du Canada dans l’affaire </w:t>
      </w:r>
      <w:r w:rsidR="001C62F0" w:rsidRPr="00D82A6C">
        <w:rPr>
          <w:lang w:eastAsia="fr-CA"/>
        </w:rPr>
        <w:t>Phillips c</w:t>
      </w:r>
      <w:r w:rsidR="00F417FF">
        <w:rPr>
          <w:lang w:eastAsia="fr-CA"/>
        </w:rPr>
        <w:t>.</w:t>
      </w:r>
      <w:r w:rsidR="001C62F0" w:rsidRPr="00D82A6C">
        <w:rPr>
          <w:lang w:eastAsia="fr-CA"/>
        </w:rPr>
        <w:t xml:space="preserve"> Nouvelle Écosse</w:t>
      </w:r>
      <w:r>
        <w:rPr>
          <w:lang w:eastAsia="fr-CA"/>
        </w:rPr>
        <w:t>.</w:t>
      </w:r>
      <w:r>
        <w:rPr>
          <w:rStyle w:val="Appelnotedebasdep"/>
          <w:lang w:eastAsia="fr-CA"/>
        </w:rPr>
        <w:footnoteReference w:id="25"/>
      </w:r>
      <w:r>
        <w:rPr>
          <w:lang w:eastAsia="fr-CA"/>
        </w:rPr>
        <w:t xml:space="preserve"> Le juge Sopinka s’exprime ainsi sur cette question :</w:t>
      </w:r>
    </w:p>
    <w:p w14:paraId="77093BFD" w14:textId="3A84E668" w:rsidR="001C62F0" w:rsidRPr="00942A32" w:rsidRDefault="00942A32" w:rsidP="00942A32">
      <w:pPr>
        <w:pStyle w:val="Citationenretrait"/>
        <w:rPr>
          <w:lang w:eastAsia="fr-CA"/>
        </w:rPr>
      </w:pPr>
      <w:r w:rsidRPr="00942A32">
        <w:rPr>
          <w:lang w:eastAsia="fr-CA"/>
        </w:rPr>
        <w:lastRenderedPageBreak/>
        <w:t>Notre Cour a dit à maintes reprises qu'elle ne devait pas se prononcer sur des points de droit lorsqu'il n'est pas nécessaire de le faire pour régler un pourvoi. Cela est particulièrement vrai quand il s'agit de questions constitutionnelles et le principe s'applique avec encore plus de force si le fondement de la procédure qui a été engagée a cessé d'exister.</w:t>
      </w:r>
    </w:p>
    <w:p w14:paraId="6221D3A0" w14:textId="43EA7AD4" w:rsidR="00812FA6" w:rsidRDefault="00F03DDA" w:rsidP="00812FA6">
      <w:pPr>
        <w:pStyle w:val="Paragraphe"/>
        <w:spacing w:line="240" w:lineRule="auto"/>
        <w:rPr>
          <w:lang w:eastAsia="fr-CA"/>
        </w:rPr>
      </w:pPr>
      <w:r>
        <w:rPr>
          <w:lang w:eastAsia="fr-CA"/>
        </w:rPr>
        <w:t>Le Tribunal n</w:t>
      </w:r>
      <w:r w:rsidR="00742D75">
        <w:rPr>
          <w:lang w:eastAsia="fr-CA"/>
        </w:rPr>
        <w:t>e remet pas en cause la sagesse de cet enseignement qui</w:t>
      </w:r>
      <w:r w:rsidR="000A7D0F">
        <w:rPr>
          <w:lang w:eastAsia="fr-CA"/>
        </w:rPr>
        <w:t>, avec égards,</w:t>
      </w:r>
      <w:r w:rsidR="00742D75">
        <w:rPr>
          <w:lang w:eastAsia="fr-CA"/>
        </w:rPr>
        <w:t xml:space="preserve"> ne s’applique toutefois pas dans la présente affaire.</w:t>
      </w:r>
    </w:p>
    <w:p w14:paraId="5D99C2E5" w14:textId="059D50A2" w:rsidR="00932BC5" w:rsidRDefault="00742D75" w:rsidP="00812FA6">
      <w:pPr>
        <w:pStyle w:val="Paragraphe"/>
        <w:spacing w:line="240" w:lineRule="auto"/>
        <w:rPr>
          <w:lang w:eastAsia="fr-CA"/>
        </w:rPr>
      </w:pPr>
      <w:r>
        <w:rPr>
          <w:lang w:eastAsia="fr-CA"/>
        </w:rPr>
        <w:t>La demanderesse allègue que la décision des défende</w:t>
      </w:r>
      <w:r w:rsidR="006F6080">
        <w:rPr>
          <w:lang w:eastAsia="fr-CA"/>
        </w:rPr>
        <w:t>u</w:t>
      </w:r>
      <w:r>
        <w:rPr>
          <w:lang w:eastAsia="fr-CA"/>
        </w:rPr>
        <w:t xml:space="preserve">rs </w:t>
      </w:r>
      <w:r w:rsidR="00DF23DB">
        <w:rPr>
          <w:lang w:eastAsia="fr-CA"/>
        </w:rPr>
        <w:t xml:space="preserve">de résilier unilatéralement l’entente de location </w:t>
      </w:r>
      <w:r w:rsidR="00195DBD">
        <w:t xml:space="preserve">et d’annuler la tenue de l’évènement « </w:t>
      </w:r>
      <w:r w:rsidR="00195DBD" w:rsidRPr="00037A75">
        <w:rPr>
          <w:i/>
          <w:iCs/>
        </w:rPr>
        <w:t>Foi, Feu et Liberté</w:t>
      </w:r>
      <w:r w:rsidR="00195DBD">
        <w:t> » devant se tenir du 22 juin au 2 juillet 2023 lui a causé des dommages pour lesquels elle réclame compensation.</w:t>
      </w:r>
    </w:p>
    <w:p w14:paraId="0ED9E1FB" w14:textId="7167D527" w:rsidR="00812FA6" w:rsidRDefault="00195DBD" w:rsidP="001D2297">
      <w:pPr>
        <w:pStyle w:val="Paragraphe"/>
        <w:spacing w:line="240" w:lineRule="auto"/>
        <w:rPr>
          <w:lang w:eastAsia="fr-CA"/>
        </w:rPr>
      </w:pPr>
      <w:r>
        <w:t xml:space="preserve">Elle plaide que cette décision porte </w:t>
      </w:r>
      <w:r w:rsidR="00742D75">
        <w:rPr>
          <w:lang w:eastAsia="fr-CA"/>
        </w:rPr>
        <w:t>atteinte à ses droit</w:t>
      </w:r>
      <w:r>
        <w:rPr>
          <w:lang w:eastAsia="fr-CA"/>
        </w:rPr>
        <w:t>s</w:t>
      </w:r>
      <w:r w:rsidR="00742D75">
        <w:rPr>
          <w:lang w:eastAsia="fr-CA"/>
        </w:rPr>
        <w:t xml:space="preserve"> et libertés </w:t>
      </w:r>
      <w:r w:rsidR="00F03DDA">
        <w:rPr>
          <w:lang w:eastAsia="fr-CA"/>
        </w:rPr>
        <w:t>fondamentaux d’expression, de religion et de réunion pacifique</w:t>
      </w:r>
      <w:r w:rsidR="00932BC5">
        <w:rPr>
          <w:lang w:eastAsia="fr-CA"/>
        </w:rPr>
        <w:t xml:space="preserve"> et qu’une </w:t>
      </w:r>
      <w:r>
        <w:rPr>
          <w:lang w:eastAsia="fr-CA"/>
        </w:rPr>
        <w:t>condamnation des défende</w:t>
      </w:r>
      <w:r w:rsidR="006F6080">
        <w:rPr>
          <w:lang w:eastAsia="fr-CA"/>
        </w:rPr>
        <w:t>u</w:t>
      </w:r>
      <w:r>
        <w:rPr>
          <w:lang w:eastAsia="fr-CA"/>
        </w:rPr>
        <w:t>rs pour dommages punitifs en</w:t>
      </w:r>
      <w:r w:rsidR="00812FA6">
        <w:rPr>
          <w:lang w:eastAsia="fr-CA"/>
        </w:rPr>
        <w:t xml:space="preserve"> vertu des dispositions de la Charte</w:t>
      </w:r>
      <w:r w:rsidR="00932BC5">
        <w:rPr>
          <w:lang w:eastAsia="fr-CA"/>
        </w:rPr>
        <w:t xml:space="preserve"> est de mise</w:t>
      </w:r>
      <w:r w:rsidR="00F03DDA">
        <w:rPr>
          <w:lang w:eastAsia="fr-CA"/>
        </w:rPr>
        <w:t>.</w:t>
      </w:r>
      <w:r w:rsidR="00CE34A7">
        <w:rPr>
          <w:lang w:eastAsia="fr-CA"/>
        </w:rPr>
        <w:t xml:space="preserve"> </w:t>
      </w:r>
    </w:p>
    <w:p w14:paraId="226ED239" w14:textId="05C1AD54" w:rsidR="00812FA6" w:rsidRDefault="00812FA6" w:rsidP="00812FA6">
      <w:pPr>
        <w:pStyle w:val="Paragraphe"/>
        <w:spacing w:line="240" w:lineRule="auto"/>
        <w:rPr>
          <w:lang w:eastAsia="fr-CA"/>
        </w:rPr>
      </w:pPr>
      <w:r>
        <w:rPr>
          <w:lang w:eastAsia="fr-CA"/>
        </w:rPr>
        <w:t xml:space="preserve">Il s’agit </w:t>
      </w:r>
      <w:r w:rsidR="007603BA">
        <w:rPr>
          <w:lang w:eastAsia="fr-CA"/>
        </w:rPr>
        <w:t xml:space="preserve">là </w:t>
      </w:r>
      <w:r>
        <w:rPr>
          <w:lang w:eastAsia="fr-CA"/>
        </w:rPr>
        <w:t>du fondement de son recours.</w:t>
      </w:r>
    </w:p>
    <w:p w14:paraId="02175A83" w14:textId="7C9BEB56" w:rsidR="00CE34A7" w:rsidRDefault="00CE34A7" w:rsidP="00CE34A7">
      <w:pPr>
        <w:pStyle w:val="Paragraphe"/>
        <w:spacing w:line="240" w:lineRule="auto"/>
      </w:pPr>
      <w:r>
        <w:rPr>
          <w:lang w:eastAsia="fr-CA"/>
        </w:rPr>
        <w:t>La ministre du Tourisme plaide elle-même que sa décision de résilier l’entente de location résulte d</w:t>
      </w:r>
      <w:r>
        <w:t>’une mise en balance des différents intérêts légitimes et valeurs québécoises, telles d’une part, la liberté d’expression et, d’autre part</w:t>
      </w:r>
      <w:r w:rsidR="004670DA">
        <w:t>,</w:t>
      </w:r>
      <w:r>
        <w:t xml:space="preserve"> la dignité de la femme et sa liberté de choix.</w:t>
      </w:r>
    </w:p>
    <w:p w14:paraId="0ECF5220" w14:textId="10F5CDC6" w:rsidR="00812FA6" w:rsidRDefault="00CE34A7" w:rsidP="00812FA6">
      <w:pPr>
        <w:pStyle w:val="Paragraphe"/>
        <w:spacing w:line="240" w:lineRule="auto"/>
        <w:rPr>
          <w:lang w:eastAsia="fr-CA"/>
        </w:rPr>
      </w:pPr>
      <w:r>
        <w:rPr>
          <w:lang w:eastAsia="fr-CA"/>
        </w:rPr>
        <w:t>Dans cette mesure</w:t>
      </w:r>
      <w:r w:rsidR="00932BC5">
        <w:rPr>
          <w:lang w:eastAsia="fr-CA"/>
        </w:rPr>
        <w:t xml:space="preserve">, </w:t>
      </w:r>
      <w:r w:rsidR="00812FA6">
        <w:rPr>
          <w:lang w:eastAsia="fr-CA"/>
        </w:rPr>
        <w:t>le Tribunal ne peut limiter sa décision à trancher les questions de responsabilité contractuelle et extracontractuelle des défende</w:t>
      </w:r>
      <w:r w:rsidR="006F6080">
        <w:rPr>
          <w:lang w:eastAsia="fr-CA"/>
        </w:rPr>
        <w:t>u</w:t>
      </w:r>
      <w:r w:rsidR="00812FA6">
        <w:rPr>
          <w:lang w:eastAsia="fr-CA"/>
        </w:rPr>
        <w:t>rs sans aborder la question des atteintes alléguées aux droits et libertés fondamentaux de la demanderesse.</w:t>
      </w:r>
    </w:p>
    <w:p w14:paraId="2B8AD492" w14:textId="4F3D50AC" w:rsidR="00932BC5" w:rsidRDefault="00932BC5" w:rsidP="00932BC5">
      <w:pPr>
        <w:pStyle w:val="Paragraphe"/>
        <w:numPr>
          <w:ilvl w:val="0"/>
          <w:numId w:val="0"/>
        </w:numPr>
        <w:spacing w:line="240" w:lineRule="auto"/>
        <w:jc w:val="center"/>
        <w:rPr>
          <w:lang w:eastAsia="fr-CA"/>
        </w:rPr>
      </w:pPr>
      <w:r>
        <w:rPr>
          <w:rFonts w:cs="Arial"/>
          <w:lang w:eastAsia="fr-CA"/>
        </w:rPr>
        <w:t>*  *  *</w:t>
      </w:r>
    </w:p>
    <w:p w14:paraId="7ACEBC52" w14:textId="68381527" w:rsidR="00812FA6" w:rsidRDefault="00812FA6" w:rsidP="00FC69A3">
      <w:pPr>
        <w:pStyle w:val="Paragraphe"/>
        <w:spacing w:line="240" w:lineRule="auto"/>
        <w:rPr>
          <w:lang w:eastAsia="fr-CA"/>
        </w:rPr>
      </w:pPr>
      <w:r>
        <w:rPr>
          <w:lang w:eastAsia="fr-CA"/>
        </w:rPr>
        <w:t xml:space="preserve">Les atteintes alléguées par la demanderesse trouvent leurs sources dans les dispositions suivantes de la </w:t>
      </w:r>
      <w:r w:rsidR="00932BC5">
        <w:rPr>
          <w:lang w:eastAsia="fr-CA"/>
        </w:rPr>
        <w:t>Charte canadienne des droits et libertés</w:t>
      </w:r>
      <w:r w:rsidR="00932BC5">
        <w:rPr>
          <w:rStyle w:val="Appelnotedebasdep"/>
          <w:lang w:eastAsia="fr-CA"/>
        </w:rPr>
        <w:footnoteReference w:id="26"/>
      </w:r>
      <w:r w:rsidR="00932BC5">
        <w:rPr>
          <w:lang w:eastAsia="fr-CA"/>
        </w:rPr>
        <w:t xml:space="preserve"> (« </w:t>
      </w:r>
      <w:r w:rsidR="00932BC5" w:rsidRPr="006452C1">
        <w:rPr>
          <w:b/>
          <w:bCs/>
          <w:lang w:eastAsia="fr-CA"/>
        </w:rPr>
        <w:t>CCDL</w:t>
      </w:r>
      <w:r w:rsidR="00932BC5">
        <w:rPr>
          <w:lang w:eastAsia="fr-CA"/>
        </w:rPr>
        <w:t xml:space="preserve"> ») et de la </w:t>
      </w:r>
      <w:r>
        <w:rPr>
          <w:lang w:eastAsia="fr-CA"/>
        </w:rPr>
        <w:t>Charte des droits et libertés de la personne</w:t>
      </w:r>
      <w:r>
        <w:rPr>
          <w:rStyle w:val="Appelnotedebasdep"/>
          <w:lang w:eastAsia="fr-CA"/>
        </w:rPr>
        <w:footnoteReference w:id="27"/>
      </w:r>
      <w:r>
        <w:rPr>
          <w:lang w:eastAsia="fr-CA"/>
        </w:rPr>
        <w:t xml:space="preserve"> (« </w:t>
      </w:r>
      <w:r w:rsidRPr="006452C1">
        <w:rPr>
          <w:b/>
          <w:bCs/>
          <w:lang w:eastAsia="fr-CA"/>
        </w:rPr>
        <w:t>CDLP</w:t>
      </w:r>
      <w:r>
        <w:rPr>
          <w:lang w:eastAsia="fr-CA"/>
        </w:rPr>
        <w:t> »).</w:t>
      </w:r>
    </w:p>
    <w:p w14:paraId="1ACE017B" w14:textId="77777777" w:rsidR="00932BC5" w:rsidRDefault="00932BC5" w:rsidP="00FC69A3">
      <w:pPr>
        <w:pStyle w:val="Paragraphe"/>
        <w:spacing w:line="240" w:lineRule="auto"/>
      </w:pPr>
      <w:r>
        <w:t>L’article 2 de la CCDL énonce :</w:t>
      </w:r>
    </w:p>
    <w:p w14:paraId="6C1B84A0" w14:textId="77777777" w:rsidR="00932BC5" w:rsidRPr="000D55A3" w:rsidRDefault="00932BC5" w:rsidP="00932BC5">
      <w:pPr>
        <w:pStyle w:val="Citationenretrait"/>
        <w:rPr>
          <w:rFonts w:cs="Arial"/>
          <w:szCs w:val="22"/>
        </w:rPr>
      </w:pPr>
      <w:r w:rsidRPr="000D55A3">
        <w:rPr>
          <w:rStyle w:val="sectionlabel"/>
          <w:rFonts w:cs="Arial"/>
          <w:b/>
          <w:bCs/>
          <w:color w:val="000000"/>
          <w:szCs w:val="22"/>
        </w:rPr>
        <w:t>2.</w:t>
      </w:r>
      <w:r w:rsidRPr="000D55A3">
        <w:rPr>
          <w:rFonts w:cs="Arial"/>
          <w:b/>
          <w:bCs/>
          <w:szCs w:val="22"/>
        </w:rPr>
        <w:t> </w:t>
      </w:r>
      <w:r w:rsidRPr="000D55A3">
        <w:rPr>
          <w:rFonts w:cs="Arial"/>
          <w:szCs w:val="22"/>
        </w:rPr>
        <w:t>Chacun a les libertés fondamentales suivantes :</w:t>
      </w:r>
    </w:p>
    <w:p w14:paraId="76BBF01F" w14:textId="77777777" w:rsidR="00932BC5" w:rsidRPr="000D55A3" w:rsidRDefault="00932BC5" w:rsidP="00932BC5">
      <w:pPr>
        <w:pStyle w:val="Citationenretrait"/>
        <w:rPr>
          <w:rFonts w:cs="Arial"/>
          <w:szCs w:val="22"/>
        </w:rPr>
      </w:pPr>
      <w:r w:rsidRPr="000D55A3">
        <w:rPr>
          <w:rStyle w:val="lawlabel"/>
          <w:rFonts w:cs="Arial"/>
          <w:color w:val="000000"/>
          <w:szCs w:val="22"/>
        </w:rPr>
        <w:t>a)</w:t>
      </w:r>
      <w:r w:rsidRPr="000D55A3">
        <w:rPr>
          <w:rFonts w:cs="Arial"/>
          <w:szCs w:val="22"/>
        </w:rPr>
        <w:t> liberté de conscience et de religion;</w:t>
      </w:r>
    </w:p>
    <w:p w14:paraId="22F7DB29" w14:textId="77777777" w:rsidR="00932BC5" w:rsidRPr="000D55A3" w:rsidRDefault="00932BC5" w:rsidP="00932BC5">
      <w:pPr>
        <w:pStyle w:val="Citationenretrait"/>
        <w:rPr>
          <w:rFonts w:cs="Arial"/>
          <w:szCs w:val="22"/>
        </w:rPr>
      </w:pPr>
      <w:r w:rsidRPr="000D55A3">
        <w:rPr>
          <w:rStyle w:val="lawlabel"/>
          <w:rFonts w:cs="Arial"/>
          <w:color w:val="000000"/>
          <w:szCs w:val="22"/>
        </w:rPr>
        <w:t>b)</w:t>
      </w:r>
      <w:r w:rsidRPr="000D55A3">
        <w:rPr>
          <w:rFonts w:cs="Arial"/>
          <w:szCs w:val="22"/>
        </w:rPr>
        <w:t> liberté de pensée, de croyance, d’opinion et d’expression, y compris la liberté de la presse et des autres moyens de communication;</w:t>
      </w:r>
    </w:p>
    <w:p w14:paraId="199F7E27" w14:textId="77777777" w:rsidR="00932BC5" w:rsidRPr="000D55A3" w:rsidRDefault="00932BC5" w:rsidP="00932BC5">
      <w:pPr>
        <w:pStyle w:val="Citationenretrait"/>
        <w:rPr>
          <w:rFonts w:cs="Arial"/>
          <w:szCs w:val="22"/>
        </w:rPr>
      </w:pPr>
      <w:r w:rsidRPr="000D55A3">
        <w:rPr>
          <w:rStyle w:val="lawlabel"/>
          <w:rFonts w:cs="Arial"/>
          <w:color w:val="000000"/>
          <w:szCs w:val="22"/>
        </w:rPr>
        <w:lastRenderedPageBreak/>
        <w:t>c)</w:t>
      </w:r>
      <w:r w:rsidRPr="000D55A3">
        <w:rPr>
          <w:rFonts w:cs="Arial"/>
          <w:szCs w:val="22"/>
        </w:rPr>
        <w:t> liberté de réunion pacifique;</w:t>
      </w:r>
    </w:p>
    <w:p w14:paraId="16B751DF" w14:textId="77777777" w:rsidR="00932BC5" w:rsidRPr="000D55A3" w:rsidRDefault="00932BC5" w:rsidP="00C73A18">
      <w:pPr>
        <w:pStyle w:val="Citationenretrait"/>
        <w:rPr>
          <w:rFonts w:cs="Arial"/>
          <w:szCs w:val="22"/>
        </w:rPr>
      </w:pPr>
      <w:r w:rsidRPr="000D55A3">
        <w:rPr>
          <w:rStyle w:val="lawlabel"/>
          <w:rFonts w:cs="Arial"/>
          <w:color w:val="000000"/>
          <w:szCs w:val="22"/>
        </w:rPr>
        <w:t>d)</w:t>
      </w:r>
      <w:r w:rsidRPr="000D55A3">
        <w:rPr>
          <w:rFonts w:cs="Arial"/>
          <w:szCs w:val="22"/>
        </w:rPr>
        <w:t> liberté d’association.</w:t>
      </w:r>
    </w:p>
    <w:p w14:paraId="290E68B8" w14:textId="20F53C97" w:rsidR="00760381" w:rsidRPr="00760381" w:rsidRDefault="00932BC5" w:rsidP="00C73A18">
      <w:pPr>
        <w:pStyle w:val="Paragraphe"/>
        <w:spacing w:line="240" w:lineRule="auto"/>
        <w:rPr>
          <w:lang w:eastAsia="fr-CA"/>
        </w:rPr>
      </w:pPr>
      <w:r>
        <w:rPr>
          <w:lang w:eastAsia="fr-CA"/>
        </w:rPr>
        <w:t>Quant à l</w:t>
      </w:r>
      <w:r w:rsidR="00760381">
        <w:rPr>
          <w:lang w:eastAsia="fr-CA"/>
        </w:rPr>
        <w:t>’article 3 de la C</w:t>
      </w:r>
      <w:r w:rsidR="00812FA6">
        <w:rPr>
          <w:lang w:eastAsia="fr-CA"/>
        </w:rPr>
        <w:t>DLP</w:t>
      </w:r>
      <w:r>
        <w:rPr>
          <w:lang w:eastAsia="fr-CA"/>
        </w:rPr>
        <w:t>, il</w:t>
      </w:r>
      <w:r w:rsidR="00760381">
        <w:rPr>
          <w:lang w:eastAsia="fr-CA"/>
        </w:rPr>
        <w:t xml:space="preserve"> se lit comme suit :</w:t>
      </w:r>
    </w:p>
    <w:p w14:paraId="0A3B121D" w14:textId="06D3352F" w:rsidR="00460FCE" w:rsidRPr="000D55A3" w:rsidRDefault="00760381" w:rsidP="00C73A18">
      <w:pPr>
        <w:pStyle w:val="Citationenretrait"/>
        <w:rPr>
          <w:rFonts w:cs="Arial"/>
        </w:rPr>
      </w:pPr>
      <w:r w:rsidRPr="000D55A3">
        <w:rPr>
          <w:rFonts w:cs="Arial"/>
          <w:b/>
          <w:bCs/>
          <w:szCs w:val="24"/>
          <w:lang w:eastAsia="fr-CA"/>
        </w:rPr>
        <w:t>3.</w:t>
      </w:r>
      <w:r w:rsidRPr="000D55A3">
        <w:rPr>
          <w:rFonts w:cs="Arial"/>
          <w:szCs w:val="24"/>
          <w:lang w:eastAsia="fr-CA"/>
        </w:rPr>
        <w:t xml:space="preserve"> </w:t>
      </w:r>
      <w:r w:rsidRPr="000D55A3">
        <w:rPr>
          <w:rFonts w:cs="Arial"/>
          <w:shd w:val="clear" w:color="auto" w:fill="FFFFFF"/>
          <w:lang w:eastAsia="fr-CA"/>
        </w:rPr>
        <w:t>Toute personne est titulaire des libertés fondamentales telles</w:t>
      </w:r>
      <w:r w:rsidR="002D642A" w:rsidRPr="000D55A3">
        <w:rPr>
          <w:rFonts w:cs="Arial"/>
          <w:shd w:val="clear" w:color="auto" w:fill="FFFFFF"/>
          <w:lang w:eastAsia="fr-CA"/>
        </w:rPr>
        <w:t>,</w:t>
      </w:r>
      <w:r w:rsidRPr="000D55A3">
        <w:rPr>
          <w:rFonts w:cs="Arial"/>
          <w:shd w:val="clear" w:color="auto" w:fill="FFFFFF"/>
          <w:lang w:eastAsia="fr-CA"/>
        </w:rPr>
        <w:t xml:space="preserve"> la liberté de conscience, la liberté de religion, la liberté d’opinion, la liberté d’expression, la liberté de réunion pacifique et la liberté d’association.</w:t>
      </w:r>
    </w:p>
    <w:p w14:paraId="58D4D195" w14:textId="5A54626E" w:rsidR="00BA27BC" w:rsidRDefault="00BA27BC" w:rsidP="002C2141">
      <w:pPr>
        <w:pStyle w:val="Paragraphe"/>
        <w:spacing w:line="240" w:lineRule="auto"/>
      </w:pPr>
      <w:r>
        <w:t xml:space="preserve">HMI soulève que la décision des défendeurs de résilier l’entente de location porte atteinte à sa liberté d’expression, à sa liberté de religion et constitue une discrimination fondée sur ses convictions politiques. </w:t>
      </w:r>
    </w:p>
    <w:p w14:paraId="79CA16BA" w14:textId="33E588B8" w:rsidR="00511C71" w:rsidRDefault="00511C71" w:rsidP="00970DC7">
      <w:pPr>
        <w:pStyle w:val="Paragraphe"/>
        <w:spacing w:line="240" w:lineRule="auto"/>
      </w:pPr>
      <w:r>
        <w:t>Le Tribunal aborde la question des atteintes alléguées aux libertés et droits fondamentaux de la demanderesse en analysant au premier chef la garantie relative à la liberté d’expression</w:t>
      </w:r>
      <w:r w:rsidR="00F7202F">
        <w:t>.</w:t>
      </w:r>
      <w:r>
        <w:t xml:space="preserve"> </w:t>
      </w:r>
    </w:p>
    <w:p w14:paraId="07DB4FA6" w14:textId="45A0BB3B" w:rsidR="002D642A" w:rsidRDefault="00511C71" w:rsidP="00C73A18">
      <w:pPr>
        <w:pStyle w:val="Paragraphe"/>
        <w:spacing w:line="240" w:lineRule="auto"/>
      </w:pPr>
      <w:r>
        <w:t>Q</w:t>
      </w:r>
      <w:r w:rsidR="001019DE">
        <w:t>u’en est-il exactement ?</w:t>
      </w:r>
    </w:p>
    <w:p w14:paraId="122098D9" w14:textId="07BAC819" w:rsidR="001B373C" w:rsidRPr="001B373C" w:rsidRDefault="001B373C" w:rsidP="00C73A18">
      <w:pPr>
        <w:pStyle w:val="Paragraphe"/>
        <w:numPr>
          <w:ilvl w:val="0"/>
          <w:numId w:val="0"/>
        </w:numPr>
        <w:spacing w:line="240" w:lineRule="auto"/>
        <w:ind w:firstLine="731"/>
        <w:rPr>
          <w:b/>
          <w:bCs/>
          <w:i/>
          <w:iCs/>
        </w:rPr>
      </w:pPr>
      <w:r w:rsidRPr="001B373C">
        <w:rPr>
          <w:b/>
          <w:bCs/>
          <w:i/>
          <w:iCs/>
        </w:rPr>
        <w:t>La liberté d’expression</w:t>
      </w:r>
      <w:r w:rsidR="00A14EDE">
        <w:rPr>
          <w:b/>
          <w:bCs/>
          <w:i/>
          <w:iCs/>
        </w:rPr>
        <w:t>.</w:t>
      </w:r>
    </w:p>
    <w:p w14:paraId="52547FFE" w14:textId="5AC274D4" w:rsidR="00FF400B" w:rsidRDefault="00FF400B" w:rsidP="00C73A18">
      <w:pPr>
        <w:pStyle w:val="Paragraphe"/>
        <w:spacing w:line="240" w:lineRule="auto"/>
      </w:pPr>
      <w:r>
        <w:t xml:space="preserve">Il est utile de rappeler que le </w:t>
      </w:r>
      <w:r w:rsidRPr="00FF400B">
        <w:rPr>
          <w:i/>
          <w:iCs/>
        </w:rPr>
        <w:t xml:space="preserve">Rallye Foi, Feu, Liberté </w:t>
      </w:r>
      <w:r>
        <w:t>organisé par la demanderesse au Centre des congrès se voulait être l’évènement culminant d’une série de rencontres tenues dans différentes villes du Québec dans le cadre d’un mouvement intitulé « </w:t>
      </w:r>
      <w:r w:rsidRPr="00FF400B">
        <w:rPr>
          <w:i/>
          <w:iCs/>
        </w:rPr>
        <w:t>Battle for Canada</w:t>
      </w:r>
      <w:r>
        <w:t> ».</w:t>
      </w:r>
    </w:p>
    <w:p w14:paraId="41B8E6E1" w14:textId="5681A727" w:rsidR="00FF400B" w:rsidRPr="006855DE" w:rsidRDefault="00FF400B" w:rsidP="00245FCB">
      <w:pPr>
        <w:pStyle w:val="Paragraphe"/>
        <w:spacing w:line="240" w:lineRule="auto"/>
      </w:pPr>
      <w:r>
        <w:t>La preuve démontre que ce rassemblement avait pour objectif principal d’unifier les deux peuples fondateurs du Canada. La demanderesse publicise l’évènement en utilisant divers slogans</w:t>
      </w:r>
      <w:r w:rsidR="00601A86">
        <w:t>,</w:t>
      </w:r>
      <w:r>
        <w:t xml:space="preserve"> tels « </w:t>
      </w:r>
      <w:r w:rsidRPr="00FF400B">
        <w:rPr>
          <w:i/>
          <w:iCs/>
        </w:rPr>
        <w:t>Préparons le chemin</w:t>
      </w:r>
      <w:r>
        <w:t> », « </w:t>
      </w:r>
      <w:r w:rsidRPr="00FF400B">
        <w:rPr>
          <w:i/>
          <w:iCs/>
        </w:rPr>
        <w:t>Combat pour le Canada</w:t>
      </w:r>
      <w:r>
        <w:t> » et « </w:t>
      </w:r>
      <w:r w:rsidRPr="00FF400B">
        <w:rPr>
          <w:i/>
          <w:iCs/>
        </w:rPr>
        <w:t>Rassemblement de grève nationale de prière</w:t>
      </w:r>
      <w:r>
        <w:t> »</w:t>
      </w:r>
      <w:r>
        <w:rPr>
          <w:rStyle w:val="Appelnotedebasdep"/>
        </w:rPr>
        <w:footnoteReference w:id="28"/>
      </w:r>
      <w:r>
        <w:t xml:space="preserve">. Les publicités réfèrent les intéressés à consulter et s’inscrire sur les sites web </w:t>
      </w:r>
      <w:r w:rsidRPr="00FF400B">
        <w:rPr>
          <w:i/>
          <w:iCs/>
        </w:rPr>
        <w:t>battleforcanada.com</w:t>
      </w:r>
      <w:r>
        <w:t xml:space="preserve"> et </w:t>
      </w:r>
      <w:r w:rsidRPr="00FF400B">
        <w:rPr>
          <w:i/>
          <w:iCs/>
        </w:rPr>
        <w:t>rra.ca</w:t>
      </w:r>
      <w:r>
        <w:rPr>
          <w:rStyle w:val="Appelnotedebasdep"/>
        </w:rPr>
        <w:footnoteReference w:id="29"/>
      </w:r>
      <w:r>
        <w:t xml:space="preserve">. </w:t>
      </w:r>
      <w:r w:rsidRPr="00FF400B">
        <w:rPr>
          <w:i/>
          <w:iCs/>
        </w:rPr>
        <w:t xml:space="preserve"> </w:t>
      </w:r>
    </w:p>
    <w:p w14:paraId="2ECED280" w14:textId="4F58E0B1" w:rsidR="0081213E" w:rsidRDefault="00FF400B" w:rsidP="002C2141">
      <w:pPr>
        <w:pStyle w:val="Paragraphe"/>
        <w:spacing w:line="240" w:lineRule="auto"/>
      </w:pPr>
      <w:r>
        <w:t xml:space="preserve">M. </w:t>
      </w:r>
      <w:r w:rsidR="00AE04B1">
        <w:t>Art</w:t>
      </w:r>
      <w:r w:rsidR="00755CA6">
        <w:t>hur</w:t>
      </w:r>
      <w:r w:rsidR="00AE04B1">
        <w:t xml:space="preserve"> </w:t>
      </w:r>
      <w:r>
        <w:t xml:space="preserve">Lucier </w:t>
      </w:r>
      <w:r w:rsidR="00AE04B1">
        <w:t xml:space="preserve">témoigne </w:t>
      </w:r>
      <w:r>
        <w:t>que l</w:t>
      </w:r>
      <w:r w:rsidR="0081213E">
        <w:t xml:space="preserve">’objectif </w:t>
      </w:r>
      <w:r>
        <w:t>premier d</w:t>
      </w:r>
      <w:r w:rsidR="0081213E">
        <w:t xml:space="preserve">u rassemblement </w:t>
      </w:r>
      <w:r>
        <w:t>était de r</w:t>
      </w:r>
      <w:r w:rsidR="0081213E">
        <w:t>éunir</w:t>
      </w:r>
      <w:r>
        <w:t xml:space="preserve"> les peuples fondateurs du Canada </w:t>
      </w:r>
      <w:r w:rsidR="0081213E">
        <w:t>dans la prière, la communion et le pardon et que le thème de la défense des « </w:t>
      </w:r>
      <w:r w:rsidR="0081213E" w:rsidRPr="002402BC">
        <w:rPr>
          <w:i/>
          <w:iCs/>
        </w:rPr>
        <w:t>personnes à naître</w:t>
      </w:r>
      <w:r w:rsidR="0081213E">
        <w:t> » allait être abordé bien que l’évènement ne soit pas, à proprement dit, de nature pro-vie.</w:t>
      </w:r>
    </w:p>
    <w:p w14:paraId="038B4A28" w14:textId="66CFD013" w:rsidR="002D642A" w:rsidRDefault="002D642A" w:rsidP="002D642A">
      <w:pPr>
        <w:pStyle w:val="Paragraphe"/>
        <w:spacing w:line="240" w:lineRule="auto"/>
        <w:rPr>
          <w:szCs w:val="24"/>
        </w:rPr>
      </w:pPr>
      <w:r w:rsidRPr="004D4D39">
        <w:rPr>
          <w:szCs w:val="24"/>
        </w:rPr>
        <w:t>Il s’agit</w:t>
      </w:r>
      <w:r w:rsidR="00A110DA">
        <w:rPr>
          <w:szCs w:val="24"/>
        </w:rPr>
        <w:t xml:space="preserve"> ici </w:t>
      </w:r>
      <w:r w:rsidRPr="004D4D39">
        <w:rPr>
          <w:szCs w:val="24"/>
        </w:rPr>
        <w:t>de d</w:t>
      </w:r>
      <w:r>
        <w:rPr>
          <w:szCs w:val="24"/>
        </w:rPr>
        <w:t>é</w:t>
      </w:r>
      <w:r w:rsidRPr="004D4D39">
        <w:rPr>
          <w:szCs w:val="24"/>
        </w:rPr>
        <w:t>terminer s</w:t>
      </w:r>
      <w:r>
        <w:rPr>
          <w:szCs w:val="24"/>
        </w:rPr>
        <w:t>i la décision des défende</w:t>
      </w:r>
      <w:r w:rsidR="006F6080">
        <w:rPr>
          <w:szCs w:val="24"/>
        </w:rPr>
        <w:t>u</w:t>
      </w:r>
      <w:r>
        <w:rPr>
          <w:szCs w:val="24"/>
        </w:rPr>
        <w:t>rs de résilier unilatéralement l’entente de location</w:t>
      </w:r>
      <w:r w:rsidR="00A110DA">
        <w:rPr>
          <w:szCs w:val="24"/>
        </w:rPr>
        <w:t xml:space="preserve"> du Centre des congrès</w:t>
      </w:r>
      <w:r>
        <w:rPr>
          <w:szCs w:val="24"/>
        </w:rPr>
        <w:t xml:space="preserve"> </w:t>
      </w:r>
      <w:r w:rsidR="00A110DA">
        <w:rPr>
          <w:szCs w:val="24"/>
        </w:rPr>
        <w:t xml:space="preserve">et d’empêcher la demanderesse d’y tenir un rassemblement de ses membres </w:t>
      </w:r>
      <w:r>
        <w:rPr>
          <w:szCs w:val="24"/>
        </w:rPr>
        <w:t>en raison de</w:t>
      </w:r>
      <w:r w:rsidR="00A110DA">
        <w:rPr>
          <w:szCs w:val="24"/>
        </w:rPr>
        <w:t xml:space="preserve"> </w:t>
      </w:r>
      <w:r>
        <w:rPr>
          <w:szCs w:val="24"/>
        </w:rPr>
        <w:t>s</w:t>
      </w:r>
      <w:r w:rsidR="00A110DA">
        <w:rPr>
          <w:szCs w:val="24"/>
        </w:rPr>
        <w:t>es</w:t>
      </w:r>
      <w:r>
        <w:rPr>
          <w:szCs w:val="24"/>
        </w:rPr>
        <w:t xml:space="preserve"> prises de position contre l’avortement porte atteinte à sa liberté d’expression. </w:t>
      </w:r>
    </w:p>
    <w:p w14:paraId="0B0964FD" w14:textId="77777777" w:rsidR="002D642A" w:rsidRPr="009D7164" w:rsidRDefault="002D642A" w:rsidP="002D642A">
      <w:pPr>
        <w:pStyle w:val="Paragraphe"/>
        <w:spacing w:line="240" w:lineRule="auto"/>
        <w:rPr>
          <w:szCs w:val="24"/>
        </w:rPr>
      </w:pPr>
      <w:r>
        <w:rPr>
          <w:lang w:eastAsia="fr-CA"/>
        </w:rPr>
        <w:t>La demanderesse revendique le droit à l’utilisation du Centre des congrès de Québec pour la tenue de son rassemblement et l’expression publique de ses positions politiques et religieuses sans subir de restriction injustifiée du contenu de cette expression par le gouvernement.</w:t>
      </w:r>
    </w:p>
    <w:p w14:paraId="0273F6A3" w14:textId="63AA8945" w:rsidR="002D642A" w:rsidRPr="00407FA1" w:rsidRDefault="002D642A" w:rsidP="002D642A">
      <w:pPr>
        <w:pStyle w:val="Paragraphe"/>
        <w:spacing w:line="240" w:lineRule="auto"/>
        <w:rPr>
          <w:szCs w:val="24"/>
        </w:rPr>
      </w:pPr>
      <w:r>
        <w:rPr>
          <w:lang w:eastAsia="fr-CA"/>
        </w:rPr>
        <w:t xml:space="preserve">Elle </w:t>
      </w:r>
      <w:r w:rsidR="00E21D25">
        <w:rPr>
          <w:lang w:eastAsia="fr-CA"/>
        </w:rPr>
        <w:t>est d</w:t>
      </w:r>
      <w:r>
        <w:rPr>
          <w:lang w:eastAsia="fr-CA"/>
        </w:rPr>
        <w:t xml:space="preserve">’avis que la question doit être tranchée en fonction du cadre d’analyse établi par la Cour suprême du Canada dans l’arrêt </w:t>
      </w:r>
      <w:r w:rsidRPr="00607F47">
        <w:rPr>
          <w:rFonts w:cs="Arial"/>
          <w:i/>
          <w:iCs/>
          <w:lang w:eastAsia="fr-CA"/>
        </w:rPr>
        <w:t>Ville de Montréal</w:t>
      </w:r>
      <w:r>
        <w:rPr>
          <w:rStyle w:val="Appelnotedebasdep"/>
          <w:rFonts w:ascii="TimesLT-Italic" w:hAnsi="TimesLT-Italic" w:cs="TimesLT-Italic"/>
          <w:i/>
          <w:iCs/>
          <w:lang w:eastAsia="fr-CA"/>
        </w:rPr>
        <w:footnoteReference w:id="30"/>
      </w:r>
      <w:r>
        <w:rPr>
          <w:rFonts w:ascii="TimesLT-Italic" w:hAnsi="TimesLT-Italic" w:cs="TimesLT-Italic"/>
          <w:i/>
          <w:iCs/>
          <w:lang w:eastAsia="fr-CA"/>
        </w:rPr>
        <w:t xml:space="preserve"> </w:t>
      </w:r>
      <w:r>
        <w:rPr>
          <w:lang w:eastAsia="fr-CA"/>
        </w:rPr>
        <w:t>qui traite de l’expression dans un espace ou un endroit public.</w:t>
      </w:r>
    </w:p>
    <w:p w14:paraId="03E25638" w14:textId="20E0ABBE" w:rsidR="00511C71" w:rsidRPr="00511C71" w:rsidRDefault="00A14961" w:rsidP="000A1CBC">
      <w:pPr>
        <w:pStyle w:val="Paragraphe"/>
        <w:spacing w:line="240" w:lineRule="auto"/>
      </w:pPr>
      <w:r w:rsidRPr="009E6DEE">
        <w:rPr>
          <w:szCs w:val="24"/>
        </w:rPr>
        <w:t>Le PGQ plaide</w:t>
      </w:r>
      <w:r w:rsidR="009E6DEE" w:rsidRPr="009E6DEE">
        <w:rPr>
          <w:szCs w:val="24"/>
        </w:rPr>
        <w:t xml:space="preserve"> pour sa part </w:t>
      </w:r>
      <w:r w:rsidRPr="009E6DEE">
        <w:rPr>
          <w:szCs w:val="24"/>
        </w:rPr>
        <w:t xml:space="preserve">que le test de </w:t>
      </w:r>
      <w:r w:rsidR="009E6DEE" w:rsidRPr="009E6DEE">
        <w:rPr>
          <w:szCs w:val="24"/>
        </w:rPr>
        <w:t xml:space="preserve">l’arrêt </w:t>
      </w:r>
      <w:r w:rsidR="009A0944" w:rsidRPr="009A0944">
        <w:rPr>
          <w:i/>
          <w:iCs/>
          <w:szCs w:val="24"/>
        </w:rPr>
        <w:t>Doré</w:t>
      </w:r>
      <w:r w:rsidR="009A0944">
        <w:rPr>
          <w:rStyle w:val="Appelnotedebasdep"/>
        </w:rPr>
        <w:footnoteReference w:id="31"/>
      </w:r>
      <w:r w:rsidR="009A0944">
        <w:t xml:space="preserve"> </w:t>
      </w:r>
      <w:r w:rsidRPr="009E6DEE">
        <w:rPr>
          <w:szCs w:val="24"/>
        </w:rPr>
        <w:t>est applicable</w:t>
      </w:r>
      <w:r w:rsidR="009E6DEE" w:rsidRPr="009E6DEE">
        <w:rPr>
          <w:szCs w:val="24"/>
        </w:rPr>
        <w:t xml:space="preserve"> et soumet que la décision des défende</w:t>
      </w:r>
      <w:r w:rsidR="006F6080">
        <w:rPr>
          <w:szCs w:val="24"/>
        </w:rPr>
        <w:t>u</w:t>
      </w:r>
      <w:r w:rsidR="009E6DEE" w:rsidRPr="009E6DEE">
        <w:rPr>
          <w:szCs w:val="24"/>
        </w:rPr>
        <w:t xml:space="preserve">rs </w:t>
      </w:r>
      <w:r w:rsidR="009E6DEE">
        <w:rPr>
          <w:szCs w:val="24"/>
        </w:rPr>
        <w:t xml:space="preserve">de résilier l’entente de location </w:t>
      </w:r>
      <w:r w:rsidRPr="009E6DEE">
        <w:rPr>
          <w:szCs w:val="24"/>
        </w:rPr>
        <w:t>est raisonnable.</w:t>
      </w:r>
    </w:p>
    <w:p w14:paraId="5FDDF167" w14:textId="44FE34BC" w:rsidR="009A0944" w:rsidRDefault="009E6DEE" w:rsidP="000A1CBC">
      <w:pPr>
        <w:pStyle w:val="Paragraphe"/>
        <w:spacing w:line="240" w:lineRule="auto"/>
      </w:pPr>
      <w:r>
        <w:rPr>
          <w:szCs w:val="24"/>
        </w:rPr>
        <w:t>Il précise</w:t>
      </w:r>
      <w:r w:rsidR="00407FA1">
        <w:t xml:space="preserve"> </w:t>
      </w:r>
      <w:r w:rsidR="00407FA1" w:rsidRPr="00E82D78">
        <w:t>que la liberté d’expression protège aussi le droit de ne pas s’exprimer, ou plus généralement le droit de ne pas être associé à un discours. L’usage de locaux publics par des organis</w:t>
      </w:r>
      <w:r w:rsidR="00755CA6">
        <w:t>ations</w:t>
      </w:r>
      <w:r w:rsidR="00407FA1" w:rsidRPr="00E82D78">
        <w:t xml:space="preserve"> tenant un discours s’opposant à l’avortement associe l’État à un </w:t>
      </w:r>
      <w:r w:rsidR="00755CA6">
        <w:t xml:space="preserve">tel </w:t>
      </w:r>
      <w:r w:rsidR="00407FA1" w:rsidRPr="00E82D78">
        <w:t>discours auquel il ne souhaite pas être associé.</w:t>
      </w:r>
    </w:p>
    <w:p w14:paraId="08B91BCE" w14:textId="6C6B2E8F" w:rsidR="00407FA1" w:rsidRPr="00E82D78" w:rsidRDefault="009A0944" w:rsidP="000A1CBC">
      <w:pPr>
        <w:pStyle w:val="Paragraphe"/>
        <w:spacing w:line="240" w:lineRule="auto"/>
      </w:pPr>
      <w:r>
        <w:t xml:space="preserve">Enfin, il plaide qu’il n’y a aucune atteinte </w:t>
      </w:r>
      <w:r w:rsidR="00755CA6">
        <w:t>à la</w:t>
      </w:r>
      <w:r>
        <w:t xml:space="preserve"> liberté </w:t>
      </w:r>
      <w:r w:rsidR="00755CA6">
        <w:t>revendiquée</w:t>
      </w:r>
      <w:r w:rsidR="00601A86">
        <w:t>,</w:t>
      </w:r>
      <w:r>
        <w:t xml:space="preserve"> puisque l</w:t>
      </w:r>
      <w:r w:rsidR="004B339E">
        <w:t>a</w:t>
      </w:r>
      <w:r>
        <w:t xml:space="preserve"> demanderesse a finalement tenu quelques rassemblements</w:t>
      </w:r>
      <w:r w:rsidR="00755CA6">
        <w:t xml:space="preserve">, notamment </w:t>
      </w:r>
      <w:r>
        <w:t>dans un lieu privé de la Ville de Québec plutôt qu’au Centre des congrès.</w:t>
      </w:r>
      <w:r w:rsidR="00407FA1" w:rsidRPr="00E82D78">
        <w:t xml:space="preserve"> </w:t>
      </w:r>
    </w:p>
    <w:p w14:paraId="0CDBFCA7" w14:textId="1C91FC45" w:rsidR="00407FA1" w:rsidRDefault="00407FA1" w:rsidP="007F4F79">
      <w:pPr>
        <w:pStyle w:val="Paragraphe"/>
        <w:spacing w:line="240" w:lineRule="auto"/>
      </w:pPr>
      <w:r>
        <w:t xml:space="preserve">Après analyse, le Tribunal conclut que la résiliation unilatérale de l’entente de location du Centre des congrès porte atteinte à </w:t>
      </w:r>
      <w:r w:rsidR="00755CA6">
        <w:t>l</w:t>
      </w:r>
      <w:r>
        <w:t>a liberté d’expression</w:t>
      </w:r>
      <w:r w:rsidR="00755CA6">
        <w:t xml:space="preserve"> de la demanderesse</w:t>
      </w:r>
      <w:r>
        <w:t>. Voici pourquoi.</w:t>
      </w:r>
    </w:p>
    <w:p w14:paraId="40ECA586" w14:textId="2F3E1FA1" w:rsidR="00607F47" w:rsidRPr="00607F47" w:rsidRDefault="002D642A" w:rsidP="002D642A">
      <w:pPr>
        <w:pStyle w:val="Paragraphe"/>
        <w:spacing w:line="240" w:lineRule="auto"/>
        <w:rPr>
          <w:szCs w:val="24"/>
        </w:rPr>
      </w:pPr>
      <w:r>
        <w:rPr>
          <w:lang w:eastAsia="fr-CA"/>
        </w:rPr>
        <w:t>Afin de déterminer si la décision de la SCCQ porte atteinte à la liberté d’expression de la demanderesse</w:t>
      </w:r>
      <w:r w:rsidR="00607F47">
        <w:rPr>
          <w:lang w:eastAsia="fr-CA"/>
        </w:rPr>
        <w:t xml:space="preserve">, liberté </w:t>
      </w:r>
      <w:r>
        <w:rPr>
          <w:lang w:eastAsia="fr-CA"/>
        </w:rPr>
        <w:t xml:space="preserve">garantie par l’article 2b) de la Charte, </w:t>
      </w:r>
      <w:r w:rsidR="009E6DEE">
        <w:rPr>
          <w:lang w:eastAsia="fr-CA"/>
        </w:rPr>
        <w:t>le Tribunal applique l</w:t>
      </w:r>
      <w:r w:rsidR="00437365">
        <w:rPr>
          <w:lang w:eastAsia="fr-CA"/>
        </w:rPr>
        <w:t>e</w:t>
      </w:r>
      <w:r w:rsidR="009E6DEE">
        <w:rPr>
          <w:lang w:eastAsia="fr-CA"/>
        </w:rPr>
        <w:t xml:space="preserve"> cadre d’analyse retenu dans les affaires </w:t>
      </w:r>
      <w:r w:rsidR="009E6DEE" w:rsidRPr="00607F47">
        <w:rPr>
          <w:i/>
          <w:iCs/>
          <w:lang w:eastAsia="fr-CA"/>
        </w:rPr>
        <w:t>Ville de Montréal</w:t>
      </w:r>
      <w:r w:rsidR="009E6DEE">
        <w:rPr>
          <w:lang w:eastAsia="fr-CA"/>
        </w:rPr>
        <w:t xml:space="preserve"> et </w:t>
      </w:r>
      <w:r w:rsidR="009E6DEE" w:rsidRPr="00607F47">
        <w:rPr>
          <w:i/>
          <w:iCs/>
          <w:lang w:eastAsia="fr-CA"/>
        </w:rPr>
        <w:t>Greater Vancouver Transportation Authority c. Fédération canadienne des étudiantes et étudiants</w:t>
      </w:r>
      <w:r w:rsidR="00607F47">
        <w:rPr>
          <w:i/>
          <w:iCs/>
          <w:lang w:eastAsia="fr-CA"/>
        </w:rPr>
        <w:t>.</w:t>
      </w:r>
      <w:r w:rsidR="009E6DEE">
        <w:rPr>
          <w:rStyle w:val="Appelnotedebasdep"/>
          <w:lang w:eastAsia="fr-CA"/>
        </w:rPr>
        <w:footnoteReference w:id="32"/>
      </w:r>
      <w:r w:rsidR="009E6DEE">
        <w:rPr>
          <w:lang w:eastAsia="fr-CA"/>
        </w:rPr>
        <w:t xml:space="preserve"> </w:t>
      </w:r>
    </w:p>
    <w:p w14:paraId="35C96B96" w14:textId="2215997E" w:rsidR="002D642A" w:rsidRPr="007A150F" w:rsidRDefault="00607F47" w:rsidP="002D642A">
      <w:pPr>
        <w:pStyle w:val="Paragraphe"/>
        <w:spacing w:line="240" w:lineRule="auto"/>
        <w:rPr>
          <w:szCs w:val="24"/>
        </w:rPr>
      </w:pPr>
      <w:r>
        <w:rPr>
          <w:lang w:eastAsia="fr-CA"/>
        </w:rPr>
        <w:t>C</w:t>
      </w:r>
      <w:r w:rsidR="002D642A">
        <w:rPr>
          <w:lang w:eastAsia="fr-CA"/>
        </w:rPr>
        <w:t>e cadre d’analyse commande de répondre aux trois questions suivantes, à savoir :</w:t>
      </w:r>
    </w:p>
    <w:p w14:paraId="0B311EF5" w14:textId="77777777" w:rsidR="002D642A" w:rsidRDefault="002D642A" w:rsidP="00F536A1">
      <w:pPr>
        <w:pStyle w:val="Paragraphe"/>
        <w:numPr>
          <w:ilvl w:val="0"/>
          <w:numId w:val="29"/>
        </w:numPr>
        <w:spacing w:line="240" w:lineRule="auto"/>
        <w:ind w:left="1134" w:hanging="283"/>
      </w:pPr>
      <w:r>
        <w:t xml:space="preserve">Le contenu expressif projeté justifie-t-il une protection </w:t>
      </w:r>
      <w:r w:rsidRPr="00437365">
        <w:rPr>
          <w:i/>
          <w:iCs/>
        </w:rPr>
        <w:t>prima facie</w:t>
      </w:r>
      <w:r>
        <w:t xml:space="preserve"> de l’al. 2b) de la Charte ?</w:t>
      </w:r>
    </w:p>
    <w:p w14:paraId="767D4FBA" w14:textId="77777777" w:rsidR="002D642A" w:rsidRDefault="002D642A" w:rsidP="00F536A1">
      <w:pPr>
        <w:pStyle w:val="Paragraphe"/>
        <w:numPr>
          <w:ilvl w:val="0"/>
          <w:numId w:val="29"/>
        </w:numPr>
        <w:spacing w:line="240" w:lineRule="auto"/>
        <w:ind w:left="1134" w:hanging="283"/>
      </w:pPr>
      <w:r>
        <w:t>Dans l’affirmative, le mode ou le lieu d’expression ont-ils pour effet d’écarter cette protection ?</w:t>
      </w:r>
    </w:p>
    <w:p w14:paraId="406891A6" w14:textId="52C31E53" w:rsidR="002D642A" w:rsidRPr="007A150F" w:rsidRDefault="002D642A" w:rsidP="00F536A1">
      <w:pPr>
        <w:pStyle w:val="Paragraphe"/>
        <w:numPr>
          <w:ilvl w:val="0"/>
          <w:numId w:val="29"/>
        </w:numPr>
        <w:spacing w:line="240" w:lineRule="auto"/>
        <w:ind w:left="1134" w:hanging="283"/>
      </w:pPr>
      <w:r>
        <w:t xml:space="preserve">Si l’activité expressive est protégée par l’al 2b), la mesure gouvernementale en cause est-elle attentatoire ? </w:t>
      </w:r>
    </w:p>
    <w:p w14:paraId="3CB2F1BF" w14:textId="7105CB4F" w:rsidR="00C82EF9" w:rsidRDefault="00C82EF9" w:rsidP="00054B05">
      <w:pPr>
        <w:pStyle w:val="Paragraphe"/>
        <w:spacing w:line="240" w:lineRule="auto"/>
      </w:pPr>
      <w:r>
        <w:rPr>
          <w:lang w:eastAsia="fr-CA"/>
        </w:rPr>
        <w:t>Voyons ce qu’il en est.</w:t>
      </w:r>
      <w:r w:rsidR="002D642A">
        <w:rPr>
          <w:lang w:eastAsia="fr-CA"/>
        </w:rPr>
        <w:t xml:space="preserve"> </w:t>
      </w:r>
    </w:p>
    <w:p w14:paraId="06329A38" w14:textId="11CA0F35" w:rsidR="00755CA6" w:rsidRPr="00755CA6" w:rsidRDefault="00755CA6" w:rsidP="00F536A1">
      <w:pPr>
        <w:pStyle w:val="Paragraphe"/>
        <w:numPr>
          <w:ilvl w:val="0"/>
          <w:numId w:val="37"/>
        </w:numPr>
        <w:spacing w:line="240" w:lineRule="auto"/>
        <w:ind w:left="1134" w:hanging="425"/>
        <w:rPr>
          <w:i/>
          <w:iCs/>
        </w:rPr>
      </w:pPr>
      <w:r w:rsidRPr="00755CA6">
        <w:rPr>
          <w:i/>
          <w:iCs/>
        </w:rPr>
        <w:t>Le contenu expressif projeté justifie-t-il une protection prima facie de l’al. 2b) de la Charte ?</w:t>
      </w:r>
    </w:p>
    <w:p w14:paraId="7D69FCA8" w14:textId="29066344" w:rsidR="00647A58" w:rsidRPr="00647A58" w:rsidRDefault="00647A58" w:rsidP="00647A58">
      <w:pPr>
        <w:pStyle w:val="Paragraphe"/>
        <w:spacing w:line="240" w:lineRule="auto"/>
      </w:pPr>
      <w:r w:rsidRPr="00647A58">
        <w:t xml:space="preserve">L’évènement </w:t>
      </w:r>
      <w:r w:rsidR="005F7C08">
        <w:t xml:space="preserve">se veut </w:t>
      </w:r>
      <w:r w:rsidRPr="00647A58">
        <w:t>un rassemblement de prières ayant pour principal objectif la réconciliation, la communion et le pardon entre les peuples anglophones et francophones</w:t>
      </w:r>
      <w:r w:rsidR="003548AE" w:rsidRPr="003548AE">
        <w:t xml:space="preserve"> </w:t>
      </w:r>
      <w:r w:rsidR="003548AE" w:rsidRPr="00236B04">
        <w:t>qui transcende la politique partisane</w:t>
      </w:r>
      <w:r w:rsidRPr="00647A58">
        <w:t>.</w:t>
      </w:r>
      <w:r w:rsidR="003548AE">
        <w:rPr>
          <w:rStyle w:val="Appelnotedebasdep"/>
        </w:rPr>
        <w:footnoteReference w:id="33"/>
      </w:r>
    </w:p>
    <w:p w14:paraId="1D02209C" w14:textId="79E7AF97" w:rsidR="00C625EA" w:rsidRPr="00236B04" w:rsidRDefault="005F7C08" w:rsidP="00DA4052">
      <w:pPr>
        <w:pStyle w:val="Paragraphe"/>
        <w:spacing w:line="240" w:lineRule="auto"/>
      </w:pPr>
      <w:r w:rsidRPr="00236B04">
        <w:t xml:space="preserve">Les publicités </w:t>
      </w:r>
      <w:r w:rsidR="00236B04" w:rsidRPr="00236B04">
        <w:t>tirées d</w:t>
      </w:r>
      <w:r w:rsidRPr="00236B04">
        <w:t xml:space="preserve">es réseaux sociaux </w:t>
      </w:r>
      <w:r w:rsidR="00C625EA" w:rsidRPr="00236B04">
        <w:t xml:space="preserve">démontrent que l’activité </w:t>
      </w:r>
      <w:r w:rsidR="00236B04" w:rsidRPr="00236B04">
        <w:t>vise à</w:t>
      </w:r>
      <w:r w:rsidR="00755CA6" w:rsidRPr="00236B04">
        <w:t xml:space="preserve"> </w:t>
      </w:r>
      <w:r w:rsidR="00C625EA" w:rsidRPr="00236B04">
        <w:t xml:space="preserve">transmettre, </w:t>
      </w:r>
      <w:r w:rsidR="00236B04" w:rsidRPr="00236B04">
        <w:t>à travers certaines</w:t>
      </w:r>
      <w:r w:rsidR="00C625EA" w:rsidRPr="00236B04">
        <w:t xml:space="preserve"> croyances </w:t>
      </w:r>
      <w:r w:rsidR="00951A18" w:rsidRPr="00236B04">
        <w:t xml:space="preserve">véhiculées par </w:t>
      </w:r>
      <w:r w:rsidR="00984041" w:rsidRPr="00236B04">
        <w:t>HMI</w:t>
      </w:r>
      <w:r w:rsidR="00236B04" w:rsidRPr="00236B04">
        <w:t>,</w:t>
      </w:r>
      <w:r w:rsidR="00951A18" w:rsidRPr="00236B04">
        <w:t xml:space="preserve"> </w:t>
      </w:r>
      <w:r w:rsidR="00236B04" w:rsidRPr="00236B04">
        <w:t>dont la promotion</w:t>
      </w:r>
      <w:r w:rsidR="00236B04">
        <w:t xml:space="preserve"> du </w:t>
      </w:r>
      <w:r w:rsidR="003548AE">
        <w:t>discours</w:t>
      </w:r>
      <w:r w:rsidR="00236B04">
        <w:t xml:space="preserve"> anti-avortement</w:t>
      </w:r>
      <w:r w:rsidR="00C625EA" w:rsidRPr="00236B04">
        <w:t xml:space="preserve">, un message </w:t>
      </w:r>
      <w:r w:rsidR="00236B04">
        <w:t xml:space="preserve">favorisant l’harmonie </w:t>
      </w:r>
      <w:r w:rsidR="003548AE">
        <w:t>entre l</w:t>
      </w:r>
      <w:r w:rsidR="00C625EA" w:rsidRPr="00236B04">
        <w:t>es peuples fondateurs canadiens.</w:t>
      </w:r>
      <w:r w:rsidR="00C625EA" w:rsidRPr="00236B04">
        <w:rPr>
          <w:rStyle w:val="Appelnotedebasdep"/>
        </w:rPr>
        <w:footnoteReference w:id="34"/>
      </w:r>
      <w:r w:rsidR="00C625EA" w:rsidRPr="00236B04">
        <w:t xml:space="preserve">    </w:t>
      </w:r>
    </w:p>
    <w:p w14:paraId="2A78530F" w14:textId="79EA194D" w:rsidR="00C82EF9" w:rsidRDefault="00871AF0" w:rsidP="00C82EF9">
      <w:pPr>
        <w:pStyle w:val="Paragraphe"/>
        <w:spacing w:line="240" w:lineRule="auto"/>
      </w:pPr>
      <w:r>
        <w:t>Il y a là, de toute évidence, présence d’un contenu expressif</w:t>
      </w:r>
      <w:r w:rsidR="00984041">
        <w:t xml:space="preserve"> qui, à première vue, justifie une protection de l’alinéa 2b) de la CCDL</w:t>
      </w:r>
      <w:r>
        <w:t>.</w:t>
      </w:r>
      <w:r w:rsidR="00511C71">
        <w:t xml:space="preserve"> </w:t>
      </w:r>
    </w:p>
    <w:p w14:paraId="718CB3E0" w14:textId="14576D5A" w:rsidR="00984041" w:rsidRPr="00984041" w:rsidRDefault="00984041" w:rsidP="00F536A1">
      <w:pPr>
        <w:pStyle w:val="Paragraphe"/>
        <w:numPr>
          <w:ilvl w:val="0"/>
          <w:numId w:val="37"/>
        </w:numPr>
        <w:ind w:left="993" w:hanging="284"/>
        <w:rPr>
          <w:i/>
          <w:iCs/>
        </w:rPr>
      </w:pPr>
      <w:r w:rsidRPr="00984041">
        <w:rPr>
          <w:i/>
          <w:iCs/>
        </w:rPr>
        <w:t>Le mode ou le lieu d’expression ont-ils pour effet d’écarter cette protection ?</w:t>
      </w:r>
    </w:p>
    <w:p w14:paraId="56A18986" w14:textId="68CC9097" w:rsidR="000C3658" w:rsidRDefault="00984041" w:rsidP="000C3658">
      <w:pPr>
        <w:pStyle w:val="Paragraphe"/>
        <w:spacing w:line="240" w:lineRule="auto"/>
      </w:pPr>
      <w:r>
        <w:t>L</w:t>
      </w:r>
      <w:r w:rsidR="000C3658">
        <w:t xml:space="preserve">e Tribunal doit déterminer si le mode ou le lieu d’expression ont pour effet d’écarter la protection de l’alinéa 2b) de la CCDL. </w:t>
      </w:r>
    </w:p>
    <w:p w14:paraId="4445AA5A" w14:textId="6524B4E3" w:rsidR="00E528E1" w:rsidRDefault="00E528E1" w:rsidP="00E528E1">
      <w:pPr>
        <w:pStyle w:val="Paragraphe"/>
        <w:spacing w:line="240" w:lineRule="auto"/>
      </w:pPr>
      <w:r>
        <w:t xml:space="preserve">L’article 3 de la Loi sur la société du centre des congrès du Québec prévoit que la SCCQ est mandataire de l’État et que ses biens font partie du domaine de l’État. Il n’est pas contesté que la SCCQ est une entité gouvernementale qui est assujettie à la CDLP et la CCDL. </w:t>
      </w:r>
    </w:p>
    <w:p w14:paraId="38B271C2" w14:textId="76C7CB76" w:rsidR="00054B05" w:rsidRDefault="00054B05" w:rsidP="00054B05">
      <w:pPr>
        <w:pStyle w:val="Paragraphe"/>
        <w:spacing w:line="240" w:lineRule="auto"/>
      </w:pPr>
      <w:r w:rsidRPr="007A150F">
        <w:rPr>
          <w:szCs w:val="24"/>
        </w:rPr>
        <w:t>L</w:t>
      </w:r>
      <w:r w:rsidR="00E528E1">
        <w:rPr>
          <w:szCs w:val="24"/>
        </w:rPr>
        <w:t>a</w:t>
      </w:r>
      <w:r w:rsidRPr="007A150F">
        <w:rPr>
          <w:szCs w:val="24"/>
        </w:rPr>
        <w:t xml:space="preserve"> SCCQ a pour objectif </w:t>
      </w:r>
      <w:r w:rsidRPr="00140187">
        <w:rPr>
          <w:lang w:eastAsia="fr-CA"/>
        </w:rPr>
        <w:t>d’administrer et d’exploiter le Centre des congrès de Québec</w:t>
      </w:r>
      <w:r w:rsidR="00601A86">
        <w:rPr>
          <w:lang w:eastAsia="fr-CA"/>
        </w:rPr>
        <w:t>,</w:t>
      </w:r>
      <w:r w:rsidRPr="00140187">
        <w:rPr>
          <w:lang w:eastAsia="fr-CA"/>
        </w:rPr>
        <w:t xml:space="preserve"> </w:t>
      </w:r>
      <w:r>
        <w:rPr>
          <w:lang w:eastAsia="fr-CA"/>
        </w:rPr>
        <w:t xml:space="preserve">qui est principalement </w:t>
      </w:r>
      <w:r w:rsidRPr="00140187">
        <w:rPr>
          <w:lang w:eastAsia="fr-CA"/>
        </w:rPr>
        <w:t xml:space="preserve">dédié à la tenue de congrès, de salons ou d’expositions </w:t>
      </w:r>
      <w:r>
        <w:rPr>
          <w:lang w:eastAsia="fr-CA"/>
        </w:rPr>
        <w:t xml:space="preserve">de diverses natures. </w:t>
      </w:r>
    </w:p>
    <w:p w14:paraId="7024CCB7" w14:textId="77777777" w:rsidR="00921D08" w:rsidRDefault="000C3658" w:rsidP="00054B05">
      <w:pPr>
        <w:pStyle w:val="Paragraphe"/>
        <w:spacing w:line="240" w:lineRule="auto"/>
      </w:pPr>
      <w:r>
        <w:t xml:space="preserve">Un centre des congrès est un lieu </w:t>
      </w:r>
      <w:r w:rsidR="00921D08">
        <w:t xml:space="preserve">de réunion et </w:t>
      </w:r>
      <w:r>
        <w:t xml:space="preserve">d’expression </w:t>
      </w:r>
      <w:r w:rsidR="00801BD7">
        <w:t>publique créé</w:t>
      </w:r>
      <w:r>
        <w:t xml:space="preserve"> afin de favoriser le partage et la transmission des idées et connaissance</w:t>
      </w:r>
      <w:r w:rsidR="009C01DD">
        <w:t>s</w:t>
      </w:r>
      <w:r>
        <w:t>, le débat démocratique</w:t>
      </w:r>
      <w:r w:rsidR="00E528E1">
        <w:t>, la recherche de la vérité et l’épanouissement personnel</w:t>
      </w:r>
      <w:r w:rsidR="00801BD7" w:rsidRPr="00801BD7">
        <w:t xml:space="preserve"> </w:t>
      </w:r>
      <w:r w:rsidR="00801BD7">
        <w:t>à un large auditoire</w:t>
      </w:r>
      <w:r w:rsidR="00E528E1">
        <w:t>.</w:t>
      </w:r>
    </w:p>
    <w:p w14:paraId="059C8C77" w14:textId="142C32CA" w:rsidR="00921D08" w:rsidRDefault="0051053F" w:rsidP="00A70683">
      <w:pPr>
        <w:pStyle w:val="Paragraphe"/>
        <w:spacing w:line="240" w:lineRule="auto"/>
      </w:pPr>
      <w:r>
        <w:t xml:space="preserve">Il s’agit d’un lieu qui offre une tribune publique et </w:t>
      </w:r>
      <w:r w:rsidR="00502072">
        <w:t xml:space="preserve">donc, </w:t>
      </w:r>
      <w:r>
        <w:t>par voie de conséquence</w:t>
      </w:r>
      <w:r w:rsidR="00502072">
        <w:t>, qui est compatible et</w:t>
      </w:r>
      <w:r>
        <w:t xml:space="preserve"> qui</w:t>
      </w:r>
      <w:r w:rsidR="00801BD7">
        <w:t xml:space="preserve"> promeut les valeurs qu</w:t>
      </w:r>
      <w:r>
        <w:t>e</w:t>
      </w:r>
      <w:r w:rsidR="00801BD7">
        <w:t xml:space="preserve"> sous-tend l’article 2b) de la CCDL</w:t>
      </w:r>
      <w:r>
        <w:t>.</w:t>
      </w:r>
      <w:r w:rsidR="005D597F">
        <w:t xml:space="preserve"> </w:t>
      </w:r>
    </w:p>
    <w:p w14:paraId="5D16BF75" w14:textId="239B24FA" w:rsidR="00984041" w:rsidRDefault="005D597F" w:rsidP="00A70683">
      <w:pPr>
        <w:pStyle w:val="Paragraphe"/>
        <w:spacing w:line="240" w:lineRule="auto"/>
      </w:pPr>
      <w:r>
        <w:t>L</w:t>
      </w:r>
      <w:r w:rsidR="00921D08">
        <w:t>e Tribunal conclut que l</w:t>
      </w:r>
      <w:r w:rsidR="00E96055">
        <w:t>’activité expressive</w:t>
      </w:r>
      <w:r w:rsidR="00921D08">
        <w:t xml:space="preserve"> en cause</w:t>
      </w:r>
      <w:r w:rsidR="00E96055">
        <w:t>, soit la</w:t>
      </w:r>
      <w:r w:rsidR="00801BD7">
        <w:t xml:space="preserve"> tenue d’un rassemblement </w:t>
      </w:r>
      <w:r w:rsidR="00E96055">
        <w:t xml:space="preserve">au Centre des congrès, </w:t>
      </w:r>
      <w:r w:rsidR="00801BD7">
        <w:t>bénéficie de la protection prévue à ce</w:t>
      </w:r>
      <w:r w:rsidR="00921D08">
        <w:t>t</w:t>
      </w:r>
      <w:r w:rsidR="00801BD7">
        <w:t xml:space="preserve"> article.  </w:t>
      </w:r>
    </w:p>
    <w:p w14:paraId="4CBBC617" w14:textId="0C98030A" w:rsidR="00984041" w:rsidRPr="00984041" w:rsidRDefault="00984041" w:rsidP="00B31C2E">
      <w:pPr>
        <w:pStyle w:val="Paragraphe"/>
        <w:numPr>
          <w:ilvl w:val="0"/>
          <w:numId w:val="37"/>
        </w:numPr>
        <w:spacing w:line="240" w:lineRule="auto"/>
        <w:ind w:left="993" w:hanging="284"/>
        <w:rPr>
          <w:i/>
          <w:iCs/>
        </w:rPr>
      </w:pPr>
      <w:r w:rsidRPr="00984041">
        <w:rPr>
          <w:i/>
          <w:iCs/>
        </w:rPr>
        <w:t xml:space="preserve">Si l’activité expressive est protégée par l’al 2b), la mesure gouvernementale en cause est-elle attentatoire ? </w:t>
      </w:r>
    </w:p>
    <w:p w14:paraId="49E9CDF4" w14:textId="3DA53F8F" w:rsidR="004427A4" w:rsidRPr="007A150F" w:rsidRDefault="004427A4" w:rsidP="00E96055">
      <w:pPr>
        <w:pStyle w:val="Paragraphe"/>
        <w:spacing w:line="240" w:lineRule="auto"/>
      </w:pPr>
      <w:r>
        <w:t xml:space="preserve">Enfin, </w:t>
      </w:r>
      <w:r w:rsidR="00E96055">
        <w:t xml:space="preserve">il y a lieu de se questionner si </w:t>
      </w:r>
      <w:r>
        <w:t>la mesure gouvernementale en cause</w:t>
      </w:r>
      <w:r w:rsidR="00E96055">
        <w:t xml:space="preserve">, soit le fait de résilier unilatéralement l’entente de location </w:t>
      </w:r>
      <w:r>
        <w:t>est attentatoire</w:t>
      </w:r>
      <w:r w:rsidR="0051053F">
        <w:t xml:space="preserve"> au droit protégé. </w:t>
      </w:r>
      <w:r>
        <w:t xml:space="preserve"> </w:t>
      </w:r>
    </w:p>
    <w:p w14:paraId="1172B004" w14:textId="3AB04883" w:rsidR="00EF5025" w:rsidRDefault="00921D08" w:rsidP="00EF5025">
      <w:pPr>
        <w:pStyle w:val="Paragraphe"/>
        <w:spacing w:line="240" w:lineRule="auto"/>
      </w:pPr>
      <w:r>
        <w:t xml:space="preserve">La preuve établit clairement que la résiliation du contrat visait à empêcher la tenue d’un évènement </w:t>
      </w:r>
      <w:r w:rsidR="00671B2D">
        <w:t>initié par une organisation prônant un discours anti-avortement.</w:t>
      </w:r>
      <w:r w:rsidR="00EF5025" w:rsidRPr="00EF5025">
        <w:t xml:space="preserve"> </w:t>
      </w:r>
      <w:r w:rsidR="00EF5025">
        <w:t>Il est utile de souligner que la décision de résilier l’entente survient à peine vingt jours avant la tenue de l’évènement</w:t>
      </w:r>
      <w:r w:rsidR="00601A86">
        <w:t>,</w:t>
      </w:r>
      <w:r w:rsidR="00EF5025">
        <w:t xml:space="preserve"> qui est prévu pour une durée de 10 jours.      </w:t>
      </w:r>
    </w:p>
    <w:p w14:paraId="3977BC8E" w14:textId="0FAA3A57" w:rsidR="00671B2D" w:rsidRDefault="00671B2D" w:rsidP="00054B05">
      <w:pPr>
        <w:pStyle w:val="Paragraphe"/>
        <w:spacing w:line="240" w:lineRule="auto"/>
      </w:pPr>
      <w:r>
        <w:t xml:space="preserve">La ministre Proulx témoigne sans équivoque que sa décision d’enjoindre la SCCQ de résilier l’entente intervenue avec la demanderesse repose sur </w:t>
      </w:r>
      <w:r w:rsidR="003B2125">
        <w:t>l</w:t>
      </w:r>
      <w:r>
        <w:t xml:space="preserve">a conviction que la position </w:t>
      </w:r>
      <w:r w:rsidR="002C6AF8">
        <w:t>anti-avortement</w:t>
      </w:r>
      <w:r>
        <w:t xml:space="preserve"> véhiculée </w:t>
      </w:r>
      <w:r w:rsidR="003B2125">
        <w:t xml:space="preserve">par cette dernière et </w:t>
      </w:r>
      <w:r w:rsidR="00984041">
        <w:t>s</w:t>
      </w:r>
      <w:r w:rsidR="003B2125">
        <w:t>es écrits publiés à ce sujet sont en contradiction avec les</w:t>
      </w:r>
      <w:r>
        <w:t xml:space="preserve"> valeurs fondamentales de la </w:t>
      </w:r>
      <w:r w:rsidR="002C6AF8">
        <w:t>s</w:t>
      </w:r>
      <w:r>
        <w:t>ociété québécoise</w:t>
      </w:r>
      <w:r w:rsidR="00DC07E8">
        <w:t xml:space="preserve"> et sa volonté ferme d’exclure d</w:t>
      </w:r>
      <w:r w:rsidR="002C6AF8">
        <w:t>’un lieu public sous sa gouverne</w:t>
      </w:r>
      <w:r w:rsidR="00DC07E8">
        <w:t xml:space="preserve"> l’expression d’une telle opinion</w:t>
      </w:r>
      <w:r>
        <w:t>.</w:t>
      </w:r>
    </w:p>
    <w:p w14:paraId="6A9CDB4B" w14:textId="4DB9995B" w:rsidR="00EF5025" w:rsidRDefault="003B2125" w:rsidP="00A83809">
      <w:pPr>
        <w:pStyle w:val="Paragraphe"/>
        <w:spacing w:line="240" w:lineRule="auto"/>
      </w:pPr>
      <w:r>
        <w:t>En agissant de la sorte, les défende</w:t>
      </w:r>
      <w:r w:rsidR="006F6080">
        <w:t>u</w:t>
      </w:r>
      <w:r>
        <w:t>rs restreignent l</w:t>
      </w:r>
      <w:r w:rsidR="00905D1F">
        <w:t xml:space="preserve">a possibilité pour la </w:t>
      </w:r>
      <w:r w:rsidR="00DB7ADA" w:rsidRPr="003D604D">
        <w:t>demanderesse</w:t>
      </w:r>
      <w:r w:rsidR="00DB7ADA">
        <w:t xml:space="preserve"> </w:t>
      </w:r>
      <w:r w:rsidR="00905D1F">
        <w:t>d’organiser un évènement à grand déploiement et</w:t>
      </w:r>
      <w:r w:rsidR="00601A86">
        <w:t>,</w:t>
      </w:r>
      <w:r w:rsidR="00905D1F">
        <w:t xml:space="preserve"> par voie de conséquence</w:t>
      </w:r>
      <w:r w:rsidR="00A83809">
        <w:t>,</w:t>
      </w:r>
      <w:r w:rsidR="00905D1F">
        <w:t xml:space="preserve"> </w:t>
      </w:r>
      <w:r w:rsidR="00A83809">
        <w:t>é</w:t>
      </w:r>
      <w:r>
        <w:t>cart</w:t>
      </w:r>
      <w:r w:rsidR="00A83809">
        <w:t>ent</w:t>
      </w:r>
      <w:r>
        <w:t xml:space="preserve"> </w:t>
      </w:r>
      <w:r w:rsidR="002B46BB">
        <w:t>la possibilité pour cette dernière d’</w:t>
      </w:r>
      <w:r w:rsidR="002C6AF8">
        <w:t>expri</w:t>
      </w:r>
      <w:r w:rsidR="002B46BB">
        <w:t>mer</w:t>
      </w:r>
      <w:r w:rsidR="002C6AF8">
        <w:t xml:space="preserve"> une opinion ou </w:t>
      </w:r>
      <w:r w:rsidR="002B46BB">
        <w:t xml:space="preserve">propager </w:t>
      </w:r>
      <w:r w:rsidR="002C6AF8">
        <w:t xml:space="preserve">un message </w:t>
      </w:r>
      <w:r w:rsidR="002B46BB">
        <w:t>dans un lieu</w:t>
      </w:r>
      <w:r w:rsidR="002C6AF8">
        <w:t xml:space="preserve"> </w:t>
      </w:r>
      <w:r>
        <w:t>publi</w:t>
      </w:r>
      <w:r w:rsidR="002B46BB">
        <w:t>c</w:t>
      </w:r>
      <w:r>
        <w:t xml:space="preserve"> </w:t>
      </w:r>
      <w:r w:rsidR="002C6AF8">
        <w:t>a</w:t>
      </w:r>
      <w:r w:rsidR="00905D1F">
        <w:t>u</w:t>
      </w:r>
      <w:r w:rsidR="00A83809">
        <w:t>x</w:t>
      </w:r>
      <w:r w:rsidR="00905D1F">
        <w:t xml:space="preserve"> motif</w:t>
      </w:r>
      <w:r w:rsidR="00A83809">
        <w:t>s</w:t>
      </w:r>
      <w:r w:rsidR="00905D1F">
        <w:t xml:space="preserve"> que ce dernier serait</w:t>
      </w:r>
      <w:r w:rsidR="00A83809">
        <w:t xml:space="preserve"> faux, </w:t>
      </w:r>
      <w:r w:rsidR="00905D1F">
        <w:t>en rupture avec l</w:t>
      </w:r>
      <w:r w:rsidR="00A83809">
        <w:t>’opinion majoritaire de la population québécoise et contraire à ses valeurs fondamentales.</w:t>
      </w:r>
    </w:p>
    <w:p w14:paraId="7107A880" w14:textId="6DE2B275" w:rsidR="0059326B" w:rsidRDefault="00984041" w:rsidP="00A83809">
      <w:pPr>
        <w:pStyle w:val="Paragraphe"/>
        <w:spacing w:line="240" w:lineRule="auto"/>
      </w:pPr>
      <w:r>
        <w:t>Il</w:t>
      </w:r>
      <w:r w:rsidR="00EF5025">
        <w:t>s entravent tant la forme de l’expression afin</w:t>
      </w:r>
      <w:r w:rsidR="00EF5025" w:rsidRPr="00EF5025">
        <w:rPr>
          <w:lang w:eastAsia="fr-CA"/>
        </w:rPr>
        <w:t xml:space="preserve"> de contrôler </w:t>
      </w:r>
      <w:r w:rsidR="00EF5025">
        <w:rPr>
          <w:lang w:eastAsia="fr-CA"/>
        </w:rPr>
        <w:t>la diffusion et l’accès</w:t>
      </w:r>
      <w:r w:rsidR="00EF5025" w:rsidRPr="00EF5025">
        <w:rPr>
          <w:lang w:eastAsia="fr-CA"/>
        </w:rPr>
        <w:t xml:space="preserve"> au message </w:t>
      </w:r>
      <w:r w:rsidR="00EF5025">
        <w:rPr>
          <w:lang w:eastAsia="fr-CA"/>
        </w:rPr>
        <w:t xml:space="preserve">de la demanderesse </w:t>
      </w:r>
      <w:r w:rsidR="00EF5025">
        <w:t>que son contenu.</w:t>
      </w:r>
      <w:r w:rsidR="00260B77">
        <w:rPr>
          <w:rStyle w:val="Appelnotedebasdep"/>
        </w:rPr>
        <w:footnoteReference w:id="35"/>
      </w:r>
      <w:r w:rsidR="00DC07E8">
        <w:t>Il s’agit l</w:t>
      </w:r>
      <w:r w:rsidR="00DB7ADA">
        <w:t>à</w:t>
      </w:r>
      <w:r w:rsidR="00DC07E8">
        <w:t xml:space="preserve"> d’une violation </w:t>
      </w:r>
      <w:r w:rsidR="00B13E7D">
        <w:t xml:space="preserve">grave </w:t>
      </w:r>
      <w:r w:rsidR="00DC07E8">
        <w:t>de la liberté d’expression de la demanderesse.</w:t>
      </w:r>
    </w:p>
    <w:p w14:paraId="12411E52" w14:textId="0141428A" w:rsidR="00A83809" w:rsidRDefault="00A83809" w:rsidP="00A83809">
      <w:pPr>
        <w:pStyle w:val="Paragraphe"/>
        <w:spacing w:line="240" w:lineRule="auto"/>
      </w:pPr>
      <w:r>
        <w:t>Rappelons que pour expliquer cette décision, la ministre s’exprime publiquement comme suit :</w:t>
      </w:r>
    </w:p>
    <w:p w14:paraId="2F1F4774" w14:textId="77777777" w:rsidR="00A83809" w:rsidRPr="00A83809" w:rsidRDefault="00A83809" w:rsidP="00A83809">
      <w:pPr>
        <w:pStyle w:val="Citationenretrait"/>
        <w:rPr>
          <w:u w:val="single"/>
        </w:rPr>
      </w:pPr>
      <w:r>
        <w:t xml:space="preserve"> « C’est contre les principes fondamentaux du Québec. […] </w:t>
      </w:r>
      <w:r w:rsidRPr="00A83809">
        <w:rPr>
          <w:u w:val="single"/>
        </w:rPr>
        <w:t xml:space="preserve">Ce type d’événement n’aura pas lieu chez nous ». </w:t>
      </w:r>
    </w:p>
    <w:p w14:paraId="5E04EC74" w14:textId="77777777" w:rsidR="00A83809" w:rsidRDefault="00A83809" w:rsidP="00A83809">
      <w:pPr>
        <w:pStyle w:val="Citationenretrait"/>
      </w:pPr>
      <w:r w:rsidRPr="00984041">
        <w:rPr>
          <w:u w:val="single"/>
        </w:rPr>
        <w:t>Oui à la liberté d’expression, mais non d’accueillir des événements qui sont en contradiction avec les principes fondamentaux du Québec.</w:t>
      </w:r>
      <w:r>
        <w:t xml:space="preserve"> […] Nos PDG sont suffisamment intelligents, pis lorsqu’ils ont des doutes, ils appellent au ministère […] pour s’assurer que la tenue des événements correspond aux principes fondamentaux du Québec. Il n’y a jamais eu d’enjeu jusqu’à présent. Il n’y a pas eu ce type d’intervention qui a dû être faite de la part de la ministre pour recadrer le message […] »</w:t>
      </w:r>
    </w:p>
    <w:p w14:paraId="280736BC" w14:textId="3732CE38" w:rsidR="00984041" w:rsidRPr="00984041" w:rsidRDefault="00984041" w:rsidP="00A83809">
      <w:pPr>
        <w:pStyle w:val="Citationenretrait"/>
      </w:pPr>
      <w:r w:rsidRPr="00984041">
        <w:t>(Le Tribunal souligne)</w:t>
      </w:r>
    </w:p>
    <w:p w14:paraId="38CD4291" w14:textId="492478F4" w:rsidR="0059326B" w:rsidRDefault="0059326B" w:rsidP="0059326B">
      <w:pPr>
        <w:pStyle w:val="Paragraphe"/>
        <w:spacing w:line="240" w:lineRule="auto"/>
      </w:pPr>
      <w:r>
        <w:t>Il y a lieu de conclure que la décision des défende</w:t>
      </w:r>
      <w:r w:rsidR="006F6080">
        <w:t>u</w:t>
      </w:r>
      <w:r>
        <w:t xml:space="preserve">rs est ainsi attentatoire à </w:t>
      </w:r>
      <w:r w:rsidR="004839CC">
        <w:t xml:space="preserve">la </w:t>
      </w:r>
      <w:r>
        <w:t>liberté d’expression de la demanderesse.</w:t>
      </w:r>
    </w:p>
    <w:p w14:paraId="7E9B33B6" w14:textId="2ED06D3C" w:rsidR="0059326B" w:rsidRPr="00325F3B" w:rsidRDefault="0059326B" w:rsidP="00E003A4">
      <w:pPr>
        <w:pStyle w:val="Paragraphe"/>
        <w:spacing w:before="0" w:after="0" w:line="240" w:lineRule="auto"/>
        <w:textAlignment w:val="baseline"/>
        <w:rPr>
          <w:rFonts w:ascii="inherit" w:hAnsi="inherit" w:cs="Arial"/>
          <w:b/>
          <w:bCs/>
          <w:color w:val="262626"/>
          <w:sz w:val="21"/>
          <w:szCs w:val="21"/>
          <w:bdr w:val="none" w:sz="0" w:space="0" w:color="auto" w:frame="1"/>
        </w:rPr>
      </w:pPr>
      <w:r>
        <w:t xml:space="preserve">Le Tribunal </w:t>
      </w:r>
      <w:r w:rsidR="00984041">
        <w:t>m</w:t>
      </w:r>
      <w:r w:rsidR="00064C37">
        <w:t xml:space="preserve">entionne </w:t>
      </w:r>
      <w:r>
        <w:t xml:space="preserve">qu’il conclurait de la même manière </w:t>
      </w:r>
      <w:r w:rsidR="00090F49">
        <w:t>s’</w:t>
      </w:r>
      <w:r>
        <w:t xml:space="preserve">il </w:t>
      </w:r>
      <w:r w:rsidR="00090F49">
        <w:t xml:space="preserve">avait </w:t>
      </w:r>
      <w:r>
        <w:t>analysé l’affaire selon le test de la raisonnabilité</w:t>
      </w:r>
      <w:r w:rsidR="000D421A">
        <w:t>,</w:t>
      </w:r>
      <w:r w:rsidR="00090F49">
        <w:t xml:space="preserve"> comme le suggérait le P</w:t>
      </w:r>
      <w:r w:rsidR="000D421A">
        <w:t>G</w:t>
      </w:r>
      <w:r w:rsidR="00090F49">
        <w:t xml:space="preserve">Q, </w:t>
      </w:r>
      <w:r>
        <w:t>soit en mettant</w:t>
      </w:r>
      <w:r w:rsidR="00325F3B" w:rsidRPr="00325F3B">
        <w:t xml:space="preserve"> </w:t>
      </w:r>
      <w:r w:rsidR="00325F3B">
        <w:t xml:space="preserve">en équilibre d’une part, les objectifs urgents et réels du gouvernement et, d’autre part, le degré d’atteinte au droit en cause protégé par la CCDL. </w:t>
      </w:r>
    </w:p>
    <w:p w14:paraId="06011F4E" w14:textId="741AAB74" w:rsidR="00325F3B" w:rsidRPr="00325F3B" w:rsidRDefault="00325F3B" w:rsidP="00325F3B">
      <w:pPr>
        <w:pStyle w:val="Paragraphe"/>
        <w:numPr>
          <w:ilvl w:val="0"/>
          <w:numId w:val="0"/>
        </w:numPr>
        <w:spacing w:before="0" w:after="0" w:line="240" w:lineRule="auto"/>
        <w:textAlignment w:val="baseline"/>
        <w:rPr>
          <w:rFonts w:cs="Arial"/>
          <w:color w:val="262626"/>
          <w:szCs w:val="24"/>
          <w:bdr w:val="none" w:sz="0" w:space="0" w:color="auto" w:frame="1"/>
        </w:rPr>
      </w:pPr>
      <w:r>
        <w:t xml:space="preserve"> </w:t>
      </w:r>
    </w:p>
    <w:p w14:paraId="6626BB68" w14:textId="32DC5E1F" w:rsidR="00325F3B" w:rsidRDefault="00325F3B" w:rsidP="00E003A4">
      <w:pPr>
        <w:pStyle w:val="Paragraphe"/>
        <w:spacing w:before="0" w:after="0" w:line="240" w:lineRule="auto"/>
        <w:textAlignment w:val="baseline"/>
        <w:rPr>
          <w:rStyle w:val="lev"/>
          <w:rFonts w:cs="Arial"/>
          <w:b w:val="0"/>
          <w:bCs w:val="0"/>
          <w:color w:val="262626"/>
          <w:szCs w:val="24"/>
          <w:bdr w:val="none" w:sz="0" w:space="0" w:color="auto" w:frame="1"/>
        </w:rPr>
      </w:pPr>
      <w:r w:rsidRPr="00325F3B">
        <w:rPr>
          <w:rStyle w:val="lev"/>
          <w:rFonts w:cs="Arial"/>
          <w:b w:val="0"/>
          <w:bCs w:val="0"/>
          <w:color w:val="262626"/>
          <w:szCs w:val="24"/>
          <w:bdr w:val="none" w:sz="0" w:space="0" w:color="auto" w:frame="1"/>
        </w:rPr>
        <w:t xml:space="preserve">Le PGQ </w:t>
      </w:r>
      <w:r w:rsidR="0009033B">
        <w:rPr>
          <w:rStyle w:val="lev"/>
          <w:rFonts w:cs="Arial"/>
          <w:b w:val="0"/>
          <w:bCs w:val="0"/>
          <w:color w:val="262626"/>
          <w:szCs w:val="24"/>
          <w:bdr w:val="none" w:sz="0" w:space="0" w:color="auto" w:frame="1"/>
        </w:rPr>
        <w:t xml:space="preserve">est d’avis </w:t>
      </w:r>
      <w:r w:rsidRPr="00325F3B">
        <w:rPr>
          <w:rStyle w:val="lev"/>
          <w:rFonts w:cs="Arial"/>
          <w:b w:val="0"/>
          <w:bCs w:val="0"/>
          <w:color w:val="262626"/>
          <w:szCs w:val="24"/>
          <w:bdr w:val="none" w:sz="0" w:space="0" w:color="auto" w:frame="1"/>
        </w:rPr>
        <w:t xml:space="preserve">que </w:t>
      </w:r>
      <w:r w:rsidR="003D1258">
        <w:rPr>
          <w:rStyle w:val="lev"/>
          <w:rFonts w:cs="Arial"/>
          <w:b w:val="0"/>
          <w:bCs w:val="0"/>
          <w:color w:val="262626"/>
          <w:szCs w:val="24"/>
          <w:bdr w:val="none" w:sz="0" w:space="0" w:color="auto" w:frame="1"/>
        </w:rPr>
        <w:t xml:space="preserve">l’affaire doit être analysée selon le cadre établi par la Cour suprême dans l’affaire Doré et que </w:t>
      </w:r>
      <w:r w:rsidRPr="00325F3B">
        <w:rPr>
          <w:rStyle w:val="lev"/>
          <w:rFonts w:cs="Arial"/>
          <w:b w:val="0"/>
          <w:bCs w:val="0"/>
          <w:color w:val="262626"/>
          <w:szCs w:val="24"/>
          <w:bdr w:val="none" w:sz="0" w:space="0" w:color="auto" w:frame="1"/>
        </w:rPr>
        <w:t>la décision de la ministre est raisonnable</w:t>
      </w:r>
      <w:r w:rsidR="00837CD9">
        <w:rPr>
          <w:rStyle w:val="lev"/>
          <w:rFonts w:cs="Arial"/>
          <w:b w:val="0"/>
          <w:bCs w:val="0"/>
          <w:color w:val="262626"/>
          <w:szCs w:val="24"/>
          <w:bdr w:val="none" w:sz="0" w:space="0" w:color="auto" w:frame="1"/>
        </w:rPr>
        <w:t>,</w:t>
      </w:r>
      <w:r w:rsidRPr="00325F3B">
        <w:rPr>
          <w:rStyle w:val="lev"/>
          <w:rFonts w:cs="Arial"/>
          <w:b w:val="0"/>
          <w:bCs w:val="0"/>
          <w:color w:val="262626"/>
          <w:szCs w:val="24"/>
          <w:bdr w:val="none" w:sz="0" w:space="0" w:color="auto" w:frame="1"/>
        </w:rPr>
        <w:t xml:space="preserve"> puisque l’</w:t>
      </w:r>
      <w:r>
        <w:rPr>
          <w:rStyle w:val="lev"/>
          <w:rFonts w:cs="Arial"/>
          <w:b w:val="0"/>
          <w:bCs w:val="0"/>
          <w:color w:val="262626"/>
          <w:szCs w:val="24"/>
          <w:bdr w:val="none" w:sz="0" w:space="0" w:color="auto" w:frame="1"/>
        </w:rPr>
        <w:t>É</w:t>
      </w:r>
      <w:r w:rsidRPr="00325F3B">
        <w:rPr>
          <w:rStyle w:val="lev"/>
          <w:rFonts w:cs="Arial"/>
          <w:b w:val="0"/>
          <w:bCs w:val="0"/>
          <w:color w:val="262626"/>
          <w:szCs w:val="24"/>
          <w:bdr w:val="none" w:sz="0" w:space="0" w:color="auto" w:frame="1"/>
        </w:rPr>
        <w:t xml:space="preserve">tat </w:t>
      </w:r>
      <w:r>
        <w:rPr>
          <w:rStyle w:val="lev"/>
          <w:rFonts w:cs="Arial"/>
          <w:b w:val="0"/>
          <w:bCs w:val="0"/>
          <w:color w:val="262626"/>
          <w:szCs w:val="24"/>
          <w:bdr w:val="none" w:sz="0" w:space="0" w:color="auto" w:frame="1"/>
        </w:rPr>
        <w:t xml:space="preserve">a le pouvoir de </w:t>
      </w:r>
      <w:r w:rsidRPr="00325F3B">
        <w:rPr>
          <w:rStyle w:val="lev"/>
          <w:rFonts w:cs="Arial"/>
          <w:b w:val="0"/>
          <w:bCs w:val="0"/>
          <w:color w:val="262626"/>
          <w:szCs w:val="24"/>
          <w:bdr w:val="none" w:sz="0" w:space="0" w:color="auto" w:frame="1"/>
        </w:rPr>
        <w:t>s’assurer qu’un évènement qui se tient à la SCCQ est compatible avec sa loi habilitante</w:t>
      </w:r>
      <w:r>
        <w:rPr>
          <w:rStyle w:val="lev"/>
          <w:rFonts w:cs="Arial"/>
          <w:b w:val="0"/>
          <w:bCs w:val="0"/>
          <w:color w:val="262626"/>
          <w:szCs w:val="24"/>
          <w:bdr w:val="none" w:sz="0" w:space="0" w:color="auto" w:frame="1"/>
        </w:rPr>
        <w:t xml:space="preserve"> et qu’en ce sens, elle mérite déférence</w:t>
      </w:r>
      <w:r w:rsidR="004670DA">
        <w:rPr>
          <w:rStyle w:val="lev"/>
          <w:rFonts w:cs="Arial"/>
          <w:b w:val="0"/>
          <w:bCs w:val="0"/>
          <w:color w:val="262626"/>
          <w:szCs w:val="24"/>
          <w:bdr w:val="none" w:sz="0" w:space="0" w:color="auto" w:frame="1"/>
        </w:rPr>
        <w:t>,</w:t>
      </w:r>
      <w:r>
        <w:rPr>
          <w:rStyle w:val="lev"/>
          <w:rFonts w:cs="Arial"/>
          <w:b w:val="0"/>
          <w:bCs w:val="0"/>
          <w:color w:val="262626"/>
          <w:szCs w:val="24"/>
          <w:bdr w:val="none" w:sz="0" w:space="0" w:color="auto" w:frame="1"/>
        </w:rPr>
        <w:t xml:space="preserve"> puisqu’elle fait partie des issu</w:t>
      </w:r>
      <w:r w:rsidR="003D1258">
        <w:rPr>
          <w:rStyle w:val="lev"/>
          <w:rFonts w:cs="Arial"/>
          <w:b w:val="0"/>
          <w:bCs w:val="0"/>
          <w:color w:val="262626"/>
          <w:szCs w:val="24"/>
          <w:bdr w:val="none" w:sz="0" w:space="0" w:color="auto" w:frame="1"/>
        </w:rPr>
        <w:t>e</w:t>
      </w:r>
      <w:r>
        <w:rPr>
          <w:rStyle w:val="lev"/>
          <w:rFonts w:cs="Arial"/>
          <w:b w:val="0"/>
          <w:bCs w:val="0"/>
          <w:color w:val="262626"/>
          <w:szCs w:val="24"/>
          <w:bdr w:val="none" w:sz="0" w:space="0" w:color="auto" w:frame="1"/>
        </w:rPr>
        <w:t>s possibles et acceptables</w:t>
      </w:r>
      <w:r w:rsidR="003D1258">
        <w:rPr>
          <w:rStyle w:val="lev"/>
          <w:rFonts w:cs="Arial"/>
          <w:b w:val="0"/>
          <w:bCs w:val="0"/>
          <w:color w:val="262626"/>
          <w:szCs w:val="24"/>
          <w:bdr w:val="none" w:sz="0" w:space="0" w:color="auto" w:frame="1"/>
        </w:rPr>
        <w:t xml:space="preserve"> dans les circonstances</w:t>
      </w:r>
      <w:r>
        <w:rPr>
          <w:rStyle w:val="lev"/>
          <w:rFonts w:cs="Arial"/>
          <w:b w:val="0"/>
          <w:bCs w:val="0"/>
          <w:color w:val="262626"/>
          <w:szCs w:val="24"/>
          <w:bdr w:val="none" w:sz="0" w:space="0" w:color="auto" w:frame="1"/>
        </w:rPr>
        <w:t>.</w:t>
      </w:r>
      <w:r w:rsidR="00064C37">
        <w:rPr>
          <w:rStyle w:val="lev"/>
          <w:rFonts w:cs="Arial"/>
          <w:b w:val="0"/>
          <w:bCs w:val="0"/>
          <w:color w:val="262626"/>
          <w:szCs w:val="24"/>
          <w:bdr w:val="none" w:sz="0" w:space="0" w:color="auto" w:frame="1"/>
        </w:rPr>
        <w:t xml:space="preserve"> </w:t>
      </w:r>
    </w:p>
    <w:p w14:paraId="2B1403A1" w14:textId="77777777" w:rsidR="00260B77" w:rsidRDefault="00260B77" w:rsidP="00260B77">
      <w:pPr>
        <w:pStyle w:val="Paragraphedeliste"/>
        <w:rPr>
          <w:rStyle w:val="lev"/>
          <w:rFonts w:cs="Arial"/>
          <w:b w:val="0"/>
          <w:bCs w:val="0"/>
          <w:color w:val="262626"/>
          <w:szCs w:val="24"/>
          <w:bdr w:val="none" w:sz="0" w:space="0" w:color="auto" w:frame="1"/>
        </w:rPr>
      </w:pPr>
    </w:p>
    <w:p w14:paraId="4E586CD2" w14:textId="262FC805" w:rsidR="00286128" w:rsidRDefault="00047A43" w:rsidP="00FF471E">
      <w:pPr>
        <w:pStyle w:val="Paragraphe"/>
        <w:autoSpaceDE w:val="0"/>
        <w:autoSpaceDN w:val="0"/>
        <w:adjustRightInd w:val="0"/>
        <w:spacing w:before="0" w:after="0" w:line="240" w:lineRule="auto"/>
        <w:textAlignment w:val="baseline"/>
        <w:rPr>
          <w:rStyle w:val="lev"/>
          <w:rFonts w:cs="Arial"/>
          <w:b w:val="0"/>
          <w:bCs w:val="0"/>
          <w:color w:val="262626"/>
          <w:szCs w:val="24"/>
          <w:bdr w:val="none" w:sz="0" w:space="0" w:color="auto" w:frame="1"/>
        </w:rPr>
      </w:pPr>
      <w:r>
        <w:rPr>
          <w:rStyle w:val="lev"/>
          <w:rFonts w:cs="Arial"/>
          <w:b w:val="0"/>
          <w:bCs w:val="0"/>
          <w:color w:val="262626"/>
          <w:szCs w:val="24"/>
          <w:bdr w:val="none" w:sz="0" w:space="0" w:color="auto" w:frame="1"/>
        </w:rPr>
        <w:t>C</w:t>
      </w:r>
      <w:r w:rsidR="00750B7D">
        <w:rPr>
          <w:rStyle w:val="lev"/>
          <w:rFonts w:cs="Arial"/>
          <w:b w:val="0"/>
          <w:bCs w:val="0"/>
          <w:color w:val="262626"/>
          <w:szCs w:val="24"/>
          <w:bdr w:val="none" w:sz="0" w:space="0" w:color="auto" w:frame="1"/>
        </w:rPr>
        <w:t xml:space="preserve">ontrairement à ce que plaide le PGQ, </w:t>
      </w:r>
      <w:r w:rsidR="00260B77" w:rsidRPr="00286128">
        <w:rPr>
          <w:rStyle w:val="lev"/>
          <w:rFonts w:cs="Arial"/>
          <w:b w:val="0"/>
          <w:bCs w:val="0"/>
          <w:color w:val="262626"/>
          <w:szCs w:val="24"/>
          <w:bdr w:val="none" w:sz="0" w:space="0" w:color="auto" w:frame="1"/>
        </w:rPr>
        <w:t xml:space="preserve">le </w:t>
      </w:r>
      <w:r w:rsidR="003D1258">
        <w:rPr>
          <w:rStyle w:val="lev"/>
          <w:rFonts w:cs="Arial"/>
          <w:b w:val="0"/>
          <w:bCs w:val="0"/>
          <w:color w:val="262626"/>
          <w:szCs w:val="24"/>
          <w:bdr w:val="none" w:sz="0" w:space="0" w:color="auto" w:frame="1"/>
        </w:rPr>
        <w:t>test</w:t>
      </w:r>
      <w:r w:rsidR="00260B77" w:rsidRPr="00286128">
        <w:rPr>
          <w:rStyle w:val="lev"/>
          <w:rFonts w:cs="Arial"/>
          <w:b w:val="0"/>
          <w:bCs w:val="0"/>
          <w:color w:val="262626"/>
          <w:szCs w:val="24"/>
          <w:bdr w:val="none" w:sz="0" w:space="0" w:color="auto" w:frame="1"/>
        </w:rPr>
        <w:t xml:space="preserve"> tiré de l’affaire Doré ne trouve pas application en l’espèce. La décision de la ministre ne se fonde sur aucun</w:t>
      </w:r>
      <w:r w:rsidR="009A59AA" w:rsidRPr="00286128">
        <w:rPr>
          <w:rStyle w:val="lev"/>
          <w:rFonts w:cs="Arial"/>
          <w:b w:val="0"/>
          <w:bCs w:val="0"/>
          <w:color w:val="262626"/>
          <w:szCs w:val="24"/>
          <w:bdr w:val="none" w:sz="0" w:space="0" w:color="auto" w:frame="1"/>
        </w:rPr>
        <w:t xml:space="preserve"> mandat législatif ou </w:t>
      </w:r>
      <w:r w:rsidR="00260B77" w:rsidRPr="00286128">
        <w:rPr>
          <w:rStyle w:val="lev"/>
          <w:rFonts w:cs="Arial"/>
          <w:b w:val="0"/>
          <w:bCs w:val="0"/>
          <w:color w:val="262626"/>
          <w:szCs w:val="24"/>
          <w:bdr w:val="none" w:sz="0" w:space="0" w:color="auto" w:frame="1"/>
        </w:rPr>
        <w:t xml:space="preserve">règle de droit </w:t>
      </w:r>
      <w:r w:rsidR="00142DD3" w:rsidRPr="00286128">
        <w:rPr>
          <w:rStyle w:val="lev"/>
          <w:rFonts w:cs="Arial"/>
          <w:b w:val="0"/>
          <w:bCs w:val="0"/>
          <w:color w:val="262626"/>
          <w:szCs w:val="24"/>
          <w:bdr w:val="none" w:sz="0" w:space="0" w:color="auto" w:frame="1"/>
        </w:rPr>
        <w:t xml:space="preserve">qui </w:t>
      </w:r>
      <w:r w:rsidR="0009033B">
        <w:rPr>
          <w:rStyle w:val="lev"/>
          <w:rFonts w:cs="Arial"/>
          <w:b w:val="0"/>
          <w:bCs w:val="0"/>
          <w:color w:val="262626"/>
          <w:szCs w:val="24"/>
          <w:bdr w:val="none" w:sz="0" w:space="0" w:color="auto" w:frame="1"/>
        </w:rPr>
        <w:t>permettent</w:t>
      </w:r>
      <w:r w:rsidR="00C63A0D">
        <w:rPr>
          <w:rStyle w:val="lev"/>
          <w:rFonts w:cs="Arial"/>
          <w:b w:val="0"/>
          <w:bCs w:val="0"/>
          <w:color w:val="262626"/>
          <w:szCs w:val="24"/>
          <w:bdr w:val="none" w:sz="0" w:space="0" w:color="auto" w:frame="1"/>
        </w:rPr>
        <w:t xml:space="preserve"> </w:t>
      </w:r>
      <w:r w:rsidR="00142DD3" w:rsidRPr="00286128">
        <w:rPr>
          <w:rStyle w:val="lev"/>
          <w:rFonts w:cs="Arial"/>
          <w:b w:val="0"/>
          <w:bCs w:val="0"/>
          <w:color w:val="262626"/>
          <w:szCs w:val="24"/>
          <w:bdr w:val="none" w:sz="0" w:space="0" w:color="auto" w:frame="1"/>
        </w:rPr>
        <w:t xml:space="preserve">de restreindre les droits garantis de la demanderesse et qui </w:t>
      </w:r>
      <w:r w:rsidR="0009033B">
        <w:rPr>
          <w:rStyle w:val="lev"/>
          <w:rFonts w:cs="Arial"/>
          <w:b w:val="0"/>
          <w:bCs w:val="0"/>
          <w:color w:val="262626"/>
          <w:szCs w:val="24"/>
          <w:bdr w:val="none" w:sz="0" w:space="0" w:color="auto" w:frame="1"/>
        </w:rPr>
        <w:t xml:space="preserve">justifieraient </w:t>
      </w:r>
      <w:r w:rsidR="00142DD3" w:rsidRPr="00286128">
        <w:rPr>
          <w:rStyle w:val="lev"/>
          <w:rFonts w:cs="Arial"/>
          <w:b w:val="0"/>
          <w:bCs w:val="0"/>
          <w:color w:val="262626"/>
          <w:szCs w:val="24"/>
          <w:bdr w:val="none" w:sz="0" w:space="0" w:color="auto" w:frame="1"/>
        </w:rPr>
        <w:t>de faire l’exercice de mise en balance proposé.</w:t>
      </w:r>
    </w:p>
    <w:p w14:paraId="31539027" w14:textId="77777777" w:rsidR="00286128" w:rsidRDefault="00286128" w:rsidP="00286128">
      <w:pPr>
        <w:pStyle w:val="Paragraphedeliste"/>
        <w:rPr>
          <w:rStyle w:val="lev"/>
          <w:rFonts w:cs="Arial"/>
          <w:b w:val="0"/>
          <w:bCs w:val="0"/>
          <w:color w:val="262626"/>
          <w:szCs w:val="24"/>
          <w:bdr w:val="none" w:sz="0" w:space="0" w:color="auto" w:frame="1"/>
        </w:rPr>
      </w:pPr>
    </w:p>
    <w:p w14:paraId="1169ACD6" w14:textId="57EF19EB" w:rsidR="00286128" w:rsidRDefault="00142DD3" w:rsidP="00FF471E">
      <w:pPr>
        <w:pStyle w:val="Paragraphe"/>
        <w:autoSpaceDE w:val="0"/>
        <w:autoSpaceDN w:val="0"/>
        <w:adjustRightInd w:val="0"/>
        <w:spacing w:before="0" w:after="0" w:line="240" w:lineRule="auto"/>
        <w:textAlignment w:val="baseline"/>
        <w:rPr>
          <w:rStyle w:val="lev"/>
          <w:rFonts w:cs="Arial"/>
          <w:b w:val="0"/>
          <w:bCs w:val="0"/>
          <w:color w:val="262626"/>
          <w:szCs w:val="24"/>
          <w:bdr w:val="none" w:sz="0" w:space="0" w:color="auto" w:frame="1"/>
        </w:rPr>
      </w:pPr>
      <w:r w:rsidRPr="00286128">
        <w:rPr>
          <w:rStyle w:val="lev"/>
          <w:rFonts w:cs="Arial"/>
          <w:b w:val="0"/>
          <w:bCs w:val="0"/>
          <w:color w:val="262626"/>
          <w:szCs w:val="24"/>
          <w:bdr w:val="none" w:sz="0" w:space="0" w:color="auto" w:frame="1"/>
        </w:rPr>
        <w:t xml:space="preserve">Pour justifier son intervention, la ministre </w:t>
      </w:r>
      <w:r w:rsidR="009A59AA" w:rsidRPr="00286128">
        <w:rPr>
          <w:rStyle w:val="lev"/>
          <w:rFonts w:cs="Arial"/>
          <w:b w:val="0"/>
          <w:bCs w:val="0"/>
          <w:color w:val="262626"/>
          <w:szCs w:val="24"/>
          <w:bdr w:val="none" w:sz="0" w:space="0" w:color="auto" w:frame="1"/>
        </w:rPr>
        <w:t>dit s’être inspirée de</w:t>
      </w:r>
      <w:r w:rsidRPr="00286128">
        <w:rPr>
          <w:rStyle w:val="lev"/>
          <w:rFonts w:cs="Arial"/>
          <w:b w:val="0"/>
          <w:bCs w:val="0"/>
          <w:color w:val="262626"/>
          <w:szCs w:val="24"/>
          <w:bdr w:val="none" w:sz="0" w:space="0" w:color="auto" w:frame="1"/>
        </w:rPr>
        <w:t xml:space="preserve"> l’article 40 de la </w:t>
      </w:r>
      <w:r w:rsidRPr="00AA56AD">
        <w:rPr>
          <w:rStyle w:val="lev"/>
          <w:rFonts w:cs="Arial"/>
          <w:b w:val="0"/>
          <w:bCs w:val="0"/>
          <w:i/>
          <w:iCs/>
          <w:color w:val="262626"/>
          <w:szCs w:val="24"/>
          <w:bdr w:val="none" w:sz="0" w:space="0" w:color="auto" w:frame="1"/>
        </w:rPr>
        <w:t>Loi sur la gouvernance des sociétés d’État</w:t>
      </w:r>
      <w:r w:rsidR="00601A86">
        <w:rPr>
          <w:rStyle w:val="lev"/>
          <w:rFonts w:cs="Arial"/>
          <w:b w:val="0"/>
          <w:bCs w:val="0"/>
          <w:color w:val="262626"/>
          <w:szCs w:val="24"/>
          <w:bdr w:val="none" w:sz="0" w:space="0" w:color="auto" w:frame="1"/>
        </w:rPr>
        <w:t>,</w:t>
      </w:r>
      <w:r>
        <w:rPr>
          <w:rStyle w:val="Appelnotedebasdep"/>
          <w:rFonts w:cs="Arial"/>
          <w:color w:val="262626"/>
          <w:szCs w:val="24"/>
          <w:bdr w:val="none" w:sz="0" w:space="0" w:color="auto" w:frame="1"/>
        </w:rPr>
        <w:footnoteReference w:id="36"/>
      </w:r>
      <w:r w:rsidRPr="00286128">
        <w:rPr>
          <w:rStyle w:val="lev"/>
          <w:rFonts w:cs="Arial"/>
          <w:b w:val="0"/>
          <w:bCs w:val="0"/>
          <w:color w:val="262626"/>
          <w:szCs w:val="24"/>
          <w:bdr w:val="none" w:sz="0" w:space="0" w:color="auto" w:frame="1"/>
        </w:rPr>
        <w:t xml:space="preserve"> qui prévoit que le </w:t>
      </w:r>
      <w:r w:rsidR="00B80D68">
        <w:rPr>
          <w:rStyle w:val="lev"/>
          <w:rFonts w:cs="Arial"/>
          <w:b w:val="0"/>
          <w:bCs w:val="0"/>
          <w:color w:val="262626"/>
          <w:szCs w:val="24"/>
          <w:bdr w:val="none" w:sz="0" w:space="0" w:color="auto" w:frame="1"/>
        </w:rPr>
        <w:t>m</w:t>
      </w:r>
      <w:r w:rsidRPr="00286128">
        <w:rPr>
          <w:rStyle w:val="lev"/>
          <w:rFonts w:cs="Arial"/>
          <w:b w:val="0"/>
          <w:bCs w:val="0"/>
          <w:color w:val="262626"/>
          <w:szCs w:val="24"/>
          <w:bdr w:val="none" w:sz="0" w:space="0" w:color="auto" w:frame="1"/>
        </w:rPr>
        <w:t>inistre peut donner des directives sur l’orientation et les objectifs généraux qu’une société doit poursuivre.</w:t>
      </w:r>
    </w:p>
    <w:p w14:paraId="1E183FB9" w14:textId="77777777" w:rsidR="00286128" w:rsidRDefault="00286128" w:rsidP="00286128">
      <w:pPr>
        <w:pStyle w:val="Paragraphedeliste"/>
        <w:rPr>
          <w:rStyle w:val="lev"/>
          <w:rFonts w:cs="Arial"/>
          <w:b w:val="0"/>
          <w:bCs w:val="0"/>
          <w:color w:val="262626"/>
          <w:szCs w:val="24"/>
          <w:bdr w:val="none" w:sz="0" w:space="0" w:color="auto" w:frame="1"/>
        </w:rPr>
      </w:pPr>
    </w:p>
    <w:p w14:paraId="15E68258" w14:textId="6C37006D" w:rsidR="00286128" w:rsidRPr="00286128" w:rsidRDefault="00142DD3" w:rsidP="00FF471E">
      <w:pPr>
        <w:pStyle w:val="Paragraphe"/>
        <w:autoSpaceDE w:val="0"/>
        <w:autoSpaceDN w:val="0"/>
        <w:adjustRightInd w:val="0"/>
        <w:spacing w:before="0" w:after="0" w:line="240" w:lineRule="auto"/>
        <w:textAlignment w:val="baseline"/>
        <w:rPr>
          <w:rFonts w:cs="Arial"/>
          <w:color w:val="262626"/>
          <w:szCs w:val="24"/>
          <w:bdr w:val="none" w:sz="0" w:space="0" w:color="auto" w:frame="1"/>
        </w:rPr>
      </w:pPr>
      <w:r w:rsidRPr="00286128">
        <w:rPr>
          <w:rStyle w:val="lev"/>
          <w:rFonts w:cs="Arial"/>
          <w:b w:val="0"/>
          <w:bCs w:val="0"/>
          <w:color w:val="262626"/>
          <w:szCs w:val="24"/>
          <w:bdr w:val="none" w:sz="0" w:space="0" w:color="auto" w:frame="1"/>
        </w:rPr>
        <w:t>Or, la preuve démontre qu’aucune directive particulière</w:t>
      </w:r>
      <w:r w:rsidR="00E81188">
        <w:rPr>
          <w:rStyle w:val="lev"/>
          <w:rFonts w:cs="Arial"/>
          <w:b w:val="0"/>
          <w:bCs w:val="0"/>
          <w:color w:val="262626"/>
          <w:szCs w:val="24"/>
          <w:bdr w:val="none" w:sz="0" w:space="0" w:color="auto" w:frame="1"/>
        </w:rPr>
        <w:t>, politique</w:t>
      </w:r>
      <w:r w:rsidRPr="00286128">
        <w:rPr>
          <w:rStyle w:val="lev"/>
          <w:rFonts w:cs="Arial"/>
          <w:b w:val="0"/>
          <w:bCs w:val="0"/>
          <w:color w:val="262626"/>
          <w:szCs w:val="24"/>
          <w:bdr w:val="none" w:sz="0" w:space="0" w:color="auto" w:frame="1"/>
        </w:rPr>
        <w:t xml:space="preserve"> </w:t>
      </w:r>
      <w:r w:rsidR="00286128" w:rsidRPr="00286128">
        <w:rPr>
          <w:rStyle w:val="lev"/>
          <w:rFonts w:cs="Arial"/>
          <w:b w:val="0"/>
          <w:bCs w:val="0"/>
          <w:color w:val="262626"/>
          <w:szCs w:val="24"/>
          <w:bdr w:val="none" w:sz="0" w:space="0" w:color="auto" w:frame="1"/>
        </w:rPr>
        <w:t xml:space="preserve">ou norme obligatoire et suffisamment accessible et précise </w:t>
      </w:r>
      <w:r w:rsidRPr="00286128">
        <w:rPr>
          <w:rStyle w:val="lev"/>
          <w:rFonts w:cs="Arial"/>
          <w:b w:val="0"/>
          <w:bCs w:val="0"/>
          <w:color w:val="262626"/>
          <w:szCs w:val="24"/>
          <w:bdr w:val="none" w:sz="0" w:space="0" w:color="auto" w:frame="1"/>
        </w:rPr>
        <w:t>n’existe</w:t>
      </w:r>
      <w:r w:rsidR="00286128" w:rsidRPr="00286128">
        <w:rPr>
          <w:rStyle w:val="lev"/>
          <w:rFonts w:cs="Arial"/>
          <w:b w:val="0"/>
          <w:bCs w:val="0"/>
          <w:color w:val="262626"/>
          <w:szCs w:val="24"/>
          <w:bdr w:val="none" w:sz="0" w:space="0" w:color="auto" w:frame="1"/>
        </w:rPr>
        <w:t>nt</w:t>
      </w:r>
      <w:r w:rsidRPr="00286128">
        <w:rPr>
          <w:rStyle w:val="lev"/>
          <w:rFonts w:cs="Arial"/>
          <w:b w:val="0"/>
          <w:bCs w:val="0"/>
          <w:color w:val="262626"/>
          <w:szCs w:val="24"/>
          <w:bdr w:val="none" w:sz="0" w:space="0" w:color="auto" w:frame="1"/>
        </w:rPr>
        <w:t xml:space="preserve"> concernant </w:t>
      </w:r>
      <w:r w:rsidR="00F13FCA" w:rsidRPr="00286128">
        <w:rPr>
          <w:rStyle w:val="lev"/>
          <w:rFonts w:cs="Arial"/>
          <w:b w:val="0"/>
          <w:bCs w:val="0"/>
          <w:color w:val="262626"/>
          <w:szCs w:val="24"/>
          <w:bdr w:val="none" w:sz="0" w:space="0" w:color="auto" w:frame="1"/>
        </w:rPr>
        <w:t xml:space="preserve">un </w:t>
      </w:r>
      <w:r w:rsidR="00AA56AD">
        <w:rPr>
          <w:rStyle w:val="lev"/>
          <w:rFonts w:cs="Arial"/>
          <w:b w:val="0"/>
          <w:bCs w:val="0"/>
          <w:color w:val="262626"/>
          <w:szCs w:val="24"/>
          <w:bdr w:val="none" w:sz="0" w:space="0" w:color="auto" w:frame="1"/>
        </w:rPr>
        <w:t xml:space="preserve">quelconque </w:t>
      </w:r>
      <w:r w:rsidR="00F13FCA" w:rsidRPr="00286128">
        <w:rPr>
          <w:rStyle w:val="lev"/>
          <w:rFonts w:cs="Arial"/>
          <w:b w:val="0"/>
          <w:bCs w:val="0"/>
          <w:color w:val="262626"/>
          <w:szCs w:val="24"/>
          <w:bdr w:val="none" w:sz="0" w:space="0" w:color="auto" w:frame="1"/>
        </w:rPr>
        <w:t xml:space="preserve">encadrement de </w:t>
      </w:r>
      <w:r w:rsidRPr="00286128">
        <w:rPr>
          <w:rStyle w:val="lev"/>
          <w:rFonts w:cs="Arial"/>
          <w:b w:val="0"/>
          <w:bCs w:val="0"/>
          <w:color w:val="262626"/>
          <w:szCs w:val="24"/>
          <w:bdr w:val="none" w:sz="0" w:space="0" w:color="auto" w:frame="1"/>
        </w:rPr>
        <w:t xml:space="preserve">la nature ou </w:t>
      </w:r>
      <w:r w:rsidR="00F13FCA" w:rsidRPr="00286128">
        <w:rPr>
          <w:rStyle w:val="lev"/>
          <w:rFonts w:cs="Arial"/>
          <w:b w:val="0"/>
          <w:bCs w:val="0"/>
          <w:color w:val="262626"/>
          <w:szCs w:val="24"/>
          <w:bdr w:val="none" w:sz="0" w:space="0" w:color="auto" w:frame="1"/>
        </w:rPr>
        <w:t>du</w:t>
      </w:r>
      <w:r w:rsidRPr="00286128">
        <w:rPr>
          <w:rStyle w:val="lev"/>
          <w:rFonts w:cs="Arial"/>
          <w:b w:val="0"/>
          <w:bCs w:val="0"/>
          <w:color w:val="262626"/>
          <w:szCs w:val="24"/>
          <w:bdr w:val="none" w:sz="0" w:space="0" w:color="auto" w:frame="1"/>
        </w:rPr>
        <w:t xml:space="preserve"> contenu des congrès, réunions ou rassemblements se tenant au Centre des congrès</w:t>
      </w:r>
      <w:r w:rsidR="00F13FCA" w:rsidRPr="00286128">
        <w:rPr>
          <w:rStyle w:val="lev"/>
          <w:rFonts w:cs="Arial"/>
          <w:b w:val="0"/>
          <w:bCs w:val="0"/>
          <w:color w:val="262626"/>
          <w:szCs w:val="24"/>
          <w:bdr w:val="none" w:sz="0" w:space="0" w:color="auto" w:frame="1"/>
        </w:rPr>
        <w:t>.</w:t>
      </w:r>
      <w:r w:rsidR="00286128" w:rsidRPr="00286128">
        <w:rPr>
          <w:rFonts w:ascii="TimesLT-Roman" w:hAnsi="TimesLT-Roman" w:cs="TimesLT-Roman"/>
          <w:sz w:val="19"/>
          <w:szCs w:val="19"/>
          <w:lang w:eastAsia="fr-CA"/>
        </w:rPr>
        <w:t xml:space="preserve"> </w:t>
      </w:r>
    </w:p>
    <w:p w14:paraId="72CE4209" w14:textId="77777777" w:rsidR="00286128" w:rsidRDefault="00286128" w:rsidP="00286128">
      <w:pPr>
        <w:pStyle w:val="Paragraphedeliste"/>
        <w:rPr>
          <w:rStyle w:val="lev"/>
          <w:rFonts w:cs="Arial"/>
          <w:b w:val="0"/>
          <w:bCs w:val="0"/>
          <w:color w:val="262626"/>
          <w:szCs w:val="24"/>
          <w:bdr w:val="none" w:sz="0" w:space="0" w:color="auto" w:frame="1"/>
        </w:rPr>
      </w:pPr>
    </w:p>
    <w:p w14:paraId="61F6FCF1" w14:textId="0DE39811" w:rsidR="008F46D7" w:rsidRDefault="00F13FCA" w:rsidP="00286128">
      <w:pPr>
        <w:pStyle w:val="Paragraphe"/>
        <w:spacing w:before="0" w:after="0" w:line="240" w:lineRule="auto"/>
        <w:textAlignment w:val="baseline"/>
        <w:rPr>
          <w:rStyle w:val="lev"/>
          <w:rFonts w:cs="Arial"/>
          <w:b w:val="0"/>
          <w:bCs w:val="0"/>
          <w:color w:val="262626"/>
          <w:szCs w:val="24"/>
          <w:bdr w:val="none" w:sz="0" w:space="0" w:color="auto" w:frame="1"/>
        </w:rPr>
      </w:pPr>
      <w:r w:rsidRPr="00F13FCA">
        <w:rPr>
          <w:rStyle w:val="lev"/>
          <w:rFonts w:cs="Arial"/>
          <w:b w:val="0"/>
          <w:bCs w:val="0"/>
          <w:color w:val="262626"/>
          <w:szCs w:val="24"/>
          <w:bdr w:val="none" w:sz="0" w:space="0" w:color="auto" w:frame="1"/>
        </w:rPr>
        <w:t xml:space="preserve">Cette disposition </w:t>
      </w:r>
      <w:r w:rsidR="00AA56AD">
        <w:rPr>
          <w:rStyle w:val="lev"/>
          <w:rFonts w:cs="Arial"/>
          <w:b w:val="0"/>
          <w:bCs w:val="0"/>
          <w:color w:val="262626"/>
          <w:szCs w:val="24"/>
          <w:bdr w:val="none" w:sz="0" w:space="0" w:color="auto" w:frame="1"/>
        </w:rPr>
        <w:t xml:space="preserve">de nature générale </w:t>
      </w:r>
      <w:r w:rsidRPr="00F13FCA">
        <w:rPr>
          <w:rStyle w:val="lev"/>
          <w:rFonts w:cs="Arial"/>
          <w:b w:val="0"/>
          <w:bCs w:val="0"/>
          <w:color w:val="262626"/>
          <w:szCs w:val="24"/>
          <w:bdr w:val="none" w:sz="0" w:space="0" w:color="auto" w:frame="1"/>
        </w:rPr>
        <w:t>ne</w:t>
      </w:r>
      <w:r>
        <w:rPr>
          <w:rStyle w:val="lev"/>
          <w:rFonts w:cs="Arial"/>
          <w:b w:val="0"/>
          <w:bCs w:val="0"/>
          <w:color w:val="262626"/>
          <w:szCs w:val="24"/>
          <w:bdr w:val="none" w:sz="0" w:space="0" w:color="auto" w:frame="1"/>
        </w:rPr>
        <w:t xml:space="preserve"> constitue pa</w:t>
      </w:r>
      <w:r w:rsidRPr="00F13FCA">
        <w:rPr>
          <w:rStyle w:val="lev"/>
          <w:rFonts w:cs="Arial"/>
          <w:b w:val="0"/>
          <w:bCs w:val="0"/>
          <w:color w:val="262626"/>
          <w:szCs w:val="24"/>
          <w:bdr w:val="none" w:sz="0" w:space="0" w:color="auto" w:frame="1"/>
        </w:rPr>
        <w:t>s en soi une règle de droit</w:t>
      </w:r>
      <w:r>
        <w:rPr>
          <w:rStyle w:val="lev"/>
          <w:rFonts w:cs="Arial"/>
          <w:b w:val="0"/>
          <w:bCs w:val="0"/>
          <w:color w:val="262626"/>
          <w:szCs w:val="24"/>
          <w:bdr w:val="none" w:sz="0" w:space="0" w:color="auto" w:frame="1"/>
        </w:rPr>
        <w:t>.</w:t>
      </w:r>
    </w:p>
    <w:p w14:paraId="5B5298F8" w14:textId="77777777" w:rsidR="008F46D7" w:rsidRDefault="008F46D7" w:rsidP="008F46D7">
      <w:pPr>
        <w:pStyle w:val="Paragraphedeliste"/>
        <w:rPr>
          <w:rStyle w:val="lev"/>
          <w:rFonts w:cs="Arial"/>
          <w:b w:val="0"/>
          <w:bCs w:val="0"/>
          <w:color w:val="262626"/>
          <w:szCs w:val="24"/>
          <w:bdr w:val="none" w:sz="0" w:space="0" w:color="auto" w:frame="1"/>
        </w:rPr>
      </w:pPr>
    </w:p>
    <w:p w14:paraId="0AA0EEEE" w14:textId="27A918F5" w:rsidR="00064C37" w:rsidRPr="00AA56AD" w:rsidRDefault="00260B77" w:rsidP="00D33B63">
      <w:pPr>
        <w:pStyle w:val="Paragraphe"/>
        <w:spacing w:before="0" w:after="0" w:line="240" w:lineRule="auto"/>
        <w:textAlignment w:val="baseline"/>
        <w:rPr>
          <w:rStyle w:val="lev"/>
          <w:b w:val="0"/>
          <w:bCs w:val="0"/>
          <w:szCs w:val="24"/>
        </w:rPr>
      </w:pPr>
      <w:r>
        <w:t>Le PGQ</w:t>
      </w:r>
      <w:r w:rsidR="00325F3B">
        <w:t xml:space="preserve"> </w:t>
      </w:r>
      <w:r w:rsidR="00750B7D">
        <w:t>ajoute</w:t>
      </w:r>
      <w:r w:rsidR="00325F3B">
        <w:t xml:space="preserve"> que </w:t>
      </w:r>
      <w:r w:rsidR="00325F3B" w:rsidRPr="00E82D78">
        <w:t>la liberté d’expression protège aussi le droit de ne pas s’exprimer, ou plus généralement le droit de ne pas être associé à un discours</w:t>
      </w:r>
      <w:r w:rsidR="00325F3B">
        <w:t>.</w:t>
      </w:r>
      <w:r w:rsidR="00064C37" w:rsidRPr="00064C37">
        <w:rPr>
          <w:rStyle w:val="lev"/>
          <w:rFonts w:cs="Arial"/>
          <w:b w:val="0"/>
          <w:bCs w:val="0"/>
          <w:color w:val="262626"/>
          <w:szCs w:val="24"/>
          <w:bdr w:val="none" w:sz="0" w:space="0" w:color="auto" w:frame="1"/>
        </w:rPr>
        <w:t xml:space="preserve"> </w:t>
      </w:r>
      <w:r w:rsidR="00064C37">
        <w:rPr>
          <w:rStyle w:val="lev"/>
          <w:rFonts w:cs="Arial"/>
          <w:b w:val="0"/>
          <w:bCs w:val="0"/>
          <w:color w:val="262626"/>
          <w:szCs w:val="24"/>
          <w:bdr w:val="none" w:sz="0" w:space="0" w:color="auto" w:frame="1"/>
        </w:rPr>
        <w:t xml:space="preserve">Il s’explique en précisant que la décision de la ministre prend en considération le fait que l’autonomie de la femme quant à son corps </w:t>
      </w:r>
      <w:r w:rsidR="009A59AA">
        <w:rPr>
          <w:rStyle w:val="lev"/>
          <w:rFonts w:cs="Arial"/>
          <w:b w:val="0"/>
          <w:bCs w:val="0"/>
          <w:color w:val="262626"/>
          <w:szCs w:val="24"/>
          <w:bdr w:val="none" w:sz="0" w:space="0" w:color="auto" w:frame="1"/>
        </w:rPr>
        <w:t xml:space="preserve">ou sa liberté de choix </w:t>
      </w:r>
      <w:r w:rsidR="00064C37">
        <w:rPr>
          <w:rStyle w:val="lev"/>
          <w:rFonts w:cs="Arial"/>
          <w:b w:val="0"/>
          <w:bCs w:val="0"/>
          <w:color w:val="262626"/>
          <w:szCs w:val="24"/>
          <w:bdr w:val="none" w:sz="0" w:space="0" w:color="auto" w:frame="1"/>
        </w:rPr>
        <w:t>s</w:t>
      </w:r>
      <w:r w:rsidR="009A59AA">
        <w:rPr>
          <w:rStyle w:val="lev"/>
          <w:rFonts w:cs="Arial"/>
          <w:b w:val="0"/>
          <w:bCs w:val="0"/>
          <w:color w:val="262626"/>
          <w:szCs w:val="24"/>
          <w:bdr w:val="none" w:sz="0" w:space="0" w:color="auto" w:frame="1"/>
        </w:rPr>
        <w:t>on</w:t>
      </w:r>
      <w:r w:rsidR="00064C37">
        <w:rPr>
          <w:rStyle w:val="lev"/>
          <w:rFonts w:cs="Arial"/>
          <w:b w:val="0"/>
          <w:bCs w:val="0"/>
          <w:color w:val="262626"/>
          <w:szCs w:val="24"/>
          <w:bdr w:val="none" w:sz="0" w:space="0" w:color="auto" w:frame="1"/>
        </w:rPr>
        <w:t xml:space="preserve">t </w:t>
      </w:r>
      <w:r w:rsidR="009A59AA">
        <w:rPr>
          <w:rStyle w:val="lev"/>
          <w:rFonts w:cs="Arial"/>
          <w:b w:val="0"/>
          <w:bCs w:val="0"/>
          <w:color w:val="262626"/>
          <w:szCs w:val="24"/>
          <w:bdr w:val="none" w:sz="0" w:space="0" w:color="auto" w:frame="1"/>
        </w:rPr>
        <w:t>des</w:t>
      </w:r>
      <w:r w:rsidR="00064C37">
        <w:rPr>
          <w:rStyle w:val="lev"/>
          <w:rFonts w:cs="Arial"/>
          <w:b w:val="0"/>
          <w:bCs w:val="0"/>
          <w:color w:val="262626"/>
          <w:szCs w:val="24"/>
          <w:bdr w:val="none" w:sz="0" w:space="0" w:color="auto" w:frame="1"/>
        </w:rPr>
        <w:t xml:space="preserve"> droit</w:t>
      </w:r>
      <w:r w:rsidR="009A59AA">
        <w:rPr>
          <w:rStyle w:val="lev"/>
          <w:rFonts w:cs="Arial"/>
          <w:b w:val="0"/>
          <w:bCs w:val="0"/>
          <w:color w:val="262626"/>
          <w:szCs w:val="24"/>
          <w:bdr w:val="none" w:sz="0" w:space="0" w:color="auto" w:frame="1"/>
        </w:rPr>
        <w:t>s</w:t>
      </w:r>
      <w:r w:rsidR="00064C37">
        <w:rPr>
          <w:rStyle w:val="lev"/>
          <w:rFonts w:cs="Arial"/>
          <w:b w:val="0"/>
          <w:bCs w:val="0"/>
          <w:color w:val="262626"/>
          <w:szCs w:val="24"/>
          <w:bdr w:val="none" w:sz="0" w:space="0" w:color="auto" w:frame="1"/>
        </w:rPr>
        <w:t xml:space="preserve"> protégé</w:t>
      </w:r>
      <w:r w:rsidR="009A59AA">
        <w:rPr>
          <w:rStyle w:val="lev"/>
          <w:rFonts w:cs="Arial"/>
          <w:b w:val="0"/>
          <w:bCs w:val="0"/>
          <w:color w:val="262626"/>
          <w:szCs w:val="24"/>
          <w:bdr w:val="none" w:sz="0" w:space="0" w:color="auto" w:frame="1"/>
        </w:rPr>
        <w:t>s</w:t>
      </w:r>
      <w:r w:rsidR="00064C37">
        <w:rPr>
          <w:rStyle w:val="lev"/>
          <w:rFonts w:cs="Arial"/>
          <w:b w:val="0"/>
          <w:bCs w:val="0"/>
          <w:color w:val="262626"/>
          <w:szCs w:val="24"/>
          <w:bdr w:val="none" w:sz="0" w:space="0" w:color="auto" w:frame="1"/>
        </w:rPr>
        <w:t xml:space="preserve"> par l’article 7 de la CCDL.</w:t>
      </w:r>
    </w:p>
    <w:p w14:paraId="5B25329E" w14:textId="77777777" w:rsidR="00064C37" w:rsidRDefault="00064C37" w:rsidP="00064C37">
      <w:pPr>
        <w:pStyle w:val="Paragraphedeliste"/>
        <w:rPr>
          <w:rStyle w:val="lev"/>
          <w:b w:val="0"/>
          <w:bCs w:val="0"/>
          <w:szCs w:val="24"/>
        </w:rPr>
      </w:pPr>
    </w:p>
    <w:p w14:paraId="65060133" w14:textId="160CA595" w:rsidR="00064C37" w:rsidRDefault="00F13FCA" w:rsidP="00D33B63">
      <w:pPr>
        <w:pStyle w:val="Paragraphe"/>
        <w:spacing w:before="0" w:after="0" w:line="240" w:lineRule="auto"/>
        <w:textAlignment w:val="baseline"/>
        <w:rPr>
          <w:szCs w:val="24"/>
        </w:rPr>
      </w:pPr>
      <w:r>
        <w:t>Avec égards, c</w:t>
      </w:r>
      <w:r w:rsidR="00325F3B">
        <w:t xml:space="preserve">ette prétention ne lui est d’aucun secours </w:t>
      </w:r>
      <w:r w:rsidR="00325F3B" w:rsidRPr="00325F3B">
        <w:rPr>
          <w:szCs w:val="24"/>
        </w:rPr>
        <w:t>pour la simple raison que la liberté d’expression, qui comprend effectivement le droit de ne pas être associé à un discours</w:t>
      </w:r>
      <w:r w:rsidR="00325F3B">
        <w:rPr>
          <w:szCs w:val="24"/>
        </w:rPr>
        <w:t>,</w:t>
      </w:r>
      <w:r w:rsidR="00325F3B" w:rsidRPr="00325F3B">
        <w:rPr>
          <w:szCs w:val="24"/>
        </w:rPr>
        <w:t xml:space="preserve"> est un droit individuel qui ne peut être invoqué par </w:t>
      </w:r>
      <w:r w:rsidR="00AA56AD">
        <w:rPr>
          <w:szCs w:val="24"/>
        </w:rPr>
        <w:t>l</w:t>
      </w:r>
      <w:r w:rsidR="00325F3B" w:rsidRPr="00325F3B">
        <w:rPr>
          <w:szCs w:val="24"/>
        </w:rPr>
        <w:t xml:space="preserve">’État </w:t>
      </w:r>
      <w:r w:rsidR="00AA56AD">
        <w:rPr>
          <w:szCs w:val="24"/>
        </w:rPr>
        <w:t xml:space="preserve">ou ses agents </w:t>
      </w:r>
      <w:r w:rsidR="00325F3B" w:rsidRPr="00325F3B">
        <w:rPr>
          <w:szCs w:val="24"/>
        </w:rPr>
        <w:t>dans l’exercice de leurs attributions.</w:t>
      </w:r>
      <w:r w:rsidR="00325F3B">
        <w:rPr>
          <w:rStyle w:val="Appelnotedebasdep"/>
          <w:szCs w:val="24"/>
        </w:rPr>
        <w:footnoteReference w:id="37"/>
      </w:r>
    </w:p>
    <w:p w14:paraId="3268DC7E" w14:textId="77777777" w:rsidR="00064C37" w:rsidRDefault="00064C37" w:rsidP="00064C37">
      <w:pPr>
        <w:pStyle w:val="Paragraphedeliste"/>
        <w:rPr>
          <w:szCs w:val="24"/>
        </w:rPr>
      </w:pPr>
    </w:p>
    <w:p w14:paraId="41F69783" w14:textId="77777777" w:rsidR="002C75AB" w:rsidRDefault="00F13FCA" w:rsidP="00D33B63">
      <w:pPr>
        <w:pStyle w:val="Paragraphe"/>
        <w:spacing w:before="0" w:after="0" w:line="240" w:lineRule="auto"/>
        <w:textAlignment w:val="baseline"/>
        <w:rPr>
          <w:szCs w:val="24"/>
        </w:rPr>
      </w:pPr>
      <w:r>
        <w:rPr>
          <w:szCs w:val="24"/>
        </w:rPr>
        <w:t xml:space="preserve">Malgré ce qui précède et pour les </w:t>
      </w:r>
      <w:r w:rsidR="00B91F77">
        <w:rPr>
          <w:szCs w:val="24"/>
        </w:rPr>
        <w:t xml:space="preserve">strictes </w:t>
      </w:r>
      <w:r>
        <w:rPr>
          <w:szCs w:val="24"/>
        </w:rPr>
        <w:t>fins de l’exercice</w:t>
      </w:r>
      <w:r w:rsidR="002C75AB">
        <w:rPr>
          <w:szCs w:val="24"/>
        </w:rPr>
        <w:t xml:space="preserve"> du test de Doré</w:t>
      </w:r>
      <w:r>
        <w:rPr>
          <w:szCs w:val="24"/>
        </w:rPr>
        <w:t>, le Tribunal conclut de toute manière</w:t>
      </w:r>
      <w:r w:rsidR="00B91F77">
        <w:rPr>
          <w:szCs w:val="24"/>
        </w:rPr>
        <w:t xml:space="preserve"> que </w:t>
      </w:r>
      <w:r w:rsidR="008F46D7">
        <w:rPr>
          <w:szCs w:val="24"/>
        </w:rPr>
        <w:t xml:space="preserve">la décision </w:t>
      </w:r>
      <w:r w:rsidR="008F46D7" w:rsidRPr="00374608">
        <w:rPr>
          <w:szCs w:val="24"/>
        </w:rPr>
        <w:t>de la ministre</w:t>
      </w:r>
      <w:r w:rsidR="002C75AB">
        <w:rPr>
          <w:szCs w:val="24"/>
        </w:rPr>
        <w:t xml:space="preserve"> qui restreint la liberté d’expression de la demanderesse</w:t>
      </w:r>
      <w:r w:rsidR="00374608">
        <w:rPr>
          <w:szCs w:val="24"/>
        </w:rPr>
        <w:t xml:space="preserve"> </w:t>
      </w:r>
      <w:r w:rsidR="008F46D7">
        <w:rPr>
          <w:szCs w:val="24"/>
        </w:rPr>
        <w:t>est déraisonnable</w:t>
      </w:r>
      <w:r w:rsidR="002C75AB">
        <w:rPr>
          <w:szCs w:val="24"/>
        </w:rPr>
        <w:t xml:space="preserve">. </w:t>
      </w:r>
    </w:p>
    <w:p w14:paraId="2C1F61F8" w14:textId="77777777" w:rsidR="002C75AB" w:rsidRDefault="002C75AB" w:rsidP="00E84A9E">
      <w:pPr>
        <w:pStyle w:val="Paragraphedeliste"/>
        <w:rPr>
          <w:szCs w:val="24"/>
        </w:rPr>
      </w:pPr>
    </w:p>
    <w:p w14:paraId="0FAB0560" w14:textId="687033DA" w:rsidR="00274A9F" w:rsidRDefault="00274A9F" w:rsidP="00D33B63">
      <w:pPr>
        <w:pStyle w:val="Paragraphe"/>
        <w:spacing w:before="0" w:after="0" w:line="240" w:lineRule="auto"/>
        <w:textAlignment w:val="baseline"/>
        <w:rPr>
          <w:szCs w:val="24"/>
        </w:rPr>
      </w:pPr>
      <w:r>
        <w:rPr>
          <w:szCs w:val="24"/>
        </w:rPr>
        <w:t>Outre le fait que la décision ne se fonde sur aucune prescription législative, l</w:t>
      </w:r>
      <w:r w:rsidR="002C75AB">
        <w:rPr>
          <w:szCs w:val="24"/>
        </w:rPr>
        <w:t>es défendeurs ne convainquent pas qu</w:t>
      </w:r>
      <w:r>
        <w:rPr>
          <w:szCs w:val="24"/>
        </w:rPr>
        <w:t>’elle</w:t>
      </w:r>
      <w:r w:rsidR="002C75AB">
        <w:rPr>
          <w:szCs w:val="24"/>
        </w:rPr>
        <w:t xml:space="preserve"> a</w:t>
      </w:r>
      <w:r>
        <w:rPr>
          <w:szCs w:val="24"/>
        </w:rPr>
        <w:t>it</w:t>
      </w:r>
      <w:r w:rsidR="002C75AB">
        <w:rPr>
          <w:szCs w:val="24"/>
        </w:rPr>
        <w:t xml:space="preserve"> été prise afin d’atteindre un </w:t>
      </w:r>
      <w:r w:rsidR="008F46D7">
        <w:rPr>
          <w:szCs w:val="24"/>
        </w:rPr>
        <w:t>o</w:t>
      </w:r>
      <w:r w:rsidR="00B91F77">
        <w:rPr>
          <w:szCs w:val="24"/>
        </w:rPr>
        <w:t>bjectif urgent et réel</w:t>
      </w:r>
      <w:r w:rsidR="002C75AB">
        <w:rPr>
          <w:szCs w:val="24"/>
        </w:rPr>
        <w:t xml:space="preserve"> et qu’elle s</w:t>
      </w:r>
      <w:r w:rsidR="006722E6">
        <w:rPr>
          <w:szCs w:val="24"/>
        </w:rPr>
        <w:t>oi</w:t>
      </w:r>
      <w:r w:rsidR="002C75AB">
        <w:rPr>
          <w:szCs w:val="24"/>
        </w:rPr>
        <w:t xml:space="preserve">t proportionnelle à </w:t>
      </w:r>
      <w:r>
        <w:rPr>
          <w:szCs w:val="24"/>
        </w:rPr>
        <w:t xml:space="preserve">cet </w:t>
      </w:r>
      <w:r w:rsidR="002C75AB">
        <w:rPr>
          <w:szCs w:val="24"/>
        </w:rPr>
        <w:t>objectif</w:t>
      </w:r>
      <w:r>
        <w:rPr>
          <w:szCs w:val="24"/>
        </w:rPr>
        <w:t>,</w:t>
      </w:r>
      <w:r w:rsidR="002C75AB">
        <w:rPr>
          <w:szCs w:val="24"/>
        </w:rPr>
        <w:t xml:space="preserve"> c’est-à-dire, </w:t>
      </w:r>
      <w:r>
        <w:rPr>
          <w:szCs w:val="24"/>
        </w:rPr>
        <w:t>qu’il existe un lien rationnel avec celui-ci et constitue une atteinte minimale à la liberté d’expression de la demanderesse.</w:t>
      </w:r>
    </w:p>
    <w:p w14:paraId="2EF9E747" w14:textId="77777777" w:rsidR="00274A9F" w:rsidRDefault="00274A9F" w:rsidP="00E84A9E">
      <w:pPr>
        <w:pStyle w:val="Paragraphedeliste"/>
        <w:rPr>
          <w:szCs w:val="24"/>
        </w:rPr>
      </w:pPr>
    </w:p>
    <w:p w14:paraId="72435F65" w14:textId="76D8BC2F" w:rsidR="00274A9F" w:rsidRDefault="00274A9F" w:rsidP="00D33B63">
      <w:pPr>
        <w:pStyle w:val="Paragraphe"/>
        <w:spacing w:before="0" w:after="0" w:line="240" w:lineRule="auto"/>
        <w:textAlignment w:val="baseline"/>
        <w:rPr>
          <w:szCs w:val="24"/>
        </w:rPr>
      </w:pPr>
      <w:r>
        <w:rPr>
          <w:szCs w:val="24"/>
        </w:rPr>
        <w:t>La preuve démontre que la ministre résilie l’entente de location afin</w:t>
      </w:r>
      <w:r w:rsidR="00B91F77">
        <w:rPr>
          <w:szCs w:val="24"/>
        </w:rPr>
        <w:t xml:space="preserve"> de prévenir </w:t>
      </w:r>
      <w:r>
        <w:rPr>
          <w:szCs w:val="24"/>
        </w:rPr>
        <w:t xml:space="preserve">les </w:t>
      </w:r>
      <w:r w:rsidR="008F46D7">
        <w:rPr>
          <w:szCs w:val="24"/>
        </w:rPr>
        <w:t>effet</w:t>
      </w:r>
      <w:r>
        <w:rPr>
          <w:szCs w:val="24"/>
        </w:rPr>
        <w:t>s</w:t>
      </w:r>
      <w:r w:rsidR="00B91F77">
        <w:rPr>
          <w:szCs w:val="24"/>
        </w:rPr>
        <w:t xml:space="preserve"> préjudiciable</w:t>
      </w:r>
      <w:r>
        <w:rPr>
          <w:szCs w:val="24"/>
        </w:rPr>
        <w:t>s</w:t>
      </w:r>
      <w:r w:rsidR="0027352B">
        <w:rPr>
          <w:szCs w:val="24"/>
        </w:rPr>
        <w:t xml:space="preserve"> </w:t>
      </w:r>
      <w:r>
        <w:rPr>
          <w:szCs w:val="24"/>
        </w:rPr>
        <w:t xml:space="preserve">du discours </w:t>
      </w:r>
      <w:r w:rsidR="006722E6">
        <w:rPr>
          <w:szCs w:val="24"/>
        </w:rPr>
        <w:t xml:space="preserve">anti-avortement </w:t>
      </w:r>
      <w:r w:rsidR="0027352B">
        <w:rPr>
          <w:szCs w:val="24"/>
        </w:rPr>
        <w:t>sur la liberté de choix de la femme</w:t>
      </w:r>
      <w:r>
        <w:rPr>
          <w:szCs w:val="24"/>
        </w:rPr>
        <w:t>.</w:t>
      </w:r>
    </w:p>
    <w:p w14:paraId="1DAFA66C" w14:textId="77777777" w:rsidR="00274A9F" w:rsidRDefault="00274A9F" w:rsidP="00E84A9E">
      <w:pPr>
        <w:pStyle w:val="Paragraphedeliste"/>
        <w:rPr>
          <w:szCs w:val="24"/>
        </w:rPr>
      </w:pPr>
    </w:p>
    <w:p w14:paraId="59033B2F" w14:textId="381A5CA9" w:rsidR="006722E6" w:rsidRDefault="006722E6" w:rsidP="00D33B63">
      <w:pPr>
        <w:pStyle w:val="Paragraphe"/>
        <w:spacing w:before="0" w:after="0" w:line="240" w:lineRule="auto"/>
        <w:textAlignment w:val="baseline"/>
        <w:rPr>
          <w:szCs w:val="24"/>
        </w:rPr>
      </w:pPr>
      <w:r>
        <w:rPr>
          <w:szCs w:val="24"/>
        </w:rPr>
        <w:t>E</w:t>
      </w:r>
      <w:r w:rsidR="00B91F77">
        <w:rPr>
          <w:szCs w:val="24"/>
        </w:rPr>
        <w:t xml:space="preserve">mpêcher </w:t>
      </w:r>
      <w:r w:rsidR="008F46D7">
        <w:rPr>
          <w:szCs w:val="24"/>
        </w:rPr>
        <w:t xml:space="preserve">qu’un message qui déplaît </w:t>
      </w:r>
      <w:r>
        <w:rPr>
          <w:szCs w:val="24"/>
        </w:rPr>
        <w:t>à la ministre ou qui crée</w:t>
      </w:r>
      <w:r w:rsidR="00717AAF">
        <w:rPr>
          <w:szCs w:val="24"/>
        </w:rPr>
        <w:t xml:space="preserve"> </w:t>
      </w:r>
      <w:r>
        <w:rPr>
          <w:szCs w:val="24"/>
        </w:rPr>
        <w:t>un malaise</w:t>
      </w:r>
      <w:r w:rsidR="00566711">
        <w:rPr>
          <w:szCs w:val="24"/>
        </w:rPr>
        <w:t xml:space="preserve"> profond</w:t>
      </w:r>
      <w:r>
        <w:rPr>
          <w:szCs w:val="24"/>
        </w:rPr>
        <w:t xml:space="preserve"> au gouvernement </w:t>
      </w:r>
      <w:r w:rsidR="008F46D7">
        <w:rPr>
          <w:szCs w:val="24"/>
        </w:rPr>
        <w:t>soit véhiculé dans l’espace public</w:t>
      </w:r>
      <w:r>
        <w:rPr>
          <w:szCs w:val="24"/>
        </w:rPr>
        <w:t xml:space="preserve"> ne constitue pas un objectif urgent et réel qui justifie </w:t>
      </w:r>
      <w:r w:rsidR="00566711">
        <w:rPr>
          <w:szCs w:val="24"/>
        </w:rPr>
        <w:t>une</w:t>
      </w:r>
      <w:r>
        <w:rPr>
          <w:szCs w:val="24"/>
        </w:rPr>
        <w:t xml:space="preserve"> limitation de la liberté d’expression</w:t>
      </w:r>
      <w:r w:rsidR="008F46D7">
        <w:rPr>
          <w:szCs w:val="24"/>
        </w:rPr>
        <w:t>.</w:t>
      </w:r>
      <w:r w:rsidR="00977525">
        <w:rPr>
          <w:szCs w:val="24"/>
        </w:rPr>
        <w:t xml:space="preserve"> </w:t>
      </w:r>
      <w:r w:rsidR="00E8078E">
        <w:rPr>
          <w:szCs w:val="24"/>
        </w:rPr>
        <w:t>En l’absence d’une règle de droit autrement justifiable au sens de l’article 1 de la CCDL, l</w:t>
      </w:r>
      <w:r w:rsidR="00977525">
        <w:rPr>
          <w:szCs w:val="24"/>
        </w:rPr>
        <w:t>’accès ou l’utilisation des espaces publi</w:t>
      </w:r>
      <w:r w:rsidR="00E8078E">
        <w:rPr>
          <w:szCs w:val="24"/>
        </w:rPr>
        <w:t>cs ne peut dépendre de l’adhésion ou non de l’utilisateur à un discours particulier.</w:t>
      </w:r>
    </w:p>
    <w:p w14:paraId="6C0253B0" w14:textId="77777777" w:rsidR="006722E6" w:rsidRDefault="006722E6" w:rsidP="00E84A9E">
      <w:pPr>
        <w:pStyle w:val="Paragraphedeliste"/>
        <w:rPr>
          <w:szCs w:val="24"/>
        </w:rPr>
      </w:pPr>
    </w:p>
    <w:p w14:paraId="424421AD" w14:textId="2489E42C" w:rsidR="009A59AA" w:rsidRDefault="002C306D" w:rsidP="00D33B63">
      <w:pPr>
        <w:pStyle w:val="Paragraphe"/>
        <w:spacing w:before="0" w:after="0" w:line="240" w:lineRule="auto"/>
        <w:textAlignment w:val="baseline"/>
        <w:rPr>
          <w:szCs w:val="24"/>
        </w:rPr>
      </w:pPr>
      <w:r>
        <w:rPr>
          <w:szCs w:val="24"/>
        </w:rPr>
        <w:t xml:space="preserve"> </w:t>
      </w:r>
      <w:r w:rsidR="00007CED">
        <w:rPr>
          <w:szCs w:val="24"/>
        </w:rPr>
        <w:t>Cette</w:t>
      </w:r>
      <w:r>
        <w:rPr>
          <w:szCs w:val="24"/>
        </w:rPr>
        <w:t xml:space="preserve"> décision ne se justifie pas dans </w:t>
      </w:r>
      <w:r w:rsidR="006722E6">
        <w:rPr>
          <w:szCs w:val="24"/>
        </w:rPr>
        <w:t>le cadre d’</w:t>
      </w:r>
      <w:r>
        <w:rPr>
          <w:szCs w:val="24"/>
        </w:rPr>
        <w:t>une société libre et démocratique.</w:t>
      </w:r>
      <w:r>
        <w:rPr>
          <w:rStyle w:val="Appelnotedebasdep"/>
          <w:szCs w:val="24"/>
        </w:rPr>
        <w:footnoteReference w:id="38"/>
      </w:r>
    </w:p>
    <w:p w14:paraId="4ACCBE71" w14:textId="77777777" w:rsidR="009A59AA" w:rsidRDefault="009A59AA" w:rsidP="009A59AA">
      <w:pPr>
        <w:pStyle w:val="Paragraphedeliste"/>
        <w:rPr>
          <w:szCs w:val="24"/>
        </w:rPr>
      </w:pPr>
    </w:p>
    <w:p w14:paraId="42568CB3" w14:textId="6601C318" w:rsidR="00286128" w:rsidRDefault="00750B7D" w:rsidP="00D33B63">
      <w:pPr>
        <w:pStyle w:val="Paragraphe"/>
        <w:spacing w:before="0" w:after="0" w:line="240" w:lineRule="auto"/>
        <w:textAlignment w:val="baseline"/>
        <w:rPr>
          <w:szCs w:val="24"/>
        </w:rPr>
      </w:pPr>
      <w:r>
        <w:rPr>
          <w:szCs w:val="24"/>
        </w:rPr>
        <w:t xml:space="preserve">Faut-il rappeler </w:t>
      </w:r>
      <w:r w:rsidR="008F46D7">
        <w:rPr>
          <w:szCs w:val="24"/>
        </w:rPr>
        <w:t>que la décision d’empêcher la tenue du rassemblement entre en pleine contradiction avec le mandat du Centre des congrès et les objectifs de la SCCQ</w:t>
      </w:r>
      <w:r w:rsidR="0027352B">
        <w:rPr>
          <w:szCs w:val="24"/>
        </w:rPr>
        <w:t xml:space="preserve"> et qu</w:t>
      </w:r>
      <w:r>
        <w:rPr>
          <w:szCs w:val="24"/>
        </w:rPr>
        <w:t xml:space="preserve">e </w:t>
      </w:r>
      <w:r w:rsidRPr="003D604D">
        <w:rPr>
          <w:szCs w:val="24"/>
        </w:rPr>
        <w:t>l</w:t>
      </w:r>
      <w:r w:rsidR="00FC282D">
        <w:rPr>
          <w:szCs w:val="24"/>
        </w:rPr>
        <w:t xml:space="preserve">a ministre </w:t>
      </w:r>
      <w:r w:rsidR="0062621F">
        <w:rPr>
          <w:szCs w:val="24"/>
        </w:rPr>
        <w:t xml:space="preserve">n’a </w:t>
      </w:r>
      <w:r>
        <w:rPr>
          <w:szCs w:val="24"/>
        </w:rPr>
        <w:t>pas fait la démonstration qu</w:t>
      </w:r>
      <w:r w:rsidR="0027352B">
        <w:rPr>
          <w:szCs w:val="24"/>
        </w:rPr>
        <w:t>’il existe un lien rationnel</w:t>
      </w:r>
      <w:r w:rsidR="00FC282D">
        <w:rPr>
          <w:szCs w:val="24"/>
        </w:rPr>
        <w:t>, au-delà de sa conviction personnelle,</w:t>
      </w:r>
      <w:r w:rsidR="0027352B">
        <w:rPr>
          <w:szCs w:val="24"/>
        </w:rPr>
        <w:t xml:space="preserve"> entre cette décision et l’objectif de protection de la liberté de choix de la femme.</w:t>
      </w:r>
    </w:p>
    <w:p w14:paraId="161A7206" w14:textId="77777777" w:rsidR="00AA56AD" w:rsidRDefault="00AA56AD" w:rsidP="00AA56AD">
      <w:pPr>
        <w:pStyle w:val="Paragraphedeliste"/>
        <w:rPr>
          <w:szCs w:val="24"/>
        </w:rPr>
      </w:pPr>
    </w:p>
    <w:p w14:paraId="182E82F7" w14:textId="77777777" w:rsidR="00332A38" w:rsidRDefault="00E42E1A" w:rsidP="00021590">
      <w:pPr>
        <w:pStyle w:val="Paragraphe"/>
        <w:autoSpaceDE w:val="0"/>
        <w:autoSpaceDN w:val="0"/>
        <w:adjustRightInd w:val="0"/>
        <w:spacing w:line="240" w:lineRule="auto"/>
        <w:textAlignment w:val="baseline"/>
        <w:rPr>
          <w:rFonts w:cs="Arial"/>
          <w:szCs w:val="24"/>
          <w:lang w:eastAsia="fr-CA"/>
        </w:rPr>
      </w:pPr>
      <w:r>
        <w:t xml:space="preserve">La décision de la ministre </w:t>
      </w:r>
      <w:r w:rsidR="00750B7D">
        <w:t xml:space="preserve">de </w:t>
      </w:r>
      <w:r w:rsidRPr="00E81188">
        <w:rPr>
          <w:rFonts w:cs="Arial"/>
          <w:szCs w:val="24"/>
          <w:lang w:eastAsia="fr-CA"/>
        </w:rPr>
        <w:t>résili</w:t>
      </w:r>
      <w:r w:rsidR="00750B7D" w:rsidRPr="00E81188">
        <w:rPr>
          <w:rFonts w:cs="Arial"/>
          <w:szCs w:val="24"/>
          <w:lang w:eastAsia="fr-CA"/>
        </w:rPr>
        <w:t>er</w:t>
      </w:r>
      <w:r w:rsidRPr="00E81188">
        <w:rPr>
          <w:rFonts w:cs="Arial"/>
          <w:szCs w:val="24"/>
          <w:lang w:eastAsia="fr-CA"/>
        </w:rPr>
        <w:t xml:space="preserve"> l’entente de location </w:t>
      </w:r>
      <w:r w:rsidRPr="00E81188">
        <w:rPr>
          <w:szCs w:val="24"/>
        </w:rPr>
        <w:t xml:space="preserve">restreint </w:t>
      </w:r>
      <w:r w:rsidR="00AA56AD" w:rsidRPr="00E81188">
        <w:rPr>
          <w:szCs w:val="24"/>
        </w:rPr>
        <w:t xml:space="preserve">de manière attentatoire </w:t>
      </w:r>
      <w:r w:rsidRPr="00E81188">
        <w:rPr>
          <w:szCs w:val="24"/>
        </w:rPr>
        <w:t>la liberté d’expression</w:t>
      </w:r>
      <w:r w:rsidR="00655F1B" w:rsidRPr="00E81188">
        <w:rPr>
          <w:szCs w:val="24"/>
        </w:rPr>
        <w:t xml:space="preserve"> </w:t>
      </w:r>
      <w:r w:rsidRPr="00E81188">
        <w:rPr>
          <w:szCs w:val="24"/>
        </w:rPr>
        <w:t>de la demanderesse. Cette décision</w:t>
      </w:r>
      <w:r w:rsidR="00E81188" w:rsidRPr="00E81188">
        <w:rPr>
          <w:szCs w:val="24"/>
        </w:rPr>
        <w:t xml:space="preserve">, </w:t>
      </w:r>
      <w:r w:rsidRPr="00E81188">
        <w:rPr>
          <w:szCs w:val="24"/>
        </w:rPr>
        <w:t>prise e</w:t>
      </w:r>
      <w:r w:rsidR="00286128" w:rsidRPr="00E81188">
        <w:rPr>
          <w:szCs w:val="24"/>
        </w:rPr>
        <w:t>n l’absence d</w:t>
      </w:r>
      <w:r w:rsidRPr="00E81188">
        <w:rPr>
          <w:szCs w:val="24"/>
        </w:rPr>
        <w:t>’une r</w:t>
      </w:r>
      <w:r w:rsidR="00286128" w:rsidRPr="00E81188">
        <w:rPr>
          <w:szCs w:val="24"/>
        </w:rPr>
        <w:t>ègle de droit</w:t>
      </w:r>
      <w:r w:rsidRPr="00E81188">
        <w:rPr>
          <w:szCs w:val="24"/>
        </w:rPr>
        <w:t xml:space="preserve"> </w:t>
      </w:r>
      <w:r w:rsidR="00E81188" w:rsidRPr="00E81188">
        <w:rPr>
          <w:szCs w:val="24"/>
        </w:rPr>
        <w:t xml:space="preserve">suffisamment </w:t>
      </w:r>
      <w:r w:rsidRPr="00E81188">
        <w:rPr>
          <w:szCs w:val="24"/>
        </w:rPr>
        <w:t>précise et accessible</w:t>
      </w:r>
      <w:r w:rsidR="00286128" w:rsidRPr="00E81188">
        <w:rPr>
          <w:szCs w:val="24"/>
        </w:rPr>
        <w:t>,</w:t>
      </w:r>
      <w:r w:rsidRPr="00E81188">
        <w:rPr>
          <w:szCs w:val="24"/>
        </w:rPr>
        <w:t xml:space="preserve"> </w:t>
      </w:r>
      <w:r w:rsidR="00286128" w:rsidRPr="00E81188">
        <w:rPr>
          <w:rFonts w:cs="Arial"/>
          <w:szCs w:val="24"/>
          <w:lang w:eastAsia="fr-CA"/>
        </w:rPr>
        <w:t xml:space="preserve">ne peut </w:t>
      </w:r>
      <w:r w:rsidR="00750B7D" w:rsidRPr="00E81188">
        <w:rPr>
          <w:rFonts w:cs="Arial"/>
          <w:szCs w:val="24"/>
          <w:lang w:eastAsia="fr-CA"/>
        </w:rPr>
        <w:t xml:space="preserve">se justifier </w:t>
      </w:r>
      <w:r w:rsidR="00286128" w:rsidRPr="00E81188">
        <w:rPr>
          <w:rFonts w:cs="Arial"/>
          <w:szCs w:val="24"/>
          <w:lang w:eastAsia="fr-CA"/>
        </w:rPr>
        <w:t xml:space="preserve">au </w:t>
      </w:r>
      <w:r w:rsidRPr="00E81188">
        <w:rPr>
          <w:rFonts w:cs="Arial"/>
          <w:szCs w:val="24"/>
          <w:lang w:eastAsia="fr-CA"/>
        </w:rPr>
        <w:t>sens</w:t>
      </w:r>
      <w:r w:rsidR="00286128" w:rsidRPr="00E81188">
        <w:rPr>
          <w:rFonts w:cs="Arial"/>
          <w:szCs w:val="24"/>
          <w:lang w:eastAsia="fr-CA"/>
        </w:rPr>
        <w:t xml:space="preserve"> de l’article premier de la CCLD</w:t>
      </w:r>
      <w:r w:rsidR="00E81188" w:rsidRPr="00E81188">
        <w:rPr>
          <w:rFonts w:cs="Arial"/>
          <w:szCs w:val="24"/>
          <w:lang w:eastAsia="fr-CA"/>
        </w:rPr>
        <w:t>.</w:t>
      </w:r>
    </w:p>
    <w:p w14:paraId="311969E8" w14:textId="77777777" w:rsidR="00332A38" w:rsidRDefault="00332A38">
      <w:pPr>
        <w:rPr>
          <w:rFonts w:cs="Arial"/>
          <w:kern w:val="28"/>
          <w:szCs w:val="24"/>
          <w:lang w:eastAsia="fr-CA"/>
        </w:rPr>
      </w:pPr>
      <w:r>
        <w:rPr>
          <w:rFonts w:cs="Arial"/>
          <w:szCs w:val="24"/>
          <w:lang w:eastAsia="fr-CA"/>
        </w:rPr>
        <w:br w:type="page"/>
      </w:r>
    </w:p>
    <w:p w14:paraId="71DB1D28" w14:textId="4B63073C" w:rsidR="005263AC" w:rsidRPr="00E81188" w:rsidRDefault="00E81188" w:rsidP="00332A38">
      <w:pPr>
        <w:pStyle w:val="Paragraphe"/>
        <w:numPr>
          <w:ilvl w:val="0"/>
          <w:numId w:val="0"/>
        </w:numPr>
        <w:autoSpaceDE w:val="0"/>
        <w:autoSpaceDN w:val="0"/>
        <w:adjustRightInd w:val="0"/>
        <w:spacing w:line="240" w:lineRule="auto"/>
        <w:textAlignment w:val="baseline"/>
        <w:rPr>
          <w:szCs w:val="24"/>
        </w:rPr>
      </w:pPr>
      <w:r w:rsidRPr="00E81188">
        <w:rPr>
          <w:rFonts w:cs="Arial"/>
          <w:szCs w:val="24"/>
          <w:lang w:eastAsia="fr-CA"/>
        </w:rPr>
        <w:t xml:space="preserve"> </w:t>
      </w:r>
    </w:p>
    <w:p w14:paraId="567D231D" w14:textId="69F69BC5" w:rsidR="0071032D" w:rsidRPr="00BE4402" w:rsidRDefault="002F2727" w:rsidP="00021590">
      <w:pPr>
        <w:pStyle w:val="Paragraphe"/>
        <w:numPr>
          <w:ilvl w:val="0"/>
          <w:numId w:val="0"/>
        </w:numPr>
        <w:spacing w:line="240" w:lineRule="auto"/>
        <w:ind w:left="731"/>
        <w:rPr>
          <w:b/>
          <w:bCs/>
          <w:i/>
          <w:iCs/>
        </w:rPr>
      </w:pPr>
      <w:r w:rsidRPr="00BE4402">
        <w:rPr>
          <w:b/>
          <w:bCs/>
          <w:i/>
          <w:iCs/>
        </w:rPr>
        <w:t>Les libertés de religion</w:t>
      </w:r>
      <w:r w:rsidR="00BE4402" w:rsidRPr="00BE4402">
        <w:rPr>
          <w:b/>
          <w:bCs/>
          <w:i/>
          <w:iCs/>
        </w:rPr>
        <w:t xml:space="preserve">, </w:t>
      </w:r>
      <w:r w:rsidRPr="00BE4402">
        <w:rPr>
          <w:b/>
          <w:bCs/>
          <w:i/>
          <w:iCs/>
        </w:rPr>
        <w:t>de réunion pacifique</w:t>
      </w:r>
      <w:r w:rsidR="00BE4402" w:rsidRPr="00BE4402">
        <w:rPr>
          <w:b/>
          <w:bCs/>
          <w:i/>
          <w:iCs/>
        </w:rPr>
        <w:t xml:space="preserve"> et le d</w:t>
      </w:r>
      <w:r w:rsidR="00BE4402" w:rsidRPr="00BE4402">
        <w:rPr>
          <w:b/>
          <w:bCs/>
          <w:i/>
          <w:iCs/>
          <w:color w:val="030303"/>
          <w:szCs w:val="24"/>
        </w:rPr>
        <w:t>roit à l'égalité sans discrimination</w:t>
      </w:r>
    </w:p>
    <w:p w14:paraId="564BB0A3" w14:textId="5197B0F3" w:rsidR="002F2727" w:rsidRPr="00B37C0B" w:rsidRDefault="00BE4402" w:rsidP="00021590">
      <w:pPr>
        <w:pStyle w:val="Paragraphe"/>
        <w:spacing w:line="240" w:lineRule="auto"/>
      </w:pPr>
      <w:r>
        <w:t xml:space="preserve">La demanderesse plaide que la décision de la ministre de résilier unilatéralement l’entente de location et, par voie de conséquence, d’empêcher le rassemblement qui devait se tenir au Centre des congrès de Québec constitue également une atteinte à ses droits garantis de </w:t>
      </w:r>
      <w:r w:rsidR="002F2727" w:rsidRPr="002F2727">
        <w:t>liberté de religion</w:t>
      </w:r>
      <w:r>
        <w:t xml:space="preserve">, </w:t>
      </w:r>
      <w:r w:rsidR="002F2727" w:rsidRPr="002F2727">
        <w:t>de réunion pacifique</w:t>
      </w:r>
      <w:r w:rsidR="002F2727">
        <w:t xml:space="preserve"> </w:t>
      </w:r>
      <w:r>
        <w:t xml:space="preserve">et </w:t>
      </w:r>
      <w:r w:rsidRPr="00BE4402">
        <w:rPr>
          <w:color w:val="030303"/>
          <w:szCs w:val="24"/>
        </w:rPr>
        <w:t>à l'égalité sans discrimination</w:t>
      </w:r>
      <w:r>
        <w:rPr>
          <w:color w:val="030303"/>
          <w:szCs w:val="24"/>
        </w:rPr>
        <w:t>.</w:t>
      </w:r>
    </w:p>
    <w:p w14:paraId="05E72F0C" w14:textId="2B4F4E6C" w:rsidR="00291D8E" w:rsidRDefault="00B37C0B" w:rsidP="00FC0E1A">
      <w:pPr>
        <w:pStyle w:val="Paragraphe"/>
        <w:spacing w:line="240" w:lineRule="auto"/>
      </w:pPr>
      <w:r w:rsidRPr="00B37C0B">
        <w:rPr>
          <w:color w:val="030303"/>
          <w:szCs w:val="24"/>
        </w:rPr>
        <w:t xml:space="preserve">Il est établi que </w:t>
      </w:r>
      <w:r>
        <w:t xml:space="preserve">le droit à la liberté d’expression s’applique aux personnes morales. Se </w:t>
      </w:r>
      <w:r w:rsidR="00291D8E">
        <w:t xml:space="preserve">pose </w:t>
      </w:r>
      <w:r>
        <w:t xml:space="preserve">toutefois </w:t>
      </w:r>
      <w:r w:rsidR="00291D8E">
        <w:t>la question de savoir si une personne morale a la qualité pour agir et revendiquer les droits à la liberté de religion, de réunion pacifique et à la protection contre la discrimination au même titre qu’une personne physique.</w:t>
      </w:r>
    </w:p>
    <w:p w14:paraId="11048BA5" w14:textId="77777777" w:rsidR="00291D8E" w:rsidRDefault="00291D8E" w:rsidP="00291D8E">
      <w:pPr>
        <w:pStyle w:val="Paragraphe"/>
        <w:spacing w:line="240" w:lineRule="auto"/>
      </w:pPr>
      <w:r>
        <w:t xml:space="preserve">HMI prétend qu’elle a la qualité pour agir et revendiquer chacun des droits susmentionnés. Sa position est appuyée par les représentations de l’intervenante Alliance des Chrétiens en Droit et des Co-intervenantes. </w:t>
      </w:r>
    </w:p>
    <w:p w14:paraId="766DF9D4" w14:textId="02C10C6E" w:rsidR="00291D8E" w:rsidRDefault="00291D8E" w:rsidP="00291D8E">
      <w:pPr>
        <w:pStyle w:val="Paragraphe"/>
        <w:spacing w:line="240" w:lineRule="auto"/>
      </w:pPr>
      <w:r>
        <w:t xml:space="preserve">Pour leur part, </w:t>
      </w:r>
      <w:r w:rsidR="002F387A">
        <w:t xml:space="preserve">s’ils </w:t>
      </w:r>
      <w:r>
        <w:t>reconnaissent que le droit à la liberté d’expression s’applique aux personnes morales</w:t>
      </w:r>
      <w:r w:rsidR="002F387A">
        <w:t xml:space="preserve">, les défendeurs </w:t>
      </w:r>
      <w:r>
        <w:t>contestent qu</w:t>
      </w:r>
      <w:r w:rsidR="002F387A">
        <w:t>’elles</w:t>
      </w:r>
      <w:r>
        <w:t xml:space="preserve"> puisse</w:t>
      </w:r>
      <w:r w:rsidR="002F387A">
        <w:t>nt</w:t>
      </w:r>
      <w:r>
        <w:t xml:space="preserve"> être titulaire</w:t>
      </w:r>
      <w:r w:rsidR="002F387A">
        <w:t>s</w:t>
      </w:r>
      <w:r>
        <w:t xml:space="preserve"> et invoquer les droits à la liberté de religion, de réunion pacifique et à la protection contre la discrimination qui seraient, par leur essence même, l’apanage des seules personnes physiques.</w:t>
      </w:r>
    </w:p>
    <w:p w14:paraId="74161F64" w14:textId="5C59CF1B" w:rsidR="00291D8E" w:rsidRDefault="00291D8E" w:rsidP="00291D8E">
      <w:pPr>
        <w:pStyle w:val="Paragraphe"/>
        <w:spacing w:line="240" w:lineRule="auto"/>
      </w:pPr>
      <w:r>
        <w:t>Cela dit, le PGQ argue que les faits et circonstances de la présente affaire ne soulèvent principalement que des questions relatives à la liberté d’expression et qu’ils n’offrent aucun fondement</w:t>
      </w:r>
      <w:r w:rsidR="002F387A">
        <w:t>, sinon de manière très accessoire,</w:t>
      </w:r>
      <w:r>
        <w:t xml:space="preserve"> au soutien d’allégations d’atteinte à la liberté de religion, de réunion pacifique ou encore à la protection contre la discrimination.</w:t>
      </w:r>
    </w:p>
    <w:p w14:paraId="0FBF3664" w14:textId="436C4773" w:rsidR="00291D8E" w:rsidRDefault="00291D8E" w:rsidP="009F537F">
      <w:pPr>
        <w:pStyle w:val="Paragraphe"/>
        <w:spacing w:line="240" w:lineRule="auto"/>
      </w:pPr>
      <w:r w:rsidRPr="002F387A">
        <w:t>Quoi qu’il en soit,</w:t>
      </w:r>
      <w:r>
        <w:t xml:space="preserve"> il précise que les revendications de la demanderesse eu égard à chacune des atteintes alléguées relèvent d’un même contexte dont les faits </w:t>
      </w:r>
      <w:r w:rsidRPr="002F2727">
        <w:t>sont largement indiscernables</w:t>
      </w:r>
      <w:r w:rsidR="002F387A">
        <w:t xml:space="preserve">. En ce sens, le PGQ est d’avis que l’analyse de l’affaire sous l’angle de la </w:t>
      </w:r>
      <w:r>
        <w:t>liberté d’expression</w:t>
      </w:r>
      <w:r w:rsidR="002F387A">
        <w:t xml:space="preserve"> est suffisante et permet au </w:t>
      </w:r>
      <w:r>
        <w:t xml:space="preserve">Tribunal </w:t>
      </w:r>
      <w:r w:rsidR="002F387A">
        <w:t>de trancher globalement le litige</w:t>
      </w:r>
      <w:r w:rsidR="004670DA">
        <w:t>,</w:t>
      </w:r>
      <w:r w:rsidR="002F387A">
        <w:t xml:space="preserve"> puisque l</w:t>
      </w:r>
      <w:r>
        <w:t>es revendications</w:t>
      </w:r>
      <w:r w:rsidR="002F387A">
        <w:t xml:space="preserve"> qui concernent la liberté de religion, de réunion pacifique et la protection contre la discrimination</w:t>
      </w:r>
      <w:r>
        <w:t xml:space="preserve"> se </w:t>
      </w:r>
      <w:r w:rsidR="002F387A">
        <w:t xml:space="preserve">fondent ni plus ni moins </w:t>
      </w:r>
      <w:r>
        <w:t xml:space="preserve">dans la première. </w:t>
      </w:r>
    </w:p>
    <w:p w14:paraId="072AF20C" w14:textId="6644FEBD" w:rsidR="002F387A" w:rsidRDefault="002F387A" w:rsidP="009F537F">
      <w:pPr>
        <w:pStyle w:val="Paragraphe"/>
        <w:spacing w:line="240" w:lineRule="auto"/>
      </w:pPr>
      <w:r>
        <w:t xml:space="preserve">Le Tribunal partage cet avis. </w:t>
      </w:r>
    </w:p>
    <w:p w14:paraId="50005BCC" w14:textId="2A409331" w:rsidR="00B619AD" w:rsidRDefault="00C870BD" w:rsidP="005B4639">
      <w:pPr>
        <w:pStyle w:val="Paragraphe"/>
        <w:spacing w:line="240" w:lineRule="auto"/>
      </w:pPr>
      <w:r>
        <w:t xml:space="preserve">Les revendications de la demanderesse </w:t>
      </w:r>
      <w:r w:rsidR="00B619AD">
        <w:t xml:space="preserve">qui </w:t>
      </w:r>
      <w:r w:rsidR="00AD038F">
        <w:t>concerne</w:t>
      </w:r>
      <w:r w:rsidR="00B619AD">
        <w:t>nt</w:t>
      </w:r>
      <w:r w:rsidR="00AD038F">
        <w:t xml:space="preserve"> les atteintes alléguées à la liberté de religion, de réunion pacifique et au droit à l’égalité sans discrimination </w:t>
      </w:r>
      <w:r w:rsidR="00C3152D">
        <w:t xml:space="preserve">reposent </w:t>
      </w:r>
      <w:r w:rsidR="00AD038F">
        <w:t xml:space="preserve">sur le même contexte </w:t>
      </w:r>
      <w:r>
        <w:t xml:space="preserve">dont les faits sont </w:t>
      </w:r>
      <w:r w:rsidRPr="002F2727">
        <w:t>largement indiscernables</w:t>
      </w:r>
      <w:r>
        <w:t xml:space="preserve">. Ainsi, </w:t>
      </w:r>
      <w:r w:rsidR="00566711">
        <w:t xml:space="preserve">puisque le Tribunal conclut que la liberté d’expression de la demanderesse est restreinte de manière attentatoire par la décision de la ministre, </w:t>
      </w:r>
      <w:r w:rsidR="00B619AD">
        <w:t xml:space="preserve">il </w:t>
      </w:r>
      <w:r w:rsidR="00B619AD" w:rsidRPr="002F2727">
        <w:t xml:space="preserve">n’est pas </w:t>
      </w:r>
      <w:r w:rsidR="00B619AD">
        <w:t>utile</w:t>
      </w:r>
      <w:r w:rsidR="00B619AD" w:rsidRPr="002F2727">
        <w:t xml:space="preserve"> d’examiner </w:t>
      </w:r>
      <w:r w:rsidR="00B619AD">
        <w:t xml:space="preserve">une à une </w:t>
      </w:r>
      <w:r w:rsidR="00B619AD" w:rsidRPr="002F2727">
        <w:t>les autres revendications fondées sur l’article 2</w:t>
      </w:r>
      <w:r>
        <w:t xml:space="preserve"> de la CCDL</w:t>
      </w:r>
      <w:r w:rsidR="00B619AD" w:rsidRPr="002F2727">
        <w:t>.</w:t>
      </w:r>
      <w:r w:rsidR="00B619AD">
        <w:rPr>
          <w:rStyle w:val="Appelnotedebasdep"/>
        </w:rPr>
        <w:footnoteReference w:id="39"/>
      </w:r>
    </w:p>
    <w:p w14:paraId="75A65982" w14:textId="2D45149E" w:rsidR="00C2410F" w:rsidRPr="002F2727" w:rsidRDefault="00B81DF8" w:rsidP="00407228">
      <w:pPr>
        <w:pStyle w:val="Paragraphe"/>
        <w:spacing w:line="240" w:lineRule="auto"/>
      </w:pPr>
      <w:r>
        <w:t>L</w:t>
      </w:r>
      <w:r w:rsidR="00B619AD">
        <w:t>a jurisprudence enseigne</w:t>
      </w:r>
      <w:r w:rsidR="00C2410F">
        <w:t xml:space="preserve"> qu’il existe un </w:t>
      </w:r>
      <w:r w:rsidR="00C2410F" w:rsidRPr="002F2727">
        <w:t xml:space="preserve">chevauchement des protections conférées par l’article 2 de la </w:t>
      </w:r>
      <w:r w:rsidR="00C2410F">
        <w:t>CCDL</w:t>
      </w:r>
      <w:r w:rsidR="00C2410F" w:rsidRPr="002F2727">
        <w:t xml:space="preserve"> lorsque les faits qui sous-tendent des demandes relatives aux diverses protections de cet article sont largement indiscernables</w:t>
      </w:r>
      <w:r w:rsidR="00C870BD">
        <w:t xml:space="preserve">. Dans ce cas, </w:t>
      </w:r>
      <w:r w:rsidR="00C2410F" w:rsidRPr="002F2727">
        <w:t>il peut être considéré que l’un des droits revendiqués englobe les autres et il n’est, dès lors, pas nécessaire d’examiner les autres revendications fondées sur l’article 2.</w:t>
      </w:r>
      <w:r w:rsidR="00C2410F">
        <w:rPr>
          <w:rStyle w:val="Appelnotedebasdep"/>
        </w:rPr>
        <w:footnoteReference w:id="40"/>
      </w:r>
    </w:p>
    <w:p w14:paraId="1CBA0CA6" w14:textId="77777777" w:rsidR="00B619AD" w:rsidRPr="00AC04BD" w:rsidRDefault="00B619AD" w:rsidP="00B619AD">
      <w:pPr>
        <w:pStyle w:val="Paragraphe"/>
        <w:spacing w:line="240" w:lineRule="auto"/>
      </w:pPr>
      <w:r w:rsidRPr="00AC04BD">
        <w:t>Dans l’affaire Grandel c. Government of Saskatchewan</w:t>
      </w:r>
      <w:r>
        <w:rPr>
          <w:rStyle w:val="Appelnotedebasdep"/>
        </w:rPr>
        <w:footnoteReference w:id="41"/>
      </w:r>
      <w:r w:rsidRPr="00AC04BD">
        <w:t xml:space="preserve">, la </w:t>
      </w:r>
      <w:r>
        <w:t>C</w:t>
      </w:r>
      <w:r w:rsidRPr="00AC04BD">
        <w:t>our</w:t>
      </w:r>
      <w:r>
        <w:t xml:space="preserve"> d’appel de la Saskatchewan</w:t>
      </w:r>
      <w:r w:rsidRPr="00AC04BD">
        <w:t xml:space="preserve"> s’exprime à ce su</w:t>
      </w:r>
      <w:r>
        <w:t>jet comme suit :</w:t>
      </w:r>
      <w:r w:rsidRPr="00AC04BD">
        <w:t xml:space="preserve"> 2024 SKCA 53 (onglet 38 PGQ)</w:t>
      </w:r>
    </w:p>
    <w:p w14:paraId="28840762" w14:textId="77777777" w:rsidR="00B619AD" w:rsidRPr="009D7164" w:rsidRDefault="00B619AD" w:rsidP="00B619AD">
      <w:pPr>
        <w:pStyle w:val="Citationenretrait"/>
        <w:rPr>
          <w:lang w:val="en-CA"/>
        </w:rPr>
      </w:pPr>
      <w:r>
        <w:rPr>
          <w:rFonts w:cs="Arial"/>
          <w:lang w:val="en-CA"/>
        </w:rPr>
        <w:t>[</w:t>
      </w:r>
      <w:r>
        <w:rPr>
          <w:lang w:val="en-CA"/>
        </w:rPr>
        <w:t>72</w:t>
      </w:r>
      <w:r>
        <w:rPr>
          <w:rFonts w:cs="Arial"/>
          <w:lang w:val="en-CA"/>
        </w:rPr>
        <w:t>]</w:t>
      </w:r>
      <w:r>
        <w:rPr>
          <w:lang w:val="en-CA"/>
        </w:rPr>
        <w:t xml:space="preserve"> </w:t>
      </w:r>
      <w:r w:rsidRPr="009D7164">
        <w:rPr>
          <w:lang w:val="en-CA"/>
        </w:rPr>
        <w:t>Therefore, while I would not preclude the possibility that, in a different factual matrix, a separate analysis of each alleged Charter violation may be appropriate, I find that a separate analysis was not required on the facts of this case. Given the present circumstances, I would adopt Sossin J.A.’s reasoning on this point in Ontario Churches CA in its entirety. The protest gatherings that were at the heart of the appellants’ application had expressive, collective and associative value.</w:t>
      </w:r>
    </w:p>
    <w:p w14:paraId="6C1C1497" w14:textId="77777777" w:rsidR="00B619AD" w:rsidRPr="009D7164" w:rsidRDefault="00B619AD" w:rsidP="00B619AD">
      <w:pPr>
        <w:pStyle w:val="Citationenretrait"/>
        <w:rPr>
          <w:lang w:val="en-CA"/>
        </w:rPr>
      </w:pPr>
      <w:r w:rsidRPr="009D7164">
        <w:rPr>
          <w:lang w:val="en-CA"/>
        </w:rPr>
        <w:t>All three of those rights were potentially affected by the same gathering limit in the PHO-10s. the Government conceded that the 10-person gathering limit violated the appellants’ right to freedom of expression. In these circumstances, there was no need for the Chambers judge to have conducted separate analyses of the appellants’ claims of violations of their rights under ss. 2(c) and (d) because the factual matrix underpinning the claimed violations of those rights was largely indistinguishable from that which underpinned their claim under s. 2(b). Moreover, as I will discuss in the next section of the analysis, the deleterious effects of the PHO-10s on the appellants’ other s. 2 rights were all properly considered by the Chambers judge under the s. 1 analysis.</w:t>
      </w:r>
    </w:p>
    <w:p w14:paraId="25DD9F8E" w14:textId="1D106AFB" w:rsidR="007C26A7" w:rsidRPr="00B81DF8" w:rsidRDefault="00BC5B29" w:rsidP="00BD3B2F">
      <w:pPr>
        <w:pStyle w:val="Paragraphe"/>
        <w:spacing w:line="240" w:lineRule="auto"/>
        <w:rPr>
          <w:color w:val="000000" w:themeColor="text1"/>
        </w:rPr>
      </w:pPr>
      <w:r w:rsidRPr="00B81DF8">
        <w:rPr>
          <w:color w:val="000000" w:themeColor="text1"/>
        </w:rPr>
        <w:t xml:space="preserve">Bien que </w:t>
      </w:r>
      <w:r w:rsidR="00B81DF8">
        <w:rPr>
          <w:color w:val="000000" w:themeColor="text1"/>
        </w:rPr>
        <w:t>l</w:t>
      </w:r>
      <w:r w:rsidRPr="00B81DF8">
        <w:rPr>
          <w:color w:val="000000" w:themeColor="text1"/>
        </w:rPr>
        <w:t xml:space="preserve">es droits </w:t>
      </w:r>
      <w:r w:rsidR="00B81DF8">
        <w:rPr>
          <w:color w:val="000000" w:themeColor="text1"/>
        </w:rPr>
        <w:t xml:space="preserve">de la demanderesse </w:t>
      </w:r>
      <w:r w:rsidRPr="00B81DF8">
        <w:rPr>
          <w:color w:val="000000" w:themeColor="text1"/>
        </w:rPr>
        <w:t xml:space="preserve">relatifs à la liberté de religion, de réunion pacifique et </w:t>
      </w:r>
      <w:r w:rsidR="005542C2" w:rsidRPr="00B81DF8">
        <w:rPr>
          <w:color w:val="000000" w:themeColor="text1"/>
        </w:rPr>
        <w:t>son</w:t>
      </w:r>
      <w:r w:rsidRPr="00B81DF8">
        <w:rPr>
          <w:color w:val="000000" w:themeColor="text1"/>
        </w:rPr>
        <w:t xml:space="preserve"> droit à l’égalité aient pu être restreint</w:t>
      </w:r>
      <w:r w:rsidR="004670DA" w:rsidRPr="00B81DF8">
        <w:rPr>
          <w:color w:val="000000" w:themeColor="text1"/>
        </w:rPr>
        <w:t>s</w:t>
      </w:r>
      <w:r w:rsidRPr="00B81DF8">
        <w:rPr>
          <w:color w:val="000000" w:themeColor="text1"/>
        </w:rPr>
        <w:t xml:space="preserve"> par la décision de la ministre</w:t>
      </w:r>
      <w:r w:rsidR="00566711">
        <w:rPr>
          <w:color w:val="000000" w:themeColor="text1"/>
        </w:rPr>
        <w:t>,</w:t>
      </w:r>
      <w:r w:rsidR="00B81DF8">
        <w:rPr>
          <w:color w:val="000000" w:themeColor="text1"/>
        </w:rPr>
        <w:t xml:space="preserve"> comme l’a </w:t>
      </w:r>
      <w:r w:rsidR="00566711">
        <w:rPr>
          <w:color w:val="000000" w:themeColor="text1"/>
        </w:rPr>
        <w:t xml:space="preserve">d’ailleurs </w:t>
      </w:r>
      <w:r w:rsidR="00B81DF8">
        <w:rPr>
          <w:color w:val="000000" w:themeColor="text1"/>
        </w:rPr>
        <w:t>été son droit à la liberté d’expression</w:t>
      </w:r>
      <w:r w:rsidRPr="00B81DF8">
        <w:rPr>
          <w:color w:val="000000" w:themeColor="text1"/>
        </w:rPr>
        <w:t xml:space="preserve">, </w:t>
      </w:r>
      <w:r w:rsidR="00C2410F" w:rsidRPr="00B81DF8">
        <w:rPr>
          <w:color w:val="000000" w:themeColor="text1"/>
        </w:rPr>
        <w:t>il n’</w:t>
      </w:r>
      <w:r w:rsidR="00925CA5" w:rsidRPr="00B81DF8">
        <w:rPr>
          <w:color w:val="000000" w:themeColor="text1"/>
        </w:rPr>
        <w:t xml:space="preserve">est </w:t>
      </w:r>
      <w:r w:rsidR="00566711">
        <w:rPr>
          <w:color w:val="000000" w:themeColor="text1"/>
        </w:rPr>
        <w:t xml:space="preserve">donc </w:t>
      </w:r>
      <w:r w:rsidR="00925CA5" w:rsidRPr="00B81DF8">
        <w:rPr>
          <w:color w:val="000000" w:themeColor="text1"/>
        </w:rPr>
        <w:t>p</w:t>
      </w:r>
      <w:r w:rsidR="00C2410F" w:rsidRPr="00B81DF8">
        <w:rPr>
          <w:color w:val="000000" w:themeColor="text1"/>
        </w:rPr>
        <w:t xml:space="preserve">as </w:t>
      </w:r>
      <w:r w:rsidR="00925CA5" w:rsidRPr="00B81DF8">
        <w:rPr>
          <w:color w:val="000000" w:themeColor="text1"/>
        </w:rPr>
        <w:t xml:space="preserve">utile, pour </w:t>
      </w:r>
      <w:r w:rsidR="004B0C82" w:rsidRPr="00B81DF8">
        <w:rPr>
          <w:color w:val="000000" w:themeColor="text1"/>
        </w:rPr>
        <w:t>trancher</w:t>
      </w:r>
      <w:r w:rsidR="00925CA5" w:rsidRPr="00B81DF8">
        <w:rPr>
          <w:color w:val="000000" w:themeColor="text1"/>
        </w:rPr>
        <w:t xml:space="preserve"> le présent litige,</w:t>
      </w:r>
      <w:r w:rsidR="00C2410F" w:rsidRPr="00B81DF8">
        <w:rPr>
          <w:color w:val="000000" w:themeColor="text1"/>
        </w:rPr>
        <w:t xml:space="preserve"> de procéder à </w:t>
      </w:r>
      <w:r w:rsidR="00B81DF8">
        <w:rPr>
          <w:color w:val="000000" w:themeColor="text1"/>
        </w:rPr>
        <w:t xml:space="preserve">une </w:t>
      </w:r>
      <w:r w:rsidR="00C2410F" w:rsidRPr="00B81DF8">
        <w:rPr>
          <w:color w:val="000000" w:themeColor="text1"/>
        </w:rPr>
        <w:t xml:space="preserve">analyse </w:t>
      </w:r>
      <w:r w:rsidR="00B81DF8">
        <w:rPr>
          <w:color w:val="000000" w:themeColor="text1"/>
        </w:rPr>
        <w:t xml:space="preserve">spécifique </w:t>
      </w:r>
      <w:r w:rsidR="00C2410F" w:rsidRPr="00B81DF8">
        <w:rPr>
          <w:color w:val="000000" w:themeColor="text1"/>
        </w:rPr>
        <w:t xml:space="preserve">de chacune des </w:t>
      </w:r>
      <w:r w:rsidR="009A59AA" w:rsidRPr="00B81DF8">
        <w:rPr>
          <w:color w:val="000000" w:themeColor="text1"/>
        </w:rPr>
        <w:t xml:space="preserve">autres </w:t>
      </w:r>
      <w:r w:rsidR="00C2410F" w:rsidRPr="00B81DF8">
        <w:rPr>
          <w:color w:val="000000" w:themeColor="text1"/>
        </w:rPr>
        <w:t>revendications</w:t>
      </w:r>
      <w:r w:rsidR="00566711">
        <w:rPr>
          <w:color w:val="000000" w:themeColor="text1"/>
        </w:rPr>
        <w:t xml:space="preserve"> de la demanderesse</w:t>
      </w:r>
      <w:r w:rsidR="00B81DF8">
        <w:rPr>
          <w:color w:val="000000" w:themeColor="text1"/>
        </w:rPr>
        <w:t>,</w:t>
      </w:r>
      <w:r w:rsidR="00C2410F" w:rsidRPr="00B81DF8">
        <w:rPr>
          <w:color w:val="000000" w:themeColor="text1"/>
        </w:rPr>
        <w:t xml:space="preserve"> ni </w:t>
      </w:r>
      <w:r w:rsidR="004B0C82" w:rsidRPr="00B81DF8">
        <w:rPr>
          <w:color w:val="000000" w:themeColor="text1"/>
        </w:rPr>
        <w:t xml:space="preserve">de répondre à </w:t>
      </w:r>
      <w:r w:rsidR="00C2410F" w:rsidRPr="00B81DF8">
        <w:rPr>
          <w:color w:val="000000" w:themeColor="text1"/>
        </w:rPr>
        <w:t>la question</w:t>
      </w:r>
      <w:r w:rsidR="00C3152D" w:rsidRPr="00B81DF8">
        <w:rPr>
          <w:color w:val="000000" w:themeColor="text1"/>
        </w:rPr>
        <w:t xml:space="preserve">, si intéressante soit-elle, </w:t>
      </w:r>
      <w:r w:rsidR="00C2410F" w:rsidRPr="00B81DF8">
        <w:rPr>
          <w:color w:val="000000" w:themeColor="text1"/>
        </w:rPr>
        <w:t xml:space="preserve">de </w:t>
      </w:r>
      <w:r w:rsidR="00566711">
        <w:rPr>
          <w:color w:val="000000" w:themeColor="text1"/>
        </w:rPr>
        <w:t>déterminer</w:t>
      </w:r>
      <w:r w:rsidR="00C2410F" w:rsidRPr="00B81DF8">
        <w:rPr>
          <w:color w:val="000000" w:themeColor="text1"/>
        </w:rPr>
        <w:t xml:space="preserve"> si </w:t>
      </w:r>
      <w:r w:rsidR="00566711">
        <w:rPr>
          <w:color w:val="000000" w:themeColor="text1"/>
        </w:rPr>
        <w:t xml:space="preserve">une </w:t>
      </w:r>
      <w:r w:rsidR="00C2410F" w:rsidRPr="00B81DF8">
        <w:rPr>
          <w:color w:val="000000" w:themeColor="text1"/>
        </w:rPr>
        <w:t>personne morale</w:t>
      </w:r>
      <w:r w:rsidR="00566711">
        <w:rPr>
          <w:color w:val="000000" w:themeColor="text1"/>
        </w:rPr>
        <w:t>, à l’instar de la personne physique,</w:t>
      </w:r>
      <w:r w:rsidR="00C2410F" w:rsidRPr="00B81DF8">
        <w:rPr>
          <w:color w:val="000000" w:themeColor="text1"/>
        </w:rPr>
        <w:t xml:space="preserve"> </w:t>
      </w:r>
      <w:r w:rsidR="00A86AF0">
        <w:rPr>
          <w:color w:val="000000" w:themeColor="text1"/>
        </w:rPr>
        <w:t xml:space="preserve">puisse être </w:t>
      </w:r>
      <w:r w:rsidR="00C2410F" w:rsidRPr="00B81DF8">
        <w:rPr>
          <w:color w:val="000000" w:themeColor="text1"/>
        </w:rPr>
        <w:t xml:space="preserve">titulaire </w:t>
      </w:r>
      <w:r w:rsidRPr="00B81DF8">
        <w:rPr>
          <w:color w:val="000000" w:themeColor="text1"/>
        </w:rPr>
        <w:t>et revendiquer c</w:t>
      </w:r>
      <w:r w:rsidR="00C2410F" w:rsidRPr="00B81DF8">
        <w:rPr>
          <w:color w:val="000000" w:themeColor="text1"/>
        </w:rPr>
        <w:t xml:space="preserve">es droits. </w:t>
      </w:r>
    </w:p>
    <w:p w14:paraId="3D99DF57" w14:textId="36976364" w:rsidR="00871334" w:rsidRPr="00871334" w:rsidRDefault="00871334" w:rsidP="00BD3B2F">
      <w:pPr>
        <w:pStyle w:val="Sous-paragraphe"/>
        <w:numPr>
          <w:ilvl w:val="0"/>
          <w:numId w:val="0"/>
        </w:numPr>
        <w:spacing w:before="120"/>
        <w:ind w:left="709"/>
        <w:rPr>
          <w:b/>
          <w:bCs/>
          <w:i/>
          <w:iCs/>
        </w:rPr>
      </w:pPr>
      <w:r w:rsidRPr="00871334">
        <w:rPr>
          <w:b/>
          <w:bCs/>
          <w:i/>
          <w:iCs/>
        </w:rPr>
        <w:t>S'il existe une atteinte (intentionnelle ou non), quelle est la réparation appropriée dans les circonstances ?</w:t>
      </w:r>
    </w:p>
    <w:p w14:paraId="2C18DB08" w14:textId="5D8559D8" w:rsidR="000E2AF6" w:rsidRDefault="00CB6B4F" w:rsidP="00BD3B2F">
      <w:pPr>
        <w:pStyle w:val="Paragraphe"/>
        <w:spacing w:line="240" w:lineRule="auto"/>
      </w:pPr>
      <w:r>
        <w:t xml:space="preserve">Alléguant les atteintes graves et intentionnelles </w:t>
      </w:r>
      <w:r w:rsidR="000E2AF6">
        <w:t>à ses droits</w:t>
      </w:r>
      <w:r>
        <w:t xml:space="preserve"> fondamentaux</w:t>
      </w:r>
      <w:r w:rsidR="000E2AF6">
        <w:t>, la demanderesse réclame à titre de d</w:t>
      </w:r>
      <w:r>
        <w:t>ommages punitifs</w:t>
      </w:r>
      <w:r w:rsidR="000E2AF6">
        <w:t xml:space="preserve"> un montant de 50 000 $ qui se ventile comme suit :</w:t>
      </w:r>
    </w:p>
    <w:p w14:paraId="067C3740" w14:textId="53D19F8B" w:rsidR="000E2AF6" w:rsidRDefault="00CB6B4F" w:rsidP="00A8644F">
      <w:pPr>
        <w:pStyle w:val="Paragraphe"/>
        <w:numPr>
          <w:ilvl w:val="0"/>
          <w:numId w:val="0"/>
        </w:numPr>
        <w:tabs>
          <w:tab w:val="right" w:pos="6237"/>
        </w:tabs>
        <w:spacing w:after="40" w:line="240" w:lineRule="auto"/>
        <w:ind w:firstLine="731"/>
      </w:pPr>
      <w:r>
        <w:t>i) Hon. Caroline Proulx :</w:t>
      </w:r>
      <w:r w:rsidR="00A8644F">
        <w:tab/>
      </w:r>
      <w:r>
        <w:t>45 000,00 $;</w:t>
      </w:r>
    </w:p>
    <w:p w14:paraId="24378223" w14:textId="3DE3D57B" w:rsidR="00CB6B4F" w:rsidRDefault="00CB6B4F" w:rsidP="00BD3B2F">
      <w:pPr>
        <w:pStyle w:val="Paragraphe"/>
        <w:numPr>
          <w:ilvl w:val="0"/>
          <w:numId w:val="0"/>
        </w:numPr>
        <w:tabs>
          <w:tab w:val="right" w:pos="6237"/>
        </w:tabs>
        <w:spacing w:line="240" w:lineRule="auto"/>
        <w:ind w:firstLine="731"/>
      </w:pPr>
      <w:r>
        <w:t>ii) SCCQ :</w:t>
      </w:r>
      <w:r w:rsidR="00A8644F">
        <w:tab/>
      </w:r>
      <w:r>
        <w:t>5 000,00 $;</w:t>
      </w:r>
    </w:p>
    <w:p w14:paraId="0341AB2B" w14:textId="77777777" w:rsidR="005263AC" w:rsidRDefault="004B0C82" w:rsidP="00BD3B2F">
      <w:pPr>
        <w:pStyle w:val="Paragraphe"/>
        <w:spacing w:line="240" w:lineRule="auto"/>
        <w:rPr>
          <w:lang w:eastAsia="fr-CA"/>
        </w:rPr>
      </w:pPr>
      <w:r w:rsidRPr="00CB6B4F">
        <w:rPr>
          <w:lang w:eastAsia="fr-CA"/>
        </w:rPr>
        <w:t>Le droit aux dommages-intérêts punitifs est codifié aux articles 1621 </w:t>
      </w:r>
      <w:r w:rsidRPr="007357AD">
        <w:rPr>
          <w:i/>
          <w:iCs/>
          <w:lang w:eastAsia="fr-CA"/>
        </w:rPr>
        <w:t>C.c.Q.</w:t>
      </w:r>
      <w:r w:rsidR="00C1449D" w:rsidRPr="007357AD">
        <w:rPr>
          <w:i/>
          <w:iCs/>
          <w:lang w:eastAsia="fr-CA"/>
        </w:rPr>
        <w:t xml:space="preserve">, </w:t>
      </w:r>
      <w:r w:rsidRPr="00CB6B4F">
        <w:rPr>
          <w:lang w:eastAsia="fr-CA"/>
        </w:rPr>
        <w:t>49 de la </w:t>
      </w:r>
      <w:r w:rsidR="00C1449D">
        <w:rPr>
          <w:lang w:eastAsia="fr-CA"/>
        </w:rPr>
        <w:t>CDLP et 24(1) de la CCDL.</w:t>
      </w:r>
    </w:p>
    <w:p w14:paraId="3A63EFD5" w14:textId="09505303" w:rsidR="004B0C82" w:rsidRDefault="00C1449D" w:rsidP="007D364C">
      <w:pPr>
        <w:pStyle w:val="Paragraphe"/>
        <w:spacing w:line="240" w:lineRule="auto"/>
        <w:rPr>
          <w:lang w:eastAsia="fr-CA"/>
        </w:rPr>
      </w:pPr>
      <w:r>
        <w:rPr>
          <w:lang w:eastAsia="fr-CA"/>
        </w:rPr>
        <w:t xml:space="preserve">Il y a ouverture </w:t>
      </w:r>
      <w:r w:rsidR="004B0C82" w:rsidRPr="0071032D">
        <w:rPr>
          <w:lang w:eastAsia="fr-CA"/>
        </w:rPr>
        <w:t>à l’octroi de dommages-intérêts punitifs lorsqu’il y a preuve « d’atteinte illicite et intentionnelle » à un droit ou à une liberté reconnue par l</w:t>
      </w:r>
      <w:r>
        <w:rPr>
          <w:lang w:eastAsia="fr-CA"/>
        </w:rPr>
        <w:t>es Chartes.</w:t>
      </w:r>
    </w:p>
    <w:p w14:paraId="5E8BF238" w14:textId="77777777" w:rsidR="00406EFC" w:rsidRDefault="00406EFC" w:rsidP="007D364C">
      <w:pPr>
        <w:pStyle w:val="Paragraphe"/>
        <w:spacing w:line="240" w:lineRule="auto"/>
        <w:rPr>
          <w:lang w:eastAsia="fr-CA"/>
        </w:rPr>
      </w:pPr>
      <w:r>
        <w:rPr>
          <w:lang w:eastAsia="fr-CA"/>
        </w:rPr>
        <w:t>Les dommages punitifs se distinguent des dommages compensatoires. Ils peuvent être accordés lorsque les dommages compensatoires ne suffisent pas à prévenir la répétition du geste fautif ou encore lorsqu’il est utile d’exprimer la désapprobation du Tribunal eu égard à la conduite d’une partie qui est « si malveillante, opprimante et abusive qu’elle choque la conscience de la Cour ».</w:t>
      </w:r>
      <w:r>
        <w:rPr>
          <w:rStyle w:val="Appelnotedebasdep"/>
          <w:lang w:eastAsia="fr-CA"/>
        </w:rPr>
        <w:footnoteReference w:id="42"/>
      </w:r>
    </w:p>
    <w:p w14:paraId="291CB540" w14:textId="7821CF68" w:rsidR="00406EFC" w:rsidRPr="0071032D" w:rsidRDefault="00406EFC" w:rsidP="007D364C">
      <w:pPr>
        <w:pStyle w:val="Paragraphe"/>
        <w:spacing w:line="240" w:lineRule="auto"/>
        <w:rPr>
          <w:lang w:eastAsia="fr-CA"/>
        </w:rPr>
      </w:pPr>
      <w:r>
        <w:rPr>
          <w:lang w:eastAsia="fr-CA"/>
        </w:rPr>
        <w:t xml:space="preserve">Il est établi que les dommages punitifs servent à punir pour prévenir. </w:t>
      </w:r>
    </w:p>
    <w:p w14:paraId="26F49692" w14:textId="432B2A43" w:rsidR="004B0C82" w:rsidRPr="0071032D" w:rsidRDefault="004B0C82" w:rsidP="00C1449D">
      <w:pPr>
        <w:pStyle w:val="Paragraphe"/>
        <w:spacing w:line="240" w:lineRule="auto"/>
        <w:rPr>
          <w:lang w:eastAsia="fr-CA"/>
        </w:rPr>
      </w:pPr>
      <w:r w:rsidRPr="0071032D">
        <w:rPr>
          <w:lang w:eastAsia="fr-CA"/>
        </w:rPr>
        <w:t>L’article 1621 </w:t>
      </w:r>
      <w:r w:rsidRPr="0071032D">
        <w:rPr>
          <w:i/>
          <w:iCs/>
          <w:lang w:eastAsia="fr-CA"/>
        </w:rPr>
        <w:t>C.c.Q.</w:t>
      </w:r>
      <w:r w:rsidRPr="0071032D">
        <w:rPr>
          <w:lang w:eastAsia="fr-CA"/>
        </w:rPr>
        <w:t xml:space="preserve"> énonce les </w:t>
      </w:r>
      <w:r w:rsidR="00C1449D">
        <w:rPr>
          <w:lang w:eastAsia="fr-CA"/>
        </w:rPr>
        <w:t xml:space="preserve">critères </w:t>
      </w:r>
      <w:r w:rsidRPr="0071032D">
        <w:rPr>
          <w:lang w:eastAsia="fr-CA"/>
        </w:rPr>
        <w:t>que le Tribunal doit considérer dans la détermination du montant des dommages punitifs</w:t>
      </w:r>
      <w:r w:rsidR="00C1449D">
        <w:rPr>
          <w:lang w:eastAsia="fr-CA"/>
        </w:rPr>
        <w:t xml:space="preserve"> à accorder le cas échéant. Il se lit comme suit :</w:t>
      </w:r>
    </w:p>
    <w:p w14:paraId="104130DD" w14:textId="77777777" w:rsidR="004B0C82" w:rsidRPr="00C1449D" w:rsidRDefault="004B0C82" w:rsidP="004B0C82">
      <w:pPr>
        <w:shd w:val="clear" w:color="auto" w:fill="FFFFFF"/>
        <w:spacing w:before="180" w:after="120"/>
        <w:ind w:left="1134" w:right="1140"/>
        <w:jc w:val="both"/>
        <w:rPr>
          <w:rFonts w:cs="Arial"/>
          <w:sz w:val="20"/>
          <w:lang w:eastAsia="fr-CA"/>
        </w:rPr>
      </w:pPr>
      <w:r w:rsidRPr="00C1449D">
        <w:rPr>
          <w:rFonts w:cs="Arial"/>
          <w:sz w:val="20"/>
          <w:lang w:eastAsia="fr-CA"/>
        </w:rPr>
        <w:t>1621. Lorsque la loi prévoit l’attribution de dommages-intérêts punitifs, ceux-ci ne peuvent excéder, en valeur, ce qui est suffisant pour assurer leur fonction préventive.</w:t>
      </w:r>
    </w:p>
    <w:p w14:paraId="2FFC4F40" w14:textId="77777777" w:rsidR="004B0C82" w:rsidRPr="00C1449D" w:rsidRDefault="004B0C82" w:rsidP="004B0C82">
      <w:pPr>
        <w:shd w:val="clear" w:color="auto" w:fill="FFFFFF"/>
        <w:spacing w:before="120" w:after="240"/>
        <w:ind w:left="1134" w:right="1140"/>
        <w:jc w:val="both"/>
        <w:rPr>
          <w:rFonts w:cs="Arial"/>
          <w:sz w:val="20"/>
          <w:lang w:eastAsia="fr-CA"/>
        </w:rPr>
      </w:pPr>
      <w:r w:rsidRPr="00C1449D">
        <w:rPr>
          <w:rFonts w:cs="Arial"/>
          <w:sz w:val="20"/>
          <w:lang w:eastAsia="fr-CA"/>
        </w:rPr>
        <w:t>Ils s’apprécient en tenant compte de toutes les circonstances appropriées, notamment de la gravité de la faute du débiteur, de sa situation patrimoniale ou de l’étendue de la réparation à laquelle il est déjà tenu envers le créancier, ainsi que, le cas échéant, du fait que la prise en charge du paiement réparateur est, en tout ou en partie, assumée par un tiers.</w:t>
      </w:r>
    </w:p>
    <w:p w14:paraId="7D79103B" w14:textId="4778CA6D" w:rsidR="004B0C82" w:rsidRPr="00C1449D" w:rsidRDefault="00C1449D" w:rsidP="007357AD">
      <w:pPr>
        <w:pStyle w:val="Paragraphe"/>
        <w:spacing w:line="240" w:lineRule="auto"/>
        <w:rPr>
          <w:lang w:eastAsia="fr-CA"/>
        </w:rPr>
      </w:pPr>
      <w:r>
        <w:rPr>
          <w:lang w:eastAsia="fr-CA"/>
        </w:rPr>
        <w:t xml:space="preserve">Dans l’affaire </w:t>
      </w:r>
      <w:r w:rsidRPr="00C1449D">
        <w:rPr>
          <w:lang w:eastAsia="fr-CA"/>
        </w:rPr>
        <w:t>Québec (Curateur public) c. Syndicat national des employés de l'hôpital St-Ferdinand</w:t>
      </w:r>
      <w:r>
        <w:rPr>
          <w:rStyle w:val="Appelnotedebasdep"/>
          <w:lang w:eastAsia="fr-CA"/>
        </w:rPr>
        <w:footnoteReference w:id="43"/>
      </w:r>
      <w:r>
        <w:rPr>
          <w:i/>
          <w:iCs/>
          <w:lang w:eastAsia="fr-CA"/>
        </w:rPr>
        <w:t xml:space="preserve">, </w:t>
      </w:r>
      <w:r w:rsidRPr="00C1449D">
        <w:rPr>
          <w:lang w:eastAsia="fr-CA"/>
        </w:rPr>
        <w:t>l</w:t>
      </w:r>
      <w:r w:rsidR="004B0C82" w:rsidRPr="00C1449D">
        <w:rPr>
          <w:lang w:eastAsia="fr-CA"/>
        </w:rPr>
        <w:t>a Cour suprême définit ce que constitue une atteinte illicite et intentionnelle</w:t>
      </w:r>
      <w:r>
        <w:rPr>
          <w:lang w:eastAsia="fr-CA"/>
        </w:rPr>
        <w:t xml:space="preserve"> de la manière suivante :</w:t>
      </w:r>
    </w:p>
    <w:p w14:paraId="28709A4D" w14:textId="77777777" w:rsidR="004B0C82" w:rsidRPr="00C1449D" w:rsidRDefault="004B0C82" w:rsidP="00BD3B2F">
      <w:pPr>
        <w:shd w:val="clear" w:color="auto" w:fill="FFFFFF"/>
        <w:spacing w:before="120" w:after="120"/>
        <w:ind w:left="1134" w:right="1140"/>
        <w:jc w:val="both"/>
        <w:rPr>
          <w:rFonts w:cs="Arial"/>
          <w:sz w:val="20"/>
          <w:lang w:eastAsia="fr-CA"/>
        </w:rPr>
      </w:pPr>
      <w:r w:rsidRPr="00C1449D">
        <w:rPr>
          <w:rFonts w:cs="Arial"/>
          <w:sz w:val="20"/>
          <w:lang w:eastAsia="fr-CA"/>
        </w:rPr>
        <w:t>121.   En conséquence, il y aura atteinte illicite et intentionnelle au sens du second alinéa de l'art. 49 de la </w:t>
      </w:r>
      <w:r w:rsidRPr="00C1449D">
        <w:rPr>
          <w:rFonts w:cs="Arial"/>
          <w:i/>
          <w:iCs/>
          <w:sz w:val="20"/>
          <w:lang w:eastAsia="fr-CA"/>
        </w:rPr>
        <w:t>Charte</w:t>
      </w:r>
      <w:r w:rsidRPr="00C1449D">
        <w:rPr>
          <w:rFonts w:cs="Arial"/>
          <w:sz w:val="20"/>
          <w:lang w:eastAsia="fr-CA"/>
        </w:rPr>
        <w:t> lorsque l'auteur de l’atteinte illicite a un état d’esprit qui dénote un désir, une volonté de causer les conséquences de sa conduite fautive ou encore s’il agit en toute connaissance des conséquences, immédiates et naturelles ou au moins extrêmement probables, que cette conduite engendrera.  Ce critère est moins strict que l'intention particulière, mais dépasse, toutefois, la simple négligence.  Ainsi, l’insouciance dont fait preuve un individu quant aux conséquences de ses actes fautifs, si déréglée et téméraire soit-elle, ne satisfera pas, à elle seule, à ce critère.</w:t>
      </w:r>
    </w:p>
    <w:p w14:paraId="437066B9" w14:textId="354F648F" w:rsidR="00A33E1A" w:rsidRDefault="007357AD" w:rsidP="00BD3B2F">
      <w:pPr>
        <w:pStyle w:val="Paragraphe"/>
        <w:spacing w:line="240" w:lineRule="auto"/>
      </w:pPr>
      <w:r>
        <w:t>Les conclusions qui précèdent démontrent le caractère illicite de la décision de</w:t>
      </w:r>
      <w:r w:rsidR="00A33E1A">
        <w:t>s défende</w:t>
      </w:r>
      <w:r w:rsidR="006F6080">
        <w:t>u</w:t>
      </w:r>
      <w:r w:rsidR="00A33E1A">
        <w:t>rs.</w:t>
      </w:r>
    </w:p>
    <w:p w14:paraId="177DD88C" w14:textId="35C06BC6" w:rsidR="00A33E1A" w:rsidRDefault="00A33E1A" w:rsidP="004B0C82">
      <w:pPr>
        <w:pStyle w:val="Paragraphe"/>
        <w:spacing w:line="240" w:lineRule="auto"/>
      </w:pPr>
      <w:r>
        <w:t>Qu</w:t>
      </w:r>
      <w:r w:rsidR="00406EFC">
        <w:t>’en</w:t>
      </w:r>
      <w:r>
        <w:t xml:space="preserve"> est-il du caractère intentionnel de cette décision ?</w:t>
      </w:r>
    </w:p>
    <w:p w14:paraId="4EC2D3EB" w14:textId="602178BD" w:rsidR="00A33E1A" w:rsidRDefault="00A33E1A" w:rsidP="00006A9E">
      <w:pPr>
        <w:pStyle w:val="Paragraphe"/>
        <w:spacing w:line="240" w:lineRule="auto"/>
      </w:pPr>
      <w:r>
        <w:t xml:space="preserve">D’emblée, le Tribunal ne peut conclure que la SCCQ a agi en l’espèce de manière intentionnelle ayant mis en œuvre la décision de résilier l’entente de location </w:t>
      </w:r>
      <w:r w:rsidR="00E317AD">
        <w:t>qu’</w:t>
      </w:r>
      <w:r>
        <w:t xml:space="preserve">à la suite de directives claires de </w:t>
      </w:r>
      <w:r w:rsidR="00C3152D">
        <w:t>s</w:t>
      </w:r>
      <w:r w:rsidR="00E317AD">
        <w:t xml:space="preserve">es autorités supérieures.  </w:t>
      </w:r>
      <w:r>
        <w:t xml:space="preserve">  </w:t>
      </w:r>
    </w:p>
    <w:p w14:paraId="3F55B5A3" w14:textId="064F3C3F" w:rsidR="00A33E1A" w:rsidRDefault="004B0C82" w:rsidP="004B0C82">
      <w:pPr>
        <w:pStyle w:val="Paragraphe"/>
        <w:spacing w:line="240" w:lineRule="auto"/>
      </w:pPr>
      <w:r>
        <w:t>L</w:t>
      </w:r>
      <w:r w:rsidR="007357AD">
        <w:t xml:space="preserve">a preuve permet </w:t>
      </w:r>
      <w:r w:rsidR="00A33E1A">
        <w:t xml:space="preserve">cependant </w:t>
      </w:r>
      <w:r w:rsidR="007357AD">
        <w:t xml:space="preserve">de conclure au </w:t>
      </w:r>
      <w:r>
        <w:t>caractère intentionnel de l’atteinte à la liberté d’expression de la demanderesse</w:t>
      </w:r>
      <w:r w:rsidR="00A33E1A">
        <w:t xml:space="preserve"> découlant de la décision de la ministre Proulx</w:t>
      </w:r>
      <w:r w:rsidR="007357AD">
        <w:t>.</w:t>
      </w:r>
    </w:p>
    <w:p w14:paraId="47DAB1B5" w14:textId="1969AF57" w:rsidR="00752D26" w:rsidRPr="00752D26" w:rsidRDefault="007357AD" w:rsidP="00BD5B00">
      <w:pPr>
        <w:pStyle w:val="Paragraphe"/>
        <w:spacing w:line="240" w:lineRule="auto"/>
        <w:rPr>
          <w:szCs w:val="24"/>
        </w:rPr>
      </w:pPr>
      <w:r>
        <w:t xml:space="preserve">En </w:t>
      </w:r>
      <w:r w:rsidR="00752D26">
        <w:t xml:space="preserve">résiliant l’entente de location </w:t>
      </w:r>
      <w:r w:rsidR="0008343E">
        <w:t>de manière fautive au motif d’</w:t>
      </w:r>
      <w:r w:rsidR="00752D26">
        <w:t>empêcher la diffusion d’un message qu’elle c</w:t>
      </w:r>
      <w:r w:rsidR="00406EFC">
        <w:t xml:space="preserve">onsidère </w:t>
      </w:r>
      <w:r w:rsidR="00752D26">
        <w:t>contraire aux valeurs fondamentales de l’État québécois, à quelques jours de l’évènement</w:t>
      </w:r>
      <w:r w:rsidR="00406EFC">
        <w:t xml:space="preserve"> sans aucune habilitation législative ou </w:t>
      </w:r>
      <w:r w:rsidR="00B80D68">
        <w:t>réglementaire</w:t>
      </w:r>
      <w:r w:rsidR="00406EFC">
        <w:t>,</w:t>
      </w:r>
      <w:r w:rsidR="00752D26">
        <w:t xml:space="preserve"> </w:t>
      </w:r>
      <w:r w:rsidR="0008343E">
        <w:t>la ministre a</w:t>
      </w:r>
      <w:r w:rsidR="00752D26">
        <w:t xml:space="preserve"> agi </w:t>
      </w:r>
      <w:r w:rsidR="001B6226">
        <w:t xml:space="preserve">de manière arbitraire et </w:t>
      </w:r>
      <w:r w:rsidR="00752D26" w:rsidRPr="00752D26">
        <w:rPr>
          <w:lang w:eastAsia="fr-CA"/>
        </w:rPr>
        <w:t xml:space="preserve">en toute connaissance des conséquences, immédiates ou au moins extrêmement probables, que cette </w:t>
      </w:r>
      <w:r w:rsidR="00752D26">
        <w:rPr>
          <w:lang w:eastAsia="fr-CA"/>
        </w:rPr>
        <w:t>décision comportait pour la demanderesse.</w:t>
      </w:r>
    </w:p>
    <w:p w14:paraId="67DA1CB4" w14:textId="4CAC86BD" w:rsidR="00E12C7A" w:rsidRPr="0008343E" w:rsidRDefault="0008343E" w:rsidP="00BD5B00">
      <w:pPr>
        <w:pStyle w:val="Paragraphe"/>
        <w:spacing w:line="240" w:lineRule="auto"/>
        <w:rPr>
          <w:szCs w:val="24"/>
        </w:rPr>
      </w:pPr>
      <w:r>
        <w:rPr>
          <w:lang w:eastAsia="fr-CA"/>
        </w:rPr>
        <w:t xml:space="preserve">Son </w:t>
      </w:r>
      <w:r w:rsidR="00E12C7A">
        <w:rPr>
          <w:lang w:eastAsia="fr-CA"/>
        </w:rPr>
        <w:t xml:space="preserve">ingérence dans le processus décisionnel de la SCCQ </w:t>
      </w:r>
      <w:r w:rsidR="005263AC">
        <w:rPr>
          <w:lang w:eastAsia="fr-CA"/>
        </w:rPr>
        <w:t>motivée par des considération</w:t>
      </w:r>
      <w:r w:rsidR="004D1BB9">
        <w:rPr>
          <w:lang w:eastAsia="fr-CA"/>
        </w:rPr>
        <w:t>s</w:t>
      </w:r>
      <w:r w:rsidR="005263AC">
        <w:rPr>
          <w:lang w:eastAsia="fr-CA"/>
        </w:rPr>
        <w:t xml:space="preserve"> de nature essentiellement politique </w:t>
      </w:r>
      <w:r w:rsidR="00E12C7A">
        <w:rPr>
          <w:lang w:eastAsia="fr-CA"/>
        </w:rPr>
        <w:t>et s</w:t>
      </w:r>
      <w:r w:rsidR="00752D26">
        <w:rPr>
          <w:lang w:eastAsia="fr-CA"/>
        </w:rPr>
        <w:t xml:space="preserve">es déclarations publiques contemporaines </w:t>
      </w:r>
      <w:r w:rsidR="001B6226">
        <w:rPr>
          <w:lang w:eastAsia="fr-CA"/>
        </w:rPr>
        <w:t xml:space="preserve">fondées sur des convictions personnelles </w:t>
      </w:r>
      <w:r w:rsidR="00752D26">
        <w:rPr>
          <w:lang w:eastAsia="fr-CA"/>
        </w:rPr>
        <w:t>à l’effet que l’expression de l’opinion anti-avortement de la demanderesse n’avait pas sa place dans un lieu public appartenant à l’État</w:t>
      </w:r>
      <w:r w:rsidR="004670DA">
        <w:rPr>
          <w:lang w:eastAsia="fr-CA"/>
        </w:rPr>
        <w:t>,</w:t>
      </w:r>
      <w:r w:rsidR="00752D26">
        <w:rPr>
          <w:lang w:eastAsia="fr-CA"/>
        </w:rPr>
        <w:t xml:space="preserve"> démontre</w:t>
      </w:r>
      <w:r w:rsidR="00E12C7A">
        <w:rPr>
          <w:lang w:eastAsia="fr-CA"/>
        </w:rPr>
        <w:t xml:space="preserve"> une volonté de </w:t>
      </w:r>
      <w:r w:rsidR="00406EFC">
        <w:rPr>
          <w:lang w:eastAsia="fr-CA"/>
        </w:rPr>
        <w:t xml:space="preserve">porter atteinte à la liberté d’expression de la demanderesse et de </w:t>
      </w:r>
      <w:r w:rsidR="00E12C7A">
        <w:rPr>
          <w:lang w:eastAsia="fr-CA"/>
        </w:rPr>
        <w:t>causer les conséquences prévisibles découlant de cette décision.</w:t>
      </w:r>
    </w:p>
    <w:p w14:paraId="12058565" w14:textId="77777777" w:rsidR="001B6226" w:rsidRDefault="00E12C7A" w:rsidP="00E12C7A">
      <w:pPr>
        <w:pStyle w:val="Paragraphe"/>
        <w:spacing w:line="240" w:lineRule="auto"/>
      </w:pPr>
      <w:r>
        <w:rPr>
          <w:lang w:eastAsia="fr-CA"/>
        </w:rPr>
        <w:t xml:space="preserve">La ministre le confirme d’ailleurs en </w:t>
      </w:r>
      <w:r w:rsidR="0008343E">
        <w:rPr>
          <w:lang w:eastAsia="fr-CA"/>
        </w:rPr>
        <w:t xml:space="preserve">intimant aux représentants de la SCCQ de n’offrir aucune aide </w:t>
      </w:r>
      <w:r w:rsidR="00006A9E">
        <w:rPr>
          <w:lang w:eastAsia="fr-CA"/>
        </w:rPr>
        <w:t xml:space="preserve">à la demanderesse </w:t>
      </w:r>
      <w:r w:rsidR="0008343E">
        <w:rPr>
          <w:lang w:eastAsia="fr-CA"/>
        </w:rPr>
        <w:t xml:space="preserve">pour </w:t>
      </w:r>
      <w:r w:rsidR="00006A9E">
        <w:rPr>
          <w:lang w:eastAsia="fr-CA"/>
        </w:rPr>
        <w:t>la</w:t>
      </w:r>
      <w:r w:rsidR="0008343E">
        <w:rPr>
          <w:lang w:eastAsia="fr-CA"/>
        </w:rPr>
        <w:t xml:space="preserve"> relocalisation de l’évènement</w:t>
      </w:r>
      <w:r w:rsidR="00006A9E">
        <w:rPr>
          <w:lang w:eastAsia="fr-CA"/>
        </w:rPr>
        <w:t xml:space="preserve"> et en </w:t>
      </w:r>
      <w:r>
        <w:rPr>
          <w:lang w:eastAsia="fr-CA"/>
        </w:rPr>
        <w:t xml:space="preserve">affirmant haut et fort que si la situation se reproduisait, </w:t>
      </w:r>
      <w:r>
        <w:t>elle prendrait sans hésit</w:t>
      </w:r>
      <w:r w:rsidR="00406EFC">
        <w:t>er</w:t>
      </w:r>
      <w:r>
        <w:t xml:space="preserve"> la même décision.</w:t>
      </w:r>
    </w:p>
    <w:p w14:paraId="7F9638AC" w14:textId="3123113D" w:rsidR="004B0C82" w:rsidRDefault="004B0C82" w:rsidP="00E12C7A">
      <w:pPr>
        <w:pStyle w:val="Paragraphe"/>
        <w:spacing w:line="240" w:lineRule="auto"/>
      </w:pPr>
      <w:r>
        <w:t>L</w:t>
      </w:r>
      <w:r w:rsidR="0008343E">
        <w:t>a</w:t>
      </w:r>
      <w:r>
        <w:t xml:space="preserve"> </w:t>
      </w:r>
      <w:r w:rsidR="004D1A05">
        <w:t xml:space="preserve">défenderesse </w:t>
      </w:r>
      <w:r>
        <w:t xml:space="preserve">savait ou ne pouvait ignorer les conséquences </w:t>
      </w:r>
      <w:r w:rsidR="001B6226">
        <w:t xml:space="preserve">graves et </w:t>
      </w:r>
      <w:r w:rsidR="0008343E">
        <w:t xml:space="preserve">importantes </w:t>
      </w:r>
      <w:r>
        <w:t>de la décision de résilier</w:t>
      </w:r>
      <w:r w:rsidR="001B6226">
        <w:t xml:space="preserve">, à la dernière minute, </w:t>
      </w:r>
      <w:r>
        <w:t>l’entente</w:t>
      </w:r>
      <w:r w:rsidR="001B6226">
        <w:t xml:space="preserve"> </w:t>
      </w:r>
      <w:r>
        <w:t>de location</w:t>
      </w:r>
      <w:r w:rsidR="001B6226">
        <w:t xml:space="preserve"> pour la demanderesse</w:t>
      </w:r>
      <w:r w:rsidR="00BE010A">
        <w:t xml:space="preserve"> et que celle-ci constituait une entrave importante à sa liberté d’expression.</w:t>
      </w:r>
    </w:p>
    <w:p w14:paraId="4D3DD2B5" w14:textId="4CF28355" w:rsidR="00171864" w:rsidRPr="00451034" w:rsidRDefault="001B6226" w:rsidP="000D32FC">
      <w:pPr>
        <w:pStyle w:val="Paragraphe"/>
        <w:spacing w:line="240" w:lineRule="auto"/>
        <w:rPr>
          <w:rFonts w:cs="Arial"/>
          <w:b/>
          <w:bCs/>
          <w:color w:val="000000"/>
          <w:szCs w:val="24"/>
          <w:lang w:eastAsia="fr-CA"/>
        </w:rPr>
      </w:pPr>
      <w:r>
        <w:t>Prenant en considération l’atteinte à la liberté d’expression de la demanderesse,</w:t>
      </w:r>
      <w:r w:rsidR="004D1A05">
        <w:t xml:space="preserve"> le caractère arbitraire de la décision,</w:t>
      </w:r>
      <w:r>
        <w:t xml:space="preserve"> la gravité de la faute, </w:t>
      </w:r>
      <w:r w:rsidR="00E12C7A">
        <w:t>l’octroi de dommages compensatoires</w:t>
      </w:r>
      <w:r w:rsidR="0008343E">
        <w:t xml:space="preserve"> </w:t>
      </w:r>
      <w:r w:rsidR="004D1A05">
        <w:t xml:space="preserve">en lien avec la résiliation fautive de l’entente </w:t>
      </w:r>
      <w:r w:rsidR="0008343E">
        <w:t xml:space="preserve">et </w:t>
      </w:r>
      <w:r w:rsidR="00E12C7A">
        <w:t>l</w:t>
      </w:r>
      <w:r>
        <w:t xml:space="preserve">es </w:t>
      </w:r>
      <w:r w:rsidR="00E12C7A">
        <w:t>fonction</w:t>
      </w:r>
      <w:r>
        <w:t>s préventive</w:t>
      </w:r>
      <w:r w:rsidR="00767F98">
        <w:t>s</w:t>
      </w:r>
      <w:r w:rsidR="00E12C7A">
        <w:t xml:space="preserve"> dissuasive</w:t>
      </w:r>
      <w:r w:rsidR="00767F98">
        <w:t>s</w:t>
      </w:r>
      <w:r w:rsidR="00E12C7A">
        <w:t xml:space="preserve"> </w:t>
      </w:r>
      <w:r w:rsidR="0008343E">
        <w:t xml:space="preserve">des dommages punitifs, le Tribunal condamne </w:t>
      </w:r>
      <w:r w:rsidR="00006A9E">
        <w:t xml:space="preserve">la ministre Proulx </w:t>
      </w:r>
      <w:r w:rsidR="0008343E">
        <w:t xml:space="preserve">à verser à la demanderesse </w:t>
      </w:r>
      <w:r w:rsidR="00006A9E">
        <w:t xml:space="preserve">un montant de </w:t>
      </w:r>
      <w:r w:rsidR="00451034">
        <w:t>3</w:t>
      </w:r>
      <w:r w:rsidR="004D1A05">
        <w:t>0</w:t>
      </w:r>
      <w:r w:rsidR="0008343E">
        <w:t> 000 $</w:t>
      </w:r>
      <w:r w:rsidR="00006A9E">
        <w:t xml:space="preserve"> à titre de dommages punitifs.</w:t>
      </w:r>
    </w:p>
    <w:p w14:paraId="750538EA" w14:textId="7D024080" w:rsidR="00451034" w:rsidRPr="00171864" w:rsidRDefault="00451034" w:rsidP="00332A38">
      <w:pPr>
        <w:pStyle w:val="Paragraphe"/>
        <w:spacing w:before="240" w:after="240" w:line="240" w:lineRule="auto"/>
        <w:rPr>
          <w:rFonts w:cs="Arial"/>
          <w:b/>
          <w:bCs/>
          <w:color w:val="000000"/>
          <w:szCs w:val="24"/>
          <w:lang w:eastAsia="fr-CA"/>
        </w:rPr>
      </w:pPr>
      <w:r>
        <w:t>Il s’agit d’une condamnation convenable et juste dans les circonstances.</w:t>
      </w:r>
    </w:p>
    <w:p w14:paraId="46419B3A" w14:textId="18714A58" w:rsidR="00D772CE" w:rsidRPr="00171864" w:rsidRDefault="00D772CE" w:rsidP="00332A38">
      <w:pPr>
        <w:pStyle w:val="Paragraphe"/>
        <w:numPr>
          <w:ilvl w:val="0"/>
          <w:numId w:val="0"/>
        </w:numPr>
        <w:spacing w:before="240" w:after="240" w:line="240" w:lineRule="auto"/>
        <w:rPr>
          <w:rFonts w:cs="Arial"/>
          <w:b/>
          <w:bCs/>
          <w:color w:val="000000"/>
          <w:szCs w:val="24"/>
          <w:lang w:eastAsia="fr-CA"/>
        </w:rPr>
      </w:pPr>
      <w:r w:rsidRPr="00171864">
        <w:rPr>
          <w:rFonts w:cs="Arial"/>
          <w:b/>
          <w:bCs/>
          <w:color w:val="000000"/>
          <w:szCs w:val="24"/>
          <w:lang w:eastAsia="fr-CA"/>
        </w:rPr>
        <w:t>POUR CES MOTIFS, LE TRIBUNAL :</w:t>
      </w:r>
    </w:p>
    <w:p w14:paraId="10740AE9" w14:textId="76477301" w:rsidR="003A0591" w:rsidRPr="003A0591" w:rsidRDefault="003A0591" w:rsidP="00332A38">
      <w:pPr>
        <w:pStyle w:val="Paragraphe"/>
        <w:spacing w:before="240" w:after="240" w:line="240" w:lineRule="auto"/>
        <w:rPr>
          <w:i/>
          <w:iCs/>
        </w:rPr>
      </w:pPr>
      <w:r w:rsidRPr="00F07159">
        <w:rPr>
          <w:b/>
          <w:bCs/>
          <w:lang w:eastAsia="fr-CA"/>
        </w:rPr>
        <w:t>ACCUEILLE</w:t>
      </w:r>
      <w:r>
        <w:rPr>
          <w:lang w:eastAsia="fr-CA"/>
        </w:rPr>
        <w:t xml:space="preserve"> </w:t>
      </w:r>
      <w:r w:rsidR="00451034">
        <w:rPr>
          <w:lang w:eastAsia="fr-CA"/>
        </w:rPr>
        <w:t xml:space="preserve">partiellement </w:t>
      </w:r>
      <w:r>
        <w:rPr>
          <w:lang w:eastAsia="fr-CA"/>
        </w:rPr>
        <w:t>la demande introductive d’instance de la demanderesse;</w:t>
      </w:r>
    </w:p>
    <w:p w14:paraId="52F107BF" w14:textId="77777777" w:rsidR="00BD3B2F" w:rsidRPr="00BD3B2F" w:rsidRDefault="003A0591" w:rsidP="00697E27">
      <w:pPr>
        <w:pStyle w:val="Paragraphe"/>
        <w:spacing w:line="240" w:lineRule="auto"/>
        <w:rPr>
          <w:i/>
          <w:iCs/>
        </w:rPr>
      </w:pPr>
      <w:r w:rsidRPr="002D3B04">
        <w:rPr>
          <w:b/>
          <w:bCs/>
          <w:lang w:eastAsia="fr-CA"/>
        </w:rPr>
        <w:t>CONDAMNE</w:t>
      </w:r>
      <w:r>
        <w:rPr>
          <w:lang w:eastAsia="fr-CA"/>
        </w:rPr>
        <w:t xml:space="preserve"> les défende</w:t>
      </w:r>
      <w:r w:rsidR="006F6080">
        <w:rPr>
          <w:lang w:eastAsia="fr-CA"/>
        </w:rPr>
        <w:t>u</w:t>
      </w:r>
      <w:r>
        <w:rPr>
          <w:lang w:eastAsia="fr-CA"/>
        </w:rPr>
        <w:t xml:space="preserve">rs </w:t>
      </w:r>
      <w:r w:rsidR="00601A86">
        <w:rPr>
          <w:lang w:eastAsia="fr-CA"/>
        </w:rPr>
        <w:t>h</w:t>
      </w:r>
      <w:r>
        <w:rPr>
          <w:lang w:eastAsia="fr-CA"/>
        </w:rPr>
        <w:t>onorable Caroline Proulx</w:t>
      </w:r>
      <w:r w:rsidR="00601A86">
        <w:rPr>
          <w:lang w:eastAsia="fr-CA"/>
        </w:rPr>
        <w:t>,</w:t>
      </w:r>
      <w:r>
        <w:rPr>
          <w:lang w:eastAsia="fr-CA"/>
        </w:rPr>
        <w:t xml:space="preserve"> ministre du Tourisme, Société du Centre des congrès de Québec et le Procureur général du Québec </w:t>
      </w:r>
      <w:r w:rsidRPr="002D3B04">
        <w:rPr>
          <w:i/>
          <w:iCs/>
          <w:lang w:eastAsia="fr-CA"/>
        </w:rPr>
        <w:t>in solidum</w:t>
      </w:r>
      <w:r>
        <w:rPr>
          <w:lang w:eastAsia="fr-CA"/>
        </w:rPr>
        <w:t xml:space="preserve"> à payer à la demanderesse la somme de </w:t>
      </w:r>
      <w:r>
        <w:t xml:space="preserve">30 636,92 $ avec intérêt légal et l’indemnité additionnelle prévue à l’article 1619 du </w:t>
      </w:r>
      <w:r w:rsidRPr="002D3B04">
        <w:rPr>
          <w:i/>
          <w:iCs/>
        </w:rPr>
        <w:t>Code civil du Québec</w:t>
      </w:r>
      <w:r>
        <w:t xml:space="preserve"> à compter de l’assignation;</w:t>
      </w:r>
    </w:p>
    <w:p w14:paraId="080FB7EF" w14:textId="7E5661C0" w:rsidR="003A0591" w:rsidRPr="002D3B04" w:rsidRDefault="002D3B04" w:rsidP="00BD3B2F">
      <w:pPr>
        <w:pStyle w:val="Paragraphe"/>
        <w:numPr>
          <w:ilvl w:val="0"/>
          <w:numId w:val="0"/>
        </w:numPr>
        <w:spacing w:line="240" w:lineRule="auto"/>
        <w:rPr>
          <w:i/>
          <w:iCs/>
        </w:rPr>
      </w:pPr>
      <w:r w:rsidRPr="002D3B04">
        <w:rPr>
          <w:b/>
          <w:bCs/>
        </w:rPr>
        <w:t>E</w:t>
      </w:r>
      <w:r w:rsidR="003A0591" w:rsidRPr="002D3B04">
        <w:rPr>
          <w:b/>
          <w:bCs/>
        </w:rPr>
        <w:t>t pour valoir entre les défende</w:t>
      </w:r>
      <w:r w:rsidR="006F6080" w:rsidRPr="002D3B04">
        <w:rPr>
          <w:b/>
          <w:bCs/>
        </w:rPr>
        <w:t>u</w:t>
      </w:r>
      <w:r w:rsidR="003A0591" w:rsidRPr="002D3B04">
        <w:rPr>
          <w:b/>
          <w:bCs/>
        </w:rPr>
        <w:t>rs seulement :</w:t>
      </w:r>
    </w:p>
    <w:p w14:paraId="4ECFF04C" w14:textId="0D874570" w:rsidR="003A0591" w:rsidRPr="003A0591" w:rsidRDefault="003A0591" w:rsidP="003A0591">
      <w:pPr>
        <w:pStyle w:val="Paragraphe"/>
        <w:spacing w:line="240" w:lineRule="auto"/>
        <w:rPr>
          <w:i/>
          <w:iCs/>
        </w:rPr>
      </w:pPr>
      <w:r w:rsidRPr="004B5144">
        <w:rPr>
          <w:b/>
          <w:bCs/>
        </w:rPr>
        <w:t>DÉTERMINE</w:t>
      </w:r>
      <w:r>
        <w:t xml:space="preserve"> que la défenderesse </w:t>
      </w:r>
      <w:r w:rsidR="00601A86">
        <w:t>h</w:t>
      </w:r>
      <w:r>
        <w:t>onorable Caroline Proulx, ministre du Tourisme (Procureur général du Québec) assume 100 % de la condamnation précitée;</w:t>
      </w:r>
    </w:p>
    <w:p w14:paraId="0AA916F4" w14:textId="4EE9C3D3" w:rsidR="003A0591" w:rsidRPr="003A0591" w:rsidRDefault="003A0591" w:rsidP="003A0591">
      <w:pPr>
        <w:pStyle w:val="Paragraphe"/>
        <w:spacing w:line="240" w:lineRule="auto"/>
        <w:rPr>
          <w:i/>
          <w:iCs/>
        </w:rPr>
      </w:pPr>
      <w:r w:rsidRPr="004B5144">
        <w:rPr>
          <w:b/>
          <w:bCs/>
        </w:rPr>
        <w:t>CONDAMNE</w:t>
      </w:r>
      <w:r>
        <w:t xml:space="preserve"> la défenderesse </w:t>
      </w:r>
      <w:r w:rsidR="00601A86">
        <w:t>h</w:t>
      </w:r>
      <w:r>
        <w:t>onorable Caroline Proulx, ministre du Tourisme (Procureur général du Québec) à payer à la demanderesse un montant de 30 000 $ à titre de dommages punitifs;</w:t>
      </w:r>
    </w:p>
    <w:p w14:paraId="633478C4" w14:textId="5FB14EE5" w:rsidR="003A0591" w:rsidRPr="009919C0" w:rsidRDefault="003A0591" w:rsidP="003A0591">
      <w:pPr>
        <w:pStyle w:val="Paragraphe"/>
        <w:spacing w:line="240" w:lineRule="auto"/>
        <w:rPr>
          <w:i/>
          <w:iCs/>
        </w:rPr>
      </w:pPr>
      <w:r w:rsidRPr="004B5144">
        <w:rPr>
          <w:b/>
          <w:bCs/>
        </w:rPr>
        <w:t xml:space="preserve">AVEC </w:t>
      </w:r>
      <w:r w:rsidRPr="005F699B">
        <w:t>les frais de justice.</w:t>
      </w:r>
    </w:p>
    <w:tbl>
      <w:tblPr>
        <w:tblW w:w="9505" w:type="dxa"/>
        <w:tblLayout w:type="fixed"/>
        <w:tblCellMar>
          <w:left w:w="70" w:type="dxa"/>
          <w:right w:w="70" w:type="dxa"/>
        </w:tblCellMar>
        <w:tblLook w:val="0000" w:firstRow="0" w:lastRow="0" w:firstColumn="0" w:lastColumn="0" w:noHBand="0" w:noVBand="0"/>
      </w:tblPr>
      <w:tblGrid>
        <w:gridCol w:w="2410"/>
        <w:gridCol w:w="2457"/>
        <w:gridCol w:w="4638"/>
      </w:tblGrid>
      <w:tr w:rsidR="006D491C" w14:paraId="695E7FD5" w14:textId="77777777" w:rsidTr="00CC5E20">
        <w:trPr>
          <w:trHeight w:val="576"/>
        </w:trPr>
        <w:tc>
          <w:tcPr>
            <w:tcW w:w="9505" w:type="dxa"/>
            <w:gridSpan w:val="3"/>
          </w:tcPr>
          <w:p w14:paraId="519201DE" w14:textId="03C3141D" w:rsidR="006D491C" w:rsidRDefault="00C54F32">
            <w:pPr>
              <w:keepNext/>
              <w:keepLines/>
            </w:pPr>
            <w:r>
              <w:rPr>
                <w:lang w:eastAsia="fr-CA"/>
              </w:rPr>
              <w:t xml:space="preserve">  </w:t>
            </w:r>
          </w:p>
        </w:tc>
      </w:tr>
      <w:tr w:rsidR="006D491C" w:rsidRPr="00EA248A" w14:paraId="10B73627" w14:textId="77777777" w:rsidTr="00CC5E20">
        <w:tblPrEx>
          <w:tblCellMar>
            <w:left w:w="0" w:type="dxa"/>
            <w:right w:w="0" w:type="dxa"/>
          </w:tblCellMar>
        </w:tblPrEx>
        <w:trPr>
          <w:cantSplit/>
        </w:trPr>
        <w:tc>
          <w:tcPr>
            <w:tcW w:w="4867" w:type="dxa"/>
            <w:gridSpan w:val="2"/>
          </w:tcPr>
          <w:p w14:paraId="695AF494" w14:textId="77777777" w:rsidR="006D491C" w:rsidRDefault="006D491C"/>
        </w:tc>
        <w:tc>
          <w:tcPr>
            <w:tcW w:w="4638" w:type="dxa"/>
          </w:tcPr>
          <w:p w14:paraId="6165C8AD" w14:textId="77777777" w:rsidR="006D491C" w:rsidRPr="00940769" w:rsidRDefault="006D491C">
            <w:pPr>
              <w:pStyle w:val="zSoquijdatSignature3Juge"/>
              <w:rPr>
                <w:lang w:val="en-CA"/>
              </w:rPr>
            </w:pPr>
            <w:r w:rsidRPr="00940769">
              <w:rPr>
                <w:lang w:val="en-CA"/>
              </w:rPr>
              <w:t>__________________________________</w:t>
            </w:r>
          </w:p>
          <w:p w14:paraId="18D078CE" w14:textId="6D0A20DA" w:rsidR="006D491C" w:rsidRPr="008A533B" w:rsidRDefault="008A533B">
            <w:pPr>
              <w:pStyle w:val="zSoquijdatSignature3Juge"/>
              <w:rPr>
                <w:lang w:val="en-CA"/>
              </w:rPr>
            </w:pPr>
            <w:r w:rsidRPr="008A533B">
              <w:rPr>
                <w:lang w:val="en-CA"/>
              </w:rPr>
              <w:t xml:space="preserve">ALAIN TRUDEL, </w:t>
            </w:r>
            <w:r w:rsidR="00940769" w:rsidRPr="008A533B">
              <w:rPr>
                <w:lang w:val="en-CA"/>
              </w:rPr>
              <w:t>J.C.S</w:t>
            </w:r>
            <w:r w:rsidR="00940769">
              <w:rPr>
                <w:lang w:val="en-CA"/>
              </w:rPr>
              <w:t>.</w:t>
            </w:r>
          </w:p>
        </w:tc>
      </w:tr>
      <w:tr w:rsidR="00171864" w:rsidRPr="00EA248A" w14:paraId="70BBB9FB" w14:textId="77777777" w:rsidTr="00CC5E20">
        <w:tblPrEx>
          <w:tblCellMar>
            <w:left w:w="0" w:type="dxa"/>
            <w:right w:w="0" w:type="dxa"/>
          </w:tblCellMar>
        </w:tblPrEx>
        <w:trPr>
          <w:cantSplit/>
        </w:trPr>
        <w:tc>
          <w:tcPr>
            <w:tcW w:w="4867" w:type="dxa"/>
            <w:gridSpan w:val="2"/>
          </w:tcPr>
          <w:p w14:paraId="775C9AB7" w14:textId="77777777" w:rsidR="00171864" w:rsidRPr="00492160" w:rsidRDefault="00171864">
            <w:pPr>
              <w:rPr>
                <w:lang w:val="en-CA"/>
              </w:rPr>
            </w:pPr>
          </w:p>
        </w:tc>
        <w:tc>
          <w:tcPr>
            <w:tcW w:w="4638" w:type="dxa"/>
          </w:tcPr>
          <w:p w14:paraId="36A84715" w14:textId="77777777" w:rsidR="00171864" w:rsidRPr="00940769" w:rsidRDefault="00171864">
            <w:pPr>
              <w:pStyle w:val="zSoquijdatSignature3Juge"/>
              <w:rPr>
                <w:lang w:val="en-CA"/>
              </w:rPr>
            </w:pPr>
          </w:p>
        </w:tc>
      </w:tr>
      <w:tr w:rsidR="00940769" w14:paraId="0128F651" w14:textId="77777777" w:rsidTr="00CC5E20">
        <w:trPr>
          <w:cantSplit/>
        </w:trPr>
        <w:tc>
          <w:tcPr>
            <w:tcW w:w="9505" w:type="dxa"/>
            <w:gridSpan w:val="3"/>
          </w:tcPr>
          <w:p w14:paraId="6BD90F33" w14:textId="0D1B668B" w:rsidR="00940769" w:rsidRDefault="001456A9" w:rsidP="00940769">
            <w:pPr>
              <w:pStyle w:val="zSoquijdatNomProcureurDem"/>
            </w:pPr>
            <w:r>
              <w:rPr>
                <w:bCs/>
              </w:rPr>
              <w:t>Me Olivier Séguin</w:t>
            </w:r>
          </w:p>
        </w:tc>
      </w:tr>
      <w:tr w:rsidR="00940769" w14:paraId="5278A255" w14:textId="77777777" w:rsidTr="00CC5E20">
        <w:trPr>
          <w:cantSplit/>
        </w:trPr>
        <w:tc>
          <w:tcPr>
            <w:tcW w:w="9505" w:type="dxa"/>
            <w:gridSpan w:val="3"/>
          </w:tcPr>
          <w:p w14:paraId="1B7E2C5D" w14:textId="05AECBAE" w:rsidR="00940769" w:rsidRPr="001456A9" w:rsidRDefault="001456A9" w:rsidP="00940769">
            <w:pPr>
              <w:pStyle w:val="zSoquijdatCabinetProcureurDem"/>
              <w:rPr>
                <w:smallCaps/>
              </w:rPr>
            </w:pPr>
            <w:r>
              <w:rPr>
                <w:bCs/>
                <w:smallCaps/>
              </w:rPr>
              <w:t>olivier séguin, avocat</w:t>
            </w:r>
          </w:p>
        </w:tc>
      </w:tr>
      <w:tr w:rsidR="00940769" w14:paraId="711B412E" w14:textId="77777777" w:rsidTr="00CC5E20">
        <w:trPr>
          <w:cantSplit/>
        </w:trPr>
        <w:tc>
          <w:tcPr>
            <w:tcW w:w="9505" w:type="dxa"/>
            <w:gridSpan w:val="3"/>
          </w:tcPr>
          <w:p w14:paraId="78F88535" w14:textId="664B4F5A" w:rsidR="00940769" w:rsidRDefault="001456A9" w:rsidP="00940769">
            <w:pPr>
              <w:pStyle w:val="zSoquijlblProcureurDem"/>
            </w:pPr>
            <w:r>
              <w:rPr>
                <w:bCs/>
              </w:rPr>
              <w:t>Avocats de Harvest Ministries International</w:t>
            </w:r>
          </w:p>
        </w:tc>
      </w:tr>
      <w:tr w:rsidR="00940769" w14:paraId="4FEFD369" w14:textId="77777777" w:rsidTr="00CC5E20">
        <w:trPr>
          <w:cantSplit/>
        </w:trPr>
        <w:tc>
          <w:tcPr>
            <w:tcW w:w="9505" w:type="dxa"/>
            <w:gridSpan w:val="3"/>
          </w:tcPr>
          <w:p w14:paraId="3DA07686" w14:textId="77777777" w:rsidR="00940769" w:rsidRDefault="00940769" w:rsidP="00940769"/>
        </w:tc>
      </w:tr>
      <w:tr w:rsidR="001456A9" w:rsidRPr="001456A9" w14:paraId="5CD68632" w14:textId="77777777" w:rsidTr="00CC5E20">
        <w:trPr>
          <w:cantSplit/>
        </w:trPr>
        <w:tc>
          <w:tcPr>
            <w:tcW w:w="9505" w:type="dxa"/>
            <w:gridSpan w:val="3"/>
          </w:tcPr>
          <w:p w14:paraId="5D0ABA5B" w14:textId="77777777" w:rsidR="00E33DAF" w:rsidRDefault="00E33DAF" w:rsidP="00940769">
            <w:pPr>
              <w:pStyle w:val="zSoquijlblProcureurDef"/>
              <w:rPr>
                <w:bCs/>
                <w:lang w:val="en-CA"/>
              </w:rPr>
            </w:pPr>
          </w:p>
          <w:p w14:paraId="2397E0D6" w14:textId="77777777" w:rsidR="00E33DAF" w:rsidRDefault="00E33DAF" w:rsidP="00940769">
            <w:pPr>
              <w:pStyle w:val="zSoquijlblProcureurDef"/>
              <w:rPr>
                <w:bCs/>
                <w:lang w:val="en-CA"/>
              </w:rPr>
            </w:pPr>
          </w:p>
          <w:p w14:paraId="4EC453FA" w14:textId="7F9C2081" w:rsidR="001456A9" w:rsidRPr="001456A9" w:rsidRDefault="003C601C" w:rsidP="00940769">
            <w:pPr>
              <w:pStyle w:val="zSoquijlblProcureurDef"/>
              <w:rPr>
                <w:bCs/>
                <w:lang w:val="en-CA"/>
              </w:rPr>
            </w:pPr>
            <w:r>
              <w:rPr>
                <w:bCs/>
                <w:lang w:val="en-CA"/>
              </w:rPr>
              <w:t>Me Andréanne Daoust</w:t>
            </w:r>
          </w:p>
        </w:tc>
      </w:tr>
      <w:tr w:rsidR="001456A9" w:rsidRPr="003C601C" w14:paraId="633CED7A" w14:textId="77777777" w:rsidTr="00CC5E20">
        <w:trPr>
          <w:cantSplit/>
        </w:trPr>
        <w:tc>
          <w:tcPr>
            <w:tcW w:w="9505" w:type="dxa"/>
            <w:gridSpan w:val="3"/>
          </w:tcPr>
          <w:p w14:paraId="595D16B4" w14:textId="719A9019" w:rsidR="001456A9" w:rsidRPr="003C601C" w:rsidRDefault="003C601C" w:rsidP="00940769">
            <w:pPr>
              <w:pStyle w:val="zSoquijlblProcureurDef"/>
              <w:rPr>
                <w:bCs/>
                <w:smallCaps/>
              </w:rPr>
            </w:pPr>
            <w:r w:rsidRPr="003C601C">
              <w:rPr>
                <w:bCs/>
                <w:smallCaps/>
              </w:rPr>
              <w:t>cain lamarre, s.e.n</w:t>
            </w:r>
            <w:r>
              <w:rPr>
                <w:bCs/>
                <w:smallCaps/>
              </w:rPr>
              <w:t>.c.r.l.</w:t>
            </w:r>
          </w:p>
        </w:tc>
      </w:tr>
      <w:tr w:rsidR="001456A9" w:rsidRPr="003C601C" w14:paraId="05028EEB" w14:textId="77777777" w:rsidTr="00CC5E20">
        <w:trPr>
          <w:cantSplit/>
        </w:trPr>
        <w:tc>
          <w:tcPr>
            <w:tcW w:w="9505" w:type="dxa"/>
            <w:gridSpan w:val="3"/>
          </w:tcPr>
          <w:p w14:paraId="193AEF7F" w14:textId="7292AF93" w:rsidR="001456A9" w:rsidRPr="003C601C" w:rsidRDefault="003C601C" w:rsidP="00940769">
            <w:pPr>
              <w:pStyle w:val="zSoquijlblProcureurDef"/>
              <w:rPr>
                <w:bCs/>
              </w:rPr>
            </w:pPr>
            <w:r>
              <w:rPr>
                <w:bCs/>
              </w:rPr>
              <w:t>Avocats de Société du Centre des congrès de Québec</w:t>
            </w:r>
          </w:p>
        </w:tc>
      </w:tr>
      <w:tr w:rsidR="006D491C" w:rsidRPr="003C601C" w14:paraId="7F0A3177" w14:textId="77777777" w:rsidTr="00CC5E20">
        <w:tc>
          <w:tcPr>
            <w:tcW w:w="9505" w:type="dxa"/>
            <w:gridSpan w:val="3"/>
          </w:tcPr>
          <w:p w14:paraId="71DB243D" w14:textId="1CB58011" w:rsidR="006D491C" w:rsidRPr="003C601C" w:rsidRDefault="003C601C">
            <w:r>
              <w:t xml:space="preserve"> </w:t>
            </w:r>
          </w:p>
        </w:tc>
      </w:tr>
      <w:tr w:rsidR="003C601C" w:rsidRPr="003C601C" w14:paraId="4357DC91" w14:textId="77777777" w:rsidTr="00CC5E20">
        <w:tc>
          <w:tcPr>
            <w:tcW w:w="9505" w:type="dxa"/>
            <w:gridSpan w:val="3"/>
          </w:tcPr>
          <w:p w14:paraId="2A7E1E29" w14:textId="255BA26B" w:rsidR="003C601C" w:rsidRPr="003C601C" w:rsidRDefault="003C601C">
            <w:r>
              <w:t xml:space="preserve">Me </w:t>
            </w:r>
            <w:r w:rsidR="00977525">
              <w:t>Alexandre Ouellet</w:t>
            </w:r>
            <w:r>
              <w:t xml:space="preserve"> / Me Mélanie Pouliot</w:t>
            </w:r>
          </w:p>
        </w:tc>
      </w:tr>
      <w:tr w:rsidR="003C601C" w:rsidRPr="003C601C" w14:paraId="386262C0" w14:textId="77777777" w:rsidTr="00CC5E20">
        <w:tc>
          <w:tcPr>
            <w:tcW w:w="9505" w:type="dxa"/>
            <w:gridSpan w:val="3"/>
          </w:tcPr>
          <w:p w14:paraId="39060E61" w14:textId="39E283B7" w:rsidR="003C601C" w:rsidRPr="003C601C" w:rsidRDefault="003C601C">
            <w:pPr>
              <w:rPr>
                <w:smallCaps/>
              </w:rPr>
            </w:pPr>
            <w:r>
              <w:rPr>
                <w:smallCaps/>
              </w:rPr>
              <w:t>lavoie, rousseau (justice-québec)</w:t>
            </w:r>
          </w:p>
        </w:tc>
      </w:tr>
      <w:tr w:rsidR="003C601C" w:rsidRPr="003C601C" w14:paraId="54471CED" w14:textId="77777777" w:rsidTr="00CC5E20">
        <w:tc>
          <w:tcPr>
            <w:tcW w:w="9505" w:type="dxa"/>
            <w:gridSpan w:val="3"/>
          </w:tcPr>
          <w:p w14:paraId="720C1323" w14:textId="7DE350A8" w:rsidR="003C601C" w:rsidRPr="003C601C" w:rsidRDefault="003C601C">
            <w:r>
              <w:t>Avocats d</w:t>
            </w:r>
            <w:r w:rsidR="000D4D4A">
              <w:t>e Hon. Caroline Proulx et</w:t>
            </w:r>
            <w:r>
              <w:t xml:space="preserve"> Procureur général du Québec</w:t>
            </w:r>
          </w:p>
        </w:tc>
      </w:tr>
      <w:tr w:rsidR="000D4D4A" w:rsidRPr="003C601C" w14:paraId="6F314717" w14:textId="77777777" w:rsidTr="00CC5E20">
        <w:tc>
          <w:tcPr>
            <w:tcW w:w="9505" w:type="dxa"/>
            <w:gridSpan w:val="3"/>
          </w:tcPr>
          <w:p w14:paraId="3549E70A" w14:textId="77777777" w:rsidR="000D4D4A" w:rsidRDefault="000D4D4A"/>
        </w:tc>
      </w:tr>
      <w:tr w:rsidR="000D4D4A" w:rsidRPr="003C601C" w14:paraId="6F6971BC" w14:textId="77777777" w:rsidTr="00CC5E20">
        <w:tc>
          <w:tcPr>
            <w:tcW w:w="9505" w:type="dxa"/>
            <w:gridSpan w:val="3"/>
          </w:tcPr>
          <w:p w14:paraId="664E92FA" w14:textId="133700D6" w:rsidR="000D4D4A" w:rsidRDefault="000D4D4A">
            <w:r>
              <w:t>Me Robert E. Reynolds</w:t>
            </w:r>
          </w:p>
        </w:tc>
      </w:tr>
      <w:tr w:rsidR="000D4D4A" w:rsidRPr="003C601C" w14:paraId="37FDB321" w14:textId="77777777" w:rsidTr="00CC5E20">
        <w:tc>
          <w:tcPr>
            <w:tcW w:w="9505" w:type="dxa"/>
            <w:gridSpan w:val="3"/>
          </w:tcPr>
          <w:p w14:paraId="1E582E87" w14:textId="58087CEC" w:rsidR="000D4D4A" w:rsidRDefault="000D4D4A">
            <w:r>
              <w:t>Avocat de L’Alliance Évangélique du Canada,</w:t>
            </w:r>
          </w:p>
        </w:tc>
      </w:tr>
      <w:tr w:rsidR="000D4D4A" w:rsidRPr="003C601C" w14:paraId="6C33D71C" w14:textId="77777777" w:rsidTr="00CC5E20">
        <w:tc>
          <w:tcPr>
            <w:tcW w:w="9505" w:type="dxa"/>
            <w:gridSpan w:val="3"/>
          </w:tcPr>
          <w:p w14:paraId="119069B4" w14:textId="08E0E16C" w:rsidR="000D4D4A" w:rsidRDefault="000D4D4A">
            <w:r>
              <w:t xml:space="preserve">Réseau Évangélique du Québec </w:t>
            </w:r>
          </w:p>
        </w:tc>
      </w:tr>
      <w:tr w:rsidR="003C601C" w:rsidRPr="003C601C" w14:paraId="5A897D4E" w14:textId="77777777" w:rsidTr="00CC5E20">
        <w:tc>
          <w:tcPr>
            <w:tcW w:w="9505" w:type="dxa"/>
            <w:gridSpan w:val="3"/>
          </w:tcPr>
          <w:p w14:paraId="33C2FDA5" w14:textId="36349D3D" w:rsidR="003C601C" w:rsidRPr="003C601C" w:rsidRDefault="000D4D4A">
            <w:r>
              <w:t>et le Canadian Centre for Christian Charities</w:t>
            </w:r>
          </w:p>
        </w:tc>
      </w:tr>
      <w:tr w:rsidR="000D4D4A" w:rsidRPr="003C601C" w14:paraId="157D45F1" w14:textId="77777777" w:rsidTr="00CC5E20">
        <w:tc>
          <w:tcPr>
            <w:tcW w:w="9505" w:type="dxa"/>
            <w:gridSpan w:val="3"/>
          </w:tcPr>
          <w:p w14:paraId="3BADCC24" w14:textId="77777777" w:rsidR="000D4D4A" w:rsidRPr="003C601C" w:rsidRDefault="000D4D4A"/>
        </w:tc>
      </w:tr>
      <w:tr w:rsidR="003C601C" w:rsidRPr="003C601C" w14:paraId="1B58862D" w14:textId="77777777" w:rsidTr="00CC5E20">
        <w:tc>
          <w:tcPr>
            <w:tcW w:w="9505" w:type="dxa"/>
            <w:gridSpan w:val="3"/>
          </w:tcPr>
          <w:p w14:paraId="75DF875A" w14:textId="1774DD2A" w:rsidR="003C601C" w:rsidRPr="003C601C" w:rsidRDefault="003C601C">
            <w:r>
              <w:rPr>
                <w:bCs/>
              </w:rPr>
              <w:t xml:space="preserve">Me Jacques S. Darche </w:t>
            </w:r>
          </w:p>
        </w:tc>
      </w:tr>
      <w:tr w:rsidR="003C601C" w:rsidRPr="00EA248A" w14:paraId="64ECB919" w14:textId="77777777" w:rsidTr="00CC5E20">
        <w:tc>
          <w:tcPr>
            <w:tcW w:w="9505" w:type="dxa"/>
            <w:gridSpan w:val="3"/>
          </w:tcPr>
          <w:p w14:paraId="26429F79" w14:textId="295CC738" w:rsidR="003C601C" w:rsidRPr="00670EA0" w:rsidRDefault="00670EA0">
            <w:pPr>
              <w:rPr>
                <w:lang w:val="en-CA"/>
              </w:rPr>
            </w:pPr>
            <w:r w:rsidRPr="00670EA0">
              <w:rPr>
                <w:bCs/>
                <w:smallCaps/>
                <w:lang w:val="en-CA"/>
              </w:rPr>
              <w:t>prelia cana</w:t>
            </w:r>
            <w:r>
              <w:rPr>
                <w:bCs/>
                <w:smallCaps/>
                <w:lang w:val="en-CA"/>
              </w:rPr>
              <w:t>da</w:t>
            </w:r>
            <w:r w:rsidR="003C601C" w:rsidRPr="00670EA0">
              <w:rPr>
                <w:bCs/>
                <w:smallCaps/>
                <w:lang w:val="en-CA"/>
              </w:rPr>
              <w:t xml:space="preserve"> s.e.n.c.r.l., s.r.l.</w:t>
            </w:r>
          </w:p>
        </w:tc>
      </w:tr>
      <w:tr w:rsidR="003C601C" w:rsidRPr="003C601C" w14:paraId="566E7DCD" w14:textId="77777777" w:rsidTr="00CC5E20">
        <w:tc>
          <w:tcPr>
            <w:tcW w:w="9505" w:type="dxa"/>
            <w:gridSpan w:val="3"/>
          </w:tcPr>
          <w:p w14:paraId="763B27B0" w14:textId="3551A44D" w:rsidR="003C601C" w:rsidRPr="003C601C" w:rsidRDefault="003C601C">
            <w:r w:rsidRPr="003C601C">
              <w:rPr>
                <w:bCs/>
              </w:rPr>
              <w:t>Avocats de Alliance des c</w:t>
            </w:r>
            <w:r>
              <w:rPr>
                <w:bCs/>
              </w:rPr>
              <w:t>hrétiens en droit</w:t>
            </w:r>
          </w:p>
        </w:tc>
      </w:tr>
      <w:tr w:rsidR="003C601C" w:rsidRPr="003C601C" w14:paraId="01E88A2D" w14:textId="77777777" w:rsidTr="00CC5E20">
        <w:tc>
          <w:tcPr>
            <w:tcW w:w="9505" w:type="dxa"/>
            <w:gridSpan w:val="3"/>
          </w:tcPr>
          <w:p w14:paraId="6EA66E76" w14:textId="77777777" w:rsidR="003C601C" w:rsidRPr="003C601C" w:rsidRDefault="003C601C"/>
        </w:tc>
      </w:tr>
      <w:tr w:rsidR="006D491C" w14:paraId="5CEC7486" w14:textId="77777777" w:rsidTr="000D4D4A">
        <w:tc>
          <w:tcPr>
            <w:tcW w:w="2410" w:type="dxa"/>
          </w:tcPr>
          <w:p w14:paraId="4518A56E" w14:textId="149A4973" w:rsidR="006D491C" w:rsidRDefault="006D491C">
            <w:pPr>
              <w:pStyle w:val="zSoquijlblDateAudience"/>
            </w:pPr>
            <w:r>
              <w:t>Date</w:t>
            </w:r>
            <w:r w:rsidR="000D4D4A">
              <w:t>s</w:t>
            </w:r>
            <w:r>
              <w:t xml:space="preserve"> d’audience :</w:t>
            </w:r>
          </w:p>
        </w:tc>
        <w:tc>
          <w:tcPr>
            <w:tcW w:w="7095" w:type="dxa"/>
            <w:gridSpan w:val="2"/>
          </w:tcPr>
          <w:p w14:paraId="5D8F48E5" w14:textId="0A1CC544" w:rsidR="006D491C" w:rsidRDefault="000D4D4A">
            <w:pPr>
              <w:pStyle w:val="zSoquijdatDateAudience"/>
            </w:pPr>
            <w:r>
              <w:rPr>
                <w:bCs/>
              </w:rPr>
              <w:t>23</w:t>
            </w:r>
            <w:r w:rsidR="00FC36A4">
              <w:rPr>
                <w:bCs/>
              </w:rPr>
              <w:t xml:space="preserve"> et </w:t>
            </w:r>
            <w:r>
              <w:rPr>
                <w:bCs/>
              </w:rPr>
              <w:t>24 février 2026</w:t>
            </w:r>
          </w:p>
        </w:tc>
      </w:tr>
    </w:tbl>
    <w:p w14:paraId="7046E86C" w14:textId="77777777" w:rsidR="009A59AA" w:rsidRDefault="009A59AA"/>
    <w:sectPr w:rsidR="009A59AA">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2242" w:h="15842" w:code="1"/>
      <w:pgMar w:top="1440" w:right="1008" w:bottom="1440" w:left="1872" w:header="1440" w:footer="79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D39F9" w14:textId="77777777" w:rsidR="00BD0F32" w:rsidRDefault="00BD0F32">
      <w:r>
        <w:separator/>
      </w:r>
    </w:p>
  </w:endnote>
  <w:endnote w:type="continuationSeparator" w:id="0">
    <w:p w14:paraId="77F3EBA9" w14:textId="77777777" w:rsidR="00BD0F32" w:rsidRDefault="00BD0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MT">
    <w:altName w:val="Arial"/>
    <w:panose1 w:val="00000000000000000000"/>
    <w:charset w:val="00"/>
    <w:family w:val="auto"/>
    <w:notTrueType/>
    <w:pitch w:val="default"/>
    <w:sig w:usb0="00000003" w:usb1="00000000" w:usb2="00000000" w:usb3="00000000" w:csb0="00000001" w:csb1="00000000"/>
  </w:font>
  <w:font w:name="TimesLT-Italic">
    <w:altName w:val="Times New Roman"/>
    <w:panose1 w:val="00000000000000000000"/>
    <w:charset w:val="00"/>
    <w:family w:val="roman"/>
    <w:notTrueType/>
    <w:pitch w:val="default"/>
    <w:sig w:usb0="00000003" w:usb1="00000000" w:usb2="00000000" w:usb3="00000000" w:csb0="00000001" w:csb1="00000000"/>
  </w:font>
  <w:font w:name="inherit">
    <w:altName w:val="Cambria"/>
    <w:panose1 w:val="00000000000000000000"/>
    <w:charset w:val="00"/>
    <w:family w:val="roman"/>
    <w:notTrueType/>
    <w:pitch w:val="default"/>
  </w:font>
  <w:font w:name="TimesLT-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1625E" w14:textId="77777777" w:rsidR="006D491C" w:rsidRDefault="006D491C">
    <w:pPr>
      <w:framePr w:wrap="around" w:vAnchor="text" w:hAnchor="margin" w:xAlign="right" w:y="1"/>
    </w:pPr>
    <w:r>
      <w:fldChar w:fldCharType="begin"/>
    </w:r>
    <w:r>
      <w:instrText xml:space="preserve">PAGE  </w:instrText>
    </w:r>
    <w:r>
      <w:fldChar w:fldCharType="end"/>
    </w:r>
  </w:p>
  <w:p w14:paraId="29E77349" w14:textId="77777777" w:rsidR="006D491C" w:rsidRDefault="006D491C">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FFB9A" w14:textId="77777777" w:rsidR="0097514A" w:rsidRDefault="0097514A">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D99F5" w14:textId="77777777" w:rsidR="0097514A" w:rsidRDefault="0097514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49D72" w14:textId="77777777" w:rsidR="00BD0F32" w:rsidRDefault="00BD0F32">
      <w:r>
        <w:separator/>
      </w:r>
    </w:p>
  </w:footnote>
  <w:footnote w:type="continuationSeparator" w:id="0">
    <w:p w14:paraId="4E6727BF" w14:textId="77777777" w:rsidR="00BD0F32" w:rsidRDefault="00BD0F32">
      <w:r>
        <w:continuationSeparator/>
      </w:r>
    </w:p>
  </w:footnote>
  <w:footnote w:id="1">
    <w:p w14:paraId="1957B68A" w14:textId="6EA7AFC8" w:rsidR="00194058" w:rsidRDefault="00194058">
      <w:pPr>
        <w:pStyle w:val="Notedebasdepage"/>
      </w:pPr>
      <w:r>
        <w:rPr>
          <w:rStyle w:val="Appelnotedebasdep"/>
        </w:rPr>
        <w:footnoteRef/>
      </w:r>
      <w:r>
        <w:t xml:space="preserve"> </w:t>
      </w:r>
      <w:r w:rsidR="006406C5">
        <w:tab/>
      </w:r>
      <w:r>
        <w:rPr>
          <w:rFonts w:cs="Arial"/>
        </w:rPr>
        <w:t>[</w:t>
      </w:r>
      <w:r>
        <w:t>SBC 2015</w:t>
      </w:r>
      <w:r>
        <w:rPr>
          <w:rFonts w:cs="Arial"/>
        </w:rPr>
        <w:t>]</w:t>
      </w:r>
      <w:r>
        <w:t>, chap. 18.</w:t>
      </w:r>
    </w:p>
  </w:footnote>
  <w:footnote w:id="2">
    <w:p w14:paraId="2787A690" w14:textId="320F833E" w:rsidR="00E629FF" w:rsidRDefault="00E629FF">
      <w:pPr>
        <w:pStyle w:val="Notedebasdepage"/>
      </w:pPr>
      <w:r>
        <w:rPr>
          <w:rStyle w:val="Appelnotedebasdep"/>
        </w:rPr>
        <w:footnoteRef/>
      </w:r>
      <w:r>
        <w:t xml:space="preserve"> </w:t>
      </w:r>
      <w:r w:rsidR="006406C5">
        <w:tab/>
      </w:r>
      <w:r>
        <w:t xml:space="preserve">Il s’agit d’une traduction libre des objectifs tirés des lettres patentes et documents corporatifs de l’organisation déposés en Pièce P-7. </w:t>
      </w:r>
    </w:p>
  </w:footnote>
  <w:footnote w:id="3">
    <w:p w14:paraId="408859FC" w14:textId="182AB778" w:rsidR="005E3BA2" w:rsidRDefault="005E3BA2">
      <w:pPr>
        <w:pStyle w:val="Notedebasdepage"/>
      </w:pPr>
      <w:r>
        <w:rPr>
          <w:rStyle w:val="Appelnotedebasdep"/>
        </w:rPr>
        <w:footnoteRef/>
      </w:r>
      <w:r>
        <w:t xml:space="preserve"> </w:t>
      </w:r>
      <w:r w:rsidR="006406C5">
        <w:tab/>
      </w:r>
      <w:r>
        <w:t>Voir Pièce P-1, « </w:t>
      </w:r>
      <w:r w:rsidRPr="005E3BA2">
        <w:rPr>
          <w:i/>
          <w:iCs/>
        </w:rPr>
        <w:t>Rental agreement – file 011470-01</w:t>
      </w:r>
      <w:r>
        <w:t> »</w:t>
      </w:r>
    </w:p>
  </w:footnote>
  <w:footnote w:id="4">
    <w:p w14:paraId="46BC13B0" w14:textId="39CD372F" w:rsidR="00481F1E" w:rsidRDefault="00481F1E">
      <w:pPr>
        <w:pStyle w:val="Notedebasdepage"/>
      </w:pPr>
      <w:r>
        <w:rPr>
          <w:rStyle w:val="Appelnotedebasdep"/>
        </w:rPr>
        <w:footnoteRef/>
      </w:r>
      <w:r>
        <w:t xml:space="preserve"> </w:t>
      </w:r>
      <w:r w:rsidR="006406C5">
        <w:tab/>
      </w:r>
      <w:r>
        <w:t>Voir Pièce P-8.</w:t>
      </w:r>
    </w:p>
  </w:footnote>
  <w:footnote w:id="5">
    <w:p w14:paraId="7DF05EEE" w14:textId="10CACF95" w:rsidR="00EA4F38" w:rsidRPr="00EA4F38" w:rsidRDefault="00EA4F38">
      <w:pPr>
        <w:pStyle w:val="Notedebasdepage"/>
      </w:pPr>
      <w:r>
        <w:rPr>
          <w:rStyle w:val="Appelnotedebasdep"/>
        </w:rPr>
        <w:footnoteRef/>
      </w:r>
      <w:r>
        <w:t xml:space="preserve"> </w:t>
      </w:r>
      <w:r w:rsidR="006406C5">
        <w:tab/>
      </w:r>
      <w:r>
        <w:t xml:space="preserve">Site web de la </w:t>
      </w:r>
      <w:r w:rsidRPr="00EA4F38">
        <w:rPr>
          <w:i/>
          <w:iCs/>
        </w:rPr>
        <w:t>Revival Reformation Alliance</w:t>
      </w:r>
      <w:r>
        <w:t xml:space="preserve">. </w:t>
      </w:r>
    </w:p>
  </w:footnote>
  <w:footnote w:id="6">
    <w:p w14:paraId="02A9FC69" w14:textId="4F8A41DF" w:rsidR="00E17695" w:rsidRDefault="00E17695">
      <w:pPr>
        <w:pStyle w:val="Notedebasdepage"/>
      </w:pPr>
      <w:r>
        <w:rPr>
          <w:rStyle w:val="Appelnotedebasdep"/>
        </w:rPr>
        <w:footnoteRef/>
      </w:r>
      <w:r>
        <w:t xml:space="preserve"> </w:t>
      </w:r>
      <w:r w:rsidR="006406C5">
        <w:tab/>
      </w:r>
      <w:r>
        <w:t>Pièce PGQ-2.</w:t>
      </w:r>
    </w:p>
  </w:footnote>
  <w:footnote w:id="7">
    <w:p w14:paraId="54AF82D6" w14:textId="060DF171" w:rsidR="00E17695" w:rsidRDefault="00E17695">
      <w:pPr>
        <w:pStyle w:val="Notedebasdepage"/>
      </w:pPr>
      <w:r>
        <w:rPr>
          <w:rStyle w:val="Appelnotedebasdep"/>
        </w:rPr>
        <w:footnoteRef/>
      </w:r>
      <w:r>
        <w:t xml:space="preserve"> </w:t>
      </w:r>
      <w:r w:rsidR="006406C5">
        <w:tab/>
      </w:r>
      <w:r>
        <w:t xml:space="preserve">La ministre du tourisme est également responsable </w:t>
      </w:r>
      <w:r w:rsidR="004B513D">
        <w:t>de la Société du palais des congrès de Montréal et de la Société du Parc Olympique</w:t>
      </w:r>
      <w:r w:rsidR="00257CA2">
        <w:t>.</w:t>
      </w:r>
      <w:r w:rsidR="004B513D">
        <w:t xml:space="preserve"> </w:t>
      </w:r>
    </w:p>
  </w:footnote>
  <w:footnote w:id="8">
    <w:p w14:paraId="4362FE93" w14:textId="5FF41EF7" w:rsidR="007F00CF" w:rsidRDefault="007F00CF">
      <w:pPr>
        <w:pStyle w:val="Notedebasdepage"/>
      </w:pPr>
      <w:r>
        <w:rPr>
          <w:rStyle w:val="Appelnotedebasdep"/>
        </w:rPr>
        <w:footnoteRef/>
      </w:r>
      <w:r>
        <w:t xml:space="preserve"> </w:t>
      </w:r>
      <w:r w:rsidR="006406C5">
        <w:tab/>
      </w:r>
      <w:r>
        <w:t>Pièce PGQ-3. La ministre témoigne que la page web consultée le 1</w:t>
      </w:r>
      <w:r w:rsidRPr="007F00CF">
        <w:rPr>
          <w:vertAlign w:val="superscript"/>
        </w:rPr>
        <w:t>er</w:t>
      </w:r>
      <w:r>
        <w:t xml:space="preserve"> juin 2023 n’était pas identique à celle déposée en pièce PGQ-3 mais qu’elle comportait en substance le même message</w:t>
      </w:r>
      <w:r w:rsidR="009A6295">
        <w:t>,</w:t>
      </w:r>
      <w:r>
        <w:t xml:space="preserve"> ce qui n’est pas contredit par la preuve.</w:t>
      </w:r>
    </w:p>
  </w:footnote>
  <w:footnote w:id="9">
    <w:p w14:paraId="3F60C2A9" w14:textId="4FDE1D31" w:rsidR="00BC1CDD" w:rsidRDefault="00BC1CDD">
      <w:pPr>
        <w:pStyle w:val="Notedebasdepage"/>
      </w:pPr>
      <w:r>
        <w:rPr>
          <w:rStyle w:val="Appelnotedebasdep"/>
        </w:rPr>
        <w:footnoteRef/>
      </w:r>
      <w:r>
        <w:t xml:space="preserve"> </w:t>
      </w:r>
      <w:r w:rsidR="001E06DC">
        <w:tab/>
      </w:r>
      <w:r>
        <w:t>Pièce PGQ-4.</w:t>
      </w:r>
    </w:p>
  </w:footnote>
  <w:footnote w:id="10">
    <w:p w14:paraId="0A91665D" w14:textId="0E9B6DFF" w:rsidR="003B526B" w:rsidRDefault="003B526B" w:rsidP="003B526B">
      <w:pPr>
        <w:pStyle w:val="Notedebasdepage"/>
      </w:pPr>
      <w:r>
        <w:rPr>
          <w:rStyle w:val="Appelnotedebasdep"/>
        </w:rPr>
        <w:footnoteRef/>
      </w:r>
      <w:r>
        <w:t xml:space="preserve"> </w:t>
      </w:r>
      <w:r w:rsidR="001E06DC">
        <w:tab/>
      </w:r>
      <w:r>
        <w:t>Pièce PGQ-5</w:t>
      </w:r>
      <w:r w:rsidR="001E06DC">
        <w:t>.</w:t>
      </w:r>
    </w:p>
  </w:footnote>
  <w:footnote w:id="11">
    <w:p w14:paraId="359BB44D" w14:textId="434A25DD" w:rsidR="007F00CF" w:rsidRDefault="007F00CF">
      <w:pPr>
        <w:pStyle w:val="Notedebasdepage"/>
      </w:pPr>
      <w:r>
        <w:rPr>
          <w:rStyle w:val="Appelnotedebasdep"/>
        </w:rPr>
        <w:footnoteRef/>
      </w:r>
      <w:r>
        <w:t xml:space="preserve"> </w:t>
      </w:r>
      <w:r w:rsidR="001E06DC">
        <w:tab/>
      </w:r>
      <w:r>
        <w:t>Communément appelée scrum.</w:t>
      </w:r>
    </w:p>
  </w:footnote>
  <w:footnote w:id="12">
    <w:p w14:paraId="1EADE45E" w14:textId="43366D1F" w:rsidR="0081213E" w:rsidRPr="001E06DC" w:rsidRDefault="0081213E">
      <w:pPr>
        <w:pStyle w:val="Notedebasdepage"/>
        <w:rPr>
          <w:lang w:val="en-CA"/>
        </w:rPr>
      </w:pPr>
      <w:r>
        <w:rPr>
          <w:rStyle w:val="Appelnotedebasdep"/>
        </w:rPr>
        <w:footnoteRef/>
      </w:r>
      <w:r w:rsidRPr="00A111CA">
        <w:rPr>
          <w:lang w:val="en-CA"/>
        </w:rPr>
        <w:t xml:space="preserve"> </w:t>
      </w:r>
      <w:r w:rsidR="001E06DC">
        <w:rPr>
          <w:lang w:val="en-CA"/>
        </w:rPr>
        <w:tab/>
      </w:r>
      <w:r w:rsidRPr="001E06DC">
        <w:rPr>
          <w:lang w:val="en-CA"/>
        </w:rPr>
        <w:t>A</w:t>
      </w:r>
      <w:r w:rsidRPr="001E06DC">
        <w:rPr>
          <w:color w:val="030303"/>
          <w:lang w:val="en-CA"/>
        </w:rPr>
        <w:t>rt</w:t>
      </w:r>
      <w:r w:rsidRPr="001E06DC">
        <w:rPr>
          <w:color w:val="2F2F2F"/>
          <w:lang w:val="en-CA"/>
        </w:rPr>
        <w:t>.</w:t>
      </w:r>
      <w:r w:rsidRPr="001E06DC">
        <w:rPr>
          <w:color w:val="2F2F2F"/>
          <w:spacing w:val="-8"/>
          <w:lang w:val="en-CA"/>
        </w:rPr>
        <w:t xml:space="preserve"> </w:t>
      </w:r>
      <w:r w:rsidRPr="001E06DC">
        <w:rPr>
          <w:color w:val="030303"/>
          <w:lang w:val="en-CA"/>
        </w:rPr>
        <w:t>3</w:t>
      </w:r>
      <w:r w:rsidRPr="001E06DC">
        <w:rPr>
          <w:color w:val="030303"/>
          <w:spacing w:val="-3"/>
          <w:lang w:val="en-CA"/>
        </w:rPr>
        <w:t xml:space="preserve"> </w:t>
      </w:r>
      <w:r w:rsidRPr="001E06DC">
        <w:rPr>
          <w:color w:val="030303"/>
          <w:lang w:val="en-CA"/>
        </w:rPr>
        <w:t>CDLP</w:t>
      </w:r>
      <w:r w:rsidRPr="001E06DC">
        <w:rPr>
          <w:color w:val="030303"/>
          <w:spacing w:val="4"/>
          <w:lang w:val="en-CA"/>
        </w:rPr>
        <w:t xml:space="preserve"> </w:t>
      </w:r>
      <w:r w:rsidRPr="001E06DC">
        <w:rPr>
          <w:color w:val="030303"/>
          <w:lang w:val="en-CA"/>
        </w:rPr>
        <w:t>et</w:t>
      </w:r>
      <w:r w:rsidRPr="001E06DC">
        <w:rPr>
          <w:color w:val="030303"/>
          <w:spacing w:val="-9"/>
          <w:lang w:val="en-CA"/>
        </w:rPr>
        <w:t xml:space="preserve"> </w:t>
      </w:r>
      <w:r w:rsidRPr="001E06DC">
        <w:rPr>
          <w:color w:val="030303"/>
          <w:lang w:val="en-CA"/>
        </w:rPr>
        <w:t>2</w:t>
      </w:r>
      <w:r w:rsidRPr="001E06DC">
        <w:rPr>
          <w:color w:val="030303"/>
          <w:spacing w:val="-1"/>
          <w:lang w:val="en-CA"/>
        </w:rPr>
        <w:t xml:space="preserve"> </w:t>
      </w:r>
      <w:r w:rsidRPr="001E06DC">
        <w:rPr>
          <w:color w:val="030303"/>
          <w:lang w:val="en-CA"/>
        </w:rPr>
        <w:t>b)</w:t>
      </w:r>
      <w:r w:rsidRPr="001E06DC">
        <w:rPr>
          <w:color w:val="030303"/>
          <w:spacing w:val="-6"/>
          <w:lang w:val="en-CA"/>
        </w:rPr>
        <w:t xml:space="preserve"> </w:t>
      </w:r>
      <w:r w:rsidRPr="001E06DC">
        <w:rPr>
          <w:color w:val="030303"/>
          <w:spacing w:val="-2"/>
          <w:lang w:val="en-CA"/>
        </w:rPr>
        <w:t>CCDL</w:t>
      </w:r>
      <w:r w:rsidR="001E06DC" w:rsidRPr="001E06DC">
        <w:rPr>
          <w:color w:val="030303"/>
          <w:spacing w:val="-2"/>
          <w:lang w:val="en-CA"/>
        </w:rPr>
        <w:t>.</w:t>
      </w:r>
    </w:p>
  </w:footnote>
  <w:footnote w:id="13">
    <w:p w14:paraId="2AA248F8" w14:textId="1A0516C1" w:rsidR="00A111CA" w:rsidRPr="00374608" w:rsidRDefault="00A111CA">
      <w:pPr>
        <w:pStyle w:val="Notedebasdepage"/>
        <w:rPr>
          <w:lang w:val="en-CA"/>
        </w:rPr>
      </w:pPr>
      <w:r w:rsidRPr="001E06DC">
        <w:rPr>
          <w:rStyle w:val="Appelnotedebasdep"/>
        </w:rPr>
        <w:footnoteRef/>
      </w:r>
      <w:r w:rsidRPr="00374608">
        <w:rPr>
          <w:lang w:val="en-CA"/>
        </w:rPr>
        <w:t xml:space="preserve"> </w:t>
      </w:r>
      <w:r w:rsidR="001E06DC" w:rsidRPr="00374608">
        <w:rPr>
          <w:lang w:val="en-CA"/>
        </w:rPr>
        <w:tab/>
      </w:r>
      <w:r w:rsidR="001E06DC" w:rsidRPr="00374608">
        <w:rPr>
          <w:color w:val="030303"/>
          <w:lang w:val="en-CA"/>
        </w:rPr>
        <w:t>A</w:t>
      </w:r>
      <w:r w:rsidRPr="00374608">
        <w:rPr>
          <w:color w:val="030303"/>
          <w:lang w:val="en-CA"/>
        </w:rPr>
        <w:t>rt.</w:t>
      </w:r>
      <w:r w:rsidRPr="00374608">
        <w:rPr>
          <w:color w:val="030303"/>
          <w:spacing w:val="-5"/>
          <w:lang w:val="en-CA"/>
        </w:rPr>
        <w:t xml:space="preserve"> </w:t>
      </w:r>
      <w:r w:rsidRPr="00374608">
        <w:rPr>
          <w:color w:val="030303"/>
          <w:lang w:val="en-CA"/>
        </w:rPr>
        <w:t>3</w:t>
      </w:r>
      <w:r w:rsidRPr="00374608">
        <w:rPr>
          <w:color w:val="030303"/>
          <w:spacing w:val="-6"/>
          <w:lang w:val="en-CA"/>
        </w:rPr>
        <w:t xml:space="preserve"> </w:t>
      </w:r>
      <w:r w:rsidRPr="00374608">
        <w:rPr>
          <w:color w:val="030303"/>
          <w:lang w:val="en-CA"/>
        </w:rPr>
        <w:t>CDLP</w:t>
      </w:r>
      <w:r w:rsidRPr="00374608">
        <w:rPr>
          <w:color w:val="030303"/>
          <w:spacing w:val="3"/>
          <w:lang w:val="en-CA"/>
        </w:rPr>
        <w:t xml:space="preserve"> </w:t>
      </w:r>
      <w:r w:rsidRPr="00374608">
        <w:rPr>
          <w:color w:val="030303"/>
          <w:lang w:val="en-CA"/>
        </w:rPr>
        <w:t>et</w:t>
      </w:r>
      <w:r w:rsidRPr="00374608">
        <w:rPr>
          <w:color w:val="030303"/>
          <w:spacing w:val="-1"/>
          <w:lang w:val="en-CA"/>
        </w:rPr>
        <w:t xml:space="preserve"> </w:t>
      </w:r>
      <w:r w:rsidRPr="00374608">
        <w:rPr>
          <w:color w:val="030303"/>
          <w:lang w:val="en-CA"/>
        </w:rPr>
        <w:t>2</w:t>
      </w:r>
      <w:r w:rsidRPr="00374608">
        <w:rPr>
          <w:color w:val="030303"/>
          <w:spacing w:val="-11"/>
          <w:lang w:val="en-CA"/>
        </w:rPr>
        <w:t xml:space="preserve"> </w:t>
      </w:r>
      <w:r w:rsidRPr="00374608">
        <w:rPr>
          <w:color w:val="030303"/>
          <w:lang w:val="en-CA"/>
        </w:rPr>
        <w:t>c)</w:t>
      </w:r>
      <w:r w:rsidRPr="00374608">
        <w:rPr>
          <w:color w:val="030303"/>
          <w:spacing w:val="-4"/>
          <w:lang w:val="en-CA"/>
        </w:rPr>
        <w:t xml:space="preserve"> </w:t>
      </w:r>
      <w:r w:rsidRPr="00374608">
        <w:rPr>
          <w:color w:val="030303"/>
          <w:lang w:val="en-CA"/>
        </w:rPr>
        <w:t>CCDL</w:t>
      </w:r>
      <w:r w:rsidR="001E06DC" w:rsidRPr="00374608">
        <w:rPr>
          <w:color w:val="030303"/>
          <w:lang w:val="en-CA"/>
        </w:rPr>
        <w:t>.</w:t>
      </w:r>
    </w:p>
  </w:footnote>
  <w:footnote w:id="14">
    <w:p w14:paraId="6EC3E7D5" w14:textId="5046B172" w:rsidR="00A111CA" w:rsidRPr="00374608" w:rsidRDefault="00A111CA">
      <w:pPr>
        <w:pStyle w:val="Notedebasdepage"/>
        <w:rPr>
          <w:lang w:val="en-CA"/>
        </w:rPr>
      </w:pPr>
      <w:r w:rsidRPr="001E06DC">
        <w:rPr>
          <w:rStyle w:val="Appelnotedebasdep"/>
        </w:rPr>
        <w:footnoteRef/>
      </w:r>
      <w:r w:rsidRPr="00374608">
        <w:rPr>
          <w:lang w:val="en-CA"/>
        </w:rPr>
        <w:t xml:space="preserve"> </w:t>
      </w:r>
      <w:r w:rsidR="001E06DC" w:rsidRPr="00374608">
        <w:rPr>
          <w:lang w:val="en-CA"/>
        </w:rPr>
        <w:tab/>
      </w:r>
      <w:r w:rsidR="001E06DC" w:rsidRPr="00374608">
        <w:rPr>
          <w:color w:val="030303"/>
          <w:lang w:val="en-CA"/>
        </w:rPr>
        <w:t>A</w:t>
      </w:r>
      <w:r w:rsidRPr="00374608">
        <w:rPr>
          <w:color w:val="030303"/>
          <w:lang w:val="en-CA"/>
        </w:rPr>
        <w:t>rt.</w:t>
      </w:r>
      <w:r w:rsidRPr="00374608">
        <w:rPr>
          <w:color w:val="030303"/>
          <w:spacing w:val="3"/>
          <w:lang w:val="en-CA"/>
        </w:rPr>
        <w:t xml:space="preserve"> </w:t>
      </w:r>
      <w:r w:rsidRPr="00374608">
        <w:rPr>
          <w:color w:val="030303"/>
          <w:lang w:val="en-CA"/>
        </w:rPr>
        <w:t>3</w:t>
      </w:r>
      <w:r w:rsidRPr="00374608">
        <w:rPr>
          <w:color w:val="030303"/>
          <w:spacing w:val="-10"/>
          <w:lang w:val="en-CA"/>
        </w:rPr>
        <w:t xml:space="preserve"> </w:t>
      </w:r>
      <w:r w:rsidRPr="00374608">
        <w:rPr>
          <w:color w:val="030303"/>
          <w:lang w:val="en-CA"/>
        </w:rPr>
        <w:t>CDLP</w:t>
      </w:r>
      <w:r w:rsidRPr="00374608">
        <w:rPr>
          <w:color w:val="030303"/>
          <w:spacing w:val="5"/>
          <w:lang w:val="en-CA"/>
        </w:rPr>
        <w:t xml:space="preserve"> </w:t>
      </w:r>
      <w:r w:rsidRPr="00374608">
        <w:rPr>
          <w:color w:val="030303"/>
          <w:lang w:val="en-CA"/>
        </w:rPr>
        <w:t>et</w:t>
      </w:r>
      <w:r w:rsidRPr="00374608">
        <w:rPr>
          <w:color w:val="030303"/>
          <w:spacing w:val="-9"/>
          <w:lang w:val="en-CA"/>
        </w:rPr>
        <w:t xml:space="preserve"> </w:t>
      </w:r>
      <w:r w:rsidRPr="00374608">
        <w:rPr>
          <w:color w:val="030303"/>
          <w:lang w:val="en-CA"/>
        </w:rPr>
        <w:t>2</w:t>
      </w:r>
      <w:r w:rsidRPr="00374608">
        <w:rPr>
          <w:color w:val="030303"/>
          <w:spacing w:val="-10"/>
          <w:lang w:val="en-CA"/>
        </w:rPr>
        <w:t xml:space="preserve"> </w:t>
      </w:r>
      <w:r w:rsidRPr="00374608">
        <w:rPr>
          <w:color w:val="030303"/>
          <w:lang w:val="en-CA"/>
        </w:rPr>
        <w:t>a)</w:t>
      </w:r>
      <w:r w:rsidRPr="00374608">
        <w:rPr>
          <w:color w:val="030303"/>
          <w:spacing w:val="-10"/>
          <w:lang w:val="en-CA"/>
        </w:rPr>
        <w:t xml:space="preserve"> </w:t>
      </w:r>
      <w:r w:rsidRPr="00374608">
        <w:rPr>
          <w:color w:val="030303"/>
          <w:lang w:val="en-CA"/>
        </w:rPr>
        <w:t>CCDL</w:t>
      </w:r>
      <w:r w:rsidR="001E06DC" w:rsidRPr="00374608">
        <w:rPr>
          <w:color w:val="030303"/>
          <w:lang w:val="en-CA"/>
        </w:rPr>
        <w:t>.</w:t>
      </w:r>
    </w:p>
  </w:footnote>
  <w:footnote w:id="15">
    <w:p w14:paraId="7E7A5BF1" w14:textId="77777777" w:rsidR="00B11521" w:rsidRPr="00054B05" w:rsidRDefault="00B11521" w:rsidP="00B11521">
      <w:pPr>
        <w:pStyle w:val="Notedebasdepage"/>
      </w:pPr>
      <w:r w:rsidRPr="001E06DC">
        <w:rPr>
          <w:rStyle w:val="Appelnotedebasdep"/>
        </w:rPr>
        <w:footnoteRef/>
      </w:r>
      <w:r w:rsidRPr="001E06DC">
        <w:t xml:space="preserve"> </w:t>
      </w:r>
      <w:r w:rsidRPr="001E06DC">
        <w:tab/>
      </w:r>
      <w:r w:rsidRPr="001E06DC">
        <w:rPr>
          <w:color w:val="030303"/>
        </w:rPr>
        <w:t>Art. 10, 12, 13 et 15 CDLP, et 15 CCDL</w:t>
      </w:r>
      <w:r>
        <w:rPr>
          <w:color w:val="030303"/>
          <w:sz w:val="24"/>
          <w:szCs w:val="24"/>
        </w:rPr>
        <w:t>.</w:t>
      </w:r>
    </w:p>
  </w:footnote>
  <w:footnote w:id="16">
    <w:p w14:paraId="09116764" w14:textId="5E1DC9A6" w:rsidR="0013342B" w:rsidRPr="0013342B" w:rsidRDefault="0013342B">
      <w:pPr>
        <w:pStyle w:val="Notedebasdepage"/>
      </w:pPr>
      <w:r>
        <w:rPr>
          <w:rStyle w:val="Appelnotedebasdep"/>
        </w:rPr>
        <w:footnoteRef/>
      </w:r>
      <w:r>
        <w:t xml:space="preserve"> </w:t>
      </w:r>
      <w:r w:rsidR="00627DA3">
        <w:tab/>
      </w:r>
      <w:r>
        <w:rPr>
          <w:i/>
        </w:rPr>
        <w:t>Loi sur la Société du Centre des congrès de Québec</w:t>
      </w:r>
      <w:r>
        <w:t>, RLRQ, c. S-14.001</w:t>
      </w:r>
      <w:r w:rsidR="00627DA3">
        <w:t>.</w:t>
      </w:r>
    </w:p>
  </w:footnote>
  <w:footnote w:id="17">
    <w:p w14:paraId="2B1AD54E" w14:textId="15C6EA44" w:rsidR="00136B18" w:rsidRPr="0077283D" w:rsidRDefault="00136B18" w:rsidP="00136B18">
      <w:pPr>
        <w:shd w:val="clear" w:color="auto" w:fill="FFFFFF"/>
        <w:jc w:val="both"/>
        <w:textAlignment w:val="top"/>
        <w:rPr>
          <w:rFonts w:cs="Arial"/>
          <w:color w:val="212529"/>
          <w:sz w:val="20"/>
          <w:lang w:eastAsia="fr-CA"/>
        </w:rPr>
      </w:pPr>
      <w:r>
        <w:rPr>
          <w:rStyle w:val="Appelnotedebasdep"/>
        </w:rPr>
        <w:footnoteRef/>
      </w:r>
      <w:r w:rsidR="006B5E36">
        <w:rPr>
          <w:rFonts w:cs="Arial"/>
          <w:color w:val="212529"/>
          <w:sz w:val="20"/>
          <w:lang w:eastAsia="fr-CA"/>
        </w:rPr>
        <w:tab/>
      </w:r>
      <w:r w:rsidRPr="0077283D">
        <w:rPr>
          <w:rFonts w:cs="Arial"/>
          <w:color w:val="212529"/>
          <w:sz w:val="20"/>
          <w:lang w:eastAsia="fr-CA"/>
        </w:rPr>
        <w:t>Décret 1649-2022 du 20 octobre 2022, (2022) 154 G.O. 2, 6519.</w:t>
      </w:r>
    </w:p>
    <w:p w14:paraId="3F75CE07" w14:textId="77777777" w:rsidR="00136B18" w:rsidRDefault="00136B18" w:rsidP="00136B18">
      <w:pPr>
        <w:pStyle w:val="Notedebasdepage"/>
      </w:pPr>
    </w:p>
  </w:footnote>
  <w:footnote w:id="18">
    <w:p w14:paraId="29EC8605" w14:textId="0B15E9EE" w:rsidR="00EA74C2" w:rsidRDefault="00EA74C2">
      <w:pPr>
        <w:pStyle w:val="Notedebasdepage"/>
      </w:pPr>
      <w:r>
        <w:rPr>
          <w:rStyle w:val="Appelnotedebasdep"/>
        </w:rPr>
        <w:footnoteRef/>
      </w:r>
      <w:r>
        <w:t xml:space="preserve"> </w:t>
      </w:r>
      <w:r w:rsidR="006B5E36">
        <w:tab/>
      </w:r>
      <w:r>
        <w:t>Pièce PGQ-3.</w:t>
      </w:r>
    </w:p>
  </w:footnote>
  <w:footnote w:id="19">
    <w:p w14:paraId="5947BDBA" w14:textId="62BBFDEA" w:rsidR="00944502" w:rsidRDefault="00944502">
      <w:pPr>
        <w:pStyle w:val="Notedebasdepage"/>
      </w:pPr>
      <w:r>
        <w:rPr>
          <w:rStyle w:val="Appelnotedebasdep"/>
        </w:rPr>
        <w:footnoteRef/>
      </w:r>
      <w:r>
        <w:t xml:space="preserve"> </w:t>
      </w:r>
      <w:r w:rsidR="006B5E36">
        <w:tab/>
      </w:r>
      <w:r>
        <w:t xml:space="preserve">Articles 2, 3 et 33 de la Loi </w:t>
      </w:r>
      <w:r w:rsidR="00686587">
        <w:t>sur la Société du Centre des congrès de Québec, RLRQ, c. S-14.001.</w:t>
      </w:r>
    </w:p>
  </w:footnote>
  <w:footnote w:id="20">
    <w:p w14:paraId="5BECF270" w14:textId="6AB1E598" w:rsidR="00140187" w:rsidRDefault="00140187">
      <w:pPr>
        <w:pStyle w:val="Notedebasdepage"/>
      </w:pPr>
      <w:r>
        <w:rPr>
          <w:rStyle w:val="Appelnotedebasdep"/>
        </w:rPr>
        <w:footnoteRef/>
      </w:r>
      <w:r>
        <w:t xml:space="preserve"> </w:t>
      </w:r>
      <w:r w:rsidR="006B5E36">
        <w:tab/>
      </w:r>
      <w:r>
        <w:t>Article 17 de la Loi</w:t>
      </w:r>
      <w:r w:rsidR="00EA248A">
        <w:t xml:space="preserve"> sur la Société du Centre des congrès de Québec, RLRQ, c. S-14.001.</w:t>
      </w:r>
    </w:p>
  </w:footnote>
  <w:footnote w:id="21">
    <w:p w14:paraId="51CFE1F3" w14:textId="74FBCCB3" w:rsidR="00C77142" w:rsidRPr="00BC6940" w:rsidRDefault="00C77142" w:rsidP="00C77142">
      <w:pPr>
        <w:pStyle w:val="Notedebasdepage"/>
      </w:pPr>
      <w:r>
        <w:rPr>
          <w:rStyle w:val="Appelnotedebasdep"/>
        </w:rPr>
        <w:footnoteRef/>
      </w:r>
      <w:r>
        <w:t xml:space="preserve"> </w:t>
      </w:r>
      <w:r w:rsidR="006B5E36">
        <w:tab/>
      </w:r>
      <w:r>
        <w:rPr>
          <w:i/>
        </w:rPr>
        <w:t>Loi sur la gouvernance des sociétés d'État</w:t>
      </w:r>
      <w:r>
        <w:t>, RLRQ, c. G-1.02</w:t>
      </w:r>
      <w:r w:rsidR="006B5E36">
        <w:t>.</w:t>
      </w:r>
    </w:p>
  </w:footnote>
  <w:footnote w:id="22">
    <w:p w14:paraId="47504ABC" w14:textId="6B654E62" w:rsidR="001946CC" w:rsidRPr="0031575C" w:rsidRDefault="001946CC" w:rsidP="00B634A9">
      <w:pPr>
        <w:pStyle w:val="Notedebasdepage"/>
      </w:pPr>
      <w:r w:rsidRPr="0031575C">
        <w:rPr>
          <w:rStyle w:val="Appelnotedebasdep"/>
        </w:rPr>
        <w:footnoteRef/>
      </w:r>
      <w:r w:rsidRPr="0031575C">
        <w:t xml:space="preserve"> </w:t>
      </w:r>
      <w:r w:rsidR="00FD06E6" w:rsidRPr="0031575C">
        <w:tab/>
      </w:r>
      <w:r w:rsidRPr="0031575C">
        <w:t xml:space="preserve">Roncarelli c. Duplessis </w:t>
      </w:r>
      <w:r w:rsidR="00FD06E6" w:rsidRPr="0031575C">
        <w:t>(</w:t>
      </w:r>
      <w:r w:rsidRPr="0031575C">
        <w:t>C.S. Can., 1959-01-27</w:t>
      </w:r>
      <w:r w:rsidR="00FD06E6" w:rsidRPr="0031575C">
        <w:t>)</w:t>
      </w:r>
      <w:r w:rsidRPr="0031575C">
        <w:t>, SOQUIJ AZ-50068955, [1959] R.C.S. 121</w:t>
      </w:r>
      <w:r w:rsidR="00FD06E6" w:rsidRPr="0031575C">
        <w:t>.</w:t>
      </w:r>
    </w:p>
  </w:footnote>
  <w:footnote w:id="23">
    <w:p w14:paraId="3C53A664" w14:textId="0A55F6A0" w:rsidR="0023440E" w:rsidRPr="0031575C" w:rsidRDefault="0023440E" w:rsidP="00B634A9">
      <w:pPr>
        <w:pStyle w:val="Notedebasdepage"/>
      </w:pPr>
      <w:r w:rsidRPr="0031575C">
        <w:rPr>
          <w:rStyle w:val="Appelnotedebasdep"/>
        </w:rPr>
        <w:footnoteRef/>
      </w:r>
      <w:r w:rsidRPr="0031575C">
        <w:t xml:space="preserve"> </w:t>
      </w:r>
      <w:r w:rsidR="00FD06E6" w:rsidRPr="0031575C">
        <w:tab/>
      </w:r>
      <w:r w:rsidRPr="0031575C">
        <w:t>Dostie c. Sabourin</w:t>
      </w:r>
      <w:r w:rsidR="00FD06E6" w:rsidRPr="0031575C">
        <w:t xml:space="preserve"> (</w:t>
      </w:r>
      <w:r w:rsidRPr="0031575C">
        <w:t>C.A., 2000-03-22</w:t>
      </w:r>
      <w:r w:rsidR="00FD06E6" w:rsidRPr="0031575C">
        <w:t>)</w:t>
      </w:r>
      <w:r w:rsidRPr="0031575C">
        <w:t>, SOQUIJ AZ-50071094, [2000] R.J.Q. 1026, par. 35 et suivants.</w:t>
      </w:r>
    </w:p>
  </w:footnote>
  <w:footnote w:id="24">
    <w:p w14:paraId="3F0CCE45" w14:textId="6A46AED2" w:rsidR="00307464" w:rsidRPr="0031575C" w:rsidRDefault="00307464" w:rsidP="00B634A9">
      <w:pPr>
        <w:pStyle w:val="Notedebasdepage"/>
      </w:pPr>
      <w:r w:rsidRPr="0031575C">
        <w:rPr>
          <w:rStyle w:val="Appelnotedebasdep"/>
        </w:rPr>
        <w:footnoteRef/>
      </w:r>
      <w:r w:rsidRPr="0031575C">
        <w:t xml:space="preserve"> </w:t>
      </w:r>
      <w:r w:rsidR="00FD06E6" w:rsidRPr="0031575C">
        <w:tab/>
      </w:r>
      <w:r w:rsidRPr="0031575C">
        <w:t>Voir Déclaration commune modifiée du 27 novembre 2024.</w:t>
      </w:r>
    </w:p>
  </w:footnote>
  <w:footnote w:id="25">
    <w:p w14:paraId="01142860" w14:textId="36462641" w:rsidR="00D82A6C" w:rsidRPr="0031575C" w:rsidRDefault="00D82A6C" w:rsidP="00B634A9">
      <w:pPr>
        <w:pStyle w:val="Paragraphe"/>
        <w:numPr>
          <w:ilvl w:val="0"/>
          <w:numId w:val="0"/>
        </w:numPr>
        <w:spacing w:before="0" w:after="0" w:line="240" w:lineRule="auto"/>
        <w:ind w:left="426" w:hanging="426"/>
        <w:rPr>
          <w:b/>
          <w:bCs/>
          <w:sz w:val="20"/>
          <w:lang w:eastAsia="fr-CA"/>
        </w:rPr>
      </w:pPr>
      <w:r w:rsidRPr="0031575C">
        <w:rPr>
          <w:rStyle w:val="Appelnotedebasdep"/>
          <w:sz w:val="20"/>
        </w:rPr>
        <w:footnoteRef/>
      </w:r>
      <w:r w:rsidRPr="0031575C">
        <w:rPr>
          <w:sz w:val="20"/>
        </w:rPr>
        <w:t xml:space="preserve"> </w:t>
      </w:r>
      <w:r w:rsidR="00B634A9">
        <w:rPr>
          <w:sz w:val="20"/>
        </w:rPr>
        <w:tab/>
      </w:r>
      <w:r w:rsidR="00F417FF" w:rsidRPr="0031575C">
        <w:rPr>
          <w:rFonts w:cs="Arial"/>
          <w:sz w:val="20"/>
        </w:rPr>
        <w:t>[</w:t>
      </w:r>
      <w:r w:rsidRPr="0031575C">
        <w:rPr>
          <w:sz w:val="20"/>
          <w:lang w:eastAsia="fr-CA"/>
        </w:rPr>
        <w:t>1995</w:t>
      </w:r>
      <w:r w:rsidR="00F417FF" w:rsidRPr="0031575C">
        <w:rPr>
          <w:rFonts w:cs="Arial"/>
          <w:sz w:val="20"/>
          <w:lang w:eastAsia="fr-CA"/>
        </w:rPr>
        <w:t>]</w:t>
      </w:r>
      <w:r w:rsidRPr="0031575C">
        <w:rPr>
          <w:sz w:val="20"/>
          <w:lang w:eastAsia="fr-CA"/>
        </w:rPr>
        <w:t xml:space="preserve"> 2 R</w:t>
      </w:r>
      <w:r w:rsidR="00F417FF" w:rsidRPr="0031575C">
        <w:rPr>
          <w:sz w:val="20"/>
          <w:lang w:eastAsia="fr-CA"/>
        </w:rPr>
        <w:t>.</w:t>
      </w:r>
      <w:r w:rsidRPr="0031575C">
        <w:rPr>
          <w:sz w:val="20"/>
          <w:lang w:eastAsia="fr-CA"/>
        </w:rPr>
        <w:t>C</w:t>
      </w:r>
      <w:r w:rsidR="00F417FF" w:rsidRPr="0031575C">
        <w:rPr>
          <w:sz w:val="20"/>
          <w:lang w:eastAsia="fr-CA"/>
        </w:rPr>
        <w:t>.</w:t>
      </w:r>
      <w:r w:rsidRPr="0031575C">
        <w:rPr>
          <w:sz w:val="20"/>
          <w:lang w:eastAsia="fr-CA"/>
        </w:rPr>
        <w:t>S</w:t>
      </w:r>
      <w:r w:rsidR="00F417FF" w:rsidRPr="0031575C">
        <w:rPr>
          <w:sz w:val="20"/>
          <w:lang w:eastAsia="fr-CA"/>
        </w:rPr>
        <w:t>.</w:t>
      </w:r>
      <w:r w:rsidRPr="0031575C">
        <w:rPr>
          <w:sz w:val="20"/>
          <w:lang w:eastAsia="fr-CA"/>
        </w:rPr>
        <w:t xml:space="preserve"> 97 par 6</w:t>
      </w:r>
      <w:r w:rsidRPr="0031575C">
        <w:rPr>
          <w:b/>
          <w:bCs/>
          <w:sz w:val="20"/>
          <w:lang w:eastAsia="fr-CA"/>
        </w:rPr>
        <w:t>.</w:t>
      </w:r>
    </w:p>
    <w:p w14:paraId="5C2F4A8D" w14:textId="7D5DA444" w:rsidR="00D82A6C" w:rsidRDefault="00D82A6C">
      <w:pPr>
        <w:pStyle w:val="Notedebasdepage"/>
      </w:pPr>
    </w:p>
  </w:footnote>
  <w:footnote w:id="26">
    <w:p w14:paraId="1EA736FC" w14:textId="7F46A7C9" w:rsidR="00932BC5" w:rsidRPr="00812FA6" w:rsidRDefault="00932BC5" w:rsidP="00932BC5">
      <w:pPr>
        <w:pStyle w:val="Notedebasdepage"/>
        <w:rPr>
          <w:lang w:val="en-CA"/>
        </w:rPr>
      </w:pPr>
      <w:r>
        <w:rPr>
          <w:rStyle w:val="Appelnotedebasdep"/>
        </w:rPr>
        <w:footnoteRef/>
      </w:r>
      <w:r>
        <w:t xml:space="preserve"> </w:t>
      </w:r>
      <w:r w:rsidR="006452C1">
        <w:tab/>
      </w:r>
      <w:r>
        <w:rPr>
          <w:i/>
        </w:rPr>
        <w:t>Charte canadienne des droits et libertés</w:t>
      </w:r>
      <w:r>
        <w:t xml:space="preserve">, L.R.C. 1985, app. </w:t>
      </w:r>
      <w:r w:rsidRPr="00812FA6">
        <w:rPr>
          <w:lang w:val="en-CA"/>
        </w:rPr>
        <w:t>II, n</w:t>
      </w:r>
      <w:r w:rsidRPr="00812FA6">
        <w:rPr>
          <w:vertAlign w:val="superscript"/>
          <w:lang w:val="en-CA"/>
        </w:rPr>
        <w:t>o</w:t>
      </w:r>
      <w:r w:rsidRPr="00812FA6">
        <w:rPr>
          <w:lang w:val="en-CA"/>
        </w:rPr>
        <w:t xml:space="preserve"> 44, annexe B, partie I</w:t>
      </w:r>
      <w:r w:rsidR="006452C1">
        <w:rPr>
          <w:lang w:val="en-CA"/>
        </w:rPr>
        <w:t>.</w:t>
      </w:r>
    </w:p>
  </w:footnote>
  <w:footnote w:id="27">
    <w:p w14:paraId="4E0570F0" w14:textId="549FD130" w:rsidR="00812FA6" w:rsidRPr="00812FA6" w:rsidRDefault="00812FA6">
      <w:pPr>
        <w:pStyle w:val="Notedebasdepage"/>
      </w:pPr>
      <w:r>
        <w:rPr>
          <w:rStyle w:val="Appelnotedebasdep"/>
        </w:rPr>
        <w:footnoteRef/>
      </w:r>
      <w:r>
        <w:t xml:space="preserve"> </w:t>
      </w:r>
      <w:r w:rsidR="006452C1">
        <w:tab/>
      </w:r>
      <w:r>
        <w:rPr>
          <w:i/>
        </w:rPr>
        <w:t>Charte des droits et libertés de la personne</w:t>
      </w:r>
      <w:r>
        <w:t>, RLRQ, c. C-12</w:t>
      </w:r>
      <w:r w:rsidR="006452C1">
        <w:t>.</w:t>
      </w:r>
    </w:p>
  </w:footnote>
  <w:footnote w:id="28">
    <w:p w14:paraId="17A8A3CE" w14:textId="6663501A" w:rsidR="00FF400B" w:rsidRDefault="00FF400B" w:rsidP="00FF400B">
      <w:pPr>
        <w:pStyle w:val="Notedebasdepage"/>
      </w:pPr>
      <w:r>
        <w:rPr>
          <w:rStyle w:val="Appelnotedebasdep"/>
        </w:rPr>
        <w:footnoteRef/>
      </w:r>
      <w:r>
        <w:t xml:space="preserve"> </w:t>
      </w:r>
      <w:r w:rsidR="006452C1">
        <w:tab/>
      </w:r>
      <w:r>
        <w:t>Voir Pièce P-8.</w:t>
      </w:r>
    </w:p>
  </w:footnote>
  <w:footnote w:id="29">
    <w:p w14:paraId="3BA0E449" w14:textId="0B04E1F2" w:rsidR="00FF400B" w:rsidRPr="00EA4F38" w:rsidRDefault="00FF400B" w:rsidP="00FF400B">
      <w:pPr>
        <w:pStyle w:val="Notedebasdepage"/>
      </w:pPr>
      <w:r>
        <w:rPr>
          <w:rStyle w:val="Appelnotedebasdep"/>
        </w:rPr>
        <w:footnoteRef/>
      </w:r>
      <w:r>
        <w:t xml:space="preserve"> </w:t>
      </w:r>
      <w:r w:rsidR="006452C1">
        <w:tab/>
      </w:r>
      <w:r>
        <w:t xml:space="preserve">Site web de la </w:t>
      </w:r>
      <w:r w:rsidRPr="00EA4F38">
        <w:rPr>
          <w:i/>
          <w:iCs/>
        </w:rPr>
        <w:t>Revival Reformation Alliance</w:t>
      </w:r>
      <w:r>
        <w:t xml:space="preserve">. </w:t>
      </w:r>
    </w:p>
  </w:footnote>
  <w:footnote w:id="30">
    <w:p w14:paraId="0900D836" w14:textId="651658BC" w:rsidR="002D642A" w:rsidRDefault="002D642A" w:rsidP="002D642A">
      <w:pPr>
        <w:pStyle w:val="Notedebasdepage"/>
      </w:pPr>
      <w:r>
        <w:rPr>
          <w:rStyle w:val="Appelnotedebasdep"/>
        </w:rPr>
        <w:footnoteRef/>
      </w:r>
      <w:r>
        <w:t xml:space="preserve"> </w:t>
      </w:r>
      <w:r w:rsidR="00437365">
        <w:tab/>
      </w:r>
      <w:r w:rsidR="009E6DEE">
        <w:t>Montréal (Ville) c. 2952-1366 Québec Inc.</w:t>
      </w:r>
      <w:r w:rsidR="00437365">
        <w:t xml:space="preserve"> (</w:t>
      </w:r>
      <w:r w:rsidR="009E6DEE">
        <w:t>C.S. Can., 2005-11-03</w:t>
      </w:r>
      <w:r w:rsidR="00437365">
        <w:t>)</w:t>
      </w:r>
      <w:r w:rsidR="009E6DEE">
        <w:t>, 2005 CSC 62, SOQUIJ AZ-50340637, J.E. 2005-2012, [2005] 3 R.C.S. 141</w:t>
      </w:r>
    </w:p>
  </w:footnote>
  <w:footnote w:id="31">
    <w:p w14:paraId="60C207BA" w14:textId="711F918A" w:rsidR="009A0944" w:rsidRPr="00325F3B" w:rsidRDefault="009A0944" w:rsidP="009A0944">
      <w:pPr>
        <w:pStyle w:val="Notedebasdepage"/>
      </w:pPr>
      <w:r>
        <w:rPr>
          <w:rStyle w:val="Appelnotedebasdep"/>
        </w:rPr>
        <w:footnoteRef/>
      </w:r>
      <w:r w:rsidRPr="00325F3B">
        <w:t xml:space="preserve"> </w:t>
      </w:r>
      <w:r w:rsidR="00437365">
        <w:tab/>
      </w:r>
      <w:r w:rsidRPr="00325F3B">
        <w:t>Doré c. Barreau du Québec</w:t>
      </w:r>
      <w:r w:rsidR="00437365">
        <w:t xml:space="preserve"> (</w:t>
      </w:r>
      <w:r w:rsidRPr="00325F3B">
        <w:t>C.S. Can., 2012-03-22</w:t>
      </w:r>
      <w:r w:rsidR="00437365">
        <w:t>)</w:t>
      </w:r>
      <w:r w:rsidRPr="00325F3B">
        <w:t>, 2012 CSC 12, SOQUIJ AZ-50841558, 2012EXP-1231, [2012] 1 R.C.S. 395</w:t>
      </w:r>
    </w:p>
  </w:footnote>
  <w:footnote w:id="32">
    <w:p w14:paraId="153A19AF" w14:textId="72794FB3" w:rsidR="009E6DEE" w:rsidRPr="009E6DEE" w:rsidRDefault="009E6DEE">
      <w:pPr>
        <w:pStyle w:val="Notedebasdepage"/>
      </w:pPr>
      <w:r>
        <w:rPr>
          <w:rStyle w:val="Appelnotedebasdep"/>
        </w:rPr>
        <w:footnoteRef/>
      </w:r>
      <w:r w:rsidRPr="009E6DEE">
        <w:t xml:space="preserve"> </w:t>
      </w:r>
      <w:r w:rsidR="00437365">
        <w:tab/>
      </w:r>
      <w:r w:rsidRPr="009E6DEE">
        <w:t>Greater Vancouver Transportation Authority c. Fédération canadienne des étudiantes et étudiants — Section Colombie-Britannique</w:t>
      </w:r>
      <w:r w:rsidR="00437365">
        <w:t xml:space="preserve"> (</w:t>
      </w:r>
      <w:r w:rsidRPr="009E6DEE">
        <w:t>C.S. Can., 2009-07-10</w:t>
      </w:r>
      <w:r w:rsidR="00437365">
        <w:t>)</w:t>
      </w:r>
      <w:r w:rsidRPr="009E6DEE">
        <w:t>, 2009 CSC 31, SOQUIJ AZ-50564826, J.E. 2009-1320, [2009] 2 R.C.S. 295</w:t>
      </w:r>
      <w:r w:rsidR="00F536A1">
        <w:t>.</w:t>
      </w:r>
    </w:p>
  </w:footnote>
  <w:footnote w:id="33">
    <w:p w14:paraId="751AE6DD" w14:textId="49564F2D" w:rsidR="003548AE" w:rsidRDefault="003548AE">
      <w:pPr>
        <w:pStyle w:val="Notedebasdepage"/>
      </w:pPr>
      <w:r>
        <w:rPr>
          <w:rStyle w:val="Appelnotedebasdep"/>
        </w:rPr>
        <w:footnoteRef/>
      </w:r>
      <w:r>
        <w:t xml:space="preserve"> </w:t>
      </w:r>
      <w:r w:rsidR="0060394A">
        <w:tab/>
      </w:r>
      <w:r>
        <w:t>Selon le témoignage de M. Arthur Lucier.</w:t>
      </w:r>
    </w:p>
  </w:footnote>
  <w:footnote w:id="34">
    <w:p w14:paraId="3A850E89" w14:textId="14075BEB" w:rsidR="00C625EA" w:rsidRPr="000C3658" w:rsidRDefault="00C625EA" w:rsidP="00C625EA">
      <w:pPr>
        <w:pStyle w:val="Notedebasdepage"/>
      </w:pPr>
      <w:r>
        <w:rPr>
          <w:rStyle w:val="Appelnotedebasdep"/>
        </w:rPr>
        <w:footnoteRef/>
      </w:r>
      <w:r w:rsidRPr="000C3658">
        <w:t xml:space="preserve"> </w:t>
      </w:r>
      <w:r w:rsidR="004839CC">
        <w:tab/>
      </w:r>
      <w:r w:rsidRPr="000C3658">
        <w:t>Voir Pièce P-8: Publicités d</w:t>
      </w:r>
      <w:r>
        <w:t>e l’évènement de la demanderesse.</w:t>
      </w:r>
    </w:p>
  </w:footnote>
  <w:footnote w:id="35">
    <w:p w14:paraId="3FA5B205" w14:textId="45812658" w:rsidR="00260B77" w:rsidRDefault="00260B77">
      <w:pPr>
        <w:pStyle w:val="Notedebasdepage"/>
      </w:pPr>
      <w:r>
        <w:rPr>
          <w:rStyle w:val="Appelnotedebasdep"/>
        </w:rPr>
        <w:footnoteRef/>
      </w:r>
      <w:r>
        <w:t xml:space="preserve"> </w:t>
      </w:r>
      <w:r w:rsidR="004839CC">
        <w:tab/>
      </w:r>
      <w:r>
        <w:t xml:space="preserve">Irwin Toy Ltd. c. Québec (Procureur général), </w:t>
      </w:r>
      <w:r w:rsidR="004839CC">
        <w:t>(</w:t>
      </w:r>
      <w:r>
        <w:t>C.S. Can., 1989-04-27</w:t>
      </w:r>
      <w:r w:rsidR="004839CC">
        <w:t>)</w:t>
      </w:r>
      <w:r>
        <w:t>, SOQUIJ AZ-89111052, J.E. 89-772, [1989] 1 R.C.S. 927</w:t>
      </w:r>
      <w:r w:rsidR="004839CC">
        <w:t>.</w:t>
      </w:r>
    </w:p>
  </w:footnote>
  <w:footnote w:id="36">
    <w:p w14:paraId="71A24164" w14:textId="42376C8F" w:rsidR="00142DD3" w:rsidRPr="00142DD3" w:rsidRDefault="00142DD3">
      <w:pPr>
        <w:pStyle w:val="Notedebasdepage"/>
      </w:pPr>
      <w:r>
        <w:rPr>
          <w:rStyle w:val="Appelnotedebasdep"/>
        </w:rPr>
        <w:footnoteRef/>
      </w:r>
      <w:r>
        <w:t xml:space="preserve"> </w:t>
      </w:r>
      <w:r w:rsidR="004839CC">
        <w:tab/>
      </w:r>
      <w:r>
        <w:rPr>
          <w:i/>
        </w:rPr>
        <w:t>Loi sur la gouvernance des sociétés d'État</w:t>
      </w:r>
      <w:r>
        <w:t>, RLRQ, c. G-1.02</w:t>
      </w:r>
      <w:r w:rsidR="004839CC">
        <w:t>.</w:t>
      </w:r>
    </w:p>
  </w:footnote>
  <w:footnote w:id="37">
    <w:p w14:paraId="6E8BB814" w14:textId="634C806A" w:rsidR="00325F3B" w:rsidRPr="0059326B" w:rsidRDefault="00325F3B" w:rsidP="00325F3B">
      <w:pPr>
        <w:pStyle w:val="Notedebasdepage"/>
      </w:pPr>
      <w:r>
        <w:rPr>
          <w:rStyle w:val="Appelnotedebasdep"/>
        </w:rPr>
        <w:footnoteRef/>
      </w:r>
      <w:r w:rsidRPr="0059326B">
        <w:t xml:space="preserve"> </w:t>
      </w:r>
      <w:r w:rsidR="004839CC">
        <w:tab/>
      </w:r>
      <w:r w:rsidRPr="0059326B">
        <w:t>Cosgrove c. Conseil canadien de la magistrature*</w:t>
      </w:r>
      <w:r w:rsidR="004839CC">
        <w:t xml:space="preserve"> (</w:t>
      </w:r>
      <w:r w:rsidRPr="0059326B">
        <w:t>C.F., 2005-10-26</w:t>
      </w:r>
      <w:r w:rsidR="004839CC">
        <w:t>)</w:t>
      </w:r>
      <w:r w:rsidRPr="0059326B">
        <w:t>, 2005 CF 1454, SOQUIJ AZ-50377174, [2006] 1 R.C.F. 327</w:t>
      </w:r>
      <w:r w:rsidR="004839CC">
        <w:t>.</w:t>
      </w:r>
    </w:p>
  </w:footnote>
  <w:footnote w:id="38">
    <w:p w14:paraId="28C048E4" w14:textId="6C3BA6E0" w:rsidR="002C306D" w:rsidRPr="00E84A9E" w:rsidRDefault="002C306D">
      <w:pPr>
        <w:pStyle w:val="Notedebasdepage"/>
        <w:rPr>
          <w:lang w:val="en-CA"/>
        </w:rPr>
      </w:pPr>
      <w:r>
        <w:rPr>
          <w:rStyle w:val="Appelnotedebasdep"/>
        </w:rPr>
        <w:footnoteRef/>
      </w:r>
      <w:r w:rsidRPr="00E84A9E">
        <w:rPr>
          <w:lang w:val="en-CA"/>
        </w:rPr>
        <w:t xml:space="preserve"> </w:t>
      </w:r>
      <w:r w:rsidR="00C50AD1">
        <w:rPr>
          <w:lang w:val="en-CA"/>
        </w:rPr>
        <w:tab/>
      </w:r>
      <w:r>
        <w:rPr>
          <w:lang w:val="en-CA"/>
        </w:rPr>
        <w:t>R</w:t>
      </w:r>
      <w:r w:rsidR="00C50AD1">
        <w:rPr>
          <w:lang w:val="en-CA"/>
        </w:rPr>
        <w:t>.</w:t>
      </w:r>
      <w:r>
        <w:rPr>
          <w:lang w:val="en-CA"/>
        </w:rPr>
        <w:t xml:space="preserve"> c. Oakes, </w:t>
      </w:r>
      <w:r>
        <w:rPr>
          <w:rFonts w:cs="Arial"/>
          <w:lang w:val="en-CA"/>
        </w:rPr>
        <w:t>[</w:t>
      </w:r>
      <w:r>
        <w:rPr>
          <w:lang w:val="en-CA"/>
        </w:rPr>
        <w:t>1986</w:t>
      </w:r>
      <w:r>
        <w:rPr>
          <w:rFonts w:cs="Arial"/>
          <w:lang w:val="en-CA"/>
        </w:rPr>
        <w:t>]</w:t>
      </w:r>
      <w:r>
        <w:rPr>
          <w:lang w:val="en-CA"/>
        </w:rPr>
        <w:t xml:space="preserve"> 1 R.C.S. 103</w:t>
      </w:r>
      <w:r w:rsidR="00C50AD1">
        <w:rPr>
          <w:lang w:val="en-CA"/>
        </w:rPr>
        <w:t>.</w:t>
      </w:r>
    </w:p>
  </w:footnote>
  <w:footnote w:id="39">
    <w:p w14:paraId="49955F42" w14:textId="784DF717" w:rsidR="00B619AD" w:rsidRPr="00A934BA" w:rsidRDefault="00B619AD" w:rsidP="00F00530">
      <w:pPr>
        <w:pStyle w:val="Paragraphe"/>
        <w:numPr>
          <w:ilvl w:val="0"/>
          <w:numId w:val="0"/>
        </w:numPr>
        <w:spacing w:before="0" w:after="0" w:line="240" w:lineRule="auto"/>
        <w:ind w:left="709" w:hanging="709"/>
        <w:rPr>
          <w:szCs w:val="24"/>
          <w:lang w:val="en-CA"/>
        </w:rPr>
      </w:pPr>
      <w:r w:rsidRPr="00A934BA">
        <w:rPr>
          <w:rStyle w:val="Appelnotedebasdep"/>
          <w:szCs w:val="24"/>
        </w:rPr>
        <w:footnoteRef/>
      </w:r>
      <w:r w:rsidRPr="00A934BA">
        <w:rPr>
          <w:szCs w:val="24"/>
          <w:lang w:val="en-CA"/>
        </w:rPr>
        <w:t xml:space="preserve"> </w:t>
      </w:r>
      <w:r w:rsidR="0022331C" w:rsidRPr="00A934BA">
        <w:rPr>
          <w:szCs w:val="24"/>
          <w:lang w:val="en-CA"/>
        </w:rPr>
        <w:tab/>
      </w:r>
      <w:r w:rsidRPr="00A934BA">
        <w:rPr>
          <w:szCs w:val="24"/>
          <w:lang w:val="en-CA"/>
        </w:rPr>
        <w:t>Law society of British Colombia c. Trinity We</w:t>
      </w:r>
      <w:r w:rsidR="00100479" w:rsidRPr="00A934BA">
        <w:rPr>
          <w:szCs w:val="24"/>
          <w:lang w:val="en-CA"/>
        </w:rPr>
        <w:t>Law Society of British Columbia c. Trinity Western University, [2018] 2 R.C.S. 293</w:t>
      </w:r>
      <w:r w:rsidRPr="00A934BA">
        <w:rPr>
          <w:szCs w:val="24"/>
          <w:lang w:val="en-CA"/>
        </w:rPr>
        <w:t>stern University (2018) 2 RCS 293</w:t>
      </w:r>
      <w:r w:rsidR="0022331C" w:rsidRPr="00A934BA">
        <w:rPr>
          <w:b/>
          <w:bCs/>
          <w:szCs w:val="24"/>
          <w:lang w:val="en-CA"/>
        </w:rPr>
        <w:t>.</w:t>
      </w:r>
      <w:r w:rsidRPr="00A934BA">
        <w:rPr>
          <w:b/>
          <w:bCs/>
          <w:szCs w:val="24"/>
          <w:lang w:val="en-CA"/>
        </w:rPr>
        <w:t xml:space="preserve"> </w:t>
      </w:r>
    </w:p>
  </w:footnote>
  <w:footnote w:id="40">
    <w:p w14:paraId="7B5E4B73" w14:textId="0998527E" w:rsidR="00C2410F" w:rsidRPr="00A934BA" w:rsidRDefault="00C2410F" w:rsidP="0022331C">
      <w:pPr>
        <w:pStyle w:val="Paragraphe"/>
        <w:numPr>
          <w:ilvl w:val="0"/>
          <w:numId w:val="0"/>
        </w:numPr>
        <w:spacing w:before="0" w:after="0" w:line="240" w:lineRule="auto"/>
        <w:ind w:left="709" w:hanging="709"/>
        <w:rPr>
          <w:szCs w:val="24"/>
          <w:lang w:val="en-CA"/>
        </w:rPr>
      </w:pPr>
      <w:r w:rsidRPr="00A934BA">
        <w:rPr>
          <w:rStyle w:val="Appelnotedebasdep"/>
          <w:szCs w:val="24"/>
        </w:rPr>
        <w:footnoteRef/>
      </w:r>
      <w:r w:rsidRPr="00A934BA">
        <w:rPr>
          <w:szCs w:val="24"/>
          <w:lang w:val="en-CA"/>
        </w:rPr>
        <w:t xml:space="preserve"> </w:t>
      </w:r>
      <w:r w:rsidR="0022331C" w:rsidRPr="00A934BA">
        <w:rPr>
          <w:szCs w:val="24"/>
          <w:lang w:val="en-CA"/>
        </w:rPr>
        <w:tab/>
      </w:r>
      <w:r w:rsidRPr="00A934BA">
        <w:rPr>
          <w:szCs w:val="24"/>
          <w:lang w:val="en-CA"/>
        </w:rPr>
        <w:t xml:space="preserve">Law society of British Colombia c. Trinity Western University (2018) 2 RCS 293. Voir également Figueiras v. Toronto (Police Services Board), </w:t>
      </w:r>
      <w:r w:rsidR="00100479" w:rsidRPr="00A934BA">
        <w:rPr>
          <w:szCs w:val="24"/>
          <w:lang w:val="en-CA"/>
        </w:rPr>
        <w:t>(</w:t>
      </w:r>
      <w:r w:rsidRPr="00A934BA">
        <w:rPr>
          <w:szCs w:val="24"/>
          <w:lang w:val="en-CA"/>
        </w:rPr>
        <w:t>C.A. (Ont.), 2015-03-30</w:t>
      </w:r>
      <w:r w:rsidR="00100479" w:rsidRPr="00A934BA">
        <w:rPr>
          <w:szCs w:val="24"/>
          <w:lang w:val="en-CA"/>
        </w:rPr>
        <w:t>)</w:t>
      </w:r>
      <w:r w:rsidRPr="00A934BA">
        <w:rPr>
          <w:szCs w:val="24"/>
          <w:lang w:val="en-CA"/>
        </w:rPr>
        <w:t>, 2015 ONCA 208, SOQUIJ AZ-51162678; British Columbia Teachers'Federation v. British Columbia Public School Employers'Assn.</w:t>
      </w:r>
      <w:r w:rsidR="00100479" w:rsidRPr="00A934BA">
        <w:rPr>
          <w:szCs w:val="24"/>
          <w:lang w:val="en-CA"/>
        </w:rPr>
        <w:t xml:space="preserve"> (</w:t>
      </w:r>
      <w:r w:rsidRPr="00A934BA">
        <w:rPr>
          <w:szCs w:val="24"/>
          <w:lang w:val="en-CA"/>
        </w:rPr>
        <w:t>C.A. (C.-B.), 2009-02-04</w:t>
      </w:r>
      <w:r w:rsidR="00100479" w:rsidRPr="00A934BA">
        <w:rPr>
          <w:szCs w:val="24"/>
          <w:lang w:val="en-CA"/>
        </w:rPr>
        <w:t>)</w:t>
      </w:r>
      <w:r w:rsidRPr="00A934BA">
        <w:rPr>
          <w:szCs w:val="24"/>
          <w:lang w:val="en-CA"/>
        </w:rPr>
        <w:t>, 2009 BCCA 39, SOQUIJ AZ-50534961</w:t>
      </w:r>
      <w:r w:rsidR="0022331C" w:rsidRPr="00A934BA">
        <w:rPr>
          <w:szCs w:val="24"/>
          <w:lang w:val="en-CA"/>
        </w:rPr>
        <w:t>.</w:t>
      </w:r>
    </w:p>
  </w:footnote>
  <w:footnote w:id="41">
    <w:p w14:paraId="0C4EC478" w14:textId="5B3E815C" w:rsidR="00B619AD" w:rsidRPr="00A934BA" w:rsidRDefault="00B619AD" w:rsidP="0022331C">
      <w:pPr>
        <w:pStyle w:val="Notedebasdepage"/>
        <w:ind w:left="709" w:hanging="709"/>
        <w:rPr>
          <w:sz w:val="24"/>
          <w:szCs w:val="24"/>
          <w:lang w:val="en-CA"/>
        </w:rPr>
      </w:pPr>
      <w:r w:rsidRPr="00A934BA">
        <w:rPr>
          <w:rStyle w:val="Appelnotedebasdep"/>
          <w:sz w:val="24"/>
          <w:szCs w:val="24"/>
        </w:rPr>
        <w:footnoteRef/>
      </w:r>
      <w:r w:rsidRPr="00A934BA">
        <w:rPr>
          <w:sz w:val="24"/>
          <w:szCs w:val="24"/>
          <w:lang w:val="en-CA"/>
        </w:rPr>
        <w:t xml:space="preserve"> </w:t>
      </w:r>
      <w:r w:rsidR="0022331C" w:rsidRPr="00A934BA">
        <w:rPr>
          <w:sz w:val="24"/>
          <w:szCs w:val="24"/>
          <w:lang w:val="en-CA"/>
        </w:rPr>
        <w:tab/>
      </w:r>
      <w:r w:rsidRPr="00A934BA">
        <w:rPr>
          <w:sz w:val="24"/>
          <w:szCs w:val="24"/>
          <w:lang w:val="en-CA"/>
        </w:rPr>
        <w:t>Grandel v. Government of Saskatchewan</w:t>
      </w:r>
      <w:r w:rsidR="00100479" w:rsidRPr="00A934BA">
        <w:rPr>
          <w:sz w:val="24"/>
          <w:szCs w:val="24"/>
          <w:lang w:val="en-CA"/>
        </w:rPr>
        <w:t xml:space="preserve"> (</w:t>
      </w:r>
      <w:r w:rsidRPr="00A934BA">
        <w:rPr>
          <w:sz w:val="24"/>
          <w:szCs w:val="24"/>
          <w:lang w:val="en-CA"/>
        </w:rPr>
        <w:t>C.A. (Sask.), 2024-05-15</w:t>
      </w:r>
      <w:r w:rsidR="00100479" w:rsidRPr="00A934BA">
        <w:rPr>
          <w:sz w:val="24"/>
          <w:szCs w:val="24"/>
          <w:lang w:val="en-CA"/>
        </w:rPr>
        <w:t>)</w:t>
      </w:r>
      <w:r w:rsidRPr="00A934BA">
        <w:rPr>
          <w:sz w:val="24"/>
          <w:szCs w:val="24"/>
          <w:lang w:val="en-CA"/>
        </w:rPr>
        <w:t>, 2024 SKCA 53, SOQUIJ AZ-52036287</w:t>
      </w:r>
      <w:r w:rsidR="0022331C" w:rsidRPr="00A934BA">
        <w:rPr>
          <w:sz w:val="24"/>
          <w:szCs w:val="24"/>
          <w:lang w:val="en-CA"/>
        </w:rPr>
        <w:t>.</w:t>
      </w:r>
    </w:p>
  </w:footnote>
  <w:footnote w:id="42">
    <w:p w14:paraId="07BC6325" w14:textId="0F7FF7B8" w:rsidR="00406EFC" w:rsidRDefault="00406EFC">
      <w:pPr>
        <w:pStyle w:val="Notedebasdepage"/>
      </w:pPr>
      <w:r>
        <w:rPr>
          <w:rStyle w:val="Appelnotedebasdep"/>
        </w:rPr>
        <w:footnoteRef/>
      </w:r>
      <w:r>
        <w:t xml:space="preserve"> </w:t>
      </w:r>
      <w:r w:rsidR="008B10BA">
        <w:tab/>
      </w:r>
      <w:r w:rsidR="00E27958">
        <w:t>De</w:t>
      </w:r>
      <w:r>
        <w:t xml:space="preserve"> Montigny c. Brossard (Succession), </w:t>
      </w:r>
      <w:r w:rsidR="008B10BA">
        <w:t>(</w:t>
      </w:r>
      <w:r>
        <w:t>C.S. Can., 2010-11-10</w:t>
      </w:r>
      <w:r w:rsidR="008B10BA">
        <w:t>)</w:t>
      </w:r>
      <w:r>
        <w:t>, 2010 CSC 51, SOQUIJ AZ-50688131, 2010EXP-3601, [2010] 3 R.C.S. 64</w:t>
      </w:r>
      <w:r w:rsidR="008B6BE8">
        <w:t>.</w:t>
      </w:r>
    </w:p>
  </w:footnote>
  <w:footnote w:id="43">
    <w:p w14:paraId="7FFA95A1" w14:textId="446656CB" w:rsidR="00C1449D" w:rsidRDefault="00C1449D">
      <w:pPr>
        <w:pStyle w:val="Notedebasdepage"/>
      </w:pPr>
      <w:r>
        <w:rPr>
          <w:rStyle w:val="Appelnotedebasdep"/>
        </w:rPr>
        <w:footnoteRef/>
      </w:r>
      <w:r>
        <w:t xml:space="preserve"> </w:t>
      </w:r>
      <w:r w:rsidR="00767F98">
        <w:tab/>
      </w:r>
      <w:r>
        <w:t xml:space="preserve">Québec (Curateur public) c. Syndicat national des employés de l'Hôpital St-Ferdinand (CSN), </w:t>
      </w:r>
      <w:r w:rsidR="00767F98">
        <w:t>(</w:t>
      </w:r>
      <w:r>
        <w:t>C.S., 1986-01-10</w:t>
      </w:r>
      <w:r w:rsidR="00767F98">
        <w:t>)</w:t>
      </w:r>
      <w:r>
        <w:t>, SOQUIJ AZ-50829065</w:t>
      </w:r>
      <w:r w:rsidR="004D1BB9">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D2CD2" w14:textId="77777777" w:rsidR="0097514A" w:rsidRDefault="0097514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C5541" w14:textId="5E2A12EB" w:rsidR="006D491C" w:rsidRDefault="001456A9">
    <w:pPr>
      <w:tabs>
        <w:tab w:val="center" w:pos="4709"/>
        <w:tab w:val="right" w:pos="9360"/>
      </w:tabs>
      <w:ind w:right="524"/>
    </w:pPr>
    <w:r>
      <w:rPr>
        <w:bCs/>
      </w:rPr>
      <w:t>200-17-035129-238</w:t>
    </w:r>
    <w:r w:rsidR="006D491C">
      <w:tab/>
    </w:r>
    <w:r w:rsidR="006D491C">
      <w:tab/>
      <w:t xml:space="preserve">PAGE : </w:t>
    </w:r>
    <w:r w:rsidR="006D491C">
      <w:fldChar w:fldCharType="begin"/>
    </w:r>
    <w:r w:rsidR="006D491C">
      <w:instrText xml:space="preserve"> PAGE </w:instrText>
    </w:r>
    <w:r w:rsidR="006D491C">
      <w:fldChar w:fldCharType="separate"/>
    </w:r>
    <w:r w:rsidR="00890799">
      <w:rPr>
        <w:noProof/>
      </w:rPr>
      <w:t>2</w:t>
    </w:r>
    <w:r w:rsidR="006D491C">
      <w:fldChar w:fldCharType="end"/>
    </w:r>
  </w:p>
  <w:p w14:paraId="29FF4833" w14:textId="77777777" w:rsidR="006D491C" w:rsidRDefault="006D491C">
    <w:pPr>
      <w:tabs>
        <w:tab w:val="center" w:pos="4709"/>
        <w:tab w:val="right" w:pos="9090"/>
      </w:tabs>
      <w:ind w:right="52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3D735" w14:textId="77777777" w:rsidR="0097514A" w:rsidRDefault="0097514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B5C8E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6EA152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052476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300EDC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784BF9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57A905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F56528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6F010B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5346F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B90CFC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C64BE"/>
    <w:multiLevelType w:val="hybridMultilevel"/>
    <w:tmpl w:val="494657FA"/>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1" w15:restartNumberingAfterBreak="0">
    <w:nsid w:val="13D17FB8"/>
    <w:multiLevelType w:val="multilevel"/>
    <w:tmpl w:val="CD5E02FC"/>
    <w:lvl w:ilvl="0">
      <w:start w:val="5"/>
      <w:numFmt w:val="decimal"/>
      <w:lvlText w:val="%1"/>
      <w:lvlJc w:val="left"/>
      <w:pPr>
        <w:ind w:left="360" w:hanging="360"/>
      </w:pPr>
      <w:rPr>
        <w:rFonts w:hint="default"/>
        <w:color w:val="030303"/>
      </w:rPr>
    </w:lvl>
    <w:lvl w:ilvl="1">
      <w:start w:val="1"/>
      <w:numFmt w:val="decimal"/>
      <w:lvlText w:val="%1.%2"/>
      <w:lvlJc w:val="left"/>
      <w:pPr>
        <w:ind w:left="360" w:hanging="360"/>
      </w:pPr>
      <w:rPr>
        <w:rFonts w:hint="default"/>
        <w:color w:val="030303"/>
      </w:rPr>
    </w:lvl>
    <w:lvl w:ilvl="2">
      <w:start w:val="1"/>
      <w:numFmt w:val="lowerLetter"/>
      <w:lvlText w:val="%3)"/>
      <w:lvlJc w:val="left"/>
      <w:pPr>
        <w:ind w:left="720" w:hanging="720"/>
      </w:pPr>
      <w:rPr>
        <w:rFonts w:ascii="Arial" w:eastAsia="Arial" w:hAnsi="Arial" w:cs="Arial"/>
        <w:color w:val="030303"/>
      </w:rPr>
    </w:lvl>
    <w:lvl w:ilvl="3">
      <w:start w:val="1"/>
      <w:numFmt w:val="decimal"/>
      <w:lvlText w:val="%1.%2.%3.%4"/>
      <w:lvlJc w:val="left"/>
      <w:pPr>
        <w:ind w:left="1080" w:hanging="1080"/>
      </w:pPr>
      <w:rPr>
        <w:rFonts w:hint="default"/>
        <w:color w:val="030303"/>
      </w:rPr>
    </w:lvl>
    <w:lvl w:ilvl="4">
      <w:start w:val="1"/>
      <w:numFmt w:val="decimal"/>
      <w:lvlText w:val="%1.%2.%3.%4.%5"/>
      <w:lvlJc w:val="left"/>
      <w:pPr>
        <w:ind w:left="1080" w:hanging="1080"/>
      </w:pPr>
      <w:rPr>
        <w:rFonts w:hint="default"/>
        <w:color w:val="030303"/>
      </w:rPr>
    </w:lvl>
    <w:lvl w:ilvl="5">
      <w:start w:val="1"/>
      <w:numFmt w:val="decimal"/>
      <w:lvlText w:val="%1.%2.%3.%4.%5.%6"/>
      <w:lvlJc w:val="left"/>
      <w:pPr>
        <w:ind w:left="1440" w:hanging="1440"/>
      </w:pPr>
      <w:rPr>
        <w:rFonts w:hint="default"/>
        <w:color w:val="030303"/>
      </w:rPr>
    </w:lvl>
    <w:lvl w:ilvl="6">
      <w:start w:val="1"/>
      <w:numFmt w:val="decimal"/>
      <w:lvlText w:val="%1.%2.%3.%4.%5.%6.%7"/>
      <w:lvlJc w:val="left"/>
      <w:pPr>
        <w:ind w:left="1440" w:hanging="1440"/>
      </w:pPr>
      <w:rPr>
        <w:rFonts w:hint="default"/>
        <w:color w:val="030303"/>
      </w:rPr>
    </w:lvl>
    <w:lvl w:ilvl="7">
      <w:start w:val="1"/>
      <w:numFmt w:val="decimal"/>
      <w:lvlText w:val="%1.%2.%3.%4.%5.%6.%7.%8"/>
      <w:lvlJc w:val="left"/>
      <w:pPr>
        <w:ind w:left="1800" w:hanging="1800"/>
      </w:pPr>
      <w:rPr>
        <w:rFonts w:hint="default"/>
        <w:color w:val="030303"/>
      </w:rPr>
    </w:lvl>
    <w:lvl w:ilvl="8">
      <w:start w:val="1"/>
      <w:numFmt w:val="decimal"/>
      <w:lvlText w:val="%1.%2.%3.%4.%5.%6.%7.%8.%9"/>
      <w:lvlJc w:val="left"/>
      <w:pPr>
        <w:ind w:left="1800" w:hanging="1800"/>
      </w:pPr>
      <w:rPr>
        <w:rFonts w:hint="default"/>
        <w:color w:val="030303"/>
      </w:rPr>
    </w:lvl>
  </w:abstractNum>
  <w:abstractNum w:abstractNumId="12" w15:restartNumberingAfterBreak="0">
    <w:nsid w:val="16AF6AA6"/>
    <w:multiLevelType w:val="hybridMultilevel"/>
    <w:tmpl w:val="6C9AAD4C"/>
    <w:lvl w:ilvl="0" w:tplc="0C0C0001">
      <w:start w:val="1"/>
      <w:numFmt w:val="bullet"/>
      <w:lvlText w:val=""/>
      <w:lvlJc w:val="left"/>
      <w:pPr>
        <w:ind w:left="1080" w:hanging="360"/>
      </w:pPr>
      <w:rPr>
        <w:rFonts w:ascii="Symbol" w:hAnsi="Symbo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3" w15:restartNumberingAfterBreak="0">
    <w:nsid w:val="1A58644F"/>
    <w:multiLevelType w:val="hybridMultilevel"/>
    <w:tmpl w:val="D39450F6"/>
    <w:lvl w:ilvl="0" w:tplc="359CEC74">
      <w:start w:val="1"/>
      <w:numFmt w:val="lowerLetter"/>
      <w:lvlText w:val="%1)"/>
      <w:lvlJc w:val="left"/>
      <w:pPr>
        <w:ind w:left="1091" w:hanging="360"/>
      </w:pPr>
      <w:rPr>
        <w:rFonts w:hint="default"/>
      </w:rPr>
    </w:lvl>
    <w:lvl w:ilvl="1" w:tplc="0C0C0019" w:tentative="1">
      <w:start w:val="1"/>
      <w:numFmt w:val="lowerLetter"/>
      <w:lvlText w:val="%2."/>
      <w:lvlJc w:val="left"/>
      <w:pPr>
        <w:ind w:left="1811" w:hanging="360"/>
      </w:pPr>
    </w:lvl>
    <w:lvl w:ilvl="2" w:tplc="0C0C001B" w:tentative="1">
      <w:start w:val="1"/>
      <w:numFmt w:val="lowerRoman"/>
      <w:lvlText w:val="%3."/>
      <w:lvlJc w:val="right"/>
      <w:pPr>
        <w:ind w:left="2531" w:hanging="180"/>
      </w:pPr>
    </w:lvl>
    <w:lvl w:ilvl="3" w:tplc="0C0C000F" w:tentative="1">
      <w:start w:val="1"/>
      <w:numFmt w:val="decimal"/>
      <w:lvlText w:val="%4."/>
      <w:lvlJc w:val="left"/>
      <w:pPr>
        <w:ind w:left="3251" w:hanging="360"/>
      </w:pPr>
    </w:lvl>
    <w:lvl w:ilvl="4" w:tplc="0C0C0019" w:tentative="1">
      <w:start w:val="1"/>
      <w:numFmt w:val="lowerLetter"/>
      <w:lvlText w:val="%5."/>
      <w:lvlJc w:val="left"/>
      <w:pPr>
        <w:ind w:left="3971" w:hanging="360"/>
      </w:pPr>
    </w:lvl>
    <w:lvl w:ilvl="5" w:tplc="0C0C001B" w:tentative="1">
      <w:start w:val="1"/>
      <w:numFmt w:val="lowerRoman"/>
      <w:lvlText w:val="%6."/>
      <w:lvlJc w:val="right"/>
      <w:pPr>
        <w:ind w:left="4691" w:hanging="180"/>
      </w:pPr>
    </w:lvl>
    <w:lvl w:ilvl="6" w:tplc="0C0C000F" w:tentative="1">
      <w:start w:val="1"/>
      <w:numFmt w:val="decimal"/>
      <w:lvlText w:val="%7."/>
      <w:lvlJc w:val="left"/>
      <w:pPr>
        <w:ind w:left="5411" w:hanging="360"/>
      </w:pPr>
    </w:lvl>
    <w:lvl w:ilvl="7" w:tplc="0C0C0019" w:tentative="1">
      <w:start w:val="1"/>
      <w:numFmt w:val="lowerLetter"/>
      <w:lvlText w:val="%8."/>
      <w:lvlJc w:val="left"/>
      <w:pPr>
        <w:ind w:left="6131" w:hanging="360"/>
      </w:pPr>
    </w:lvl>
    <w:lvl w:ilvl="8" w:tplc="0C0C001B" w:tentative="1">
      <w:start w:val="1"/>
      <w:numFmt w:val="lowerRoman"/>
      <w:lvlText w:val="%9."/>
      <w:lvlJc w:val="right"/>
      <w:pPr>
        <w:ind w:left="6851" w:hanging="180"/>
      </w:pPr>
    </w:lvl>
  </w:abstractNum>
  <w:abstractNum w:abstractNumId="14" w15:restartNumberingAfterBreak="0">
    <w:nsid w:val="1A846896"/>
    <w:multiLevelType w:val="hybridMultilevel"/>
    <w:tmpl w:val="03169A88"/>
    <w:lvl w:ilvl="0" w:tplc="0C0C0001">
      <w:start w:val="1"/>
      <w:numFmt w:val="bullet"/>
      <w:lvlText w:val=""/>
      <w:lvlJc w:val="left"/>
      <w:pPr>
        <w:ind w:left="1080" w:hanging="360"/>
      </w:pPr>
      <w:rPr>
        <w:rFonts w:ascii="Symbol" w:hAnsi="Symbo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5" w15:restartNumberingAfterBreak="0">
    <w:nsid w:val="1C5D631F"/>
    <w:multiLevelType w:val="multilevel"/>
    <w:tmpl w:val="B3D6D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352D2B"/>
    <w:multiLevelType w:val="hybridMultilevel"/>
    <w:tmpl w:val="FAF42F6E"/>
    <w:lvl w:ilvl="0" w:tplc="0C0C001B">
      <w:start w:val="1"/>
      <w:numFmt w:val="lowerRoman"/>
      <w:lvlText w:val="%1."/>
      <w:lvlJc w:val="right"/>
      <w:pPr>
        <w:ind w:left="1080" w:hanging="360"/>
      </w:p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17" w15:restartNumberingAfterBreak="0">
    <w:nsid w:val="39CF01FA"/>
    <w:multiLevelType w:val="multilevel"/>
    <w:tmpl w:val="0B1ED630"/>
    <w:lvl w:ilvl="0">
      <w:start w:val="15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B6B300B"/>
    <w:multiLevelType w:val="multilevel"/>
    <w:tmpl w:val="957E7ECC"/>
    <w:lvl w:ilvl="0">
      <w:start w:val="1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EE17AC9"/>
    <w:multiLevelType w:val="hybridMultilevel"/>
    <w:tmpl w:val="3E7EBCB6"/>
    <w:lvl w:ilvl="0" w:tplc="F2DEE9F6">
      <w:numFmt w:val="bullet"/>
      <w:lvlText w:val="-"/>
      <w:lvlJc w:val="left"/>
      <w:pPr>
        <w:ind w:left="720" w:hanging="360"/>
      </w:pPr>
      <w:rPr>
        <w:rFonts w:ascii="Arial" w:eastAsia="Times New Roman"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3EE50F75"/>
    <w:multiLevelType w:val="hybridMultilevel"/>
    <w:tmpl w:val="6166F33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15:restartNumberingAfterBreak="0">
    <w:nsid w:val="4AFC6835"/>
    <w:multiLevelType w:val="multilevel"/>
    <w:tmpl w:val="18722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BA82B56"/>
    <w:multiLevelType w:val="hybridMultilevel"/>
    <w:tmpl w:val="153AC308"/>
    <w:lvl w:ilvl="0" w:tplc="1812C46C">
      <w:start w:val="1"/>
      <w:numFmt w:val="decimal"/>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23" w15:restartNumberingAfterBreak="0">
    <w:nsid w:val="521C3570"/>
    <w:multiLevelType w:val="hybridMultilevel"/>
    <w:tmpl w:val="7FF09B3E"/>
    <w:lvl w:ilvl="0" w:tplc="9102647C">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4" w15:restartNumberingAfterBreak="0">
    <w:nsid w:val="5638778D"/>
    <w:multiLevelType w:val="multilevel"/>
    <w:tmpl w:val="779644B8"/>
    <w:lvl w:ilvl="0">
      <w:start w:val="15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91A7FC5"/>
    <w:multiLevelType w:val="hybridMultilevel"/>
    <w:tmpl w:val="EDF0993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6" w15:restartNumberingAfterBreak="0">
    <w:nsid w:val="5B46609C"/>
    <w:multiLevelType w:val="hybridMultilevel"/>
    <w:tmpl w:val="9A787B74"/>
    <w:lvl w:ilvl="0" w:tplc="B57E2D34">
      <w:start w:val="1"/>
      <w:numFmt w:val="decimal"/>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27" w15:restartNumberingAfterBreak="0">
    <w:nsid w:val="609C0DCC"/>
    <w:multiLevelType w:val="multilevel"/>
    <w:tmpl w:val="C1848992"/>
    <w:lvl w:ilvl="0">
      <w:start w:val="1"/>
      <w:numFmt w:val="decimal"/>
      <w:pStyle w:val="Paragraphe"/>
      <w:lvlText w:val="[%1]"/>
      <w:lvlJc w:val="left"/>
      <w:pPr>
        <w:tabs>
          <w:tab w:val="num" w:pos="360"/>
        </w:tabs>
        <w:ind w:left="0" w:firstLine="0"/>
      </w:pPr>
      <w:rPr>
        <w:rFonts w:ascii="Arial" w:hAnsi="Arial" w:hint="default"/>
        <w:b w:val="0"/>
        <w:i w:val="0"/>
        <w:sz w:val="24"/>
      </w:rPr>
    </w:lvl>
    <w:lvl w:ilvl="1">
      <w:start w:val="1"/>
      <w:numFmt w:val="decimal"/>
      <w:pStyle w:val="Sous-paragraphe"/>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8" w15:restartNumberingAfterBreak="0">
    <w:nsid w:val="617344CB"/>
    <w:multiLevelType w:val="multilevel"/>
    <w:tmpl w:val="BB403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F15711"/>
    <w:multiLevelType w:val="hybridMultilevel"/>
    <w:tmpl w:val="C10693C4"/>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0" w15:restartNumberingAfterBreak="0">
    <w:nsid w:val="6763078E"/>
    <w:multiLevelType w:val="multilevel"/>
    <w:tmpl w:val="E3386700"/>
    <w:lvl w:ilvl="0">
      <w:start w:val="1"/>
      <w:numFmt w:val="decimal"/>
      <w:lvlText w:val="%1."/>
      <w:lvlJc w:val="left"/>
      <w:pPr>
        <w:ind w:left="799" w:hanging="348"/>
      </w:pPr>
      <w:rPr>
        <w:rFonts w:ascii="Arial" w:eastAsia="Arial" w:hAnsi="Arial" w:cs="Arial" w:hint="default"/>
        <w:b w:val="0"/>
        <w:bCs w:val="0"/>
        <w:i w:val="0"/>
        <w:iCs w:val="0"/>
        <w:color w:val="030303"/>
        <w:spacing w:val="-1"/>
        <w:w w:val="105"/>
        <w:sz w:val="21"/>
        <w:szCs w:val="21"/>
        <w:lang w:val="fr-FR" w:eastAsia="en-US" w:bidi="ar-SA"/>
      </w:rPr>
    </w:lvl>
    <w:lvl w:ilvl="1">
      <w:start w:val="1"/>
      <w:numFmt w:val="decimal"/>
      <w:lvlText w:val="%1.%2"/>
      <w:lvlJc w:val="left"/>
      <w:pPr>
        <w:ind w:left="1143" w:hanging="355"/>
      </w:pPr>
      <w:rPr>
        <w:rFonts w:ascii="Arial" w:eastAsia="Arial" w:hAnsi="Arial" w:cs="Arial" w:hint="default"/>
        <w:b w:val="0"/>
        <w:bCs w:val="0"/>
        <w:i w:val="0"/>
        <w:iCs w:val="0"/>
        <w:color w:val="030303"/>
        <w:spacing w:val="-1"/>
        <w:w w:val="104"/>
        <w:sz w:val="21"/>
        <w:szCs w:val="21"/>
        <w:lang w:val="fr-FR" w:eastAsia="en-US" w:bidi="ar-SA"/>
      </w:rPr>
    </w:lvl>
    <w:lvl w:ilvl="2">
      <w:numFmt w:val="bullet"/>
      <w:lvlText w:val="•"/>
      <w:lvlJc w:val="left"/>
      <w:pPr>
        <w:ind w:left="2006" w:hanging="355"/>
      </w:pPr>
      <w:rPr>
        <w:rFonts w:hint="default"/>
        <w:lang w:val="fr-FR" w:eastAsia="en-US" w:bidi="ar-SA"/>
      </w:rPr>
    </w:lvl>
    <w:lvl w:ilvl="3">
      <w:numFmt w:val="bullet"/>
      <w:lvlText w:val="•"/>
      <w:lvlJc w:val="left"/>
      <w:pPr>
        <w:ind w:left="2873" w:hanging="355"/>
      </w:pPr>
      <w:rPr>
        <w:rFonts w:hint="default"/>
        <w:lang w:val="fr-FR" w:eastAsia="en-US" w:bidi="ar-SA"/>
      </w:rPr>
    </w:lvl>
    <w:lvl w:ilvl="4">
      <w:numFmt w:val="bullet"/>
      <w:lvlText w:val="•"/>
      <w:lvlJc w:val="left"/>
      <w:pPr>
        <w:ind w:left="3740" w:hanging="355"/>
      </w:pPr>
      <w:rPr>
        <w:rFonts w:hint="default"/>
        <w:lang w:val="fr-FR" w:eastAsia="en-US" w:bidi="ar-SA"/>
      </w:rPr>
    </w:lvl>
    <w:lvl w:ilvl="5">
      <w:numFmt w:val="bullet"/>
      <w:lvlText w:val="•"/>
      <w:lvlJc w:val="left"/>
      <w:pPr>
        <w:ind w:left="4607" w:hanging="355"/>
      </w:pPr>
      <w:rPr>
        <w:rFonts w:hint="default"/>
        <w:lang w:val="fr-FR" w:eastAsia="en-US" w:bidi="ar-SA"/>
      </w:rPr>
    </w:lvl>
    <w:lvl w:ilvl="6">
      <w:numFmt w:val="bullet"/>
      <w:lvlText w:val="•"/>
      <w:lvlJc w:val="left"/>
      <w:pPr>
        <w:ind w:left="5474" w:hanging="355"/>
      </w:pPr>
      <w:rPr>
        <w:rFonts w:hint="default"/>
        <w:lang w:val="fr-FR" w:eastAsia="en-US" w:bidi="ar-SA"/>
      </w:rPr>
    </w:lvl>
    <w:lvl w:ilvl="7">
      <w:numFmt w:val="bullet"/>
      <w:lvlText w:val="•"/>
      <w:lvlJc w:val="left"/>
      <w:pPr>
        <w:ind w:left="6341" w:hanging="355"/>
      </w:pPr>
      <w:rPr>
        <w:rFonts w:hint="default"/>
        <w:lang w:val="fr-FR" w:eastAsia="en-US" w:bidi="ar-SA"/>
      </w:rPr>
    </w:lvl>
    <w:lvl w:ilvl="8">
      <w:numFmt w:val="bullet"/>
      <w:lvlText w:val="•"/>
      <w:lvlJc w:val="left"/>
      <w:pPr>
        <w:ind w:left="7208" w:hanging="355"/>
      </w:pPr>
      <w:rPr>
        <w:rFonts w:hint="default"/>
        <w:lang w:val="fr-FR" w:eastAsia="en-US" w:bidi="ar-SA"/>
      </w:rPr>
    </w:lvl>
  </w:abstractNum>
  <w:abstractNum w:abstractNumId="31" w15:restartNumberingAfterBreak="0">
    <w:nsid w:val="6EE475DD"/>
    <w:multiLevelType w:val="hybridMultilevel"/>
    <w:tmpl w:val="AC34FBCE"/>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9311017"/>
    <w:multiLevelType w:val="hybridMultilevel"/>
    <w:tmpl w:val="0492B7EE"/>
    <w:lvl w:ilvl="0" w:tplc="841CB77E">
      <w:start w:val="1"/>
      <w:numFmt w:val="lowerLetter"/>
      <w:lvlText w:val="%1)"/>
      <w:lvlJc w:val="left"/>
      <w:pPr>
        <w:ind w:left="720" w:hanging="360"/>
      </w:pPr>
      <w:rPr>
        <w:rFonts w:hint="default"/>
        <w:color w:val="030303"/>
      </w:rPr>
    </w:lvl>
    <w:lvl w:ilvl="1" w:tplc="0C0C0019" w:tentative="1">
      <w:start w:val="1"/>
      <w:numFmt w:val="lowerLetter"/>
      <w:lvlText w:val="%2."/>
      <w:lvlJc w:val="left"/>
      <w:pPr>
        <w:ind w:left="1440" w:hanging="360"/>
      </w:pPr>
    </w:lvl>
    <w:lvl w:ilvl="2" w:tplc="0C0C001B">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3" w15:restartNumberingAfterBreak="0">
    <w:nsid w:val="79AF13E1"/>
    <w:multiLevelType w:val="hybridMultilevel"/>
    <w:tmpl w:val="AC34FBCE"/>
    <w:lvl w:ilvl="0" w:tplc="0C0C0017">
      <w:start w:val="1"/>
      <w:numFmt w:val="lowerLetter"/>
      <w:lvlText w:val="%1)"/>
      <w:lvlJc w:val="left"/>
      <w:pPr>
        <w:ind w:left="720" w:hanging="360"/>
      </w:pPr>
      <w:rPr>
        <w:rFonts w:hint="default"/>
      </w:rPr>
    </w:lvl>
    <w:lvl w:ilvl="1" w:tplc="0C0C0019">
      <w:start w:val="1"/>
      <w:numFmt w:val="lowerLetter"/>
      <w:lvlText w:val="%2."/>
      <w:lvlJc w:val="left"/>
      <w:pPr>
        <w:ind w:left="1440" w:hanging="360"/>
      </w:pPr>
    </w:lvl>
    <w:lvl w:ilvl="2" w:tplc="0C0C001B">
      <w:start w:val="1"/>
      <w:numFmt w:val="lowerRoman"/>
      <w:lvlText w:val="%3."/>
      <w:lvlJc w:val="right"/>
      <w:pPr>
        <w:ind w:left="2160" w:hanging="180"/>
      </w:pPr>
    </w:lvl>
    <w:lvl w:ilvl="3" w:tplc="0C0C000F">
      <w:start w:val="1"/>
      <w:numFmt w:val="decimal"/>
      <w:lvlText w:val="%4."/>
      <w:lvlJc w:val="left"/>
      <w:pPr>
        <w:ind w:left="2880" w:hanging="360"/>
      </w:pPr>
    </w:lvl>
    <w:lvl w:ilvl="4" w:tplc="0C0C0019">
      <w:start w:val="1"/>
      <w:numFmt w:val="lowerLetter"/>
      <w:lvlText w:val="%5."/>
      <w:lvlJc w:val="left"/>
      <w:pPr>
        <w:ind w:left="3600" w:hanging="360"/>
      </w:pPr>
    </w:lvl>
    <w:lvl w:ilvl="5" w:tplc="0C0C001B">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16cid:durableId="860898101">
    <w:abstractNumId w:val="27"/>
  </w:num>
  <w:num w:numId="2" w16cid:durableId="389158864">
    <w:abstractNumId w:val="27"/>
  </w:num>
  <w:num w:numId="3" w16cid:durableId="535703740">
    <w:abstractNumId w:val="27"/>
  </w:num>
  <w:num w:numId="4" w16cid:durableId="1360275152">
    <w:abstractNumId w:val="8"/>
  </w:num>
  <w:num w:numId="5" w16cid:durableId="896932814">
    <w:abstractNumId w:val="3"/>
  </w:num>
  <w:num w:numId="6" w16cid:durableId="1291595030">
    <w:abstractNumId w:val="2"/>
  </w:num>
  <w:num w:numId="7" w16cid:durableId="2058552003">
    <w:abstractNumId w:val="1"/>
  </w:num>
  <w:num w:numId="8" w16cid:durableId="1709380561">
    <w:abstractNumId w:val="0"/>
  </w:num>
  <w:num w:numId="9" w16cid:durableId="991446443">
    <w:abstractNumId w:val="9"/>
  </w:num>
  <w:num w:numId="10" w16cid:durableId="191263256">
    <w:abstractNumId w:val="7"/>
  </w:num>
  <w:num w:numId="11" w16cid:durableId="1384596733">
    <w:abstractNumId w:val="6"/>
  </w:num>
  <w:num w:numId="12" w16cid:durableId="1629121844">
    <w:abstractNumId w:val="5"/>
  </w:num>
  <w:num w:numId="13" w16cid:durableId="2099137928">
    <w:abstractNumId w:val="4"/>
  </w:num>
  <w:num w:numId="14" w16cid:durableId="1535918956">
    <w:abstractNumId w:val="25"/>
  </w:num>
  <w:num w:numId="15" w16cid:durableId="108740934">
    <w:abstractNumId w:val="27"/>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601667">
    <w:abstractNumId w:val="30"/>
  </w:num>
  <w:num w:numId="17" w16cid:durableId="2004046052">
    <w:abstractNumId w:val="11"/>
  </w:num>
  <w:num w:numId="18" w16cid:durableId="1446846991">
    <w:abstractNumId w:val="32"/>
  </w:num>
  <w:num w:numId="19" w16cid:durableId="1737702807">
    <w:abstractNumId w:val="14"/>
  </w:num>
  <w:num w:numId="20" w16cid:durableId="951597733">
    <w:abstractNumId w:val="12"/>
  </w:num>
  <w:num w:numId="21" w16cid:durableId="972440619">
    <w:abstractNumId w:val="28"/>
  </w:num>
  <w:num w:numId="22" w16cid:durableId="700086750">
    <w:abstractNumId w:val="15"/>
  </w:num>
  <w:num w:numId="23" w16cid:durableId="1364404073">
    <w:abstractNumId w:val="10"/>
  </w:num>
  <w:num w:numId="24" w16cid:durableId="783815282">
    <w:abstractNumId w:val="26"/>
  </w:num>
  <w:num w:numId="25" w16cid:durableId="177499856">
    <w:abstractNumId w:val="29"/>
  </w:num>
  <w:num w:numId="26" w16cid:durableId="1631860966">
    <w:abstractNumId w:val="22"/>
  </w:num>
  <w:num w:numId="27" w16cid:durableId="325131567">
    <w:abstractNumId w:val="23"/>
  </w:num>
  <w:num w:numId="28" w16cid:durableId="1246257869">
    <w:abstractNumId w:val="13"/>
  </w:num>
  <w:num w:numId="29" w16cid:durableId="400058532">
    <w:abstractNumId w:val="16"/>
  </w:num>
  <w:num w:numId="30" w16cid:durableId="1895464480">
    <w:abstractNumId w:val="18"/>
  </w:num>
  <w:num w:numId="31" w16cid:durableId="1562325686">
    <w:abstractNumId w:val="24"/>
  </w:num>
  <w:num w:numId="32" w16cid:durableId="1208100573">
    <w:abstractNumId w:val="17"/>
  </w:num>
  <w:num w:numId="33" w16cid:durableId="146750579">
    <w:abstractNumId w:val="33"/>
  </w:num>
  <w:num w:numId="34" w16cid:durableId="458380651">
    <w:abstractNumId w:val="21"/>
  </w:num>
  <w:num w:numId="35" w16cid:durableId="766845918">
    <w:abstractNumId w:val="20"/>
  </w:num>
  <w:num w:numId="36" w16cid:durableId="1697923709">
    <w:abstractNumId w:val="31"/>
  </w:num>
  <w:num w:numId="37" w16cid:durableId="63402247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31"/>
  <w:hyphenationZone w:val="425"/>
  <w:displayHorizontalDrawingGridEvery w:val="0"/>
  <w:displayVerticalDrawingGridEvery w:val="0"/>
  <w:doNotUseMarginsForDrawingGridOrigin/>
  <w:noPunctuationKerning/>
  <w:characterSpacingControl w:val="doNotCompres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6A3"/>
    <w:rsid w:val="00006A9E"/>
    <w:rsid w:val="00007CED"/>
    <w:rsid w:val="00021590"/>
    <w:rsid w:val="00021997"/>
    <w:rsid w:val="00022BDA"/>
    <w:rsid w:val="0003284A"/>
    <w:rsid w:val="00032AF1"/>
    <w:rsid w:val="000374D0"/>
    <w:rsid w:val="00037A75"/>
    <w:rsid w:val="0004494A"/>
    <w:rsid w:val="0004756A"/>
    <w:rsid w:val="00047A43"/>
    <w:rsid w:val="00051DB0"/>
    <w:rsid w:val="00052F66"/>
    <w:rsid w:val="00054B05"/>
    <w:rsid w:val="00055F3E"/>
    <w:rsid w:val="00064C37"/>
    <w:rsid w:val="00067D48"/>
    <w:rsid w:val="000722FE"/>
    <w:rsid w:val="000756CA"/>
    <w:rsid w:val="00083284"/>
    <w:rsid w:val="0008343E"/>
    <w:rsid w:val="0009033B"/>
    <w:rsid w:val="00090F49"/>
    <w:rsid w:val="0009653E"/>
    <w:rsid w:val="000A124A"/>
    <w:rsid w:val="000A7D0F"/>
    <w:rsid w:val="000B2CD7"/>
    <w:rsid w:val="000C34E3"/>
    <w:rsid w:val="000C3658"/>
    <w:rsid w:val="000D421A"/>
    <w:rsid w:val="000D4D4A"/>
    <w:rsid w:val="000D55A3"/>
    <w:rsid w:val="000E2AF6"/>
    <w:rsid w:val="000F4D72"/>
    <w:rsid w:val="00100479"/>
    <w:rsid w:val="001019DE"/>
    <w:rsid w:val="00107718"/>
    <w:rsid w:val="001078F9"/>
    <w:rsid w:val="001125D9"/>
    <w:rsid w:val="0013342B"/>
    <w:rsid w:val="00136B18"/>
    <w:rsid w:val="00140187"/>
    <w:rsid w:val="00142DD3"/>
    <w:rsid w:val="001456A9"/>
    <w:rsid w:val="00155BB3"/>
    <w:rsid w:val="00157E12"/>
    <w:rsid w:val="00170EF1"/>
    <w:rsid w:val="00171864"/>
    <w:rsid w:val="00194058"/>
    <w:rsid w:val="001946CC"/>
    <w:rsid w:val="00194B36"/>
    <w:rsid w:val="00194C64"/>
    <w:rsid w:val="00195DBD"/>
    <w:rsid w:val="00195EB0"/>
    <w:rsid w:val="001A0753"/>
    <w:rsid w:val="001A5BD8"/>
    <w:rsid w:val="001A6449"/>
    <w:rsid w:val="001B2A17"/>
    <w:rsid w:val="001B373C"/>
    <w:rsid w:val="001B6226"/>
    <w:rsid w:val="001C0AAF"/>
    <w:rsid w:val="001C0F0C"/>
    <w:rsid w:val="001C300B"/>
    <w:rsid w:val="001C62F0"/>
    <w:rsid w:val="001D79C5"/>
    <w:rsid w:val="001D7AEC"/>
    <w:rsid w:val="001D7FE3"/>
    <w:rsid w:val="001E06DC"/>
    <w:rsid w:val="001E1309"/>
    <w:rsid w:val="001F0DC9"/>
    <w:rsid w:val="001F425F"/>
    <w:rsid w:val="002014C0"/>
    <w:rsid w:val="00212A64"/>
    <w:rsid w:val="00222E6E"/>
    <w:rsid w:val="0022331C"/>
    <w:rsid w:val="0023440E"/>
    <w:rsid w:val="00236B04"/>
    <w:rsid w:val="002402BC"/>
    <w:rsid w:val="00257CA2"/>
    <w:rsid w:val="00260B77"/>
    <w:rsid w:val="00264BAC"/>
    <w:rsid w:val="00267725"/>
    <w:rsid w:val="0027352B"/>
    <w:rsid w:val="00274A9F"/>
    <w:rsid w:val="00283437"/>
    <w:rsid w:val="00286128"/>
    <w:rsid w:val="00291D8E"/>
    <w:rsid w:val="00293888"/>
    <w:rsid w:val="002939F3"/>
    <w:rsid w:val="00296BFB"/>
    <w:rsid w:val="002A4BC3"/>
    <w:rsid w:val="002A590A"/>
    <w:rsid w:val="002B3756"/>
    <w:rsid w:val="002B46BB"/>
    <w:rsid w:val="002C2141"/>
    <w:rsid w:val="002C306D"/>
    <w:rsid w:val="002C6493"/>
    <w:rsid w:val="002C6AF8"/>
    <w:rsid w:val="002C75AB"/>
    <w:rsid w:val="002C7939"/>
    <w:rsid w:val="002D3B04"/>
    <w:rsid w:val="002D55E1"/>
    <w:rsid w:val="002D642A"/>
    <w:rsid w:val="002E65C4"/>
    <w:rsid w:val="002F2727"/>
    <w:rsid w:val="002F2A1C"/>
    <w:rsid w:val="002F387A"/>
    <w:rsid w:val="00307464"/>
    <w:rsid w:val="00314B5D"/>
    <w:rsid w:val="0031575C"/>
    <w:rsid w:val="00320DCD"/>
    <w:rsid w:val="00325F3B"/>
    <w:rsid w:val="003271D7"/>
    <w:rsid w:val="00332A38"/>
    <w:rsid w:val="00333B0B"/>
    <w:rsid w:val="003548AE"/>
    <w:rsid w:val="00362CDF"/>
    <w:rsid w:val="003630EB"/>
    <w:rsid w:val="003637BD"/>
    <w:rsid w:val="00374608"/>
    <w:rsid w:val="00375E43"/>
    <w:rsid w:val="00381AE5"/>
    <w:rsid w:val="00392935"/>
    <w:rsid w:val="003A0591"/>
    <w:rsid w:val="003A0E1A"/>
    <w:rsid w:val="003A39F7"/>
    <w:rsid w:val="003B0D29"/>
    <w:rsid w:val="003B2125"/>
    <w:rsid w:val="003B526B"/>
    <w:rsid w:val="003B54CF"/>
    <w:rsid w:val="003B5B9C"/>
    <w:rsid w:val="003C601C"/>
    <w:rsid w:val="003D1258"/>
    <w:rsid w:val="003D604D"/>
    <w:rsid w:val="003E329C"/>
    <w:rsid w:val="003E76CC"/>
    <w:rsid w:val="003F2D4D"/>
    <w:rsid w:val="003F494A"/>
    <w:rsid w:val="00401347"/>
    <w:rsid w:val="00402A4B"/>
    <w:rsid w:val="00403D4C"/>
    <w:rsid w:val="00406EFC"/>
    <w:rsid w:val="00407FA1"/>
    <w:rsid w:val="00423A94"/>
    <w:rsid w:val="00426659"/>
    <w:rsid w:val="00434612"/>
    <w:rsid w:val="00437365"/>
    <w:rsid w:val="00437EF7"/>
    <w:rsid w:val="004427A4"/>
    <w:rsid w:val="00442A35"/>
    <w:rsid w:val="004446C0"/>
    <w:rsid w:val="00451034"/>
    <w:rsid w:val="00457AEB"/>
    <w:rsid w:val="00460FCE"/>
    <w:rsid w:val="004615B9"/>
    <w:rsid w:val="004629F7"/>
    <w:rsid w:val="004670DA"/>
    <w:rsid w:val="00470092"/>
    <w:rsid w:val="00477FC8"/>
    <w:rsid w:val="00481F1E"/>
    <w:rsid w:val="00483405"/>
    <w:rsid w:val="004839CC"/>
    <w:rsid w:val="00492160"/>
    <w:rsid w:val="00496CCA"/>
    <w:rsid w:val="004A2EFD"/>
    <w:rsid w:val="004A3F74"/>
    <w:rsid w:val="004B0C82"/>
    <w:rsid w:val="004B339E"/>
    <w:rsid w:val="004B513D"/>
    <w:rsid w:val="004B5144"/>
    <w:rsid w:val="004C797D"/>
    <w:rsid w:val="004D1A05"/>
    <w:rsid w:val="004D1BB9"/>
    <w:rsid w:val="004D4D39"/>
    <w:rsid w:val="004F022F"/>
    <w:rsid w:val="004F63F6"/>
    <w:rsid w:val="00502072"/>
    <w:rsid w:val="005026BB"/>
    <w:rsid w:val="0051053F"/>
    <w:rsid w:val="00510FB7"/>
    <w:rsid w:val="00511A15"/>
    <w:rsid w:val="00511C04"/>
    <w:rsid w:val="00511C71"/>
    <w:rsid w:val="00514761"/>
    <w:rsid w:val="0052476D"/>
    <w:rsid w:val="005263AC"/>
    <w:rsid w:val="00546FCD"/>
    <w:rsid w:val="00552BB2"/>
    <w:rsid w:val="005530F6"/>
    <w:rsid w:val="005542C2"/>
    <w:rsid w:val="00555F82"/>
    <w:rsid w:val="00556BB6"/>
    <w:rsid w:val="005572FE"/>
    <w:rsid w:val="00564F1A"/>
    <w:rsid w:val="00566711"/>
    <w:rsid w:val="0057491B"/>
    <w:rsid w:val="00574EE4"/>
    <w:rsid w:val="0059326B"/>
    <w:rsid w:val="005A0594"/>
    <w:rsid w:val="005A1F93"/>
    <w:rsid w:val="005A4AE3"/>
    <w:rsid w:val="005A54B9"/>
    <w:rsid w:val="005D4EBA"/>
    <w:rsid w:val="005D597F"/>
    <w:rsid w:val="005D66D3"/>
    <w:rsid w:val="005D6EDD"/>
    <w:rsid w:val="005E3BA2"/>
    <w:rsid w:val="005F699B"/>
    <w:rsid w:val="005F7C08"/>
    <w:rsid w:val="00601A86"/>
    <w:rsid w:val="00602CE9"/>
    <w:rsid w:val="0060394A"/>
    <w:rsid w:val="00604BC5"/>
    <w:rsid w:val="00607F47"/>
    <w:rsid w:val="0061532B"/>
    <w:rsid w:val="006242A8"/>
    <w:rsid w:val="0062621F"/>
    <w:rsid w:val="00627DA3"/>
    <w:rsid w:val="006406C5"/>
    <w:rsid w:val="00640D12"/>
    <w:rsid w:val="0064177D"/>
    <w:rsid w:val="006452C1"/>
    <w:rsid w:val="00647A58"/>
    <w:rsid w:val="00650234"/>
    <w:rsid w:val="00655F1B"/>
    <w:rsid w:val="00670EA0"/>
    <w:rsid w:val="00671B2D"/>
    <w:rsid w:val="006722E6"/>
    <w:rsid w:val="00680559"/>
    <w:rsid w:val="006855DE"/>
    <w:rsid w:val="00686587"/>
    <w:rsid w:val="0069667C"/>
    <w:rsid w:val="006A02F5"/>
    <w:rsid w:val="006A04BB"/>
    <w:rsid w:val="006A196E"/>
    <w:rsid w:val="006B58B1"/>
    <w:rsid w:val="006B5E36"/>
    <w:rsid w:val="006C5471"/>
    <w:rsid w:val="006D491C"/>
    <w:rsid w:val="006D713C"/>
    <w:rsid w:val="006E5C99"/>
    <w:rsid w:val="006F2388"/>
    <w:rsid w:val="006F26C0"/>
    <w:rsid w:val="006F6080"/>
    <w:rsid w:val="006F6236"/>
    <w:rsid w:val="00701261"/>
    <w:rsid w:val="007071FB"/>
    <w:rsid w:val="0071032D"/>
    <w:rsid w:val="00713F95"/>
    <w:rsid w:val="00716EF1"/>
    <w:rsid w:val="00717AAF"/>
    <w:rsid w:val="00721DAC"/>
    <w:rsid w:val="007357AD"/>
    <w:rsid w:val="00740D1C"/>
    <w:rsid w:val="00742B9F"/>
    <w:rsid w:val="00742D75"/>
    <w:rsid w:val="00747C78"/>
    <w:rsid w:val="00747FEF"/>
    <w:rsid w:val="00750B7D"/>
    <w:rsid w:val="00752D26"/>
    <w:rsid w:val="00755CA6"/>
    <w:rsid w:val="00760381"/>
    <w:rsid w:val="007603BA"/>
    <w:rsid w:val="00764E51"/>
    <w:rsid w:val="00767F98"/>
    <w:rsid w:val="00770295"/>
    <w:rsid w:val="0077033C"/>
    <w:rsid w:val="00771EFA"/>
    <w:rsid w:val="0077283D"/>
    <w:rsid w:val="00774559"/>
    <w:rsid w:val="007A150F"/>
    <w:rsid w:val="007A4E37"/>
    <w:rsid w:val="007B7D9E"/>
    <w:rsid w:val="007C26A7"/>
    <w:rsid w:val="007C4B26"/>
    <w:rsid w:val="007C54C4"/>
    <w:rsid w:val="007D6AC3"/>
    <w:rsid w:val="007E2BED"/>
    <w:rsid w:val="007E7D93"/>
    <w:rsid w:val="007F00CF"/>
    <w:rsid w:val="007F4D4D"/>
    <w:rsid w:val="007F67BB"/>
    <w:rsid w:val="00801BD7"/>
    <w:rsid w:val="00804D44"/>
    <w:rsid w:val="0081213E"/>
    <w:rsid w:val="00812FA6"/>
    <w:rsid w:val="0082585E"/>
    <w:rsid w:val="00837CD9"/>
    <w:rsid w:val="00844675"/>
    <w:rsid w:val="008607DE"/>
    <w:rsid w:val="008610F5"/>
    <w:rsid w:val="00871334"/>
    <w:rsid w:val="00871AF0"/>
    <w:rsid w:val="00873737"/>
    <w:rsid w:val="00890799"/>
    <w:rsid w:val="008A533B"/>
    <w:rsid w:val="008B10BA"/>
    <w:rsid w:val="008B51EB"/>
    <w:rsid w:val="008B6BE8"/>
    <w:rsid w:val="008C34BF"/>
    <w:rsid w:val="008E7E4A"/>
    <w:rsid w:val="008F06F1"/>
    <w:rsid w:val="008F46D7"/>
    <w:rsid w:val="008F66C6"/>
    <w:rsid w:val="00905D1F"/>
    <w:rsid w:val="00916404"/>
    <w:rsid w:val="00920F5F"/>
    <w:rsid w:val="00921D08"/>
    <w:rsid w:val="00925CA5"/>
    <w:rsid w:val="00926A7E"/>
    <w:rsid w:val="00927F10"/>
    <w:rsid w:val="00932BC5"/>
    <w:rsid w:val="00940769"/>
    <w:rsid w:val="00942A32"/>
    <w:rsid w:val="00944502"/>
    <w:rsid w:val="00947914"/>
    <w:rsid w:val="00951A18"/>
    <w:rsid w:val="009529BD"/>
    <w:rsid w:val="00956B5C"/>
    <w:rsid w:val="00964A36"/>
    <w:rsid w:val="0096698F"/>
    <w:rsid w:val="00973849"/>
    <w:rsid w:val="0097514A"/>
    <w:rsid w:val="00977525"/>
    <w:rsid w:val="00977C0B"/>
    <w:rsid w:val="009800F3"/>
    <w:rsid w:val="00984041"/>
    <w:rsid w:val="009919C0"/>
    <w:rsid w:val="009A0944"/>
    <w:rsid w:val="009A59AA"/>
    <w:rsid w:val="009A6295"/>
    <w:rsid w:val="009B6F09"/>
    <w:rsid w:val="009C01DD"/>
    <w:rsid w:val="009D2756"/>
    <w:rsid w:val="009D7164"/>
    <w:rsid w:val="009E109F"/>
    <w:rsid w:val="009E3335"/>
    <w:rsid w:val="009E6DEE"/>
    <w:rsid w:val="009F4419"/>
    <w:rsid w:val="00A03E95"/>
    <w:rsid w:val="00A110DA"/>
    <w:rsid w:val="00A111CA"/>
    <w:rsid w:val="00A14961"/>
    <w:rsid w:val="00A14EDE"/>
    <w:rsid w:val="00A3321E"/>
    <w:rsid w:val="00A33E1A"/>
    <w:rsid w:val="00A41177"/>
    <w:rsid w:val="00A47263"/>
    <w:rsid w:val="00A57B65"/>
    <w:rsid w:val="00A65142"/>
    <w:rsid w:val="00A83809"/>
    <w:rsid w:val="00A8644F"/>
    <w:rsid w:val="00A86AF0"/>
    <w:rsid w:val="00A934BA"/>
    <w:rsid w:val="00A974AA"/>
    <w:rsid w:val="00AA56AD"/>
    <w:rsid w:val="00AA75C9"/>
    <w:rsid w:val="00AC04BD"/>
    <w:rsid w:val="00AD038F"/>
    <w:rsid w:val="00AE04B1"/>
    <w:rsid w:val="00AF2C63"/>
    <w:rsid w:val="00AF46A3"/>
    <w:rsid w:val="00B005DC"/>
    <w:rsid w:val="00B0618D"/>
    <w:rsid w:val="00B07EE4"/>
    <w:rsid w:val="00B11521"/>
    <w:rsid w:val="00B13E7D"/>
    <w:rsid w:val="00B26795"/>
    <w:rsid w:val="00B26C6D"/>
    <w:rsid w:val="00B31C2E"/>
    <w:rsid w:val="00B37C0B"/>
    <w:rsid w:val="00B44486"/>
    <w:rsid w:val="00B47DDF"/>
    <w:rsid w:val="00B563F0"/>
    <w:rsid w:val="00B619AD"/>
    <w:rsid w:val="00B634A9"/>
    <w:rsid w:val="00B64706"/>
    <w:rsid w:val="00B67E6D"/>
    <w:rsid w:val="00B70C3E"/>
    <w:rsid w:val="00B80D68"/>
    <w:rsid w:val="00B80F9E"/>
    <w:rsid w:val="00B81DF8"/>
    <w:rsid w:val="00B82C3A"/>
    <w:rsid w:val="00B91F77"/>
    <w:rsid w:val="00B92136"/>
    <w:rsid w:val="00B94FB0"/>
    <w:rsid w:val="00BA27BC"/>
    <w:rsid w:val="00BA3309"/>
    <w:rsid w:val="00BA7809"/>
    <w:rsid w:val="00BB177C"/>
    <w:rsid w:val="00BC1CDD"/>
    <w:rsid w:val="00BC5B29"/>
    <w:rsid w:val="00BC6940"/>
    <w:rsid w:val="00BC6CD2"/>
    <w:rsid w:val="00BD0F32"/>
    <w:rsid w:val="00BD2081"/>
    <w:rsid w:val="00BD3B2F"/>
    <w:rsid w:val="00BE010A"/>
    <w:rsid w:val="00BE1D2C"/>
    <w:rsid w:val="00BE390E"/>
    <w:rsid w:val="00BE4402"/>
    <w:rsid w:val="00BE6990"/>
    <w:rsid w:val="00BE6E58"/>
    <w:rsid w:val="00BF3BB5"/>
    <w:rsid w:val="00C03EE4"/>
    <w:rsid w:val="00C0440D"/>
    <w:rsid w:val="00C1449D"/>
    <w:rsid w:val="00C1461D"/>
    <w:rsid w:val="00C2164F"/>
    <w:rsid w:val="00C2410F"/>
    <w:rsid w:val="00C269DA"/>
    <w:rsid w:val="00C27749"/>
    <w:rsid w:val="00C3152D"/>
    <w:rsid w:val="00C31559"/>
    <w:rsid w:val="00C3440B"/>
    <w:rsid w:val="00C50AD1"/>
    <w:rsid w:val="00C54F32"/>
    <w:rsid w:val="00C601F6"/>
    <w:rsid w:val="00C625EA"/>
    <w:rsid w:val="00C63A0D"/>
    <w:rsid w:val="00C66CD1"/>
    <w:rsid w:val="00C71A6C"/>
    <w:rsid w:val="00C72D8D"/>
    <w:rsid w:val="00C73A18"/>
    <w:rsid w:val="00C743CD"/>
    <w:rsid w:val="00C75C87"/>
    <w:rsid w:val="00C77142"/>
    <w:rsid w:val="00C82EF9"/>
    <w:rsid w:val="00C84BC5"/>
    <w:rsid w:val="00C84F4D"/>
    <w:rsid w:val="00C870BD"/>
    <w:rsid w:val="00C92B23"/>
    <w:rsid w:val="00CA27BA"/>
    <w:rsid w:val="00CB6B4F"/>
    <w:rsid w:val="00CC2273"/>
    <w:rsid w:val="00CC5E20"/>
    <w:rsid w:val="00CC7B54"/>
    <w:rsid w:val="00CD74FF"/>
    <w:rsid w:val="00CE34A7"/>
    <w:rsid w:val="00CF4D9E"/>
    <w:rsid w:val="00D157AC"/>
    <w:rsid w:val="00D16A85"/>
    <w:rsid w:val="00D20A6E"/>
    <w:rsid w:val="00D20CE7"/>
    <w:rsid w:val="00D3123B"/>
    <w:rsid w:val="00D418DF"/>
    <w:rsid w:val="00D54038"/>
    <w:rsid w:val="00D772CE"/>
    <w:rsid w:val="00D82A6C"/>
    <w:rsid w:val="00D960AF"/>
    <w:rsid w:val="00DA7428"/>
    <w:rsid w:val="00DA77D3"/>
    <w:rsid w:val="00DB7ADA"/>
    <w:rsid w:val="00DC07E8"/>
    <w:rsid w:val="00DC7BAB"/>
    <w:rsid w:val="00DD5ED9"/>
    <w:rsid w:val="00DE06D9"/>
    <w:rsid w:val="00DE0A0C"/>
    <w:rsid w:val="00DF23DB"/>
    <w:rsid w:val="00DF7386"/>
    <w:rsid w:val="00E068D0"/>
    <w:rsid w:val="00E12C7A"/>
    <w:rsid w:val="00E17695"/>
    <w:rsid w:val="00E21D25"/>
    <w:rsid w:val="00E27958"/>
    <w:rsid w:val="00E3036A"/>
    <w:rsid w:val="00E317AD"/>
    <w:rsid w:val="00E33DAF"/>
    <w:rsid w:val="00E35430"/>
    <w:rsid w:val="00E3594B"/>
    <w:rsid w:val="00E42E1A"/>
    <w:rsid w:val="00E4374B"/>
    <w:rsid w:val="00E447DF"/>
    <w:rsid w:val="00E46C34"/>
    <w:rsid w:val="00E528E1"/>
    <w:rsid w:val="00E606F8"/>
    <w:rsid w:val="00E615B7"/>
    <w:rsid w:val="00E629FF"/>
    <w:rsid w:val="00E660A9"/>
    <w:rsid w:val="00E74349"/>
    <w:rsid w:val="00E8078E"/>
    <w:rsid w:val="00E81188"/>
    <w:rsid w:val="00E82CC3"/>
    <w:rsid w:val="00E82D78"/>
    <w:rsid w:val="00E83735"/>
    <w:rsid w:val="00E84A9E"/>
    <w:rsid w:val="00E9099A"/>
    <w:rsid w:val="00E96055"/>
    <w:rsid w:val="00EA0089"/>
    <w:rsid w:val="00EA248A"/>
    <w:rsid w:val="00EA4F38"/>
    <w:rsid w:val="00EA74C2"/>
    <w:rsid w:val="00EB66A3"/>
    <w:rsid w:val="00EC23A1"/>
    <w:rsid w:val="00EC492C"/>
    <w:rsid w:val="00EF4890"/>
    <w:rsid w:val="00EF5025"/>
    <w:rsid w:val="00F00530"/>
    <w:rsid w:val="00F01748"/>
    <w:rsid w:val="00F03DDA"/>
    <w:rsid w:val="00F07159"/>
    <w:rsid w:val="00F10616"/>
    <w:rsid w:val="00F13CD1"/>
    <w:rsid w:val="00F13FCA"/>
    <w:rsid w:val="00F22CA6"/>
    <w:rsid w:val="00F240B6"/>
    <w:rsid w:val="00F3025D"/>
    <w:rsid w:val="00F3135E"/>
    <w:rsid w:val="00F417FF"/>
    <w:rsid w:val="00F536A1"/>
    <w:rsid w:val="00F53D2D"/>
    <w:rsid w:val="00F6108E"/>
    <w:rsid w:val="00F64740"/>
    <w:rsid w:val="00F7202F"/>
    <w:rsid w:val="00F74317"/>
    <w:rsid w:val="00F85B75"/>
    <w:rsid w:val="00F861BD"/>
    <w:rsid w:val="00F91053"/>
    <w:rsid w:val="00F94B57"/>
    <w:rsid w:val="00FA1CFE"/>
    <w:rsid w:val="00FC282D"/>
    <w:rsid w:val="00FC36A4"/>
    <w:rsid w:val="00FC473C"/>
    <w:rsid w:val="00FC6062"/>
    <w:rsid w:val="00FC69A3"/>
    <w:rsid w:val="00FC6DEF"/>
    <w:rsid w:val="00FD06E6"/>
    <w:rsid w:val="00FD6E39"/>
    <w:rsid w:val="00FE444D"/>
    <w:rsid w:val="00FE61A0"/>
    <w:rsid w:val="00FE7C78"/>
    <w:rsid w:val="00FF048D"/>
    <w:rsid w:val="00FF400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93002A"/>
  <w15:chartTrackingRefBased/>
  <w15:docId w15:val="{73291493-217B-464F-8B33-31613E695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lang w:eastAsia="fr-FR"/>
    </w:rPr>
  </w:style>
  <w:style w:type="paragraph" w:styleId="Titre1">
    <w:name w:val="heading 1"/>
    <w:basedOn w:val="Normal"/>
    <w:next w:val="Normal"/>
    <w:qFormat/>
    <w:pPr>
      <w:keepNext/>
      <w:spacing w:before="240" w:after="60"/>
      <w:outlineLvl w:val="0"/>
    </w:pPr>
    <w:rPr>
      <w:b/>
      <w:kern w:val="28"/>
      <w:sz w:val="28"/>
    </w:rPr>
  </w:style>
  <w:style w:type="paragraph" w:styleId="Titre2">
    <w:name w:val="heading 2"/>
    <w:basedOn w:val="Normal"/>
    <w:next w:val="Normal"/>
    <w:qFormat/>
    <w:pPr>
      <w:keepNext/>
      <w:spacing w:before="240" w:after="60"/>
      <w:outlineLvl w:val="1"/>
    </w:pPr>
    <w:rPr>
      <w:b/>
      <w:i/>
    </w:rPr>
  </w:style>
  <w:style w:type="paragraph" w:styleId="Titre3">
    <w:name w:val="heading 3"/>
    <w:basedOn w:val="Normal"/>
    <w:next w:val="Normal"/>
    <w:qFormat/>
    <w:pPr>
      <w:keepNext/>
      <w:spacing w:before="240" w:after="60"/>
      <w:outlineLvl w:val="2"/>
    </w:pPr>
  </w:style>
  <w:style w:type="paragraph" w:styleId="Titre4">
    <w:name w:val="heading 4"/>
    <w:basedOn w:val="Normal"/>
    <w:next w:val="Normal"/>
    <w:qFormat/>
    <w:pPr>
      <w:keepNext/>
      <w:spacing w:before="240" w:after="60"/>
      <w:outlineLvl w:val="3"/>
    </w:pPr>
    <w:rPr>
      <w:b/>
    </w:rPr>
  </w:style>
  <w:style w:type="paragraph" w:styleId="Titre5">
    <w:name w:val="heading 5"/>
    <w:basedOn w:val="Normal"/>
    <w:next w:val="Normal"/>
    <w:qFormat/>
    <w:pPr>
      <w:spacing w:before="240" w:after="60"/>
      <w:outlineLvl w:val="4"/>
    </w:pPr>
    <w:rPr>
      <w:sz w:val="22"/>
    </w:rPr>
  </w:style>
  <w:style w:type="paragraph" w:styleId="Titre6">
    <w:name w:val="heading 6"/>
    <w:basedOn w:val="Normal"/>
    <w:next w:val="Normal"/>
    <w:qFormat/>
    <w:pPr>
      <w:spacing w:before="240" w:after="60"/>
      <w:outlineLvl w:val="5"/>
    </w:pPr>
    <w:rPr>
      <w:i/>
      <w:sz w:val="22"/>
    </w:rPr>
  </w:style>
  <w:style w:type="paragraph" w:styleId="Titre7">
    <w:name w:val="heading 7"/>
    <w:basedOn w:val="Normal"/>
    <w:next w:val="Normal"/>
    <w:qFormat/>
    <w:pPr>
      <w:spacing w:before="240" w:after="60"/>
      <w:outlineLvl w:val="6"/>
    </w:pPr>
    <w:rPr>
      <w:sz w:val="20"/>
    </w:rPr>
  </w:style>
  <w:style w:type="paragraph" w:styleId="Titre8">
    <w:name w:val="heading 8"/>
    <w:basedOn w:val="Normal"/>
    <w:next w:val="Normal"/>
    <w:qFormat/>
    <w:pPr>
      <w:spacing w:before="240" w:after="60"/>
      <w:outlineLvl w:val="7"/>
    </w:pPr>
    <w:rPr>
      <w:i/>
      <w:sz w:val="20"/>
    </w:rPr>
  </w:style>
  <w:style w:type="paragraph" w:styleId="Titre9">
    <w:name w:val="heading 9"/>
    <w:basedOn w:val="Normal"/>
    <w:next w:val="Normal"/>
    <w:qFormat/>
    <w:pPr>
      <w:spacing w:before="240" w:after="60"/>
      <w:outlineLvl w:val="8"/>
    </w:pPr>
    <w:rPr>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e">
    <w:name w:val="Paragraphe"/>
    <w:basedOn w:val="Normal"/>
    <w:pPr>
      <w:numPr>
        <w:numId w:val="2"/>
      </w:numPr>
      <w:spacing w:before="120" w:after="120" w:line="500" w:lineRule="exact"/>
      <w:jc w:val="both"/>
    </w:pPr>
    <w:rPr>
      <w:kern w:val="28"/>
    </w:rPr>
  </w:style>
  <w:style w:type="paragraph" w:customStyle="1" w:styleId="Citationenretrait">
    <w:name w:val="Citation en retrait"/>
    <w:basedOn w:val="Normal"/>
    <w:pPr>
      <w:spacing w:before="120" w:after="120"/>
      <w:ind w:left="720" w:right="720"/>
      <w:jc w:val="both"/>
    </w:pPr>
    <w:rPr>
      <w:kern w:val="24"/>
      <w:sz w:val="22"/>
    </w:rPr>
  </w:style>
  <w:style w:type="character" w:customStyle="1" w:styleId="Citationintgre">
    <w:name w:val="Citation intégrée"/>
    <w:rPr>
      <w:rFonts w:ascii="Arial" w:hAnsi="Arial"/>
      <w:i/>
      <w:noProof w:val="0"/>
      <w:sz w:val="22"/>
      <w:lang w:val="fr-CA"/>
    </w:rPr>
  </w:style>
  <w:style w:type="paragraph" w:styleId="Corpsdetexte">
    <w:name w:val="Body Text"/>
    <w:basedOn w:val="Normal"/>
    <w:semiHidden/>
    <w:pPr>
      <w:spacing w:after="120"/>
    </w:pPr>
  </w:style>
  <w:style w:type="paragraph" w:styleId="Notedebasdepage">
    <w:name w:val="footnote text"/>
    <w:basedOn w:val="Normal"/>
    <w:link w:val="NotedebasdepageCar"/>
    <w:semiHidden/>
    <w:pPr>
      <w:ind w:left="360" w:hanging="360"/>
      <w:jc w:val="both"/>
    </w:pPr>
    <w:rPr>
      <w:sz w:val="20"/>
    </w:rPr>
  </w:style>
  <w:style w:type="paragraph" w:styleId="Notedefin">
    <w:name w:val="endnote text"/>
    <w:basedOn w:val="Normal"/>
    <w:semiHidden/>
    <w:pPr>
      <w:ind w:left="-360"/>
      <w:jc w:val="both"/>
    </w:pPr>
    <w:rPr>
      <w:sz w:val="20"/>
    </w:rPr>
  </w:style>
  <w:style w:type="paragraph" w:customStyle="1" w:styleId="zSoquijlblCour">
    <w:name w:val="zSoquij_lblCour"/>
    <w:basedOn w:val="Normal"/>
    <w:pPr>
      <w:jc w:val="center"/>
    </w:pPr>
    <w:rPr>
      <w:b/>
      <w:sz w:val="36"/>
    </w:rPr>
  </w:style>
  <w:style w:type="paragraph" w:customStyle="1" w:styleId="zSoquijlblPays">
    <w:name w:val="zSoquij_lblPays"/>
    <w:basedOn w:val="Normal"/>
  </w:style>
  <w:style w:type="paragraph" w:customStyle="1" w:styleId="zSoquijlblProvince">
    <w:name w:val="zSoquij_lblProvince"/>
    <w:basedOn w:val="Normal"/>
  </w:style>
  <w:style w:type="paragraph" w:customStyle="1" w:styleId="zSoquijlblGreffe">
    <w:name w:val="zSoquij_lblGreffe"/>
    <w:basedOn w:val="Normal"/>
    <w:pPr>
      <w:ind w:left="70"/>
    </w:pPr>
  </w:style>
  <w:style w:type="paragraph" w:customStyle="1" w:styleId="zSoquijdatGreffe">
    <w:name w:val="zSoquij_datGreffe"/>
    <w:basedOn w:val="Normal"/>
    <w:pPr>
      <w:ind w:left="29"/>
    </w:pPr>
  </w:style>
  <w:style w:type="paragraph" w:customStyle="1" w:styleId="zSoquijdatDivision">
    <w:name w:val="zSoquij_datDivision"/>
    <w:basedOn w:val="Normal"/>
    <w:pPr>
      <w:jc w:val="center"/>
    </w:pPr>
    <w:rPr>
      <w:sz w:val="22"/>
    </w:rPr>
  </w:style>
  <w:style w:type="paragraph" w:customStyle="1" w:styleId="zSoquijlblNoDossier">
    <w:name w:val="zSoquij_lblNoDossier"/>
    <w:basedOn w:val="Normal"/>
  </w:style>
  <w:style w:type="paragraph" w:customStyle="1" w:styleId="zSoquijdatNoDossier">
    <w:name w:val="zSoquij_datNoDossier"/>
    <w:basedOn w:val="Normal"/>
  </w:style>
  <w:style w:type="paragraph" w:customStyle="1" w:styleId="zSoquijdatNoDossierAnt">
    <w:name w:val="zSoquij_datNoDossierAnt"/>
    <w:basedOn w:val="Normal"/>
  </w:style>
  <w:style w:type="paragraph" w:customStyle="1" w:styleId="zSoquijdatDateJugement">
    <w:name w:val="zSoquij_datDateJugement"/>
    <w:basedOn w:val="Normal"/>
  </w:style>
  <w:style w:type="paragraph" w:customStyle="1" w:styleId="zSoquijlblDateJugement">
    <w:name w:val="zSoquij_lblDateJugement"/>
    <w:basedOn w:val="Normal"/>
  </w:style>
  <w:style w:type="paragraph" w:customStyle="1" w:styleId="zSoquijlblJuge">
    <w:name w:val="zSoquij_lblJuge"/>
    <w:basedOn w:val="Normal"/>
    <w:pPr>
      <w:ind w:left="70"/>
    </w:pPr>
    <w:rPr>
      <w:b/>
    </w:rPr>
  </w:style>
  <w:style w:type="paragraph" w:customStyle="1" w:styleId="zSoquijdatQteJuge">
    <w:name w:val="zSoquij_datQteJuge"/>
    <w:basedOn w:val="Normal"/>
    <w:pPr>
      <w:ind w:left="29"/>
    </w:pPr>
    <w:rPr>
      <w:b/>
    </w:rPr>
  </w:style>
  <w:style w:type="paragraph" w:customStyle="1" w:styleId="zSoquijdatJuge">
    <w:name w:val="zSoquij_datJuge"/>
    <w:basedOn w:val="Normal"/>
    <w:pPr>
      <w:ind w:left="52"/>
    </w:pPr>
    <w:rPr>
      <w:b/>
    </w:rPr>
  </w:style>
  <w:style w:type="paragraph" w:customStyle="1" w:styleId="zSoquijdatNomPartieDem">
    <w:name w:val="zSoquij_datNomPartieDem"/>
    <w:basedOn w:val="Normal"/>
    <w:rPr>
      <w:b/>
      <w:bCs/>
    </w:rPr>
  </w:style>
  <w:style w:type="paragraph" w:customStyle="1" w:styleId="zSoquijdatQtePartieDem">
    <w:name w:val="zSoquij_datQtePartieDem"/>
    <w:basedOn w:val="Normal"/>
    <w:pPr>
      <w:ind w:left="708"/>
    </w:pPr>
  </w:style>
  <w:style w:type="paragraph" w:customStyle="1" w:styleId="zSoquijlblLienParties">
    <w:name w:val="zSoquij_lblLienParties"/>
    <w:basedOn w:val="Normal"/>
  </w:style>
  <w:style w:type="paragraph" w:customStyle="1" w:styleId="zSoquijdatNomPartieDef">
    <w:name w:val="zSoquij_datNomPartieDef"/>
    <w:basedOn w:val="Normal"/>
    <w:rPr>
      <w:b/>
      <w:bCs/>
    </w:rPr>
  </w:style>
  <w:style w:type="paragraph" w:customStyle="1" w:styleId="zSoquijdatQtePartieDef">
    <w:name w:val="zSoquij_datQtePartieDef"/>
    <w:basedOn w:val="Normal"/>
    <w:pPr>
      <w:ind w:left="708"/>
    </w:pPr>
  </w:style>
  <w:style w:type="paragraph" w:customStyle="1" w:styleId="zSoquijlblTypeDocument">
    <w:name w:val="zSoquij_lblTypeDocument"/>
    <w:basedOn w:val="Normal"/>
    <w:pPr>
      <w:jc w:val="center"/>
    </w:pPr>
  </w:style>
  <w:style w:type="paragraph" w:customStyle="1" w:styleId="zSoquijlblProcureurDem">
    <w:name w:val="zSoquij_lblProcureurDem"/>
    <w:basedOn w:val="Normal"/>
  </w:style>
  <w:style w:type="paragraph" w:customStyle="1" w:styleId="zSoquijlblProcureurDef">
    <w:name w:val="zSoquij_lblProcureurDef"/>
    <w:basedOn w:val="Normal"/>
  </w:style>
  <w:style w:type="paragraph" w:customStyle="1" w:styleId="zSoquijlblDateAudience">
    <w:name w:val="zSoquij_lblDateAudience"/>
    <w:basedOn w:val="Normal"/>
  </w:style>
  <w:style w:type="paragraph" w:customStyle="1" w:styleId="zSoquijdatDateAudience">
    <w:name w:val="zSoquij_datDateAudience"/>
    <w:basedOn w:val="Normal"/>
  </w:style>
  <w:style w:type="paragraph" w:customStyle="1" w:styleId="zSoquijlblNomChambre">
    <w:name w:val="zSoquij_lblNomChambre"/>
    <w:basedOn w:val="Normal"/>
  </w:style>
  <w:style w:type="paragraph" w:customStyle="1" w:styleId="zSoquijlblOpinionJuge">
    <w:name w:val="zSoquij_lblOpinionJuge"/>
    <w:basedOn w:val="Normal"/>
    <w:pPr>
      <w:tabs>
        <w:tab w:val="left" w:pos="720"/>
      </w:tabs>
      <w:jc w:val="center"/>
    </w:pPr>
  </w:style>
  <w:style w:type="character" w:customStyle="1" w:styleId="zSoquijlblEntNoDossier">
    <w:name w:val="zSoquij_lblEntNoDossier"/>
    <w:basedOn w:val="Policepardfaut"/>
    <w:rPr>
      <w:lang w:val="fr-CA"/>
    </w:rPr>
  </w:style>
  <w:style w:type="paragraph" w:customStyle="1" w:styleId="zSoquijlblTitrePartie">
    <w:name w:val="zSoquij_lblTitrePartie"/>
    <w:basedOn w:val="Normal"/>
  </w:style>
  <w:style w:type="paragraph" w:customStyle="1" w:styleId="zSoquijdatSignature3Juge">
    <w:name w:val="zSoquij_datSignature3Juge"/>
    <w:basedOn w:val="Normal"/>
  </w:style>
  <w:style w:type="paragraph" w:customStyle="1" w:styleId="ParagNonNum">
    <w:name w:val="ParagNonNum"/>
    <w:basedOn w:val="Paragraphe"/>
    <w:pPr>
      <w:numPr>
        <w:numId w:val="0"/>
      </w:numPr>
      <w:ind w:firstLine="734"/>
    </w:pPr>
  </w:style>
  <w:style w:type="paragraph" w:customStyle="1" w:styleId="zSoquijdatIdJuge">
    <w:name w:val="zSoquij_datIdJuge"/>
    <w:basedOn w:val="Normal"/>
    <w:pPr>
      <w:jc w:val="center"/>
    </w:pPr>
    <w:rPr>
      <w:sz w:val="20"/>
    </w:rPr>
  </w:style>
  <w:style w:type="paragraph" w:customStyle="1" w:styleId="Sous-paragraphe">
    <w:name w:val="Sous-paragraphe"/>
    <w:basedOn w:val="Normal"/>
    <w:pPr>
      <w:widowControl w:val="0"/>
      <w:numPr>
        <w:ilvl w:val="1"/>
        <w:numId w:val="2"/>
      </w:numPr>
      <w:spacing w:after="120"/>
      <w:jc w:val="both"/>
    </w:pPr>
    <w:rPr>
      <w:kern w:val="28"/>
    </w:rPr>
  </w:style>
  <w:style w:type="paragraph" w:customStyle="1" w:styleId="zSoquijdatNomProcureurDem">
    <w:name w:val="zSoquij_datNomProcureurDem"/>
    <w:basedOn w:val="zSoquijlblProcureurDem"/>
  </w:style>
  <w:style w:type="paragraph" w:customStyle="1" w:styleId="zSoquijdatNomProcureurDef">
    <w:name w:val="zSoquij_datNomProcureurDef"/>
    <w:basedOn w:val="zSoquijlblProcureurDef"/>
  </w:style>
  <w:style w:type="paragraph" w:customStyle="1" w:styleId="zSoquijdatCabinetProcureurDem">
    <w:name w:val="zSoquij_datCabinetProcureurDem"/>
    <w:basedOn w:val="Normal"/>
  </w:style>
  <w:style w:type="paragraph" w:customStyle="1" w:styleId="zSoquijdatCabinetProcureurDef">
    <w:name w:val="zSoquij_datCabinetProcureurDef"/>
    <w:basedOn w:val="zSoquijlblProcureurDef"/>
  </w:style>
  <w:style w:type="paragraph" w:customStyle="1" w:styleId="zSoquijdatSignatureJuge1">
    <w:name w:val="zSoquij_datSignatureJuge1"/>
    <w:basedOn w:val="Normal"/>
  </w:style>
  <w:style w:type="paragraph" w:customStyle="1" w:styleId="zSoquijdatSignatureJuge2">
    <w:name w:val="zSoquij_datSignatureJuge2"/>
    <w:basedOn w:val="Normal"/>
  </w:style>
  <w:style w:type="paragraph" w:customStyle="1" w:styleId="zSoquijdatSignatureJuge3">
    <w:name w:val="zSoquij_datSignatureJuge3"/>
    <w:basedOn w:val="Normal"/>
  </w:style>
  <w:style w:type="paragraph" w:customStyle="1" w:styleId="zSoquijdatRepertorie">
    <w:name w:val="zSoquij_datRepertorie"/>
    <w:basedOn w:val="zSoquijlblCour"/>
    <w:pPr>
      <w:jc w:val="left"/>
    </w:pPr>
    <w:rPr>
      <w:noProof/>
      <w:sz w:val="22"/>
    </w:rPr>
  </w:style>
  <w:style w:type="paragraph" w:customStyle="1" w:styleId="zSoquijdatRefNeutre">
    <w:name w:val="zSoquij_datRefNeutre"/>
    <w:basedOn w:val="zSoquijlblCour"/>
    <w:pPr>
      <w:jc w:val="left"/>
    </w:pPr>
    <w:rPr>
      <w:noProof/>
      <w:sz w:val="22"/>
    </w:rPr>
  </w:style>
  <w:style w:type="paragraph" w:customStyle="1" w:styleId="zSoquijdatSignature2Juge">
    <w:name w:val="zSoquij_datSignature2Juge"/>
    <w:basedOn w:val="zSoquijdatSignatureJuge3"/>
  </w:style>
  <w:style w:type="paragraph" w:customStyle="1" w:styleId="ParagAlaMarge">
    <w:name w:val="ParagAlaMarge"/>
    <w:basedOn w:val="ParagNonNum"/>
    <w:pPr>
      <w:ind w:firstLine="0"/>
    </w:pPr>
  </w:style>
  <w:style w:type="paragraph" w:customStyle="1" w:styleId="zSoquijlblAssesseurs">
    <w:name w:val="zSoquij_lblAssesseurs"/>
    <w:basedOn w:val="Normal"/>
    <w:pPr>
      <w:ind w:left="14" w:right="-67"/>
    </w:pPr>
  </w:style>
  <w:style w:type="paragraph" w:customStyle="1" w:styleId="zSoquijdatAssesseurs">
    <w:name w:val="zSoquij_datAssesseurs"/>
    <w:basedOn w:val="Normal"/>
    <w:pPr>
      <w:ind w:left="14" w:right="-67"/>
    </w:pPr>
  </w:style>
  <w:style w:type="paragraph" w:customStyle="1" w:styleId="zSoquijlblLocalite">
    <w:name w:val="zSoquij_lblLocalite"/>
    <w:basedOn w:val="zSoquijlblGreffe"/>
  </w:style>
  <w:style w:type="paragraph" w:customStyle="1" w:styleId="zSoquijdatLocalite">
    <w:name w:val="zSoquij_datLocalite"/>
    <w:basedOn w:val="zSoquijdatGreffe"/>
  </w:style>
  <w:style w:type="paragraph" w:styleId="En-tte">
    <w:name w:val="header"/>
    <w:basedOn w:val="Normal"/>
    <w:link w:val="En-tteCar"/>
    <w:uiPriority w:val="99"/>
    <w:unhideWhenUsed/>
    <w:rsid w:val="00402A4B"/>
    <w:pPr>
      <w:tabs>
        <w:tab w:val="center" w:pos="4320"/>
        <w:tab w:val="right" w:pos="8640"/>
      </w:tabs>
    </w:pPr>
  </w:style>
  <w:style w:type="character" w:customStyle="1" w:styleId="En-tteCar">
    <w:name w:val="En-tête Car"/>
    <w:basedOn w:val="Policepardfaut"/>
    <w:link w:val="En-tte"/>
    <w:uiPriority w:val="99"/>
    <w:rsid w:val="00402A4B"/>
    <w:rPr>
      <w:rFonts w:ascii="Arial" w:hAnsi="Arial"/>
      <w:sz w:val="24"/>
      <w:lang w:eastAsia="fr-FR"/>
    </w:rPr>
  </w:style>
  <w:style w:type="paragraph" w:styleId="Pieddepage">
    <w:name w:val="footer"/>
    <w:basedOn w:val="Normal"/>
    <w:link w:val="PieddepageCar"/>
    <w:uiPriority w:val="99"/>
    <w:unhideWhenUsed/>
    <w:rsid w:val="00402A4B"/>
    <w:pPr>
      <w:tabs>
        <w:tab w:val="center" w:pos="4320"/>
        <w:tab w:val="right" w:pos="8640"/>
      </w:tabs>
    </w:pPr>
  </w:style>
  <w:style w:type="character" w:customStyle="1" w:styleId="PieddepageCar">
    <w:name w:val="Pied de page Car"/>
    <w:basedOn w:val="Policepardfaut"/>
    <w:link w:val="Pieddepage"/>
    <w:uiPriority w:val="99"/>
    <w:rsid w:val="00402A4B"/>
    <w:rPr>
      <w:rFonts w:ascii="Arial" w:hAnsi="Arial"/>
      <w:sz w:val="24"/>
      <w:lang w:eastAsia="fr-FR"/>
    </w:rPr>
  </w:style>
  <w:style w:type="paragraph" w:styleId="Paragraphedeliste">
    <w:name w:val="List Paragraph"/>
    <w:basedOn w:val="Normal"/>
    <w:uiPriority w:val="34"/>
    <w:qFormat/>
    <w:rsid w:val="00D772CE"/>
    <w:pPr>
      <w:ind w:left="720"/>
      <w:contextualSpacing/>
    </w:pPr>
  </w:style>
  <w:style w:type="paragraph" w:customStyle="1" w:styleId="TableParagraph">
    <w:name w:val="Table Paragraph"/>
    <w:basedOn w:val="Normal"/>
    <w:uiPriority w:val="1"/>
    <w:qFormat/>
    <w:rsid w:val="00D3123B"/>
    <w:pPr>
      <w:widowControl w:val="0"/>
      <w:autoSpaceDE w:val="0"/>
      <w:autoSpaceDN w:val="0"/>
    </w:pPr>
    <w:rPr>
      <w:rFonts w:eastAsia="Arial" w:cs="Arial"/>
      <w:sz w:val="22"/>
      <w:szCs w:val="22"/>
      <w:lang w:val="fr-FR" w:eastAsia="en-US"/>
    </w:rPr>
  </w:style>
  <w:style w:type="character" w:customStyle="1" w:styleId="label-section">
    <w:name w:val="label-section"/>
    <w:basedOn w:val="Policepardfaut"/>
    <w:rsid w:val="00760381"/>
  </w:style>
  <w:style w:type="character" w:customStyle="1" w:styleId="htitletext2">
    <w:name w:val="htitletext2"/>
    <w:basedOn w:val="Policepardfaut"/>
    <w:rsid w:val="00760381"/>
  </w:style>
  <w:style w:type="paragraph" w:customStyle="1" w:styleId="marginalnote">
    <w:name w:val="marginalnote"/>
    <w:basedOn w:val="Normal"/>
    <w:rsid w:val="00760381"/>
    <w:pPr>
      <w:spacing w:before="100" w:beforeAutospacing="1" w:after="100" w:afterAutospacing="1"/>
    </w:pPr>
    <w:rPr>
      <w:rFonts w:ascii="Times New Roman" w:hAnsi="Times New Roman"/>
      <w:szCs w:val="24"/>
      <w:lang w:eastAsia="fr-CA"/>
    </w:rPr>
  </w:style>
  <w:style w:type="character" w:customStyle="1" w:styleId="wb-invisible">
    <w:name w:val="wb-invisible"/>
    <w:basedOn w:val="Policepardfaut"/>
    <w:rsid w:val="00760381"/>
  </w:style>
  <w:style w:type="paragraph" w:customStyle="1" w:styleId="section">
    <w:name w:val="section"/>
    <w:basedOn w:val="Normal"/>
    <w:rsid w:val="00760381"/>
    <w:pPr>
      <w:spacing w:before="100" w:beforeAutospacing="1" w:after="100" w:afterAutospacing="1"/>
    </w:pPr>
    <w:rPr>
      <w:rFonts w:ascii="Times New Roman" w:hAnsi="Times New Roman"/>
      <w:szCs w:val="24"/>
      <w:lang w:eastAsia="fr-CA"/>
    </w:rPr>
  </w:style>
  <w:style w:type="character" w:customStyle="1" w:styleId="sectionlabel">
    <w:name w:val="sectionlabel"/>
    <w:basedOn w:val="Policepardfaut"/>
    <w:rsid w:val="00760381"/>
  </w:style>
  <w:style w:type="paragraph" w:customStyle="1" w:styleId="paragraph">
    <w:name w:val="paragraph"/>
    <w:basedOn w:val="Normal"/>
    <w:rsid w:val="00760381"/>
    <w:pPr>
      <w:spacing w:before="100" w:beforeAutospacing="1" w:after="100" w:afterAutospacing="1"/>
    </w:pPr>
    <w:rPr>
      <w:rFonts w:ascii="Times New Roman" w:hAnsi="Times New Roman"/>
      <w:szCs w:val="24"/>
      <w:lang w:eastAsia="fr-CA"/>
    </w:rPr>
  </w:style>
  <w:style w:type="character" w:customStyle="1" w:styleId="lawlabel">
    <w:name w:val="lawlabel"/>
    <w:basedOn w:val="Policepardfaut"/>
    <w:rsid w:val="00760381"/>
  </w:style>
  <w:style w:type="character" w:customStyle="1" w:styleId="subsection">
    <w:name w:val="subsection"/>
    <w:basedOn w:val="Policepardfaut"/>
    <w:rsid w:val="00760381"/>
  </w:style>
  <w:style w:type="character" w:styleId="Appelnotedebasdep">
    <w:name w:val="footnote reference"/>
    <w:basedOn w:val="Policepardfaut"/>
    <w:uiPriority w:val="99"/>
    <w:semiHidden/>
    <w:unhideWhenUsed/>
    <w:rsid w:val="00194058"/>
    <w:rPr>
      <w:vertAlign w:val="superscript"/>
    </w:rPr>
  </w:style>
  <w:style w:type="character" w:styleId="Hyperlien">
    <w:name w:val="Hyperlink"/>
    <w:basedOn w:val="Policepardfaut"/>
    <w:uiPriority w:val="99"/>
    <w:unhideWhenUsed/>
    <w:rsid w:val="00D960AF"/>
    <w:rPr>
      <w:color w:val="0563C1" w:themeColor="hyperlink"/>
      <w:u w:val="single"/>
    </w:rPr>
  </w:style>
  <w:style w:type="character" w:styleId="Mentionnonrsolue">
    <w:name w:val="Unresolved Mention"/>
    <w:basedOn w:val="Policepardfaut"/>
    <w:uiPriority w:val="99"/>
    <w:semiHidden/>
    <w:unhideWhenUsed/>
    <w:rsid w:val="00D960AF"/>
    <w:rPr>
      <w:color w:val="605E5C"/>
      <w:shd w:val="clear" w:color="auto" w:fill="E1DFDD"/>
    </w:rPr>
  </w:style>
  <w:style w:type="paragraph" w:customStyle="1" w:styleId="Default">
    <w:name w:val="Default"/>
    <w:rsid w:val="00212A64"/>
    <w:pPr>
      <w:autoSpaceDE w:val="0"/>
      <w:autoSpaceDN w:val="0"/>
      <w:adjustRightInd w:val="0"/>
    </w:pPr>
    <w:rPr>
      <w:rFonts w:ascii="Arial" w:hAnsi="Arial" w:cs="Arial"/>
      <w:color w:val="000000"/>
      <w:sz w:val="24"/>
      <w:szCs w:val="24"/>
    </w:rPr>
  </w:style>
  <w:style w:type="character" w:customStyle="1" w:styleId="NotedebasdepageCar">
    <w:name w:val="Note de bas de page Car"/>
    <w:basedOn w:val="Policepardfaut"/>
    <w:link w:val="Notedebasdepage"/>
    <w:semiHidden/>
    <w:rsid w:val="00136B18"/>
    <w:rPr>
      <w:rFonts w:ascii="Arial" w:hAnsi="Arial"/>
      <w:lang w:eastAsia="fr-FR"/>
    </w:rPr>
  </w:style>
  <w:style w:type="paragraph" w:customStyle="1" w:styleId="commjuris">
    <w:name w:val="commjuris"/>
    <w:basedOn w:val="Normal"/>
    <w:rsid w:val="005A1F93"/>
    <w:pPr>
      <w:spacing w:before="100" w:beforeAutospacing="1" w:after="100" w:afterAutospacing="1"/>
    </w:pPr>
    <w:rPr>
      <w:rFonts w:ascii="Times New Roman" w:hAnsi="Times New Roman"/>
      <w:szCs w:val="24"/>
      <w:lang w:eastAsia="fr-CA"/>
    </w:rPr>
  </w:style>
  <w:style w:type="character" w:styleId="lev">
    <w:name w:val="Strong"/>
    <w:basedOn w:val="Policepardfaut"/>
    <w:uiPriority w:val="22"/>
    <w:qFormat/>
    <w:rsid w:val="005A1F93"/>
    <w:rPr>
      <w:b/>
      <w:bCs/>
    </w:rPr>
  </w:style>
  <w:style w:type="character" w:customStyle="1" w:styleId="italic">
    <w:name w:val="italic"/>
    <w:basedOn w:val="Policepardfaut"/>
    <w:rsid w:val="005A1F93"/>
  </w:style>
  <w:style w:type="paragraph" w:styleId="NormalWeb">
    <w:name w:val="Normal (Web)"/>
    <w:basedOn w:val="Normal"/>
    <w:uiPriority w:val="99"/>
    <w:semiHidden/>
    <w:unhideWhenUsed/>
    <w:rsid w:val="005A1F93"/>
    <w:pPr>
      <w:spacing w:before="100" w:beforeAutospacing="1" w:after="100" w:afterAutospacing="1"/>
    </w:pPr>
    <w:rPr>
      <w:rFonts w:ascii="Times New Roman" w:hAnsi="Times New Roman"/>
      <w:szCs w:val="24"/>
      <w:lang w:eastAsia="fr-CA"/>
    </w:rPr>
  </w:style>
  <w:style w:type="paragraph" w:styleId="Rvision">
    <w:name w:val="Revision"/>
    <w:hidden/>
    <w:uiPriority w:val="99"/>
    <w:semiHidden/>
    <w:rsid w:val="00F7202F"/>
    <w:rPr>
      <w:rFonts w:ascii="Arial" w:hAnsi="Arial"/>
      <w:sz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292519">
      <w:bodyDiv w:val="1"/>
      <w:marLeft w:val="0"/>
      <w:marRight w:val="0"/>
      <w:marTop w:val="0"/>
      <w:marBottom w:val="0"/>
      <w:divBdr>
        <w:top w:val="none" w:sz="0" w:space="0" w:color="auto"/>
        <w:left w:val="none" w:sz="0" w:space="0" w:color="auto"/>
        <w:bottom w:val="none" w:sz="0" w:space="0" w:color="auto"/>
        <w:right w:val="none" w:sz="0" w:space="0" w:color="auto"/>
      </w:divBdr>
      <w:divsChild>
        <w:div w:id="1387341900">
          <w:marLeft w:val="0"/>
          <w:marRight w:val="0"/>
          <w:marTop w:val="219"/>
          <w:marBottom w:val="240"/>
          <w:divBdr>
            <w:top w:val="none" w:sz="0" w:space="0" w:color="auto"/>
            <w:left w:val="none" w:sz="0" w:space="0" w:color="auto"/>
            <w:bottom w:val="none" w:sz="0" w:space="0" w:color="auto"/>
            <w:right w:val="none" w:sz="0" w:space="0" w:color="auto"/>
          </w:divBdr>
          <w:divsChild>
            <w:div w:id="1243218282">
              <w:marLeft w:val="0"/>
              <w:marRight w:val="0"/>
              <w:marTop w:val="0"/>
              <w:marBottom w:val="0"/>
              <w:divBdr>
                <w:top w:val="none" w:sz="0" w:space="0" w:color="auto"/>
                <w:left w:val="none" w:sz="0" w:space="0" w:color="auto"/>
                <w:bottom w:val="none" w:sz="0" w:space="0" w:color="auto"/>
                <w:right w:val="none" w:sz="0" w:space="0" w:color="auto"/>
              </w:divBdr>
            </w:div>
          </w:divsChild>
        </w:div>
        <w:div w:id="128130364">
          <w:marLeft w:val="0"/>
          <w:marRight w:val="0"/>
          <w:marTop w:val="260"/>
          <w:marBottom w:val="240"/>
          <w:divBdr>
            <w:top w:val="none" w:sz="0" w:space="0" w:color="auto"/>
            <w:left w:val="none" w:sz="0" w:space="0" w:color="auto"/>
            <w:bottom w:val="none" w:sz="0" w:space="0" w:color="auto"/>
            <w:right w:val="none" w:sz="0" w:space="0" w:color="auto"/>
          </w:divBdr>
        </w:div>
      </w:divsChild>
    </w:div>
    <w:div w:id="211430644">
      <w:bodyDiv w:val="1"/>
      <w:marLeft w:val="0"/>
      <w:marRight w:val="0"/>
      <w:marTop w:val="0"/>
      <w:marBottom w:val="0"/>
      <w:divBdr>
        <w:top w:val="none" w:sz="0" w:space="0" w:color="auto"/>
        <w:left w:val="none" w:sz="0" w:space="0" w:color="auto"/>
        <w:bottom w:val="none" w:sz="0" w:space="0" w:color="auto"/>
        <w:right w:val="none" w:sz="0" w:space="0" w:color="auto"/>
      </w:divBdr>
    </w:div>
    <w:div w:id="335302598">
      <w:bodyDiv w:val="1"/>
      <w:marLeft w:val="0"/>
      <w:marRight w:val="0"/>
      <w:marTop w:val="0"/>
      <w:marBottom w:val="0"/>
      <w:divBdr>
        <w:top w:val="none" w:sz="0" w:space="0" w:color="auto"/>
        <w:left w:val="none" w:sz="0" w:space="0" w:color="auto"/>
        <w:bottom w:val="none" w:sz="0" w:space="0" w:color="auto"/>
        <w:right w:val="none" w:sz="0" w:space="0" w:color="auto"/>
      </w:divBdr>
    </w:div>
    <w:div w:id="416444951">
      <w:bodyDiv w:val="1"/>
      <w:marLeft w:val="0"/>
      <w:marRight w:val="0"/>
      <w:marTop w:val="0"/>
      <w:marBottom w:val="0"/>
      <w:divBdr>
        <w:top w:val="none" w:sz="0" w:space="0" w:color="auto"/>
        <w:left w:val="none" w:sz="0" w:space="0" w:color="auto"/>
        <w:bottom w:val="none" w:sz="0" w:space="0" w:color="auto"/>
        <w:right w:val="none" w:sz="0" w:space="0" w:color="auto"/>
      </w:divBdr>
      <w:divsChild>
        <w:div w:id="584192819">
          <w:marLeft w:val="0"/>
          <w:marRight w:val="0"/>
          <w:marTop w:val="0"/>
          <w:marBottom w:val="0"/>
          <w:divBdr>
            <w:top w:val="none" w:sz="0" w:space="0" w:color="auto"/>
            <w:left w:val="none" w:sz="0" w:space="0" w:color="auto"/>
            <w:bottom w:val="none" w:sz="0" w:space="0" w:color="auto"/>
            <w:right w:val="none" w:sz="0" w:space="0" w:color="auto"/>
          </w:divBdr>
        </w:div>
      </w:divsChild>
    </w:div>
    <w:div w:id="436216073">
      <w:bodyDiv w:val="1"/>
      <w:marLeft w:val="0"/>
      <w:marRight w:val="0"/>
      <w:marTop w:val="0"/>
      <w:marBottom w:val="0"/>
      <w:divBdr>
        <w:top w:val="none" w:sz="0" w:space="0" w:color="auto"/>
        <w:left w:val="none" w:sz="0" w:space="0" w:color="auto"/>
        <w:bottom w:val="none" w:sz="0" w:space="0" w:color="auto"/>
        <w:right w:val="none" w:sz="0" w:space="0" w:color="auto"/>
      </w:divBdr>
      <w:divsChild>
        <w:div w:id="768158991">
          <w:marLeft w:val="0"/>
          <w:marRight w:val="0"/>
          <w:marTop w:val="219"/>
          <w:marBottom w:val="240"/>
          <w:divBdr>
            <w:top w:val="none" w:sz="0" w:space="0" w:color="auto"/>
            <w:left w:val="none" w:sz="0" w:space="0" w:color="auto"/>
            <w:bottom w:val="none" w:sz="0" w:space="0" w:color="auto"/>
            <w:right w:val="none" w:sz="0" w:space="0" w:color="auto"/>
          </w:divBdr>
          <w:divsChild>
            <w:div w:id="337773746">
              <w:marLeft w:val="0"/>
              <w:marRight w:val="0"/>
              <w:marTop w:val="0"/>
              <w:marBottom w:val="0"/>
              <w:divBdr>
                <w:top w:val="none" w:sz="0" w:space="0" w:color="auto"/>
                <w:left w:val="none" w:sz="0" w:space="0" w:color="auto"/>
                <w:bottom w:val="none" w:sz="0" w:space="0" w:color="auto"/>
                <w:right w:val="none" w:sz="0" w:space="0" w:color="auto"/>
              </w:divBdr>
            </w:div>
          </w:divsChild>
        </w:div>
        <w:div w:id="843328093">
          <w:marLeft w:val="0"/>
          <w:marRight w:val="0"/>
          <w:marTop w:val="240"/>
          <w:marBottom w:val="0"/>
          <w:divBdr>
            <w:top w:val="none" w:sz="0" w:space="0" w:color="auto"/>
            <w:left w:val="none" w:sz="0" w:space="0" w:color="auto"/>
            <w:bottom w:val="none" w:sz="0" w:space="0" w:color="auto"/>
            <w:right w:val="none" w:sz="0" w:space="0" w:color="auto"/>
          </w:divBdr>
        </w:div>
        <w:div w:id="656305977">
          <w:marLeft w:val="0"/>
          <w:marRight w:val="0"/>
          <w:marTop w:val="240"/>
          <w:marBottom w:val="0"/>
          <w:divBdr>
            <w:top w:val="none" w:sz="0" w:space="0" w:color="auto"/>
            <w:left w:val="none" w:sz="0" w:space="0" w:color="auto"/>
            <w:bottom w:val="none" w:sz="0" w:space="0" w:color="auto"/>
            <w:right w:val="none" w:sz="0" w:space="0" w:color="auto"/>
          </w:divBdr>
          <w:divsChild>
            <w:div w:id="1311865988">
              <w:marLeft w:val="0"/>
              <w:marRight w:val="0"/>
              <w:marTop w:val="240"/>
              <w:marBottom w:val="0"/>
              <w:divBdr>
                <w:top w:val="none" w:sz="0" w:space="0" w:color="auto"/>
                <w:left w:val="none" w:sz="0" w:space="0" w:color="auto"/>
                <w:bottom w:val="none" w:sz="0" w:space="0" w:color="auto"/>
                <w:right w:val="none" w:sz="0" w:space="0" w:color="auto"/>
              </w:divBdr>
            </w:div>
            <w:div w:id="1076711934">
              <w:marLeft w:val="0"/>
              <w:marRight w:val="0"/>
              <w:marTop w:val="240"/>
              <w:marBottom w:val="0"/>
              <w:divBdr>
                <w:top w:val="none" w:sz="0" w:space="0" w:color="auto"/>
                <w:left w:val="none" w:sz="0" w:space="0" w:color="auto"/>
                <w:bottom w:val="none" w:sz="0" w:space="0" w:color="auto"/>
                <w:right w:val="none" w:sz="0" w:space="0" w:color="auto"/>
              </w:divBdr>
              <w:divsChild>
                <w:div w:id="32124759">
                  <w:marLeft w:val="0"/>
                  <w:marRight w:val="0"/>
                  <w:marTop w:val="219"/>
                  <w:marBottom w:val="219"/>
                  <w:divBdr>
                    <w:top w:val="none" w:sz="0" w:space="0" w:color="auto"/>
                    <w:left w:val="none" w:sz="0" w:space="0" w:color="auto"/>
                    <w:bottom w:val="none" w:sz="0" w:space="0" w:color="auto"/>
                    <w:right w:val="none" w:sz="0" w:space="0" w:color="auto"/>
                  </w:divBdr>
                </w:div>
              </w:divsChild>
            </w:div>
          </w:divsChild>
        </w:div>
      </w:divsChild>
    </w:div>
    <w:div w:id="846940269">
      <w:bodyDiv w:val="1"/>
      <w:marLeft w:val="0"/>
      <w:marRight w:val="0"/>
      <w:marTop w:val="0"/>
      <w:marBottom w:val="0"/>
      <w:divBdr>
        <w:top w:val="none" w:sz="0" w:space="0" w:color="auto"/>
        <w:left w:val="none" w:sz="0" w:space="0" w:color="auto"/>
        <w:bottom w:val="none" w:sz="0" w:space="0" w:color="auto"/>
        <w:right w:val="none" w:sz="0" w:space="0" w:color="auto"/>
      </w:divBdr>
    </w:div>
    <w:div w:id="950627720">
      <w:bodyDiv w:val="1"/>
      <w:marLeft w:val="0"/>
      <w:marRight w:val="0"/>
      <w:marTop w:val="0"/>
      <w:marBottom w:val="0"/>
      <w:divBdr>
        <w:top w:val="none" w:sz="0" w:space="0" w:color="auto"/>
        <w:left w:val="none" w:sz="0" w:space="0" w:color="auto"/>
        <w:bottom w:val="none" w:sz="0" w:space="0" w:color="auto"/>
        <w:right w:val="none" w:sz="0" w:space="0" w:color="auto"/>
      </w:divBdr>
      <w:divsChild>
        <w:div w:id="625040679">
          <w:marLeft w:val="0"/>
          <w:marRight w:val="0"/>
          <w:marTop w:val="219"/>
          <w:marBottom w:val="0"/>
          <w:divBdr>
            <w:top w:val="none" w:sz="0" w:space="0" w:color="auto"/>
            <w:left w:val="none" w:sz="0" w:space="0" w:color="auto"/>
            <w:bottom w:val="none" w:sz="0" w:space="0" w:color="auto"/>
            <w:right w:val="none" w:sz="0" w:space="0" w:color="auto"/>
          </w:divBdr>
        </w:div>
        <w:div w:id="1067996413">
          <w:marLeft w:val="0"/>
          <w:marRight w:val="0"/>
          <w:marTop w:val="219"/>
          <w:marBottom w:val="0"/>
          <w:divBdr>
            <w:top w:val="none" w:sz="0" w:space="0" w:color="auto"/>
            <w:left w:val="none" w:sz="0" w:space="0" w:color="auto"/>
            <w:bottom w:val="none" w:sz="0" w:space="0" w:color="auto"/>
            <w:right w:val="none" w:sz="0" w:space="0" w:color="auto"/>
          </w:divBdr>
        </w:div>
        <w:div w:id="537470573">
          <w:marLeft w:val="0"/>
          <w:marRight w:val="0"/>
          <w:marTop w:val="219"/>
          <w:marBottom w:val="0"/>
          <w:divBdr>
            <w:top w:val="none" w:sz="0" w:space="0" w:color="auto"/>
            <w:left w:val="none" w:sz="0" w:space="0" w:color="auto"/>
            <w:bottom w:val="none" w:sz="0" w:space="0" w:color="auto"/>
            <w:right w:val="none" w:sz="0" w:space="0" w:color="auto"/>
          </w:divBdr>
        </w:div>
      </w:divsChild>
    </w:div>
    <w:div w:id="992221125">
      <w:bodyDiv w:val="1"/>
      <w:marLeft w:val="0"/>
      <w:marRight w:val="0"/>
      <w:marTop w:val="0"/>
      <w:marBottom w:val="0"/>
      <w:divBdr>
        <w:top w:val="none" w:sz="0" w:space="0" w:color="auto"/>
        <w:left w:val="none" w:sz="0" w:space="0" w:color="auto"/>
        <w:bottom w:val="none" w:sz="0" w:space="0" w:color="auto"/>
        <w:right w:val="none" w:sz="0" w:space="0" w:color="auto"/>
      </w:divBdr>
      <w:divsChild>
        <w:div w:id="1463381712">
          <w:marLeft w:val="0"/>
          <w:marRight w:val="0"/>
          <w:marTop w:val="219"/>
          <w:marBottom w:val="240"/>
          <w:divBdr>
            <w:top w:val="none" w:sz="0" w:space="0" w:color="auto"/>
            <w:left w:val="none" w:sz="0" w:space="0" w:color="auto"/>
            <w:bottom w:val="none" w:sz="0" w:space="0" w:color="auto"/>
            <w:right w:val="none" w:sz="0" w:space="0" w:color="auto"/>
          </w:divBdr>
          <w:divsChild>
            <w:div w:id="2070835253">
              <w:marLeft w:val="0"/>
              <w:marRight w:val="0"/>
              <w:marTop w:val="0"/>
              <w:marBottom w:val="0"/>
              <w:divBdr>
                <w:top w:val="none" w:sz="0" w:space="0" w:color="auto"/>
                <w:left w:val="none" w:sz="0" w:space="0" w:color="auto"/>
                <w:bottom w:val="none" w:sz="0" w:space="0" w:color="auto"/>
                <w:right w:val="none" w:sz="0" w:space="0" w:color="auto"/>
              </w:divBdr>
            </w:div>
          </w:divsChild>
        </w:div>
        <w:div w:id="1150363462">
          <w:marLeft w:val="0"/>
          <w:marRight w:val="0"/>
          <w:marTop w:val="260"/>
          <w:marBottom w:val="240"/>
          <w:divBdr>
            <w:top w:val="none" w:sz="0" w:space="0" w:color="auto"/>
            <w:left w:val="none" w:sz="0" w:space="0" w:color="auto"/>
            <w:bottom w:val="none" w:sz="0" w:space="0" w:color="auto"/>
            <w:right w:val="none" w:sz="0" w:space="0" w:color="auto"/>
          </w:divBdr>
        </w:div>
      </w:divsChild>
    </w:div>
    <w:div w:id="1438982634">
      <w:bodyDiv w:val="1"/>
      <w:marLeft w:val="0"/>
      <w:marRight w:val="0"/>
      <w:marTop w:val="0"/>
      <w:marBottom w:val="0"/>
      <w:divBdr>
        <w:top w:val="none" w:sz="0" w:space="0" w:color="auto"/>
        <w:left w:val="none" w:sz="0" w:space="0" w:color="auto"/>
        <w:bottom w:val="none" w:sz="0" w:space="0" w:color="auto"/>
        <w:right w:val="none" w:sz="0" w:space="0" w:color="auto"/>
      </w:divBdr>
    </w:div>
    <w:div w:id="1681003673">
      <w:bodyDiv w:val="1"/>
      <w:marLeft w:val="0"/>
      <w:marRight w:val="0"/>
      <w:marTop w:val="0"/>
      <w:marBottom w:val="0"/>
      <w:divBdr>
        <w:top w:val="none" w:sz="0" w:space="0" w:color="auto"/>
        <w:left w:val="none" w:sz="0" w:space="0" w:color="auto"/>
        <w:bottom w:val="none" w:sz="0" w:space="0" w:color="auto"/>
        <w:right w:val="none" w:sz="0" w:space="0" w:color="auto"/>
      </w:divBdr>
      <w:divsChild>
        <w:div w:id="650062977">
          <w:marLeft w:val="0"/>
          <w:marRight w:val="0"/>
          <w:marTop w:val="219"/>
          <w:marBottom w:val="240"/>
          <w:divBdr>
            <w:top w:val="none" w:sz="0" w:space="0" w:color="auto"/>
            <w:left w:val="none" w:sz="0" w:space="0" w:color="auto"/>
            <w:bottom w:val="none" w:sz="0" w:space="0" w:color="auto"/>
            <w:right w:val="none" w:sz="0" w:space="0" w:color="auto"/>
          </w:divBdr>
        </w:div>
      </w:divsChild>
    </w:div>
    <w:div w:id="1760175214">
      <w:bodyDiv w:val="1"/>
      <w:marLeft w:val="0"/>
      <w:marRight w:val="0"/>
      <w:marTop w:val="0"/>
      <w:marBottom w:val="0"/>
      <w:divBdr>
        <w:top w:val="none" w:sz="0" w:space="0" w:color="auto"/>
        <w:left w:val="none" w:sz="0" w:space="0" w:color="auto"/>
        <w:bottom w:val="none" w:sz="0" w:space="0" w:color="auto"/>
        <w:right w:val="none" w:sz="0" w:space="0" w:color="auto"/>
      </w:divBdr>
      <w:divsChild>
        <w:div w:id="501093287">
          <w:marLeft w:val="0"/>
          <w:marRight w:val="0"/>
          <w:marTop w:val="219"/>
          <w:marBottom w:val="0"/>
          <w:divBdr>
            <w:top w:val="none" w:sz="0" w:space="0" w:color="auto"/>
            <w:left w:val="none" w:sz="0" w:space="0" w:color="auto"/>
            <w:bottom w:val="none" w:sz="0" w:space="0" w:color="auto"/>
            <w:right w:val="none" w:sz="0" w:space="0" w:color="auto"/>
          </w:divBdr>
          <w:divsChild>
            <w:div w:id="420831544">
              <w:marLeft w:val="0"/>
              <w:marRight w:val="0"/>
              <w:marTop w:val="219"/>
              <w:marBottom w:val="240"/>
              <w:divBdr>
                <w:top w:val="none" w:sz="0" w:space="0" w:color="auto"/>
                <w:left w:val="none" w:sz="0" w:space="0" w:color="auto"/>
                <w:bottom w:val="none" w:sz="0" w:space="0" w:color="auto"/>
                <w:right w:val="none" w:sz="0" w:space="0" w:color="auto"/>
              </w:divBdr>
              <w:divsChild>
                <w:div w:id="1267419178">
                  <w:marLeft w:val="0"/>
                  <w:marRight w:val="0"/>
                  <w:marTop w:val="0"/>
                  <w:marBottom w:val="0"/>
                  <w:divBdr>
                    <w:top w:val="none" w:sz="0" w:space="0" w:color="auto"/>
                    <w:left w:val="none" w:sz="0" w:space="0" w:color="auto"/>
                    <w:bottom w:val="none" w:sz="0" w:space="0" w:color="auto"/>
                    <w:right w:val="none" w:sz="0" w:space="0" w:color="auto"/>
                  </w:divBdr>
                </w:div>
              </w:divsChild>
            </w:div>
            <w:div w:id="1446728060">
              <w:marLeft w:val="0"/>
              <w:marRight w:val="0"/>
              <w:marTop w:val="240"/>
              <w:marBottom w:val="0"/>
              <w:divBdr>
                <w:top w:val="none" w:sz="0" w:space="0" w:color="auto"/>
                <w:left w:val="none" w:sz="0" w:space="0" w:color="auto"/>
                <w:bottom w:val="none" w:sz="0" w:space="0" w:color="auto"/>
                <w:right w:val="none" w:sz="0" w:space="0" w:color="auto"/>
              </w:divBdr>
            </w:div>
          </w:divsChild>
        </w:div>
        <w:div w:id="543443148">
          <w:marLeft w:val="0"/>
          <w:marRight w:val="0"/>
          <w:marTop w:val="219"/>
          <w:marBottom w:val="0"/>
          <w:divBdr>
            <w:top w:val="none" w:sz="0" w:space="0" w:color="auto"/>
            <w:left w:val="none" w:sz="0" w:space="0" w:color="auto"/>
            <w:bottom w:val="none" w:sz="0" w:space="0" w:color="auto"/>
            <w:right w:val="none" w:sz="0" w:space="0" w:color="auto"/>
          </w:divBdr>
          <w:divsChild>
            <w:div w:id="1642422169">
              <w:marLeft w:val="0"/>
              <w:marRight w:val="0"/>
              <w:marTop w:val="219"/>
              <w:marBottom w:val="240"/>
              <w:divBdr>
                <w:top w:val="none" w:sz="0" w:space="0" w:color="auto"/>
                <w:left w:val="none" w:sz="0" w:space="0" w:color="auto"/>
                <w:bottom w:val="none" w:sz="0" w:space="0" w:color="auto"/>
                <w:right w:val="none" w:sz="0" w:space="0" w:color="auto"/>
              </w:divBdr>
              <w:divsChild>
                <w:div w:id="16830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691847">
      <w:bodyDiv w:val="1"/>
      <w:marLeft w:val="0"/>
      <w:marRight w:val="0"/>
      <w:marTop w:val="0"/>
      <w:marBottom w:val="0"/>
      <w:divBdr>
        <w:top w:val="none" w:sz="0" w:space="0" w:color="auto"/>
        <w:left w:val="none" w:sz="0" w:space="0" w:color="auto"/>
        <w:bottom w:val="none" w:sz="0" w:space="0" w:color="auto"/>
        <w:right w:val="none" w:sz="0" w:space="0" w:color="auto"/>
      </w:divBdr>
    </w:div>
    <w:div w:id="1989547899">
      <w:bodyDiv w:val="1"/>
      <w:marLeft w:val="0"/>
      <w:marRight w:val="0"/>
      <w:marTop w:val="0"/>
      <w:marBottom w:val="0"/>
      <w:divBdr>
        <w:top w:val="none" w:sz="0" w:space="0" w:color="auto"/>
        <w:left w:val="none" w:sz="0" w:space="0" w:color="auto"/>
        <w:bottom w:val="none" w:sz="0" w:space="0" w:color="auto"/>
        <w:right w:val="none" w:sz="0" w:space="0" w:color="auto"/>
      </w:divBdr>
      <w:divsChild>
        <w:div w:id="412168883">
          <w:marLeft w:val="0"/>
          <w:marRight w:val="0"/>
          <w:marTop w:val="219"/>
          <w:marBottom w:val="240"/>
          <w:divBdr>
            <w:top w:val="none" w:sz="0" w:space="0" w:color="auto"/>
            <w:left w:val="none" w:sz="0" w:space="0" w:color="auto"/>
            <w:bottom w:val="none" w:sz="0" w:space="0" w:color="auto"/>
            <w:right w:val="none" w:sz="0" w:space="0" w:color="auto"/>
          </w:divBdr>
        </w:div>
        <w:div w:id="514001890">
          <w:marLeft w:val="0"/>
          <w:marRight w:val="0"/>
          <w:marTop w:val="26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attleforcanada.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anadianfirewall.ca/" TargetMode="External"/><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F3AFE5-F921-4A20-B609-1394483356B1}">
  <ds:schemaRefs>
    <ds:schemaRef ds:uri="http://schemas.openxmlformats.org/officeDocument/2006/bibliography"/>
  </ds:schemaRefs>
</ds:datastoreItem>
</file>

<file path=docMetadata/LabelInfo.xml><?xml version="1.0" encoding="utf-8"?>
<clbl:labelList xmlns:clbl="http://schemas.microsoft.com/office/2020/mipLabelMetadata">
  <clbl:label id="{3f6dec78-7ded-4395-975c-6edbb7d10b16}" enabled="0" method="" siteId="{3f6dec78-7ded-4395-975c-6edbb7d10b16}" removed="1"/>
</clbl:labelList>
</file>

<file path=docProps/app.xml><?xml version="1.0" encoding="utf-8"?>
<Properties xmlns="http://schemas.openxmlformats.org/officeDocument/2006/extended-properties" xmlns:vt="http://schemas.openxmlformats.org/officeDocument/2006/docPropsVTypes">
  <Template>Normal.dotm</Template>
  <TotalTime>557</TotalTime>
  <Pages>15</Pages>
  <Words>8301</Words>
  <Characters>45660</Characters>
  <Application>Microsoft Office Word</Application>
  <DocSecurity>0</DocSecurity>
  <Lines>380</Lines>
  <Paragraphs>107</Paragraphs>
  <ScaleCrop>false</ScaleCrop>
  <HeadingPairs>
    <vt:vector size="2" baseType="variant">
      <vt:variant>
        <vt:lpstr>Titre</vt:lpstr>
      </vt:variant>
      <vt:variant>
        <vt:i4>1</vt:i4>
      </vt:variant>
    </vt:vector>
  </HeadingPairs>
  <TitlesOfParts>
    <vt:vector size="1" baseType="lpstr">
      <vt:lpstr>Gabarit EDJ</vt:lpstr>
    </vt:vector>
  </TitlesOfParts>
  <Manager>Stéphane Renauld</Manager>
  <Company>SOQUIJ</Company>
  <LinksUpToDate>false</LinksUpToDate>
  <CharactersWithSpaces>53854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Gabarit EDJ</dc:title>
  <dc:subject/>
  <dc:creator>Sylvie Collard</dc:creator>
  <cp:keywords/>
  <cp:lastModifiedBy>Deschênes, Gabrielle</cp:lastModifiedBy>
  <cp:revision>83</cp:revision>
  <cp:lastPrinted>2026-07-28T11:35:00Z</cp:lastPrinted>
  <dcterms:created xsi:type="dcterms:W3CDTF">2026-07-28T15:23:00Z</dcterms:created>
  <dcterms:modified xsi:type="dcterms:W3CDTF">2026-08-17T15:08:00Z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quij_DateModification">
    <vt:lpwstr>01/24/2002</vt:lpwstr>
  </property>
  <property fmtid="{D5CDD505-2E9C-101B-9397-08002B2CF9AE}" pid="3" name="Soquij_Version">
    <vt:lpwstr>1.6</vt:lpwstr>
  </property>
  <property fmtid="{D5CDD505-2E9C-101B-9397-08002B2CF9AE}" pid="4" name="Soquij_ModifiePar">
    <vt:lpwstr>renste</vt:lpwstr>
  </property>
  <property fmtid="{D5CDD505-2E9C-101B-9397-08002B2CF9AE}" pid="5" name="Soquij_Modele">
    <vt:lpwstr>edj</vt:lpwstr>
  </property>
  <property fmtid="{D5CDD505-2E9C-101B-9397-08002B2CF9AE}" pid="6" name="Soquij_Cour">
    <vt:lpwstr>CQ</vt:lpwstr>
  </property>
  <property fmtid="{D5CDD505-2E9C-101B-9397-08002B2CF9AE}" pid="7" name="Soquij_Langue">
    <vt:lpwstr>Fra</vt:lpwstr>
  </property>
</Properties>
</file>