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2071"/>
        <w:gridCol w:w="1423"/>
        <w:gridCol w:w="1292"/>
        <w:gridCol w:w="3494"/>
      </w:tblGrid>
      <w:tr w:rsidR="00B51BC1" w:rsidRPr="00B51BC1" w14:paraId="70ACE4E6" w14:textId="77777777" w:rsidTr="00B51BC1">
        <w:trPr>
          <w:trHeight w:val="1786"/>
        </w:trPr>
        <w:tc>
          <w:tcPr>
            <w:tcW w:w="5000" w:type="pct"/>
            <w:gridSpan w:val="4"/>
          </w:tcPr>
          <w:p w14:paraId="66565025" w14:textId="77777777" w:rsidR="00B51BC1" w:rsidRPr="00B51BC1" w:rsidRDefault="00B51BC1" w:rsidP="00B51BC1">
            <w:pPr>
              <w:jc w:val="center"/>
              <w:rPr>
                <w:b/>
                <w:lang w:val="fr-CA"/>
              </w:rPr>
            </w:pPr>
            <w:r w:rsidRPr="00B51BC1">
              <w:rPr>
                <w:b/>
                <w:noProof/>
                <w:lang w:val="fr-CA"/>
              </w:rPr>
              <w:drawing>
                <wp:inline distT="0" distB="0" distL="0" distR="0" wp14:anchorId="6E4C7036" wp14:editId="0579B325">
                  <wp:extent cx="1181437" cy="161806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6720" cy="1638996"/>
                          </a:xfrm>
                          <a:prstGeom prst="rect">
                            <a:avLst/>
                          </a:prstGeom>
                          <a:noFill/>
                          <a:ln>
                            <a:noFill/>
                          </a:ln>
                        </pic:spPr>
                      </pic:pic>
                    </a:graphicData>
                  </a:graphic>
                </wp:inline>
              </w:drawing>
            </w:r>
          </w:p>
          <w:p w14:paraId="184D8325" w14:textId="77777777" w:rsidR="00B51BC1" w:rsidRPr="00B51BC1" w:rsidRDefault="00B51BC1" w:rsidP="00B51BC1">
            <w:pPr>
              <w:spacing w:before="120" w:after="100" w:afterAutospacing="1"/>
              <w:jc w:val="center"/>
              <w:rPr>
                <w:lang w:val="fr-CA"/>
              </w:rPr>
            </w:pPr>
            <w:r w:rsidRPr="00B51BC1">
              <w:rPr>
                <w:b/>
                <w:lang w:val="fr-CA"/>
              </w:rPr>
              <w:t>COUR SUPRÊME DU CANADA</w:t>
            </w:r>
          </w:p>
        </w:tc>
      </w:tr>
      <w:tr w:rsidR="00B51BC1" w:rsidRPr="00B51BC1" w14:paraId="633E572F" w14:textId="77777777" w:rsidTr="00B51BC1">
        <w:tblPrEx>
          <w:tblCellMar>
            <w:top w:w="58" w:type="dxa"/>
            <w:left w:w="58" w:type="dxa"/>
            <w:bottom w:w="58" w:type="dxa"/>
            <w:right w:w="58" w:type="dxa"/>
          </w:tblCellMar>
        </w:tblPrEx>
        <w:tc>
          <w:tcPr>
            <w:tcW w:w="2110" w:type="pct"/>
            <w:gridSpan w:val="2"/>
          </w:tcPr>
          <w:p w14:paraId="33D6502E" w14:textId="77777777" w:rsidR="00B51BC1" w:rsidRPr="00B51BC1" w:rsidRDefault="00B51BC1" w:rsidP="00B51BC1">
            <w:pPr>
              <w:rPr>
                <w:b/>
                <w:smallCaps/>
                <w:lang w:val="fr-CA"/>
              </w:rPr>
            </w:pPr>
          </w:p>
          <w:p w14:paraId="3FCEBBAB" w14:textId="77777777" w:rsidR="00B51BC1" w:rsidRPr="00B51BC1" w:rsidRDefault="00B51BC1" w:rsidP="00B51BC1">
            <w:pPr>
              <w:rPr>
                <w:b/>
                <w:smallCaps/>
                <w:lang w:val="fr-CA"/>
              </w:rPr>
            </w:pPr>
            <w:r w:rsidRPr="00B51BC1">
              <w:rPr>
                <w:b/>
                <w:smallCaps/>
                <w:lang w:val="fr-CA"/>
              </w:rPr>
              <w:t>Référence :</w:t>
            </w:r>
            <w:r w:rsidRPr="00B51BC1">
              <w:rPr>
                <w:lang w:val="fr-CA"/>
              </w:rPr>
              <w:t xml:space="preserve"> R. </w:t>
            </w:r>
            <w:r w:rsidRPr="00B51BC1">
              <w:rPr>
                <w:i/>
                <w:lang w:val="fr-CA"/>
              </w:rPr>
              <w:t>c.</w:t>
            </w:r>
            <w:r w:rsidRPr="00B51BC1">
              <w:rPr>
                <w:lang w:val="fr-CA"/>
              </w:rPr>
              <w:t xml:space="preserve"> R.B.-C., 2026 CSC 30</w:t>
            </w:r>
          </w:p>
        </w:tc>
        <w:tc>
          <w:tcPr>
            <w:tcW w:w="780" w:type="pct"/>
          </w:tcPr>
          <w:p w14:paraId="7902697B" w14:textId="77777777" w:rsidR="00B51BC1" w:rsidRPr="00B51BC1" w:rsidRDefault="00B51BC1" w:rsidP="00B51BC1">
            <w:pPr>
              <w:rPr>
                <w:lang w:val="fr-CA"/>
              </w:rPr>
            </w:pPr>
          </w:p>
        </w:tc>
        <w:tc>
          <w:tcPr>
            <w:tcW w:w="2110" w:type="pct"/>
          </w:tcPr>
          <w:p w14:paraId="6C959622" w14:textId="77777777" w:rsidR="00B51BC1" w:rsidRPr="00B51BC1" w:rsidRDefault="00B51BC1" w:rsidP="00B51BC1">
            <w:pPr>
              <w:jc w:val="both"/>
              <w:rPr>
                <w:b/>
                <w:smallCaps/>
                <w:lang w:val="fr-CA"/>
              </w:rPr>
            </w:pPr>
          </w:p>
          <w:p w14:paraId="41AD7955" w14:textId="77777777" w:rsidR="00B51BC1" w:rsidRPr="00B51BC1" w:rsidRDefault="00B51BC1" w:rsidP="00B51BC1">
            <w:pPr>
              <w:jc w:val="both"/>
              <w:rPr>
                <w:lang w:val="fr-CA"/>
              </w:rPr>
            </w:pPr>
            <w:r w:rsidRPr="00B51BC1">
              <w:rPr>
                <w:b/>
                <w:smallCaps/>
                <w:lang w:val="fr-CA"/>
              </w:rPr>
              <w:t>Appel entendu :</w:t>
            </w:r>
            <w:r w:rsidRPr="00B51BC1">
              <w:rPr>
                <w:lang w:val="fr-CA"/>
              </w:rPr>
              <w:t xml:space="preserve"> 16 janvier 2026</w:t>
            </w:r>
          </w:p>
          <w:p w14:paraId="371489C5" w14:textId="77777777" w:rsidR="00B51BC1" w:rsidRPr="00B51BC1" w:rsidRDefault="00B51BC1" w:rsidP="00B51BC1">
            <w:pPr>
              <w:rPr>
                <w:lang w:val="fr-CA"/>
              </w:rPr>
            </w:pPr>
            <w:r w:rsidRPr="00B51BC1">
              <w:rPr>
                <w:b/>
                <w:smallCaps/>
                <w:lang w:val="fr-CA"/>
              </w:rPr>
              <w:t>Jugement rendu :</w:t>
            </w:r>
            <w:r w:rsidRPr="00B51BC1">
              <w:rPr>
                <w:lang w:val="fr-CA"/>
              </w:rPr>
              <w:t xml:space="preserve"> 11 septembre 2026</w:t>
            </w:r>
          </w:p>
          <w:p w14:paraId="29F626E1" w14:textId="77777777" w:rsidR="00B51BC1" w:rsidRPr="00B51BC1" w:rsidRDefault="00B51BC1" w:rsidP="00B51BC1">
            <w:pPr>
              <w:rPr>
                <w:lang w:val="fr-CA"/>
              </w:rPr>
            </w:pPr>
            <w:r w:rsidRPr="00B51BC1">
              <w:rPr>
                <w:b/>
                <w:smallCaps/>
                <w:lang w:val="fr-CA"/>
              </w:rPr>
              <w:t>Dossier :</w:t>
            </w:r>
            <w:r w:rsidRPr="00B51BC1">
              <w:rPr>
                <w:lang w:val="fr-CA"/>
              </w:rPr>
              <w:t xml:space="preserve"> 41677</w:t>
            </w:r>
          </w:p>
        </w:tc>
      </w:tr>
      <w:tr w:rsidR="00B51BC1" w:rsidRPr="00BF439B" w14:paraId="03488CDA" w14:textId="77777777" w:rsidTr="00B51BC1">
        <w:tblPrEx>
          <w:tblCellMar>
            <w:top w:w="58" w:type="dxa"/>
            <w:left w:w="58" w:type="dxa"/>
            <w:bottom w:w="58" w:type="dxa"/>
            <w:right w:w="58" w:type="dxa"/>
          </w:tblCellMar>
        </w:tblPrEx>
        <w:tc>
          <w:tcPr>
            <w:tcW w:w="5000" w:type="pct"/>
            <w:gridSpan w:val="4"/>
          </w:tcPr>
          <w:p w14:paraId="69A390EB" w14:textId="77777777" w:rsidR="00B51BC1" w:rsidRPr="00B51BC1" w:rsidRDefault="00B51BC1" w:rsidP="00B51BC1">
            <w:pPr>
              <w:rPr>
                <w:lang w:val="fr-CA"/>
              </w:rPr>
            </w:pPr>
          </w:p>
          <w:p w14:paraId="42FB8853" w14:textId="77777777" w:rsidR="00B51BC1" w:rsidRPr="00B51BC1" w:rsidRDefault="00B51BC1" w:rsidP="00B51BC1">
            <w:pPr>
              <w:rPr>
                <w:b/>
                <w:smallCaps/>
                <w:lang w:val="fr-CA"/>
              </w:rPr>
            </w:pPr>
            <w:r w:rsidRPr="00B51BC1">
              <w:rPr>
                <w:b/>
                <w:smallCaps/>
                <w:lang w:val="fr-CA"/>
              </w:rPr>
              <w:t>Entre :</w:t>
            </w:r>
          </w:p>
          <w:p w14:paraId="46A9A2C8" w14:textId="77777777" w:rsidR="00B51BC1" w:rsidRPr="00B51BC1" w:rsidRDefault="00B51BC1" w:rsidP="00B51BC1">
            <w:pPr>
              <w:rPr>
                <w:lang w:val="fr-CA"/>
              </w:rPr>
            </w:pPr>
          </w:p>
          <w:p w14:paraId="74D6A932" w14:textId="77777777" w:rsidR="00B51BC1" w:rsidRPr="00B51BC1" w:rsidRDefault="00B51BC1" w:rsidP="00B51BC1">
            <w:pPr>
              <w:jc w:val="center"/>
              <w:rPr>
                <w:b/>
                <w:lang w:val="fr-CA"/>
              </w:rPr>
            </w:pPr>
            <w:r w:rsidRPr="00B51BC1">
              <w:rPr>
                <w:b/>
                <w:lang w:val="fr-CA"/>
              </w:rPr>
              <w:t>R.B.-C.</w:t>
            </w:r>
          </w:p>
          <w:p w14:paraId="6A25DB7F" w14:textId="77777777" w:rsidR="00B51BC1" w:rsidRPr="00B51BC1" w:rsidRDefault="00B51BC1" w:rsidP="00B51BC1">
            <w:pPr>
              <w:jc w:val="center"/>
              <w:rPr>
                <w:lang w:val="fr-CA"/>
              </w:rPr>
            </w:pPr>
            <w:r w:rsidRPr="00B51BC1">
              <w:rPr>
                <w:lang w:val="fr-CA"/>
              </w:rPr>
              <w:t>Appelant</w:t>
            </w:r>
          </w:p>
          <w:p w14:paraId="49628C8D" w14:textId="77777777" w:rsidR="00B51BC1" w:rsidRPr="00B51BC1" w:rsidRDefault="00B51BC1" w:rsidP="00B51BC1">
            <w:pPr>
              <w:rPr>
                <w:lang w:val="fr-CA"/>
              </w:rPr>
            </w:pPr>
          </w:p>
          <w:p w14:paraId="64B6C8E6" w14:textId="77777777" w:rsidR="00B51BC1" w:rsidRPr="00B51BC1" w:rsidRDefault="00B51BC1" w:rsidP="00B51BC1">
            <w:pPr>
              <w:jc w:val="center"/>
              <w:rPr>
                <w:lang w:val="fr-CA"/>
              </w:rPr>
            </w:pPr>
            <w:proofErr w:type="gramStart"/>
            <w:r w:rsidRPr="00B51BC1">
              <w:rPr>
                <w:lang w:val="fr-CA"/>
              </w:rPr>
              <w:t>et</w:t>
            </w:r>
            <w:proofErr w:type="gramEnd"/>
          </w:p>
          <w:p w14:paraId="53460AED" w14:textId="77777777" w:rsidR="00B51BC1" w:rsidRPr="00B51BC1" w:rsidRDefault="00B51BC1" w:rsidP="00B51BC1">
            <w:pPr>
              <w:rPr>
                <w:lang w:val="fr-CA"/>
              </w:rPr>
            </w:pPr>
          </w:p>
          <w:p w14:paraId="411E0B1A" w14:textId="77777777" w:rsidR="00B51BC1" w:rsidRPr="00B51BC1" w:rsidRDefault="00B51BC1" w:rsidP="00B51BC1">
            <w:pPr>
              <w:jc w:val="center"/>
              <w:rPr>
                <w:b/>
                <w:lang w:val="fr-CA"/>
              </w:rPr>
            </w:pPr>
            <w:r w:rsidRPr="00B51BC1">
              <w:rPr>
                <w:b/>
                <w:lang w:val="fr-CA"/>
              </w:rPr>
              <w:t>Sa Majesté le Roi</w:t>
            </w:r>
          </w:p>
          <w:p w14:paraId="389CB897" w14:textId="77777777" w:rsidR="00B51BC1" w:rsidRPr="00B51BC1" w:rsidRDefault="00B51BC1" w:rsidP="00B51BC1">
            <w:pPr>
              <w:jc w:val="center"/>
              <w:rPr>
                <w:lang w:val="fr-CA"/>
              </w:rPr>
            </w:pPr>
            <w:r w:rsidRPr="00B51BC1">
              <w:rPr>
                <w:lang w:val="fr-CA"/>
              </w:rPr>
              <w:t>Intimé</w:t>
            </w:r>
          </w:p>
          <w:p w14:paraId="6F625204" w14:textId="77777777" w:rsidR="00B51BC1" w:rsidRPr="00B51BC1" w:rsidRDefault="00B51BC1" w:rsidP="00B51BC1">
            <w:pPr>
              <w:rPr>
                <w:lang w:val="fr-CA"/>
              </w:rPr>
            </w:pPr>
          </w:p>
          <w:p w14:paraId="29F16980" w14:textId="77777777" w:rsidR="00B51BC1" w:rsidRPr="00B51BC1" w:rsidRDefault="00B51BC1" w:rsidP="00B51BC1">
            <w:pPr>
              <w:jc w:val="center"/>
              <w:rPr>
                <w:lang w:val="fr-CA"/>
              </w:rPr>
            </w:pPr>
            <w:r w:rsidRPr="00B51BC1">
              <w:rPr>
                <w:lang w:val="fr-CA"/>
              </w:rPr>
              <w:t>- et -</w:t>
            </w:r>
          </w:p>
          <w:p w14:paraId="2D692BB1" w14:textId="77777777" w:rsidR="00B51BC1" w:rsidRPr="00B51BC1" w:rsidRDefault="00B51BC1" w:rsidP="00B51BC1">
            <w:pPr>
              <w:rPr>
                <w:lang w:val="fr-CA"/>
              </w:rPr>
            </w:pPr>
          </w:p>
          <w:p w14:paraId="36BDF720" w14:textId="77777777" w:rsidR="00B51BC1" w:rsidRPr="00B51BC1" w:rsidRDefault="00B51BC1" w:rsidP="00B51BC1">
            <w:pPr>
              <w:jc w:val="center"/>
              <w:rPr>
                <w:b/>
                <w:lang w:val="fr-CA"/>
              </w:rPr>
            </w:pPr>
            <w:r w:rsidRPr="00B51BC1">
              <w:rPr>
                <w:b/>
                <w:lang w:val="fr-CA"/>
              </w:rPr>
              <w:t>Directeur des poursuites pénales,</w:t>
            </w:r>
          </w:p>
          <w:p w14:paraId="30BE4797" w14:textId="77777777" w:rsidR="00B51BC1" w:rsidRPr="00B51BC1" w:rsidRDefault="00B51BC1" w:rsidP="00B51BC1">
            <w:pPr>
              <w:jc w:val="center"/>
              <w:rPr>
                <w:b/>
                <w:lang w:val="fr-CA"/>
              </w:rPr>
            </w:pPr>
            <w:proofErr w:type="gramStart"/>
            <w:r w:rsidRPr="00B51BC1">
              <w:rPr>
                <w:b/>
                <w:lang w:val="fr-CA"/>
              </w:rPr>
              <w:t>procureur</w:t>
            </w:r>
            <w:proofErr w:type="gramEnd"/>
            <w:r w:rsidRPr="00B51BC1">
              <w:rPr>
                <w:b/>
                <w:lang w:val="fr-CA"/>
              </w:rPr>
              <w:t xml:space="preserve"> général du Québec,</w:t>
            </w:r>
          </w:p>
          <w:p w14:paraId="0ECD31D8" w14:textId="77777777" w:rsidR="00B51BC1" w:rsidRPr="00B51BC1" w:rsidRDefault="00B51BC1" w:rsidP="00B51BC1">
            <w:pPr>
              <w:jc w:val="center"/>
              <w:rPr>
                <w:b/>
                <w:lang w:val="fr-CA"/>
              </w:rPr>
            </w:pPr>
            <w:proofErr w:type="gramStart"/>
            <w:r w:rsidRPr="00B51BC1">
              <w:rPr>
                <w:b/>
                <w:lang w:val="fr-CA"/>
              </w:rPr>
              <w:t>procureur</w:t>
            </w:r>
            <w:proofErr w:type="gramEnd"/>
            <w:r w:rsidRPr="00B51BC1">
              <w:rPr>
                <w:b/>
                <w:lang w:val="fr-CA"/>
              </w:rPr>
              <w:t xml:space="preserve"> général de la Nouvelle-Écosse,</w:t>
            </w:r>
          </w:p>
          <w:p w14:paraId="70FDD19B" w14:textId="77777777" w:rsidR="00B51BC1" w:rsidRPr="00B51BC1" w:rsidRDefault="00B51BC1" w:rsidP="00B51BC1">
            <w:pPr>
              <w:jc w:val="center"/>
              <w:rPr>
                <w:b/>
                <w:lang w:val="fr-CA"/>
              </w:rPr>
            </w:pPr>
            <w:proofErr w:type="gramStart"/>
            <w:r w:rsidRPr="00B51BC1">
              <w:rPr>
                <w:b/>
                <w:lang w:val="fr-CA"/>
              </w:rPr>
              <w:t>procureur</w:t>
            </w:r>
            <w:proofErr w:type="gramEnd"/>
            <w:r w:rsidRPr="00B51BC1">
              <w:rPr>
                <w:b/>
                <w:lang w:val="fr-CA"/>
              </w:rPr>
              <w:t xml:space="preserve"> général du Manitoba,</w:t>
            </w:r>
          </w:p>
          <w:p w14:paraId="545F129B" w14:textId="77777777" w:rsidR="00B51BC1" w:rsidRPr="00B51BC1" w:rsidRDefault="00B51BC1" w:rsidP="00B51BC1">
            <w:pPr>
              <w:jc w:val="center"/>
              <w:rPr>
                <w:b/>
                <w:lang w:val="fr-CA"/>
              </w:rPr>
            </w:pPr>
            <w:proofErr w:type="gramStart"/>
            <w:r w:rsidRPr="00B51BC1">
              <w:rPr>
                <w:b/>
                <w:lang w:val="fr-CA"/>
              </w:rPr>
              <w:t>procureur</w:t>
            </w:r>
            <w:proofErr w:type="gramEnd"/>
            <w:r w:rsidRPr="00B51BC1">
              <w:rPr>
                <w:b/>
                <w:lang w:val="fr-CA"/>
              </w:rPr>
              <w:t xml:space="preserve"> général de la Colombie-Britannique,</w:t>
            </w:r>
          </w:p>
          <w:p w14:paraId="5E59A258" w14:textId="77777777" w:rsidR="00B51BC1" w:rsidRPr="00B51BC1" w:rsidRDefault="00B51BC1" w:rsidP="00B51BC1">
            <w:pPr>
              <w:jc w:val="center"/>
              <w:rPr>
                <w:b/>
                <w:lang w:val="fr-CA"/>
              </w:rPr>
            </w:pPr>
            <w:proofErr w:type="gramStart"/>
            <w:r w:rsidRPr="00B51BC1">
              <w:rPr>
                <w:b/>
                <w:lang w:val="fr-CA"/>
              </w:rPr>
              <w:t>procureur</w:t>
            </w:r>
            <w:proofErr w:type="gramEnd"/>
            <w:r w:rsidRPr="00B51BC1">
              <w:rPr>
                <w:b/>
                <w:lang w:val="fr-CA"/>
              </w:rPr>
              <w:t xml:space="preserve"> général de l’Alberta,</w:t>
            </w:r>
          </w:p>
          <w:p w14:paraId="2FB5E23C" w14:textId="77777777" w:rsidR="00B51BC1" w:rsidRPr="00B51BC1" w:rsidRDefault="00B51BC1" w:rsidP="00B51BC1">
            <w:pPr>
              <w:jc w:val="center"/>
              <w:rPr>
                <w:b/>
                <w:lang w:val="fr-CA"/>
              </w:rPr>
            </w:pPr>
            <w:proofErr w:type="gramStart"/>
            <w:r w:rsidRPr="00B51BC1">
              <w:rPr>
                <w:b/>
                <w:lang w:val="fr-CA"/>
              </w:rPr>
              <w:t>directeur</w:t>
            </w:r>
            <w:proofErr w:type="gramEnd"/>
            <w:r w:rsidRPr="00B51BC1">
              <w:rPr>
                <w:b/>
                <w:lang w:val="fr-CA"/>
              </w:rPr>
              <w:t xml:space="preserve"> des poursuites criminelles et pénales,</w:t>
            </w:r>
          </w:p>
          <w:p w14:paraId="6FB4F096" w14:textId="77777777" w:rsidR="00B51BC1" w:rsidRPr="00B51BC1" w:rsidRDefault="00B51BC1" w:rsidP="00B51BC1">
            <w:pPr>
              <w:jc w:val="center"/>
              <w:rPr>
                <w:b/>
                <w:lang w:val="fr-CA"/>
              </w:rPr>
            </w:pPr>
            <w:r w:rsidRPr="00B51BC1">
              <w:rPr>
                <w:b/>
                <w:lang w:val="fr-CA"/>
              </w:rPr>
              <w:t>Association québécoise des avocats et avocates de la défense,</w:t>
            </w:r>
          </w:p>
          <w:p w14:paraId="0B7E8DB3" w14:textId="77777777" w:rsidR="00B51BC1" w:rsidRPr="00B51BC1" w:rsidRDefault="00B51BC1" w:rsidP="00B51BC1">
            <w:pPr>
              <w:jc w:val="center"/>
              <w:rPr>
                <w:b/>
                <w:lang w:val="fr-CA"/>
              </w:rPr>
            </w:pPr>
            <w:r w:rsidRPr="00B51BC1">
              <w:rPr>
                <w:b/>
                <w:lang w:val="fr-CA"/>
              </w:rPr>
              <w:t>Association canadienne des libertés civiles,</w:t>
            </w:r>
          </w:p>
          <w:p w14:paraId="110ED263" w14:textId="77777777" w:rsidR="00B51BC1" w:rsidRPr="00B51BC1" w:rsidRDefault="00B51BC1" w:rsidP="00B51BC1">
            <w:pPr>
              <w:jc w:val="center"/>
              <w:rPr>
                <w:b/>
                <w:lang w:val="fr-CA"/>
              </w:rPr>
            </w:pPr>
            <w:r w:rsidRPr="00B51BC1">
              <w:rPr>
                <w:b/>
                <w:lang w:val="fr-CA"/>
              </w:rPr>
              <w:t>British Columbia Civil Liberties Association et</w:t>
            </w:r>
          </w:p>
          <w:p w14:paraId="00A9E8F3" w14:textId="77777777" w:rsidR="00B51BC1" w:rsidRPr="00B51BC1" w:rsidRDefault="00B51BC1" w:rsidP="00B51BC1">
            <w:pPr>
              <w:jc w:val="center"/>
              <w:rPr>
                <w:b/>
                <w:lang w:val="fr-CA"/>
              </w:rPr>
            </w:pPr>
            <w:r w:rsidRPr="00B51BC1">
              <w:rPr>
                <w:b/>
                <w:lang w:val="fr-CA"/>
              </w:rPr>
              <w:t>Criminal Lawyers’ Association (Ontario)</w:t>
            </w:r>
          </w:p>
          <w:p w14:paraId="115A629C" w14:textId="77777777" w:rsidR="00B51BC1" w:rsidRPr="00B51BC1" w:rsidRDefault="00B51BC1" w:rsidP="00B51BC1">
            <w:pPr>
              <w:jc w:val="center"/>
              <w:rPr>
                <w:lang w:val="fr-CA"/>
              </w:rPr>
            </w:pPr>
            <w:r w:rsidRPr="00B51BC1">
              <w:rPr>
                <w:lang w:val="fr-CA"/>
              </w:rPr>
              <w:t>Intervenants</w:t>
            </w:r>
          </w:p>
          <w:p w14:paraId="5385B438" w14:textId="77777777" w:rsidR="00B51BC1" w:rsidRPr="00B51BC1" w:rsidRDefault="00B51BC1" w:rsidP="00B51BC1">
            <w:pPr>
              <w:rPr>
                <w:lang w:val="fr-CA"/>
              </w:rPr>
            </w:pPr>
          </w:p>
          <w:p w14:paraId="4B5F9A81" w14:textId="77777777" w:rsidR="00B51BC1" w:rsidRPr="00B51BC1" w:rsidRDefault="00B51BC1" w:rsidP="00B51BC1">
            <w:pPr>
              <w:jc w:val="center"/>
              <w:rPr>
                <w:b/>
                <w:smallCaps/>
                <w:lang w:val="fr-CA"/>
              </w:rPr>
            </w:pPr>
            <w:r w:rsidRPr="00B51BC1">
              <w:rPr>
                <w:b/>
                <w:smallCaps/>
                <w:lang w:val="fr-CA"/>
              </w:rPr>
              <w:t>Traduction française officielle</w:t>
            </w:r>
          </w:p>
          <w:p w14:paraId="2DB7140A" w14:textId="77777777" w:rsidR="00B51BC1" w:rsidRPr="00B51BC1" w:rsidRDefault="00B51BC1" w:rsidP="00B51BC1">
            <w:pPr>
              <w:rPr>
                <w:lang w:val="fr-CA"/>
              </w:rPr>
            </w:pPr>
          </w:p>
          <w:p w14:paraId="6388A0EB" w14:textId="77777777" w:rsidR="00B51BC1" w:rsidRPr="00B51BC1" w:rsidRDefault="00B51BC1" w:rsidP="00B51BC1">
            <w:pPr>
              <w:rPr>
                <w:lang w:val="fr-CA"/>
              </w:rPr>
            </w:pPr>
            <w:r w:rsidRPr="00B51BC1">
              <w:rPr>
                <w:b/>
                <w:smallCaps/>
                <w:lang w:val="fr-CA"/>
              </w:rPr>
              <w:t>Coram :</w:t>
            </w:r>
            <w:r w:rsidRPr="00B51BC1">
              <w:rPr>
                <w:lang w:val="fr-CA"/>
              </w:rPr>
              <w:t xml:space="preserve"> Le juge en chef Wagner et les juges Karakatsanis, Côté, Rowe, Martin, Kasirer, Jamal, O’Bonsawin et Moreau</w:t>
            </w:r>
          </w:p>
          <w:p w14:paraId="0B9236AF" w14:textId="77777777" w:rsidR="00B51BC1" w:rsidRPr="00B51BC1" w:rsidRDefault="00B51BC1" w:rsidP="00B51BC1">
            <w:pPr>
              <w:jc w:val="both"/>
              <w:rPr>
                <w:b/>
                <w:smallCaps/>
                <w:lang w:val="fr-CA"/>
              </w:rPr>
            </w:pPr>
          </w:p>
        </w:tc>
      </w:tr>
      <w:tr w:rsidR="00B51BC1" w:rsidRPr="00BF439B" w14:paraId="4126B877" w14:textId="77777777" w:rsidTr="00B51BC1">
        <w:tblPrEx>
          <w:tblCellMar>
            <w:top w:w="58" w:type="dxa"/>
            <w:left w:w="58" w:type="dxa"/>
            <w:bottom w:w="58" w:type="dxa"/>
            <w:right w:w="58" w:type="dxa"/>
          </w:tblCellMar>
        </w:tblPrEx>
        <w:tc>
          <w:tcPr>
            <w:tcW w:w="1251" w:type="pct"/>
          </w:tcPr>
          <w:p w14:paraId="1150404B" w14:textId="77777777" w:rsidR="00B51BC1" w:rsidRPr="00B51BC1" w:rsidRDefault="00B51BC1" w:rsidP="00B51BC1">
            <w:pPr>
              <w:rPr>
                <w:smallCaps/>
                <w:lang w:val="fr-CA"/>
              </w:rPr>
            </w:pPr>
            <w:r w:rsidRPr="00B51BC1">
              <w:rPr>
                <w:b/>
                <w:smallCaps/>
                <w:lang w:val="fr-CA"/>
              </w:rPr>
              <w:lastRenderedPageBreak/>
              <w:t>Motifs de jugement :</w:t>
            </w:r>
            <w:r w:rsidRPr="00B51BC1">
              <w:rPr>
                <w:smallCaps/>
                <w:lang w:val="fr-CA"/>
              </w:rPr>
              <w:t xml:space="preserve"> </w:t>
            </w:r>
          </w:p>
          <w:p w14:paraId="4EBF4075" w14:textId="77777777" w:rsidR="00B51BC1" w:rsidRPr="00B51BC1" w:rsidRDefault="00B51BC1" w:rsidP="00B51BC1">
            <w:pPr>
              <w:rPr>
                <w:lang w:val="fr-CA"/>
              </w:rPr>
            </w:pPr>
            <w:r w:rsidRPr="00B51BC1">
              <w:rPr>
                <w:lang w:val="fr-CA"/>
              </w:rPr>
              <w:t>(</w:t>
            </w:r>
            <w:proofErr w:type="gramStart"/>
            <w:r w:rsidRPr="00B51BC1">
              <w:rPr>
                <w:lang w:val="fr-CA"/>
              </w:rPr>
              <w:t>par</w:t>
            </w:r>
            <w:proofErr w:type="gramEnd"/>
            <w:r w:rsidRPr="00B51BC1">
              <w:rPr>
                <w:lang w:val="fr-CA"/>
              </w:rPr>
              <w:t>. 1 à 85)</w:t>
            </w:r>
          </w:p>
        </w:tc>
        <w:tc>
          <w:tcPr>
            <w:tcW w:w="3749" w:type="pct"/>
            <w:gridSpan w:val="3"/>
          </w:tcPr>
          <w:p w14:paraId="1A18B6BA" w14:textId="77777777" w:rsidR="00B51BC1" w:rsidRPr="00B51BC1" w:rsidRDefault="00B51BC1" w:rsidP="00B51BC1">
            <w:pPr>
              <w:rPr>
                <w:lang w:val="fr-CA"/>
              </w:rPr>
            </w:pPr>
            <w:r w:rsidRPr="00B51BC1">
              <w:rPr>
                <w:lang w:val="fr-CA"/>
              </w:rPr>
              <w:t>La juge Martin (avec l’accord du juge en chef Wagner et des juges Karakatsanis, Côté, Rowe, Kasirer, Jamal, O’Bonsawin et Moreau)</w:t>
            </w:r>
          </w:p>
        </w:tc>
      </w:tr>
    </w:tbl>
    <w:p w14:paraId="057F7E3B" w14:textId="77777777" w:rsidR="00B51BC1" w:rsidRPr="00B51BC1" w:rsidRDefault="00B51BC1" w:rsidP="00B51BC1">
      <w:pPr>
        <w:rPr>
          <w:rFonts w:eastAsiaTheme="minorHAnsi" w:cstheme="minorBidi"/>
          <w:szCs w:val="24"/>
          <w:lang w:val="fr-CA" w:eastAsia="en-US"/>
        </w:rPr>
      </w:pPr>
    </w:p>
    <w:p w14:paraId="071A5E7A" w14:textId="77777777" w:rsidR="00B51BC1" w:rsidRPr="00B51BC1" w:rsidRDefault="00B51BC1" w:rsidP="00B51BC1">
      <w:pPr>
        <w:rPr>
          <w:rFonts w:eastAsiaTheme="minorHAnsi" w:cstheme="minorBidi"/>
          <w:szCs w:val="24"/>
          <w:lang w:val="fr-CA" w:eastAsia="en-US"/>
        </w:rPr>
      </w:pPr>
    </w:p>
    <w:p w14:paraId="19A714E9" w14:textId="77777777" w:rsidR="00B51BC1" w:rsidRPr="00B51BC1" w:rsidRDefault="00B51BC1" w:rsidP="00B51BC1">
      <w:pPr>
        <w:rPr>
          <w:rFonts w:eastAsiaTheme="minorHAnsi" w:cstheme="minorBidi"/>
          <w:szCs w:val="24"/>
          <w:lang w:val="fr-CA" w:eastAsia="en-US"/>
        </w:rPr>
      </w:pPr>
      <w:r w:rsidRPr="00B51BC1">
        <w:rPr>
          <w:rFonts w:eastAsiaTheme="minorHAnsi" w:cstheme="minorBidi"/>
          <w:b/>
          <w:smallCaps/>
          <w:szCs w:val="24"/>
          <w:lang w:val="fr-CA" w:eastAsia="en-US"/>
        </w:rPr>
        <w:t>Note :</w:t>
      </w:r>
      <w:r w:rsidRPr="00B51BC1">
        <w:rPr>
          <w:rFonts w:eastAsiaTheme="minorHAnsi" w:cstheme="minorBidi"/>
          <w:b/>
          <w:szCs w:val="24"/>
          <w:lang w:val="fr-CA" w:eastAsia="en-US"/>
        </w:rPr>
        <w:t xml:space="preserve"> </w:t>
      </w:r>
      <w:r w:rsidRPr="00B51BC1">
        <w:rPr>
          <w:rFonts w:eastAsiaTheme="minorHAnsi" w:cstheme="minorBidi"/>
          <w:szCs w:val="24"/>
          <w:lang w:val="fr-CA" w:eastAsia="en-US"/>
        </w:rPr>
        <w:t xml:space="preserve">Ce document fera l’objet de retouches de forme avant la parution de sa version définitive dans le </w:t>
      </w:r>
      <w:r w:rsidRPr="00B51BC1">
        <w:rPr>
          <w:rFonts w:eastAsiaTheme="minorHAnsi" w:cstheme="minorBidi"/>
          <w:i/>
          <w:szCs w:val="24"/>
          <w:lang w:val="fr-CA" w:eastAsia="en-US"/>
        </w:rPr>
        <w:t>Recueil des arrêts de la Cour suprême du Canada</w:t>
      </w:r>
      <w:r w:rsidRPr="00B51BC1">
        <w:rPr>
          <w:rFonts w:eastAsiaTheme="minorHAnsi" w:cstheme="minorBidi"/>
          <w:szCs w:val="24"/>
          <w:lang w:val="fr-CA" w:eastAsia="en-US"/>
        </w:rPr>
        <w:t>.</w:t>
      </w:r>
    </w:p>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3312"/>
        <w:gridCol w:w="2484"/>
      </w:tblGrid>
      <w:tr w:rsidR="00B51BC1" w:rsidRPr="00BF439B" w14:paraId="1BCF46C8" w14:textId="77777777" w:rsidTr="00F261C2">
        <w:tc>
          <w:tcPr>
            <w:tcW w:w="1500" w:type="pct"/>
            <w:tcMar>
              <w:top w:w="284" w:type="dxa"/>
            </w:tcMar>
          </w:tcPr>
          <w:p w14:paraId="39D9F707" w14:textId="77777777" w:rsidR="00B51BC1" w:rsidRPr="00B51BC1" w:rsidRDefault="00B51BC1" w:rsidP="00B51BC1">
            <w:pPr>
              <w:rPr>
                <w:lang w:val="fr-CA"/>
              </w:rPr>
            </w:pPr>
          </w:p>
        </w:tc>
        <w:tc>
          <w:tcPr>
            <w:tcW w:w="2000" w:type="pct"/>
            <w:tcBorders>
              <w:bottom w:val="single" w:sz="4" w:space="0" w:color="auto"/>
            </w:tcBorders>
            <w:tcMar>
              <w:top w:w="284" w:type="dxa"/>
            </w:tcMar>
          </w:tcPr>
          <w:p w14:paraId="79E68CD9" w14:textId="77777777" w:rsidR="00B51BC1" w:rsidRPr="00B51BC1" w:rsidRDefault="00B51BC1" w:rsidP="00B51BC1">
            <w:pPr>
              <w:rPr>
                <w:lang w:val="fr-CA"/>
              </w:rPr>
            </w:pPr>
          </w:p>
        </w:tc>
        <w:tc>
          <w:tcPr>
            <w:tcW w:w="1500" w:type="pct"/>
            <w:tcMar>
              <w:top w:w="284" w:type="dxa"/>
            </w:tcMar>
          </w:tcPr>
          <w:p w14:paraId="1CB661B6" w14:textId="77777777" w:rsidR="00B51BC1" w:rsidRPr="00B51BC1" w:rsidRDefault="00B51BC1" w:rsidP="00B51BC1">
            <w:pPr>
              <w:rPr>
                <w:lang w:val="fr-CA"/>
              </w:rPr>
            </w:pPr>
          </w:p>
        </w:tc>
      </w:tr>
    </w:tbl>
    <w:p w14:paraId="79DB1AF4" w14:textId="77777777" w:rsidR="00B51BC1" w:rsidRPr="00B51BC1" w:rsidRDefault="00B51BC1" w:rsidP="00B51BC1">
      <w:pPr>
        <w:rPr>
          <w:rFonts w:eastAsiaTheme="minorHAnsi" w:cstheme="minorBidi"/>
          <w:szCs w:val="24"/>
          <w:lang w:val="fr-CA" w:eastAsia="en-US"/>
        </w:rPr>
      </w:pPr>
    </w:p>
    <w:p w14:paraId="65A5FA99" w14:textId="77777777" w:rsidR="00B51BC1" w:rsidRPr="00B51BC1" w:rsidRDefault="00B51BC1">
      <w:pPr>
        <w:rPr>
          <w:b/>
          <w:lang w:val="fr-CA"/>
        </w:rPr>
      </w:pPr>
      <w:r w:rsidRPr="00B51BC1">
        <w:rPr>
          <w:lang w:val="fr-CA"/>
        </w:rPr>
        <w:br w:type="page"/>
      </w:r>
    </w:p>
    <w:p w14:paraId="2B8BB871" w14:textId="77777777" w:rsidR="00106AE1" w:rsidRPr="00B51BC1" w:rsidRDefault="0007482D">
      <w:pPr>
        <w:pStyle w:val="SCCLsocLastPartyInRole"/>
        <w:rPr>
          <w:lang w:val="fr-CA"/>
        </w:rPr>
      </w:pPr>
      <w:r w:rsidRPr="00B51BC1">
        <w:rPr>
          <w:lang w:val="fr-CA"/>
        </w:rPr>
        <w:lastRenderedPageBreak/>
        <w:t>R.B.-C.</w:t>
      </w:r>
      <w:r w:rsidRPr="00B51BC1">
        <w:rPr>
          <w:rStyle w:val="SCCLsocPartyRole"/>
          <w:lang w:val="fr-CA"/>
        </w:rPr>
        <w:tab/>
        <w:t>Appelant</w:t>
      </w:r>
    </w:p>
    <w:p w14:paraId="2A2FA05E" w14:textId="77777777" w:rsidR="00106AE1" w:rsidRPr="00B51BC1" w:rsidRDefault="0007482D">
      <w:pPr>
        <w:pStyle w:val="SCCLsocVersus"/>
        <w:rPr>
          <w:lang w:val="fr-CA"/>
        </w:rPr>
      </w:pPr>
      <w:r w:rsidRPr="00B51BC1">
        <w:rPr>
          <w:lang w:val="fr-CA"/>
        </w:rPr>
        <w:t>c.</w:t>
      </w:r>
    </w:p>
    <w:p w14:paraId="0027FD69" w14:textId="77777777" w:rsidR="00106AE1" w:rsidRPr="00B51BC1" w:rsidRDefault="0007482D">
      <w:pPr>
        <w:pStyle w:val="SCCLsocLastPartyInRole"/>
        <w:rPr>
          <w:lang w:val="fr-CA"/>
        </w:rPr>
      </w:pPr>
      <w:r w:rsidRPr="00B51BC1">
        <w:rPr>
          <w:lang w:val="fr-CA"/>
        </w:rPr>
        <w:t>Sa Majesté le Roi</w:t>
      </w:r>
      <w:r w:rsidRPr="00B51BC1">
        <w:rPr>
          <w:rStyle w:val="SCCLsocPartyRole"/>
          <w:lang w:val="fr-CA"/>
        </w:rPr>
        <w:tab/>
        <w:t>Intimé</w:t>
      </w:r>
    </w:p>
    <w:p w14:paraId="19314EA8" w14:textId="77777777" w:rsidR="00106AE1" w:rsidRPr="00B51BC1" w:rsidRDefault="0007482D">
      <w:pPr>
        <w:pStyle w:val="SCCLsocOtherPartySeparator"/>
        <w:rPr>
          <w:lang w:val="fr-CA"/>
        </w:rPr>
      </w:pPr>
      <w:proofErr w:type="gramStart"/>
      <w:r w:rsidRPr="00B51BC1">
        <w:rPr>
          <w:lang w:val="fr-CA"/>
        </w:rPr>
        <w:t>et</w:t>
      </w:r>
      <w:proofErr w:type="gramEnd"/>
    </w:p>
    <w:p w14:paraId="13A34EA3" w14:textId="77777777" w:rsidR="00106AE1" w:rsidRPr="00B51BC1" w:rsidRDefault="0007482D">
      <w:pPr>
        <w:pStyle w:val="SCCLsocParty"/>
        <w:rPr>
          <w:lang w:val="fr-CA"/>
        </w:rPr>
      </w:pPr>
      <w:r w:rsidRPr="00B51BC1">
        <w:rPr>
          <w:lang w:val="fr-CA"/>
        </w:rPr>
        <w:t>Directeur des poursuites pénales,</w:t>
      </w:r>
    </w:p>
    <w:p w14:paraId="7B0C8F9F" w14:textId="77777777" w:rsidR="00106AE1" w:rsidRPr="00B51BC1" w:rsidRDefault="0007482D">
      <w:pPr>
        <w:pStyle w:val="SCCLsocParty"/>
        <w:rPr>
          <w:lang w:val="fr-CA"/>
        </w:rPr>
      </w:pPr>
      <w:proofErr w:type="gramStart"/>
      <w:r w:rsidRPr="00B51BC1">
        <w:rPr>
          <w:lang w:val="fr-CA"/>
        </w:rPr>
        <w:t>procureur</w:t>
      </w:r>
      <w:proofErr w:type="gramEnd"/>
      <w:r w:rsidRPr="00B51BC1">
        <w:rPr>
          <w:lang w:val="fr-CA"/>
        </w:rPr>
        <w:t xml:space="preserve"> général du Québec,</w:t>
      </w:r>
    </w:p>
    <w:p w14:paraId="2BEEB2F1" w14:textId="77777777" w:rsidR="00106AE1" w:rsidRPr="00B51BC1" w:rsidRDefault="0007482D">
      <w:pPr>
        <w:pStyle w:val="SCCLsocParty"/>
        <w:rPr>
          <w:lang w:val="fr-CA"/>
        </w:rPr>
      </w:pPr>
      <w:proofErr w:type="gramStart"/>
      <w:r w:rsidRPr="00B51BC1">
        <w:rPr>
          <w:lang w:val="fr-CA"/>
        </w:rPr>
        <w:t>procureur</w:t>
      </w:r>
      <w:proofErr w:type="gramEnd"/>
      <w:r w:rsidRPr="00B51BC1">
        <w:rPr>
          <w:lang w:val="fr-CA"/>
        </w:rPr>
        <w:t xml:space="preserve"> général de la Nouvelle-Écosse,</w:t>
      </w:r>
    </w:p>
    <w:p w14:paraId="7F538E0E" w14:textId="77777777" w:rsidR="00106AE1" w:rsidRPr="00B51BC1" w:rsidRDefault="0007482D">
      <w:pPr>
        <w:pStyle w:val="SCCLsocParty"/>
        <w:rPr>
          <w:lang w:val="fr-CA"/>
        </w:rPr>
      </w:pPr>
      <w:proofErr w:type="gramStart"/>
      <w:r w:rsidRPr="00B51BC1">
        <w:rPr>
          <w:lang w:val="fr-CA"/>
        </w:rPr>
        <w:t>procureur</w:t>
      </w:r>
      <w:proofErr w:type="gramEnd"/>
      <w:r w:rsidRPr="00B51BC1">
        <w:rPr>
          <w:lang w:val="fr-CA"/>
        </w:rPr>
        <w:t xml:space="preserve"> général du Manitoba,</w:t>
      </w:r>
    </w:p>
    <w:p w14:paraId="437DAC5E" w14:textId="77777777" w:rsidR="00106AE1" w:rsidRPr="00B51BC1" w:rsidRDefault="0007482D">
      <w:pPr>
        <w:pStyle w:val="SCCLsocParty"/>
        <w:rPr>
          <w:lang w:val="fr-CA"/>
        </w:rPr>
      </w:pPr>
      <w:proofErr w:type="gramStart"/>
      <w:r w:rsidRPr="00B51BC1">
        <w:rPr>
          <w:lang w:val="fr-CA"/>
        </w:rPr>
        <w:t>procureur</w:t>
      </w:r>
      <w:proofErr w:type="gramEnd"/>
      <w:r w:rsidRPr="00B51BC1">
        <w:rPr>
          <w:lang w:val="fr-CA"/>
        </w:rPr>
        <w:t xml:space="preserve"> général de la Colombie-Britannique,</w:t>
      </w:r>
    </w:p>
    <w:p w14:paraId="474A6099" w14:textId="77777777" w:rsidR="00106AE1" w:rsidRPr="00B51BC1" w:rsidRDefault="0007482D">
      <w:pPr>
        <w:pStyle w:val="SCCLsocParty"/>
        <w:rPr>
          <w:lang w:val="fr-CA"/>
        </w:rPr>
      </w:pPr>
      <w:proofErr w:type="gramStart"/>
      <w:r w:rsidRPr="00B51BC1">
        <w:rPr>
          <w:lang w:val="fr-CA"/>
        </w:rPr>
        <w:t>procureur</w:t>
      </w:r>
      <w:proofErr w:type="gramEnd"/>
      <w:r w:rsidRPr="00B51BC1">
        <w:rPr>
          <w:lang w:val="fr-CA"/>
        </w:rPr>
        <w:t xml:space="preserve"> général de l’Alberta,</w:t>
      </w:r>
    </w:p>
    <w:p w14:paraId="0B68AE3E" w14:textId="77777777" w:rsidR="00106AE1" w:rsidRPr="00B51BC1" w:rsidRDefault="0007482D">
      <w:pPr>
        <w:pStyle w:val="SCCLsocParty"/>
        <w:rPr>
          <w:lang w:val="fr-CA"/>
        </w:rPr>
      </w:pPr>
      <w:proofErr w:type="gramStart"/>
      <w:r w:rsidRPr="00B51BC1">
        <w:rPr>
          <w:lang w:val="fr-CA"/>
        </w:rPr>
        <w:t>directeur</w:t>
      </w:r>
      <w:proofErr w:type="gramEnd"/>
      <w:r w:rsidRPr="00B51BC1">
        <w:rPr>
          <w:lang w:val="fr-CA"/>
        </w:rPr>
        <w:t xml:space="preserve"> des poursuites criminelles et pénales,</w:t>
      </w:r>
    </w:p>
    <w:p w14:paraId="49F14023" w14:textId="77777777" w:rsidR="00106AE1" w:rsidRPr="00B51BC1" w:rsidRDefault="0007482D">
      <w:pPr>
        <w:pStyle w:val="SCCLsocParty"/>
        <w:rPr>
          <w:lang w:val="fr-CA"/>
        </w:rPr>
      </w:pPr>
      <w:r w:rsidRPr="00B51BC1">
        <w:rPr>
          <w:lang w:val="fr-CA"/>
        </w:rPr>
        <w:t>Association québécoise des avocats et avocates de la défense,</w:t>
      </w:r>
    </w:p>
    <w:p w14:paraId="473660B9" w14:textId="77777777" w:rsidR="00106AE1" w:rsidRPr="00B51BC1" w:rsidRDefault="0007482D">
      <w:pPr>
        <w:pStyle w:val="SCCLsocParty"/>
        <w:rPr>
          <w:lang w:val="fr-CA"/>
        </w:rPr>
      </w:pPr>
      <w:r w:rsidRPr="00B51BC1">
        <w:rPr>
          <w:lang w:val="fr-CA"/>
        </w:rPr>
        <w:t>Association canadienne des libertés civiles,</w:t>
      </w:r>
    </w:p>
    <w:p w14:paraId="0C29632A" w14:textId="77777777" w:rsidR="00106AE1" w:rsidRPr="00B51BC1" w:rsidRDefault="0007482D">
      <w:pPr>
        <w:pStyle w:val="SCCLsocParty"/>
        <w:rPr>
          <w:lang w:val="fr-CA"/>
        </w:rPr>
      </w:pPr>
      <w:r w:rsidRPr="00B51BC1">
        <w:rPr>
          <w:lang w:val="fr-CA"/>
        </w:rPr>
        <w:t>British Columbia Civil Liberties Association et</w:t>
      </w:r>
    </w:p>
    <w:p w14:paraId="2ACE0073" w14:textId="77777777" w:rsidR="00106AE1" w:rsidRPr="00B51BC1" w:rsidRDefault="0007482D">
      <w:pPr>
        <w:pStyle w:val="SCCLsocParty"/>
        <w:spacing w:after="720"/>
        <w:rPr>
          <w:lang w:val="fr-CA"/>
        </w:rPr>
      </w:pPr>
      <w:r w:rsidRPr="00B51BC1">
        <w:rPr>
          <w:lang w:val="fr-CA"/>
        </w:rPr>
        <w:t>Criminal Lawyers’ Association (Ontario)</w:t>
      </w:r>
      <w:r w:rsidRPr="00B51BC1">
        <w:rPr>
          <w:rStyle w:val="SCCLsocPartyRole"/>
          <w:lang w:val="fr-CA"/>
        </w:rPr>
        <w:tab/>
        <w:t>Intervenants</w:t>
      </w:r>
    </w:p>
    <w:p w14:paraId="3BF40C7A" w14:textId="77777777" w:rsidR="00106AE1" w:rsidRPr="00B51BC1" w:rsidRDefault="0007482D">
      <w:pPr>
        <w:spacing w:after="720"/>
        <w:jc w:val="both"/>
        <w:rPr>
          <w:b/>
          <w:lang w:val="fr-CA"/>
        </w:rPr>
      </w:pPr>
      <w:r w:rsidRPr="00B51BC1">
        <w:rPr>
          <w:b/>
          <w:lang w:val="fr-CA"/>
        </w:rPr>
        <w:t xml:space="preserve">Répertorié : R. </w:t>
      </w:r>
      <w:r w:rsidRPr="00B51BC1">
        <w:rPr>
          <w:b/>
          <w:i/>
          <w:lang w:val="fr-CA"/>
        </w:rPr>
        <w:t>c.</w:t>
      </w:r>
      <w:r w:rsidRPr="00B51BC1">
        <w:rPr>
          <w:b/>
          <w:lang w:val="fr-CA"/>
        </w:rPr>
        <w:t xml:space="preserve"> </w:t>
      </w:r>
      <w:r w:rsidRPr="00B51BC1">
        <w:rPr>
          <w:rStyle w:val="SCCAppellantForIndexChar"/>
          <w:lang w:val="fr-CA"/>
        </w:rPr>
        <w:t>R.B.-C.</w:t>
      </w:r>
    </w:p>
    <w:p w14:paraId="1C8F6FDA" w14:textId="77777777" w:rsidR="00106AE1" w:rsidRPr="00B51BC1" w:rsidRDefault="0007482D">
      <w:pPr>
        <w:pStyle w:val="SCCSystemYear"/>
        <w:spacing w:after="720"/>
        <w:jc w:val="both"/>
        <w:rPr>
          <w:lang w:val="fr-CA"/>
        </w:rPr>
      </w:pPr>
      <w:r w:rsidRPr="00B51BC1">
        <w:rPr>
          <w:lang w:val="fr-CA"/>
        </w:rPr>
        <w:t>2026 CSC 30</w:t>
      </w:r>
    </w:p>
    <w:p w14:paraId="45C2B545" w14:textId="77777777" w:rsidR="00106AE1" w:rsidRPr="00B51BC1" w:rsidRDefault="0007482D">
      <w:pPr>
        <w:spacing w:after="720"/>
        <w:jc w:val="both"/>
        <w:rPr>
          <w:lang w:val="fr-CA"/>
        </w:rPr>
      </w:pPr>
      <w:r w:rsidRPr="00B51BC1">
        <w:rPr>
          <w:lang w:val="fr-CA"/>
        </w:rPr>
        <w:t>N</w:t>
      </w:r>
      <w:r w:rsidRPr="00B51BC1">
        <w:rPr>
          <w:vertAlign w:val="superscript"/>
          <w:lang w:val="fr-CA"/>
        </w:rPr>
        <w:t>o</w:t>
      </w:r>
      <w:r w:rsidRPr="00B51BC1">
        <w:rPr>
          <w:lang w:val="fr-CA"/>
        </w:rPr>
        <w:t xml:space="preserve"> du greffe : 41677.</w:t>
      </w:r>
    </w:p>
    <w:p w14:paraId="59B0DEF3" w14:textId="77777777" w:rsidR="00106AE1" w:rsidRPr="00B51BC1" w:rsidRDefault="0007482D">
      <w:pPr>
        <w:spacing w:after="720"/>
        <w:jc w:val="both"/>
        <w:rPr>
          <w:lang w:val="fr-CA"/>
        </w:rPr>
      </w:pPr>
      <w:r w:rsidRPr="00B51BC1">
        <w:rPr>
          <w:lang w:val="fr-CA"/>
        </w:rPr>
        <w:t>2026 : 16 janvier; 2026 : 11 septembre.</w:t>
      </w:r>
    </w:p>
    <w:p w14:paraId="7165E3AB" w14:textId="77777777" w:rsidR="00106AE1" w:rsidRPr="00B51BC1" w:rsidRDefault="0007482D">
      <w:pPr>
        <w:spacing w:after="720"/>
        <w:jc w:val="both"/>
        <w:rPr>
          <w:lang w:val="fr-CA"/>
        </w:rPr>
      </w:pPr>
      <w:r w:rsidRPr="00B51BC1">
        <w:rPr>
          <w:lang w:val="fr-CA"/>
        </w:rPr>
        <w:t>Présents : Le juge en chef Wagner et les juges Karakatsanis, Côté, Rowe, Martin, Kasirer, Jamal, O’Bonsawin et Moreau.</w:t>
      </w:r>
    </w:p>
    <w:p w14:paraId="6CDC1DB1" w14:textId="77777777" w:rsidR="00106AE1" w:rsidRPr="00B51BC1" w:rsidRDefault="0007482D">
      <w:pPr>
        <w:spacing w:after="720"/>
        <w:jc w:val="both"/>
        <w:rPr>
          <w:smallCaps/>
          <w:lang w:val="fr-CA"/>
        </w:rPr>
      </w:pPr>
      <w:r w:rsidRPr="00B51BC1">
        <w:rPr>
          <w:smallCaps/>
          <w:lang w:val="fr-CA"/>
        </w:rPr>
        <w:lastRenderedPageBreak/>
        <w:t>en appel de la cour d’appel de l’ontario</w:t>
      </w:r>
    </w:p>
    <w:p w14:paraId="536BF1D5" w14:textId="77777777" w:rsidR="00106AE1" w:rsidRPr="00B51BC1" w:rsidRDefault="0007482D">
      <w:pPr>
        <w:pStyle w:val="SCCNormalKeyWords"/>
        <w:spacing w:after="480"/>
      </w:pPr>
      <w:r w:rsidRPr="00B51BC1">
        <w:tab/>
        <w:t xml:space="preserve">Droit constitutionnel — Charte des droits — Droit d’être jugé dans un délai raisonnable — Détermination de la peine — Délai entre le prononcé du verdict et la détermination de la peine — Réparation — Allégation par le contrevenant d’une atteinte </w:t>
      </w:r>
      <w:r w:rsidR="002E01C3" w:rsidRPr="00B51BC1">
        <w:t>à son</w:t>
      </w:r>
      <w:r w:rsidRPr="00B51BC1">
        <w:t xml:space="preserve"> droit d’être jugé dans un délai raisonnable </w:t>
      </w:r>
      <w:r w:rsidR="009873CD" w:rsidRPr="00B51BC1">
        <w:t>en raison d’un</w:t>
      </w:r>
      <w:r w:rsidRPr="00B51BC1">
        <w:t xml:space="preserve"> délai de détermination de la peine postérieur au prononcé du verdict de plus de 12 mois</w:t>
      </w:r>
      <w:r w:rsidR="009873CD" w:rsidRPr="00B51BC1">
        <w:t>,</w:t>
      </w:r>
      <w:r w:rsidRPr="00B51BC1">
        <w:t xml:space="preserve"> et sollicitation </w:t>
      </w:r>
      <w:r w:rsidR="009873CD" w:rsidRPr="00B51BC1">
        <w:t xml:space="preserve">par celui-ci </w:t>
      </w:r>
      <w:r w:rsidRPr="00B51BC1">
        <w:t xml:space="preserve">d’un arrêt des procédures — </w:t>
      </w:r>
      <w:r w:rsidR="009873CD" w:rsidRPr="00B51BC1">
        <w:t>Le délai de détermination de la peine postérieur au prononcé du verdict a</w:t>
      </w:r>
      <w:r w:rsidRPr="00B51BC1">
        <w:t xml:space="preserve">-t-il porté atteinte au droit du contrevenant d’être jugé dans un délai raisonnable? — </w:t>
      </w:r>
      <w:r w:rsidR="009873CD" w:rsidRPr="00B51BC1">
        <w:t>Dans l’affirmative</w:t>
      </w:r>
      <w:r w:rsidRPr="00B51BC1">
        <w:t>, l’arrêt des procédures constitue-t-il la réparation appropriée? — Charte canadienne des droits et libertés, art. 11b), 24(1).</w:t>
      </w:r>
    </w:p>
    <w:p w14:paraId="6F294CD2" w14:textId="77777777" w:rsidR="00106AE1" w:rsidRPr="00B51BC1" w:rsidRDefault="0007482D">
      <w:pPr>
        <w:pStyle w:val="SCCNormalDoubleSpacing"/>
        <w:widowControl w:val="0"/>
        <w:spacing w:after="480"/>
        <w:rPr>
          <w:lang w:val="fr-CA"/>
        </w:rPr>
      </w:pPr>
      <w:r w:rsidRPr="00B51BC1">
        <w:rPr>
          <w:lang w:val="fr-CA"/>
        </w:rPr>
        <w:tab/>
        <w:t xml:space="preserve">Le contrevenant a été déclaré coupable d’agression sexuelle en octobre 2021. Les procédures de détermination de la peine devant la juge du procès ont commencé immédiatement après le prononcé de la déclaration de culpabilité, mais n’étaient toujours pas terminées en octobre 2022, </w:t>
      </w:r>
      <w:r w:rsidR="009873CD" w:rsidRPr="00B51BC1">
        <w:rPr>
          <w:lang w:val="fr-CA"/>
        </w:rPr>
        <w:t>moment auquel</w:t>
      </w:r>
      <w:r w:rsidRPr="00B51BC1">
        <w:rPr>
          <w:lang w:val="fr-CA"/>
        </w:rPr>
        <w:t xml:space="preserve"> le contrevenant a présenté une demande d’arrêt des procédures au motif que le délai de détermination de la peine postérieur au prononcé du verdict avait porté atteinte </w:t>
      </w:r>
      <w:r w:rsidR="009873CD" w:rsidRPr="00B51BC1">
        <w:rPr>
          <w:lang w:val="fr-CA"/>
        </w:rPr>
        <w:t>au</w:t>
      </w:r>
      <w:r w:rsidRPr="00B51BC1">
        <w:rPr>
          <w:lang w:val="fr-CA"/>
        </w:rPr>
        <w:t xml:space="preserve"> droit d’être jugé dans un délai raisonnable que lui garantit l’al. 11b) de la </w:t>
      </w:r>
      <w:r w:rsidRPr="00B51BC1">
        <w:rPr>
          <w:i/>
          <w:lang w:val="fr-CA"/>
        </w:rPr>
        <w:t>Charte</w:t>
      </w:r>
      <w:r w:rsidRPr="00B51BC1">
        <w:rPr>
          <w:lang w:val="fr-CA"/>
        </w:rPr>
        <w:t xml:space="preserve">. La juge du procès a rejeté la demande. Elle a conclu que le délai de détermination de la peine postérieur au prononcé du verdict est assujetti à un plafond de cinq mois, après quoi le délai est présumé déraisonnable, en contravention de l’al. 11b), mais que le délai net de </w:t>
      </w:r>
      <w:r w:rsidRPr="00B51BC1">
        <w:rPr>
          <w:lang w:val="fr-CA"/>
        </w:rPr>
        <w:lastRenderedPageBreak/>
        <w:t xml:space="preserve">détermination de la peine postérieur au prononcé du verdict en l’espèce avait été d’un peu moins de quatre mois. Elle a infligé une peine d’emprisonnement avec sursis de deux ans moins un jour, suivie d’un an de probation. </w:t>
      </w:r>
      <w:r w:rsidR="009873CD" w:rsidRPr="00B51BC1">
        <w:rPr>
          <w:lang w:val="fr-CA"/>
        </w:rPr>
        <w:t>Dans le cadre d’un appel interjeté par le contrevenant, s</w:t>
      </w:r>
      <w:r w:rsidRPr="00B51BC1">
        <w:rPr>
          <w:lang w:val="fr-CA"/>
        </w:rPr>
        <w:t xml:space="preserve">elon le calcul révisé de la Cour d’appel, le délai net de détermination de la peine postérieur au prononcé du verdict avait dépassé le plafond présumé de cinq mois, et donc porté atteinte au droit du contrevenant protégé par l’al. 11b) de la </w:t>
      </w:r>
      <w:r w:rsidRPr="00B51BC1">
        <w:rPr>
          <w:i/>
          <w:lang w:val="fr-CA"/>
        </w:rPr>
        <w:t>Charte</w:t>
      </w:r>
      <w:r w:rsidRPr="00B51BC1">
        <w:rPr>
          <w:lang w:val="fr-CA"/>
        </w:rPr>
        <w:t xml:space="preserve">. Traitant le délai déraisonnable de détermination de la peine comme une circonstance atténuante majorée, la cour a réduit la durée de la peine d’emprisonnement avec sursis du contrevenant à 20 mois. </w:t>
      </w:r>
    </w:p>
    <w:p w14:paraId="1E750954" w14:textId="77777777" w:rsidR="00106AE1" w:rsidRPr="00B51BC1" w:rsidRDefault="0007482D">
      <w:pPr>
        <w:pStyle w:val="SCCNormalDoubleSpacing"/>
        <w:widowControl w:val="0"/>
        <w:spacing w:after="480"/>
        <w:rPr>
          <w:i/>
          <w:lang w:val="fr-CA"/>
        </w:rPr>
      </w:pPr>
      <w:r w:rsidRPr="00B51BC1">
        <w:rPr>
          <w:lang w:val="fr-CA"/>
        </w:rPr>
        <w:tab/>
      </w:r>
      <w:r w:rsidRPr="00B51BC1">
        <w:rPr>
          <w:i/>
          <w:lang w:val="fr-CA"/>
        </w:rPr>
        <w:t>Arrêt</w:t>
      </w:r>
      <w:r w:rsidRPr="00B51BC1">
        <w:rPr>
          <w:lang w:val="fr-CA"/>
        </w:rPr>
        <w:t> </w:t>
      </w:r>
      <w:r w:rsidRPr="00B51BC1">
        <w:rPr>
          <w:iCs/>
          <w:lang w:val="fr-CA"/>
        </w:rPr>
        <w:t>:</w:t>
      </w:r>
      <w:r w:rsidRPr="00B51BC1">
        <w:rPr>
          <w:lang w:val="fr-CA"/>
        </w:rPr>
        <w:t xml:space="preserve"> Le pourvoi est rejeté. </w:t>
      </w:r>
    </w:p>
    <w:p w14:paraId="0AF3AADE" w14:textId="77777777" w:rsidR="00106AE1" w:rsidRPr="00B51BC1" w:rsidRDefault="0007482D">
      <w:pPr>
        <w:pStyle w:val="SCCNormalDoubleSpacing"/>
        <w:widowControl w:val="0"/>
        <w:spacing w:after="480"/>
        <w:rPr>
          <w:i/>
          <w:lang w:val="fr-CA"/>
        </w:rPr>
      </w:pPr>
      <w:r w:rsidRPr="00B51BC1">
        <w:rPr>
          <w:lang w:val="fr-CA"/>
        </w:rPr>
        <w:tab/>
        <w:t xml:space="preserve">Un plafond présumé ne devrait pas être imposé pour le délai de détermination de la peine postérieur au prononcé du verdict. Le critère qu’il convient d’appliquer pour apprécier si le délai de détermination de </w:t>
      </w:r>
      <w:r w:rsidR="009873CD" w:rsidRPr="00B51BC1">
        <w:rPr>
          <w:lang w:val="fr-CA"/>
        </w:rPr>
        <w:t xml:space="preserve">la </w:t>
      </w:r>
      <w:r w:rsidRPr="00B51BC1">
        <w:rPr>
          <w:lang w:val="fr-CA"/>
        </w:rPr>
        <w:t xml:space="preserve">peine postérieur au prononcé du verdict porte atteinte au droit d’être jugé dans un délai raisonnable protégé par l’al. 11b) de la </w:t>
      </w:r>
      <w:r w:rsidRPr="00B51BC1">
        <w:rPr>
          <w:i/>
          <w:lang w:val="fr-CA"/>
        </w:rPr>
        <w:t>Charte</w:t>
      </w:r>
      <w:r w:rsidRPr="00B51BC1">
        <w:rPr>
          <w:lang w:val="fr-CA"/>
        </w:rPr>
        <w:t xml:space="preserve"> est plutôt celui de savoir si le temps de détermination de la peine a été nettement plus long qu’il aurait dû raisonnablement l’être eu égard à l’ensemble des circonstances. S’il est établi qu’il y a eu violation de l’al. 11b), la réparation généralement convenable pour un délai de détermination de la peine postérieur au prononcé du verdict qui s’avère déraisonnable est une réduction de peine. En l’espèce, le temps qu’il a fallu pour mener à terme la procédure de détermination de la peine a été nettement plus long qu’il aurait dû raisonnablement l’être. Bien que la </w:t>
      </w:r>
      <w:r w:rsidRPr="00B51BC1">
        <w:rPr>
          <w:lang w:val="fr-CA"/>
        </w:rPr>
        <w:lastRenderedPageBreak/>
        <w:t>Cour d’appel ait commis une erreur en appliquant un plafond présumé de cinq mois, elle a raisonnablement jugé que la réparation appropriée et proportionnée dans les circonstances était une réduction de la peine avec sursis du contrevenant à 20 mois.</w:t>
      </w:r>
    </w:p>
    <w:p w14:paraId="40EEC7D6" w14:textId="77777777" w:rsidR="00106AE1" w:rsidRPr="00B51BC1" w:rsidRDefault="0007482D">
      <w:pPr>
        <w:pStyle w:val="SCCNormalDoubleSpacing"/>
        <w:widowControl w:val="0"/>
        <w:spacing w:after="480"/>
        <w:rPr>
          <w:i/>
          <w:lang w:val="fr-CA"/>
        </w:rPr>
      </w:pPr>
      <w:r w:rsidRPr="00B51BC1">
        <w:rPr>
          <w:lang w:val="fr-CA"/>
        </w:rPr>
        <w:tab/>
        <w:t xml:space="preserve">L’alinéa 11b) de la </w:t>
      </w:r>
      <w:r w:rsidRPr="00B51BC1">
        <w:rPr>
          <w:i/>
          <w:iCs/>
          <w:lang w:val="fr-CA"/>
        </w:rPr>
        <w:t>Charte</w:t>
      </w:r>
      <w:r w:rsidRPr="00B51BC1">
        <w:rPr>
          <w:iCs/>
          <w:lang w:val="fr-CA"/>
        </w:rPr>
        <w:t xml:space="preserve">, qui garantit </w:t>
      </w:r>
      <w:r w:rsidRPr="00B51BC1">
        <w:rPr>
          <w:lang w:val="fr-CA"/>
        </w:rPr>
        <w:t xml:space="preserve">que tout inculpé a le droit d’être jugé dans un délai raisonnable, est un engagement constitutionnel qui s’applique à chacune des nombreuses étapes de la procédure pénale, du dépôt des accusations jusqu’à l’infliction de la peine. Cependant, les plafonds présumés fixés par l’arrêt </w:t>
      </w:r>
      <w:r w:rsidRPr="00B51BC1">
        <w:rPr>
          <w:i/>
          <w:lang w:val="fr-CA"/>
        </w:rPr>
        <w:t>R. c. Jordan</w:t>
      </w:r>
      <w:r w:rsidRPr="00B51BC1">
        <w:rPr>
          <w:lang w:val="fr-CA"/>
        </w:rPr>
        <w:t xml:space="preserve">, 2016 CSC 27, [2016] 1 R.C.S. 631, qui exigent que les procès soient complétés dans les 18 mois pour les affaires instruites devant une cour provinciale et dans les 30 mois pour celles instruites devant une cour supérieure, ne s’appliquent pas à toute la période visée par l’al. 11b). Le délai postérieur au prononcé du verdict doit donc être apprécié séparément car, après la déclaration de culpabilité, le contrevenant n’est plus présumé innocent et son droit à un procès équitable, qui était protégé avant le prononcé du verdict, est désormais épuisé, bien que d’importants droits en matière de liberté et de sécurité demeurent. Les plafonds fixés dans l’arrêt </w:t>
      </w:r>
      <w:r w:rsidRPr="00B51BC1">
        <w:rPr>
          <w:i/>
          <w:lang w:val="fr-CA"/>
        </w:rPr>
        <w:t>Jordan</w:t>
      </w:r>
      <w:r w:rsidRPr="00B51BC1">
        <w:rPr>
          <w:lang w:val="fr-CA"/>
        </w:rPr>
        <w:t xml:space="preserve"> ont été adoptés en réponse à la preuve de l’existence d’une culture spécifique de complaisance à l’égard des délais avant que les inculpés soient traduits en justice; aucun fondement de preuve comparable n’a été établi pour l’étape de la détermination de la peine des procédures pénales.</w:t>
      </w:r>
    </w:p>
    <w:p w14:paraId="237537A2" w14:textId="77777777" w:rsidR="00106AE1" w:rsidRPr="00B51BC1" w:rsidRDefault="0007482D">
      <w:pPr>
        <w:pStyle w:val="SCCNormalDoubleSpacing"/>
        <w:widowControl w:val="0"/>
        <w:spacing w:after="480"/>
        <w:rPr>
          <w:i/>
          <w:lang w:val="fr-CA"/>
        </w:rPr>
      </w:pPr>
      <w:r w:rsidRPr="00B51BC1">
        <w:rPr>
          <w:lang w:val="fr-CA"/>
        </w:rPr>
        <w:tab/>
        <w:t xml:space="preserve">Le Parlement a précisé que la peine doit être déterminée dans les meilleurs délais possibles suivant la déclaration de culpabilité. La détermination de la peine </w:t>
      </w:r>
      <w:r w:rsidRPr="00B51BC1">
        <w:rPr>
          <w:lang w:val="fr-CA"/>
        </w:rPr>
        <w:lastRenderedPageBreak/>
        <w:t xml:space="preserve">requiert un processus de collecte de renseignements et de prise de décisions qui commence une fois la culpabilité établie et prend fin uniquement lorsque tous les éléments de la peine ont été fixés. Pour s’acquitter de son devoir d’infliger une peine juste et proportionnée qui reflète la culpabilité morale du contrevenant ainsi que la gravité de l’infraction, le tribunal a besoin d’une preuve appropriée et de solides observations concernant l’éventail des peines possibles. La détermination de la peine n’est pas un événement unique et distinct. Il s’agit d’un processus intrinsèquement individualisé lors duquel le juge chargé de la détermination de la peine doit aller au-delà de la question de la culpabilité et s’acquitter de la tâche délicate d’infliger une peine appropriée pour le contrevenant en cause et l’infraction particulière qu’il a commise. Il importe de noter qu’une peine juste et proportionnée ne peut être imposée dans un vide informationnel; elle doit reposer sur une appréciation globale de la situation du contrevenant, de l’infraction et des principes de détermination de la peine. La durée et la complexité des procédures de détermination de la peine varient considérablement selon les renseignements dont le juge chargé de la détermination la peine a besoin pour infliger une peine juste et proportionnée eu égard aux circonstances de l’affaire. </w:t>
      </w:r>
      <w:bookmarkStart w:id="0" w:name="_Hlk239767117"/>
      <w:r w:rsidRPr="00B51BC1">
        <w:rPr>
          <w:lang w:val="fr-CA"/>
        </w:rPr>
        <w:t>Cette analyse individualisée et tributaire des faits peut raisonnablement exiger plus ou moins de temps</w:t>
      </w:r>
      <w:bookmarkEnd w:id="0"/>
      <w:r w:rsidRPr="00B51BC1">
        <w:rPr>
          <w:lang w:val="fr-CA"/>
        </w:rPr>
        <w:t>, selon le contrevenant, l’infraction et les questions en litige.</w:t>
      </w:r>
    </w:p>
    <w:p w14:paraId="62E401FD" w14:textId="77777777" w:rsidR="00106AE1" w:rsidRPr="00B51BC1" w:rsidRDefault="0007482D">
      <w:pPr>
        <w:pStyle w:val="SCCNormalDoubleSpacing"/>
        <w:widowControl w:val="0"/>
        <w:spacing w:after="480"/>
        <w:rPr>
          <w:i/>
          <w:lang w:val="fr-CA"/>
        </w:rPr>
      </w:pPr>
      <w:r w:rsidRPr="00B51BC1">
        <w:rPr>
          <w:lang w:val="fr-CA"/>
        </w:rPr>
        <w:tab/>
        <w:t xml:space="preserve">Le critère du délai nettement plus long se prête bien au contexte de la détermination de la peine, laquelle est une procédure individualisée, tributaire d’information relative au dossier et souvent itérative, tout en demeurant suffisamment </w:t>
      </w:r>
      <w:r w:rsidRPr="00B51BC1">
        <w:rPr>
          <w:lang w:val="fr-CA"/>
        </w:rPr>
        <w:lastRenderedPageBreak/>
        <w:t>rigoureux pour permettre de savoir si un délai a dépassé ce qui était raisonnablement nécessaire compte tenu de l’ensemble des circonstances. Il tient compte de la mise en balance différente des intérêts en jeu à la suite d’une déclaration de culpabilité valide : les droits du contrevenant à la liberté, à la sécurité de sa personne et à un procès équitable demeurent protégés par la Constitution, mais ils sont restreints en raison de la déclaration de culpabilité qui a été prononcée; parallèlement, l’intérêt de la société à ce qu’une peine juste et proportionnée soit infligée en temps utile est accru. Pour décider si le délai de détermination de la peine postérieur au prononcé du verdict a été nettement plus long qu’il aurait dû raisonnablement l’être, il faut procéder à une analyse contextuelle. La question n’est pas celle de savoir si le délai a été long dans l’abstrait, et aucune durée précise n’entraîne automatiquement une violation du droit garanti par l’al. 11b). Un délai d’une même durée peut avoir une incidence très différente sur le plan constitutionnel selon la complexité du processus de détermination de la peine, les renseignements requis pour infliger la peine ainsi que les questions à trancher. La question de savoir si le processus de détermination de la peine a été nettement plus long que ce qui était raisonnablement nécessaire dans les circonstances est une évaluation fondée sur une variété de considérations; cette évaluation reste objective et normative. Les considérations pertinentes peuvent comprendre le délai total écoulé; la complexité du dossier; tout élément provenant des parties, du juge chargé de la détermination de la peine ou du tribunal qui pourrait expliquer certaines portions du délai; les positions et la conduite des parties; ainsi qu’un examen du temps qu’il faut généralement pour rendre une décision dans des cas comparables, compte tenu des circonstances locales pertinentes.</w:t>
      </w:r>
    </w:p>
    <w:p w14:paraId="602D3354" w14:textId="77777777" w:rsidR="00106AE1" w:rsidRPr="00B51BC1" w:rsidRDefault="0007482D">
      <w:pPr>
        <w:pStyle w:val="SCCNormalDoubleSpacing"/>
        <w:widowControl w:val="0"/>
        <w:spacing w:after="480"/>
        <w:rPr>
          <w:i/>
          <w:lang w:val="fr-CA"/>
        </w:rPr>
      </w:pPr>
      <w:r w:rsidRPr="00B51BC1">
        <w:rPr>
          <w:lang w:val="fr-CA"/>
        </w:rPr>
        <w:lastRenderedPageBreak/>
        <w:tab/>
        <w:t xml:space="preserve">La norme du délai nettement plus long est objective et normative. La </w:t>
      </w:r>
      <w:bookmarkStart w:id="1" w:name="_Hlk239769168"/>
      <w:r w:rsidRPr="00B51BC1">
        <w:rPr>
          <w:lang w:val="fr-CA"/>
        </w:rPr>
        <w:t>question qu’il convient de se poser est celle de savoir si la procédure de détermination de la peine a été nettement plus longue qu’elle aurait dû raisonnablement l’être dans un système de justice pénale fonctionnant comme il se doit dans une société libre et démocratique, et non celle de savoir combien de temps elle prend dans une juridiction donnée, compte tenu des contraintes liées aux ressources existantes</w:t>
      </w:r>
      <w:bookmarkEnd w:id="1"/>
      <w:r w:rsidRPr="00B51BC1">
        <w:rPr>
          <w:lang w:val="fr-CA"/>
        </w:rPr>
        <w:t>. Sur le plan méthodologique, la norme du délai nettement plus long oblige les tribunaux à comparer le temps qu’il a réellement fallu pour mener à terme le processus de détermination de la peine avec le temps que cette étape aurait dû raisonnablement prendre compte tenu de l’ensemble des circonstances. L’analyse ne se fait pas de façon mécanique, mais en fonction du contexte, et elle doit tenir compte à la fois de la durée globale des procédures et des raisons expliquant certaines portions du délai.</w:t>
      </w:r>
    </w:p>
    <w:p w14:paraId="41171759" w14:textId="77777777" w:rsidR="00106AE1" w:rsidRPr="00B51BC1" w:rsidRDefault="0007482D">
      <w:pPr>
        <w:pStyle w:val="SCCNormalDoubleSpacing"/>
        <w:widowControl w:val="0"/>
        <w:spacing w:after="480"/>
        <w:rPr>
          <w:lang w:val="fr-CA"/>
        </w:rPr>
      </w:pPr>
      <w:r w:rsidRPr="00B51BC1">
        <w:rPr>
          <w:lang w:val="fr-CA"/>
        </w:rPr>
        <w:tab/>
        <w:t xml:space="preserve">S’il est établi qu’il y a eu violation de l’al. 11b), le tribunal doit accorder la réparation qu’il estime convenable et juste eu égard aux circonstances, en tenant compte de la nature de la violation, de ses effets, ainsi que de la nécessité de protéger à la fois les droits constitutionnels du contrevenant et l’intérêt public à ce qu’une peine légale et proportionnée soit infligée. La mise en balance entre les droits et intérêts en jeu est qualitativement différente dans le contexte postérieur au prononcé du verdict, car la présomption d’innocence a été réfutée par une preuve de culpabilité hors de tout doute raisonnable. Le paragraphe 24(1) de la </w:t>
      </w:r>
      <w:r w:rsidRPr="00B51BC1">
        <w:rPr>
          <w:i/>
          <w:lang w:val="fr-CA"/>
        </w:rPr>
        <w:t>Charte</w:t>
      </w:r>
      <w:r w:rsidRPr="00B51BC1">
        <w:rPr>
          <w:lang w:val="fr-CA"/>
        </w:rPr>
        <w:t xml:space="preserve"> prévoit un large éventail de réparations possibles et donne lieu à une analyse discrétionnaire et contextuelle. La réparation qui sera généralement convenable pour un délai de détermination de la peine </w:t>
      </w:r>
      <w:r w:rsidRPr="00B51BC1">
        <w:rPr>
          <w:lang w:val="fr-CA"/>
        </w:rPr>
        <w:lastRenderedPageBreak/>
        <w:t>postérieur au prononcé du verdict qui s’avère déraisonnable est une réduction de peine, bien que, dans des cas exceptionnels, un arrêt des procédures soit également possible.</w:t>
      </w:r>
    </w:p>
    <w:p w14:paraId="2DE79882" w14:textId="77777777" w:rsidR="00106AE1" w:rsidRPr="00B51BC1" w:rsidRDefault="0007482D">
      <w:pPr>
        <w:pStyle w:val="SCCNormalDoubleSpacing"/>
        <w:widowControl w:val="0"/>
        <w:spacing w:after="720" w:line="240" w:lineRule="auto"/>
        <w:rPr>
          <w:b/>
          <w:lang w:val="fr-CA"/>
        </w:rPr>
      </w:pPr>
      <w:r w:rsidRPr="00B51BC1">
        <w:rPr>
          <w:b/>
          <w:lang w:val="fr-CA"/>
        </w:rPr>
        <w:t>Jurisprudence</w:t>
      </w:r>
    </w:p>
    <w:p w14:paraId="28D291A3" w14:textId="77777777" w:rsidR="00106AE1" w:rsidRPr="00B51BC1" w:rsidRDefault="0007482D">
      <w:pPr>
        <w:pStyle w:val="SCCNormalDoubleSpacing"/>
        <w:widowControl w:val="0"/>
        <w:spacing w:after="480"/>
        <w:rPr>
          <w:szCs w:val="24"/>
          <w:lang w:val="fr-CA"/>
        </w:rPr>
      </w:pPr>
      <w:r w:rsidRPr="00B51BC1">
        <w:rPr>
          <w:lang w:val="fr-CA"/>
        </w:rPr>
        <w:tab/>
      </w:r>
      <w:r w:rsidRPr="00B51BC1">
        <w:rPr>
          <w:b/>
          <w:lang w:val="fr-CA"/>
        </w:rPr>
        <w:t xml:space="preserve">Arrêt </w:t>
      </w:r>
      <w:r w:rsidR="00337430" w:rsidRPr="00B51BC1">
        <w:rPr>
          <w:b/>
          <w:lang w:val="fr-CA"/>
        </w:rPr>
        <w:t>rejet</w:t>
      </w:r>
      <w:r w:rsidRPr="00B51BC1">
        <w:rPr>
          <w:b/>
          <w:lang w:val="fr-CA"/>
        </w:rPr>
        <w:t>é :</w:t>
      </w:r>
      <w:r w:rsidR="00337430" w:rsidRPr="00B51BC1">
        <w:rPr>
          <w:b/>
          <w:lang w:val="fr-CA"/>
        </w:rPr>
        <w:t xml:space="preserve"> </w:t>
      </w:r>
      <w:r w:rsidR="00337430" w:rsidRPr="00B51BC1">
        <w:rPr>
          <w:i/>
          <w:lang w:val="fr-CA"/>
        </w:rPr>
        <w:t>R. c. Charley</w:t>
      </w:r>
      <w:r w:rsidR="00337430" w:rsidRPr="00B51BC1">
        <w:rPr>
          <w:lang w:val="fr-CA"/>
        </w:rPr>
        <w:t>, 2019 ONCA 726, 147 O.R. (3d) 497;</w:t>
      </w:r>
      <w:r w:rsidRPr="00B51BC1">
        <w:rPr>
          <w:lang w:val="fr-CA"/>
        </w:rPr>
        <w:t xml:space="preserve"> </w:t>
      </w:r>
      <w:r w:rsidR="00337430" w:rsidRPr="00B51BC1">
        <w:rPr>
          <w:b/>
          <w:lang w:val="fr-CA"/>
        </w:rPr>
        <w:t xml:space="preserve">arrêts examinés : </w:t>
      </w:r>
      <w:r w:rsidRPr="00B51BC1">
        <w:rPr>
          <w:i/>
          <w:lang w:val="fr-CA"/>
        </w:rPr>
        <w:t>R. c. Jordan</w:t>
      </w:r>
      <w:r w:rsidRPr="00B51BC1">
        <w:rPr>
          <w:lang w:val="fr-CA"/>
        </w:rPr>
        <w:t xml:space="preserve">, 2016 CSC 27, [2016] 1 R.C.S. 631; </w:t>
      </w:r>
      <w:r w:rsidRPr="00B51BC1">
        <w:rPr>
          <w:i/>
          <w:lang w:val="fr-CA"/>
        </w:rPr>
        <w:t>R. c. K.G.K.</w:t>
      </w:r>
      <w:r w:rsidRPr="00B51BC1">
        <w:rPr>
          <w:lang w:val="fr-CA"/>
        </w:rPr>
        <w:t xml:space="preserve">, 2020 CSC 7, [2020] 1 R.C.S. 364; </w:t>
      </w:r>
      <w:r w:rsidR="00337430" w:rsidRPr="00B51BC1">
        <w:rPr>
          <w:b/>
          <w:lang w:val="fr-CA"/>
        </w:rPr>
        <w:t xml:space="preserve">arrêts mentionnés : </w:t>
      </w:r>
      <w:r w:rsidRPr="00B51BC1">
        <w:rPr>
          <w:i/>
          <w:lang w:val="fr-CA"/>
        </w:rPr>
        <w:t>R. c. MacDougall</w:t>
      </w:r>
      <w:r w:rsidRPr="00B51BC1">
        <w:rPr>
          <w:lang w:val="fr-CA"/>
        </w:rPr>
        <w:t xml:space="preserve">, [1998] 3 R.C.S. 45; </w:t>
      </w:r>
      <w:r w:rsidRPr="00B51BC1">
        <w:rPr>
          <w:i/>
          <w:lang w:val="fr-CA"/>
        </w:rPr>
        <w:t>R. c. Morin</w:t>
      </w:r>
      <w:r w:rsidRPr="00B51BC1">
        <w:rPr>
          <w:lang w:val="fr-CA"/>
        </w:rPr>
        <w:t xml:space="preserve">, [1992] 1 R.C.S. 771; </w:t>
      </w:r>
      <w:r w:rsidRPr="00B51BC1">
        <w:rPr>
          <w:i/>
          <w:lang w:val="fr-CA"/>
        </w:rPr>
        <w:t>R. c. Jacques-Taylor</w:t>
      </w:r>
      <w:r w:rsidRPr="00B51BC1">
        <w:rPr>
          <w:lang w:val="fr-CA"/>
        </w:rPr>
        <w:t xml:space="preserve">, 2026 CSC 20; </w:t>
      </w:r>
      <w:r w:rsidRPr="00B51BC1">
        <w:rPr>
          <w:i/>
          <w:lang w:val="fr-CA"/>
        </w:rPr>
        <w:t>R. c. Vrbanic</w:t>
      </w:r>
      <w:r w:rsidRPr="00B51BC1">
        <w:rPr>
          <w:lang w:val="fr-CA"/>
        </w:rPr>
        <w:t xml:space="preserve">, 2026 CSC 19; </w:t>
      </w:r>
      <w:r w:rsidRPr="00B51BC1">
        <w:rPr>
          <w:i/>
          <w:lang w:val="fr-CA"/>
        </w:rPr>
        <w:t>Québec (Procureur général) c. Senneville</w:t>
      </w:r>
      <w:r w:rsidRPr="00B51BC1">
        <w:rPr>
          <w:lang w:val="fr-CA"/>
        </w:rPr>
        <w:t xml:space="preserve">, 2025 CSC 33; </w:t>
      </w:r>
      <w:bookmarkStart w:id="2" w:name="_Hlk207005299"/>
      <w:r w:rsidRPr="00B51BC1">
        <w:rPr>
          <w:i/>
          <w:iCs/>
          <w:color w:val="000000"/>
          <w:lang w:val="fr-CA"/>
        </w:rPr>
        <w:t>R. c. Gardiner</w:t>
      </w:r>
      <w:r w:rsidRPr="00B51BC1">
        <w:rPr>
          <w:color w:val="000000"/>
          <w:lang w:val="fr-CA"/>
        </w:rPr>
        <w:t>, [1982] 2 R.C.S. 368</w:t>
      </w:r>
      <w:bookmarkEnd w:id="2"/>
      <w:r w:rsidRPr="00B51BC1">
        <w:rPr>
          <w:color w:val="000000"/>
          <w:lang w:val="fr-CA"/>
        </w:rPr>
        <w:t xml:space="preserve">; </w:t>
      </w:r>
      <w:r w:rsidRPr="00B51BC1">
        <w:rPr>
          <w:i/>
          <w:color w:val="000000"/>
          <w:lang w:val="fr-CA"/>
        </w:rPr>
        <w:t>R. c. Nahanee</w:t>
      </w:r>
      <w:r w:rsidRPr="00B51BC1">
        <w:rPr>
          <w:color w:val="000000"/>
          <w:lang w:val="fr-CA"/>
        </w:rPr>
        <w:t xml:space="preserve">, 2022 CSC 37, [2022] 3 R.C.S. 3; </w:t>
      </w:r>
      <w:r w:rsidRPr="00B51BC1">
        <w:rPr>
          <w:i/>
          <w:color w:val="000000"/>
          <w:lang w:val="fr-CA"/>
        </w:rPr>
        <w:t>R. c. Brown</w:t>
      </w:r>
      <w:r w:rsidRPr="00B51BC1">
        <w:rPr>
          <w:color w:val="000000"/>
          <w:lang w:val="fr-CA"/>
        </w:rPr>
        <w:t xml:space="preserve">, [1991] 2 R.C.S. 518; </w:t>
      </w:r>
      <w:r w:rsidRPr="00B51BC1">
        <w:rPr>
          <w:i/>
          <w:color w:val="000000"/>
          <w:lang w:val="fr-CA"/>
        </w:rPr>
        <w:t>R. c. Ferguson</w:t>
      </w:r>
      <w:r w:rsidRPr="00B51BC1">
        <w:rPr>
          <w:color w:val="000000"/>
          <w:lang w:val="fr-CA"/>
        </w:rPr>
        <w:t xml:space="preserve">, 2008 CSC 6, [2008] 1 R.C.S. 96; </w:t>
      </w:r>
      <w:r w:rsidRPr="00B51BC1">
        <w:rPr>
          <w:i/>
          <w:color w:val="000000"/>
          <w:lang w:val="fr-CA"/>
        </w:rPr>
        <w:t>R. c. Aragon</w:t>
      </w:r>
      <w:r w:rsidRPr="00B51BC1">
        <w:rPr>
          <w:color w:val="000000"/>
          <w:lang w:val="fr-CA"/>
        </w:rPr>
        <w:t xml:space="preserve">, 2022 ONCA 244, 413 C.C.C. (3d) 79; </w:t>
      </w:r>
      <w:r w:rsidRPr="00B51BC1">
        <w:rPr>
          <w:i/>
          <w:szCs w:val="24"/>
          <w:lang w:val="fr-CA"/>
        </w:rPr>
        <w:t>R. c. Gladue</w:t>
      </w:r>
      <w:r w:rsidRPr="00B51BC1">
        <w:rPr>
          <w:szCs w:val="24"/>
          <w:lang w:val="fr-CA"/>
        </w:rPr>
        <w:t xml:space="preserve">, [1999] 1 R.C.S. 688; </w:t>
      </w:r>
      <w:r w:rsidRPr="00B51BC1">
        <w:rPr>
          <w:i/>
          <w:color w:val="000000"/>
          <w:lang w:val="fr-CA"/>
        </w:rPr>
        <w:t>R. c. Ipeelee</w:t>
      </w:r>
      <w:r w:rsidRPr="00B51BC1">
        <w:rPr>
          <w:color w:val="000000"/>
          <w:lang w:val="fr-CA"/>
        </w:rPr>
        <w:t xml:space="preserve">, 2012 CSC 13, [2012] 1 R.C.S. 433; </w:t>
      </w:r>
      <w:r w:rsidRPr="00B51BC1">
        <w:rPr>
          <w:i/>
          <w:szCs w:val="24"/>
          <w:lang w:val="fr-CA"/>
        </w:rPr>
        <w:t>R. c. Anderson</w:t>
      </w:r>
      <w:r w:rsidRPr="00B51BC1">
        <w:rPr>
          <w:szCs w:val="24"/>
          <w:lang w:val="fr-CA"/>
        </w:rPr>
        <w:t xml:space="preserve">, 2021 NSCA 62, 74 C.R. (7th) 333; </w:t>
      </w:r>
      <w:bookmarkStart w:id="3" w:name="_Hlk239061958"/>
      <w:r w:rsidRPr="00B51BC1">
        <w:rPr>
          <w:i/>
          <w:szCs w:val="24"/>
          <w:lang w:val="fr-CA"/>
        </w:rPr>
        <w:t>R. c. Morris</w:t>
      </w:r>
      <w:r w:rsidRPr="00B51BC1">
        <w:rPr>
          <w:szCs w:val="24"/>
          <w:lang w:val="fr-CA"/>
        </w:rPr>
        <w:t>, 2021 ONCA 680, 159 O.R. (3d) 6</w:t>
      </w:r>
      <w:bookmarkEnd w:id="3"/>
      <w:r w:rsidRPr="00B51BC1">
        <w:rPr>
          <w:szCs w:val="24"/>
          <w:lang w:val="fr-CA"/>
        </w:rPr>
        <w:t xml:space="preserve">85; </w:t>
      </w:r>
      <w:r w:rsidRPr="00B51BC1">
        <w:rPr>
          <w:i/>
          <w:szCs w:val="24"/>
          <w:lang w:val="fr-CA"/>
        </w:rPr>
        <w:t>R. c. K.J.M.</w:t>
      </w:r>
      <w:r w:rsidRPr="00B51BC1">
        <w:rPr>
          <w:szCs w:val="24"/>
          <w:lang w:val="fr-CA"/>
        </w:rPr>
        <w:t xml:space="preserve">, 2019 CSC 55, [2019] 4 R.C.S. 39; </w:t>
      </w:r>
      <w:r w:rsidRPr="00B51BC1">
        <w:rPr>
          <w:i/>
          <w:szCs w:val="24"/>
          <w:lang w:val="fr-CA"/>
        </w:rPr>
        <w:t>R. c. J.F.</w:t>
      </w:r>
      <w:r w:rsidRPr="00B51BC1">
        <w:rPr>
          <w:szCs w:val="24"/>
          <w:lang w:val="fr-CA"/>
        </w:rPr>
        <w:t xml:space="preserve">, 2022 CSC 17, [2022] 1 R.C.S. 330; </w:t>
      </w:r>
      <w:r w:rsidRPr="00B51BC1">
        <w:rPr>
          <w:i/>
          <w:szCs w:val="24"/>
          <w:lang w:val="fr-CA"/>
        </w:rPr>
        <w:t>R. c. Fouani</w:t>
      </w:r>
      <w:r w:rsidRPr="00B51BC1">
        <w:rPr>
          <w:szCs w:val="24"/>
          <w:lang w:val="fr-CA"/>
        </w:rPr>
        <w:t xml:space="preserve">, 2025 ABCJ 2, 569 C.R.R. (2d) 232; </w:t>
      </w:r>
      <w:r w:rsidRPr="00B51BC1">
        <w:rPr>
          <w:i/>
          <w:szCs w:val="24"/>
          <w:lang w:val="fr-CA"/>
        </w:rPr>
        <w:t>R. c. Cape</w:t>
      </w:r>
      <w:r w:rsidRPr="00B51BC1">
        <w:rPr>
          <w:szCs w:val="24"/>
          <w:lang w:val="fr-CA"/>
        </w:rPr>
        <w:t xml:space="preserve">, 2025 ABCJ 129; </w:t>
      </w:r>
      <w:r w:rsidRPr="00B51BC1">
        <w:rPr>
          <w:i/>
          <w:szCs w:val="24"/>
          <w:lang w:val="fr-CA"/>
        </w:rPr>
        <w:t>R. c. S.P.P.</w:t>
      </w:r>
      <w:r w:rsidRPr="00B51BC1">
        <w:rPr>
          <w:szCs w:val="24"/>
          <w:lang w:val="fr-CA"/>
        </w:rPr>
        <w:t xml:space="preserve">, 2024 NSSC 42; </w:t>
      </w:r>
      <w:r w:rsidRPr="00B51BC1">
        <w:rPr>
          <w:i/>
          <w:szCs w:val="24"/>
          <w:lang w:val="fr-CA"/>
        </w:rPr>
        <w:t>R. c. Clemons</w:t>
      </w:r>
      <w:r w:rsidRPr="00B51BC1">
        <w:rPr>
          <w:szCs w:val="24"/>
          <w:lang w:val="fr-CA"/>
        </w:rPr>
        <w:t xml:space="preserve">, 2018 MBQB 144, 421 C.R.R. (2d) 26, </w:t>
      </w:r>
      <w:r w:rsidRPr="00B51BC1">
        <w:rPr>
          <w:color w:val="000000"/>
          <w:lang w:val="fr-CA"/>
        </w:rPr>
        <w:t xml:space="preserve">conf. </w:t>
      </w:r>
      <w:proofErr w:type="gramStart"/>
      <w:r w:rsidRPr="00B51BC1">
        <w:rPr>
          <w:color w:val="000000"/>
          <w:lang w:val="fr-CA"/>
        </w:rPr>
        <w:t>par</w:t>
      </w:r>
      <w:proofErr w:type="gramEnd"/>
      <w:r w:rsidRPr="00B51BC1">
        <w:rPr>
          <w:color w:val="000000"/>
          <w:lang w:val="fr-CA"/>
        </w:rPr>
        <w:t xml:space="preserve"> 2020 MBCA 4</w:t>
      </w:r>
      <w:r w:rsidRPr="00B51BC1">
        <w:rPr>
          <w:szCs w:val="24"/>
          <w:lang w:val="fr-CA"/>
        </w:rPr>
        <w:t xml:space="preserve">; </w:t>
      </w:r>
      <w:r w:rsidRPr="00B51BC1">
        <w:rPr>
          <w:i/>
          <w:szCs w:val="24"/>
          <w:lang w:val="fr-CA"/>
        </w:rPr>
        <w:t>R. c. S.C.W.</w:t>
      </w:r>
      <w:r w:rsidRPr="00B51BC1">
        <w:rPr>
          <w:szCs w:val="24"/>
          <w:lang w:val="fr-CA"/>
        </w:rPr>
        <w:t xml:space="preserve">, 2018 BCCA 346, 367 C.C.C. (3d) 518; </w:t>
      </w:r>
      <w:r w:rsidRPr="00B51BC1">
        <w:rPr>
          <w:i/>
          <w:szCs w:val="24"/>
          <w:lang w:val="fr-CA"/>
        </w:rPr>
        <w:t>Lévesque Paquette c. R.</w:t>
      </w:r>
      <w:r w:rsidRPr="00B51BC1">
        <w:rPr>
          <w:szCs w:val="24"/>
          <w:lang w:val="fr-CA"/>
        </w:rPr>
        <w:t xml:space="preserve">, 2022 QCCA 1047; </w:t>
      </w:r>
      <w:r w:rsidRPr="00B51BC1">
        <w:rPr>
          <w:i/>
          <w:szCs w:val="24"/>
          <w:lang w:val="fr-CA"/>
        </w:rPr>
        <w:t>Chemama c. R.</w:t>
      </w:r>
      <w:r w:rsidRPr="00B51BC1">
        <w:rPr>
          <w:szCs w:val="24"/>
          <w:lang w:val="fr-CA"/>
        </w:rPr>
        <w:t xml:space="preserve">, 2024 QCCA 405; </w:t>
      </w:r>
      <w:r w:rsidRPr="00B51BC1">
        <w:rPr>
          <w:i/>
          <w:szCs w:val="24"/>
          <w:lang w:val="fr-CA"/>
        </w:rPr>
        <w:t>Snowball c. R.</w:t>
      </w:r>
      <w:r w:rsidRPr="00B51BC1">
        <w:rPr>
          <w:szCs w:val="24"/>
          <w:lang w:val="fr-CA"/>
        </w:rPr>
        <w:t xml:space="preserve">, 2026 QCCA 76, 8 C.R. (8th) 328; </w:t>
      </w:r>
      <w:r w:rsidRPr="00B51BC1">
        <w:rPr>
          <w:i/>
          <w:szCs w:val="24"/>
          <w:lang w:val="fr-CA"/>
        </w:rPr>
        <w:t>R. c. Rahey</w:t>
      </w:r>
      <w:r w:rsidRPr="00B51BC1">
        <w:rPr>
          <w:szCs w:val="24"/>
          <w:lang w:val="fr-CA"/>
        </w:rPr>
        <w:t xml:space="preserve">, [1987] 1 R.C.S. 588; </w:t>
      </w:r>
      <w:r w:rsidRPr="00B51BC1">
        <w:rPr>
          <w:i/>
          <w:szCs w:val="24"/>
          <w:lang w:val="fr-CA"/>
        </w:rPr>
        <w:t>R. c. Varennes</w:t>
      </w:r>
      <w:r w:rsidRPr="00B51BC1">
        <w:rPr>
          <w:szCs w:val="24"/>
          <w:lang w:val="fr-CA"/>
        </w:rPr>
        <w:t xml:space="preserve">, 2025 CSC 22; </w:t>
      </w:r>
      <w:r w:rsidRPr="00B51BC1">
        <w:rPr>
          <w:i/>
          <w:lang w:val="fr-CA"/>
        </w:rPr>
        <w:t>R. c. Jones</w:t>
      </w:r>
      <w:r w:rsidRPr="00B51BC1">
        <w:rPr>
          <w:lang w:val="fr-CA"/>
        </w:rPr>
        <w:t>, [1994] 2 R.C.S. 229</w:t>
      </w:r>
      <w:r w:rsidRPr="00B51BC1">
        <w:rPr>
          <w:szCs w:val="24"/>
          <w:lang w:val="fr-CA"/>
        </w:rPr>
        <w:t xml:space="preserve">; </w:t>
      </w:r>
      <w:r w:rsidRPr="00B51BC1">
        <w:rPr>
          <w:i/>
          <w:szCs w:val="24"/>
          <w:lang w:val="fr-CA"/>
        </w:rPr>
        <w:t>R. c. Askov</w:t>
      </w:r>
      <w:r w:rsidRPr="00B51BC1">
        <w:rPr>
          <w:szCs w:val="24"/>
          <w:lang w:val="fr-CA"/>
        </w:rPr>
        <w:t xml:space="preserve">, [1990] 2 R.C.S. 1199; </w:t>
      </w:r>
      <w:r w:rsidRPr="00B51BC1">
        <w:rPr>
          <w:i/>
          <w:szCs w:val="24"/>
          <w:lang w:val="fr-CA"/>
        </w:rPr>
        <w:t>R. c. K.R.J.</w:t>
      </w:r>
      <w:r w:rsidRPr="00B51BC1">
        <w:rPr>
          <w:szCs w:val="24"/>
          <w:lang w:val="fr-CA"/>
        </w:rPr>
        <w:t xml:space="preserve">, 2016 CSC 31, [2016] 1 R.C.S. 906; </w:t>
      </w:r>
      <w:r w:rsidRPr="00B51BC1">
        <w:rPr>
          <w:i/>
          <w:iCs/>
          <w:color w:val="000000"/>
          <w:lang w:val="fr-CA"/>
        </w:rPr>
        <w:t>Mills c. La Reine</w:t>
      </w:r>
      <w:r w:rsidRPr="00B51BC1">
        <w:rPr>
          <w:color w:val="000000"/>
          <w:lang w:val="fr-CA"/>
        </w:rPr>
        <w:t xml:space="preserve">, [1986] 1 R.C.S. 863; </w:t>
      </w:r>
      <w:r w:rsidRPr="00B51BC1">
        <w:rPr>
          <w:i/>
          <w:iCs/>
          <w:color w:val="000000"/>
          <w:lang w:val="fr-CA"/>
        </w:rPr>
        <w:t>R. c. Gamble</w:t>
      </w:r>
      <w:r w:rsidRPr="00B51BC1">
        <w:rPr>
          <w:color w:val="000000"/>
          <w:lang w:val="fr-CA"/>
        </w:rPr>
        <w:t xml:space="preserve">, [1988] 2 R.C.S. 595; </w:t>
      </w:r>
      <w:r w:rsidRPr="00B51BC1">
        <w:rPr>
          <w:i/>
          <w:iCs/>
          <w:color w:val="000000"/>
          <w:lang w:val="fr-CA"/>
        </w:rPr>
        <w:lastRenderedPageBreak/>
        <w:t>Vancouver (Ville) c. Ward</w:t>
      </w:r>
      <w:r w:rsidRPr="00B51BC1">
        <w:rPr>
          <w:iCs/>
          <w:color w:val="000000"/>
          <w:lang w:val="fr-CA"/>
        </w:rPr>
        <w:t>, 2010 CSC 27, [2010] 2 R.C.S. 28</w:t>
      </w:r>
      <w:r w:rsidRPr="00B51BC1">
        <w:rPr>
          <w:color w:val="000000"/>
          <w:lang w:val="fr-CA"/>
        </w:rPr>
        <w:t xml:space="preserve">; </w:t>
      </w:r>
      <w:r w:rsidRPr="00B51BC1">
        <w:rPr>
          <w:i/>
          <w:color w:val="000000"/>
          <w:lang w:val="fr-CA"/>
        </w:rPr>
        <w:t>R. c. Nasogaluak</w:t>
      </w:r>
      <w:r w:rsidRPr="00B51BC1">
        <w:rPr>
          <w:color w:val="000000"/>
          <w:lang w:val="fr-CA"/>
        </w:rPr>
        <w:t xml:space="preserve">, 2010 CSC 6, [2010] 1 R.C.S. 206; </w:t>
      </w:r>
      <w:r w:rsidRPr="00B51BC1">
        <w:rPr>
          <w:i/>
          <w:color w:val="000000"/>
          <w:lang w:val="fr-CA"/>
        </w:rPr>
        <w:t>R. c. Bosley</w:t>
      </w:r>
      <w:r w:rsidRPr="00B51BC1">
        <w:rPr>
          <w:color w:val="000000"/>
          <w:lang w:val="fr-CA"/>
        </w:rPr>
        <w:t xml:space="preserve"> (1992), 18 C.R. (4th) 347; </w:t>
      </w:r>
      <w:r w:rsidRPr="00B51BC1">
        <w:rPr>
          <w:i/>
          <w:color w:val="000000"/>
          <w:lang w:val="fr-CA"/>
        </w:rPr>
        <w:t>R. c. Leaver</w:t>
      </w:r>
      <w:r w:rsidRPr="00B51BC1">
        <w:rPr>
          <w:color w:val="000000"/>
          <w:lang w:val="fr-CA"/>
        </w:rPr>
        <w:t xml:space="preserve"> (1996), 3 C.R. (5th) 138; </w:t>
      </w:r>
      <w:r w:rsidRPr="00B51BC1">
        <w:rPr>
          <w:i/>
          <w:lang w:val="fr-CA"/>
        </w:rPr>
        <w:t>R. c. Panousis</w:t>
      </w:r>
      <w:r w:rsidRPr="00B51BC1">
        <w:rPr>
          <w:lang w:val="fr-CA"/>
        </w:rPr>
        <w:t xml:space="preserve">, 2002 ABQB 1109, 329 A.R. 47; </w:t>
      </w:r>
      <w:r w:rsidRPr="00B51BC1">
        <w:rPr>
          <w:i/>
          <w:lang w:val="fr-CA"/>
        </w:rPr>
        <w:t>Canada (Ministre de la Citoyenneté et de l’Immigration) c. Tobiass</w:t>
      </w:r>
      <w:r w:rsidRPr="00B51BC1">
        <w:rPr>
          <w:lang w:val="fr-CA"/>
        </w:rPr>
        <w:t xml:space="preserve">, [1997] 3 R.C.S. 391; </w:t>
      </w:r>
      <w:r w:rsidRPr="00B51BC1">
        <w:rPr>
          <w:i/>
          <w:lang w:val="fr-CA"/>
        </w:rPr>
        <w:t>R. c. O’Connor</w:t>
      </w:r>
      <w:r w:rsidRPr="00B51BC1">
        <w:rPr>
          <w:lang w:val="fr-CA"/>
        </w:rPr>
        <w:t xml:space="preserve">, [1995] 4 R.C.S. 411; </w:t>
      </w:r>
      <w:r w:rsidRPr="00B51BC1">
        <w:rPr>
          <w:i/>
          <w:lang w:val="fr-CA"/>
        </w:rPr>
        <w:t>R. c. Brunelle</w:t>
      </w:r>
      <w:r w:rsidRPr="00B51BC1">
        <w:rPr>
          <w:lang w:val="fr-CA"/>
        </w:rPr>
        <w:t xml:space="preserve">, 2024 CSC 3; </w:t>
      </w:r>
      <w:r w:rsidRPr="00B51BC1">
        <w:rPr>
          <w:i/>
          <w:lang w:val="fr-CA"/>
        </w:rPr>
        <w:t>R. c. Regan</w:t>
      </w:r>
      <w:r w:rsidRPr="00B51BC1">
        <w:rPr>
          <w:lang w:val="fr-CA"/>
        </w:rPr>
        <w:t xml:space="preserve">, 2002 CSC 12, [2002] 1 R.C.S. 297; </w:t>
      </w:r>
      <w:bookmarkStart w:id="4" w:name="_Hlk234321980"/>
      <w:r w:rsidRPr="00B51BC1">
        <w:rPr>
          <w:i/>
          <w:lang w:val="fr-CA"/>
        </w:rPr>
        <w:t>R. c. Babos</w:t>
      </w:r>
      <w:r w:rsidRPr="00B51BC1">
        <w:rPr>
          <w:lang w:val="fr-CA"/>
        </w:rPr>
        <w:t>, 2014 CSC 16</w:t>
      </w:r>
      <w:bookmarkEnd w:id="4"/>
      <w:r w:rsidRPr="00B51BC1">
        <w:rPr>
          <w:lang w:val="fr-CA"/>
        </w:rPr>
        <w:t>, [2014] 1 R.C.S 309.</w:t>
      </w:r>
    </w:p>
    <w:p w14:paraId="3129EEF6" w14:textId="77777777" w:rsidR="00106AE1" w:rsidRPr="00B51BC1" w:rsidRDefault="0007482D">
      <w:pPr>
        <w:pStyle w:val="SCCNormalDoubleSpacing"/>
        <w:widowControl w:val="0"/>
        <w:spacing w:after="720" w:line="240" w:lineRule="auto"/>
        <w:rPr>
          <w:b/>
          <w:lang w:val="fr-CA"/>
        </w:rPr>
      </w:pPr>
      <w:r w:rsidRPr="00B51BC1">
        <w:rPr>
          <w:b/>
          <w:lang w:val="fr-CA"/>
        </w:rPr>
        <w:t>Lois et règlements cités</w:t>
      </w:r>
    </w:p>
    <w:p w14:paraId="30C1178E" w14:textId="77777777" w:rsidR="00106AE1" w:rsidRPr="00B51BC1" w:rsidRDefault="0007482D">
      <w:pPr>
        <w:pStyle w:val="SCCNormalDoubleSpacing"/>
        <w:widowControl w:val="0"/>
        <w:spacing w:after="240" w:line="240" w:lineRule="auto"/>
        <w:ind w:left="539" w:hanging="539"/>
        <w:rPr>
          <w:lang w:val="fr-CA"/>
        </w:rPr>
      </w:pPr>
      <w:r w:rsidRPr="00B51BC1">
        <w:rPr>
          <w:i/>
          <w:lang w:val="fr-CA"/>
        </w:rPr>
        <w:t>Charte canadienne des droits et libertés</w:t>
      </w:r>
      <w:r w:rsidRPr="00B51BC1">
        <w:rPr>
          <w:lang w:val="fr-CA"/>
        </w:rPr>
        <w:t>, art. 11b), 24(1).</w:t>
      </w:r>
    </w:p>
    <w:p w14:paraId="7AB1614C" w14:textId="77777777" w:rsidR="00106AE1" w:rsidRPr="00B51BC1" w:rsidRDefault="0007482D">
      <w:pPr>
        <w:pStyle w:val="SCCNormalDoubleSpacing"/>
        <w:widowControl w:val="0"/>
        <w:spacing w:after="720" w:line="240" w:lineRule="auto"/>
        <w:ind w:left="540" w:hanging="540"/>
        <w:rPr>
          <w:color w:val="000000"/>
          <w:lang w:val="fr-CA"/>
        </w:rPr>
      </w:pPr>
      <w:r w:rsidRPr="00B51BC1">
        <w:rPr>
          <w:i/>
          <w:iCs/>
          <w:color w:val="000000"/>
          <w:lang w:val="fr-CA"/>
        </w:rPr>
        <w:t>Code criminel</w:t>
      </w:r>
      <w:r w:rsidRPr="00B51BC1">
        <w:rPr>
          <w:color w:val="000000"/>
          <w:lang w:val="fr-CA"/>
        </w:rPr>
        <w:t>, L.R.C. 1985, c. C-46, art. 523(1)a), 718, 718.2a)(iii.1), e), 720, 721(1), 722(1), 722.2(1), 723(1), (2), (3), (4), 724(2), (3).</w:t>
      </w:r>
    </w:p>
    <w:p w14:paraId="01EEA217" w14:textId="77777777" w:rsidR="00106AE1" w:rsidRPr="00B51BC1" w:rsidRDefault="0007482D">
      <w:pPr>
        <w:pStyle w:val="SCCNormalDoubleSpacing"/>
        <w:spacing w:after="480"/>
        <w:rPr>
          <w:lang w:val="fr-CA"/>
        </w:rPr>
      </w:pPr>
      <w:r w:rsidRPr="00B51BC1">
        <w:rPr>
          <w:lang w:val="fr-CA"/>
        </w:rPr>
        <w:tab/>
        <w:t xml:space="preserve">POURVOI contre un arrêt de la Cour d’appel de l’Ontario (les juges Trotter, Favreau et Gomery), </w:t>
      </w:r>
      <w:hyperlink r:id="rId8" w:history="1">
        <w:r w:rsidRPr="00B51BC1">
          <w:rPr>
            <w:rStyle w:val="Hyperlien"/>
            <w:lang w:val="fr-CA"/>
          </w:rPr>
          <w:t>2025 ONCA 930</w:t>
        </w:r>
      </w:hyperlink>
      <w:r w:rsidRPr="00B51BC1">
        <w:rPr>
          <w:lang w:val="fr-CA"/>
        </w:rPr>
        <w:t xml:space="preserve">, 175 O.R. (3d) 81, [2024] O.J. No. 5916 (Lexis), 2024 CarswellOnt 19873 (WL), </w:t>
      </w:r>
      <w:r w:rsidR="009E074B" w:rsidRPr="00B51BC1">
        <w:rPr>
          <w:lang w:val="fr-CA"/>
        </w:rPr>
        <w:t>qui a réduit</w:t>
      </w:r>
      <w:r w:rsidRPr="00B51BC1">
        <w:rPr>
          <w:lang w:val="fr-CA"/>
        </w:rPr>
        <w:t xml:space="preserve"> la peine de 24 mois d’emprisonnement avec sursis du contrevenant à une peine de 20 mois d’emprisonnement avec sursis.</w:t>
      </w:r>
      <w:r w:rsidRPr="00B51BC1">
        <w:rPr>
          <w:color w:val="000000"/>
          <w:lang w:val="fr-CA"/>
        </w:rPr>
        <w:t xml:space="preserve"> Pourvoi rejeté.</w:t>
      </w:r>
    </w:p>
    <w:p w14:paraId="3ACCFB09" w14:textId="77777777" w:rsidR="00106AE1" w:rsidRPr="00B51BC1" w:rsidRDefault="0007482D">
      <w:pPr>
        <w:pStyle w:val="SCCNormalDoubleSpacing"/>
        <w:spacing w:after="480"/>
        <w:rPr>
          <w:lang w:val="fr-CA"/>
        </w:rPr>
      </w:pPr>
      <w:r w:rsidRPr="00B51BC1">
        <w:rPr>
          <w:rStyle w:val="SCCCounselNameChar"/>
          <w:lang w:val="fr-CA"/>
        </w:rPr>
        <w:tab/>
        <w:t>Arash Ghiassi</w:t>
      </w:r>
      <w:r w:rsidRPr="00B51BC1">
        <w:rPr>
          <w:rStyle w:val="SCCCounselSeparatorChar"/>
          <w:lang w:val="fr-CA"/>
        </w:rPr>
        <w:t xml:space="preserve"> et </w:t>
      </w:r>
      <w:r w:rsidRPr="00B51BC1">
        <w:rPr>
          <w:rStyle w:val="SCCCounselNameChar"/>
          <w:lang w:val="fr-CA"/>
        </w:rPr>
        <w:t>Julia Kirby</w:t>
      </w:r>
      <w:r w:rsidRPr="00B51BC1">
        <w:rPr>
          <w:rStyle w:val="SCCCounselPartyRoleChar"/>
          <w:lang w:val="fr-CA"/>
        </w:rPr>
        <w:t>, pour l’appelant.</w:t>
      </w:r>
    </w:p>
    <w:p w14:paraId="64C76854" w14:textId="77777777" w:rsidR="00106AE1" w:rsidRPr="00B51BC1" w:rsidRDefault="0007482D">
      <w:pPr>
        <w:pStyle w:val="SCCNormalDoubleSpacing"/>
        <w:spacing w:after="480"/>
        <w:rPr>
          <w:rStyle w:val="SCCCounselPartyRoleChar"/>
          <w:lang w:val="fr-CA"/>
        </w:rPr>
      </w:pPr>
      <w:r w:rsidRPr="00B51BC1">
        <w:rPr>
          <w:rStyle w:val="SCCCounselNameChar"/>
          <w:lang w:val="fr-CA"/>
        </w:rPr>
        <w:tab/>
        <w:t xml:space="preserve">Jeremy Tatum </w:t>
      </w:r>
      <w:r w:rsidRPr="00B51BC1">
        <w:rPr>
          <w:rStyle w:val="SCCCounselSeparatorChar"/>
          <w:lang w:val="fr-CA"/>
        </w:rPr>
        <w:t>et</w:t>
      </w:r>
      <w:r w:rsidRPr="00B51BC1">
        <w:rPr>
          <w:rStyle w:val="SCCCounselNameChar"/>
          <w:lang w:val="fr-CA"/>
        </w:rPr>
        <w:t xml:space="preserve"> Brett Cohen</w:t>
      </w:r>
      <w:r w:rsidRPr="00B51BC1">
        <w:rPr>
          <w:rStyle w:val="SCCCounselPartyRoleChar"/>
          <w:lang w:val="fr-CA"/>
        </w:rPr>
        <w:t>, pour l’intimé.</w:t>
      </w:r>
    </w:p>
    <w:p w14:paraId="50FA4A1D" w14:textId="77777777" w:rsidR="00106AE1" w:rsidRPr="00B51BC1" w:rsidRDefault="0007482D">
      <w:pPr>
        <w:pStyle w:val="SCCNormalDoubleSpacing"/>
        <w:spacing w:after="480"/>
        <w:rPr>
          <w:lang w:val="fr-CA"/>
        </w:rPr>
      </w:pPr>
      <w:r w:rsidRPr="00B51BC1">
        <w:rPr>
          <w:lang w:val="fr-CA"/>
        </w:rPr>
        <w:tab/>
      </w:r>
      <w:r w:rsidRPr="00B51BC1">
        <w:rPr>
          <w:i/>
          <w:lang w:val="fr-CA"/>
        </w:rPr>
        <w:t>Mark J. Covan</w:t>
      </w:r>
      <w:r w:rsidRPr="00B51BC1">
        <w:rPr>
          <w:lang w:val="fr-CA"/>
        </w:rPr>
        <w:t xml:space="preserve"> et </w:t>
      </w:r>
      <w:r w:rsidRPr="00B51BC1">
        <w:rPr>
          <w:i/>
          <w:lang w:val="fr-CA"/>
        </w:rPr>
        <w:t>Kelvin Ramchand</w:t>
      </w:r>
      <w:r w:rsidRPr="00B51BC1">
        <w:rPr>
          <w:lang w:val="fr-CA"/>
        </w:rPr>
        <w:t>, pour l’intervenant le directeur des poursuites pénales.</w:t>
      </w:r>
    </w:p>
    <w:p w14:paraId="2CFA0E15" w14:textId="77777777" w:rsidR="00106AE1" w:rsidRPr="00B51BC1" w:rsidRDefault="0007482D">
      <w:pPr>
        <w:pStyle w:val="SCCNormalDoubleSpacing"/>
        <w:spacing w:after="480"/>
        <w:rPr>
          <w:lang w:val="fr-CA"/>
        </w:rPr>
      </w:pPr>
      <w:r w:rsidRPr="00B51BC1">
        <w:rPr>
          <w:lang w:val="fr-CA"/>
        </w:rPr>
        <w:lastRenderedPageBreak/>
        <w:tab/>
      </w:r>
      <w:r w:rsidRPr="00B51BC1">
        <w:rPr>
          <w:i/>
          <w:lang w:val="fr-CA"/>
        </w:rPr>
        <w:t xml:space="preserve">Sylvain Leboeuf </w:t>
      </w:r>
      <w:r w:rsidRPr="00B51BC1">
        <w:rPr>
          <w:lang w:val="fr-CA"/>
        </w:rPr>
        <w:t>et</w:t>
      </w:r>
      <w:r w:rsidRPr="00B51BC1">
        <w:rPr>
          <w:i/>
          <w:lang w:val="fr-CA"/>
        </w:rPr>
        <w:t xml:space="preserve"> François Hénault</w:t>
      </w:r>
      <w:r w:rsidRPr="00B51BC1">
        <w:rPr>
          <w:lang w:val="fr-CA"/>
        </w:rPr>
        <w:t>, pour l’intervenant le procureur général du Québec.</w:t>
      </w:r>
    </w:p>
    <w:p w14:paraId="0FFB036A" w14:textId="77777777" w:rsidR="00106AE1" w:rsidRPr="00B51BC1" w:rsidRDefault="0007482D">
      <w:pPr>
        <w:pStyle w:val="SCCNormalDoubleSpacing"/>
        <w:spacing w:after="480"/>
        <w:rPr>
          <w:rStyle w:val="SCCCounselPartyRoleChar"/>
          <w:lang w:val="fr-CA"/>
        </w:rPr>
      </w:pPr>
      <w:r w:rsidRPr="00B51BC1">
        <w:rPr>
          <w:rStyle w:val="SCCCounselNameChar"/>
          <w:lang w:val="fr-CA"/>
        </w:rPr>
        <w:tab/>
        <w:t xml:space="preserve">Cory J. H. Roberts </w:t>
      </w:r>
      <w:r w:rsidRPr="00B51BC1">
        <w:rPr>
          <w:rStyle w:val="SCCCounselSeparatorChar"/>
          <w:lang w:val="fr-CA"/>
        </w:rPr>
        <w:t>et</w:t>
      </w:r>
      <w:r w:rsidRPr="00B51BC1">
        <w:rPr>
          <w:rStyle w:val="SCCCounselNameChar"/>
          <w:lang w:val="fr-CA"/>
        </w:rPr>
        <w:t xml:space="preserve"> Erica Koresawa</w:t>
      </w:r>
      <w:r w:rsidRPr="00B51BC1">
        <w:rPr>
          <w:rStyle w:val="SCCCounselPartyRoleChar"/>
          <w:lang w:val="fr-CA"/>
        </w:rPr>
        <w:t>, pour l’intervenant le procureur général de la Nouvelle-Écosse.</w:t>
      </w:r>
    </w:p>
    <w:p w14:paraId="2BBEAD6F" w14:textId="77777777" w:rsidR="00106AE1" w:rsidRPr="00B51BC1" w:rsidRDefault="0007482D">
      <w:pPr>
        <w:pStyle w:val="SCCNormalDoubleSpacing"/>
        <w:spacing w:after="480"/>
        <w:rPr>
          <w:lang w:val="fr-CA"/>
        </w:rPr>
      </w:pPr>
      <w:r w:rsidRPr="00B51BC1">
        <w:rPr>
          <w:lang w:val="fr-CA"/>
        </w:rPr>
        <w:tab/>
      </w:r>
      <w:r w:rsidRPr="00B51BC1">
        <w:rPr>
          <w:i/>
          <w:lang w:val="fr-CA"/>
        </w:rPr>
        <w:t>Michael Bodner</w:t>
      </w:r>
      <w:r w:rsidRPr="00B51BC1">
        <w:rPr>
          <w:lang w:val="fr-CA"/>
        </w:rPr>
        <w:t xml:space="preserve"> et </w:t>
      </w:r>
      <w:r w:rsidRPr="00B51BC1">
        <w:rPr>
          <w:i/>
          <w:lang w:val="fr-CA"/>
        </w:rPr>
        <w:t>Inderjit Singh</w:t>
      </w:r>
      <w:r w:rsidRPr="00B51BC1">
        <w:rPr>
          <w:lang w:val="fr-CA"/>
        </w:rPr>
        <w:t>, pour l’intervenant le procureur général du Manitoba.</w:t>
      </w:r>
    </w:p>
    <w:p w14:paraId="4D105071" w14:textId="77777777" w:rsidR="00106AE1" w:rsidRPr="00B51BC1" w:rsidRDefault="0007482D">
      <w:pPr>
        <w:pStyle w:val="SCCNormalDoubleSpacing"/>
        <w:spacing w:after="480"/>
        <w:rPr>
          <w:lang w:val="fr-CA"/>
        </w:rPr>
      </w:pPr>
      <w:r w:rsidRPr="00B51BC1">
        <w:rPr>
          <w:rStyle w:val="SCCCounselNameChar"/>
          <w:lang w:val="fr-CA"/>
        </w:rPr>
        <w:tab/>
        <w:t>Susanne E. Elliott</w:t>
      </w:r>
      <w:r w:rsidRPr="00B51BC1">
        <w:rPr>
          <w:rStyle w:val="SCCCounselNameChar"/>
          <w:i w:val="0"/>
          <w:lang w:val="fr-CA"/>
        </w:rPr>
        <w:t>,</w:t>
      </w:r>
      <w:r w:rsidRPr="00B51BC1">
        <w:rPr>
          <w:rStyle w:val="SCCCounselNameChar"/>
          <w:lang w:val="fr-CA"/>
        </w:rPr>
        <w:t xml:space="preserve"> c.r.</w:t>
      </w:r>
      <w:r w:rsidRPr="00B51BC1">
        <w:rPr>
          <w:rStyle w:val="SCCCounselNameChar"/>
          <w:i w:val="0"/>
          <w:lang w:val="fr-CA"/>
        </w:rPr>
        <w:t>,</w:t>
      </w:r>
      <w:r w:rsidRPr="00B51BC1">
        <w:rPr>
          <w:rStyle w:val="SCCCounselSeparatorChar"/>
          <w:lang w:val="fr-CA"/>
        </w:rPr>
        <w:t xml:space="preserve"> et </w:t>
      </w:r>
      <w:r w:rsidRPr="00B51BC1">
        <w:rPr>
          <w:rStyle w:val="SCCCounselNameChar"/>
          <w:lang w:val="fr-CA"/>
        </w:rPr>
        <w:t>Lara Vizsolyi</w:t>
      </w:r>
      <w:r w:rsidRPr="00B51BC1">
        <w:rPr>
          <w:rStyle w:val="SCCCounselPartyRoleChar"/>
          <w:lang w:val="fr-CA"/>
        </w:rPr>
        <w:t>, pour l’intervenant le procureur général de la Colombie-Britannique.</w:t>
      </w:r>
    </w:p>
    <w:p w14:paraId="05EAE615" w14:textId="77777777" w:rsidR="00106AE1" w:rsidRPr="00B51BC1" w:rsidRDefault="0007482D">
      <w:pPr>
        <w:pStyle w:val="SCCNormalDoubleSpacing"/>
        <w:spacing w:after="480"/>
        <w:rPr>
          <w:lang w:val="fr-CA"/>
        </w:rPr>
      </w:pPr>
      <w:r w:rsidRPr="00B51BC1">
        <w:rPr>
          <w:rStyle w:val="SCCCounselNameChar"/>
          <w:lang w:val="fr-CA"/>
        </w:rPr>
        <w:tab/>
        <w:t>Julie Morgan</w:t>
      </w:r>
      <w:r w:rsidRPr="00B51BC1">
        <w:rPr>
          <w:rStyle w:val="SCCCounselPartyRoleChar"/>
          <w:lang w:val="fr-CA"/>
        </w:rPr>
        <w:t>, pour l’intervenant le procureur général de l’Alberta.</w:t>
      </w:r>
    </w:p>
    <w:p w14:paraId="1F895DBE" w14:textId="77777777" w:rsidR="00106AE1" w:rsidRPr="00B51BC1" w:rsidRDefault="0007482D">
      <w:pPr>
        <w:pStyle w:val="SCCNormalDoubleSpacing"/>
        <w:spacing w:after="480"/>
        <w:rPr>
          <w:lang w:val="fr-CA"/>
        </w:rPr>
      </w:pPr>
      <w:r w:rsidRPr="00B51BC1">
        <w:rPr>
          <w:rStyle w:val="SCCCounselNameChar"/>
          <w:lang w:val="fr-CA"/>
        </w:rPr>
        <w:tab/>
        <w:t xml:space="preserve">Xavier Lyonnais </w:t>
      </w:r>
      <w:r w:rsidRPr="00B51BC1">
        <w:rPr>
          <w:rStyle w:val="SCCCounselSeparatorChar"/>
          <w:lang w:val="fr-CA"/>
        </w:rPr>
        <w:t>et</w:t>
      </w:r>
      <w:r w:rsidRPr="00B51BC1">
        <w:rPr>
          <w:rStyle w:val="SCCCounselNameChar"/>
          <w:lang w:val="fr-CA"/>
        </w:rPr>
        <w:t xml:space="preserve"> Daphné Godin-Garito</w:t>
      </w:r>
      <w:r w:rsidRPr="00B51BC1">
        <w:rPr>
          <w:rStyle w:val="SCCCounselPartyRoleChar"/>
          <w:lang w:val="fr-CA"/>
        </w:rPr>
        <w:t>, pour l’intervenant le directeur des poursuites criminelles et pénales.</w:t>
      </w:r>
    </w:p>
    <w:p w14:paraId="73DDF8A5" w14:textId="77777777" w:rsidR="00106AE1" w:rsidRPr="00B51BC1" w:rsidRDefault="0007482D">
      <w:pPr>
        <w:pStyle w:val="SCCNormalDoubleSpacing"/>
        <w:spacing w:after="480"/>
        <w:rPr>
          <w:lang w:val="fr-CA"/>
        </w:rPr>
      </w:pPr>
      <w:r w:rsidRPr="00B51BC1">
        <w:rPr>
          <w:rStyle w:val="SCCCounselNameChar"/>
          <w:lang w:val="fr-CA"/>
        </w:rPr>
        <w:tab/>
        <w:t>Julia Blais-Quintal</w:t>
      </w:r>
      <w:r w:rsidRPr="00B51BC1">
        <w:rPr>
          <w:rStyle w:val="SCCCounselSeparatorChar"/>
          <w:lang w:val="fr-CA"/>
        </w:rPr>
        <w:t xml:space="preserve"> et </w:t>
      </w:r>
      <w:r w:rsidRPr="00B51BC1">
        <w:rPr>
          <w:rStyle w:val="SCCCounselNameChar"/>
          <w:lang w:val="fr-CA"/>
        </w:rPr>
        <w:t>Caroline Jennis</w:t>
      </w:r>
      <w:r w:rsidRPr="00B51BC1">
        <w:rPr>
          <w:rStyle w:val="SCCCounselPartyRoleChar"/>
          <w:lang w:val="fr-CA"/>
        </w:rPr>
        <w:t>, pour l’intervenante l’Association québécoise des avocats et avocates de la défense.</w:t>
      </w:r>
    </w:p>
    <w:p w14:paraId="2598BBBE" w14:textId="77777777" w:rsidR="00106AE1" w:rsidRPr="00B51BC1" w:rsidRDefault="0007482D">
      <w:pPr>
        <w:pStyle w:val="SCCNormalDoubleSpacing"/>
        <w:spacing w:after="480"/>
        <w:rPr>
          <w:lang w:val="fr-CA"/>
        </w:rPr>
      </w:pPr>
      <w:r w:rsidRPr="00B51BC1">
        <w:rPr>
          <w:rStyle w:val="SCCCounselNameChar"/>
          <w:lang w:val="fr-CA"/>
        </w:rPr>
        <w:tab/>
        <w:t>Chris Rudnicki</w:t>
      </w:r>
      <w:r w:rsidRPr="00B51BC1">
        <w:rPr>
          <w:rStyle w:val="SCCCounselSeparatorChar"/>
          <w:lang w:val="fr-CA"/>
        </w:rPr>
        <w:t xml:space="preserve"> et </w:t>
      </w:r>
      <w:r w:rsidRPr="00B51BC1">
        <w:rPr>
          <w:rStyle w:val="SCCCounselNameChar"/>
          <w:lang w:val="fr-CA"/>
        </w:rPr>
        <w:t>Theresa Donkor</w:t>
      </w:r>
      <w:r w:rsidRPr="00B51BC1">
        <w:rPr>
          <w:rStyle w:val="SCCCounselPartyRoleChar"/>
          <w:lang w:val="fr-CA"/>
        </w:rPr>
        <w:t>, pour l’intervenante l’Association canadienne des libertés civiles.</w:t>
      </w:r>
    </w:p>
    <w:p w14:paraId="6F672DC7" w14:textId="77777777" w:rsidR="00106AE1" w:rsidRPr="00B51BC1" w:rsidRDefault="0007482D">
      <w:pPr>
        <w:pStyle w:val="SCCNormalDoubleSpacing"/>
        <w:spacing w:after="480"/>
        <w:rPr>
          <w:lang w:val="fr-CA"/>
        </w:rPr>
      </w:pPr>
      <w:r w:rsidRPr="00B51BC1">
        <w:rPr>
          <w:rStyle w:val="SCCCounselNameChar"/>
          <w:lang w:val="fr-CA"/>
        </w:rPr>
        <w:lastRenderedPageBreak/>
        <w:tab/>
        <w:t>James Foy</w:t>
      </w:r>
      <w:r w:rsidRPr="00B51BC1">
        <w:rPr>
          <w:rStyle w:val="SCCCounselPartyRoleChar"/>
          <w:lang w:val="fr-CA"/>
        </w:rPr>
        <w:t>, pour l’intervenante British Columbia Civil Liberties Association.</w:t>
      </w:r>
    </w:p>
    <w:p w14:paraId="64542F9D" w14:textId="77777777" w:rsidR="00106AE1" w:rsidRPr="00B51BC1" w:rsidRDefault="0007482D" w:rsidP="00B51BC1">
      <w:pPr>
        <w:pStyle w:val="SCCNormalDoubleSpacing"/>
        <w:spacing w:after="480"/>
        <w:rPr>
          <w:rStyle w:val="SCCCounselPartyRoleChar"/>
          <w:lang w:val="fr-CA"/>
        </w:rPr>
      </w:pPr>
      <w:r w:rsidRPr="00B51BC1">
        <w:rPr>
          <w:rStyle w:val="SCCCounselNameChar"/>
          <w:lang w:val="fr-CA"/>
        </w:rPr>
        <w:tab/>
        <w:t>Howard L. Krongold</w:t>
      </w:r>
      <w:r w:rsidRPr="00B51BC1">
        <w:rPr>
          <w:rStyle w:val="SCCCounselSeparatorChar"/>
          <w:lang w:val="fr-CA"/>
        </w:rPr>
        <w:t xml:space="preserve"> et </w:t>
      </w:r>
      <w:r w:rsidRPr="00B51BC1">
        <w:rPr>
          <w:rStyle w:val="SCCCounselNameChar"/>
          <w:lang w:val="fr-CA"/>
        </w:rPr>
        <w:t>Rick Frank</w:t>
      </w:r>
      <w:r w:rsidRPr="00B51BC1">
        <w:rPr>
          <w:rStyle w:val="SCCCounselPartyRoleChar"/>
          <w:lang w:val="fr-CA"/>
        </w:rPr>
        <w:t>, pour l’intervenante Criminal Lawyers’ Association (Ontario).</w:t>
      </w:r>
    </w:p>
    <w:p w14:paraId="0CB391D9" w14:textId="77777777" w:rsidR="00B51BC1" w:rsidRPr="00B51BC1" w:rsidRDefault="00B51BC1" w:rsidP="00B51BC1">
      <w:pPr>
        <w:tabs>
          <w:tab w:val="left" w:pos="1134"/>
        </w:tabs>
        <w:spacing w:after="480" w:line="480" w:lineRule="auto"/>
        <w:ind w:firstLine="12"/>
        <w:jc w:val="both"/>
        <w:rPr>
          <w:lang w:val="fr-CA"/>
        </w:rPr>
      </w:pPr>
      <w:r w:rsidRPr="00A87BA5">
        <w:rPr>
          <w:lang w:val="fr-CA"/>
        </w:rPr>
        <w:tab/>
      </w:r>
      <w:r w:rsidRPr="00B51BC1">
        <w:rPr>
          <w:lang w:val="fr-CA"/>
        </w:rPr>
        <w:t>Version française du jugement de la Cour rendu par</w:t>
      </w:r>
    </w:p>
    <w:p w14:paraId="5FEEF651" w14:textId="77777777" w:rsidR="00B51BC1" w:rsidRPr="00B51BC1" w:rsidRDefault="00B51BC1" w:rsidP="00B51BC1">
      <w:pPr>
        <w:pStyle w:val="JudgeJuge"/>
        <w:spacing w:before="240"/>
      </w:pPr>
      <w:r w:rsidRPr="00B51BC1">
        <w:tab/>
      </w:r>
      <w:r w:rsidRPr="00B51BC1">
        <w:rPr>
          <w:noProof/>
        </w:rPr>
        <w:t>La juge Martin —</w:t>
      </w:r>
    </w:p>
    <w:tbl>
      <w:tblPr>
        <w:tblStyle w:val="Grilledutableau"/>
        <w:tblW w:w="8366" w:type="dxa"/>
        <w:tblLayout w:type="fixed"/>
        <w:tblLook w:val="04A0" w:firstRow="1" w:lastRow="0" w:firstColumn="1" w:lastColumn="0" w:noHBand="0" w:noVBand="1"/>
      </w:tblPr>
      <w:tblGrid>
        <w:gridCol w:w="7545"/>
        <w:gridCol w:w="821"/>
      </w:tblGrid>
      <w:tr w:rsidR="00B51BC1" w:rsidRPr="00B51BC1" w14:paraId="7112D014" w14:textId="77777777" w:rsidTr="00BF439B">
        <w:tc>
          <w:tcPr>
            <w:tcW w:w="16562" w:type="dxa"/>
            <w:gridSpan w:val="2"/>
            <w:tcBorders>
              <w:top w:val="nil"/>
              <w:left w:val="nil"/>
              <w:bottom w:val="nil"/>
              <w:right w:val="nil"/>
            </w:tcBorders>
          </w:tcPr>
          <w:p w14:paraId="6D6C5C03" w14:textId="77777777" w:rsidR="00B51BC1" w:rsidRPr="00B51BC1" w:rsidRDefault="00B51BC1" w:rsidP="00F261C2">
            <w:pPr>
              <w:keepNext/>
              <w:spacing w:before="60" w:after="60"/>
              <w:jc w:val="center"/>
              <w:rPr>
                <w:b/>
              </w:rPr>
            </w:pPr>
            <w:r w:rsidRPr="00B51BC1">
              <w:rPr>
                <w:b/>
              </w:rPr>
              <w:t>TABLE DES MATIÈRES</w:t>
            </w:r>
          </w:p>
        </w:tc>
      </w:tr>
      <w:tr w:rsidR="00B51BC1" w:rsidRPr="00B51BC1" w14:paraId="2A9F4608" w14:textId="77777777" w:rsidTr="00F261C2">
        <w:tc>
          <w:tcPr>
            <w:tcW w:w="8366" w:type="dxa"/>
            <w:gridSpan w:val="2"/>
            <w:tcBorders>
              <w:top w:val="nil"/>
              <w:left w:val="nil"/>
              <w:bottom w:val="nil"/>
              <w:right w:val="nil"/>
            </w:tcBorders>
          </w:tcPr>
          <w:p w14:paraId="79C58C2B" w14:textId="77777777" w:rsidR="00B51BC1" w:rsidRPr="00B51BC1" w:rsidRDefault="00B51BC1" w:rsidP="00F261C2">
            <w:pPr>
              <w:keepNext/>
              <w:spacing w:before="60" w:after="60"/>
              <w:jc w:val="right"/>
            </w:pPr>
            <w:r w:rsidRPr="00B51BC1">
              <w:t>Paragraphe</w:t>
            </w:r>
          </w:p>
        </w:tc>
      </w:tr>
      <w:tr w:rsidR="00B51BC1" w:rsidRPr="00B51BC1" w14:paraId="40456D86" w14:textId="77777777" w:rsidTr="00BF439B">
        <w:tc>
          <w:tcPr>
            <w:tcW w:w="15133" w:type="dxa"/>
            <w:tcBorders>
              <w:top w:val="nil"/>
              <w:left w:val="nil"/>
              <w:bottom w:val="nil"/>
              <w:right w:val="nil"/>
            </w:tcBorders>
          </w:tcPr>
          <w:p w14:paraId="3B4E76DA" w14:textId="77777777" w:rsidR="00B51BC1" w:rsidRPr="00B51BC1" w:rsidRDefault="00B51BC1" w:rsidP="00A87BA5">
            <w:pPr>
              <w:pStyle w:val="TM1"/>
              <w:rPr>
                <w:rFonts w:eastAsiaTheme="minorEastAsia"/>
                <w:sz w:val="22"/>
                <w:szCs w:val="22"/>
                <w:u w:val="none"/>
                <w:lang w:eastAsia="fr-CA"/>
              </w:rPr>
            </w:pPr>
            <w:r w:rsidRPr="00B51BC1">
              <w:rPr>
                <w:u w:val="none"/>
              </w:rPr>
              <w:t>I.</w:t>
            </w:r>
            <w:r w:rsidRPr="00B51BC1">
              <w:rPr>
                <w:rFonts w:eastAsiaTheme="minorEastAsia"/>
                <w:sz w:val="22"/>
                <w:szCs w:val="22"/>
                <w:u w:val="none"/>
                <w:lang w:eastAsia="fr-CA"/>
              </w:rPr>
              <w:tab/>
            </w:r>
            <w:r w:rsidRPr="00B51BC1">
              <w:t>Aperçu</w:t>
            </w:r>
          </w:p>
        </w:tc>
        <w:tc>
          <w:tcPr>
            <w:tcW w:w="1423" w:type="dxa"/>
            <w:tcBorders>
              <w:top w:val="nil"/>
              <w:left w:val="nil"/>
              <w:bottom w:val="nil"/>
              <w:right w:val="nil"/>
            </w:tcBorders>
          </w:tcPr>
          <w:p w14:paraId="4C3249C8"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_Ref239925645 \r \h </w:instrText>
            </w:r>
            <w:r>
              <w:instrText xml:space="preserve"> \* MERGEFORMAT </w:instrText>
            </w:r>
            <w:r w:rsidRPr="00B51BC1">
              <w:fldChar w:fldCharType="separate"/>
            </w:r>
            <w:r w:rsidRPr="00B51BC1">
              <w:t>[1]</w:t>
            </w:r>
            <w:r w:rsidRPr="00B51BC1">
              <w:fldChar w:fldCharType="end"/>
            </w:r>
          </w:p>
        </w:tc>
      </w:tr>
      <w:tr w:rsidR="00B51BC1" w:rsidRPr="00B51BC1" w14:paraId="1F3444B2" w14:textId="77777777" w:rsidTr="00F261C2">
        <w:tc>
          <w:tcPr>
            <w:tcW w:w="7547" w:type="dxa"/>
            <w:tcBorders>
              <w:top w:val="nil"/>
              <w:left w:val="nil"/>
              <w:bottom w:val="nil"/>
              <w:right w:val="nil"/>
            </w:tcBorders>
          </w:tcPr>
          <w:p w14:paraId="42878EC9" w14:textId="77777777" w:rsidR="00B51BC1" w:rsidRPr="00B51BC1" w:rsidRDefault="00B51BC1" w:rsidP="00A87BA5">
            <w:pPr>
              <w:pStyle w:val="TM1"/>
              <w:rPr>
                <w:rFonts w:eastAsiaTheme="minorEastAsia"/>
                <w:sz w:val="22"/>
                <w:szCs w:val="22"/>
                <w:u w:val="none"/>
                <w:lang w:eastAsia="fr-CA"/>
              </w:rPr>
            </w:pPr>
            <w:r w:rsidRPr="00B51BC1">
              <w:rPr>
                <w:u w:val="none"/>
              </w:rPr>
              <w:t>II.</w:t>
            </w:r>
            <w:r w:rsidRPr="00B51BC1">
              <w:rPr>
                <w:rFonts w:eastAsiaTheme="minorEastAsia"/>
                <w:sz w:val="22"/>
                <w:szCs w:val="22"/>
                <w:u w:val="none"/>
                <w:lang w:eastAsia="fr-CA"/>
              </w:rPr>
              <w:tab/>
            </w:r>
            <w:r w:rsidRPr="00B51BC1">
              <w:t>Contexte</w:t>
            </w:r>
          </w:p>
        </w:tc>
        <w:tc>
          <w:tcPr>
            <w:tcW w:w="819" w:type="dxa"/>
            <w:tcBorders>
              <w:top w:val="nil"/>
              <w:left w:val="nil"/>
              <w:bottom w:val="nil"/>
              <w:right w:val="nil"/>
            </w:tcBorders>
          </w:tcPr>
          <w:p w14:paraId="657D9E71"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_Ref239925698 \r \h </w:instrText>
            </w:r>
            <w:r>
              <w:instrText xml:space="preserve"> \* MERGEFORMAT </w:instrText>
            </w:r>
            <w:r w:rsidRPr="00B51BC1">
              <w:fldChar w:fldCharType="separate"/>
            </w:r>
            <w:r w:rsidRPr="00B51BC1">
              <w:t>[7]</w:t>
            </w:r>
            <w:r w:rsidRPr="00B51BC1">
              <w:fldChar w:fldCharType="end"/>
            </w:r>
          </w:p>
        </w:tc>
      </w:tr>
      <w:tr w:rsidR="00B51BC1" w:rsidRPr="00B51BC1" w14:paraId="4C7F710F" w14:textId="77777777" w:rsidTr="00F261C2">
        <w:tc>
          <w:tcPr>
            <w:tcW w:w="7547" w:type="dxa"/>
            <w:tcBorders>
              <w:top w:val="nil"/>
              <w:left w:val="nil"/>
              <w:bottom w:val="nil"/>
              <w:right w:val="nil"/>
            </w:tcBorders>
          </w:tcPr>
          <w:p w14:paraId="333C2CDE" w14:textId="77777777" w:rsidR="00B51BC1" w:rsidRPr="00B51BC1" w:rsidRDefault="00B51BC1" w:rsidP="00A87BA5">
            <w:pPr>
              <w:pStyle w:val="TM1"/>
              <w:rPr>
                <w:rFonts w:eastAsiaTheme="minorEastAsia"/>
                <w:sz w:val="22"/>
                <w:szCs w:val="22"/>
                <w:u w:val="none"/>
                <w:lang w:eastAsia="fr-CA"/>
              </w:rPr>
            </w:pPr>
            <w:r w:rsidRPr="00B51BC1">
              <w:rPr>
                <w:u w:val="none"/>
              </w:rPr>
              <w:t>III.</w:t>
            </w:r>
            <w:r w:rsidRPr="00B51BC1">
              <w:rPr>
                <w:rFonts w:eastAsiaTheme="minorEastAsia"/>
                <w:sz w:val="22"/>
                <w:szCs w:val="22"/>
                <w:u w:val="none"/>
                <w:lang w:eastAsia="fr-CA"/>
              </w:rPr>
              <w:tab/>
            </w:r>
            <w:r w:rsidRPr="00B51BC1">
              <w:t>Décisions des juridictions d’instances inférieures</w:t>
            </w:r>
          </w:p>
        </w:tc>
        <w:tc>
          <w:tcPr>
            <w:tcW w:w="819" w:type="dxa"/>
            <w:tcBorders>
              <w:top w:val="nil"/>
              <w:left w:val="nil"/>
              <w:bottom w:val="nil"/>
              <w:right w:val="nil"/>
            </w:tcBorders>
          </w:tcPr>
          <w:p w14:paraId="26921013"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_Ref239925739 \r \h </w:instrText>
            </w:r>
            <w:r>
              <w:instrText xml:space="preserve"> \* MERGEFORMAT </w:instrText>
            </w:r>
            <w:r w:rsidRPr="00B51BC1">
              <w:fldChar w:fldCharType="separate"/>
            </w:r>
            <w:r w:rsidRPr="00B51BC1">
              <w:t>[16]</w:t>
            </w:r>
            <w:r w:rsidRPr="00B51BC1">
              <w:fldChar w:fldCharType="end"/>
            </w:r>
          </w:p>
        </w:tc>
      </w:tr>
      <w:tr w:rsidR="00B51BC1" w:rsidRPr="00B51BC1" w14:paraId="130F4976" w14:textId="77777777" w:rsidTr="00F261C2">
        <w:tc>
          <w:tcPr>
            <w:tcW w:w="7547" w:type="dxa"/>
            <w:tcBorders>
              <w:top w:val="nil"/>
              <w:left w:val="nil"/>
              <w:bottom w:val="nil"/>
              <w:right w:val="nil"/>
            </w:tcBorders>
          </w:tcPr>
          <w:p w14:paraId="50212337" w14:textId="77777777" w:rsidR="00B51BC1" w:rsidRPr="00B51BC1" w:rsidRDefault="00B51BC1" w:rsidP="00F261C2">
            <w:pPr>
              <w:pStyle w:val="TM2"/>
              <w:tabs>
                <w:tab w:val="decimal" w:pos="8208"/>
              </w:tabs>
              <w:spacing w:before="60" w:after="60"/>
              <w:rPr>
                <w:rFonts w:eastAsiaTheme="minorEastAsia"/>
                <w:i w:val="0"/>
                <w:noProof/>
                <w:sz w:val="22"/>
                <w:szCs w:val="22"/>
                <w:lang w:eastAsia="fr-CA"/>
              </w:rPr>
            </w:pPr>
            <w:r w:rsidRPr="00B51BC1">
              <w:rPr>
                <w:i w:val="0"/>
                <w:noProof/>
              </w:rPr>
              <w:t>A.</w:t>
            </w:r>
            <w:r w:rsidRPr="00B51BC1">
              <w:rPr>
                <w:rFonts w:eastAsiaTheme="minorEastAsia"/>
                <w:i w:val="0"/>
                <w:noProof/>
                <w:sz w:val="22"/>
                <w:szCs w:val="22"/>
                <w:lang w:eastAsia="fr-CA"/>
              </w:rPr>
              <w:tab/>
            </w:r>
            <w:r w:rsidRPr="00B51BC1">
              <w:rPr>
                <w:noProof/>
              </w:rPr>
              <w:t>Cour de justice de l’Ontario (la juge Redgate)</w:t>
            </w:r>
          </w:p>
        </w:tc>
        <w:tc>
          <w:tcPr>
            <w:tcW w:w="819" w:type="dxa"/>
            <w:tcBorders>
              <w:top w:val="nil"/>
              <w:left w:val="nil"/>
              <w:bottom w:val="nil"/>
              <w:right w:val="nil"/>
            </w:tcBorders>
          </w:tcPr>
          <w:p w14:paraId="2250DBDC" w14:textId="77777777" w:rsidR="00B51BC1" w:rsidRPr="00B51BC1" w:rsidRDefault="00B51BC1" w:rsidP="00A87BA5">
            <w:pPr>
              <w:tabs>
                <w:tab w:val="decimal" w:pos="8208"/>
              </w:tabs>
              <w:spacing w:before="60" w:after="60"/>
              <w:jc w:val="center"/>
              <w:rPr>
                <w:noProof/>
              </w:rPr>
            </w:pPr>
            <w:r w:rsidRPr="00B51BC1">
              <w:rPr>
                <w:noProof/>
              </w:rPr>
              <w:fldChar w:fldCharType="begin"/>
            </w:r>
            <w:r w:rsidRPr="00B51BC1">
              <w:rPr>
                <w:noProof/>
              </w:rPr>
              <w:instrText xml:space="preserve"> REF _Ref239925739 \r \h </w:instrText>
            </w:r>
            <w:r>
              <w:rPr>
                <w:noProof/>
              </w:rPr>
              <w:instrText xml:space="preserve"> \* MERGEFORMAT </w:instrText>
            </w:r>
            <w:r w:rsidRPr="00B51BC1">
              <w:rPr>
                <w:noProof/>
              </w:rPr>
            </w:r>
            <w:r w:rsidRPr="00B51BC1">
              <w:rPr>
                <w:noProof/>
              </w:rPr>
              <w:fldChar w:fldCharType="separate"/>
            </w:r>
            <w:r w:rsidRPr="00B51BC1">
              <w:rPr>
                <w:noProof/>
              </w:rPr>
              <w:t>[16]</w:t>
            </w:r>
            <w:r w:rsidRPr="00B51BC1">
              <w:rPr>
                <w:noProof/>
              </w:rPr>
              <w:fldChar w:fldCharType="end"/>
            </w:r>
          </w:p>
        </w:tc>
      </w:tr>
      <w:tr w:rsidR="00B51BC1" w:rsidRPr="00B51BC1" w14:paraId="1C16085A" w14:textId="77777777" w:rsidTr="00F261C2">
        <w:tc>
          <w:tcPr>
            <w:tcW w:w="7547" w:type="dxa"/>
            <w:tcBorders>
              <w:top w:val="nil"/>
              <w:left w:val="nil"/>
              <w:bottom w:val="nil"/>
              <w:right w:val="nil"/>
            </w:tcBorders>
          </w:tcPr>
          <w:p w14:paraId="4C81F2BB" w14:textId="77777777" w:rsidR="00B51BC1" w:rsidRPr="00B51BC1" w:rsidRDefault="00B51BC1" w:rsidP="00F261C2">
            <w:pPr>
              <w:pStyle w:val="TM2"/>
              <w:tabs>
                <w:tab w:val="decimal" w:pos="8208"/>
              </w:tabs>
              <w:spacing w:before="60" w:after="60"/>
              <w:rPr>
                <w:rFonts w:eastAsiaTheme="minorEastAsia"/>
                <w:i w:val="0"/>
                <w:noProof/>
                <w:sz w:val="22"/>
                <w:szCs w:val="22"/>
                <w:lang w:eastAsia="fr-CA"/>
              </w:rPr>
            </w:pPr>
            <w:r w:rsidRPr="00B51BC1">
              <w:rPr>
                <w:i w:val="0"/>
                <w:noProof/>
              </w:rPr>
              <w:t>B.</w:t>
            </w:r>
            <w:r w:rsidRPr="00B51BC1">
              <w:rPr>
                <w:rFonts w:eastAsiaTheme="minorEastAsia"/>
                <w:i w:val="0"/>
                <w:noProof/>
                <w:sz w:val="22"/>
                <w:szCs w:val="22"/>
                <w:lang w:eastAsia="fr-CA"/>
              </w:rPr>
              <w:tab/>
            </w:r>
            <w:r w:rsidRPr="00B51BC1">
              <w:rPr>
                <w:noProof/>
              </w:rPr>
              <w:t>Cour d’appel de l’Ontario, 2024 ONCA 930, 175 O.R. (3d) 81 (les juges Trotter, Favreau et Gomery)</w:t>
            </w:r>
          </w:p>
        </w:tc>
        <w:tc>
          <w:tcPr>
            <w:tcW w:w="819" w:type="dxa"/>
            <w:tcBorders>
              <w:top w:val="nil"/>
              <w:left w:val="nil"/>
              <w:bottom w:val="nil"/>
              <w:right w:val="nil"/>
            </w:tcBorders>
          </w:tcPr>
          <w:p w14:paraId="3049D8FC" w14:textId="77777777" w:rsidR="00B51BC1" w:rsidRPr="00B51BC1" w:rsidRDefault="00B51BC1" w:rsidP="00A87BA5">
            <w:pPr>
              <w:tabs>
                <w:tab w:val="decimal" w:pos="8208"/>
              </w:tabs>
              <w:spacing w:before="60" w:after="60"/>
              <w:jc w:val="center"/>
              <w:rPr>
                <w:noProof/>
              </w:rPr>
            </w:pPr>
            <w:r w:rsidRPr="00B51BC1">
              <w:rPr>
                <w:noProof/>
              </w:rPr>
              <w:fldChar w:fldCharType="begin"/>
            </w:r>
            <w:r w:rsidRPr="00B51BC1">
              <w:rPr>
                <w:noProof/>
              </w:rPr>
              <w:instrText xml:space="preserve"> REF _Ref239925770 \r \h </w:instrText>
            </w:r>
            <w:r>
              <w:rPr>
                <w:noProof/>
              </w:rPr>
              <w:instrText xml:space="preserve"> \* MERGEFORMAT </w:instrText>
            </w:r>
            <w:r w:rsidRPr="00B51BC1">
              <w:rPr>
                <w:noProof/>
              </w:rPr>
            </w:r>
            <w:r w:rsidRPr="00B51BC1">
              <w:rPr>
                <w:noProof/>
              </w:rPr>
              <w:fldChar w:fldCharType="separate"/>
            </w:r>
            <w:r w:rsidRPr="00B51BC1">
              <w:rPr>
                <w:noProof/>
              </w:rPr>
              <w:t>[19]</w:t>
            </w:r>
            <w:r w:rsidRPr="00B51BC1">
              <w:rPr>
                <w:noProof/>
              </w:rPr>
              <w:fldChar w:fldCharType="end"/>
            </w:r>
          </w:p>
        </w:tc>
      </w:tr>
      <w:tr w:rsidR="00B51BC1" w:rsidRPr="00B51BC1" w14:paraId="2A0B7B41" w14:textId="77777777" w:rsidTr="00F261C2">
        <w:tc>
          <w:tcPr>
            <w:tcW w:w="7547" w:type="dxa"/>
            <w:tcBorders>
              <w:top w:val="nil"/>
              <w:left w:val="nil"/>
              <w:bottom w:val="nil"/>
              <w:right w:val="nil"/>
            </w:tcBorders>
          </w:tcPr>
          <w:p w14:paraId="144B1F24" w14:textId="77777777" w:rsidR="00B51BC1" w:rsidRPr="00B51BC1" w:rsidRDefault="00B51BC1" w:rsidP="00A87BA5">
            <w:pPr>
              <w:pStyle w:val="TM1"/>
              <w:rPr>
                <w:rFonts w:eastAsiaTheme="minorEastAsia"/>
                <w:sz w:val="22"/>
                <w:szCs w:val="22"/>
                <w:u w:val="none"/>
                <w:lang w:eastAsia="fr-CA"/>
              </w:rPr>
            </w:pPr>
            <w:r w:rsidRPr="00B51BC1">
              <w:rPr>
                <w:u w:val="none"/>
              </w:rPr>
              <w:t>IV.</w:t>
            </w:r>
            <w:r w:rsidRPr="00B51BC1">
              <w:rPr>
                <w:rFonts w:eastAsiaTheme="minorEastAsia"/>
                <w:sz w:val="22"/>
                <w:szCs w:val="22"/>
                <w:u w:val="none"/>
                <w:lang w:eastAsia="fr-CA"/>
              </w:rPr>
              <w:tab/>
            </w:r>
            <w:r w:rsidRPr="00B51BC1">
              <w:t>Questions en litige</w:t>
            </w:r>
          </w:p>
        </w:tc>
        <w:tc>
          <w:tcPr>
            <w:tcW w:w="819" w:type="dxa"/>
            <w:tcBorders>
              <w:top w:val="nil"/>
              <w:left w:val="nil"/>
              <w:bottom w:val="nil"/>
              <w:right w:val="nil"/>
            </w:tcBorders>
          </w:tcPr>
          <w:p w14:paraId="20F675A2"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_Ref239925800 \r \h </w:instrText>
            </w:r>
            <w:r>
              <w:instrText xml:space="preserve"> \* MERGEFORMAT </w:instrText>
            </w:r>
            <w:r w:rsidRPr="00B51BC1">
              <w:fldChar w:fldCharType="separate"/>
            </w:r>
            <w:r w:rsidRPr="00B51BC1">
              <w:t>[22]</w:t>
            </w:r>
            <w:r w:rsidRPr="00B51BC1">
              <w:fldChar w:fldCharType="end"/>
            </w:r>
          </w:p>
        </w:tc>
      </w:tr>
      <w:tr w:rsidR="00B51BC1" w:rsidRPr="00B51BC1" w14:paraId="33AFF40A" w14:textId="77777777" w:rsidTr="00F261C2">
        <w:tc>
          <w:tcPr>
            <w:tcW w:w="7547" w:type="dxa"/>
            <w:tcBorders>
              <w:top w:val="nil"/>
              <w:left w:val="nil"/>
              <w:bottom w:val="nil"/>
              <w:right w:val="nil"/>
            </w:tcBorders>
          </w:tcPr>
          <w:p w14:paraId="15843752" w14:textId="77777777" w:rsidR="00B51BC1" w:rsidRPr="00B51BC1" w:rsidRDefault="00B51BC1" w:rsidP="00A87BA5">
            <w:pPr>
              <w:pStyle w:val="TM1"/>
              <w:rPr>
                <w:rFonts w:eastAsiaTheme="minorEastAsia"/>
                <w:sz w:val="22"/>
                <w:szCs w:val="22"/>
                <w:u w:val="none"/>
                <w:lang w:eastAsia="fr-CA"/>
              </w:rPr>
            </w:pPr>
            <w:r w:rsidRPr="00B51BC1">
              <w:rPr>
                <w:u w:val="none"/>
              </w:rPr>
              <w:t>V.</w:t>
            </w:r>
            <w:r w:rsidRPr="00B51BC1">
              <w:rPr>
                <w:rFonts w:eastAsiaTheme="minorEastAsia"/>
                <w:sz w:val="22"/>
                <w:szCs w:val="22"/>
                <w:u w:val="none"/>
                <w:lang w:eastAsia="fr-CA"/>
              </w:rPr>
              <w:tab/>
            </w:r>
            <w:r w:rsidRPr="00B51BC1">
              <w:t>Analyse</w:t>
            </w:r>
          </w:p>
        </w:tc>
        <w:tc>
          <w:tcPr>
            <w:tcW w:w="819" w:type="dxa"/>
            <w:tcBorders>
              <w:top w:val="nil"/>
              <w:left w:val="nil"/>
              <w:bottom w:val="nil"/>
              <w:right w:val="nil"/>
            </w:tcBorders>
          </w:tcPr>
          <w:p w14:paraId="0C4AFBF1"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_Ref239925818 \r \h </w:instrText>
            </w:r>
            <w:r>
              <w:instrText xml:space="preserve"> \* MERGEFORMAT </w:instrText>
            </w:r>
            <w:r w:rsidRPr="00B51BC1">
              <w:fldChar w:fldCharType="separate"/>
            </w:r>
            <w:r w:rsidRPr="00B51BC1">
              <w:t>[23]</w:t>
            </w:r>
            <w:r w:rsidRPr="00B51BC1">
              <w:fldChar w:fldCharType="end"/>
            </w:r>
          </w:p>
        </w:tc>
      </w:tr>
      <w:tr w:rsidR="00B51BC1" w:rsidRPr="00B51BC1" w14:paraId="22B5934C" w14:textId="77777777" w:rsidTr="00F261C2">
        <w:tc>
          <w:tcPr>
            <w:tcW w:w="7547" w:type="dxa"/>
            <w:tcBorders>
              <w:top w:val="nil"/>
              <w:left w:val="nil"/>
              <w:bottom w:val="nil"/>
              <w:right w:val="nil"/>
            </w:tcBorders>
          </w:tcPr>
          <w:p w14:paraId="0031F2E9" w14:textId="77777777" w:rsidR="00B51BC1" w:rsidRPr="00B51BC1" w:rsidRDefault="00B51BC1" w:rsidP="00F261C2">
            <w:pPr>
              <w:pStyle w:val="TM2"/>
              <w:tabs>
                <w:tab w:val="decimal" w:pos="8208"/>
              </w:tabs>
              <w:spacing w:before="60" w:after="60"/>
              <w:rPr>
                <w:rFonts w:eastAsiaTheme="minorEastAsia"/>
                <w:i w:val="0"/>
                <w:noProof/>
                <w:sz w:val="22"/>
                <w:szCs w:val="22"/>
                <w:lang w:eastAsia="fr-CA"/>
              </w:rPr>
            </w:pPr>
            <w:r w:rsidRPr="00B51BC1">
              <w:rPr>
                <w:i w:val="0"/>
                <w:noProof/>
              </w:rPr>
              <w:t>A.</w:t>
            </w:r>
            <w:r w:rsidRPr="00B51BC1">
              <w:rPr>
                <w:rFonts w:eastAsiaTheme="minorEastAsia"/>
                <w:i w:val="0"/>
                <w:noProof/>
                <w:sz w:val="22"/>
                <w:szCs w:val="22"/>
                <w:lang w:eastAsia="fr-CA"/>
              </w:rPr>
              <w:tab/>
            </w:r>
            <w:r w:rsidRPr="00B51BC1">
              <w:rPr>
                <w:noProof/>
              </w:rPr>
              <w:t>L’arrêt Jordan a fixé des plafonds présumés applicables au délai dans le cadre de procès criminels</w:t>
            </w:r>
          </w:p>
        </w:tc>
        <w:tc>
          <w:tcPr>
            <w:tcW w:w="819" w:type="dxa"/>
            <w:tcBorders>
              <w:top w:val="nil"/>
              <w:left w:val="nil"/>
              <w:bottom w:val="nil"/>
              <w:right w:val="nil"/>
            </w:tcBorders>
          </w:tcPr>
          <w:p w14:paraId="17408EDE" w14:textId="77777777" w:rsidR="00B51BC1" w:rsidRPr="00B51BC1" w:rsidRDefault="00B51BC1" w:rsidP="00A87BA5">
            <w:pPr>
              <w:tabs>
                <w:tab w:val="decimal" w:pos="8208"/>
              </w:tabs>
              <w:spacing w:before="60" w:after="60"/>
              <w:jc w:val="center"/>
              <w:rPr>
                <w:noProof/>
              </w:rPr>
            </w:pPr>
            <w:r w:rsidRPr="00B51BC1">
              <w:rPr>
                <w:noProof/>
              </w:rPr>
              <w:fldChar w:fldCharType="begin"/>
            </w:r>
            <w:r w:rsidRPr="00B51BC1">
              <w:rPr>
                <w:noProof/>
              </w:rPr>
              <w:instrText xml:space="preserve"> REF _Ref239925818 \r \h </w:instrText>
            </w:r>
            <w:r>
              <w:rPr>
                <w:noProof/>
              </w:rPr>
              <w:instrText xml:space="preserve"> \* MERGEFORMAT </w:instrText>
            </w:r>
            <w:r w:rsidRPr="00B51BC1">
              <w:rPr>
                <w:noProof/>
              </w:rPr>
            </w:r>
            <w:r w:rsidRPr="00B51BC1">
              <w:rPr>
                <w:noProof/>
              </w:rPr>
              <w:fldChar w:fldCharType="separate"/>
            </w:r>
            <w:r w:rsidRPr="00B51BC1">
              <w:rPr>
                <w:noProof/>
              </w:rPr>
              <w:t>[23]</w:t>
            </w:r>
            <w:r w:rsidRPr="00B51BC1">
              <w:rPr>
                <w:noProof/>
              </w:rPr>
              <w:fldChar w:fldCharType="end"/>
            </w:r>
          </w:p>
        </w:tc>
      </w:tr>
      <w:tr w:rsidR="00B51BC1" w:rsidRPr="00B51BC1" w14:paraId="7BF228B7" w14:textId="77777777" w:rsidTr="00F261C2">
        <w:tc>
          <w:tcPr>
            <w:tcW w:w="7547" w:type="dxa"/>
            <w:tcBorders>
              <w:top w:val="nil"/>
              <w:left w:val="nil"/>
              <w:bottom w:val="nil"/>
              <w:right w:val="nil"/>
            </w:tcBorders>
          </w:tcPr>
          <w:p w14:paraId="2AE098BE" w14:textId="77777777" w:rsidR="00B51BC1" w:rsidRPr="00B51BC1" w:rsidRDefault="00B51BC1" w:rsidP="00F261C2">
            <w:pPr>
              <w:pStyle w:val="TM2"/>
              <w:tabs>
                <w:tab w:val="decimal" w:pos="8208"/>
              </w:tabs>
              <w:spacing w:before="60" w:after="60"/>
              <w:rPr>
                <w:rFonts w:eastAsiaTheme="minorEastAsia"/>
                <w:i w:val="0"/>
                <w:noProof/>
                <w:sz w:val="22"/>
                <w:szCs w:val="22"/>
                <w:lang w:eastAsia="fr-CA"/>
              </w:rPr>
            </w:pPr>
            <w:r w:rsidRPr="00B51BC1">
              <w:rPr>
                <w:i w:val="0"/>
                <w:noProof/>
              </w:rPr>
              <w:t>B.</w:t>
            </w:r>
            <w:r w:rsidRPr="00B51BC1">
              <w:rPr>
                <w:rFonts w:eastAsiaTheme="minorEastAsia"/>
                <w:i w:val="0"/>
                <w:noProof/>
                <w:sz w:val="22"/>
                <w:szCs w:val="22"/>
                <w:lang w:eastAsia="fr-CA"/>
              </w:rPr>
              <w:tab/>
            </w:r>
            <w:r w:rsidRPr="00B51BC1">
              <w:rPr>
                <w:noProof/>
              </w:rPr>
              <w:t>Il n’y a pas lieu de fixer un plafond présumé distinct pour le délai de détermination de la peine postérieur au prononcé du verdict</w:t>
            </w:r>
          </w:p>
        </w:tc>
        <w:tc>
          <w:tcPr>
            <w:tcW w:w="819" w:type="dxa"/>
            <w:tcBorders>
              <w:top w:val="nil"/>
              <w:left w:val="nil"/>
              <w:bottom w:val="nil"/>
              <w:right w:val="nil"/>
            </w:tcBorders>
          </w:tcPr>
          <w:p w14:paraId="05507DAE" w14:textId="77777777" w:rsidR="00B51BC1" w:rsidRPr="00B51BC1" w:rsidRDefault="00B51BC1" w:rsidP="00A87BA5">
            <w:pPr>
              <w:tabs>
                <w:tab w:val="decimal" w:pos="8208"/>
              </w:tabs>
              <w:spacing w:before="60" w:after="60"/>
              <w:jc w:val="center"/>
              <w:rPr>
                <w:noProof/>
              </w:rPr>
            </w:pPr>
            <w:r w:rsidRPr="00B51BC1">
              <w:rPr>
                <w:noProof/>
              </w:rPr>
              <w:fldChar w:fldCharType="begin"/>
            </w:r>
            <w:r w:rsidRPr="00B51BC1">
              <w:rPr>
                <w:noProof/>
              </w:rPr>
              <w:instrText xml:space="preserve"> REF _Ref239925850 \r \h </w:instrText>
            </w:r>
            <w:r>
              <w:rPr>
                <w:noProof/>
              </w:rPr>
              <w:instrText xml:space="preserve"> \* MERGEFORMAT </w:instrText>
            </w:r>
            <w:r w:rsidRPr="00B51BC1">
              <w:rPr>
                <w:noProof/>
              </w:rPr>
            </w:r>
            <w:r w:rsidRPr="00B51BC1">
              <w:rPr>
                <w:noProof/>
              </w:rPr>
              <w:fldChar w:fldCharType="separate"/>
            </w:r>
            <w:r w:rsidRPr="00B51BC1">
              <w:rPr>
                <w:noProof/>
              </w:rPr>
              <w:t>[31]</w:t>
            </w:r>
            <w:r w:rsidRPr="00B51BC1">
              <w:rPr>
                <w:noProof/>
              </w:rPr>
              <w:fldChar w:fldCharType="end"/>
            </w:r>
          </w:p>
        </w:tc>
      </w:tr>
      <w:tr w:rsidR="00B51BC1" w:rsidRPr="00B51BC1" w14:paraId="5283670D" w14:textId="77777777" w:rsidTr="00F261C2">
        <w:tc>
          <w:tcPr>
            <w:tcW w:w="7547" w:type="dxa"/>
            <w:tcBorders>
              <w:top w:val="nil"/>
              <w:left w:val="nil"/>
              <w:bottom w:val="nil"/>
              <w:right w:val="nil"/>
            </w:tcBorders>
          </w:tcPr>
          <w:p w14:paraId="1410F0A4" w14:textId="77777777" w:rsidR="00B51BC1" w:rsidRPr="00B51BC1" w:rsidRDefault="00B51BC1" w:rsidP="00F261C2">
            <w:pPr>
              <w:pStyle w:val="TM3"/>
              <w:tabs>
                <w:tab w:val="decimal" w:pos="8208"/>
              </w:tabs>
              <w:spacing w:before="60" w:after="60"/>
              <w:rPr>
                <w:rFonts w:eastAsiaTheme="minorEastAsia"/>
                <w:sz w:val="22"/>
                <w:szCs w:val="22"/>
                <w:u w:val="none"/>
                <w:lang w:eastAsia="fr-CA"/>
              </w:rPr>
            </w:pPr>
            <w:r w:rsidRPr="00B51BC1">
              <w:rPr>
                <w:u w:val="none"/>
              </w:rPr>
              <w:t>(1)</w:t>
            </w:r>
            <w:r w:rsidRPr="00B51BC1">
              <w:rPr>
                <w:rFonts w:eastAsiaTheme="minorEastAsia"/>
                <w:sz w:val="22"/>
                <w:szCs w:val="22"/>
                <w:u w:val="none"/>
                <w:lang w:eastAsia="fr-CA"/>
              </w:rPr>
              <w:tab/>
            </w:r>
            <w:r w:rsidRPr="00B51BC1">
              <w:t>Les procédures de détermination de la peine se prêtent mal à des plafonds présumés en raison de leur variabilité</w:t>
            </w:r>
          </w:p>
        </w:tc>
        <w:tc>
          <w:tcPr>
            <w:tcW w:w="819" w:type="dxa"/>
            <w:tcBorders>
              <w:top w:val="nil"/>
              <w:left w:val="nil"/>
              <w:bottom w:val="nil"/>
              <w:right w:val="nil"/>
            </w:tcBorders>
          </w:tcPr>
          <w:p w14:paraId="68EC764D"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_Ref239925856 \r \h </w:instrText>
            </w:r>
            <w:r>
              <w:instrText xml:space="preserve"> \* MERGEFORMAT </w:instrText>
            </w:r>
            <w:r w:rsidRPr="00B51BC1">
              <w:fldChar w:fldCharType="separate"/>
            </w:r>
            <w:r w:rsidRPr="00B51BC1">
              <w:t>[33]</w:t>
            </w:r>
            <w:r w:rsidRPr="00B51BC1">
              <w:fldChar w:fldCharType="end"/>
            </w:r>
          </w:p>
        </w:tc>
      </w:tr>
      <w:tr w:rsidR="00B51BC1" w:rsidRPr="00B51BC1" w14:paraId="63BFB970" w14:textId="77777777" w:rsidTr="00F261C2">
        <w:tc>
          <w:tcPr>
            <w:tcW w:w="7547" w:type="dxa"/>
            <w:tcBorders>
              <w:top w:val="nil"/>
              <w:left w:val="nil"/>
              <w:bottom w:val="nil"/>
              <w:right w:val="nil"/>
            </w:tcBorders>
          </w:tcPr>
          <w:p w14:paraId="161539F6" w14:textId="77777777" w:rsidR="00B51BC1" w:rsidRPr="00B51BC1" w:rsidRDefault="00B51BC1" w:rsidP="00F261C2">
            <w:pPr>
              <w:pStyle w:val="TM3"/>
              <w:tabs>
                <w:tab w:val="decimal" w:pos="8208"/>
              </w:tabs>
              <w:spacing w:before="60" w:after="60"/>
              <w:rPr>
                <w:rFonts w:eastAsiaTheme="minorEastAsia"/>
                <w:sz w:val="22"/>
                <w:szCs w:val="22"/>
                <w:u w:val="none"/>
                <w:lang w:eastAsia="fr-CA"/>
              </w:rPr>
            </w:pPr>
            <w:r w:rsidRPr="00B51BC1">
              <w:rPr>
                <w:u w:val="none"/>
              </w:rPr>
              <w:t>(2)</w:t>
            </w:r>
            <w:r w:rsidRPr="00B51BC1">
              <w:rPr>
                <w:rFonts w:eastAsiaTheme="minorEastAsia"/>
                <w:sz w:val="22"/>
                <w:szCs w:val="22"/>
                <w:u w:val="none"/>
                <w:lang w:eastAsia="fr-CA"/>
              </w:rPr>
              <w:tab/>
            </w:r>
            <w:r w:rsidRPr="00B51BC1">
              <w:t>Le raisonnement sous-tendant les plafonds présumés ne s’applique pas au délai de détermination de la peine postérieur au prononcé du verdict</w:t>
            </w:r>
          </w:p>
        </w:tc>
        <w:tc>
          <w:tcPr>
            <w:tcW w:w="819" w:type="dxa"/>
            <w:tcBorders>
              <w:top w:val="nil"/>
              <w:left w:val="nil"/>
              <w:bottom w:val="nil"/>
              <w:right w:val="nil"/>
            </w:tcBorders>
          </w:tcPr>
          <w:p w14:paraId="475D5CD9"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_Ref239925862 \r \h </w:instrText>
            </w:r>
            <w:r>
              <w:instrText xml:space="preserve"> \* MERGEFORMAT </w:instrText>
            </w:r>
            <w:r w:rsidRPr="00B51BC1">
              <w:fldChar w:fldCharType="separate"/>
            </w:r>
            <w:r w:rsidRPr="00B51BC1">
              <w:t>[39]</w:t>
            </w:r>
            <w:r w:rsidRPr="00B51BC1">
              <w:fldChar w:fldCharType="end"/>
            </w:r>
          </w:p>
        </w:tc>
      </w:tr>
      <w:tr w:rsidR="00B51BC1" w:rsidRPr="00B51BC1" w14:paraId="44768253" w14:textId="77777777" w:rsidTr="00F261C2">
        <w:tc>
          <w:tcPr>
            <w:tcW w:w="7547" w:type="dxa"/>
            <w:tcBorders>
              <w:top w:val="nil"/>
              <w:left w:val="nil"/>
              <w:bottom w:val="nil"/>
              <w:right w:val="nil"/>
            </w:tcBorders>
          </w:tcPr>
          <w:p w14:paraId="4D39D7E7" w14:textId="77777777" w:rsidR="00B51BC1" w:rsidRPr="00B51BC1" w:rsidRDefault="00B51BC1" w:rsidP="00F261C2">
            <w:pPr>
              <w:pStyle w:val="TM2"/>
              <w:tabs>
                <w:tab w:val="decimal" w:pos="8208"/>
              </w:tabs>
              <w:spacing w:before="60" w:after="60"/>
              <w:rPr>
                <w:rFonts w:eastAsiaTheme="minorEastAsia"/>
                <w:i w:val="0"/>
                <w:noProof/>
                <w:sz w:val="22"/>
                <w:szCs w:val="22"/>
                <w:lang w:eastAsia="fr-CA"/>
              </w:rPr>
            </w:pPr>
            <w:r w:rsidRPr="00B51BC1">
              <w:rPr>
                <w:i w:val="0"/>
                <w:noProof/>
              </w:rPr>
              <w:lastRenderedPageBreak/>
              <w:t>C.</w:t>
            </w:r>
            <w:r w:rsidRPr="00B51BC1">
              <w:rPr>
                <w:rFonts w:eastAsiaTheme="minorEastAsia"/>
                <w:i w:val="0"/>
                <w:noProof/>
                <w:sz w:val="22"/>
                <w:szCs w:val="22"/>
                <w:lang w:eastAsia="fr-CA"/>
              </w:rPr>
              <w:tab/>
            </w:r>
            <w:r w:rsidRPr="00B51BC1">
              <w:rPr>
                <w:noProof/>
              </w:rPr>
              <w:t>Le critère d’appréciation du caractère raisonnable du délai de détermination de la peine postérieur au prononcé du verdict est celui du délai « nettement plus long »</w:t>
            </w:r>
          </w:p>
        </w:tc>
        <w:tc>
          <w:tcPr>
            <w:tcW w:w="819" w:type="dxa"/>
            <w:tcBorders>
              <w:top w:val="nil"/>
              <w:left w:val="nil"/>
              <w:bottom w:val="nil"/>
              <w:right w:val="nil"/>
            </w:tcBorders>
          </w:tcPr>
          <w:p w14:paraId="3F1C8712" w14:textId="77777777" w:rsidR="00B51BC1" w:rsidRPr="00B51BC1" w:rsidRDefault="00B51BC1" w:rsidP="00A87BA5">
            <w:pPr>
              <w:tabs>
                <w:tab w:val="decimal" w:pos="8208"/>
              </w:tabs>
              <w:spacing w:before="60" w:after="60"/>
              <w:jc w:val="center"/>
              <w:rPr>
                <w:noProof/>
              </w:rPr>
            </w:pPr>
            <w:r w:rsidRPr="00B51BC1">
              <w:rPr>
                <w:noProof/>
              </w:rPr>
              <w:fldChar w:fldCharType="begin"/>
            </w:r>
            <w:r w:rsidRPr="00B51BC1">
              <w:rPr>
                <w:noProof/>
              </w:rPr>
              <w:instrText xml:space="preserve"> REF _Ref239925877 \r \h </w:instrText>
            </w:r>
            <w:r>
              <w:rPr>
                <w:noProof/>
              </w:rPr>
              <w:instrText xml:space="preserve"> \* MERGEFORMAT </w:instrText>
            </w:r>
            <w:r w:rsidRPr="00B51BC1">
              <w:rPr>
                <w:noProof/>
              </w:rPr>
            </w:r>
            <w:r w:rsidRPr="00B51BC1">
              <w:rPr>
                <w:noProof/>
              </w:rPr>
              <w:fldChar w:fldCharType="separate"/>
            </w:r>
            <w:r w:rsidRPr="00B51BC1">
              <w:rPr>
                <w:noProof/>
              </w:rPr>
              <w:t>[44]</w:t>
            </w:r>
            <w:r w:rsidRPr="00B51BC1">
              <w:rPr>
                <w:noProof/>
              </w:rPr>
              <w:fldChar w:fldCharType="end"/>
            </w:r>
          </w:p>
        </w:tc>
      </w:tr>
      <w:tr w:rsidR="00B51BC1" w:rsidRPr="00B51BC1" w14:paraId="04F0EF85" w14:textId="77777777" w:rsidTr="00F261C2">
        <w:tc>
          <w:tcPr>
            <w:tcW w:w="7547" w:type="dxa"/>
            <w:tcBorders>
              <w:top w:val="nil"/>
              <w:left w:val="nil"/>
              <w:bottom w:val="nil"/>
              <w:right w:val="nil"/>
            </w:tcBorders>
          </w:tcPr>
          <w:p w14:paraId="11727A41" w14:textId="77777777" w:rsidR="00B51BC1" w:rsidRPr="00B51BC1" w:rsidRDefault="00B51BC1" w:rsidP="00F261C2">
            <w:pPr>
              <w:pStyle w:val="TM3"/>
              <w:tabs>
                <w:tab w:val="decimal" w:pos="8208"/>
              </w:tabs>
              <w:spacing w:before="60" w:after="60"/>
              <w:rPr>
                <w:rFonts w:eastAsiaTheme="minorEastAsia"/>
                <w:sz w:val="22"/>
                <w:szCs w:val="22"/>
                <w:u w:val="none"/>
                <w:lang w:eastAsia="fr-CA"/>
              </w:rPr>
            </w:pPr>
            <w:r w:rsidRPr="00B51BC1">
              <w:rPr>
                <w:u w:val="none"/>
              </w:rPr>
              <w:t>(1)</w:t>
            </w:r>
            <w:r w:rsidRPr="00B51BC1">
              <w:rPr>
                <w:rFonts w:eastAsiaTheme="minorEastAsia"/>
                <w:sz w:val="22"/>
                <w:szCs w:val="22"/>
                <w:u w:val="none"/>
                <w:lang w:eastAsia="fr-CA"/>
              </w:rPr>
              <w:tab/>
            </w:r>
            <w:r w:rsidRPr="00B51BC1">
              <w:t>Le critère du délai « nettement plus long » est conforme à la jurisprudence de la Cour concernant l’al. 11b) et évite de compliquer inutilement le cadre d’analyse</w:t>
            </w:r>
          </w:p>
        </w:tc>
        <w:tc>
          <w:tcPr>
            <w:tcW w:w="819" w:type="dxa"/>
            <w:tcBorders>
              <w:top w:val="nil"/>
              <w:left w:val="nil"/>
              <w:bottom w:val="nil"/>
              <w:right w:val="nil"/>
            </w:tcBorders>
          </w:tcPr>
          <w:p w14:paraId="6FC8C9C1"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_Ref239925882 \r \h </w:instrText>
            </w:r>
            <w:r>
              <w:instrText xml:space="preserve"> \* MERGEFORMAT </w:instrText>
            </w:r>
            <w:r w:rsidRPr="00B51BC1">
              <w:fldChar w:fldCharType="separate"/>
            </w:r>
            <w:r w:rsidRPr="00B51BC1">
              <w:t>[48]</w:t>
            </w:r>
            <w:r w:rsidRPr="00B51BC1">
              <w:fldChar w:fldCharType="end"/>
            </w:r>
          </w:p>
        </w:tc>
      </w:tr>
      <w:tr w:rsidR="00B51BC1" w:rsidRPr="00B51BC1" w14:paraId="7C4B1F34" w14:textId="77777777" w:rsidTr="00F261C2">
        <w:tc>
          <w:tcPr>
            <w:tcW w:w="7547" w:type="dxa"/>
            <w:tcBorders>
              <w:top w:val="nil"/>
              <w:left w:val="nil"/>
              <w:bottom w:val="nil"/>
              <w:right w:val="nil"/>
            </w:tcBorders>
          </w:tcPr>
          <w:p w14:paraId="2A218547" w14:textId="77777777" w:rsidR="00B51BC1" w:rsidRPr="00B51BC1" w:rsidRDefault="00B51BC1" w:rsidP="00F261C2">
            <w:pPr>
              <w:pStyle w:val="TM3"/>
              <w:tabs>
                <w:tab w:val="decimal" w:pos="8208"/>
              </w:tabs>
              <w:spacing w:before="60" w:after="60"/>
              <w:rPr>
                <w:rFonts w:eastAsiaTheme="minorEastAsia"/>
                <w:sz w:val="22"/>
                <w:szCs w:val="22"/>
                <w:u w:val="none"/>
                <w:lang w:eastAsia="fr-CA"/>
              </w:rPr>
            </w:pPr>
            <w:r w:rsidRPr="00B51BC1">
              <w:rPr>
                <w:u w:val="none"/>
              </w:rPr>
              <w:t>(2)</w:t>
            </w:r>
            <w:r w:rsidRPr="00B51BC1">
              <w:rPr>
                <w:rFonts w:eastAsiaTheme="minorEastAsia"/>
                <w:sz w:val="22"/>
                <w:szCs w:val="22"/>
                <w:u w:val="none"/>
                <w:lang w:eastAsia="fr-CA"/>
              </w:rPr>
              <w:tab/>
            </w:r>
            <w:r w:rsidRPr="00B51BC1">
              <w:t>Les facteurs qui permettent de déterminer si le délai de détermination de la peine postérieur au prononcé du verdict a été nettement plus long qu’il aurait dû raisonnablement l’être compte tenu de l’ensemble des circonstances</w:t>
            </w:r>
          </w:p>
        </w:tc>
        <w:tc>
          <w:tcPr>
            <w:tcW w:w="819" w:type="dxa"/>
            <w:tcBorders>
              <w:top w:val="nil"/>
              <w:left w:val="nil"/>
              <w:bottom w:val="nil"/>
              <w:right w:val="nil"/>
            </w:tcBorders>
          </w:tcPr>
          <w:p w14:paraId="6302C4F7"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_Ref239925887 \r \h </w:instrText>
            </w:r>
            <w:r>
              <w:instrText xml:space="preserve"> \* MERGEFORMAT </w:instrText>
            </w:r>
            <w:r w:rsidRPr="00B51BC1">
              <w:fldChar w:fldCharType="separate"/>
            </w:r>
            <w:r w:rsidRPr="00B51BC1">
              <w:t>[51]</w:t>
            </w:r>
            <w:r w:rsidRPr="00B51BC1">
              <w:fldChar w:fldCharType="end"/>
            </w:r>
          </w:p>
        </w:tc>
      </w:tr>
      <w:tr w:rsidR="00B51BC1" w:rsidRPr="00B51BC1" w14:paraId="14F5A85C" w14:textId="77777777" w:rsidTr="00F261C2">
        <w:tc>
          <w:tcPr>
            <w:tcW w:w="7547" w:type="dxa"/>
            <w:tcBorders>
              <w:top w:val="nil"/>
              <w:left w:val="nil"/>
              <w:bottom w:val="nil"/>
              <w:right w:val="nil"/>
            </w:tcBorders>
          </w:tcPr>
          <w:p w14:paraId="68F9082C" w14:textId="77777777" w:rsidR="00B51BC1" w:rsidRPr="00B51BC1" w:rsidRDefault="00B51BC1" w:rsidP="00F261C2">
            <w:pPr>
              <w:pStyle w:val="TM2"/>
              <w:tabs>
                <w:tab w:val="decimal" w:pos="8208"/>
              </w:tabs>
              <w:spacing w:before="60" w:after="60"/>
              <w:rPr>
                <w:rFonts w:eastAsiaTheme="minorEastAsia"/>
                <w:i w:val="0"/>
                <w:noProof/>
                <w:sz w:val="22"/>
                <w:szCs w:val="22"/>
                <w:lang w:eastAsia="fr-CA"/>
              </w:rPr>
            </w:pPr>
            <w:r w:rsidRPr="00B51BC1">
              <w:rPr>
                <w:i w:val="0"/>
                <w:noProof/>
              </w:rPr>
              <w:t>D.</w:t>
            </w:r>
            <w:r w:rsidRPr="00B51BC1">
              <w:rPr>
                <w:rFonts w:eastAsiaTheme="minorEastAsia"/>
                <w:i w:val="0"/>
                <w:noProof/>
                <w:sz w:val="22"/>
                <w:szCs w:val="22"/>
                <w:lang w:eastAsia="fr-CA"/>
              </w:rPr>
              <w:tab/>
            </w:r>
            <w:r w:rsidRPr="00B51BC1">
              <w:rPr>
                <w:noProof/>
              </w:rPr>
              <w:t>Les réparations possibles lorsque le délai de détermination de la peine postérieur au prononcé du verdict est déraisonnable relèvent du pouvoir discrétionnaire du tribunal</w:t>
            </w:r>
          </w:p>
        </w:tc>
        <w:tc>
          <w:tcPr>
            <w:tcW w:w="819" w:type="dxa"/>
            <w:tcBorders>
              <w:top w:val="nil"/>
              <w:left w:val="nil"/>
              <w:bottom w:val="nil"/>
              <w:right w:val="nil"/>
            </w:tcBorders>
          </w:tcPr>
          <w:p w14:paraId="34BB6A9C" w14:textId="77777777" w:rsidR="00B51BC1" w:rsidRPr="00B51BC1" w:rsidRDefault="00B51BC1" w:rsidP="00A87BA5">
            <w:pPr>
              <w:tabs>
                <w:tab w:val="decimal" w:pos="8208"/>
              </w:tabs>
              <w:spacing w:before="60" w:after="60"/>
              <w:jc w:val="center"/>
              <w:rPr>
                <w:noProof/>
              </w:rPr>
            </w:pPr>
            <w:r w:rsidRPr="00B51BC1">
              <w:rPr>
                <w:noProof/>
              </w:rPr>
              <w:fldChar w:fldCharType="begin"/>
            </w:r>
            <w:r w:rsidRPr="00B51BC1">
              <w:rPr>
                <w:noProof/>
              </w:rPr>
              <w:instrText xml:space="preserve"> REF _Ref239925914 \r \h </w:instrText>
            </w:r>
            <w:r>
              <w:rPr>
                <w:noProof/>
              </w:rPr>
              <w:instrText xml:space="preserve"> \* MERGEFORMAT </w:instrText>
            </w:r>
            <w:r w:rsidRPr="00B51BC1">
              <w:rPr>
                <w:noProof/>
              </w:rPr>
            </w:r>
            <w:r w:rsidRPr="00B51BC1">
              <w:rPr>
                <w:noProof/>
              </w:rPr>
              <w:fldChar w:fldCharType="separate"/>
            </w:r>
            <w:r w:rsidRPr="00B51BC1">
              <w:rPr>
                <w:noProof/>
              </w:rPr>
              <w:t>[62]</w:t>
            </w:r>
            <w:r w:rsidRPr="00B51BC1">
              <w:rPr>
                <w:noProof/>
              </w:rPr>
              <w:fldChar w:fldCharType="end"/>
            </w:r>
          </w:p>
        </w:tc>
      </w:tr>
      <w:tr w:rsidR="00B51BC1" w:rsidRPr="00B51BC1" w14:paraId="4708FB9D" w14:textId="77777777" w:rsidTr="00F261C2">
        <w:tc>
          <w:tcPr>
            <w:tcW w:w="7547" w:type="dxa"/>
            <w:tcBorders>
              <w:top w:val="nil"/>
              <w:left w:val="nil"/>
              <w:bottom w:val="nil"/>
              <w:right w:val="nil"/>
            </w:tcBorders>
          </w:tcPr>
          <w:p w14:paraId="2F48820D" w14:textId="77777777" w:rsidR="00B51BC1" w:rsidRPr="00B51BC1" w:rsidRDefault="00B51BC1" w:rsidP="00F261C2">
            <w:pPr>
              <w:pStyle w:val="TM3"/>
              <w:tabs>
                <w:tab w:val="decimal" w:pos="8208"/>
              </w:tabs>
              <w:spacing w:before="60" w:after="60"/>
              <w:rPr>
                <w:rFonts w:eastAsiaTheme="minorEastAsia"/>
                <w:sz w:val="22"/>
                <w:szCs w:val="22"/>
                <w:u w:val="none"/>
                <w:lang w:eastAsia="fr-CA"/>
              </w:rPr>
            </w:pPr>
            <w:r w:rsidRPr="00B51BC1">
              <w:rPr>
                <w:u w:val="none"/>
              </w:rPr>
              <w:t>(1)</w:t>
            </w:r>
            <w:r w:rsidRPr="00B51BC1">
              <w:rPr>
                <w:rFonts w:eastAsiaTheme="minorEastAsia"/>
                <w:sz w:val="22"/>
                <w:szCs w:val="22"/>
                <w:u w:val="none"/>
                <w:lang w:eastAsia="fr-CA"/>
              </w:rPr>
              <w:tab/>
            </w:r>
            <w:r w:rsidRPr="00B51BC1">
              <w:t>La mise en balance des intérêts en jeu dans le contexte de l’al. 11b) est qualitativement différente à l’étape de la détermination de la peine postérieure au prononcé du verdict</w:t>
            </w:r>
          </w:p>
        </w:tc>
        <w:tc>
          <w:tcPr>
            <w:tcW w:w="819" w:type="dxa"/>
            <w:tcBorders>
              <w:top w:val="nil"/>
              <w:left w:val="nil"/>
              <w:bottom w:val="nil"/>
              <w:right w:val="nil"/>
            </w:tcBorders>
          </w:tcPr>
          <w:p w14:paraId="0BB20225"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_Ref239925926 \r \h </w:instrText>
            </w:r>
            <w:r>
              <w:instrText xml:space="preserve"> \* MERGEFORMAT </w:instrText>
            </w:r>
            <w:r w:rsidRPr="00B51BC1">
              <w:fldChar w:fldCharType="separate"/>
            </w:r>
            <w:r w:rsidRPr="00B51BC1">
              <w:t>[66]</w:t>
            </w:r>
            <w:r w:rsidRPr="00B51BC1">
              <w:fldChar w:fldCharType="end"/>
            </w:r>
          </w:p>
        </w:tc>
      </w:tr>
      <w:tr w:rsidR="00B51BC1" w:rsidRPr="00B51BC1" w14:paraId="603DF77D" w14:textId="77777777" w:rsidTr="00F261C2">
        <w:tc>
          <w:tcPr>
            <w:tcW w:w="7547" w:type="dxa"/>
            <w:tcBorders>
              <w:top w:val="nil"/>
              <w:left w:val="nil"/>
              <w:bottom w:val="nil"/>
              <w:right w:val="nil"/>
            </w:tcBorders>
          </w:tcPr>
          <w:p w14:paraId="3EA99C63" w14:textId="77777777" w:rsidR="00B51BC1" w:rsidRPr="00B51BC1" w:rsidRDefault="00B51BC1" w:rsidP="00F261C2">
            <w:pPr>
              <w:pStyle w:val="TM3"/>
              <w:tabs>
                <w:tab w:val="decimal" w:pos="8208"/>
              </w:tabs>
              <w:spacing w:before="60" w:after="60"/>
              <w:rPr>
                <w:rFonts w:eastAsiaTheme="minorEastAsia"/>
                <w:sz w:val="22"/>
                <w:szCs w:val="22"/>
                <w:u w:val="none"/>
                <w:lang w:eastAsia="fr-CA"/>
              </w:rPr>
            </w:pPr>
            <w:r w:rsidRPr="00B51BC1">
              <w:rPr>
                <w:u w:val="none"/>
              </w:rPr>
              <w:t>(2)</w:t>
            </w:r>
            <w:r w:rsidRPr="00B51BC1">
              <w:rPr>
                <w:rFonts w:eastAsiaTheme="minorEastAsia"/>
                <w:sz w:val="22"/>
                <w:szCs w:val="22"/>
                <w:u w:val="none"/>
                <w:lang w:eastAsia="fr-CA"/>
              </w:rPr>
              <w:tab/>
            </w:r>
            <w:r w:rsidRPr="00B51BC1">
              <w:t xml:space="preserve">Le paragraphe 24(1) de la </w:t>
            </w:r>
            <w:r w:rsidRPr="00B51BC1">
              <w:rPr>
                <w:i/>
              </w:rPr>
              <w:t>Charte</w:t>
            </w:r>
            <w:r w:rsidRPr="00B51BC1">
              <w:t xml:space="preserve"> confère un large pouvoir discrétionnaire de réparation</w:t>
            </w:r>
          </w:p>
        </w:tc>
        <w:tc>
          <w:tcPr>
            <w:tcW w:w="819" w:type="dxa"/>
            <w:tcBorders>
              <w:top w:val="nil"/>
              <w:left w:val="nil"/>
              <w:bottom w:val="nil"/>
              <w:right w:val="nil"/>
            </w:tcBorders>
          </w:tcPr>
          <w:p w14:paraId="0BE16074"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_Ref239925934 \r \h </w:instrText>
            </w:r>
            <w:r>
              <w:instrText xml:space="preserve"> \* MERGEFORMAT </w:instrText>
            </w:r>
            <w:r w:rsidRPr="00B51BC1">
              <w:fldChar w:fldCharType="separate"/>
            </w:r>
            <w:r w:rsidRPr="00B51BC1">
              <w:t>[74]</w:t>
            </w:r>
            <w:r w:rsidRPr="00B51BC1">
              <w:fldChar w:fldCharType="end"/>
            </w:r>
          </w:p>
        </w:tc>
      </w:tr>
      <w:tr w:rsidR="00B51BC1" w:rsidRPr="00B51BC1" w14:paraId="4AF44CC1" w14:textId="77777777" w:rsidTr="00F261C2">
        <w:tc>
          <w:tcPr>
            <w:tcW w:w="7547" w:type="dxa"/>
            <w:tcBorders>
              <w:top w:val="nil"/>
              <w:left w:val="nil"/>
              <w:bottom w:val="nil"/>
              <w:right w:val="nil"/>
            </w:tcBorders>
          </w:tcPr>
          <w:p w14:paraId="444C5CD6" w14:textId="77777777" w:rsidR="00B51BC1" w:rsidRPr="00B51BC1" w:rsidRDefault="00B51BC1" w:rsidP="00F261C2">
            <w:pPr>
              <w:pStyle w:val="TM2"/>
              <w:tabs>
                <w:tab w:val="decimal" w:pos="8208"/>
              </w:tabs>
              <w:spacing w:before="60" w:after="60"/>
              <w:rPr>
                <w:rFonts w:eastAsiaTheme="minorEastAsia"/>
                <w:i w:val="0"/>
                <w:noProof/>
                <w:sz w:val="22"/>
                <w:szCs w:val="22"/>
                <w:lang w:eastAsia="fr-CA"/>
              </w:rPr>
            </w:pPr>
            <w:r w:rsidRPr="00B51BC1">
              <w:rPr>
                <w:i w:val="0"/>
                <w:noProof/>
              </w:rPr>
              <w:t>E.</w:t>
            </w:r>
            <w:r w:rsidRPr="00B51BC1">
              <w:rPr>
                <w:rFonts w:eastAsiaTheme="minorEastAsia"/>
                <w:i w:val="0"/>
                <w:noProof/>
                <w:sz w:val="22"/>
                <w:szCs w:val="22"/>
                <w:lang w:eastAsia="fr-CA"/>
              </w:rPr>
              <w:tab/>
            </w:r>
            <w:r w:rsidRPr="00B51BC1">
              <w:rPr>
                <w:noProof/>
              </w:rPr>
              <w:t>Application</w:t>
            </w:r>
          </w:p>
        </w:tc>
        <w:tc>
          <w:tcPr>
            <w:tcW w:w="819" w:type="dxa"/>
            <w:tcBorders>
              <w:top w:val="nil"/>
              <w:left w:val="nil"/>
              <w:bottom w:val="nil"/>
              <w:right w:val="nil"/>
            </w:tcBorders>
          </w:tcPr>
          <w:p w14:paraId="40926332" w14:textId="77777777" w:rsidR="00B51BC1" w:rsidRPr="00B51BC1" w:rsidRDefault="00B51BC1" w:rsidP="00A87BA5">
            <w:pPr>
              <w:tabs>
                <w:tab w:val="decimal" w:pos="8208"/>
              </w:tabs>
              <w:spacing w:before="60" w:after="60"/>
              <w:jc w:val="center"/>
              <w:rPr>
                <w:noProof/>
              </w:rPr>
            </w:pPr>
            <w:r w:rsidRPr="00B51BC1">
              <w:rPr>
                <w:noProof/>
              </w:rPr>
              <w:fldChar w:fldCharType="begin"/>
            </w:r>
            <w:r w:rsidRPr="00B51BC1">
              <w:rPr>
                <w:noProof/>
              </w:rPr>
              <w:instrText xml:space="preserve"> REF _Ref239925946 \r \h </w:instrText>
            </w:r>
            <w:r>
              <w:rPr>
                <w:noProof/>
              </w:rPr>
              <w:instrText xml:space="preserve"> \* MERGEFORMAT </w:instrText>
            </w:r>
            <w:r w:rsidRPr="00B51BC1">
              <w:rPr>
                <w:noProof/>
              </w:rPr>
            </w:r>
            <w:r w:rsidRPr="00B51BC1">
              <w:rPr>
                <w:noProof/>
              </w:rPr>
              <w:fldChar w:fldCharType="separate"/>
            </w:r>
            <w:r w:rsidRPr="00B51BC1">
              <w:rPr>
                <w:noProof/>
              </w:rPr>
              <w:t>[81]</w:t>
            </w:r>
            <w:r w:rsidRPr="00B51BC1">
              <w:rPr>
                <w:noProof/>
              </w:rPr>
              <w:fldChar w:fldCharType="end"/>
            </w:r>
          </w:p>
        </w:tc>
      </w:tr>
      <w:tr w:rsidR="00B51BC1" w:rsidRPr="00B51BC1" w14:paraId="718D2889" w14:textId="77777777" w:rsidTr="00F261C2">
        <w:tc>
          <w:tcPr>
            <w:tcW w:w="7547" w:type="dxa"/>
            <w:tcBorders>
              <w:top w:val="nil"/>
              <w:left w:val="nil"/>
              <w:bottom w:val="nil"/>
              <w:right w:val="nil"/>
            </w:tcBorders>
          </w:tcPr>
          <w:p w14:paraId="19316EEB" w14:textId="77777777" w:rsidR="00B51BC1" w:rsidRPr="00B51BC1" w:rsidRDefault="00B51BC1" w:rsidP="00A87BA5">
            <w:pPr>
              <w:pStyle w:val="TM1"/>
              <w:rPr>
                <w:rFonts w:eastAsiaTheme="minorEastAsia"/>
                <w:sz w:val="22"/>
                <w:szCs w:val="22"/>
                <w:u w:val="none"/>
                <w:lang w:eastAsia="fr-CA"/>
              </w:rPr>
            </w:pPr>
            <w:r w:rsidRPr="00B51BC1">
              <w:rPr>
                <w:u w:val="none"/>
              </w:rPr>
              <w:t>VI.</w:t>
            </w:r>
            <w:r w:rsidRPr="00B51BC1">
              <w:rPr>
                <w:rFonts w:eastAsiaTheme="minorEastAsia"/>
                <w:sz w:val="22"/>
                <w:szCs w:val="22"/>
                <w:u w:val="none"/>
                <w:lang w:eastAsia="fr-CA"/>
              </w:rPr>
              <w:tab/>
            </w:r>
            <w:r w:rsidRPr="00B51BC1">
              <w:t>Conclusion</w:t>
            </w:r>
          </w:p>
        </w:tc>
        <w:tc>
          <w:tcPr>
            <w:tcW w:w="819" w:type="dxa"/>
            <w:tcBorders>
              <w:top w:val="nil"/>
              <w:left w:val="nil"/>
              <w:bottom w:val="nil"/>
              <w:right w:val="nil"/>
            </w:tcBorders>
          </w:tcPr>
          <w:p w14:paraId="1878E8F1" w14:textId="77777777" w:rsidR="00B51BC1" w:rsidRPr="00B51BC1" w:rsidRDefault="00B51BC1" w:rsidP="00A87BA5">
            <w:pPr>
              <w:tabs>
                <w:tab w:val="decimal" w:pos="8208"/>
              </w:tabs>
              <w:spacing w:before="60" w:after="60"/>
              <w:jc w:val="center"/>
            </w:pPr>
            <w:r w:rsidRPr="00B51BC1">
              <w:fldChar w:fldCharType="begin"/>
            </w:r>
            <w:r w:rsidRPr="00B51BC1">
              <w:instrText xml:space="preserve"> REF _Ref239925951 \r \h </w:instrText>
            </w:r>
            <w:r>
              <w:instrText xml:space="preserve"> \* MERGEFORMAT </w:instrText>
            </w:r>
            <w:r w:rsidRPr="00B51BC1">
              <w:fldChar w:fldCharType="separate"/>
            </w:r>
            <w:r w:rsidRPr="00B51BC1">
              <w:t>[85]</w:t>
            </w:r>
            <w:r w:rsidRPr="00B51BC1">
              <w:fldChar w:fldCharType="end"/>
            </w:r>
          </w:p>
        </w:tc>
      </w:tr>
    </w:tbl>
    <w:p w14:paraId="4F58F872" w14:textId="77777777" w:rsidR="00B51BC1" w:rsidRPr="00B51BC1" w:rsidRDefault="00B51BC1" w:rsidP="00B51BC1">
      <w:pPr>
        <w:pStyle w:val="Title1LevelTitre1Niveau-AltL"/>
        <w:spacing w:before="720"/>
        <w:ind w:left="578" w:hanging="578"/>
        <w:rPr>
          <w:rFonts w:cs="Times New Roman"/>
        </w:rPr>
      </w:pPr>
      <w:bookmarkStart w:id="5" w:name="_Toc239845706"/>
      <w:bookmarkStart w:id="6" w:name="_Toc239845725"/>
      <w:r w:rsidRPr="00B51BC1">
        <w:rPr>
          <w:rFonts w:cs="Times New Roman"/>
        </w:rPr>
        <w:t>Aperçu</w:t>
      </w:r>
      <w:bookmarkEnd w:id="5"/>
      <w:bookmarkEnd w:id="6"/>
    </w:p>
    <w:p w14:paraId="233FFDD0" w14:textId="77777777" w:rsidR="00B51BC1" w:rsidRPr="00B51BC1" w:rsidRDefault="00B51BC1" w:rsidP="00B51BC1">
      <w:pPr>
        <w:pStyle w:val="ParaNoNdepar-AltN"/>
        <w:tabs>
          <w:tab w:val="clear" w:pos="1152"/>
          <w:tab w:val="left" w:pos="1166"/>
        </w:tabs>
        <w:rPr>
          <w:rFonts w:cs="Times New Roman"/>
        </w:rPr>
      </w:pPr>
      <w:bookmarkStart w:id="7" w:name="_Ref239925645"/>
      <w:r w:rsidRPr="00B51BC1">
        <w:rPr>
          <w:rFonts w:cs="Times New Roman"/>
        </w:rPr>
        <w:t xml:space="preserve">L’alinéa 11b) de la </w:t>
      </w:r>
      <w:r w:rsidRPr="00B51BC1">
        <w:rPr>
          <w:rFonts w:cs="Times New Roman"/>
          <w:i/>
          <w:iCs/>
        </w:rPr>
        <w:t>Charte canadienne des droits et libertés</w:t>
      </w:r>
      <w:r w:rsidRPr="00B51BC1">
        <w:rPr>
          <w:rFonts w:cs="Times New Roman"/>
        </w:rPr>
        <w:t xml:space="preserve"> dispose que « [t]out inculpé a le droit [. . .] d’être jugé dans un délai raisonnable ». Cette garantie constitutionnelle s’applique à chacune des nombreuses étapes de la procédure pénale, du dépôt des accusations jusqu’à l’infliction de la peine. Elle consacre le principe fondamental selon lequel « [l]a justice rendue en temps utile est l’une des caractéristiques d’une société libre et démocratique » (</w:t>
      </w:r>
      <w:r w:rsidRPr="00B51BC1">
        <w:rPr>
          <w:rFonts w:cs="Times New Roman"/>
          <w:i/>
        </w:rPr>
        <w:t>R. c. Jordan</w:t>
      </w:r>
      <w:r w:rsidRPr="00B51BC1">
        <w:rPr>
          <w:rFonts w:cs="Times New Roman"/>
        </w:rPr>
        <w:t>, 2016 CSC 27, [2016] 1 R.C.S. 631, par. 1).</w:t>
      </w:r>
      <w:bookmarkEnd w:id="7"/>
    </w:p>
    <w:p w14:paraId="68F8EA94" w14:textId="77777777" w:rsidR="00B51BC1" w:rsidRPr="00B51BC1" w:rsidRDefault="00B51BC1" w:rsidP="00B51BC1">
      <w:pPr>
        <w:pStyle w:val="ParaNoNdepar-AltN"/>
        <w:tabs>
          <w:tab w:val="clear" w:pos="1152"/>
          <w:tab w:val="left" w:pos="1166"/>
        </w:tabs>
        <w:rPr>
          <w:rFonts w:cs="Times New Roman"/>
        </w:rPr>
      </w:pPr>
      <w:r w:rsidRPr="00B51BC1">
        <w:rPr>
          <w:rFonts w:cs="Times New Roman"/>
        </w:rPr>
        <w:lastRenderedPageBreak/>
        <w:t xml:space="preserve">Dans l’arrêt </w:t>
      </w:r>
      <w:r w:rsidRPr="00B51BC1">
        <w:rPr>
          <w:rFonts w:cs="Times New Roman"/>
          <w:i/>
          <w:iCs/>
        </w:rPr>
        <w:t>Jordan</w:t>
      </w:r>
      <w:r w:rsidRPr="00B51BC1">
        <w:rPr>
          <w:rFonts w:cs="Times New Roman"/>
        </w:rPr>
        <w:t>, notre Cour a défini le cadre d’analyse permettant de savoir si la durée d’un procès criminel porte atteinte au droit garanti à l’al. 11b). Ayant constaté, à la lumière de la preuve, qu’une culture de complaisance à l’égard des délais s’était répandue, la Cour a fixé des plafonds présumés en deçà desquels doivent se conclure les procès, à savoir 18 mois pour les affaires instruites devant une cour provinciale et 30 mois pour celles instruites devant une cour supérieure (par. 46). À ce jour, notre Cour n’a pas imposé de plafonds présumés pour les délais écoulés à quelque autre étape de la procédure pénale.</w:t>
      </w:r>
    </w:p>
    <w:p w14:paraId="304C1DB0" w14:textId="77777777" w:rsidR="00B51BC1" w:rsidRPr="00B51BC1" w:rsidRDefault="00B51BC1" w:rsidP="00B51BC1">
      <w:pPr>
        <w:pStyle w:val="ParaNoNdepar-AltN"/>
        <w:tabs>
          <w:tab w:val="clear" w:pos="1152"/>
          <w:tab w:val="left" w:pos="1166"/>
        </w:tabs>
        <w:rPr>
          <w:rFonts w:cs="Times New Roman"/>
        </w:rPr>
      </w:pPr>
      <w:bookmarkStart w:id="8" w:name="_Hlk239760800"/>
      <w:r w:rsidRPr="00B51BC1">
        <w:rPr>
          <w:rFonts w:cs="Times New Roman"/>
        </w:rPr>
        <w:t xml:space="preserve">Dans le cadre du présent pourvoi, notre Cour est appelée à déterminer comment évaluer le caractère raisonnable du délai entre la déclaration de culpabilité et l’infliction de la peine. </w:t>
      </w:r>
      <w:bookmarkEnd w:id="8"/>
      <w:r w:rsidRPr="00B51BC1">
        <w:rPr>
          <w:rFonts w:cs="Times New Roman"/>
        </w:rPr>
        <w:t xml:space="preserve">L’appelant nous demande d’adopter l’approche de la Cour d’appel de l’Ontario dans </w:t>
      </w:r>
      <w:r w:rsidRPr="00B51BC1">
        <w:rPr>
          <w:rFonts w:cs="Times New Roman"/>
          <w:i/>
        </w:rPr>
        <w:t>R. c. Charley</w:t>
      </w:r>
      <w:r w:rsidRPr="00B51BC1">
        <w:rPr>
          <w:rFonts w:cs="Times New Roman"/>
        </w:rPr>
        <w:t>, 2019 ONCA 726, 147 O.R. (3d) 497, par. 87, et d’imposer un plafond présumé de cinq mois au-delà duquel le délai serait présumé constituer une violation de l’al. 11b). Selon la Couronne, il serait préférable de se demander si le temps de détermination de la peine a été nettement plus long qu’il aurait dû raisonnablement l’être eu égard à l’ensemble des circonstances.</w:t>
      </w:r>
    </w:p>
    <w:p w14:paraId="731BAE51" w14:textId="77777777" w:rsidR="00B51BC1" w:rsidRPr="00B51BC1" w:rsidRDefault="00B51BC1" w:rsidP="00B51BC1">
      <w:pPr>
        <w:pStyle w:val="ParaNoNdepar-AltN"/>
        <w:tabs>
          <w:tab w:val="clear" w:pos="1152"/>
          <w:tab w:val="left" w:pos="1166"/>
        </w:tabs>
        <w:rPr>
          <w:rFonts w:cs="Times New Roman"/>
        </w:rPr>
      </w:pPr>
      <w:bookmarkStart w:id="9" w:name="_Hlk228220712"/>
      <w:r w:rsidRPr="00B51BC1">
        <w:rPr>
          <w:rFonts w:cs="Times New Roman"/>
        </w:rPr>
        <w:t>Selon nous, c’est le critère plus souple proposé par la Couronne qui devrait être adopté. Le Parlement a précisé que la peine doit être déterminée « [d]ans les meilleurs délais possibles » suivant la déclaration de culpabilité (</w:t>
      </w:r>
      <w:r w:rsidRPr="00B51BC1">
        <w:rPr>
          <w:rFonts w:cs="Times New Roman"/>
          <w:i/>
        </w:rPr>
        <w:t>Code criminel</w:t>
      </w:r>
      <w:r w:rsidRPr="00B51BC1">
        <w:rPr>
          <w:rFonts w:cs="Times New Roman"/>
        </w:rPr>
        <w:t xml:space="preserve">, L.R.C. 1985, c. C-46, art. 720). Cette exigence législative tient compte du fait que, en droit pénal canadien, même si la détermination de la peine peut se dérouler lors d’une </w:t>
      </w:r>
      <w:r w:rsidRPr="00B51BC1">
        <w:rPr>
          <w:rFonts w:cs="Times New Roman"/>
        </w:rPr>
        <w:lastRenderedPageBreak/>
        <w:t>audience (ou d’une série d’audiences), elle requiert un processus de collecte de renseignements et de prise de décisions qui commence une fois la culpabilité établie et prend fin uniquement lorsque tous les éléments de la peine (y compris les ordonnances accessoires) ont été fixés. Pour s’acquitter de son devoir d’infliger une peine juste et proportionnée qui reflète la culpabilité morale du contrevenant ainsi que la gravité de l’infraction, le tribunal a besoin d’une preuve appropriée et de solides observations concernant l’éventail des peines possibles.</w:t>
      </w:r>
    </w:p>
    <w:bookmarkEnd w:id="9"/>
    <w:p w14:paraId="07FB6146" w14:textId="77777777" w:rsidR="00B51BC1" w:rsidRPr="00B51BC1" w:rsidRDefault="00B51BC1" w:rsidP="00B51BC1">
      <w:pPr>
        <w:pStyle w:val="ParaNoNdepar-AltN"/>
        <w:tabs>
          <w:tab w:val="clear" w:pos="1152"/>
          <w:tab w:val="left" w:pos="1166"/>
        </w:tabs>
        <w:rPr>
          <w:rFonts w:cs="Times New Roman"/>
        </w:rPr>
      </w:pPr>
      <w:r w:rsidRPr="00B51BC1">
        <w:rPr>
          <w:rFonts w:cs="Times New Roman"/>
        </w:rPr>
        <w:t>La question de savoir si le processus de détermination de la peine a été nettement plus long que ce qui était raisonnablement nécessaire dans les circonstances est une évaluation fondée sur une variété de considérations; cette évaluation reste objective et normative. Les considérations pertinentes peuvent comprendre le délai total écoulé; la complexité du dossier; tout élément provenant des parties, du juge chargé de la détermination de la peine ou du tribunal qui pourrait expliquer certaines portions du délai; les positions et la conduite des parties; ainsi qu’un examen du temps qu’il faut généralement pour rendre une décision dans des cas comparables, compte tenu des circonstances locales pertinentes.</w:t>
      </w:r>
    </w:p>
    <w:p w14:paraId="51CF7A0B" w14:textId="77777777" w:rsidR="00B51BC1" w:rsidRPr="00B51BC1" w:rsidRDefault="00B51BC1" w:rsidP="00B51BC1">
      <w:pPr>
        <w:pStyle w:val="ParaNoNdepar-AltN"/>
        <w:tabs>
          <w:tab w:val="clear" w:pos="1152"/>
          <w:tab w:val="left" w:pos="1166"/>
        </w:tabs>
        <w:rPr>
          <w:rFonts w:cs="Times New Roman"/>
        </w:rPr>
      </w:pPr>
      <w:bookmarkStart w:id="10" w:name="_Hlk239761194"/>
      <w:bookmarkStart w:id="11" w:name="_Hlk239767146"/>
      <w:r w:rsidRPr="00B51BC1">
        <w:rPr>
          <w:rFonts w:cs="Times New Roman"/>
        </w:rPr>
        <w:t xml:space="preserve">S’il est établi qu’il y a eu violation de l’al. 11b), la mise en balance des droits et intérêts en jeu </w:t>
      </w:r>
      <w:bookmarkEnd w:id="10"/>
      <w:r w:rsidRPr="00B51BC1">
        <w:rPr>
          <w:rFonts w:cs="Times New Roman"/>
        </w:rPr>
        <w:t>est qualitativement différente dans le contexte postérieur au prononcé du verdict</w:t>
      </w:r>
      <w:bookmarkEnd w:id="11"/>
      <w:r w:rsidRPr="00B51BC1">
        <w:rPr>
          <w:rFonts w:cs="Times New Roman"/>
        </w:rPr>
        <w:t xml:space="preserve">, car la présomption d’innocence a été réfutée par une preuve de culpabilité hors de tout doute raisonnable. Le paragraphe 24(1) de la </w:t>
      </w:r>
      <w:r w:rsidRPr="00B51BC1">
        <w:rPr>
          <w:rFonts w:cs="Times New Roman"/>
          <w:i/>
        </w:rPr>
        <w:t>Charte</w:t>
      </w:r>
      <w:r w:rsidRPr="00B51BC1">
        <w:rPr>
          <w:rFonts w:cs="Times New Roman"/>
        </w:rPr>
        <w:t xml:space="preserve"> prévoit un large éventail de réparations possibles et donne lieu à une analyse discrétionnaire et </w:t>
      </w:r>
      <w:r w:rsidRPr="00B51BC1">
        <w:rPr>
          <w:rFonts w:cs="Times New Roman"/>
        </w:rPr>
        <w:lastRenderedPageBreak/>
        <w:t>contextuelle. La réparation qui sera généralement convenable pour un délai de détermination de la peine postérieur au prononcé du verdict qui s’avère déraisonnable est une réduction de peine, bien que, dans des cas exceptionnels, un arrêt des procédures soit également possible.</w:t>
      </w:r>
    </w:p>
    <w:p w14:paraId="1F89DA01" w14:textId="77777777" w:rsidR="00B51BC1" w:rsidRPr="00B51BC1" w:rsidRDefault="00B51BC1" w:rsidP="00B51BC1">
      <w:pPr>
        <w:pStyle w:val="Title1LevelTitre1Niveau-AltL"/>
        <w:rPr>
          <w:rFonts w:cs="Times New Roman"/>
        </w:rPr>
      </w:pPr>
      <w:bookmarkStart w:id="12" w:name="_Toc239845707"/>
      <w:bookmarkStart w:id="13" w:name="_Toc239845726"/>
      <w:r w:rsidRPr="00B51BC1">
        <w:rPr>
          <w:rFonts w:cs="Times New Roman"/>
        </w:rPr>
        <w:t>Contexte</w:t>
      </w:r>
      <w:bookmarkEnd w:id="12"/>
      <w:bookmarkEnd w:id="13"/>
    </w:p>
    <w:p w14:paraId="067D2252" w14:textId="77777777" w:rsidR="00B51BC1" w:rsidRPr="00B51BC1" w:rsidRDefault="00B51BC1" w:rsidP="00B51BC1">
      <w:pPr>
        <w:pStyle w:val="ParaNoNdepar-AltN"/>
        <w:rPr>
          <w:rFonts w:cs="Times New Roman"/>
        </w:rPr>
      </w:pPr>
      <w:bookmarkStart w:id="14" w:name="_Ref239925698"/>
      <w:r w:rsidRPr="00B51BC1">
        <w:rPr>
          <w:rFonts w:cs="Times New Roman"/>
        </w:rPr>
        <w:t>L’appelant, un citoyen iranien se trouvant au Canada muni d’un permis de travail postdiplôme, a été déclaré coupable d’agression sexuelle le 7 octobre 2021. À la suite de la déclaration de culpabilité, la juge du procès a ordonné la rédaction d’un rapport présentenciel et demandé aux parties de comparaître devant elle le 15 octobre 2021. Ce jour-là, les parties ont comparu devant la juge du procès et confirmé qu’elles seraient présentes pour une comparution additionnelle le 13 décembre 2021.</w:t>
      </w:r>
      <w:bookmarkEnd w:id="14"/>
    </w:p>
    <w:p w14:paraId="099A61FC" w14:textId="77777777" w:rsidR="00B51BC1" w:rsidRPr="00B51BC1" w:rsidRDefault="00B51BC1" w:rsidP="00B51BC1">
      <w:pPr>
        <w:pStyle w:val="ParaNoNdepar-AltN"/>
        <w:rPr>
          <w:rFonts w:cs="Times New Roman"/>
        </w:rPr>
      </w:pPr>
      <w:r w:rsidRPr="00B51BC1">
        <w:rPr>
          <w:rFonts w:cs="Times New Roman"/>
        </w:rPr>
        <w:t>Le 13 décembre 2021, la défense a demandé un ajournement afin d’obtenir la transcription de la décision rendue à l’issue du procès. L’affaire a été ajournée sur consentement au 17 janvier 2022, date à laquelle la juge du procès a fixé la date de présentation des observations relatives à la peine au 25 février 2022.</w:t>
      </w:r>
    </w:p>
    <w:p w14:paraId="02ADAAE3" w14:textId="77777777" w:rsidR="00B51BC1" w:rsidRPr="00B51BC1" w:rsidRDefault="00B51BC1" w:rsidP="00B51BC1">
      <w:pPr>
        <w:pStyle w:val="ParaNoNdepar-AltN"/>
        <w:rPr>
          <w:rFonts w:cs="Times New Roman"/>
        </w:rPr>
      </w:pPr>
      <w:r w:rsidRPr="00B51BC1">
        <w:rPr>
          <w:rFonts w:cs="Times New Roman"/>
        </w:rPr>
        <w:t xml:space="preserve">Le 25 février 2022, les parties ont comparu devant la juge du procès pour présenter leurs observations sur la peine. L’avocat de la défense a demandé une absolution sous conditions et soulevé des conséquences indirectes en matière d’immigration à l’appui de ses observations. La Couronne n’a pas été en mesure de présenter ses observations dans le délai imparti pour l’audience. D’après la juge, ce </w:t>
      </w:r>
      <w:r w:rsidRPr="00B51BC1">
        <w:rPr>
          <w:rFonts w:cs="Times New Roman"/>
        </w:rPr>
        <w:lastRenderedPageBreak/>
        <w:t>manque de temps a été en partie attribuable à des difficultés techniques qui ont retardé l’audience même, qui s’est tenue virtuellement pendant la pandémie de COVID-19. La reprise de l’audience a été fixée au 5 avril 2022.</w:t>
      </w:r>
    </w:p>
    <w:p w14:paraId="5B816BA1" w14:textId="77777777" w:rsidR="00B51BC1" w:rsidRPr="00B51BC1" w:rsidRDefault="00B51BC1" w:rsidP="00B51BC1">
      <w:pPr>
        <w:pStyle w:val="ParaNoNdepar-AltN"/>
        <w:rPr>
          <w:rFonts w:cs="Times New Roman"/>
        </w:rPr>
      </w:pPr>
      <w:r w:rsidRPr="00B51BC1">
        <w:rPr>
          <w:rFonts w:cs="Times New Roman"/>
        </w:rPr>
        <w:t>Le 5 avril 2022, les parties ont comparu devant un autre juge et ont été informées que la juge du procès n’était pas disponible. L’affaire a été reportée au 19 avril 2022. Ce jour-là, les parties ont de nouveau comparu devant la juge du procès, et la Couronne a présenté ses observations sur la peine. La juge du procès a ensuite fixé la date pour la reprise de l’audience au 24 mai 2022.</w:t>
      </w:r>
    </w:p>
    <w:p w14:paraId="0F0ADCEE" w14:textId="77777777" w:rsidR="00B51BC1" w:rsidRPr="00B51BC1" w:rsidRDefault="00B51BC1" w:rsidP="00B51BC1">
      <w:pPr>
        <w:pStyle w:val="ParaNoNdepar-AltN"/>
        <w:rPr>
          <w:rFonts w:cs="Times New Roman"/>
        </w:rPr>
      </w:pPr>
      <w:r w:rsidRPr="00B51BC1">
        <w:rPr>
          <w:rFonts w:cs="Times New Roman"/>
        </w:rPr>
        <w:t xml:space="preserve">Le 24 mai 2022, la juge du procès a posé des questions à la Couronne ainsi qu’à l’avocat de la défense. Comme, ce jour-là, la procureure de la Couronne qui a comparue n’était pas celle affectée au dossier, il a été convenu que les avocats répondraient aux questions de la juge du procès par écrit et comparaîtraient de nouveau à une date ultérieure. Les questions portaient sur : (i) l’applicabilité du sous-al. </w:t>
      </w:r>
      <w:proofErr w:type="gramStart"/>
      <w:r w:rsidRPr="00B51BC1">
        <w:rPr>
          <w:rFonts w:cs="Times New Roman"/>
        </w:rPr>
        <w:t>718.2a)(</w:t>
      </w:r>
      <w:proofErr w:type="gramEnd"/>
      <w:r w:rsidRPr="00B51BC1">
        <w:rPr>
          <w:rFonts w:cs="Times New Roman"/>
        </w:rPr>
        <w:t xml:space="preserve">iii.1) du </w:t>
      </w:r>
      <w:r w:rsidRPr="00B51BC1">
        <w:rPr>
          <w:rFonts w:cs="Times New Roman"/>
          <w:i/>
        </w:rPr>
        <w:t>Code criminel</w:t>
      </w:r>
      <w:r w:rsidRPr="00B51BC1">
        <w:rPr>
          <w:rFonts w:cs="Times New Roman"/>
        </w:rPr>
        <w:t>; (ii) la possibilité d’infliger une peine avec sursis; (iii) le principe de modération à l’égard des contrevenants déclarés coupables d’une première infraction; (iv) les conséquences indirectes en matière d’immigration. L’affaire a ensuite été reportée au 12 juillet 2022.</w:t>
      </w:r>
    </w:p>
    <w:p w14:paraId="2ECA4DFC" w14:textId="77777777" w:rsidR="00B51BC1" w:rsidRPr="00B51BC1" w:rsidRDefault="00B51BC1" w:rsidP="00B51BC1">
      <w:pPr>
        <w:pStyle w:val="ParaNoNdepar-AltN"/>
        <w:rPr>
          <w:rFonts w:cs="Times New Roman"/>
        </w:rPr>
      </w:pPr>
      <w:r w:rsidRPr="00B51BC1">
        <w:rPr>
          <w:rFonts w:cs="Times New Roman"/>
        </w:rPr>
        <w:t>Le 12 juillet 2022, les parties ont comparu devant un autre juge, qui les a informées que la juge du procès ne pouvait être présente en raison d’une urgence. L’affaire a été ajournée au 15 juillet 2022, puis reportée au 16 septembre 2022.</w:t>
      </w:r>
    </w:p>
    <w:p w14:paraId="221E86E1" w14:textId="77777777" w:rsidR="00B51BC1" w:rsidRPr="00B51BC1" w:rsidRDefault="00B51BC1" w:rsidP="00B51BC1">
      <w:pPr>
        <w:pStyle w:val="ParaNoNdepar-AltN"/>
        <w:rPr>
          <w:rFonts w:cs="Times New Roman"/>
        </w:rPr>
      </w:pPr>
      <w:r w:rsidRPr="00B51BC1">
        <w:rPr>
          <w:rFonts w:cs="Times New Roman"/>
        </w:rPr>
        <w:lastRenderedPageBreak/>
        <w:t>Le 16 septembre 2022, les parties ont comparu de nouveau devant la juge du procès. Cette dernière les a informées qu’elle n’était pas prête à infliger une peine et a demandé des précisions supplémentaires au sujet des conséquences en matière d’immigration qui découleraient des peines proposées. Quelques jours plus tard, les parties ont convenu de reprendre l’audience le 20 octobre 2022.</w:t>
      </w:r>
    </w:p>
    <w:p w14:paraId="08292069" w14:textId="77777777" w:rsidR="00B51BC1" w:rsidRPr="00B51BC1" w:rsidRDefault="00B51BC1" w:rsidP="00B51BC1">
      <w:pPr>
        <w:pStyle w:val="ParaNoNdepar-AltN"/>
        <w:rPr>
          <w:rFonts w:cs="Times New Roman"/>
        </w:rPr>
      </w:pPr>
      <w:r w:rsidRPr="00B51BC1">
        <w:rPr>
          <w:rFonts w:cs="Times New Roman"/>
        </w:rPr>
        <w:t xml:space="preserve">Le 20 octobre 2022, les parties ont comparu devant la juge du procès en vue du prononcé de ses motifs de détermination de la peine. Or, immédiatement avant la comparution devant la cour, l’avocat de la défense a signifié et déposé une demande d’arrêt des procédures, au motif que le délai de détermination de la peine postérieur au prononcé du verdict avait porté atteinte au droit de l’appelant d’être jugé dans un délai raisonnable que lui garantit l’al. 11b) de la </w:t>
      </w:r>
      <w:r w:rsidRPr="00B51BC1">
        <w:rPr>
          <w:rFonts w:cs="Times New Roman"/>
          <w:i/>
        </w:rPr>
        <w:t>Charte</w:t>
      </w:r>
      <w:r w:rsidRPr="00B51BC1">
        <w:rPr>
          <w:rFonts w:cs="Times New Roman"/>
        </w:rPr>
        <w:t>. Compte tenu du moment où la demande a été déposée, l’appelant a renoncé à la prise en compte du délai additionnel dont la Couronne aurait besoin pour préparer sa réponse.</w:t>
      </w:r>
    </w:p>
    <w:p w14:paraId="2CCD183D" w14:textId="77777777" w:rsidR="00B51BC1" w:rsidRPr="00B51BC1" w:rsidRDefault="00B51BC1" w:rsidP="00B51BC1">
      <w:pPr>
        <w:pStyle w:val="ParaNoNdepar-AltN"/>
        <w:rPr>
          <w:rFonts w:cs="Times New Roman"/>
        </w:rPr>
      </w:pPr>
      <w:r w:rsidRPr="00B51BC1">
        <w:rPr>
          <w:rFonts w:cs="Times New Roman"/>
        </w:rPr>
        <w:t>Le 16 décembre 2022, soit plus de 14 mois après l’inscription de la déclaration de culpabilité, les parties ont comparu devant la juge du procès et présenté des observations relatives à la demande fondée sur l’al. 11b). La juge du procès a rejeté la demande, avec motifs à suivre, puis a lu ses motifs de détermination de la peine. Elle a condamné l’appelant à une peine d’emprisonnement avec sursis de deux ans moins un jour, suivie d’un an de probation.</w:t>
      </w:r>
    </w:p>
    <w:p w14:paraId="5327A98F" w14:textId="77777777" w:rsidR="00B51BC1" w:rsidRPr="00B51BC1" w:rsidRDefault="00B51BC1" w:rsidP="00B51BC1">
      <w:pPr>
        <w:pStyle w:val="Title1LevelTitre1Niveau-AltL"/>
        <w:rPr>
          <w:rFonts w:cs="Times New Roman"/>
        </w:rPr>
      </w:pPr>
      <w:bookmarkStart w:id="15" w:name="_Toc239845708"/>
      <w:bookmarkStart w:id="16" w:name="_Toc239845727"/>
      <w:r w:rsidRPr="00B51BC1">
        <w:rPr>
          <w:rFonts w:cs="Times New Roman"/>
        </w:rPr>
        <w:t>Décisions des juridictions d’instances inférieures</w:t>
      </w:r>
      <w:bookmarkEnd w:id="15"/>
      <w:bookmarkEnd w:id="16"/>
    </w:p>
    <w:p w14:paraId="33A0C524" w14:textId="77777777" w:rsidR="00B51BC1" w:rsidRPr="00B51BC1" w:rsidRDefault="00B51BC1" w:rsidP="00B51BC1">
      <w:pPr>
        <w:pStyle w:val="Title2LevelTitre2Niveau"/>
        <w:rPr>
          <w:rFonts w:cs="Times New Roman"/>
        </w:rPr>
      </w:pPr>
      <w:bookmarkStart w:id="17" w:name="_Toc239845709"/>
      <w:bookmarkStart w:id="18" w:name="_Toc239845728"/>
      <w:r w:rsidRPr="00B51BC1">
        <w:rPr>
          <w:rFonts w:cs="Times New Roman"/>
        </w:rPr>
        <w:lastRenderedPageBreak/>
        <w:t>Cour de justice de l’Ontario (la juge Redgate)</w:t>
      </w:r>
      <w:bookmarkEnd w:id="17"/>
      <w:bookmarkEnd w:id="18"/>
    </w:p>
    <w:p w14:paraId="39B7C906" w14:textId="77777777" w:rsidR="00B51BC1" w:rsidRPr="00B51BC1" w:rsidRDefault="00B51BC1" w:rsidP="00B51BC1">
      <w:pPr>
        <w:pStyle w:val="ParaNoNdepar-AltN"/>
        <w:rPr>
          <w:rFonts w:cs="Times New Roman"/>
        </w:rPr>
      </w:pPr>
      <w:bookmarkStart w:id="19" w:name="_Ref239925739"/>
      <w:r w:rsidRPr="00B51BC1">
        <w:rPr>
          <w:rFonts w:cs="Times New Roman"/>
        </w:rPr>
        <w:t xml:space="preserve">Dans les motifs de sa décision relative à la demande fondée sur l’al. 11b), la juge du procès a conclu que l’analyse définie dans l’arrêt </w:t>
      </w:r>
      <w:r w:rsidRPr="00B51BC1">
        <w:rPr>
          <w:rFonts w:cs="Times New Roman"/>
          <w:i/>
        </w:rPr>
        <w:t xml:space="preserve">Jordan </w:t>
      </w:r>
      <w:r w:rsidRPr="00B51BC1">
        <w:rPr>
          <w:rFonts w:cs="Times New Roman"/>
        </w:rPr>
        <w:t xml:space="preserve">s’applique à l’appréciation du délai de détermination de la peine postérieur au prononcé du verdict, mais que les plafonds présumés fixés par cet arrêt ne s’appliquaient pas. S’appuyant sur l’arrêt </w:t>
      </w:r>
      <w:r w:rsidRPr="00B51BC1">
        <w:rPr>
          <w:rFonts w:cs="Times New Roman"/>
          <w:i/>
        </w:rPr>
        <w:t>Charley</w:t>
      </w:r>
      <w:r w:rsidRPr="00B51BC1">
        <w:rPr>
          <w:rFonts w:cs="Times New Roman"/>
        </w:rPr>
        <w:t xml:space="preserve"> de la Cour d’appel de l’Ontario, elle a conclu que le plafond applicable au délai de détermination de la peine postérieur au prononcé du verdict est plutôt de cinq mois, après quoi le délai est présumé déraisonnable, en contravention de l’al. 11b) de la </w:t>
      </w:r>
      <w:r w:rsidRPr="00B51BC1">
        <w:rPr>
          <w:rFonts w:cs="Times New Roman"/>
          <w:i/>
        </w:rPr>
        <w:t>Charte</w:t>
      </w:r>
      <w:r w:rsidRPr="00B51BC1">
        <w:rPr>
          <w:rFonts w:cs="Times New Roman"/>
        </w:rPr>
        <w:t>.</w:t>
      </w:r>
      <w:bookmarkEnd w:id="19"/>
    </w:p>
    <w:p w14:paraId="5AA7C7F1" w14:textId="77777777" w:rsidR="00B51BC1" w:rsidRPr="00B51BC1" w:rsidRDefault="00B51BC1" w:rsidP="00B51BC1">
      <w:pPr>
        <w:pStyle w:val="ParaNoNdepar-AltN"/>
        <w:rPr>
          <w:rFonts w:cs="Times New Roman"/>
        </w:rPr>
      </w:pPr>
      <w:r w:rsidRPr="00B51BC1">
        <w:rPr>
          <w:rFonts w:cs="Times New Roman"/>
        </w:rPr>
        <w:t xml:space="preserve">Au vu des faits de l’espèce, la juge du procès a conclu que l’étape de la détermination de la peine — correspondant à la période allant du 7 octobre 2021 au 20 octobre 2022 — s’était étendue sur 378 jours. De ce total, elle a imputé 74 jours à la défense, en raison de la demande d’ajournement présentée par l’avocat de la défense dans le but d’obtenir la transcription des motifs de la déclaration de culpabilité. La juge du procès a déduit 80 jours supplémentaires en raison de son indisponibilité en avril et en juillet 2022, qu’elle a considérée comme un événement distinct. Elle a également soustrait 69 jours pour tenir compte de la complexité de l’affaire, ce qui comprenait la nécessité de plus de temps afin de permettre la présentation d’observations sur les conséquences en matière d’immigration qui découleraient des peines proposées. Enfin, elle a déduit 39 jours, considérés comme événement distinct, afin de tenir compte du </w:t>
      </w:r>
      <w:r w:rsidRPr="00B51BC1">
        <w:rPr>
          <w:rFonts w:cs="Times New Roman"/>
        </w:rPr>
        <w:lastRenderedPageBreak/>
        <w:t>délai imputable à l’incapacité de terminer l’exposé des observations sur la peine le 25 février 2022.</w:t>
      </w:r>
    </w:p>
    <w:p w14:paraId="71AE3D71" w14:textId="77777777" w:rsidR="00B51BC1" w:rsidRPr="00B51BC1" w:rsidRDefault="00B51BC1" w:rsidP="00B51BC1">
      <w:pPr>
        <w:pStyle w:val="ParaNoNdepar-AltN"/>
        <w:rPr>
          <w:rFonts w:cs="Times New Roman"/>
        </w:rPr>
      </w:pPr>
      <w:r w:rsidRPr="00B51BC1">
        <w:rPr>
          <w:rFonts w:cs="Times New Roman"/>
        </w:rPr>
        <w:t xml:space="preserve">Se fondant sur cette analyse, la juge du procès a conclu que le délai net de détermination de la peine postérieur au prononcé du verdict avait été de 116 jours, soit un peu moins de quatre mois, ce qui était inférieur au plafond présumé de cinq mois fixé par l’arrêt </w:t>
      </w:r>
      <w:r w:rsidRPr="00B51BC1">
        <w:rPr>
          <w:rFonts w:cs="Times New Roman"/>
          <w:i/>
        </w:rPr>
        <w:t>Charley</w:t>
      </w:r>
      <w:r w:rsidRPr="00B51BC1">
        <w:rPr>
          <w:rFonts w:cs="Times New Roman"/>
        </w:rPr>
        <w:t>. Par conséquent, la juge du procès a rejeté la demande de l’appelant fondée sur l’al. 11b).</w:t>
      </w:r>
    </w:p>
    <w:p w14:paraId="44781089" w14:textId="77777777" w:rsidR="00B51BC1" w:rsidRPr="00B51BC1" w:rsidRDefault="00B51BC1" w:rsidP="00B51BC1">
      <w:pPr>
        <w:pStyle w:val="Title2LevelTitre2Niveau"/>
        <w:ind w:left="578" w:hanging="578"/>
        <w:rPr>
          <w:rFonts w:cs="Times New Roman"/>
        </w:rPr>
      </w:pPr>
      <w:bookmarkStart w:id="20" w:name="_Toc239845710"/>
      <w:bookmarkStart w:id="21" w:name="_Toc239845729"/>
      <w:r w:rsidRPr="00B51BC1">
        <w:rPr>
          <w:rFonts w:cs="Times New Roman"/>
        </w:rPr>
        <w:t>Cour d’appel de l’Ontario, 2024 ONCA 930, 175 O.R. (3d) 81 (les juges Trotter, Favreau et Gomery)</w:t>
      </w:r>
      <w:bookmarkEnd w:id="20"/>
      <w:bookmarkEnd w:id="21"/>
    </w:p>
    <w:p w14:paraId="4D1F349B" w14:textId="77777777" w:rsidR="00B51BC1" w:rsidRPr="00B51BC1" w:rsidRDefault="00B51BC1" w:rsidP="00B51BC1">
      <w:pPr>
        <w:pStyle w:val="ParaNoNdepar-AltN"/>
        <w:rPr>
          <w:rFonts w:cs="Times New Roman"/>
        </w:rPr>
      </w:pPr>
      <w:bookmarkStart w:id="22" w:name="_Ref239925770"/>
      <w:r w:rsidRPr="00B51BC1">
        <w:rPr>
          <w:rFonts w:cs="Times New Roman"/>
        </w:rPr>
        <w:t xml:space="preserve">La Cour d’appel a rejeté l’appel de la déclaration de culpabilité, mais a accueilli la demande d’autorisation d’appel de la peine présentée par l’appelant et a accueilli l’appel à l’encontre de sa peine, au motif que la juge du procès avait commis deux erreurs dans son analyse de la demande fondée sur l’al. 11b). Premièrement, elle a conclu que la juge du procès avait déduit à tort 69 jours du délai net de détermination de la peine postérieur au prononcé du verdict afin de tenir compte de la complexité de l’affaire. Selon la Cour d’appel, les conséquences indirectes en matière d’immigration qui découleraient de la déclaration de culpabilité de l’appelant ne présentaient pas un degré de complexité justifiant un délai supérieur au plafond présumé. Deuxièmement, la Cour d’appel a conclu que la juge du procès avait déduit à tort 39 jours du délai net de détermination de la peine postérieur au prononcé du verdict imputable à l’incapacité de terminer l’exposé des observations sur la peine le 25 février 2022. Elle a conclu que </w:t>
      </w:r>
      <w:r w:rsidRPr="00B51BC1">
        <w:rPr>
          <w:rFonts w:cs="Times New Roman"/>
        </w:rPr>
        <w:lastRenderedPageBreak/>
        <w:t>les difficultés techniques et les erreurs qui avaient contribué à ce délai ne constituaient pas des circonstances exceptionnelles et qu’elles auraient dû être gérées adéquatement pour garantir que la peine serait déterminée en temps utile.</w:t>
      </w:r>
      <w:bookmarkEnd w:id="22"/>
    </w:p>
    <w:p w14:paraId="4131FA2C" w14:textId="77777777" w:rsidR="00B51BC1" w:rsidRPr="00B51BC1" w:rsidRDefault="00B51BC1" w:rsidP="00B51BC1">
      <w:pPr>
        <w:pStyle w:val="ParaNoNdepar-AltN"/>
        <w:rPr>
          <w:rFonts w:cs="Times New Roman"/>
        </w:rPr>
      </w:pPr>
      <w:r w:rsidRPr="00B51BC1">
        <w:rPr>
          <w:rFonts w:cs="Times New Roman"/>
        </w:rPr>
        <w:t xml:space="preserve">Selon le calcul révisé de la Cour d’appel, le délai net de détermination de la peine postérieur au prononcé du verdict en l’espèce avait été de 225 jours, ce qui dépassait le plafond présumé de cinq mois fixé par l’arrêt </w:t>
      </w:r>
      <w:r w:rsidRPr="00B51BC1">
        <w:rPr>
          <w:rFonts w:cs="Times New Roman"/>
          <w:i/>
        </w:rPr>
        <w:t>Charley</w:t>
      </w:r>
      <w:r w:rsidRPr="00B51BC1">
        <w:rPr>
          <w:rFonts w:cs="Times New Roman"/>
        </w:rPr>
        <w:t xml:space="preserve">. La Cour d’appel a donc conclu que le délai avait porté atteinte au droit de l’appelant protégé par l’al. 11b) de la </w:t>
      </w:r>
      <w:r w:rsidRPr="00B51BC1">
        <w:rPr>
          <w:rFonts w:cs="Times New Roman"/>
          <w:i/>
        </w:rPr>
        <w:t>Charte</w:t>
      </w:r>
      <w:r w:rsidRPr="00B51BC1">
        <w:rPr>
          <w:rFonts w:cs="Times New Roman"/>
        </w:rPr>
        <w:t>.</w:t>
      </w:r>
    </w:p>
    <w:p w14:paraId="355737FC" w14:textId="77777777" w:rsidR="00B51BC1" w:rsidRPr="00B51BC1" w:rsidRDefault="00B51BC1" w:rsidP="00B51BC1">
      <w:pPr>
        <w:pStyle w:val="ParaNoNdepar-AltN"/>
        <w:rPr>
          <w:rFonts w:cs="Times New Roman"/>
        </w:rPr>
      </w:pPr>
      <w:r w:rsidRPr="00B51BC1">
        <w:rPr>
          <w:rFonts w:cs="Times New Roman"/>
        </w:rPr>
        <w:t>En ce qui concerne la réparation, la Cour d’appel a conclu que la réparation convenable pour un délai de détermination de la peine postérieur au prononcé du verdict devrait viser la peine, et non la déclaration de culpabilité. Elle a donc traité le délai déraisonnable de détermination de la peine comme une circonstance atténuante majorée et a réduit la durée de la peine d’emprisonnement avec sursis de l’appelant à 20 mois. Elle a rejeté la demande d’absolution sous conditions de l’appelant, soulignant que l’agression sexuelle est une infraction grave et que la peine doit demeurer proportionnée. Elle a également reconnu que la réduction de la peine de l’appelant n’éliminerait peut-être pas les conséquences en matière d’immigration découlant de sa déclaration de culpabilité, mais a statué que ces conséquences avaient déjà été prises en compte dans l’analyse effectuée par la juge du procès pour déterminer la peine à infliger.</w:t>
      </w:r>
    </w:p>
    <w:p w14:paraId="6E0B9BC1" w14:textId="77777777" w:rsidR="00B51BC1" w:rsidRPr="00B51BC1" w:rsidRDefault="00B51BC1" w:rsidP="00B51BC1">
      <w:pPr>
        <w:pStyle w:val="Title1LevelTitre1Niveau-AltL"/>
        <w:rPr>
          <w:rFonts w:cs="Times New Roman"/>
        </w:rPr>
      </w:pPr>
      <w:bookmarkStart w:id="23" w:name="_Toc239845711"/>
      <w:bookmarkStart w:id="24" w:name="_Toc239845730"/>
      <w:r w:rsidRPr="00B51BC1">
        <w:rPr>
          <w:rFonts w:cs="Times New Roman"/>
        </w:rPr>
        <w:t>Questions en litige</w:t>
      </w:r>
      <w:bookmarkEnd w:id="23"/>
      <w:bookmarkEnd w:id="24"/>
    </w:p>
    <w:p w14:paraId="4E6339D1" w14:textId="77777777" w:rsidR="00B51BC1" w:rsidRPr="00B51BC1" w:rsidRDefault="00B51BC1" w:rsidP="00B51BC1">
      <w:pPr>
        <w:pStyle w:val="ParaNoNdepar-AltN"/>
        <w:rPr>
          <w:rFonts w:cs="Times New Roman"/>
        </w:rPr>
      </w:pPr>
      <w:bookmarkStart w:id="25" w:name="_Ref239925800"/>
      <w:r w:rsidRPr="00B51BC1">
        <w:rPr>
          <w:rFonts w:cs="Times New Roman"/>
        </w:rPr>
        <w:lastRenderedPageBreak/>
        <w:t>Le présent pourvoi soulève les deux questions qui suivent :</w:t>
      </w:r>
      <w:bookmarkEnd w:id="25"/>
    </w:p>
    <w:p w14:paraId="4FADE6C2" w14:textId="77777777" w:rsidR="00B51BC1" w:rsidRPr="00B51BC1" w:rsidRDefault="00B51BC1" w:rsidP="00B51BC1">
      <w:pPr>
        <w:pStyle w:val="Citation-AltC"/>
        <w:numPr>
          <w:ilvl w:val="4"/>
          <w:numId w:val="1"/>
        </w:numPr>
        <w:spacing w:after="480" w:line="480" w:lineRule="auto"/>
        <w:ind w:left="1701" w:hanging="567"/>
        <w:contextualSpacing w:val="0"/>
      </w:pPr>
      <w:r w:rsidRPr="00B51BC1">
        <w:t>La Cour d’appel a-t-elle conclu à tort que, en l’espèce, le délai de détermination de la peine postérieur au prononcé du verdict avait porté atteinte au droit de l’appelant d’être jugé dans un délai raisonnable?</w:t>
      </w:r>
    </w:p>
    <w:p w14:paraId="5D7A8687" w14:textId="77777777" w:rsidR="00B51BC1" w:rsidRPr="00B51BC1" w:rsidRDefault="00B51BC1" w:rsidP="00B51BC1">
      <w:pPr>
        <w:pStyle w:val="Citation-AltC"/>
        <w:numPr>
          <w:ilvl w:val="4"/>
          <w:numId w:val="1"/>
        </w:numPr>
        <w:spacing w:after="480" w:line="480" w:lineRule="auto"/>
        <w:ind w:left="1701" w:hanging="567"/>
        <w:contextualSpacing w:val="0"/>
      </w:pPr>
      <w:r w:rsidRPr="00B51BC1">
        <w:t>La Cour d’appel a-t-elle conclu à tort que la réparation convenable en l’espèce était une réduction de la durée de la peine d’emprisonnement avec sursis de l’appelant?</w:t>
      </w:r>
    </w:p>
    <w:p w14:paraId="4087D205" w14:textId="77777777" w:rsidR="00B51BC1" w:rsidRPr="00B51BC1" w:rsidRDefault="00B51BC1" w:rsidP="00B51BC1">
      <w:pPr>
        <w:pStyle w:val="ContinueParaSuitedupar-AltP"/>
        <w:rPr>
          <w:rFonts w:cs="Times New Roman"/>
        </w:rPr>
      </w:pPr>
      <w:r w:rsidRPr="00B51BC1">
        <w:rPr>
          <w:rFonts w:cs="Times New Roman"/>
        </w:rPr>
        <w:t xml:space="preserve">Pour répondre à ces questions, notre Cour devra considérer : (1) la bonne approche pour évaluer le caractère raisonnable du délai de détermination de la peine postérieur au prononcé du verdict au regard de l’al. 11b) de la </w:t>
      </w:r>
      <w:r w:rsidRPr="00B51BC1">
        <w:rPr>
          <w:rFonts w:cs="Times New Roman"/>
          <w:i/>
        </w:rPr>
        <w:t>Charte</w:t>
      </w:r>
      <w:r w:rsidRPr="00B51BC1">
        <w:rPr>
          <w:rFonts w:cs="Times New Roman"/>
        </w:rPr>
        <w:t>; (2) la réparation convenable en cas de délai déraisonnable de la détermination de la peine postérieur au prononcé du verdict.</w:t>
      </w:r>
    </w:p>
    <w:p w14:paraId="3590CFA7" w14:textId="77777777" w:rsidR="00B51BC1" w:rsidRPr="00B51BC1" w:rsidRDefault="00B51BC1" w:rsidP="00B51BC1">
      <w:pPr>
        <w:pStyle w:val="Title1LevelTitre1Niveau-AltL"/>
        <w:ind w:left="578" w:hanging="578"/>
        <w:rPr>
          <w:rFonts w:cs="Times New Roman"/>
        </w:rPr>
      </w:pPr>
      <w:bookmarkStart w:id="26" w:name="_Toc239845712"/>
      <w:bookmarkStart w:id="27" w:name="_Toc239845731"/>
      <w:r w:rsidRPr="00B51BC1">
        <w:rPr>
          <w:rFonts w:cs="Times New Roman"/>
        </w:rPr>
        <w:t>Analyse</w:t>
      </w:r>
      <w:bookmarkEnd w:id="26"/>
      <w:bookmarkEnd w:id="27"/>
    </w:p>
    <w:p w14:paraId="0F7AF83D" w14:textId="77777777" w:rsidR="00B51BC1" w:rsidRPr="00B51BC1" w:rsidRDefault="00B51BC1" w:rsidP="00B51BC1">
      <w:pPr>
        <w:pStyle w:val="Title2LevelTitre2Niveau"/>
        <w:ind w:left="578" w:hanging="578"/>
        <w:rPr>
          <w:rFonts w:cs="Times New Roman"/>
        </w:rPr>
      </w:pPr>
      <w:bookmarkStart w:id="28" w:name="_Toc239845713"/>
      <w:bookmarkStart w:id="29" w:name="_Toc239845732"/>
      <w:r w:rsidRPr="00B51BC1">
        <w:rPr>
          <w:rFonts w:cs="Times New Roman"/>
        </w:rPr>
        <w:t>L’arrêt Jordan a fixé des plafonds présumés applicables au délai dans le cadre de procès criminels</w:t>
      </w:r>
      <w:bookmarkEnd w:id="28"/>
      <w:bookmarkEnd w:id="29"/>
      <w:r w:rsidRPr="00B51BC1">
        <w:rPr>
          <w:rFonts w:cs="Times New Roman"/>
        </w:rPr>
        <w:t xml:space="preserve"> </w:t>
      </w:r>
    </w:p>
    <w:p w14:paraId="7B91E2F8" w14:textId="77777777" w:rsidR="00B51BC1" w:rsidRPr="00B51BC1" w:rsidRDefault="00B51BC1" w:rsidP="00B51BC1">
      <w:pPr>
        <w:pStyle w:val="ParaNoNdepar-AltN"/>
        <w:rPr>
          <w:rFonts w:cs="Times New Roman"/>
        </w:rPr>
      </w:pPr>
      <w:bookmarkStart w:id="30" w:name="_Ref239925818"/>
      <w:r w:rsidRPr="00B51BC1">
        <w:rPr>
          <w:rFonts w:cs="Times New Roman"/>
        </w:rPr>
        <w:t xml:space="preserve">Il est bien établi en droit que la protection que garantit l’al. 11b) s’étend au‑delà de la fin de la présentation de la preuve et des plaidoiries dans le cadre du </w:t>
      </w:r>
      <w:r w:rsidRPr="00B51BC1">
        <w:rPr>
          <w:rFonts w:cs="Times New Roman"/>
        </w:rPr>
        <w:lastRenderedPageBreak/>
        <w:t>procès, jusqu’à la date du prononcé de la peine inclusivement (</w:t>
      </w:r>
      <w:r w:rsidRPr="00B51BC1">
        <w:rPr>
          <w:rFonts w:cs="Times New Roman"/>
          <w:i/>
        </w:rPr>
        <w:t>R. c. K.G.K.</w:t>
      </w:r>
      <w:r w:rsidRPr="00B51BC1">
        <w:rPr>
          <w:rFonts w:cs="Times New Roman"/>
        </w:rPr>
        <w:t xml:space="preserve">, 2020 CSC 7, [2020] 1 R.C.S. 364, par. 3; </w:t>
      </w:r>
      <w:r w:rsidRPr="00B51BC1">
        <w:rPr>
          <w:rFonts w:cs="Times New Roman"/>
          <w:i/>
        </w:rPr>
        <w:t>R. c. MacDougall</w:t>
      </w:r>
      <w:r w:rsidRPr="00B51BC1">
        <w:rPr>
          <w:rFonts w:cs="Times New Roman"/>
        </w:rPr>
        <w:t>, [1998] 3 R.C.S. 45, par. 19).</w:t>
      </w:r>
      <w:bookmarkEnd w:id="30"/>
    </w:p>
    <w:p w14:paraId="26BD47BF" w14:textId="77777777" w:rsidR="00B51BC1" w:rsidRPr="00B51BC1" w:rsidRDefault="00B51BC1" w:rsidP="00B51BC1">
      <w:pPr>
        <w:pStyle w:val="ParaNoNdepar-AltN"/>
        <w:tabs>
          <w:tab w:val="clear" w:pos="1152"/>
          <w:tab w:val="left" w:pos="1166"/>
        </w:tabs>
        <w:rPr>
          <w:rFonts w:cs="Times New Roman"/>
        </w:rPr>
      </w:pPr>
      <w:r w:rsidRPr="00B51BC1">
        <w:rPr>
          <w:rFonts w:cs="Times New Roman"/>
        </w:rPr>
        <w:t xml:space="preserve">Dans l’arrêt </w:t>
      </w:r>
      <w:r w:rsidRPr="00B51BC1">
        <w:rPr>
          <w:rFonts w:cs="Times New Roman"/>
          <w:i/>
        </w:rPr>
        <w:t>Jordan</w:t>
      </w:r>
      <w:r w:rsidRPr="00B51BC1">
        <w:rPr>
          <w:rFonts w:cs="Times New Roman"/>
        </w:rPr>
        <w:t xml:space="preserve">, la Cour a complètement redéfini le cadre d’analyse permettant de déterminer si un accusé a été jugé dans un délai raisonnable dans le respect de l’al. 11b) de la </w:t>
      </w:r>
      <w:r w:rsidRPr="00B51BC1">
        <w:rPr>
          <w:rFonts w:cs="Times New Roman"/>
          <w:i/>
        </w:rPr>
        <w:t>Charte</w:t>
      </w:r>
      <w:r w:rsidRPr="00B51BC1">
        <w:rPr>
          <w:rFonts w:cs="Times New Roman"/>
        </w:rPr>
        <w:t xml:space="preserve">. Les juges majoritaires ont conclu que le cadre d’analyse antérieur, énoncé dans l’arrêt </w:t>
      </w:r>
      <w:r w:rsidRPr="00B51BC1">
        <w:rPr>
          <w:rFonts w:cs="Times New Roman"/>
          <w:i/>
        </w:rPr>
        <w:t>R. c. Morin</w:t>
      </w:r>
      <w:r w:rsidRPr="00B51BC1">
        <w:rPr>
          <w:rFonts w:cs="Times New Roman"/>
        </w:rPr>
        <w:t>, [1992] 1 R.C.S. 771,</w:t>
      </w:r>
      <w:r w:rsidRPr="00B51BC1">
        <w:rPr>
          <w:rFonts w:cs="Times New Roman"/>
          <w:i/>
        </w:rPr>
        <w:t xml:space="preserve"> </w:t>
      </w:r>
      <w:r w:rsidRPr="00B51BC1">
        <w:rPr>
          <w:rFonts w:cs="Times New Roman"/>
        </w:rPr>
        <w:t xml:space="preserve">était devenu trop imprévisible, complexe et rétrospectif, et qu’il avait contribué à une « culture de complaisance » à l’égard des délais dans le système de justice pénale (par. 4; voir aussi </w:t>
      </w:r>
      <w:r w:rsidRPr="00B51BC1">
        <w:rPr>
          <w:rFonts w:cs="Times New Roman"/>
          <w:i/>
        </w:rPr>
        <w:t>R. c. Jacques-Taylor</w:t>
      </w:r>
      <w:r w:rsidRPr="00B51BC1">
        <w:rPr>
          <w:rFonts w:cs="Times New Roman"/>
        </w:rPr>
        <w:t xml:space="preserve">, 2026 CSC 20, par. 40; </w:t>
      </w:r>
      <w:r w:rsidRPr="00B51BC1">
        <w:rPr>
          <w:rFonts w:cs="Times New Roman"/>
          <w:i/>
        </w:rPr>
        <w:t>R. c. Vrbanic</w:t>
      </w:r>
      <w:r w:rsidRPr="00B51BC1">
        <w:rPr>
          <w:rFonts w:cs="Times New Roman"/>
        </w:rPr>
        <w:t>, 2026 CSC 19, par. 22). La Cour a donc remplacé ce cadre d’analyse par une approche fondée sur des plafonds présumés. Cette nouvelle approche visait à fournir des repères plus clairs, à encourager une gestion proactive des instances et à protéger non seulement les droits des accusés à la liberté, à la sécurité de leur personne et à un procès équitable, mais aussi les intérêts des victimes, des témoins, ainsi que la confiance du public envers l’administration de la justice.</w:t>
      </w:r>
    </w:p>
    <w:p w14:paraId="46762368" w14:textId="77777777" w:rsidR="00B51BC1" w:rsidRPr="00B51BC1" w:rsidRDefault="00B51BC1" w:rsidP="00B51BC1">
      <w:pPr>
        <w:pStyle w:val="ParaNoNdepar-AltN"/>
        <w:rPr>
          <w:rFonts w:cs="Times New Roman"/>
        </w:rPr>
      </w:pPr>
      <w:r w:rsidRPr="00B51BC1">
        <w:rPr>
          <w:rFonts w:cs="Times New Roman"/>
        </w:rPr>
        <w:t xml:space="preserve">Le nouveau cadre d’analyse repose sur un plafond présumé pour le délai entre le dépôt d’une accusation et la conclusion réelle ou anticipée du procès. Le plafond est de 18 mois pour les affaires instruites devant une cour provinciale, et de 30 mois pour celles portées devant une cour supérieure (ou pour les affaires instruites devant une cour provinciale au terme d’une enquête préliminaire). Les périodes que la défense a renoncé à invoquer ou les retards qui lui sont attribuables ne comptent pas </w:t>
      </w:r>
      <w:r w:rsidRPr="00B51BC1">
        <w:rPr>
          <w:rFonts w:cs="Times New Roman"/>
        </w:rPr>
        <w:lastRenderedPageBreak/>
        <w:t>dans le calcul du délai pertinent. Si le délai net qui résulte de ce calcul dépasse le plafond applicable, il est présumé déraisonnable et le fardeau passe à la Couronne de réfuter cette présomption en établissant l’existence de circonstances exceptionnelles.</w:t>
      </w:r>
    </w:p>
    <w:p w14:paraId="3D392F63" w14:textId="77777777" w:rsidR="00B51BC1" w:rsidRPr="00B51BC1" w:rsidRDefault="00B51BC1" w:rsidP="00B51BC1">
      <w:pPr>
        <w:pStyle w:val="ParaNoNdepar-AltN"/>
        <w:rPr>
          <w:rFonts w:cs="Times New Roman"/>
        </w:rPr>
      </w:pPr>
      <w:r w:rsidRPr="00B51BC1">
        <w:rPr>
          <w:rFonts w:cs="Times New Roman"/>
        </w:rPr>
        <w:t>Si le délai est inférieur au plafond présumé, il incombe toujours à la défense d’en démontrer le caractère déraisonnable. Les arrêts des procédures prononcés dans des cas où le délai est inférieur au plafond sont rares, et limités aux cas manifestes. La défense doit démontrer qu’elle a pris « des mesures utiles qui font la preuve d’un effort soutenu pour accélérer l’instance », et que « le procès a été nettement plus long qu’il aurait dû raisonnablement l’être » (</w:t>
      </w:r>
      <w:r w:rsidRPr="00B51BC1">
        <w:rPr>
          <w:rFonts w:cs="Times New Roman"/>
          <w:i/>
        </w:rPr>
        <w:t>Jordan</w:t>
      </w:r>
      <w:r w:rsidRPr="00B51BC1">
        <w:rPr>
          <w:rFonts w:cs="Times New Roman"/>
        </w:rPr>
        <w:t>, par. 48). Il s’agit d’une analyse contextuelle — et non mathématique — qui nécessite la prise en compte de « la complexité du dossier, des considérations de nature locale, et [de] la question de savoir si le ministère public a pris des mesures raisonnables pour accélérer l’instance » (par. 87).</w:t>
      </w:r>
    </w:p>
    <w:p w14:paraId="55DBC44D" w14:textId="77777777" w:rsidR="00B51BC1" w:rsidRPr="00B51BC1" w:rsidRDefault="00B51BC1" w:rsidP="00B51BC1">
      <w:pPr>
        <w:pStyle w:val="ParaNoNdepar-AltN"/>
        <w:rPr>
          <w:rFonts w:cs="Times New Roman"/>
        </w:rPr>
      </w:pPr>
      <w:r w:rsidRPr="00B51BC1">
        <w:rPr>
          <w:rFonts w:cs="Times New Roman"/>
        </w:rPr>
        <w:t xml:space="preserve">Cela dit, les plafonds présumés fixés par l’arrêt </w:t>
      </w:r>
      <w:r w:rsidRPr="00B51BC1">
        <w:rPr>
          <w:rFonts w:cs="Times New Roman"/>
          <w:i/>
        </w:rPr>
        <w:t xml:space="preserve">Jordan </w:t>
      </w:r>
      <w:r w:rsidRPr="00B51BC1">
        <w:rPr>
          <w:rFonts w:cs="Times New Roman"/>
        </w:rPr>
        <w:t>ne s’appliquent pas à toute la période visée par l’al. 11b). Ils s’appliquent uniquement à la période comprise entre le dépôt des accusations et la fin réelle ou anticipée de la présentation de la preuve et des plaidoiries dans le cadre du procès (</w:t>
      </w:r>
      <w:r w:rsidRPr="00B51BC1">
        <w:rPr>
          <w:rFonts w:cs="Times New Roman"/>
          <w:i/>
        </w:rPr>
        <w:t>Jordan</w:t>
      </w:r>
      <w:r w:rsidRPr="00B51BC1">
        <w:rPr>
          <w:rFonts w:cs="Times New Roman"/>
        </w:rPr>
        <w:t xml:space="preserve">, par. 49; voir aussi </w:t>
      </w:r>
      <w:r w:rsidRPr="00B51BC1">
        <w:rPr>
          <w:rFonts w:cs="Times New Roman"/>
          <w:i/>
        </w:rPr>
        <w:t>K.G.K.</w:t>
      </w:r>
      <w:r w:rsidRPr="00B51BC1">
        <w:rPr>
          <w:rFonts w:cs="Times New Roman"/>
        </w:rPr>
        <w:t xml:space="preserve">, par. 31 et 33). De fait, les juges majoritaires dans l’arrêt </w:t>
      </w:r>
      <w:r w:rsidRPr="00B51BC1">
        <w:rPr>
          <w:rFonts w:cs="Times New Roman"/>
          <w:i/>
        </w:rPr>
        <w:t>Jordan</w:t>
      </w:r>
      <w:r w:rsidRPr="00B51BC1">
        <w:rPr>
          <w:rFonts w:cs="Times New Roman"/>
        </w:rPr>
        <w:t xml:space="preserve"> ont explicitement reconnu que la « question du délai de détermination de la peine ne [leur avait] toutefois pas [été] soumise et [qu’ils ne se prononçaient pas] sur la manière dont le plafond exposé précédemment devrait s’appliquer aux demandes présentées sur le fondement de l’al. 11</w:t>
      </w:r>
      <w:r w:rsidRPr="00B51BC1">
        <w:rPr>
          <w:rFonts w:cs="Times New Roman"/>
          <w:i/>
        </w:rPr>
        <w:t>b</w:t>
      </w:r>
      <w:r w:rsidRPr="00B51BC1">
        <w:rPr>
          <w:rFonts w:cs="Times New Roman"/>
        </w:rPr>
        <w:t>) après l’inscription d’une déclaration de culpabilité » (par. 49, note 2).</w:t>
      </w:r>
    </w:p>
    <w:p w14:paraId="6B06A7EB" w14:textId="77777777" w:rsidR="00B51BC1" w:rsidRPr="00B51BC1" w:rsidRDefault="00B51BC1" w:rsidP="00B51BC1">
      <w:pPr>
        <w:pStyle w:val="ParaNoNdepar-AltN"/>
        <w:tabs>
          <w:tab w:val="clear" w:pos="1152"/>
          <w:tab w:val="left" w:pos="1166"/>
        </w:tabs>
        <w:rPr>
          <w:rFonts w:cs="Times New Roman"/>
        </w:rPr>
      </w:pPr>
      <w:r w:rsidRPr="00B51BC1">
        <w:rPr>
          <w:rFonts w:cs="Times New Roman"/>
        </w:rPr>
        <w:lastRenderedPageBreak/>
        <w:t xml:space="preserve">Dans l’arrêt </w:t>
      </w:r>
      <w:r w:rsidRPr="00B51BC1">
        <w:rPr>
          <w:rFonts w:cs="Times New Roman"/>
          <w:i/>
          <w:iCs/>
        </w:rPr>
        <w:t>Charley</w:t>
      </w:r>
      <w:r w:rsidRPr="00B51BC1">
        <w:rPr>
          <w:rFonts w:cs="Times New Roman"/>
        </w:rPr>
        <w:t xml:space="preserve">, la Cour d’appel de l’Ontario a appliqué la logique de l’arrêt </w:t>
      </w:r>
      <w:r w:rsidRPr="00B51BC1">
        <w:rPr>
          <w:rFonts w:cs="Times New Roman"/>
          <w:i/>
        </w:rPr>
        <w:t>Jordan</w:t>
      </w:r>
      <w:r w:rsidRPr="00B51BC1">
        <w:rPr>
          <w:rFonts w:cs="Times New Roman"/>
        </w:rPr>
        <w:t xml:space="preserve"> au délai de détermination de la peine postérieur au prononcé du verdict. Elle était d’avis que l’al. 11b) s’applique non seulement à la période précédant le prononcé du verdict, mais aussi à l’étape de la détermination de la peine, compte tenu du principe bien établi selon lequel le droit d’être jugé dans un délai raisonnable comprend le droit de voir sa peine être prononcée dans un délai raisonnable. La cour a cependant conclu que les plafonds de 18 et de 30 mois fixés par l’arrêt </w:t>
      </w:r>
      <w:r w:rsidRPr="00B51BC1">
        <w:rPr>
          <w:rFonts w:cs="Times New Roman"/>
          <w:i/>
        </w:rPr>
        <w:t>Jordan</w:t>
      </w:r>
      <w:r w:rsidRPr="00B51BC1">
        <w:rPr>
          <w:rFonts w:cs="Times New Roman"/>
        </w:rPr>
        <w:t xml:space="preserve"> </w:t>
      </w:r>
      <w:proofErr w:type="gramStart"/>
      <w:r w:rsidRPr="00B51BC1">
        <w:rPr>
          <w:rFonts w:cs="Times New Roman"/>
        </w:rPr>
        <w:t>n’englobent</w:t>
      </w:r>
      <w:proofErr w:type="gramEnd"/>
      <w:r w:rsidRPr="00B51BC1">
        <w:rPr>
          <w:rFonts w:cs="Times New Roman"/>
        </w:rPr>
        <w:t xml:space="preserve"> pas le délai postérieur au prononcé du verdict. Ce délai doit donc être apprécié séparément, car, après la déclaration de culpabilité, l’accusé n’est plus présumé innocent et son droit à un procès équitable, qui était protégé avant le prononcé du verdict, est désormais épuisé, bien que d’importants droits en matière de liberté et de sécurité demeurent.</w:t>
      </w:r>
    </w:p>
    <w:p w14:paraId="7964DC6D" w14:textId="77777777" w:rsidR="00B51BC1" w:rsidRPr="00B51BC1" w:rsidRDefault="00B51BC1" w:rsidP="00B51BC1">
      <w:pPr>
        <w:pStyle w:val="ParaNoNdepar-AltN"/>
        <w:tabs>
          <w:tab w:val="clear" w:pos="1152"/>
          <w:tab w:val="left" w:pos="1166"/>
        </w:tabs>
        <w:rPr>
          <w:rFonts w:cs="Times New Roman"/>
        </w:rPr>
      </w:pPr>
      <w:r w:rsidRPr="00B51BC1">
        <w:rPr>
          <w:rFonts w:cs="Times New Roman"/>
        </w:rPr>
        <w:t xml:space="preserve">Dans l’arrêt </w:t>
      </w:r>
      <w:r w:rsidRPr="00B51BC1">
        <w:rPr>
          <w:rFonts w:cs="Times New Roman"/>
          <w:i/>
        </w:rPr>
        <w:t>Charley</w:t>
      </w:r>
      <w:r w:rsidRPr="00B51BC1">
        <w:rPr>
          <w:rFonts w:cs="Times New Roman"/>
        </w:rPr>
        <w:t xml:space="preserve">, la cour a rejeté l’argument de la Couronne portant que le délai postérieur au prononcé du verdict devrait être apprécié selon les principes énoncés dans l’arrêt </w:t>
      </w:r>
      <w:r w:rsidRPr="00B51BC1">
        <w:rPr>
          <w:rFonts w:cs="Times New Roman"/>
          <w:i/>
        </w:rPr>
        <w:t>Jordan</w:t>
      </w:r>
      <w:r w:rsidRPr="00B51BC1">
        <w:rPr>
          <w:rFonts w:cs="Times New Roman"/>
        </w:rPr>
        <w:t>, mais sans plafond présumé. Le juge Doherty a expliqué que les plafonds présumés sont au [</w:t>
      </w:r>
      <w:r w:rsidRPr="00B51BC1">
        <w:rPr>
          <w:rFonts w:cs="Times New Roman"/>
          <w:smallCaps/>
        </w:rPr>
        <w:t>traduction</w:t>
      </w:r>
      <w:r w:rsidRPr="00B51BC1">
        <w:rPr>
          <w:rFonts w:cs="Times New Roman"/>
        </w:rPr>
        <w:t xml:space="preserve">] « cœur » du cadre d’analyse défini dans l’arrêt </w:t>
      </w:r>
      <w:r w:rsidRPr="00B51BC1">
        <w:rPr>
          <w:rFonts w:cs="Times New Roman"/>
          <w:i/>
        </w:rPr>
        <w:t>Jordan </w:t>
      </w:r>
      <w:r w:rsidRPr="00B51BC1">
        <w:rPr>
          <w:rFonts w:cs="Times New Roman"/>
        </w:rPr>
        <w:t xml:space="preserve">: sans ces plafonds, on reviendrait à l’analyse rétrospective, incertaine et propre à chaque cas que l’arrêt </w:t>
      </w:r>
      <w:r w:rsidRPr="00B51BC1">
        <w:rPr>
          <w:rFonts w:cs="Times New Roman"/>
          <w:i/>
        </w:rPr>
        <w:t>Jordan</w:t>
      </w:r>
      <w:r w:rsidRPr="00B51BC1">
        <w:rPr>
          <w:rFonts w:cs="Times New Roman"/>
        </w:rPr>
        <w:t xml:space="preserve"> visait à remplacer (par. 61). La cour a conclu que les mêmes considérations qui sous-tendent l’arrêt </w:t>
      </w:r>
      <w:r w:rsidRPr="00B51BC1">
        <w:rPr>
          <w:rFonts w:cs="Times New Roman"/>
          <w:i/>
        </w:rPr>
        <w:t>Jordan</w:t>
      </w:r>
      <w:r w:rsidRPr="00B51BC1">
        <w:rPr>
          <w:rFonts w:cs="Times New Roman"/>
        </w:rPr>
        <w:t xml:space="preserve"> — à savoir, la certitude, la simplicité de l’analyse, la gestion proactive des instances et la nécessité de mettre fin à la culture de complaisance — s’appliquent tout autant à la détermination de la peine. Elle a donc créé un plafond présumé distinct de </w:t>
      </w:r>
      <w:proofErr w:type="gramStart"/>
      <w:r w:rsidRPr="00B51BC1">
        <w:rPr>
          <w:rFonts w:cs="Times New Roman"/>
        </w:rPr>
        <w:t>cinq mois applicable</w:t>
      </w:r>
      <w:proofErr w:type="gramEnd"/>
      <w:r w:rsidRPr="00B51BC1">
        <w:rPr>
          <w:rFonts w:cs="Times New Roman"/>
        </w:rPr>
        <w:t xml:space="preserve"> au </w:t>
      </w:r>
      <w:r w:rsidRPr="00B51BC1">
        <w:rPr>
          <w:rFonts w:cs="Times New Roman"/>
        </w:rPr>
        <w:lastRenderedPageBreak/>
        <w:t xml:space="preserve">délai postérieur au prononcé du verdict (par. 87). Comme ceux fixés par l’arrêt </w:t>
      </w:r>
      <w:r w:rsidRPr="00B51BC1">
        <w:rPr>
          <w:rFonts w:cs="Times New Roman"/>
          <w:i/>
        </w:rPr>
        <w:t>Jordan</w:t>
      </w:r>
      <w:r w:rsidRPr="00B51BC1">
        <w:rPr>
          <w:rFonts w:cs="Times New Roman"/>
        </w:rPr>
        <w:t>, ce plafond n’est pas un objectif ambitieux; il s’agit plutôt du point à partir duquel le délai postérieur au prononcé du verdict est présumé déraisonnable et il incombe à la Couronne de le justifier.</w:t>
      </w:r>
    </w:p>
    <w:p w14:paraId="2D693DC1" w14:textId="77777777" w:rsidR="00B51BC1" w:rsidRPr="00B51BC1" w:rsidRDefault="00B51BC1" w:rsidP="00B51BC1">
      <w:pPr>
        <w:pStyle w:val="ParaNoNdepar-AltN"/>
        <w:rPr>
          <w:rFonts w:cs="Times New Roman"/>
        </w:rPr>
      </w:pPr>
      <w:r w:rsidRPr="00B51BC1">
        <w:rPr>
          <w:rFonts w:cs="Times New Roman"/>
        </w:rPr>
        <w:t xml:space="preserve">Dans l’arrêt </w:t>
      </w:r>
      <w:r w:rsidRPr="00B51BC1">
        <w:rPr>
          <w:rFonts w:cs="Times New Roman"/>
          <w:i/>
        </w:rPr>
        <w:t>K.G.K.</w:t>
      </w:r>
      <w:r w:rsidRPr="00B51BC1">
        <w:rPr>
          <w:rFonts w:cs="Times New Roman"/>
        </w:rPr>
        <w:t xml:space="preserve">, rendu après la décision de la Cour d’appel dans </w:t>
      </w:r>
      <w:r w:rsidRPr="00B51BC1">
        <w:rPr>
          <w:rFonts w:cs="Times New Roman"/>
          <w:i/>
        </w:rPr>
        <w:t>Charley</w:t>
      </w:r>
      <w:r w:rsidRPr="00B51BC1">
        <w:rPr>
          <w:rFonts w:cs="Times New Roman"/>
        </w:rPr>
        <w:t xml:space="preserve">, notre Cour a refusé d’appliquer les plafonds présumés fixés par l’arrêt </w:t>
      </w:r>
      <w:r w:rsidRPr="00B51BC1">
        <w:rPr>
          <w:rFonts w:cs="Times New Roman"/>
          <w:i/>
          <w:iCs/>
        </w:rPr>
        <w:t>Jordan</w:t>
      </w:r>
      <w:r w:rsidRPr="00B51BC1">
        <w:rPr>
          <w:rFonts w:cs="Times New Roman"/>
        </w:rPr>
        <w:t xml:space="preserve"> au temps de délibération en vue du prononcé du verdict. Notre Cour a souligné que ces plafonds se voulaient une solution visant les délais antérieurs à ce que les inculpés soient traduits en justice et qu’ils n’étaient pas censés viser toutes les étapes du processus pénal. Consciente que le temps de délibération est en soi variable et étroitement lié à la fonction juridictionnelle, la Cour a adopté une norme différente, soit celle de savoir si le temps qu’il a fallu au juge pour rendre son verdict a été « nettement plus long qu’il aurait dû raisonnablement l’être compte tenu de l’ensemble des circonstances » (par. 4). Ce seuil élevé était justifié en partie par la présomption d’intégrité judiciaire, qui témoigne de la confiance que les juges agissent de manière consciencieuse, qu’ils gèrent leur charge de travail de façon responsable et qu’ils ne prennent pas plus de temps qu’il n’est raisonnablement nécessaire pour trancher les affaires, en l’absence de preuve convaincante du contraire.</w:t>
      </w:r>
    </w:p>
    <w:p w14:paraId="3972EE34" w14:textId="77777777" w:rsidR="00B51BC1" w:rsidRPr="00B51BC1" w:rsidRDefault="00B51BC1" w:rsidP="00B51BC1">
      <w:pPr>
        <w:pStyle w:val="Title2LevelTitre2Niveau"/>
        <w:ind w:left="578" w:hanging="578"/>
        <w:rPr>
          <w:rFonts w:cs="Times New Roman"/>
        </w:rPr>
      </w:pPr>
      <w:bookmarkStart w:id="31" w:name="_Toc239845714"/>
      <w:bookmarkStart w:id="32" w:name="_Toc239845733"/>
      <w:r w:rsidRPr="00B51BC1">
        <w:rPr>
          <w:rFonts w:cs="Times New Roman"/>
        </w:rPr>
        <w:t>Il n’y a pas lieu de fixer un plafond présumé distinct pour le délai de détermination de la peine postérieur au prononcé du verdict</w:t>
      </w:r>
      <w:bookmarkEnd w:id="31"/>
      <w:bookmarkEnd w:id="32"/>
    </w:p>
    <w:p w14:paraId="0929199C" w14:textId="77777777" w:rsidR="00B51BC1" w:rsidRPr="00B51BC1" w:rsidRDefault="00B51BC1" w:rsidP="00B51BC1">
      <w:pPr>
        <w:pStyle w:val="ParaNoNdepar-AltN"/>
        <w:rPr>
          <w:rFonts w:cs="Times New Roman"/>
        </w:rPr>
      </w:pPr>
      <w:bookmarkStart w:id="33" w:name="_Ref239925850"/>
      <w:r w:rsidRPr="00B51BC1">
        <w:rPr>
          <w:rFonts w:cs="Times New Roman"/>
        </w:rPr>
        <w:lastRenderedPageBreak/>
        <w:t>L’appelant soutient que la Cour devrait adopter l’approche suivie dans l’arrêt</w:t>
      </w:r>
      <w:r w:rsidRPr="00B51BC1">
        <w:rPr>
          <w:rFonts w:cs="Times New Roman"/>
          <w:i/>
        </w:rPr>
        <w:t xml:space="preserve"> Charley </w:t>
      </w:r>
      <w:r w:rsidRPr="00B51BC1">
        <w:rPr>
          <w:rFonts w:cs="Times New Roman"/>
        </w:rPr>
        <w:t>et imposer un plafond présumé distinct pour le délai de détermination de la peine postérieur au prononcé du verdict. La Couronne répond qu’il n’y a pas lieu de créer un plafond pour ce délai et que ce dernier devrait plutôt être examiné en contexte en se demandant si la procédure a été nettement plus longue qu’elle aurait dû raisonnablement l’être compte tenu de l’ensemble des circonstances.</w:t>
      </w:r>
      <w:bookmarkEnd w:id="33"/>
    </w:p>
    <w:p w14:paraId="08C82B8D" w14:textId="77777777" w:rsidR="00B51BC1" w:rsidRPr="00B51BC1" w:rsidRDefault="00B51BC1" w:rsidP="00B51BC1">
      <w:pPr>
        <w:pStyle w:val="ParaNoNdepar-AltN"/>
        <w:rPr>
          <w:rFonts w:cs="Times New Roman"/>
        </w:rPr>
      </w:pPr>
      <w:r w:rsidRPr="00B51BC1">
        <w:rPr>
          <w:rFonts w:cs="Times New Roman"/>
        </w:rPr>
        <w:t>Avec égards, je suis d’avis de ne pas suivre l’arrêt</w:t>
      </w:r>
      <w:r w:rsidRPr="00B51BC1">
        <w:rPr>
          <w:rFonts w:cs="Times New Roman"/>
          <w:i/>
        </w:rPr>
        <w:t xml:space="preserve"> Charley</w:t>
      </w:r>
      <w:r w:rsidRPr="00B51BC1">
        <w:rPr>
          <w:rFonts w:cs="Times New Roman"/>
        </w:rPr>
        <w:t xml:space="preserve"> ou d’imposer un plafond présumé distinct pour le délai de détermination de la peine postérieur au prononcé du verdict. Les plafonds fixés dans l’arrêt </w:t>
      </w:r>
      <w:r w:rsidRPr="00B51BC1">
        <w:rPr>
          <w:rFonts w:cs="Times New Roman"/>
          <w:i/>
        </w:rPr>
        <w:t>Jordan</w:t>
      </w:r>
      <w:r w:rsidRPr="00B51BC1">
        <w:rPr>
          <w:rFonts w:cs="Times New Roman"/>
        </w:rPr>
        <w:t xml:space="preserve"> ont été adoptés en réponse à la preuve de l’existence d’une culture spécifique de complaisance à l’égard des délais avant que les inculpés soient traduits en justice; aucun fondement de preuve comparable n’a été établi pour l’étape de la détermination de la peine des procédures pénales. La détermination de la peine est également un processus très variable et tributaire de l’information relative au dossier : certaines affaires peuvent être réglées rapidement, tandis que d’autres requièrent des rapports, des audiences sur des faits contestés, des observations sur des conséquences indirectes, ou du temps pour que le juge chargé de la détermination de la peine façonne une peine juste et proportionnée. Compte tenu de cette variabilité, un plafond fixe risquerait d’entraîner l’assimilation de cas qui ne se ressemblent pas et pourrait miner la souplesse requise pour déterminer la peine « [d]ans les meilleurs délais possibles », conformément à la directive du Parlement (</w:t>
      </w:r>
      <w:r w:rsidRPr="00B51BC1">
        <w:rPr>
          <w:rFonts w:cs="Times New Roman"/>
          <w:i/>
        </w:rPr>
        <w:t>Code criminel</w:t>
      </w:r>
      <w:r w:rsidRPr="00B51BC1">
        <w:rPr>
          <w:rFonts w:cs="Times New Roman"/>
        </w:rPr>
        <w:t>, art. 720).</w:t>
      </w:r>
    </w:p>
    <w:p w14:paraId="023B6458" w14:textId="77777777" w:rsidR="00B51BC1" w:rsidRPr="00B51BC1" w:rsidRDefault="00B51BC1" w:rsidP="00B51BC1">
      <w:pPr>
        <w:pStyle w:val="Title3LevelTitre3Niveau"/>
        <w:rPr>
          <w:rFonts w:cs="Times New Roman"/>
        </w:rPr>
      </w:pPr>
      <w:bookmarkStart w:id="34" w:name="_Toc239845715"/>
      <w:bookmarkStart w:id="35" w:name="_Toc239845734"/>
      <w:r w:rsidRPr="00B51BC1">
        <w:rPr>
          <w:rFonts w:cs="Times New Roman"/>
        </w:rPr>
        <w:lastRenderedPageBreak/>
        <w:t>Les procédures de détermination de la peine se prêtent mal à des plafonds présumés en raison de leur variabilité</w:t>
      </w:r>
      <w:bookmarkEnd w:id="34"/>
      <w:bookmarkEnd w:id="35"/>
    </w:p>
    <w:p w14:paraId="3B852636" w14:textId="77777777" w:rsidR="00B51BC1" w:rsidRPr="00B51BC1" w:rsidRDefault="00B51BC1" w:rsidP="00B51BC1">
      <w:pPr>
        <w:pStyle w:val="ParaNoNdepar-AltN"/>
        <w:rPr>
          <w:rFonts w:cs="Times New Roman"/>
        </w:rPr>
      </w:pPr>
      <w:bookmarkStart w:id="36" w:name="_Ref239925856"/>
      <w:r w:rsidRPr="00B51BC1">
        <w:rPr>
          <w:rFonts w:cs="Times New Roman"/>
        </w:rPr>
        <w:t>La détermination de la peine n’est pas un événement unique et distinct, mais plutôt un processus de collecte de renseignements et de prise de décisions qui commence une fois la culpabilité établie et qui ne prend fin que lorsque tous les éléments de la peine ont été fixés. Il s’agit d’un processus intrinsèquement individualisé lors duquel le juge chargé de la détermination de la peine doit aller au-delà de la question de la culpabilité et s’acquitter de la tâche délicate d’infliger une peine appropriée pour le contrevenant en cause et l’infraction particulière qu’il a commise (</w:t>
      </w:r>
      <w:r w:rsidRPr="00B51BC1">
        <w:rPr>
          <w:rFonts w:cs="Times New Roman"/>
          <w:i/>
        </w:rPr>
        <w:t>Québec (Procureur général) c. Senneville</w:t>
      </w:r>
      <w:r w:rsidRPr="00B51BC1">
        <w:rPr>
          <w:rFonts w:cs="Times New Roman"/>
        </w:rPr>
        <w:t>, 2025 CSC 33, par. 1;</w:t>
      </w:r>
      <w:r w:rsidRPr="00B51BC1">
        <w:rPr>
          <w:rFonts w:cs="Times New Roman"/>
          <w:i/>
        </w:rPr>
        <w:t xml:space="preserve"> R. c. Gardiner</w:t>
      </w:r>
      <w:r w:rsidRPr="00B51BC1">
        <w:rPr>
          <w:rFonts w:cs="Times New Roman"/>
        </w:rPr>
        <w:t>, [1982] 2 R.C.S. 368, p. 406). Il importe de noter qu’une peine juste et proportionnée ne peut être imposée dans un vide informationnel; elle doit reposer sur une appréciation globale de la situation du contrevenant, de l’infraction et des principes de détermination de la peine.</w:t>
      </w:r>
      <w:bookmarkEnd w:id="36"/>
    </w:p>
    <w:p w14:paraId="7E17BFD4" w14:textId="77777777" w:rsidR="00B51BC1" w:rsidRPr="00B51BC1" w:rsidRDefault="00B51BC1" w:rsidP="00B51BC1">
      <w:pPr>
        <w:pStyle w:val="ParaNoNdepar-AltN"/>
        <w:rPr>
          <w:rFonts w:cs="Times New Roman"/>
        </w:rPr>
      </w:pPr>
      <w:r w:rsidRPr="00B51BC1">
        <w:rPr>
          <w:rFonts w:cs="Times New Roman"/>
        </w:rPr>
        <w:t xml:space="preserve">Dans un tel contexte, une gamme de facteurs peuvent légitimement allonger le temps requis pour conclure la procédure de détermination de la peine. Il peut s’agir notamment de la rédaction ou de la mise à jour de rapports présentenciels, d’évaluations psychiatriques ou psychologiques ou de dossiers de traitement; du dépôt de déclarations des victimes ou de déclarations au nom de collectivités; d’audiences pour statuer sur des faits contestés ou des questions de droit; de demandes de déclaration à titre de délinquant dangereux ou de délinquant à contrôler; et d’observations sur des ordonnances accessoires, un dédommagement ou des </w:t>
      </w:r>
      <w:r w:rsidRPr="00B51BC1">
        <w:rPr>
          <w:rFonts w:cs="Times New Roman"/>
        </w:rPr>
        <w:lastRenderedPageBreak/>
        <w:t>conséquences indirectes. Les recommandations quant à une peine peuvent être contestées plutôt que conjointes, ce qui requiert une preuve plus abondante et une argumentation plus élaborée, ou elles peuvent requérir des observations supplémentaires lorsque le tribunal envisage de s’écarter de la fourchette de peines proposée par les parties (</w:t>
      </w:r>
      <w:r w:rsidRPr="00B51BC1">
        <w:rPr>
          <w:rStyle w:val="Accentuation"/>
          <w:rFonts w:cs="Times New Roman"/>
        </w:rPr>
        <w:t>R. c. Nahanee</w:t>
      </w:r>
      <w:r w:rsidRPr="00B51BC1">
        <w:rPr>
          <w:rFonts w:cs="Times New Roman"/>
        </w:rPr>
        <w:t>, 2022 CSC 37, [2022] 3 R.C.S. 3). Lorsque la détermination de la peine fait suite au prononcé du verdict d’un jury, un délai supplémentaire peut également être requis afin de relever et d’appliquer les conclusions de faits qui sont nécessairement implicites dans le verdict (</w:t>
      </w:r>
      <w:r w:rsidRPr="00B51BC1">
        <w:rPr>
          <w:rFonts w:cs="Times New Roman"/>
          <w:i/>
        </w:rPr>
        <w:t>Code criminel</w:t>
      </w:r>
      <w:r w:rsidRPr="00B51BC1">
        <w:rPr>
          <w:rFonts w:cs="Times New Roman"/>
        </w:rPr>
        <w:t xml:space="preserve">, art. 724(2); </w:t>
      </w:r>
      <w:r w:rsidRPr="00B51BC1">
        <w:rPr>
          <w:rFonts w:cs="Times New Roman"/>
          <w:i/>
        </w:rPr>
        <w:t>R. c. Brown</w:t>
      </w:r>
      <w:r w:rsidRPr="00B51BC1">
        <w:rPr>
          <w:rFonts w:cs="Times New Roman"/>
        </w:rPr>
        <w:t xml:space="preserve">, [1991] 2 R.C.S. 518, p. 523; </w:t>
      </w:r>
      <w:r w:rsidRPr="00B51BC1">
        <w:rPr>
          <w:rFonts w:cs="Times New Roman"/>
          <w:i/>
        </w:rPr>
        <w:t>R. c. Ferguson</w:t>
      </w:r>
      <w:r w:rsidRPr="00B51BC1">
        <w:rPr>
          <w:rFonts w:cs="Times New Roman"/>
        </w:rPr>
        <w:t xml:space="preserve">, 2008 CSC 6, [2008] 1 R.C.S. 96, par. 18; </w:t>
      </w:r>
      <w:r w:rsidRPr="00B51BC1">
        <w:rPr>
          <w:rFonts w:cs="Times New Roman"/>
          <w:i/>
        </w:rPr>
        <w:t>R. c. Aragon</w:t>
      </w:r>
      <w:r w:rsidRPr="00B51BC1">
        <w:rPr>
          <w:rFonts w:cs="Times New Roman"/>
        </w:rPr>
        <w:t>, 2022 ONCA 244, 413 C.C.C. (3d) 79, par. 106). Chacune de ces étapes vise à garantir que la peine infligée soit fondée et proportionnée, et chacune peut raisonnablement requérir un délai supplémentaire.</w:t>
      </w:r>
    </w:p>
    <w:p w14:paraId="70273388" w14:textId="77777777" w:rsidR="00B51BC1" w:rsidRPr="00B51BC1" w:rsidRDefault="00B51BC1" w:rsidP="00B51BC1">
      <w:pPr>
        <w:pStyle w:val="ParaNoNdepar-AltN"/>
        <w:rPr>
          <w:rFonts w:cs="Times New Roman"/>
          <w:szCs w:val="24"/>
        </w:rPr>
      </w:pPr>
      <w:r w:rsidRPr="00B51BC1">
        <w:rPr>
          <w:rFonts w:cs="Times New Roman"/>
        </w:rPr>
        <w:t xml:space="preserve">La détermination de la peine peut également être plus longue lorsque le tribunal doit tenir compte des facteurs systémiques et contextuels qui touchent les délinquants autochtones et d’autres délinquants racisés. L’alinéa 718.2e) du </w:t>
      </w:r>
      <w:r w:rsidRPr="00B51BC1">
        <w:rPr>
          <w:rFonts w:cs="Times New Roman"/>
          <w:i/>
        </w:rPr>
        <w:t>Code criminel</w:t>
      </w:r>
      <w:r w:rsidRPr="00B51BC1">
        <w:rPr>
          <w:rFonts w:cs="Times New Roman"/>
        </w:rPr>
        <w:t xml:space="preserve"> exige que les juges chargés de la détermination de la peine portent une attention particulière à la situation des délinquants autochtones, ce qui exige une « méthode d’analyse différente » tenant compte des facteurs systémiques et historiques, lesquels sont souvent présentés dans des rapports </w:t>
      </w:r>
      <w:r w:rsidRPr="00B51BC1">
        <w:rPr>
          <w:rStyle w:val="Accentuation"/>
          <w:rFonts w:cs="Times New Roman"/>
        </w:rPr>
        <w:t>Gladue</w:t>
      </w:r>
      <w:r w:rsidRPr="00B51BC1">
        <w:rPr>
          <w:rFonts w:cs="Times New Roman"/>
        </w:rPr>
        <w:t xml:space="preserve"> (</w:t>
      </w:r>
      <w:r w:rsidRPr="00B51BC1">
        <w:rPr>
          <w:rFonts w:cs="Times New Roman"/>
          <w:i/>
        </w:rPr>
        <w:t>R. c. Gladue</w:t>
      </w:r>
      <w:r w:rsidRPr="00B51BC1">
        <w:rPr>
          <w:rFonts w:cs="Times New Roman"/>
        </w:rPr>
        <w:t xml:space="preserve">, [1999] 1 R.C.S. 688, par. 93; </w:t>
      </w:r>
      <w:r w:rsidRPr="00B51BC1">
        <w:rPr>
          <w:rStyle w:val="Accentuation"/>
          <w:rFonts w:cs="Times New Roman"/>
        </w:rPr>
        <w:t>R. c. Ipeelee</w:t>
      </w:r>
      <w:r w:rsidRPr="00B51BC1">
        <w:rPr>
          <w:rFonts w:cs="Times New Roman"/>
        </w:rPr>
        <w:t xml:space="preserve">, 2012 CSC 13, [2012] 1 R.C.S. 433, par. 59). Des évaluations de l’incidence de l’origine ethnique et culturelle peuvent également être nécessaires à l’examen des facteurs systémiques et contextuels qui touchent d’autres membres de </w:t>
      </w:r>
      <w:r w:rsidRPr="00B51BC1">
        <w:rPr>
          <w:rFonts w:cs="Times New Roman"/>
        </w:rPr>
        <w:lastRenderedPageBreak/>
        <w:t>communautés racisées. Ces évaluations, qui sont réalisées par des personnes [</w:t>
      </w:r>
      <w:r w:rsidRPr="00B51BC1">
        <w:rPr>
          <w:rFonts w:cs="Times New Roman"/>
          <w:smallCaps/>
        </w:rPr>
        <w:t>traduction</w:t>
      </w:r>
      <w:r w:rsidRPr="00B51BC1">
        <w:rPr>
          <w:rFonts w:cs="Times New Roman"/>
        </w:rPr>
        <w:t>] « possédant des connaissances, une formation ainsi qu’une expérience spécialisées », fournissent « des renseignements “indispensables” » à la détermination d’une peine juste (</w:t>
      </w:r>
      <w:r w:rsidRPr="00B51BC1">
        <w:rPr>
          <w:rStyle w:val="Accentuation"/>
          <w:rFonts w:cs="Times New Roman"/>
        </w:rPr>
        <w:t>R. c. Anderson</w:t>
      </w:r>
      <w:r w:rsidRPr="00B51BC1">
        <w:rPr>
          <w:rFonts w:cs="Times New Roman"/>
        </w:rPr>
        <w:t xml:space="preserve">, 2021 NSCA 62, 74 C.R. (7th) 333, par. 109 et 119, citant </w:t>
      </w:r>
      <w:r w:rsidRPr="00B51BC1">
        <w:rPr>
          <w:rFonts w:cs="Times New Roman"/>
          <w:i/>
        </w:rPr>
        <w:t>Ipeelee</w:t>
      </w:r>
      <w:r w:rsidRPr="00B51BC1">
        <w:rPr>
          <w:rFonts w:cs="Times New Roman"/>
        </w:rPr>
        <w:t xml:space="preserve">, par. 60; voir aussi </w:t>
      </w:r>
      <w:r w:rsidRPr="00B51BC1">
        <w:rPr>
          <w:rFonts w:cs="Times New Roman"/>
          <w:i/>
        </w:rPr>
        <w:t>R. c. Morris</w:t>
      </w:r>
      <w:r w:rsidRPr="00B51BC1">
        <w:rPr>
          <w:rFonts w:cs="Times New Roman"/>
        </w:rPr>
        <w:t>, 2021 ONCA 680, 159 O.R. (3d) 685, par. 138), et leur rédaction peut prendre des mois (m. interv., procureur général de la Nouvelle-Écosse, par. 12).</w:t>
      </w:r>
    </w:p>
    <w:p w14:paraId="2AF0CAA4" w14:textId="77777777" w:rsidR="00B51BC1" w:rsidRPr="00B51BC1" w:rsidRDefault="00B51BC1" w:rsidP="00B51BC1">
      <w:pPr>
        <w:pStyle w:val="ParaNoNdepar-AltN"/>
        <w:rPr>
          <w:rFonts w:cs="Times New Roman"/>
        </w:rPr>
      </w:pPr>
      <w:r w:rsidRPr="00B51BC1">
        <w:rPr>
          <w:rFonts w:cs="Times New Roman"/>
        </w:rPr>
        <w:t xml:space="preserve">Le </w:t>
      </w:r>
      <w:r w:rsidRPr="00B51BC1">
        <w:rPr>
          <w:rFonts w:cs="Times New Roman"/>
          <w:i/>
        </w:rPr>
        <w:t>Code criminel</w:t>
      </w:r>
      <w:r w:rsidRPr="00B51BC1">
        <w:rPr>
          <w:rFonts w:cs="Times New Roman"/>
        </w:rPr>
        <w:t xml:space="preserve"> prévoit expressément un processus individualisé de détermination de la peine fondé sur un dossier complet. Le paragraphe 720(1) dispose que le tribunal doit procéder à la détermination de la peine « [d]ans les meilleurs délais possibles » suivant la déclaration de culpabilité, et consacre ainsi une norme qualitative qui priorise l’efficacité sans toutefois renoncer à l’exhaustivité ou à l’équité. Le </w:t>
      </w:r>
      <w:r w:rsidRPr="00B51BC1">
        <w:rPr>
          <w:rFonts w:cs="Times New Roman"/>
          <w:i/>
        </w:rPr>
        <w:t>Code criminel</w:t>
      </w:r>
      <w:r w:rsidRPr="00B51BC1">
        <w:rPr>
          <w:rFonts w:cs="Times New Roman"/>
        </w:rPr>
        <w:t xml:space="preserve"> autorise également le tribunal à entendre des observations sur les faits pertinents (par. 723(1)), à prendre connaissance des éléments de preuve pertinents (par. 723(2)), à exiger la présentation d’éléments de preuve additionnels (par. 723(3)), et à exiger un témoignage de vive voix lorsque cela est dans l’intérêt de la justice (par. 723(4)). Il lui permet également de reporter la détermination de la peine aux fins de la réadaptation du délinquant, notamment pour permettre à celui-ci de participer à un programme de traitement (par. 720(2)). Prises ensemble, ces dispositions reflètent l’intention du Parlement que la détermination de la peine soit un processus individualisé et éclairé.</w:t>
      </w:r>
    </w:p>
    <w:p w14:paraId="729AAE25" w14:textId="77777777" w:rsidR="00B51BC1" w:rsidRPr="00B51BC1" w:rsidRDefault="00B51BC1" w:rsidP="00B51BC1">
      <w:pPr>
        <w:pStyle w:val="ParaNoNdepar-AltN"/>
        <w:rPr>
          <w:rFonts w:cs="Times New Roman"/>
        </w:rPr>
      </w:pPr>
      <w:r w:rsidRPr="00B51BC1">
        <w:rPr>
          <w:rFonts w:cs="Times New Roman"/>
        </w:rPr>
        <w:lastRenderedPageBreak/>
        <w:t>Il incombe néanmoins au juge chargé de la détermination de la peine de diriger l’instance. Tôt dans le processus, celui-ci devrait ordonner aux procureurs des deux parties d’énoncer clairement leurs positions respectives à l’égard de la peine. Cela inclut le fait de préciser les questions en litige et la nature de tout élément de preuve à présenter. De plus, le juge chargé de la détermination de la peine devrait établir un échéancier à respecter en ce qui concerne la communication de documents et l’établissement des dates de plaidoiries orales. La Couronne et la défense ont toutes deux le devoir correspondant de collaborer pour s’assurer que l’audience sur la détermination de la peine se déroule efficacement et sans délai inutile (</w:t>
      </w:r>
      <w:r w:rsidRPr="00B51BC1">
        <w:rPr>
          <w:rFonts w:cs="Times New Roman"/>
          <w:i/>
        </w:rPr>
        <w:t>Charley</w:t>
      </w:r>
      <w:r w:rsidRPr="00B51BC1">
        <w:rPr>
          <w:rFonts w:cs="Times New Roman"/>
        </w:rPr>
        <w:t xml:space="preserve">, par. 74). </w:t>
      </w:r>
    </w:p>
    <w:p w14:paraId="3317C6F7" w14:textId="77777777" w:rsidR="00B51BC1" w:rsidRPr="00B51BC1" w:rsidRDefault="00B51BC1" w:rsidP="00B51BC1">
      <w:pPr>
        <w:pStyle w:val="ParaNoNdepar-AltN"/>
        <w:rPr>
          <w:rFonts w:cs="Times New Roman"/>
        </w:rPr>
      </w:pPr>
      <w:r w:rsidRPr="00B51BC1">
        <w:rPr>
          <w:rFonts w:cs="Times New Roman"/>
        </w:rPr>
        <w:t>En somme, la durée et la complexité des procédures de détermination de la peine varient considérablement selon les renseignements dont le juge chargé de la détermination la peine a besoin pour infliger une peine juste et proportionnée eu égard aux circonstances de l’affaire. Cette analyse individualisée et tributaire des faits peut raisonnablement exiger plus ou moins de temps, selon le contrevenant, l’infraction et les questions en litige.</w:t>
      </w:r>
    </w:p>
    <w:p w14:paraId="3238BF95" w14:textId="77777777" w:rsidR="00B51BC1" w:rsidRPr="00B51BC1" w:rsidRDefault="00B51BC1" w:rsidP="00B51BC1">
      <w:pPr>
        <w:pStyle w:val="Title3LevelTitre3Niveau"/>
        <w:rPr>
          <w:rFonts w:cs="Times New Roman"/>
        </w:rPr>
      </w:pPr>
      <w:bookmarkStart w:id="37" w:name="_Toc239845716"/>
      <w:bookmarkStart w:id="38" w:name="_Toc239845735"/>
      <w:r w:rsidRPr="00B51BC1">
        <w:rPr>
          <w:rFonts w:cs="Times New Roman"/>
        </w:rPr>
        <w:t>Le raisonnement sous-tendant les plafonds présumés ne s’applique pas au délai de détermination de la peine postérieur au prononcé du verdict</w:t>
      </w:r>
      <w:bookmarkEnd w:id="37"/>
      <w:bookmarkEnd w:id="38"/>
    </w:p>
    <w:p w14:paraId="461A8667" w14:textId="77777777" w:rsidR="00B51BC1" w:rsidRPr="00B51BC1" w:rsidRDefault="00B51BC1" w:rsidP="00B51BC1">
      <w:pPr>
        <w:pStyle w:val="ParaNoNdepar-AltN"/>
        <w:rPr>
          <w:rFonts w:cs="Times New Roman"/>
        </w:rPr>
      </w:pPr>
      <w:bookmarkStart w:id="39" w:name="_Ref239925862"/>
      <w:r w:rsidRPr="00B51BC1">
        <w:rPr>
          <w:rFonts w:cs="Times New Roman"/>
        </w:rPr>
        <w:t xml:space="preserve">La nature variable de la détermination de la peine n’exclut pas, en soi, la possibilité d’un plafond présumé. Après tout, dans l’arrêt </w:t>
      </w:r>
      <w:r w:rsidRPr="00B51BC1">
        <w:rPr>
          <w:rFonts w:cs="Times New Roman"/>
          <w:i/>
        </w:rPr>
        <w:t>Jordan</w:t>
      </w:r>
      <w:r w:rsidRPr="00B51BC1">
        <w:rPr>
          <w:rFonts w:cs="Times New Roman"/>
        </w:rPr>
        <w:t xml:space="preserve">, la Cour a fixé de tels plafonds pour la durée des procès, bien que leur durée et leur complexité varient </w:t>
      </w:r>
      <w:r w:rsidRPr="00B51BC1">
        <w:rPr>
          <w:rFonts w:cs="Times New Roman"/>
        </w:rPr>
        <w:lastRenderedPageBreak/>
        <w:t>grandement selon le nombre d’accusations, de témoins, d’accusés, de questions de droits et de questions en litige concernant la preuve.</w:t>
      </w:r>
      <w:bookmarkEnd w:id="39"/>
    </w:p>
    <w:p w14:paraId="02A2FE01" w14:textId="77777777" w:rsidR="00B51BC1" w:rsidRPr="00B51BC1" w:rsidRDefault="00B51BC1" w:rsidP="00B51BC1">
      <w:pPr>
        <w:pStyle w:val="ParaNoNdepar-AltN"/>
        <w:rPr>
          <w:rFonts w:cs="Times New Roman"/>
        </w:rPr>
      </w:pPr>
      <w:r w:rsidRPr="00B51BC1">
        <w:rPr>
          <w:rFonts w:cs="Times New Roman"/>
        </w:rPr>
        <w:t xml:space="preserve">Cependant, comme la Cour l’a expliqué dans l’arrêt </w:t>
      </w:r>
      <w:r w:rsidRPr="00B51BC1">
        <w:rPr>
          <w:rFonts w:cs="Times New Roman"/>
          <w:i/>
          <w:iCs/>
        </w:rPr>
        <w:t>K.G.K.</w:t>
      </w:r>
      <w:r w:rsidRPr="00B51BC1">
        <w:rPr>
          <w:rFonts w:cs="Times New Roman"/>
        </w:rPr>
        <w:t xml:space="preserve">, la création de plafonds présumés dans l’arrêt </w:t>
      </w:r>
      <w:r w:rsidRPr="00B51BC1">
        <w:rPr>
          <w:rFonts w:cs="Times New Roman"/>
          <w:i/>
          <w:iCs/>
        </w:rPr>
        <w:t>Jordan</w:t>
      </w:r>
      <w:r w:rsidRPr="00B51BC1">
        <w:rPr>
          <w:rFonts w:cs="Times New Roman"/>
        </w:rPr>
        <w:t xml:space="preserve"> « apportai[t] une solution précise à un problème précis : la culture de complaisance à l’endroit de l’écoulement de délais excessifs avant que “les inculpés [soient] traduits [. . .] en justice” » (par. 34, citant </w:t>
      </w:r>
      <w:r w:rsidRPr="00B51BC1">
        <w:rPr>
          <w:rFonts w:cs="Times New Roman"/>
          <w:i/>
        </w:rPr>
        <w:t>Jordan</w:t>
      </w:r>
      <w:r w:rsidRPr="00B51BC1">
        <w:rPr>
          <w:rFonts w:cs="Times New Roman"/>
        </w:rPr>
        <w:t xml:space="preserve">, par. 2). S’appuyant sur de multiples études et rapports, les juges majoritaires dans l’arrêt </w:t>
      </w:r>
      <w:r w:rsidRPr="00B51BC1">
        <w:rPr>
          <w:rFonts w:cs="Times New Roman"/>
          <w:i/>
        </w:rPr>
        <w:t>Jordan</w:t>
      </w:r>
      <w:r w:rsidRPr="00B51BC1">
        <w:rPr>
          <w:rFonts w:cs="Times New Roman"/>
        </w:rPr>
        <w:t xml:space="preserve"> ont conclu que les procédures inutiles, les pratiques inefficaces et la pénurie de ressources avaient fini par être acceptées comme la norme, qu’elles occasionnaient des délais de plus en plus longs et qu’elles minaient la confiance du public envers l’administration de la justice (par. 37-40). Le cadre d’analyse de l’époque applicable aux demandes fondées sur l’al. 11b), issu de l’arrêt </w:t>
      </w:r>
      <w:r w:rsidRPr="00B51BC1">
        <w:rPr>
          <w:rFonts w:cs="Times New Roman"/>
          <w:i/>
        </w:rPr>
        <w:t>Morin</w:t>
      </w:r>
      <w:r w:rsidRPr="00B51BC1">
        <w:rPr>
          <w:rFonts w:cs="Times New Roman"/>
        </w:rPr>
        <w:t xml:space="preserve">, a été jugé inadéquat pour contrer cette culture parce qu’il justifiait les délais après coup et qu’il n’incitait pas les participants au système de justice à prendre des mesures préventives (par. 35 et 41). Dans ce contexte, la Cour a conclu qu’il y avait des « raisons impérieuses » de s’écarter de l’arrêt </w:t>
      </w:r>
      <w:r w:rsidRPr="00B51BC1">
        <w:rPr>
          <w:rFonts w:cs="Times New Roman"/>
          <w:i/>
        </w:rPr>
        <w:t>Morin</w:t>
      </w:r>
      <w:r w:rsidRPr="00B51BC1">
        <w:rPr>
          <w:rFonts w:cs="Times New Roman"/>
        </w:rPr>
        <w:t xml:space="preserve"> et d’adopter un nouveau cadre d’analyse reposant sur des plafonds présumés, dans le but de provoquer un changement systémique (par. 44-45). Comme le juge Moldaver l’a bien résumé dans l’arrêt </w:t>
      </w:r>
      <w:r w:rsidRPr="00B51BC1">
        <w:rPr>
          <w:rFonts w:cs="Times New Roman"/>
          <w:i/>
        </w:rPr>
        <w:t>K.G.K.</w:t>
      </w:r>
      <w:r w:rsidRPr="00B51BC1">
        <w:rPr>
          <w:rFonts w:cs="Times New Roman"/>
        </w:rPr>
        <w:t>, « [l]’ampleur bien documentée de la culture de complaisance qui régnait au sein du système de justice criminelle et son effet sur les accusés constituaient des justifications valables pour créer une nouvelle façon d’apprécier les délais pouvant s’écouler avant que l’on traduise un accusé en justice » (par. 37).</w:t>
      </w:r>
    </w:p>
    <w:p w14:paraId="41F72502" w14:textId="77777777" w:rsidR="00B51BC1" w:rsidRPr="00B51BC1" w:rsidRDefault="00B51BC1" w:rsidP="00B51BC1">
      <w:pPr>
        <w:pStyle w:val="ParaNoNdepar-AltN"/>
        <w:rPr>
          <w:rFonts w:cs="Times New Roman"/>
        </w:rPr>
      </w:pPr>
      <w:r w:rsidRPr="00B51BC1">
        <w:rPr>
          <w:rFonts w:cs="Times New Roman"/>
        </w:rPr>
        <w:lastRenderedPageBreak/>
        <w:t xml:space="preserve">Depuis l’arrêt </w:t>
      </w:r>
      <w:r w:rsidRPr="00B51BC1">
        <w:rPr>
          <w:rFonts w:cs="Times New Roman"/>
          <w:i/>
        </w:rPr>
        <w:t>Jordan</w:t>
      </w:r>
      <w:r w:rsidRPr="00B51BC1">
        <w:rPr>
          <w:rFonts w:cs="Times New Roman"/>
        </w:rPr>
        <w:t xml:space="preserve">, la Cour a invariablement rejeté les invitations à appliquer les plafonds fixés par cet arrêt à d’autres étapes du processus pénal ou à les adapter à certains types de procédures sans preuve démontrant l’existence d’un problème réel. Dans l’arrêt </w:t>
      </w:r>
      <w:r w:rsidRPr="00B51BC1">
        <w:rPr>
          <w:rFonts w:cs="Times New Roman"/>
          <w:i/>
        </w:rPr>
        <w:t>R. c. K.J.M.</w:t>
      </w:r>
      <w:r w:rsidRPr="00B51BC1">
        <w:rPr>
          <w:rFonts w:cs="Times New Roman"/>
        </w:rPr>
        <w:t xml:space="preserve">, 2019 CSC 55, [2019] 4 R.C.S. 39, la Cour a refusé de fixer un plafond présumé plus bas pour les instances qui se déroulent dans le système de justice pour les adolescents au motif qu’il n’avait « pas été démontré qu’il y a un problème concernant les délais dans le système de justice pénale pour les adolescents, et encore moins un problème qui justifie l’imposition d’une nouvelle norme constitutionnelle » (par. 63). Dans l’arrêt </w:t>
      </w:r>
      <w:r w:rsidRPr="00B51BC1">
        <w:rPr>
          <w:rFonts w:cs="Times New Roman"/>
          <w:i/>
        </w:rPr>
        <w:t>K.G.K.</w:t>
      </w:r>
      <w:r w:rsidRPr="00B51BC1">
        <w:rPr>
          <w:rFonts w:cs="Times New Roman"/>
        </w:rPr>
        <w:t xml:space="preserve">, la Cour a également refusé d’appliquer les plafonds fixés par l’arrêt </w:t>
      </w:r>
      <w:r w:rsidRPr="00B51BC1">
        <w:rPr>
          <w:rFonts w:cs="Times New Roman"/>
          <w:i/>
        </w:rPr>
        <w:t>Jordan</w:t>
      </w:r>
      <w:r w:rsidRPr="00B51BC1">
        <w:rPr>
          <w:rFonts w:cs="Times New Roman"/>
        </w:rPr>
        <w:t xml:space="preserve"> au temps de délibération en vue du prononcé du verdict au motif que « [r]ien ne suggér[ait] ici que le délai découlant du temps de délibération en vue du prononcé du verdict contribue au problème systémique auquel l’arrêt </w:t>
      </w:r>
      <w:r w:rsidRPr="00B51BC1">
        <w:rPr>
          <w:rFonts w:cs="Times New Roman"/>
          <w:i/>
          <w:iCs/>
        </w:rPr>
        <w:t>Jordan</w:t>
      </w:r>
      <w:r w:rsidRPr="00B51BC1">
        <w:rPr>
          <w:rFonts w:cs="Times New Roman"/>
        </w:rPr>
        <w:t xml:space="preserve"> cherchait à remédier » (par. 38). Puis, dans l’arrêt </w:t>
      </w:r>
      <w:r w:rsidRPr="00B51BC1">
        <w:rPr>
          <w:rFonts w:cs="Times New Roman"/>
          <w:i/>
        </w:rPr>
        <w:t>R. c. J.F.</w:t>
      </w:r>
      <w:r w:rsidRPr="00B51BC1">
        <w:rPr>
          <w:rFonts w:cs="Times New Roman"/>
        </w:rPr>
        <w:t xml:space="preserve">, 2022 CSC 17, [2022] 1 R.C.S. 330, la Cour a refusé de modifier les plafonds présumés applicables aux délais liés à un deuxième procès en l’absence de preuve d’un « problème réel » (par. 65). Ces jugements illustrent que les dérogations à l’application des plafonds fixés par l’arrêt </w:t>
      </w:r>
      <w:r w:rsidRPr="00B51BC1">
        <w:rPr>
          <w:rFonts w:cs="Times New Roman"/>
          <w:i/>
        </w:rPr>
        <w:t>Jordan</w:t>
      </w:r>
      <w:r w:rsidRPr="00B51BC1">
        <w:rPr>
          <w:rFonts w:cs="Times New Roman"/>
        </w:rPr>
        <w:t xml:space="preserve"> ou l’application de ceux-ci à d’autres contextes doivent être fondées sur une preuve convaincante établissant un besoin pressant pour un changement systémique.</w:t>
      </w:r>
    </w:p>
    <w:p w14:paraId="4153A3DB" w14:textId="77777777" w:rsidR="00B51BC1" w:rsidRPr="00B51BC1" w:rsidRDefault="00B51BC1" w:rsidP="00B51BC1">
      <w:pPr>
        <w:pStyle w:val="ParaNoNdepar-AltN"/>
        <w:rPr>
          <w:rFonts w:cs="Times New Roman"/>
        </w:rPr>
      </w:pPr>
      <w:r w:rsidRPr="00B51BC1">
        <w:rPr>
          <w:rFonts w:cs="Times New Roman"/>
        </w:rPr>
        <w:t xml:space="preserve">Cela dit, aucune preuve convaincante ne démontre l’existence d’une culture de complaisance à l’égard du délai dans les procédures de détermination de la peine, que ce soit en Ontario ou ailleurs au Canada. Selon l’appelant, il y a une </w:t>
      </w:r>
      <w:r w:rsidRPr="00B51BC1">
        <w:rPr>
          <w:rFonts w:cs="Times New Roman"/>
        </w:rPr>
        <w:lastRenderedPageBreak/>
        <w:t>[</w:t>
      </w:r>
      <w:r w:rsidRPr="00B51BC1">
        <w:rPr>
          <w:rFonts w:cs="Times New Roman"/>
          <w:smallCaps/>
        </w:rPr>
        <w:t>traduction</w:t>
      </w:r>
      <w:r w:rsidRPr="00B51BC1">
        <w:rPr>
          <w:rFonts w:cs="Times New Roman"/>
        </w:rPr>
        <w:t>] « pénurie de jurisprudence » à ce sujet, qui serait révélatrice du manque d’attention portée au délai de détermination de la peine et donc d’une culture de complaisance à l’égard du délai postérieur au prononcé du verdict (transcription, p. 15). Je ne trouve toutefois pas cet argument convaincant. Le faible nombre de décisions publiées portant sur ce délai de détermination de la peine postérieur au prononcé du verdict peut être simplement le reflet de choix stratégiques dans la conduite de l’instance ou de pratiques en matière de publication, plutôt que celui d’une culture de complaisance bien ancrée. En l’absence de preuve démontrant l’existence d’un problème structurel répandu quant au délai à l’étape de la détermination de la peine dans les procédures pénales, aucune raison de principe ne justifie l’introduction d’un nouveau plafond présumé applicable à cette étape.</w:t>
      </w:r>
    </w:p>
    <w:p w14:paraId="40C1E924" w14:textId="77777777" w:rsidR="00B51BC1" w:rsidRPr="00B51BC1" w:rsidRDefault="00B51BC1" w:rsidP="00B51BC1">
      <w:pPr>
        <w:pStyle w:val="ParaNoNdepar-AltN"/>
        <w:rPr>
          <w:rFonts w:cs="Times New Roman"/>
        </w:rPr>
      </w:pPr>
      <w:r w:rsidRPr="00B51BC1">
        <w:rPr>
          <w:rFonts w:cs="Times New Roman"/>
        </w:rPr>
        <w:t xml:space="preserve">Par conséquent, je suis d’avis de ne pas suivre l’arrêt </w:t>
      </w:r>
      <w:r w:rsidRPr="00B51BC1">
        <w:rPr>
          <w:rFonts w:cs="Times New Roman"/>
          <w:i/>
        </w:rPr>
        <w:t>Charley</w:t>
      </w:r>
      <w:r w:rsidRPr="00B51BC1">
        <w:rPr>
          <w:rFonts w:cs="Times New Roman"/>
        </w:rPr>
        <w:t xml:space="preserve">. </w:t>
      </w:r>
      <w:bookmarkStart w:id="40" w:name="_Hlk239767605"/>
      <w:r w:rsidRPr="00B51BC1">
        <w:rPr>
          <w:rFonts w:cs="Times New Roman"/>
        </w:rPr>
        <w:t>Si l’approche adoptée dans ce jugement a le mérite de favoriser la certitude, la discipline et la progression rapide de l’instance vers l’infliction de la peine</w:t>
      </w:r>
      <w:bookmarkEnd w:id="40"/>
      <w:r w:rsidRPr="00B51BC1">
        <w:rPr>
          <w:rFonts w:cs="Times New Roman"/>
        </w:rPr>
        <w:t xml:space="preserve">, elle ne tenait toutefois pas suffisamment compte de la raison d’être des plafonds adoptés dans l’arrêt </w:t>
      </w:r>
      <w:r w:rsidRPr="00B51BC1">
        <w:rPr>
          <w:rFonts w:cs="Times New Roman"/>
          <w:i/>
        </w:rPr>
        <w:t>Jordan</w:t>
      </w:r>
      <w:r w:rsidRPr="00B51BC1">
        <w:rPr>
          <w:rFonts w:cs="Times New Roman"/>
        </w:rPr>
        <w:t xml:space="preserve"> : ils n’ont pas été créés simplement parce que des règles claires sont utiles, mais parce qu’une preuve convaincante démontrait que le temps pris pour traduire les accusés en justice constituait un réel problème systémique. Cela ne veut pas dire que les pratiques de détermination de la peine, y compris celles relatives à l’établissement du calendrier, ne devraient pas faire l’objet d’examens attentifs sur une base continue afin que soient considérés les intérêts des contrevenants protégés par l’al. 11b) à ce stade de la procédure criminelle. </w:t>
      </w:r>
    </w:p>
    <w:p w14:paraId="6A19E916" w14:textId="77777777" w:rsidR="00B51BC1" w:rsidRPr="00B51BC1" w:rsidRDefault="00B51BC1" w:rsidP="00B51BC1">
      <w:pPr>
        <w:pStyle w:val="Title2LevelTitre2Niveau"/>
        <w:rPr>
          <w:rFonts w:cs="Times New Roman"/>
        </w:rPr>
      </w:pPr>
      <w:bookmarkStart w:id="41" w:name="_Toc227148500"/>
      <w:bookmarkStart w:id="42" w:name="_Toc239845717"/>
      <w:bookmarkStart w:id="43" w:name="_Toc239845736"/>
      <w:r w:rsidRPr="00B51BC1">
        <w:rPr>
          <w:rFonts w:cs="Times New Roman"/>
        </w:rPr>
        <w:lastRenderedPageBreak/>
        <w:t>Le critère d’appréciation du caractère raisonnable du délai de détermination de la peine postérieur au prononcé du verdict est celui du délai « nettement plus long »</w:t>
      </w:r>
      <w:bookmarkEnd w:id="41"/>
      <w:bookmarkEnd w:id="42"/>
      <w:bookmarkEnd w:id="43"/>
    </w:p>
    <w:p w14:paraId="7F0FD71E" w14:textId="77777777" w:rsidR="00B51BC1" w:rsidRPr="00B51BC1" w:rsidRDefault="00B51BC1" w:rsidP="00B51BC1">
      <w:pPr>
        <w:pStyle w:val="ParaNoNdepar-AltN"/>
        <w:rPr>
          <w:rFonts w:cs="Times New Roman"/>
        </w:rPr>
      </w:pPr>
      <w:bookmarkStart w:id="44" w:name="_Ref239925877"/>
      <w:r w:rsidRPr="00B51BC1">
        <w:rPr>
          <w:rFonts w:cs="Times New Roman"/>
        </w:rPr>
        <w:t xml:space="preserve">Les procédures de détermination de la peine ne sont pas à l’abri d’un contrôle constitutionnel fondé sur l’al. 11b) de la </w:t>
      </w:r>
      <w:r w:rsidRPr="00B51BC1">
        <w:rPr>
          <w:rFonts w:cs="Times New Roman"/>
          <w:i/>
        </w:rPr>
        <w:t>Charte</w:t>
      </w:r>
      <w:r w:rsidRPr="00B51BC1">
        <w:rPr>
          <w:rFonts w:cs="Times New Roman"/>
        </w:rPr>
        <w:t xml:space="preserve">. Le droit d’être jugé dans un délai raisonnable s’étend à l’infliction de la peine, et un délai excessif porte atteinte aux intérêts des contrevenants en matière de liberté, de sécurité et de la tenue d’un procès équitable, retarde l’issue définitive pour les victimes et les autres personnes touchées par l’infraction, et mine la confiance du public envers l’administration de la justice. La tâche de la Cour n’est donc pas de décider </w:t>
      </w:r>
      <w:r w:rsidRPr="00B51BC1">
        <w:rPr>
          <w:rFonts w:cs="Times New Roman"/>
          <w:i/>
        </w:rPr>
        <w:t>si</w:t>
      </w:r>
      <w:r w:rsidRPr="00B51BC1">
        <w:rPr>
          <w:rFonts w:cs="Times New Roman"/>
        </w:rPr>
        <w:t xml:space="preserve"> le délai de détermination de la peine postérieur au prononcé du verdict peut porter atteinte au droit protégé par l’al. 11b), mais plutôt de définir la norme que les tribunaux doivent appliquer pour déterminer </w:t>
      </w:r>
      <w:r w:rsidRPr="00B51BC1">
        <w:rPr>
          <w:rFonts w:cs="Times New Roman"/>
          <w:i/>
          <w:iCs/>
        </w:rPr>
        <w:t>dans quels cas</w:t>
      </w:r>
      <w:r w:rsidRPr="00B51BC1">
        <w:rPr>
          <w:rFonts w:cs="Times New Roman"/>
        </w:rPr>
        <w:t xml:space="preserve"> ce délai devient déraisonnable sur le plan constitutionnel.</w:t>
      </w:r>
      <w:bookmarkEnd w:id="44"/>
    </w:p>
    <w:p w14:paraId="1DBC89D8" w14:textId="77777777" w:rsidR="00B51BC1" w:rsidRPr="00B51BC1" w:rsidRDefault="00B51BC1" w:rsidP="00B51BC1">
      <w:pPr>
        <w:pStyle w:val="ParaNoNdepar-AltN"/>
        <w:rPr>
          <w:rFonts w:cs="Times New Roman"/>
        </w:rPr>
      </w:pPr>
      <w:r w:rsidRPr="00B51BC1">
        <w:rPr>
          <w:rFonts w:cs="Times New Roman"/>
        </w:rPr>
        <w:t>Les cours provinciales de première instance ou d’appel ont adopté des approches différentes quant au critère à appliquer pour déterminer si le délai de détermination de la peine postérieur au prononcé du verdict est déraisonnable au regard de l’al. 11b). L’Alberta et la Nouvelle-Écosse ont adopté le critère du délai [</w:t>
      </w:r>
      <w:r w:rsidRPr="00B51BC1">
        <w:rPr>
          <w:rFonts w:cs="Times New Roman"/>
          <w:smallCaps/>
        </w:rPr>
        <w:t>traduction</w:t>
      </w:r>
      <w:r w:rsidRPr="00B51BC1">
        <w:rPr>
          <w:rFonts w:cs="Times New Roman"/>
        </w:rPr>
        <w:t>] « nettement plus long » (</w:t>
      </w:r>
      <w:r w:rsidRPr="00B51BC1">
        <w:rPr>
          <w:rFonts w:cs="Times New Roman"/>
          <w:i/>
        </w:rPr>
        <w:t>R. c. Fouani</w:t>
      </w:r>
      <w:r w:rsidRPr="00B51BC1">
        <w:rPr>
          <w:rFonts w:cs="Times New Roman"/>
        </w:rPr>
        <w:t xml:space="preserve">, 2025 ABCJ 2, 569 C.R.R. (2d) 232, par. 67; </w:t>
      </w:r>
      <w:r w:rsidRPr="00B51BC1">
        <w:rPr>
          <w:rFonts w:cs="Times New Roman"/>
          <w:i/>
        </w:rPr>
        <w:t>R. c. Cape</w:t>
      </w:r>
      <w:r w:rsidRPr="00B51BC1">
        <w:rPr>
          <w:rFonts w:cs="Times New Roman"/>
        </w:rPr>
        <w:t xml:space="preserve">, 2025 ABCJ 129, par. 120; </w:t>
      </w:r>
      <w:r w:rsidRPr="00B51BC1">
        <w:rPr>
          <w:rFonts w:cs="Times New Roman"/>
          <w:i/>
        </w:rPr>
        <w:t>R. c. S.P.P.</w:t>
      </w:r>
      <w:r w:rsidRPr="00B51BC1">
        <w:rPr>
          <w:rFonts w:cs="Times New Roman"/>
        </w:rPr>
        <w:t xml:space="preserve">, 2024 NSSC 42, par. 100). </w:t>
      </w:r>
      <w:bookmarkStart w:id="45" w:name="_Hlk228786498"/>
      <w:r w:rsidRPr="00B51BC1">
        <w:rPr>
          <w:rFonts w:cs="Times New Roman"/>
        </w:rPr>
        <w:t xml:space="preserve">Le Manitoba et la Colombie-Britannique ont appliqué la norme énoncée dans l’arrêt </w:t>
      </w:r>
      <w:r w:rsidRPr="00B51BC1">
        <w:rPr>
          <w:rFonts w:cs="Times New Roman"/>
          <w:i/>
        </w:rPr>
        <w:t>MacDougall</w:t>
      </w:r>
      <w:r w:rsidRPr="00B51BC1">
        <w:rPr>
          <w:rFonts w:cs="Times New Roman"/>
        </w:rPr>
        <w:t xml:space="preserve">, qui incorpore le cadre d’analyse décrit dans l’arrêt </w:t>
      </w:r>
      <w:r w:rsidRPr="00B51BC1">
        <w:rPr>
          <w:rFonts w:cs="Times New Roman"/>
          <w:i/>
        </w:rPr>
        <w:t>Morin</w:t>
      </w:r>
      <w:r w:rsidRPr="00B51BC1">
        <w:rPr>
          <w:rFonts w:cs="Times New Roman"/>
        </w:rPr>
        <w:t>,</w:t>
      </w:r>
      <w:r w:rsidRPr="00B51BC1">
        <w:rPr>
          <w:rFonts w:cs="Times New Roman"/>
          <w:i/>
        </w:rPr>
        <w:t xml:space="preserve"> </w:t>
      </w:r>
      <w:r w:rsidRPr="00B51BC1">
        <w:rPr>
          <w:rFonts w:cs="Times New Roman"/>
        </w:rPr>
        <w:t xml:space="preserve">en exigeant que le tribunal tienne compte de la durée de ce délai, des raisons de celui‑ci, </w:t>
      </w:r>
      <w:r w:rsidRPr="00B51BC1">
        <w:rPr>
          <w:rFonts w:cs="Times New Roman"/>
        </w:rPr>
        <w:lastRenderedPageBreak/>
        <w:t xml:space="preserve">de toute renonciation de l’accusé à invoquer un délai et du préjudice subi par ce dernier </w:t>
      </w:r>
      <w:bookmarkEnd w:id="45"/>
      <w:r w:rsidRPr="00B51BC1">
        <w:rPr>
          <w:rFonts w:cs="Times New Roman"/>
        </w:rPr>
        <w:t>(</w:t>
      </w:r>
      <w:r w:rsidRPr="00B51BC1">
        <w:rPr>
          <w:rFonts w:cs="Times New Roman"/>
          <w:i/>
        </w:rPr>
        <w:t>MacDougall</w:t>
      </w:r>
      <w:r w:rsidRPr="00B51BC1">
        <w:rPr>
          <w:rFonts w:cs="Times New Roman"/>
        </w:rPr>
        <w:t xml:space="preserve">, par. 60; </w:t>
      </w:r>
      <w:r w:rsidRPr="00B51BC1">
        <w:rPr>
          <w:rFonts w:cs="Times New Roman"/>
          <w:i/>
        </w:rPr>
        <w:t>R. c. Clemons</w:t>
      </w:r>
      <w:r w:rsidRPr="00B51BC1">
        <w:rPr>
          <w:rFonts w:cs="Times New Roman"/>
        </w:rPr>
        <w:t xml:space="preserve">, 2018 MBQB 144, 421 C.R.R. (2d) 26, par. 38-42, conf. </w:t>
      </w:r>
      <w:proofErr w:type="gramStart"/>
      <w:r w:rsidRPr="00B51BC1">
        <w:rPr>
          <w:rFonts w:cs="Times New Roman"/>
        </w:rPr>
        <w:t>par</w:t>
      </w:r>
      <w:proofErr w:type="gramEnd"/>
      <w:r w:rsidRPr="00B51BC1">
        <w:rPr>
          <w:rFonts w:cs="Times New Roman"/>
        </w:rPr>
        <w:t xml:space="preserve"> 2020 MBCA 4; </w:t>
      </w:r>
      <w:r w:rsidRPr="00B51BC1">
        <w:rPr>
          <w:rFonts w:cs="Times New Roman"/>
          <w:i/>
        </w:rPr>
        <w:t>R. c. S.C.W.</w:t>
      </w:r>
      <w:r w:rsidRPr="00B51BC1">
        <w:rPr>
          <w:rFonts w:cs="Times New Roman"/>
        </w:rPr>
        <w:t xml:space="preserve">, 2018 BCCA 346, 367 C.C.C. (3d) 518). Le Québec a opté pour une « approche souple et modulée » qui « commande un regard général et contextuel, mais qui garde à l’esprit les exigences de diligence reconnues par l’arrêt </w:t>
      </w:r>
      <w:r w:rsidRPr="00B51BC1">
        <w:rPr>
          <w:rFonts w:cs="Times New Roman"/>
          <w:i/>
        </w:rPr>
        <w:t>Jordan</w:t>
      </w:r>
      <w:r w:rsidRPr="00B51BC1">
        <w:rPr>
          <w:rFonts w:cs="Times New Roman"/>
        </w:rPr>
        <w:t xml:space="preserve"> et la jurisprudence qui a suivi » (</w:t>
      </w:r>
      <w:r w:rsidRPr="00B51BC1">
        <w:rPr>
          <w:rFonts w:cs="Times New Roman"/>
          <w:i/>
          <w:iCs/>
        </w:rPr>
        <w:t>Lévesque Paquette</w:t>
      </w:r>
      <w:r w:rsidRPr="00B51BC1">
        <w:rPr>
          <w:rFonts w:cs="Times New Roman"/>
        </w:rPr>
        <w:t xml:space="preserve"> </w:t>
      </w:r>
      <w:r w:rsidRPr="00B51BC1">
        <w:rPr>
          <w:rFonts w:cs="Times New Roman"/>
          <w:i/>
        </w:rPr>
        <w:t>c.</w:t>
      </w:r>
      <w:r w:rsidRPr="00B51BC1">
        <w:rPr>
          <w:rFonts w:cs="Times New Roman"/>
        </w:rPr>
        <w:t xml:space="preserve"> </w:t>
      </w:r>
      <w:r w:rsidRPr="00B51BC1">
        <w:rPr>
          <w:rFonts w:cs="Times New Roman"/>
          <w:i/>
        </w:rPr>
        <w:t>R.</w:t>
      </w:r>
      <w:r w:rsidRPr="00B51BC1">
        <w:rPr>
          <w:rFonts w:cs="Times New Roman"/>
        </w:rPr>
        <w:t xml:space="preserve">, 2022 QCCA 1047, par. 63; voir aussi </w:t>
      </w:r>
      <w:r w:rsidRPr="00B51BC1">
        <w:rPr>
          <w:rFonts w:cs="Times New Roman"/>
          <w:i/>
          <w:iCs/>
        </w:rPr>
        <w:t>Chemama c.</w:t>
      </w:r>
      <w:r w:rsidRPr="00B51BC1">
        <w:rPr>
          <w:rFonts w:cs="Times New Roman"/>
        </w:rPr>
        <w:t xml:space="preserve"> </w:t>
      </w:r>
      <w:r w:rsidRPr="00B51BC1">
        <w:rPr>
          <w:rFonts w:cs="Times New Roman"/>
          <w:i/>
        </w:rPr>
        <w:t>R.</w:t>
      </w:r>
      <w:r w:rsidRPr="00B51BC1">
        <w:rPr>
          <w:rFonts w:cs="Times New Roman"/>
        </w:rPr>
        <w:t>, 2024 QCCA 405, par. 351).</w:t>
      </w:r>
    </w:p>
    <w:p w14:paraId="6500E554" w14:textId="77777777" w:rsidR="00B51BC1" w:rsidRPr="00B51BC1" w:rsidRDefault="00B51BC1" w:rsidP="00B51BC1">
      <w:pPr>
        <w:pStyle w:val="ParaNoNdepar-AltN"/>
        <w:rPr>
          <w:rFonts w:cs="Times New Roman"/>
        </w:rPr>
      </w:pPr>
      <w:r w:rsidRPr="00B51BC1">
        <w:rPr>
          <w:rFonts w:cs="Times New Roman"/>
        </w:rPr>
        <w:t xml:space="preserve">La Couronne soutient que le critère du délai nettement plus long clarifie l’analyse et facilite l’application sur le plan théorique, car il établit une norme contextuelle unique capable de tenir compte de la variabilité des procédures de détermination de la peine ainsi que du fait qu’elles sont tributaires d’information relative au dossier. Par contraste, l’appelant soutient que le critère proposé par la Couronne est inapproprié, parce qu’il présente la même imprévisibilité que le cadre d’analyse défini dans l’arrêt </w:t>
      </w:r>
      <w:r w:rsidRPr="00B51BC1">
        <w:rPr>
          <w:rFonts w:cs="Times New Roman"/>
          <w:i/>
        </w:rPr>
        <w:t>Morin</w:t>
      </w:r>
      <w:r w:rsidRPr="00B51BC1">
        <w:rPr>
          <w:rFonts w:cs="Times New Roman"/>
        </w:rPr>
        <w:t xml:space="preserve"> et qu’il impose un fardeau injuste à la défense.</w:t>
      </w:r>
    </w:p>
    <w:p w14:paraId="6E6ABAC1" w14:textId="77777777" w:rsidR="00B51BC1" w:rsidRPr="00B51BC1" w:rsidRDefault="00B51BC1" w:rsidP="00B51BC1">
      <w:pPr>
        <w:pStyle w:val="ParaNoNdepar-AltN"/>
        <w:rPr>
          <w:rFonts w:cs="Times New Roman"/>
        </w:rPr>
      </w:pPr>
      <w:r w:rsidRPr="00B51BC1">
        <w:rPr>
          <w:rFonts w:cs="Times New Roman"/>
        </w:rPr>
        <w:t xml:space="preserve">À mon avis, le critère du délai « nettement plus long » est le critère qu’il convient d’appliquer pour apprécier le caractère raisonnable du délai de détermination de la peine postérieur au prononcé du verdict. Il est conforme à la jurisprudence actuelle de la Cour concernant l’al. 11b) — y compris à la norme applicable aux délais inférieurs aux plafonds fixés par l’arrêt </w:t>
      </w:r>
      <w:r w:rsidRPr="00B51BC1">
        <w:rPr>
          <w:rFonts w:cs="Times New Roman"/>
          <w:i/>
        </w:rPr>
        <w:t>Jordan</w:t>
      </w:r>
      <w:r w:rsidRPr="00B51BC1">
        <w:rPr>
          <w:rFonts w:cs="Times New Roman"/>
        </w:rPr>
        <w:t xml:space="preserve"> et à celle énoncée dans l’arrêt </w:t>
      </w:r>
      <w:r w:rsidRPr="00B51BC1">
        <w:rPr>
          <w:rFonts w:cs="Times New Roman"/>
          <w:i/>
        </w:rPr>
        <w:t>K.G.K.</w:t>
      </w:r>
      <w:r w:rsidRPr="00B51BC1">
        <w:rPr>
          <w:rFonts w:cs="Times New Roman"/>
        </w:rPr>
        <w:t xml:space="preserve">, qui s’applique au temps de délibération par le juge en vue du prononcé du verdict — et il évite de compliquer inutilement le cadre d’analyse. De plus, il se prête bien au contexte </w:t>
      </w:r>
      <w:r w:rsidRPr="00B51BC1">
        <w:rPr>
          <w:rFonts w:cs="Times New Roman"/>
        </w:rPr>
        <w:lastRenderedPageBreak/>
        <w:t>de la détermination de la peine, laquelle est une procédure individualisée, tributaire d’information relative au dossier et souvent itérative, tout en demeurant suffisamment rigoureux pour permettre de savoir si un délai a dépassé ce qui était raisonnablement nécessaire compte tenu de l’ensemble des circonstances. Enfin, il tient compte de la mise en balance différente des intérêts en jeu à la suite d’une déclaration de culpabilité valide : les droits que l’al. 11b) garantit au contrevenant demeurent importants, mais sont désormais restreints, tandis que l’intérêt de la société à ce qu’une peine juste et proportionnée soit infligée rapidement revêt une importance accrue.</w:t>
      </w:r>
    </w:p>
    <w:p w14:paraId="0F8B65E4" w14:textId="77777777" w:rsidR="00B51BC1" w:rsidRPr="00B51BC1" w:rsidRDefault="00B51BC1" w:rsidP="00B51BC1">
      <w:pPr>
        <w:pStyle w:val="Title3LevelTitre3Niveau"/>
        <w:rPr>
          <w:rFonts w:cs="Times New Roman"/>
        </w:rPr>
      </w:pPr>
      <w:bookmarkStart w:id="46" w:name="_Toc239845718"/>
      <w:bookmarkStart w:id="47" w:name="_Toc239845737"/>
      <w:r w:rsidRPr="00B51BC1">
        <w:rPr>
          <w:rFonts w:cs="Times New Roman"/>
        </w:rPr>
        <w:t>Le critère du délai « nettement plus long » est conforme à la jurisprudence de la Cour concernant l’al. 11b) et évite de compliquer inutilement le cadre d’analyse</w:t>
      </w:r>
      <w:bookmarkEnd w:id="46"/>
      <w:bookmarkEnd w:id="47"/>
    </w:p>
    <w:p w14:paraId="71D0A554" w14:textId="77777777" w:rsidR="00B51BC1" w:rsidRPr="00B51BC1" w:rsidRDefault="00B51BC1" w:rsidP="00B51BC1">
      <w:pPr>
        <w:pStyle w:val="ParaNoNdepar-AltN"/>
        <w:rPr>
          <w:rFonts w:cs="Times New Roman"/>
        </w:rPr>
      </w:pPr>
      <w:bookmarkStart w:id="48" w:name="_Ref239925882"/>
      <w:r w:rsidRPr="00B51BC1">
        <w:rPr>
          <w:rFonts w:cs="Times New Roman"/>
        </w:rPr>
        <w:t>La norme du délai « nettement plus long » est bien établie dans la jurisprudence de la Cour concernant l’al. 11b). Selon l’arrêt</w:t>
      </w:r>
      <w:r w:rsidRPr="00B51BC1">
        <w:rPr>
          <w:rFonts w:cs="Times New Roman"/>
          <w:i/>
        </w:rPr>
        <w:t xml:space="preserve"> Jordan</w:t>
      </w:r>
      <w:r w:rsidRPr="00B51BC1">
        <w:rPr>
          <w:rFonts w:cs="Times New Roman"/>
        </w:rPr>
        <w:t>, pour établir qu’il y a eu violation du droit garanti par l’al. 11b) même si le délai judiciaire est inférieur au plafond présumé, l’accusé doit démontrer que les procédures ont été nettement plus longues qu’elles auraient dû raisonnablement l’être (par. 82). Comme il a été mentionné, la même norme s’applique au délai postérieur au procès attribuable au temps de délibération du juge en vue du prononcé d’un verdict (</w:t>
      </w:r>
      <w:r w:rsidRPr="00B51BC1">
        <w:rPr>
          <w:rFonts w:cs="Times New Roman"/>
          <w:i/>
        </w:rPr>
        <w:t>K.G.K.</w:t>
      </w:r>
      <w:r w:rsidRPr="00B51BC1">
        <w:rPr>
          <w:rFonts w:cs="Times New Roman"/>
        </w:rPr>
        <w:t>, par. 54). L’application de cette même norme au délai de détermination de la peine postérieur au prononcé du verdict favorise la cohérence et la continuité dans le cadre d’analyse applicable aux demandes fondées sur l’al. 11b) et évite la création d’une mosaïque de critères variant selon l’étape en cause.</w:t>
      </w:r>
      <w:bookmarkEnd w:id="48"/>
    </w:p>
    <w:p w14:paraId="6C638EFC" w14:textId="77777777" w:rsidR="00B51BC1" w:rsidRPr="00B51BC1" w:rsidRDefault="00B51BC1" w:rsidP="00B51BC1">
      <w:pPr>
        <w:pStyle w:val="ParaNoNdepar-AltN"/>
        <w:rPr>
          <w:rFonts w:cs="Times New Roman"/>
        </w:rPr>
      </w:pPr>
      <w:r w:rsidRPr="00B51BC1">
        <w:rPr>
          <w:rFonts w:cs="Times New Roman"/>
        </w:rPr>
        <w:lastRenderedPageBreak/>
        <w:t xml:space="preserve">L’adoption d’un critère distinct pour le délai de détermination de la peine postérieur au prononcé du verdict entraînerait des difficultés d’ordre pratique, car la détermination de la peine comprend nécessairement une période (ou des périodes) de délibération judiciaire. Dans l’arrêt </w:t>
      </w:r>
      <w:r w:rsidRPr="00B51BC1">
        <w:rPr>
          <w:rFonts w:cs="Times New Roman"/>
          <w:i/>
        </w:rPr>
        <w:t>K.G.K.</w:t>
      </w:r>
      <w:r w:rsidRPr="00B51BC1">
        <w:rPr>
          <w:rFonts w:cs="Times New Roman"/>
        </w:rPr>
        <w:t xml:space="preserve">, le juge Moldaver a expliqué que le temps de délibération en vue du prononcé d’un verdict doit être apprécié suivant la norme du délai « nettement plus long » en raison de la présomption d’intégrité judiciaire, laquelle présuppose que le juge du procès ne prend que le temps de délibération raisonnablement nécessaire compte tenu des circonstances (par. 65-66). Étant donné que cette présomption s’applique tout autant aux délibérations en vue de la détermination de la peine, la fidélité à l’arrêt </w:t>
      </w:r>
      <w:r w:rsidRPr="00B51BC1">
        <w:rPr>
          <w:rFonts w:cs="Times New Roman"/>
          <w:i/>
        </w:rPr>
        <w:t>K.G.K.</w:t>
      </w:r>
      <w:r w:rsidRPr="00B51BC1">
        <w:rPr>
          <w:rFonts w:cs="Times New Roman"/>
        </w:rPr>
        <w:t xml:space="preserve"> exige que nous appliquions à ces délibérations la norme du délai « nettement plus long ». Si une norme sensiblement différente était appliquée aux étapes du processus de détermination de la peine autres que les délibérations — comme la préparation de rapports ou d’observations —, les cours de révision n’auraient d’autre choix que de fragmenter ce processus et d’opérer des distinctions artificielles entre ce qui fait partie des « délibérations » et ce qui en est exclu. L’application de la même norme du délai « nettement plus long » à toute la période de détermination de la peine postérieur au prononcé du verdict permet d’éviter ce problème.</w:t>
      </w:r>
    </w:p>
    <w:p w14:paraId="427142F9" w14:textId="77777777" w:rsidR="00B51BC1" w:rsidRPr="00B51BC1" w:rsidRDefault="00B51BC1" w:rsidP="00B51BC1">
      <w:pPr>
        <w:pStyle w:val="ParaNoNdepar-AltN"/>
        <w:rPr>
          <w:rFonts w:cs="Times New Roman"/>
        </w:rPr>
      </w:pPr>
      <w:r w:rsidRPr="00B51BC1">
        <w:rPr>
          <w:rFonts w:cs="Times New Roman"/>
        </w:rPr>
        <w:t xml:space="preserve">La norme plus rigoureuse du délai « nettement plus long », plutôt que simplement « plus long » ou une autre formulation moins contraignante, est également appropriée compte tenu de l’équilibre différent entre les intérêts en jeu à la suite d’une déclaration de culpabilité. Je reviens sur ce point dans la section portant sur la </w:t>
      </w:r>
      <w:r w:rsidRPr="00B51BC1">
        <w:rPr>
          <w:rFonts w:cs="Times New Roman"/>
        </w:rPr>
        <w:lastRenderedPageBreak/>
        <w:t>réparation, mais il convient de souligner à ce stade que, une fois la culpabilité établie, les droits à la liberté, à la sécurité de sa personne et à un procès équitable que l’al. 11b) garantit au contrevenant demeurent, mais sont désormais restreints. Parallèlement, l’intérêt de la société à ce que l’affaire soit tranchée adéquatement sur le fond — et qu’une peine juste et proportionnée soit infligée rapidement — revêt une importance accrue. Cette mise en balance différente justifie l’application d’une norme contextuelle qui permet toujours de déterminer si le délai est déraisonnable sur le plan constitutionnel, sans toutefois traiter le délai de détermination de la peine de la même façon que le délai antérieur à ce que l’inculpé présumé innocent soit traduit en justice.</w:t>
      </w:r>
    </w:p>
    <w:p w14:paraId="0E2313D1" w14:textId="77777777" w:rsidR="00B51BC1" w:rsidRPr="00B51BC1" w:rsidRDefault="00B51BC1" w:rsidP="00B51BC1">
      <w:pPr>
        <w:pStyle w:val="Title3LevelTitre3Niveau"/>
        <w:rPr>
          <w:rFonts w:cs="Times New Roman"/>
        </w:rPr>
      </w:pPr>
      <w:bookmarkStart w:id="49" w:name="_Hlk228783322"/>
      <w:bookmarkStart w:id="50" w:name="_Toc239845719"/>
      <w:bookmarkStart w:id="51" w:name="_Toc239845738"/>
      <w:r w:rsidRPr="00B51BC1">
        <w:rPr>
          <w:rFonts w:cs="Times New Roman"/>
        </w:rPr>
        <w:t>Les facteurs qui permettent de déterminer si le délai de détermination de la peine postérieur au prononcé du verdict a été nettement plus long qu’il aurait dû raisonnablement l’être compte tenu de l’ensemble des circonstances</w:t>
      </w:r>
      <w:bookmarkEnd w:id="49"/>
      <w:bookmarkEnd w:id="50"/>
      <w:bookmarkEnd w:id="51"/>
      <w:r w:rsidRPr="00B51BC1">
        <w:rPr>
          <w:rFonts w:cs="Times New Roman"/>
        </w:rPr>
        <w:t xml:space="preserve"> </w:t>
      </w:r>
    </w:p>
    <w:p w14:paraId="72BBE5BB" w14:textId="77777777" w:rsidR="00B51BC1" w:rsidRPr="00B51BC1" w:rsidRDefault="00B51BC1" w:rsidP="00B51BC1">
      <w:pPr>
        <w:pStyle w:val="ParaNoNdepar-AltN"/>
        <w:rPr>
          <w:rFonts w:cs="Times New Roman"/>
        </w:rPr>
      </w:pPr>
      <w:bookmarkStart w:id="52" w:name="_Ref239925887"/>
      <w:r w:rsidRPr="00B51BC1">
        <w:rPr>
          <w:rFonts w:cs="Times New Roman"/>
        </w:rPr>
        <w:t>Lorsqu’il s’agit de décider si le délai de détermination de la peine postérieur au prononcé du verdict a été nettement plus long qu’il aurait dû raisonnablement l’être, le tribunal doit procéder à une analyse contextuelle. La question n’est pas celle de savoir si le délai a été long dans l’abstrait, et aucune durée précise n’entraîne automatiquement une violation du droit garanti par l’al. 11b). Un délai d’une même durée peut avoir une incidence très différente sur le plan constitutionnel selon la complexité du processus de détermination de la peine, les renseignements requis pour infliger la peine ainsi que les questions à trancher. La norme du délai nettement plus long vise à tenir compte de cette réalité.</w:t>
      </w:r>
      <w:bookmarkEnd w:id="52"/>
    </w:p>
    <w:p w14:paraId="2D69289A" w14:textId="77777777" w:rsidR="00B51BC1" w:rsidRPr="00B51BC1" w:rsidRDefault="00B51BC1" w:rsidP="00B51BC1">
      <w:pPr>
        <w:pStyle w:val="ParaNoNdepar-AltN"/>
        <w:tabs>
          <w:tab w:val="clear" w:pos="1152"/>
          <w:tab w:val="left" w:pos="1166"/>
        </w:tabs>
        <w:rPr>
          <w:rFonts w:cs="Times New Roman"/>
        </w:rPr>
      </w:pPr>
      <w:r w:rsidRPr="00B51BC1">
        <w:rPr>
          <w:rFonts w:cs="Times New Roman"/>
        </w:rPr>
        <w:lastRenderedPageBreak/>
        <w:t xml:space="preserve">Il importe de noter que la norme du délai nettement plus long est objective et normative. </w:t>
      </w:r>
      <w:bookmarkStart w:id="53" w:name="_Hlk239769007"/>
      <w:r w:rsidRPr="00B51BC1">
        <w:rPr>
          <w:rFonts w:cs="Times New Roman"/>
        </w:rPr>
        <w:t>La question qu’il convient de se poser est celle de savoir si la procédure de détermination de la peine a été nettement plus longue qu’elle aurait dû raisonnablement l’être dans un système de justice pénale fonctionnant comme il se doit dans une société libre et démocratique, et non celle de savoir combien de temps elle prend dans une juridiction donnée, compte tenu des contraintes liées aux ressources existantes.</w:t>
      </w:r>
    </w:p>
    <w:bookmarkEnd w:id="53"/>
    <w:p w14:paraId="3647648D" w14:textId="77777777" w:rsidR="00B51BC1" w:rsidRPr="00B51BC1" w:rsidRDefault="00B51BC1" w:rsidP="00B51BC1">
      <w:pPr>
        <w:pStyle w:val="ParaNoNdepar-AltN"/>
        <w:rPr>
          <w:rFonts w:cs="Times New Roman"/>
        </w:rPr>
      </w:pPr>
      <w:r w:rsidRPr="00B51BC1">
        <w:rPr>
          <w:rFonts w:cs="Times New Roman"/>
        </w:rPr>
        <w:t>Sur le plan méthodologique, la norme du délai nettement plus long oblige les tribunaux à comparer le temps qu’il a réellement fallu pour mener à terme le processus de détermination de la peine avec le temps que cette étape aurait dû raisonnablement prendre compte tenu de l’ensemble des circonstances. L’analyse ne se fait pas de façon mécanique, mais en fonction du contexte, et elle doit tenir compte à la fois de la durée globale des procédures et des raisons expliquant certaines portions du délai.</w:t>
      </w:r>
    </w:p>
    <w:p w14:paraId="6BE94F6F" w14:textId="77777777" w:rsidR="00B51BC1" w:rsidRPr="00B51BC1" w:rsidRDefault="00B51BC1" w:rsidP="00B51BC1">
      <w:pPr>
        <w:pStyle w:val="ParaNoNdepar-AltN"/>
        <w:rPr>
          <w:rFonts w:cs="Times New Roman"/>
        </w:rPr>
      </w:pPr>
      <w:r w:rsidRPr="00B51BC1">
        <w:rPr>
          <w:rFonts w:cs="Times New Roman"/>
        </w:rPr>
        <w:t xml:space="preserve">Dans l’arrêt </w:t>
      </w:r>
      <w:r w:rsidRPr="00B51BC1">
        <w:rPr>
          <w:rFonts w:cs="Times New Roman"/>
          <w:i/>
        </w:rPr>
        <w:t>K.G.K.</w:t>
      </w:r>
      <w:r w:rsidRPr="00B51BC1">
        <w:rPr>
          <w:rFonts w:cs="Times New Roman"/>
        </w:rPr>
        <w:t xml:space="preserve">, la Cour a dressé une liste non exhaustive de facteurs pertinents pour évaluer si le temps de délibération en vue du prononcé du verdict contrevient à l’al. 11b) (par. 67-72). À mon avis, ces mêmes considérations peuvent guider l’analyse de la question de savoir si la procédure de détermination de la peine a été nettement plus longue qu’elle aurait dû raisonnablement l’être, en servant de cadre structuré permettant d’évaluer si le temps écoulé dépasse le seuil élevé imposé par cette norme. La portée de ces considérations permet aux tribunaux de tenir compte du même </w:t>
      </w:r>
      <w:r w:rsidRPr="00B51BC1">
        <w:rPr>
          <w:rFonts w:cs="Times New Roman"/>
        </w:rPr>
        <w:lastRenderedPageBreak/>
        <w:t xml:space="preserve">type de questions qui seraient aussi pertinentes pour une analyse suivant l’arrêt </w:t>
      </w:r>
      <w:r w:rsidRPr="00B51BC1">
        <w:rPr>
          <w:rFonts w:cs="Times New Roman"/>
          <w:i/>
        </w:rPr>
        <w:t>Jordan</w:t>
      </w:r>
      <w:r w:rsidRPr="00B51BC1">
        <w:rPr>
          <w:rFonts w:cs="Times New Roman"/>
        </w:rPr>
        <w:t xml:space="preserve">, notamment la renonciation à invoquer des délais, les délais attribuables à la défense ou les circonstances exceptionnelles. </w:t>
      </w:r>
    </w:p>
    <w:p w14:paraId="709949D6" w14:textId="77777777" w:rsidR="00B51BC1" w:rsidRPr="00B51BC1" w:rsidRDefault="00B51BC1" w:rsidP="00B51BC1">
      <w:pPr>
        <w:pStyle w:val="ParaNoNdepar-AltN"/>
        <w:rPr>
          <w:rFonts w:cs="Times New Roman"/>
        </w:rPr>
      </w:pPr>
      <w:r w:rsidRPr="00B51BC1">
        <w:rPr>
          <w:rFonts w:cs="Times New Roman"/>
        </w:rPr>
        <w:t>Premièrement, dans des cas exceptionnels, la simple durée du délai postérieur au prononcé du verdict peut être si manifestement excessive qu’il constitue une violation en soi de l’al. 11b), indépendamment des circonstances (</w:t>
      </w:r>
      <w:r w:rsidRPr="00B51BC1">
        <w:rPr>
          <w:rFonts w:cs="Times New Roman"/>
          <w:i/>
        </w:rPr>
        <w:t>K.G.K.</w:t>
      </w:r>
      <w:r w:rsidRPr="00B51BC1">
        <w:rPr>
          <w:rFonts w:cs="Times New Roman"/>
        </w:rPr>
        <w:t>, par. 68). Cela dit, le point de départ de l’analyse est habituellement l’examen de la durée de la période de délibération postérieure au prononcé du verdict, et il est « fort peu probable » que le temps écoulé, à lui seul, puisse satisfaire au critère du délai nettement plus long (par. 68).</w:t>
      </w:r>
    </w:p>
    <w:p w14:paraId="43B281F7" w14:textId="77777777" w:rsidR="00B51BC1" w:rsidRPr="00B51BC1" w:rsidRDefault="00B51BC1" w:rsidP="00B51BC1">
      <w:pPr>
        <w:pStyle w:val="ParaNoNdepar-AltN"/>
        <w:rPr>
          <w:rFonts w:cs="Times New Roman"/>
        </w:rPr>
      </w:pPr>
      <w:r w:rsidRPr="00B51BC1">
        <w:rPr>
          <w:rFonts w:cs="Times New Roman"/>
        </w:rPr>
        <w:t>Deuxièmement, la complexité de l’affaire est un facteur important (</w:t>
      </w:r>
      <w:r w:rsidRPr="00B51BC1">
        <w:rPr>
          <w:rFonts w:cs="Times New Roman"/>
          <w:i/>
        </w:rPr>
        <w:t>K.G.K.</w:t>
      </w:r>
      <w:r w:rsidRPr="00B51BC1">
        <w:rPr>
          <w:rFonts w:cs="Times New Roman"/>
        </w:rPr>
        <w:t xml:space="preserve">, par. 70). Le délai postérieur au prononcé du verdict varie en fonction de la complexité du dossier (voir </w:t>
      </w:r>
      <w:r w:rsidRPr="00B51BC1">
        <w:rPr>
          <w:rFonts w:cs="Times New Roman"/>
          <w:i/>
        </w:rPr>
        <w:t>Jordan</w:t>
      </w:r>
      <w:r w:rsidRPr="00B51BC1">
        <w:rPr>
          <w:rFonts w:cs="Times New Roman"/>
        </w:rPr>
        <w:t xml:space="preserve">, par. 88, citant </w:t>
      </w:r>
      <w:r w:rsidRPr="00B51BC1">
        <w:rPr>
          <w:rFonts w:cs="Times New Roman"/>
          <w:i/>
        </w:rPr>
        <w:t>Morin</w:t>
      </w:r>
      <w:r w:rsidRPr="00B51BC1">
        <w:rPr>
          <w:rFonts w:cs="Times New Roman"/>
        </w:rPr>
        <w:t>, p. 792). Figurent au nombre des facteurs pertinents « [l]a quantité et la nature des éléments de preuve présentés, le nombre de coaccusés (le cas échéant), les questions de droit que soulève l’affaire et les positions des parties » (</w:t>
      </w:r>
      <w:r w:rsidRPr="00B51BC1">
        <w:rPr>
          <w:rFonts w:cs="Times New Roman"/>
          <w:i/>
        </w:rPr>
        <w:t>K.G.K.</w:t>
      </w:r>
      <w:r w:rsidRPr="00B51BC1">
        <w:rPr>
          <w:rFonts w:cs="Times New Roman"/>
        </w:rPr>
        <w:t xml:space="preserve">, par. 70); l’examen de rapports, notamment de rapports présentenciels, de rapports </w:t>
      </w:r>
      <w:r w:rsidRPr="00B51BC1">
        <w:rPr>
          <w:rFonts w:cs="Times New Roman"/>
          <w:i/>
          <w:iCs/>
        </w:rPr>
        <w:t>Gladue</w:t>
      </w:r>
      <w:r w:rsidRPr="00B51BC1">
        <w:rPr>
          <w:rFonts w:cs="Times New Roman"/>
        </w:rPr>
        <w:t xml:space="preserve"> et de rapports d’évaluations de l’incidence de l’origine ethnique et culturelle (</w:t>
      </w:r>
      <w:r w:rsidRPr="00B51BC1">
        <w:rPr>
          <w:rFonts w:cs="Times New Roman"/>
          <w:i/>
        </w:rPr>
        <w:t>Code criminel</w:t>
      </w:r>
      <w:r w:rsidRPr="00B51BC1">
        <w:rPr>
          <w:rFonts w:cs="Times New Roman"/>
        </w:rPr>
        <w:t xml:space="preserve">, par. 721(1)); le règlement des faits contestés (p. ex., des audiences de type </w:t>
      </w:r>
      <w:r w:rsidRPr="00B51BC1">
        <w:rPr>
          <w:rFonts w:cs="Times New Roman"/>
          <w:i/>
        </w:rPr>
        <w:t>Gardiner</w:t>
      </w:r>
      <w:r w:rsidRPr="00B51BC1">
        <w:rPr>
          <w:rFonts w:cs="Times New Roman"/>
        </w:rPr>
        <w:t xml:space="preserve">; par. 724(3)); le règlement des faits, exprès ou implicites, essentiels au verdict de culpabilité rendu par le jury (par. 724(2)); la prise en considération des déclarations des victimes et des déclarations au nom d’une </w:t>
      </w:r>
      <w:r w:rsidRPr="00B51BC1">
        <w:rPr>
          <w:rFonts w:cs="Times New Roman"/>
        </w:rPr>
        <w:lastRenderedPageBreak/>
        <w:t xml:space="preserve">collectivité (par. 722(1) et 722.2(1)); les procédures connexes (p. ex., des demandes de déclaration de délinquant dangereux, la présentation de preuve démontrant les conditions difficiles vécues dans un centre de détention provisoire, les demandes de crédit majoré pour détention présentencielle, etc.); et toute conséquence indirecte possible, entre autres considérations. Il importe toutefois de ne pas confondre la complexité du dossier avec la norme du caractère « particulièrement complexe » ni de l’apprécier sous l’angle de la circonstance exceptionnelle distincte au sens de l’arrêt </w:t>
      </w:r>
      <w:r w:rsidRPr="00B51BC1">
        <w:rPr>
          <w:rFonts w:cs="Times New Roman"/>
          <w:i/>
        </w:rPr>
        <w:t>Jordan</w:t>
      </w:r>
      <w:r w:rsidRPr="00B51BC1">
        <w:rPr>
          <w:rFonts w:cs="Times New Roman"/>
        </w:rPr>
        <w:t xml:space="preserve"> (par. 77).</w:t>
      </w:r>
    </w:p>
    <w:p w14:paraId="3230B7E0" w14:textId="77777777" w:rsidR="00B51BC1" w:rsidRPr="00B51BC1" w:rsidRDefault="00B51BC1" w:rsidP="00B51BC1">
      <w:pPr>
        <w:pStyle w:val="ParaNoNdepar-AltN"/>
        <w:rPr>
          <w:rFonts w:cs="Times New Roman"/>
        </w:rPr>
      </w:pPr>
      <w:r w:rsidRPr="00B51BC1">
        <w:rPr>
          <w:rFonts w:cs="Times New Roman"/>
        </w:rPr>
        <w:t>Troisièmement, tout renseignement émanant des parties, du juge chargé de la détermination de la peine ou du tribunal qui pourrait expliquer certaines portions du délai est pertinent. Il peut s’agir, par exemple, de communications faisant état d’une urgence médicale. Dans le cas de rapports tardifs, les raisons de tout retard doivent être clairement exposées. Un retard peut être attribuable à des tiers indisponibles ou peu coopératifs, à la conduite du contrevenant ou à un manque de ressources. Ces renseignements permettent au tribunal d’apprécier correctement les causes sous‑jacentes du retard et de déterminer comment ce dernier s’inscrit dans l’analyse du critère du délai nettement plus long (m. interv., procureur général de l’Alberta, par. 21).</w:t>
      </w:r>
    </w:p>
    <w:p w14:paraId="120AC95F" w14:textId="77777777" w:rsidR="00B51BC1" w:rsidRPr="00B51BC1" w:rsidRDefault="00B51BC1" w:rsidP="00B51BC1">
      <w:pPr>
        <w:pStyle w:val="ParaNoNdepar-AltN"/>
        <w:rPr>
          <w:rFonts w:cs="Times New Roman"/>
        </w:rPr>
      </w:pPr>
      <w:r w:rsidRPr="00B51BC1">
        <w:rPr>
          <w:rFonts w:cs="Times New Roman"/>
        </w:rPr>
        <w:t xml:space="preserve">Quatrièmement, les positions et la conduite des parties peuvent également être pertinentes. Lorsque les questions de droit sont soulevées au début de l’instance et traitées efficacement, le temps nécessaire pour les trancher </w:t>
      </w:r>
      <w:proofErr w:type="gramStart"/>
      <w:r w:rsidRPr="00B51BC1">
        <w:rPr>
          <w:rFonts w:cs="Times New Roman"/>
        </w:rPr>
        <w:t>peut être</w:t>
      </w:r>
      <w:proofErr w:type="gramEnd"/>
      <w:r w:rsidRPr="00B51BC1">
        <w:rPr>
          <w:rFonts w:cs="Times New Roman"/>
        </w:rPr>
        <w:t xml:space="preserve"> raisonnable. Toutefois, lorsqu’elles sont soulevées tardivement ou examinées d’une manière qui </w:t>
      </w:r>
      <w:r w:rsidRPr="00B51BC1">
        <w:rPr>
          <w:rFonts w:cs="Times New Roman"/>
        </w:rPr>
        <w:lastRenderedPageBreak/>
        <w:t>prolonge inutilement la durée de l’instance, ce fait peut étayer la conclusion que le délai a été nettement plus long qu’il aurait dû raisonnablement l’être.</w:t>
      </w:r>
    </w:p>
    <w:p w14:paraId="42DBEF71" w14:textId="77777777" w:rsidR="00B51BC1" w:rsidRPr="00B51BC1" w:rsidRDefault="00B51BC1" w:rsidP="00B51BC1">
      <w:pPr>
        <w:pStyle w:val="ParaNoNdepar-AltN"/>
        <w:rPr>
          <w:rFonts w:cs="Times New Roman"/>
        </w:rPr>
      </w:pPr>
      <w:r w:rsidRPr="00B51BC1">
        <w:rPr>
          <w:rFonts w:cs="Times New Roman"/>
        </w:rPr>
        <w:t xml:space="preserve">Cinquièmement, </w:t>
      </w:r>
      <w:bookmarkStart w:id="54" w:name="_Hlk239769114"/>
      <w:r w:rsidRPr="00B51BC1">
        <w:rPr>
          <w:rFonts w:cs="Times New Roman"/>
        </w:rPr>
        <w:t>il peut être utile de comparer le temps écoulé avec le temps qu’il faut généralement pour rendre une décision dans des cas comparables, compte tenu des circonstances locales pertinentes (</w:t>
      </w:r>
      <w:r w:rsidRPr="00B51BC1">
        <w:rPr>
          <w:rFonts w:cs="Times New Roman"/>
          <w:i/>
        </w:rPr>
        <w:t>K.G.K.</w:t>
      </w:r>
      <w:r w:rsidRPr="00B51BC1">
        <w:rPr>
          <w:rFonts w:cs="Times New Roman"/>
        </w:rPr>
        <w:t xml:space="preserve">, par. 72, renvoyant à </w:t>
      </w:r>
      <w:r w:rsidRPr="00B51BC1">
        <w:rPr>
          <w:rFonts w:cs="Times New Roman"/>
          <w:i/>
        </w:rPr>
        <w:t>Jordan</w:t>
      </w:r>
      <w:r w:rsidRPr="00B51BC1">
        <w:rPr>
          <w:rFonts w:cs="Times New Roman"/>
        </w:rPr>
        <w:t xml:space="preserve">, par. 89). Par exemple, ce qui constitue un délai raisonnable pourrait différer entre un tribunal itinérant en région éloignée et un palais de justice en milieu urbain, compte tenu des réalités logistiques et institutionnelles distinctes dans chaque environnement </w:t>
      </w:r>
      <w:bookmarkEnd w:id="54"/>
      <w:r w:rsidRPr="00B51BC1">
        <w:rPr>
          <w:rFonts w:cs="Times New Roman"/>
        </w:rPr>
        <w:t xml:space="preserve">(voir </w:t>
      </w:r>
      <w:r w:rsidRPr="00B51BC1">
        <w:rPr>
          <w:rFonts w:cs="Times New Roman"/>
          <w:i/>
        </w:rPr>
        <w:t>Snowball c. R.</w:t>
      </w:r>
      <w:r w:rsidRPr="00B51BC1">
        <w:rPr>
          <w:rFonts w:cs="Times New Roman"/>
        </w:rPr>
        <w:t>, 2026 QCCA 76, 8 C.R. (8th) 328, par. 57). Cependant, lorsque le prolongement du délai de détermination de la peine découle d’un sous-financement systémique ou de vices structurels bien ancrés, de telles comparaisons pourraient être d’une utilité limitée, car la pratique courante ne peut à elle seule servir à définir la norme constitutionnelle du caractère raisonnable.</w:t>
      </w:r>
    </w:p>
    <w:p w14:paraId="0A7DA928" w14:textId="77777777" w:rsidR="00B51BC1" w:rsidRPr="00B51BC1" w:rsidRDefault="00B51BC1" w:rsidP="00B51BC1">
      <w:pPr>
        <w:pStyle w:val="ParaNoNdepar-AltN"/>
        <w:rPr>
          <w:rFonts w:cs="Times New Roman"/>
        </w:rPr>
      </w:pPr>
      <w:r w:rsidRPr="00B51BC1">
        <w:rPr>
          <w:rFonts w:cs="Times New Roman"/>
        </w:rPr>
        <w:t xml:space="preserve">L’un des avantages d’un plafond présumé est qu’il encourage réellement les acteurs de l’instance à faire avancer les choses et qu’il peut contribuer à attirer les ressources nécessaires afin d’assurer la communication en temps opportun des renseignements, des rapports et des déclarations qui servent de fondement à la détermination de la peine. Notre choix de la norme plus souple du délai nettement plus long ne signifie pas que nous approuvons les situations où l’insuffisance des ressources nécessaires restreint de façon déraisonnable l’accès à ces renseignements. La norme du délai nettement plus long est plutôt objective et normative. Elle exige de savoir </w:t>
      </w:r>
      <w:r w:rsidRPr="00B51BC1">
        <w:rPr>
          <w:rFonts w:cs="Times New Roman"/>
        </w:rPr>
        <w:lastRenderedPageBreak/>
        <w:t xml:space="preserve">combien de temps la détermination de la peine aurait raisonnablement dû prendre vu l’ensemble des circonstances, et non simplement le temps qu’elle prend, souvent, dans un système susceptible de subir des retards chroniques. Cet examen objectif et normatif n’écarte pas la déférence habituelle qui s’impose en appel à l’égard des conclusions factuelles du juge chargé de la détermination de la peine. </w:t>
      </w:r>
    </w:p>
    <w:p w14:paraId="11CF149D" w14:textId="77777777" w:rsidR="00B51BC1" w:rsidRPr="00B51BC1" w:rsidRDefault="00B51BC1" w:rsidP="00B51BC1">
      <w:pPr>
        <w:pStyle w:val="ParaNoNdepar-AltN"/>
        <w:rPr>
          <w:rFonts w:cs="Times New Roman"/>
        </w:rPr>
      </w:pPr>
      <w:r w:rsidRPr="00B51BC1">
        <w:rPr>
          <w:rFonts w:cs="Times New Roman"/>
        </w:rPr>
        <w:t xml:space="preserve">Les circonstances locales demeurent pertinentes, mais elles ne justifient pas de normaliser le manque de ressources systémique, l’inertie institutionnelle ou les lacunes opérationnelles persistantes. Les rapports </w:t>
      </w:r>
      <w:r w:rsidRPr="00B51BC1">
        <w:rPr>
          <w:rFonts w:cs="Times New Roman"/>
          <w:i/>
        </w:rPr>
        <w:t>Gladue</w:t>
      </w:r>
      <w:r w:rsidRPr="00B51BC1">
        <w:rPr>
          <w:rFonts w:cs="Times New Roman"/>
        </w:rPr>
        <w:t xml:space="preserve">, par exemple, peuvent s’avérer nécessaires pour parvenir à infliger une peine appropriée et individualisée aux contrevenants autochtones; cependant, le délai attribuable à l’obtention de tels rapports doit néanmoins être évalué soigneusement. L’importance du rapport ne signifie pas que des pénuries institutionnelles, l’inaction administrative ou un manque de ressources systémique peuvent justifier un délai postérieur au prononcé du verdict qui est déraisonnable. Donc, lorsque le dossier indique que les échéanciers qui prévalent découlent eux-mêmes de lacunes comme celles-là, de tels échéanciers ne peuvent, à eux seuls, justifier le délai. Cela ne requiert pas que les juges qui déterminent la peine vérifient chaque cause de comparaison. Cela signifie simplement que la pratique habituelle n’est pas concluante quant à la raisonnabilité constitutionnelle, étant donné que la culture de complaisance n’a pas sa place à l’étape de la détermination de la peine. Lorsque l’architecture ou le fonctionnement du système fait en sorte que le processus de détermination de la peine est nettement plus long que raisonnablement nécessaire, </w:t>
      </w:r>
      <w:r w:rsidRPr="00B51BC1">
        <w:rPr>
          <w:rFonts w:cs="Times New Roman"/>
        </w:rPr>
        <w:lastRenderedPageBreak/>
        <w:t xml:space="preserve">la norme constitutionnelle n’est pas assouplie; il existe une attente à ce que le système corrige la situation. </w:t>
      </w:r>
    </w:p>
    <w:p w14:paraId="50567D89" w14:textId="77777777" w:rsidR="00B51BC1" w:rsidRPr="00B51BC1" w:rsidRDefault="00B51BC1" w:rsidP="00B51BC1">
      <w:pPr>
        <w:pStyle w:val="Title2LevelTitre2Niveau"/>
        <w:rPr>
          <w:rFonts w:cs="Times New Roman"/>
        </w:rPr>
      </w:pPr>
      <w:bookmarkStart w:id="55" w:name="_Toc239845720"/>
      <w:bookmarkStart w:id="56" w:name="_Toc239845739"/>
      <w:r w:rsidRPr="00B51BC1">
        <w:rPr>
          <w:rFonts w:cs="Times New Roman"/>
        </w:rPr>
        <w:t>Les réparations possibles lorsque le délai de détermination de la peine postérieur au prononcé du verdict est déraisonnable relèvent du pouvoir discrétionnaire du tribunal</w:t>
      </w:r>
      <w:bookmarkEnd w:id="55"/>
      <w:bookmarkEnd w:id="56"/>
    </w:p>
    <w:p w14:paraId="211ADAF2" w14:textId="77777777" w:rsidR="00B51BC1" w:rsidRPr="00B51BC1" w:rsidRDefault="00B51BC1" w:rsidP="00B51BC1">
      <w:pPr>
        <w:pStyle w:val="ParaNoNdepar-AltN"/>
        <w:rPr>
          <w:rFonts w:cs="Times New Roman"/>
        </w:rPr>
      </w:pPr>
      <w:bookmarkStart w:id="57" w:name="_Ref239925914"/>
      <w:r w:rsidRPr="00B51BC1">
        <w:rPr>
          <w:rFonts w:cs="Times New Roman"/>
        </w:rPr>
        <w:t xml:space="preserve">Le paragraphe 24(1) de la </w:t>
      </w:r>
      <w:r w:rsidRPr="00B51BC1">
        <w:rPr>
          <w:rFonts w:cs="Times New Roman"/>
          <w:i/>
          <w:iCs/>
        </w:rPr>
        <w:t>Charte</w:t>
      </w:r>
      <w:r w:rsidRPr="00B51BC1">
        <w:rPr>
          <w:rFonts w:cs="Times New Roman"/>
        </w:rPr>
        <w:t xml:space="preserve"> dispose que « [t]oute personne, victime de violation ou de négation des droits ou libertés qui lui sont garantis par la présente charte, peut s’adresser à un tribunal compétent pour obtenir la réparation que le tribunal estime convenable et juste eu égard aux circonstances ». La question, en l’espèce, est de savoir quelles réparations sont convenables et justes lorsque la violation de l’al. 11b) survient à l’étape de la détermination de la peine postérieure au prononcé du verdict dans une procédure pénale.</w:t>
      </w:r>
      <w:bookmarkEnd w:id="57"/>
    </w:p>
    <w:p w14:paraId="1E4E3827" w14:textId="77777777" w:rsidR="00B51BC1" w:rsidRPr="00B51BC1" w:rsidRDefault="00B51BC1" w:rsidP="00B51BC1">
      <w:pPr>
        <w:pStyle w:val="ParaNoNdepar-AltN"/>
        <w:rPr>
          <w:rFonts w:cs="Times New Roman"/>
        </w:rPr>
      </w:pPr>
      <w:r w:rsidRPr="00B51BC1">
        <w:rPr>
          <w:rFonts w:cs="Times New Roman"/>
        </w:rPr>
        <w:t xml:space="preserve">Dans l’arrêt </w:t>
      </w:r>
      <w:r w:rsidRPr="00B51BC1">
        <w:rPr>
          <w:rFonts w:cs="Times New Roman"/>
          <w:i/>
        </w:rPr>
        <w:t>R. c. Rahey</w:t>
      </w:r>
      <w:r w:rsidRPr="00B51BC1">
        <w:rPr>
          <w:rFonts w:cs="Times New Roman"/>
        </w:rPr>
        <w:t xml:space="preserve">, [1987] 1 R.C.S. 588, la Cour a statué que l’arrêt des procédures est la réparation qu’il convient d’accorder en cas de délai déraisonnable avant la déclaration de culpabilité, car toute réparation moindre permettrait la poursuite du procès et, de ce fait, aggraverait la violation de l’al. 11b). Cette conclusion visait toutefois le délai antérieur à la déclaration de culpabilité, durant lequel l’accusé est toujours présumé innocent, et les procédures menant à une déclaration de culpabilité sont elles-mêmes entachées de délais inconstitutionnels. L’arrêt </w:t>
      </w:r>
      <w:r w:rsidRPr="00B51BC1">
        <w:rPr>
          <w:rFonts w:cs="Times New Roman"/>
          <w:i/>
        </w:rPr>
        <w:t>Rahey</w:t>
      </w:r>
      <w:r w:rsidRPr="00B51BC1">
        <w:rPr>
          <w:rFonts w:cs="Times New Roman"/>
        </w:rPr>
        <w:t xml:space="preserve"> n’a pas traité de la question distincte de la réparation dans le contexte postérieur au prononcé d’une déclaration de culpabilité valide. De fait, la Cour a récemment confirmé qu’elle ne s’était pas prononcé « sur la réparation convenable lorsque la violation de l’al. 11b) </w:t>
      </w:r>
      <w:r w:rsidRPr="00B51BC1">
        <w:rPr>
          <w:rFonts w:cs="Times New Roman"/>
        </w:rPr>
        <w:lastRenderedPageBreak/>
        <w:t>survient après la déclaration de culpabilité, mais avant la détermination de la peine » (</w:t>
      </w:r>
      <w:r w:rsidRPr="00B51BC1">
        <w:rPr>
          <w:rFonts w:cs="Times New Roman"/>
          <w:i/>
          <w:iCs/>
        </w:rPr>
        <w:t xml:space="preserve">R. c. </w:t>
      </w:r>
      <w:r w:rsidRPr="00B51BC1">
        <w:rPr>
          <w:rFonts w:cs="Times New Roman"/>
          <w:i/>
        </w:rPr>
        <w:t>Varennes</w:t>
      </w:r>
      <w:r w:rsidRPr="00B51BC1">
        <w:rPr>
          <w:rFonts w:cs="Times New Roman"/>
        </w:rPr>
        <w:t xml:space="preserve">, 2025 CSC 22, par. 82, note 3; voir aussi </w:t>
      </w:r>
      <w:r w:rsidRPr="00B51BC1">
        <w:rPr>
          <w:rFonts w:cs="Times New Roman"/>
          <w:i/>
        </w:rPr>
        <w:t>Jordan</w:t>
      </w:r>
      <w:r w:rsidRPr="00B51BC1">
        <w:rPr>
          <w:rFonts w:cs="Times New Roman"/>
        </w:rPr>
        <w:t>, par. 49, note 2).</w:t>
      </w:r>
    </w:p>
    <w:p w14:paraId="39CCF986" w14:textId="77777777" w:rsidR="00B51BC1" w:rsidRPr="00B51BC1" w:rsidRDefault="00B51BC1" w:rsidP="00B51BC1">
      <w:pPr>
        <w:pStyle w:val="ParaNoNdepar-AltN"/>
        <w:rPr>
          <w:rFonts w:cs="Times New Roman"/>
        </w:rPr>
      </w:pPr>
      <w:r w:rsidRPr="00B51BC1">
        <w:rPr>
          <w:rFonts w:cs="Times New Roman"/>
        </w:rPr>
        <w:t>L’appelant fait valoir que seul un arrêt des procédures peut remédier à un délai déraisonnable de détermination de la peine postérieur au prononcé du verdict. Il soutient que, une fois la violation de l’al. 11b) établie, le tribunal n’a pas compétence pour poursuivre la procédure, et que la seule mesure susceptible d’empêcher de nouvelles violations de l’al. 11b) est un arrêt des procédures (ou une absolution inconditionnelle, qui serait comparable sur le plan fonctionnel). La Couronne soutient qu’un arrêt automatique des procédures n’est une réparation ni convenable ni juste en cas de délai déraisonnable de détermination de la peine postérieur au prononcé du verdict; à son avis, après la déclaration de culpabilité, les droits garantis par l’al. 11b) sont restreints, tandis que l’intérêt de la société à ce qu’une peine appropriée soit infligée rapidement est accru d’autant.</w:t>
      </w:r>
    </w:p>
    <w:p w14:paraId="078D5CDB" w14:textId="77777777" w:rsidR="00B51BC1" w:rsidRPr="00B51BC1" w:rsidRDefault="00B51BC1" w:rsidP="00B51BC1">
      <w:pPr>
        <w:pStyle w:val="ParaNoNdepar-AltN"/>
        <w:rPr>
          <w:rFonts w:cs="Times New Roman"/>
        </w:rPr>
      </w:pPr>
      <w:r w:rsidRPr="00B51BC1">
        <w:rPr>
          <w:rFonts w:cs="Times New Roman"/>
        </w:rPr>
        <w:t xml:space="preserve">Je suis d’accord avec la Couronne. L’arrêt des procédures qui sert de réparation par défaut pour le délai antérieur à la déclaration de culpabilité ne devrait pas également devenir la solution automatique en cas de délai déraisonnable à l’étape de la détermination de la peine postérieur au prononcé du verdict. Une fois la culpabilité valablement établie, les droits que garantit l’al. 11b) au contrevenant, bien qu’ils demeurent, sont restreints, tandis que l’intérêt de la société à ce qu’une peine juste et proportionnée soit infligée rapidement revêt une importance accrue. Dans ce contexte, le par. 24(1) exige une analyse discrétionnaire et contextuelle de la réparation à </w:t>
      </w:r>
      <w:r w:rsidRPr="00B51BC1">
        <w:rPr>
          <w:rFonts w:cs="Times New Roman"/>
        </w:rPr>
        <w:lastRenderedPageBreak/>
        <w:t>accorder, et non un résultat automatique fondé sur la présomption que d’autres réparations adaptées seraient inadéquates. Le tribunal doit accorder la réparation qu’il estime « convenable et juste eu égard aux circonstances », en tenant compte de la nature de la violation, de ses effets, ainsi que de la nécessité de protéger à la fois les droits constitutionnels du contrevenant et l’intérêt public à ce qu’une peine légale et proportionnée soit infligée.</w:t>
      </w:r>
    </w:p>
    <w:p w14:paraId="552FE27F" w14:textId="77777777" w:rsidR="00B51BC1" w:rsidRPr="00B51BC1" w:rsidRDefault="00B51BC1" w:rsidP="00B51BC1">
      <w:pPr>
        <w:pStyle w:val="Title3LevelTitre3Niveau"/>
        <w:rPr>
          <w:rFonts w:cs="Times New Roman"/>
        </w:rPr>
      </w:pPr>
      <w:bookmarkStart w:id="58" w:name="_Toc239845721"/>
      <w:bookmarkStart w:id="59" w:name="_Toc239845740"/>
      <w:r w:rsidRPr="00B51BC1">
        <w:rPr>
          <w:rFonts w:cs="Times New Roman"/>
        </w:rPr>
        <w:t>La mise en balance des intérêts en jeu dans le contexte de l’al. 11b) est qualitativement différente à l’étape de la détermination de la peine postérieure au prononcé du verdict</w:t>
      </w:r>
      <w:bookmarkEnd w:id="58"/>
      <w:bookmarkEnd w:id="59"/>
    </w:p>
    <w:p w14:paraId="29111108" w14:textId="77777777" w:rsidR="00B51BC1" w:rsidRPr="00B51BC1" w:rsidRDefault="00B51BC1" w:rsidP="00B51BC1">
      <w:pPr>
        <w:pStyle w:val="ParaNoNdepar-AltN"/>
        <w:rPr>
          <w:rFonts w:cs="Times New Roman"/>
        </w:rPr>
      </w:pPr>
      <w:bookmarkStart w:id="60" w:name="_Ref239925926"/>
      <w:r w:rsidRPr="00B51BC1">
        <w:rPr>
          <w:rFonts w:cs="Times New Roman"/>
        </w:rPr>
        <w:t xml:space="preserve">Le droit d’être jugé dans un délai raisonnable protégé par l’al. 11b) de la </w:t>
      </w:r>
      <w:r w:rsidRPr="00B51BC1">
        <w:rPr>
          <w:rFonts w:cs="Times New Roman"/>
          <w:i/>
        </w:rPr>
        <w:t>Charte</w:t>
      </w:r>
      <w:r w:rsidRPr="00B51BC1">
        <w:rPr>
          <w:rFonts w:cs="Times New Roman"/>
        </w:rPr>
        <w:t xml:space="preserve"> met en balance deux catégories d’intérêts distinctes. Dans le cas de l’accusé faisant l’objet d’une procédure pénale, il protège ses droits à la liberté, à la sécurité de sa personne et à un procès équitable en garantissant que l’affaire sera tranchée en temps utile (</w:t>
      </w:r>
      <w:r w:rsidRPr="00B51BC1">
        <w:rPr>
          <w:rFonts w:cs="Times New Roman"/>
          <w:i/>
        </w:rPr>
        <w:t>Jordan</w:t>
      </w:r>
      <w:r w:rsidRPr="00B51BC1">
        <w:rPr>
          <w:rFonts w:cs="Times New Roman"/>
        </w:rPr>
        <w:t>, par. 20). Ces droits sont mis en balance avec l’attente qu’a la société à ce que les affaires pénales soient tranchées sur le fond, ce qui serait mis en péril par une interprétation trop stricte de l’al. 11b) (</w:t>
      </w:r>
      <w:r w:rsidRPr="00B51BC1">
        <w:rPr>
          <w:rFonts w:cs="Times New Roman"/>
          <w:i/>
        </w:rPr>
        <w:t>Morin</w:t>
      </w:r>
      <w:r w:rsidRPr="00B51BC1">
        <w:rPr>
          <w:rFonts w:cs="Times New Roman"/>
        </w:rPr>
        <w:t>, p. 786).</w:t>
      </w:r>
      <w:bookmarkEnd w:id="60"/>
    </w:p>
    <w:p w14:paraId="0EC73328" w14:textId="77777777" w:rsidR="00B51BC1" w:rsidRPr="00B51BC1" w:rsidRDefault="00B51BC1" w:rsidP="00B51BC1">
      <w:pPr>
        <w:pStyle w:val="ParaNoNdepar-AltN"/>
        <w:rPr>
          <w:rFonts w:cs="Times New Roman"/>
        </w:rPr>
      </w:pPr>
      <w:r w:rsidRPr="00B51BC1">
        <w:rPr>
          <w:rFonts w:cs="Times New Roman"/>
        </w:rPr>
        <w:t>Toutefois, la mise en balance de ces intérêts est qualitativement différente avant et après la déclaration de culpabilité. Les droits de la personne visée par la procédure perdent de l’importance au profit de l’intérêt de la société à ce que les affaires pénales soient tranchées sur le fond grâce à l’infliction d’une peine juste et proportionnée.</w:t>
      </w:r>
    </w:p>
    <w:p w14:paraId="0B023171" w14:textId="77777777" w:rsidR="00B51BC1" w:rsidRPr="00B51BC1" w:rsidRDefault="00B51BC1" w:rsidP="00B51BC1">
      <w:pPr>
        <w:pStyle w:val="ParaNoNdepar-AltN"/>
        <w:rPr>
          <w:rFonts w:cs="Times New Roman"/>
        </w:rPr>
      </w:pPr>
      <w:r w:rsidRPr="00B51BC1">
        <w:rPr>
          <w:rFonts w:cs="Times New Roman"/>
        </w:rPr>
        <w:lastRenderedPageBreak/>
        <w:t>En ce qui a trait à l’individu concerné, il n’est plus un accusé, et les droits que lui garantit l’al. 11b) sont dorénavant définis plus restrictivement (</w:t>
      </w:r>
      <w:r w:rsidRPr="00B51BC1">
        <w:rPr>
          <w:rFonts w:cs="Times New Roman"/>
          <w:i/>
        </w:rPr>
        <w:t>R. c. Jones</w:t>
      </w:r>
      <w:r w:rsidRPr="00B51BC1">
        <w:rPr>
          <w:rFonts w:cs="Times New Roman"/>
        </w:rPr>
        <w:t>, [1994] 2 R.C.S. 229, p. 291). Certes, l’al. 11b) continue de s’appliquer tout au long de la procédure de détermination de la peine, mais le délai postérieur à la déclaration de culpabilité fait intervenir le droit de façon plus restreinte que le délai antérieur au prononcé du verdict (</w:t>
      </w:r>
      <w:r w:rsidRPr="00B51BC1">
        <w:rPr>
          <w:rFonts w:cs="Times New Roman"/>
          <w:i/>
        </w:rPr>
        <w:t>MacDougall</w:t>
      </w:r>
      <w:r w:rsidRPr="00B51BC1">
        <w:rPr>
          <w:rFonts w:cs="Times New Roman"/>
        </w:rPr>
        <w:t>, par. 67), ce qui témoigne du fait que la présomption d’innocence a disparu.</w:t>
      </w:r>
    </w:p>
    <w:p w14:paraId="6E2F8075" w14:textId="77777777" w:rsidR="00B51BC1" w:rsidRPr="00B51BC1" w:rsidRDefault="00B51BC1" w:rsidP="00B51BC1">
      <w:pPr>
        <w:pStyle w:val="ParaNoNdepar-AltN"/>
        <w:rPr>
          <w:rFonts w:cs="Times New Roman"/>
        </w:rPr>
      </w:pPr>
      <w:r w:rsidRPr="00B51BC1">
        <w:rPr>
          <w:rFonts w:cs="Times New Roman"/>
        </w:rPr>
        <w:t>La personne reconnue coupable d’une infraction ne possède plus le droit à la liberté qui est reconnu à l’accusé qui n’a pas subi son procès, dont la liberté est restreinte par des allégations non résolues (</w:t>
      </w:r>
      <w:r w:rsidRPr="00B51BC1">
        <w:rPr>
          <w:rFonts w:cs="Times New Roman"/>
          <w:i/>
        </w:rPr>
        <w:t>Jones</w:t>
      </w:r>
      <w:r w:rsidRPr="00B51BC1">
        <w:rPr>
          <w:rFonts w:cs="Times New Roman"/>
        </w:rPr>
        <w:t>, p. 282-283 et 286-287). Le délai de détermination de la peine peut porter atteinte à la liberté du contrevenant en prolongeant la période de détention ou d’assujettissement à des conditions de mise en liberté (</w:t>
      </w:r>
      <w:r w:rsidRPr="00B51BC1">
        <w:rPr>
          <w:rFonts w:cs="Times New Roman"/>
          <w:i/>
        </w:rPr>
        <w:t>MacDougall</w:t>
      </w:r>
      <w:r w:rsidRPr="00B51BC1">
        <w:rPr>
          <w:rFonts w:cs="Times New Roman"/>
        </w:rPr>
        <w:t xml:space="preserve">, par. 33). Toutefois, une telle restriction continue de la liberté est liée à une déclaration de culpabilité prononcée par un tribunal, et non à une simple allégation d’acte criminel. Le </w:t>
      </w:r>
      <w:r w:rsidRPr="00B51BC1">
        <w:rPr>
          <w:rFonts w:cs="Times New Roman"/>
          <w:i/>
        </w:rPr>
        <w:t>Code criminel</w:t>
      </w:r>
      <w:r w:rsidRPr="00B51BC1">
        <w:rPr>
          <w:rFonts w:cs="Times New Roman"/>
        </w:rPr>
        <w:t xml:space="preserve"> fait état de ce changement en prévoyant un traitement différent des ordonnances de mise en liberté une fois la culpabilité établie (al. 523(1)a)).</w:t>
      </w:r>
    </w:p>
    <w:p w14:paraId="2F60027D" w14:textId="77777777" w:rsidR="00B51BC1" w:rsidRPr="00B51BC1" w:rsidRDefault="00B51BC1" w:rsidP="00B51BC1">
      <w:pPr>
        <w:pStyle w:val="ParaNoNdepar-AltN"/>
        <w:rPr>
          <w:rFonts w:cs="Times New Roman"/>
        </w:rPr>
      </w:pPr>
      <w:r w:rsidRPr="00B51BC1">
        <w:rPr>
          <w:rFonts w:cs="Times New Roman"/>
        </w:rPr>
        <w:t>Le droit du contrevenant à la sécurité de sa personne est également ajusté à la suite d’une déclaration de culpabilité. Avant celle-ci, un délai excessif compromet la sécurité de la personne en prolongeant le stress, l’anxiété et la stigmatisation associés à une accusation criminelle pendante (</w:t>
      </w:r>
      <w:r w:rsidRPr="00B51BC1">
        <w:rPr>
          <w:rFonts w:cs="Times New Roman"/>
          <w:i/>
        </w:rPr>
        <w:t>Jordan</w:t>
      </w:r>
      <w:r w:rsidRPr="00B51BC1">
        <w:rPr>
          <w:rFonts w:cs="Times New Roman"/>
        </w:rPr>
        <w:t xml:space="preserve">, par. 20; </w:t>
      </w:r>
      <w:r w:rsidRPr="00B51BC1">
        <w:rPr>
          <w:rFonts w:cs="Times New Roman"/>
          <w:i/>
        </w:rPr>
        <w:t>Rahey</w:t>
      </w:r>
      <w:r w:rsidRPr="00B51BC1">
        <w:rPr>
          <w:rFonts w:cs="Times New Roman"/>
        </w:rPr>
        <w:t>, p. 605), en particulier dans le cas de la personne innocente dans les faits (</w:t>
      </w:r>
      <w:r w:rsidRPr="00B51BC1">
        <w:rPr>
          <w:rFonts w:cs="Times New Roman"/>
          <w:i/>
        </w:rPr>
        <w:t>R. c. Askov</w:t>
      </w:r>
      <w:r w:rsidRPr="00B51BC1">
        <w:rPr>
          <w:rFonts w:cs="Times New Roman"/>
        </w:rPr>
        <w:t xml:space="preserve">, [1990] 2 R.C.S. 1199, </w:t>
      </w:r>
      <w:r w:rsidRPr="00B51BC1">
        <w:rPr>
          <w:rFonts w:cs="Times New Roman"/>
        </w:rPr>
        <w:lastRenderedPageBreak/>
        <w:t>p. 1219). Une fois la culpabilité établie, ces types de préjudices ne disparaissent pas, mais ils sont qualitativement différents. Un délai de détermination de la peine excessif est susceptible d’amener le contrevenant à vivre « dans l’attente, incertai[n] de son sort, incapable de tourner la page », et donc à subir du stress et de l’anxiété (</w:t>
      </w:r>
      <w:r w:rsidRPr="00B51BC1">
        <w:rPr>
          <w:rFonts w:cs="Times New Roman"/>
          <w:i/>
        </w:rPr>
        <w:t>MacDougall</w:t>
      </w:r>
      <w:r w:rsidRPr="00B51BC1">
        <w:rPr>
          <w:rFonts w:cs="Times New Roman"/>
        </w:rPr>
        <w:t>, par. 34). Toutefois, lorsque la présomption d’innocence cesse d’exister, une bonne part de l’incertitude qui pèse sur le contrevenant ne découle plus d’allégations non résolues, mais de l’infraction et de la déclaration de culpabilité prononcée.</w:t>
      </w:r>
    </w:p>
    <w:p w14:paraId="114C442A" w14:textId="77777777" w:rsidR="00B51BC1" w:rsidRPr="00B51BC1" w:rsidRDefault="00B51BC1" w:rsidP="00B51BC1">
      <w:pPr>
        <w:pStyle w:val="ParaNoNdepar-AltN"/>
        <w:rPr>
          <w:rFonts w:cs="Times New Roman"/>
        </w:rPr>
      </w:pPr>
      <w:r w:rsidRPr="00B51BC1">
        <w:rPr>
          <w:rFonts w:cs="Times New Roman"/>
        </w:rPr>
        <w:t>Le droit à un procès équitable protégé par l’al. 11b) est lui aussi différent à la suite du prononcé du verdict. Le délai avant l’instruction peut compromettre l’équité en raison du risque de détérioration de la preuve et parce qu’il nuit à la capacité de l’accusé de préparer sa défense (</w:t>
      </w:r>
      <w:r w:rsidRPr="00B51BC1">
        <w:rPr>
          <w:rFonts w:cs="Times New Roman"/>
          <w:i/>
        </w:rPr>
        <w:t>Jordan</w:t>
      </w:r>
      <w:r w:rsidRPr="00B51BC1">
        <w:rPr>
          <w:rFonts w:cs="Times New Roman"/>
        </w:rPr>
        <w:t>, par. 20). Il est vrai que la preuve peut demeurer importante à l’étape de la détermination de la peine, et que l’écoulement du temps peut compromettre la capacité du contrevenant à la présenter (</w:t>
      </w:r>
      <w:r w:rsidRPr="00B51BC1">
        <w:rPr>
          <w:rFonts w:cs="Times New Roman"/>
          <w:i/>
        </w:rPr>
        <w:t>MacDougall</w:t>
      </w:r>
      <w:r w:rsidRPr="00B51BC1">
        <w:rPr>
          <w:rFonts w:cs="Times New Roman"/>
        </w:rPr>
        <w:t>, par. 35). Cependant, une fois le procès terminé, ces préoccupations sont grandement atténuées parce que les éléments de preuve sont conservés dans le dossier (</w:t>
      </w:r>
      <w:r w:rsidRPr="00B51BC1">
        <w:rPr>
          <w:rFonts w:cs="Times New Roman"/>
          <w:i/>
        </w:rPr>
        <w:t>K.G.K.</w:t>
      </w:r>
      <w:r w:rsidRPr="00B51BC1">
        <w:rPr>
          <w:rFonts w:cs="Times New Roman"/>
        </w:rPr>
        <w:t>, par. 60). Les procédures de détermination de la peine sont régies par des règles de preuve différentes qui laissent aux juges une grande latitude pour obtenir des renseignements pertinents aux fins de la détermination d’une peine juste (</w:t>
      </w:r>
      <w:r w:rsidRPr="00B51BC1">
        <w:rPr>
          <w:rFonts w:cs="Times New Roman"/>
          <w:i/>
        </w:rPr>
        <w:t>Gardiner</w:t>
      </w:r>
      <w:r w:rsidRPr="00B51BC1">
        <w:rPr>
          <w:rFonts w:cs="Times New Roman"/>
        </w:rPr>
        <w:t>, p. 414). Par conséquent, bien que l’équité demeure une considération importante au moment de la détermination de la peine, la majorité des intérêts liés au droit à un procès équitable n’est plus en jeu une fois la culpabilité établie (</w:t>
      </w:r>
      <w:r w:rsidRPr="00B51BC1">
        <w:rPr>
          <w:rFonts w:cs="Times New Roman"/>
          <w:i/>
        </w:rPr>
        <w:t>MacDougall</w:t>
      </w:r>
      <w:r w:rsidRPr="00B51BC1">
        <w:rPr>
          <w:rFonts w:cs="Times New Roman"/>
        </w:rPr>
        <w:t>, par. 35).</w:t>
      </w:r>
    </w:p>
    <w:p w14:paraId="35DFAF10" w14:textId="77777777" w:rsidR="00B51BC1" w:rsidRPr="00B51BC1" w:rsidRDefault="00B51BC1" w:rsidP="00B51BC1">
      <w:pPr>
        <w:pStyle w:val="ParaNoNdepar-AltN"/>
        <w:rPr>
          <w:rFonts w:cs="Times New Roman"/>
        </w:rPr>
      </w:pPr>
      <w:r w:rsidRPr="00B51BC1">
        <w:rPr>
          <w:rFonts w:cs="Times New Roman"/>
        </w:rPr>
        <w:lastRenderedPageBreak/>
        <w:t>Quant à l’intérêt de la société à ce qu’une décision appropriée soit rendue à l’issue de procédures pénales, il revêt une plus grande importance suivant la déclaration de culpabilité. Comme l’a expliqué le juge Gonthier dans l’arrêt</w:t>
      </w:r>
      <w:r w:rsidRPr="00B51BC1">
        <w:rPr>
          <w:rFonts w:cs="Times New Roman"/>
          <w:i/>
        </w:rPr>
        <w:t xml:space="preserve"> Jones</w:t>
      </w:r>
      <w:r w:rsidRPr="00B51BC1">
        <w:rPr>
          <w:rFonts w:cs="Times New Roman"/>
        </w:rPr>
        <w:t xml:space="preserve">, « [l]’équilibre entre les intérêts de l’État et ceux de l’individu » est différent lors de l’étape de la détermination de la peine : l’équité du procès perd de l’importance au profit de l’intérêt public à ce qu’une peine juste soit imposée (p. 288; voir aussi p. 286 et 292). L’importance accrue de l’intérêt de la société se dégage du </w:t>
      </w:r>
      <w:r w:rsidRPr="00B51BC1">
        <w:rPr>
          <w:rFonts w:cs="Times New Roman"/>
          <w:i/>
        </w:rPr>
        <w:t>Code criminel</w:t>
      </w:r>
      <w:r w:rsidRPr="00B51BC1">
        <w:rPr>
          <w:rFonts w:cs="Times New Roman"/>
        </w:rPr>
        <w:t xml:space="preserve"> même, qui désigne la protection de la société par l’infliction de sanctions justes comme l’objectif essentiel de l’imposition des peines (art. 718; voir aussi </w:t>
      </w:r>
      <w:r w:rsidRPr="00B51BC1">
        <w:rPr>
          <w:rFonts w:cs="Times New Roman"/>
          <w:i/>
        </w:rPr>
        <w:t>R. c. K.R.J.</w:t>
      </w:r>
      <w:r w:rsidRPr="00B51BC1">
        <w:rPr>
          <w:rFonts w:cs="Times New Roman"/>
        </w:rPr>
        <w:t>, 2016 CSC 31, [2016] 1 R.C.S. 906, par. 33). L’assimilation des protections accordées après la déclaration de culpabilité avec celle qui s’applique avant le procès ferait « abstraction d’un fait intermédiaire plutôt crucial : l’accusé a été reconnu coupable d’un crime » (</w:t>
      </w:r>
      <w:r w:rsidRPr="00B51BC1">
        <w:rPr>
          <w:rFonts w:cs="Times New Roman"/>
          <w:i/>
        </w:rPr>
        <w:t>Jones</w:t>
      </w:r>
      <w:r w:rsidRPr="00B51BC1">
        <w:rPr>
          <w:rFonts w:cs="Times New Roman"/>
        </w:rPr>
        <w:t>, p. 286).</w:t>
      </w:r>
    </w:p>
    <w:p w14:paraId="614BCE4E" w14:textId="77777777" w:rsidR="00B51BC1" w:rsidRPr="00B51BC1" w:rsidRDefault="00B51BC1" w:rsidP="00B51BC1">
      <w:pPr>
        <w:pStyle w:val="ParaNoNdepar-AltN"/>
        <w:rPr>
          <w:rFonts w:cs="Times New Roman"/>
        </w:rPr>
      </w:pPr>
      <w:r w:rsidRPr="00B51BC1">
        <w:rPr>
          <w:rFonts w:cs="Times New Roman"/>
        </w:rPr>
        <w:t xml:space="preserve">En résumé, l’équilibre des intérêts visés par l’al. 11b) est sensiblement différent une fois la culpabilité établie. Les droits du contrevenant à la liberté, à la sécurité de sa personne et à un procès équitable demeurent protégés par la Constitution, mais ils sont restreints en raison de la déclaration de culpabilité qui a été prononcée; parallèlement, l’intérêt de la société à ce qu’une peine juste et proportionnée soit infligée en temps utile est accru. Compte tenu de cette nouvelle mise en balance, l’arrêt automatique des procédures décrit dans l’arrêt </w:t>
      </w:r>
      <w:r w:rsidRPr="00B51BC1">
        <w:rPr>
          <w:rFonts w:cs="Times New Roman"/>
          <w:i/>
          <w:iCs/>
        </w:rPr>
        <w:t>Rahey</w:t>
      </w:r>
      <w:r w:rsidRPr="00B51BC1">
        <w:rPr>
          <w:rFonts w:cs="Times New Roman"/>
        </w:rPr>
        <w:t xml:space="preserve"> n’est pas la réparation qu’il convient d’accorder lorsque le délai de détermination de la peine postérieur au prononcé du verdict est déraisonnable.</w:t>
      </w:r>
    </w:p>
    <w:p w14:paraId="343669D7" w14:textId="77777777" w:rsidR="00B51BC1" w:rsidRPr="00B51BC1" w:rsidRDefault="00B51BC1" w:rsidP="00B51BC1">
      <w:pPr>
        <w:pStyle w:val="Title3LevelTitre3Niveau"/>
        <w:rPr>
          <w:rFonts w:cs="Times New Roman"/>
        </w:rPr>
      </w:pPr>
      <w:bookmarkStart w:id="61" w:name="_Toc239845722"/>
      <w:bookmarkStart w:id="62" w:name="_Toc239845741"/>
      <w:r w:rsidRPr="00B51BC1">
        <w:rPr>
          <w:rFonts w:cs="Times New Roman"/>
        </w:rPr>
        <w:lastRenderedPageBreak/>
        <w:t xml:space="preserve">Le paragraphe 24(1) de la </w:t>
      </w:r>
      <w:r w:rsidRPr="00B51BC1">
        <w:rPr>
          <w:rFonts w:cs="Times New Roman"/>
          <w:i/>
        </w:rPr>
        <w:t>Charte</w:t>
      </w:r>
      <w:r w:rsidRPr="00B51BC1">
        <w:rPr>
          <w:rFonts w:cs="Times New Roman"/>
        </w:rPr>
        <w:t xml:space="preserve"> confère un large pouvoir discrétionnaire de réparation</w:t>
      </w:r>
      <w:bookmarkEnd w:id="61"/>
      <w:bookmarkEnd w:id="62"/>
    </w:p>
    <w:p w14:paraId="26873F57" w14:textId="77777777" w:rsidR="00B51BC1" w:rsidRPr="00B51BC1" w:rsidRDefault="00B51BC1" w:rsidP="00B51BC1">
      <w:pPr>
        <w:pStyle w:val="ParaNoNdepar-AltN"/>
        <w:rPr>
          <w:rFonts w:cs="Times New Roman"/>
        </w:rPr>
      </w:pPr>
      <w:bookmarkStart w:id="63" w:name="_Ref239925934"/>
      <w:r w:rsidRPr="00B51BC1">
        <w:rPr>
          <w:rFonts w:cs="Times New Roman"/>
        </w:rPr>
        <w:t xml:space="preserve">Le paragraphe 24(1) de la </w:t>
      </w:r>
      <w:r w:rsidRPr="00B51BC1">
        <w:rPr>
          <w:rFonts w:cs="Times New Roman"/>
          <w:i/>
        </w:rPr>
        <w:t>Charte</w:t>
      </w:r>
      <w:r w:rsidRPr="00B51BC1">
        <w:rPr>
          <w:rFonts w:cs="Times New Roman"/>
        </w:rPr>
        <w:t xml:space="preserve"> confère aux tribunaux compétents un large pouvoir discrétionnaire de réparation. Comme l’a fait remarquer notre Cour, il est « difficile de concevoir comment [un libellé autre que celui du par. 24(1)] pourrait donner au tribunal un pouvoir discrétionnaire plus large et plus absolu » pour élaborer des mesures de réparation (</w:t>
      </w:r>
      <w:r w:rsidRPr="00B51BC1">
        <w:rPr>
          <w:rFonts w:cs="Times New Roman"/>
          <w:i/>
        </w:rPr>
        <w:t>Mills</w:t>
      </w:r>
      <w:r w:rsidRPr="00B51BC1">
        <w:rPr>
          <w:rFonts w:cs="Times New Roman"/>
        </w:rPr>
        <w:t xml:space="preserve"> </w:t>
      </w:r>
      <w:r w:rsidRPr="00B51BC1">
        <w:rPr>
          <w:rFonts w:cs="Times New Roman"/>
          <w:i/>
          <w:iCs/>
        </w:rPr>
        <w:t>c. La Reine</w:t>
      </w:r>
      <w:r w:rsidRPr="00B51BC1">
        <w:rPr>
          <w:rFonts w:cs="Times New Roman"/>
        </w:rPr>
        <w:t>, [1986] 1 R.C.S. 863, p. 965, le juge McIntyre). C’est pourquoi la Cour a souligné à maintes reprises que le par. 24(1) doit recevoir une interprétation large et téléologique, qui laisse aux tribunaux une grande latitude pour déterminer les réparations qu’il convient d’accorder (</w:t>
      </w:r>
      <w:r w:rsidRPr="00B51BC1">
        <w:rPr>
          <w:rFonts w:cs="Times New Roman"/>
          <w:i/>
        </w:rPr>
        <w:t>R. c. Gamble</w:t>
      </w:r>
      <w:r w:rsidRPr="00B51BC1">
        <w:rPr>
          <w:rFonts w:cs="Times New Roman"/>
        </w:rPr>
        <w:t>, [1988] 2 R.C.S. 595;</w:t>
      </w:r>
      <w:r w:rsidRPr="00B51BC1">
        <w:rPr>
          <w:rFonts w:cs="Times New Roman"/>
          <w:i/>
        </w:rPr>
        <w:t xml:space="preserve"> Mills</w:t>
      </w:r>
      <w:r w:rsidRPr="00B51BC1">
        <w:rPr>
          <w:rFonts w:cs="Times New Roman"/>
        </w:rPr>
        <w:t>). Cette disposition vise à assurer des réparations efficaces et utiles, non seulement pour les demandeurs individuels, mais pour l’ensemble de la société. Si ce pouvoir discrétionnaire est large, il n’est toutefois pas illimité : les réparations doivent malgré tout tenir compte de la nature de la violation ainsi que des intérêts touchés (</w:t>
      </w:r>
      <w:r w:rsidRPr="00B51BC1">
        <w:rPr>
          <w:rFonts w:cs="Times New Roman"/>
          <w:i/>
        </w:rPr>
        <w:t>Vancouver (Ville) c. Ward</w:t>
      </w:r>
      <w:r w:rsidRPr="00B51BC1">
        <w:rPr>
          <w:rFonts w:cs="Times New Roman"/>
        </w:rPr>
        <w:t>, 2010 CSC 27, [2010] 2 R.C.S. 28, par. 19).</w:t>
      </w:r>
      <w:bookmarkEnd w:id="63"/>
    </w:p>
    <w:p w14:paraId="2D95A51A" w14:textId="77777777" w:rsidR="00B51BC1" w:rsidRPr="00B51BC1" w:rsidRDefault="00B51BC1" w:rsidP="00B51BC1">
      <w:pPr>
        <w:pStyle w:val="ParaNoNdepar-AltN"/>
        <w:rPr>
          <w:rFonts w:cs="Times New Roman"/>
        </w:rPr>
      </w:pPr>
      <w:r w:rsidRPr="00B51BC1">
        <w:rPr>
          <w:rFonts w:cs="Times New Roman"/>
        </w:rPr>
        <w:t xml:space="preserve">Une fois la culpabilité établie, l’intérêt qu’a la société à ce qu’une peine juste soit infligée rapidement est amplifié, tandis que les droits du contrevenant protégés par l’al. 11b) demeurent, mais sont désormais restreints. L’analyse de la réparation à accorder doit donc tenir compte de l’évolution du dossier. La réparation doit réellement répondre à la violation de la </w:t>
      </w:r>
      <w:r w:rsidRPr="00B51BC1">
        <w:rPr>
          <w:rFonts w:cs="Times New Roman"/>
          <w:i/>
        </w:rPr>
        <w:t xml:space="preserve">Charte </w:t>
      </w:r>
      <w:r w:rsidRPr="00B51BC1">
        <w:rPr>
          <w:rFonts w:cs="Times New Roman"/>
        </w:rPr>
        <w:t>sans perdre de vue que la déclaration de culpabilité a été obtenue légalement et qu’elle n’est pas viciée par le délai.</w:t>
      </w:r>
    </w:p>
    <w:p w14:paraId="60EBAEA2" w14:textId="77777777" w:rsidR="00B51BC1" w:rsidRPr="00B51BC1" w:rsidRDefault="00B51BC1" w:rsidP="00B51BC1">
      <w:pPr>
        <w:pStyle w:val="ParaNoNdepar-AltN"/>
        <w:rPr>
          <w:rFonts w:cs="Times New Roman"/>
        </w:rPr>
      </w:pPr>
      <w:r w:rsidRPr="00B51BC1">
        <w:rPr>
          <w:rFonts w:cs="Times New Roman"/>
        </w:rPr>
        <w:lastRenderedPageBreak/>
        <w:t>Lorsque le délai de détermination de la peine postérieur au prononcé du verdict est déraisonnable, il convient habituellement d’accorder une réduction de peine. Un délai déraisonnable de détermination de la peine peut prolonger l’incertitude et les restrictions à la liberté, et retarder le début ou la fin de la peine. Une réparation axée sur la peine tient directement compte de ces préjudices et peut, dans la mesure du possible, replacer le contrevenant dans la situation où il aurait été si le processus de détermination de la peine n’avait pas été nettement plus long qu’il aurait dû raisonnablement l’être.</w:t>
      </w:r>
    </w:p>
    <w:p w14:paraId="4C977509" w14:textId="77777777" w:rsidR="00B51BC1" w:rsidRPr="00B51BC1" w:rsidRDefault="00B51BC1" w:rsidP="00B51BC1">
      <w:pPr>
        <w:pStyle w:val="ParaNoNdepar-AltN"/>
        <w:rPr>
          <w:rFonts w:cs="Times New Roman"/>
        </w:rPr>
      </w:pPr>
      <w:r w:rsidRPr="00B51BC1">
        <w:rPr>
          <w:rFonts w:cs="Times New Roman"/>
        </w:rPr>
        <w:t xml:space="preserve">Dans certains cas, le délai peut être considéré comme une circonstance atténuante, même en l’absence d’une violation de la </w:t>
      </w:r>
      <w:r w:rsidRPr="00B51BC1">
        <w:rPr>
          <w:rFonts w:cs="Times New Roman"/>
          <w:i/>
        </w:rPr>
        <w:t xml:space="preserve">Charte </w:t>
      </w:r>
      <w:r w:rsidRPr="00B51BC1">
        <w:rPr>
          <w:rFonts w:cs="Times New Roman"/>
        </w:rPr>
        <w:t>(</w:t>
      </w:r>
      <w:r w:rsidRPr="00B51BC1">
        <w:rPr>
          <w:rFonts w:cs="Times New Roman"/>
          <w:i/>
        </w:rPr>
        <w:t>R. c. Nasogaluak</w:t>
      </w:r>
      <w:r w:rsidRPr="00B51BC1">
        <w:rPr>
          <w:rFonts w:cs="Times New Roman"/>
        </w:rPr>
        <w:t xml:space="preserve">, 2010 CSC 6, [2010] 1 R.C.S. 206, par. 53, renvoyant à </w:t>
      </w:r>
      <w:r w:rsidRPr="00B51BC1">
        <w:rPr>
          <w:rFonts w:cs="Times New Roman"/>
          <w:i/>
        </w:rPr>
        <w:t>R. c. Bosley</w:t>
      </w:r>
      <w:r w:rsidRPr="00B51BC1">
        <w:rPr>
          <w:rFonts w:cs="Times New Roman"/>
        </w:rPr>
        <w:t xml:space="preserve"> (1992), 18 C.R. (4th) 347 (C.A. Ont.); </w:t>
      </w:r>
      <w:r w:rsidRPr="00B51BC1">
        <w:rPr>
          <w:rFonts w:cs="Times New Roman"/>
          <w:i/>
        </w:rPr>
        <w:t>R. c. Leaver</w:t>
      </w:r>
      <w:r w:rsidRPr="00B51BC1">
        <w:rPr>
          <w:rFonts w:cs="Times New Roman"/>
        </w:rPr>
        <w:t xml:space="preserve"> (1996), 3 C.R. (5th) 138 (C.A. Ont.); </w:t>
      </w:r>
      <w:r w:rsidRPr="00B51BC1">
        <w:rPr>
          <w:rFonts w:cs="Times New Roman"/>
          <w:i/>
        </w:rPr>
        <w:t>R. c. Panousis</w:t>
      </w:r>
      <w:r w:rsidRPr="00B51BC1">
        <w:rPr>
          <w:rFonts w:cs="Times New Roman"/>
        </w:rPr>
        <w:t>, 2002 ABQB 1109, 329 A.R. 47). Toutefois, lorsque le processus de détermination de la peine est déraisonnable sur le plan constitutionnel, le fondement de la réduction de peine est distinct (</w:t>
      </w:r>
      <w:r w:rsidRPr="00B51BC1">
        <w:rPr>
          <w:rFonts w:cs="Times New Roman"/>
          <w:i/>
        </w:rPr>
        <w:t>Nasogaluak</w:t>
      </w:r>
      <w:r w:rsidRPr="00B51BC1">
        <w:rPr>
          <w:rFonts w:cs="Times New Roman"/>
        </w:rPr>
        <w:t>, par. 64). La réduction ne fait pas partie du processus ordinaire de modulation d’une peine appropriée pour l’infraction commise et pour le contrevenant en cause, et elle ne devrait pas être considérée comme une mesure d’atténuation « majorée ». Il s’agit d’une réparation constitutionnelle fondée sur le par. 24(1) axée sur la violation elle-même. La réduction répond à la transgression du droit qui s’est produite, à savoir un délai déraisonnable dans le processus de détermination de la peine.</w:t>
      </w:r>
    </w:p>
    <w:p w14:paraId="6971C198" w14:textId="77777777" w:rsidR="00B51BC1" w:rsidRPr="00B51BC1" w:rsidRDefault="00B51BC1" w:rsidP="00B51BC1">
      <w:pPr>
        <w:pStyle w:val="ParaNoNdepar-AltN"/>
        <w:rPr>
          <w:rFonts w:cs="Times New Roman"/>
        </w:rPr>
      </w:pPr>
      <w:r w:rsidRPr="00B51BC1">
        <w:rPr>
          <w:rFonts w:cs="Times New Roman"/>
        </w:rPr>
        <w:lastRenderedPageBreak/>
        <w:t>Par contre, le par. 24(1) ne fait pas de la réduction de peine l’unique réparation à la disposition des tribunaux. Ceux-ci possèdent un large pouvoir discrétionnaire pour accorder une réparation en vertu du par. 24(1) (</w:t>
      </w:r>
      <w:r w:rsidRPr="00B51BC1">
        <w:rPr>
          <w:rFonts w:cs="Times New Roman"/>
          <w:i/>
        </w:rPr>
        <w:t>Mills</w:t>
      </w:r>
      <w:r w:rsidRPr="00B51BC1">
        <w:rPr>
          <w:rFonts w:cs="Times New Roman"/>
        </w:rPr>
        <w:t xml:space="preserve">, p. 973-974, le juge La Forest). Un arrêt des procédures peut s’avérer une réparation « convenable et juste » pour le délai de détermination de la peine postérieure au prononcé du verdict, bien qu’une telle réparation </w:t>
      </w:r>
      <w:proofErr w:type="gramStart"/>
      <w:r w:rsidRPr="00B51BC1">
        <w:rPr>
          <w:rFonts w:cs="Times New Roman"/>
        </w:rPr>
        <w:t>sera</w:t>
      </w:r>
      <w:proofErr w:type="gramEnd"/>
      <w:r w:rsidRPr="00B51BC1">
        <w:rPr>
          <w:rFonts w:cs="Times New Roman"/>
        </w:rPr>
        <w:t xml:space="preserve"> vraisemblablement « rar[e] » et limitée aux « cas manifestes » (</w:t>
      </w:r>
      <w:r w:rsidRPr="00B51BC1">
        <w:rPr>
          <w:rFonts w:cs="Times New Roman"/>
          <w:i/>
        </w:rPr>
        <w:t>K.G.K.</w:t>
      </w:r>
      <w:r w:rsidRPr="00B51BC1">
        <w:rPr>
          <w:rFonts w:cs="Times New Roman"/>
        </w:rPr>
        <w:t xml:space="preserve">, par. 65, citant </w:t>
      </w:r>
      <w:r w:rsidRPr="00B51BC1">
        <w:rPr>
          <w:rFonts w:cs="Times New Roman"/>
          <w:i/>
        </w:rPr>
        <w:t>Jordan</w:t>
      </w:r>
      <w:r w:rsidRPr="00B51BC1">
        <w:rPr>
          <w:rFonts w:cs="Times New Roman"/>
        </w:rPr>
        <w:t>, par. 48). Cependant, le par. 24(1) exige que cette conclusion soit tirée au terme d’une considération adéquate de tous les facteurs pertinents, et non sur la base d’une présomption. L’arrêt des procédures est « l’ultime réparation » et il est réservé aux « cas les plus manifestes » (</w:t>
      </w:r>
      <w:r w:rsidRPr="00B51BC1">
        <w:rPr>
          <w:rFonts w:cs="Times New Roman"/>
          <w:i/>
        </w:rPr>
        <w:t>Canada (Ministre de la Citoyenneté et de l’Immigration) c. Tobiass</w:t>
      </w:r>
      <w:r w:rsidRPr="00B51BC1">
        <w:rPr>
          <w:rFonts w:cs="Times New Roman"/>
        </w:rPr>
        <w:t xml:space="preserve">, [1997] 3 R.C.S. 391, par. 86 et 110; </w:t>
      </w:r>
      <w:r w:rsidRPr="00B51BC1">
        <w:rPr>
          <w:rFonts w:cs="Times New Roman"/>
          <w:i/>
        </w:rPr>
        <w:t>R. c. O’Connor</w:t>
      </w:r>
      <w:r w:rsidRPr="00B51BC1">
        <w:rPr>
          <w:rFonts w:cs="Times New Roman"/>
        </w:rPr>
        <w:t>, [1995] 4 R.C.S. 411, par. 69). La Cour a invariablement exigé qu’un arrêt des procédures ne soit accordé que dans les cas suivants : (i) l’abus est révélé ou aggravé par le déroulement du procès; (ii) aucune autre réparation n’est susceptible de corriger le préjudice; (iii) s’il subsiste une incertitude, la balance des intérêts penche en faveur du « fait de dénoncer la conduite répréhensible et de préserver l’intégrité du système de justice » plutôt que des intérêts opposés de la société à ce qu’une décision soit rendue sur le fond (</w:t>
      </w:r>
      <w:r w:rsidRPr="00B51BC1">
        <w:rPr>
          <w:rFonts w:cs="Times New Roman"/>
          <w:i/>
        </w:rPr>
        <w:t>R. c. Brunelle</w:t>
      </w:r>
      <w:r w:rsidRPr="00B51BC1">
        <w:rPr>
          <w:rFonts w:cs="Times New Roman"/>
        </w:rPr>
        <w:t xml:space="preserve">, 2024 CSC 3, par. 29; </w:t>
      </w:r>
      <w:r w:rsidRPr="00B51BC1">
        <w:rPr>
          <w:rFonts w:cs="Times New Roman"/>
          <w:i/>
        </w:rPr>
        <w:t>R. c. Regan</w:t>
      </w:r>
      <w:r w:rsidRPr="00B51BC1">
        <w:rPr>
          <w:rFonts w:cs="Times New Roman"/>
        </w:rPr>
        <w:t xml:space="preserve">, 2002 CSC 12, [2002] 1 R.C.S. 297, par. 54 et 57; </w:t>
      </w:r>
      <w:r w:rsidRPr="00B51BC1">
        <w:rPr>
          <w:rFonts w:cs="Times New Roman"/>
          <w:i/>
        </w:rPr>
        <w:t>R. c. Babos</w:t>
      </w:r>
      <w:r w:rsidRPr="00B51BC1">
        <w:rPr>
          <w:rFonts w:cs="Times New Roman"/>
        </w:rPr>
        <w:t>, 2014 CSC 16, [2014] 1 R.C.S. 309, par. 32).</w:t>
      </w:r>
    </w:p>
    <w:p w14:paraId="4C1CD091" w14:textId="77777777" w:rsidR="00B51BC1" w:rsidRPr="00B51BC1" w:rsidRDefault="00B51BC1" w:rsidP="00B51BC1">
      <w:pPr>
        <w:pStyle w:val="ParaNoNdepar-AltN"/>
        <w:rPr>
          <w:rFonts w:cs="Times New Roman"/>
        </w:rPr>
      </w:pPr>
      <w:r w:rsidRPr="00B51BC1">
        <w:rPr>
          <w:rFonts w:cs="Times New Roman"/>
        </w:rPr>
        <w:t xml:space="preserve">L’effet d’un arrêt des procédures est fondamentalement différent dans le contexte postérieur au prononcé du verdict. Dans le contexte antérieur au prononcé </w:t>
      </w:r>
      <w:r w:rsidRPr="00B51BC1">
        <w:rPr>
          <w:rFonts w:cs="Times New Roman"/>
        </w:rPr>
        <w:lastRenderedPageBreak/>
        <w:t>d’un verdict, un arrêt des procédures met un terme à la poursuite de l’accusé parce qu’un délai déraisonnable entache la décision concernant la culpabilité. En revanche, après une déclaration de culpabilité, la « procédure » porte sur la détermination de la peine, et non sur la culpabilité. Un arrêt des procédures a donc un effet prospectif; il met fin au processus de détermination de la peine sans modifier la déclaration de culpabilité valide, qui n’a pas été touchée par la violation. Cet effet reflète la nature prospective de la réparation : le droit n’annule pas les procédures terminées et non viciées; il met un terme à ce qui reste. L’annulation d’une déclaration de culpabilité légale en raison du délai postérieur au prononcé du verdict constituerait un avantage injustifié qui irait à l’encontre de l’exigence énoncée au par. 24(1), selon laquelle les réparations doivent être convenables et justes eu égard aux circonstances.</w:t>
      </w:r>
    </w:p>
    <w:p w14:paraId="087A172E" w14:textId="77777777" w:rsidR="00B51BC1" w:rsidRPr="00B51BC1" w:rsidRDefault="00B51BC1" w:rsidP="00B51BC1">
      <w:pPr>
        <w:pStyle w:val="ParaNoNdepar-AltN"/>
        <w:tabs>
          <w:tab w:val="clear" w:pos="1152"/>
          <w:tab w:val="left" w:pos="1166"/>
        </w:tabs>
        <w:rPr>
          <w:rFonts w:cs="Times New Roman"/>
        </w:rPr>
      </w:pPr>
      <w:r w:rsidRPr="00B51BC1">
        <w:rPr>
          <w:rFonts w:cs="Times New Roman"/>
        </w:rPr>
        <w:t>Certes, j’ai traité de la réduction de la peine et de l’arrêt des procédures à titre de réparations possibles, mais « [c]e large pouvoir discrétionnaire n’est tout simplement pas réductible à une espèce de formule obligatoire d’application générale à tous les cas, et les tribunaux d’appel ne sont nullement autorisés à s’approprier ce large pouvoir discrétionnaire ni à en restreindre la portée » (</w:t>
      </w:r>
      <w:r w:rsidRPr="00B51BC1">
        <w:rPr>
          <w:rFonts w:cs="Times New Roman"/>
          <w:i/>
        </w:rPr>
        <w:t>Mills</w:t>
      </w:r>
      <w:r w:rsidRPr="00B51BC1">
        <w:rPr>
          <w:rFonts w:cs="Times New Roman"/>
        </w:rPr>
        <w:t xml:space="preserve">, p. 965, le juge McIntyre). Le par. 24(1) confère aux tribunaux le pouvoir d’accorder des réparations adaptées et innovatrices, en remplaçant, entre les mains des juges « la hache par le scalpel [. . .] un outil qui permet de façonner mieux que jamais des solutions qui tiennent compte, d’une part, des préoccupations parfois complémentaires et parfois contraires que sont l’équité envers les individus, et, d’autre part, les intérêts de la </w:t>
      </w:r>
      <w:r w:rsidRPr="00B51BC1">
        <w:rPr>
          <w:rFonts w:cs="Times New Roman"/>
        </w:rPr>
        <w:lastRenderedPageBreak/>
        <w:t>société et l’intégrité du système judiciaire » (</w:t>
      </w:r>
      <w:r w:rsidRPr="00B51BC1">
        <w:rPr>
          <w:rFonts w:cs="Times New Roman"/>
          <w:i/>
        </w:rPr>
        <w:t>O’Connor</w:t>
      </w:r>
      <w:r w:rsidRPr="00B51BC1">
        <w:rPr>
          <w:rFonts w:cs="Times New Roman"/>
        </w:rPr>
        <w:t>, par. 69). L’étendue du pouvoir discrétionnaire de réparation demeure la même après le prononcé du verdict.</w:t>
      </w:r>
    </w:p>
    <w:p w14:paraId="4ED804A5" w14:textId="77777777" w:rsidR="00B51BC1" w:rsidRPr="00B51BC1" w:rsidRDefault="00B51BC1" w:rsidP="00B51BC1">
      <w:pPr>
        <w:pStyle w:val="Title2LevelTitre2Niveau"/>
        <w:rPr>
          <w:rFonts w:cs="Times New Roman"/>
        </w:rPr>
      </w:pPr>
      <w:bookmarkStart w:id="64" w:name="_Toc239845723"/>
      <w:bookmarkStart w:id="65" w:name="_Toc239845742"/>
      <w:r w:rsidRPr="00B51BC1">
        <w:rPr>
          <w:rFonts w:cs="Times New Roman"/>
        </w:rPr>
        <w:t>Application</w:t>
      </w:r>
      <w:bookmarkEnd w:id="64"/>
      <w:bookmarkEnd w:id="65"/>
    </w:p>
    <w:p w14:paraId="50370BFA" w14:textId="77777777" w:rsidR="00B51BC1" w:rsidRPr="00B51BC1" w:rsidRDefault="00B51BC1" w:rsidP="00B51BC1">
      <w:pPr>
        <w:pStyle w:val="ParaNoNdepar-AltN"/>
        <w:rPr>
          <w:rFonts w:cs="Times New Roman"/>
        </w:rPr>
      </w:pPr>
      <w:bookmarkStart w:id="66" w:name="_Ref239925946"/>
      <w:r w:rsidRPr="00B51BC1">
        <w:rPr>
          <w:rFonts w:cs="Times New Roman"/>
        </w:rPr>
        <w:t>La Cour d’appel a commis une erreur de droit lorsqu’elle a conclu qu’un délai de détermination de la peine postérieur au prononcé du verdict de plus de cinq mois est présumé déraisonnable suivant l’al. 11b). La question qu’il convenait de se poser était celle de savoir si le délai était nettement plus long qu’il aurait dû raisonnablement l’être compte tenu de l’ensemble des circonstances. Cela étant dit, cette erreur est sans importance. Vu les faits de l’espèce, je suis convaincue que le temps qu’il a fallu pour mener à terme la procédure de détermination de la peine a été nettement plus long qu’il aurait dû raisonnablement l’être. Par conséquent, la Cour d’appel a eu raison de conclure qu’il y avait eu violation de l’al. 11b) en l’espèce.</w:t>
      </w:r>
      <w:bookmarkEnd w:id="66"/>
    </w:p>
    <w:p w14:paraId="6AD34E15" w14:textId="77777777" w:rsidR="00B51BC1" w:rsidRPr="00B51BC1" w:rsidRDefault="00B51BC1" w:rsidP="00B51BC1">
      <w:pPr>
        <w:pStyle w:val="ParaNoNdepar-AltN"/>
        <w:rPr>
          <w:rFonts w:cs="Times New Roman"/>
        </w:rPr>
      </w:pPr>
      <w:r w:rsidRPr="00B51BC1">
        <w:rPr>
          <w:rFonts w:cs="Times New Roman"/>
        </w:rPr>
        <w:t xml:space="preserve">La principale source de complexité relevée par la juge du procès concernait les conséquences indirectes en matière d’immigration de la déclaration de culpabilité de l’appelant. Le besoin de comprendre ces conséquences était légitime, mais la question en soi n’était ni nouvelle ni exceptionnellement complexe, et les principes juridiques applicables étaient bien établis. De plus, la question des conséquences indirectes a été soulevée relativement tôt dans le processus de détermination de la peine et a été traitée dans une première lettre d’opinion datée du 19 février 2022. La juge du procès a toutefois demandé des renseignements et des observations supplémentaires sur la question des conséquences indirectes le 24 mai 2022 et le 16 septembre 2022, ce </w:t>
      </w:r>
      <w:r w:rsidRPr="00B51BC1">
        <w:rPr>
          <w:rFonts w:cs="Times New Roman"/>
        </w:rPr>
        <w:lastRenderedPageBreak/>
        <w:t>qui a donné lieu à deux autres lettres d’opinion. Une fois que les préoccupations de la juge du procès sont devenues manifestes, elles auraient dû être définies et gérées dès que possible afin que le procureur de la Couronne et l’avocat de la défense puissent y répondre de manière ciblée et efficace. Au contraire, la question a été examinée graduellement lors de multiples comparutions, sans qu’une démarche structurée ni un calendrier soient suivis, de sorte que l’examen des conséquences indirectes en matière d’immigration a pris plus de temps qu’il aurait dû raisonnablement prendre.</w:t>
      </w:r>
    </w:p>
    <w:p w14:paraId="47677AC8" w14:textId="77777777" w:rsidR="00B51BC1" w:rsidRPr="00B51BC1" w:rsidRDefault="00B51BC1" w:rsidP="00B51BC1">
      <w:pPr>
        <w:pStyle w:val="ParaNoNdepar-AltN"/>
        <w:rPr>
          <w:rFonts w:cs="Times New Roman"/>
        </w:rPr>
      </w:pPr>
      <w:r w:rsidRPr="00B51BC1">
        <w:rPr>
          <w:rFonts w:cs="Times New Roman"/>
        </w:rPr>
        <w:t>D’autres portions du délai sont imputables à des ajournements en vue d’obtenir des transcriptions, à l’indisponibilité d’avocats, à des difficultés techniques ainsi qu’à des situations où la juge ne pouvait pas être présente en raison de circonstances imprévues. Aucun de ces facteurs pris isolément n’est exceptionnel. Or, l’analyse est cumulative. Lorsque ces différentes périodes sont examinées ensemble, en tenant compte de la complexité moyenne du dossier et de l’examen graduel de la question de l’immigration, elles n’expliquent pas de façon satisfaisante le temps qui s’est écoulé avant que la peine soit déterminée. Au vu de l’ensemble du dossier, la procédure de détermination de la peine a été nettement plus longue qu’elle aurait dû raisonnablement l’être.</w:t>
      </w:r>
    </w:p>
    <w:p w14:paraId="67DE2DEF" w14:textId="77777777" w:rsidR="00B51BC1" w:rsidRPr="00B51BC1" w:rsidRDefault="00B51BC1" w:rsidP="00B51BC1">
      <w:pPr>
        <w:pStyle w:val="ParaNoNdepar-AltN"/>
        <w:rPr>
          <w:rFonts w:cs="Times New Roman"/>
        </w:rPr>
      </w:pPr>
      <w:r w:rsidRPr="00B51BC1">
        <w:rPr>
          <w:rFonts w:cs="Times New Roman"/>
        </w:rPr>
        <w:t xml:space="preserve">Quant à la réparation, la Cour d’appel a conclu que la réparation convenable et juste pour la violation de l’al. 11b) est la réduction de la peine d’emprisonnement avec sursis de deux ans moins un jour à une peine d’emprisonnement avec sursis de 20 mois. Bien que la Cour d’appel ait commis une </w:t>
      </w:r>
      <w:r w:rsidRPr="00B51BC1">
        <w:rPr>
          <w:rFonts w:cs="Times New Roman"/>
        </w:rPr>
        <w:lastRenderedPageBreak/>
        <w:t xml:space="preserve">erreur en appliquant l’arrêt </w:t>
      </w:r>
      <w:r w:rsidRPr="00B51BC1">
        <w:rPr>
          <w:rFonts w:cs="Times New Roman"/>
          <w:i/>
        </w:rPr>
        <w:t>Charley</w:t>
      </w:r>
      <w:r w:rsidRPr="00B51BC1">
        <w:rPr>
          <w:rFonts w:cs="Times New Roman"/>
        </w:rPr>
        <w:t xml:space="preserve">, son évaluation de la réparation reflétait la portée du délai inconstitutionnel postérieur au prononcé du verdict, lequel a raisonnablement été quantifié à environ quatre mois. Je suis d’avis d’accepter cette conclusion en tant que réparation appropriée et proportionnée dans les circonstances. </w:t>
      </w:r>
    </w:p>
    <w:p w14:paraId="51951D83" w14:textId="77777777" w:rsidR="00B51BC1" w:rsidRPr="00B51BC1" w:rsidRDefault="00B51BC1" w:rsidP="00B51BC1">
      <w:pPr>
        <w:pStyle w:val="Title1LevelTitre1Niveau-AltL"/>
        <w:rPr>
          <w:rFonts w:cs="Times New Roman"/>
        </w:rPr>
      </w:pPr>
      <w:bookmarkStart w:id="67" w:name="_Toc239845724"/>
      <w:bookmarkStart w:id="68" w:name="_Toc239845743"/>
      <w:r w:rsidRPr="00B51BC1">
        <w:rPr>
          <w:rFonts w:cs="Times New Roman"/>
        </w:rPr>
        <w:t>Conclusion</w:t>
      </w:r>
      <w:bookmarkEnd w:id="67"/>
      <w:bookmarkEnd w:id="68"/>
    </w:p>
    <w:p w14:paraId="609A15D0" w14:textId="77777777" w:rsidR="00B51BC1" w:rsidRPr="00B51BC1" w:rsidRDefault="00B51BC1" w:rsidP="00B51BC1">
      <w:pPr>
        <w:pStyle w:val="ParaNoNdepar-AltN"/>
        <w:rPr>
          <w:rFonts w:cs="Times New Roman"/>
        </w:rPr>
      </w:pPr>
      <w:bookmarkStart w:id="69" w:name="_Ref239925951"/>
      <w:r w:rsidRPr="00B51BC1">
        <w:rPr>
          <w:rFonts w:cs="Times New Roman"/>
        </w:rPr>
        <w:t>Par conséquent, je suis d’avis de rejeter le pourvoi.</w:t>
      </w:r>
      <w:bookmarkEnd w:id="69"/>
    </w:p>
    <w:p w14:paraId="1243A3A2" w14:textId="77777777" w:rsidR="00106AE1" w:rsidRPr="00B51BC1" w:rsidRDefault="0007482D">
      <w:pPr>
        <w:pStyle w:val="SCCNormalDoubleSpacing"/>
        <w:spacing w:after="480"/>
        <w:rPr>
          <w:i/>
          <w:lang w:val="fr-CA"/>
        </w:rPr>
      </w:pPr>
      <w:r w:rsidRPr="00B51BC1">
        <w:rPr>
          <w:lang w:val="fr-CA"/>
        </w:rPr>
        <w:tab/>
      </w:r>
      <w:r w:rsidRPr="00B51BC1">
        <w:rPr>
          <w:i/>
          <w:lang w:val="fr-CA"/>
        </w:rPr>
        <w:t>Pourvoi rejeté.</w:t>
      </w:r>
    </w:p>
    <w:p w14:paraId="47E933E0" w14:textId="77777777" w:rsidR="00106AE1" w:rsidRPr="00B51BC1" w:rsidRDefault="0007482D">
      <w:pPr>
        <w:pStyle w:val="SCCLawFirm"/>
        <w:spacing w:after="480"/>
        <w:rPr>
          <w:lang w:val="fr-CA"/>
        </w:rPr>
      </w:pPr>
      <w:r w:rsidRPr="00B51BC1">
        <w:rPr>
          <w:lang w:val="fr-CA"/>
        </w:rPr>
        <w:tab/>
        <w:t>Procureurs de l’appelant : Savards, Toronto.</w:t>
      </w:r>
    </w:p>
    <w:p w14:paraId="5877F0CA" w14:textId="77777777" w:rsidR="00106AE1" w:rsidRPr="00B51BC1" w:rsidRDefault="0007482D">
      <w:pPr>
        <w:pStyle w:val="SCCLawFirm"/>
        <w:spacing w:after="480"/>
        <w:rPr>
          <w:lang w:val="fr-CA"/>
        </w:rPr>
      </w:pPr>
      <w:r w:rsidRPr="00B51BC1">
        <w:rPr>
          <w:lang w:val="fr-CA"/>
        </w:rPr>
        <w:tab/>
        <w:t xml:space="preserve">Procureur de l’intimé : Ministère du Procureur général de l’Ontario — </w:t>
      </w:r>
      <w:r w:rsidRPr="00B51BC1">
        <w:rPr>
          <w:iCs/>
          <w:color w:val="000000"/>
          <w:lang w:val="fr-CA"/>
        </w:rPr>
        <w:t>Bureau des avocats de la Couronne — Droit criminel</w:t>
      </w:r>
      <w:r w:rsidRPr="00B51BC1">
        <w:rPr>
          <w:lang w:val="fr-CA"/>
        </w:rPr>
        <w:t xml:space="preserve">, Toronto. </w:t>
      </w:r>
    </w:p>
    <w:p w14:paraId="0C5D5C1D" w14:textId="77777777" w:rsidR="00106AE1" w:rsidRPr="00B51BC1" w:rsidRDefault="0007482D">
      <w:pPr>
        <w:pStyle w:val="SCCLawFirm"/>
        <w:spacing w:after="480"/>
        <w:rPr>
          <w:lang w:val="fr-CA"/>
        </w:rPr>
      </w:pPr>
      <w:r w:rsidRPr="00B51BC1">
        <w:rPr>
          <w:lang w:val="fr-CA"/>
        </w:rPr>
        <w:tab/>
        <w:t xml:space="preserve">Procureur de l’intervenant le directeur des poursuites pénales : </w:t>
      </w:r>
      <w:r w:rsidRPr="00B51BC1">
        <w:rPr>
          <w:iCs/>
          <w:color w:val="000000"/>
          <w:lang w:val="fr-CA"/>
        </w:rPr>
        <w:t>Service des poursuites pénales du Canada</w:t>
      </w:r>
      <w:r w:rsidRPr="00B51BC1">
        <w:rPr>
          <w:lang w:val="fr-CA"/>
        </w:rPr>
        <w:t>, Halifax.</w:t>
      </w:r>
    </w:p>
    <w:p w14:paraId="74A37922" w14:textId="77777777" w:rsidR="00106AE1" w:rsidRPr="00B51BC1" w:rsidRDefault="0007482D">
      <w:pPr>
        <w:pStyle w:val="SCCNormalDoubleSpacing"/>
        <w:spacing w:after="480"/>
        <w:rPr>
          <w:i/>
          <w:lang w:val="fr-CA"/>
        </w:rPr>
      </w:pPr>
      <w:r w:rsidRPr="00B51BC1">
        <w:rPr>
          <w:lang w:val="fr-CA"/>
        </w:rPr>
        <w:tab/>
      </w:r>
      <w:r w:rsidRPr="00B51BC1">
        <w:rPr>
          <w:i/>
          <w:lang w:val="fr-CA"/>
        </w:rPr>
        <w:t>Procureur de l’intervenant le procureur général du Québec : Ministère de la Justice du Québec — Direction du droit constitutionnel et autochtone, Québec.</w:t>
      </w:r>
    </w:p>
    <w:p w14:paraId="3E6AFAD2" w14:textId="77777777" w:rsidR="00106AE1" w:rsidRPr="00B51BC1" w:rsidRDefault="0007482D">
      <w:pPr>
        <w:pStyle w:val="SCCNormalDoubleSpacing"/>
        <w:spacing w:after="480"/>
        <w:rPr>
          <w:i/>
          <w:lang w:val="fr-CA"/>
        </w:rPr>
      </w:pPr>
      <w:r w:rsidRPr="00B51BC1">
        <w:rPr>
          <w:i/>
          <w:lang w:val="fr-CA"/>
        </w:rPr>
        <w:tab/>
        <w:t>Procureur de l’intervenant le procureur général de la Nouvelle-Écosse : Nova Scotia Public Prosecution Service, Halifax.</w:t>
      </w:r>
    </w:p>
    <w:p w14:paraId="292532AA" w14:textId="77777777" w:rsidR="00106AE1" w:rsidRPr="00B51BC1" w:rsidRDefault="0007482D">
      <w:pPr>
        <w:pStyle w:val="SCCNormalDoubleSpacing"/>
        <w:spacing w:after="480"/>
        <w:rPr>
          <w:i/>
          <w:lang w:val="fr-CA"/>
        </w:rPr>
      </w:pPr>
      <w:r w:rsidRPr="00B51BC1">
        <w:rPr>
          <w:i/>
          <w:lang w:val="fr-CA"/>
        </w:rPr>
        <w:lastRenderedPageBreak/>
        <w:tab/>
        <w:t>Procureur de l’intervenant le procureur général du Manitoba : Procureur général du Manitoba — Direction des services juridiques — Section de droit constitutionnel, Winnipeg.</w:t>
      </w:r>
    </w:p>
    <w:p w14:paraId="13157E93" w14:textId="77777777" w:rsidR="00106AE1" w:rsidRPr="00B51BC1" w:rsidRDefault="0007482D">
      <w:pPr>
        <w:pStyle w:val="SCCLawFirm"/>
        <w:spacing w:after="480"/>
        <w:rPr>
          <w:lang w:val="fr-CA"/>
        </w:rPr>
      </w:pPr>
      <w:r w:rsidRPr="00B51BC1">
        <w:rPr>
          <w:lang w:val="fr-CA"/>
        </w:rPr>
        <w:tab/>
        <w:t>Procureur de l’intervenant le procureur général de la Colombie-Britannique : Attorney General of British Columbia, Criminal Appeals &amp; Special Prosecutions, Vancouver.</w:t>
      </w:r>
    </w:p>
    <w:p w14:paraId="3AA58693" w14:textId="77777777" w:rsidR="00106AE1" w:rsidRPr="00B51BC1" w:rsidRDefault="0007482D">
      <w:pPr>
        <w:pStyle w:val="SCCLawFirm"/>
        <w:spacing w:after="480"/>
        <w:rPr>
          <w:lang w:val="fr-CA"/>
        </w:rPr>
      </w:pPr>
      <w:r w:rsidRPr="00B51BC1">
        <w:rPr>
          <w:lang w:val="fr-CA"/>
        </w:rPr>
        <w:tab/>
        <w:t>Procureur de l’intervenant le procureur général de l’Alberta : Alberta Crown Prosecution Service — Appeals and Specialized Prosecutions Office, Calgary.</w:t>
      </w:r>
    </w:p>
    <w:p w14:paraId="7B287F94" w14:textId="77777777" w:rsidR="00106AE1" w:rsidRPr="00B51BC1" w:rsidRDefault="0007482D">
      <w:pPr>
        <w:pStyle w:val="SCCLawFirm"/>
        <w:spacing w:after="480"/>
        <w:rPr>
          <w:lang w:val="fr-CA"/>
        </w:rPr>
      </w:pPr>
      <w:r w:rsidRPr="00B51BC1">
        <w:rPr>
          <w:lang w:val="fr-CA"/>
        </w:rPr>
        <w:tab/>
        <w:t>Procureur de l’intervenant le directeur des poursuites criminelles et pénales : Directeur des poursuites criminelles et pénales, Montréal.</w:t>
      </w:r>
    </w:p>
    <w:p w14:paraId="5BB34A39" w14:textId="77777777" w:rsidR="00106AE1" w:rsidRPr="00B51BC1" w:rsidRDefault="0007482D">
      <w:pPr>
        <w:pStyle w:val="SCCLawFirm"/>
        <w:spacing w:after="480"/>
        <w:rPr>
          <w:lang w:val="fr-CA"/>
        </w:rPr>
      </w:pPr>
      <w:r w:rsidRPr="00B51BC1">
        <w:rPr>
          <w:lang w:val="fr-CA"/>
        </w:rPr>
        <w:tab/>
        <w:t>Procureurs de l’intervenante l’Association québécoise des avocats et avocates de la défense : Centre communautaire juridique de l’Abitibi-Témiscamingue, Val-D’Or; Caroline Jennis, Avocate, Montréal.</w:t>
      </w:r>
    </w:p>
    <w:p w14:paraId="0833577C" w14:textId="77777777" w:rsidR="00106AE1" w:rsidRPr="00B51BC1" w:rsidRDefault="0007482D">
      <w:pPr>
        <w:pStyle w:val="SCCLawFirm"/>
        <w:spacing w:after="480"/>
        <w:rPr>
          <w:lang w:val="fr-CA"/>
        </w:rPr>
      </w:pPr>
      <w:r w:rsidRPr="00B51BC1">
        <w:rPr>
          <w:lang w:val="fr-CA"/>
        </w:rPr>
        <w:tab/>
        <w:t>Procureurs de l’intervenante l’Association canadienne des libertés civiles : Rudnicki &amp; Company, Toronto.</w:t>
      </w:r>
    </w:p>
    <w:p w14:paraId="34AFDD4E" w14:textId="77777777" w:rsidR="00106AE1" w:rsidRPr="00B51BC1" w:rsidRDefault="0007482D">
      <w:pPr>
        <w:pStyle w:val="SCCLawFirm"/>
        <w:spacing w:after="480"/>
        <w:rPr>
          <w:lang w:val="fr-CA"/>
        </w:rPr>
      </w:pPr>
      <w:r w:rsidRPr="00B51BC1">
        <w:rPr>
          <w:lang w:val="fr-CA"/>
        </w:rPr>
        <w:tab/>
        <w:t>Procureurs de l’intervenante British Columbia Civil Liberties Association : Addario Law Group, Toronto.</w:t>
      </w:r>
    </w:p>
    <w:p w14:paraId="59C9C816" w14:textId="77777777" w:rsidR="00106AE1" w:rsidRDefault="0007482D">
      <w:pPr>
        <w:pStyle w:val="SCCLawFirm"/>
        <w:rPr>
          <w:lang w:val="fr-CA"/>
        </w:rPr>
      </w:pPr>
      <w:r w:rsidRPr="00B51BC1">
        <w:rPr>
          <w:lang w:val="fr-CA"/>
        </w:rPr>
        <w:lastRenderedPageBreak/>
        <w:tab/>
        <w:t>Procureurs de l’intervenante Criminal Lawyers’ Association (Ontario) : AGP, Ottawa; Foda Law, Toronto.</w:t>
      </w:r>
    </w:p>
    <w:sectPr w:rsidR="00106AE1" w:rsidSect="008B2253">
      <w:headerReference w:type="default" r:id="rId9"/>
      <w:pgSz w:w="12240" w:h="15840"/>
      <w:pgMar w:top="1267" w:right="2160" w:bottom="720" w:left="1800" w:header="1802"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D6360" w14:textId="77777777" w:rsidR="00243FA1" w:rsidRDefault="00243FA1">
      <w:r>
        <w:separator/>
      </w:r>
    </w:p>
  </w:endnote>
  <w:endnote w:type="continuationSeparator" w:id="0">
    <w:p w14:paraId="15B2F90E" w14:textId="77777777" w:rsidR="00243FA1" w:rsidRDefault="00243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91A86" w14:textId="77777777" w:rsidR="00243FA1" w:rsidRDefault="00243FA1">
      <w:r>
        <w:separator/>
      </w:r>
    </w:p>
  </w:footnote>
  <w:footnote w:type="continuationSeparator" w:id="0">
    <w:p w14:paraId="3CCD7795" w14:textId="77777777" w:rsidR="00243FA1" w:rsidRDefault="00243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505209"/>
      <w:docPartObj>
        <w:docPartGallery w:val="Page Numbers (Top of Page)"/>
        <w:docPartUnique/>
      </w:docPartObj>
    </w:sdtPr>
    <w:sdtContent>
      <w:p w14:paraId="5AF56B69" w14:textId="531D4351" w:rsidR="008B2253" w:rsidRDefault="008B2253">
        <w:pPr>
          <w:pStyle w:val="En-tte"/>
          <w:jc w:val="center"/>
        </w:pPr>
        <w:r>
          <w:fldChar w:fldCharType="begin"/>
        </w:r>
        <w:r>
          <w:instrText>PAGE   \* MERGEFORMAT</w:instrText>
        </w:r>
        <w:r>
          <w:fldChar w:fldCharType="separate"/>
        </w:r>
        <w:r>
          <w:rPr>
            <w:lang w:val="fr-CA"/>
          </w:rPr>
          <w:t>2</w:t>
        </w:r>
        <w:r>
          <w:fldChar w:fldCharType="end"/>
        </w:r>
      </w:p>
    </w:sdtContent>
  </w:sdt>
  <w:p w14:paraId="7A3D5B32" w14:textId="77777777" w:rsidR="008B2253" w:rsidRDefault="008B225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3130A"/>
    <w:multiLevelType w:val="multilevel"/>
    <w:tmpl w:val="57642F48"/>
    <w:lvl w:ilvl="0">
      <w:start w:val="1"/>
      <w:numFmt w:val="upperRoman"/>
      <w:pStyle w:val="Title1LevelTitre1Niveau-AltL"/>
      <w:lvlText w:val="%1."/>
      <w:lvlJc w:val="left"/>
      <w:pPr>
        <w:tabs>
          <w:tab w:val="num" w:pos="576"/>
        </w:tabs>
        <w:ind w:left="576" w:hanging="576"/>
      </w:pPr>
      <w:rPr>
        <w:rFonts w:hint="default"/>
        <w:sz w:val="24"/>
      </w:rPr>
    </w:lvl>
    <w:lvl w:ilvl="1">
      <w:start w:val="1"/>
      <w:numFmt w:val="upperLetter"/>
      <w:pStyle w:val="Title2LevelTitre2Niveau"/>
      <w:lvlText w:val="%2."/>
      <w:lvlJc w:val="left"/>
      <w:pPr>
        <w:tabs>
          <w:tab w:val="num" w:pos="576"/>
        </w:tabs>
        <w:ind w:left="576" w:hanging="576"/>
      </w:pPr>
      <w:rPr>
        <w:rFonts w:ascii="Times New Roman" w:hAnsi="Times New Roman" w:hint="default"/>
        <w:b w:val="0"/>
        <w:i w:val="0"/>
        <w:sz w:val="24"/>
      </w:rPr>
    </w:lvl>
    <w:lvl w:ilvl="2">
      <w:start w:val="1"/>
      <w:numFmt w:val="decimal"/>
      <w:pStyle w:val="Title3LevelTitre3Niveau"/>
      <w:lvlText w:val="(%3)"/>
      <w:lvlJc w:val="left"/>
      <w:pPr>
        <w:tabs>
          <w:tab w:val="num" w:pos="1152"/>
        </w:tabs>
        <w:ind w:left="1152" w:hanging="576"/>
      </w:pPr>
      <w:rPr>
        <w:rFonts w:ascii="Times New Roman" w:hAnsi="Times New Roman" w:hint="default"/>
        <w:b w:val="0"/>
        <w:i w:val="0"/>
        <w:sz w:val="24"/>
      </w:rPr>
    </w:lvl>
    <w:lvl w:ilvl="3">
      <w:start w:val="1"/>
      <w:numFmt w:val="lowerLetter"/>
      <w:pStyle w:val="Title4LevelTitre4Niveau"/>
      <w:lvlText w:val="(%4)"/>
      <w:lvlJc w:val="left"/>
      <w:pPr>
        <w:tabs>
          <w:tab w:val="num" w:pos="1152"/>
        </w:tabs>
        <w:ind w:left="1152" w:hanging="576"/>
      </w:pPr>
      <w:rPr>
        <w:rFonts w:hint="default"/>
        <w:b w:val="0"/>
        <w:i w:val="0"/>
      </w:rPr>
    </w:lvl>
    <w:lvl w:ilvl="4">
      <w:start w:val="1"/>
      <w:numFmt w:val="lowerRoman"/>
      <w:pStyle w:val="Title5LevelTitre5Niveau"/>
      <w:lvlText w:val="(%5)"/>
      <w:lvlJc w:val="left"/>
      <w:pPr>
        <w:tabs>
          <w:tab w:val="num" w:pos="1728"/>
        </w:tabs>
        <w:ind w:left="1728" w:hanging="576"/>
      </w:pPr>
      <w:rPr>
        <w:rFonts w:hint="default"/>
      </w:rPr>
    </w:lvl>
    <w:lvl w:ilvl="5">
      <w:start w:val="1"/>
      <w:numFmt w:val="decimal"/>
      <w:pStyle w:val="Title6LevelTitre6Niveau"/>
      <w:lvlText w:val="%6."/>
      <w:lvlJc w:val="left"/>
      <w:pPr>
        <w:tabs>
          <w:tab w:val="num" w:pos="1728"/>
        </w:tabs>
        <w:ind w:left="1728" w:hanging="576"/>
      </w:pPr>
      <w:rPr>
        <w:rFonts w:hint="default"/>
      </w:rPr>
    </w:lvl>
    <w:lvl w:ilvl="6">
      <w:start w:val="1"/>
      <w:numFmt w:val="decimal"/>
      <w:lvlText w:val="%7."/>
      <w:lvlJc w:val="left"/>
      <w:pPr>
        <w:ind w:left="8208" w:hanging="432"/>
      </w:pPr>
      <w:rPr>
        <w:rFonts w:hint="default"/>
      </w:rPr>
    </w:lvl>
    <w:lvl w:ilvl="7">
      <w:start w:val="1"/>
      <w:numFmt w:val="lowerLetter"/>
      <w:lvlText w:val="%8."/>
      <w:lvlJc w:val="left"/>
      <w:pPr>
        <w:ind w:left="8640" w:hanging="432"/>
      </w:pPr>
      <w:rPr>
        <w:rFonts w:hint="default"/>
      </w:rPr>
    </w:lvl>
    <w:lvl w:ilvl="8">
      <w:start w:val="1"/>
      <w:numFmt w:val="lowerRoman"/>
      <w:lvlText w:val="%9."/>
      <w:lvlJc w:val="left"/>
      <w:pPr>
        <w:ind w:left="9072" w:hanging="432"/>
      </w:pPr>
      <w:rPr>
        <w:rFonts w:hint="default"/>
      </w:rPr>
    </w:lvl>
  </w:abstractNum>
  <w:abstractNum w:abstractNumId="1" w15:restartNumberingAfterBreak="0">
    <w:nsid w:val="54283EE8"/>
    <w:multiLevelType w:val="multilevel"/>
    <w:tmpl w:val="F0F8D98C"/>
    <w:lvl w:ilvl="0">
      <w:start w:val="1"/>
      <w:numFmt w:val="decimal"/>
      <w:pStyle w:val="ParaNoNdepar-AltN"/>
      <w:lvlText w:val="[%1]"/>
      <w:lvlJc w:val="left"/>
      <w:pPr>
        <w:tabs>
          <w:tab w:val="num" w:pos="1152"/>
        </w:tabs>
        <w:ind w:left="0" w:firstLine="0"/>
      </w:pPr>
      <w:rPr>
        <w:rFonts w:ascii="Times New Roman" w:hAnsi="Times New Roman" w:hint="default"/>
        <w:sz w:val="24"/>
      </w:rPr>
    </w:lvl>
    <w:lvl w:ilvl="1">
      <w:start w:val="1"/>
      <w:numFmt w:val="decimal"/>
      <w:lvlText w:val="%2."/>
      <w:lvlJc w:val="left"/>
      <w:pPr>
        <w:ind w:left="720" w:hanging="360"/>
      </w:pPr>
      <w:rPr>
        <w:rFonts w:ascii="Times New Roman" w:eastAsia="Times New Roman" w:hAnsi="Times New Roman" w:cs="Times New Roman"/>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93414593">
    <w:abstractNumId w:val="1"/>
  </w:num>
  <w:num w:numId="2" w16cid:durableId="2028754810">
    <w:abstractNumId w:val="0"/>
  </w:num>
  <w:num w:numId="3" w16cid:durableId="1347559662">
    <w:abstractNumId w:val="0"/>
    <w:lvlOverride w:ilvl="0">
      <w:lvl w:ilvl="0">
        <w:start w:val="1"/>
        <w:numFmt w:val="upperRoman"/>
        <w:pStyle w:val="Title1LevelTitre1Niveau-AltL"/>
        <w:lvlText w:val="%1."/>
        <w:lvlJc w:val="left"/>
        <w:pPr>
          <w:tabs>
            <w:tab w:val="num" w:pos="576"/>
          </w:tabs>
          <w:ind w:left="576" w:hanging="576"/>
        </w:pPr>
        <w:rPr>
          <w:rFonts w:hint="default"/>
          <w:sz w:val="24"/>
        </w:rPr>
      </w:lvl>
    </w:lvlOverride>
    <w:lvlOverride w:ilvl="1">
      <w:lvl w:ilvl="1">
        <w:start w:val="1"/>
        <w:numFmt w:val="upperLetter"/>
        <w:pStyle w:val="Title2LevelTitre2Niveau"/>
        <w:lvlText w:val="%2."/>
        <w:lvlJc w:val="left"/>
        <w:pPr>
          <w:tabs>
            <w:tab w:val="num" w:pos="576"/>
          </w:tabs>
          <w:ind w:left="576" w:hanging="576"/>
        </w:pPr>
        <w:rPr>
          <w:rFonts w:ascii="Times New Roman" w:hAnsi="Times New Roman" w:hint="default"/>
          <w:b w:val="0"/>
          <w:i w:val="0"/>
          <w:sz w:val="24"/>
        </w:rPr>
      </w:lvl>
    </w:lvlOverride>
    <w:lvlOverride w:ilvl="2">
      <w:lvl w:ilvl="2">
        <w:start w:val="1"/>
        <w:numFmt w:val="decimal"/>
        <w:pStyle w:val="Title3LevelTitre3Niveau"/>
        <w:lvlText w:val="(%3)"/>
        <w:lvlJc w:val="left"/>
        <w:pPr>
          <w:tabs>
            <w:tab w:val="num" w:pos="1152"/>
          </w:tabs>
          <w:ind w:left="1152" w:hanging="576"/>
        </w:pPr>
        <w:rPr>
          <w:rFonts w:ascii="Times New Roman" w:hAnsi="Times New Roman" w:hint="default"/>
          <w:b w:val="0"/>
          <w:i w:val="0"/>
          <w:sz w:val="24"/>
        </w:rPr>
      </w:lvl>
    </w:lvlOverride>
    <w:lvlOverride w:ilvl="3">
      <w:lvl w:ilvl="3">
        <w:start w:val="1"/>
        <w:numFmt w:val="lowerLetter"/>
        <w:pStyle w:val="Title4LevelTitre4Niveau"/>
        <w:lvlText w:val="(%4)"/>
        <w:lvlJc w:val="left"/>
        <w:pPr>
          <w:tabs>
            <w:tab w:val="num" w:pos="1152"/>
          </w:tabs>
          <w:ind w:left="1152" w:hanging="576"/>
        </w:pPr>
        <w:rPr>
          <w:rFonts w:hint="default"/>
          <w:b w:val="0"/>
          <w:i w:val="0"/>
        </w:rPr>
      </w:lvl>
    </w:lvlOverride>
    <w:lvlOverride w:ilvl="4">
      <w:lvl w:ilvl="4">
        <w:start w:val="1"/>
        <w:numFmt w:val="lowerRoman"/>
        <w:pStyle w:val="Title5LevelTitre5Niveau"/>
        <w:lvlText w:val="(%5)"/>
        <w:lvlJc w:val="left"/>
        <w:pPr>
          <w:tabs>
            <w:tab w:val="num" w:pos="1728"/>
          </w:tabs>
          <w:ind w:left="1728" w:hanging="576"/>
        </w:pPr>
        <w:rPr>
          <w:rFonts w:hint="default"/>
        </w:rPr>
      </w:lvl>
    </w:lvlOverride>
    <w:lvlOverride w:ilvl="5">
      <w:lvl w:ilvl="5">
        <w:start w:val="1"/>
        <w:numFmt w:val="decimal"/>
        <w:pStyle w:val="Title6LevelTitre6Niveau"/>
        <w:lvlText w:val="%6."/>
        <w:lvlJc w:val="left"/>
        <w:pPr>
          <w:tabs>
            <w:tab w:val="num" w:pos="1728"/>
          </w:tabs>
          <w:ind w:left="1728" w:hanging="576"/>
        </w:pPr>
        <w:rPr>
          <w:rFonts w:hint="default"/>
          <w:b w:val="0"/>
          <w:i w:val="0"/>
        </w:rPr>
      </w:lvl>
    </w:lvlOverride>
    <w:lvlOverride w:ilvl="6">
      <w:lvl w:ilvl="6">
        <w:start w:val="1"/>
        <w:numFmt w:val="decimal"/>
        <w:lvlText w:val="%7."/>
        <w:lvlJc w:val="left"/>
        <w:pPr>
          <w:ind w:left="8208" w:hanging="432"/>
        </w:pPr>
        <w:rPr>
          <w:rFonts w:hint="default"/>
        </w:rPr>
      </w:lvl>
    </w:lvlOverride>
    <w:lvlOverride w:ilvl="7">
      <w:lvl w:ilvl="7">
        <w:start w:val="1"/>
        <w:numFmt w:val="lowerLetter"/>
        <w:lvlText w:val="%8."/>
        <w:lvlJc w:val="left"/>
        <w:pPr>
          <w:ind w:left="8640" w:hanging="432"/>
        </w:pPr>
        <w:rPr>
          <w:rFonts w:hint="default"/>
        </w:rPr>
      </w:lvl>
    </w:lvlOverride>
    <w:lvlOverride w:ilvl="8">
      <w:lvl w:ilvl="8">
        <w:start w:val="1"/>
        <w:numFmt w:val="lowerRoman"/>
        <w:lvlText w:val="%9."/>
        <w:lvlJc w:val="left"/>
        <w:pPr>
          <w:ind w:left="9072" w:hanging="432"/>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720"/>
  <w:hyphenationZone w:val="425"/>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AE1"/>
    <w:rsid w:val="0007482D"/>
    <w:rsid w:val="00106AE1"/>
    <w:rsid w:val="00243FA1"/>
    <w:rsid w:val="002E01C3"/>
    <w:rsid w:val="00337430"/>
    <w:rsid w:val="0053051C"/>
    <w:rsid w:val="007D3FDB"/>
    <w:rsid w:val="008B2253"/>
    <w:rsid w:val="009873CD"/>
    <w:rsid w:val="009E074B"/>
    <w:rsid w:val="00A87BA5"/>
    <w:rsid w:val="00B51BC1"/>
    <w:rsid w:val="00BF4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F8BF2C"/>
  <w15:docId w15:val="{519FB089-886B-4525-B09D-3F2DFEE8E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itre1">
    <w:name w:val="heading 1"/>
    <w:basedOn w:val="Normal"/>
    <w:next w:val="Normal"/>
    <w:link w:val="Titre1Car"/>
    <w:uiPriority w:val="9"/>
    <w:qFormat/>
    <w:pPr>
      <w:keepNext/>
      <w:keepLines/>
      <w:spacing w:after="720"/>
      <w:ind w:left="720" w:hanging="72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semiHidden/>
    <w:rPr>
      <w:rFonts w:asciiTheme="majorHAnsi" w:eastAsiaTheme="majorEastAsia" w:hAnsiTheme="majorHAnsi" w:cstheme="majorBidi"/>
      <w:b/>
      <w:bCs/>
      <w:color w:val="4F81BD" w:themeColor="accent1"/>
      <w:sz w:val="26"/>
      <w:szCs w:val="26"/>
    </w:rPr>
  </w:style>
  <w:style w:type="paragraph" w:customStyle="1" w:styleId="1">
    <w:name w:val="1"/>
    <w:aliases w:val=" 2, 3, A"/>
    <w:basedOn w:val="Normal"/>
    <w:uiPriority w:val="1"/>
    <w:pPr>
      <w:widowControl w:val="0"/>
    </w:pPr>
  </w:style>
  <w:style w:type="paragraph" w:customStyle="1" w:styleId="SCCNormalDoubleSpacing">
    <w:name w:val="SCC.Normal.DoubleSpacing"/>
    <w:basedOn w:val="Normal"/>
    <w:link w:val="SCCNormalDoubleSpacingChar"/>
    <w:pPr>
      <w:tabs>
        <w:tab w:val="left" w:pos="1168"/>
      </w:tabs>
      <w:spacing w:line="480" w:lineRule="auto"/>
      <w:jc w:val="both"/>
    </w:pPr>
  </w:style>
  <w:style w:type="character" w:customStyle="1" w:styleId="SCCNormalDoubleSpacingChar">
    <w:name w:val="SCC.Normal.DoubleSpacing Char"/>
    <w:basedOn w:val="Policepardfaut"/>
    <w:link w:val="SCCNormalDoubleSpacing"/>
    <w:rPr>
      <w:sz w:val="24"/>
    </w:rPr>
  </w:style>
  <w:style w:type="character" w:styleId="lev">
    <w:name w:val="Strong"/>
    <w:basedOn w:val="Policepardfaut"/>
    <w:uiPriority w:val="22"/>
    <w:qFormat/>
    <w:rPr>
      <w:b/>
      <w:bCs/>
    </w:rPr>
  </w:style>
  <w:style w:type="paragraph" w:styleId="Citation">
    <w:name w:val="Quote"/>
    <w:basedOn w:val="Normal"/>
    <w:next w:val="Normal"/>
    <w:link w:val="CitationCar"/>
    <w:uiPriority w:val="29"/>
    <w:qFormat/>
    <w:rPr>
      <w:i/>
      <w:iCs/>
      <w:color w:val="000000" w:themeColor="text1"/>
    </w:rPr>
  </w:style>
  <w:style w:type="character" w:customStyle="1" w:styleId="CitationCar">
    <w:name w:val="Citation Car"/>
    <w:basedOn w:val="Policepardfaut"/>
    <w:link w:val="Citation"/>
    <w:uiPriority w:val="29"/>
    <w:rPr>
      <w:i/>
      <w:iCs/>
      <w:color w:val="000000" w:themeColor="text1"/>
      <w:sz w:val="24"/>
      <w:lang w:val="en-US"/>
    </w:rPr>
  </w:style>
  <w:style w:type="character" w:styleId="Textedelespacerserv">
    <w:name w:val="Placeholder Text"/>
    <w:basedOn w:val="Policepardfaut"/>
    <w:uiPriority w:val="99"/>
    <w:semiHidden/>
    <w:rPr>
      <w:color w:val="808080"/>
    </w:rPr>
  </w:style>
  <w:style w:type="paragraph" w:styleId="Textedebulles">
    <w:name w:val="Balloon Text"/>
    <w:basedOn w:val="Normal"/>
    <w:link w:val="TextedebullesCar"/>
    <w:uiPriority w:val="99"/>
    <w:semiHidden/>
    <w:unhideWhenUsed/>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lang w:val="en-US"/>
    </w:rPr>
  </w:style>
  <w:style w:type="paragraph" w:styleId="En-tte">
    <w:name w:val="header"/>
    <w:basedOn w:val="Normal"/>
    <w:link w:val="En-tteCar"/>
    <w:uiPriority w:val="99"/>
    <w:unhideWhenUsed/>
    <w:pPr>
      <w:tabs>
        <w:tab w:val="center" w:pos="4680"/>
        <w:tab w:val="right" w:pos="9360"/>
      </w:tabs>
    </w:pPr>
  </w:style>
  <w:style w:type="character" w:customStyle="1" w:styleId="En-tteCar">
    <w:name w:val="En-tête Car"/>
    <w:basedOn w:val="Policepardfaut"/>
    <w:link w:val="En-tte"/>
    <w:uiPriority w:val="99"/>
    <w:rPr>
      <w:sz w:val="24"/>
      <w:lang w:val="en-US"/>
    </w:rPr>
  </w:style>
  <w:style w:type="paragraph" w:styleId="Pieddepage">
    <w:name w:val="footer"/>
    <w:basedOn w:val="Normal"/>
    <w:link w:val="PieddepageCar"/>
    <w:uiPriority w:val="99"/>
    <w:unhideWhenUsed/>
    <w:pPr>
      <w:tabs>
        <w:tab w:val="center" w:pos="4680"/>
        <w:tab w:val="right" w:pos="9360"/>
      </w:tabs>
    </w:pPr>
  </w:style>
  <w:style w:type="character" w:customStyle="1" w:styleId="PieddepageCar">
    <w:name w:val="Pied de page Car"/>
    <w:basedOn w:val="Policepardfaut"/>
    <w:link w:val="Pieddepage"/>
    <w:uiPriority w:val="99"/>
    <w:rPr>
      <w:sz w:val="24"/>
      <w:lang w:val="en-US"/>
    </w:rPr>
  </w:style>
  <w:style w:type="paragraph" w:customStyle="1" w:styleId="SCCLsocParty">
    <w:name w:val="SCC.Lsoc.Party"/>
    <w:basedOn w:val="Normal"/>
    <w:next w:val="Normal"/>
    <w:link w:val="SCCLsocPartyChar"/>
    <w:pPr>
      <w:tabs>
        <w:tab w:val="right" w:pos="8222"/>
      </w:tabs>
      <w:jc w:val="both"/>
    </w:pPr>
    <w:rPr>
      <w:b/>
    </w:rPr>
  </w:style>
  <w:style w:type="character" w:customStyle="1" w:styleId="SCCLsocPartyChar">
    <w:name w:val="SCC.Lsoc.Party Char"/>
    <w:basedOn w:val="Policepardfaut"/>
    <w:link w:val="SCCLsocParty"/>
    <w:rPr>
      <w:b/>
      <w:sz w:val="24"/>
    </w:rPr>
  </w:style>
  <w:style w:type="paragraph" w:customStyle="1" w:styleId="SCCLsocVersus">
    <w:name w:val="SCC.Lsoc.Versus"/>
    <w:basedOn w:val="Normal"/>
    <w:next w:val="Normal"/>
    <w:link w:val="SCCLsocVersusChar"/>
    <w:pPr>
      <w:spacing w:after="720"/>
    </w:pPr>
    <w:rPr>
      <w:i/>
    </w:rPr>
  </w:style>
  <w:style w:type="character" w:customStyle="1" w:styleId="SCCLsocVersusChar">
    <w:name w:val="SCC.Lsoc.Versus Char"/>
    <w:basedOn w:val="Policepardfaut"/>
    <w:link w:val="SCCLsocVersus"/>
    <w:rPr>
      <w:i/>
      <w:sz w:val="24"/>
    </w:rPr>
  </w:style>
  <w:style w:type="character" w:customStyle="1" w:styleId="SCCLsocPartyRole">
    <w:name w:val="SCC.Lsoc.PartyRole"/>
    <w:basedOn w:val="SCCLsocLastPartyInRoleChar"/>
    <w:uiPriority w:val="1"/>
    <w:rPr>
      <w:b/>
      <w:i/>
      <w:sz w:val="24"/>
    </w:rPr>
  </w:style>
  <w:style w:type="paragraph" w:customStyle="1" w:styleId="SCCLsocSubfileSeparator">
    <w:name w:val="SCC.Lsoc.SubfileSeparator"/>
    <w:basedOn w:val="Normal"/>
    <w:next w:val="Normal"/>
    <w:link w:val="SCCLsocSubfileSeparatorChar"/>
    <w:pPr>
      <w:spacing w:after="720"/>
    </w:pPr>
  </w:style>
  <w:style w:type="character" w:customStyle="1" w:styleId="SCCLsocSubfileSeparatorChar">
    <w:name w:val="SCC.Lsoc.SubfileSeparator Char"/>
    <w:basedOn w:val="Policepardfaut"/>
    <w:link w:val="SCCLsocSubfileSeparator"/>
    <w:rPr>
      <w:sz w:val="24"/>
    </w:rPr>
  </w:style>
  <w:style w:type="paragraph" w:customStyle="1" w:styleId="SCCLsocOtherPartySeparator">
    <w:name w:val="SCC.Lsoc.OtherPartySeparator"/>
    <w:basedOn w:val="Normal"/>
    <w:next w:val="Normal"/>
    <w:link w:val="SCCLsocOtherPartySeparatorChar"/>
    <w:pPr>
      <w:spacing w:after="720"/>
    </w:pPr>
  </w:style>
  <w:style w:type="character" w:customStyle="1" w:styleId="SCCLsocOtherPartySeparatorChar">
    <w:name w:val="SCC.Lsoc.OtherPartySeparator Char"/>
    <w:basedOn w:val="Policepardfaut"/>
    <w:link w:val="SCCLsocOtherPartySeparator"/>
    <w:rPr>
      <w:sz w:val="24"/>
    </w:rPr>
  </w:style>
  <w:style w:type="character" w:customStyle="1" w:styleId="Titre1Car">
    <w:name w:val="Titre 1 Car"/>
    <w:basedOn w:val="Policepardfaut"/>
    <w:link w:val="Titre1"/>
    <w:uiPriority w:val="9"/>
    <w:rPr>
      <w:rFonts w:asciiTheme="majorHAnsi" w:eastAsiaTheme="majorEastAsia" w:hAnsiTheme="majorHAnsi" w:cstheme="majorBidi"/>
      <w:b/>
      <w:bCs/>
      <w:color w:val="365F91" w:themeColor="accent1" w:themeShade="BF"/>
      <w:sz w:val="28"/>
      <w:szCs w:val="28"/>
    </w:rPr>
  </w:style>
  <w:style w:type="paragraph" w:customStyle="1" w:styleId="SCCBanSummary">
    <w:name w:val="SCC.BanSummary"/>
    <w:basedOn w:val="Normal"/>
    <w:next w:val="Normal"/>
    <w:pPr>
      <w:jc w:val="right"/>
    </w:pPr>
    <w:rPr>
      <w:b/>
    </w:rPr>
  </w:style>
  <w:style w:type="paragraph" w:customStyle="1" w:styleId="SCCAppellantForRunningHead">
    <w:name w:val="SCC.AppellantForRunningHead"/>
    <w:basedOn w:val="Normal"/>
    <w:next w:val="Normal"/>
    <w:link w:val="SCCAppellantForRunningHeadChar"/>
    <w:rPr>
      <w:smallCaps/>
    </w:rPr>
  </w:style>
  <w:style w:type="character" w:customStyle="1" w:styleId="SCCAppellantForRunningHeadChar">
    <w:name w:val="SCC.AppellantForRunningHead Char"/>
    <w:basedOn w:val="Policepardfaut"/>
    <w:link w:val="SCCAppellantForRunningHead"/>
    <w:rPr>
      <w:smallCaps/>
      <w:sz w:val="24"/>
    </w:rPr>
  </w:style>
  <w:style w:type="paragraph" w:customStyle="1" w:styleId="SCCRespondentForRunningHead">
    <w:name w:val="SCC.RespondentForRunningHead"/>
    <w:basedOn w:val="Normal"/>
    <w:next w:val="Normal"/>
    <w:link w:val="SCCRespondentForRunningHeadChar"/>
    <w:rPr>
      <w:smallCaps/>
    </w:rPr>
  </w:style>
  <w:style w:type="character" w:customStyle="1" w:styleId="SCCRespondentForRunningHeadChar">
    <w:name w:val="SCC.RespondentForRunningHead Char"/>
    <w:basedOn w:val="Policepardfaut"/>
    <w:link w:val="SCCRespondentForRunningHead"/>
    <w:rPr>
      <w:smallCaps/>
      <w:sz w:val="24"/>
    </w:rPr>
  </w:style>
  <w:style w:type="paragraph" w:customStyle="1" w:styleId="SCCAppellantForIndex">
    <w:name w:val="SCC.AppellantForIndex"/>
    <w:basedOn w:val="Normal"/>
    <w:next w:val="Normal"/>
    <w:link w:val="SCCAppellantForIndexChar"/>
    <w:rPr>
      <w:b/>
    </w:rPr>
  </w:style>
  <w:style w:type="character" w:customStyle="1" w:styleId="SCCAppellantForIndexChar">
    <w:name w:val="SCC.AppellantForIndex Char"/>
    <w:basedOn w:val="Policepardfaut"/>
    <w:link w:val="SCCAppellantForIndex"/>
    <w:rPr>
      <w:b/>
      <w:sz w:val="24"/>
    </w:rPr>
  </w:style>
  <w:style w:type="paragraph" w:customStyle="1" w:styleId="SCCRespondentForIndex">
    <w:name w:val="SCC.RespondentForIndex"/>
    <w:basedOn w:val="Normal"/>
    <w:next w:val="Normal"/>
    <w:link w:val="SCCRespondentForIndexChar"/>
    <w:rPr>
      <w:b/>
    </w:rPr>
  </w:style>
  <w:style w:type="character" w:customStyle="1" w:styleId="SCCRespondentForIndexChar">
    <w:name w:val="SCC.RespondentForIndex Char"/>
    <w:basedOn w:val="Policepardfaut"/>
    <w:link w:val="SCCRespondentForIndex"/>
    <w:rPr>
      <w:b/>
      <w:sz w:val="24"/>
    </w:rPr>
  </w:style>
  <w:style w:type="paragraph" w:customStyle="1" w:styleId="SCCSystemYear">
    <w:name w:val="SCC.SystemYear"/>
    <w:basedOn w:val="Normal"/>
    <w:next w:val="Normal"/>
    <w:link w:val="SCCSystemYearChar"/>
    <w:rPr>
      <w:b/>
    </w:rPr>
  </w:style>
  <w:style w:type="character" w:customStyle="1" w:styleId="SCCSystemYearChar">
    <w:name w:val="SCC.SystemYear Char"/>
    <w:basedOn w:val="Policepardfaut"/>
    <w:link w:val="SCCSystemYear"/>
    <w:rPr>
      <w:b/>
      <w:sz w:val="24"/>
    </w:rPr>
  </w:style>
  <w:style w:type="paragraph" w:customStyle="1" w:styleId="SCCLowerCourtNameLowercase">
    <w:name w:val="SCC.LowerCourtNameLowercase"/>
    <w:basedOn w:val="SCCNormalDoubleSpacing"/>
    <w:next w:val="SCCNormalDoubleSpacing"/>
    <w:rPr>
      <w:smallCaps/>
    </w:rPr>
  </w:style>
  <w:style w:type="paragraph" w:customStyle="1" w:styleId="SCCCounselName">
    <w:name w:val="SCC.CounselName"/>
    <w:basedOn w:val="SCCNormalDoubleSpacing"/>
    <w:next w:val="SCCNormalDoubleSpacing"/>
    <w:link w:val="SCCCounselNameChar"/>
    <w:rPr>
      <w:i/>
    </w:rPr>
  </w:style>
  <w:style w:type="character" w:customStyle="1" w:styleId="SCCCounselNameChar">
    <w:name w:val="SCC.CounselName Char"/>
    <w:basedOn w:val="SCCNormalDoubleSpacingChar"/>
    <w:link w:val="SCCCounselName"/>
    <w:rPr>
      <w:i/>
      <w:sz w:val="24"/>
    </w:rPr>
  </w:style>
  <w:style w:type="paragraph" w:customStyle="1" w:styleId="SCCItalic">
    <w:name w:val="SCC.Italic"/>
    <w:basedOn w:val="SCCNormalDoubleSpacing"/>
    <w:next w:val="SCCNormalDoubleSpacing"/>
    <w:rPr>
      <w:i/>
    </w:rPr>
  </w:style>
  <w:style w:type="paragraph" w:customStyle="1" w:styleId="SCCAppellantForCitation">
    <w:name w:val="SCC.AppellantForCitation"/>
    <w:basedOn w:val="Normal"/>
    <w:next w:val="Normal"/>
    <w:link w:val="SCCAppellantForCitationChar"/>
    <w:rPr>
      <w:i/>
    </w:rPr>
  </w:style>
  <w:style w:type="character" w:customStyle="1" w:styleId="SCCAppellantForCitationChar">
    <w:name w:val="SCC.AppellantForCitation Char"/>
    <w:basedOn w:val="Policepardfaut"/>
    <w:link w:val="SCCAppellantForCitation"/>
    <w:rPr>
      <w:i/>
      <w:sz w:val="24"/>
    </w:rPr>
  </w:style>
  <w:style w:type="paragraph" w:customStyle="1" w:styleId="SCCRespondentForCitation">
    <w:name w:val="SCC.RespondentForCitation"/>
    <w:basedOn w:val="Normal"/>
    <w:next w:val="Normal"/>
    <w:link w:val="SCCRespondentForCitationChar"/>
    <w:rPr>
      <w:i/>
    </w:rPr>
  </w:style>
  <w:style w:type="character" w:customStyle="1" w:styleId="SCCRespondentForCitationChar">
    <w:name w:val="SCC.RespondentForCitation Char"/>
    <w:basedOn w:val="Policepardfaut"/>
    <w:link w:val="SCCRespondentForCitation"/>
    <w:rPr>
      <w:i/>
      <w:sz w:val="24"/>
    </w:rPr>
  </w:style>
  <w:style w:type="paragraph" w:customStyle="1" w:styleId="SCCCounselSeparator">
    <w:name w:val="SCC.CounselSeparator"/>
    <w:basedOn w:val="SCCNormalDoubleSpacing"/>
    <w:next w:val="SCCNormalDoubleSpacing"/>
    <w:link w:val="SCCCounselSeparatorChar"/>
  </w:style>
  <w:style w:type="character" w:customStyle="1" w:styleId="SCCCounselSeparatorChar">
    <w:name w:val="SCC.CounselSeparator Char"/>
    <w:basedOn w:val="SCCNormalDoubleSpacingChar"/>
    <w:link w:val="SCCCounselSeparator"/>
    <w:rPr>
      <w:sz w:val="24"/>
    </w:rPr>
  </w:style>
  <w:style w:type="paragraph" w:customStyle="1" w:styleId="SCCPartyRole">
    <w:name w:val="SCC.PartyRole"/>
    <w:basedOn w:val="SCCNormalDoubleSpacing"/>
    <w:next w:val="SCCNormalDoubleSpacing"/>
    <w:link w:val="SCCPartyRoleChar"/>
  </w:style>
  <w:style w:type="character" w:customStyle="1" w:styleId="SCCPartyRoleChar">
    <w:name w:val="SCC.PartyRole Char"/>
    <w:basedOn w:val="SCCNormalDoubleSpacingChar"/>
    <w:link w:val="SCCPartyRole"/>
    <w:rPr>
      <w:sz w:val="24"/>
    </w:rPr>
  </w:style>
  <w:style w:type="paragraph" w:customStyle="1" w:styleId="SCCLawFirm">
    <w:name w:val="SCC.LawFirm"/>
    <w:basedOn w:val="SCCNormalDoubleSpacing"/>
    <w:next w:val="SCCNormalDoubleSpacing"/>
    <w:link w:val="SCCLawFirmChar"/>
    <w:rPr>
      <w:i/>
    </w:rPr>
  </w:style>
  <w:style w:type="character" w:customStyle="1" w:styleId="SCCLawFirmChar">
    <w:name w:val="SCC.LawFirm Char"/>
    <w:basedOn w:val="SCCNormalDoubleSpacingChar"/>
    <w:link w:val="SCCLawFirm"/>
    <w:rPr>
      <w:i/>
      <w:sz w:val="24"/>
    </w:rPr>
  </w:style>
  <w:style w:type="paragraph" w:customStyle="1" w:styleId="SCCCounselPartyRole">
    <w:name w:val="SCC.CounselPartyRole"/>
    <w:basedOn w:val="SCCNormalDoubleSpacing"/>
    <w:next w:val="SCCNormalDoubleSpacing"/>
    <w:link w:val="SCCCounselPartyRoleChar"/>
  </w:style>
  <w:style w:type="character" w:customStyle="1" w:styleId="SCCCounselPartyRoleChar">
    <w:name w:val="SCC.CounselPartyRole Char"/>
    <w:basedOn w:val="SCCNormalDoubleSpacingChar"/>
    <w:link w:val="SCCCounselPartyRole"/>
    <w:rPr>
      <w:sz w:val="24"/>
    </w:rPr>
  </w:style>
  <w:style w:type="paragraph" w:customStyle="1" w:styleId="SCCLsocLastPartyInRole">
    <w:name w:val="SCC.Lsoc.LastPartyInRole"/>
    <w:basedOn w:val="Normal"/>
    <w:next w:val="Normal"/>
    <w:link w:val="SCCLsocLastPartyInRoleChar"/>
    <w:qFormat/>
    <w:pPr>
      <w:tabs>
        <w:tab w:val="right" w:pos="8222"/>
      </w:tabs>
      <w:spacing w:after="720"/>
    </w:pPr>
    <w:rPr>
      <w:b/>
    </w:rPr>
  </w:style>
  <w:style w:type="character" w:customStyle="1" w:styleId="SCCLsocLastPartyInRoleChar">
    <w:name w:val="SCC.Lsoc.LastPartyInRole Char"/>
    <w:basedOn w:val="SCCLsocPartyChar"/>
    <w:link w:val="SCCLsocLastPartyInRole"/>
    <w:rPr>
      <w:b/>
      <w:sz w:val="24"/>
    </w:rPr>
  </w:style>
  <w:style w:type="paragraph" w:customStyle="1" w:styleId="SCCNormalKeyWords">
    <w:name w:val="SCC.Normal.KeyWords"/>
    <w:basedOn w:val="SCCNormalDoubleSpacing"/>
    <w:next w:val="SCCNormalDoubleSpacing"/>
    <w:qFormat/>
    <w:rPr>
      <w:i/>
      <w:lang w:val="fr-CA"/>
    </w:rPr>
  </w:style>
  <w:style w:type="character" w:styleId="Hyperlien">
    <w:name w:val="Hyperlink"/>
    <w:basedOn w:val="Policepardfaut"/>
    <w:uiPriority w:val="99"/>
    <w:unhideWhenUsed/>
    <w:rPr>
      <w:color w:val="660000"/>
      <w:u w:val="none"/>
    </w:rPr>
  </w:style>
  <w:style w:type="character" w:styleId="Mentionnonrsolue">
    <w:name w:val="Unresolved Mention"/>
    <w:basedOn w:val="Policepardfaut"/>
    <w:uiPriority w:val="99"/>
    <w:semiHidden/>
    <w:unhideWhenUsed/>
    <w:rPr>
      <w:color w:val="605E5C"/>
      <w:shd w:val="clear" w:color="auto" w:fill="E1DFDD"/>
    </w:rPr>
  </w:style>
  <w:style w:type="character" w:styleId="Marquedecommentaire">
    <w:name w:val="annotation reference"/>
    <w:basedOn w:val="Policepardfaut"/>
    <w:uiPriority w:val="99"/>
    <w:semiHidden/>
    <w:unhideWhenUsed/>
    <w:rPr>
      <w:sz w:val="16"/>
      <w:szCs w:val="16"/>
    </w:rPr>
  </w:style>
  <w:style w:type="paragraph" w:styleId="Commentaire">
    <w:name w:val="annotation text"/>
    <w:basedOn w:val="Normal"/>
    <w:link w:val="CommentaireCar"/>
    <w:uiPriority w:val="99"/>
    <w:unhideWhenUsed/>
    <w:rPr>
      <w:sz w:val="20"/>
    </w:rPr>
  </w:style>
  <w:style w:type="character" w:customStyle="1" w:styleId="CommentaireCar">
    <w:name w:val="Commentaire Car"/>
    <w:basedOn w:val="Policepardfaut"/>
    <w:link w:val="Commentaire"/>
    <w:uiPriority w:val="99"/>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b/>
      <w:bCs/>
    </w:rPr>
  </w:style>
  <w:style w:type="character" w:styleId="Lienvisit">
    <w:name w:val="FollowedHyperlink"/>
    <w:basedOn w:val="Policepardfaut"/>
    <w:uiPriority w:val="99"/>
    <w:semiHidden/>
    <w:unhideWhenUsed/>
    <w:rPr>
      <w:color w:val="800080" w:themeColor="followedHyperlink"/>
      <w:u w:val="single"/>
    </w:rPr>
  </w:style>
  <w:style w:type="table" w:styleId="Grilledutableau">
    <w:name w:val="Table Grid"/>
    <w:basedOn w:val="TableauNormal"/>
    <w:uiPriority w:val="59"/>
    <w:rsid w:val="00B51BC1"/>
    <w:rPr>
      <w:sz w:val="24"/>
      <w:szCs w:val="24"/>
      <w:lang w:val="fr-C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itation-AltC">
    <w:name w:val="Citation - Alt C"/>
    <w:uiPriority w:val="2"/>
    <w:qFormat/>
    <w:rsid w:val="00B51BC1"/>
    <w:pPr>
      <w:spacing w:after="720"/>
      <w:ind w:left="1166"/>
      <w:contextualSpacing/>
      <w:jc w:val="both"/>
    </w:pPr>
    <w:rPr>
      <w:sz w:val="24"/>
      <w:szCs w:val="24"/>
      <w:lang w:val="fr-CA"/>
    </w:rPr>
  </w:style>
  <w:style w:type="paragraph" w:customStyle="1" w:styleId="ContinueParaSuitedupar-AltP">
    <w:name w:val="Continue Para. / Suite du par. - Alt P"/>
    <w:next w:val="ParaNoNdepar-AltN"/>
    <w:uiPriority w:val="1"/>
    <w:qFormat/>
    <w:rsid w:val="00B51BC1"/>
    <w:pPr>
      <w:spacing w:before="480" w:after="480" w:line="480" w:lineRule="auto"/>
      <w:jc w:val="both"/>
    </w:pPr>
    <w:rPr>
      <w:rFonts w:eastAsiaTheme="minorHAnsi" w:cstheme="minorBidi"/>
      <w:sz w:val="24"/>
      <w:szCs w:val="22"/>
      <w:lang w:val="fr-CA" w:eastAsia="en-US"/>
    </w:rPr>
  </w:style>
  <w:style w:type="paragraph" w:customStyle="1" w:styleId="JudgeJuge">
    <w:name w:val="Judge / Juge"/>
    <w:uiPriority w:val="3"/>
    <w:rsid w:val="00B51BC1"/>
    <w:pPr>
      <w:tabs>
        <w:tab w:val="left" w:pos="1166"/>
      </w:tabs>
      <w:spacing w:after="480" w:line="480" w:lineRule="auto"/>
    </w:pPr>
    <w:rPr>
      <w:smallCaps/>
      <w:sz w:val="24"/>
      <w:szCs w:val="24"/>
      <w:lang w:val="fr-CA"/>
    </w:rPr>
  </w:style>
  <w:style w:type="paragraph" w:customStyle="1" w:styleId="ParaNoNdepar-AltN">
    <w:name w:val="Para. No. / Nº de par. - Alt N"/>
    <w:qFormat/>
    <w:rsid w:val="00B51BC1"/>
    <w:pPr>
      <w:numPr>
        <w:numId w:val="1"/>
      </w:numPr>
      <w:spacing w:before="480" w:after="480" w:line="480" w:lineRule="auto"/>
      <w:jc w:val="both"/>
    </w:pPr>
    <w:rPr>
      <w:rFonts w:eastAsiaTheme="minorEastAsia" w:cstheme="minorBidi"/>
      <w:sz w:val="24"/>
      <w:szCs w:val="22"/>
      <w:lang w:val="fr-CA" w:eastAsia="en-US"/>
    </w:rPr>
  </w:style>
  <w:style w:type="paragraph" w:customStyle="1" w:styleId="Title1LevelTitre1Niveau-AltL">
    <w:name w:val="Title 1 Level / Titre 1 Niveau - Alt L"/>
    <w:next w:val="ParaNoNdepar-AltN"/>
    <w:uiPriority w:val="4"/>
    <w:qFormat/>
    <w:rsid w:val="00B51BC1"/>
    <w:pPr>
      <w:numPr>
        <w:numId w:val="2"/>
      </w:numPr>
      <w:spacing w:before="480" w:after="720"/>
      <w:jc w:val="both"/>
      <w:outlineLvl w:val="0"/>
    </w:pPr>
    <w:rPr>
      <w:rFonts w:eastAsiaTheme="minorHAnsi" w:cstheme="minorBidi"/>
      <w:sz w:val="24"/>
      <w:szCs w:val="22"/>
      <w:u w:val="single"/>
      <w:lang w:val="fr-CA" w:eastAsia="en-US"/>
    </w:rPr>
  </w:style>
  <w:style w:type="paragraph" w:customStyle="1" w:styleId="Title2LevelTitre2Niveau">
    <w:name w:val="Title 2 Level / Titre 2 Niveau"/>
    <w:basedOn w:val="Title1LevelTitre1Niveau-AltL"/>
    <w:next w:val="ParaNoNdepar-AltN"/>
    <w:uiPriority w:val="4"/>
    <w:qFormat/>
    <w:rsid w:val="00B51BC1"/>
    <w:pPr>
      <w:numPr>
        <w:ilvl w:val="1"/>
      </w:numPr>
      <w:outlineLvl w:val="1"/>
    </w:pPr>
    <w:rPr>
      <w:i/>
      <w:u w:val="none"/>
    </w:rPr>
  </w:style>
  <w:style w:type="paragraph" w:customStyle="1" w:styleId="Title3LevelTitre3Niveau">
    <w:name w:val="Title 3 Level / Titre 3 Niveau"/>
    <w:basedOn w:val="Title1LevelTitre1Niveau-AltL"/>
    <w:next w:val="ParaNoNdepar-AltN"/>
    <w:uiPriority w:val="4"/>
    <w:qFormat/>
    <w:rsid w:val="00B51BC1"/>
    <w:pPr>
      <w:numPr>
        <w:ilvl w:val="2"/>
      </w:numPr>
      <w:outlineLvl w:val="2"/>
    </w:pPr>
  </w:style>
  <w:style w:type="paragraph" w:customStyle="1" w:styleId="Title4LevelTitre4Niveau">
    <w:name w:val="Title 4 Level / Titre 4 Niveau"/>
    <w:basedOn w:val="Title3LevelTitre3Niveau"/>
    <w:next w:val="ParaNoNdepar-AltN"/>
    <w:uiPriority w:val="4"/>
    <w:qFormat/>
    <w:rsid w:val="00B51BC1"/>
    <w:pPr>
      <w:numPr>
        <w:ilvl w:val="3"/>
      </w:numPr>
      <w:outlineLvl w:val="3"/>
    </w:pPr>
    <w:rPr>
      <w:i/>
      <w:u w:val="none"/>
    </w:rPr>
  </w:style>
  <w:style w:type="paragraph" w:customStyle="1" w:styleId="Title5LevelTitre5Niveau">
    <w:name w:val="Title 5 Level / Titre 5 Niveau"/>
    <w:basedOn w:val="Title1LevelTitre1Niveau-AltL"/>
    <w:next w:val="ParaNoNdepar-AltN"/>
    <w:uiPriority w:val="4"/>
    <w:qFormat/>
    <w:rsid w:val="00B51BC1"/>
    <w:pPr>
      <w:numPr>
        <w:ilvl w:val="4"/>
      </w:numPr>
      <w:outlineLvl w:val="4"/>
    </w:pPr>
  </w:style>
  <w:style w:type="paragraph" w:styleId="TM1">
    <w:name w:val="toc 1"/>
    <w:basedOn w:val="Normal"/>
    <w:next w:val="Normal"/>
    <w:autoRedefine/>
    <w:uiPriority w:val="39"/>
    <w:unhideWhenUsed/>
    <w:rsid w:val="00A87BA5"/>
    <w:pPr>
      <w:tabs>
        <w:tab w:val="left" w:pos="720"/>
        <w:tab w:val="decimal" w:pos="8208"/>
      </w:tabs>
      <w:spacing w:before="60" w:after="60"/>
      <w:ind w:left="720" w:hanging="720"/>
    </w:pPr>
    <w:rPr>
      <w:noProof/>
      <w:u w:val="single"/>
      <w:lang w:val="fr-CA"/>
    </w:rPr>
  </w:style>
  <w:style w:type="paragraph" w:styleId="TM2">
    <w:name w:val="toc 2"/>
    <w:basedOn w:val="Normal"/>
    <w:next w:val="Normal"/>
    <w:autoRedefine/>
    <w:uiPriority w:val="39"/>
    <w:unhideWhenUsed/>
    <w:rsid w:val="00B51BC1"/>
    <w:pPr>
      <w:tabs>
        <w:tab w:val="left" w:pos="720"/>
      </w:tabs>
      <w:spacing w:before="120" w:after="120"/>
      <w:ind w:left="720" w:hanging="720"/>
    </w:pPr>
    <w:rPr>
      <w:i/>
      <w:szCs w:val="24"/>
      <w:lang w:val="fr-CA"/>
    </w:rPr>
  </w:style>
  <w:style w:type="paragraph" w:styleId="TM3">
    <w:name w:val="toc 3"/>
    <w:basedOn w:val="Normal"/>
    <w:next w:val="Normal"/>
    <w:autoRedefine/>
    <w:uiPriority w:val="39"/>
    <w:unhideWhenUsed/>
    <w:rsid w:val="00B51BC1"/>
    <w:pPr>
      <w:tabs>
        <w:tab w:val="left" w:pos="1267"/>
      </w:tabs>
      <w:spacing w:before="120" w:after="120"/>
      <w:ind w:left="1296" w:hanging="432"/>
    </w:pPr>
    <w:rPr>
      <w:noProof/>
      <w:u w:val="single"/>
      <w:lang w:val="fr-CA"/>
    </w:rPr>
  </w:style>
  <w:style w:type="paragraph" w:customStyle="1" w:styleId="Title6LevelTitre6Niveau">
    <w:name w:val="Title 6 Level / Titre 6 Niveau"/>
    <w:basedOn w:val="Title5LevelTitre5Niveau"/>
    <w:next w:val="ParaNoNdepar-AltN"/>
    <w:uiPriority w:val="4"/>
    <w:qFormat/>
    <w:rsid w:val="00B51BC1"/>
    <w:pPr>
      <w:numPr>
        <w:ilvl w:val="5"/>
      </w:numPr>
      <w:outlineLvl w:val="5"/>
    </w:pPr>
    <w:rPr>
      <w:i/>
      <w:u w:val="none"/>
    </w:rPr>
  </w:style>
  <w:style w:type="character" w:styleId="Accentuation">
    <w:name w:val="Emphasis"/>
    <w:basedOn w:val="Policepardfaut"/>
    <w:uiPriority w:val="20"/>
    <w:qFormat/>
    <w:rsid w:val="00B51BC1"/>
    <w:rPr>
      <w:i/>
      <w:iCs/>
    </w:rPr>
  </w:style>
  <w:style w:type="table" w:customStyle="1" w:styleId="TableGrid1">
    <w:name w:val="Table Grid1"/>
    <w:basedOn w:val="TableauNormal"/>
    <w:next w:val="Grilledutableau"/>
    <w:uiPriority w:val="59"/>
    <w:rsid w:val="00B51BC1"/>
    <w:rPr>
      <w:rFonts w:eastAsiaTheme="minorHAnsi" w:cstheme="minorBidi"/>
      <w:sz w:val="24"/>
      <w:szCs w:val="24"/>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adecisions.ontariocourts.ca/coa/coa/en/item/22911/index.d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14507</Words>
  <Characters>79793</Characters>
  <Application>Microsoft Office Word</Application>
  <DocSecurity>0</DocSecurity>
  <Lines>664</Lines>
  <Paragraphs>188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SOQUIJ</Company>
  <LinksUpToDate>false</LinksUpToDate>
  <CharactersWithSpaces>94112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Deschênes, Gabrielle</cp:lastModifiedBy>
  <cp:revision>2</cp:revision>
  <dcterms:created xsi:type="dcterms:W3CDTF">2026-09-10T22:54:00Z</dcterms:created>
  <dcterms:modified xsi:type="dcterms:W3CDTF">2026-09-11T13:47:00Z</dcterms:modified>
</cp:coreProperties>
</file>