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ayout w:type="fixed"/>
        <w:tblCellMar>
          <w:left w:w="0" w:type="dxa"/>
          <w:right w:w="0" w:type="dxa"/>
        </w:tblCellMar>
        <w:tblLook w:val="0000" w:firstRow="0" w:lastRow="0" w:firstColumn="0" w:lastColumn="0" w:noHBand="0" w:noVBand="0"/>
      </w:tblPr>
      <w:tblGrid>
        <w:gridCol w:w="1030"/>
        <w:gridCol w:w="90"/>
        <w:gridCol w:w="156"/>
        <w:gridCol w:w="1724"/>
        <w:gridCol w:w="4372"/>
        <w:gridCol w:w="1388"/>
        <w:gridCol w:w="600"/>
      </w:tblGrid>
      <w:tr w:rsidR="005A7260" w14:paraId="39351796" w14:textId="77777777" w:rsidTr="008D18FC">
        <w:trPr>
          <w:trHeight w:val="248"/>
        </w:trPr>
        <w:tc>
          <w:tcPr>
            <w:tcW w:w="7372" w:type="dxa"/>
            <w:gridSpan w:val="5"/>
          </w:tcPr>
          <w:p w14:paraId="1C7CE3B1" w14:textId="60EA8FB9" w:rsidR="008F364A" w:rsidRPr="00A000AB" w:rsidRDefault="00A000AB" w:rsidP="00A000AB">
            <w:pPr>
              <w:pStyle w:val="zSoquijdatRepertorie"/>
              <w:rPr>
                <w:rFonts w:cs="Arial"/>
              </w:rPr>
            </w:pPr>
            <w:r>
              <w:rPr>
                <w:rFonts w:cs="Arial"/>
              </w:rPr>
              <w:t>Ville de Montréal c. Clinique juridique itinérante</w:t>
            </w:r>
          </w:p>
        </w:tc>
        <w:tc>
          <w:tcPr>
            <w:tcW w:w="1988" w:type="dxa"/>
            <w:gridSpan w:val="2"/>
          </w:tcPr>
          <w:p w14:paraId="7E37AEAD" w14:textId="3FFC35ED" w:rsidR="008F364A" w:rsidRPr="002D004D" w:rsidRDefault="002D004D" w:rsidP="002D004D">
            <w:pPr>
              <w:pStyle w:val="zSoquijdatRefNeutre"/>
              <w:jc w:val="right"/>
              <w:rPr>
                <w:rFonts w:cs="Arial"/>
              </w:rPr>
            </w:pPr>
            <w:r w:rsidRPr="002D004D">
              <w:rPr>
                <w:rFonts w:cs="Arial"/>
              </w:rPr>
              <w:t>2026 QCCA 1195</w:t>
            </w:r>
          </w:p>
        </w:tc>
      </w:tr>
      <w:tr w:rsidR="005A7260" w14:paraId="7B11218C" w14:textId="77777777" w:rsidTr="008D18FC">
        <w:trPr>
          <w:trHeight w:val="247"/>
        </w:trPr>
        <w:tc>
          <w:tcPr>
            <w:tcW w:w="9360" w:type="dxa"/>
            <w:gridSpan w:val="7"/>
          </w:tcPr>
          <w:p w14:paraId="44D6AF55" w14:textId="77777777" w:rsidR="008F364A" w:rsidRDefault="00001A5A">
            <w:pPr>
              <w:pStyle w:val="zSoquijlblCour"/>
            </w:pPr>
            <w:r>
              <w:t>COUR D’APPEL</w:t>
            </w:r>
          </w:p>
        </w:tc>
      </w:tr>
      <w:tr w:rsidR="005A7260" w14:paraId="66681055" w14:textId="77777777" w:rsidTr="008D18FC">
        <w:trPr>
          <w:trHeight w:val="540"/>
        </w:trPr>
        <w:tc>
          <w:tcPr>
            <w:tcW w:w="9360" w:type="dxa"/>
            <w:gridSpan w:val="7"/>
          </w:tcPr>
          <w:p w14:paraId="5B40F79C" w14:textId="77777777" w:rsidR="008F364A" w:rsidRDefault="008F364A">
            <w:pPr>
              <w:pStyle w:val="zSoquijdatDivision"/>
            </w:pPr>
          </w:p>
        </w:tc>
      </w:tr>
      <w:tr w:rsidR="005A7260" w14:paraId="6FEB1C96" w14:textId="77777777" w:rsidTr="008D18FC">
        <w:tc>
          <w:tcPr>
            <w:tcW w:w="9360" w:type="dxa"/>
            <w:gridSpan w:val="7"/>
          </w:tcPr>
          <w:p w14:paraId="414785F7" w14:textId="77777777" w:rsidR="008F364A" w:rsidRDefault="00001A5A">
            <w:pPr>
              <w:pStyle w:val="zSoquijlblPays"/>
            </w:pPr>
            <w:r>
              <w:t>CANADA</w:t>
            </w:r>
          </w:p>
        </w:tc>
      </w:tr>
      <w:tr w:rsidR="005A7260" w14:paraId="0DC8A1E7" w14:textId="77777777" w:rsidTr="008D18FC">
        <w:tc>
          <w:tcPr>
            <w:tcW w:w="9360" w:type="dxa"/>
            <w:gridSpan w:val="7"/>
          </w:tcPr>
          <w:p w14:paraId="29B487C0" w14:textId="77777777" w:rsidR="008F364A" w:rsidRDefault="00001A5A">
            <w:pPr>
              <w:pStyle w:val="zSoquijlblProvince"/>
            </w:pPr>
            <w:r>
              <w:t>PROVINCE DE QUÉBEC</w:t>
            </w:r>
          </w:p>
        </w:tc>
      </w:tr>
      <w:tr w:rsidR="005A7260" w14:paraId="6348BE2B" w14:textId="77777777" w:rsidTr="00AE1B6D">
        <w:tc>
          <w:tcPr>
            <w:tcW w:w="1276" w:type="dxa"/>
            <w:gridSpan w:val="3"/>
          </w:tcPr>
          <w:p w14:paraId="64F7C387" w14:textId="77777777" w:rsidR="008F364A" w:rsidRDefault="00001A5A">
            <w:pPr>
              <w:pStyle w:val="zSoquijlblGreffe"/>
            </w:pPr>
            <w:r w:rsidRPr="008E5E9D">
              <w:t>SIÈGE</w:t>
            </w:r>
            <w:r w:rsidR="00740A17">
              <w:t xml:space="preserve"> DE</w:t>
            </w:r>
          </w:p>
          <w:p w14:paraId="1014FD1E" w14:textId="77777777" w:rsidR="008F364A" w:rsidRDefault="008F364A">
            <w:pPr>
              <w:pStyle w:val="zSoquijlblGreffe"/>
            </w:pPr>
          </w:p>
        </w:tc>
        <w:tc>
          <w:tcPr>
            <w:tcW w:w="8084" w:type="dxa"/>
            <w:gridSpan w:val="4"/>
          </w:tcPr>
          <w:p w14:paraId="103F3108" w14:textId="40788BE0" w:rsidR="008F364A" w:rsidRDefault="00001A5A" w:rsidP="00AE1B6D">
            <w:pPr>
              <w:pStyle w:val="zSoquijdatGreffe"/>
              <w:ind w:left="-22"/>
            </w:pPr>
            <w:bookmarkStart w:id="0" w:name="NomGreffe"/>
            <w:r>
              <w:t>MONTRÉAL</w:t>
            </w:r>
            <w:bookmarkEnd w:id="0"/>
          </w:p>
        </w:tc>
      </w:tr>
      <w:tr w:rsidR="005A7260" w14:paraId="5F7069C9" w14:textId="77777777" w:rsidTr="008D18FC">
        <w:tc>
          <w:tcPr>
            <w:tcW w:w="1030" w:type="dxa"/>
          </w:tcPr>
          <w:p w14:paraId="78B475A6" w14:textId="77777777" w:rsidR="008F364A" w:rsidRDefault="00001A5A">
            <w:pPr>
              <w:pStyle w:val="zSoquijlblNoDossier"/>
            </w:pPr>
            <w:r>
              <w:t>N° :</w:t>
            </w:r>
          </w:p>
        </w:tc>
        <w:tc>
          <w:tcPr>
            <w:tcW w:w="8330" w:type="dxa"/>
            <w:gridSpan w:val="6"/>
          </w:tcPr>
          <w:p w14:paraId="3E124F13" w14:textId="32D87D7B" w:rsidR="008F364A" w:rsidRDefault="00001A5A">
            <w:pPr>
              <w:pStyle w:val="zSoquijdatNoDossier"/>
            </w:pPr>
            <w:bookmarkStart w:id="1" w:name="NoDossier"/>
            <w:r>
              <w:t>500-09-032144-263</w:t>
            </w:r>
            <w:bookmarkEnd w:id="1"/>
          </w:p>
        </w:tc>
      </w:tr>
      <w:tr w:rsidR="005A7260" w14:paraId="3392D216" w14:textId="77777777" w:rsidTr="008D18FC">
        <w:tc>
          <w:tcPr>
            <w:tcW w:w="9360" w:type="dxa"/>
            <w:gridSpan w:val="7"/>
          </w:tcPr>
          <w:p w14:paraId="71390572" w14:textId="22927095" w:rsidR="00D40B76" w:rsidRDefault="00001A5A" w:rsidP="00D40B76">
            <w:pPr>
              <w:pStyle w:val="zSoquijdatNoDossierAnt"/>
            </w:pPr>
            <w:r>
              <w:t>(500-17-138478-261)</w:t>
            </w:r>
          </w:p>
        </w:tc>
      </w:tr>
      <w:tr w:rsidR="005A7260" w14:paraId="21CE0B27" w14:textId="77777777" w:rsidTr="008D18FC">
        <w:tc>
          <w:tcPr>
            <w:tcW w:w="9360" w:type="dxa"/>
            <w:gridSpan w:val="7"/>
          </w:tcPr>
          <w:p w14:paraId="769734B5" w14:textId="77777777" w:rsidR="008F364A" w:rsidRDefault="008F364A"/>
        </w:tc>
      </w:tr>
      <w:tr w:rsidR="005A7260" w14:paraId="5C1E34E4" w14:textId="77777777" w:rsidTr="008D18FC">
        <w:tc>
          <w:tcPr>
            <w:tcW w:w="1030" w:type="dxa"/>
          </w:tcPr>
          <w:p w14:paraId="788E9355" w14:textId="77777777" w:rsidR="008F364A" w:rsidRDefault="00001A5A">
            <w:pPr>
              <w:pStyle w:val="zSoquijlblDateJugement"/>
            </w:pPr>
            <w:r>
              <w:t>DATE :</w:t>
            </w:r>
          </w:p>
        </w:tc>
        <w:tc>
          <w:tcPr>
            <w:tcW w:w="8330" w:type="dxa"/>
            <w:gridSpan w:val="6"/>
          </w:tcPr>
          <w:p w14:paraId="10B71E9D" w14:textId="00F4BDDF" w:rsidR="008F364A" w:rsidRDefault="00001A5A">
            <w:pPr>
              <w:pStyle w:val="zSoquijdatDateJugement"/>
            </w:pPr>
            <w:r>
              <w:t>10</w:t>
            </w:r>
            <w:r w:rsidR="00D40B76">
              <w:t xml:space="preserve"> septembre 2026</w:t>
            </w:r>
          </w:p>
        </w:tc>
      </w:tr>
      <w:tr w:rsidR="005A7260" w14:paraId="630A4CFD" w14:textId="77777777" w:rsidTr="008D18FC">
        <w:tc>
          <w:tcPr>
            <w:tcW w:w="9360" w:type="dxa"/>
            <w:gridSpan w:val="7"/>
            <w:tcBorders>
              <w:bottom w:val="single" w:sz="8" w:space="0" w:color="auto"/>
            </w:tcBorders>
          </w:tcPr>
          <w:p w14:paraId="0DDFF017" w14:textId="77777777" w:rsidR="008F364A" w:rsidRDefault="008F364A"/>
        </w:tc>
      </w:tr>
      <w:tr w:rsidR="005A7260" w14:paraId="18C66304" w14:textId="77777777" w:rsidTr="008D18FC">
        <w:tc>
          <w:tcPr>
            <w:tcW w:w="9360" w:type="dxa"/>
            <w:gridSpan w:val="7"/>
            <w:tcBorders>
              <w:top w:val="single" w:sz="8" w:space="0" w:color="auto"/>
            </w:tcBorders>
          </w:tcPr>
          <w:p w14:paraId="1D386D50" w14:textId="77777777" w:rsidR="008F364A" w:rsidRDefault="008F364A"/>
        </w:tc>
      </w:tr>
      <w:tr w:rsidR="005A7260" w14:paraId="1DE7A8AE" w14:textId="77777777" w:rsidTr="00D40B76">
        <w:trPr>
          <w:gridAfter w:val="1"/>
          <w:wAfter w:w="600" w:type="dxa"/>
        </w:trPr>
        <w:tc>
          <w:tcPr>
            <w:tcW w:w="1120" w:type="dxa"/>
            <w:gridSpan w:val="2"/>
          </w:tcPr>
          <w:p w14:paraId="0DD158D6" w14:textId="716894D8" w:rsidR="008F364A" w:rsidRDefault="00001A5A" w:rsidP="00423DF1">
            <w:pPr>
              <w:pStyle w:val="zSoquijlblJuge"/>
              <w:ind w:right="-142"/>
            </w:pPr>
            <w:bookmarkStart w:id="2" w:name="FORMATION"/>
            <w:r>
              <w:t>DEVANT</w:t>
            </w:r>
            <w:bookmarkEnd w:id="2"/>
          </w:p>
        </w:tc>
        <w:tc>
          <w:tcPr>
            <w:tcW w:w="1880" w:type="dxa"/>
            <w:gridSpan w:val="2"/>
          </w:tcPr>
          <w:p w14:paraId="3349CF0D" w14:textId="63324F70" w:rsidR="008F364A" w:rsidRDefault="00001A5A">
            <w:pPr>
              <w:pStyle w:val="zSoquijdatQteJuge"/>
            </w:pPr>
            <w:bookmarkStart w:id="3" w:name="Honorables"/>
            <w:r>
              <w:t>L’HONORABLE</w:t>
            </w:r>
            <w:bookmarkEnd w:id="3"/>
          </w:p>
        </w:tc>
        <w:tc>
          <w:tcPr>
            <w:tcW w:w="5760" w:type="dxa"/>
            <w:gridSpan w:val="2"/>
          </w:tcPr>
          <w:p w14:paraId="2CF3BEB3" w14:textId="09FEA831" w:rsidR="005A78BF" w:rsidRDefault="00001A5A" w:rsidP="00D40B76">
            <w:pPr>
              <w:pStyle w:val="zSoquijdatJuge"/>
              <w:rPr>
                <w:lang w:val="de-DE"/>
              </w:rPr>
            </w:pPr>
            <w:bookmarkStart w:id="4" w:name="_Hlt520513784"/>
            <w:bookmarkStart w:id="5" w:name="NomJuge1"/>
            <w:bookmarkEnd w:id="4"/>
            <w:r>
              <w:t>CHRISTIAN IMMER, J.C.A.</w:t>
            </w:r>
            <w:bookmarkEnd w:id="5"/>
          </w:p>
        </w:tc>
      </w:tr>
      <w:tr w:rsidR="005A7260" w14:paraId="1407A20D" w14:textId="77777777" w:rsidTr="008D18FC">
        <w:tc>
          <w:tcPr>
            <w:tcW w:w="9360" w:type="dxa"/>
            <w:gridSpan w:val="7"/>
            <w:tcBorders>
              <w:bottom w:val="single" w:sz="8" w:space="0" w:color="auto"/>
            </w:tcBorders>
          </w:tcPr>
          <w:p w14:paraId="5B3ED1E8" w14:textId="77777777" w:rsidR="008F364A" w:rsidRDefault="008F364A">
            <w:pPr>
              <w:rPr>
                <w:lang w:val="de-DE"/>
              </w:rPr>
            </w:pPr>
          </w:p>
        </w:tc>
      </w:tr>
      <w:tr w:rsidR="005A7260" w14:paraId="58C23DC1" w14:textId="77777777" w:rsidTr="008D18FC">
        <w:tc>
          <w:tcPr>
            <w:tcW w:w="9360" w:type="dxa"/>
            <w:gridSpan w:val="7"/>
          </w:tcPr>
          <w:p w14:paraId="03E08E5D" w14:textId="77777777" w:rsidR="008F364A" w:rsidRDefault="008F364A">
            <w:pPr>
              <w:pStyle w:val="zSoquijlblTitrePartie"/>
              <w:rPr>
                <w:lang w:val="de-DE"/>
              </w:rPr>
            </w:pPr>
          </w:p>
        </w:tc>
      </w:tr>
      <w:tr w:rsidR="005A7260" w14:paraId="4B17CAEB" w14:textId="77777777" w:rsidTr="008D18FC">
        <w:tc>
          <w:tcPr>
            <w:tcW w:w="9360" w:type="dxa"/>
            <w:gridSpan w:val="7"/>
          </w:tcPr>
          <w:p w14:paraId="2EC80941" w14:textId="4CEC6CA1" w:rsidR="008F364A" w:rsidRPr="00D40B76" w:rsidRDefault="00001A5A" w:rsidP="00D40B76">
            <w:pPr>
              <w:pStyle w:val="zSoquijdatNomPartieDem"/>
              <w:tabs>
                <w:tab w:val="center" w:pos="2412"/>
              </w:tabs>
            </w:pPr>
            <w:r w:rsidRPr="002A6691">
              <w:t>VILLE DE MONTRÉAL</w:t>
            </w:r>
          </w:p>
        </w:tc>
      </w:tr>
      <w:tr w:rsidR="005A7260" w14:paraId="5B817D89" w14:textId="77777777" w:rsidTr="008D18FC">
        <w:tc>
          <w:tcPr>
            <w:tcW w:w="9360" w:type="dxa"/>
            <w:gridSpan w:val="7"/>
          </w:tcPr>
          <w:p w14:paraId="6AD07E13" w14:textId="4641027F" w:rsidR="008F364A" w:rsidRDefault="00001A5A">
            <w:pPr>
              <w:pStyle w:val="zSoquijdatQtePartieDem"/>
              <w:rPr>
                <w:lang w:val="de-DE"/>
              </w:rPr>
            </w:pPr>
            <w:r>
              <w:t>REQUÉRANTE – défenderesse</w:t>
            </w:r>
          </w:p>
        </w:tc>
      </w:tr>
      <w:tr w:rsidR="005A7260" w14:paraId="11293F46" w14:textId="77777777" w:rsidTr="008D18FC">
        <w:tc>
          <w:tcPr>
            <w:tcW w:w="9360" w:type="dxa"/>
            <w:gridSpan w:val="7"/>
          </w:tcPr>
          <w:p w14:paraId="27FC327A" w14:textId="77777777" w:rsidR="00214E69" w:rsidRDefault="00214E69">
            <w:pPr>
              <w:pStyle w:val="zSoquijlblLienParties"/>
              <w:rPr>
                <w:lang w:val="en-CA"/>
              </w:rPr>
            </w:pPr>
          </w:p>
        </w:tc>
      </w:tr>
      <w:tr w:rsidR="005A7260" w14:paraId="21FFF8EE" w14:textId="77777777" w:rsidTr="008D18FC">
        <w:tc>
          <w:tcPr>
            <w:tcW w:w="9360" w:type="dxa"/>
            <w:gridSpan w:val="7"/>
          </w:tcPr>
          <w:p w14:paraId="11B9DA7F" w14:textId="77777777" w:rsidR="008F364A" w:rsidRDefault="00001A5A">
            <w:pPr>
              <w:pStyle w:val="zSoquijlblLienParties"/>
              <w:rPr>
                <w:lang w:val="en-CA"/>
              </w:rPr>
            </w:pPr>
            <w:r>
              <w:rPr>
                <w:lang w:val="en-CA"/>
              </w:rPr>
              <w:t>c.</w:t>
            </w:r>
          </w:p>
        </w:tc>
      </w:tr>
      <w:tr w:rsidR="005A7260" w14:paraId="5EDE7BA2" w14:textId="77777777" w:rsidTr="008D18FC">
        <w:tc>
          <w:tcPr>
            <w:tcW w:w="9360" w:type="dxa"/>
            <w:gridSpan w:val="7"/>
          </w:tcPr>
          <w:p w14:paraId="73FD7E2D" w14:textId="77777777" w:rsidR="008F364A" w:rsidRDefault="008F364A">
            <w:pPr>
              <w:rPr>
                <w:lang w:val="en-CA"/>
              </w:rPr>
            </w:pPr>
          </w:p>
        </w:tc>
      </w:tr>
      <w:tr w:rsidR="005A7260" w14:paraId="7DDE7F97" w14:textId="77777777" w:rsidTr="008D18FC">
        <w:tc>
          <w:tcPr>
            <w:tcW w:w="9360" w:type="dxa"/>
            <w:gridSpan w:val="7"/>
          </w:tcPr>
          <w:p w14:paraId="1839D649" w14:textId="5BF55C16" w:rsidR="008F364A" w:rsidRPr="00D40B76" w:rsidRDefault="00001A5A" w:rsidP="00D40B76">
            <w:pPr>
              <w:pStyle w:val="zSoquijdatNomPartieDef"/>
              <w:tabs>
                <w:tab w:val="center" w:pos="2412"/>
              </w:tabs>
            </w:pPr>
            <w:r w:rsidRPr="002A6691">
              <w:t>CLINIQUE JURIDIQUE ITINÉRANTE</w:t>
            </w:r>
          </w:p>
        </w:tc>
      </w:tr>
      <w:tr w:rsidR="005A7260" w14:paraId="16AF23FA" w14:textId="77777777" w:rsidTr="008D18FC">
        <w:tc>
          <w:tcPr>
            <w:tcW w:w="9360" w:type="dxa"/>
            <w:gridSpan w:val="7"/>
          </w:tcPr>
          <w:p w14:paraId="5BD1B239" w14:textId="337656E6" w:rsidR="008F364A" w:rsidRDefault="00001A5A">
            <w:pPr>
              <w:pStyle w:val="zSoquijdatQtePartieDef"/>
              <w:rPr>
                <w:lang w:val="en-CA"/>
              </w:rPr>
            </w:pPr>
            <w:r>
              <w:t xml:space="preserve">INTIMÉE – demanderesse </w:t>
            </w:r>
          </w:p>
        </w:tc>
      </w:tr>
      <w:tr w:rsidR="005A7260" w14:paraId="6A00DD99" w14:textId="77777777" w:rsidTr="008D18FC">
        <w:tc>
          <w:tcPr>
            <w:tcW w:w="9360" w:type="dxa"/>
            <w:gridSpan w:val="7"/>
          </w:tcPr>
          <w:p w14:paraId="54C378DF" w14:textId="77777777" w:rsidR="00214E69" w:rsidRDefault="00214E69">
            <w:pPr>
              <w:pStyle w:val="zSoquijdatQtePartieDef"/>
            </w:pPr>
          </w:p>
        </w:tc>
      </w:tr>
      <w:tr w:rsidR="005A7260" w14:paraId="2C22A187" w14:textId="77777777" w:rsidTr="008D18FC">
        <w:tc>
          <w:tcPr>
            <w:tcW w:w="9360" w:type="dxa"/>
            <w:gridSpan w:val="7"/>
          </w:tcPr>
          <w:p w14:paraId="5803FD8B" w14:textId="77777777" w:rsidR="008F364A" w:rsidRDefault="008F364A">
            <w:pPr>
              <w:rPr>
                <w:lang w:val="en-CA"/>
              </w:rPr>
            </w:pPr>
          </w:p>
        </w:tc>
      </w:tr>
      <w:tr w:rsidR="005A7260" w14:paraId="334A1E87" w14:textId="77777777" w:rsidTr="008D18FC">
        <w:tc>
          <w:tcPr>
            <w:tcW w:w="9360" w:type="dxa"/>
            <w:gridSpan w:val="7"/>
            <w:tcBorders>
              <w:top w:val="single" w:sz="8" w:space="0" w:color="auto"/>
            </w:tcBorders>
          </w:tcPr>
          <w:p w14:paraId="479B7E53" w14:textId="77777777" w:rsidR="008F364A" w:rsidRDefault="008F364A">
            <w:pPr>
              <w:rPr>
                <w:lang w:val="en-CA"/>
              </w:rPr>
            </w:pPr>
            <w:bookmarkStart w:id="6" w:name="Arret"/>
          </w:p>
        </w:tc>
      </w:tr>
      <w:tr w:rsidR="005A7260" w14:paraId="3EA7E018" w14:textId="77777777" w:rsidTr="008D18FC">
        <w:tc>
          <w:tcPr>
            <w:tcW w:w="9360" w:type="dxa"/>
            <w:gridSpan w:val="7"/>
          </w:tcPr>
          <w:p w14:paraId="3D81FBDB" w14:textId="1D8861A4" w:rsidR="008F364A" w:rsidRDefault="00001A5A">
            <w:pPr>
              <w:pStyle w:val="zSoquijlblTypeDocument"/>
            </w:pPr>
            <w:bookmarkStart w:id="7" w:name="TitreDocument"/>
            <w:r>
              <w:t>JUGEMENT</w:t>
            </w:r>
            <w:bookmarkEnd w:id="7"/>
          </w:p>
        </w:tc>
      </w:tr>
      <w:tr w:rsidR="005A7260" w14:paraId="20DDC4A7" w14:textId="77777777" w:rsidTr="008D18FC">
        <w:tc>
          <w:tcPr>
            <w:tcW w:w="9360" w:type="dxa"/>
            <w:gridSpan w:val="7"/>
            <w:tcBorders>
              <w:bottom w:val="single" w:sz="8" w:space="0" w:color="auto"/>
            </w:tcBorders>
          </w:tcPr>
          <w:p w14:paraId="494CC2E6" w14:textId="77777777" w:rsidR="008F364A" w:rsidRDefault="008F364A"/>
        </w:tc>
      </w:tr>
      <w:tr w:rsidR="005A7260" w14:paraId="57BC9604" w14:textId="77777777" w:rsidTr="008D18FC">
        <w:tc>
          <w:tcPr>
            <w:tcW w:w="9360" w:type="dxa"/>
            <w:gridSpan w:val="7"/>
            <w:tcBorders>
              <w:top w:val="single" w:sz="8" w:space="0" w:color="auto"/>
            </w:tcBorders>
          </w:tcPr>
          <w:p w14:paraId="76CDFF00" w14:textId="77777777" w:rsidR="008F364A" w:rsidRDefault="008F364A"/>
        </w:tc>
      </w:tr>
    </w:tbl>
    <w:p w14:paraId="0B4895EC" w14:textId="6BA96A97" w:rsidR="00D40B76" w:rsidRDefault="00001A5A" w:rsidP="00214E69">
      <w:pPr>
        <w:pStyle w:val="Paragraphe"/>
        <w:tabs>
          <w:tab w:val="clear" w:pos="720"/>
          <w:tab w:val="num" w:pos="709"/>
        </w:tabs>
        <w:spacing w:line="240" w:lineRule="auto"/>
      </w:pPr>
      <w:r>
        <w:t>La requérante, Ville de Montréal, demande la permission d’en appeler d’une ordonnance de sauvegarde prononcée par la Cour supérieure (l’honorable Alexande</w:t>
      </w:r>
      <w:r w:rsidR="00E37F05">
        <w:t>r</w:t>
      </w:r>
      <w:r>
        <w:t xml:space="preserve"> Pless) le 8</w:t>
      </w:r>
      <w:r w:rsidR="00E37B67">
        <w:t> </w:t>
      </w:r>
      <w:r>
        <w:t>juin 2026</w:t>
      </w:r>
      <w:r>
        <w:rPr>
          <w:rStyle w:val="Appelnotedebasdep"/>
        </w:rPr>
        <w:footnoteReference w:id="1"/>
      </w:r>
      <w:r>
        <w:t>. Elle me demande aussi de surs</w:t>
      </w:r>
      <w:r w:rsidR="00E37F05">
        <w:t>e</w:t>
      </w:r>
      <w:r>
        <w:t>oir à l’ordonnance prononcée jusqu’à ce que l’appel soit entendu au fond.</w:t>
      </w:r>
    </w:p>
    <w:p w14:paraId="7AAC41CB" w14:textId="7B447068" w:rsidR="00D40B76" w:rsidRDefault="00001A5A" w:rsidP="00214E69">
      <w:pPr>
        <w:pStyle w:val="Paragraphe"/>
        <w:tabs>
          <w:tab w:val="clear" w:pos="720"/>
          <w:tab w:val="num" w:pos="709"/>
        </w:tabs>
        <w:spacing w:line="240" w:lineRule="auto"/>
      </w:pPr>
      <w:r>
        <w:t>Le contexte est comme suit. Depuis mai 2025, progressivement, dix personnes en situation d’itinérance ont installé neuf tentes ou abris aux abords du parc de</w:t>
      </w:r>
      <w:r w:rsidRPr="006E10D0">
        <w:t xml:space="preserve"> planche à roulettes</w:t>
      </w:r>
      <w:r>
        <w:t xml:space="preserve"> et du terrain de basketball du Mile End</w:t>
      </w:r>
      <w:r w:rsidRPr="001E7099">
        <w:t xml:space="preserve"> situé</w:t>
      </w:r>
      <w:r>
        <w:t>s</w:t>
      </w:r>
      <w:r w:rsidRPr="001E7099">
        <w:t xml:space="preserve"> sous le viaduc Van Horne</w:t>
      </w:r>
      <w:r w:rsidRPr="006E10D0">
        <w:t xml:space="preserve">. </w:t>
      </w:r>
      <w:r>
        <w:t xml:space="preserve">Des interventions de divers services de la requérante se sont succédé auprès de ces personnes. </w:t>
      </w:r>
    </w:p>
    <w:p w14:paraId="3D64F864" w14:textId="04EEF841" w:rsidR="00D40B76" w:rsidRDefault="00001A5A" w:rsidP="00214E69">
      <w:pPr>
        <w:pStyle w:val="Paragraphe"/>
        <w:tabs>
          <w:tab w:val="clear" w:pos="720"/>
          <w:tab w:val="num" w:pos="709"/>
        </w:tabs>
        <w:spacing w:line="240" w:lineRule="auto"/>
      </w:pPr>
      <w:r>
        <w:lastRenderedPageBreak/>
        <w:t xml:space="preserve">En février 2026, </w:t>
      </w:r>
      <w:r w:rsidR="00585DAF">
        <w:t xml:space="preserve">la requérante </w:t>
      </w:r>
      <w:r>
        <w:t xml:space="preserve">produit le </w:t>
      </w:r>
      <w:r w:rsidRPr="001E7099">
        <w:rPr>
          <w:i/>
          <w:iCs/>
        </w:rPr>
        <w:t xml:space="preserve">Protocole municipal de gestion des campements : </w:t>
      </w:r>
      <w:r>
        <w:rPr>
          <w:i/>
          <w:iCs/>
        </w:rPr>
        <w:t>a</w:t>
      </w:r>
      <w:r w:rsidRPr="001E7099">
        <w:rPr>
          <w:i/>
          <w:iCs/>
        </w:rPr>
        <w:t>ccompagner la transition</w:t>
      </w:r>
      <w:r w:rsidR="00BB7647">
        <w:t xml:space="preserve"> (« Protocole »),</w:t>
      </w:r>
      <w:r>
        <w:t xml:space="preserve"> qui est présenté pour adoption lors d’une assemblée extraordinaire du conseil municipal tenu le 11</w:t>
      </w:r>
      <w:r w:rsidR="00E37B67">
        <w:t> </w:t>
      </w:r>
      <w:r>
        <w:t>mai 2026.</w:t>
      </w:r>
    </w:p>
    <w:p w14:paraId="6599E0AE" w14:textId="3DBC0FED" w:rsidR="00D40B76" w:rsidRDefault="00001A5A" w:rsidP="00214E69">
      <w:pPr>
        <w:pStyle w:val="Paragraphe"/>
        <w:tabs>
          <w:tab w:val="clear" w:pos="720"/>
          <w:tab w:val="num" w:pos="709"/>
        </w:tabs>
        <w:spacing w:line="240" w:lineRule="auto"/>
      </w:pPr>
      <w:r>
        <w:t>Le 13</w:t>
      </w:r>
      <w:r w:rsidR="00E37B67">
        <w:t> </w:t>
      </w:r>
      <w:r>
        <w:t xml:space="preserve">mai 2026, </w:t>
      </w:r>
      <w:r w:rsidR="00585DAF">
        <w:t xml:space="preserve">la requérante </w:t>
      </w:r>
      <w:r>
        <w:t>affiche un avis («</w:t>
      </w:r>
      <w:r w:rsidR="00E37B67">
        <w:t> </w:t>
      </w:r>
      <w:r>
        <w:t>Avis</w:t>
      </w:r>
      <w:r w:rsidR="00E37B67">
        <w:t> </w:t>
      </w:r>
      <w:r>
        <w:t>») dans la zone visée indiquant que les campements qui s’y trouve</w:t>
      </w:r>
      <w:r w:rsidR="00E37F05">
        <w:t>nt</w:t>
      </w:r>
      <w:r>
        <w:t xml:space="preserve"> devront être retirés et déplacés au plus tard le 21</w:t>
      </w:r>
      <w:r w:rsidR="00E37B67">
        <w:t> </w:t>
      </w:r>
      <w:r>
        <w:t>mai 2026 et invitant les personnes y vivant «</w:t>
      </w:r>
      <w:r w:rsidR="00E37B67">
        <w:t> </w:t>
      </w:r>
      <w:r w:rsidRPr="00304534">
        <w:t xml:space="preserve">à commencer sans tarder à rassembler </w:t>
      </w:r>
      <w:r>
        <w:t>leur</w:t>
      </w:r>
      <w:r w:rsidRPr="00304534">
        <w:t>s effets personnels et à quitter les lieux dès que possible, sans attendre l’expiration du délai indiqué</w:t>
      </w:r>
      <w:r w:rsidR="00E37B67">
        <w:t> </w:t>
      </w:r>
      <w:r>
        <w:t xml:space="preserve">». Un accompagnement et des références vers des ressources seraient fournis sur demande et des intervenants continueraient d’être présents sur le terrain pour les aider à préparer et à réaliser ce déménagement dans le délai indiqué. </w:t>
      </w:r>
    </w:p>
    <w:p w14:paraId="5B4D5092" w14:textId="15EA37A3" w:rsidR="00D40B76" w:rsidRDefault="00001A5A" w:rsidP="00214E69">
      <w:pPr>
        <w:pStyle w:val="Paragraphe"/>
        <w:tabs>
          <w:tab w:val="clear" w:pos="720"/>
          <w:tab w:val="num" w:pos="709"/>
        </w:tabs>
        <w:spacing w:line="240" w:lineRule="auto"/>
      </w:pPr>
      <w:r>
        <w:t>Craignant les effets de l’Avis sur les personne</w:t>
      </w:r>
      <w:r w:rsidR="00585DAF">
        <w:t>s</w:t>
      </w:r>
      <w:r>
        <w:t xml:space="preserve"> vivant dans le campement, l’intimée dépose une demande recherchant une injonction permanente, interlocutoire et des mesures de sauvegarde pour empêcher sa mise en œuvre, à laquelle sont jointes diverses déclarations sous serment.</w:t>
      </w:r>
      <w:r w:rsidR="0021408B">
        <w:t xml:space="preserve"> Ces déclarations expliquent, entre autres,</w:t>
      </w:r>
      <w:r w:rsidR="00214E69">
        <w:t xml:space="preserve"> </w:t>
      </w:r>
      <w:r w:rsidR="0021408B">
        <w:t>la</w:t>
      </w:r>
      <w:r>
        <w:t xml:space="preserve"> situation personnelle</w:t>
      </w:r>
      <w:r w:rsidR="0021408B">
        <w:t xml:space="preserve"> de six personnes vivant au sein du </w:t>
      </w:r>
      <w:r>
        <w:t>campement</w:t>
      </w:r>
      <w:r w:rsidR="0021408B">
        <w:t xml:space="preserve"> visé, présentent le point de vue d’usagers des installations sportives qui attestent que </w:t>
      </w:r>
      <w:r>
        <w:t>le campement ne crée pas d’inconvénients</w:t>
      </w:r>
      <w:r w:rsidR="0021408B">
        <w:t xml:space="preserve"> et relatent que </w:t>
      </w:r>
      <w:r>
        <w:t xml:space="preserve">les taux d’occupation sont de 100 % </w:t>
      </w:r>
      <w:r w:rsidR="0021408B">
        <w:t>au sein des refuges auxquels les personnes du campement ont été référé</w:t>
      </w:r>
      <w:r w:rsidR="00214E69">
        <w:t>e</w:t>
      </w:r>
      <w:r w:rsidR="0021408B">
        <w:t>s</w:t>
      </w:r>
      <w:r>
        <w:t xml:space="preserve">. </w:t>
      </w:r>
    </w:p>
    <w:p w14:paraId="4018D751" w14:textId="19C1DF88" w:rsidR="00D40B76" w:rsidRDefault="00001A5A" w:rsidP="00214E69">
      <w:pPr>
        <w:pStyle w:val="Paragraphe"/>
        <w:tabs>
          <w:tab w:val="clear" w:pos="720"/>
          <w:tab w:val="num" w:pos="709"/>
        </w:tabs>
        <w:spacing w:line="240" w:lineRule="auto"/>
      </w:pPr>
      <w:r>
        <w:t>Une première ordonnance de sauvegarde est prononcée par la Cour supérieure, qui sursoit à l’opération décrite dans l’</w:t>
      </w:r>
      <w:r w:rsidR="00BB7647">
        <w:t>A</w:t>
      </w:r>
      <w:r>
        <w:t>vis jusqu’au 1</w:t>
      </w:r>
      <w:r w:rsidRPr="008D7954">
        <w:rPr>
          <w:vertAlign w:val="superscript"/>
        </w:rPr>
        <w:t>er</w:t>
      </w:r>
      <w:r w:rsidR="00E37B67">
        <w:t> </w:t>
      </w:r>
      <w:r>
        <w:t>juin</w:t>
      </w:r>
      <w:r w:rsidR="00585DAF">
        <w:t xml:space="preserve"> 2026</w:t>
      </w:r>
      <w:r>
        <w:t xml:space="preserve">, avec le consentement de </w:t>
      </w:r>
      <w:r w:rsidR="00585DAF">
        <w:t>la requérante</w:t>
      </w:r>
      <w:r>
        <w:t xml:space="preserve">, mais sans admission.  </w:t>
      </w:r>
    </w:p>
    <w:p w14:paraId="1F1E1EA5" w14:textId="68264993" w:rsidR="00D40B76" w:rsidRDefault="00001A5A" w:rsidP="00214E69">
      <w:pPr>
        <w:pStyle w:val="Paragraphe"/>
        <w:spacing w:line="240" w:lineRule="auto"/>
      </w:pPr>
      <w:r>
        <w:t>La requérante dépose alors trois déclarations sous serment qui servent</w:t>
      </w:r>
      <w:r w:rsidR="00F42E59">
        <w:t>, entre autres</w:t>
      </w:r>
      <w:r w:rsidR="00214E69">
        <w:t> :</w:t>
      </w:r>
      <w:r w:rsidR="00F42E59">
        <w:t xml:space="preserve"> </w:t>
      </w:r>
      <w:r w:rsidR="00214E69">
        <w:t xml:space="preserve">(a) </w:t>
      </w:r>
      <w:r>
        <w:t>à</w:t>
      </w:r>
      <w:r w:rsidR="00214E69">
        <w:t xml:space="preserve"> </w:t>
      </w:r>
      <w:r>
        <w:t xml:space="preserve">démontrer quels organismes ou services œuvrent auprès des personnes en situation d’itinérance dans le campement, les interventions et démarches entreprises à leur </w:t>
      </w:r>
      <w:r w:rsidR="00585DAF">
        <w:t xml:space="preserve">endroit </w:t>
      </w:r>
      <w:r>
        <w:t xml:space="preserve">autant durant </w:t>
      </w:r>
      <w:r w:rsidR="00214E69">
        <w:t>qu’</w:t>
      </w:r>
      <w:r>
        <w:t>après l’affichage de l’</w:t>
      </w:r>
      <w:r w:rsidR="00BB7647">
        <w:t>A</w:t>
      </w:r>
      <w:r>
        <w:t xml:space="preserve">vis et </w:t>
      </w:r>
      <w:r w:rsidRPr="00A9057A">
        <w:t>les observations faites quant au campement</w:t>
      </w:r>
      <w:r w:rsidR="00214E69">
        <w:t>;</w:t>
      </w:r>
      <w:r w:rsidR="00625229">
        <w:t xml:space="preserve"> (b)</w:t>
      </w:r>
      <w:r w:rsidR="00F42E59">
        <w:t xml:space="preserve"> à résumer </w:t>
      </w:r>
      <w:r>
        <w:t>les commentaires reçus des citoyens et des observations faites par deux patrouilleuses</w:t>
      </w:r>
      <w:r w:rsidR="00F42E59">
        <w:t xml:space="preserve"> relativement au campement</w:t>
      </w:r>
      <w:r w:rsidR="00214E69">
        <w:t>;</w:t>
      </w:r>
      <w:r w:rsidR="00F42E59">
        <w:t xml:space="preserve"> </w:t>
      </w:r>
      <w:r>
        <w:t xml:space="preserve">et </w:t>
      </w:r>
      <w:r w:rsidR="00625229">
        <w:t>(c) à relater</w:t>
      </w:r>
      <w:r>
        <w:t xml:space="preserve"> </w:t>
      </w:r>
      <w:r w:rsidR="00F42E59">
        <w:t>l</w:t>
      </w:r>
      <w:r>
        <w:t xml:space="preserve">es </w:t>
      </w:r>
      <w:r w:rsidR="008768FA">
        <w:t>événements</w:t>
      </w:r>
      <w:r>
        <w:t xml:space="preserve"> menant à l’annulation d’une activité au sein du parc à planche à roulettes et la situation au sein du campement depuis l’affichage de l’</w:t>
      </w:r>
      <w:r w:rsidR="00BB7647">
        <w:t>A</w:t>
      </w:r>
      <w:r>
        <w:t>vis</w:t>
      </w:r>
      <w:r w:rsidR="00625229">
        <w:t xml:space="preserve">, dont le fait </w:t>
      </w:r>
      <w:r w:rsidR="00F42E59">
        <w:t>que deux personnes ont quitté le campement pour s’installer sur un des deux sites proposés par la requérante</w:t>
      </w:r>
      <w:r>
        <w:t xml:space="preserve">.  </w:t>
      </w:r>
    </w:p>
    <w:p w14:paraId="618A65C6" w14:textId="77777777" w:rsidR="00D40B76" w:rsidRDefault="00001A5A" w:rsidP="00214E69">
      <w:pPr>
        <w:pStyle w:val="Paragraphe"/>
        <w:tabs>
          <w:tab w:val="clear" w:pos="720"/>
          <w:tab w:val="num" w:pos="709"/>
        </w:tabs>
        <w:spacing w:line="240" w:lineRule="auto"/>
      </w:pPr>
      <w:r>
        <w:t>L’audience se déroule alors devant le juge de première instance. Les parties y font des représentations sur la preuve produite dans les déclarations sous serment. Aucun interrogatoire n’a été tenu préalablement pour contre-interroger les déclarants.</w:t>
      </w:r>
    </w:p>
    <w:p w14:paraId="682F4895" w14:textId="77777777" w:rsidR="0002504B" w:rsidRDefault="0002504B" w:rsidP="0002504B"/>
    <w:p w14:paraId="10F7F360" w14:textId="77777777" w:rsidR="0002504B" w:rsidRDefault="0002504B" w:rsidP="0002504B"/>
    <w:p w14:paraId="25EB6726" w14:textId="77777777" w:rsidR="0002504B" w:rsidRDefault="0002504B" w:rsidP="0002504B"/>
    <w:p w14:paraId="156F41DC" w14:textId="55547C17" w:rsidR="00D40B76" w:rsidRDefault="00001A5A" w:rsidP="00214E69">
      <w:pPr>
        <w:pStyle w:val="Paragraphe"/>
        <w:tabs>
          <w:tab w:val="clear" w:pos="720"/>
          <w:tab w:val="num" w:pos="709"/>
        </w:tabs>
        <w:spacing w:line="240" w:lineRule="auto"/>
      </w:pPr>
      <w:r>
        <w:lastRenderedPageBreak/>
        <w:t>Le juge rend jugement le 8</w:t>
      </w:r>
      <w:r w:rsidR="00E37B67">
        <w:t> </w:t>
      </w:r>
      <w:r>
        <w:t>juin 2026. Il prononce donc une ordonnance dont le dispositif se lit comme suit dans sa version officielle anglaise </w:t>
      </w:r>
      <w:r w:rsidR="00A602C0">
        <w:t xml:space="preserve">rectifiée </w:t>
      </w:r>
      <w:r>
        <w:t>:</w:t>
      </w:r>
    </w:p>
    <w:p w14:paraId="683E6219" w14:textId="77777777" w:rsidR="00D40B76" w:rsidRPr="001D1D1F" w:rsidRDefault="00001A5A" w:rsidP="00DD161E">
      <w:pPr>
        <w:pStyle w:val="Citationenretrait"/>
        <w:tabs>
          <w:tab w:val="num" w:pos="709"/>
          <w:tab w:val="left" w:pos="1276"/>
        </w:tabs>
        <w:spacing w:line="240" w:lineRule="auto"/>
        <w:rPr>
          <w:lang w:val="en-CA"/>
        </w:rPr>
      </w:pPr>
      <w:r w:rsidRPr="001D1D1F">
        <w:rPr>
          <w:lang w:val="en-CA"/>
        </w:rPr>
        <w:t>[76]</w:t>
      </w:r>
      <w:r>
        <w:rPr>
          <w:lang w:val="en-CA"/>
        </w:rPr>
        <w:tab/>
      </w:r>
      <w:r w:rsidRPr="00CF7E24">
        <w:rPr>
          <w:b/>
          <w:bCs/>
          <w:lang w:val="en-CA"/>
        </w:rPr>
        <w:t>GRANTS</w:t>
      </w:r>
      <w:r w:rsidRPr="001D1D1F">
        <w:rPr>
          <w:lang w:val="en-CA"/>
        </w:rPr>
        <w:t xml:space="preserve"> the application for an order to allow the Clinic to preserve the anonymity of the individuals named in the proceeding and who have signed sworn declarations until further order of this Court.</w:t>
      </w:r>
    </w:p>
    <w:p w14:paraId="3C46365E" w14:textId="77777777" w:rsidR="00D40B76" w:rsidRPr="001D1D1F" w:rsidRDefault="00001A5A" w:rsidP="00DD161E">
      <w:pPr>
        <w:pStyle w:val="Citationenretrait"/>
        <w:tabs>
          <w:tab w:val="num" w:pos="709"/>
          <w:tab w:val="left" w:pos="1276"/>
        </w:tabs>
        <w:spacing w:line="240" w:lineRule="auto"/>
        <w:rPr>
          <w:lang w:val="en-CA"/>
        </w:rPr>
      </w:pPr>
      <w:r w:rsidRPr="001D1D1F">
        <w:rPr>
          <w:lang w:val="en-CA"/>
        </w:rPr>
        <w:t xml:space="preserve">[77] </w:t>
      </w:r>
      <w:r>
        <w:rPr>
          <w:lang w:val="en-CA"/>
        </w:rPr>
        <w:tab/>
      </w:r>
      <w:r w:rsidRPr="00CF7E24">
        <w:rPr>
          <w:b/>
          <w:bCs/>
          <w:lang w:val="en-CA"/>
        </w:rPr>
        <w:t>GRANTS</w:t>
      </w:r>
      <w:r w:rsidRPr="001D1D1F">
        <w:rPr>
          <w:lang w:val="en-CA"/>
        </w:rPr>
        <w:t xml:space="preserve"> the application for a safeguard order;</w:t>
      </w:r>
    </w:p>
    <w:p w14:paraId="6CA09374" w14:textId="77777777" w:rsidR="00D40B76" w:rsidRPr="001D1D1F" w:rsidRDefault="00001A5A" w:rsidP="00DD161E">
      <w:pPr>
        <w:pStyle w:val="Citationenretrait"/>
        <w:tabs>
          <w:tab w:val="num" w:pos="709"/>
          <w:tab w:val="left" w:pos="1276"/>
        </w:tabs>
        <w:spacing w:line="240" w:lineRule="auto"/>
        <w:rPr>
          <w:lang w:val="en-CA"/>
        </w:rPr>
      </w:pPr>
      <w:r w:rsidRPr="001D1D1F">
        <w:rPr>
          <w:lang w:val="en-CA"/>
        </w:rPr>
        <w:t>[78]</w:t>
      </w:r>
      <w:r>
        <w:rPr>
          <w:lang w:val="en-CA"/>
        </w:rPr>
        <w:tab/>
      </w:r>
      <w:r w:rsidRPr="00CF7E24">
        <w:rPr>
          <w:b/>
          <w:bCs/>
          <w:lang w:val="en-CA"/>
        </w:rPr>
        <w:t>PROHIBITS</w:t>
      </w:r>
      <w:r w:rsidRPr="001D1D1F">
        <w:rPr>
          <w:lang w:val="en-CA"/>
        </w:rPr>
        <w:t xml:space="preserve"> the Defendant City of Montreal, as well as all its agents or representatives, and any individual or entity aware of this order, from taking any action aimed at evicting, dismantling, and disposing of the property of community members living near the skate park (cadastral number 2 334 591) and the basketball court (cadastral number 2 806 718) located under the Van Horne overpass, until a judgment on the merits is rendered in the present matter;</w:t>
      </w:r>
    </w:p>
    <w:p w14:paraId="6745CB24" w14:textId="21E96250" w:rsidR="00D40B76" w:rsidRPr="001D1D1F" w:rsidRDefault="00001A5A" w:rsidP="00DD161E">
      <w:pPr>
        <w:pStyle w:val="Citationenretrait"/>
        <w:tabs>
          <w:tab w:val="num" w:pos="709"/>
          <w:tab w:val="left" w:pos="1276"/>
        </w:tabs>
        <w:spacing w:line="240" w:lineRule="auto"/>
        <w:rPr>
          <w:lang w:val="en-CA"/>
        </w:rPr>
      </w:pPr>
      <w:r w:rsidRPr="001D1D1F">
        <w:rPr>
          <w:lang w:val="en-CA"/>
        </w:rPr>
        <w:t>[79]</w:t>
      </w:r>
      <w:r>
        <w:rPr>
          <w:lang w:val="en-CA"/>
        </w:rPr>
        <w:tab/>
      </w:r>
      <w:r w:rsidRPr="00CF7E24">
        <w:rPr>
          <w:b/>
          <w:bCs/>
          <w:lang w:val="en-CA"/>
        </w:rPr>
        <w:t>THE WHOLE</w:t>
      </w:r>
      <w:r w:rsidRPr="001D1D1F">
        <w:rPr>
          <w:lang w:val="en-CA"/>
        </w:rPr>
        <w:t xml:space="preserve"> with costs to follow</w:t>
      </w:r>
      <w:r w:rsidR="00A602C0">
        <w:rPr>
          <w:lang w:val="en-CA"/>
        </w:rPr>
        <w:t>.</w:t>
      </w:r>
    </w:p>
    <w:p w14:paraId="7B8F039C" w14:textId="5FC83A37" w:rsidR="00D40B76" w:rsidRDefault="00001A5A" w:rsidP="00214E69">
      <w:pPr>
        <w:pStyle w:val="Paragraphe"/>
        <w:tabs>
          <w:tab w:val="clear" w:pos="720"/>
          <w:tab w:val="num" w:pos="709"/>
        </w:tabs>
        <w:spacing w:line="240" w:lineRule="auto"/>
      </w:pPr>
      <w:r>
        <w:t xml:space="preserve">La requérante estime que le juge a commis plusieurs erreurs révisables en examinant chacun des critères applicables – le droit sérieux, le préjudice irréparable, la prépondérance des inconvénients et l’urgence – et </w:t>
      </w:r>
      <w:r w:rsidR="00F42E59">
        <w:t xml:space="preserve">qu’il </w:t>
      </w:r>
      <w:r w:rsidR="00F42E59" w:rsidRPr="00F42E59">
        <w:t xml:space="preserve">n’a pas exercé sa discrétion de manière judiciaire </w:t>
      </w:r>
      <w:r>
        <w:t xml:space="preserve">en accordant l’ordonnance de sauvegarde. </w:t>
      </w:r>
    </w:p>
    <w:p w14:paraId="388A6837" w14:textId="6920734B" w:rsidR="00D40B76" w:rsidRDefault="00001A5A" w:rsidP="00214E69">
      <w:pPr>
        <w:pStyle w:val="Paragraphe"/>
        <w:tabs>
          <w:tab w:val="clear" w:pos="720"/>
          <w:tab w:val="num" w:pos="709"/>
        </w:tabs>
        <w:spacing w:line="240" w:lineRule="auto"/>
      </w:pPr>
      <w:r>
        <w:t>Au titre des critères, il a omis de tenir compte du fait que le droit invoqué par l’intimée était au mieux douteux. Cela a faussé son appréciation des autres critères. Il a mal apprécié le préjudice subi découlant de la relocalisation des personnes se trouvant dans le campement. Ce dernier étant «</w:t>
      </w:r>
      <w:r w:rsidR="00E37B67">
        <w:t> </w:t>
      </w:r>
      <w:r>
        <w:t>mitigé et hypothétique</w:t>
      </w:r>
      <w:r w:rsidR="00E37B67">
        <w:t> </w:t>
      </w:r>
      <w:r>
        <w:t xml:space="preserve">» puisque les trois sites proposés pour leur relocalisation, sous tolérance, bien que n’étant pas parfaits et permanents, leur permettaient de s’abriter. Par ailleurs, advenant </w:t>
      </w:r>
      <w:r w:rsidR="0021408B">
        <w:t xml:space="preserve">que l’intimée </w:t>
      </w:r>
      <w:r>
        <w:t xml:space="preserve">ait gain de cause sur le fond, </w:t>
      </w:r>
      <w:r w:rsidR="0021408B">
        <w:t>les personnes vivant dans le campement et qui auraient été déplacées</w:t>
      </w:r>
      <w:r>
        <w:t xml:space="preserve"> pourraient être compensé</w:t>
      </w:r>
      <w:r w:rsidR="00BB7647">
        <w:t>e</w:t>
      </w:r>
      <w:r>
        <w:t xml:space="preserve">s sur le fond. Finalement, le juge a mal soupesé les inconvénients posés à l’intérêt public </w:t>
      </w:r>
      <w:r w:rsidR="00F42E59">
        <w:t xml:space="preserve">qui </w:t>
      </w:r>
      <w:r>
        <w:t xml:space="preserve">sont importants : les citoyens ne peuvent pas pleinement jouir des plateaux sportifs; un événement de planche à roulettes a dû être annulé et </w:t>
      </w:r>
      <w:r w:rsidR="00BB7647">
        <w:t xml:space="preserve">la requérante doit exercer de </w:t>
      </w:r>
      <w:r w:rsidRPr="0056751B">
        <w:t xml:space="preserve">nombreuses mesures et activités </w:t>
      </w:r>
      <w:r>
        <w:t xml:space="preserve">quotidiennement </w:t>
      </w:r>
      <w:r w:rsidRPr="005B5BD9">
        <w:t xml:space="preserve">vu les risques </w:t>
      </w:r>
      <w:r w:rsidR="00BB7647">
        <w:t xml:space="preserve">découlant </w:t>
      </w:r>
      <w:r w:rsidRPr="005B5BD9">
        <w:t>du campement</w:t>
      </w:r>
      <w:r>
        <w:t xml:space="preserve">; ces entraves nuisent aux efforts du Service de police de la Ville de Montréal pour créer des liens de confiance avec la jeunesse et prévenir la criminalité. </w:t>
      </w:r>
      <w:r w:rsidR="00F42E59">
        <w:t>En revanche, l</w:t>
      </w:r>
      <w:r>
        <w:t xml:space="preserve">es inconvénients posés aux personnes vivant dans le campement sont limités : les quelques personnes qui n’avaient pas accepté de se relocaliser peuvent s’installer sur les lieux proposés par </w:t>
      </w:r>
      <w:r w:rsidR="00A602C0">
        <w:t xml:space="preserve">la requérante </w:t>
      </w:r>
      <w:r>
        <w:t>pour les prochaines semaines, voire les prochains mois. Ainsi, le juge a commis des erreurs révisables en ne reconnaissant pas que les inconvénients causés à l’intérêt public pèsent bien plus lourdement que ceux causés aux personnes vivant au sein du campement.</w:t>
      </w:r>
    </w:p>
    <w:p w14:paraId="06C0B944" w14:textId="77777777" w:rsidR="00745486" w:rsidRDefault="00745486" w:rsidP="00745486"/>
    <w:p w14:paraId="30CCD93A" w14:textId="4A700960" w:rsidR="00D40B76" w:rsidRDefault="00001A5A" w:rsidP="00214E69">
      <w:pPr>
        <w:pStyle w:val="Paragraphe"/>
        <w:tabs>
          <w:tab w:val="clear" w:pos="720"/>
          <w:tab w:val="num" w:pos="709"/>
        </w:tabs>
        <w:spacing w:line="240" w:lineRule="auto"/>
      </w:pPr>
      <w:r>
        <w:lastRenderedPageBreak/>
        <w:t xml:space="preserve">Par ailleurs, </w:t>
      </w:r>
      <w:r w:rsidR="00A602C0">
        <w:t>la requérante</w:t>
      </w:r>
      <w:r w:rsidR="00A602C0" w:rsidRPr="00A34310">
        <w:t xml:space="preserve"> </w:t>
      </w:r>
      <w:r w:rsidRPr="00A34310">
        <w:t>affirme dans sa demande pour permission d’appeler qu’elle n’a pas donné son consentement à ce que l</w:t>
      </w:r>
      <w:r>
        <w:t xml:space="preserve">e juge prononce une </w:t>
      </w:r>
      <w:r w:rsidRPr="00A34310">
        <w:t>ordonnance provisoire</w:t>
      </w:r>
      <w:r>
        <w:t xml:space="preserve"> portant ses effets jusqu’au jugement final</w:t>
      </w:r>
      <w:r w:rsidRPr="00A34310">
        <w:t>.</w:t>
      </w:r>
      <w:r>
        <w:t xml:space="preserve"> Cela est d’autant plus problématique selon elle, car l’ordonnance de sauvegarde rend très difficile la tenue éventuelle du procès avec enquête complète. L’objet du litige est «</w:t>
      </w:r>
      <w:r w:rsidR="00E37B67">
        <w:t> </w:t>
      </w:r>
      <w:r>
        <w:t>une véritable cible mouvante</w:t>
      </w:r>
      <w:r w:rsidR="00E37B67">
        <w:t> </w:t>
      </w:r>
      <w:r>
        <w:t>» et elle ne pourrait être entendue et se défendre adéquatement sur le cas précis qui a justifié son intervention. Le jugement a comme effet d’accorder «</w:t>
      </w:r>
      <w:r w:rsidR="00E37B67">
        <w:t> </w:t>
      </w:r>
      <w:r>
        <w:t>en tout début de dossier, le bénéfice ultime du droit pourtant très douteux au moyen d’une conclusion en injonction permanente large et imprécise, à savoir, une protection contre un déplacement involontaire dans l’espace public</w:t>
      </w:r>
      <w:r w:rsidR="00E37B67">
        <w:t> </w:t>
      </w:r>
      <w:r>
        <w:t xml:space="preserve">» et la force à offrir ou sacrifier plus sans que le droit ne le commande. </w:t>
      </w:r>
    </w:p>
    <w:p w14:paraId="3DB65858" w14:textId="641776FF" w:rsidR="00D40B76" w:rsidRDefault="00001A5A" w:rsidP="00214E69">
      <w:pPr>
        <w:pStyle w:val="Paragraphe"/>
        <w:tabs>
          <w:tab w:val="clear" w:pos="720"/>
          <w:tab w:val="num" w:pos="709"/>
        </w:tabs>
        <w:spacing w:line="240" w:lineRule="auto"/>
      </w:pPr>
      <w:r>
        <w:t>Elle avance que «</w:t>
      </w:r>
      <w:r w:rsidR="00E37B67">
        <w:t> </w:t>
      </w:r>
      <w:r>
        <w:t>l’affaire soulève une question importante de séparation de pouvoirs et de séquençage dans les interventions judiciaires possibles en pareil matière</w:t>
      </w:r>
      <w:r w:rsidR="00E37B67">
        <w:t> </w:t>
      </w:r>
      <w:r>
        <w:t>». Selon elle, bien que l’ordonnance ne vise que deux sites précis, elle «</w:t>
      </w:r>
      <w:r w:rsidR="00E37B67">
        <w:t> </w:t>
      </w:r>
      <w:r>
        <w:t>nuit à la mise en œuvre du protocole et à la gestion des campements à l’échelle de l’ensemble du territoire</w:t>
      </w:r>
      <w:r w:rsidR="00E37B67">
        <w:t> </w:t>
      </w:r>
      <w:r>
        <w:t>», créant de grandes incertitudes et une grande confusion et fait en sorte que les tribunaux avalisent «</w:t>
      </w:r>
      <w:r w:rsidR="00E37B67">
        <w:t> </w:t>
      </w:r>
      <w:r>
        <w:t>l’appropriation de l’espace public</w:t>
      </w:r>
      <w:r w:rsidR="00E37B67">
        <w:t> </w:t>
      </w:r>
      <w:r>
        <w:t xml:space="preserve">».  </w:t>
      </w:r>
    </w:p>
    <w:p w14:paraId="1767EC62" w14:textId="77777777" w:rsidR="00D40B76" w:rsidRDefault="00001A5A" w:rsidP="00214E69">
      <w:pPr>
        <w:pStyle w:val="Paragraphe"/>
        <w:tabs>
          <w:tab w:val="clear" w:pos="720"/>
          <w:tab w:val="num" w:pos="709"/>
        </w:tabs>
        <w:spacing w:line="240" w:lineRule="auto"/>
      </w:pPr>
      <w:r>
        <w:t>En fin de compte, s</w:t>
      </w:r>
      <w:r w:rsidRPr="00B61B5D">
        <w:t>elon l</w:t>
      </w:r>
      <w:r>
        <w:t>a requérante</w:t>
      </w:r>
      <w:r w:rsidRPr="00B61B5D">
        <w:t>, une seule issue s’imposait, soit de</w:t>
      </w:r>
      <w:r>
        <w:t xml:space="preserve"> rejeter la demande provisoire ou interlocutoire et </w:t>
      </w:r>
      <w:r w:rsidRPr="00B61B5D">
        <w:t>laisser l’instance judiciaire cheminer.</w:t>
      </w:r>
    </w:p>
    <w:p w14:paraId="08E418DD" w14:textId="77777777" w:rsidR="00D40B76" w:rsidRDefault="00001A5A" w:rsidP="00214E69">
      <w:pPr>
        <w:pStyle w:val="Paragraphe"/>
        <w:tabs>
          <w:tab w:val="clear" w:pos="720"/>
          <w:tab w:val="num" w:pos="709"/>
        </w:tabs>
        <w:spacing w:line="240" w:lineRule="auto"/>
      </w:pPr>
      <w:r>
        <w:t xml:space="preserve">Étant d’avis qu’il s’agit d’une mesure de sauvegarde, l’appelante est d’avis que si la permission était accordée, il y aurait suspension de son exécution. Advenant que cela ne soit pas le cas, elle demande que ses effets soient suspendus en invoquant l’art. 514 al. 2 </w:t>
      </w:r>
      <w:r w:rsidRPr="00B61B5D">
        <w:rPr>
          <w:i/>
          <w:iCs/>
        </w:rPr>
        <w:t>C.p.c</w:t>
      </w:r>
      <w:r>
        <w:t xml:space="preserve">.  </w:t>
      </w:r>
    </w:p>
    <w:p w14:paraId="319A7EAC" w14:textId="77777777" w:rsidR="00D40B76" w:rsidRDefault="00001A5A" w:rsidP="00214E69">
      <w:pPr>
        <w:pStyle w:val="Paragraphe"/>
        <w:numPr>
          <w:ilvl w:val="0"/>
          <w:numId w:val="0"/>
        </w:numPr>
        <w:tabs>
          <w:tab w:val="num" w:pos="709"/>
        </w:tabs>
        <w:spacing w:line="240" w:lineRule="auto"/>
        <w:jc w:val="center"/>
      </w:pPr>
      <w:r>
        <w:t>* * *</w:t>
      </w:r>
    </w:p>
    <w:p w14:paraId="0EFA62A8" w14:textId="34CEAA7A" w:rsidR="00D40B76" w:rsidRDefault="00001A5A" w:rsidP="00214E69">
      <w:pPr>
        <w:pStyle w:val="Paragraphe"/>
        <w:tabs>
          <w:tab w:val="clear" w:pos="720"/>
          <w:tab w:val="num" w:pos="709"/>
        </w:tabs>
        <w:spacing w:line="240" w:lineRule="auto"/>
      </w:pPr>
      <w:r>
        <w:t xml:space="preserve">Le jugement entrepris ne peut être porté en appel qu’il s’il décide en partie du litige ou cause un préjudice irréparable à l’intimée (art. 31 al. 2 </w:t>
      </w:r>
      <w:r w:rsidRPr="00D14348">
        <w:rPr>
          <w:i/>
          <w:iCs/>
        </w:rPr>
        <w:t>C.p.c.</w:t>
      </w:r>
      <w:r>
        <w:t xml:space="preserve">). Vu que le jugement entrepris a les effets d’une injonction interlocutoire, </w:t>
      </w:r>
      <w:r w:rsidR="00F42E59">
        <w:t xml:space="preserve">et </w:t>
      </w:r>
      <w:r w:rsidR="00F42E59" w:rsidRPr="00F42E59">
        <w:t>vu son caractère discrétionnaire et sa durée limitée</w:t>
      </w:r>
      <w:r w:rsidR="00F42E59">
        <w:t>,</w:t>
      </w:r>
      <w:r w:rsidR="00F42E59" w:rsidRPr="00F42E59">
        <w:t xml:space="preserve"> </w:t>
      </w:r>
      <w:r>
        <w:t>la permission ne sera accordée qu’avec parcimonie</w:t>
      </w:r>
      <w:r>
        <w:rPr>
          <w:rStyle w:val="Appelnotedebasdep"/>
        </w:rPr>
        <w:footnoteReference w:id="2"/>
      </w:r>
      <w:r>
        <w:t>. Une permission sera accordée lorsque le jugement contient des faiblesses apparentes ou s’il cause un préjudice démesuré à la requérante</w:t>
      </w:r>
      <w:r>
        <w:rPr>
          <w:rStyle w:val="Appelnotedebasdep"/>
        </w:rPr>
        <w:footnoteReference w:id="3"/>
      </w:r>
      <w:r>
        <w:t xml:space="preserve">. Cela étant dit, l’intérêt de la justice est souvent mieux servi par la mise en état du dossier pour que le litige soit résolu au fond, plutôt que par un débat en appel sur l’application des critères en matière d’injonction sur la foi d’un </w:t>
      </w:r>
      <w:r>
        <w:lastRenderedPageBreak/>
        <w:t>dossier incomplet</w:t>
      </w:r>
      <w:r>
        <w:rPr>
          <w:rStyle w:val="Appelnotedebasdep"/>
        </w:rPr>
        <w:footnoteReference w:id="4"/>
      </w:r>
      <w:r>
        <w:t>. Il y lieu de rappeler que le jugement entrepris ne lie pas le juge du fond, qui bénéficiera d’un dossier complet</w:t>
      </w:r>
      <w:r>
        <w:rPr>
          <w:rStyle w:val="Appelnotedebasdep"/>
        </w:rPr>
        <w:footnoteReference w:id="5"/>
      </w:r>
      <w:r>
        <w:t>.</w:t>
      </w:r>
    </w:p>
    <w:p w14:paraId="36A77629" w14:textId="77777777" w:rsidR="00D40B76" w:rsidRDefault="00001A5A" w:rsidP="00214E69">
      <w:pPr>
        <w:pStyle w:val="Paragraphe"/>
        <w:tabs>
          <w:tab w:val="clear" w:pos="720"/>
          <w:tab w:val="num" w:pos="709"/>
        </w:tabs>
        <w:spacing w:line="240" w:lineRule="auto"/>
      </w:pPr>
      <w:r>
        <w:t xml:space="preserve">En appliquant ces critères au jugement entrepris, je suis d’avis qu’il n’y a pas lieu d’accorder la permission. </w:t>
      </w:r>
    </w:p>
    <w:p w14:paraId="516CE666" w14:textId="77777777" w:rsidR="00D40B76" w:rsidRDefault="00001A5A" w:rsidP="00214E69">
      <w:pPr>
        <w:pStyle w:val="Paragraphe"/>
        <w:tabs>
          <w:tab w:val="clear" w:pos="720"/>
          <w:tab w:val="num" w:pos="709"/>
        </w:tabs>
        <w:spacing w:line="240" w:lineRule="auto"/>
      </w:pPr>
      <w:r>
        <w:t xml:space="preserve">D’abord, l’appel ne comporte pas de chances raisonnables de succès. </w:t>
      </w:r>
    </w:p>
    <w:p w14:paraId="59CFB949" w14:textId="23D04BD3" w:rsidR="00D40B76" w:rsidRDefault="00001A5A" w:rsidP="00214E69">
      <w:pPr>
        <w:pStyle w:val="Paragraphe"/>
        <w:tabs>
          <w:tab w:val="clear" w:pos="720"/>
          <w:tab w:val="num" w:pos="709"/>
        </w:tabs>
        <w:spacing w:line="240" w:lineRule="auto"/>
      </w:pPr>
      <w:r>
        <w:t xml:space="preserve">Quant au droit apparent, </w:t>
      </w:r>
      <w:r w:rsidRPr="003C0C1E">
        <w:t xml:space="preserve">la requérante ne plaide pas que le droit </w:t>
      </w:r>
      <w:r w:rsidR="00BB7647">
        <w:t xml:space="preserve">avancé par </w:t>
      </w:r>
      <w:r w:rsidRPr="003C0C1E">
        <w:t xml:space="preserve"> l’intimée au nom des personnes vivant dans le campement est inexistant, mais plutôt qu’il doit céder le pas à l’intérêt public.</w:t>
      </w:r>
      <w:r>
        <w:t xml:space="preserve"> </w:t>
      </w:r>
      <w:r w:rsidR="005D60F4">
        <w:t xml:space="preserve">La requérante </w:t>
      </w:r>
      <w:r>
        <w:t xml:space="preserve">ne relève pas </w:t>
      </w:r>
      <w:r w:rsidR="00F42E59">
        <w:t xml:space="preserve">de faiblesse </w:t>
      </w:r>
      <w:r w:rsidR="00625229">
        <w:t>apparente</w:t>
      </w:r>
      <w:r w:rsidR="00F42E59">
        <w:t xml:space="preserve"> dans l’analyse du juge lorsqu’il</w:t>
      </w:r>
      <w:r>
        <w:t xml:space="preserve"> </w:t>
      </w:r>
      <w:r w:rsidR="00F42E59">
        <w:t>traite</w:t>
      </w:r>
      <w:r>
        <w:t xml:space="preserve"> de la protection que l’art. 1 de la </w:t>
      </w:r>
      <w:r w:rsidRPr="003C0C1E">
        <w:rPr>
          <w:i/>
          <w:iCs/>
        </w:rPr>
        <w:t xml:space="preserve">Charte </w:t>
      </w:r>
      <w:r w:rsidR="005D60F4">
        <w:rPr>
          <w:i/>
          <w:iCs/>
        </w:rPr>
        <w:t>des droits et libertés de la personne</w:t>
      </w:r>
      <w:r>
        <w:t xml:space="preserve"> et </w:t>
      </w:r>
      <w:r w:rsidR="005D60F4">
        <w:t xml:space="preserve">l’art. </w:t>
      </w:r>
      <w:r>
        <w:t xml:space="preserve">7 de la </w:t>
      </w:r>
      <w:r w:rsidRPr="003C0C1E">
        <w:rPr>
          <w:i/>
          <w:iCs/>
        </w:rPr>
        <w:t>Charte canadienne</w:t>
      </w:r>
      <w:r w:rsidR="005D60F4">
        <w:rPr>
          <w:i/>
          <w:iCs/>
        </w:rPr>
        <w:t xml:space="preserve"> des droits et libertés</w:t>
      </w:r>
      <w:r>
        <w:t xml:space="preserve"> confèrent aux personnes en situation</w:t>
      </w:r>
      <w:r w:rsidR="00F42E59">
        <w:t xml:space="preserve"> d’itinérance</w:t>
      </w:r>
      <w:r>
        <w:t xml:space="preserve"> et en notant que la protection offerte par la première pourrait être plus étendue que celle offerte par la deuxième</w:t>
      </w:r>
      <w:r>
        <w:rPr>
          <w:rStyle w:val="Appelnotedebasdep"/>
        </w:rPr>
        <w:footnoteReference w:id="6"/>
      </w:r>
      <w:r>
        <w:t>. Elle ne montre pas non plus qu’il ne peut être avancé, dans le contexte particulier de la présen</w:t>
      </w:r>
      <w:r w:rsidR="00BB7647">
        <w:t>t</w:t>
      </w:r>
      <w:r>
        <w:t xml:space="preserve">e affaire, qu’une question sérieuse se pose si </w:t>
      </w:r>
      <w:r w:rsidR="00F42E59">
        <w:t xml:space="preserve">la </w:t>
      </w:r>
      <w:r>
        <w:t xml:space="preserve">liberté et </w:t>
      </w:r>
      <w:r w:rsidR="0002504B">
        <w:t xml:space="preserve">la </w:t>
      </w:r>
      <w:r>
        <w:t>sécurité</w:t>
      </w:r>
      <w:r w:rsidR="00F42E59">
        <w:t xml:space="preserve"> des personnes en situation d’itinérance</w:t>
      </w:r>
      <w:r>
        <w:t xml:space="preserve"> sont restreintes vu l’absence d’une solution de rechange que </w:t>
      </w:r>
      <w:r w:rsidRPr="00214E69">
        <w:t>l’intimée</w:t>
      </w:r>
      <w:r>
        <w:t xml:space="preserve"> </w:t>
      </w:r>
      <w:r w:rsidR="00282EBE">
        <w:t xml:space="preserve">estime </w:t>
      </w:r>
      <w:r>
        <w:t xml:space="preserve">adéquate et sans que les protections procédurales requises ne leur soient accordées.   </w:t>
      </w:r>
    </w:p>
    <w:p w14:paraId="11040462" w14:textId="77777777" w:rsidR="00D40B76" w:rsidRDefault="00001A5A" w:rsidP="00214E69">
      <w:pPr>
        <w:pStyle w:val="Paragraphe"/>
        <w:tabs>
          <w:tab w:val="clear" w:pos="720"/>
          <w:tab w:val="num" w:pos="709"/>
        </w:tabs>
        <w:spacing w:line="240" w:lineRule="auto"/>
      </w:pPr>
      <w:r>
        <w:t xml:space="preserve">Au titre du préjudice irréparable, le </w:t>
      </w:r>
      <w:r w:rsidRPr="00354F65">
        <w:t>juge a soigneusement soupesé les versions des parties</w:t>
      </w:r>
      <w:r>
        <w:t xml:space="preserve"> et rien n’indique qu’il n’a pas exercé sa discrétion de manière judiciaire</w:t>
      </w:r>
      <w:r>
        <w:rPr>
          <w:rStyle w:val="Appelnotedebasdep"/>
        </w:rPr>
        <w:footnoteReference w:id="7"/>
      </w:r>
      <w:r>
        <w:t>. Il ne revient pas à la Cour de substituer son appréciation de la preuve à celle du juge de première instance</w:t>
      </w:r>
      <w:r>
        <w:rPr>
          <w:rStyle w:val="Appelnotedebasdep"/>
        </w:rPr>
        <w:footnoteReference w:id="8"/>
      </w:r>
      <w:r>
        <w:t>.</w:t>
      </w:r>
    </w:p>
    <w:p w14:paraId="6228D56D" w14:textId="4B9049DD" w:rsidR="00D40B76" w:rsidRDefault="00001A5A" w:rsidP="00214E69">
      <w:pPr>
        <w:pStyle w:val="Paragraphe"/>
        <w:tabs>
          <w:tab w:val="clear" w:pos="720"/>
          <w:tab w:val="num" w:pos="709"/>
        </w:tabs>
        <w:spacing w:line="240" w:lineRule="auto"/>
      </w:pPr>
      <w:r>
        <w:t xml:space="preserve"> Bien que </w:t>
      </w:r>
      <w:r w:rsidR="005D60F4">
        <w:t xml:space="preserve">la requérante </w:t>
      </w:r>
      <w:r>
        <w:t xml:space="preserve">soit fortement en désaccord avec la conclusion du juge quant à quelle partie subit le plus d’inconvénients, le juge de première instance a clairement comparé les issues proposées et mis dans la balance le préjudice allégué par chaque partie. Il relève qu’il y a débat dans la preuve sur l’existence d’une entrave causée aux activités menées au </w:t>
      </w:r>
      <w:r w:rsidRPr="00745486">
        <w:rPr>
          <w:i/>
          <w:iCs/>
        </w:rPr>
        <w:t>skatepark</w:t>
      </w:r>
      <w:r>
        <w:t xml:space="preserve"> et aux terrains de basketball et sur la pertinence des déplacements vers les emplacements proposés par l’intimée. Il souligne le fait que l’ordonnance sera de courte durée, le dossier pouvant être entendu au fond dès que le dossier est prêt pour le procès et que les parties sont disponibles</w:t>
      </w:r>
      <w:r>
        <w:rPr>
          <w:rStyle w:val="Appelnotedebasdep"/>
        </w:rPr>
        <w:footnoteReference w:id="9"/>
      </w:r>
      <w:r>
        <w:t xml:space="preserve">. </w:t>
      </w:r>
    </w:p>
    <w:p w14:paraId="262B64B4" w14:textId="77777777" w:rsidR="00745486" w:rsidRDefault="00745486" w:rsidP="00745486"/>
    <w:p w14:paraId="5390AEC8" w14:textId="37C25E65" w:rsidR="00D40B76" w:rsidRDefault="00001A5A" w:rsidP="00214E69">
      <w:pPr>
        <w:pStyle w:val="Paragraphe"/>
        <w:tabs>
          <w:tab w:val="clear" w:pos="720"/>
          <w:tab w:val="num" w:pos="709"/>
        </w:tabs>
        <w:spacing w:line="240" w:lineRule="auto"/>
      </w:pPr>
      <w:r>
        <w:lastRenderedPageBreak/>
        <w:t>Plusieurs des questions soulevées par la requérante, dont tout particulièrement le respect des principes de justice fondamental</w:t>
      </w:r>
      <w:r w:rsidR="005D60F4">
        <w:t>e</w:t>
      </w:r>
      <w:r>
        <w:t xml:space="preserve"> par les mesures déployées dans le respect de ce qui est prévu au Protocole ne pourront être vidées que par un procès où les témoins seront entendus.</w:t>
      </w:r>
      <w:r w:rsidRPr="00354F65">
        <w:t xml:space="preserve"> En l’instance, il est préoccupant qu’au cours des trois derniers mois, tous les efforts de </w:t>
      </w:r>
      <w:r w:rsidR="005D60F4" w:rsidRPr="00354F65">
        <w:t>l</w:t>
      </w:r>
      <w:r w:rsidR="005D60F4">
        <w:t>a requérante</w:t>
      </w:r>
      <w:r w:rsidR="005D60F4" w:rsidRPr="00354F65">
        <w:t xml:space="preserve"> </w:t>
      </w:r>
      <w:r w:rsidRPr="00354F65">
        <w:t>ont été investis à obtenir la permission d’appeler, plutôt qu’à assurer la mise en état du dossier sur le fond.</w:t>
      </w:r>
      <w:r>
        <w:t xml:space="preserve"> S’il y a eu imbroglio quant à la position de la requérante en lien avec la durée de l’ordonnance prononcée, la précision que le juge de première instance énonce à la note de bas de page 44 garde toute sa pertinence : </w:t>
      </w:r>
      <w:r w:rsidRPr="001E7099">
        <w:t>«</w:t>
      </w:r>
      <w:r w:rsidR="00E37B67">
        <w:t> </w:t>
      </w:r>
      <w:r w:rsidRPr="001E7099">
        <w:t xml:space="preserve">le Tribunal </w:t>
      </w:r>
      <w:r w:rsidR="006761ED">
        <w:t xml:space="preserve">a </w:t>
      </w:r>
      <w:r w:rsidRPr="001E7099">
        <w:t>proposé de fixer l’audience dès que le dossier sera prêt pour le procès. La Clinique a indiqué qu’elle serait prête dès le 19</w:t>
      </w:r>
      <w:r w:rsidR="00E37B67">
        <w:t> </w:t>
      </w:r>
      <w:r w:rsidRPr="001E7099">
        <w:t>juin 2026. La Ville estime qu’elle aura besoin d’un délai allant jusqu’au mois de septembre</w:t>
      </w:r>
      <w:r w:rsidR="00E37B67">
        <w:t> </w:t>
      </w:r>
      <w:r w:rsidRPr="001E7099">
        <w:t xml:space="preserve">».  </w:t>
      </w:r>
    </w:p>
    <w:p w14:paraId="708E15FB" w14:textId="796E90FA" w:rsidR="00D40B76" w:rsidRDefault="00001A5A" w:rsidP="00214E69">
      <w:pPr>
        <w:pStyle w:val="Paragraphe"/>
        <w:tabs>
          <w:tab w:val="clear" w:pos="720"/>
          <w:tab w:val="num" w:pos="709"/>
        </w:tabs>
        <w:spacing w:line="240" w:lineRule="auto"/>
      </w:pPr>
      <w:r>
        <w:t xml:space="preserve">La solution aux </w:t>
      </w:r>
      <w:r w:rsidR="00282EBE">
        <w:t xml:space="preserve">enjeux </w:t>
      </w:r>
      <w:r>
        <w:t>soulevés par l’intimée réside dans une mise en état rapide du dossier pour qu’il puisse être entendu au fond. La saine administration de la justice et la proportionnalité dictent que cette voie soit suivie plutôt que l’appel d’une mesure interlocutoire.</w:t>
      </w:r>
    </w:p>
    <w:p w14:paraId="15EE2A88" w14:textId="472486A9" w:rsidR="00D40B76" w:rsidRDefault="00001A5A" w:rsidP="00214E69">
      <w:pPr>
        <w:pStyle w:val="Paragraphe"/>
        <w:tabs>
          <w:tab w:val="clear" w:pos="720"/>
          <w:tab w:val="num" w:pos="709"/>
        </w:tabs>
        <w:spacing w:line="240" w:lineRule="auto"/>
      </w:pPr>
      <w:r>
        <w:t xml:space="preserve">S’il demeure toujours urgent de déplacer les personnes vivant au sein du campement qui ne se sont pas déjà déplacées </w:t>
      </w:r>
      <w:r w:rsidRPr="005F264E">
        <w:t xml:space="preserve">de leur propre gré </w:t>
      </w:r>
      <w:r>
        <w:t xml:space="preserve">au lieu désigné par l’intimée, accorder la permission en l’instance et suspendre le jugement aurait </w:t>
      </w:r>
      <w:r w:rsidR="00282EBE">
        <w:t>l’</w:t>
      </w:r>
      <w:r>
        <w:t xml:space="preserve">effet </w:t>
      </w:r>
      <w:r w:rsidR="00282EBE">
        <w:t>d’</w:t>
      </w:r>
      <w:r>
        <w:t xml:space="preserve">un jugement sur le fond, puisque les personnes se trouvant dans le campement seraient déplacées </w:t>
      </w:r>
      <w:r w:rsidR="00282EBE">
        <w:t xml:space="preserve">de </w:t>
      </w:r>
      <w:r>
        <w:t xml:space="preserve">leur milieu de vie, une situation </w:t>
      </w:r>
      <w:r w:rsidR="00745486">
        <w:t>à laquelle</w:t>
      </w:r>
      <w:r w:rsidR="00282EBE">
        <w:t xml:space="preserve"> le jugement au fond </w:t>
      </w:r>
      <w:r>
        <w:t>ne pourrait vraisemblablement remédi</w:t>
      </w:r>
      <w:r w:rsidR="00282EBE">
        <w:t>er</w:t>
      </w:r>
      <w:r>
        <w:t>. Vu les constats du juge quant au préjudice que cela leur créerait, cela milite aussi contre l’octroi de la permission.</w:t>
      </w:r>
    </w:p>
    <w:p w14:paraId="6CE2700E" w14:textId="5D618287" w:rsidR="00D40B76" w:rsidRDefault="00001A5A" w:rsidP="00214E69">
      <w:pPr>
        <w:pStyle w:val="Paragraphe"/>
        <w:tabs>
          <w:tab w:val="clear" w:pos="720"/>
          <w:tab w:val="num" w:pos="709"/>
        </w:tabs>
        <w:spacing w:line="240" w:lineRule="auto"/>
      </w:pPr>
      <w:r>
        <w:t>Finalement, il y a lieu de noter que contrairement à l’ordonnance de sauvegarde prononcée le 21</w:t>
      </w:r>
      <w:r w:rsidR="00E37B67">
        <w:t> </w:t>
      </w:r>
      <w:r>
        <w:t xml:space="preserve">mai 2026, les conclusions ne font </w:t>
      </w:r>
      <w:r w:rsidR="00282EBE">
        <w:t xml:space="preserve">pas </w:t>
      </w:r>
      <w:r>
        <w:t>expressément référence aux interventions que l’intimée peut faire dans l’intervalle</w:t>
      </w:r>
      <w:r w:rsidR="00282EBE">
        <w:t xml:space="preserve">. Cela étant dit, </w:t>
      </w:r>
      <w:r>
        <w:t>le juge indique clairement au paragraphe 62 de son jugement «</w:t>
      </w:r>
      <w:r w:rsidR="00E37B67">
        <w:t> </w:t>
      </w:r>
      <w:r w:rsidRPr="00F718B0">
        <w:t>que rien dans la présente ordonnance n’empêche la Ville ou la police de prendre les mesures appropriées pour lutter contre les comportements criminels ou l’utilisation des installations du parc d’une manière clairement incompatible avec leur usage commun et prévu</w:t>
      </w:r>
      <w:r w:rsidR="00E37B67">
        <w:t> </w:t>
      </w:r>
      <w:r>
        <w:t>». </w:t>
      </w:r>
    </w:p>
    <w:p w14:paraId="45F1C252" w14:textId="77777777" w:rsidR="00D40B76" w:rsidRPr="00D40B76" w:rsidRDefault="00001A5A" w:rsidP="00214E69">
      <w:pPr>
        <w:pStyle w:val="Paragraphe"/>
        <w:numPr>
          <w:ilvl w:val="0"/>
          <w:numId w:val="0"/>
        </w:numPr>
        <w:tabs>
          <w:tab w:val="num" w:pos="709"/>
        </w:tabs>
        <w:spacing w:line="240" w:lineRule="auto"/>
        <w:rPr>
          <w:b/>
          <w:bCs/>
        </w:rPr>
      </w:pPr>
      <w:r w:rsidRPr="00D40B76">
        <w:rPr>
          <w:b/>
          <w:bCs/>
        </w:rPr>
        <w:t>POUR CES MOTIFS, LE SOUSSIGNÉ :</w:t>
      </w:r>
    </w:p>
    <w:p w14:paraId="66B899BB" w14:textId="77777777" w:rsidR="00D40B76" w:rsidRDefault="00001A5A" w:rsidP="00214E69">
      <w:pPr>
        <w:pStyle w:val="Paragraphe"/>
        <w:tabs>
          <w:tab w:val="clear" w:pos="720"/>
          <w:tab w:val="num" w:pos="709"/>
        </w:tabs>
        <w:spacing w:line="240" w:lineRule="auto"/>
      </w:pPr>
      <w:r w:rsidRPr="001E7099">
        <w:rPr>
          <w:b/>
          <w:bCs/>
        </w:rPr>
        <w:t>REJETTE</w:t>
      </w:r>
      <w:r>
        <w:t xml:space="preserve"> la demande de permission d’appeler et en suspension, avec frais de justice.</w:t>
      </w:r>
    </w:p>
    <w:tbl>
      <w:tblP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1997"/>
        <w:gridCol w:w="2685"/>
        <w:gridCol w:w="4680"/>
      </w:tblGrid>
      <w:tr w:rsidR="005A7260" w14:paraId="0A0851F9" w14:textId="77777777" w:rsidTr="003E3239">
        <w:trPr>
          <w:trHeight w:val="576"/>
        </w:trPr>
        <w:tc>
          <w:tcPr>
            <w:tcW w:w="9362" w:type="dxa"/>
            <w:gridSpan w:val="3"/>
            <w:tcBorders>
              <w:top w:val="nil"/>
              <w:bottom w:val="nil"/>
            </w:tcBorders>
          </w:tcPr>
          <w:p w14:paraId="74D427D0" w14:textId="77777777" w:rsidR="008F364A" w:rsidRDefault="008F364A" w:rsidP="00214E69">
            <w:pPr>
              <w:keepNext/>
              <w:spacing w:line="240" w:lineRule="auto"/>
            </w:pPr>
          </w:p>
        </w:tc>
      </w:tr>
      <w:tr w:rsidR="005A7260" w14:paraId="5ADE6A7E" w14:textId="77777777" w:rsidTr="00117914">
        <w:trPr>
          <w:trHeight w:val="283"/>
        </w:trPr>
        <w:tc>
          <w:tcPr>
            <w:tcW w:w="4682" w:type="dxa"/>
            <w:gridSpan w:val="2"/>
            <w:tcBorders>
              <w:top w:val="nil"/>
              <w:bottom w:val="nil"/>
            </w:tcBorders>
          </w:tcPr>
          <w:p w14:paraId="7C3D7739" w14:textId="77777777" w:rsidR="008F364A" w:rsidRDefault="008F364A">
            <w:pPr>
              <w:keepNext/>
            </w:pPr>
          </w:p>
        </w:tc>
        <w:tc>
          <w:tcPr>
            <w:tcW w:w="4680" w:type="dxa"/>
            <w:tcBorders>
              <w:top w:val="nil"/>
              <w:bottom w:val="single" w:sz="8" w:space="0" w:color="auto"/>
            </w:tcBorders>
          </w:tcPr>
          <w:p w14:paraId="5D13C7A2" w14:textId="77777777" w:rsidR="008F364A" w:rsidRDefault="008F364A">
            <w:pPr>
              <w:keepNext/>
            </w:pPr>
          </w:p>
        </w:tc>
      </w:tr>
      <w:tr w:rsidR="005A7260" w14:paraId="3AC59AD0" w14:textId="77777777" w:rsidTr="00117914">
        <w:trPr>
          <w:trHeight w:val="283"/>
        </w:trPr>
        <w:tc>
          <w:tcPr>
            <w:tcW w:w="4682" w:type="dxa"/>
            <w:gridSpan w:val="2"/>
            <w:tcBorders>
              <w:top w:val="nil"/>
            </w:tcBorders>
          </w:tcPr>
          <w:p w14:paraId="21A8390B" w14:textId="77777777" w:rsidR="008F364A" w:rsidRDefault="008F364A">
            <w:pPr>
              <w:keepNext/>
            </w:pPr>
          </w:p>
        </w:tc>
        <w:tc>
          <w:tcPr>
            <w:tcW w:w="4680" w:type="dxa"/>
            <w:tcBorders>
              <w:top w:val="single" w:sz="8" w:space="0" w:color="auto"/>
            </w:tcBorders>
          </w:tcPr>
          <w:p w14:paraId="4DA12998" w14:textId="1382007A" w:rsidR="008F364A" w:rsidRDefault="00001A5A">
            <w:r>
              <w:t>CHRISTIAN IMMER, J.C.A.</w:t>
            </w:r>
          </w:p>
        </w:tc>
      </w:tr>
      <w:tr w:rsidR="005A7260" w14:paraId="3F5BC826" w14:textId="77777777" w:rsidTr="00745486">
        <w:tc>
          <w:tcPr>
            <w:tcW w:w="9362" w:type="dxa"/>
            <w:gridSpan w:val="3"/>
            <w:tcBorders>
              <w:bottom w:val="nil"/>
            </w:tcBorders>
          </w:tcPr>
          <w:p w14:paraId="711056BA" w14:textId="77777777" w:rsidR="005A78BF" w:rsidRDefault="005A78BF" w:rsidP="005A78BF">
            <w:pPr>
              <w:rPr>
                <w:lang w:val="en-CA"/>
              </w:rPr>
            </w:pPr>
          </w:p>
          <w:p w14:paraId="387D70C3" w14:textId="77777777" w:rsidR="00745486" w:rsidRDefault="00745486" w:rsidP="005A78BF">
            <w:pPr>
              <w:rPr>
                <w:lang w:val="en-CA"/>
              </w:rPr>
            </w:pPr>
          </w:p>
        </w:tc>
      </w:tr>
      <w:tr w:rsidR="005A7260" w14:paraId="6B810F82" w14:textId="77777777" w:rsidTr="00745486">
        <w:tc>
          <w:tcPr>
            <w:tcW w:w="9362" w:type="dxa"/>
            <w:gridSpan w:val="3"/>
            <w:tcBorders>
              <w:top w:val="nil"/>
            </w:tcBorders>
          </w:tcPr>
          <w:p w14:paraId="3F1A3571" w14:textId="44C888DA" w:rsidR="005A78BF" w:rsidRPr="00D40B76" w:rsidRDefault="00001A5A" w:rsidP="005A78BF">
            <w:pPr>
              <w:pStyle w:val="zSoquijdatNomProcureurDem"/>
            </w:pPr>
            <w:r w:rsidRPr="00887EEB">
              <w:lastRenderedPageBreak/>
              <w:t>M</w:t>
            </w:r>
            <w:r>
              <w:t xml:space="preserve">e </w:t>
            </w:r>
            <w:bookmarkStart w:id="8" w:name="Avocat_app"/>
            <w:bookmarkStart w:id="9" w:name="abs_app"/>
            <w:bookmarkEnd w:id="8"/>
            <w:bookmarkEnd w:id="9"/>
            <w:r w:rsidRPr="002A6691">
              <w:t>Alexandre Paul-Hus</w:t>
            </w:r>
          </w:p>
        </w:tc>
      </w:tr>
      <w:tr w:rsidR="005A7260" w14:paraId="262FAAC4" w14:textId="77777777" w:rsidTr="00423DF1">
        <w:tc>
          <w:tcPr>
            <w:tcW w:w="9362" w:type="dxa"/>
            <w:gridSpan w:val="3"/>
          </w:tcPr>
          <w:p w14:paraId="513CD7CD" w14:textId="342A1DDC" w:rsidR="005A78BF" w:rsidRPr="00D40B76" w:rsidRDefault="00001A5A" w:rsidP="005A78BF">
            <w:pPr>
              <w:pStyle w:val="zSoquijdatCabinetProcureurDem"/>
              <w:rPr>
                <w:caps/>
              </w:rPr>
            </w:pPr>
            <w:r w:rsidRPr="00433F51">
              <w:rPr>
                <w:caps/>
              </w:rPr>
              <w:t>Gagnier Guay Biron</w:t>
            </w:r>
          </w:p>
        </w:tc>
      </w:tr>
      <w:tr w:rsidR="005A7260" w14:paraId="3D8DA067" w14:textId="77777777" w:rsidTr="00423DF1">
        <w:tc>
          <w:tcPr>
            <w:tcW w:w="9362" w:type="dxa"/>
            <w:gridSpan w:val="3"/>
          </w:tcPr>
          <w:p w14:paraId="0DB6EC23" w14:textId="1C04F8F1" w:rsidR="005A78BF" w:rsidRDefault="00001A5A" w:rsidP="005A78BF">
            <w:pPr>
              <w:pStyle w:val="zSoquijlblProcureurDem"/>
              <w:rPr>
                <w:lang w:val="en-CA"/>
              </w:rPr>
            </w:pPr>
            <w:r>
              <w:t>Pour la requérante</w:t>
            </w:r>
          </w:p>
        </w:tc>
      </w:tr>
      <w:tr w:rsidR="005A7260" w14:paraId="6C9F6276" w14:textId="77777777" w:rsidTr="00423DF1">
        <w:tc>
          <w:tcPr>
            <w:tcW w:w="9362" w:type="dxa"/>
            <w:gridSpan w:val="3"/>
          </w:tcPr>
          <w:p w14:paraId="7D4F7744" w14:textId="77777777" w:rsidR="005A78BF" w:rsidRDefault="005A78BF" w:rsidP="005A78BF">
            <w:pPr>
              <w:rPr>
                <w:lang w:val="en-CA"/>
              </w:rPr>
            </w:pPr>
          </w:p>
        </w:tc>
      </w:tr>
      <w:tr w:rsidR="005A7260" w14:paraId="151D4FC1" w14:textId="77777777" w:rsidTr="00423DF1">
        <w:tc>
          <w:tcPr>
            <w:tcW w:w="9362" w:type="dxa"/>
            <w:gridSpan w:val="3"/>
          </w:tcPr>
          <w:p w14:paraId="18DF1A9B" w14:textId="77777777" w:rsidR="00D40B76" w:rsidRDefault="00001A5A" w:rsidP="00D40B76">
            <w:pPr>
              <w:pStyle w:val="zSoquijdatNomProcureurDef"/>
            </w:pPr>
            <w:r w:rsidRPr="00887EEB">
              <w:t>M</w:t>
            </w:r>
            <w:r>
              <w:t xml:space="preserve">e </w:t>
            </w:r>
            <w:bookmarkStart w:id="10" w:name="Avocat_int"/>
            <w:bookmarkStart w:id="11" w:name="abs_int"/>
            <w:bookmarkEnd w:id="10"/>
            <w:bookmarkEnd w:id="11"/>
            <w:r w:rsidRPr="002A6691">
              <w:t>Hélèna Lamed</w:t>
            </w:r>
          </w:p>
          <w:p w14:paraId="39914553" w14:textId="75A6245C" w:rsidR="005A78BF" w:rsidRPr="00D40B76" w:rsidRDefault="00001A5A" w:rsidP="005A78BF">
            <w:pPr>
              <w:pStyle w:val="zSoquijdatNomProcureurDef"/>
            </w:pPr>
            <w:r>
              <w:t>Me Donald Tremblay</w:t>
            </w:r>
          </w:p>
        </w:tc>
      </w:tr>
      <w:tr w:rsidR="005A7260" w14:paraId="524E78B4" w14:textId="77777777" w:rsidTr="00423DF1">
        <w:tc>
          <w:tcPr>
            <w:tcW w:w="9362" w:type="dxa"/>
            <w:gridSpan w:val="3"/>
          </w:tcPr>
          <w:p w14:paraId="20896759" w14:textId="035017E0" w:rsidR="005A78BF" w:rsidRPr="00D40B76" w:rsidRDefault="00001A5A" w:rsidP="005A78BF">
            <w:pPr>
              <w:pStyle w:val="zSoquijdatCabinetProcureurDef"/>
              <w:rPr>
                <w:caps/>
              </w:rPr>
            </w:pPr>
            <w:r w:rsidRPr="00844428">
              <w:rPr>
                <w:caps/>
              </w:rPr>
              <w:t>Clinique juridique itinérante</w:t>
            </w:r>
          </w:p>
        </w:tc>
      </w:tr>
      <w:tr w:rsidR="005A7260" w14:paraId="796998B6" w14:textId="77777777" w:rsidTr="00423DF1">
        <w:tc>
          <w:tcPr>
            <w:tcW w:w="9362" w:type="dxa"/>
            <w:gridSpan w:val="3"/>
          </w:tcPr>
          <w:p w14:paraId="27797426" w14:textId="39612FD5" w:rsidR="005A78BF" w:rsidRDefault="00001A5A" w:rsidP="005A78BF">
            <w:pPr>
              <w:pStyle w:val="zSoquijlblProcureurDef"/>
              <w:rPr>
                <w:lang w:val="en-CA"/>
              </w:rPr>
            </w:pPr>
            <w:r>
              <w:t>Pour l’intimée</w:t>
            </w:r>
          </w:p>
        </w:tc>
      </w:tr>
      <w:tr w:rsidR="005A7260" w14:paraId="256CB3E2" w14:textId="77777777" w:rsidTr="00423DF1">
        <w:tc>
          <w:tcPr>
            <w:tcW w:w="9362" w:type="dxa"/>
            <w:gridSpan w:val="3"/>
          </w:tcPr>
          <w:p w14:paraId="6314862F" w14:textId="77777777" w:rsidR="005A78BF" w:rsidRDefault="005A78BF" w:rsidP="005A78BF">
            <w:pPr>
              <w:rPr>
                <w:lang w:val="en-CA"/>
              </w:rPr>
            </w:pPr>
          </w:p>
        </w:tc>
      </w:tr>
      <w:tr w:rsidR="005A7260" w14:paraId="1E1AC364" w14:textId="77777777" w:rsidTr="00423DF1">
        <w:tc>
          <w:tcPr>
            <w:tcW w:w="1997" w:type="dxa"/>
          </w:tcPr>
          <w:p w14:paraId="563DB3C6" w14:textId="77777777" w:rsidR="005A78BF" w:rsidRDefault="00001A5A" w:rsidP="005A78BF">
            <w:pPr>
              <w:pStyle w:val="zSoquijlblDateAudience"/>
            </w:pPr>
            <w:r>
              <w:t>Date d’audience :</w:t>
            </w:r>
          </w:p>
        </w:tc>
        <w:tc>
          <w:tcPr>
            <w:tcW w:w="7365" w:type="dxa"/>
            <w:gridSpan w:val="2"/>
          </w:tcPr>
          <w:p w14:paraId="1826A87F" w14:textId="527567B0" w:rsidR="005A78BF" w:rsidRDefault="00001A5A" w:rsidP="005A78BF">
            <w:pPr>
              <w:pStyle w:val="zSoquijdatDateAudience"/>
            </w:pPr>
            <w:r>
              <w:t>31</w:t>
            </w:r>
            <w:r w:rsidR="00E37B67">
              <w:t> </w:t>
            </w:r>
            <w:r>
              <w:t>août 2026</w:t>
            </w:r>
          </w:p>
        </w:tc>
      </w:tr>
      <w:bookmarkEnd w:id="6"/>
    </w:tbl>
    <w:p w14:paraId="34CF543F" w14:textId="77777777" w:rsidR="00740A17" w:rsidRDefault="00740A17" w:rsidP="00D40B76"/>
    <w:sectPr w:rsidR="00740A17" w:rsidSect="00D40B76">
      <w:headerReference w:type="even" r:id="rId8"/>
      <w:headerReference w:type="default" r:id="rId9"/>
      <w:footerReference w:type="even" r:id="rId10"/>
      <w:footerReference w:type="default" r:id="rId11"/>
      <w:headerReference w:type="first" r:id="rId12"/>
      <w:footerReference w:type="first" r:id="rId13"/>
      <w:pgSz w:w="12242" w:h="15842" w:code="1"/>
      <w:pgMar w:top="1440" w:right="1008" w:bottom="1440" w:left="1872" w:header="1440" w:footer="7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F106" w14:textId="77777777" w:rsidR="00F14FFB" w:rsidRDefault="00F14FFB">
      <w:pPr>
        <w:spacing w:line="240" w:lineRule="auto"/>
      </w:pPr>
      <w:r>
        <w:separator/>
      </w:r>
    </w:p>
  </w:endnote>
  <w:endnote w:type="continuationSeparator" w:id="0">
    <w:p w14:paraId="07D659F1" w14:textId="77777777" w:rsidR="00F14FFB" w:rsidRDefault="00F14F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E154" w14:textId="77777777" w:rsidR="00E37B67" w:rsidRDefault="00E37B6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EAA4" w14:textId="77777777" w:rsidR="00E37B67" w:rsidRDefault="00E37B6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811A" w14:textId="77777777" w:rsidR="00E37B67" w:rsidRDefault="00E37B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75A" w14:textId="77777777" w:rsidR="00F14FFB" w:rsidRDefault="00F14FFB">
      <w:r>
        <w:separator/>
      </w:r>
    </w:p>
  </w:footnote>
  <w:footnote w:type="continuationSeparator" w:id="0">
    <w:p w14:paraId="5A5FCA35" w14:textId="77777777" w:rsidR="00F14FFB" w:rsidRDefault="00F14FFB">
      <w:r>
        <w:continuationSeparator/>
      </w:r>
    </w:p>
  </w:footnote>
  <w:footnote w:id="1">
    <w:p w14:paraId="44328A73" w14:textId="6CFAFAD2" w:rsidR="00E37F05" w:rsidRDefault="00001A5A">
      <w:pPr>
        <w:pStyle w:val="Notedebasdepage"/>
      </w:pPr>
      <w:r>
        <w:rPr>
          <w:rStyle w:val="Appelnotedebasdep"/>
        </w:rPr>
        <w:footnoteRef/>
      </w:r>
      <w:r>
        <w:t xml:space="preserve"> </w:t>
      </w:r>
      <w:r>
        <w:tab/>
      </w:r>
      <w:r w:rsidRPr="0021408B">
        <w:rPr>
          <w:i/>
          <w:iCs/>
        </w:rPr>
        <w:t>Clinique juridique itinérante c. Ville de Montréal</w:t>
      </w:r>
      <w:r>
        <w:t>, 2026 QCCS 2069, rectifié le 17 août 2026.</w:t>
      </w:r>
    </w:p>
  </w:footnote>
  <w:footnote w:id="2">
    <w:p w14:paraId="22F9AAF9" w14:textId="207756C9" w:rsidR="00D40B76" w:rsidRDefault="00001A5A" w:rsidP="00D40B76">
      <w:pPr>
        <w:pStyle w:val="Notedebasdepage"/>
      </w:pPr>
      <w:r>
        <w:rPr>
          <w:rStyle w:val="Appelnotedebasdep"/>
        </w:rPr>
        <w:footnoteRef/>
      </w:r>
      <w:r>
        <w:t xml:space="preserve"> </w:t>
      </w:r>
      <w:r>
        <w:tab/>
      </w:r>
      <w:r w:rsidR="005D60F4" w:rsidRPr="005D60F4">
        <w:rPr>
          <w:i/>
          <w:iCs/>
        </w:rPr>
        <w:t>Plouffe c. Balayage Blainville inc.</w:t>
      </w:r>
      <w:r w:rsidR="005D60F4" w:rsidRPr="005D60F4">
        <w:t>,</w:t>
      </w:r>
      <w:r w:rsidR="00745486">
        <w:t xml:space="preserve"> </w:t>
      </w:r>
      <w:r w:rsidR="005D60F4" w:rsidRPr="0021408B">
        <w:t>2024 QCCA 113</w:t>
      </w:r>
      <w:r w:rsidR="005D60F4" w:rsidRPr="005D60F4">
        <w:t>, par. </w:t>
      </w:r>
      <w:r w:rsidR="005D60F4" w:rsidRPr="0021408B">
        <w:t>4</w:t>
      </w:r>
      <w:r w:rsidR="005D60F4" w:rsidRPr="005D60F4">
        <w:t>;</w:t>
      </w:r>
      <w:r w:rsidR="00745486">
        <w:t xml:space="preserve"> </w:t>
      </w:r>
      <w:r w:rsidR="005D60F4" w:rsidRPr="005D60F4">
        <w:rPr>
          <w:i/>
          <w:iCs/>
        </w:rPr>
        <w:t>André Simard Notaire inc. c. Louis Luncheonnette inc.</w:t>
      </w:r>
      <w:r w:rsidR="005D60F4" w:rsidRPr="005D60F4">
        <w:t>,</w:t>
      </w:r>
      <w:r w:rsidR="00745486">
        <w:t xml:space="preserve"> </w:t>
      </w:r>
      <w:r w:rsidR="005D60F4" w:rsidRPr="0021408B">
        <w:t>2023 QCCA 142</w:t>
      </w:r>
      <w:r w:rsidR="005D60F4" w:rsidRPr="005D60F4">
        <w:t>, par. </w:t>
      </w:r>
      <w:r w:rsidR="005D60F4" w:rsidRPr="0021408B">
        <w:t>4</w:t>
      </w:r>
      <w:r w:rsidR="00745486">
        <w:t xml:space="preserve"> </w:t>
      </w:r>
      <w:r w:rsidR="005D60F4" w:rsidRPr="005D60F4">
        <w:t>(</w:t>
      </w:r>
      <w:r w:rsidR="00C01F9C">
        <w:t>j. unique</w:t>
      </w:r>
      <w:r w:rsidR="005D60F4" w:rsidRPr="005D60F4">
        <w:t>);</w:t>
      </w:r>
      <w:r w:rsidR="00745486">
        <w:t xml:space="preserve"> </w:t>
      </w:r>
      <w:r w:rsidR="005D60F4" w:rsidRPr="005D60F4">
        <w:rPr>
          <w:i/>
          <w:iCs/>
        </w:rPr>
        <w:t>Inspro (9415-0174 Québec inc.) c. Desjardins</w:t>
      </w:r>
      <w:r w:rsidR="005D60F4" w:rsidRPr="005D60F4">
        <w:t>,</w:t>
      </w:r>
      <w:r w:rsidR="00745486">
        <w:t xml:space="preserve"> </w:t>
      </w:r>
      <w:r w:rsidR="005D60F4" w:rsidRPr="0021408B">
        <w:t>2023 QCCA 380</w:t>
      </w:r>
      <w:r w:rsidR="005D60F4" w:rsidRPr="005D60F4">
        <w:t>, par. </w:t>
      </w:r>
      <w:r w:rsidR="005D60F4" w:rsidRPr="0021408B">
        <w:t>6</w:t>
      </w:r>
      <w:r w:rsidR="00745486">
        <w:t xml:space="preserve"> </w:t>
      </w:r>
      <w:r w:rsidR="005D60F4" w:rsidRPr="005D60F4">
        <w:t>(</w:t>
      </w:r>
      <w:r w:rsidR="00C01F9C">
        <w:t>j. unique</w:t>
      </w:r>
      <w:r w:rsidR="005D60F4" w:rsidRPr="005D60F4">
        <w:t>);</w:t>
      </w:r>
      <w:r w:rsidR="00745486">
        <w:t xml:space="preserve"> </w:t>
      </w:r>
      <w:r w:rsidR="005D60F4" w:rsidRPr="005D60F4">
        <w:rPr>
          <w:i/>
          <w:iCs/>
        </w:rPr>
        <w:t>8455716 Canada inc. c. 11078526 Canada inc.</w:t>
      </w:r>
      <w:r w:rsidR="005D60F4" w:rsidRPr="005D60F4">
        <w:t>,</w:t>
      </w:r>
      <w:r w:rsidR="00745486">
        <w:t xml:space="preserve"> </w:t>
      </w:r>
      <w:r w:rsidR="005D60F4" w:rsidRPr="0021408B">
        <w:t>2021 QCCA 1336</w:t>
      </w:r>
      <w:r w:rsidR="005D60F4" w:rsidRPr="005D60F4">
        <w:t>, par. </w:t>
      </w:r>
      <w:r w:rsidR="005D60F4" w:rsidRPr="0021408B">
        <w:t>3</w:t>
      </w:r>
      <w:r w:rsidR="00745486">
        <w:t xml:space="preserve"> </w:t>
      </w:r>
      <w:r w:rsidR="005D60F4" w:rsidRPr="005D60F4">
        <w:t>(</w:t>
      </w:r>
      <w:r w:rsidR="00C01F9C">
        <w:t>j. unique</w:t>
      </w:r>
      <w:r w:rsidR="005D60F4" w:rsidRPr="005D60F4">
        <w:t>).</w:t>
      </w:r>
    </w:p>
  </w:footnote>
  <w:footnote w:id="3">
    <w:p w14:paraId="5F20CD33" w14:textId="77777777" w:rsidR="00D40B76" w:rsidRDefault="00001A5A" w:rsidP="00D40B76">
      <w:pPr>
        <w:pStyle w:val="Notedebasdepage"/>
      </w:pPr>
      <w:r>
        <w:rPr>
          <w:rStyle w:val="Appelnotedebasdep"/>
        </w:rPr>
        <w:footnoteRef/>
      </w:r>
      <w:r>
        <w:t xml:space="preserve"> </w:t>
      </w:r>
      <w:r>
        <w:tab/>
      </w:r>
      <w:r w:rsidRPr="00A9403C">
        <w:rPr>
          <w:i/>
          <w:iCs/>
        </w:rPr>
        <w:t>Inspro (9415-0174 Québec inc.) c. Desjardins</w:t>
      </w:r>
      <w:r w:rsidRPr="00A9403C">
        <w:t>, 2023 QCCA 380</w:t>
      </w:r>
      <w:r>
        <w:t xml:space="preserve">, par. 6 (j. unique); </w:t>
      </w:r>
      <w:r w:rsidRPr="00FC4620">
        <w:rPr>
          <w:i/>
          <w:iCs/>
        </w:rPr>
        <w:t>André Simard Notaire inc. c. Louis Luncheonnette inc</w:t>
      </w:r>
      <w:r w:rsidRPr="00FC4620">
        <w:t>., 2023 QCCA 142</w:t>
      </w:r>
      <w:r>
        <w:t>, par. 4 (j. unique).</w:t>
      </w:r>
    </w:p>
  </w:footnote>
  <w:footnote w:id="4">
    <w:p w14:paraId="086D06F5" w14:textId="5677D717" w:rsidR="00D40B76" w:rsidRDefault="00001A5A" w:rsidP="00D40B76">
      <w:pPr>
        <w:pStyle w:val="Notedebasdepage"/>
      </w:pPr>
      <w:r>
        <w:rPr>
          <w:rStyle w:val="Appelnotedebasdep"/>
        </w:rPr>
        <w:footnoteRef/>
      </w:r>
      <w:r>
        <w:t xml:space="preserve"> </w:t>
      </w:r>
      <w:r>
        <w:tab/>
      </w:r>
      <w:r w:rsidRPr="00D14348">
        <w:rPr>
          <w:i/>
          <w:iCs/>
        </w:rPr>
        <w:t>Plouffe c. Balayage Blainville inc.</w:t>
      </w:r>
      <w:r w:rsidRPr="000C5A47">
        <w:t>, 2024 QCCA 113</w:t>
      </w:r>
      <w:r>
        <w:t>, par. 5</w:t>
      </w:r>
      <w:r w:rsidR="005D60F4">
        <w:t>.</w:t>
      </w:r>
      <w:r>
        <w:t xml:space="preserve"> </w:t>
      </w:r>
    </w:p>
  </w:footnote>
  <w:footnote w:id="5">
    <w:p w14:paraId="59B087EB" w14:textId="77777777" w:rsidR="00D40B76" w:rsidRDefault="00001A5A" w:rsidP="00D40B76">
      <w:pPr>
        <w:pStyle w:val="Notedebasdepage"/>
      </w:pPr>
      <w:r>
        <w:rPr>
          <w:rStyle w:val="Appelnotedebasdep"/>
        </w:rPr>
        <w:footnoteRef/>
      </w:r>
      <w:r>
        <w:t xml:space="preserve"> </w:t>
      </w:r>
      <w:r>
        <w:tab/>
      </w:r>
      <w:r w:rsidRPr="00354F65">
        <w:rPr>
          <w:i/>
          <w:iCs/>
        </w:rPr>
        <w:t>André Simard Notaire inc. c. Louis Luncheonnette inc.</w:t>
      </w:r>
      <w:r w:rsidRPr="00354F65">
        <w:t>, 2023 QCCA 142</w:t>
      </w:r>
      <w:r>
        <w:t xml:space="preserve">, par. 4; </w:t>
      </w:r>
      <w:r w:rsidRPr="00D14348">
        <w:rPr>
          <w:i/>
          <w:iCs/>
        </w:rPr>
        <w:t>Gérard Collin Radiologue inc. c. 6213626 Canada inc.</w:t>
      </w:r>
      <w:r w:rsidRPr="00D14348">
        <w:t>, 2019 QCCA 1992</w:t>
      </w:r>
      <w:r>
        <w:t>, par. 2 (j. unique).</w:t>
      </w:r>
    </w:p>
  </w:footnote>
  <w:footnote w:id="6">
    <w:p w14:paraId="645B34EF" w14:textId="77777777" w:rsidR="00D40B76" w:rsidRDefault="00001A5A" w:rsidP="00D40B76">
      <w:pPr>
        <w:pStyle w:val="Notedebasdepage"/>
      </w:pPr>
      <w:r>
        <w:rPr>
          <w:rStyle w:val="Appelnotedebasdep"/>
        </w:rPr>
        <w:footnoteRef/>
      </w:r>
      <w:r>
        <w:t xml:space="preserve"> </w:t>
      </w:r>
      <w:r>
        <w:tab/>
        <w:t>Jugement entrepris, par. 24-26.</w:t>
      </w:r>
    </w:p>
  </w:footnote>
  <w:footnote w:id="7">
    <w:p w14:paraId="26401131" w14:textId="77777777" w:rsidR="00D40B76" w:rsidRDefault="00001A5A" w:rsidP="00D40B76">
      <w:pPr>
        <w:pStyle w:val="Notedebasdepage"/>
      </w:pPr>
      <w:r>
        <w:rPr>
          <w:rStyle w:val="Appelnotedebasdep"/>
        </w:rPr>
        <w:footnoteRef/>
      </w:r>
      <w:r>
        <w:t xml:space="preserve"> </w:t>
      </w:r>
      <w:r>
        <w:tab/>
        <w:t>Jugement entrepris, par. 48-54.</w:t>
      </w:r>
    </w:p>
  </w:footnote>
  <w:footnote w:id="8">
    <w:p w14:paraId="02E05B92" w14:textId="77777777" w:rsidR="00D40B76" w:rsidRDefault="00001A5A" w:rsidP="00D40B76">
      <w:pPr>
        <w:pStyle w:val="Notedebasdepage"/>
      </w:pPr>
      <w:r>
        <w:rPr>
          <w:rStyle w:val="Appelnotedebasdep"/>
        </w:rPr>
        <w:footnoteRef/>
      </w:r>
      <w:r>
        <w:t xml:space="preserve"> </w:t>
      </w:r>
      <w:r>
        <w:tab/>
      </w:r>
      <w:r w:rsidRPr="00A9403C">
        <w:rPr>
          <w:i/>
          <w:iCs/>
        </w:rPr>
        <w:t>9014-4304 Québec inc. c. Société en commandite ACG Kaloom</w:t>
      </w:r>
      <w:r w:rsidRPr="00A9403C">
        <w:t>, 2023 QCCA 1482</w:t>
      </w:r>
      <w:r>
        <w:t>, par. 12 (j. unique).</w:t>
      </w:r>
    </w:p>
  </w:footnote>
  <w:footnote w:id="9">
    <w:p w14:paraId="7425B08D" w14:textId="77777777" w:rsidR="00D40B76" w:rsidRDefault="00001A5A" w:rsidP="00D40B76">
      <w:pPr>
        <w:pStyle w:val="Notedebasdepage"/>
      </w:pPr>
      <w:r>
        <w:rPr>
          <w:rStyle w:val="Appelnotedebasdep"/>
        </w:rPr>
        <w:footnoteRef/>
      </w:r>
      <w:r>
        <w:t xml:space="preserve"> </w:t>
      </w:r>
      <w:r>
        <w:tab/>
        <w:t>Jugement entrepris, par. 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3CE1" w14:textId="77777777" w:rsidR="00E37B67" w:rsidRDefault="00E37B6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D725" w14:textId="190A660D" w:rsidR="007E33E4" w:rsidRDefault="00001A5A" w:rsidP="00DB2119">
    <w:pPr>
      <w:tabs>
        <w:tab w:val="center" w:pos="4709"/>
        <w:tab w:val="right" w:pos="9360"/>
      </w:tabs>
      <w:spacing w:line="360" w:lineRule="auto"/>
      <w:ind w:right="524"/>
    </w:pPr>
    <w:bookmarkStart w:id="12" w:name="EntDossier"/>
    <w:r>
      <w:t>500-09-032144-263</w:t>
    </w:r>
    <w:bookmarkEnd w:id="12"/>
    <w:r w:rsidRPr="007462D6">
      <w:t xml:space="preserve"> </w:t>
    </w:r>
    <w:r>
      <w:tab/>
    </w:r>
    <w:r>
      <w:tab/>
      <w:t xml:space="preserve">PAGE : </w:t>
    </w:r>
    <w:r>
      <w:fldChar w:fldCharType="begin"/>
    </w:r>
    <w:r>
      <w:instrText xml:space="preserve"> PAGE </w:instrText>
    </w:r>
    <w:r>
      <w:fldChar w:fldCharType="separate"/>
    </w:r>
    <w:r>
      <w:t>7</w:t>
    </w:r>
    <w:r>
      <w:fldChar w:fldCharType="end"/>
    </w:r>
  </w:p>
  <w:p w14:paraId="4B7554F9" w14:textId="77777777" w:rsidR="007E33E4" w:rsidRDefault="007E33E4" w:rsidP="00DB2119">
    <w:pPr>
      <w:tabs>
        <w:tab w:val="center" w:pos="4709"/>
        <w:tab w:val="right" w:pos="9360"/>
      </w:tabs>
      <w:spacing w:line="360" w:lineRule="auto"/>
      <w:ind w:right="52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A706" w14:textId="77777777" w:rsidR="00E37B67" w:rsidRDefault="00E37B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0E1E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12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2647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1C3B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EAB8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1219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8070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6436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DCE6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34AE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BB52DE"/>
    <w:multiLevelType w:val="multilevel"/>
    <w:tmpl w:val="79E601F0"/>
    <w:lvl w:ilvl="0">
      <w:start w:val="1"/>
      <w:numFmt w:val="decimal"/>
      <w:pStyle w:val="Paragraphe"/>
      <w:lvlText w:val="[%1]"/>
      <w:lvlJc w:val="left"/>
      <w:pPr>
        <w:tabs>
          <w:tab w:val="num" w:pos="720"/>
        </w:tabs>
        <w:ind w:left="0" w:firstLine="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4B9527B"/>
    <w:multiLevelType w:val="multilevel"/>
    <w:tmpl w:val="2500FD98"/>
    <w:lvl w:ilvl="0">
      <w:start w:val="1"/>
      <w:numFmt w:val="decimal"/>
      <w:lvlText w:val="[%1]"/>
      <w:lvlJc w:val="left"/>
      <w:pPr>
        <w:tabs>
          <w:tab w:val="num" w:pos="720"/>
        </w:tabs>
        <w:ind w:left="0" w:firstLine="0"/>
      </w:pPr>
      <w:rPr>
        <w:rFonts w:hint="default"/>
      </w:rPr>
    </w:lvl>
    <w:lvl w:ilvl="1">
      <w:start w:val="1"/>
      <w:numFmt w:val="decimal"/>
      <w:lvlText w:val="%2)"/>
      <w:lvlJc w:val="left"/>
      <w:pPr>
        <w:ind w:left="720" w:hanging="360"/>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4A9D1B84"/>
    <w:multiLevelType w:val="multilevel"/>
    <w:tmpl w:val="2766DEE4"/>
    <w:lvl w:ilvl="0">
      <w:start w:val="1"/>
      <w:numFmt w:val="bullet"/>
      <w:lvlText w:val=""/>
      <w:lvlJc w:val="left"/>
      <w:pPr>
        <w:tabs>
          <w:tab w:val="num" w:pos="792"/>
        </w:tabs>
        <w:ind w:left="792" w:hanging="72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609C0DCC"/>
    <w:multiLevelType w:val="multilevel"/>
    <w:tmpl w:val="F11C8164"/>
    <w:lvl w:ilvl="0">
      <w:start w:val="1"/>
      <w:numFmt w:val="decimal"/>
      <w:lvlText w:val="[%1]"/>
      <w:lvlJc w:val="left"/>
      <w:pPr>
        <w:tabs>
          <w:tab w:val="num" w:pos="360"/>
        </w:tabs>
        <w:ind w:left="0" w:firstLine="0"/>
      </w:pPr>
      <w:rPr>
        <w:rFonts w:ascii="Arial" w:hAnsi="Arial" w:hint="default"/>
        <w:b w:val="0"/>
        <w:i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297179972">
    <w:abstractNumId w:val="13"/>
  </w:num>
  <w:num w:numId="2" w16cid:durableId="1381786047">
    <w:abstractNumId w:val="13"/>
  </w:num>
  <w:num w:numId="3" w16cid:durableId="1026444616">
    <w:abstractNumId w:val="13"/>
  </w:num>
  <w:num w:numId="4" w16cid:durableId="872808724">
    <w:abstractNumId w:val="8"/>
  </w:num>
  <w:num w:numId="5" w16cid:durableId="1142237205">
    <w:abstractNumId w:val="3"/>
  </w:num>
  <w:num w:numId="6" w16cid:durableId="782966259">
    <w:abstractNumId w:val="2"/>
  </w:num>
  <w:num w:numId="7" w16cid:durableId="790825134">
    <w:abstractNumId w:val="1"/>
  </w:num>
  <w:num w:numId="8" w16cid:durableId="1824152310">
    <w:abstractNumId w:val="0"/>
  </w:num>
  <w:num w:numId="9" w16cid:durableId="2074354923">
    <w:abstractNumId w:val="9"/>
  </w:num>
  <w:num w:numId="10" w16cid:durableId="1333799965">
    <w:abstractNumId w:val="7"/>
  </w:num>
  <w:num w:numId="11" w16cid:durableId="1468819576">
    <w:abstractNumId w:val="6"/>
  </w:num>
  <w:num w:numId="12" w16cid:durableId="1800562753">
    <w:abstractNumId w:val="5"/>
  </w:num>
  <w:num w:numId="13" w16cid:durableId="1411270039">
    <w:abstractNumId w:val="4"/>
  </w:num>
  <w:num w:numId="14" w16cid:durableId="77139211">
    <w:abstractNumId w:val="13"/>
  </w:num>
  <w:num w:numId="15" w16cid:durableId="215630712">
    <w:abstractNumId w:val="13"/>
  </w:num>
  <w:num w:numId="16" w16cid:durableId="2083870167">
    <w:abstractNumId w:val="13"/>
  </w:num>
  <w:num w:numId="17" w16cid:durableId="1831601898">
    <w:abstractNumId w:val="12"/>
  </w:num>
  <w:num w:numId="18" w16cid:durableId="1971594137">
    <w:abstractNumId w:val="10"/>
  </w:num>
  <w:num w:numId="19" w16cid:durableId="1202858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76"/>
    <w:rsid w:val="00001A5A"/>
    <w:rsid w:val="000131E1"/>
    <w:rsid w:val="0002504B"/>
    <w:rsid w:val="0004394C"/>
    <w:rsid w:val="00053691"/>
    <w:rsid w:val="000A21E2"/>
    <w:rsid w:val="000A7516"/>
    <w:rsid w:val="000B42AF"/>
    <w:rsid w:val="000C5A47"/>
    <w:rsid w:val="00110B53"/>
    <w:rsid w:val="00112321"/>
    <w:rsid w:val="00117914"/>
    <w:rsid w:val="0013028C"/>
    <w:rsid w:val="0015610F"/>
    <w:rsid w:val="00160B31"/>
    <w:rsid w:val="00181F56"/>
    <w:rsid w:val="00190FA7"/>
    <w:rsid w:val="001972F2"/>
    <w:rsid w:val="001D1D1F"/>
    <w:rsid w:val="001E51BF"/>
    <w:rsid w:val="001E7099"/>
    <w:rsid w:val="00205DC4"/>
    <w:rsid w:val="0021408B"/>
    <w:rsid w:val="00214E69"/>
    <w:rsid w:val="0021548E"/>
    <w:rsid w:val="002273F5"/>
    <w:rsid w:val="00256C5F"/>
    <w:rsid w:val="00282EBE"/>
    <w:rsid w:val="0029148E"/>
    <w:rsid w:val="002A6691"/>
    <w:rsid w:val="002B4A07"/>
    <w:rsid w:val="002C4107"/>
    <w:rsid w:val="002D004D"/>
    <w:rsid w:val="002E1F0E"/>
    <w:rsid w:val="002E229C"/>
    <w:rsid w:val="002E4FCE"/>
    <w:rsid w:val="002E51F1"/>
    <w:rsid w:val="002F1350"/>
    <w:rsid w:val="002F6136"/>
    <w:rsid w:val="00304534"/>
    <w:rsid w:val="00304A14"/>
    <w:rsid w:val="00322DE0"/>
    <w:rsid w:val="0032363D"/>
    <w:rsid w:val="0033190E"/>
    <w:rsid w:val="00331B21"/>
    <w:rsid w:val="00354F65"/>
    <w:rsid w:val="00361325"/>
    <w:rsid w:val="00374888"/>
    <w:rsid w:val="00374E40"/>
    <w:rsid w:val="00392E75"/>
    <w:rsid w:val="003C0C1E"/>
    <w:rsid w:val="003D487D"/>
    <w:rsid w:val="003E3239"/>
    <w:rsid w:val="003E3E3C"/>
    <w:rsid w:val="00423DF1"/>
    <w:rsid w:val="00430C58"/>
    <w:rsid w:val="004331C4"/>
    <w:rsid w:val="00433F51"/>
    <w:rsid w:val="0043564D"/>
    <w:rsid w:val="00441C25"/>
    <w:rsid w:val="00446452"/>
    <w:rsid w:val="00472DC8"/>
    <w:rsid w:val="004802EC"/>
    <w:rsid w:val="004A29F1"/>
    <w:rsid w:val="004A6641"/>
    <w:rsid w:val="004B1E94"/>
    <w:rsid w:val="004B33FF"/>
    <w:rsid w:val="004B58E8"/>
    <w:rsid w:val="004D2F69"/>
    <w:rsid w:val="004E4FBA"/>
    <w:rsid w:val="005131F1"/>
    <w:rsid w:val="0051484F"/>
    <w:rsid w:val="00516B3E"/>
    <w:rsid w:val="005262C9"/>
    <w:rsid w:val="00531D70"/>
    <w:rsid w:val="00566BF6"/>
    <w:rsid w:val="0056751B"/>
    <w:rsid w:val="00583434"/>
    <w:rsid w:val="0058349F"/>
    <w:rsid w:val="00585DAF"/>
    <w:rsid w:val="005A7260"/>
    <w:rsid w:val="005A78BF"/>
    <w:rsid w:val="005B5BD9"/>
    <w:rsid w:val="005B6B4C"/>
    <w:rsid w:val="005C7516"/>
    <w:rsid w:val="005D1522"/>
    <w:rsid w:val="005D60F4"/>
    <w:rsid w:val="005F264E"/>
    <w:rsid w:val="005F5F5F"/>
    <w:rsid w:val="00624770"/>
    <w:rsid w:val="00625229"/>
    <w:rsid w:val="0064250B"/>
    <w:rsid w:val="006761ED"/>
    <w:rsid w:val="006826AA"/>
    <w:rsid w:val="0068356A"/>
    <w:rsid w:val="006A0DB0"/>
    <w:rsid w:val="006A6629"/>
    <w:rsid w:val="006E10D0"/>
    <w:rsid w:val="0071298B"/>
    <w:rsid w:val="00740A17"/>
    <w:rsid w:val="00745486"/>
    <w:rsid w:val="007462D6"/>
    <w:rsid w:val="0074738B"/>
    <w:rsid w:val="0076062E"/>
    <w:rsid w:val="007901CC"/>
    <w:rsid w:val="007953F3"/>
    <w:rsid w:val="007A7803"/>
    <w:rsid w:val="007B061E"/>
    <w:rsid w:val="007B48D5"/>
    <w:rsid w:val="007D087C"/>
    <w:rsid w:val="007E33E4"/>
    <w:rsid w:val="007E4CC9"/>
    <w:rsid w:val="007F40FD"/>
    <w:rsid w:val="00800D23"/>
    <w:rsid w:val="00816273"/>
    <w:rsid w:val="0082717B"/>
    <w:rsid w:val="00827B04"/>
    <w:rsid w:val="0083032E"/>
    <w:rsid w:val="00841907"/>
    <w:rsid w:val="00844428"/>
    <w:rsid w:val="0086036A"/>
    <w:rsid w:val="008653A3"/>
    <w:rsid w:val="008657A2"/>
    <w:rsid w:val="00866645"/>
    <w:rsid w:val="008768FA"/>
    <w:rsid w:val="00882210"/>
    <w:rsid w:val="00887EEB"/>
    <w:rsid w:val="0089160A"/>
    <w:rsid w:val="008A6185"/>
    <w:rsid w:val="008C1FE9"/>
    <w:rsid w:val="008C7DCE"/>
    <w:rsid w:val="008D18FC"/>
    <w:rsid w:val="008D21C6"/>
    <w:rsid w:val="008D398B"/>
    <w:rsid w:val="008D7954"/>
    <w:rsid w:val="008D7E49"/>
    <w:rsid w:val="008E5E9D"/>
    <w:rsid w:val="008F364A"/>
    <w:rsid w:val="008F3F53"/>
    <w:rsid w:val="0090631F"/>
    <w:rsid w:val="00913E03"/>
    <w:rsid w:val="009229E9"/>
    <w:rsid w:val="00926953"/>
    <w:rsid w:val="00932703"/>
    <w:rsid w:val="00936469"/>
    <w:rsid w:val="009400B7"/>
    <w:rsid w:val="00954DC2"/>
    <w:rsid w:val="00957B92"/>
    <w:rsid w:val="00970966"/>
    <w:rsid w:val="00974442"/>
    <w:rsid w:val="009F1F69"/>
    <w:rsid w:val="00A000AB"/>
    <w:rsid w:val="00A23BF4"/>
    <w:rsid w:val="00A2593B"/>
    <w:rsid w:val="00A34310"/>
    <w:rsid w:val="00A34E05"/>
    <w:rsid w:val="00A43D8B"/>
    <w:rsid w:val="00A454F1"/>
    <w:rsid w:val="00A50F3B"/>
    <w:rsid w:val="00A543CC"/>
    <w:rsid w:val="00A602C0"/>
    <w:rsid w:val="00A9057A"/>
    <w:rsid w:val="00A93CFF"/>
    <w:rsid w:val="00A9403C"/>
    <w:rsid w:val="00AB7DD2"/>
    <w:rsid w:val="00AE1B6D"/>
    <w:rsid w:val="00AE33EA"/>
    <w:rsid w:val="00AE5419"/>
    <w:rsid w:val="00AF0C7C"/>
    <w:rsid w:val="00B01D86"/>
    <w:rsid w:val="00B07E4E"/>
    <w:rsid w:val="00B11FD1"/>
    <w:rsid w:val="00B137E9"/>
    <w:rsid w:val="00B252F8"/>
    <w:rsid w:val="00B30EA2"/>
    <w:rsid w:val="00B36ED3"/>
    <w:rsid w:val="00B513C9"/>
    <w:rsid w:val="00B56EF4"/>
    <w:rsid w:val="00B61B5D"/>
    <w:rsid w:val="00B70485"/>
    <w:rsid w:val="00B82A13"/>
    <w:rsid w:val="00BB7647"/>
    <w:rsid w:val="00BF54BC"/>
    <w:rsid w:val="00C01F9C"/>
    <w:rsid w:val="00C02AF8"/>
    <w:rsid w:val="00C17E01"/>
    <w:rsid w:val="00C31AC4"/>
    <w:rsid w:val="00C409BE"/>
    <w:rsid w:val="00C423CA"/>
    <w:rsid w:val="00C652ED"/>
    <w:rsid w:val="00C7793C"/>
    <w:rsid w:val="00C939A8"/>
    <w:rsid w:val="00C97145"/>
    <w:rsid w:val="00CF7E24"/>
    <w:rsid w:val="00D010FD"/>
    <w:rsid w:val="00D02812"/>
    <w:rsid w:val="00D14348"/>
    <w:rsid w:val="00D20056"/>
    <w:rsid w:val="00D40B76"/>
    <w:rsid w:val="00D655AA"/>
    <w:rsid w:val="00DB2119"/>
    <w:rsid w:val="00DC05BC"/>
    <w:rsid w:val="00DD161E"/>
    <w:rsid w:val="00DD3A24"/>
    <w:rsid w:val="00DE65C3"/>
    <w:rsid w:val="00DF3516"/>
    <w:rsid w:val="00E03C07"/>
    <w:rsid w:val="00E20E3C"/>
    <w:rsid w:val="00E36290"/>
    <w:rsid w:val="00E37B67"/>
    <w:rsid w:val="00E37F05"/>
    <w:rsid w:val="00E81E61"/>
    <w:rsid w:val="00E848B4"/>
    <w:rsid w:val="00E91417"/>
    <w:rsid w:val="00E94329"/>
    <w:rsid w:val="00EA52EF"/>
    <w:rsid w:val="00EB1377"/>
    <w:rsid w:val="00EC1E33"/>
    <w:rsid w:val="00F07022"/>
    <w:rsid w:val="00F1119E"/>
    <w:rsid w:val="00F14FFB"/>
    <w:rsid w:val="00F26635"/>
    <w:rsid w:val="00F33E30"/>
    <w:rsid w:val="00F35A34"/>
    <w:rsid w:val="00F40882"/>
    <w:rsid w:val="00F42E59"/>
    <w:rsid w:val="00F43559"/>
    <w:rsid w:val="00F5789B"/>
    <w:rsid w:val="00F718B0"/>
    <w:rsid w:val="00F75AAB"/>
    <w:rsid w:val="00F75C76"/>
    <w:rsid w:val="00FC4620"/>
    <w:rsid w:val="00FC7086"/>
    <w:rsid w:val="00FC720B"/>
    <w:rsid w:val="00FE3FE9"/>
    <w:rsid w:val="00FE6A1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1062D7-E510-4BA2-8232-FD3FD837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80" w:lineRule="exact"/>
    </w:pPr>
    <w:rPr>
      <w:rFonts w:ascii="Arial" w:hAnsi="Arial"/>
      <w:sz w:val="24"/>
      <w:lang w:eastAsia="fr-FR"/>
    </w:rPr>
  </w:style>
  <w:style w:type="paragraph" w:styleId="Titre1">
    <w:name w:val="heading 1"/>
    <w:basedOn w:val="Normal"/>
    <w:next w:val="Normal"/>
    <w:qFormat/>
    <w:pPr>
      <w:keepNext/>
      <w:spacing w:before="240" w:after="60" w:line="500" w:lineRule="exact"/>
      <w:outlineLvl w:val="0"/>
    </w:pPr>
    <w:rPr>
      <w:b/>
      <w:kern w:val="28"/>
      <w:sz w:val="28"/>
    </w:rPr>
  </w:style>
  <w:style w:type="paragraph" w:styleId="Titre2">
    <w:name w:val="heading 2"/>
    <w:basedOn w:val="Normal"/>
    <w:next w:val="Normal"/>
    <w:qFormat/>
    <w:pPr>
      <w:keepNext/>
      <w:spacing w:before="240" w:after="60"/>
      <w:outlineLvl w:val="1"/>
    </w:pPr>
    <w:rPr>
      <w:b/>
      <w:i/>
    </w:rPr>
  </w:style>
  <w:style w:type="paragraph" w:styleId="Titre3">
    <w:name w:val="heading 3"/>
    <w:basedOn w:val="Normal"/>
    <w:next w:val="Normal"/>
    <w:qFormat/>
    <w:pPr>
      <w:keepNext/>
      <w:spacing w:before="240" w:after="60"/>
      <w:outlineLvl w:val="2"/>
    </w:pPr>
  </w:style>
  <w:style w:type="paragraph" w:styleId="Titre4">
    <w:name w:val="heading 4"/>
    <w:basedOn w:val="Normal"/>
    <w:next w:val="Normal"/>
    <w:qFormat/>
    <w:pPr>
      <w:keepNext/>
      <w:spacing w:before="240" w:after="60"/>
      <w:outlineLvl w:val="3"/>
    </w:pPr>
    <w:rPr>
      <w:b/>
    </w:rPr>
  </w:style>
  <w:style w:type="paragraph" w:styleId="Titre5">
    <w:name w:val="heading 5"/>
    <w:basedOn w:val="Normal"/>
    <w:next w:val="Normal"/>
    <w:qFormat/>
    <w:pPr>
      <w:spacing w:before="240" w:after="60"/>
      <w:outlineLvl w:val="4"/>
    </w:pPr>
    <w:rPr>
      <w:sz w:val="22"/>
    </w:rPr>
  </w:style>
  <w:style w:type="paragraph" w:styleId="Titre6">
    <w:name w:val="heading 6"/>
    <w:basedOn w:val="Normal"/>
    <w:next w:val="Normal"/>
    <w:qFormat/>
    <w:pPr>
      <w:spacing w:before="240" w:after="60"/>
      <w:outlineLvl w:val="5"/>
    </w:pPr>
    <w:rPr>
      <w:i/>
      <w:sz w:val="22"/>
    </w:rPr>
  </w:style>
  <w:style w:type="paragraph" w:styleId="Titre7">
    <w:name w:val="heading 7"/>
    <w:basedOn w:val="Normal"/>
    <w:next w:val="Normal"/>
    <w:qFormat/>
    <w:pPr>
      <w:spacing w:before="240" w:after="60"/>
      <w:outlineLvl w:val="6"/>
    </w:pPr>
    <w:rPr>
      <w:sz w:val="20"/>
    </w:rPr>
  </w:style>
  <w:style w:type="paragraph" w:styleId="Titre8">
    <w:name w:val="heading 8"/>
    <w:basedOn w:val="Normal"/>
    <w:next w:val="Normal"/>
    <w:qFormat/>
    <w:pPr>
      <w:spacing w:before="240" w:after="60"/>
      <w:outlineLvl w:val="7"/>
    </w:pPr>
    <w:rPr>
      <w:i/>
      <w:sz w:val="20"/>
    </w:rPr>
  </w:style>
  <w:style w:type="paragraph" w:styleId="Titre9">
    <w:name w:val="heading 9"/>
    <w:basedOn w:val="Normal"/>
    <w:next w:val="Normal"/>
    <w:qFormat/>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link w:val="ParagrapheCar"/>
    <w:qFormat/>
    <w:pPr>
      <w:numPr>
        <w:numId w:val="18"/>
      </w:numPr>
      <w:spacing w:before="120" w:after="120" w:line="500" w:lineRule="exact"/>
      <w:jc w:val="both"/>
    </w:pPr>
    <w:rPr>
      <w:kern w:val="28"/>
    </w:rPr>
  </w:style>
  <w:style w:type="paragraph" w:customStyle="1" w:styleId="Citationenretrait">
    <w:name w:val="Citation en retrait"/>
    <w:basedOn w:val="Normal"/>
    <w:link w:val="CitationenretraitCar"/>
    <w:qFormat/>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semiHidden/>
    <w:pPr>
      <w:spacing w:after="120"/>
    </w:pPr>
  </w:style>
  <w:style w:type="paragraph" w:styleId="Notedebasdepage">
    <w:name w:val="footnote text"/>
    <w:basedOn w:val="Normal"/>
    <w:link w:val="NotedebasdepageCar"/>
    <w:qFormat/>
    <w:pPr>
      <w:spacing w:line="240" w:lineRule="auto"/>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pPr>
      <w:spacing w:line="500" w:lineRule="exact"/>
      <w:jc w:val="center"/>
    </w:pPr>
    <w:rPr>
      <w:b/>
      <w:sz w:val="36"/>
    </w:rPr>
  </w:style>
  <w:style w:type="paragraph" w:customStyle="1" w:styleId="zSoquijlblPays">
    <w:name w:val="zSoquij_lblPays"/>
    <w:basedOn w:val="Normal"/>
  </w:style>
  <w:style w:type="paragraph" w:customStyle="1" w:styleId="zSoquijlblProvince">
    <w:name w:val="zSoquij_lblProvince"/>
    <w:basedOn w:val="Normal"/>
  </w:style>
  <w:style w:type="paragraph" w:customStyle="1" w:styleId="zSoquijlblGreffe">
    <w:name w:val="zSoquij_lblGreffe"/>
    <w:basedOn w:val="Normal"/>
  </w:style>
  <w:style w:type="paragraph" w:customStyle="1" w:styleId="zSoquijdatGreffe">
    <w:name w:val="zSoquij_datGreffe"/>
    <w:basedOn w:val="Normal"/>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pPr>
      <w:ind w:left="950"/>
    </w:pPr>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rPr>
      <w:b/>
    </w:rPr>
  </w:style>
  <w:style w:type="paragraph" w:customStyle="1" w:styleId="zSoquijdatQteJuge">
    <w:name w:val="zSoquij_datQteJuge"/>
    <w:basedOn w:val="Normal"/>
    <w:rPr>
      <w:b/>
    </w:rPr>
  </w:style>
  <w:style w:type="paragraph" w:customStyle="1" w:styleId="zSoquijdatJuge">
    <w:name w:val="zSoquij_datJuge"/>
    <w:basedOn w:val="Normal"/>
    <w:rPr>
      <w:b/>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pPr>
      <w:jc w:val="center"/>
    </w:p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jc w:val="center"/>
    </w:pPr>
  </w:style>
  <w:style w:type="character" w:customStyle="1" w:styleId="zSoquijlblEntNoDossier">
    <w:name w:val="zSoquij_lblEntNoDossier"/>
    <w:basedOn w:val="Policepardfaut"/>
    <w:rPr>
      <w:noProof w:val="0"/>
      <w:lang w:val="fr-CA"/>
    </w:rPr>
  </w:style>
  <w:style w:type="paragraph" w:customStyle="1" w:styleId="zSoquijlblTitrePartie">
    <w:name w:val="zSoquij_lblTitrePartie"/>
    <w:basedOn w:val="Normal"/>
  </w:style>
  <w:style w:type="paragraph" w:customStyle="1" w:styleId="zSoquijdatIdJuge">
    <w:name w:val="zSoquij_datIdJuge"/>
    <w:basedOn w:val="Normal"/>
    <w:pPr>
      <w:jc w:val="right"/>
    </w:pPr>
  </w:style>
  <w:style w:type="paragraph" w:customStyle="1" w:styleId="Sous-paragraphe">
    <w:name w:val="Sous-paragraphe"/>
    <w:basedOn w:val="Normal"/>
    <w:qFormat/>
    <w:pPr>
      <w:widowControl w:val="0"/>
      <w:numPr>
        <w:ilvl w:val="1"/>
        <w:numId w:val="18"/>
      </w:numPr>
      <w:spacing w:after="120"/>
      <w:jc w:val="both"/>
    </w:pPr>
    <w:rPr>
      <w:kern w:val="28"/>
    </w:rPr>
  </w:style>
  <w:style w:type="paragraph" w:customStyle="1" w:styleId="zSoquijdatNomProcureurDem">
    <w:name w:val="zSoquij_datNomProcureurDem"/>
    <w:basedOn w:val="zSoquijlblProcureurDem"/>
    <w:pPr>
      <w:keepNext/>
    </w:pPr>
  </w:style>
  <w:style w:type="paragraph" w:customStyle="1" w:styleId="zSoquijdatNomProcureurDef">
    <w:name w:val="zSoquij_datNomProcureurDef"/>
    <w:basedOn w:val="zSoquijlblProcureurDef"/>
    <w:pPr>
      <w:keepNext/>
    </w:pPr>
  </w:style>
  <w:style w:type="paragraph" w:customStyle="1" w:styleId="zSoquijdatCabinetProcureurDem">
    <w:name w:val="zSoquij_datCabinetProcureurDem"/>
    <w:basedOn w:val="Normal"/>
    <w:pPr>
      <w:keepNext/>
    </w:pPr>
  </w:style>
  <w:style w:type="paragraph" w:customStyle="1" w:styleId="zSoquijdatCabinetProcureurDef">
    <w:name w:val="zSoquij_datCabinetProcureurDef"/>
    <w:basedOn w:val="zSoquijlblProcureurDef"/>
    <w:pPr>
      <w:keepNext/>
    </w:pPr>
  </w:style>
  <w:style w:type="paragraph" w:styleId="En-tte">
    <w:name w:val="header"/>
    <w:basedOn w:val="Normal"/>
    <w:semiHidden/>
    <w:pPr>
      <w:tabs>
        <w:tab w:val="center" w:pos="4320"/>
        <w:tab w:val="right" w:pos="8640"/>
      </w:tabs>
    </w:pPr>
  </w:style>
  <w:style w:type="paragraph" w:styleId="Pieddepage">
    <w:name w:val="footer"/>
    <w:basedOn w:val="Normal"/>
    <w:semiHidden/>
    <w:pPr>
      <w:tabs>
        <w:tab w:val="center" w:pos="4320"/>
        <w:tab w:val="right" w:pos="8640"/>
      </w:tabs>
    </w:pPr>
  </w:style>
  <w:style w:type="paragraph" w:customStyle="1" w:styleId="Tableaudroiteanglais">
    <w:name w:val="Tableau droite anglais"/>
    <w:basedOn w:val="Tableaugauchefranais"/>
    <w:pPr>
      <w:ind w:left="144" w:right="720"/>
      <w:jc w:val="both"/>
    </w:pPr>
    <w:rPr>
      <w:lang w:val="en-CA"/>
    </w:rPr>
  </w:style>
  <w:style w:type="paragraph" w:customStyle="1" w:styleId="Tableaugauchefranais">
    <w:name w:val="Tableau gauche français"/>
    <w:basedOn w:val="Normal"/>
    <w:pPr>
      <w:ind w:left="720" w:right="144"/>
    </w:pPr>
    <w:rPr>
      <w:sz w:val="22"/>
    </w:rPr>
  </w:style>
  <w:style w:type="character" w:styleId="Appelnotedebasdep">
    <w:name w:val="footnote reference"/>
    <w:qFormat/>
    <w:rPr>
      <w:noProof w:val="0"/>
      <w:vertAlign w:val="superscript"/>
      <w:lang w:val="fr-CA"/>
    </w:rPr>
  </w:style>
  <w:style w:type="paragraph" w:styleId="Corpsdetexte3">
    <w:name w:val="Body Text 3"/>
    <w:basedOn w:val="Normal"/>
    <w:semiHidden/>
    <w:pPr>
      <w:spacing w:after="120"/>
    </w:pPr>
    <w:rPr>
      <w:sz w:val="16"/>
    </w:rPr>
  </w:style>
  <w:style w:type="paragraph" w:customStyle="1" w:styleId="zSoquijdatRepertorie">
    <w:name w:val="zSoquij_datRepertorie"/>
    <w:basedOn w:val="zSoquijlblCour"/>
    <w:pPr>
      <w:spacing w:line="240" w:lineRule="auto"/>
      <w:jc w:val="left"/>
    </w:pPr>
    <w:rPr>
      <w:sz w:val="22"/>
    </w:rPr>
  </w:style>
  <w:style w:type="paragraph" w:customStyle="1" w:styleId="zSoquijdatRefNeutre">
    <w:name w:val="zSoquij_datRefNeutre"/>
    <w:basedOn w:val="zSoquijlblCour"/>
    <w:pPr>
      <w:spacing w:line="240" w:lineRule="auto"/>
      <w:jc w:val="left"/>
    </w:pPr>
    <w:rPr>
      <w:sz w:val="22"/>
    </w:rPr>
  </w:style>
  <w:style w:type="table" w:styleId="Grilledutableau">
    <w:name w:val="Table Grid"/>
    <w:basedOn w:val="TableauNormal"/>
    <w:uiPriority w:val="39"/>
    <w:rsid w:val="00E20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23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3239"/>
    <w:rPr>
      <w:rFonts w:ascii="Segoe UI" w:hAnsi="Segoe UI" w:cs="Segoe UI"/>
      <w:sz w:val="18"/>
      <w:szCs w:val="18"/>
      <w:lang w:eastAsia="fr-FR"/>
    </w:rPr>
  </w:style>
  <w:style w:type="character" w:customStyle="1" w:styleId="NotedebasdepageCar">
    <w:name w:val="Note de bas de page Car"/>
    <w:basedOn w:val="Policepardfaut"/>
    <w:link w:val="Notedebasdepage"/>
    <w:rsid w:val="00D40B76"/>
    <w:rPr>
      <w:rFonts w:ascii="Arial" w:hAnsi="Arial"/>
      <w:lang w:eastAsia="fr-FR"/>
    </w:rPr>
  </w:style>
  <w:style w:type="character" w:customStyle="1" w:styleId="ParagrapheCar">
    <w:name w:val="Paragraphe Car"/>
    <w:link w:val="Paragraphe"/>
    <w:qFormat/>
    <w:rsid w:val="00D40B76"/>
    <w:rPr>
      <w:rFonts w:ascii="Arial" w:hAnsi="Arial"/>
      <w:kern w:val="28"/>
      <w:sz w:val="24"/>
      <w:lang w:eastAsia="fr-FR"/>
    </w:rPr>
  </w:style>
  <w:style w:type="character" w:customStyle="1" w:styleId="CitationenretraitCar">
    <w:name w:val="Citation en retrait Car"/>
    <w:link w:val="Citationenretrait"/>
    <w:rsid w:val="00D40B76"/>
    <w:rPr>
      <w:rFonts w:ascii="Arial" w:hAnsi="Arial"/>
      <w:kern w:val="24"/>
      <w:sz w:val="22"/>
      <w:lang w:eastAsia="fr-FR"/>
    </w:rPr>
  </w:style>
  <w:style w:type="paragraph" w:styleId="Rvision">
    <w:name w:val="Revision"/>
    <w:hidden/>
    <w:uiPriority w:val="99"/>
    <w:semiHidden/>
    <w:rsid w:val="00E37F05"/>
    <w:rPr>
      <w:rFonts w:ascii="Arial" w:hAnsi="Arial"/>
      <w:sz w:val="24"/>
      <w:lang w:eastAsia="fr-FR"/>
    </w:rPr>
  </w:style>
  <w:style w:type="character" w:styleId="Marquedecommentaire">
    <w:name w:val="annotation reference"/>
    <w:basedOn w:val="Policepardfaut"/>
    <w:uiPriority w:val="99"/>
    <w:semiHidden/>
    <w:unhideWhenUsed/>
    <w:rsid w:val="00585DAF"/>
    <w:rPr>
      <w:sz w:val="16"/>
      <w:szCs w:val="16"/>
    </w:rPr>
  </w:style>
  <w:style w:type="paragraph" w:styleId="Commentaire">
    <w:name w:val="annotation text"/>
    <w:basedOn w:val="Normal"/>
    <w:link w:val="CommentaireCar"/>
    <w:uiPriority w:val="99"/>
    <w:unhideWhenUsed/>
    <w:rsid w:val="00585DAF"/>
    <w:pPr>
      <w:spacing w:line="240" w:lineRule="auto"/>
    </w:pPr>
    <w:rPr>
      <w:sz w:val="20"/>
    </w:rPr>
  </w:style>
  <w:style w:type="character" w:customStyle="1" w:styleId="CommentaireCar">
    <w:name w:val="Commentaire Car"/>
    <w:basedOn w:val="Policepardfaut"/>
    <w:link w:val="Commentaire"/>
    <w:uiPriority w:val="99"/>
    <w:rsid w:val="00585DAF"/>
    <w:rPr>
      <w:rFonts w:ascii="Arial" w:hAnsi="Arial"/>
      <w:lang w:eastAsia="fr-FR"/>
    </w:rPr>
  </w:style>
  <w:style w:type="paragraph" w:styleId="Objetducommentaire">
    <w:name w:val="annotation subject"/>
    <w:basedOn w:val="Commentaire"/>
    <w:next w:val="Commentaire"/>
    <w:link w:val="ObjetducommentaireCar"/>
    <w:uiPriority w:val="99"/>
    <w:semiHidden/>
    <w:unhideWhenUsed/>
    <w:rsid w:val="00585DAF"/>
    <w:rPr>
      <w:b/>
      <w:bCs/>
    </w:rPr>
  </w:style>
  <w:style w:type="character" w:customStyle="1" w:styleId="ObjetducommentaireCar">
    <w:name w:val="Objet du commentaire Car"/>
    <w:basedOn w:val="CommentaireCar"/>
    <w:link w:val="Objetducommentaire"/>
    <w:uiPriority w:val="99"/>
    <w:semiHidden/>
    <w:rsid w:val="00585DAF"/>
    <w:rPr>
      <w:rFonts w:ascii="Arial" w:hAnsi="Arial"/>
      <w:b/>
      <w:bCs/>
      <w:lang w:eastAsia="fr-FR"/>
    </w:rPr>
  </w:style>
  <w:style w:type="character" w:styleId="Hyperlien">
    <w:name w:val="Hyperlink"/>
    <w:basedOn w:val="Policepardfaut"/>
    <w:uiPriority w:val="99"/>
    <w:unhideWhenUsed/>
    <w:rsid w:val="005D60F4"/>
    <w:rPr>
      <w:color w:val="0563C1" w:themeColor="hyperlink"/>
      <w:u w:val="single"/>
    </w:rPr>
  </w:style>
  <w:style w:type="character" w:customStyle="1" w:styleId="Mentionnonrsolue1">
    <w:name w:val="Mention non résolue1"/>
    <w:basedOn w:val="Policepardfaut"/>
    <w:uiPriority w:val="99"/>
    <w:semiHidden/>
    <w:unhideWhenUsed/>
    <w:rsid w:val="005D6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8A525-8000-4EBF-92DB-64B5AB8A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2168</Words>
  <Characters>11927</Characters>
  <Application>Microsoft Office Word</Application>
  <DocSecurity>0</DocSecurity>
  <Lines>99</Lines>
  <Paragraphs>28</Paragraphs>
  <ScaleCrop>false</ScaleCrop>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Paillé, Pryscilla</cp:lastModifiedBy>
  <cp:revision>3</cp:revision>
  <dcterms:created xsi:type="dcterms:W3CDTF">2026-09-14T11:21:00Z</dcterms:created>
  <dcterms:modified xsi:type="dcterms:W3CDTF">2026-09-14T11:21:00Z</dcterms:modified>
</cp:coreProperties>
</file>