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BAB7" w14:textId="77777777" w:rsidR="00213DFC" w:rsidRPr="00BF35B6" w:rsidRDefault="00213DFC" w:rsidP="006F7E56">
      <w:pPr>
        <w:spacing w:after="100" w:afterAutospacing="1"/>
        <w:ind w:left="703" w:hanging="703"/>
        <w:rPr>
          <w:rFonts w:cs="Arial"/>
          <w:szCs w:val="24"/>
          <w:lang w:val="en-CA"/>
        </w:rPr>
      </w:pPr>
      <w:r w:rsidRPr="00BF35B6">
        <w:rPr>
          <w:rFonts w:cs="Arial"/>
          <w:b/>
          <w:szCs w:val="24"/>
          <w:lang w:val="en-CA"/>
        </w:rPr>
        <w:t>English translation of the judgment of the Court by SOQUIJ</w:t>
      </w:r>
    </w:p>
    <w:p w14:paraId="75939D0F" w14:textId="77777777" w:rsidR="00213DFC" w:rsidRPr="006F7E56" w:rsidRDefault="00213DFC">
      <w:pPr>
        <w:rPr>
          <w:lang w:val="en-CA"/>
        </w:rPr>
      </w:pPr>
    </w:p>
    <w:tbl>
      <w:tblPr>
        <w:tblW w:w="9360" w:type="dxa"/>
        <w:tblLayout w:type="fixed"/>
        <w:tblCellMar>
          <w:left w:w="0" w:type="dxa"/>
          <w:right w:w="0" w:type="dxa"/>
        </w:tblCellMar>
        <w:tblLook w:val="0000" w:firstRow="0" w:lastRow="0" w:firstColumn="0" w:lastColumn="0" w:noHBand="0" w:noVBand="0"/>
      </w:tblPr>
      <w:tblGrid>
        <w:gridCol w:w="1030"/>
        <w:gridCol w:w="246"/>
        <w:gridCol w:w="2694"/>
        <w:gridCol w:w="3402"/>
        <w:gridCol w:w="1988"/>
      </w:tblGrid>
      <w:tr w:rsidR="00DD634F" w:rsidRPr="00A81CD3" w14:paraId="4F7373A8" w14:textId="77777777" w:rsidTr="008D18FC">
        <w:trPr>
          <w:trHeight w:val="248"/>
        </w:trPr>
        <w:tc>
          <w:tcPr>
            <w:tcW w:w="7372" w:type="dxa"/>
            <w:gridSpan w:val="4"/>
          </w:tcPr>
          <w:p w14:paraId="4F7373A6" w14:textId="6463B1C9" w:rsidR="008F364A" w:rsidRPr="00A81CD3" w:rsidRDefault="00EF1AF1" w:rsidP="002C5C76">
            <w:pPr>
              <w:pStyle w:val="zSoquijdatRepertorie"/>
              <w:rPr>
                <w:rFonts w:cs="Arial"/>
                <w:lang w:val="en-CA"/>
              </w:rPr>
            </w:pPr>
            <w:r w:rsidRPr="00A81CD3">
              <w:rPr>
                <w:rFonts w:cs="Arial"/>
                <w:bCs/>
                <w:lang w:val="en-CA"/>
              </w:rPr>
              <w:t xml:space="preserve">Woods </w:t>
            </w:r>
            <w:r w:rsidR="00213DFC">
              <w:rPr>
                <w:rFonts w:cs="Arial"/>
                <w:bCs/>
                <w:lang w:val="en-CA"/>
              </w:rPr>
              <w:t>c</w:t>
            </w:r>
            <w:r w:rsidRPr="00A81CD3">
              <w:rPr>
                <w:rFonts w:cs="Arial"/>
                <w:bCs/>
                <w:lang w:val="en-CA"/>
              </w:rPr>
              <w:t>. R.</w:t>
            </w:r>
          </w:p>
        </w:tc>
        <w:tc>
          <w:tcPr>
            <w:tcW w:w="1988" w:type="dxa"/>
          </w:tcPr>
          <w:p w14:paraId="4F7373A7" w14:textId="77777777" w:rsidR="008F364A" w:rsidRPr="00A81CD3" w:rsidRDefault="00EF1AF1" w:rsidP="00A96EA4">
            <w:pPr>
              <w:pStyle w:val="zSoquijdatRefNeutre"/>
              <w:jc w:val="right"/>
              <w:rPr>
                <w:rFonts w:cs="Arial"/>
                <w:lang w:val="en-CA"/>
              </w:rPr>
            </w:pPr>
            <w:r w:rsidRPr="00A81CD3">
              <w:rPr>
                <w:rFonts w:cs="Arial"/>
                <w:bCs/>
                <w:lang w:val="en-CA"/>
              </w:rPr>
              <w:t>2025 QCCA 943</w:t>
            </w:r>
          </w:p>
        </w:tc>
      </w:tr>
      <w:tr w:rsidR="00DD634F" w:rsidRPr="00A81CD3" w14:paraId="4F7373AA" w14:textId="77777777" w:rsidTr="008D18FC">
        <w:trPr>
          <w:trHeight w:val="247"/>
        </w:trPr>
        <w:tc>
          <w:tcPr>
            <w:tcW w:w="9360" w:type="dxa"/>
            <w:gridSpan w:val="5"/>
          </w:tcPr>
          <w:p w14:paraId="4F7373A9" w14:textId="77777777" w:rsidR="008F364A" w:rsidRPr="00A81CD3" w:rsidRDefault="00EF1AF1">
            <w:pPr>
              <w:pStyle w:val="zSoquijlblCour"/>
              <w:rPr>
                <w:lang w:val="en-CA"/>
              </w:rPr>
            </w:pPr>
            <w:r w:rsidRPr="00A81CD3">
              <w:rPr>
                <w:bCs/>
                <w:lang w:val="en-CA"/>
              </w:rPr>
              <w:t>COURT OF APPEAL</w:t>
            </w:r>
          </w:p>
        </w:tc>
      </w:tr>
      <w:tr w:rsidR="00DD634F" w:rsidRPr="00A81CD3" w14:paraId="4F7373AC" w14:textId="77777777" w:rsidTr="008D18FC">
        <w:trPr>
          <w:trHeight w:val="540"/>
        </w:trPr>
        <w:tc>
          <w:tcPr>
            <w:tcW w:w="9360" w:type="dxa"/>
            <w:gridSpan w:val="5"/>
          </w:tcPr>
          <w:p w14:paraId="4F7373AB" w14:textId="77777777" w:rsidR="008F364A" w:rsidRPr="00A81CD3" w:rsidRDefault="008F364A">
            <w:pPr>
              <w:pStyle w:val="zSoquijdatDivision"/>
              <w:rPr>
                <w:lang w:val="en-CA"/>
              </w:rPr>
            </w:pPr>
          </w:p>
        </w:tc>
      </w:tr>
      <w:tr w:rsidR="00DD634F" w:rsidRPr="00A81CD3" w14:paraId="4F7373AE" w14:textId="77777777" w:rsidTr="008D18FC">
        <w:tc>
          <w:tcPr>
            <w:tcW w:w="9360" w:type="dxa"/>
            <w:gridSpan w:val="5"/>
          </w:tcPr>
          <w:p w14:paraId="4F7373AD" w14:textId="77777777" w:rsidR="008F364A" w:rsidRPr="00A81CD3" w:rsidRDefault="00EF1AF1">
            <w:pPr>
              <w:pStyle w:val="zSoquijlblPays"/>
              <w:rPr>
                <w:lang w:val="en-CA"/>
              </w:rPr>
            </w:pPr>
            <w:r w:rsidRPr="00A81CD3">
              <w:rPr>
                <w:lang w:val="en-CA"/>
              </w:rPr>
              <w:t>CANADA</w:t>
            </w:r>
          </w:p>
        </w:tc>
      </w:tr>
      <w:tr w:rsidR="00DD634F" w:rsidRPr="00A81CD3" w14:paraId="4F7373B0" w14:textId="77777777" w:rsidTr="008D18FC">
        <w:tc>
          <w:tcPr>
            <w:tcW w:w="9360" w:type="dxa"/>
            <w:gridSpan w:val="5"/>
          </w:tcPr>
          <w:p w14:paraId="4F7373AF" w14:textId="77777777" w:rsidR="008F364A" w:rsidRPr="00A81CD3" w:rsidRDefault="00EF1AF1">
            <w:pPr>
              <w:pStyle w:val="zSoquijlblProvince"/>
              <w:rPr>
                <w:lang w:val="en-CA"/>
              </w:rPr>
            </w:pPr>
            <w:r w:rsidRPr="00A81CD3">
              <w:rPr>
                <w:lang w:val="en-CA"/>
              </w:rPr>
              <w:t>PROVINCE OF QUEBEC</w:t>
            </w:r>
          </w:p>
        </w:tc>
      </w:tr>
      <w:tr w:rsidR="00DD634F" w:rsidRPr="00A81CD3" w14:paraId="4F7373B3" w14:textId="77777777" w:rsidTr="00B711D2">
        <w:tc>
          <w:tcPr>
            <w:tcW w:w="9360" w:type="dxa"/>
            <w:gridSpan w:val="5"/>
          </w:tcPr>
          <w:p w14:paraId="4F7373B1" w14:textId="77777777" w:rsidR="0005187F" w:rsidRPr="00A81CD3" w:rsidRDefault="00EF1AF1" w:rsidP="0005187F">
            <w:pPr>
              <w:pStyle w:val="zSoquijlblGreffe"/>
              <w:rPr>
                <w:lang w:val="en-CA"/>
              </w:rPr>
            </w:pPr>
            <w:r w:rsidRPr="00A81CD3">
              <w:rPr>
                <w:lang w:val="en-CA"/>
              </w:rPr>
              <w:t xml:space="preserve">MONTREAL </w:t>
            </w:r>
            <w:bookmarkStart w:id="0" w:name="NomGreffe"/>
            <w:r w:rsidRPr="00A81CD3">
              <w:rPr>
                <w:lang w:val="en-CA"/>
              </w:rPr>
              <w:t>SEAT</w:t>
            </w:r>
            <w:bookmarkEnd w:id="0"/>
          </w:p>
          <w:p w14:paraId="4F7373B2" w14:textId="77777777" w:rsidR="0005187F" w:rsidRPr="00A81CD3" w:rsidRDefault="0005187F" w:rsidP="0005187F">
            <w:pPr>
              <w:pStyle w:val="zSoquijlblGreffe"/>
              <w:rPr>
                <w:lang w:val="en-CA"/>
              </w:rPr>
            </w:pPr>
          </w:p>
        </w:tc>
      </w:tr>
      <w:tr w:rsidR="00DD634F" w:rsidRPr="00A81CD3" w14:paraId="4F7373B6" w14:textId="77777777" w:rsidTr="008D18FC">
        <w:tc>
          <w:tcPr>
            <w:tcW w:w="1030" w:type="dxa"/>
          </w:tcPr>
          <w:p w14:paraId="4F7373B4" w14:textId="77777777" w:rsidR="008F364A" w:rsidRPr="00A81CD3" w:rsidRDefault="00EF1AF1">
            <w:pPr>
              <w:pStyle w:val="zSoquijlblNoDossier"/>
              <w:rPr>
                <w:lang w:val="en-CA"/>
              </w:rPr>
            </w:pPr>
            <w:r w:rsidRPr="00A81CD3">
              <w:rPr>
                <w:lang w:val="en-CA"/>
              </w:rPr>
              <w:t>No.:</w:t>
            </w:r>
          </w:p>
        </w:tc>
        <w:tc>
          <w:tcPr>
            <w:tcW w:w="8330" w:type="dxa"/>
            <w:gridSpan w:val="4"/>
          </w:tcPr>
          <w:p w14:paraId="4F7373B5" w14:textId="77777777" w:rsidR="008F364A" w:rsidRPr="00A81CD3" w:rsidRDefault="00EF1AF1">
            <w:pPr>
              <w:pStyle w:val="zSoquijdatNoDossier"/>
              <w:rPr>
                <w:lang w:val="en-CA"/>
              </w:rPr>
            </w:pPr>
            <w:r w:rsidRPr="00A81CD3">
              <w:rPr>
                <w:lang w:val="en-CA"/>
              </w:rPr>
              <w:t>500-10-007795-220</w:t>
            </w:r>
          </w:p>
        </w:tc>
      </w:tr>
      <w:tr w:rsidR="00DD634F" w:rsidRPr="00A81CD3" w14:paraId="4F7373B8" w14:textId="77777777" w:rsidTr="008D18FC">
        <w:tc>
          <w:tcPr>
            <w:tcW w:w="9360" w:type="dxa"/>
            <w:gridSpan w:val="5"/>
          </w:tcPr>
          <w:p w14:paraId="4F7373B7" w14:textId="1E0CF918" w:rsidR="009B219A" w:rsidRPr="00A81CD3" w:rsidRDefault="00EF1AF1" w:rsidP="009B219A">
            <w:pPr>
              <w:pStyle w:val="zSoquijdatNoDossierAnt"/>
              <w:rPr>
                <w:lang w:val="en-CA"/>
              </w:rPr>
            </w:pPr>
            <w:r w:rsidRPr="00A81CD3">
              <w:rPr>
                <w:lang w:val="en-CA"/>
              </w:rPr>
              <w:t>(550-01-111188-191 S</w:t>
            </w:r>
            <w:r w:rsidR="00732565" w:rsidRPr="00A81CD3">
              <w:rPr>
                <w:lang w:val="en-CA"/>
              </w:rPr>
              <w:t>E</w:t>
            </w:r>
            <w:r w:rsidRPr="00A81CD3">
              <w:rPr>
                <w:lang w:val="en-CA"/>
              </w:rPr>
              <w:t>Q.002)</w:t>
            </w:r>
          </w:p>
        </w:tc>
      </w:tr>
      <w:tr w:rsidR="00DD634F" w:rsidRPr="00A81CD3" w14:paraId="4F7373BA" w14:textId="77777777" w:rsidTr="008D18FC">
        <w:tc>
          <w:tcPr>
            <w:tcW w:w="9360" w:type="dxa"/>
            <w:gridSpan w:val="5"/>
          </w:tcPr>
          <w:p w14:paraId="4F7373B9" w14:textId="77777777" w:rsidR="008F364A" w:rsidRPr="00A81CD3" w:rsidRDefault="008F364A">
            <w:pPr>
              <w:rPr>
                <w:lang w:val="en-CA"/>
              </w:rPr>
            </w:pPr>
          </w:p>
        </w:tc>
      </w:tr>
      <w:tr w:rsidR="00DD634F" w:rsidRPr="00A81CD3" w14:paraId="4F7373BD" w14:textId="77777777" w:rsidTr="008D18FC">
        <w:tc>
          <w:tcPr>
            <w:tcW w:w="1030" w:type="dxa"/>
          </w:tcPr>
          <w:p w14:paraId="4F7373BB" w14:textId="77777777" w:rsidR="008F364A" w:rsidRPr="00A81CD3" w:rsidRDefault="00EF1AF1">
            <w:pPr>
              <w:pStyle w:val="zSoquijlblDateJugement"/>
              <w:rPr>
                <w:lang w:val="en-CA"/>
              </w:rPr>
            </w:pPr>
            <w:r w:rsidRPr="00A81CD3">
              <w:rPr>
                <w:lang w:val="en-CA"/>
              </w:rPr>
              <w:t>DATE:</w:t>
            </w:r>
          </w:p>
        </w:tc>
        <w:tc>
          <w:tcPr>
            <w:tcW w:w="8330" w:type="dxa"/>
            <w:gridSpan w:val="4"/>
          </w:tcPr>
          <w:p w14:paraId="4F7373BC" w14:textId="77777777" w:rsidR="008F364A" w:rsidRPr="00A81CD3" w:rsidRDefault="00EF1AF1">
            <w:pPr>
              <w:pStyle w:val="zSoquijdatDateJugement"/>
              <w:rPr>
                <w:lang w:val="en-CA"/>
              </w:rPr>
            </w:pPr>
            <w:r w:rsidRPr="00A81CD3">
              <w:rPr>
                <w:lang w:val="en-CA"/>
              </w:rPr>
              <w:t>July 30, 2025</w:t>
            </w:r>
          </w:p>
        </w:tc>
      </w:tr>
      <w:tr w:rsidR="00DD634F" w:rsidRPr="00A81CD3" w14:paraId="4F7373BF" w14:textId="77777777" w:rsidTr="008D18FC">
        <w:tc>
          <w:tcPr>
            <w:tcW w:w="9360" w:type="dxa"/>
            <w:gridSpan w:val="5"/>
            <w:tcBorders>
              <w:bottom w:val="single" w:sz="8" w:space="0" w:color="auto"/>
            </w:tcBorders>
          </w:tcPr>
          <w:p w14:paraId="4F7373BE" w14:textId="77777777" w:rsidR="008F364A" w:rsidRPr="00A81CD3" w:rsidRDefault="008F364A">
            <w:pPr>
              <w:rPr>
                <w:lang w:val="en-CA"/>
              </w:rPr>
            </w:pPr>
          </w:p>
        </w:tc>
      </w:tr>
      <w:tr w:rsidR="00DD634F" w:rsidRPr="00A81CD3" w14:paraId="4F7373C1" w14:textId="77777777" w:rsidTr="008D18FC">
        <w:tc>
          <w:tcPr>
            <w:tcW w:w="9360" w:type="dxa"/>
            <w:gridSpan w:val="5"/>
            <w:tcBorders>
              <w:top w:val="single" w:sz="8" w:space="0" w:color="auto"/>
            </w:tcBorders>
          </w:tcPr>
          <w:p w14:paraId="4F7373C0" w14:textId="77777777" w:rsidR="008F364A" w:rsidRPr="00A81CD3" w:rsidRDefault="008F364A">
            <w:pPr>
              <w:rPr>
                <w:lang w:val="en-CA"/>
              </w:rPr>
            </w:pPr>
          </w:p>
        </w:tc>
      </w:tr>
      <w:tr w:rsidR="00DD634F" w:rsidRPr="00A81CD3" w14:paraId="4F7373C7" w14:textId="77777777" w:rsidTr="003F77B0">
        <w:tc>
          <w:tcPr>
            <w:tcW w:w="1276" w:type="dxa"/>
            <w:gridSpan w:val="2"/>
          </w:tcPr>
          <w:p w14:paraId="4F7373C2" w14:textId="77777777" w:rsidR="008F364A" w:rsidRPr="00A81CD3" w:rsidRDefault="00EF1AF1" w:rsidP="00423DF1">
            <w:pPr>
              <w:pStyle w:val="zSoquijlblJuge"/>
              <w:ind w:right="-142"/>
              <w:rPr>
                <w:lang w:val="en-CA"/>
              </w:rPr>
            </w:pPr>
            <w:bookmarkStart w:id="1" w:name="FORMATION"/>
            <w:r w:rsidRPr="00A81CD3">
              <w:rPr>
                <w:bCs/>
                <w:lang w:val="en-CA"/>
              </w:rPr>
              <w:t>CORAM:</w:t>
            </w:r>
            <w:bookmarkEnd w:id="1"/>
          </w:p>
        </w:tc>
        <w:tc>
          <w:tcPr>
            <w:tcW w:w="2694" w:type="dxa"/>
          </w:tcPr>
          <w:p w14:paraId="4F7373C3" w14:textId="77777777" w:rsidR="008F364A" w:rsidRPr="00A81CD3" w:rsidRDefault="00EF1AF1">
            <w:pPr>
              <w:pStyle w:val="zSoquijdatQteJuge"/>
              <w:rPr>
                <w:lang w:val="en-CA"/>
              </w:rPr>
            </w:pPr>
            <w:bookmarkStart w:id="2" w:name="Honorables"/>
            <w:r w:rsidRPr="00A81CD3">
              <w:rPr>
                <w:bCs/>
                <w:lang w:val="en-CA"/>
              </w:rPr>
              <w:t>THE HONOURABLE</w:t>
            </w:r>
            <w:bookmarkEnd w:id="2"/>
          </w:p>
        </w:tc>
        <w:tc>
          <w:tcPr>
            <w:tcW w:w="5390" w:type="dxa"/>
            <w:gridSpan w:val="2"/>
          </w:tcPr>
          <w:p w14:paraId="4F7373C4" w14:textId="77777777" w:rsidR="008F364A" w:rsidRPr="006F7E56" w:rsidRDefault="00EF1AF1">
            <w:pPr>
              <w:pStyle w:val="zSoquijdatJuge"/>
            </w:pPr>
            <w:bookmarkStart w:id="3" w:name="NomJuge1"/>
            <w:r w:rsidRPr="006F7E56">
              <w:rPr>
                <w:bCs/>
              </w:rPr>
              <w:t>BENOÎT MOORE, J.A.</w:t>
            </w:r>
            <w:bookmarkEnd w:id="3"/>
          </w:p>
          <w:p w14:paraId="4F7373C5" w14:textId="77777777" w:rsidR="008F364A" w:rsidRPr="006F7E56" w:rsidRDefault="00EF1AF1">
            <w:pPr>
              <w:pStyle w:val="zSoquijdatJuge"/>
            </w:pPr>
            <w:bookmarkStart w:id="4" w:name="NomJuge2"/>
            <w:r w:rsidRPr="006F7E56">
              <w:rPr>
                <w:bCs/>
              </w:rPr>
              <w:t>CHRISTINE BAUDOUIN, J.A.</w:t>
            </w:r>
            <w:bookmarkEnd w:id="4"/>
          </w:p>
          <w:p w14:paraId="4F7373C6" w14:textId="77777777" w:rsidR="005A78BF" w:rsidRPr="00A81CD3" w:rsidRDefault="00EF1AF1" w:rsidP="009B219A">
            <w:pPr>
              <w:pStyle w:val="zSoquijdatJuge"/>
              <w:rPr>
                <w:lang w:val="en-CA"/>
              </w:rPr>
            </w:pPr>
            <w:bookmarkStart w:id="5" w:name="_Hlt520513784"/>
            <w:bookmarkStart w:id="6" w:name="NomJuge3"/>
            <w:bookmarkEnd w:id="5"/>
            <w:r w:rsidRPr="00A81CD3">
              <w:rPr>
                <w:bCs/>
                <w:lang w:val="en-CA"/>
              </w:rPr>
              <w:t>FRÉDÉRIC BACHAND, J.A.</w:t>
            </w:r>
            <w:bookmarkEnd w:id="6"/>
          </w:p>
        </w:tc>
      </w:tr>
      <w:tr w:rsidR="00DD634F" w:rsidRPr="00A81CD3" w14:paraId="4F7373C9" w14:textId="77777777" w:rsidTr="008D18FC">
        <w:tc>
          <w:tcPr>
            <w:tcW w:w="9360" w:type="dxa"/>
            <w:gridSpan w:val="5"/>
            <w:tcBorders>
              <w:bottom w:val="single" w:sz="8" w:space="0" w:color="auto"/>
            </w:tcBorders>
          </w:tcPr>
          <w:p w14:paraId="4F7373C8" w14:textId="77777777" w:rsidR="008F364A" w:rsidRPr="00A81CD3" w:rsidRDefault="008F364A">
            <w:pPr>
              <w:rPr>
                <w:lang w:val="en-CA"/>
              </w:rPr>
            </w:pPr>
          </w:p>
        </w:tc>
      </w:tr>
      <w:tr w:rsidR="00DD634F" w:rsidRPr="00A81CD3" w14:paraId="4F7373CB" w14:textId="77777777" w:rsidTr="008D18FC">
        <w:tc>
          <w:tcPr>
            <w:tcW w:w="9360" w:type="dxa"/>
            <w:gridSpan w:val="5"/>
          </w:tcPr>
          <w:p w14:paraId="4F7373CA" w14:textId="77777777" w:rsidR="008F364A" w:rsidRPr="00A81CD3" w:rsidRDefault="008F364A">
            <w:pPr>
              <w:pStyle w:val="zSoquijlblTitrePartie"/>
              <w:rPr>
                <w:lang w:val="en-CA"/>
              </w:rPr>
            </w:pPr>
          </w:p>
        </w:tc>
      </w:tr>
      <w:tr w:rsidR="00DD634F" w:rsidRPr="00A81CD3" w14:paraId="4F7373CD" w14:textId="77777777" w:rsidTr="008D18FC">
        <w:tc>
          <w:tcPr>
            <w:tcW w:w="9360" w:type="dxa"/>
            <w:gridSpan w:val="5"/>
          </w:tcPr>
          <w:p w14:paraId="4F7373CC" w14:textId="77777777" w:rsidR="008F364A" w:rsidRPr="00A81CD3" w:rsidRDefault="00EF1AF1">
            <w:pPr>
              <w:pStyle w:val="zSoquijdatNomPartieDem"/>
              <w:rPr>
                <w:lang w:val="en-CA"/>
              </w:rPr>
            </w:pPr>
            <w:r w:rsidRPr="00A81CD3">
              <w:rPr>
                <w:lang w:val="en-CA"/>
              </w:rPr>
              <w:t>MARTIN WOODS</w:t>
            </w:r>
          </w:p>
        </w:tc>
      </w:tr>
      <w:tr w:rsidR="00DD634F" w:rsidRPr="00A81CD3" w14:paraId="4F7373CF" w14:textId="77777777" w:rsidTr="008D18FC">
        <w:tc>
          <w:tcPr>
            <w:tcW w:w="9360" w:type="dxa"/>
            <w:gridSpan w:val="5"/>
          </w:tcPr>
          <w:p w14:paraId="4F7373CE" w14:textId="18B67225" w:rsidR="008F364A" w:rsidRPr="00A81CD3" w:rsidRDefault="00EF1AF1">
            <w:pPr>
              <w:pStyle w:val="zSoquijdatQtePartieDem"/>
              <w:rPr>
                <w:lang w:val="en-CA"/>
              </w:rPr>
            </w:pPr>
            <w:r w:rsidRPr="00A81CD3">
              <w:rPr>
                <w:lang w:val="en-CA"/>
              </w:rPr>
              <w:t xml:space="preserve">APPELLANT – </w:t>
            </w:r>
            <w:r w:rsidR="00213DFC">
              <w:rPr>
                <w:lang w:val="en-CA"/>
              </w:rPr>
              <w:t>a</w:t>
            </w:r>
            <w:r w:rsidRPr="00A81CD3">
              <w:rPr>
                <w:lang w:val="en-CA"/>
              </w:rPr>
              <w:t>ccused</w:t>
            </w:r>
          </w:p>
        </w:tc>
      </w:tr>
      <w:tr w:rsidR="00DD634F" w:rsidRPr="00A81CD3" w14:paraId="4F7373D1" w14:textId="77777777" w:rsidTr="008D18FC">
        <w:tc>
          <w:tcPr>
            <w:tcW w:w="9360" w:type="dxa"/>
            <w:gridSpan w:val="5"/>
          </w:tcPr>
          <w:p w14:paraId="4F7373D0" w14:textId="77777777" w:rsidR="008F364A" w:rsidRPr="00A81CD3" w:rsidRDefault="00EF1AF1">
            <w:pPr>
              <w:pStyle w:val="zSoquijlblLienParties"/>
              <w:rPr>
                <w:lang w:val="en-CA"/>
              </w:rPr>
            </w:pPr>
            <w:r w:rsidRPr="00A81CD3">
              <w:rPr>
                <w:lang w:val="en-CA"/>
              </w:rPr>
              <w:t>v.</w:t>
            </w:r>
          </w:p>
        </w:tc>
      </w:tr>
      <w:tr w:rsidR="00DD634F" w:rsidRPr="00A81CD3" w14:paraId="4F7373D3" w14:textId="77777777" w:rsidTr="008D18FC">
        <w:tc>
          <w:tcPr>
            <w:tcW w:w="9360" w:type="dxa"/>
            <w:gridSpan w:val="5"/>
          </w:tcPr>
          <w:p w14:paraId="4F7373D2" w14:textId="77777777" w:rsidR="008F364A" w:rsidRPr="00A81CD3" w:rsidRDefault="008F364A">
            <w:pPr>
              <w:rPr>
                <w:lang w:val="en-CA"/>
              </w:rPr>
            </w:pPr>
          </w:p>
        </w:tc>
      </w:tr>
      <w:tr w:rsidR="00DD634F" w:rsidRPr="00A81CD3" w14:paraId="4F7373D5" w14:textId="77777777" w:rsidTr="008D18FC">
        <w:tc>
          <w:tcPr>
            <w:tcW w:w="9360" w:type="dxa"/>
            <w:gridSpan w:val="5"/>
          </w:tcPr>
          <w:p w14:paraId="4F7373D4" w14:textId="77777777" w:rsidR="008F364A" w:rsidRPr="00A81CD3" w:rsidRDefault="00EF1AF1">
            <w:pPr>
              <w:pStyle w:val="zSoquijdatNomPartieDef"/>
              <w:rPr>
                <w:lang w:val="en-CA"/>
              </w:rPr>
            </w:pPr>
            <w:r w:rsidRPr="00A81CD3">
              <w:rPr>
                <w:lang w:val="en-CA"/>
              </w:rPr>
              <w:t>HIS MAJESTY THE KING</w:t>
            </w:r>
          </w:p>
        </w:tc>
      </w:tr>
      <w:tr w:rsidR="00DD634F" w:rsidRPr="00A81CD3" w14:paraId="4F7373D7" w14:textId="77777777" w:rsidTr="008D18FC">
        <w:tc>
          <w:tcPr>
            <w:tcW w:w="9360" w:type="dxa"/>
            <w:gridSpan w:val="5"/>
          </w:tcPr>
          <w:p w14:paraId="4F7373D6" w14:textId="2A45B176" w:rsidR="008F364A" w:rsidRPr="00A81CD3" w:rsidRDefault="00EF1AF1">
            <w:pPr>
              <w:pStyle w:val="zSoquijdatQtePartieDef"/>
              <w:rPr>
                <w:lang w:val="en-CA"/>
              </w:rPr>
            </w:pPr>
            <w:r w:rsidRPr="00A81CD3">
              <w:rPr>
                <w:lang w:val="en-CA"/>
              </w:rPr>
              <w:t xml:space="preserve">RESPONDENT – </w:t>
            </w:r>
            <w:r w:rsidR="00213DFC">
              <w:rPr>
                <w:lang w:val="en-CA"/>
              </w:rPr>
              <w:t>p</w:t>
            </w:r>
            <w:r w:rsidRPr="00A81CD3">
              <w:rPr>
                <w:lang w:val="en-CA"/>
              </w:rPr>
              <w:t>rosecutor</w:t>
            </w:r>
          </w:p>
        </w:tc>
      </w:tr>
      <w:tr w:rsidR="00DD634F" w:rsidRPr="00A81CD3" w14:paraId="4F7373D9" w14:textId="77777777" w:rsidTr="008D18FC">
        <w:tc>
          <w:tcPr>
            <w:tcW w:w="9360" w:type="dxa"/>
            <w:gridSpan w:val="5"/>
          </w:tcPr>
          <w:p w14:paraId="4F7373D8" w14:textId="77777777" w:rsidR="008F364A" w:rsidRPr="00A81CD3" w:rsidRDefault="008F364A">
            <w:pPr>
              <w:rPr>
                <w:lang w:val="en-CA"/>
              </w:rPr>
            </w:pPr>
          </w:p>
        </w:tc>
      </w:tr>
      <w:tr w:rsidR="00DD634F" w:rsidRPr="00A81CD3" w14:paraId="4F7373DB" w14:textId="77777777" w:rsidTr="008D18FC">
        <w:tc>
          <w:tcPr>
            <w:tcW w:w="9360" w:type="dxa"/>
            <w:gridSpan w:val="5"/>
            <w:tcBorders>
              <w:top w:val="single" w:sz="8" w:space="0" w:color="auto"/>
            </w:tcBorders>
          </w:tcPr>
          <w:p w14:paraId="4F7373DA" w14:textId="77777777" w:rsidR="008F364A" w:rsidRPr="00A81CD3" w:rsidRDefault="008F364A">
            <w:pPr>
              <w:rPr>
                <w:lang w:val="en-CA"/>
              </w:rPr>
            </w:pPr>
            <w:bookmarkStart w:id="7" w:name="Arret"/>
          </w:p>
        </w:tc>
      </w:tr>
      <w:tr w:rsidR="00DD634F" w:rsidRPr="00A81CD3" w14:paraId="4F7373DD" w14:textId="77777777" w:rsidTr="008D18FC">
        <w:tc>
          <w:tcPr>
            <w:tcW w:w="9360" w:type="dxa"/>
            <w:gridSpan w:val="5"/>
          </w:tcPr>
          <w:p w14:paraId="4F7373DC" w14:textId="77777777" w:rsidR="008F364A" w:rsidRPr="00A81CD3" w:rsidRDefault="00EF1AF1">
            <w:pPr>
              <w:pStyle w:val="zSoquijlblTypeDocument"/>
              <w:rPr>
                <w:lang w:val="en-CA"/>
              </w:rPr>
            </w:pPr>
            <w:bookmarkStart w:id="8" w:name="TitreDocument"/>
            <w:r w:rsidRPr="00A81CD3">
              <w:rPr>
                <w:lang w:val="en-CA"/>
              </w:rPr>
              <w:t>JUDGMENT</w:t>
            </w:r>
            <w:bookmarkEnd w:id="8"/>
          </w:p>
        </w:tc>
      </w:tr>
      <w:tr w:rsidR="00DD634F" w:rsidRPr="00A81CD3" w14:paraId="4F7373DF" w14:textId="77777777" w:rsidTr="008D18FC">
        <w:tc>
          <w:tcPr>
            <w:tcW w:w="9360" w:type="dxa"/>
            <w:gridSpan w:val="5"/>
            <w:tcBorders>
              <w:bottom w:val="single" w:sz="8" w:space="0" w:color="auto"/>
            </w:tcBorders>
          </w:tcPr>
          <w:p w14:paraId="4F7373DE" w14:textId="77777777" w:rsidR="008F364A" w:rsidRPr="00A81CD3" w:rsidRDefault="008F364A">
            <w:pPr>
              <w:rPr>
                <w:lang w:val="en-CA"/>
              </w:rPr>
            </w:pPr>
          </w:p>
        </w:tc>
      </w:tr>
      <w:tr w:rsidR="00DD634F" w:rsidRPr="00A81CD3" w14:paraId="4F7373E1" w14:textId="77777777" w:rsidTr="008D18FC">
        <w:tc>
          <w:tcPr>
            <w:tcW w:w="9360" w:type="dxa"/>
            <w:gridSpan w:val="5"/>
            <w:tcBorders>
              <w:top w:val="single" w:sz="8" w:space="0" w:color="auto"/>
            </w:tcBorders>
          </w:tcPr>
          <w:p w14:paraId="4F7373E0" w14:textId="77777777" w:rsidR="008F364A" w:rsidRPr="00A81CD3" w:rsidRDefault="008F364A">
            <w:pPr>
              <w:rPr>
                <w:lang w:val="en-CA"/>
              </w:rPr>
            </w:pPr>
          </w:p>
        </w:tc>
      </w:tr>
    </w:tbl>
    <w:p w14:paraId="4F7373E2" w14:textId="38A9AB9F" w:rsidR="00F62DE2" w:rsidRPr="00A81CD3" w:rsidRDefault="00EF1AF1" w:rsidP="00246755">
      <w:pPr>
        <w:pStyle w:val="Paragraphe"/>
        <w:numPr>
          <w:ilvl w:val="0"/>
          <w:numId w:val="1"/>
        </w:numPr>
        <w:spacing w:line="280" w:lineRule="exact"/>
        <w:rPr>
          <w:lang w:val="en-CA"/>
        </w:rPr>
      </w:pPr>
      <w:r w:rsidRPr="00A81CD3">
        <w:rPr>
          <w:lang w:val="en-CA"/>
        </w:rPr>
        <w:t xml:space="preserve">The appellant appeals </w:t>
      </w:r>
      <w:r w:rsidR="00213DFC">
        <w:rPr>
          <w:lang w:val="en-CA"/>
        </w:rPr>
        <w:t xml:space="preserve">from </w:t>
      </w:r>
      <w:r w:rsidRPr="00A81CD3">
        <w:rPr>
          <w:lang w:val="en-CA"/>
        </w:rPr>
        <w:t>a judgment of the Court of Qu</w:t>
      </w:r>
      <w:r w:rsidR="00213DFC">
        <w:rPr>
          <w:lang w:val="en-CA"/>
        </w:rPr>
        <w:t>é</w:t>
      </w:r>
      <w:r w:rsidRPr="00A81CD3">
        <w:rPr>
          <w:lang w:val="en-CA"/>
        </w:rPr>
        <w:t xml:space="preserve">bec, Criminal and Penal Division, District of Gatineau (the Honourable Rosemarie Millar), rendered on March 21, 2022, </w:t>
      </w:r>
      <w:r w:rsidR="00213DFC">
        <w:rPr>
          <w:lang w:val="en-CA"/>
        </w:rPr>
        <w:t>convicting</w:t>
      </w:r>
      <w:r w:rsidRPr="00A81CD3">
        <w:rPr>
          <w:lang w:val="en-CA"/>
        </w:rPr>
        <w:t xml:space="preserve"> him of possession of cocaine.</w:t>
      </w:r>
    </w:p>
    <w:p w14:paraId="4F7373E3" w14:textId="77777777" w:rsidR="00365C4D" w:rsidRPr="00A81CD3" w:rsidRDefault="00EF1AF1" w:rsidP="00246755">
      <w:pPr>
        <w:pStyle w:val="Paragraphe"/>
        <w:numPr>
          <w:ilvl w:val="0"/>
          <w:numId w:val="1"/>
        </w:numPr>
        <w:spacing w:line="280" w:lineRule="exact"/>
        <w:rPr>
          <w:lang w:val="en-CA"/>
        </w:rPr>
      </w:pPr>
      <w:r w:rsidRPr="00A81CD3">
        <w:rPr>
          <w:lang w:val="en-CA"/>
        </w:rPr>
        <w:t xml:space="preserve">For the reasons of Bachand, J.A., with which Moore and Baudouin, JJ.A. concur, </w:t>
      </w:r>
      <w:r w:rsidRPr="00A81CD3">
        <w:rPr>
          <w:b/>
          <w:bCs/>
          <w:lang w:val="en-CA"/>
        </w:rPr>
        <w:t>THE COURT</w:t>
      </w:r>
      <w:r w:rsidRPr="00A81CD3">
        <w:rPr>
          <w:lang w:val="en-CA"/>
        </w:rPr>
        <w:t>:</w:t>
      </w:r>
    </w:p>
    <w:p w14:paraId="4F7373E4" w14:textId="77777777" w:rsidR="008F364A" w:rsidRPr="00A81CD3" w:rsidRDefault="00EF1AF1" w:rsidP="00246755">
      <w:pPr>
        <w:pStyle w:val="Paragraphe"/>
        <w:numPr>
          <w:ilvl w:val="0"/>
          <w:numId w:val="1"/>
        </w:numPr>
        <w:spacing w:line="280" w:lineRule="exact"/>
        <w:rPr>
          <w:lang w:val="en-CA"/>
        </w:rPr>
      </w:pPr>
      <w:r w:rsidRPr="00A81CD3">
        <w:rPr>
          <w:b/>
          <w:bCs/>
          <w:lang w:val="en-CA"/>
        </w:rPr>
        <w:t>DISMISSES</w:t>
      </w:r>
      <w:r w:rsidRPr="00A81CD3">
        <w:rPr>
          <w:lang w:val="en-CA"/>
        </w:rPr>
        <w:t xml:space="preserve"> the appeal.</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4682"/>
        <w:gridCol w:w="4680"/>
      </w:tblGrid>
      <w:tr w:rsidR="00DD634F" w:rsidRPr="00A81CD3" w14:paraId="4F7373E6" w14:textId="77777777" w:rsidTr="00C331EA">
        <w:trPr>
          <w:trHeight w:val="284"/>
        </w:trPr>
        <w:tc>
          <w:tcPr>
            <w:tcW w:w="9362" w:type="dxa"/>
            <w:gridSpan w:val="2"/>
            <w:tcBorders>
              <w:top w:val="nil"/>
              <w:bottom w:val="nil"/>
            </w:tcBorders>
          </w:tcPr>
          <w:p w14:paraId="4F7373E5" w14:textId="77777777" w:rsidR="008F364A" w:rsidRPr="00A81CD3" w:rsidRDefault="008F364A">
            <w:pPr>
              <w:keepNext/>
              <w:rPr>
                <w:lang w:val="en-CA"/>
              </w:rPr>
            </w:pPr>
          </w:p>
        </w:tc>
      </w:tr>
      <w:tr w:rsidR="00DD634F" w:rsidRPr="00A81CD3" w14:paraId="4F7373E9" w14:textId="77777777" w:rsidTr="00117914">
        <w:trPr>
          <w:trHeight w:val="283"/>
        </w:trPr>
        <w:tc>
          <w:tcPr>
            <w:tcW w:w="4682" w:type="dxa"/>
            <w:tcBorders>
              <w:top w:val="nil"/>
              <w:bottom w:val="nil"/>
            </w:tcBorders>
          </w:tcPr>
          <w:p w14:paraId="4F7373E7" w14:textId="77777777" w:rsidR="008F364A" w:rsidRPr="00A81CD3" w:rsidRDefault="008F364A">
            <w:pPr>
              <w:keepNext/>
              <w:rPr>
                <w:lang w:val="en-CA"/>
              </w:rPr>
            </w:pPr>
          </w:p>
        </w:tc>
        <w:tc>
          <w:tcPr>
            <w:tcW w:w="4680" w:type="dxa"/>
            <w:tcBorders>
              <w:top w:val="nil"/>
              <w:bottom w:val="single" w:sz="8" w:space="0" w:color="auto"/>
            </w:tcBorders>
          </w:tcPr>
          <w:p w14:paraId="4F7373E8" w14:textId="77777777" w:rsidR="008F364A" w:rsidRPr="00A81CD3" w:rsidRDefault="008F364A">
            <w:pPr>
              <w:keepNext/>
              <w:rPr>
                <w:lang w:val="en-CA"/>
              </w:rPr>
            </w:pPr>
          </w:p>
        </w:tc>
      </w:tr>
      <w:tr w:rsidR="00DD634F" w:rsidRPr="00A81CD3" w14:paraId="4F7373EC" w14:textId="77777777" w:rsidTr="00117914">
        <w:trPr>
          <w:trHeight w:val="283"/>
        </w:trPr>
        <w:tc>
          <w:tcPr>
            <w:tcW w:w="4682" w:type="dxa"/>
            <w:tcBorders>
              <w:top w:val="nil"/>
            </w:tcBorders>
          </w:tcPr>
          <w:p w14:paraId="4F7373EA" w14:textId="77777777" w:rsidR="008F364A" w:rsidRPr="00A81CD3" w:rsidRDefault="008F364A">
            <w:pPr>
              <w:keepNext/>
              <w:rPr>
                <w:lang w:val="en-CA"/>
              </w:rPr>
            </w:pPr>
          </w:p>
        </w:tc>
        <w:tc>
          <w:tcPr>
            <w:tcW w:w="4680" w:type="dxa"/>
            <w:tcBorders>
              <w:top w:val="single" w:sz="8" w:space="0" w:color="auto"/>
            </w:tcBorders>
          </w:tcPr>
          <w:p w14:paraId="4F7373EB" w14:textId="77777777" w:rsidR="008F364A" w:rsidRPr="00A81CD3" w:rsidRDefault="00EF1AF1">
            <w:pPr>
              <w:rPr>
                <w:lang w:val="en-CA"/>
              </w:rPr>
            </w:pPr>
            <w:r w:rsidRPr="00A81CD3">
              <w:rPr>
                <w:lang w:val="en-CA"/>
              </w:rPr>
              <w:t>BENOÎT MOORE, J.A.</w:t>
            </w:r>
          </w:p>
        </w:tc>
      </w:tr>
      <w:tr w:rsidR="00DD634F" w:rsidRPr="00A81CD3" w14:paraId="4F7373EF" w14:textId="77777777" w:rsidTr="00117914">
        <w:trPr>
          <w:trHeight w:val="283"/>
        </w:trPr>
        <w:tc>
          <w:tcPr>
            <w:tcW w:w="4682" w:type="dxa"/>
            <w:tcBorders>
              <w:top w:val="nil"/>
            </w:tcBorders>
          </w:tcPr>
          <w:p w14:paraId="4F7373ED" w14:textId="77777777" w:rsidR="008F364A" w:rsidRPr="00A81CD3" w:rsidRDefault="008F364A">
            <w:pPr>
              <w:keepNext/>
              <w:rPr>
                <w:lang w:val="en-CA"/>
              </w:rPr>
            </w:pPr>
            <w:bookmarkStart w:id="9" w:name="Signature2"/>
          </w:p>
        </w:tc>
        <w:tc>
          <w:tcPr>
            <w:tcW w:w="4680" w:type="dxa"/>
            <w:tcBorders>
              <w:top w:val="nil"/>
            </w:tcBorders>
          </w:tcPr>
          <w:p w14:paraId="4F7373EE" w14:textId="77777777" w:rsidR="008F364A" w:rsidRPr="00A81CD3" w:rsidRDefault="008F364A">
            <w:pPr>
              <w:keepNext/>
              <w:rPr>
                <w:lang w:val="en-CA"/>
              </w:rPr>
            </w:pPr>
          </w:p>
        </w:tc>
      </w:tr>
      <w:tr w:rsidR="00DD634F" w:rsidRPr="00A81CD3" w14:paraId="4F7373F2" w14:textId="77777777" w:rsidTr="00117914">
        <w:trPr>
          <w:trHeight w:val="283"/>
        </w:trPr>
        <w:tc>
          <w:tcPr>
            <w:tcW w:w="4682" w:type="dxa"/>
            <w:tcBorders>
              <w:top w:val="nil"/>
              <w:bottom w:val="nil"/>
            </w:tcBorders>
          </w:tcPr>
          <w:p w14:paraId="4F7373F0" w14:textId="77777777" w:rsidR="008F364A" w:rsidRPr="00A81CD3" w:rsidRDefault="008F364A">
            <w:pPr>
              <w:keepNext/>
              <w:rPr>
                <w:lang w:val="en-CA"/>
              </w:rPr>
            </w:pPr>
          </w:p>
        </w:tc>
        <w:tc>
          <w:tcPr>
            <w:tcW w:w="4680" w:type="dxa"/>
            <w:tcBorders>
              <w:top w:val="nil"/>
              <w:bottom w:val="single" w:sz="8" w:space="0" w:color="auto"/>
            </w:tcBorders>
          </w:tcPr>
          <w:p w14:paraId="4F7373F1" w14:textId="77777777" w:rsidR="008F364A" w:rsidRPr="00A81CD3" w:rsidRDefault="008F364A">
            <w:pPr>
              <w:keepNext/>
              <w:rPr>
                <w:lang w:val="en-CA"/>
              </w:rPr>
            </w:pPr>
          </w:p>
        </w:tc>
      </w:tr>
      <w:tr w:rsidR="00DD634F" w:rsidRPr="00A81CD3" w14:paraId="4F7373F5" w14:textId="77777777" w:rsidTr="00117914">
        <w:trPr>
          <w:trHeight w:val="283"/>
        </w:trPr>
        <w:tc>
          <w:tcPr>
            <w:tcW w:w="4682" w:type="dxa"/>
            <w:tcBorders>
              <w:top w:val="nil"/>
            </w:tcBorders>
          </w:tcPr>
          <w:p w14:paraId="4F7373F3" w14:textId="77777777" w:rsidR="008F364A" w:rsidRPr="00A81CD3" w:rsidRDefault="008F364A">
            <w:pPr>
              <w:keepNext/>
              <w:rPr>
                <w:lang w:val="en-CA"/>
              </w:rPr>
            </w:pPr>
          </w:p>
        </w:tc>
        <w:tc>
          <w:tcPr>
            <w:tcW w:w="4680" w:type="dxa"/>
            <w:tcBorders>
              <w:top w:val="single" w:sz="8" w:space="0" w:color="auto"/>
            </w:tcBorders>
          </w:tcPr>
          <w:p w14:paraId="4F7373F4" w14:textId="77777777" w:rsidR="008F364A" w:rsidRPr="00A81CD3" w:rsidRDefault="00EF1AF1">
            <w:pPr>
              <w:keepNext/>
              <w:rPr>
                <w:lang w:val="en-CA"/>
              </w:rPr>
            </w:pPr>
            <w:r w:rsidRPr="00A81CD3">
              <w:rPr>
                <w:lang w:val="en-CA"/>
              </w:rPr>
              <w:t>CHRISTINE BAUDOUIN, J.A.</w:t>
            </w:r>
          </w:p>
        </w:tc>
      </w:tr>
      <w:tr w:rsidR="00DD634F" w:rsidRPr="00A81CD3" w14:paraId="4F7373F8" w14:textId="77777777" w:rsidTr="00117914">
        <w:trPr>
          <w:trHeight w:val="283"/>
        </w:trPr>
        <w:tc>
          <w:tcPr>
            <w:tcW w:w="4682" w:type="dxa"/>
            <w:tcBorders>
              <w:top w:val="nil"/>
            </w:tcBorders>
          </w:tcPr>
          <w:p w14:paraId="4F7373F6" w14:textId="77777777" w:rsidR="008F364A" w:rsidRPr="00A81CD3" w:rsidRDefault="008F364A">
            <w:pPr>
              <w:keepNext/>
              <w:rPr>
                <w:lang w:val="en-CA"/>
              </w:rPr>
            </w:pPr>
            <w:bookmarkStart w:id="10" w:name="Signature3"/>
            <w:bookmarkEnd w:id="9"/>
          </w:p>
        </w:tc>
        <w:tc>
          <w:tcPr>
            <w:tcW w:w="4680" w:type="dxa"/>
            <w:tcBorders>
              <w:top w:val="nil"/>
            </w:tcBorders>
          </w:tcPr>
          <w:p w14:paraId="4F7373F7" w14:textId="77777777" w:rsidR="008F364A" w:rsidRPr="00A81CD3" w:rsidRDefault="008F364A">
            <w:pPr>
              <w:keepNext/>
              <w:rPr>
                <w:lang w:val="en-CA"/>
              </w:rPr>
            </w:pPr>
          </w:p>
        </w:tc>
      </w:tr>
      <w:tr w:rsidR="00DD634F" w:rsidRPr="00A81CD3" w14:paraId="4F7373FB" w14:textId="77777777" w:rsidTr="00117914">
        <w:trPr>
          <w:trHeight w:val="283"/>
        </w:trPr>
        <w:tc>
          <w:tcPr>
            <w:tcW w:w="4682" w:type="dxa"/>
            <w:tcBorders>
              <w:top w:val="nil"/>
              <w:bottom w:val="nil"/>
            </w:tcBorders>
          </w:tcPr>
          <w:p w14:paraId="4F7373F9" w14:textId="77777777" w:rsidR="008F364A" w:rsidRPr="00A81CD3" w:rsidRDefault="008F364A">
            <w:pPr>
              <w:keepNext/>
              <w:rPr>
                <w:lang w:val="en-CA"/>
              </w:rPr>
            </w:pPr>
          </w:p>
        </w:tc>
        <w:tc>
          <w:tcPr>
            <w:tcW w:w="4680" w:type="dxa"/>
            <w:tcBorders>
              <w:top w:val="nil"/>
              <w:bottom w:val="single" w:sz="8" w:space="0" w:color="auto"/>
            </w:tcBorders>
          </w:tcPr>
          <w:p w14:paraId="4F7373FA" w14:textId="77777777" w:rsidR="008F364A" w:rsidRPr="00A81CD3" w:rsidRDefault="008F364A">
            <w:pPr>
              <w:keepNext/>
              <w:rPr>
                <w:lang w:val="en-CA"/>
              </w:rPr>
            </w:pPr>
          </w:p>
        </w:tc>
      </w:tr>
      <w:tr w:rsidR="00DD634F" w:rsidRPr="00A81CD3" w14:paraId="4F7373FE" w14:textId="77777777" w:rsidTr="00117914">
        <w:trPr>
          <w:trHeight w:val="283"/>
        </w:trPr>
        <w:tc>
          <w:tcPr>
            <w:tcW w:w="4682" w:type="dxa"/>
            <w:tcBorders>
              <w:top w:val="nil"/>
            </w:tcBorders>
          </w:tcPr>
          <w:p w14:paraId="4F7373FC" w14:textId="77777777" w:rsidR="008F364A" w:rsidRPr="00A81CD3" w:rsidRDefault="008F364A">
            <w:pPr>
              <w:keepNext/>
              <w:rPr>
                <w:lang w:val="en-CA"/>
              </w:rPr>
            </w:pPr>
          </w:p>
        </w:tc>
        <w:tc>
          <w:tcPr>
            <w:tcW w:w="4680" w:type="dxa"/>
            <w:tcBorders>
              <w:top w:val="single" w:sz="8" w:space="0" w:color="auto"/>
            </w:tcBorders>
          </w:tcPr>
          <w:p w14:paraId="4F7373FD" w14:textId="77777777" w:rsidR="008F364A" w:rsidRPr="00A81CD3" w:rsidRDefault="00EF1AF1">
            <w:pPr>
              <w:keepNext/>
              <w:rPr>
                <w:lang w:val="en-CA"/>
              </w:rPr>
            </w:pPr>
            <w:r w:rsidRPr="00A81CD3">
              <w:rPr>
                <w:lang w:val="en-CA"/>
              </w:rPr>
              <w:t>FRÉDÉRIC BACHAND, J.A.</w:t>
            </w:r>
          </w:p>
        </w:tc>
      </w:tr>
      <w:bookmarkEnd w:id="10"/>
    </w:tbl>
    <w:p w14:paraId="4F7373FF" w14:textId="77777777" w:rsidR="0005187F" w:rsidRPr="00A81CD3" w:rsidRDefault="0005187F">
      <w:pPr>
        <w:rPr>
          <w:lang w:val="en-CA"/>
        </w:rPr>
      </w:pP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7365"/>
      </w:tblGrid>
      <w:tr w:rsidR="00DD634F" w:rsidRPr="00A81CD3" w14:paraId="4F737401" w14:textId="77777777" w:rsidTr="009B219A">
        <w:tc>
          <w:tcPr>
            <w:tcW w:w="9362" w:type="dxa"/>
            <w:gridSpan w:val="2"/>
            <w:tcBorders>
              <w:top w:val="nil"/>
            </w:tcBorders>
          </w:tcPr>
          <w:p w14:paraId="4F737400" w14:textId="77777777" w:rsidR="005A78BF" w:rsidRPr="00A81CD3" w:rsidRDefault="00EF1AF1" w:rsidP="005A78BF">
            <w:pPr>
              <w:pStyle w:val="zSoquijdatNomProcureurDem"/>
              <w:rPr>
                <w:lang w:val="en-CA"/>
              </w:rPr>
            </w:pPr>
            <w:r w:rsidRPr="00A81CD3">
              <w:rPr>
                <w:lang w:val="en-CA"/>
              </w:rPr>
              <w:t>Mtre Christian Gauthier</w:t>
            </w:r>
          </w:p>
        </w:tc>
      </w:tr>
      <w:tr w:rsidR="00DD634F" w:rsidRPr="00A81CD3" w14:paraId="4F737403" w14:textId="77777777" w:rsidTr="00423DF1">
        <w:tc>
          <w:tcPr>
            <w:tcW w:w="9362" w:type="dxa"/>
            <w:gridSpan w:val="2"/>
          </w:tcPr>
          <w:p w14:paraId="4F737402" w14:textId="6029B5E5" w:rsidR="005A78BF" w:rsidRPr="00A81CD3" w:rsidRDefault="00EF1AF1" w:rsidP="005A78BF">
            <w:pPr>
              <w:pStyle w:val="zSoquijlblProcureurDem"/>
              <w:rPr>
                <w:lang w:val="en-CA"/>
              </w:rPr>
            </w:pPr>
            <w:r w:rsidRPr="00A81CD3">
              <w:rPr>
                <w:lang w:val="en-CA"/>
              </w:rPr>
              <w:t xml:space="preserve">For the </w:t>
            </w:r>
            <w:r w:rsidR="00213DFC">
              <w:rPr>
                <w:lang w:val="en-CA"/>
              </w:rPr>
              <w:t>a</w:t>
            </w:r>
            <w:r w:rsidRPr="00A81CD3">
              <w:rPr>
                <w:lang w:val="en-CA"/>
              </w:rPr>
              <w:t>ppellant</w:t>
            </w:r>
          </w:p>
        </w:tc>
      </w:tr>
      <w:tr w:rsidR="00DD634F" w:rsidRPr="00A81CD3" w14:paraId="4F737405" w14:textId="77777777" w:rsidTr="00423DF1">
        <w:tc>
          <w:tcPr>
            <w:tcW w:w="9362" w:type="dxa"/>
            <w:gridSpan w:val="2"/>
          </w:tcPr>
          <w:p w14:paraId="4F737404" w14:textId="77777777" w:rsidR="005A78BF" w:rsidRPr="00A81CD3" w:rsidRDefault="005A78BF" w:rsidP="005A78BF">
            <w:pPr>
              <w:rPr>
                <w:lang w:val="en-CA"/>
              </w:rPr>
            </w:pPr>
          </w:p>
        </w:tc>
      </w:tr>
      <w:tr w:rsidR="00DD634F" w:rsidRPr="00A81CD3" w14:paraId="4F737407" w14:textId="77777777" w:rsidTr="00423DF1">
        <w:tc>
          <w:tcPr>
            <w:tcW w:w="9362" w:type="dxa"/>
            <w:gridSpan w:val="2"/>
          </w:tcPr>
          <w:p w14:paraId="4F737406" w14:textId="77777777" w:rsidR="005A78BF" w:rsidRPr="00A81CD3" w:rsidRDefault="00EF1AF1" w:rsidP="005A78BF">
            <w:pPr>
              <w:pStyle w:val="zSoquijdatNomProcureurDef"/>
              <w:rPr>
                <w:lang w:val="en-CA"/>
              </w:rPr>
            </w:pPr>
            <w:r w:rsidRPr="00A81CD3">
              <w:rPr>
                <w:lang w:val="en-CA"/>
              </w:rPr>
              <w:t>Mtre Isabelle Bouchard</w:t>
            </w:r>
          </w:p>
        </w:tc>
      </w:tr>
      <w:tr w:rsidR="00DD634F" w:rsidRPr="00064EE2" w14:paraId="4F737409" w14:textId="77777777" w:rsidTr="00423DF1">
        <w:tc>
          <w:tcPr>
            <w:tcW w:w="9362" w:type="dxa"/>
            <w:gridSpan w:val="2"/>
          </w:tcPr>
          <w:p w14:paraId="4F737408" w14:textId="77777777" w:rsidR="005A78BF" w:rsidRPr="00A81CD3" w:rsidRDefault="00EF1AF1" w:rsidP="005A78BF">
            <w:pPr>
              <w:pStyle w:val="zSoquijdatCabinetProcureurDef"/>
              <w:rPr>
                <w:lang w:val="en-CA"/>
              </w:rPr>
            </w:pPr>
            <w:r w:rsidRPr="00A81CD3">
              <w:rPr>
                <w:lang w:val="en-CA"/>
              </w:rPr>
              <w:t>DIRECTOR OF CRIMINAL AND PENAL PROSECUTIONS</w:t>
            </w:r>
          </w:p>
        </w:tc>
      </w:tr>
      <w:tr w:rsidR="00DD634F" w:rsidRPr="00A81CD3" w14:paraId="4F73740B" w14:textId="77777777" w:rsidTr="00423DF1">
        <w:tc>
          <w:tcPr>
            <w:tcW w:w="9362" w:type="dxa"/>
            <w:gridSpan w:val="2"/>
          </w:tcPr>
          <w:p w14:paraId="4F73740A" w14:textId="3B3408CE" w:rsidR="005A78BF" w:rsidRPr="00A81CD3" w:rsidRDefault="00EF1AF1" w:rsidP="005A78BF">
            <w:pPr>
              <w:pStyle w:val="zSoquijlblProcureurDef"/>
              <w:rPr>
                <w:lang w:val="en-CA"/>
              </w:rPr>
            </w:pPr>
            <w:r w:rsidRPr="00A81CD3">
              <w:rPr>
                <w:lang w:val="en-CA"/>
              </w:rPr>
              <w:t xml:space="preserve">For the </w:t>
            </w:r>
            <w:r w:rsidR="00213DFC">
              <w:rPr>
                <w:lang w:val="en-CA"/>
              </w:rPr>
              <w:t>r</w:t>
            </w:r>
            <w:r w:rsidRPr="00A81CD3">
              <w:rPr>
                <w:lang w:val="en-CA"/>
              </w:rPr>
              <w:t>espondent</w:t>
            </w:r>
          </w:p>
        </w:tc>
      </w:tr>
      <w:tr w:rsidR="00DD634F" w:rsidRPr="00A81CD3" w14:paraId="4F73740D" w14:textId="77777777" w:rsidTr="00423DF1">
        <w:tc>
          <w:tcPr>
            <w:tcW w:w="9362" w:type="dxa"/>
            <w:gridSpan w:val="2"/>
          </w:tcPr>
          <w:p w14:paraId="4F73740C" w14:textId="77777777" w:rsidR="005A78BF" w:rsidRPr="00A81CD3" w:rsidRDefault="005A78BF" w:rsidP="005A78BF">
            <w:pPr>
              <w:rPr>
                <w:lang w:val="en-CA"/>
              </w:rPr>
            </w:pPr>
          </w:p>
        </w:tc>
      </w:tr>
      <w:tr w:rsidR="00DD634F" w:rsidRPr="00A81CD3" w14:paraId="4F737410" w14:textId="77777777" w:rsidTr="00423DF1">
        <w:tc>
          <w:tcPr>
            <w:tcW w:w="1997" w:type="dxa"/>
          </w:tcPr>
          <w:p w14:paraId="4F73740E" w14:textId="77777777" w:rsidR="005A78BF" w:rsidRPr="00A81CD3" w:rsidRDefault="00EF1AF1" w:rsidP="005A78BF">
            <w:pPr>
              <w:pStyle w:val="zSoquijlblDateAudience"/>
              <w:rPr>
                <w:lang w:val="en-CA"/>
              </w:rPr>
            </w:pPr>
            <w:r w:rsidRPr="00A81CD3">
              <w:rPr>
                <w:lang w:val="en-CA"/>
              </w:rPr>
              <w:t>Date of hearing:</w:t>
            </w:r>
          </w:p>
        </w:tc>
        <w:tc>
          <w:tcPr>
            <w:tcW w:w="7365" w:type="dxa"/>
          </w:tcPr>
          <w:p w14:paraId="4F73740F" w14:textId="77777777" w:rsidR="005A78BF" w:rsidRPr="00A81CD3" w:rsidRDefault="00EF1AF1" w:rsidP="005A78BF">
            <w:pPr>
              <w:pStyle w:val="zSoquijdatDateAudience"/>
              <w:rPr>
                <w:lang w:val="en-CA"/>
              </w:rPr>
            </w:pPr>
            <w:r w:rsidRPr="00A81CD3">
              <w:rPr>
                <w:lang w:val="en-CA"/>
              </w:rPr>
              <w:t>March 18, 2025</w:t>
            </w:r>
          </w:p>
        </w:tc>
      </w:tr>
    </w:tbl>
    <w:p w14:paraId="4F737411" w14:textId="77777777" w:rsidR="00365C4D" w:rsidRPr="00A81CD3" w:rsidRDefault="00365C4D" w:rsidP="00365C4D">
      <w:pPr>
        <w:rPr>
          <w:lang w:val="en-CA"/>
        </w:rPr>
        <w:sectPr w:rsidR="00365C4D" w:rsidRPr="00A81CD3" w:rsidSect="007325E5">
          <w:headerReference w:type="default" r:id="rId8"/>
          <w:footerReference w:type="default" r:id="rId9"/>
          <w:footnotePr>
            <w:numRestart w:val="eachSect"/>
          </w:footnotePr>
          <w:pgSz w:w="12242" w:h="15842" w:code="1"/>
          <w:pgMar w:top="1021" w:right="1009" w:bottom="737" w:left="1871" w:header="1440" w:footer="794" w:gutter="0"/>
          <w:cols w:space="720"/>
          <w:formProt w:val="0"/>
          <w:titlePg/>
          <w:docGrid w:linePitch="326"/>
        </w:sectPr>
      </w:pPr>
      <w:bookmarkStart w:id="11" w:name="Opinion"/>
      <w:bookmarkEnd w:id="7"/>
    </w:p>
    <w:tbl>
      <w:tblPr>
        <w:tblW w:w="0" w:type="auto"/>
        <w:tblLayout w:type="fixed"/>
        <w:tblCellMar>
          <w:left w:w="0" w:type="dxa"/>
          <w:right w:w="0" w:type="dxa"/>
        </w:tblCellMar>
        <w:tblLook w:val="0000" w:firstRow="0" w:lastRow="0" w:firstColumn="0" w:lastColumn="0" w:noHBand="0" w:noVBand="0"/>
      </w:tblPr>
      <w:tblGrid>
        <w:gridCol w:w="9360"/>
      </w:tblGrid>
      <w:tr w:rsidR="00DD634F" w:rsidRPr="00A81CD3" w14:paraId="4F737414" w14:textId="77777777" w:rsidTr="00261192">
        <w:tc>
          <w:tcPr>
            <w:tcW w:w="9360" w:type="dxa"/>
            <w:tcBorders>
              <w:bottom w:val="single" w:sz="8" w:space="0" w:color="auto"/>
            </w:tcBorders>
          </w:tcPr>
          <w:p w14:paraId="4F737412" w14:textId="77777777" w:rsidR="00365C4D" w:rsidRPr="00A81CD3" w:rsidRDefault="00365C4D" w:rsidP="00261192">
            <w:pPr>
              <w:rPr>
                <w:lang w:val="en-CA"/>
              </w:rPr>
            </w:pPr>
          </w:p>
          <w:p w14:paraId="4F737413" w14:textId="77777777" w:rsidR="00365C4D" w:rsidRPr="00A81CD3" w:rsidRDefault="00365C4D" w:rsidP="00261192">
            <w:pPr>
              <w:rPr>
                <w:lang w:val="en-CA"/>
              </w:rPr>
            </w:pPr>
          </w:p>
        </w:tc>
      </w:tr>
      <w:tr w:rsidR="00DD634F" w:rsidRPr="00A81CD3" w14:paraId="4F737416" w14:textId="77777777" w:rsidTr="00261192">
        <w:tc>
          <w:tcPr>
            <w:tcW w:w="9360" w:type="dxa"/>
            <w:tcBorders>
              <w:top w:val="single" w:sz="8" w:space="0" w:color="auto"/>
            </w:tcBorders>
          </w:tcPr>
          <w:p w14:paraId="4F737415" w14:textId="77777777" w:rsidR="00365C4D" w:rsidRPr="00A81CD3" w:rsidRDefault="00365C4D" w:rsidP="00261192">
            <w:pPr>
              <w:rPr>
                <w:lang w:val="en-CA"/>
              </w:rPr>
            </w:pPr>
          </w:p>
        </w:tc>
      </w:tr>
      <w:tr w:rsidR="00DD634F" w:rsidRPr="00064EE2" w14:paraId="4F737418" w14:textId="77777777" w:rsidTr="00261192">
        <w:tc>
          <w:tcPr>
            <w:tcW w:w="9360" w:type="dxa"/>
          </w:tcPr>
          <w:p w14:paraId="4F737417" w14:textId="77777777" w:rsidR="00365C4D" w:rsidRPr="00A81CD3" w:rsidRDefault="00EF1AF1" w:rsidP="00261192">
            <w:pPr>
              <w:pStyle w:val="zSoquijlblOpinionJuge"/>
              <w:rPr>
                <w:lang w:val="en-CA"/>
              </w:rPr>
            </w:pPr>
            <w:bookmarkStart w:id="12" w:name="MotifJuge2"/>
            <w:r w:rsidRPr="00A81CD3">
              <w:rPr>
                <w:lang w:val="en-CA"/>
              </w:rPr>
              <w:t>REASONS OF</w:t>
            </w:r>
            <w:bookmarkEnd w:id="12"/>
            <w:r w:rsidRPr="00A81CD3">
              <w:rPr>
                <w:lang w:val="en-CA"/>
              </w:rPr>
              <w:t xml:space="preserve"> BACHAND, J.A.</w:t>
            </w:r>
          </w:p>
        </w:tc>
      </w:tr>
      <w:tr w:rsidR="00DD634F" w:rsidRPr="00064EE2" w14:paraId="4F73741A" w14:textId="77777777" w:rsidTr="00261192">
        <w:tc>
          <w:tcPr>
            <w:tcW w:w="9360" w:type="dxa"/>
            <w:tcBorders>
              <w:bottom w:val="single" w:sz="8" w:space="0" w:color="auto"/>
            </w:tcBorders>
          </w:tcPr>
          <w:p w14:paraId="4F737419" w14:textId="77777777" w:rsidR="00365C4D" w:rsidRPr="00A81CD3" w:rsidRDefault="00365C4D" w:rsidP="00261192">
            <w:pPr>
              <w:rPr>
                <w:lang w:val="en-CA"/>
              </w:rPr>
            </w:pPr>
          </w:p>
        </w:tc>
      </w:tr>
      <w:tr w:rsidR="00DD634F" w:rsidRPr="00064EE2" w14:paraId="4F73741C" w14:textId="77777777" w:rsidTr="00261192">
        <w:tc>
          <w:tcPr>
            <w:tcW w:w="9360" w:type="dxa"/>
            <w:tcBorders>
              <w:top w:val="single" w:sz="8" w:space="0" w:color="auto"/>
            </w:tcBorders>
          </w:tcPr>
          <w:p w14:paraId="4F73741B" w14:textId="77777777" w:rsidR="00365C4D" w:rsidRPr="00A81CD3" w:rsidRDefault="00365C4D" w:rsidP="00261192">
            <w:pPr>
              <w:rPr>
                <w:lang w:val="en-CA"/>
              </w:rPr>
            </w:pPr>
          </w:p>
        </w:tc>
      </w:tr>
    </w:tbl>
    <w:bookmarkEnd w:id="11"/>
    <w:p w14:paraId="4F73741D" w14:textId="77777777" w:rsidR="00E406BF" w:rsidRPr="00A81CD3" w:rsidRDefault="00EF1AF1" w:rsidP="00E406BF">
      <w:pPr>
        <w:pStyle w:val="Paragraphe"/>
        <w:spacing w:before="100" w:after="100" w:line="240" w:lineRule="auto"/>
        <w:jc w:val="center"/>
        <w:rPr>
          <w:b/>
          <w:bCs/>
          <w:u w:val="single"/>
          <w:lang w:val="en-CA"/>
        </w:rPr>
      </w:pPr>
      <w:r w:rsidRPr="00A81CD3">
        <w:rPr>
          <w:b/>
          <w:bCs/>
          <w:u w:val="single"/>
          <w:lang w:val="en-CA"/>
        </w:rPr>
        <w:t>Table of contents</w:t>
      </w:r>
    </w:p>
    <w:p w14:paraId="4F73741E" w14:textId="77777777" w:rsidR="00E406BF" w:rsidRPr="00A81CD3" w:rsidRDefault="00EF1AF1" w:rsidP="00E406BF">
      <w:pPr>
        <w:pStyle w:val="Paragraphe"/>
        <w:spacing w:before="100" w:after="100" w:line="240" w:lineRule="auto"/>
        <w:jc w:val="right"/>
        <w:rPr>
          <w:i/>
          <w:iCs/>
          <w:lang w:val="en-CA"/>
        </w:rPr>
      </w:pPr>
      <w:r w:rsidRPr="00A81CD3">
        <w:rPr>
          <w:i/>
          <w:iCs/>
          <w:lang w:val="en-CA"/>
        </w:rPr>
        <w:t>Para.</w:t>
      </w:r>
    </w:p>
    <w:p w14:paraId="4F73741F" w14:textId="3C549B92" w:rsidR="00E406BF" w:rsidRPr="00A81CD3" w:rsidRDefault="00EF1AF1" w:rsidP="00E406BF">
      <w:pPr>
        <w:pStyle w:val="Paragraphe"/>
        <w:widowControl w:val="0"/>
        <w:tabs>
          <w:tab w:val="right" w:leader="dot" w:pos="9356"/>
        </w:tabs>
        <w:spacing w:before="60" w:after="60" w:line="240" w:lineRule="auto"/>
        <w:ind w:left="425" w:hanging="425"/>
        <w:rPr>
          <w:bCs/>
          <w:lang w:val="en-CA"/>
        </w:rPr>
      </w:pPr>
      <w:r w:rsidRPr="00A81CD3">
        <w:rPr>
          <w:lang w:val="en-CA"/>
        </w:rPr>
        <w:t>I.</w:t>
      </w:r>
      <w:r w:rsidRPr="00A81CD3">
        <w:rPr>
          <w:lang w:val="en-CA"/>
        </w:rPr>
        <w:tab/>
      </w:r>
      <w:r w:rsidR="00064EE2">
        <w:rPr>
          <w:lang w:val="en-CA"/>
        </w:rPr>
        <w:t>Background</w:t>
      </w:r>
      <w:r w:rsidRPr="00A81CD3">
        <w:rPr>
          <w:lang w:val="en-CA"/>
        </w:rPr>
        <w:tab/>
        <w:t>8</w:t>
      </w:r>
    </w:p>
    <w:p w14:paraId="4F737420" w14:textId="77777777" w:rsidR="00E406BF" w:rsidRPr="00A81CD3" w:rsidRDefault="00EF1AF1" w:rsidP="00E406BF">
      <w:pPr>
        <w:pStyle w:val="Paragraphe"/>
        <w:widowControl w:val="0"/>
        <w:tabs>
          <w:tab w:val="right" w:leader="dot" w:pos="9356"/>
        </w:tabs>
        <w:spacing w:before="60" w:after="60" w:line="240" w:lineRule="auto"/>
        <w:ind w:left="425" w:hanging="425"/>
        <w:rPr>
          <w:highlight w:val="yellow"/>
          <w:lang w:val="en-CA"/>
        </w:rPr>
      </w:pPr>
      <w:r w:rsidRPr="00A81CD3">
        <w:rPr>
          <w:lang w:val="en-CA"/>
        </w:rPr>
        <w:t>II.</w:t>
      </w:r>
      <w:r w:rsidRPr="00A81CD3">
        <w:rPr>
          <w:lang w:val="en-CA"/>
        </w:rPr>
        <w:tab/>
        <w:t>Interlocutory judgments challenged by the appellant</w:t>
      </w:r>
      <w:r w:rsidRPr="00A81CD3">
        <w:rPr>
          <w:lang w:val="en-CA"/>
        </w:rPr>
        <w:tab/>
        <w:t>23</w:t>
      </w:r>
    </w:p>
    <w:p w14:paraId="4F737421" w14:textId="77777777" w:rsidR="00E406BF" w:rsidRPr="00A81CD3" w:rsidRDefault="00EF1AF1" w:rsidP="00946BD3">
      <w:pPr>
        <w:pStyle w:val="Paragraphe"/>
        <w:widowControl w:val="0"/>
        <w:numPr>
          <w:ilvl w:val="0"/>
          <w:numId w:val="10"/>
        </w:numPr>
        <w:tabs>
          <w:tab w:val="left" w:pos="851"/>
          <w:tab w:val="right" w:leader="dot" w:pos="9356"/>
        </w:tabs>
        <w:spacing w:before="60" w:after="60" w:line="240" w:lineRule="auto"/>
        <w:jc w:val="left"/>
        <w:rPr>
          <w:rFonts w:cs="Arial"/>
          <w:lang w:val="en-CA"/>
        </w:rPr>
      </w:pPr>
      <w:r w:rsidRPr="00A81CD3">
        <w:rPr>
          <w:lang w:val="en-CA"/>
        </w:rPr>
        <w:t>Judgment on the admissibility of the cocaine</w:t>
      </w:r>
      <w:r w:rsidRPr="00A81CD3">
        <w:rPr>
          <w:lang w:val="en-CA"/>
        </w:rPr>
        <w:tab/>
        <w:t>23</w:t>
      </w:r>
    </w:p>
    <w:p w14:paraId="4F737422" w14:textId="6BEFEC43" w:rsidR="00E406BF" w:rsidRPr="00A81CD3" w:rsidRDefault="00EF1AF1" w:rsidP="00946BD3">
      <w:pPr>
        <w:pStyle w:val="Paragraphe"/>
        <w:widowControl w:val="0"/>
        <w:numPr>
          <w:ilvl w:val="0"/>
          <w:numId w:val="10"/>
        </w:numPr>
        <w:tabs>
          <w:tab w:val="left" w:pos="851"/>
          <w:tab w:val="right" w:leader="dot" w:pos="9356"/>
        </w:tabs>
        <w:spacing w:before="60" w:after="60" w:line="240" w:lineRule="auto"/>
        <w:jc w:val="left"/>
        <w:rPr>
          <w:rFonts w:cs="Arial"/>
          <w:lang w:val="en-CA"/>
        </w:rPr>
      </w:pPr>
      <w:r w:rsidRPr="00A81CD3">
        <w:rPr>
          <w:lang w:val="en-CA"/>
        </w:rPr>
        <w:t xml:space="preserve">Judgment on the second </w:t>
      </w:r>
      <w:r w:rsidRPr="00A81CD3">
        <w:rPr>
          <w:i/>
          <w:iCs/>
          <w:lang w:val="en-CA"/>
        </w:rPr>
        <w:t>Jordan</w:t>
      </w:r>
      <w:r w:rsidRPr="00A81CD3">
        <w:rPr>
          <w:lang w:val="en-CA"/>
        </w:rPr>
        <w:t xml:space="preserve"> </w:t>
      </w:r>
      <w:r w:rsidR="00064EE2">
        <w:rPr>
          <w:lang w:val="en-CA"/>
        </w:rPr>
        <w:t>motion</w:t>
      </w:r>
      <w:r w:rsidRPr="00A81CD3">
        <w:rPr>
          <w:lang w:val="en-CA"/>
        </w:rPr>
        <w:tab/>
        <w:t>34</w:t>
      </w:r>
    </w:p>
    <w:p w14:paraId="4F737423" w14:textId="77777777" w:rsidR="00E406BF" w:rsidRPr="00A81CD3" w:rsidRDefault="00EF1AF1" w:rsidP="00E406BF">
      <w:pPr>
        <w:pStyle w:val="Paragraphe"/>
        <w:widowControl w:val="0"/>
        <w:tabs>
          <w:tab w:val="right" w:leader="dot" w:pos="9356"/>
        </w:tabs>
        <w:spacing w:before="60" w:after="60" w:line="240" w:lineRule="auto"/>
        <w:ind w:left="425" w:hanging="425"/>
        <w:rPr>
          <w:bCs/>
          <w:lang w:val="en-CA"/>
        </w:rPr>
      </w:pPr>
      <w:r w:rsidRPr="00A81CD3">
        <w:rPr>
          <w:lang w:val="en-CA"/>
        </w:rPr>
        <w:t>III.</w:t>
      </w:r>
      <w:r w:rsidRPr="00A81CD3">
        <w:rPr>
          <w:lang w:val="en-CA"/>
        </w:rPr>
        <w:tab/>
        <w:t>Analysis</w:t>
      </w:r>
      <w:r w:rsidRPr="00A81CD3">
        <w:rPr>
          <w:lang w:val="en-CA"/>
        </w:rPr>
        <w:tab/>
        <w:t>37</w:t>
      </w:r>
    </w:p>
    <w:p w14:paraId="4F737424" w14:textId="77777777" w:rsidR="00E406BF" w:rsidRPr="00A81CD3" w:rsidRDefault="00EF1AF1" w:rsidP="00946BD3">
      <w:pPr>
        <w:pStyle w:val="Paragraphe"/>
        <w:widowControl w:val="0"/>
        <w:numPr>
          <w:ilvl w:val="0"/>
          <w:numId w:val="20"/>
        </w:numPr>
        <w:tabs>
          <w:tab w:val="left" w:pos="851"/>
          <w:tab w:val="right" w:leader="dot" w:pos="9356"/>
        </w:tabs>
        <w:spacing w:before="60" w:after="60" w:line="240" w:lineRule="auto"/>
        <w:jc w:val="left"/>
        <w:rPr>
          <w:lang w:val="en-CA"/>
        </w:rPr>
      </w:pPr>
      <w:r w:rsidRPr="00A81CD3">
        <w:rPr>
          <w:lang w:val="en-CA"/>
        </w:rPr>
        <w:t>Admissibility of the cocaine</w:t>
      </w:r>
      <w:r w:rsidRPr="00A81CD3">
        <w:rPr>
          <w:lang w:val="en-CA"/>
        </w:rPr>
        <w:tab/>
        <w:t>37</w:t>
      </w:r>
    </w:p>
    <w:p w14:paraId="4F737425" w14:textId="0AFC8A67" w:rsidR="00E406BF" w:rsidRPr="00A81CD3" w:rsidRDefault="00EF1AF1" w:rsidP="00E406BF">
      <w:pPr>
        <w:pStyle w:val="Paragraphe"/>
        <w:widowControl w:val="0"/>
        <w:numPr>
          <w:ilvl w:val="0"/>
          <w:numId w:val="9"/>
        </w:numPr>
        <w:tabs>
          <w:tab w:val="right" w:leader="dot" w:pos="9356"/>
        </w:tabs>
        <w:spacing w:before="60" w:after="60" w:line="240" w:lineRule="auto"/>
        <w:rPr>
          <w:rFonts w:cs="Arial"/>
          <w:lang w:val="en-CA"/>
        </w:rPr>
      </w:pPr>
      <w:r w:rsidRPr="00A81CD3">
        <w:rPr>
          <w:lang w:val="en-CA"/>
        </w:rPr>
        <w:t xml:space="preserve">Did the police </w:t>
      </w:r>
      <w:r w:rsidR="00064EE2">
        <w:rPr>
          <w:lang w:val="en-CA"/>
        </w:rPr>
        <w:t>infringe</w:t>
      </w:r>
      <w:r w:rsidRPr="00A81CD3">
        <w:rPr>
          <w:lang w:val="en-CA"/>
        </w:rPr>
        <w:t xml:space="preserve"> the </w:t>
      </w:r>
      <w:r w:rsidRPr="00A81CD3">
        <w:rPr>
          <w:i/>
          <w:iCs/>
          <w:lang w:val="en-CA"/>
        </w:rPr>
        <w:t>Charter</w:t>
      </w:r>
      <w:r w:rsidRPr="00A81CD3">
        <w:rPr>
          <w:lang w:val="en-CA"/>
        </w:rPr>
        <w:t xml:space="preserve"> during the seizure?</w:t>
      </w:r>
      <w:r w:rsidRPr="00A81CD3">
        <w:rPr>
          <w:lang w:val="en-CA"/>
        </w:rPr>
        <w:tab/>
        <w:t>38</w:t>
      </w:r>
    </w:p>
    <w:p w14:paraId="4F737426" w14:textId="77777777" w:rsidR="00E406BF" w:rsidRPr="00A81CD3" w:rsidRDefault="00EF1AF1" w:rsidP="00E406BF">
      <w:pPr>
        <w:pStyle w:val="Paragraphe"/>
        <w:widowControl w:val="0"/>
        <w:numPr>
          <w:ilvl w:val="0"/>
          <w:numId w:val="13"/>
        </w:numPr>
        <w:tabs>
          <w:tab w:val="right" w:leader="dot" w:pos="9356"/>
        </w:tabs>
        <w:spacing w:before="60" w:after="60" w:line="240" w:lineRule="auto"/>
        <w:ind w:left="1560"/>
        <w:rPr>
          <w:lang w:val="en-CA"/>
        </w:rPr>
      </w:pPr>
      <w:r w:rsidRPr="00A81CD3">
        <w:rPr>
          <w:lang w:val="en-CA"/>
        </w:rPr>
        <w:t>Was the warrant issued on July 16, 2018, valid?</w:t>
      </w:r>
      <w:r w:rsidRPr="00A81CD3">
        <w:rPr>
          <w:lang w:val="en-CA"/>
        </w:rPr>
        <w:tab/>
        <w:t>41</w:t>
      </w:r>
    </w:p>
    <w:p w14:paraId="4F737427" w14:textId="6AD054AC" w:rsidR="00E406BF" w:rsidRPr="00A81CD3" w:rsidRDefault="00EF1AF1" w:rsidP="00E406BF">
      <w:pPr>
        <w:pStyle w:val="Titre3"/>
        <w:keepNext w:val="0"/>
        <w:widowControl w:val="0"/>
        <w:numPr>
          <w:ilvl w:val="0"/>
          <w:numId w:val="8"/>
        </w:numPr>
        <w:tabs>
          <w:tab w:val="num" w:pos="360"/>
          <w:tab w:val="num" w:pos="643"/>
          <w:tab w:val="right" w:leader="dot" w:pos="9356"/>
        </w:tabs>
        <w:spacing w:before="60" w:line="240" w:lineRule="auto"/>
        <w:ind w:left="1701" w:hanging="283"/>
        <w:jc w:val="both"/>
        <w:rPr>
          <w:rFonts w:cs="Arial"/>
          <w:lang w:val="en-CA"/>
        </w:rPr>
      </w:pPr>
      <w:r w:rsidRPr="00A81CD3">
        <w:rPr>
          <w:lang w:val="en-CA"/>
        </w:rPr>
        <w:t xml:space="preserve">Section 487.01 </w:t>
      </w:r>
      <w:r w:rsidRPr="00A81CD3">
        <w:rPr>
          <w:i/>
          <w:iCs/>
          <w:lang w:val="en-CA"/>
        </w:rPr>
        <w:t>Cr.</w:t>
      </w:r>
      <w:r w:rsidR="00BD0CC4">
        <w:rPr>
          <w:i/>
          <w:iCs/>
          <w:lang w:val="en-CA"/>
        </w:rPr>
        <w:t> </w:t>
      </w:r>
      <w:r w:rsidRPr="00A81CD3">
        <w:rPr>
          <w:i/>
          <w:iCs/>
          <w:lang w:val="en-CA"/>
        </w:rPr>
        <w:t xml:space="preserve">C. </w:t>
      </w:r>
      <w:r w:rsidRPr="00A81CD3">
        <w:rPr>
          <w:lang w:val="en-CA"/>
        </w:rPr>
        <w:t>and the context of its adoption</w:t>
      </w:r>
      <w:r w:rsidRPr="00A81CD3">
        <w:rPr>
          <w:lang w:val="en-CA"/>
        </w:rPr>
        <w:tab/>
        <w:t>45</w:t>
      </w:r>
    </w:p>
    <w:p w14:paraId="4F737428" w14:textId="30CD8E25" w:rsidR="00E406BF" w:rsidRDefault="00EF1AF1" w:rsidP="00E406BF">
      <w:pPr>
        <w:pStyle w:val="Titre3"/>
        <w:keepNext w:val="0"/>
        <w:widowControl w:val="0"/>
        <w:numPr>
          <w:ilvl w:val="0"/>
          <w:numId w:val="8"/>
        </w:numPr>
        <w:tabs>
          <w:tab w:val="num" w:pos="360"/>
          <w:tab w:val="num" w:pos="643"/>
          <w:tab w:val="right" w:leader="dot" w:pos="9356"/>
        </w:tabs>
        <w:spacing w:before="60" w:line="240" w:lineRule="auto"/>
        <w:ind w:left="1701" w:hanging="283"/>
        <w:jc w:val="both"/>
        <w:rPr>
          <w:lang w:val="en-CA"/>
        </w:rPr>
      </w:pPr>
      <w:r w:rsidRPr="00A81CD3">
        <w:rPr>
          <w:lang w:val="en-CA"/>
        </w:rPr>
        <w:t xml:space="preserve">The nature and effect of a warrant authorizing a person to be stopped and searched under a false </w:t>
      </w:r>
      <w:r w:rsidR="00CD1F32">
        <w:rPr>
          <w:lang w:val="en-CA"/>
        </w:rPr>
        <w:t>pretext</w:t>
      </w:r>
      <w:r w:rsidRPr="00A81CD3">
        <w:rPr>
          <w:lang w:val="en-CA"/>
        </w:rPr>
        <w:tab/>
        <w:t>49</w:t>
      </w:r>
    </w:p>
    <w:p w14:paraId="4F737429" w14:textId="6B7A4185" w:rsidR="00E406BF" w:rsidRPr="00A81CD3" w:rsidRDefault="00064EE2" w:rsidP="00064EE2">
      <w:pPr>
        <w:pStyle w:val="Titre3"/>
        <w:keepNext w:val="0"/>
        <w:widowControl w:val="0"/>
        <w:numPr>
          <w:ilvl w:val="0"/>
          <w:numId w:val="0"/>
        </w:numPr>
        <w:tabs>
          <w:tab w:val="right" w:leader="dot" w:pos="9356"/>
        </w:tabs>
        <w:spacing w:before="60" w:line="240" w:lineRule="auto"/>
        <w:ind w:left="1418"/>
        <w:jc w:val="both"/>
        <w:rPr>
          <w:rFonts w:cs="Arial"/>
          <w:b/>
          <w:lang w:val="en-CA"/>
        </w:rPr>
      </w:pPr>
      <w:r>
        <w:rPr>
          <w:lang w:val="en-CA"/>
        </w:rPr>
        <w:t>(iii) Does s</w:t>
      </w:r>
      <w:r w:rsidR="00EF1AF1" w:rsidRPr="00A81CD3">
        <w:rPr>
          <w:lang w:val="en-CA"/>
        </w:rPr>
        <w:t xml:space="preserve">ection 487.01 </w:t>
      </w:r>
      <w:r w:rsidR="00EF1AF1" w:rsidRPr="00A81CD3">
        <w:rPr>
          <w:i/>
          <w:iCs/>
          <w:lang w:val="en-CA"/>
        </w:rPr>
        <w:t>Cr.</w:t>
      </w:r>
      <w:r w:rsidR="00BD0CC4">
        <w:rPr>
          <w:i/>
          <w:iCs/>
          <w:lang w:val="en-CA"/>
        </w:rPr>
        <w:t> </w:t>
      </w:r>
      <w:r w:rsidR="00EF1AF1" w:rsidRPr="00A81CD3">
        <w:rPr>
          <w:i/>
          <w:iCs/>
          <w:lang w:val="en-CA"/>
        </w:rPr>
        <w:t>C.</w:t>
      </w:r>
      <w:r w:rsidR="00EF1AF1" w:rsidRPr="00A81CD3">
        <w:rPr>
          <w:lang w:val="en-CA"/>
        </w:rPr>
        <w:t xml:space="preserve"> authorize an infringement of the rights </w:t>
      </w:r>
      <w:r>
        <w:rPr>
          <w:lang w:val="en-CA"/>
        </w:rPr>
        <w:t xml:space="preserve">  </w:t>
      </w:r>
      <w:r w:rsidR="00EF1AF1" w:rsidRPr="00A81CD3">
        <w:rPr>
          <w:lang w:val="en-CA"/>
        </w:rPr>
        <w:t xml:space="preserve">guaranteed by section 10 of the </w:t>
      </w:r>
      <w:r w:rsidR="00EF1AF1" w:rsidRPr="00A81CD3">
        <w:rPr>
          <w:i/>
          <w:iCs/>
          <w:lang w:val="en-CA"/>
        </w:rPr>
        <w:t>Charter</w:t>
      </w:r>
      <w:r w:rsidR="00EF1AF1" w:rsidRPr="00A81CD3">
        <w:rPr>
          <w:lang w:val="en-CA"/>
        </w:rPr>
        <w:t>?</w:t>
      </w:r>
      <w:r w:rsidR="00EF1AF1" w:rsidRPr="00A81CD3">
        <w:rPr>
          <w:lang w:val="en-CA"/>
        </w:rPr>
        <w:tab/>
        <w:t>55</w:t>
      </w:r>
    </w:p>
    <w:p w14:paraId="4F73742A" w14:textId="77777777" w:rsidR="00E406BF" w:rsidRPr="00A81CD3" w:rsidRDefault="00EF1AF1" w:rsidP="00E406BF">
      <w:pPr>
        <w:pStyle w:val="Paragraphe"/>
        <w:widowControl w:val="0"/>
        <w:numPr>
          <w:ilvl w:val="0"/>
          <w:numId w:val="13"/>
        </w:numPr>
        <w:tabs>
          <w:tab w:val="right" w:leader="dot" w:pos="9356"/>
        </w:tabs>
        <w:spacing w:before="60" w:after="60" w:line="240" w:lineRule="auto"/>
        <w:ind w:left="1560"/>
        <w:rPr>
          <w:rFonts w:cs="Arial"/>
          <w:bCs/>
          <w:lang w:val="en-CA"/>
        </w:rPr>
      </w:pPr>
      <w:r w:rsidRPr="00A81CD3">
        <w:rPr>
          <w:rFonts w:cs="Arial"/>
          <w:lang w:val="en-CA"/>
        </w:rPr>
        <w:t>Did the police officers fail to inform the appellant of his right to counsel during the intervention on October 1, 2018?</w:t>
      </w:r>
      <w:r w:rsidRPr="00A81CD3">
        <w:rPr>
          <w:rFonts w:cs="Arial"/>
          <w:lang w:val="en-CA"/>
        </w:rPr>
        <w:tab/>
        <w:t>62</w:t>
      </w:r>
    </w:p>
    <w:p w14:paraId="4F73742B" w14:textId="1FB20396" w:rsidR="00E406BF" w:rsidRPr="00A81CD3" w:rsidRDefault="00A87CAC" w:rsidP="00E406BF">
      <w:pPr>
        <w:pStyle w:val="Paragraphe"/>
        <w:widowControl w:val="0"/>
        <w:numPr>
          <w:ilvl w:val="0"/>
          <w:numId w:val="9"/>
        </w:numPr>
        <w:tabs>
          <w:tab w:val="right" w:leader="dot" w:pos="9356"/>
        </w:tabs>
        <w:spacing w:before="60" w:after="60" w:line="240" w:lineRule="auto"/>
        <w:rPr>
          <w:rFonts w:cs="Arial"/>
          <w:lang w:val="en-CA"/>
        </w:rPr>
      </w:pPr>
      <w:r>
        <w:rPr>
          <w:lang w:val="en-CA"/>
        </w:rPr>
        <w:t>Is</w:t>
      </w:r>
      <w:r w:rsidR="00EF1AF1" w:rsidRPr="00A81CD3">
        <w:rPr>
          <w:lang w:val="en-CA"/>
        </w:rPr>
        <w:t xml:space="preserve"> the use of the cocaine in evidence likely to bring the administration of justice into disrepute?</w:t>
      </w:r>
      <w:r w:rsidR="00EF1AF1" w:rsidRPr="00A81CD3">
        <w:rPr>
          <w:lang w:val="en-CA"/>
        </w:rPr>
        <w:tab/>
        <w:t>68</w:t>
      </w:r>
    </w:p>
    <w:p w14:paraId="4F73742C" w14:textId="77777777" w:rsidR="00E406BF" w:rsidRPr="00A81CD3" w:rsidRDefault="00EF1AF1" w:rsidP="003E3700">
      <w:pPr>
        <w:pStyle w:val="Paragraphe"/>
        <w:widowControl w:val="0"/>
        <w:numPr>
          <w:ilvl w:val="0"/>
          <w:numId w:val="19"/>
        </w:numPr>
        <w:tabs>
          <w:tab w:val="right" w:leader="dot" w:pos="9356"/>
        </w:tabs>
        <w:spacing w:before="60" w:after="60" w:line="240" w:lineRule="auto"/>
        <w:ind w:left="1560"/>
        <w:rPr>
          <w:rFonts w:cs="Arial"/>
          <w:lang w:val="en-CA"/>
        </w:rPr>
      </w:pPr>
      <w:r w:rsidRPr="00A81CD3">
        <w:rPr>
          <w:lang w:val="en-CA"/>
        </w:rPr>
        <w:t xml:space="preserve">The seriousness of the </w:t>
      </w:r>
      <w:r w:rsidRPr="00A81CD3">
        <w:rPr>
          <w:i/>
          <w:iCs/>
          <w:lang w:val="en-CA"/>
        </w:rPr>
        <w:t>Charter</w:t>
      </w:r>
      <w:r w:rsidRPr="00A81CD3">
        <w:rPr>
          <w:lang w:val="en-CA"/>
        </w:rPr>
        <w:t>-infringing state conduct</w:t>
      </w:r>
      <w:r w:rsidRPr="00A81CD3">
        <w:rPr>
          <w:lang w:val="en-CA"/>
        </w:rPr>
        <w:tab/>
        <w:t>70</w:t>
      </w:r>
    </w:p>
    <w:p w14:paraId="4F73742D" w14:textId="46504622" w:rsidR="00E406BF" w:rsidRPr="00A81CD3" w:rsidRDefault="00EF1AF1" w:rsidP="003E3700">
      <w:pPr>
        <w:pStyle w:val="Paragraphe"/>
        <w:widowControl w:val="0"/>
        <w:numPr>
          <w:ilvl w:val="0"/>
          <w:numId w:val="19"/>
        </w:numPr>
        <w:tabs>
          <w:tab w:val="right" w:leader="dot" w:pos="9356"/>
        </w:tabs>
        <w:spacing w:before="60" w:after="60" w:line="240" w:lineRule="auto"/>
        <w:ind w:left="1560"/>
        <w:rPr>
          <w:rFonts w:cs="Arial"/>
          <w:lang w:val="en-CA"/>
        </w:rPr>
      </w:pPr>
      <w:r w:rsidRPr="00A81CD3">
        <w:rPr>
          <w:rFonts w:cs="Arial"/>
          <w:lang w:val="en-CA"/>
        </w:rPr>
        <w:t xml:space="preserve">The impact of the </w:t>
      </w:r>
      <w:r w:rsidR="00A87CAC">
        <w:rPr>
          <w:rFonts w:cs="Arial"/>
          <w:lang w:val="en-CA"/>
        </w:rPr>
        <w:t>breach</w:t>
      </w:r>
      <w:r w:rsidRPr="00A81CD3">
        <w:rPr>
          <w:rFonts w:cs="Arial"/>
          <w:lang w:val="en-CA"/>
        </w:rPr>
        <w:t xml:space="preserve"> on the </w:t>
      </w:r>
      <w:r w:rsidRPr="00A81CD3">
        <w:rPr>
          <w:rFonts w:cs="Arial"/>
          <w:i/>
          <w:iCs/>
          <w:lang w:val="en-CA"/>
        </w:rPr>
        <w:t>Charter</w:t>
      </w:r>
      <w:r w:rsidRPr="00A81CD3">
        <w:rPr>
          <w:rFonts w:cs="Arial"/>
          <w:lang w:val="en-CA"/>
        </w:rPr>
        <w:t>-protected interests</w:t>
      </w:r>
      <w:r w:rsidRPr="00A81CD3">
        <w:rPr>
          <w:rFonts w:cs="Arial"/>
          <w:lang w:val="en-CA"/>
        </w:rPr>
        <w:tab/>
        <w:t>75</w:t>
      </w:r>
    </w:p>
    <w:p w14:paraId="4F73742E" w14:textId="02D809F2" w:rsidR="00E406BF" w:rsidRPr="00A81CD3" w:rsidRDefault="00EF1AF1" w:rsidP="003E3700">
      <w:pPr>
        <w:pStyle w:val="Paragraphe"/>
        <w:widowControl w:val="0"/>
        <w:numPr>
          <w:ilvl w:val="0"/>
          <w:numId w:val="19"/>
        </w:numPr>
        <w:tabs>
          <w:tab w:val="right" w:leader="dot" w:pos="9356"/>
        </w:tabs>
        <w:spacing w:before="60" w:after="60" w:line="240" w:lineRule="auto"/>
        <w:ind w:left="1560"/>
        <w:rPr>
          <w:rFonts w:cs="Arial"/>
          <w:lang w:val="en-CA"/>
        </w:rPr>
      </w:pPr>
      <w:r w:rsidRPr="00A81CD3">
        <w:rPr>
          <w:rFonts w:cs="Arial"/>
          <w:lang w:val="en-CA"/>
        </w:rPr>
        <w:t>Societ</w:t>
      </w:r>
      <w:r w:rsidR="00E05CBC">
        <w:rPr>
          <w:rFonts w:cs="Arial"/>
          <w:lang w:val="en-CA"/>
        </w:rPr>
        <w:t>y’s</w:t>
      </w:r>
      <w:r w:rsidRPr="00A81CD3">
        <w:rPr>
          <w:rFonts w:cs="Arial"/>
          <w:lang w:val="en-CA"/>
        </w:rPr>
        <w:t xml:space="preserve"> interest in the adjudication of the case on </w:t>
      </w:r>
      <w:r w:rsidR="00E05CBC">
        <w:rPr>
          <w:rFonts w:cs="Arial"/>
          <w:lang w:val="en-CA"/>
        </w:rPr>
        <w:t>its</w:t>
      </w:r>
      <w:r w:rsidRPr="00A81CD3">
        <w:rPr>
          <w:rFonts w:cs="Arial"/>
          <w:lang w:val="en-CA"/>
        </w:rPr>
        <w:t xml:space="preserve"> merits</w:t>
      </w:r>
      <w:r w:rsidRPr="00A81CD3">
        <w:rPr>
          <w:rFonts w:cs="Arial"/>
          <w:lang w:val="en-CA"/>
        </w:rPr>
        <w:tab/>
        <w:t>80</w:t>
      </w:r>
    </w:p>
    <w:p w14:paraId="4F73742F" w14:textId="77777777" w:rsidR="00E406BF" w:rsidRPr="00A81CD3" w:rsidRDefault="00EF1AF1" w:rsidP="00946BD3">
      <w:pPr>
        <w:pStyle w:val="Paragraphe"/>
        <w:widowControl w:val="0"/>
        <w:numPr>
          <w:ilvl w:val="0"/>
          <w:numId w:val="20"/>
        </w:numPr>
        <w:tabs>
          <w:tab w:val="left" w:pos="851"/>
          <w:tab w:val="right" w:leader="dot" w:pos="9356"/>
        </w:tabs>
        <w:spacing w:before="60" w:after="60" w:line="240" w:lineRule="auto"/>
        <w:jc w:val="left"/>
        <w:rPr>
          <w:rFonts w:cs="Arial"/>
          <w:bCs/>
          <w:lang w:val="en-CA"/>
        </w:rPr>
      </w:pPr>
      <w:r w:rsidRPr="00A81CD3">
        <w:rPr>
          <w:lang w:val="en-CA"/>
        </w:rPr>
        <w:tab/>
        <w:t>The alleged infringement of the right to be tried within a reasonable time</w:t>
      </w:r>
      <w:r w:rsidRPr="00A81CD3">
        <w:rPr>
          <w:lang w:val="en-CA"/>
        </w:rPr>
        <w:tab/>
        <w:t>85</w:t>
      </w:r>
    </w:p>
    <w:p w14:paraId="4F737430" w14:textId="77777777" w:rsidR="00E406BF" w:rsidRPr="00A81CD3" w:rsidRDefault="00EF1AF1" w:rsidP="00E406BF">
      <w:pPr>
        <w:pStyle w:val="Paragraphe"/>
        <w:widowControl w:val="0"/>
        <w:tabs>
          <w:tab w:val="right" w:leader="dot" w:pos="9356"/>
        </w:tabs>
        <w:spacing w:before="60" w:after="60" w:line="240" w:lineRule="auto"/>
        <w:rPr>
          <w:bCs/>
          <w:lang w:val="en-CA"/>
        </w:rPr>
      </w:pPr>
      <w:r w:rsidRPr="00A81CD3">
        <w:rPr>
          <w:lang w:val="en-CA"/>
        </w:rPr>
        <w:t>IV. Conclusion</w:t>
      </w:r>
      <w:r w:rsidRPr="00A81CD3">
        <w:rPr>
          <w:lang w:val="en-CA"/>
        </w:rPr>
        <w:tab/>
        <w:t>90</w:t>
      </w:r>
    </w:p>
    <w:p w14:paraId="4F737431" w14:textId="77777777" w:rsidR="00E406BF" w:rsidRPr="00A81CD3" w:rsidRDefault="00EF1AF1" w:rsidP="00E406BF">
      <w:pPr>
        <w:pStyle w:val="Paragraphe"/>
        <w:spacing w:before="0"/>
        <w:jc w:val="center"/>
        <w:rPr>
          <w:lang w:val="en-CA"/>
        </w:rPr>
      </w:pPr>
      <w:r w:rsidRPr="00A81CD3">
        <w:rPr>
          <w:lang w:val="en-CA"/>
        </w:rPr>
        <w:t>__________________</w:t>
      </w:r>
    </w:p>
    <w:p w14:paraId="4F737432" w14:textId="3EBEC27E" w:rsidR="00E406BF" w:rsidRPr="00A81CD3" w:rsidRDefault="00EF1AF1" w:rsidP="00993B70">
      <w:pPr>
        <w:pStyle w:val="Paragraphe"/>
        <w:numPr>
          <w:ilvl w:val="0"/>
          <w:numId w:val="1"/>
        </w:numPr>
        <w:spacing w:before="240" w:after="180" w:line="280" w:lineRule="exact"/>
        <w:rPr>
          <w:lang w:val="en-CA"/>
        </w:rPr>
      </w:pPr>
      <w:r w:rsidRPr="00A81CD3">
        <w:rPr>
          <w:lang w:val="en-CA"/>
        </w:rPr>
        <w:lastRenderedPageBreak/>
        <w:t>The appellant appeal</w:t>
      </w:r>
      <w:r w:rsidR="00213DFC">
        <w:rPr>
          <w:lang w:val="en-CA"/>
        </w:rPr>
        <w:t>s</w:t>
      </w:r>
      <w:r w:rsidRPr="00A81CD3">
        <w:rPr>
          <w:lang w:val="en-CA"/>
        </w:rPr>
        <w:t xml:space="preserve"> </w:t>
      </w:r>
      <w:r w:rsidR="00213DFC">
        <w:rPr>
          <w:lang w:val="en-CA"/>
        </w:rPr>
        <w:t xml:space="preserve">from </w:t>
      </w:r>
      <w:r w:rsidRPr="00A81CD3">
        <w:rPr>
          <w:lang w:val="en-CA"/>
        </w:rPr>
        <w:t>a judgment of the Court of Qu</w:t>
      </w:r>
      <w:r w:rsidR="00213DFC">
        <w:rPr>
          <w:lang w:val="en-CA"/>
        </w:rPr>
        <w:t>é</w:t>
      </w:r>
      <w:r w:rsidRPr="00A81CD3">
        <w:rPr>
          <w:lang w:val="en-CA"/>
        </w:rPr>
        <w:t xml:space="preserve">bec </w:t>
      </w:r>
      <w:r w:rsidR="00213DFC">
        <w:rPr>
          <w:lang w:val="en-CA"/>
        </w:rPr>
        <w:t xml:space="preserve">convicting </w:t>
      </w:r>
      <w:r w:rsidRPr="00A81CD3">
        <w:rPr>
          <w:lang w:val="en-CA"/>
        </w:rPr>
        <w:t>him of possession of cocaine.</w:t>
      </w:r>
      <w:r w:rsidRPr="00A81CD3">
        <w:rPr>
          <w:rStyle w:val="Appelnotedebasdep"/>
          <w:lang w:val="en-CA"/>
        </w:rPr>
        <w:footnoteReference w:id="1"/>
      </w:r>
    </w:p>
    <w:p w14:paraId="4F737433" w14:textId="116B7D8B" w:rsidR="00E406BF" w:rsidRPr="00A81CD3" w:rsidRDefault="00EF1AF1" w:rsidP="00993B70">
      <w:pPr>
        <w:pStyle w:val="Paragraphe"/>
        <w:numPr>
          <w:ilvl w:val="0"/>
          <w:numId w:val="1"/>
        </w:numPr>
        <w:spacing w:before="240" w:after="180" w:line="280" w:lineRule="exact"/>
        <w:rPr>
          <w:lang w:val="en-CA"/>
        </w:rPr>
      </w:pPr>
      <w:r w:rsidRPr="00A81CD3">
        <w:rPr>
          <w:lang w:val="en-CA"/>
        </w:rPr>
        <w:t xml:space="preserve">The grounds he raises relate to two interlocutory judgments </w:t>
      </w:r>
      <w:r w:rsidR="006F7E56">
        <w:rPr>
          <w:lang w:val="en-CA"/>
        </w:rPr>
        <w:t>rendered</w:t>
      </w:r>
      <w:r w:rsidRPr="00A81CD3">
        <w:rPr>
          <w:lang w:val="en-CA"/>
        </w:rPr>
        <w:t xml:space="preserve"> by the trial judge.</w:t>
      </w:r>
    </w:p>
    <w:p w14:paraId="4F737434" w14:textId="41C23B18" w:rsidR="00E406BF" w:rsidRPr="00A81CD3" w:rsidRDefault="00EF1AF1" w:rsidP="00993B70">
      <w:pPr>
        <w:pStyle w:val="Paragraphe"/>
        <w:numPr>
          <w:ilvl w:val="0"/>
          <w:numId w:val="1"/>
        </w:numPr>
        <w:spacing w:before="240" w:after="180" w:line="280" w:lineRule="exact"/>
        <w:rPr>
          <w:lang w:val="en-CA"/>
        </w:rPr>
      </w:pPr>
      <w:r w:rsidRPr="00A81CD3">
        <w:rPr>
          <w:lang w:val="en-CA"/>
        </w:rPr>
        <w:t xml:space="preserve">The first dismissed two </w:t>
      </w:r>
      <w:r w:rsidR="005F221F">
        <w:rPr>
          <w:lang w:val="en-CA"/>
        </w:rPr>
        <w:t>motions</w:t>
      </w:r>
      <w:r w:rsidRPr="00A81CD3">
        <w:rPr>
          <w:lang w:val="en-CA"/>
        </w:rPr>
        <w:t xml:space="preserve"> in which he challenged the admissibility in evidence of the cocaine seized by </w:t>
      </w:r>
      <w:r w:rsidR="00213DFC">
        <w:rPr>
          <w:lang w:val="en-CA"/>
        </w:rPr>
        <w:t xml:space="preserve">the </w:t>
      </w:r>
      <w:r w:rsidRPr="00A81CD3">
        <w:rPr>
          <w:lang w:val="en-CA"/>
        </w:rPr>
        <w:t>police.</w:t>
      </w:r>
      <w:r w:rsidRPr="00A81CD3">
        <w:rPr>
          <w:szCs w:val="24"/>
          <w:vertAlign w:val="superscript"/>
          <w:lang w:val="en-CA"/>
        </w:rPr>
        <w:footnoteReference w:id="2"/>
      </w:r>
      <w:r w:rsidRPr="00A81CD3">
        <w:rPr>
          <w:lang w:val="en-CA"/>
        </w:rPr>
        <w:t xml:space="preserve"> In one of these </w:t>
      </w:r>
      <w:r w:rsidR="005F221F">
        <w:rPr>
          <w:lang w:val="en-CA"/>
        </w:rPr>
        <w:t>motions</w:t>
      </w:r>
      <w:r w:rsidRPr="00A81CD3">
        <w:rPr>
          <w:lang w:val="en-CA"/>
        </w:rPr>
        <w:t>, the appellant claimed that his right to counsel</w:t>
      </w:r>
      <w:r w:rsidRPr="00A81CD3">
        <w:rPr>
          <w:szCs w:val="24"/>
          <w:vertAlign w:val="superscript"/>
          <w:lang w:val="en-CA"/>
        </w:rPr>
        <w:footnoteReference w:id="3"/>
      </w:r>
      <w:r w:rsidRPr="00A81CD3">
        <w:rPr>
          <w:lang w:val="en-CA"/>
        </w:rPr>
        <w:t xml:space="preserve"> had been </w:t>
      </w:r>
      <w:r w:rsidR="00B9704B">
        <w:rPr>
          <w:lang w:val="en-CA"/>
        </w:rPr>
        <w:t>infringed</w:t>
      </w:r>
      <w:r w:rsidRPr="00A81CD3">
        <w:rPr>
          <w:lang w:val="en-CA"/>
        </w:rPr>
        <w:t xml:space="preserve"> when he was stopped. In the other </w:t>
      </w:r>
      <w:r w:rsidR="002A0F14">
        <w:rPr>
          <w:lang w:val="en-CA"/>
        </w:rPr>
        <w:t>motion</w:t>
      </w:r>
      <w:r w:rsidRPr="00A81CD3">
        <w:rPr>
          <w:lang w:val="en-CA"/>
        </w:rPr>
        <w:t xml:space="preserve">, he </w:t>
      </w:r>
      <w:r w:rsidR="00213DFC">
        <w:rPr>
          <w:lang w:val="en-CA"/>
        </w:rPr>
        <w:t>challenged</w:t>
      </w:r>
      <w:r w:rsidRPr="00A81CD3">
        <w:rPr>
          <w:lang w:val="en-CA"/>
        </w:rPr>
        <w:t xml:space="preserve"> the </w:t>
      </w:r>
      <w:r w:rsidR="00213DFC">
        <w:rPr>
          <w:lang w:val="en-CA"/>
        </w:rPr>
        <w:t>lawfulness</w:t>
      </w:r>
      <w:r w:rsidRPr="00A81CD3">
        <w:rPr>
          <w:lang w:val="en-CA"/>
        </w:rPr>
        <w:t xml:space="preserve"> of the general warrant under which he was stopped and searched.</w:t>
      </w:r>
    </w:p>
    <w:p w14:paraId="4F737435" w14:textId="2D6C241D" w:rsidR="00E406BF" w:rsidRPr="00A81CD3" w:rsidRDefault="00EF1AF1" w:rsidP="00993B70">
      <w:pPr>
        <w:pStyle w:val="Paragraphe"/>
        <w:numPr>
          <w:ilvl w:val="0"/>
          <w:numId w:val="1"/>
        </w:numPr>
        <w:spacing w:before="240" w:after="180" w:line="280" w:lineRule="exact"/>
        <w:rPr>
          <w:lang w:val="en-CA"/>
        </w:rPr>
      </w:pPr>
      <w:r w:rsidRPr="00A81CD3">
        <w:rPr>
          <w:lang w:val="en-CA"/>
        </w:rPr>
        <w:t>The second judgment</w:t>
      </w:r>
      <w:r w:rsidRPr="00A81CD3">
        <w:rPr>
          <w:szCs w:val="24"/>
          <w:vertAlign w:val="superscript"/>
          <w:lang w:val="en-CA"/>
        </w:rPr>
        <w:footnoteReference w:id="4"/>
      </w:r>
      <w:r w:rsidRPr="00A81CD3">
        <w:rPr>
          <w:lang w:val="en-CA"/>
        </w:rPr>
        <w:t xml:space="preserve"> dismissed a </w:t>
      </w:r>
      <w:r w:rsidRPr="00A81CD3">
        <w:rPr>
          <w:i/>
          <w:iCs/>
          <w:lang w:val="en-CA"/>
        </w:rPr>
        <w:t>Jordan</w:t>
      </w:r>
      <w:r w:rsidRPr="00A81CD3">
        <w:rPr>
          <w:lang w:val="en-CA"/>
        </w:rPr>
        <w:t xml:space="preserve"> </w:t>
      </w:r>
      <w:r w:rsidR="005F221F">
        <w:rPr>
          <w:lang w:val="en-CA"/>
        </w:rPr>
        <w:t>motion</w:t>
      </w:r>
      <w:r w:rsidRPr="00A81CD3">
        <w:rPr>
          <w:lang w:val="en-CA"/>
        </w:rPr>
        <w:t xml:space="preserve"> claiming that his right to be tried within a reasonable time had been </w:t>
      </w:r>
      <w:r w:rsidR="00B9704B">
        <w:rPr>
          <w:lang w:val="en-CA"/>
        </w:rPr>
        <w:t>infringed</w:t>
      </w:r>
      <w:r w:rsidRPr="00A81CD3">
        <w:rPr>
          <w:lang w:val="en-CA"/>
        </w:rPr>
        <w:t>.</w:t>
      </w:r>
      <w:r w:rsidRPr="00A81CD3">
        <w:rPr>
          <w:szCs w:val="24"/>
          <w:vertAlign w:val="superscript"/>
          <w:lang w:val="en-CA"/>
        </w:rPr>
        <w:footnoteReference w:id="5"/>
      </w:r>
    </w:p>
    <w:p w14:paraId="4F737436" w14:textId="28B24A7F" w:rsidR="00E406BF" w:rsidRPr="00A81CD3" w:rsidRDefault="00EF1AF1" w:rsidP="00014DA5">
      <w:pPr>
        <w:pStyle w:val="Paragraphe"/>
        <w:keepNext/>
        <w:widowControl w:val="0"/>
        <w:spacing w:line="240" w:lineRule="auto"/>
        <w:ind w:left="425" w:hanging="425"/>
        <w:rPr>
          <w:b/>
          <w:bCs/>
          <w:u w:val="single"/>
          <w:lang w:val="en-CA"/>
        </w:rPr>
      </w:pPr>
      <w:r w:rsidRPr="00A81CD3">
        <w:rPr>
          <w:b/>
          <w:bCs/>
          <w:lang w:val="en-CA"/>
        </w:rPr>
        <w:t>I.</w:t>
      </w:r>
      <w:r w:rsidRPr="00A81CD3">
        <w:rPr>
          <w:b/>
          <w:bCs/>
          <w:lang w:val="en-CA"/>
        </w:rPr>
        <w:tab/>
      </w:r>
      <w:r w:rsidR="00213DFC" w:rsidRPr="006F7E56">
        <w:rPr>
          <w:b/>
          <w:bCs/>
          <w:u w:val="single"/>
          <w:lang w:val="en-CA"/>
        </w:rPr>
        <w:t>Background</w:t>
      </w:r>
    </w:p>
    <w:p w14:paraId="4F737437" w14:textId="67F7C9FE" w:rsidR="00E406BF" w:rsidRPr="00A81CD3" w:rsidRDefault="00EF1AF1" w:rsidP="00993B70">
      <w:pPr>
        <w:pStyle w:val="Paragraphe"/>
        <w:numPr>
          <w:ilvl w:val="0"/>
          <w:numId w:val="1"/>
        </w:numPr>
        <w:spacing w:before="240" w:after="180" w:line="280" w:lineRule="exact"/>
        <w:rPr>
          <w:lang w:val="en-CA"/>
        </w:rPr>
      </w:pPr>
      <w:r w:rsidRPr="00A81CD3">
        <w:rPr>
          <w:lang w:val="en-CA"/>
        </w:rPr>
        <w:t xml:space="preserve">In April 2018, the Outaouais regional </w:t>
      </w:r>
      <w:r w:rsidR="00B47767">
        <w:rPr>
          <w:lang w:val="en-CA"/>
        </w:rPr>
        <w:t>mixed</w:t>
      </w:r>
      <w:r w:rsidR="0053565F" w:rsidRPr="00A81CD3">
        <w:rPr>
          <w:lang w:val="en-CA"/>
        </w:rPr>
        <w:t xml:space="preserve"> </w:t>
      </w:r>
      <w:r w:rsidRPr="00A81CD3">
        <w:rPr>
          <w:lang w:val="en-CA"/>
        </w:rPr>
        <w:t>squad began a large-scale investigation into drug trafficking in the Gatineau region</w:t>
      </w:r>
      <w:r w:rsidR="0053565F">
        <w:rPr>
          <w:lang w:val="en-CA"/>
        </w:rPr>
        <w:t xml:space="preserve"> referred to as investigation</w:t>
      </w:r>
      <w:r w:rsidRPr="00A81CD3">
        <w:rPr>
          <w:lang w:val="en-CA"/>
        </w:rPr>
        <w:t xml:space="preserve"> Paquebot. This investigation was prompted by the links between </w:t>
      </w:r>
      <w:r w:rsidR="0053565F">
        <w:rPr>
          <w:lang w:val="en-CA"/>
        </w:rPr>
        <w:t>persons</w:t>
      </w:r>
      <w:r w:rsidRPr="00A81CD3">
        <w:rPr>
          <w:lang w:val="en-CA"/>
        </w:rPr>
        <w:t xml:space="preserve"> involved in the sale of narcotics in the Outaouais region and individuals targeted by another investigation into the activities of a criminal group in the Saint-Jean-sur-Richelieu and Outaouais regions. The two people targeted by </w:t>
      </w:r>
      <w:r w:rsidR="0053565F">
        <w:rPr>
          <w:lang w:val="en-CA"/>
        </w:rPr>
        <w:t>investigation</w:t>
      </w:r>
      <w:r w:rsidRPr="00A81CD3">
        <w:rPr>
          <w:lang w:val="en-CA"/>
        </w:rPr>
        <w:t xml:space="preserve"> Paquebot were Andrew William Bangs and Jose De Sampaio.</w:t>
      </w:r>
    </w:p>
    <w:p w14:paraId="4F737438" w14:textId="319723FA" w:rsidR="00E406BF" w:rsidRPr="00A81CD3" w:rsidRDefault="00EF1AF1" w:rsidP="00993B70">
      <w:pPr>
        <w:pStyle w:val="Paragraphe"/>
        <w:numPr>
          <w:ilvl w:val="0"/>
          <w:numId w:val="1"/>
        </w:numPr>
        <w:spacing w:before="240" w:after="180" w:line="280" w:lineRule="exact"/>
        <w:rPr>
          <w:lang w:val="en-CA"/>
        </w:rPr>
      </w:pPr>
      <w:r w:rsidRPr="00A81CD3">
        <w:rPr>
          <w:lang w:val="en-CA"/>
        </w:rPr>
        <w:t xml:space="preserve">On July 16, 2018, the police obtained a general warrant issued under section 487.01 </w:t>
      </w:r>
      <w:r w:rsidRPr="00A81CD3">
        <w:rPr>
          <w:i/>
          <w:iCs/>
          <w:lang w:val="en-CA"/>
        </w:rPr>
        <w:t>Cr.</w:t>
      </w:r>
      <w:r w:rsidR="0053565F">
        <w:rPr>
          <w:i/>
          <w:iCs/>
          <w:lang w:val="en-CA"/>
        </w:rPr>
        <w:t> </w:t>
      </w:r>
      <w:r w:rsidRPr="00A81CD3">
        <w:rPr>
          <w:i/>
          <w:iCs/>
          <w:lang w:val="en-CA"/>
        </w:rPr>
        <w:t>C.</w:t>
      </w:r>
      <w:r w:rsidRPr="00A81CD3">
        <w:rPr>
          <w:lang w:val="en-CA"/>
        </w:rPr>
        <w:t xml:space="preserve"> More specifically, it was a warrant allowing them, if they had reasonable grounds to believe that a drug trafficking offence involving Mr. Bangs or Mr.</w:t>
      </w:r>
      <w:r w:rsidR="0053565F">
        <w:rPr>
          <w:lang w:val="en-CA"/>
        </w:rPr>
        <w:t> </w:t>
      </w:r>
      <w:r w:rsidRPr="00A81CD3">
        <w:rPr>
          <w:lang w:val="en-CA"/>
        </w:rPr>
        <w:t xml:space="preserve">Sampaio had been committed, to stop and search the suspects and their vehicle under a false </w:t>
      </w:r>
      <w:r w:rsidR="00CD1F32">
        <w:rPr>
          <w:lang w:val="en-CA"/>
        </w:rPr>
        <w:t>pretext</w:t>
      </w:r>
      <w:r w:rsidRPr="00A81CD3">
        <w:rPr>
          <w:lang w:val="en-CA"/>
        </w:rPr>
        <w:t xml:space="preserve">. By not revealing the real reason for the stop and search, the police hoped to be able to continue their investigation without revealing its existence to the other </w:t>
      </w:r>
      <w:r w:rsidR="0053565F">
        <w:rPr>
          <w:lang w:val="en-CA"/>
        </w:rPr>
        <w:t>persons</w:t>
      </w:r>
      <w:r w:rsidRPr="00A81CD3">
        <w:rPr>
          <w:lang w:val="en-CA"/>
        </w:rPr>
        <w:t xml:space="preserve"> in the network.</w:t>
      </w:r>
    </w:p>
    <w:p w14:paraId="4F737439" w14:textId="77777777" w:rsidR="00E406BF" w:rsidRPr="00A81CD3" w:rsidRDefault="00EF1AF1" w:rsidP="00993B70">
      <w:pPr>
        <w:pStyle w:val="Paragraphe"/>
        <w:numPr>
          <w:ilvl w:val="0"/>
          <w:numId w:val="1"/>
        </w:numPr>
        <w:spacing w:before="240" w:after="180" w:line="280" w:lineRule="exact"/>
        <w:rPr>
          <w:lang w:val="en-CA"/>
        </w:rPr>
      </w:pPr>
      <w:r w:rsidRPr="00A81CD3">
        <w:rPr>
          <w:lang w:val="en-CA"/>
        </w:rPr>
        <w:lastRenderedPageBreak/>
        <w:t>The warrant in question stated the following:</w:t>
      </w:r>
    </w:p>
    <w:p w14:paraId="04FFE152" w14:textId="28CD8DCE" w:rsidR="00562268" w:rsidRPr="00562268" w:rsidRDefault="00562268" w:rsidP="00014DA5">
      <w:pPr>
        <w:pStyle w:val="Citationenretrait"/>
        <w:rPr>
          <w:lang w:val="en-CA"/>
        </w:rPr>
      </w:pPr>
      <w:r>
        <w:rPr>
          <w:lang w:val="en-CA"/>
        </w:rPr>
        <w:t>[</w:t>
      </w:r>
      <w:r>
        <w:rPr>
          <w:smallCaps/>
          <w:lang w:val="en-CA"/>
        </w:rPr>
        <w:t>translation</w:t>
      </w:r>
      <w:r>
        <w:rPr>
          <w:lang w:val="en-CA"/>
        </w:rPr>
        <w:t>]</w:t>
      </w:r>
    </w:p>
    <w:p w14:paraId="4F73743A" w14:textId="11C0FEC2" w:rsidR="00E406BF" w:rsidRPr="00A81CD3" w:rsidRDefault="00EF1AF1" w:rsidP="00014DA5">
      <w:pPr>
        <w:pStyle w:val="Citationenretrait"/>
        <w:rPr>
          <w:lang w:val="en-CA"/>
        </w:rPr>
      </w:pPr>
      <w:r w:rsidRPr="00A81CD3">
        <w:rPr>
          <w:lang w:val="en-CA"/>
        </w:rPr>
        <w:t xml:space="preserve">I authorize the stopping, under a false </w:t>
      </w:r>
      <w:r w:rsidR="00CD1F32">
        <w:rPr>
          <w:lang w:val="en-CA"/>
        </w:rPr>
        <w:t>pretext</w:t>
      </w:r>
      <w:r w:rsidRPr="00A81CD3">
        <w:rPr>
          <w:lang w:val="en-CA"/>
        </w:rPr>
        <w:t xml:space="preserve"> </w:t>
      </w:r>
      <w:r w:rsidR="006431D8" w:rsidRPr="00A81CD3">
        <w:rPr>
          <w:lang w:val="en-CA"/>
        </w:rPr>
        <w:t>better suited</w:t>
      </w:r>
      <w:r w:rsidRPr="00A81CD3">
        <w:rPr>
          <w:lang w:val="en-CA"/>
        </w:rPr>
        <w:t xml:space="preserve"> to the situation, of any person or vehicle involved in an offence that is the subject of this investigation, namely:</w:t>
      </w:r>
    </w:p>
    <w:p w14:paraId="4F73743B" w14:textId="7AE3B306" w:rsidR="00E406BF" w:rsidRPr="00A81CD3" w:rsidRDefault="00EF1AF1" w:rsidP="00E406BF">
      <w:pPr>
        <w:pStyle w:val="Paragraphe"/>
        <w:widowControl w:val="0"/>
        <w:numPr>
          <w:ilvl w:val="0"/>
          <w:numId w:val="3"/>
        </w:numPr>
        <w:spacing w:line="240" w:lineRule="auto"/>
        <w:ind w:left="1494" w:right="567"/>
        <w:rPr>
          <w:sz w:val="22"/>
          <w:szCs w:val="22"/>
          <w:lang w:val="en-CA"/>
        </w:rPr>
      </w:pPr>
      <w:r w:rsidRPr="00A81CD3">
        <w:rPr>
          <w:sz w:val="22"/>
          <w:szCs w:val="22"/>
          <w:lang w:val="en-CA"/>
        </w:rPr>
        <w:t xml:space="preserve">Possession of narcotics, section 4(1) [of the </w:t>
      </w:r>
      <w:r w:rsidRPr="00A81CD3">
        <w:rPr>
          <w:i/>
          <w:iCs/>
          <w:sz w:val="22"/>
          <w:szCs w:val="22"/>
          <w:lang w:val="en-CA"/>
        </w:rPr>
        <w:t>Controlled Drugs and Substances Act</w:t>
      </w:r>
      <w:r w:rsidRPr="00A81CD3">
        <w:rPr>
          <w:sz w:val="22"/>
          <w:szCs w:val="22"/>
          <w:lang w:val="en-CA"/>
        </w:rPr>
        <w:t>, S.C. 1996, c. 19 (</w:t>
      </w:r>
      <w:r w:rsidR="00705025" w:rsidRPr="00A81CD3">
        <w:rPr>
          <w:caps/>
          <w:sz w:val="22"/>
          <w:szCs w:val="22"/>
          <w:lang w:val="en-CA"/>
        </w:rPr>
        <w:t>“</w:t>
      </w:r>
      <w:r w:rsidRPr="006F7E56">
        <w:rPr>
          <w:i/>
          <w:iCs/>
          <w:sz w:val="22"/>
          <w:szCs w:val="22"/>
          <w:lang w:val="en-CA"/>
        </w:rPr>
        <w:t>CDSA</w:t>
      </w:r>
      <w:r w:rsidR="00705025" w:rsidRPr="00A81CD3">
        <w:rPr>
          <w:sz w:val="22"/>
          <w:szCs w:val="22"/>
          <w:lang w:val="en-CA"/>
        </w:rPr>
        <w:t>”</w:t>
      </w:r>
      <w:r w:rsidRPr="00A81CD3">
        <w:rPr>
          <w:sz w:val="22"/>
          <w:szCs w:val="22"/>
          <w:lang w:val="en-CA"/>
        </w:rPr>
        <w:t>)];</w:t>
      </w:r>
    </w:p>
    <w:p w14:paraId="4F73743C" w14:textId="007AAA3A" w:rsidR="00E406BF" w:rsidRPr="00A81CD3" w:rsidRDefault="00EF1AF1" w:rsidP="00E406BF">
      <w:pPr>
        <w:pStyle w:val="Paragraphe"/>
        <w:widowControl w:val="0"/>
        <w:numPr>
          <w:ilvl w:val="0"/>
          <w:numId w:val="3"/>
        </w:numPr>
        <w:spacing w:line="240" w:lineRule="auto"/>
        <w:ind w:left="1494" w:right="567"/>
        <w:rPr>
          <w:sz w:val="22"/>
          <w:szCs w:val="22"/>
          <w:lang w:val="en-CA"/>
        </w:rPr>
      </w:pPr>
      <w:r w:rsidRPr="00A81CD3">
        <w:rPr>
          <w:sz w:val="22"/>
          <w:szCs w:val="22"/>
          <w:lang w:val="en-CA"/>
        </w:rPr>
        <w:t xml:space="preserve">Possession for the purpose of trafficking, section 5(2) </w:t>
      </w:r>
      <w:r w:rsidRPr="006F7E56">
        <w:rPr>
          <w:i/>
          <w:iCs/>
          <w:sz w:val="22"/>
          <w:szCs w:val="22"/>
          <w:lang w:val="en-CA"/>
        </w:rPr>
        <w:t>CDSA</w:t>
      </w:r>
      <w:r w:rsidRPr="00A81CD3">
        <w:rPr>
          <w:sz w:val="22"/>
          <w:szCs w:val="22"/>
          <w:lang w:val="en-CA"/>
        </w:rPr>
        <w:t>;</w:t>
      </w:r>
    </w:p>
    <w:p w14:paraId="4F73743D" w14:textId="26BAC874" w:rsidR="00E406BF" w:rsidRPr="00A81CD3" w:rsidRDefault="00EF1AF1" w:rsidP="00E406BF">
      <w:pPr>
        <w:pStyle w:val="Paragraphe"/>
        <w:widowControl w:val="0"/>
        <w:numPr>
          <w:ilvl w:val="0"/>
          <w:numId w:val="3"/>
        </w:numPr>
        <w:spacing w:line="240" w:lineRule="auto"/>
        <w:ind w:left="1494" w:right="567"/>
        <w:rPr>
          <w:sz w:val="22"/>
          <w:szCs w:val="22"/>
          <w:lang w:val="en-CA"/>
        </w:rPr>
      </w:pPr>
      <w:r w:rsidRPr="00A81CD3">
        <w:rPr>
          <w:sz w:val="22"/>
          <w:szCs w:val="22"/>
          <w:lang w:val="en-CA"/>
        </w:rPr>
        <w:t xml:space="preserve">Trafficking in narcotics, section 5(1) </w:t>
      </w:r>
      <w:r w:rsidRPr="006F7E56">
        <w:rPr>
          <w:i/>
          <w:iCs/>
          <w:sz w:val="22"/>
          <w:szCs w:val="22"/>
          <w:lang w:val="en-CA"/>
        </w:rPr>
        <w:t>CDSA</w:t>
      </w:r>
      <w:r w:rsidRPr="00A81CD3">
        <w:rPr>
          <w:sz w:val="22"/>
          <w:szCs w:val="22"/>
          <w:lang w:val="en-CA"/>
        </w:rPr>
        <w:t>;</w:t>
      </w:r>
    </w:p>
    <w:p w14:paraId="4F73743E" w14:textId="77777777" w:rsidR="00E406BF" w:rsidRPr="00A81CD3" w:rsidRDefault="00EF1AF1" w:rsidP="00E406BF">
      <w:pPr>
        <w:pStyle w:val="Paragraphe"/>
        <w:widowControl w:val="0"/>
        <w:spacing w:line="240" w:lineRule="auto"/>
        <w:ind w:left="1134" w:right="567"/>
        <w:rPr>
          <w:sz w:val="22"/>
          <w:szCs w:val="22"/>
          <w:lang w:val="en-CA"/>
        </w:rPr>
      </w:pPr>
      <w:r w:rsidRPr="00A81CD3">
        <w:rPr>
          <w:sz w:val="22"/>
          <w:szCs w:val="22"/>
          <w:lang w:val="en-CA"/>
        </w:rPr>
        <w:t>[…]</w:t>
      </w:r>
    </w:p>
    <w:p w14:paraId="4F73743F" w14:textId="2E8D6B90" w:rsidR="00E406BF" w:rsidRPr="00A81CD3" w:rsidRDefault="00EF1AF1" w:rsidP="00014DA5">
      <w:pPr>
        <w:pStyle w:val="Citationenretrait"/>
        <w:rPr>
          <w:lang w:val="en-CA"/>
        </w:rPr>
      </w:pPr>
      <w:r w:rsidRPr="00A81CD3">
        <w:rPr>
          <w:lang w:val="en-CA"/>
        </w:rPr>
        <w:t xml:space="preserve">When a transaction is initiated </w:t>
      </w:r>
      <w:r w:rsidR="00C95E89">
        <w:rPr>
          <w:lang w:val="en-CA"/>
        </w:rPr>
        <w:t xml:space="preserve">by </w:t>
      </w:r>
      <w:r w:rsidRPr="00A81CD3">
        <w:rPr>
          <w:lang w:val="en-CA"/>
        </w:rPr>
        <w:t>or involves one of the following subjects:</w:t>
      </w:r>
    </w:p>
    <w:p w14:paraId="4F737440" w14:textId="77777777" w:rsidR="00E406BF" w:rsidRPr="00A81CD3" w:rsidRDefault="00EF1AF1" w:rsidP="00E406BF">
      <w:pPr>
        <w:pStyle w:val="Paragraphe"/>
        <w:widowControl w:val="0"/>
        <w:numPr>
          <w:ilvl w:val="0"/>
          <w:numId w:val="4"/>
        </w:numPr>
        <w:spacing w:line="240" w:lineRule="auto"/>
        <w:ind w:left="1494" w:right="567"/>
        <w:rPr>
          <w:sz w:val="22"/>
          <w:szCs w:val="22"/>
          <w:lang w:val="en-CA"/>
        </w:rPr>
      </w:pPr>
      <w:r w:rsidRPr="00A81CD3">
        <w:rPr>
          <w:sz w:val="22"/>
          <w:szCs w:val="22"/>
          <w:lang w:val="en-CA"/>
        </w:rPr>
        <w:t>Andrew William Bangs;</w:t>
      </w:r>
    </w:p>
    <w:p w14:paraId="4F737441" w14:textId="77777777" w:rsidR="00E406BF" w:rsidRPr="00A81CD3" w:rsidRDefault="00EF1AF1" w:rsidP="00E406BF">
      <w:pPr>
        <w:pStyle w:val="Paragraphe"/>
        <w:widowControl w:val="0"/>
        <w:numPr>
          <w:ilvl w:val="0"/>
          <w:numId w:val="4"/>
        </w:numPr>
        <w:spacing w:line="240" w:lineRule="auto"/>
        <w:ind w:left="1494" w:right="567"/>
        <w:rPr>
          <w:sz w:val="22"/>
          <w:szCs w:val="22"/>
          <w:lang w:val="en-CA"/>
        </w:rPr>
      </w:pPr>
      <w:r w:rsidRPr="00A81CD3">
        <w:rPr>
          <w:sz w:val="22"/>
          <w:szCs w:val="22"/>
          <w:lang w:val="en-CA"/>
        </w:rPr>
        <w:t>Jose De Sampaio.</w:t>
      </w:r>
    </w:p>
    <w:p w14:paraId="4F737442" w14:textId="195350B4" w:rsidR="00E406BF" w:rsidRPr="00A81CD3" w:rsidRDefault="00EF1AF1" w:rsidP="00014DA5">
      <w:pPr>
        <w:pStyle w:val="Citationenretrait"/>
        <w:rPr>
          <w:lang w:val="en-CA"/>
        </w:rPr>
      </w:pPr>
      <w:r w:rsidRPr="00A81CD3">
        <w:rPr>
          <w:lang w:val="en-CA"/>
        </w:rPr>
        <w:t xml:space="preserve">More specifically, I authorize peace officers to stop on a public </w:t>
      </w:r>
      <w:r w:rsidR="00FF00E9">
        <w:rPr>
          <w:lang w:val="en-CA"/>
        </w:rPr>
        <w:t>highway</w:t>
      </w:r>
      <w:r w:rsidRPr="00A81CD3">
        <w:rPr>
          <w:lang w:val="en-CA"/>
        </w:rPr>
        <w:t xml:space="preserve">, under a false </w:t>
      </w:r>
      <w:r w:rsidR="00CD1F32">
        <w:rPr>
          <w:lang w:val="en-CA"/>
        </w:rPr>
        <w:t>pretext</w:t>
      </w:r>
      <w:r w:rsidRPr="00A81CD3">
        <w:rPr>
          <w:lang w:val="en-CA"/>
        </w:rPr>
        <w:t xml:space="preserve">, any person and/or vehicle for which police officers have </w:t>
      </w:r>
      <w:r w:rsidRPr="00A81CD3">
        <w:rPr>
          <w:b/>
          <w:bCs/>
          <w:lang w:val="en-CA"/>
        </w:rPr>
        <w:t xml:space="preserve">reasonable grounds to believe that </w:t>
      </w:r>
      <w:bookmarkStart w:id="13" w:name="_Hlk229489229"/>
      <w:r w:rsidRPr="00A81CD3">
        <w:rPr>
          <w:b/>
          <w:bCs/>
          <w:lang w:val="en-CA"/>
        </w:rPr>
        <w:t>an offence related to trafficking in narcotics and the transportation of narcotics and/or money related to trafficking in narcotics has been committed</w:t>
      </w:r>
      <w:r w:rsidRPr="00A81CD3">
        <w:rPr>
          <w:lang w:val="en-CA"/>
        </w:rPr>
        <w:t xml:space="preserve"> </w:t>
      </w:r>
      <w:bookmarkEnd w:id="13"/>
      <w:r w:rsidRPr="00A81CD3">
        <w:rPr>
          <w:lang w:val="en-CA"/>
        </w:rPr>
        <w:t>in connection with a transaction initiated or involving one of the persons</w:t>
      </w:r>
      <w:r w:rsidR="00FF00E9">
        <w:rPr>
          <w:lang w:val="en-CA"/>
        </w:rPr>
        <w:t xml:space="preserve"> referred to above</w:t>
      </w:r>
      <w:r w:rsidRPr="00A81CD3">
        <w:rPr>
          <w:lang w:val="en-CA"/>
        </w:rPr>
        <w:t xml:space="preserve">, </w:t>
      </w:r>
      <w:r w:rsidRPr="00A81CD3">
        <w:rPr>
          <w:u w:val="single"/>
          <w:lang w:val="en-CA"/>
        </w:rPr>
        <w:t xml:space="preserve">by simulating an intervention under section 636 of the </w:t>
      </w:r>
      <w:r w:rsidRPr="006F7E56">
        <w:rPr>
          <w:i/>
          <w:iCs/>
          <w:u w:val="single"/>
          <w:lang w:val="en-CA"/>
        </w:rPr>
        <w:t>Highway Safety Code</w:t>
      </w:r>
      <w:r w:rsidRPr="00A81CD3">
        <w:rPr>
          <w:u w:val="single"/>
          <w:lang w:val="en-CA"/>
        </w:rPr>
        <w:t xml:space="preserve">, whether or not an offence has been committed under the </w:t>
      </w:r>
      <w:r w:rsidRPr="006F7E56">
        <w:rPr>
          <w:i/>
          <w:iCs/>
          <w:u w:val="single"/>
          <w:lang w:val="en-CA"/>
        </w:rPr>
        <w:t>Highway Safety Code</w:t>
      </w:r>
      <w:r w:rsidRPr="00A81CD3">
        <w:rPr>
          <w:u w:val="single"/>
          <w:lang w:val="en-CA"/>
        </w:rPr>
        <w:t xml:space="preserve">, a municipal by-law and/or the </w:t>
      </w:r>
      <w:r w:rsidRPr="006F7E56">
        <w:rPr>
          <w:i/>
          <w:iCs/>
          <w:u w:val="single"/>
          <w:lang w:val="en-CA"/>
        </w:rPr>
        <w:t>Criminal Code</w:t>
      </w:r>
      <w:r w:rsidRPr="00A81CD3">
        <w:rPr>
          <w:lang w:val="en-CA"/>
        </w:rPr>
        <w:t xml:space="preserve"> in order to:</w:t>
      </w:r>
    </w:p>
    <w:p w14:paraId="4F737443" w14:textId="3FCFC3D9" w:rsidR="00E406BF" w:rsidRPr="00A81CD3" w:rsidRDefault="00EF1AF1" w:rsidP="007E1E64">
      <w:pPr>
        <w:pStyle w:val="Paragraphe"/>
        <w:widowControl w:val="0"/>
        <w:numPr>
          <w:ilvl w:val="0"/>
          <w:numId w:val="3"/>
        </w:numPr>
        <w:spacing w:line="240" w:lineRule="auto"/>
        <w:ind w:left="1494" w:right="715"/>
        <w:rPr>
          <w:sz w:val="22"/>
          <w:szCs w:val="22"/>
          <w:lang w:val="en-CA"/>
        </w:rPr>
      </w:pPr>
      <w:r w:rsidRPr="00A81CD3">
        <w:rPr>
          <w:sz w:val="22"/>
          <w:szCs w:val="22"/>
          <w:lang w:val="en-CA"/>
        </w:rPr>
        <w:t xml:space="preserve">Identify all occupants of </w:t>
      </w:r>
      <w:r w:rsidR="00EE6905">
        <w:rPr>
          <w:sz w:val="22"/>
          <w:szCs w:val="22"/>
          <w:lang w:val="en-CA"/>
        </w:rPr>
        <w:t>the</w:t>
      </w:r>
      <w:r w:rsidRPr="00A81CD3">
        <w:rPr>
          <w:sz w:val="22"/>
          <w:szCs w:val="22"/>
          <w:lang w:val="en-CA"/>
        </w:rPr>
        <w:t xml:space="preserve"> vehicle by way of their driver</w:t>
      </w:r>
      <w:r w:rsidR="00CF091D" w:rsidRPr="00A81CD3">
        <w:rPr>
          <w:sz w:val="22"/>
          <w:szCs w:val="22"/>
          <w:lang w:val="en-CA"/>
        </w:rPr>
        <w:t>’</w:t>
      </w:r>
      <w:r w:rsidRPr="00A81CD3">
        <w:rPr>
          <w:sz w:val="22"/>
          <w:szCs w:val="22"/>
          <w:lang w:val="en-CA"/>
        </w:rPr>
        <w:t>s licence or other valid identification;</w:t>
      </w:r>
    </w:p>
    <w:p w14:paraId="4F737444" w14:textId="7508CF3C" w:rsidR="00E406BF" w:rsidRPr="00A81CD3" w:rsidRDefault="00EF1AF1" w:rsidP="007E1E64">
      <w:pPr>
        <w:pStyle w:val="Paragraphe"/>
        <w:widowControl w:val="0"/>
        <w:numPr>
          <w:ilvl w:val="0"/>
          <w:numId w:val="3"/>
        </w:numPr>
        <w:spacing w:line="240" w:lineRule="auto"/>
        <w:ind w:left="1494" w:right="715"/>
        <w:rPr>
          <w:sz w:val="22"/>
          <w:szCs w:val="22"/>
          <w:lang w:val="en-CA"/>
        </w:rPr>
      </w:pPr>
      <w:r w:rsidRPr="00A81CD3">
        <w:rPr>
          <w:sz w:val="22"/>
          <w:szCs w:val="22"/>
          <w:u w:val="single"/>
          <w:lang w:val="en-CA"/>
        </w:rPr>
        <w:t xml:space="preserve">Carry out a search of the vehicle under a false </w:t>
      </w:r>
      <w:r w:rsidR="00CD1F32">
        <w:rPr>
          <w:sz w:val="22"/>
          <w:szCs w:val="22"/>
          <w:u w:val="single"/>
          <w:lang w:val="en-CA"/>
        </w:rPr>
        <w:t>pretext</w:t>
      </w:r>
      <w:r w:rsidRPr="00A81CD3">
        <w:rPr>
          <w:sz w:val="22"/>
          <w:szCs w:val="22"/>
          <w:u w:val="single"/>
          <w:lang w:val="en-CA"/>
        </w:rPr>
        <w:t xml:space="preserve"> </w:t>
      </w:r>
      <w:r w:rsidR="00BE46E8" w:rsidRPr="00A81CD3">
        <w:rPr>
          <w:sz w:val="22"/>
          <w:szCs w:val="22"/>
          <w:u w:val="single"/>
          <w:lang w:val="en-CA"/>
        </w:rPr>
        <w:t>better suited</w:t>
      </w:r>
      <w:r w:rsidRPr="00A81CD3">
        <w:rPr>
          <w:sz w:val="22"/>
          <w:szCs w:val="22"/>
          <w:u w:val="single"/>
          <w:lang w:val="en-CA"/>
        </w:rPr>
        <w:t xml:space="preserve"> to the situation</w:t>
      </w:r>
      <w:r w:rsidRPr="00A81CD3">
        <w:rPr>
          <w:sz w:val="22"/>
          <w:szCs w:val="22"/>
          <w:lang w:val="en-CA"/>
        </w:rPr>
        <w:t xml:space="preserve"> in order to locate and seize money and/or </w:t>
      </w:r>
      <w:r w:rsidR="00073987">
        <w:rPr>
          <w:sz w:val="22"/>
          <w:szCs w:val="22"/>
          <w:lang w:val="en-CA"/>
        </w:rPr>
        <w:t>narcotics</w:t>
      </w:r>
      <w:r w:rsidRPr="00A81CD3">
        <w:rPr>
          <w:sz w:val="22"/>
          <w:szCs w:val="22"/>
          <w:lang w:val="en-CA"/>
        </w:rPr>
        <w:t xml:space="preserve"> and/or documents relating to </w:t>
      </w:r>
      <w:r w:rsidR="00073987" w:rsidRPr="00A81CD3">
        <w:rPr>
          <w:sz w:val="22"/>
          <w:szCs w:val="22"/>
          <w:lang w:val="en-CA"/>
        </w:rPr>
        <w:t xml:space="preserve">narcotics </w:t>
      </w:r>
      <w:r w:rsidRPr="00A81CD3">
        <w:rPr>
          <w:sz w:val="22"/>
          <w:szCs w:val="22"/>
          <w:lang w:val="en-CA"/>
        </w:rPr>
        <w:t>trafficking;</w:t>
      </w:r>
    </w:p>
    <w:p w14:paraId="4F737445" w14:textId="08EF1C08" w:rsidR="00E406BF" w:rsidRPr="00A81CD3" w:rsidRDefault="00EF1AF1" w:rsidP="007E1E64">
      <w:pPr>
        <w:pStyle w:val="Paragraphe"/>
        <w:widowControl w:val="0"/>
        <w:numPr>
          <w:ilvl w:val="0"/>
          <w:numId w:val="3"/>
        </w:numPr>
        <w:spacing w:line="240" w:lineRule="auto"/>
        <w:ind w:left="1494" w:right="715"/>
        <w:rPr>
          <w:sz w:val="22"/>
          <w:szCs w:val="22"/>
          <w:lang w:val="en-CA"/>
        </w:rPr>
      </w:pPr>
      <w:r w:rsidRPr="00A81CD3">
        <w:rPr>
          <w:sz w:val="22"/>
          <w:szCs w:val="22"/>
          <w:lang w:val="en-CA"/>
        </w:rPr>
        <w:t xml:space="preserve">Carry out a search incident to the arrest of a suspect under a false </w:t>
      </w:r>
      <w:r w:rsidR="00CD1F32">
        <w:rPr>
          <w:sz w:val="22"/>
          <w:szCs w:val="22"/>
          <w:lang w:val="en-CA"/>
        </w:rPr>
        <w:t>pretext</w:t>
      </w:r>
      <w:r w:rsidRPr="00A81CD3">
        <w:rPr>
          <w:sz w:val="22"/>
          <w:szCs w:val="22"/>
          <w:lang w:val="en-CA"/>
        </w:rPr>
        <w:t xml:space="preserve"> [...];</w:t>
      </w:r>
    </w:p>
    <w:p w14:paraId="4F737446" w14:textId="74AA677D" w:rsidR="00E406BF" w:rsidRPr="00A81CD3" w:rsidRDefault="00EF1AF1" w:rsidP="007E1E64">
      <w:pPr>
        <w:pStyle w:val="Paragraphe"/>
        <w:widowControl w:val="0"/>
        <w:numPr>
          <w:ilvl w:val="0"/>
          <w:numId w:val="3"/>
        </w:numPr>
        <w:spacing w:line="240" w:lineRule="auto"/>
        <w:ind w:left="1494" w:right="715"/>
        <w:rPr>
          <w:sz w:val="22"/>
          <w:szCs w:val="22"/>
          <w:lang w:val="en-CA"/>
        </w:rPr>
      </w:pPr>
      <w:r w:rsidRPr="00A81CD3">
        <w:rPr>
          <w:sz w:val="22"/>
          <w:szCs w:val="22"/>
          <w:lang w:val="en-CA"/>
        </w:rPr>
        <w:t>Photograph and/or record a video of the location, objects, bags, pockets</w:t>
      </w:r>
      <w:r w:rsidR="009450F7">
        <w:rPr>
          <w:sz w:val="22"/>
          <w:szCs w:val="22"/>
          <w:lang w:val="en-CA"/>
        </w:rPr>
        <w:t>,</w:t>
      </w:r>
      <w:r w:rsidRPr="00A81CD3">
        <w:rPr>
          <w:sz w:val="22"/>
          <w:szCs w:val="22"/>
          <w:lang w:val="en-CA"/>
        </w:rPr>
        <w:t xml:space="preserve"> and their content</w:t>
      </w:r>
      <w:r w:rsidR="00622C62">
        <w:rPr>
          <w:sz w:val="22"/>
          <w:szCs w:val="22"/>
          <w:lang w:val="en-CA"/>
        </w:rPr>
        <w:t>s</w:t>
      </w:r>
      <w:r w:rsidRPr="00A81CD3">
        <w:rPr>
          <w:sz w:val="22"/>
          <w:szCs w:val="22"/>
          <w:lang w:val="en-CA"/>
        </w:rPr>
        <w:t xml:space="preserve"> in connection with the alleged offence;</w:t>
      </w:r>
    </w:p>
    <w:p w14:paraId="4F737447" w14:textId="1E4E6356" w:rsidR="00E406BF" w:rsidRPr="00A81CD3" w:rsidRDefault="00EF1AF1" w:rsidP="007E1E64">
      <w:pPr>
        <w:pStyle w:val="Paragraphe"/>
        <w:widowControl w:val="0"/>
        <w:numPr>
          <w:ilvl w:val="0"/>
          <w:numId w:val="3"/>
        </w:numPr>
        <w:spacing w:line="240" w:lineRule="auto"/>
        <w:ind w:left="1494" w:right="715"/>
        <w:rPr>
          <w:sz w:val="22"/>
          <w:szCs w:val="22"/>
          <w:lang w:val="en-CA"/>
        </w:rPr>
      </w:pPr>
      <w:r w:rsidRPr="00A81CD3">
        <w:rPr>
          <w:sz w:val="22"/>
          <w:szCs w:val="22"/>
          <w:lang w:val="en-CA"/>
        </w:rPr>
        <w:lastRenderedPageBreak/>
        <w:t xml:space="preserve">Consult, photocopy, photograph, take notes, </w:t>
      </w:r>
      <w:r w:rsidR="009450F7">
        <w:rPr>
          <w:sz w:val="22"/>
          <w:szCs w:val="22"/>
          <w:lang w:val="en-CA"/>
        </w:rPr>
        <w:t xml:space="preserve">and </w:t>
      </w:r>
      <w:r w:rsidRPr="00A81CD3">
        <w:rPr>
          <w:sz w:val="22"/>
          <w:szCs w:val="22"/>
          <w:lang w:val="en-CA"/>
        </w:rPr>
        <w:t>transcribe documents at the scene in connection with the alleged offence [...];</w:t>
      </w:r>
    </w:p>
    <w:p w14:paraId="4F737448" w14:textId="77777777" w:rsidR="00E406BF" w:rsidRPr="00A81CD3" w:rsidRDefault="00EF1AF1" w:rsidP="007E1E64">
      <w:pPr>
        <w:pStyle w:val="Paragraphe"/>
        <w:widowControl w:val="0"/>
        <w:spacing w:line="240" w:lineRule="auto"/>
        <w:ind w:left="567" w:right="715"/>
        <w:rPr>
          <w:sz w:val="22"/>
          <w:szCs w:val="22"/>
          <w:lang w:val="en-CA"/>
        </w:rPr>
      </w:pPr>
      <w:r w:rsidRPr="00A81CD3">
        <w:rPr>
          <w:sz w:val="22"/>
          <w:szCs w:val="22"/>
          <w:lang w:val="en-CA"/>
        </w:rPr>
        <w:t>[…]</w:t>
      </w:r>
    </w:p>
    <w:p w14:paraId="4F737449" w14:textId="77777777" w:rsidR="00E406BF" w:rsidRPr="009450F7" w:rsidRDefault="00EF1AF1" w:rsidP="007E1E64">
      <w:pPr>
        <w:pStyle w:val="Paragraphe"/>
        <w:widowControl w:val="0"/>
        <w:spacing w:line="240" w:lineRule="auto"/>
        <w:ind w:left="567" w:right="715"/>
        <w:jc w:val="right"/>
        <w:rPr>
          <w:sz w:val="22"/>
          <w:szCs w:val="22"/>
          <w:lang w:val="en-CA"/>
        </w:rPr>
      </w:pPr>
      <w:r w:rsidRPr="009450F7">
        <w:rPr>
          <w:sz w:val="22"/>
          <w:szCs w:val="22"/>
          <w:lang w:val="en-CA"/>
        </w:rPr>
        <w:t>[Bold in original; emphasis added]</w:t>
      </w:r>
    </w:p>
    <w:p w14:paraId="4F73744A" w14:textId="3D15A4E4" w:rsidR="00E406BF" w:rsidRPr="00A81CD3" w:rsidRDefault="00EF1AF1" w:rsidP="00F269F7">
      <w:pPr>
        <w:pStyle w:val="Paragraphe"/>
        <w:numPr>
          <w:ilvl w:val="0"/>
          <w:numId w:val="1"/>
        </w:numPr>
        <w:spacing w:before="240" w:after="180" w:line="280" w:lineRule="exact"/>
        <w:rPr>
          <w:lang w:val="en-CA"/>
        </w:rPr>
      </w:pPr>
      <w:r w:rsidRPr="00A81CD3">
        <w:rPr>
          <w:lang w:val="en-CA"/>
        </w:rPr>
        <w:t>In addition, the warrant specified that any person stopped must be served with a detailed notice of execution within thirty days of the conclusion of the investigation or, at the latest, by June 9, 2019.</w:t>
      </w:r>
    </w:p>
    <w:p w14:paraId="4F73744B" w14:textId="0FC16480" w:rsidR="00E406BF" w:rsidRPr="00A81CD3" w:rsidRDefault="00EF1AF1" w:rsidP="00EE4E7D">
      <w:pPr>
        <w:pStyle w:val="Paragraphe"/>
        <w:numPr>
          <w:ilvl w:val="0"/>
          <w:numId w:val="1"/>
        </w:numPr>
        <w:spacing w:before="180" w:after="180" w:line="280" w:lineRule="exact"/>
        <w:rPr>
          <w:lang w:val="en-CA"/>
        </w:rPr>
      </w:pPr>
      <w:r w:rsidRPr="00B8776C">
        <w:rPr>
          <w:lang w:val="en-CA"/>
        </w:rPr>
        <w:t>On October 1, 2018</w:t>
      </w:r>
      <w:r w:rsidRPr="00A81CD3">
        <w:rPr>
          <w:lang w:val="en-CA"/>
        </w:rPr>
        <w:t xml:space="preserve">, a surveillance team spotted Mr. De Sampaio leaving a restaurant located in a shopping centre in the company of the appellant and another individual. Mr. De Sampaio left </w:t>
      </w:r>
      <w:r w:rsidR="00B8776C">
        <w:rPr>
          <w:lang w:val="en-CA"/>
        </w:rPr>
        <w:t>alone</w:t>
      </w:r>
      <w:r w:rsidRPr="00A81CD3">
        <w:rPr>
          <w:lang w:val="en-CA"/>
        </w:rPr>
        <w:t xml:space="preserve"> by car and went to a location that the police suspected was a narcotics stash house. He entered the building and came out with an object in his hands, then returned to the </w:t>
      </w:r>
      <w:r w:rsidR="003D1EC1" w:rsidRPr="00A81CD3">
        <w:rPr>
          <w:lang w:val="en-CA"/>
        </w:rPr>
        <w:t>shopping centre</w:t>
      </w:r>
      <w:r w:rsidRPr="00A81CD3">
        <w:rPr>
          <w:lang w:val="en-CA"/>
        </w:rPr>
        <w:t xml:space="preserve"> parking lot. The appellant was still there</w:t>
      </w:r>
      <w:r w:rsidR="00BD0CC4">
        <w:rPr>
          <w:lang w:val="en-CA"/>
        </w:rPr>
        <w:t>,</w:t>
      </w:r>
      <w:r w:rsidRPr="00A81CD3">
        <w:rPr>
          <w:lang w:val="en-CA"/>
        </w:rPr>
        <w:t xml:space="preserve"> </w:t>
      </w:r>
      <w:r w:rsidR="00386800">
        <w:rPr>
          <w:lang w:val="en-CA"/>
        </w:rPr>
        <w:t>and</w:t>
      </w:r>
      <w:r w:rsidRPr="00A81CD3">
        <w:rPr>
          <w:lang w:val="en-CA"/>
        </w:rPr>
        <w:t xml:space="preserve"> his vehicle </w:t>
      </w:r>
      <w:r w:rsidR="00386800">
        <w:rPr>
          <w:lang w:val="en-CA"/>
        </w:rPr>
        <w:t xml:space="preserve">was </w:t>
      </w:r>
      <w:r w:rsidRPr="00A81CD3">
        <w:rPr>
          <w:lang w:val="en-CA"/>
        </w:rPr>
        <w:t>parked next to that of Mr. De Sampaio. The police saw the appellant open the driver’s side door of his vehicle and lean towards Mr. De Sampaio</w:t>
      </w:r>
      <w:r w:rsidR="00356592" w:rsidRPr="00A81CD3">
        <w:rPr>
          <w:lang w:val="en-CA"/>
        </w:rPr>
        <w:t>’</w:t>
      </w:r>
      <w:r w:rsidRPr="00A81CD3">
        <w:rPr>
          <w:lang w:val="en-CA"/>
        </w:rPr>
        <w:t xml:space="preserve">s vehicle. They </w:t>
      </w:r>
      <w:r w:rsidR="003D1EC1">
        <w:rPr>
          <w:lang w:val="en-CA"/>
        </w:rPr>
        <w:t>were</w:t>
      </w:r>
      <w:r w:rsidRPr="00A81CD3">
        <w:rPr>
          <w:lang w:val="en-CA"/>
        </w:rPr>
        <w:t xml:space="preserve"> convinced that the appellant took the object brought back by Mr.</w:t>
      </w:r>
      <w:r w:rsidR="003D1EC1">
        <w:rPr>
          <w:lang w:val="en-CA"/>
        </w:rPr>
        <w:t> </w:t>
      </w:r>
      <w:r w:rsidRPr="00A81CD3">
        <w:rPr>
          <w:lang w:val="en-CA"/>
        </w:rPr>
        <w:t>De</w:t>
      </w:r>
      <w:r w:rsidR="00386800">
        <w:rPr>
          <w:lang w:val="en-CA"/>
        </w:rPr>
        <w:t> </w:t>
      </w:r>
      <w:r w:rsidRPr="00A81CD3">
        <w:rPr>
          <w:lang w:val="en-CA"/>
        </w:rPr>
        <w:t>Sampaio and that a narcotics transaction had just taken place.</w:t>
      </w:r>
    </w:p>
    <w:p w14:paraId="4F73744C" w14:textId="30E29C13"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appellant left the parking lot in his vehicle. He was </w:t>
      </w:r>
      <w:r w:rsidR="00A03B3F" w:rsidRPr="00A81CD3">
        <w:rPr>
          <w:lang w:val="en-CA"/>
        </w:rPr>
        <w:t>stopped</w:t>
      </w:r>
      <w:r w:rsidRPr="00A81CD3">
        <w:rPr>
          <w:lang w:val="en-CA"/>
        </w:rPr>
        <w:t xml:space="preserve"> by </w:t>
      </w:r>
      <w:r w:rsidR="007307E4">
        <w:rPr>
          <w:lang w:val="en-CA"/>
        </w:rPr>
        <w:t>O</w:t>
      </w:r>
      <w:r w:rsidRPr="00A81CD3">
        <w:rPr>
          <w:lang w:val="en-CA"/>
        </w:rPr>
        <w:t>fficers Pierre-Luc Boucher and Corinne Huot-Simard on his way home. They informed him—falsely—that he was being detained for investigative purposes in connection with a break and enter. The appellant was searched, handcuffed</w:t>
      </w:r>
      <w:r w:rsidR="007307E4">
        <w:rPr>
          <w:lang w:val="en-CA"/>
        </w:rPr>
        <w:t>,</w:t>
      </w:r>
      <w:r w:rsidRPr="00A81CD3">
        <w:rPr>
          <w:lang w:val="en-CA"/>
        </w:rPr>
        <w:t xml:space="preserve"> and placed in the patrol car. The police found approximately $700 in cash on his person. Then, while searching his vehicle, </w:t>
      </w:r>
      <w:r w:rsidR="00946A44">
        <w:rPr>
          <w:lang w:val="en-CA"/>
        </w:rPr>
        <w:t>Officer</w:t>
      </w:r>
      <w:r w:rsidRPr="00A81CD3">
        <w:rPr>
          <w:lang w:val="en-CA"/>
        </w:rPr>
        <w:t xml:space="preserve"> Boucher discovered the object seen by the surveillance team: a box containing nine bags of cocaine.</w:t>
      </w:r>
    </w:p>
    <w:p w14:paraId="4F73744D" w14:textId="57C60C2B"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appellant was arrested for possession of drugs for the purpose of trafficking </w:t>
      </w:r>
      <w:r w:rsidR="00946A44">
        <w:rPr>
          <w:lang w:val="en-CA"/>
        </w:rPr>
        <w:t xml:space="preserve">and </w:t>
      </w:r>
      <w:r w:rsidRPr="00A81CD3">
        <w:rPr>
          <w:lang w:val="en-CA"/>
        </w:rPr>
        <w:t xml:space="preserve">then released. He was summoned to the police station on October 18, 2018, but made no statement at </w:t>
      </w:r>
      <w:r w:rsidR="00946A44">
        <w:rPr>
          <w:lang w:val="en-CA"/>
        </w:rPr>
        <w:t>that</w:t>
      </w:r>
      <w:r w:rsidRPr="00A81CD3">
        <w:rPr>
          <w:lang w:val="en-CA"/>
        </w:rPr>
        <w:t xml:space="preserve"> time.</w:t>
      </w:r>
    </w:p>
    <w:p w14:paraId="4F73744E" w14:textId="7359705E" w:rsidR="00E406BF" w:rsidRPr="00A81CD3" w:rsidRDefault="00EF1AF1" w:rsidP="00EE4E7D">
      <w:pPr>
        <w:pStyle w:val="Paragraphe"/>
        <w:numPr>
          <w:ilvl w:val="0"/>
          <w:numId w:val="1"/>
        </w:numPr>
        <w:spacing w:before="180" w:after="180" w:line="280" w:lineRule="exact"/>
        <w:rPr>
          <w:lang w:val="en-CA"/>
        </w:rPr>
      </w:pPr>
      <w:r w:rsidRPr="00A81CD3">
        <w:rPr>
          <w:lang w:val="en-CA"/>
        </w:rPr>
        <w:t>On April 10, 2019, police officers with an arrest warrant and a warrant to enter came to the appellant</w:t>
      </w:r>
      <w:r w:rsidR="00356592" w:rsidRPr="00A81CD3">
        <w:rPr>
          <w:lang w:val="en-CA"/>
        </w:rPr>
        <w:t>’</w:t>
      </w:r>
      <w:r w:rsidRPr="00A81CD3">
        <w:rPr>
          <w:lang w:val="en-CA"/>
        </w:rPr>
        <w:t xml:space="preserve">s residence and arrested him. He appeared in court the same day to answer a charge of possession of nine ounces of cocaine for the purpose of trafficking and was released on </w:t>
      </w:r>
      <w:r w:rsidR="00887B17">
        <w:rPr>
          <w:lang w:val="en-CA"/>
        </w:rPr>
        <w:t>conditions</w:t>
      </w:r>
      <w:r w:rsidRPr="00A81CD3">
        <w:rPr>
          <w:lang w:val="en-CA"/>
        </w:rPr>
        <w:t>. The trial judge noted that it was only upon disclosure of the Crown</w:t>
      </w:r>
      <w:r w:rsidR="00356592" w:rsidRPr="00A81CD3">
        <w:rPr>
          <w:lang w:val="en-CA"/>
        </w:rPr>
        <w:t>’</w:t>
      </w:r>
      <w:r w:rsidRPr="00A81CD3">
        <w:rPr>
          <w:lang w:val="en-CA"/>
        </w:rPr>
        <w:t xml:space="preserve">s evidence in relation to this charge that the appellant learned the </w:t>
      </w:r>
      <w:r w:rsidR="005A6442">
        <w:rPr>
          <w:lang w:val="en-CA"/>
        </w:rPr>
        <w:t>real</w:t>
      </w:r>
      <w:r w:rsidRPr="00A81CD3">
        <w:rPr>
          <w:lang w:val="en-CA"/>
        </w:rPr>
        <w:t xml:space="preserve"> reasons for being stopped on October 1, 2018. The detailed notice of execution of the warrant was never </w:t>
      </w:r>
      <w:r w:rsidR="00887B17">
        <w:rPr>
          <w:lang w:val="en-CA"/>
        </w:rPr>
        <w:t>provided</w:t>
      </w:r>
      <w:r w:rsidRPr="00A81CD3">
        <w:rPr>
          <w:lang w:val="en-CA"/>
        </w:rPr>
        <w:t xml:space="preserve"> to him.</w:t>
      </w:r>
      <w:r w:rsidRPr="00A81CD3">
        <w:rPr>
          <w:szCs w:val="24"/>
          <w:vertAlign w:val="superscript"/>
          <w:lang w:val="en-CA"/>
        </w:rPr>
        <w:footnoteReference w:id="6"/>
      </w:r>
    </w:p>
    <w:p w14:paraId="4F73744F" w14:textId="10E2F166" w:rsidR="00E406BF" w:rsidRPr="00A81CD3" w:rsidRDefault="00EF1AF1" w:rsidP="00EE4E7D">
      <w:pPr>
        <w:pStyle w:val="Paragraphe"/>
        <w:numPr>
          <w:ilvl w:val="0"/>
          <w:numId w:val="1"/>
        </w:numPr>
        <w:spacing w:before="180" w:after="180" w:line="280" w:lineRule="exact"/>
        <w:rPr>
          <w:lang w:val="en-CA"/>
        </w:rPr>
      </w:pPr>
      <w:r w:rsidRPr="00A81CD3">
        <w:rPr>
          <w:lang w:val="en-CA"/>
        </w:rPr>
        <w:lastRenderedPageBreak/>
        <w:t xml:space="preserve">On May 3, 2021, the appellant filed a first </w:t>
      </w:r>
      <w:r w:rsidRPr="00A81CD3">
        <w:rPr>
          <w:i/>
          <w:iCs/>
          <w:lang w:val="en-CA"/>
        </w:rPr>
        <w:t>Jordan</w:t>
      </w:r>
      <w:r w:rsidRPr="00A81CD3">
        <w:rPr>
          <w:lang w:val="en-CA"/>
        </w:rPr>
        <w:t xml:space="preserve"> </w:t>
      </w:r>
      <w:r w:rsidR="005F221F">
        <w:rPr>
          <w:lang w:val="en-CA"/>
        </w:rPr>
        <w:t>motion</w:t>
      </w:r>
      <w:r w:rsidRPr="00A81CD3">
        <w:rPr>
          <w:lang w:val="en-CA"/>
        </w:rPr>
        <w:t xml:space="preserve">. It was </w:t>
      </w:r>
      <w:r w:rsidR="001B5CE2">
        <w:rPr>
          <w:lang w:val="en-CA"/>
        </w:rPr>
        <w:t>dismissed</w:t>
      </w:r>
      <w:r w:rsidRPr="00A81CD3">
        <w:rPr>
          <w:lang w:val="en-CA"/>
        </w:rPr>
        <w:t xml:space="preserve"> on August 16, 2021.</w:t>
      </w:r>
      <w:r w:rsidRPr="00A81CD3">
        <w:rPr>
          <w:rStyle w:val="Appelnotedebasdep"/>
          <w:lang w:val="en-CA"/>
        </w:rPr>
        <w:footnoteReference w:id="7"/>
      </w:r>
      <w:r w:rsidRPr="00A81CD3">
        <w:rPr>
          <w:lang w:val="en-CA"/>
        </w:rPr>
        <w:t xml:space="preserve"> Th</w:t>
      </w:r>
      <w:r w:rsidR="001B5CE2">
        <w:rPr>
          <w:lang w:val="en-CA"/>
        </w:rPr>
        <w:t>at</w:t>
      </w:r>
      <w:r w:rsidRPr="00A81CD3">
        <w:rPr>
          <w:lang w:val="en-CA"/>
        </w:rPr>
        <w:t xml:space="preserve"> judgment is not challenged in </w:t>
      </w:r>
      <w:r w:rsidR="001B5CE2">
        <w:rPr>
          <w:lang w:val="en-CA"/>
        </w:rPr>
        <w:t>this</w:t>
      </w:r>
      <w:r w:rsidRPr="00A81CD3">
        <w:rPr>
          <w:lang w:val="en-CA"/>
        </w:rPr>
        <w:t xml:space="preserve"> appeal.</w:t>
      </w:r>
    </w:p>
    <w:p w14:paraId="4F737450" w14:textId="3BD2556B"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On June 10, 2021, the appellant filed </w:t>
      </w:r>
      <w:r w:rsidR="005F221F">
        <w:rPr>
          <w:lang w:val="en-CA"/>
        </w:rPr>
        <w:t>a motion</w:t>
      </w:r>
      <w:r w:rsidRPr="00A81CD3">
        <w:rPr>
          <w:lang w:val="en-CA"/>
        </w:rPr>
        <w:t xml:space="preserve"> claiming </w:t>
      </w:r>
      <w:r w:rsidR="00B9704B">
        <w:rPr>
          <w:lang w:val="en-CA"/>
        </w:rPr>
        <w:t>an infringement</w:t>
      </w:r>
      <w:r w:rsidRPr="00A81CD3">
        <w:rPr>
          <w:lang w:val="en-CA"/>
        </w:rPr>
        <w:t xml:space="preserve"> of his right to counsel. More specifically, he argued that he was not adequately informed of this right and </w:t>
      </w:r>
      <w:r w:rsidR="001B5CE2">
        <w:rPr>
          <w:lang w:val="en-CA"/>
        </w:rPr>
        <w:t xml:space="preserve">that he </w:t>
      </w:r>
      <w:r w:rsidRPr="00A81CD3">
        <w:rPr>
          <w:lang w:val="en-CA"/>
        </w:rPr>
        <w:t>did not have the opportunity to exercise it when he was stopped.</w:t>
      </w:r>
    </w:p>
    <w:p w14:paraId="4F737451" w14:textId="0F23CB82"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On September 1, 2021, the appellant filed an amended </w:t>
      </w:r>
      <w:r w:rsidR="005F221F">
        <w:rPr>
          <w:lang w:val="en-CA"/>
        </w:rPr>
        <w:t>motion</w:t>
      </w:r>
      <w:r w:rsidRPr="00A81CD3">
        <w:rPr>
          <w:lang w:val="en-CA"/>
        </w:rPr>
        <w:t xml:space="preserve"> challenging the validity of the warrant issued on July 16, 2018.</w:t>
      </w:r>
    </w:p>
    <w:p w14:paraId="4F737452" w14:textId="7FCB9966"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w:t>
      </w:r>
      <w:r w:rsidRPr="00A81CD3">
        <w:rPr>
          <w:i/>
          <w:iCs/>
          <w:lang w:val="en-CA"/>
        </w:rPr>
        <w:t xml:space="preserve">voir dire </w:t>
      </w:r>
      <w:r w:rsidRPr="00A81CD3">
        <w:rPr>
          <w:lang w:val="en-CA"/>
        </w:rPr>
        <w:t xml:space="preserve">on the admissibility of the cocaine began on September 7, 2021. At the suggestion of the Crown, the parties agreed to settle the admissibility issue before proceeding on the merits. In other words, they agreed to proceed as follows: the appellant would call all his witnesses; the parties would present their observations on the admissibility of the evidence; the judge would rule on the </w:t>
      </w:r>
      <w:r w:rsidR="005F221F">
        <w:rPr>
          <w:lang w:val="en-CA"/>
        </w:rPr>
        <w:t>motions</w:t>
      </w:r>
      <w:r w:rsidRPr="00A81CD3">
        <w:rPr>
          <w:lang w:val="en-CA"/>
        </w:rPr>
        <w:t xml:space="preserve">; then, in the event that the judge refused to exclude the evidence, the parties would present their observations on the merits of the case. The </w:t>
      </w:r>
      <w:r w:rsidRPr="00A81CD3">
        <w:rPr>
          <w:i/>
          <w:iCs/>
          <w:lang w:val="en-CA"/>
        </w:rPr>
        <w:t>voir dire</w:t>
      </w:r>
      <w:r w:rsidRPr="00A81CD3">
        <w:rPr>
          <w:lang w:val="en-CA"/>
        </w:rPr>
        <w:t xml:space="preserve"> proceeded in accordance with the parties</w:t>
      </w:r>
      <w:r w:rsidR="00356592" w:rsidRPr="00A81CD3">
        <w:rPr>
          <w:lang w:val="en-CA"/>
        </w:rPr>
        <w:t>’</w:t>
      </w:r>
      <w:r w:rsidRPr="00A81CD3">
        <w:rPr>
          <w:lang w:val="en-CA"/>
        </w:rPr>
        <w:t xml:space="preserve"> agreement and ended on September 16, 2021, at which time the judge announced her intention to deliver her judgment on December 21, 2021.</w:t>
      </w:r>
    </w:p>
    <w:p w14:paraId="4F737453" w14:textId="5CE3CF2D" w:rsidR="00E406BF" w:rsidRPr="00A81CD3" w:rsidRDefault="00EF1AF1" w:rsidP="00EE4E7D">
      <w:pPr>
        <w:pStyle w:val="Paragraphe"/>
        <w:numPr>
          <w:ilvl w:val="0"/>
          <w:numId w:val="1"/>
        </w:numPr>
        <w:spacing w:before="180" w:after="180" w:line="280" w:lineRule="exact"/>
        <w:rPr>
          <w:lang w:val="en-CA"/>
        </w:rPr>
      </w:pPr>
      <w:r w:rsidRPr="00A81CD3">
        <w:rPr>
          <w:lang w:val="en-CA"/>
        </w:rPr>
        <w:t>The judge delivered her judgment as scheduled on December 21, 2021. She dismiss</w:t>
      </w:r>
      <w:r w:rsidR="00970C53">
        <w:rPr>
          <w:lang w:val="en-CA"/>
        </w:rPr>
        <w:t>ed</w:t>
      </w:r>
      <w:r w:rsidRPr="00A81CD3">
        <w:rPr>
          <w:lang w:val="en-CA"/>
        </w:rPr>
        <w:t xml:space="preserve"> the appellant</w:t>
      </w:r>
      <w:r w:rsidR="00356592" w:rsidRPr="00A81CD3">
        <w:rPr>
          <w:lang w:val="en-CA"/>
        </w:rPr>
        <w:t>’</w:t>
      </w:r>
      <w:r w:rsidRPr="00A81CD3">
        <w:rPr>
          <w:lang w:val="en-CA"/>
        </w:rPr>
        <w:t xml:space="preserve">s </w:t>
      </w:r>
      <w:r w:rsidR="005F221F">
        <w:rPr>
          <w:lang w:val="en-CA"/>
        </w:rPr>
        <w:t>motions</w:t>
      </w:r>
      <w:r w:rsidRPr="00A81CD3">
        <w:rPr>
          <w:lang w:val="en-CA"/>
        </w:rPr>
        <w:t xml:space="preserve"> challenging the admissibility of the seized cocaine.</w:t>
      </w:r>
    </w:p>
    <w:p w14:paraId="4F737454" w14:textId="69B4DF22"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On February 4, 2022, the appellant filed a new </w:t>
      </w:r>
      <w:r w:rsidRPr="00A81CD3">
        <w:rPr>
          <w:i/>
          <w:iCs/>
          <w:lang w:val="en-CA"/>
        </w:rPr>
        <w:t>Jordan</w:t>
      </w:r>
      <w:r w:rsidRPr="00A81CD3">
        <w:rPr>
          <w:lang w:val="en-CA"/>
        </w:rPr>
        <w:t xml:space="preserve"> </w:t>
      </w:r>
      <w:r w:rsidR="005F221F">
        <w:rPr>
          <w:lang w:val="en-CA"/>
        </w:rPr>
        <w:t>motion</w:t>
      </w:r>
      <w:r w:rsidRPr="00A81CD3">
        <w:rPr>
          <w:lang w:val="en-CA"/>
        </w:rPr>
        <w:t xml:space="preserve">. The parties submitted their observations on this </w:t>
      </w:r>
      <w:r w:rsidR="005F221F">
        <w:rPr>
          <w:lang w:val="en-CA"/>
        </w:rPr>
        <w:t>motion</w:t>
      </w:r>
      <w:r w:rsidRPr="00A81CD3">
        <w:rPr>
          <w:lang w:val="en-CA"/>
        </w:rPr>
        <w:t xml:space="preserve"> at the same time as those on the merits of the case on February 11, 2022.</w:t>
      </w:r>
    </w:p>
    <w:p w14:paraId="4F737455" w14:textId="07C2237D"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On March 21, 2022, the judge dismissed the second </w:t>
      </w:r>
      <w:r w:rsidRPr="00A81CD3">
        <w:rPr>
          <w:i/>
          <w:iCs/>
          <w:lang w:val="en-CA"/>
        </w:rPr>
        <w:t>Jordan</w:t>
      </w:r>
      <w:r w:rsidRPr="00A81CD3">
        <w:rPr>
          <w:lang w:val="en-CA"/>
        </w:rPr>
        <w:t xml:space="preserve"> </w:t>
      </w:r>
      <w:r w:rsidR="005F221F">
        <w:rPr>
          <w:lang w:val="en-CA"/>
        </w:rPr>
        <w:t>motion</w:t>
      </w:r>
      <w:r w:rsidRPr="00A81CD3">
        <w:rPr>
          <w:lang w:val="en-CA"/>
        </w:rPr>
        <w:t xml:space="preserve"> and </w:t>
      </w:r>
      <w:r w:rsidR="00970C53">
        <w:rPr>
          <w:lang w:val="en-CA"/>
        </w:rPr>
        <w:t>convicted</w:t>
      </w:r>
      <w:r w:rsidRPr="00A81CD3">
        <w:rPr>
          <w:lang w:val="en-CA"/>
        </w:rPr>
        <w:t xml:space="preserve"> the appellant of possession of cocaine but acquitted him of possession for the purpose of trafficking.</w:t>
      </w:r>
    </w:p>
    <w:p w14:paraId="4F737456" w14:textId="77777777" w:rsidR="00E406BF" w:rsidRPr="00A81CD3" w:rsidRDefault="00EF1AF1" w:rsidP="006C32CB">
      <w:pPr>
        <w:pStyle w:val="Paragraphe"/>
        <w:widowControl w:val="0"/>
        <w:spacing w:before="240" w:after="180" w:line="280" w:lineRule="exact"/>
        <w:ind w:left="425" w:hanging="425"/>
        <w:rPr>
          <w:b/>
          <w:bCs/>
          <w:u w:val="single"/>
          <w:lang w:val="en-CA"/>
        </w:rPr>
      </w:pPr>
      <w:r w:rsidRPr="00A81CD3">
        <w:rPr>
          <w:b/>
          <w:bCs/>
          <w:lang w:val="en-CA"/>
        </w:rPr>
        <w:t>II.</w:t>
      </w:r>
      <w:r w:rsidRPr="00A81CD3">
        <w:rPr>
          <w:b/>
          <w:bCs/>
          <w:lang w:val="en-CA"/>
        </w:rPr>
        <w:tab/>
      </w:r>
      <w:r w:rsidRPr="00A81CD3">
        <w:rPr>
          <w:b/>
          <w:bCs/>
          <w:u w:val="single"/>
          <w:lang w:val="en-CA"/>
        </w:rPr>
        <w:t xml:space="preserve">Interlocutory judgments challenged by the appellant </w:t>
      </w:r>
    </w:p>
    <w:p w14:paraId="4F737457" w14:textId="77777777" w:rsidR="00E406BF" w:rsidRPr="00A81CD3" w:rsidRDefault="00EF1AF1" w:rsidP="00E406BF">
      <w:pPr>
        <w:pStyle w:val="Paragraphe"/>
        <w:widowControl w:val="0"/>
        <w:numPr>
          <w:ilvl w:val="0"/>
          <w:numId w:val="5"/>
        </w:numPr>
        <w:spacing w:line="240" w:lineRule="auto"/>
        <w:rPr>
          <w:b/>
          <w:bCs/>
          <w:lang w:val="en-CA"/>
        </w:rPr>
      </w:pPr>
      <w:r w:rsidRPr="00A81CD3">
        <w:rPr>
          <w:b/>
          <w:bCs/>
          <w:lang w:val="en-CA"/>
        </w:rPr>
        <w:t>Judgment on the admissibility of the cocaine</w:t>
      </w:r>
    </w:p>
    <w:p w14:paraId="766E3D48" w14:textId="499930AA" w:rsidR="00834E60" w:rsidRPr="00A81CD3" w:rsidRDefault="00EF1AF1" w:rsidP="00834E60">
      <w:pPr>
        <w:pStyle w:val="Paragraphe"/>
        <w:numPr>
          <w:ilvl w:val="0"/>
          <w:numId w:val="1"/>
        </w:numPr>
        <w:spacing w:before="180" w:after="180" w:line="280" w:lineRule="exact"/>
        <w:rPr>
          <w:lang w:val="en-CA"/>
        </w:rPr>
      </w:pPr>
      <w:r w:rsidRPr="00A81CD3">
        <w:rPr>
          <w:lang w:val="en-CA"/>
        </w:rPr>
        <w:t>In her judgment upholding the admissibility of the cocaine, the judge first questioned the consequences of the police officers</w:t>
      </w:r>
      <w:r w:rsidR="00356592" w:rsidRPr="00A81CD3">
        <w:rPr>
          <w:lang w:val="en-CA"/>
        </w:rPr>
        <w:t>’</w:t>
      </w:r>
      <w:r w:rsidRPr="00A81CD3">
        <w:rPr>
          <w:lang w:val="en-CA"/>
        </w:rPr>
        <w:t xml:space="preserve"> failure to serve the appellant with the detailed notice required under the terms of the warrant issued on July 16, 2018. After </w:t>
      </w:r>
      <w:r w:rsidR="00A77E81">
        <w:rPr>
          <w:lang w:val="en-CA"/>
        </w:rPr>
        <w:t>noting</w:t>
      </w:r>
      <w:r w:rsidRPr="00A81CD3">
        <w:rPr>
          <w:lang w:val="en-CA"/>
        </w:rPr>
        <w:t xml:space="preserve">, </w:t>
      </w:r>
      <w:r w:rsidR="00A77E81">
        <w:rPr>
          <w:lang w:val="en-CA"/>
        </w:rPr>
        <w:t>like</w:t>
      </w:r>
      <w:r w:rsidRPr="00A81CD3">
        <w:rPr>
          <w:lang w:val="en-CA"/>
        </w:rPr>
        <w:t xml:space="preserve"> the Crown, that this omission had resulted in </w:t>
      </w:r>
      <w:r w:rsidR="00B9704B">
        <w:rPr>
          <w:lang w:val="en-CA"/>
        </w:rPr>
        <w:t>an infringement</w:t>
      </w:r>
      <w:r w:rsidRPr="00A81CD3">
        <w:rPr>
          <w:lang w:val="en-CA"/>
        </w:rPr>
        <w:t xml:space="preserve"> of section 8 of </w:t>
      </w:r>
      <w:r w:rsidRPr="00A81CD3">
        <w:rPr>
          <w:lang w:val="en-CA"/>
        </w:rPr>
        <w:lastRenderedPageBreak/>
        <w:t xml:space="preserve">the </w:t>
      </w:r>
      <w:r w:rsidRPr="00A81CD3">
        <w:rPr>
          <w:i/>
          <w:iCs/>
          <w:lang w:val="en-CA"/>
        </w:rPr>
        <w:t>Canadian Charter</w:t>
      </w:r>
      <w:r w:rsidRPr="00A81CD3">
        <w:rPr>
          <w:lang w:val="en-CA"/>
        </w:rPr>
        <w:t xml:space="preserve">, the judge </w:t>
      </w:r>
      <w:r w:rsidR="00A77E81">
        <w:rPr>
          <w:lang w:val="en-CA"/>
        </w:rPr>
        <w:t>found</w:t>
      </w:r>
      <w:r w:rsidRPr="00A81CD3">
        <w:rPr>
          <w:lang w:val="en-CA"/>
        </w:rPr>
        <w:t xml:space="preserve"> that this irregularity alone did not mean that the use in evidence of the cocaine seized during the operation on October 1, 2018, was likely to bring the administration of justice into disrepute within the meaning of </w:t>
      </w:r>
      <w:r w:rsidR="002B2B84">
        <w:rPr>
          <w:lang w:val="en-CA"/>
        </w:rPr>
        <w:t>sub</w:t>
      </w:r>
      <w:r w:rsidRPr="00A81CD3">
        <w:rPr>
          <w:lang w:val="en-CA"/>
        </w:rPr>
        <w:t xml:space="preserve">section 24(2) of the </w:t>
      </w:r>
      <w:r w:rsidRPr="00A81CD3">
        <w:rPr>
          <w:i/>
          <w:iCs/>
          <w:lang w:val="en-CA"/>
        </w:rPr>
        <w:t>Charter</w:t>
      </w:r>
      <w:r w:rsidRPr="00A81CD3">
        <w:rPr>
          <w:lang w:val="en-CA"/>
        </w:rPr>
        <w:t>. In so doing, she emphasized society</w:t>
      </w:r>
      <w:r w:rsidR="00356592" w:rsidRPr="00A81CD3">
        <w:rPr>
          <w:lang w:val="en-CA"/>
        </w:rPr>
        <w:t>’</w:t>
      </w:r>
      <w:r w:rsidRPr="00A81CD3">
        <w:rPr>
          <w:lang w:val="en-CA"/>
        </w:rPr>
        <w:t>s interest in allowing the cocaine to be used as evidence:</w:t>
      </w:r>
      <w:r w:rsidRPr="00A81CD3">
        <w:rPr>
          <w:szCs w:val="24"/>
          <w:vertAlign w:val="superscript"/>
          <w:lang w:val="en-CA"/>
        </w:rPr>
        <w:footnoteReference w:id="8"/>
      </w:r>
    </w:p>
    <w:p w14:paraId="11277F13" w14:textId="14ECCF97" w:rsidR="007539D4" w:rsidRPr="006F7E56" w:rsidRDefault="00EF1AF1" w:rsidP="006F7E56">
      <w:pPr>
        <w:pStyle w:val="Paragraphe"/>
        <w:spacing w:before="180" w:after="180" w:line="280" w:lineRule="exact"/>
        <w:ind w:firstLine="709"/>
        <w:rPr>
          <w:sz w:val="22"/>
          <w:szCs w:val="18"/>
          <w:lang w:val="en-CA"/>
        </w:rPr>
      </w:pPr>
      <w:r w:rsidRPr="006F7E56">
        <w:rPr>
          <w:sz w:val="22"/>
          <w:szCs w:val="18"/>
          <w:lang w:val="en-CA"/>
        </w:rPr>
        <w:t>[</w:t>
      </w:r>
      <w:r w:rsidR="00A77E81" w:rsidRPr="006F7E56">
        <w:rPr>
          <w:smallCaps/>
          <w:sz w:val="22"/>
          <w:szCs w:val="18"/>
          <w:lang w:val="en-CA"/>
        </w:rPr>
        <w:t>translation</w:t>
      </w:r>
      <w:r w:rsidRPr="006F7E56">
        <w:rPr>
          <w:sz w:val="22"/>
          <w:szCs w:val="18"/>
          <w:lang w:val="en-CA"/>
        </w:rPr>
        <w:t xml:space="preserve">] </w:t>
      </w:r>
    </w:p>
    <w:p w14:paraId="4F737459" w14:textId="2A69B608" w:rsidR="00E406BF" w:rsidRPr="006F7E56" w:rsidRDefault="00A77E81" w:rsidP="006F7E56">
      <w:pPr>
        <w:pStyle w:val="Paragraphe"/>
        <w:spacing w:before="180" w:after="180" w:line="280" w:lineRule="exact"/>
        <w:ind w:left="720" w:right="715"/>
        <w:rPr>
          <w:sz w:val="22"/>
          <w:szCs w:val="18"/>
          <w:lang w:val="en-CA"/>
        </w:rPr>
      </w:pPr>
      <w:r w:rsidRPr="006F7E56">
        <w:rPr>
          <w:sz w:val="22"/>
          <w:szCs w:val="18"/>
          <w:lang w:val="en-CA"/>
        </w:rPr>
        <w:t>Last</w:t>
      </w:r>
      <w:r w:rsidR="00EF1AF1" w:rsidRPr="006F7E56">
        <w:rPr>
          <w:sz w:val="22"/>
          <w:szCs w:val="18"/>
          <w:lang w:val="en-CA"/>
        </w:rPr>
        <w:t xml:space="preserve">, the Court </w:t>
      </w:r>
      <w:r w:rsidR="00A17ADF" w:rsidRPr="006F7E56">
        <w:rPr>
          <w:sz w:val="22"/>
          <w:szCs w:val="18"/>
          <w:lang w:val="en-CA"/>
        </w:rPr>
        <w:t>finds</w:t>
      </w:r>
      <w:r w:rsidR="00EF1AF1" w:rsidRPr="006F7E56">
        <w:rPr>
          <w:sz w:val="22"/>
          <w:szCs w:val="18"/>
          <w:lang w:val="en-CA"/>
        </w:rPr>
        <w:t xml:space="preserve"> that society has an interest in the adjudication of the case on its merits. This case involves nine ounces of cocaine, a hard drug of great purity. The investigation was part of a larger operation to put an end to the Hells Angels’ alleged control of </w:t>
      </w:r>
      <w:r w:rsidR="00A17ADF" w:rsidRPr="006F7E56">
        <w:rPr>
          <w:sz w:val="22"/>
          <w:szCs w:val="18"/>
          <w:lang w:val="en-CA"/>
        </w:rPr>
        <w:t xml:space="preserve">narcotics </w:t>
      </w:r>
      <w:r w:rsidR="00EF1AF1" w:rsidRPr="006F7E56">
        <w:rPr>
          <w:sz w:val="22"/>
          <w:szCs w:val="18"/>
          <w:lang w:val="en-CA"/>
        </w:rPr>
        <w:t>trafficking, a scourge in the St-Jean-sur-Richelieu and Outaouais regions.</w:t>
      </w:r>
    </w:p>
    <w:p w14:paraId="4F73745A" w14:textId="70DCF271" w:rsidR="00E406BF" w:rsidRPr="00A81CD3" w:rsidRDefault="00EF1AF1" w:rsidP="007E1E64">
      <w:pPr>
        <w:pStyle w:val="Paragraphe"/>
        <w:numPr>
          <w:ilvl w:val="0"/>
          <w:numId w:val="1"/>
        </w:numPr>
        <w:spacing w:before="240" w:after="180" w:line="280" w:lineRule="exact"/>
        <w:rPr>
          <w:lang w:val="en-CA"/>
        </w:rPr>
      </w:pPr>
      <w:r w:rsidRPr="009C0520">
        <w:rPr>
          <w:lang w:val="en-CA"/>
        </w:rPr>
        <w:t>The judge also noted</w:t>
      </w:r>
      <w:r w:rsidRPr="00A81CD3">
        <w:rPr>
          <w:lang w:val="en-CA"/>
        </w:rPr>
        <w:t xml:space="preserve"> that the appellant had been detained for investigative purposes for 39 minutes under the </w:t>
      </w:r>
      <w:r w:rsidR="00CD1F32">
        <w:rPr>
          <w:lang w:val="en-CA"/>
        </w:rPr>
        <w:t>pretext</w:t>
      </w:r>
      <w:r w:rsidRPr="00A81CD3">
        <w:rPr>
          <w:lang w:val="en-CA"/>
        </w:rPr>
        <w:t xml:space="preserve"> that he was suspected of being involved in a break and enter, and that this situation had resulted in a temporary suspension of his right to counsel as well as his right to be informed promptly of the reasons for his arrest or detention.</w:t>
      </w:r>
    </w:p>
    <w:p w14:paraId="4F73745B" w14:textId="041889AA" w:rsidR="00E406BF" w:rsidRPr="00A81CD3" w:rsidRDefault="00EF1AF1" w:rsidP="007E1E64">
      <w:pPr>
        <w:pStyle w:val="Paragraphe"/>
        <w:numPr>
          <w:ilvl w:val="0"/>
          <w:numId w:val="1"/>
        </w:numPr>
        <w:spacing w:before="180" w:after="180" w:line="280" w:lineRule="exact"/>
        <w:rPr>
          <w:szCs w:val="24"/>
          <w:lang w:val="en-CA"/>
        </w:rPr>
      </w:pPr>
      <w:r w:rsidRPr="00A81CD3">
        <w:rPr>
          <w:lang w:val="en-CA"/>
        </w:rPr>
        <w:t>The judge then considered [</w:t>
      </w:r>
      <w:r w:rsidR="00B47767">
        <w:rPr>
          <w:smallCaps/>
          <w:lang w:val="en-CA"/>
        </w:rPr>
        <w:t>translation</w:t>
      </w:r>
      <w:r w:rsidRPr="00A81CD3">
        <w:rPr>
          <w:lang w:val="en-CA"/>
        </w:rPr>
        <w:t xml:space="preserve">] </w:t>
      </w:r>
      <w:r w:rsidRPr="00A81CD3">
        <w:rPr>
          <w:szCs w:val="24"/>
          <w:lang w:val="en-CA"/>
        </w:rPr>
        <w:t xml:space="preserve">“whether a warrant issued under section 487.01 </w:t>
      </w:r>
      <w:r w:rsidRPr="00A81CD3">
        <w:rPr>
          <w:i/>
          <w:iCs/>
          <w:szCs w:val="24"/>
          <w:lang w:val="en-CA"/>
        </w:rPr>
        <w:t>Cr.</w:t>
      </w:r>
      <w:r w:rsidR="00B47767">
        <w:rPr>
          <w:i/>
          <w:iCs/>
          <w:szCs w:val="24"/>
          <w:lang w:val="en-CA"/>
        </w:rPr>
        <w:t> </w:t>
      </w:r>
      <w:r w:rsidRPr="00A81CD3">
        <w:rPr>
          <w:i/>
          <w:iCs/>
          <w:szCs w:val="24"/>
          <w:lang w:val="en-CA"/>
        </w:rPr>
        <w:t>C.</w:t>
      </w:r>
      <w:r w:rsidRPr="00A81CD3">
        <w:rPr>
          <w:szCs w:val="24"/>
          <w:lang w:val="en-CA"/>
        </w:rPr>
        <w:t xml:space="preserve">, which restricts section 10 of the </w:t>
      </w:r>
      <w:r w:rsidRPr="00A81CD3">
        <w:rPr>
          <w:i/>
          <w:iCs/>
          <w:szCs w:val="24"/>
          <w:lang w:val="en-CA"/>
        </w:rPr>
        <w:t xml:space="preserve">Charter </w:t>
      </w:r>
      <w:r w:rsidRPr="00A81CD3">
        <w:rPr>
          <w:szCs w:val="24"/>
          <w:lang w:val="en-CA"/>
        </w:rPr>
        <w:t xml:space="preserve">by permitting the detention or arrest of a person under a false </w:t>
      </w:r>
      <w:r w:rsidR="00CD1F32">
        <w:rPr>
          <w:szCs w:val="24"/>
          <w:lang w:val="en-CA"/>
        </w:rPr>
        <w:t>pretext</w:t>
      </w:r>
      <w:r w:rsidRPr="00A81CD3">
        <w:rPr>
          <w:szCs w:val="24"/>
          <w:lang w:val="en-CA"/>
        </w:rPr>
        <w:t xml:space="preserve">, constitutes a reasonable </w:t>
      </w:r>
      <w:r w:rsidR="006055A3">
        <w:rPr>
          <w:szCs w:val="24"/>
          <w:lang w:val="en-CA"/>
        </w:rPr>
        <w:t>limit prescribed by</w:t>
      </w:r>
      <w:r w:rsidRPr="00A81CD3">
        <w:rPr>
          <w:szCs w:val="24"/>
          <w:lang w:val="en-CA"/>
        </w:rPr>
        <w:t xml:space="preserve"> law </w:t>
      </w:r>
      <w:r w:rsidR="006055A3">
        <w:rPr>
          <w:szCs w:val="24"/>
          <w:lang w:val="en-CA"/>
        </w:rPr>
        <w:t>as can be</w:t>
      </w:r>
      <w:r w:rsidRPr="00A81CD3">
        <w:rPr>
          <w:szCs w:val="24"/>
          <w:lang w:val="en-CA"/>
        </w:rPr>
        <w:t xml:space="preserve"> demonstrably justified in a free and democratic society”.</w:t>
      </w:r>
      <w:r w:rsidRPr="00A81CD3">
        <w:rPr>
          <w:szCs w:val="24"/>
          <w:vertAlign w:val="superscript"/>
          <w:lang w:val="en-CA"/>
        </w:rPr>
        <w:footnoteReference w:id="9"/>
      </w:r>
      <w:r w:rsidRPr="00A81CD3">
        <w:rPr>
          <w:szCs w:val="24"/>
          <w:lang w:val="en-CA"/>
        </w:rPr>
        <w:t xml:space="preserve"> </w:t>
      </w:r>
      <w:r w:rsidRPr="00A81CD3">
        <w:rPr>
          <w:lang w:val="en-CA"/>
        </w:rPr>
        <w:t xml:space="preserve">Relying on </w:t>
      </w:r>
      <w:r w:rsidRPr="00A81CD3">
        <w:rPr>
          <w:i/>
          <w:iCs/>
          <w:lang w:val="en-CA"/>
        </w:rPr>
        <w:t>Orbanski</w:t>
      </w:r>
      <w:r w:rsidRPr="00A81CD3">
        <w:rPr>
          <w:lang w:val="en-CA"/>
        </w:rPr>
        <w:t>,</w:t>
      </w:r>
      <w:r w:rsidRPr="00A81CD3">
        <w:rPr>
          <w:rStyle w:val="Appelnotedebasdep"/>
          <w:lang w:val="en-CA"/>
        </w:rPr>
        <w:footnoteReference w:id="10"/>
      </w:r>
      <w:r w:rsidRPr="00A81CD3">
        <w:rPr>
          <w:lang w:val="en-CA"/>
        </w:rPr>
        <w:t xml:space="preserve"> she pointed out that the </w:t>
      </w:r>
      <w:r w:rsidR="006055A3">
        <w:rPr>
          <w:lang w:val="en-CA"/>
        </w:rPr>
        <w:t>reasonable limits prescribed by</w:t>
      </w:r>
      <w:r w:rsidRPr="00A81CD3">
        <w:rPr>
          <w:lang w:val="en-CA"/>
        </w:rPr>
        <w:t xml:space="preserve"> law in section 1 of the </w:t>
      </w:r>
      <w:r w:rsidRPr="00A81CD3">
        <w:rPr>
          <w:i/>
          <w:iCs/>
          <w:lang w:val="en-CA"/>
        </w:rPr>
        <w:t xml:space="preserve">Charter </w:t>
      </w:r>
      <w:r w:rsidRPr="00A81CD3">
        <w:rPr>
          <w:lang w:val="en-CA"/>
        </w:rPr>
        <w:t xml:space="preserve">do not have to expressly limit the fundamental rights at issue, as the limitation may also result from the </w:t>
      </w:r>
      <w:r w:rsidR="00BC317E">
        <w:rPr>
          <w:lang w:val="en-CA"/>
        </w:rPr>
        <w:t>law</w:t>
      </w:r>
      <w:r w:rsidRPr="00A81CD3">
        <w:rPr>
          <w:lang w:val="en-CA"/>
        </w:rPr>
        <w:t xml:space="preserve">’s operating requirements. After noting that the purpose of section 487.01 </w:t>
      </w:r>
      <w:r w:rsidRPr="00A81CD3">
        <w:rPr>
          <w:i/>
          <w:iCs/>
          <w:lang w:val="en-CA"/>
        </w:rPr>
        <w:t>Cr.</w:t>
      </w:r>
      <w:r w:rsidR="00BC317E">
        <w:rPr>
          <w:i/>
          <w:iCs/>
          <w:lang w:val="en-CA"/>
        </w:rPr>
        <w:t> </w:t>
      </w:r>
      <w:r w:rsidRPr="00A81CD3">
        <w:rPr>
          <w:i/>
          <w:iCs/>
          <w:lang w:val="en-CA"/>
        </w:rPr>
        <w:t>C.</w:t>
      </w:r>
      <w:r w:rsidRPr="00A81CD3">
        <w:rPr>
          <w:lang w:val="en-CA"/>
        </w:rPr>
        <w:t xml:space="preserve"> is to</w:t>
      </w:r>
      <w:r w:rsidR="00BC317E">
        <w:rPr>
          <w:lang w:val="en-CA"/>
        </w:rPr>
        <w:t xml:space="preserve"> [</w:t>
      </w:r>
      <w:r w:rsidR="00BC317E">
        <w:rPr>
          <w:smallCaps/>
          <w:lang w:val="en-CA"/>
        </w:rPr>
        <w:t>translation</w:t>
      </w:r>
      <w:r w:rsidR="00BC317E">
        <w:rPr>
          <w:lang w:val="en-CA"/>
        </w:rPr>
        <w:t>]</w:t>
      </w:r>
      <w:r w:rsidRPr="00A81CD3">
        <w:rPr>
          <w:lang w:val="en-CA"/>
        </w:rPr>
        <w:t xml:space="preserve"> </w:t>
      </w:r>
      <w:r w:rsidR="00705025" w:rsidRPr="00A81CD3">
        <w:rPr>
          <w:lang w:val="en-CA"/>
        </w:rPr>
        <w:t>“</w:t>
      </w:r>
      <w:r w:rsidRPr="00A81CD3">
        <w:rPr>
          <w:lang w:val="en-CA"/>
        </w:rPr>
        <w:t>provide law enforcement with a flexible judicial authorization regime”,</w:t>
      </w:r>
      <w:r w:rsidRPr="00A81CD3">
        <w:rPr>
          <w:szCs w:val="24"/>
          <w:vertAlign w:val="superscript"/>
          <w:lang w:val="en-CA"/>
        </w:rPr>
        <w:footnoteReference w:id="11"/>
      </w:r>
      <w:r w:rsidRPr="00A81CD3">
        <w:rPr>
          <w:lang w:val="en-CA"/>
        </w:rPr>
        <w:t xml:space="preserve"> the judge </w:t>
      </w:r>
      <w:r w:rsidR="00BC317E">
        <w:rPr>
          <w:lang w:val="en-CA"/>
        </w:rPr>
        <w:t>stated</w:t>
      </w:r>
      <w:r w:rsidRPr="00A81CD3">
        <w:rPr>
          <w:lang w:val="en-CA"/>
        </w:rPr>
        <w:t xml:space="preserve"> that a warrant authorizing a person to be stopped and searched under a false </w:t>
      </w:r>
      <w:r w:rsidR="00CD1F32">
        <w:rPr>
          <w:lang w:val="en-CA"/>
        </w:rPr>
        <w:t>pretext</w:t>
      </w:r>
      <w:r w:rsidRPr="00A81CD3">
        <w:rPr>
          <w:lang w:val="en-CA"/>
        </w:rPr>
        <w:t xml:space="preserve"> implicitly </w:t>
      </w:r>
      <w:r w:rsidR="00B9704B">
        <w:rPr>
          <w:lang w:val="en-CA"/>
        </w:rPr>
        <w:t>infringes</w:t>
      </w:r>
      <w:r w:rsidRPr="00A81CD3">
        <w:rPr>
          <w:lang w:val="en-CA"/>
        </w:rPr>
        <w:t xml:space="preserve"> the rights guaranteed by sections 10</w:t>
      </w:r>
      <w:r w:rsidR="009E2A81">
        <w:rPr>
          <w:lang w:val="en-CA"/>
        </w:rPr>
        <w:t>(</w:t>
      </w:r>
      <w:r w:rsidRPr="00A81CD3">
        <w:rPr>
          <w:lang w:val="en-CA"/>
        </w:rPr>
        <w:t>a) and 10</w:t>
      </w:r>
      <w:r w:rsidR="009E2A81">
        <w:rPr>
          <w:lang w:val="en-CA"/>
        </w:rPr>
        <w:t>(</w:t>
      </w:r>
      <w:r w:rsidRPr="00A81CD3">
        <w:rPr>
          <w:lang w:val="en-CA"/>
        </w:rPr>
        <w:t xml:space="preserve">b) of the </w:t>
      </w:r>
      <w:r w:rsidRPr="00A81CD3">
        <w:rPr>
          <w:i/>
          <w:iCs/>
          <w:lang w:val="en-CA"/>
        </w:rPr>
        <w:t>Charter</w:t>
      </w:r>
      <w:r w:rsidRPr="00A81CD3">
        <w:rPr>
          <w:lang w:val="en-CA"/>
        </w:rPr>
        <w:t xml:space="preserve">. She </w:t>
      </w:r>
      <w:r w:rsidR="009E2A81">
        <w:rPr>
          <w:lang w:val="en-CA"/>
        </w:rPr>
        <w:t>found</w:t>
      </w:r>
      <w:r w:rsidRPr="00A81CD3">
        <w:rPr>
          <w:lang w:val="en-CA"/>
        </w:rPr>
        <w:t xml:space="preserve"> that the warrant </w:t>
      </w:r>
      <w:r w:rsidR="009E2A81">
        <w:rPr>
          <w:lang w:val="en-CA"/>
        </w:rPr>
        <w:t>was a limit prescribed by law</w:t>
      </w:r>
      <w:r w:rsidR="009E2A81" w:rsidRPr="00A81CD3" w:rsidDel="009E2A81">
        <w:rPr>
          <w:lang w:val="en-CA"/>
        </w:rPr>
        <w:t xml:space="preserve"> </w:t>
      </w:r>
      <w:r w:rsidRPr="00A81CD3">
        <w:rPr>
          <w:lang w:val="en-CA"/>
        </w:rPr>
        <w:t xml:space="preserve">on fundamental rights within the meaning of section 1 of the </w:t>
      </w:r>
      <w:r w:rsidRPr="00A81CD3">
        <w:rPr>
          <w:i/>
          <w:iCs/>
          <w:lang w:val="en-CA"/>
        </w:rPr>
        <w:t>Charter</w:t>
      </w:r>
      <w:r w:rsidRPr="00A81CD3">
        <w:rPr>
          <w:lang w:val="en-CA"/>
        </w:rPr>
        <w:t>.</w:t>
      </w:r>
    </w:p>
    <w:p w14:paraId="4F73745C" w14:textId="7E206A73"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The judge then began her analysis of the reasonableness of this limit </w:t>
      </w:r>
      <w:r w:rsidR="009E2A81">
        <w:rPr>
          <w:lang w:val="en-CA"/>
        </w:rPr>
        <w:t>on the basis of the</w:t>
      </w:r>
      <w:r w:rsidRPr="00A81CD3">
        <w:rPr>
          <w:lang w:val="en-CA"/>
        </w:rPr>
        <w:t xml:space="preserve"> </w:t>
      </w:r>
      <w:r w:rsidRPr="00A81CD3">
        <w:rPr>
          <w:i/>
          <w:iCs/>
          <w:lang w:val="en-CA"/>
        </w:rPr>
        <w:t>Oakes</w:t>
      </w:r>
      <w:r w:rsidR="009E2A81">
        <w:rPr>
          <w:i/>
          <w:iCs/>
          <w:lang w:val="en-CA"/>
        </w:rPr>
        <w:t xml:space="preserve"> </w:t>
      </w:r>
      <w:r w:rsidR="009E2A81">
        <w:rPr>
          <w:lang w:val="en-CA"/>
        </w:rPr>
        <w:t>test</w:t>
      </w:r>
      <w:r w:rsidRPr="00A81CD3">
        <w:rPr>
          <w:i/>
          <w:iCs/>
          <w:lang w:val="en-CA"/>
        </w:rPr>
        <w:t>.</w:t>
      </w:r>
      <w:r w:rsidRPr="00A81CD3">
        <w:rPr>
          <w:rStyle w:val="Appelnotedebasdep"/>
          <w:lang w:val="en-CA"/>
        </w:rPr>
        <w:footnoteReference w:id="12"/>
      </w:r>
    </w:p>
    <w:p w14:paraId="4F73745D" w14:textId="0C86409A"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lastRenderedPageBreak/>
        <w:t>First, she noted that the purpose of warrants like the one issued on July 16, 2018, namely [</w:t>
      </w:r>
      <w:r w:rsidR="00BB6B47">
        <w:rPr>
          <w:smallCaps/>
          <w:lang w:val="en-CA"/>
        </w:rPr>
        <w:t>translation</w:t>
      </w:r>
      <w:r w:rsidRPr="00A81CD3">
        <w:rPr>
          <w:lang w:val="en-CA"/>
        </w:rPr>
        <w:t xml:space="preserve">] </w:t>
      </w:r>
      <w:r w:rsidR="00705025" w:rsidRPr="00A81CD3">
        <w:rPr>
          <w:lang w:val="en-CA"/>
        </w:rPr>
        <w:t>“</w:t>
      </w:r>
      <w:r w:rsidRPr="00A81CD3">
        <w:rPr>
          <w:lang w:val="en-CA"/>
        </w:rPr>
        <w:t xml:space="preserve">to combat large-scale </w:t>
      </w:r>
      <w:r w:rsidR="00BB6B47" w:rsidRPr="00A81CD3">
        <w:rPr>
          <w:lang w:val="en-CA"/>
        </w:rPr>
        <w:t xml:space="preserve">narcotics </w:t>
      </w:r>
      <w:r w:rsidRPr="00A81CD3">
        <w:rPr>
          <w:lang w:val="en-CA"/>
        </w:rPr>
        <w:t xml:space="preserve">trafficking </w:t>
      </w:r>
      <w:r w:rsidR="00BB6B47">
        <w:rPr>
          <w:lang w:val="en-CA"/>
        </w:rPr>
        <w:t>and</w:t>
      </w:r>
      <w:r w:rsidRPr="00A81CD3">
        <w:rPr>
          <w:lang w:val="en-CA"/>
        </w:rPr>
        <w:t xml:space="preserve"> organized crime by allowing police officers to preserve an ongoing investigation and [...] confirm certain elements of the investigation”,</w:t>
      </w:r>
      <w:r w:rsidRPr="00A81CD3">
        <w:rPr>
          <w:rStyle w:val="Appelnotedebasdep"/>
          <w:lang w:val="en-CA"/>
        </w:rPr>
        <w:footnoteReference w:id="13"/>
      </w:r>
      <w:r w:rsidRPr="00A81CD3">
        <w:rPr>
          <w:lang w:val="en-CA"/>
        </w:rPr>
        <w:t xml:space="preserve"> is important.</w:t>
      </w:r>
    </w:p>
    <w:p w14:paraId="4F73745E" w14:textId="04F7652A"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She then noted the existence of a rational </w:t>
      </w:r>
      <w:r w:rsidR="00BB6B47">
        <w:rPr>
          <w:lang w:val="en-CA"/>
        </w:rPr>
        <w:t>connection</w:t>
      </w:r>
      <w:r w:rsidRPr="00A81CD3">
        <w:rPr>
          <w:lang w:val="en-CA"/>
        </w:rPr>
        <w:t xml:space="preserve"> between this objective and the </w:t>
      </w:r>
      <w:r w:rsidR="00B9704B">
        <w:rPr>
          <w:lang w:val="en-CA"/>
        </w:rPr>
        <w:t>infringements</w:t>
      </w:r>
      <w:r w:rsidRPr="00A81CD3">
        <w:rPr>
          <w:lang w:val="en-CA"/>
        </w:rPr>
        <w:t xml:space="preserve"> of </w:t>
      </w:r>
      <w:r w:rsidR="00792697">
        <w:rPr>
          <w:lang w:val="en-CA"/>
        </w:rPr>
        <w:t xml:space="preserve">the </w:t>
      </w:r>
      <w:r w:rsidRPr="00A81CD3">
        <w:rPr>
          <w:lang w:val="en-CA"/>
        </w:rPr>
        <w:t>suspects</w:t>
      </w:r>
      <w:r w:rsidR="00356592" w:rsidRPr="00A81CD3">
        <w:rPr>
          <w:lang w:val="en-CA"/>
        </w:rPr>
        <w:t>’</w:t>
      </w:r>
      <w:r w:rsidRPr="00A81CD3">
        <w:rPr>
          <w:lang w:val="en-CA"/>
        </w:rPr>
        <w:t xml:space="preserve"> fundamental rights, since not informing them of the real reasons why they were stopped avoided revealing the existence of the ongoing investigation and made it possible [</w:t>
      </w:r>
      <w:r w:rsidR="00BB6B47">
        <w:rPr>
          <w:smallCaps/>
          <w:lang w:val="en-CA"/>
        </w:rPr>
        <w:t>translation</w:t>
      </w:r>
      <w:r w:rsidRPr="00A81CD3">
        <w:rPr>
          <w:lang w:val="en-CA"/>
        </w:rPr>
        <w:t xml:space="preserve">] </w:t>
      </w:r>
      <w:r w:rsidR="00705025" w:rsidRPr="00A81CD3">
        <w:rPr>
          <w:lang w:val="en-CA"/>
        </w:rPr>
        <w:t>“</w:t>
      </w:r>
      <w:r w:rsidRPr="00A81CD3">
        <w:rPr>
          <w:lang w:val="en-CA"/>
        </w:rPr>
        <w:t>to arrest individuals at all levels of the criminal enterprise”.</w:t>
      </w:r>
      <w:r w:rsidRPr="00A81CD3">
        <w:rPr>
          <w:rStyle w:val="Appelnotedebasdep"/>
          <w:lang w:val="en-CA"/>
        </w:rPr>
        <w:footnoteReference w:id="14"/>
      </w:r>
    </w:p>
    <w:p w14:paraId="4F73745F" w14:textId="249E9C0C"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She then explained that the </w:t>
      </w:r>
      <w:r w:rsidR="00B9704B">
        <w:rPr>
          <w:lang w:val="en-CA"/>
        </w:rPr>
        <w:t>infringement</w:t>
      </w:r>
      <w:r w:rsidRPr="00A81CD3">
        <w:rPr>
          <w:lang w:val="en-CA"/>
        </w:rPr>
        <w:t xml:space="preserve"> of fundamental rights was minimal in that it preserved the secrecy of the ongoing investigation, </w:t>
      </w:r>
      <w:r w:rsidR="007072F8">
        <w:rPr>
          <w:lang w:val="en-CA"/>
        </w:rPr>
        <w:t>without</w:t>
      </w:r>
      <w:r w:rsidRPr="00A81CD3">
        <w:rPr>
          <w:lang w:val="en-CA"/>
        </w:rPr>
        <w:t xml:space="preserve"> more, </w:t>
      </w:r>
      <w:r w:rsidR="00CD1F32">
        <w:rPr>
          <w:lang w:val="en-CA"/>
        </w:rPr>
        <w:t>such</w:t>
      </w:r>
      <w:r w:rsidRPr="00A81CD3">
        <w:rPr>
          <w:lang w:val="en-CA"/>
        </w:rPr>
        <w:t xml:space="preserve"> that there was no question of extracting information from the individuals stopped under a false </w:t>
      </w:r>
      <w:r w:rsidR="00CD1F32">
        <w:rPr>
          <w:lang w:val="en-CA"/>
        </w:rPr>
        <w:t>pretext</w:t>
      </w:r>
      <w:r w:rsidRPr="00A81CD3">
        <w:rPr>
          <w:lang w:val="en-CA"/>
        </w:rPr>
        <w:t>.</w:t>
      </w:r>
    </w:p>
    <w:p w14:paraId="4F737460" w14:textId="679F2973" w:rsidR="00E406BF" w:rsidRPr="00A81CD3" w:rsidRDefault="00B2331A" w:rsidP="00EE4E7D">
      <w:pPr>
        <w:pStyle w:val="Paragraphe"/>
        <w:numPr>
          <w:ilvl w:val="0"/>
          <w:numId w:val="1"/>
        </w:numPr>
        <w:spacing w:before="180" w:after="180" w:line="280" w:lineRule="exact"/>
        <w:rPr>
          <w:szCs w:val="24"/>
          <w:lang w:val="en-CA"/>
        </w:rPr>
      </w:pPr>
      <w:r>
        <w:rPr>
          <w:lang w:val="en-CA"/>
        </w:rPr>
        <w:t>The judge also found that</w:t>
      </w:r>
      <w:r w:rsidR="00EF1AF1" w:rsidRPr="00A81CD3">
        <w:rPr>
          <w:lang w:val="en-CA"/>
        </w:rPr>
        <w:t xml:space="preserve"> the requirement of proportionality was </w:t>
      </w:r>
      <w:r w:rsidR="00792697">
        <w:rPr>
          <w:lang w:val="en-CA"/>
        </w:rPr>
        <w:t>met</w:t>
      </w:r>
      <w:r w:rsidR="00EF1AF1" w:rsidRPr="00A81CD3">
        <w:rPr>
          <w:lang w:val="en-CA"/>
        </w:rPr>
        <w:t xml:space="preserve">. In particular, she emphasized that a warrant authorizing a person to be stopped and searched under a false </w:t>
      </w:r>
      <w:r w:rsidR="00CD1F32">
        <w:rPr>
          <w:lang w:val="en-CA"/>
        </w:rPr>
        <w:t>pretext</w:t>
      </w:r>
      <w:r w:rsidR="00EF1AF1" w:rsidRPr="00A81CD3">
        <w:rPr>
          <w:lang w:val="en-CA"/>
        </w:rPr>
        <w:t xml:space="preserve"> is issued by a judge who must ensure the sufficiency of the grounds invoked by the police, and that such a warrant permits the detention and search of individuals </w:t>
      </w:r>
      <w:r w:rsidR="00035656">
        <w:rPr>
          <w:lang w:val="en-CA"/>
        </w:rPr>
        <w:t xml:space="preserve">only </w:t>
      </w:r>
      <w:r w:rsidR="00EF1AF1" w:rsidRPr="00A81CD3">
        <w:rPr>
          <w:lang w:val="en-CA"/>
        </w:rPr>
        <w:t>if there are reasonable grounds to believe that they are involved in the commission of an offence. She added that, in this case, the police had</w:t>
      </w:r>
      <w:r>
        <w:rPr>
          <w:lang w:val="en-CA"/>
        </w:rPr>
        <w:t xml:space="preserve"> [</w:t>
      </w:r>
      <w:r>
        <w:rPr>
          <w:smallCaps/>
          <w:lang w:val="en-CA"/>
        </w:rPr>
        <w:t>translation</w:t>
      </w:r>
      <w:r>
        <w:rPr>
          <w:sz w:val="22"/>
          <w:szCs w:val="18"/>
          <w:lang w:val="en-CA"/>
        </w:rPr>
        <w:t>]</w:t>
      </w:r>
      <w:r w:rsidR="00EF1AF1" w:rsidRPr="00A81CD3">
        <w:rPr>
          <w:lang w:val="en-CA"/>
        </w:rPr>
        <w:t xml:space="preserve"> </w:t>
      </w:r>
      <w:r w:rsidR="00705025" w:rsidRPr="00A81CD3">
        <w:rPr>
          <w:lang w:val="en-CA"/>
        </w:rPr>
        <w:t>“</w:t>
      </w:r>
      <w:r w:rsidR="00EF1AF1" w:rsidRPr="00A81CD3">
        <w:rPr>
          <w:lang w:val="en-CA"/>
        </w:rPr>
        <w:t>respected the philosophy</w:t>
      </w:r>
      <w:r w:rsidR="00705025" w:rsidRPr="00A81CD3">
        <w:rPr>
          <w:lang w:val="en-CA"/>
        </w:rPr>
        <w:t>”</w:t>
      </w:r>
      <w:r w:rsidR="00EF1AF1" w:rsidRPr="00A81CD3">
        <w:rPr>
          <w:rStyle w:val="Appelnotedebasdep"/>
          <w:lang w:val="en-CA"/>
        </w:rPr>
        <w:footnoteReference w:id="15"/>
      </w:r>
      <w:r w:rsidR="00EF1AF1" w:rsidRPr="00A81CD3">
        <w:rPr>
          <w:lang w:val="en-CA"/>
        </w:rPr>
        <w:t xml:space="preserve"> of section 10(a) of the </w:t>
      </w:r>
      <w:r w:rsidR="00EF1AF1" w:rsidRPr="00A81CD3">
        <w:rPr>
          <w:i/>
          <w:iCs/>
          <w:lang w:val="en-CA"/>
        </w:rPr>
        <w:t xml:space="preserve">Charter </w:t>
      </w:r>
      <w:r w:rsidR="00EF1AF1" w:rsidRPr="00A81CD3">
        <w:rPr>
          <w:lang w:val="en-CA"/>
        </w:rPr>
        <w:t xml:space="preserve">by choosing as a pretext a serious offence that gave the appellant an idea of what he would face if he incriminated himself. </w:t>
      </w:r>
      <w:r>
        <w:rPr>
          <w:lang w:val="en-CA"/>
        </w:rPr>
        <w:t>She also noted that</w:t>
      </w:r>
      <w:r w:rsidR="00EF1AF1" w:rsidRPr="00A81CD3">
        <w:rPr>
          <w:lang w:val="en-CA"/>
        </w:rPr>
        <w:t xml:space="preserve"> the police </w:t>
      </w:r>
      <w:r>
        <w:rPr>
          <w:lang w:val="en-CA"/>
        </w:rPr>
        <w:t xml:space="preserve">did not </w:t>
      </w:r>
      <w:r w:rsidR="00EF1AF1" w:rsidRPr="00A81CD3">
        <w:rPr>
          <w:lang w:val="en-CA"/>
        </w:rPr>
        <w:t xml:space="preserve">attempt to extract any information from the appellant, </w:t>
      </w:r>
      <w:r>
        <w:rPr>
          <w:lang w:val="en-CA"/>
        </w:rPr>
        <w:t>such</w:t>
      </w:r>
      <w:r w:rsidR="00EF1AF1" w:rsidRPr="00A81CD3">
        <w:rPr>
          <w:lang w:val="en-CA"/>
        </w:rPr>
        <w:t xml:space="preserve"> </w:t>
      </w:r>
      <w:r>
        <w:rPr>
          <w:lang w:val="en-CA"/>
        </w:rPr>
        <w:t xml:space="preserve">that </w:t>
      </w:r>
      <w:r w:rsidR="00EF1AF1" w:rsidRPr="00A81CD3">
        <w:rPr>
          <w:lang w:val="en-CA"/>
        </w:rPr>
        <w:t xml:space="preserve">the </w:t>
      </w:r>
      <w:r>
        <w:rPr>
          <w:lang w:val="en-CA"/>
        </w:rPr>
        <w:t>infringement</w:t>
      </w:r>
      <w:r w:rsidR="00EF1AF1" w:rsidRPr="00A81CD3">
        <w:rPr>
          <w:lang w:val="en-CA"/>
        </w:rPr>
        <w:t xml:space="preserve"> of the </w:t>
      </w:r>
      <w:r>
        <w:rPr>
          <w:lang w:val="en-CA"/>
        </w:rPr>
        <w:t>appellant</w:t>
      </w:r>
      <w:r w:rsidR="00035656">
        <w:rPr>
          <w:lang w:val="en-CA"/>
        </w:rPr>
        <w:t>’s rights</w:t>
      </w:r>
      <w:r w:rsidR="00EF1AF1" w:rsidRPr="00A81CD3">
        <w:rPr>
          <w:lang w:val="en-CA"/>
        </w:rPr>
        <w:t xml:space="preserve"> was less serious than in </w:t>
      </w:r>
      <w:r w:rsidR="00EF1AF1" w:rsidRPr="00A81CD3">
        <w:rPr>
          <w:i/>
          <w:iCs/>
          <w:lang w:val="en-CA"/>
        </w:rPr>
        <w:t>Orbanski</w:t>
      </w:r>
      <w:r w:rsidR="00EF1AF1" w:rsidRPr="00A81CD3">
        <w:rPr>
          <w:lang w:val="en-CA"/>
        </w:rPr>
        <w:t>.</w:t>
      </w:r>
    </w:p>
    <w:p w14:paraId="4F737461" w14:textId="16B19A65"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These findings led the judge to conclude that the warrant issued on July 16, 2018, </w:t>
      </w:r>
      <w:r w:rsidR="00B0384B">
        <w:rPr>
          <w:lang w:val="en-CA"/>
        </w:rPr>
        <w:t>was</w:t>
      </w:r>
      <w:r w:rsidRPr="00A81CD3">
        <w:rPr>
          <w:lang w:val="en-CA"/>
        </w:rPr>
        <w:t xml:space="preserve"> a reasonable limit on the rights guaranteed by sections 10(a) and 10(b) of the </w:t>
      </w:r>
      <w:r w:rsidRPr="00A81CD3">
        <w:rPr>
          <w:i/>
          <w:iCs/>
          <w:lang w:val="en-CA"/>
        </w:rPr>
        <w:t>Charter</w:t>
      </w:r>
      <w:r w:rsidRPr="00A81CD3">
        <w:rPr>
          <w:lang w:val="en-CA"/>
        </w:rPr>
        <w:t>.</w:t>
      </w:r>
    </w:p>
    <w:p w14:paraId="4F737462" w14:textId="2547A8C6"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The judge then addressed the appellant</w:t>
      </w:r>
      <w:r w:rsidR="00356592" w:rsidRPr="00A81CD3">
        <w:rPr>
          <w:lang w:val="en-CA"/>
        </w:rPr>
        <w:t>’</w:t>
      </w:r>
      <w:r w:rsidRPr="00A81CD3">
        <w:rPr>
          <w:lang w:val="en-CA"/>
        </w:rPr>
        <w:t xml:space="preserve">s claim that, regardless of the validity of the warrant, he was not adequately informed of his right to counsel when stopped on October 1, 2018. She rejected the argument that the officers should have developed a plan that would have allowed the appellant to exercise his right to counsel without delay. Rather, in her view, the officers had to act quickly when they stopped him, so they cannot be </w:t>
      </w:r>
      <w:r w:rsidR="00E03FC6">
        <w:rPr>
          <w:lang w:val="en-CA"/>
        </w:rPr>
        <w:t>faulted</w:t>
      </w:r>
      <w:r w:rsidRPr="00A81CD3">
        <w:rPr>
          <w:lang w:val="en-CA"/>
        </w:rPr>
        <w:t xml:space="preserve"> for not having developed such a plan. </w:t>
      </w:r>
      <w:r w:rsidR="003C4B4B">
        <w:rPr>
          <w:lang w:val="en-CA"/>
        </w:rPr>
        <w:t>Next</w:t>
      </w:r>
      <w:r w:rsidRPr="00A81CD3">
        <w:rPr>
          <w:lang w:val="en-CA"/>
        </w:rPr>
        <w:t xml:space="preserve">, after analyzing the evidence relating to the discussions that took place during the police intervention, the judge rejected </w:t>
      </w:r>
      <w:r w:rsidRPr="00A81CD3">
        <w:rPr>
          <w:lang w:val="en-CA"/>
        </w:rPr>
        <w:lastRenderedPageBreak/>
        <w:t>the appellant</w:t>
      </w:r>
      <w:r w:rsidR="00356592" w:rsidRPr="00A81CD3">
        <w:rPr>
          <w:lang w:val="en-CA"/>
        </w:rPr>
        <w:t>’</w:t>
      </w:r>
      <w:r w:rsidRPr="00A81CD3">
        <w:rPr>
          <w:lang w:val="en-CA"/>
        </w:rPr>
        <w:t xml:space="preserve">s version that the police never informed him of his right to counsel. Instead, she agreed with </w:t>
      </w:r>
      <w:r w:rsidR="003C4B4B">
        <w:rPr>
          <w:lang w:val="en-CA"/>
        </w:rPr>
        <w:t xml:space="preserve">the </w:t>
      </w:r>
      <w:r w:rsidRPr="00A81CD3">
        <w:rPr>
          <w:lang w:val="en-CA"/>
        </w:rPr>
        <w:t>police’s version, despite the lack of detail in the notes they took in connection with the intervention.</w:t>
      </w:r>
    </w:p>
    <w:p w14:paraId="4F737463" w14:textId="01D64202"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The judge </w:t>
      </w:r>
      <w:r w:rsidR="00E03FC6">
        <w:rPr>
          <w:lang w:val="en-CA"/>
        </w:rPr>
        <w:t>found</w:t>
      </w:r>
      <w:r w:rsidRPr="00A81CD3">
        <w:rPr>
          <w:lang w:val="en-CA"/>
        </w:rPr>
        <w:t xml:space="preserve"> that the appellant had indeed been informed of his right to counsel</w:t>
      </w:r>
      <w:r w:rsidR="002F1B66" w:rsidRPr="00A81CD3">
        <w:rPr>
          <w:lang w:val="en-CA"/>
        </w:rPr>
        <w:t>,</w:t>
      </w:r>
      <w:r w:rsidRPr="00A81CD3">
        <w:rPr>
          <w:lang w:val="en-CA"/>
        </w:rPr>
        <w:t xml:space="preserve"> both when he was </w:t>
      </w:r>
      <w:r w:rsidR="00E03FC6">
        <w:rPr>
          <w:lang w:val="en-CA"/>
        </w:rPr>
        <w:t>detained</w:t>
      </w:r>
      <w:r w:rsidRPr="00A81CD3">
        <w:rPr>
          <w:lang w:val="en-CA"/>
        </w:rPr>
        <w:t xml:space="preserve"> for investigative purposes and when he was arrested for possession of cocaine for the purpose of trafficking. She added that the officers could not be </w:t>
      </w:r>
      <w:r w:rsidR="00E03FC6">
        <w:rPr>
          <w:lang w:val="en-CA"/>
        </w:rPr>
        <w:t>faulted</w:t>
      </w:r>
      <w:r w:rsidRPr="00A81CD3">
        <w:rPr>
          <w:lang w:val="en-CA"/>
        </w:rPr>
        <w:t xml:space="preserve"> for not giving the appellant the opportunity to exercise his right to counsel, since he did not express the desire to do so.</w:t>
      </w:r>
    </w:p>
    <w:p w14:paraId="4F737464" w14:textId="13AEFD6D" w:rsidR="00E406BF" w:rsidRPr="00A81CD3" w:rsidRDefault="00EF1AF1" w:rsidP="00E406BF">
      <w:pPr>
        <w:pStyle w:val="Paragraphe"/>
        <w:widowControl w:val="0"/>
        <w:numPr>
          <w:ilvl w:val="0"/>
          <w:numId w:val="5"/>
        </w:numPr>
        <w:spacing w:line="240" w:lineRule="auto"/>
        <w:ind w:left="714" w:hanging="357"/>
        <w:rPr>
          <w:b/>
          <w:bCs/>
          <w:lang w:val="en-CA"/>
        </w:rPr>
      </w:pPr>
      <w:r w:rsidRPr="00A81CD3">
        <w:rPr>
          <w:b/>
          <w:bCs/>
          <w:lang w:val="en-CA"/>
        </w:rPr>
        <w:t xml:space="preserve">Judgment on the second </w:t>
      </w:r>
      <w:r w:rsidRPr="00A81CD3">
        <w:rPr>
          <w:b/>
          <w:bCs/>
          <w:i/>
          <w:iCs/>
          <w:lang w:val="en-CA"/>
        </w:rPr>
        <w:t xml:space="preserve">Jordan </w:t>
      </w:r>
      <w:r w:rsidR="005F221F">
        <w:rPr>
          <w:b/>
          <w:bCs/>
          <w:lang w:val="en-CA"/>
        </w:rPr>
        <w:t>motion</w:t>
      </w:r>
    </w:p>
    <w:p w14:paraId="4F737465" w14:textId="34CEA874"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second </w:t>
      </w:r>
      <w:r w:rsidRPr="00A81CD3">
        <w:rPr>
          <w:i/>
          <w:iCs/>
          <w:lang w:val="en-CA"/>
        </w:rPr>
        <w:t xml:space="preserve">Jordan </w:t>
      </w:r>
      <w:r w:rsidR="005F221F">
        <w:rPr>
          <w:lang w:val="en-CA"/>
        </w:rPr>
        <w:t>motion</w:t>
      </w:r>
      <w:r w:rsidRPr="00A81CD3">
        <w:rPr>
          <w:lang w:val="en-CA"/>
        </w:rPr>
        <w:t xml:space="preserve"> raised the </w:t>
      </w:r>
      <w:r w:rsidR="00DB06CF">
        <w:rPr>
          <w:lang w:val="en-CA"/>
        </w:rPr>
        <w:t>issue</w:t>
      </w:r>
      <w:r w:rsidRPr="00A81CD3">
        <w:rPr>
          <w:lang w:val="en-CA"/>
        </w:rPr>
        <w:t xml:space="preserve"> of whether the deliberation on the </w:t>
      </w:r>
      <w:r w:rsidR="005F221F">
        <w:rPr>
          <w:lang w:val="en-CA"/>
        </w:rPr>
        <w:t>motions</w:t>
      </w:r>
      <w:r w:rsidRPr="00A81CD3">
        <w:rPr>
          <w:lang w:val="en-CA"/>
        </w:rPr>
        <w:t xml:space="preserve"> challenging the admissibility of the cocaine—a period of just over three months between September and December 2021—should qualify as a discrete exceptional event within the meaning of the analytical framework established in </w:t>
      </w:r>
      <w:r w:rsidRPr="00A81CD3">
        <w:rPr>
          <w:i/>
          <w:iCs/>
          <w:lang w:val="en-CA"/>
        </w:rPr>
        <w:t>Jordan.</w:t>
      </w:r>
      <w:r w:rsidRPr="00A81CD3">
        <w:rPr>
          <w:rStyle w:val="Appelnotedebasdep"/>
          <w:lang w:val="en-CA"/>
        </w:rPr>
        <w:footnoteReference w:id="16"/>
      </w:r>
      <w:r w:rsidRPr="00A81CD3">
        <w:rPr>
          <w:lang w:val="en-CA"/>
        </w:rPr>
        <w:t xml:space="preserve"> Taking this deliberation into account when calculating the total length of time between the laying of charges and the end of the trial would have meant exceeding the 18-month ceiling applicable to this case.</w:t>
      </w:r>
    </w:p>
    <w:p w14:paraId="4F737466" w14:textId="77777777"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appellant argued that the duration of this deliberation should have been taken into account. More specifically, he argued that the Crown should have been proactive in requesting that the arguments on the merits of the case take place immediately after the </w:t>
      </w:r>
      <w:r w:rsidRPr="00A81CD3">
        <w:rPr>
          <w:i/>
          <w:iCs/>
          <w:lang w:val="en-CA"/>
        </w:rPr>
        <w:t>voir dire</w:t>
      </w:r>
      <w:r w:rsidRPr="00A81CD3">
        <w:rPr>
          <w:lang w:val="en-CA"/>
        </w:rPr>
        <w:t xml:space="preserve"> rather than after the judgment on the admissibility of the cocaine, which would have allowed the trial to finish in September 2021, and thus within the 18-month ceiling.</w:t>
      </w:r>
    </w:p>
    <w:p w14:paraId="4F737467" w14:textId="72714959"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judge rejected this argument. First, in her view, the parties agreed to proceed as they did. Second, she </w:t>
      </w:r>
      <w:r w:rsidR="003B29D0">
        <w:rPr>
          <w:lang w:val="en-CA"/>
        </w:rPr>
        <w:t>considered it</w:t>
      </w:r>
      <w:r w:rsidRPr="00A81CD3">
        <w:rPr>
          <w:lang w:val="en-CA"/>
        </w:rPr>
        <w:t xml:space="preserve"> desirable for the appellant</w:t>
      </w:r>
      <w:r w:rsidR="00356592" w:rsidRPr="00A81CD3">
        <w:rPr>
          <w:lang w:val="en-CA"/>
        </w:rPr>
        <w:t>’</w:t>
      </w:r>
      <w:r w:rsidRPr="00A81CD3">
        <w:rPr>
          <w:lang w:val="en-CA"/>
        </w:rPr>
        <w:t xml:space="preserve">s </w:t>
      </w:r>
      <w:r w:rsidR="005F221F">
        <w:rPr>
          <w:lang w:val="en-CA"/>
        </w:rPr>
        <w:t>motions</w:t>
      </w:r>
      <w:r w:rsidRPr="00A81CD3">
        <w:rPr>
          <w:lang w:val="en-CA"/>
        </w:rPr>
        <w:t xml:space="preserve"> to be decided before the arguments on the merits, as they </w:t>
      </w:r>
      <w:r w:rsidR="003B29D0">
        <w:rPr>
          <w:lang w:val="en-CA"/>
        </w:rPr>
        <w:t xml:space="preserve">could have </w:t>
      </w:r>
      <w:r w:rsidRPr="00A81CD3">
        <w:rPr>
          <w:lang w:val="en-CA"/>
        </w:rPr>
        <w:t xml:space="preserve">put an end to the proceedings. </w:t>
      </w:r>
      <w:r w:rsidR="00F27130">
        <w:rPr>
          <w:lang w:val="en-CA"/>
        </w:rPr>
        <w:t>Accordingly</w:t>
      </w:r>
      <w:r w:rsidRPr="00A81CD3">
        <w:rPr>
          <w:lang w:val="en-CA"/>
        </w:rPr>
        <w:t>, she refused to order a stay of proceedings.</w:t>
      </w:r>
    </w:p>
    <w:p w14:paraId="4F737468" w14:textId="77777777" w:rsidR="00E406BF" w:rsidRPr="00A81CD3" w:rsidRDefault="00EF1AF1" w:rsidP="00E406BF">
      <w:pPr>
        <w:pStyle w:val="Paragraphe"/>
        <w:widowControl w:val="0"/>
        <w:spacing w:line="240" w:lineRule="auto"/>
        <w:ind w:left="426" w:hanging="426"/>
        <w:rPr>
          <w:b/>
          <w:bCs/>
          <w:lang w:val="en-CA"/>
        </w:rPr>
      </w:pPr>
      <w:r w:rsidRPr="00A81CD3">
        <w:rPr>
          <w:b/>
          <w:bCs/>
          <w:lang w:val="en-CA"/>
        </w:rPr>
        <w:t>III.</w:t>
      </w:r>
      <w:r w:rsidRPr="00A81CD3">
        <w:rPr>
          <w:b/>
          <w:bCs/>
          <w:lang w:val="en-CA"/>
        </w:rPr>
        <w:tab/>
        <w:t>Analysis</w:t>
      </w:r>
    </w:p>
    <w:p w14:paraId="4F737469" w14:textId="77777777" w:rsidR="00E406BF" w:rsidRPr="00A81CD3" w:rsidRDefault="00EF1AF1" w:rsidP="00E406BF">
      <w:pPr>
        <w:pStyle w:val="Paragraphe"/>
        <w:widowControl w:val="0"/>
        <w:numPr>
          <w:ilvl w:val="0"/>
          <w:numId w:val="14"/>
        </w:numPr>
        <w:spacing w:line="240" w:lineRule="auto"/>
        <w:rPr>
          <w:b/>
          <w:bCs/>
          <w:u w:val="single"/>
          <w:lang w:val="en-CA"/>
        </w:rPr>
      </w:pPr>
      <w:r w:rsidRPr="00A81CD3">
        <w:rPr>
          <w:b/>
          <w:bCs/>
          <w:u w:val="single"/>
          <w:lang w:val="en-CA"/>
        </w:rPr>
        <w:t>Admissibility of the cocaine</w:t>
      </w:r>
    </w:p>
    <w:p w14:paraId="4F73746A" w14:textId="4E0D2A10"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appellant first argued that the judge </w:t>
      </w:r>
      <w:r w:rsidR="002B75F2">
        <w:rPr>
          <w:lang w:val="en-CA"/>
        </w:rPr>
        <w:t>made</w:t>
      </w:r>
      <w:r w:rsidRPr="00A81CD3">
        <w:rPr>
          <w:lang w:val="en-CA"/>
        </w:rPr>
        <w:t xml:space="preserve"> reviewable errors in finding </w:t>
      </w:r>
      <w:r w:rsidR="003B29D0">
        <w:rPr>
          <w:lang w:val="en-CA"/>
        </w:rPr>
        <w:t xml:space="preserve">that </w:t>
      </w:r>
      <w:r w:rsidRPr="00A81CD3">
        <w:rPr>
          <w:lang w:val="en-CA"/>
        </w:rPr>
        <w:t xml:space="preserve">the cocaine seized on October 1, 2018, </w:t>
      </w:r>
      <w:r w:rsidR="003B29D0">
        <w:rPr>
          <w:lang w:val="en-CA"/>
        </w:rPr>
        <w:t xml:space="preserve">was </w:t>
      </w:r>
      <w:r w:rsidRPr="00A81CD3">
        <w:rPr>
          <w:lang w:val="en-CA"/>
        </w:rPr>
        <w:t>admissible. His grounds raise two main questions.</w:t>
      </w:r>
    </w:p>
    <w:p w14:paraId="4F73746B" w14:textId="354CEEB3" w:rsidR="00E406BF" w:rsidRPr="00A81CD3" w:rsidRDefault="00EF1AF1" w:rsidP="003B29D0">
      <w:pPr>
        <w:pStyle w:val="Paragraphe"/>
        <w:keepNext/>
        <w:widowControl w:val="0"/>
        <w:numPr>
          <w:ilvl w:val="0"/>
          <w:numId w:val="15"/>
        </w:numPr>
        <w:spacing w:before="240" w:after="180" w:line="280" w:lineRule="exact"/>
        <w:ind w:left="1077" w:hanging="357"/>
        <w:rPr>
          <w:b/>
          <w:bCs/>
          <w:lang w:val="en-CA"/>
        </w:rPr>
      </w:pPr>
      <w:r w:rsidRPr="00A81CD3">
        <w:rPr>
          <w:b/>
          <w:bCs/>
          <w:lang w:val="en-CA"/>
        </w:rPr>
        <w:lastRenderedPageBreak/>
        <w:t xml:space="preserve">Did the police </w:t>
      </w:r>
      <w:r w:rsidR="00B9704B">
        <w:rPr>
          <w:b/>
          <w:bCs/>
          <w:lang w:val="en-CA"/>
        </w:rPr>
        <w:t>infringe</w:t>
      </w:r>
      <w:r w:rsidRPr="00A81CD3">
        <w:rPr>
          <w:b/>
          <w:bCs/>
          <w:lang w:val="en-CA"/>
        </w:rPr>
        <w:t xml:space="preserve"> the </w:t>
      </w:r>
      <w:r w:rsidRPr="00A81CD3">
        <w:rPr>
          <w:b/>
          <w:bCs/>
          <w:i/>
          <w:iCs/>
          <w:lang w:val="en-CA"/>
        </w:rPr>
        <w:t>Charter</w:t>
      </w:r>
      <w:r w:rsidRPr="00A81CD3">
        <w:rPr>
          <w:b/>
          <w:bCs/>
          <w:lang w:val="en-CA"/>
        </w:rPr>
        <w:t xml:space="preserve"> during the seizure?</w:t>
      </w:r>
    </w:p>
    <w:p w14:paraId="4F73746C" w14:textId="4BAE5ECE" w:rsidR="00E406BF" w:rsidRPr="00A81CD3" w:rsidRDefault="00EF1AF1" w:rsidP="003B29D0">
      <w:pPr>
        <w:pStyle w:val="Paragraphe"/>
        <w:keepNext/>
        <w:numPr>
          <w:ilvl w:val="0"/>
          <w:numId w:val="1"/>
        </w:numPr>
        <w:spacing w:before="180" w:after="180" w:line="280" w:lineRule="exact"/>
        <w:rPr>
          <w:lang w:val="en-CA"/>
        </w:rPr>
      </w:pPr>
      <w:r w:rsidRPr="00D33236">
        <w:rPr>
          <w:lang w:val="en-CA"/>
        </w:rPr>
        <w:t>The first question</w:t>
      </w:r>
      <w:r w:rsidRPr="00A81CD3">
        <w:rPr>
          <w:lang w:val="en-CA"/>
        </w:rPr>
        <w:t xml:space="preserve"> is whether the cocaine was seized </w:t>
      </w:r>
      <w:r w:rsidR="00432C69">
        <w:rPr>
          <w:lang w:val="en-CA"/>
        </w:rPr>
        <w:t>in a manner</w:t>
      </w:r>
      <w:r w:rsidRPr="00A81CD3">
        <w:rPr>
          <w:lang w:val="en-CA"/>
        </w:rPr>
        <w:t xml:space="preserve"> that </w:t>
      </w:r>
      <w:r w:rsidR="00B9704B">
        <w:rPr>
          <w:lang w:val="en-CA"/>
        </w:rPr>
        <w:t>infringed</w:t>
      </w:r>
      <w:r w:rsidRPr="00A81CD3">
        <w:rPr>
          <w:lang w:val="en-CA"/>
        </w:rPr>
        <w:t xml:space="preserve"> rights and freedoms guaranteed by the </w:t>
      </w:r>
      <w:r w:rsidRPr="00A81CD3">
        <w:rPr>
          <w:i/>
          <w:iCs/>
          <w:lang w:val="en-CA"/>
        </w:rPr>
        <w:t>Canadian Charter</w:t>
      </w:r>
      <w:r w:rsidRPr="00A81CD3">
        <w:rPr>
          <w:lang w:val="en-CA"/>
        </w:rPr>
        <w:t>.</w:t>
      </w:r>
    </w:p>
    <w:p w14:paraId="4F73746D" w14:textId="5F1B027F"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As the Supreme Court indicated in </w:t>
      </w:r>
      <w:r w:rsidRPr="00A81CD3">
        <w:rPr>
          <w:i/>
          <w:iCs/>
          <w:lang w:val="en-CA"/>
        </w:rPr>
        <w:t>Beaver</w:t>
      </w:r>
      <w:r w:rsidRPr="00D33236">
        <w:rPr>
          <w:lang w:val="en-CA"/>
        </w:rPr>
        <w:t>,</w:t>
      </w:r>
      <w:r w:rsidRPr="00A81CD3">
        <w:rPr>
          <w:rStyle w:val="Appelnotedebasdep"/>
          <w:lang w:val="en-CA"/>
        </w:rPr>
        <w:footnoteReference w:id="17"/>
      </w:r>
      <w:r w:rsidRPr="00A81CD3">
        <w:rPr>
          <w:lang w:val="en-CA"/>
        </w:rPr>
        <w:t xml:space="preserve"> such a context requires a two</w:t>
      </w:r>
      <w:r w:rsidR="00B9704B">
        <w:rPr>
          <w:lang w:val="en-CA"/>
        </w:rPr>
        <w:t>-step</w:t>
      </w:r>
      <w:r w:rsidRPr="00A81CD3">
        <w:rPr>
          <w:lang w:val="en-CA"/>
        </w:rPr>
        <w:t xml:space="preserve"> analysis. The </w:t>
      </w:r>
      <w:r w:rsidR="00B9704B">
        <w:rPr>
          <w:lang w:val="en-CA"/>
        </w:rPr>
        <w:t>C</w:t>
      </w:r>
      <w:r w:rsidRPr="00A81CD3">
        <w:rPr>
          <w:lang w:val="en-CA"/>
        </w:rPr>
        <w:t xml:space="preserve">ourt must first determine whether the police did effectively </w:t>
      </w:r>
      <w:r w:rsidR="00B9704B">
        <w:rPr>
          <w:lang w:val="en-CA"/>
        </w:rPr>
        <w:t>infringe</w:t>
      </w:r>
      <w:r w:rsidRPr="00A81CD3">
        <w:rPr>
          <w:lang w:val="en-CA"/>
        </w:rPr>
        <w:t xml:space="preserve"> the accused</w:t>
      </w:r>
      <w:r w:rsidR="00356592" w:rsidRPr="00A81CD3">
        <w:rPr>
          <w:lang w:val="en-CA"/>
        </w:rPr>
        <w:t>’</w:t>
      </w:r>
      <w:r w:rsidRPr="00A81CD3">
        <w:rPr>
          <w:lang w:val="en-CA"/>
        </w:rPr>
        <w:t>s fundamental rights. If so, the question then arises as to whether there is a sufficient connection between these infringements and the discovery of the impugned evidence.</w:t>
      </w:r>
      <w:r w:rsidRPr="00A81CD3">
        <w:rPr>
          <w:rStyle w:val="Appelnotedebasdep"/>
          <w:lang w:val="en-CA"/>
        </w:rPr>
        <w:footnoteReference w:id="18"/>
      </w:r>
      <w:r w:rsidRPr="00A81CD3">
        <w:rPr>
          <w:lang w:val="en-CA"/>
        </w:rPr>
        <w:t xml:space="preserve"> </w:t>
      </w:r>
      <w:r w:rsidR="00B9704B">
        <w:rPr>
          <w:lang w:val="en-CA"/>
        </w:rPr>
        <w:t>In this case, h</w:t>
      </w:r>
      <w:r w:rsidRPr="00A81CD3">
        <w:rPr>
          <w:lang w:val="en-CA"/>
        </w:rPr>
        <w:t xml:space="preserve">owever, there is no doubt that the alleged </w:t>
      </w:r>
      <w:r w:rsidR="00B9704B">
        <w:rPr>
          <w:lang w:val="en-CA"/>
        </w:rPr>
        <w:t>infringements</w:t>
      </w:r>
      <w:r w:rsidRPr="00A81CD3">
        <w:rPr>
          <w:lang w:val="en-CA"/>
        </w:rPr>
        <w:t xml:space="preserve"> and the discovery of the cocaine were part of the same police operation, which is </w:t>
      </w:r>
      <w:r w:rsidR="00B9704B">
        <w:rPr>
          <w:lang w:val="en-CA"/>
        </w:rPr>
        <w:t>enough</w:t>
      </w:r>
      <w:r w:rsidRPr="00A81CD3">
        <w:rPr>
          <w:lang w:val="en-CA"/>
        </w:rPr>
        <w:t xml:space="preserve"> to conclude that there is a sufficient connection.</w:t>
      </w:r>
      <w:r w:rsidRPr="00A81CD3">
        <w:rPr>
          <w:rStyle w:val="Appelnotedebasdep"/>
          <w:lang w:val="en-CA"/>
        </w:rPr>
        <w:footnoteReference w:id="19"/>
      </w:r>
      <w:r w:rsidRPr="00A81CD3">
        <w:rPr>
          <w:lang w:val="en-CA"/>
        </w:rPr>
        <w:t xml:space="preserve"> It follows that if the appellant is successful at the first </w:t>
      </w:r>
      <w:r w:rsidR="00B9704B">
        <w:rPr>
          <w:lang w:val="en-CA"/>
        </w:rPr>
        <w:t>step</w:t>
      </w:r>
      <w:r w:rsidRPr="00A81CD3">
        <w:rPr>
          <w:lang w:val="en-CA"/>
        </w:rPr>
        <w:t xml:space="preserve"> of the analysis, it must be concluded that the cocaine was seized </w:t>
      </w:r>
      <w:r w:rsidR="00432C69">
        <w:rPr>
          <w:lang w:val="en-CA"/>
        </w:rPr>
        <w:t>in a manner</w:t>
      </w:r>
      <w:r w:rsidRPr="00A81CD3">
        <w:rPr>
          <w:lang w:val="en-CA"/>
        </w:rPr>
        <w:t xml:space="preserve"> that </w:t>
      </w:r>
      <w:r w:rsidR="00B9704B">
        <w:rPr>
          <w:lang w:val="en-CA"/>
        </w:rPr>
        <w:t>infringed</w:t>
      </w:r>
      <w:r w:rsidRPr="00A81CD3">
        <w:rPr>
          <w:lang w:val="en-CA"/>
        </w:rPr>
        <w:t xml:space="preserve"> rights and freedoms guaranteed by the </w:t>
      </w:r>
      <w:r w:rsidRPr="00A81CD3">
        <w:rPr>
          <w:i/>
          <w:iCs/>
          <w:lang w:val="en-CA"/>
        </w:rPr>
        <w:t>Charter</w:t>
      </w:r>
      <w:r w:rsidRPr="00A81CD3">
        <w:rPr>
          <w:lang w:val="en-CA"/>
        </w:rPr>
        <w:t>.</w:t>
      </w:r>
    </w:p>
    <w:p w14:paraId="4F73746E" w14:textId="17A413B7" w:rsidR="00E406BF" w:rsidRPr="00A81CD3" w:rsidRDefault="00EF1AF1" w:rsidP="00EE4E7D">
      <w:pPr>
        <w:pStyle w:val="Paragraphe"/>
        <w:numPr>
          <w:ilvl w:val="0"/>
          <w:numId w:val="1"/>
        </w:numPr>
        <w:spacing w:before="180" w:after="180" w:line="280" w:lineRule="exact"/>
        <w:rPr>
          <w:lang w:val="en-CA"/>
        </w:rPr>
      </w:pPr>
      <w:r w:rsidRPr="00A81CD3">
        <w:rPr>
          <w:lang w:val="en-CA"/>
        </w:rPr>
        <w:t>The following analysis therefore focuses on the alleged infringements of the appellant</w:t>
      </w:r>
      <w:r w:rsidR="00356592" w:rsidRPr="00A81CD3">
        <w:rPr>
          <w:lang w:val="en-CA"/>
        </w:rPr>
        <w:t>’</w:t>
      </w:r>
      <w:r w:rsidRPr="00A81CD3">
        <w:rPr>
          <w:lang w:val="en-CA"/>
        </w:rPr>
        <w:t xml:space="preserve">s rights under sections 8 and 10 of the </w:t>
      </w:r>
      <w:r w:rsidRPr="00A81CD3">
        <w:rPr>
          <w:i/>
          <w:iCs/>
          <w:lang w:val="en-CA"/>
        </w:rPr>
        <w:t>Charter</w:t>
      </w:r>
      <w:r w:rsidRPr="00A81CD3">
        <w:rPr>
          <w:lang w:val="en-CA"/>
        </w:rPr>
        <w:t>.</w:t>
      </w:r>
    </w:p>
    <w:p w14:paraId="4F73746F" w14:textId="77777777" w:rsidR="00E406BF" w:rsidRPr="006F7E56" w:rsidRDefault="00EF1AF1" w:rsidP="006F7E56">
      <w:pPr>
        <w:pStyle w:val="Titre3"/>
        <w:rPr>
          <w:b/>
          <w:bCs/>
          <w:lang w:val="en-CA"/>
        </w:rPr>
      </w:pPr>
      <w:r w:rsidRPr="006F7E56">
        <w:rPr>
          <w:b/>
          <w:bCs/>
          <w:lang w:val="en-CA"/>
        </w:rPr>
        <w:t>Was the warrant issued on July 16, 2018, valid?</w:t>
      </w:r>
    </w:p>
    <w:p w14:paraId="4F737470" w14:textId="77777777" w:rsidR="00E406BF" w:rsidRPr="00A81CD3" w:rsidRDefault="00EF1AF1" w:rsidP="00EE4E7D">
      <w:pPr>
        <w:pStyle w:val="Paragraphe"/>
        <w:numPr>
          <w:ilvl w:val="0"/>
          <w:numId w:val="1"/>
        </w:numPr>
        <w:spacing w:before="180" w:after="180" w:line="280" w:lineRule="exact"/>
        <w:rPr>
          <w:lang w:val="en-CA"/>
        </w:rPr>
      </w:pPr>
      <w:r w:rsidRPr="00A81CD3">
        <w:rPr>
          <w:lang w:val="en-CA"/>
        </w:rPr>
        <w:t>The appellant first argues that the warrant used by the police to stop him during the operation on October 1, 2018, was invalid.</w:t>
      </w:r>
    </w:p>
    <w:p w14:paraId="4F737471" w14:textId="40208296"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It should be </w:t>
      </w:r>
      <w:r w:rsidR="009A43C6">
        <w:rPr>
          <w:lang w:val="en-CA"/>
        </w:rPr>
        <w:t>noted</w:t>
      </w:r>
      <w:r w:rsidRPr="00A81CD3">
        <w:rPr>
          <w:lang w:val="en-CA"/>
        </w:rPr>
        <w:t xml:space="preserve"> at the outset that the Crown is relying solely on this warrant to justify the </w:t>
      </w:r>
      <w:r w:rsidR="009A43C6">
        <w:rPr>
          <w:lang w:val="en-CA"/>
        </w:rPr>
        <w:t>lawfulness</w:t>
      </w:r>
      <w:r w:rsidRPr="00A81CD3">
        <w:rPr>
          <w:lang w:val="en-CA"/>
        </w:rPr>
        <w:t xml:space="preserve"> of the search of the appellant and the seizure of the cocaine. It does not invoke the common law power of the police to conduct a search incidental to an investigative detention.</w:t>
      </w:r>
      <w:r w:rsidRPr="00A81CD3">
        <w:rPr>
          <w:rStyle w:val="Appelnotedebasdep"/>
          <w:lang w:val="en-CA"/>
        </w:rPr>
        <w:footnoteReference w:id="20"/>
      </w:r>
      <w:r w:rsidRPr="00A81CD3">
        <w:rPr>
          <w:lang w:val="en-CA"/>
        </w:rPr>
        <w:t xml:space="preserve"> Nor does the Crown raise a </w:t>
      </w:r>
      <w:r w:rsidRPr="00A81CD3">
        <w:rPr>
          <w:i/>
          <w:iCs/>
          <w:lang w:val="en-CA"/>
        </w:rPr>
        <w:t>de facto</w:t>
      </w:r>
      <w:r w:rsidRPr="00A81CD3">
        <w:rPr>
          <w:lang w:val="en-CA"/>
        </w:rPr>
        <w:t xml:space="preserve"> arrest argument similar to that raised in </w:t>
      </w:r>
      <w:r w:rsidRPr="00A81CD3">
        <w:rPr>
          <w:i/>
          <w:iCs/>
          <w:lang w:val="en-CA"/>
        </w:rPr>
        <w:t>Bielli</w:t>
      </w:r>
      <w:r w:rsidRPr="00A81CD3">
        <w:rPr>
          <w:lang w:val="en-CA"/>
        </w:rPr>
        <w:t>.</w:t>
      </w:r>
      <w:r w:rsidRPr="00A81CD3">
        <w:rPr>
          <w:rStyle w:val="Appelnotedebasdep"/>
          <w:lang w:val="en-CA"/>
        </w:rPr>
        <w:footnoteReference w:id="21"/>
      </w:r>
      <w:r w:rsidRPr="00A81CD3">
        <w:rPr>
          <w:i/>
          <w:iCs/>
          <w:lang w:val="en-CA"/>
        </w:rPr>
        <w:t xml:space="preserve"> </w:t>
      </w:r>
      <w:r w:rsidRPr="00A81CD3">
        <w:rPr>
          <w:lang w:val="en-CA"/>
        </w:rPr>
        <w:t xml:space="preserve">Thus, the validity of the search of the appellant and </w:t>
      </w:r>
      <w:r w:rsidR="009A43C6">
        <w:rPr>
          <w:lang w:val="en-CA"/>
        </w:rPr>
        <w:t xml:space="preserve">the </w:t>
      </w:r>
      <w:r w:rsidRPr="00A81CD3">
        <w:rPr>
          <w:lang w:val="en-CA"/>
        </w:rPr>
        <w:t xml:space="preserve">seizure of </w:t>
      </w:r>
      <w:r w:rsidRPr="00A81CD3">
        <w:rPr>
          <w:lang w:val="en-CA"/>
        </w:rPr>
        <w:lastRenderedPageBreak/>
        <w:t xml:space="preserve">the cocaine under section 8 of the </w:t>
      </w:r>
      <w:r w:rsidRPr="00A81CD3">
        <w:rPr>
          <w:i/>
          <w:iCs/>
          <w:lang w:val="en-CA"/>
        </w:rPr>
        <w:t xml:space="preserve">Charter </w:t>
      </w:r>
      <w:r w:rsidRPr="00A81CD3">
        <w:rPr>
          <w:lang w:val="en-CA"/>
        </w:rPr>
        <w:t>depends on the validity of the warrant issued on July 16, 2018.</w:t>
      </w:r>
    </w:p>
    <w:p w14:paraId="4F737472" w14:textId="653E6D26" w:rsidR="00E406BF" w:rsidRPr="00A81CD3" w:rsidRDefault="00EF1AF1" w:rsidP="00EE4E7D">
      <w:pPr>
        <w:pStyle w:val="Paragraphe"/>
        <w:numPr>
          <w:ilvl w:val="0"/>
          <w:numId w:val="1"/>
        </w:numPr>
        <w:spacing w:before="180" w:after="180" w:line="280" w:lineRule="exact"/>
        <w:rPr>
          <w:lang w:val="en-CA"/>
        </w:rPr>
      </w:pPr>
      <w:r w:rsidRPr="00A81CD3">
        <w:rPr>
          <w:lang w:val="en-CA"/>
        </w:rPr>
        <w:t>In the appellant</w:t>
      </w:r>
      <w:r w:rsidR="00356592" w:rsidRPr="00A81CD3">
        <w:rPr>
          <w:lang w:val="en-CA"/>
        </w:rPr>
        <w:t>’</w:t>
      </w:r>
      <w:r w:rsidRPr="00A81CD3">
        <w:rPr>
          <w:lang w:val="en-CA"/>
        </w:rPr>
        <w:t xml:space="preserve">s view, the warrant was invalid because, according to him, section 487.01 </w:t>
      </w:r>
      <w:r w:rsidRPr="00A81CD3">
        <w:rPr>
          <w:i/>
          <w:iCs/>
          <w:lang w:val="en-CA"/>
        </w:rPr>
        <w:t>Cr.</w:t>
      </w:r>
      <w:r w:rsidR="00D765AB">
        <w:rPr>
          <w:i/>
          <w:iCs/>
          <w:lang w:val="en-CA"/>
        </w:rPr>
        <w:t> </w:t>
      </w:r>
      <w:r w:rsidRPr="00A81CD3">
        <w:rPr>
          <w:i/>
          <w:iCs/>
          <w:lang w:val="en-CA"/>
        </w:rPr>
        <w:t xml:space="preserve">C. </w:t>
      </w:r>
      <w:r w:rsidRPr="00A81CD3">
        <w:rPr>
          <w:lang w:val="en-CA"/>
        </w:rPr>
        <w:t>does not permit the issuance of a warrant which, by its very nature, authorizes police officers to infringe the rights guaranteed by paragraphs 10</w:t>
      </w:r>
      <w:r w:rsidR="00D765AB">
        <w:rPr>
          <w:lang w:val="en-CA"/>
        </w:rPr>
        <w:t>(</w:t>
      </w:r>
      <w:r w:rsidRPr="00A81CD3">
        <w:rPr>
          <w:lang w:val="en-CA"/>
        </w:rPr>
        <w:t>a) and 10</w:t>
      </w:r>
      <w:r w:rsidR="00D765AB">
        <w:rPr>
          <w:lang w:val="en-CA"/>
        </w:rPr>
        <w:t>(</w:t>
      </w:r>
      <w:r w:rsidRPr="00A81CD3">
        <w:rPr>
          <w:lang w:val="en-CA"/>
        </w:rPr>
        <w:t xml:space="preserve">b) of the </w:t>
      </w:r>
      <w:r w:rsidRPr="00A81CD3">
        <w:rPr>
          <w:i/>
          <w:iCs/>
          <w:lang w:val="en-CA"/>
        </w:rPr>
        <w:t>Charter</w:t>
      </w:r>
      <w:r w:rsidRPr="00A81CD3">
        <w:rPr>
          <w:lang w:val="en-CA"/>
        </w:rPr>
        <w:t>. He add</w:t>
      </w:r>
      <w:r w:rsidR="00D33236">
        <w:rPr>
          <w:lang w:val="en-CA"/>
        </w:rPr>
        <w:t>s</w:t>
      </w:r>
      <w:r w:rsidRPr="00A81CD3">
        <w:rPr>
          <w:lang w:val="en-CA"/>
        </w:rPr>
        <w:t xml:space="preserve"> that this </w:t>
      </w:r>
      <w:r w:rsidR="00BD3558" w:rsidRPr="00A81CD3">
        <w:rPr>
          <w:lang w:val="en-CA"/>
        </w:rPr>
        <w:t>observation</w:t>
      </w:r>
      <w:r w:rsidRPr="00A81CD3">
        <w:rPr>
          <w:lang w:val="en-CA"/>
        </w:rPr>
        <w:t xml:space="preserve"> </w:t>
      </w:r>
      <w:r w:rsidR="00D765AB">
        <w:rPr>
          <w:lang w:val="en-CA"/>
        </w:rPr>
        <w:t>is</w:t>
      </w:r>
      <w:r w:rsidRPr="00A81CD3">
        <w:rPr>
          <w:lang w:val="en-CA"/>
        </w:rPr>
        <w:t xml:space="preserve"> sufficient to conclude that the warrant issued on July 16, 2018, was invalid. </w:t>
      </w:r>
      <w:r w:rsidR="00727610" w:rsidRPr="00A81CD3">
        <w:rPr>
          <w:lang w:val="en-CA"/>
        </w:rPr>
        <w:t xml:space="preserve">Supposing that an analysis under </w:t>
      </w:r>
      <w:r w:rsidRPr="00A81CD3">
        <w:rPr>
          <w:lang w:val="en-CA"/>
        </w:rPr>
        <w:t>section </w:t>
      </w:r>
      <w:r w:rsidR="00727610" w:rsidRPr="00A81CD3">
        <w:rPr>
          <w:lang w:val="en-CA"/>
        </w:rPr>
        <w:t xml:space="preserve">1 of the </w:t>
      </w:r>
      <w:r w:rsidR="00727610" w:rsidRPr="00A81CD3">
        <w:rPr>
          <w:i/>
          <w:iCs/>
          <w:lang w:val="en-CA"/>
        </w:rPr>
        <w:t xml:space="preserve">Charter </w:t>
      </w:r>
      <w:r w:rsidR="00727610" w:rsidRPr="00A81CD3">
        <w:rPr>
          <w:lang w:val="en-CA"/>
        </w:rPr>
        <w:t xml:space="preserve">were necessary, the appellant argues that the judge erred in her application of the analytical framework developed in </w:t>
      </w:r>
      <w:r w:rsidR="00727610" w:rsidRPr="006F7E56">
        <w:rPr>
          <w:i/>
          <w:iCs/>
          <w:lang w:val="en-CA"/>
        </w:rPr>
        <w:t>Oakes</w:t>
      </w:r>
      <w:r w:rsidR="00727610" w:rsidRPr="00A81CD3">
        <w:rPr>
          <w:lang w:val="en-CA"/>
        </w:rPr>
        <w:t>.</w:t>
      </w:r>
    </w:p>
    <w:p w14:paraId="4F737473" w14:textId="505F6D22"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Favouring a broader interpretation of section 487.01 </w:t>
      </w:r>
      <w:r w:rsidRPr="00A81CD3">
        <w:rPr>
          <w:i/>
          <w:iCs/>
          <w:lang w:val="en-CA"/>
        </w:rPr>
        <w:t>Cr.</w:t>
      </w:r>
      <w:r w:rsidR="00D765AB">
        <w:rPr>
          <w:i/>
          <w:iCs/>
          <w:lang w:val="en-CA"/>
        </w:rPr>
        <w:t> </w:t>
      </w:r>
      <w:r w:rsidRPr="00A81CD3">
        <w:rPr>
          <w:i/>
          <w:iCs/>
          <w:lang w:val="en-CA"/>
        </w:rPr>
        <w:t>C.</w:t>
      </w:r>
      <w:r w:rsidRPr="00A81CD3">
        <w:rPr>
          <w:lang w:val="en-CA"/>
        </w:rPr>
        <w:t xml:space="preserve">, the Crown’s view is rather that this provision allows </w:t>
      </w:r>
      <w:r w:rsidR="00D765AB">
        <w:rPr>
          <w:lang w:val="en-CA"/>
        </w:rPr>
        <w:t xml:space="preserve">for </w:t>
      </w:r>
      <w:r w:rsidRPr="00A81CD3">
        <w:rPr>
          <w:lang w:val="en-CA"/>
        </w:rPr>
        <w:t xml:space="preserve">the issuance of a warrant authorizing a person to be stopped and searched under a false </w:t>
      </w:r>
      <w:r w:rsidR="00CD1F32">
        <w:rPr>
          <w:lang w:val="en-CA"/>
        </w:rPr>
        <w:t>pretext</w:t>
      </w:r>
      <w:r w:rsidRPr="00A81CD3">
        <w:rPr>
          <w:lang w:val="en-CA"/>
        </w:rPr>
        <w:t xml:space="preserve">. It adds that any infringement of the </w:t>
      </w:r>
      <w:r w:rsidR="00034114">
        <w:rPr>
          <w:lang w:val="en-CA"/>
        </w:rPr>
        <w:t xml:space="preserve">appellant’s </w:t>
      </w:r>
      <w:r w:rsidRPr="00A81CD3">
        <w:rPr>
          <w:lang w:val="en-CA"/>
        </w:rPr>
        <w:t xml:space="preserve">rights guaranteed by section 10 of the </w:t>
      </w:r>
      <w:r w:rsidRPr="00A81CD3">
        <w:rPr>
          <w:i/>
          <w:iCs/>
          <w:lang w:val="en-CA"/>
        </w:rPr>
        <w:t xml:space="preserve">Charter </w:t>
      </w:r>
      <w:r w:rsidRPr="00A81CD3">
        <w:rPr>
          <w:lang w:val="en-CA"/>
        </w:rPr>
        <w:t xml:space="preserve">in the execution of the </w:t>
      </w:r>
      <w:r w:rsidR="00D765AB">
        <w:rPr>
          <w:lang w:val="en-CA"/>
        </w:rPr>
        <w:t>warrant</w:t>
      </w:r>
      <w:r w:rsidRPr="00A81CD3">
        <w:rPr>
          <w:lang w:val="en-CA"/>
        </w:rPr>
        <w:t xml:space="preserve"> is justified under section 1 of the </w:t>
      </w:r>
      <w:r w:rsidRPr="00A81CD3">
        <w:rPr>
          <w:i/>
          <w:iCs/>
          <w:lang w:val="en-CA"/>
        </w:rPr>
        <w:t>Charter</w:t>
      </w:r>
      <w:r w:rsidRPr="00A81CD3">
        <w:rPr>
          <w:lang w:val="en-CA"/>
        </w:rPr>
        <w:t>.</w:t>
      </w:r>
    </w:p>
    <w:p w14:paraId="4F737474" w14:textId="7DF99872" w:rsidR="00E406BF" w:rsidRPr="00A81CD3" w:rsidRDefault="00EF1AF1" w:rsidP="008129D5">
      <w:pPr>
        <w:pStyle w:val="Titre3"/>
        <w:widowControl w:val="0"/>
        <w:numPr>
          <w:ilvl w:val="0"/>
          <w:numId w:val="6"/>
        </w:numPr>
        <w:spacing w:after="180" w:line="240" w:lineRule="auto"/>
        <w:ind w:left="2126" w:hanging="425"/>
        <w:jc w:val="both"/>
        <w:rPr>
          <w:lang w:val="en-CA"/>
        </w:rPr>
      </w:pPr>
      <w:r w:rsidRPr="00A81CD3">
        <w:rPr>
          <w:b/>
          <w:bCs/>
          <w:lang w:val="en-CA"/>
        </w:rPr>
        <w:t xml:space="preserve">Section 487.01 </w:t>
      </w:r>
      <w:r w:rsidRPr="00A81CD3">
        <w:rPr>
          <w:b/>
          <w:bCs/>
          <w:i/>
          <w:iCs/>
          <w:lang w:val="en-CA"/>
        </w:rPr>
        <w:t>Cr.</w:t>
      </w:r>
      <w:r w:rsidR="00D765AB">
        <w:rPr>
          <w:b/>
          <w:bCs/>
          <w:i/>
          <w:iCs/>
          <w:lang w:val="en-CA"/>
        </w:rPr>
        <w:t> </w:t>
      </w:r>
      <w:r w:rsidRPr="00A81CD3">
        <w:rPr>
          <w:b/>
          <w:bCs/>
          <w:i/>
          <w:iCs/>
          <w:lang w:val="en-CA"/>
        </w:rPr>
        <w:t xml:space="preserve">C. </w:t>
      </w:r>
      <w:r w:rsidRPr="00A81CD3">
        <w:rPr>
          <w:b/>
          <w:bCs/>
          <w:lang w:val="en-CA"/>
        </w:rPr>
        <w:t>and the context of its adoption</w:t>
      </w:r>
    </w:p>
    <w:p w14:paraId="4F737475" w14:textId="2F0C7F50"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The relevant excerpts from section 487.01 </w:t>
      </w:r>
      <w:r w:rsidRPr="00A81CD3">
        <w:rPr>
          <w:i/>
          <w:iCs/>
          <w:lang w:val="en-CA"/>
        </w:rPr>
        <w:t>Cr.</w:t>
      </w:r>
      <w:r w:rsidR="00D765AB">
        <w:rPr>
          <w:i/>
          <w:iCs/>
          <w:lang w:val="en-CA"/>
        </w:rPr>
        <w:t> </w:t>
      </w:r>
      <w:r w:rsidRPr="00A81CD3">
        <w:rPr>
          <w:i/>
          <w:iCs/>
          <w:lang w:val="en-CA"/>
        </w:rPr>
        <w:t xml:space="preserve">C. </w:t>
      </w:r>
      <w:r w:rsidRPr="00A81CD3">
        <w:rPr>
          <w:lang w:val="en-CA"/>
        </w:rPr>
        <w:t>provide as follows:</w:t>
      </w:r>
    </w:p>
    <w:tbl>
      <w:tblPr>
        <w:tblW w:w="0" w:type="auto"/>
        <w:tblCellMar>
          <w:left w:w="70" w:type="dxa"/>
          <w:right w:w="70" w:type="dxa"/>
        </w:tblCellMar>
        <w:tblLook w:val="0000" w:firstRow="0" w:lastRow="0" w:firstColumn="0" w:lastColumn="0" w:noHBand="0" w:noVBand="0"/>
      </w:tblPr>
      <w:tblGrid>
        <w:gridCol w:w="4689"/>
        <w:gridCol w:w="4673"/>
      </w:tblGrid>
      <w:tr w:rsidR="00DD634F" w:rsidRPr="00A81CD3" w14:paraId="4F737495" w14:textId="77777777" w:rsidTr="00A81CD3">
        <w:trPr>
          <w:trHeight w:val="2702"/>
        </w:trPr>
        <w:tc>
          <w:tcPr>
            <w:tcW w:w="4689" w:type="dxa"/>
          </w:tcPr>
          <w:p w14:paraId="127A04B1" w14:textId="77777777" w:rsidR="00D765AB" w:rsidRPr="00A81CD3" w:rsidRDefault="00D765AB" w:rsidP="00D765AB">
            <w:pPr>
              <w:pStyle w:val="Tableaudroiteanglais"/>
              <w:widowControl w:val="0"/>
              <w:spacing w:before="120" w:after="120" w:line="240" w:lineRule="auto"/>
              <w:ind w:left="0"/>
              <w:rPr>
                <w:b/>
                <w:bCs/>
              </w:rPr>
            </w:pPr>
            <w:r w:rsidRPr="00A81CD3">
              <w:rPr>
                <w:b/>
                <w:bCs/>
              </w:rPr>
              <w:t>Information for general warrant</w:t>
            </w:r>
          </w:p>
          <w:p w14:paraId="6E12AF33" w14:textId="77777777" w:rsidR="00D765AB" w:rsidRPr="00A81CD3" w:rsidRDefault="00D765AB" w:rsidP="00D765AB">
            <w:pPr>
              <w:pStyle w:val="Tableaudroiteanglais"/>
              <w:widowControl w:val="0"/>
              <w:spacing w:before="120" w:after="120" w:line="240" w:lineRule="auto"/>
              <w:ind w:left="0"/>
            </w:pPr>
            <w:r w:rsidRPr="00A81CD3">
              <w:rPr>
                <w:b/>
                <w:bCs/>
              </w:rPr>
              <w:t>487.01.</w:t>
            </w:r>
            <w:r w:rsidRPr="00A81CD3">
              <w:t xml:space="preserve"> (1) A provincial court judge, a judge of a superior court of criminal jurisdiction or a judge as defined in section 552 may issue a warrant in writing authorizing a peace officer to, subject to this section, use any </w:t>
            </w:r>
            <w:r w:rsidRPr="00A81CD3">
              <w:rPr>
                <w:u w:val="single"/>
              </w:rPr>
              <w:t>device or investigative technique or procedure or do any thing described in the warrant that would, if not authorized, constitute an unreasonable search or seizure</w:t>
            </w:r>
            <w:r w:rsidRPr="00A81CD3">
              <w:t xml:space="preserve"> in respect of a person or a person’s property if</w:t>
            </w:r>
          </w:p>
          <w:p w14:paraId="5DD81A82" w14:textId="43C52885" w:rsidR="00D765AB" w:rsidRPr="00A81CD3" w:rsidRDefault="00D765AB" w:rsidP="00D765AB">
            <w:pPr>
              <w:pStyle w:val="Tableaudroiteanglais"/>
              <w:widowControl w:val="0"/>
              <w:spacing w:before="360" w:after="120" w:line="240" w:lineRule="auto"/>
              <w:ind w:left="357"/>
            </w:pPr>
            <w:r w:rsidRPr="00A81CD3">
              <w:t xml:space="preserve">(a) the judge is satisfied by information on oath in writing that there are </w:t>
            </w:r>
            <w:r w:rsidRPr="00A81CD3">
              <w:rPr>
                <w:u w:val="single"/>
              </w:rPr>
              <w:t>reasonable grounds to believe</w:t>
            </w:r>
            <w:r w:rsidRPr="00A81CD3">
              <w:t xml:space="preserve"> that an offence against this or any other Act of Parliament has been or will be committed and that </w:t>
            </w:r>
            <w:r w:rsidRPr="00A81CD3">
              <w:rPr>
                <w:u w:val="single"/>
              </w:rPr>
              <w:t xml:space="preserve">information concerning the offence </w:t>
            </w:r>
            <w:r w:rsidRPr="00A81CD3">
              <w:rPr>
                <w:u w:val="single"/>
              </w:rPr>
              <w:lastRenderedPageBreak/>
              <w:t>will be obtained</w:t>
            </w:r>
            <w:r w:rsidRPr="00A81CD3">
              <w:t xml:space="preserve"> through the use of the technique, procedure or device or the doing of the thing;</w:t>
            </w:r>
          </w:p>
          <w:p w14:paraId="467DC51E" w14:textId="77777777" w:rsidR="00D765AB" w:rsidRPr="00A81CD3" w:rsidRDefault="00D765AB" w:rsidP="00D765AB">
            <w:pPr>
              <w:pStyle w:val="Tableaudroiteanglais"/>
              <w:widowControl w:val="0"/>
              <w:spacing w:before="360" w:after="120" w:line="240" w:lineRule="auto"/>
              <w:ind w:left="357"/>
            </w:pPr>
            <w:r w:rsidRPr="00A81CD3">
              <w:t>(b) the judge is satisfied that it is in the best interests of the administration of justice to issue the warrant; and</w:t>
            </w:r>
          </w:p>
          <w:p w14:paraId="61FFEC35" w14:textId="77777777" w:rsidR="00D765AB" w:rsidRPr="00A81CD3" w:rsidRDefault="00D765AB" w:rsidP="00D765AB">
            <w:pPr>
              <w:pStyle w:val="Tableaudroiteanglais"/>
              <w:widowControl w:val="0"/>
              <w:spacing w:before="120" w:after="120" w:line="240" w:lineRule="auto"/>
              <w:ind w:left="357"/>
            </w:pPr>
            <w:r w:rsidRPr="00A81CD3">
              <w:t xml:space="preserve">(c) </w:t>
            </w:r>
            <w:r w:rsidRPr="00A81CD3">
              <w:rPr>
                <w:u w:val="single"/>
              </w:rPr>
              <w:t>there is no other provision in this or any other Act of Parliament</w:t>
            </w:r>
            <w:r w:rsidRPr="00A81CD3">
              <w:t xml:space="preserve"> that would provide for a warrant, authorization or order permitting the technique, procedure or device to be used or the thing to be done.</w:t>
            </w:r>
          </w:p>
          <w:p w14:paraId="3215A511" w14:textId="77777777" w:rsidR="00D765AB" w:rsidRPr="00A81CD3" w:rsidRDefault="00D765AB" w:rsidP="00D765AB">
            <w:pPr>
              <w:pStyle w:val="Tableaudroiteanglais"/>
              <w:widowControl w:val="0"/>
              <w:spacing w:before="360" w:after="120" w:line="240" w:lineRule="auto"/>
              <w:ind w:left="0"/>
              <w:rPr>
                <w:b/>
                <w:bCs/>
              </w:rPr>
            </w:pPr>
            <w:r w:rsidRPr="00A81CD3">
              <w:rPr>
                <w:b/>
                <w:bCs/>
              </w:rPr>
              <w:t>Limitation</w:t>
            </w:r>
          </w:p>
          <w:p w14:paraId="036A41AA" w14:textId="77777777" w:rsidR="00D765AB" w:rsidRPr="00A81CD3" w:rsidRDefault="00D765AB" w:rsidP="00D765AB">
            <w:pPr>
              <w:pStyle w:val="Tableaudroiteanglais"/>
              <w:widowControl w:val="0"/>
              <w:spacing w:before="120" w:after="120" w:line="240" w:lineRule="auto"/>
              <w:ind w:left="0"/>
            </w:pPr>
            <w:r w:rsidRPr="00A81CD3">
              <w:t xml:space="preserve">(2) Nothing in subsection (1) shall be construed as to permit </w:t>
            </w:r>
            <w:r w:rsidRPr="00A81CD3">
              <w:rPr>
                <w:u w:val="single"/>
              </w:rPr>
              <w:t>interference with the bodily integrity of any person</w:t>
            </w:r>
            <w:r w:rsidRPr="00A81CD3">
              <w:t>.</w:t>
            </w:r>
          </w:p>
          <w:p w14:paraId="2AA5F827" w14:textId="77777777" w:rsidR="00ED3B76" w:rsidRDefault="00ED3B76" w:rsidP="00D765AB">
            <w:pPr>
              <w:pStyle w:val="Tableaudroiteanglais"/>
              <w:widowControl w:val="0"/>
              <w:spacing w:before="120" w:after="120" w:line="240" w:lineRule="auto"/>
              <w:ind w:left="0"/>
              <w:rPr>
                <w:b/>
                <w:bCs/>
              </w:rPr>
            </w:pPr>
          </w:p>
          <w:p w14:paraId="1E65CAFC" w14:textId="4614E51A" w:rsidR="00D765AB" w:rsidRPr="00A81CD3" w:rsidRDefault="00D765AB" w:rsidP="00D765AB">
            <w:pPr>
              <w:pStyle w:val="Tableaudroiteanglais"/>
              <w:widowControl w:val="0"/>
              <w:spacing w:before="120" w:after="120" w:line="240" w:lineRule="auto"/>
              <w:ind w:left="0"/>
              <w:rPr>
                <w:b/>
                <w:bCs/>
              </w:rPr>
            </w:pPr>
            <w:r w:rsidRPr="00A81CD3">
              <w:rPr>
                <w:b/>
                <w:bCs/>
              </w:rPr>
              <w:t>Search or seizure to be reasonable</w:t>
            </w:r>
          </w:p>
          <w:p w14:paraId="3792C4E4" w14:textId="77777777" w:rsidR="00D765AB" w:rsidRPr="00A81CD3" w:rsidRDefault="00D765AB" w:rsidP="00D765AB">
            <w:pPr>
              <w:pStyle w:val="Tableaudroiteanglais"/>
              <w:widowControl w:val="0"/>
              <w:spacing w:before="120" w:after="120" w:line="240" w:lineRule="auto"/>
              <w:ind w:left="0"/>
            </w:pPr>
            <w:r w:rsidRPr="00A81CD3">
              <w:t xml:space="preserve">(3) A warrant issued under subsection (1) shall contain such terms and conditions as the judge considers advisable to ensure that any </w:t>
            </w:r>
            <w:r w:rsidRPr="00A81CD3">
              <w:rPr>
                <w:u w:val="single"/>
              </w:rPr>
              <w:t xml:space="preserve">search or seizure </w:t>
            </w:r>
            <w:r w:rsidRPr="00A81CD3">
              <w:t>authorized by the warrant is reasonable in the circumstances.</w:t>
            </w:r>
          </w:p>
          <w:p w14:paraId="149830CD" w14:textId="77777777" w:rsidR="00D765AB" w:rsidRPr="00A81CD3" w:rsidRDefault="00D765AB" w:rsidP="00D765AB">
            <w:pPr>
              <w:pStyle w:val="Tableaudroiteanglais"/>
              <w:widowControl w:val="0"/>
              <w:spacing w:before="120" w:after="120" w:line="240" w:lineRule="auto"/>
              <w:ind w:left="0"/>
              <w:rPr>
                <w:b/>
                <w:bCs/>
              </w:rPr>
            </w:pPr>
            <w:r w:rsidRPr="00A81CD3">
              <w:rPr>
                <w:b/>
                <w:bCs/>
              </w:rPr>
              <w:t>Video surveillance</w:t>
            </w:r>
          </w:p>
          <w:p w14:paraId="2D94F760" w14:textId="77777777" w:rsidR="00D765AB" w:rsidRPr="00A81CD3" w:rsidRDefault="00D765AB" w:rsidP="00D765AB">
            <w:pPr>
              <w:pStyle w:val="Tableaudroiteanglais"/>
              <w:widowControl w:val="0"/>
              <w:spacing w:before="120" w:after="120" w:line="240" w:lineRule="auto"/>
              <w:ind w:left="0"/>
            </w:pPr>
            <w:r w:rsidRPr="00A81CD3">
              <w:t>(4) A warrant issued under subsection (1) that authorizes a peace officer to</w:t>
            </w:r>
            <w:r w:rsidRPr="00A81CD3">
              <w:rPr>
                <w:u w:val="single"/>
              </w:rPr>
              <w:t xml:space="preserve"> observe, by means of a television camera or other similar electronic device</w:t>
            </w:r>
            <w:r w:rsidRPr="00A81CD3">
              <w:t xml:space="preserve">, any person who is engaged in activity in circumstances in which the person has a reasonable expectation of privacy shall contain such terms and conditions as the judge considers advisable to ensure that the privacy of the person or of any other </w:t>
            </w:r>
            <w:r w:rsidRPr="00A81CD3">
              <w:lastRenderedPageBreak/>
              <w:t>person is respected as much as possible.</w:t>
            </w:r>
          </w:p>
          <w:p w14:paraId="46E2DB9E" w14:textId="77777777" w:rsidR="00D765AB" w:rsidRPr="00A81CD3" w:rsidRDefault="00D765AB" w:rsidP="00D765AB">
            <w:pPr>
              <w:pStyle w:val="Tableaudroiteanglais"/>
              <w:widowControl w:val="0"/>
              <w:spacing w:before="120" w:after="120" w:line="240" w:lineRule="auto"/>
              <w:ind w:left="0"/>
            </w:pPr>
            <w:r w:rsidRPr="00A81CD3">
              <w:t>[…]</w:t>
            </w:r>
          </w:p>
          <w:p w14:paraId="081009A7" w14:textId="77777777" w:rsidR="00D765AB" w:rsidRPr="00A81CD3" w:rsidRDefault="00D765AB" w:rsidP="00D765AB">
            <w:pPr>
              <w:pStyle w:val="Tableaudroiteanglais"/>
              <w:widowControl w:val="0"/>
              <w:spacing w:before="120" w:after="120" w:line="240" w:lineRule="auto"/>
              <w:ind w:left="0"/>
              <w:rPr>
                <w:b/>
                <w:bCs/>
              </w:rPr>
            </w:pPr>
            <w:r w:rsidRPr="00A81CD3">
              <w:rPr>
                <w:b/>
                <w:bCs/>
              </w:rPr>
              <w:t>Notice after covert entry</w:t>
            </w:r>
          </w:p>
          <w:p w14:paraId="6A4F098E" w14:textId="77777777" w:rsidR="00D765AB" w:rsidRPr="00A81CD3" w:rsidRDefault="00D765AB" w:rsidP="00D765AB">
            <w:pPr>
              <w:pStyle w:val="Tableaudroiteanglais"/>
              <w:widowControl w:val="0"/>
              <w:spacing w:before="120" w:after="120" w:line="240" w:lineRule="auto"/>
              <w:ind w:left="0"/>
            </w:pPr>
            <w:r w:rsidRPr="00A81CD3">
              <w:t xml:space="preserve">(5.1) A warrant issued under subsection (1) that authorizes a peace officer to </w:t>
            </w:r>
            <w:r w:rsidRPr="00A81CD3">
              <w:rPr>
                <w:u w:val="single"/>
              </w:rPr>
              <w:t>enter and search a place</w:t>
            </w:r>
            <w:r w:rsidRPr="00A81CD3">
              <w:t xml:space="preserve"> covertly shall require, as part of the terms and conditions referred to in subsection (3), that notice of the entry and search be given within any time after the execution of the warrant that the judge considers reasonable in the circumstances.</w:t>
            </w:r>
          </w:p>
          <w:p w14:paraId="4F737484" w14:textId="03C59DC6" w:rsidR="00E406BF" w:rsidRPr="006F7E56" w:rsidRDefault="00E406BF" w:rsidP="00D765AB">
            <w:pPr>
              <w:pStyle w:val="Tableaugauchefranais"/>
              <w:widowControl w:val="0"/>
              <w:spacing w:before="120" w:after="120" w:line="240" w:lineRule="auto"/>
              <w:ind w:left="0" w:right="651"/>
              <w:jc w:val="right"/>
              <w:rPr>
                <w:lang w:val="en-CA"/>
              </w:rPr>
            </w:pPr>
          </w:p>
        </w:tc>
        <w:tc>
          <w:tcPr>
            <w:tcW w:w="4673" w:type="dxa"/>
          </w:tcPr>
          <w:p w14:paraId="1A42C2A5" w14:textId="77777777" w:rsidR="00ED3B76" w:rsidRDefault="00ED3B76" w:rsidP="00ED3B76">
            <w:pPr>
              <w:pStyle w:val="Tableaugauchefranais"/>
              <w:widowControl w:val="0"/>
              <w:spacing w:before="120" w:after="120" w:line="240" w:lineRule="auto"/>
              <w:ind w:left="0" w:right="142"/>
              <w:jc w:val="both"/>
              <w:rPr>
                <w:b/>
                <w:bCs/>
              </w:rPr>
            </w:pPr>
            <w:r w:rsidRPr="00954685">
              <w:rPr>
                <w:b/>
                <w:bCs/>
              </w:rPr>
              <w:lastRenderedPageBreak/>
              <w:t>Dénonciation pour mandat général</w:t>
            </w:r>
          </w:p>
          <w:p w14:paraId="0E31EE50" w14:textId="77777777" w:rsidR="00ED3B76" w:rsidRDefault="00ED3B76" w:rsidP="00ED3B76">
            <w:pPr>
              <w:pStyle w:val="Tableaugauchefranais"/>
              <w:widowControl w:val="0"/>
              <w:spacing w:before="120" w:after="120" w:line="240" w:lineRule="auto"/>
              <w:ind w:left="0" w:right="142"/>
              <w:jc w:val="both"/>
            </w:pPr>
            <w:r>
              <w:rPr>
                <w:b/>
                <w:bCs/>
              </w:rPr>
              <w:t>487.01.</w:t>
            </w:r>
            <w:r>
              <w:t xml:space="preserve"> (1) Un juge de la cour provinciale, un juge de la cour supérieure de juridiction criminelle ou un juge au sens de l’article 552 peut décerner un mandat par écrit autorisant un agent de la paix, sous réserve du présent article, </w:t>
            </w:r>
            <w:r w:rsidRPr="0003745E">
              <w:t xml:space="preserve">à utiliser un </w:t>
            </w:r>
            <w:r w:rsidRPr="0003745E">
              <w:rPr>
                <w:u w:val="single"/>
              </w:rPr>
              <w:t>dispositif ou une technique ou une méthode d</w:t>
            </w:r>
            <w:r>
              <w:rPr>
                <w:u w:val="single"/>
              </w:rPr>
              <w:t>’</w:t>
            </w:r>
            <w:r w:rsidRPr="0003745E">
              <w:rPr>
                <w:u w:val="single"/>
              </w:rPr>
              <w:t>enquête, ou à accomplir tout acte</w:t>
            </w:r>
            <w:r w:rsidRPr="003E2118">
              <w:t xml:space="preserve"> qui y est mentionné, qui constituerait sans cette autorisation</w:t>
            </w:r>
            <w:r w:rsidRPr="0003745E">
              <w:rPr>
                <w:u w:val="single"/>
              </w:rPr>
              <w:t xml:space="preserve"> une fouille, une perquisition ou une saisie abusive</w:t>
            </w:r>
            <w:r>
              <w:t xml:space="preserve"> à l’égard d’une personne ou d’un bien :</w:t>
            </w:r>
          </w:p>
          <w:p w14:paraId="68810323" w14:textId="77777777" w:rsidR="00ED3B76" w:rsidRDefault="00ED3B76" w:rsidP="00ED3B76">
            <w:pPr>
              <w:pStyle w:val="Tableaugauchefranais"/>
              <w:widowControl w:val="0"/>
              <w:spacing w:before="120" w:after="120" w:line="240" w:lineRule="auto"/>
              <w:ind w:left="992" w:right="142"/>
              <w:jc w:val="both"/>
            </w:pPr>
          </w:p>
          <w:p w14:paraId="2C9039A5" w14:textId="7D3800BB" w:rsidR="00ED3B76" w:rsidRDefault="00ED3B76" w:rsidP="00ED3B76">
            <w:pPr>
              <w:pStyle w:val="Tableaugauchefranais"/>
              <w:widowControl w:val="0"/>
              <w:spacing w:before="120" w:after="120" w:line="240" w:lineRule="auto"/>
              <w:ind w:left="629" w:right="142"/>
              <w:jc w:val="both"/>
            </w:pPr>
            <w:r>
              <w:t xml:space="preserve">a) si le juge est convaincu, à la suite d’une dénonciation par écrit faite sous serment, qu’il existe des </w:t>
            </w:r>
            <w:r w:rsidRPr="00F83D53">
              <w:rPr>
                <w:u w:val="single"/>
              </w:rPr>
              <w:t>motifs raisonnables de croire</w:t>
            </w:r>
            <w:r>
              <w:t xml:space="preserve"> qu’une infraction à la présente loi ou à toute autre loi fédérale a été ou sera commise et que </w:t>
            </w:r>
            <w:r w:rsidRPr="00F83D53">
              <w:rPr>
                <w:u w:val="single"/>
              </w:rPr>
              <w:t xml:space="preserve">des renseignements </w:t>
            </w:r>
            <w:r w:rsidRPr="00F83D53">
              <w:rPr>
                <w:u w:val="single"/>
              </w:rPr>
              <w:lastRenderedPageBreak/>
              <w:t>relatifs à l</w:t>
            </w:r>
            <w:r>
              <w:rPr>
                <w:u w:val="single"/>
              </w:rPr>
              <w:t>’</w:t>
            </w:r>
            <w:r w:rsidRPr="00F83D53">
              <w:rPr>
                <w:u w:val="single"/>
              </w:rPr>
              <w:t>infraction seront obtenus</w:t>
            </w:r>
            <w:r>
              <w:t xml:space="preserve"> grâce à une telle utilisation ou à l’accomplissement d’un tel acte;</w:t>
            </w:r>
          </w:p>
          <w:p w14:paraId="34004CD4" w14:textId="77777777" w:rsidR="00ED3B76" w:rsidRDefault="00ED3B76" w:rsidP="00ED3B76">
            <w:pPr>
              <w:pStyle w:val="Tableaugauchefranais"/>
              <w:widowControl w:val="0"/>
              <w:spacing w:before="120" w:after="120" w:line="240" w:lineRule="auto"/>
              <w:ind w:left="629" w:right="142"/>
              <w:jc w:val="both"/>
            </w:pPr>
            <w:r>
              <w:t>b) s’il est convaincu que la délivrance du mandat servirait au mieux l’administration de la justice;</w:t>
            </w:r>
          </w:p>
          <w:p w14:paraId="0A902B59" w14:textId="77777777" w:rsidR="00ED3B76" w:rsidRDefault="00ED3B76" w:rsidP="00ED3B76">
            <w:pPr>
              <w:pStyle w:val="Tableaugauchefranais"/>
              <w:widowControl w:val="0"/>
              <w:spacing w:before="360" w:after="120" w:line="240" w:lineRule="auto"/>
              <w:ind w:left="629" w:right="142"/>
              <w:jc w:val="both"/>
            </w:pPr>
            <w:r>
              <w:t xml:space="preserve">c) </w:t>
            </w:r>
            <w:r w:rsidRPr="003E2118">
              <w:rPr>
                <w:u w:val="single"/>
              </w:rPr>
              <w:t>s</w:t>
            </w:r>
            <w:r>
              <w:rPr>
                <w:u w:val="single"/>
              </w:rPr>
              <w:t>’</w:t>
            </w:r>
            <w:r w:rsidRPr="003E2118">
              <w:rPr>
                <w:u w:val="single"/>
              </w:rPr>
              <w:t>il n</w:t>
            </w:r>
            <w:r>
              <w:rPr>
                <w:u w:val="single"/>
              </w:rPr>
              <w:t>’</w:t>
            </w:r>
            <w:r w:rsidRPr="003E2118">
              <w:rPr>
                <w:u w:val="single"/>
              </w:rPr>
              <w:t>y a aucune disposition dans la présente loi ou toute autre loi fédérale</w:t>
            </w:r>
            <w:r>
              <w:t xml:space="preserve"> qui prévoie un mandat, une autorisation ou une ordonnance permettant une telle utilisation ou l’accomplissement d’un tel acte.</w:t>
            </w:r>
          </w:p>
          <w:p w14:paraId="5765CA65" w14:textId="77777777" w:rsidR="00ED3B76" w:rsidRDefault="00ED3B76" w:rsidP="00ED3B76">
            <w:pPr>
              <w:pStyle w:val="Tableaugauchefranais"/>
              <w:widowControl w:val="0"/>
              <w:spacing w:before="120" w:after="120" w:line="240" w:lineRule="auto"/>
              <w:ind w:right="142"/>
              <w:jc w:val="both"/>
              <w:rPr>
                <w:b/>
                <w:bCs/>
              </w:rPr>
            </w:pPr>
          </w:p>
          <w:p w14:paraId="57DBB000" w14:textId="03908D81" w:rsidR="00ED3B76" w:rsidRPr="00954685" w:rsidRDefault="00ED3B76" w:rsidP="00ED3B76">
            <w:pPr>
              <w:pStyle w:val="Tableaugauchefranais"/>
              <w:widowControl w:val="0"/>
              <w:spacing w:before="120" w:after="120" w:line="240" w:lineRule="auto"/>
              <w:ind w:left="0" w:right="142"/>
              <w:jc w:val="both"/>
              <w:rPr>
                <w:b/>
                <w:bCs/>
              </w:rPr>
            </w:pPr>
            <w:r>
              <w:rPr>
                <w:b/>
                <w:bCs/>
              </w:rPr>
              <w:t>Limite</w:t>
            </w:r>
          </w:p>
          <w:p w14:paraId="21FBD275" w14:textId="54569E5D" w:rsidR="00ED3B76" w:rsidRDefault="00ED3B76" w:rsidP="00ED3B76">
            <w:pPr>
              <w:pStyle w:val="Tableaugauchefranais"/>
              <w:widowControl w:val="0"/>
              <w:spacing w:before="120" w:after="120" w:line="240" w:lineRule="auto"/>
              <w:ind w:left="0" w:right="142"/>
              <w:jc w:val="both"/>
            </w:pPr>
            <w:r>
              <w:t xml:space="preserve">(2) Le paragraphe (1) n’a pas pour effet de permettre de </w:t>
            </w:r>
            <w:r w:rsidRPr="002916CA">
              <w:rPr>
                <w:u w:val="single"/>
              </w:rPr>
              <w:t>porter atteinte à l</w:t>
            </w:r>
            <w:r>
              <w:rPr>
                <w:u w:val="single"/>
              </w:rPr>
              <w:t>’</w:t>
            </w:r>
            <w:r w:rsidRPr="002916CA">
              <w:rPr>
                <w:u w:val="single"/>
              </w:rPr>
              <w:t>intégrité physique d</w:t>
            </w:r>
            <w:r>
              <w:rPr>
                <w:u w:val="single"/>
              </w:rPr>
              <w:t>’</w:t>
            </w:r>
            <w:r w:rsidRPr="002916CA">
              <w:rPr>
                <w:u w:val="single"/>
              </w:rPr>
              <w:t>une personne</w:t>
            </w:r>
            <w:r>
              <w:t>.</w:t>
            </w:r>
          </w:p>
          <w:p w14:paraId="34E382EF" w14:textId="77777777" w:rsidR="00ED3B76" w:rsidRDefault="00ED3B76" w:rsidP="00ED3B76">
            <w:pPr>
              <w:pStyle w:val="Tableaugauchefranais"/>
              <w:widowControl w:val="0"/>
              <w:spacing w:before="120" w:after="120" w:line="240" w:lineRule="auto"/>
              <w:ind w:left="0" w:right="142"/>
              <w:jc w:val="both"/>
              <w:rPr>
                <w:b/>
                <w:bCs/>
              </w:rPr>
            </w:pPr>
          </w:p>
          <w:p w14:paraId="54C59FE7" w14:textId="0562A869" w:rsidR="00ED3B76" w:rsidRPr="00954685" w:rsidRDefault="00ED3B76" w:rsidP="00ED3B76">
            <w:pPr>
              <w:pStyle w:val="Tableaugauchefranais"/>
              <w:widowControl w:val="0"/>
              <w:spacing w:before="120" w:after="120" w:line="240" w:lineRule="auto"/>
              <w:ind w:left="0" w:right="142"/>
              <w:jc w:val="both"/>
              <w:rPr>
                <w:b/>
                <w:bCs/>
              </w:rPr>
            </w:pPr>
            <w:r w:rsidRPr="00954685">
              <w:rPr>
                <w:b/>
                <w:bCs/>
              </w:rPr>
              <w:t>Fouilles, perquisitions ou saisies raisonnables</w:t>
            </w:r>
          </w:p>
          <w:p w14:paraId="3C94531C" w14:textId="77777777" w:rsidR="00ED3B76" w:rsidRDefault="00ED3B76" w:rsidP="00ED3B76">
            <w:pPr>
              <w:pStyle w:val="Tableaugauchefranais"/>
              <w:widowControl w:val="0"/>
              <w:spacing w:before="120" w:after="120" w:line="240" w:lineRule="auto"/>
              <w:ind w:left="0" w:right="142"/>
              <w:jc w:val="both"/>
            </w:pPr>
            <w:r>
              <w:t xml:space="preserve">(3) Le mandat doit </w:t>
            </w:r>
            <w:r w:rsidRPr="003E2118">
              <w:t xml:space="preserve">énoncer les modalités que le juge estime opportunes pour que </w:t>
            </w:r>
            <w:r w:rsidRPr="0003745E">
              <w:rPr>
                <w:u w:val="single"/>
              </w:rPr>
              <w:t>la fouille, la perquisition ou la saisie</w:t>
            </w:r>
            <w:r w:rsidRPr="003E2118">
              <w:t xml:space="preserve"> soit raisonnable dans les circonstan</w:t>
            </w:r>
            <w:r>
              <w:t>ces.</w:t>
            </w:r>
          </w:p>
          <w:p w14:paraId="26BF67E3" w14:textId="77777777" w:rsidR="00ED3B76" w:rsidRDefault="00ED3B76" w:rsidP="00ED3B76">
            <w:pPr>
              <w:pStyle w:val="Tableaugauchefranais"/>
              <w:widowControl w:val="0"/>
              <w:spacing w:before="120" w:after="120" w:line="240" w:lineRule="auto"/>
              <w:ind w:left="0" w:right="142"/>
              <w:jc w:val="both"/>
              <w:rPr>
                <w:b/>
                <w:bCs/>
              </w:rPr>
            </w:pPr>
          </w:p>
          <w:p w14:paraId="75BA57A8" w14:textId="64DDA993" w:rsidR="00ED3B76" w:rsidRPr="00954685" w:rsidRDefault="00ED3B76" w:rsidP="00ED3B76">
            <w:pPr>
              <w:pStyle w:val="Tableaugauchefranais"/>
              <w:widowControl w:val="0"/>
              <w:spacing w:before="120" w:after="120" w:line="240" w:lineRule="auto"/>
              <w:ind w:left="0" w:right="142"/>
              <w:jc w:val="both"/>
              <w:rPr>
                <w:b/>
                <w:bCs/>
              </w:rPr>
            </w:pPr>
            <w:r w:rsidRPr="00954685">
              <w:rPr>
                <w:b/>
                <w:bCs/>
              </w:rPr>
              <w:t>Surveillance vidéo</w:t>
            </w:r>
          </w:p>
          <w:p w14:paraId="08C1C34B" w14:textId="6EB44B00" w:rsidR="00ED3B76" w:rsidRDefault="00ED3B76" w:rsidP="00ED3B76">
            <w:pPr>
              <w:pStyle w:val="Tableaugauchefranais"/>
              <w:widowControl w:val="0"/>
              <w:spacing w:before="120" w:after="120" w:line="240" w:lineRule="auto"/>
              <w:ind w:left="0" w:right="142"/>
              <w:jc w:val="both"/>
            </w:pPr>
            <w:r>
              <w:t xml:space="preserve">(4) Le mandat qui autorise l’agent de la paix à </w:t>
            </w:r>
            <w:r w:rsidRPr="0048592E">
              <w:rPr>
                <w:u w:val="single"/>
              </w:rPr>
              <w:t>observer, au moyen d</w:t>
            </w:r>
            <w:r>
              <w:rPr>
                <w:u w:val="single"/>
              </w:rPr>
              <w:t>’</w:t>
            </w:r>
            <w:r w:rsidRPr="0048592E">
              <w:rPr>
                <w:u w:val="single"/>
              </w:rPr>
              <w:t>une caméra de télévision ou d</w:t>
            </w:r>
            <w:r>
              <w:rPr>
                <w:u w:val="single"/>
              </w:rPr>
              <w:t>’</w:t>
            </w:r>
            <w:r w:rsidRPr="0048592E">
              <w:rPr>
                <w:u w:val="single"/>
              </w:rPr>
              <w:t>un autre dispositif électronique semblable</w:t>
            </w:r>
            <w:r>
              <w:t>, les activités d’une personne dans des circonstances telles que celle-ci peut raisonnablement s’attendre au respect de sa vie privée doit énoncer les modalités que le juge estime opportunes pour s’assurer de ce respect autant que possible.</w:t>
            </w:r>
          </w:p>
          <w:p w14:paraId="43FA993A" w14:textId="77777777" w:rsidR="00ED3B76" w:rsidRDefault="00ED3B76" w:rsidP="00ED3B76">
            <w:pPr>
              <w:pStyle w:val="Tableaugauchefranais"/>
              <w:widowControl w:val="0"/>
              <w:spacing w:before="120" w:after="120" w:line="240" w:lineRule="auto"/>
              <w:ind w:left="0" w:right="142"/>
              <w:jc w:val="both"/>
            </w:pPr>
          </w:p>
          <w:p w14:paraId="0C6DC015" w14:textId="1B05AE40" w:rsidR="00ED3B76" w:rsidRDefault="00ED3B76" w:rsidP="00ED3B76">
            <w:pPr>
              <w:pStyle w:val="Tableaugauchefranais"/>
              <w:widowControl w:val="0"/>
              <w:spacing w:before="120" w:after="120" w:line="240" w:lineRule="auto"/>
              <w:ind w:left="0" w:right="142"/>
              <w:jc w:val="both"/>
            </w:pPr>
            <w:r>
              <w:t>[…]</w:t>
            </w:r>
          </w:p>
          <w:p w14:paraId="696EA311" w14:textId="77777777" w:rsidR="00ED3B76" w:rsidRPr="00954685" w:rsidRDefault="00ED3B76" w:rsidP="00ED3B76">
            <w:pPr>
              <w:pStyle w:val="Tableaugauchefranais"/>
              <w:widowControl w:val="0"/>
              <w:spacing w:before="360" w:after="120" w:line="240" w:lineRule="auto"/>
              <w:ind w:left="0" w:right="142"/>
              <w:jc w:val="both"/>
              <w:rPr>
                <w:b/>
                <w:bCs/>
              </w:rPr>
            </w:pPr>
            <w:r w:rsidRPr="00954685">
              <w:rPr>
                <w:b/>
                <w:bCs/>
              </w:rPr>
              <w:t>Avis</w:t>
            </w:r>
          </w:p>
          <w:p w14:paraId="3EEF1F70" w14:textId="77777777" w:rsidR="00ED3B76" w:rsidRDefault="00ED3B76" w:rsidP="00ED3B76">
            <w:pPr>
              <w:pStyle w:val="Tableaudroiteanglais"/>
              <w:widowControl w:val="0"/>
              <w:spacing w:before="120" w:after="120" w:line="240" w:lineRule="auto"/>
              <w:ind w:left="0"/>
              <w:jc w:val="left"/>
              <w:rPr>
                <w:lang w:val="fr-CA"/>
              </w:rPr>
            </w:pPr>
            <w:r w:rsidRPr="00ED3B76">
              <w:rPr>
                <w:lang w:val="fr-CA"/>
              </w:rPr>
              <w:t xml:space="preserve">(5.1) Le mandat qui autorise l’agent de la paix à </w:t>
            </w:r>
            <w:r w:rsidRPr="00ED3B76">
              <w:rPr>
                <w:u w:val="single"/>
                <w:lang w:val="fr-CA"/>
              </w:rPr>
              <w:t>perquisitionner</w:t>
            </w:r>
            <w:r w:rsidRPr="00ED3B76">
              <w:rPr>
                <w:lang w:val="fr-CA"/>
              </w:rPr>
              <w:t xml:space="preserve"> secrètement doit exiger, dans le cadre des modalités visées au paragraphe (3), qu’un avis de la perquisition soit donné dans le délai suivant son exécution que le juge estime indiqué dans les circonstances. </w:t>
            </w:r>
          </w:p>
          <w:p w14:paraId="0193E840" w14:textId="77777777" w:rsidR="00ED3B76" w:rsidRPr="006F7E56" w:rsidRDefault="00ED3B76" w:rsidP="00ED3B76">
            <w:pPr>
              <w:pStyle w:val="Tableaudroiteanglais"/>
              <w:widowControl w:val="0"/>
              <w:spacing w:before="120" w:after="120" w:line="240" w:lineRule="auto"/>
              <w:ind w:left="0"/>
              <w:jc w:val="left"/>
              <w:rPr>
                <w:lang w:val="fr-CA"/>
              </w:rPr>
            </w:pPr>
          </w:p>
          <w:p w14:paraId="4F737494" w14:textId="11B481BB" w:rsidR="00E406BF" w:rsidRPr="00ED3B76" w:rsidRDefault="00ED3B76" w:rsidP="00ED3B76">
            <w:pPr>
              <w:pStyle w:val="Tableaudroiteanglais"/>
              <w:widowControl w:val="0"/>
              <w:spacing w:before="120" w:after="120" w:line="240" w:lineRule="auto"/>
              <w:ind w:left="0"/>
              <w:jc w:val="right"/>
              <w:rPr>
                <w:lang w:val="fr-CA"/>
              </w:rPr>
            </w:pPr>
            <w:r w:rsidRPr="00A81CD3">
              <w:t>[</w:t>
            </w:r>
            <w:r>
              <w:t>Emphasis added.</w:t>
            </w:r>
            <w:r w:rsidRPr="00A81CD3">
              <w:t>]</w:t>
            </w:r>
          </w:p>
        </w:tc>
      </w:tr>
    </w:tbl>
    <w:p w14:paraId="4F737496" w14:textId="161D1E8B" w:rsidR="00E406BF" w:rsidRPr="00A81CD3" w:rsidRDefault="009A2EE1" w:rsidP="007E1E64">
      <w:pPr>
        <w:pStyle w:val="Paragraphe"/>
        <w:numPr>
          <w:ilvl w:val="0"/>
          <w:numId w:val="1"/>
        </w:numPr>
        <w:spacing w:before="360" w:after="180" w:line="280" w:lineRule="exact"/>
        <w:rPr>
          <w:lang w:val="en-CA"/>
        </w:rPr>
      </w:pPr>
      <w:r>
        <w:rPr>
          <w:lang w:val="en-CA"/>
        </w:rPr>
        <w:lastRenderedPageBreak/>
        <w:t>T</w:t>
      </w:r>
      <w:r w:rsidRPr="00A81CD3">
        <w:rPr>
          <w:lang w:val="en-CA"/>
        </w:rPr>
        <w:t xml:space="preserve">wo things stand out </w:t>
      </w:r>
      <w:r>
        <w:rPr>
          <w:lang w:val="en-CA"/>
        </w:rPr>
        <w:t>u</w:t>
      </w:r>
      <w:r w:rsidR="004A5F63" w:rsidRPr="00A81CD3">
        <w:rPr>
          <w:lang w:val="en-CA"/>
        </w:rPr>
        <w:t xml:space="preserve">pon reading these </w:t>
      </w:r>
      <w:r w:rsidR="00ED3B76">
        <w:rPr>
          <w:lang w:val="en-CA"/>
        </w:rPr>
        <w:t>excerpts</w:t>
      </w:r>
      <w:r w:rsidR="004A5F63" w:rsidRPr="00A81CD3">
        <w:rPr>
          <w:lang w:val="en-CA"/>
        </w:rPr>
        <w:t xml:space="preserve">. The first is the residual nature of the power conferred by </w:t>
      </w:r>
      <w:r w:rsidR="00EF1AF1" w:rsidRPr="00A81CD3">
        <w:rPr>
          <w:lang w:val="en-CA"/>
        </w:rPr>
        <w:t>section </w:t>
      </w:r>
      <w:r w:rsidR="004A5F63" w:rsidRPr="00A81CD3">
        <w:rPr>
          <w:lang w:val="en-CA"/>
        </w:rPr>
        <w:t xml:space="preserve">487.01 </w:t>
      </w:r>
      <w:r w:rsidR="004A5F63" w:rsidRPr="00A81CD3">
        <w:rPr>
          <w:i/>
          <w:iCs/>
          <w:lang w:val="en-CA"/>
        </w:rPr>
        <w:t>Cr.</w:t>
      </w:r>
      <w:r w:rsidR="004800FB">
        <w:rPr>
          <w:i/>
          <w:iCs/>
          <w:lang w:val="en-CA"/>
        </w:rPr>
        <w:t> </w:t>
      </w:r>
      <w:r w:rsidR="004A5F63" w:rsidRPr="00A81CD3">
        <w:rPr>
          <w:i/>
          <w:iCs/>
          <w:lang w:val="en-CA"/>
        </w:rPr>
        <w:t>C.</w:t>
      </w:r>
      <w:r w:rsidR="004A5F63" w:rsidRPr="00A81CD3">
        <w:rPr>
          <w:lang w:val="en-CA"/>
        </w:rPr>
        <w:t xml:space="preserve">: a general warrant can be issued </w:t>
      </w:r>
      <w:r w:rsidR="004800FB">
        <w:rPr>
          <w:lang w:val="en-CA"/>
        </w:rPr>
        <w:t xml:space="preserve">only </w:t>
      </w:r>
      <w:r w:rsidR="004A5F63" w:rsidRPr="00A81CD3">
        <w:rPr>
          <w:lang w:val="en-CA"/>
        </w:rPr>
        <w:t xml:space="preserve">if—among other conditions—no other provision of the </w:t>
      </w:r>
      <w:r w:rsidR="004A5F63" w:rsidRPr="00A81CD3">
        <w:rPr>
          <w:i/>
          <w:iCs/>
          <w:lang w:val="en-CA"/>
        </w:rPr>
        <w:t xml:space="preserve">Criminal Code </w:t>
      </w:r>
      <w:r w:rsidR="004A5F63" w:rsidRPr="00A81CD3">
        <w:rPr>
          <w:lang w:val="en-CA"/>
        </w:rPr>
        <w:t xml:space="preserve">or any other </w:t>
      </w:r>
      <w:r w:rsidR="00EE268B">
        <w:rPr>
          <w:lang w:val="en-CA"/>
        </w:rPr>
        <w:t>Act of Parliament</w:t>
      </w:r>
      <w:r w:rsidR="004A5F63" w:rsidRPr="00A81CD3">
        <w:rPr>
          <w:lang w:val="en-CA"/>
        </w:rPr>
        <w:t xml:space="preserve"> provides for a warrant, authorization, or order authorizing the police operations in question. Second, </w:t>
      </w:r>
      <w:r w:rsidR="00EF1AF1" w:rsidRPr="00A81CD3">
        <w:rPr>
          <w:lang w:val="en-CA"/>
        </w:rPr>
        <w:t>section </w:t>
      </w:r>
      <w:r w:rsidR="004A5F63" w:rsidRPr="00A81CD3">
        <w:rPr>
          <w:lang w:val="en-CA"/>
        </w:rPr>
        <w:t xml:space="preserve">487.01 </w:t>
      </w:r>
      <w:r w:rsidR="004A5F63" w:rsidRPr="00A81CD3">
        <w:rPr>
          <w:i/>
          <w:iCs/>
          <w:lang w:val="en-CA"/>
        </w:rPr>
        <w:t>C</w:t>
      </w:r>
      <w:r w:rsidR="008E264E" w:rsidRPr="00A81CD3">
        <w:rPr>
          <w:i/>
          <w:iCs/>
          <w:lang w:val="en-CA"/>
        </w:rPr>
        <w:t>r</w:t>
      </w:r>
      <w:r w:rsidR="004A5F63" w:rsidRPr="00A81CD3">
        <w:rPr>
          <w:i/>
          <w:iCs/>
          <w:lang w:val="en-CA"/>
        </w:rPr>
        <w:t>.</w:t>
      </w:r>
      <w:r w:rsidR="00EE268B">
        <w:rPr>
          <w:i/>
          <w:iCs/>
          <w:lang w:val="en-CA"/>
        </w:rPr>
        <w:t> </w:t>
      </w:r>
      <w:r w:rsidR="004A5F63" w:rsidRPr="00A81CD3">
        <w:rPr>
          <w:i/>
          <w:iCs/>
          <w:lang w:val="en-CA"/>
        </w:rPr>
        <w:t>C.</w:t>
      </w:r>
      <w:r w:rsidR="004A5F63" w:rsidRPr="00A81CD3">
        <w:rPr>
          <w:lang w:val="en-CA"/>
        </w:rPr>
        <w:t xml:space="preserve"> deals only—at least expressly—with police operations that involve a search or seizure. </w:t>
      </w:r>
    </w:p>
    <w:p w14:paraId="4F737497" w14:textId="1D945585" w:rsidR="00E406BF" w:rsidRPr="00A81CD3" w:rsidRDefault="00EF1AF1" w:rsidP="006C32CB">
      <w:pPr>
        <w:pStyle w:val="Paragraphe"/>
        <w:keepNext/>
        <w:numPr>
          <w:ilvl w:val="0"/>
          <w:numId w:val="1"/>
        </w:numPr>
        <w:spacing w:before="180" w:after="180" w:line="280" w:lineRule="exact"/>
        <w:rPr>
          <w:lang w:val="en-CA"/>
        </w:rPr>
      </w:pPr>
      <w:r w:rsidRPr="00A81CD3">
        <w:rPr>
          <w:lang w:val="en-CA"/>
        </w:rPr>
        <w:t xml:space="preserve">Section 487.01 </w:t>
      </w:r>
      <w:r w:rsidRPr="00A81CD3">
        <w:rPr>
          <w:i/>
          <w:iCs/>
          <w:lang w:val="en-CA"/>
        </w:rPr>
        <w:t>Cr.</w:t>
      </w:r>
      <w:r w:rsidR="00682DA3">
        <w:rPr>
          <w:i/>
          <w:iCs/>
          <w:lang w:val="en-CA"/>
        </w:rPr>
        <w:t> </w:t>
      </w:r>
      <w:r w:rsidRPr="00A81CD3">
        <w:rPr>
          <w:i/>
          <w:iCs/>
          <w:lang w:val="en-CA"/>
        </w:rPr>
        <w:t xml:space="preserve">C. </w:t>
      </w:r>
      <w:r w:rsidRPr="00A81CD3">
        <w:rPr>
          <w:lang w:val="en-CA"/>
        </w:rPr>
        <w:t xml:space="preserve">was </w:t>
      </w:r>
      <w:r w:rsidR="00682DA3">
        <w:rPr>
          <w:lang w:val="en-CA"/>
        </w:rPr>
        <w:t>enacted</w:t>
      </w:r>
      <w:r w:rsidRPr="00A81CD3">
        <w:rPr>
          <w:lang w:val="en-CA"/>
        </w:rPr>
        <w:t xml:space="preserve"> in 1993,</w:t>
      </w:r>
      <w:r w:rsidRPr="00A81CD3">
        <w:rPr>
          <w:rStyle w:val="Appelnotedebasdep"/>
          <w:lang w:val="en-CA"/>
        </w:rPr>
        <w:footnoteReference w:id="22"/>
      </w:r>
      <w:r w:rsidRPr="00A81CD3">
        <w:rPr>
          <w:lang w:val="en-CA"/>
        </w:rPr>
        <w:t xml:space="preserve"> in response to </w:t>
      </w:r>
      <w:r w:rsidRPr="00A81CD3">
        <w:rPr>
          <w:i/>
          <w:iCs/>
          <w:lang w:val="en-CA"/>
        </w:rPr>
        <w:t>Wong</w:t>
      </w:r>
      <w:r w:rsidRPr="00A81CD3">
        <w:rPr>
          <w:lang w:val="en-CA"/>
        </w:rPr>
        <w:t>.</w:t>
      </w:r>
      <w:r w:rsidRPr="00A81CD3">
        <w:rPr>
          <w:rStyle w:val="Appelnotedebasdep"/>
          <w:lang w:val="en-CA"/>
        </w:rPr>
        <w:footnoteReference w:id="23"/>
      </w:r>
      <w:r w:rsidRPr="00A81CD3">
        <w:rPr>
          <w:lang w:val="en-CA"/>
        </w:rPr>
        <w:t xml:space="preserve"> In </w:t>
      </w:r>
      <w:r w:rsidR="00682DA3">
        <w:rPr>
          <w:lang w:val="en-CA"/>
        </w:rPr>
        <w:t>that</w:t>
      </w:r>
      <w:r w:rsidRPr="00A81CD3">
        <w:rPr>
          <w:lang w:val="en-CA"/>
        </w:rPr>
        <w:t xml:space="preserve"> case, the Supreme Court ruled that video surveillance without prior authorization of a place where there is a reasonable expectation of privacy constitutes an unreasonable search or seizure. </w:t>
      </w:r>
      <w:r w:rsidR="00682DA3">
        <w:rPr>
          <w:lang w:val="en-CA"/>
        </w:rPr>
        <w:t>A</w:t>
      </w:r>
      <w:r w:rsidRPr="00A81CD3">
        <w:rPr>
          <w:lang w:val="en-CA"/>
        </w:rPr>
        <w:t xml:space="preserve">fter noting that the </w:t>
      </w:r>
      <w:r w:rsidRPr="00A81CD3">
        <w:rPr>
          <w:i/>
          <w:iCs/>
          <w:lang w:val="en-CA"/>
        </w:rPr>
        <w:t xml:space="preserve">Criminal Code </w:t>
      </w:r>
      <w:r w:rsidRPr="00A81CD3">
        <w:rPr>
          <w:lang w:val="en-CA"/>
        </w:rPr>
        <w:t xml:space="preserve">provisions on the electronic interception of oral communications were not applicable to video surveillance, the Supreme Court </w:t>
      </w:r>
      <w:r w:rsidR="00682DA3">
        <w:rPr>
          <w:lang w:val="en-CA"/>
        </w:rPr>
        <w:t>noted</w:t>
      </w:r>
      <w:r w:rsidRPr="00A81CD3">
        <w:rPr>
          <w:lang w:val="en-CA"/>
        </w:rPr>
        <w:t xml:space="preserve"> that it was up to the legislat</w:t>
      </w:r>
      <w:r w:rsidR="00682DA3">
        <w:rPr>
          <w:lang w:val="en-CA"/>
        </w:rPr>
        <w:t>ure</w:t>
      </w:r>
      <w:r w:rsidRPr="00A81CD3">
        <w:rPr>
          <w:lang w:val="en-CA"/>
        </w:rPr>
        <w:t>, not the courts, to establish rules permitting this type of surveillance. Its comments on this last point are worth quoting at length, as they are highly instructive on the distinct roles played by the legislat</w:t>
      </w:r>
      <w:r w:rsidR="00682DA3">
        <w:rPr>
          <w:lang w:val="en-CA"/>
        </w:rPr>
        <w:t>ure</w:t>
      </w:r>
      <w:r w:rsidRPr="00A81CD3">
        <w:rPr>
          <w:lang w:val="en-CA"/>
        </w:rPr>
        <w:t xml:space="preserve"> and the courts in protecting the fundamental rights and freedoms at stake in police operations:</w:t>
      </w:r>
      <w:r w:rsidRPr="00A81CD3">
        <w:rPr>
          <w:rStyle w:val="Appelnotedebasdep"/>
          <w:lang w:val="en-CA"/>
        </w:rPr>
        <w:footnoteReference w:id="24"/>
      </w:r>
    </w:p>
    <w:p w14:paraId="4F737498" w14:textId="7960A338" w:rsidR="00E406BF" w:rsidRPr="00A81CD3" w:rsidRDefault="00EF1AF1" w:rsidP="006C32CB">
      <w:pPr>
        <w:pStyle w:val="Citationenretrait"/>
        <w:keepNext/>
        <w:rPr>
          <w:lang w:val="en-CA"/>
        </w:rPr>
      </w:pPr>
      <w:r w:rsidRPr="00A81CD3">
        <w:rPr>
          <w:lang w:val="en-CA"/>
        </w:rPr>
        <w:t>[</w:t>
      </w:r>
      <w:r w:rsidR="00A81CD3" w:rsidRPr="00A81CD3">
        <w:rPr>
          <w:lang w:val="en-CA"/>
        </w:rPr>
        <w:t xml:space="preserve">T]he courts would be forgetting their role as guardians of our fundamental liberties if they were to usurp the role of Parliament and purport to give their sanction to </w:t>
      </w:r>
      <w:r w:rsidR="00A81CD3" w:rsidRPr="00A81CD3">
        <w:rPr>
          <w:lang w:val="en-CA"/>
        </w:rPr>
        <w:lastRenderedPageBreak/>
        <w:t>video surveillance by adapting for that purpose a code of procedure dealing with an altogether different surveillance technology. It is for Parliament, and Parliament alone, to set out the conditions under which law enforcement agencies may employ video surveillance technology in their fight against crime. Moreover, the same holds true for any other technology which the progress of science places at the disposal of the state in the years to come. Until such time as Parliament, in its wisdom, specifically provides for a code of conduct for a particular invasive technology, the courts should forebear from crafting procedures authorizing the deployment of the technology in question.</w:t>
      </w:r>
    </w:p>
    <w:p w14:paraId="4F737499" w14:textId="0C4719E4" w:rsidR="00E406BF" w:rsidRPr="00A81CD3" w:rsidRDefault="00EF1AF1" w:rsidP="00C331EA">
      <w:pPr>
        <w:pStyle w:val="Paragraphe"/>
        <w:numPr>
          <w:ilvl w:val="0"/>
          <w:numId w:val="1"/>
        </w:numPr>
        <w:spacing w:before="240" w:after="180" w:line="280" w:lineRule="exact"/>
        <w:rPr>
          <w:lang w:val="en-CA"/>
        </w:rPr>
      </w:pPr>
      <w:r w:rsidRPr="00A81CD3">
        <w:rPr>
          <w:lang w:val="en-CA"/>
        </w:rPr>
        <w:t xml:space="preserve">In response to </w:t>
      </w:r>
      <w:r w:rsidRPr="00A81CD3">
        <w:rPr>
          <w:i/>
          <w:iCs/>
          <w:lang w:val="en-CA"/>
        </w:rPr>
        <w:t>Wong</w:t>
      </w:r>
      <w:r w:rsidRPr="00A81CD3">
        <w:rPr>
          <w:lang w:val="en-CA"/>
        </w:rPr>
        <w:t>, the legislat</w:t>
      </w:r>
      <w:r w:rsidR="00E07B41">
        <w:rPr>
          <w:lang w:val="en-CA"/>
        </w:rPr>
        <w:t>ure</w:t>
      </w:r>
      <w:r w:rsidRPr="00A81CD3">
        <w:rPr>
          <w:lang w:val="en-CA"/>
        </w:rPr>
        <w:t xml:space="preserve"> chose not to limit the provision to video surveillance. Instead, it opted for a broader provision, authorizing the use of any </w:t>
      </w:r>
      <w:r w:rsidRPr="00A81CD3">
        <w:rPr>
          <w:i/>
          <w:iCs/>
          <w:lang w:val="en-CA"/>
        </w:rPr>
        <w:t>device, investigative technique</w:t>
      </w:r>
      <w:r w:rsidR="00281E32">
        <w:rPr>
          <w:i/>
          <w:iCs/>
          <w:lang w:val="en-CA"/>
        </w:rPr>
        <w:t>,</w:t>
      </w:r>
      <w:r w:rsidRPr="00A81CD3">
        <w:rPr>
          <w:lang w:val="en-CA"/>
        </w:rPr>
        <w:t xml:space="preserve"> or </w:t>
      </w:r>
      <w:r w:rsidRPr="00A81CD3">
        <w:rPr>
          <w:i/>
          <w:iCs/>
          <w:lang w:val="en-CA"/>
        </w:rPr>
        <w:t>procedure</w:t>
      </w:r>
      <w:r w:rsidRPr="00A81CD3">
        <w:rPr>
          <w:lang w:val="en-CA"/>
        </w:rPr>
        <w:t xml:space="preserve"> or </w:t>
      </w:r>
      <w:r w:rsidR="00281E32">
        <w:rPr>
          <w:lang w:val="en-CA"/>
        </w:rPr>
        <w:t xml:space="preserve">the </w:t>
      </w:r>
      <w:r w:rsidRPr="00A81CD3">
        <w:rPr>
          <w:lang w:val="en-CA"/>
        </w:rPr>
        <w:t>doing</w:t>
      </w:r>
      <w:r w:rsidR="00281E32">
        <w:rPr>
          <w:lang w:val="en-CA"/>
        </w:rPr>
        <w:t xml:space="preserve"> of</w:t>
      </w:r>
      <w:r w:rsidRPr="00A81CD3">
        <w:rPr>
          <w:lang w:val="en-CA"/>
        </w:rPr>
        <w:t xml:space="preserve"> </w:t>
      </w:r>
      <w:r w:rsidRPr="00A81CD3">
        <w:rPr>
          <w:i/>
          <w:iCs/>
          <w:lang w:val="en-CA"/>
        </w:rPr>
        <w:t>any thing</w:t>
      </w:r>
      <w:r w:rsidRPr="00A81CD3">
        <w:rPr>
          <w:lang w:val="en-CA"/>
        </w:rPr>
        <w:t xml:space="preserve"> that would otherwise constitute an unreasonable search or seizure. The aim was to provide judges with an authorization power that could evolve in line with technological developments likely to give rise to new search and seizure procedures.</w:t>
      </w:r>
      <w:r w:rsidRPr="00A81CD3">
        <w:rPr>
          <w:rStyle w:val="Appelnotedebasdep"/>
          <w:lang w:val="en-CA"/>
        </w:rPr>
        <w:footnoteReference w:id="25"/>
      </w:r>
    </w:p>
    <w:p w14:paraId="4F73749A" w14:textId="7B04B2D1" w:rsidR="00E406BF" w:rsidRPr="00A81CD3" w:rsidRDefault="00EF1AF1" w:rsidP="008129D5">
      <w:pPr>
        <w:pStyle w:val="Titre3"/>
        <w:numPr>
          <w:ilvl w:val="0"/>
          <w:numId w:val="6"/>
        </w:numPr>
        <w:spacing w:after="180"/>
        <w:ind w:left="2126" w:hanging="425"/>
        <w:jc w:val="both"/>
        <w:rPr>
          <w:lang w:val="en-CA"/>
        </w:rPr>
      </w:pPr>
      <w:r w:rsidRPr="00A81CD3">
        <w:rPr>
          <w:b/>
          <w:bCs/>
          <w:lang w:val="en-CA"/>
        </w:rPr>
        <w:t xml:space="preserve">The nature and effect of a warrant authorizing a person to be stopped and searched under a false </w:t>
      </w:r>
      <w:r w:rsidR="00CD1F32">
        <w:rPr>
          <w:b/>
          <w:bCs/>
          <w:lang w:val="en-CA"/>
        </w:rPr>
        <w:t>pretext</w:t>
      </w:r>
    </w:p>
    <w:p w14:paraId="4F73749B" w14:textId="1EB8F840"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The ultimate purpose of a warrant such as the one at issue here is to </w:t>
      </w:r>
      <w:r w:rsidR="00B11A3D">
        <w:rPr>
          <w:lang w:val="en-CA"/>
        </w:rPr>
        <w:t>allow</w:t>
      </w:r>
      <w:r w:rsidRPr="00A81CD3">
        <w:rPr>
          <w:lang w:val="en-CA"/>
        </w:rPr>
        <w:t xml:space="preserve"> police officers who reasonably believe that a person has committed an</w:t>
      </w:r>
      <w:r w:rsidRPr="00A81CD3">
        <w:rPr>
          <w:szCs w:val="24"/>
          <w:lang w:val="en-CA"/>
        </w:rPr>
        <w:t xml:space="preserve"> offence—in this case,</w:t>
      </w:r>
      <w:r w:rsidR="00B11A3D">
        <w:rPr>
          <w:szCs w:val="24"/>
          <w:lang w:val="en-CA"/>
        </w:rPr>
        <w:t xml:space="preserve"> [</w:t>
      </w:r>
      <w:r w:rsidR="00B11A3D">
        <w:rPr>
          <w:smallCaps/>
          <w:szCs w:val="24"/>
          <w:lang w:val="en-CA"/>
        </w:rPr>
        <w:t>translation</w:t>
      </w:r>
      <w:r w:rsidR="00B11A3D">
        <w:rPr>
          <w:szCs w:val="24"/>
          <w:lang w:val="en-CA"/>
        </w:rPr>
        <w:t>]</w:t>
      </w:r>
      <w:r w:rsidRPr="00A81CD3">
        <w:rPr>
          <w:szCs w:val="24"/>
          <w:lang w:val="en-CA"/>
        </w:rPr>
        <w:t xml:space="preserve"> </w:t>
      </w:r>
      <w:r w:rsidR="00705025" w:rsidRPr="00A81CD3">
        <w:rPr>
          <w:szCs w:val="24"/>
          <w:lang w:val="en-CA"/>
        </w:rPr>
        <w:t>“</w:t>
      </w:r>
      <w:r w:rsidRPr="00A81CD3">
        <w:rPr>
          <w:szCs w:val="24"/>
          <w:lang w:val="en-CA"/>
        </w:rPr>
        <w:t>an offence related to trafficking in narcotics and the transportation of narcotics and/or money related to trafficking in narcotics</w:t>
      </w:r>
      <w:r w:rsidR="00705025" w:rsidRPr="00A81CD3">
        <w:rPr>
          <w:szCs w:val="24"/>
          <w:lang w:val="en-CA"/>
        </w:rPr>
        <w:t>”</w:t>
      </w:r>
      <w:r w:rsidRPr="00A81CD3">
        <w:rPr>
          <w:rStyle w:val="Appelnotedebasdep"/>
          <w:lang w:val="en-CA"/>
        </w:rPr>
        <w:footnoteReference w:id="26"/>
      </w:r>
      <w:r w:rsidRPr="00A81CD3">
        <w:rPr>
          <w:szCs w:val="24"/>
          <w:lang w:val="en-CA"/>
        </w:rPr>
        <w:t xml:space="preserve">—to stop that </w:t>
      </w:r>
      <w:r w:rsidRPr="00A81CD3">
        <w:rPr>
          <w:lang w:val="en-CA"/>
        </w:rPr>
        <w:t>person</w:t>
      </w:r>
      <w:r w:rsidRPr="00A81CD3">
        <w:rPr>
          <w:szCs w:val="24"/>
          <w:lang w:val="en-CA"/>
        </w:rPr>
        <w:t xml:space="preserve"> and search them in order to gather information relating to that offence. Thus, there is no doubt that, in general, the purpose of such a </w:t>
      </w:r>
      <w:r w:rsidRPr="00A81CD3">
        <w:rPr>
          <w:lang w:val="en-CA"/>
        </w:rPr>
        <w:t>warrant is a police operation involving a search or seizure.</w:t>
      </w:r>
    </w:p>
    <w:p w14:paraId="4F73749C" w14:textId="77777777"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However, the key element in an operation covered by a warrant of this nature is the subterfuge the police intend to use, whereby they intend to conceal from the person concerned the real reasons for stopping them.</w:t>
      </w:r>
    </w:p>
    <w:p w14:paraId="4F73749D" w14:textId="4303636C"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This</w:t>
      </w:r>
      <w:r w:rsidRPr="00A81CD3">
        <w:rPr>
          <w:szCs w:val="24"/>
          <w:lang w:val="en-CA"/>
        </w:rPr>
        <w:t xml:space="preserve"> distinctive characteristic of such a warrant means that it authorizes a police operation which, by its very nature, entails an infringement of the fundamental right of all persons to be informed promptly of the reasons for their arrest or detention.</w:t>
      </w:r>
      <w:r w:rsidRPr="00A81CD3">
        <w:rPr>
          <w:szCs w:val="24"/>
          <w:vertAlign w:val="superscript"/>
          <w:lang w:val="en-CA"/>
        </w:rPr>
        <w:footnoteReference w:id="27"/>
      </w:r>
      <w:r w:rsidRPr="00A81CD3">
        <w:rPr>
          <w:szCs w:val="24"/>
          <w:lang w:val="en-CA"/>
        </w:rPr>
        <w:t xml:space="preserve"> The facts of this case demonstrate this eloquently. Prior to his arrest </w:t>
      </w:r>
      <w:r w:rsidRPr="00A81CD3">
        <w:rPr>
          <w:lang w:val="en-CA"/>
        </w:rPr>
        <w:t xml:space="preserve">for possession of drugs for the </w:t>
      </w:r>
      <w:r w:rsidRPr="00A81CD3">
        <w:rPr>
          <w:lang w:val="en-CA"/>
        </w:rPr>
        <w:lastRenderedPageBreak/>
        <w:t xml:space="preserve">purpose of trafficking, the appellant was detained for almost 40 minutes without ever being informed that he was suspected of </w:t>
      </w:r>
      <w:r w:rsidRPr="00A81CD3">
        <w:rPr>
          <w:szCs w:val="24"/>
          <w:lang w:val="en-CA"/>
        </w:rPr>
        <w:t>committing an offence relating to the trafficking or transportation of narcotics</w:t>
      </w:r>
      <w:r w:rsidRPr="00A81CD3">
        <w:rPr>
          <w:lang w:val="en-CA"/>
        </w:rPr>
        <w:t xml:space="preserve">. It was only several months later, as part of the disclosure of evidence, that he learned the </w:t>
      </w:r>
      <w:r w:rsidR="009A2EE1">
        <w:rPr>
          <w:lang w:val="en-CA"/>
        </w:rPr>
        <w:t>real</w:t>
      </w:r>
      <w:r w:rsidRPr="00A81CD3">
        <w:rPr>
          <w:lang w:val="en-CA"/>
        </w:rPr>
        <w:t xml:space="preserve"> reasons for his detention during the initial phase of the operation on October 1, 2018.</w:t>
      </w:r>
    </w:p>
    <w:p w14:paraId="4F73749E" w14:textId="69CDC4FF"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I recognize that, in </w:t>
      </w:r>
      <w:r w:rsidRPr="00A81CD3">
        <w:rPr>
          <w:i/>
          <w:iCs/>
          <w:lang w:val="en-CA"/>
        </w:rPr>
        <w:t>Whipple</w:t>
      </w:r>
      <w:r w:rsidRPr="006F7E56">
        <w:rPr>
          <w:lang w:val="en-CA"/>
        </w:rPr>
        <w:t>,</w:t>
      </w:r>
      <w:r w:rsidRPr="00A81CD3">
        <w:rPr>
          <w:rStyle w:val="Appelnotedebasdep"/>
          <w:lang w:val="en-CA"/>
        </w:rPr>
        <w:footnoteReference w:id="28"/>
      </w:r>
      <w:r w:rsidRPr="00A81CD3">
        <w:rPr>
          <w:i/>
          <w:iCs/>
          <w:lang w:val="en-CA"/>
        </w:rPr>
        <w:t xml:space="preserve"> </w:t>
      </w:r>
      <w:r w:rsidRPr="00A81CD3">
        <w:rPr>
          <w:lang w:val="en-CA"/>
        </w:rPr>
        <w:t xml:space="preserve">the Alberta Court of Appeal </w:t>
      </w:r>
      <w:r w:rsidR="0069600D">
        <w:rPr>
          <w:lang w:val="en-CA"/>
        </w:rPr>
        <w:t>found</w:t>
      </w:r>
      <w:r w:rsidRPr="00A81CD3">
        <w:rPr>
          <w:lang w:val="en-CA"/>
        </w:rPr>
        <w:t xml:space="preserve"> that the execution of a warrant authorizing a person to be stopped and searched under a false </w:t>
      </w:r>
      <w:r w:rsidR="00CD1F32">
        <w:rPr>
          <w:lang w:val="en-CA"/>
        </w:rPr>
        <w:t>pretext</w:t>
      </w:r>
      <w:r w:rsidR="00A742DB" w:rsidRPr="00A81CD3">
        <w:rPr>
          <w:lang w:val="en-CA"/>
        </w:rPr>
        <w:t xml:space="preserve"> </w:t>
      </w:r>
      <w:r w:rsidRPr="00A81CD3">
        <w:rPr>
          <w:lang w:val="en-CA"/>
        </w:rPr>
        <w:t>did not infringe the accused</w:t>
      </w:r>
      <w:r w:rsidR="00356592" w:rsidRPr="00A81CD3">
        <w:rPr>
          <w:lang w:val="en-CA"/>
        </w:rPr>
        <w:t>’</w:t>
      </w:r>
      <w:r w:rsidRPr="00A81CD3">
        <w:rPr>
          <w:lang w:val="en-CA"/>
        </w:rPr>
        <w:t xml:space="preserve">s right under section 10(a) of the </w:t>
      </w:r>
      <w:r w:rsidRPr="00A81CD3">
        <w:rPr>
          <w:i/>
          <w:iCs/>
          <w:lang w:val="en-CA"/>
        </w:rPr>
        <w:t>Canadian Charter</w:t>
      </w:r>
      <w:r w:rsidRPr="00A81CD3">
        <w:rPr>
          <w:lang w:val="en-CA"/>
        </w:rPr>
        <w:t>. However, the judges came to this conclusion because of rather special circumstances. First, in their view, the warrant at issue in th</w:t>
      </w:r>
      <w:r w:rsidR="003D7EBA">
        <w:rPr>
          <w:lang w:val="en-CA"/>
        </w:rPr>
        <w:t>at</w:t>
      </w:r>
      <w:r w:rsidRPr="00A81CD3">
        <w:rPr>
          <w:lang w:val="en-CA"/>
        </w:rPr>
        <w:t xml:space="preserve"> case was drafted in such a way that it did not expressly authorize </w:t>
      </w:r>
      <w:r w:rsidR="0069600D">
        <w:rPr>
          <w:lang w:val="en-CA"/>
        </w:rPr>
        <w:t>an infringement</w:t>
      </w:r>
      <w:r w:rsidRPr="00A81CD3">
        <w:rPr>
          <w:lang w:val="en-CA"/>
        </w:rPr>
        <w:t xml:space="preserve"> of the right </w:t>
      </w:r>
      <w:r w:rsidRPr="00A81CD3">
        <w:rPr>
          <w:szCs w:val="24"/>
          <w:lang w:val="en-CA"/>
        </w:rPr>
        <w:t>to be informed promptly of the reasons for the accused’s arrest or detention</w:t>
      </w:r>
      <w:r w:rsidRPr="00A81CD3">
        <w:rPr>
          <w:lang w:val="en-CA"/>
        </w:rPr>
        <w:t xml:space="preserve">. Second, the accused had been stopped while driving in excess of the speed limit, and this was a legitimate reason for him being stopped and detained. But above all, he had been informed very quickly—just three and a half minutes after being stopped—of the alleged narcotics offences that he was also </w:t>
      </w:r>
      <w:r w:rsidR="0069600D">
        <w:rPr>
          <w:lang w:val="en-CA"/>
        </w:rPr>
        <w:t>suspected of having committed</w:t>
      </w:r>
      <w:r w:rsidRPr="00A81CD3">
        <w:rPr>
          <w:lang w:val="en-CA"/>
        </w:rPr>
        <w:t xml:space="preserve">. </w:t>
      </w:r>
      <w:r w:rsidRPr="00A81CD3">
        <w:rPr>
          <w:szCs w:val="24"/>
          <w:lang w:val="en-CA"/>
        </w:rPr>
        <w:t xml:space="preserve">I am </w:t>
      </w:r>
      <w:r w:rsidR="0069600D">
        <w:rPr>
          <w:szCs w:val="24"/>
          <w:lang w:val="en-CA"/>
        </w:rPr>
        <w:t>in agreement with</w:t>
      </w:r>
      <w:r w:rsidRPr="00A81CD3">
        <w:rPr>
          <w:szCs w:val="24"/>
          <w:lang w:val="en-CA"/>
        </w:rPr>
        <w:t xml:space="preserve"> the analysis of </w:t>
      </w:r>
      <w:r w:rsidR="0069600D">
        <w:rPr>
          <w:szCs w:val="24"/>
          <w:lang w:val="en-CA"/>
        </w:rPr>
        <w:t xml:space="preserve">authors </w:t>
      </w:r>
      <w:r w:rsidRPr="00A81CD3">
        <w:rPr>
          <w:szCs w:val="24"/>
          <w:lang w:val="en-CA"/>
        </w:rPr>
        <w:t>Hasan, Lai, Schermbrucker</w:t>
      </w:r>
      <w:r w:rsidR="0069600D">
        <w:rPr>
          <w:szCs w:val="24"/>
          <w:lang w:val="en-CA"/>
        </w:rPr>
        <w:t>,</w:t>
      </w:r>
      <w:r w:rsidRPr="00A81CD3">
        <w:rPr>
          <w:szCs w:val="24"/>
          <w:lang w:val="en-CA"/>
        </w:rPr>
        <w:t xml:space="preserve"> and Schwartz as to the lessons to be </w:t>
      </w:r>
      <w:r w:rsidR="0069600D">
        <w:rPr>
          <w:szCs w:val="24"/>
          <w:lang w:val="en-CA"/>
        </w:rPr>
        <w:t>drawn</w:t>
      </w:r>
      <w:r w:rsidRPr="00A81CD3">
        <w:rPr>
          <w:szCs w:val="24"/>
          <w:lang w:val="en-CA"/>
        </w:rPr>
        <w:t xml:space="preserve"> from this decision:</w:t>
      </w:r>
      <w:r w:rsidRPr="00A81CD3">
        <w:rPr>
          <w:rStyle w:val="Appelnotedebasdep"/>
          <w:lang w:val="en-CA"/>
        </w:rPr>
        <w:footnoteReference w:id="29"/>
      </w:r>
    </w:p>
    <w:p w14:paraId="4F73749F" w14:textId="01080AF0" w:rsidR="00E406BF" w:rsidRPr="00A81CD3" w:rsidRDefault="00EF1AF1" w:rsidP="008129D5">
      <w:pPr>
        <w:pStyle w:val="Citationenretrait"/>
        <w:rPr>
          <w:lang w:val="en-CA"/>
        </w:rPr>
      </w:pPr>
      <w:r w:rsidRPr="00A81CD3">
        <w:rPr>
          <w:lang w:val="en-CA"/>
        </w:rPr>
        <w:t xml:space="preserve">Importantly, the Alberta Court of Appeal’s analysis in </w:t>
      </w:r>
      <w:r w:rsidRPr="00A81CD3">
        <w:rPr>
          <w:i/>
          <w:iCs/>
          <w:lang w:val="en-CA"/>
        </w:rPr>
        <w:t>Whipple</w:t>
      </w:r>
      <w:r w:rsidRPr="00A81CD3">
        <w:rPr>
          <w:lang w:val="en-CA"/>
        </w:rPr>
        <w:t xml:space="preserve"> proceeds on the assumption — as the Crown conceded throughout the trial and appeal in that case — that a general warrant cannot purport to expressly authorize a breach of section 10(a) of the Charter. Again, the Court relied on the trial judge’s finding of fact that the vehicle stop was authorized by the speeding infraction, and that police fairly quickly informed Mr</w:t>
      </w:r>
      <w:r w:rsidR="00055CD2" w:rsidRPr="00A81CD3">
        <w:rPr>
          <w:lang w:val="en-CA"/>
        </w:rPr>
        <w:t>.</w:t>
      </w:r>
      <w:r w:rsidRPr="00A81CD3">
        <w:rPr>
          <w:lang w:val="en-CA"/>
        </w:rPr>
        <w:t xml:space="preserve"> Whipple that they suspected he had contraband drugs in his vehicle. In a sense, the judgment in </w:t>
      </w:r>
      <w:r w:rsidRPr="00A81CD3">
        <w:rPr>
          <w:i/>
          <w:iCs/>
          <w:lang w:val="en-CA"/>
        </w:rPr>
        <w:t xml:space="preserve">Whipple </w:t>
      </w:r>
      <w:r w:rsidRPr="00A81CD3">
        <w:rPr>
          <w:lang w:val="en-CA"/>
        </w:rPr>
        <w:t>therefore supports not so much lying to the detainee about the reasons for the detention, as withholding all of the police’s grounds at the time of an otherwise valid detention. It does seem troubling that the terms of the general warrant, specifically clause (a) […] authorized police to not inform the detainee(s) of the “actual reasons for the traffic stop” and instead engage in a ruse, which sounds like non-compliance with section 10(a). The decision of the Alberta Court of Appeal likely turns on the critical fact that the police did have a valid basis to stop Mr</w:t>
      </w:r>
      <w:r w:rsidR="00386D59" w:rsidRPr="00A81CD3">
        <w:rPr>
          <w:lang w:val="en-CA"/>
        </w:rPr>
        <w:t>.</w:t>
      </w:r>
      <w:r w:rsidRPr="00A81CD3">
        <w:rPr>
          <w:lang w:val="en-CA"/>
        </w:rPr>
        <w:t xml:space="preserve"> Whipple’s vehicle — speeding — and simply did not tell him everything they knew.</w:t>
      </w:r>
    </w:p>
    <w:p w14:paraId="4F7374A0" w14:textId="0B2FD235" w:rsidR="00E406BF" w:rsidRPr="00A81CD3" w:rsidRDefault="00EF1AF1" w:rsidP="006C32CB">
      <w:pPr>
        <w:pStyle w:val="Paragraphe"/>
        <w:numPr>
          <w:ilvl w:val="0"/>
          <w:numId w:val="1"/>
        </w:numPr>
        <w:spacing w:before="240" w:after="180" w:line="280" w:lineRule="exact"/>
        <w:rPr>
          <w:szCs w:val="24"/>
          <w:lang w:val="en-CA"/>
        </w:rPr>
      </w:pPr>
      <w:r w:rsidRPr="00A81CD3">
        <w:rPr>
          <w:szCs w:val="24"/>
          <w:lang w:val="en-CA"/>
        </w:rPr>
        <w:t xml:space="preserve">The </w:t>
      </w:r>
      <w:r w:rsidRPr="00A81CD3">
        <w:rPr>
          <w:lang w:val="en-CA"/>
        </w:rPr>
        <w:t>circumstances</w:t>
      </w:r>
      <w:r w:rsidRPr="00A81CD3">
        <w:rPr>
          <w:szCs w:val="24"/>
          <w:lang w:val="en-CA"/>
        </w:rPr>
        <w:t xml:space="preserve"> of </w:t>
      </w:r>
      <w:r w:rsidR="0069600D">
        <w:rPr>
          <w:szCs w:val="24"/>
          <w:lang w:val="en-CA"/>
        </w:rPr>
        <w:t>this</w:t>
      </w:r>
      <w:r w:rsidRPr="00A81CD3">
        <w:rPr>
          <w:szCs w:val="24"/>
          <w:lang w:val="en-CA"/>
        </w:rPr>
        <w:t xml:space="preserve"> case are quite different. First, the terms of the warrant issued on July 16, 2018, expressly authorized the police to stop and search the suspect, not </w:t>
      </w:r>
      <w:r w:rsidR="0069600D">
        <w:rPr>
          <w:szCs w:val="24"/>
          <w:lang w:val="en-CA"/>
        </w:rPr>
        <w:t xml:space="preserve">by </w:t>
      </w:r>
      <w:r w:rsidRPr="00A81CD3">
        <w:rPr>
          <w:szCs w:val="24"/>
          <w:lang w:val="en-CA"/>
        </w:rPr>
        <w:t xml:space="preserve">focusing on </w:t>
      </w:r>
      <w:r w:rsidR="0069600D">
        <w:rPr>
          <w:szCs w:val="24"/>
          <w:lang w:val="en-CA"/>
        </w:rPr>
        <w:t>an</w:t>
      </w:r>
      <w:r w:rsidRPr="00A81CD3">
        <w:rPr>
          <w:szCs w:val="24"/>
          <w:lang w:val="en-CA"/>
        </w:rPr>
        <w:t xml:space="preserve">other offence he was suspected of having actually committed, but rather on the basis of a fictitious offence that had nothing to do with </w:t>
      </w:r>
      <w:r w:rsidR="0069600D">
        <w:rPr>
          <w:szCs w:val="24"/>
          <w:lang w:val="en-CA"/>
        </w:rPr>
        <w:t xml:space="preserve">narcotics </w:t>
      </w:r>
      <w:r w:rsidRPr="00A81CD3">
        <w:rPr>
          <w:szCs w:val="24"/>
          <w:lang w:val="en-CA"/>
        </w:rPr>
        <w:t xml:space="preserve">trafficking. </w:t>
      </w:r>
      <w:r w:rsidRPr="00A81CD3">
        <w:rPr>
          <w:szCs w:val="24"/>
          <w:lang w:val="en-CA"/>
        </w:rPr>
        <w:lastRenderedPageBreak/>
        <w:t xml:space="preserve">And that </w:t>
      </w:r>
      <w:r w:rsidR="0069600D">
        <w:rPr>
          <w:szCs w:val="24"/>
          <w:lang w:val="en-CA"/>
        </w:rPr>
        <w:t xml:space="preserve">is </w:t>
      </w:r>
      <w:r w:rsidRPr="00A81CD3">
        <w:rPr>
          <w:szCs w:val="24"/>
          <w:lang w:val="en-CA"/>
        </w:rPr>
        <w:t xml:space="preserve">precisely what the </w:t>
      </w:r>
      <w:r w:rsidRPr="00A81CD3">
        <w:rPr>
          <w:lang w:val="en-CA"/>
        </w:rPr>
        <w:t>police</w:t>
      </w:r>
      <w:r w:rsidRPr="00A81CD3">
        <w:rPr>
          <w:szCs w:val="24"/>
          <w:lang w:val="en-CA"/>
        </w:rPr>
        <w:t xml:space="preserve"> did in this case. Unlike the situation in </w:t>
      </w:r>
      <w:r w:rsidRPr="00A81CD3">
        <w:rPr>
          <w:i/>
          <w:iCs/>
          <w:szCs w:val="24"/>
          <w:lang w:val="en-CA"/>
        </w:rPr>
        <w:t>Whipple</w:t>
      </w:r>
      <w:r w:rsidRPr="00A81CD3">
        <w:rPr>
          <w:szCs w:val="24"/>
          <w:lang w:val="en-CA"/>
        </w:rPr>
        <w:t>, the reason for detention announced to the appellant when he was stopped—a belief that he had committed a break and enter—was fabricated. In my view, it is clear that the warrant authorized—and in fact resulted in—an infringement of the appellant</w:t>
      </w:r>
      <w:r w:rsidR="00356592" w:rsidRPr="00A81CD3">
        <w:rPr>
          <w:szCs w:val="24"/>
          <w:lang w:val="en-CA"/>
        </w:rPr>
        <w:t>’</w:t>
      </w:r>
      <w:r w:rsidRPr="00A81CD3">
        <w:rPr>
          <w:szCs w:val="24"/>
          <w:lang w:val="en-CA"/>
        </w:rPr>
        <w:t>s right to be informed promptly of the reasons for his detention</w:t>
      </w:r>
      <w:r w:rsidRPr="00A81CD3">
        <w:rPr>
          <w:lang w:val="en-CA"/>
        </w:rPr>
        <w:t>.</w:t>
      </w:r>
      <w:r w:rsidRPr="00A81CD3">
        <w:rPr>
          <w:rStyle w:val="Appelnotedebasdep"/>
          <w:lang w:val="en-CA"/>
        </w:rPr>
        <w:footnoteReference w:id="30"/>
      </w:r>
    </w:p>
    <w:p w14:paraId="4F7374A1" w14:textId="28755AF7" w:rsidR="00E406BF" w:rsidRPr="00A81CD3" w:rsidRDefault="0069600D" w:rsidP="00EE4E7D">
      <w:pPr>
        <w:pStyle w:val="Paragraphe"/>
        <w:numPr>
          <w:ilvl w:val="0"/>
          <w:numId w:val="1"/>
        </w:numPr>
        <w:spacing w:before="180" w:after="180" w:line="280" w:lineRule="exact"/>
        <w:rPr>
          <w:szCs w:val="24"/>
          <w:lang w:val="en-CA"/>
        </w:rPr>
      </w:pPr>
      <w:r>
        <w:rPr>
          <w:lang w:val="en-CA"/>
        </w:rPr>
        <w:t>Moreove</w:t>
      </w:r>
      <w:r w:rsidR="00366F76">
        <w:rPr>
          <w:lang w:val="en-CA"/>
        </w:rPr>
        <w:t>r</w:t>
      </w:r>
      <w:r>
        <w:rPr>
          <w:lang w:val="en-CA"/>
        </w:rPr>
        <w:t xml:space="preserve">, </w:t>
      </w:r>
      <w:r w:rsidR="00EF1AF1" w:rsidRPr="00A81CD3">
        <w:rPr>
          <w:lang w:val="en-CA"/>
        </w:rPr>
        <w:t>I find</w:t>
      </w:r>
      <w:r w:rsidR="00EF1AF1" w:rsidRPr="00A81CD3">
        <w:rPr>
          <w:szCs w:val="24"/>
          <w:lang w:val="en-CA"/>
        </w:rPr>
        <w:t xml:space="preserve"> that the use of this false </w:t>
      </w:r>
      <w:r w:rsidR="00CD1F32">
        <w:rPr>
          <w:szCs w:val="24"/>
          <w:lang w:val="en-CA"/>
        </w:rPr>
        <w:t>pretext</w:t>
      </w:r>
      <w:r w:rsidR="00EF1AF1" w:rsidRPr="00A81CD3">
        <w:rPr>
          <w:szCs w:val="24"/>
          <w:lang w:val="en-CA"/>
        </w:rPr>
        <w:t xml:space="preserve"> necessarily affected the appellant</w:t>
      </w:r>
      <w:r w:rsidR="00356592" w:rsidRPr="00A81CD3">
        <w:rPr>
          <w:szCs w:val="24"/>
          <w:lang w:val="en-CA"/>
        </w:rPr>
        <w:t>’</w:t>
      </w:r>
      <w:r w:rsidR="00EF1AF1" w:rsidRPr="00A81CD3">
        <w:rPr>
          <w:szCs w:val="24"/>
          <w:lang w:val="en-CA"/>
        </w:rPr>
        <w:t xml:space="preserve">s exercise of his right to counsel under </w:t>
      </w:r>
      <w:r w:rsidR="00E94862">
        <w:rPr>
          <w:szCs w:val="24"/>
          <w:lang w:val="en-CA"/>
        </w:rPr>
        <w:t>paragraph</w:t>
      </w:r>
      <w:r w:rsidR="00EF1AF1" w:rsidRPr="00A81CD3">
        <w:rPr>
          <w:szCs w:val="24"/>
          <w:lang w:val="en-CA"/>
        </w:rPr>
        <w:t xml:space="preserve"> 10(b) of the </w:t>
      </w:r>
      <w:r w:rsidR="00EF1AF1" w:rsidRPr="00A81CD3">
        <w:rPr>
          <w:i/>
          <w:iCs/>
          <w:szCs w:val="24"/>
          <w:lang w:val="en-CA"/>
        </w:rPr>
        <w:t>Charter</w:t>
      </w:r>
      <w:r w:rsidR="00EF1AF1" w:rsidRPr="00A81CD3">
        <w:rPr>
          <w:szCs w:val="24"/>
          <w:lang w:val="en-CA"/>
        </w:rPr>
        <w:t xml:space="preserve">. As explained by the Ontario Court of Appeal, in a case where the police had stopped the accused under the </w:t>
      </w:r>
      <w:r w:rsidR="00CD1F32">
        <w:rPr>
          <w:szCs w:val="24"/>
          <w:lang w:val="en-CA"/>
        </w:rPr>
        <w:t>pretext</w:t>
      </w:r>
      <w:r w:rsidR="00EF1AF1" w:rsidRPr="00A81CD3">
        <w:rPr>
          <w:szCs w:val="24"/>
          <w:lang w:val="en-CA"/>
        </w:rPr>
        <w:t xml:space="preserve"> of traffic violations, </w:t>
      </w:r>
      <w:r>
        <w:rPr>
          <w:szCs w:val="24"/>
          <w:lang w:val="en-CA"/>
        </w:rPr>
        <w:t xml:space="preserve">while </w:t>
      </w:r>
      <w:r w:rsidR="00EF1AF1" w:rsidRPr="00A81CD3">
        <w:rPr>
          <w:szCs w:val="24"/>
          <w:lang w:val="en-CA"/>
        </w:rPr>
        <w:t>the real reason for the operation was his suspected membership in a criminal organization</w:t>
      </w:r>
      <w:r w:rsidR="00EF1AF1" w:rsidRPr="00A81CD3">
        <w:rPr>
          <w:rStyle w:val="Appelnotedebasdep"/>
          <w:lang w:val="en-CA"/>
        </w:rPr>
        <w:footnoteReference w:id="31"/>
      </w:r>
      <w:r w:rsidR="00EF1AF1" w:rsidRPr="00A81CD3">
        <w:rPr>
          <w:szCs w:val="24"/>
          <w:lang w:val="en-CA"/>
        </w:rPr>
        <w:t>:</w:t>
      </w:r>
    </w:p>
    <w:p w14:paraId="4F7374A2" w14:textId="6B8B90B5" w:rsidR="00E406BF" w:rsidRPr="00A81CD3" w:rsidRDefault="00EF1AF1" w:rsidP="00462C72">
      <w:pPr>
        <w:pStyle w:val="Citationenretrait"/>
        <w:rPr>
          <w:lang w:val="en-CA"/>
        </w:rPr>
      </w:pPr>
      <w:r w:rsidRPr="00A81CD3">
        <w:rPr>
          <w:lang w:val="en-CA"/>
        </w:rPr>
        <w:t>[84]</w:t>
      </w:r>
      <w:r w:rsidRPr="00A81CD3">
        <w:rPr>
          <w:lang w:val="en-CA"/>
        </w:rPr>
        <w:tab/>
        <w:t xml:space="preserve">Section 10 of the </w:t>
      </w:r>
      <w:r w:rsidRPr="00A81CD3">
        <w:rPr>
          <w:i/>
          <w:iCs/>
          <w:lang w:val="en-CA"/>
        </w:rPr>
        <w:t>Charter</w:t>
      </w:r>
      <w:r w:rsidRPr="00A81CD3">
        <w:rPr>
          <w:lang w:val="en-CA"/>
        </w:rPr>
        <w:t xml:space="preserve"> provides that everyone has the right on arrest or detention:</w:t>
      </w:r>
    </w:p>
    <w:p w14:paraId="4F7374A3" w14:textId="77777777" w:rsidR="00E406BF" w:rsidRPr="00A81CD3" w:rsidRDefault="00EF1AF1" w:rsidP="00E406BF">
      <w:pPr>
        <w:pStyle w:val="Paragraphe"/>
        <w:widowControl w:val="0"/>
        <w:tabs>
          <w:tab w:val="left" w:pos="1843"/>
        </w:tabs>
        <w:spacing w:line="240" w:lineRule="auto"/>
        <w:ind w:left="1418" w:right="715"/>
        <w:rPr>
          <w:sz w:val="22"/>
          <w:szCs w:val="22"/>
          <w:lang w:val="en-CA"/>
        </w:rPr>
      </w:pPr>
      <w:r w:rsidRPr="00A81CD3">
        <w:rPr>
          <w:sz w:val="22"/>
          <w:szCs w:val="22"/>
          <w:lang w:val="en-CA"/>
        </w:rPr>
        <w:t>(a)</w:t>
      </w:r>
      <w:r w:rsidRPr="00A81CD3">
        <w:rPr>
          <w:sz w:val="22"/>
          <w:szCs w:val="22"/>
          <w:lang w:val="en-CA"/>
        </w:rPr>
        <w:tab/>
        <w:t>to be informed promptly of the reasons therefor;</w:t>
      </w:r>
    </w:p>
    <w:p w14:paraId="4F7374A4" w14:textId="77777777" w:rsidR="00E406BF" w:rsidRPr="00A81CD3" w:rsidRDefault="00EF1AF1" w:rsidP="00E406BF">
      <w:pPr>
        <w:pStyle w:val="Paragraphe"/>
        <w:widowControl w:val="0"/>
        <w:tabs>
          <w:tab w:val="left" w:pos="1843"/>
        </w:tabs>
        <w:spacing w:line="240" w:lineRule="auto"/>
        <w:ind w:left="1418" w:right="715"/>
        <w:rPr>
          <w:sz w:val="22"/>
          <w:szCs w:val="22"/>
          <w:lang w:val="en-CA"/>
        </w:rPr>
      </w:pPr>
      <w:r w:rsidRPr="00A81CD3">
        <w:rPr>
          <w:sz w:val="22"/>
          <w:szCs w:val="22"/>
          <w:lang w:val="en-CA"/>
        </w:rPr>
        <w:t>(b)</w:t>
      </w:r>
      <w:r w:rsidRPr="00A81CD3">
        <w:rPr>
          <w:sz w:val="22"/>
          <w:szCs w:val="22"/>
          <w:lang w:val="en-CA"/>
        </w:rPr>
        <w:tab/>
        <w:t>to retain and instruct counsel without delay and to be informed of that right.</w:t>
      </w:r>
    </w:p>
    <w:p w14:paraId="4F7374A5" w14:textId="53D34353" w:rsidR="00E406BF" w:rsidRPr="00A81CD3" w:rsidRDefault="00EF1AF1" w:rsidP="00462C72">
      <w:pPr>
        <w:pStyle w:val="Citationenretrait"/>
        <w:rPr>
          <w:lang w:val="en-CA"/>
        </w:rPr>
      </w:pPr>
      <w:r w:rsidRPr="00A81CD3">
        <w:rPr>
          <w:lang w:val="en-CA"/>
        </w:rPr>
        <w:t>[85]</w:t>
      </w:r>
      <w:r w:rsidRPr="00A81CD3">
        <w:rPr>
          <w:lang w:val="en-CA"/>
        </w:rPr>
        <w:tab/>
        <w:t xml:space="preserve">Section 10 ensures that people have a chance to challenge the lawfulness of an arrest or detention. Police are to advise promptly the reasons for the arrest or detention, and individuals then have the right to receive legal advice about their situation from counsel. </w:t>
      </w:r>
      <w:r w:rsidRPr="00A81CD3">
        <w:rPr>
          <w:u w:val="single"/>
          <w:lang w:val="en-CA"/>
        </w:rPr>
        <w:t>The information provided pursuant to s. 10(a) serves to inform the advice provided as a result of the invocation of s. 10(b). If the information is inaccurate, it taints the ability of counsel to give meaningful and responsive advice</w:t>
      </w:r>
      <w:r w:rsidRPr="00A81CD3">
        <w:rPr>
          <w:lang w:val="en-CA"/>
        </w:rPr>
        <w:t>.</w:t>
      </w:r>
    </w:p>
    <w:p w14:paraId="4F7374A6" w14:textId="77777777" w:rsidR="00E406BF" w:rsidRPr="00A81CD3" w:rsidRDefault="00EF1AF1" w:rsidP="00462C72">
      <w:pPr>
        <w:pStyle w:val="Citationenretrait"/>
        <w:rPr>
          <w:lang w:val="en-CA"/>
        </w:rPr>
      </w:pPr>
      <w:r w:rsidRPr="00A81CD3">
        <w:rPr>
          <w:lang w:val="en-CA"/>
        </w:rPr>
        <w:t>[86]</w:t>
      </w:r>
      <w:r w:rsidRPr="00A81CD3">
        <w:rPr>
          <w:lang w:val="en-CA"/>
        </w:rPr>
        <w:tab/>
        <w:t xml:space="preserve">In this case, even though the police took steps to attenuate the prejudice to the appellant by facilitating the right to counsel and by at least planning not to question the appellant (even though they ultimately did do so), </w:t>
      </w:r>
      <w:r w:rsidRPr="00A81CD3">
        <w:rPr>
          <w:u w:val="single"/>
          <w:lang w:val="en-CA"/>
        </w:rPr>
        <w:t>their approach ignores the foundation of the s. 10(a) right</w:t>
      </w:r>
      <w:r w:rsidRPr="00A81CD3">
        <w:rPr>
          <w:lang w:val="en-CA"/>
        </w:rPr>
        <w:t xml:space="preserve">. As McLachlin J., as she then was, said in </w:t>
      </w:r>
      <w:r w:rsidRPr="00A81CD3">
        <w:rPr>
          <w:i/>
          <w:iCs/>
          <w:lang w:val="en-CA"/>
        </w:rPr>
        <w:t>Evans</w:t>
      </w:r>
      <w:r w:rsidRPr="00A81CD3">
        <w:rPr>
          <w:lang w:val="en-CA"/>
        </w:rPr>
        <w:t>, at pp. 886-87:</w:t>
      </w:r>
    </w:p>
    <w:p w14:paraId="4F7374A7" w14:textId="77777777" w:rsidR="00E406BF" w:rsidRPr="00A81CD3" w:rsidRDefault="00EF1AF1" w:rsidP="00E406BF">
      <w:pPr>
        <w:pStyle w:val="Paragraphe"/>
        <w:widowControl w:val="0"/>
        <w:tabs>
          <w:tab w:val="left" w:pos="1276"/>
        </w:tabs>
        <w:spacing w:line="240" w:lineRule="auto"/>
        <w:ind w:left="1134" w:right="1140"/>
        <w:rPr>
          <w:sz w:val="22"/>
          <w:szCs w:val="22"/>
          <w:lang w:val="en-CA"/>
        </w:rPr>
      </w:pPr>
      <w:r w:rsidRPr="00A81CD3">
        <w:rPr>
          <w:sz w:val="22"/>
          <w:szCs w:val="22"/>
          <w:lang w:val="en-CA"/>
        </w:rPr>
        <w:lastRenderedPageBreak/>
        <w:t xml:space="preserve">The right to be promptly advised of the reason for one’s detention embodied in s. 10(a) of the </w:t>
      </w:r>
      <w:r w:rsidRPr="00A81CD3">
        <w:rPr>
          <w:i/>
          <w:iCs/>
          <w:sz w:val="22"/>
          <w:szCs w:val="22"/>
          <w:lang w:val="en-CA"/>
        </w:rPr>
        <w:t>Charter</w:t>
      </w:r>
      <w:r w:rsidRPr="00A81CD3">
        <w:rPr>
          <w:sz w:val="22"/>
          <w:szCs w:val="22"/>
          <w:lang w:val="en-CA"/>
        </w:rPr>
        <w:t xml:space="preserve"> is founded most fundamentally on the notion that one is not obliged to submit to arrest if one does not know the reasons for it. </w:t>
      </w:r>
      <w:r w:rsidRPr="00A81CD3">
        <w:rPr>
          <w:sz w:val="22"/>
          <w:szCs w:val="22"/>
          <w:u w:val="single"/>
          <w:lang w:val="en-CA"/>
        </w:rPr>
        <w:t xml:space="preserve">A second aspect of the right lies in its role as an adjunct to the right to counsel conferred by s. 10(b) of the </w:t>
      </w:r>
      <w:r w:rsidRPr="00A81CD3">
        <w:rPr>
          <w:i/>
          <w:iCs/>
          <w:sz w:val="22"/>
          <w:szCs w:val="22"/>
          <w:u w:val="single"/>
          <w:lang w:val="en-CA"/>
        </w:rPr>
        <w:t>Charter</w:t>
      </w:r>
      <w:r w:rsidRPr="00A81CD3">
        <w:rPr>
          <w:sz w:val="22"/>
          <w:szCs w:val="22"/>
          <w:lang w:val="en-CA"/>
        </w:rPr>
        <w:t xml:space="preserve">. As Wilson J. stated for the Court in </w:t>
      </w:r>
      <w:r w:rsidRPr="00A81CD3">
        <w:rPr>
          <w:i/>
          <w:iCs/>
          <w:sz w:val="22"/>
          <w:szCs w:val="22"/>
          <w:lang w:val="en-CA"/>
        </w:rPr>
        <w:t>R. v. Black</w:t>
      </w:r>
      <w:r w:rsidRPr="00A81CD3">
        <w:rPr>
          <w:sz w:val="22"/>
          <w:szCs w:val="22"/>
          <w:lang w:val="en-CA"/>
        </w:rPr>
        <w:t>, 1989 CanLII 75 (SCC), [1989] 2 S.C.R. 138, at pp. 152-153, “[a]n individual can only exercise his s. 10(b) right in a meaningful way if he knows the extent of his jeopardy”. In interpreting s. 10(a) in a purposive manner, regard must be had to the double rationale underlying the right. [Citation omitted.]</w:t>
      </w:r>
    </w:p>
    <w:p w14:paraId="4F7374A8" w14:textId="28D3728E" w:rsidR="00E406BF" w:rsidRPr="00A81CD3" w:rsidRDefault="00EF1AF1" w:rsidP="00462C72">
      <w:pPr>
        <w:pStyle w:val="Paragraphe"/>
        <w:widowControl w:val="0"/>
        <w:tabs>
          <w:tab w:val="left" w:pos="1276"/>
        </w:tabs>
        <w:spacing w:line="240" w:lineRule="auto"/>
        <w:ind w:left="1134" w:right="715"/>
        <w:jc w:val="right"/>
        <w:rPr>
          <w:sz w:val="22"/>
          <w:szCs w:val="22"/>
          <w:lang w:val="en-CA"/>
        </w:rPr>
      </w:pPr>
      <w:r w:rsidRPr="00A81CD3">
        <w:rPr>
          <w:sz w:val="22"/>
          <w:szCs w:val="22"/>
          <w:lang w:val="en-CA"/>
        </w:rPr>
        <w:t>[Emphasis added</w:t>
      </w:r>
      <w:r w:rsidR="00637C63">
        <w:rPr>
          <w:sz w:val="22"/>
          <w:szCs w:val="22"/>
          <w:lang w:val="en-CA"/>
        </w:rPr>
        <w:t>.</w:t>
      </w:r>
      <w:r w:rsidRPr="00A81CD3">
        <w:rPr>
          <w:sz w:val="22"/>
          <w:szCs w:val="22"/>
          <w:lang w:val="en-CA"/>
        </w:rPr>
        <w:t>]</w:t>
      </w:r>
    </w:p>
    <w:p w14:paraId="4F7374A9" w14:textId="762E31B7" w:rsidR="00E406BF" w:rsidRPr="00A81CD3" w:rsidRDefault="00EF1AF1" w:rsidP="006C32CB">
      <w:pPr>
        <w:pStyle w:val="Titre3"/>
        <w:numPr>
          <w:ilvl w:val="0"/>
          <w:numId w:val="6"/>
        </w:numPr>
        <w:spacing w:before="360" w:after="180"/>
        <w:ind w:left="2126" w:hanging="425"/>
        <w:jc w:val="both"/>
        <w:rPr>
          <w:lang w:val="en-CA"/>
        </w:rPr>
      </w:pPr>
      <w:r w:rsidRPr="00A81CD3">
        <w:rPr>
          <w:b/>
          <w:bCs/>
          <w:lang w:val="en-CA"/>
        </w:rPr>
        <w:t xml:space="preserve">Does section 487.01 </w:t>
      </w:r>
      <w:r w:rsidRPr="00A81CD3">
        <w:rPr>
          <w:b/>
          <w:bCs/>
          <w:i/>
          <w:iCs/>
          <w:lang w:val="en-CA"/>
        </w:rPr>
        <w:t>Cr.</w:t>
      </w:r>
      <w:r w:rsidR="00637C63">
        <w:rPr>
          <w:b/>
          <w:bCs/>
          <w:i/>
          <w:iCs/>
          <w:lang w:val="en-CA"/>
        </w:rPr>
        <w:t> </w:t>
      </w:r>
      <w:r w:rsidRPr="00A81CD3">
        <w:rPr>
          <w:b/>
          <w:bCs/>
          <w:i/>
          <w:iCs/>
          <w:lang w:val="en-CA"/>
        </w:rPr>
        <w:t>C.</w:t>
      </w:r>
      <w:r w:rsidRPr="00A81CD3">
        <w:rPr>
          <w:b/>
          <w:bCs/>
          <w:lang w:val="en-CA"/>
        </w:rPr>
        <w:t xml:space="preserve"> authorize an infringement of the rights guaranteed by section 10 of the </w:t>
      </w:r>
      <w:r w:rsidRPr="00A81CD3">
        <w:rPr>
          <w:b/>
          <w:bCs/>
          <w:i/>
          <w:iCs/>
          <w:lang w:val="en-CA"/>
        </w:rPr>
        <w:t>Charter</w:t>
      </w:r>
      <w:r w:rsidRPr="00A81CD3">
        <w:rPr>
          <w:b/>
          <w:bCs/>
          <w:lang w:val="en-CA"/>
        </w:rPr>
        <w:t>?</w:t>
      </w:r>
    </w:p>
    <w:p w14:paraId="4F7374AA" w14:textId="6A1036A1" w:rsidR="00E406BF" w:rsidRPr="00A81CD3" w:rsidRDefault="00EF1AF1" w:rsidP="00EE4E7D">
      <w:pPr>
        <w:pStyle w:val="Paragraphe"/>
        <w:numPr>
          <w:ilvl w:val="0"/>
          <w:numId w:val="1"/>
        </w:numPr>
        <w:spacing w:before="180" w:after="180" w:line="280" w:lineRule="exact"/>
        <w:rPr>
          <w:szCs w:val="24"/>
          <w:lang w:val="en-CA"/>
        </w:rPr>
      </w:pPr>
      <w:r w:rsidRPr="00C80EC2">
        <w:rPr>
          <w:szCs w:val="24"/>
          <w:lang w:val="en-CA"/>
        </w:rPr>
        <w:t xml:space="preserve">In light </w:t>
      </w:r>
      <w:r w:rsidRPr="00C80EC2">
        <w:rPr>
          <w:lang w:val="en-CA"/>
        </w:rPr>
        <w:t>of</w:t>
      </w:r>
      <w:r w:rsidRPr="00C80EC2">
        <w:rPr>
          <w:szCs w:val="24"/>
          <w:lang w:val="en-CA"/>
        </w:rPr>
        <w:t xml:space="preserve"> the preceding</w:t>
      </w:r>
      <w:r w:rsidRPr="00A81CD3">
        <w:rPr>
          <w:szCs w:val="24"/>
          <w:lang w:val="en-CA"/>
        </w:rPr>
        <w:t xml:space="preserve"> analysis, it is clear that the purpose of a warrant such as the one issued in this case </w:t>
      </w:r>
      <w:r w:rsidRPr="00A81CD3">
        <w:rPr>
          <w:lang w:val="en-CA"/>
        </w:rPr>
        <w:t>is a police operation involving a search or seizure</w:t>
      </w:r>
      <w:r w:rsidRPr="00A81CD3">
        <w:rPr>
          <w:szCs w:val="24"/>
          <w:lang w:val="en-CA"/>
        </w:rPr>
        <w:t xml:space="preserve">—an operation which, </w:t>
      </w:r>
      <w:r w:rsidRPr="00A81CD3">
        <w:rPr>
          <w:i/>
          <w:iCs/>
          <w:szCs w:val="24"/>
          <w:lang w:val="en-CA"/>
        </w:rPr>
        <w:t>a priori,</w:t>
      </w:r>
      <w:r w:rsidRPr="00A81CD3">
        <w:rPr>
          <w:szCs w:val="24"/>
          <w:lang w:val="en-CA"/>
        </w:rPr>
        <w:t xml:space="preserve"> corresponds to </w:t>
      </w:r>
      <w:r w:rsidRPr="00A81CD3">
        <w:rPr>
          <w:lang w:val="en-CA"/>
        </w:rPr>
        <w:t>those</w:t>
      </w:r>
      <w:r w:rsidRPr="00A81CD3">
        <w:rPr>
          <w:szCs w:val="24"/>
          <w:lang w:val="en-CA"/>
        </w:rPr>
        <w:t xml:space="preserve"> contemplated in section 487.01 </w:t>
      </w:r>
      <w:r w:rsidRPr="00A81CD3">
        <w:rPr>
          <w:i/>
          <w:iCs/>
          <w:szCs w:val="24"/>
          <w:lang w:val="en-CA"/>
        </w:rPr>
        <w:t>Cr.</w:t>
      </w:r>
      <w:r w:rsidR="00C80EC2">
        <w:rPr>
          <w:i/>
          <w:iCs/>
          <w:szCs w:val="24"/>
          <w:lang w:val="en-CA"/>
        </w:rPr>
        <w:t> </w:t>
      </w:r>
      <w:r w:rsidRPr="00A81CD3">
        <w:rPr>
          <w:i/>
          <w:iCs/>
          <w:szCs w:val="24"/>
          <w:lang w:val="en-CA"/>
        </w:rPr>
        <w:t>C.</w:t>
      </w:r>
      <w:r w:rsidRPr="00A81CD3">
        <w:rPr>
          <w:szCs w:val="24"/>
          <w:lang w:val="en-CA"/>
        </w:rPr>
        <w:t xml:space="preserve"> However, given the particular nature and effect of such a warrant, it is also necessary to consider whether section 487.01 </w:t>
      </w:r>
      <w:r w:rsidRPr="00A81CD3">
        <w:rPr>
          <w:i/>
          <w:iCs/>
          <w:szCs w:val="24"/>
          <w:lang w:val="en-CA"/>
        </w:rPr>
        <w:t>Cr.</w:t>
      </w:r>
      <w:r w:rsidR="00C80EC2">
        <w:rPr>
          <w:i/>
          <w:iCs/>
          <w:szCs w:val="24"/>
          <w:lang w:val="en-CA"/>
        </w:rPr>
        <w:t> </w:t>
      </w:r>
      <w:r w:rsidRPr="00A81CD3">
        <w:rPr>
          <w:i/>
          <w:iCs/>
          <w:szCs w:val="24"/>
          <w:lang w:val="en-CA"/>
        </w:rPr>
        <w:t xml:space="preserve">C. </w:t>
      </w:r>
      <w:r w:rsidRPr="00A81CD3">
        <w:rPr>
          <w:szCs w:val="24"/>
          <w:lang w:val="en-CA"/>
        </w:rPr>
        <w:t xml:space="preserve">can be interpreted as authorizing </w:t>
      </w:r>
      <w:r w:rsidRPr="00A81CD3">
        <w:rPr>
          <w:lang w:val="en-CA"/>
        </w:rPr>
        <w:t xml:space="preserve">a search or seizure carried out </w:t>
      </w:r>
      <w:r w:rsidR="00432C69">
        <w:rPr>
          <w:lang w:val="en-CA"/>
        </w:rPr>
        <w:t>in a manner</w:t>
      </w:r>
      <w:r w:rsidRPr="00A81CD3">
        <w:rPr>
          <w:lang w:val="en-CA"/>
        </w:rPr>
        <w:t xml:space="preserve"> that </w:t>
      </w:r>
      <w:r w:rsidR="00C80EC2">
        <w:rPr>
          <w:lang w:val="en-CA"/>
        </w:rPr>
        <w:t>infringe</w:t>
      </w:r>
      <w:r w:rsidR="00432C69">
        <w:rPr>
          <w:lang w:val="en-CA"/>
        </w:rPr>
        <w:t>s</w:t>
      </w:r>
      <w:r w:rsidRPr="00A81CD3">
        <w:rPr>
          <w:lang w:val="en-CA"/>
        </w:rPr>
        <w:t xml:space="preserve"> the rights guaranteed by section 10 of the </w:t>
      </w:r>
      <w:r w:rsidRPr="00A81CD3">
        <w:rPr>
          <w:i/>
          <w:iCs/>
          <w:lang w:val="en-CA"/>
        </w:rPr>
        <w:t>Canadian Charter</w:t>
      </w:r>
      <w:r w:rsidRPr="00A81CD3">
        <w:rPr>
          <w:lang w:val="en-CA"/>
        </w:rPr>
        <w:t xml:space="preserve">. </w:t>
      </w:r>
    </w:p>
    <w:p w14:paraId="4F7374AB" w14:textId="35546F78"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It is difficult to reconcile the </w:t>
      </w:r>
      <w:r w:rsidRPr="00A81CD3">
        <w:rPr>
          <w:lang w:val="en-CA"/>
        </w:rPr>
        <w:t>wording</w:t>
      </w:r>
      <w:r w:rsidRPr="00A81CD3">
        <w:rPr>
          <w:szCs w:val="24"/>
          <w:lang w:val="en-CA"/>
        </w:rPr>
        <w:t xml:space="preserve"> of section 487.01 </w:t>
      </w:r>
      <w:r w:rsidRPr="00A81CD3">
        <w:rPr>
          <w:i/>
          <w:iCs/>
          <w:szCs w:val="24"/>
          <w:lang w:val="en-CA"/>
        </w:rPr>
        <w:t>Cr.</w:t>
      </w:r>
      <w:r w:rsidR="00C80EC2">
        <w:rPr>
          <w:i/>
          <w:iCs/>
          <w:szCs w:val="24"/>
          <w:lang w:val="en-CA"/>
        </w:rPr>
        <w:t> </w:t>
      </w:r>
      <w:r w:rsidRPr="00A81CD3">
        <w:rPr>
          <w:i/>
          <w:iCs/>
          <w:szCs w:val="24"/>
          <w:lang w:val="en-CA"/>
        </w:rPr>
        <w:t xml:space="preserve">C. </w:t>
      </w:r>
      <w:r w:rsidRPr="00A81CD3">
        <w:rPr>
          <w:szCs w:val="24"/>
          <w:lang w:val="en-CA"/>
        </w:rPr>
        <w:t>with such an interpretation. Indeed, by specifying in subsection (1) that the purpose of the general warrant is to authorize police operations that would otherwise constitute unreasonable searches or seizures, the legislat</w:t>
      </w:r>
      <w:r w:rsidR="00201F8C">
        <w:rPr>
          <w:szCs w:val="24"/>
          <w:lang w:val="en-CA"/>
        </w:rPr>
        <w:t>ure</w:t>
      </w:r>
      <w:r w:rsidRPr="00A81CD3">
        <w:rPr>
          <w:szCs w:val="24"/>
          <w:lang w:val="en-CA"/>
        </w:rPr>
        <w:t xml:space="preserve"> appears to have contemplated only operations that infringe the right guaranteed by section 8 of the </w:t>
      </w:r>
      <w:r w:rsidRPr="00A81CD3">
        <w:rPr>
          <w:i/>
          <w:iCs/>
          <w:szCs w:val="24"/>
          <w:lang w:val="en-CA"/>
        </w:rPr>
        <w:t>Charter</w:t>
      </w:r>
      <w:r w:rsidRPr="00A81CD3">
        <w:rPr>
          <w:szCs w:val="24"/>
          <w:lang w:val="en-CA"/>
        </w:rPr>
        <w:t xml:space="preserve">. If section 487.01 </w:t>
      </w:r>
      <w:r w:rsidRPr="00A81CD3">
        <w:rPr>
          <w:i/>
          <w:iCs/>
          <w:szCs w:val="24"/>
          <w:lang w:val="en-CA"/>
        </w:rPr>
        <w:t>Cr.</w:t>
      </w:r>
      <w:r w:rsidR="00201F8C">
        <w:rPr>
          <w:i/>
          <w:iCs/>
          <w:szCs w:val="24"/>
          <w:lang w:val="en-CA"/>
        </w:rPr>
        <w:t> </w:t>
      </w:r>
      <w:r w:rsidRPr="00A81CD3">
        <w:rPr>
          <w:i/>
          <w:iCs/>
          <w:szCs w:val="24"/>
          <w:lang w:val="en-CA"/>
        </w:rPr>
        <w:t>C.</w:t>
      </w:r>
      <w:r w:rsidRPr="00A81CD3">
        <w:rPr>
          <w:szCs w:val="24"/>
          <w:lang w:val="en-CA"/>
        </w:rPr>
        <w:t xml:space="preserve"> </w:t>
      </w:r>
      <w:r w:rsidR="00201F8C">
        <w:rPr>
          <w:szCs w:val="24"/>
          <w:lang w:val="en-CA"/>
        </w:rPr>
        <w:t>could</w:t>
      </w:r>
      <w:r w:rsidRPr="00A81CD3">
        <w:rPr>
          <w:szCs w:val="24"/>
          <w:lang w:val="en-CA"/>
        </w:rPr>
        <w:t xml:space="preserve"> allow infringements of other fundamental rights, subsection (1) would probably have been worded differently.</w:t>
      </w:r>
    </w:p>
    <w:p w14:paraId="4F7374AC" w14:textId="64677AEB"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Subsection (3) of section 487.01 </w:t>
      </w:r>
      <w:r w:rsidRPr="00A81CD3">
        <w:rPr>
          <w:i/>
          <w:iCs/>
          <w:szCs w:val="24"/>
          <w:lang w:val="en-CA"/>
        </w:rPr>
        <w:t>Cr.</w:t>
      </w:r>
      <w:r w:rsidR="00114BC8">
        <w:rPr>
          <w:i/>
          <w:iCs/>
          <w:szCs w:val="24"/>
          <w:lang w:val="en-CA"/>
        </w:rPr>
        <w:t> </w:t>
      </w:r>
      <w:r w:rsidRPr="00A81CD3">
        <w:rPr>
          <w:i/>
          <w:iCs/>
          <w:szCs w:val="24"/>
          <w:lang w:val="en-CA"/>
        </w:rPr>
        <w:t>C.</w:t>
      </w:r>
      <w:r w:rsidRPr="00A81CD3">
        <w:rPr>
          <w:szCs w:val="24"/>
          <w:lang w:val="en-CA"/>
        </w:rPr>
        <w:t xml:space="preserve"> </w:t>
      </w:r>
      <w:r w:rsidR="00114BC8">
        <w:rPr>
          <w:szCs w:val="24"/>
          <w:lang w:val="en-CA"/>
        </w:rPr>
        <w:t>is to the same effect</w:t>
      </w:r>
      <w:r w:rsidRPr="00A81CD3">
        <w:rPr>
          <w:szCs w:val="24"/>
          <w:lang w:val="en-CA"/>
        </w:rPr>
        <w:t xml:space="preserve">, since it requires the warrant to set out the terms and conditions the judge considers </w:t>
      </w:r>
      <w:r w:rsidR="00114BC8">
        <w:rPr>
          <w:szCs w:val="24"/>
          <w:lang w:val="en-CA"/>
        </w:rPr>
        <w:t>advisable</w:t>
      </w:r>
      <w:r w:rsidRPr="00A81CD3">
        <w:rPr>
          <w:szCs w:val="24"/>
          <w:lang w:val="en-CA"/>
        </w:rPr>
        <w:t xml:space="preserve"> to ensure that the search or seizure </w:t>
      </w:r>
      <w:r w:rsidR="00114BC8">
        <w:rPr>
          <w:szCs w:val="24"/>
          <w:lang w:val="en-CA"/>
        </w:rPr>
        <w:t xml:space="preserve">authorized by the warrant </w:t>
      </w:r>
      <w:r w:rsidRPr="00A81CD3">
        <w:rPr>
          <w:szCs w:val="24"/>
          <w:lang w:val="en-CA"/>
        </w:rPr>
        <w:t xml:space="preserve">is reasonable in the circumstances. If section 487.01 </w:t>
      </w:r>
      <w:r w:rsidRPr="00A81CD3">
        <w:rPr>
          <w:i/>
          <w:iCs/>
          <w:szCs w:val="24"/>
          <w:lang w:val="en-CA"/>
        </w:rPr>
        <w:t>Cr.</w:t>
      </w:r>
      <w:r w:rsidR="003B74FD">
        <w:rPr>
          <w:i/>
          <w:iCs/>
          <w:szCs w:val="24"/>
          <w:lang w:val="en-CA"/>
        </w:rPr>
        <w:t> </w:t>
      </w:r>
      <w:r w:rsidRPr="00A81CD3">
        <w:rPr>
          <w:i/>
          <w:iCs/>
          <w:szCs w:val="24"/>
          <w:lang w:val="en-CA"/>
        </w:rPr>
        <w:t>C.</w:t>
      </w:r>
      <w:r w:rsidRPr="00A81CD3">
        <w:rPr>
          <w:szCs w:val="24"/>
          <w:lang w:val="en-CA"/>
        </w:rPr>
        <w:t xml:space="preserve"> </w:t>
      </w:r>
      <w:r w:rsidR="003B74FD">
        <w:rPr>
          <w:szCs w:val="24"/>
          <w:lang w:val="en-CA"/>
        </w:rPr>
        <w:t>could</w:t>
      </w:r>
      <w:r w:rsidRPr="00A81CD3">
        <w:rPr>
          <w:szCs w:val="24"/>
          <w:lang w:val="en-CA"/>
        </w:rPr>
        <w:t xml:space="preserve"> result in the infringement of other fundamental rights, the legislat</w:t>
      </w:r>
      <w:r w:rsidR="003B74FD">
        <w:rPr>
          <w:szCs w:val="24"/>
          <w:lang w:val="en-CA"/>
        </w:rPr>
        <w:t>ure</w:t>
      </w:r>
      <w:r w:rsidRPr="00A81CD3">
        <w:rPr>
          <w:szCs w:val="24"/>
          <w:lang w:val="en-CA"/>
        </w:rPr>
        <w:t xml:space="preserve"> would probably have required that the warrant also </w:t>
      </w:r>
      <w:r w:rsidR="00FB5A02">
        <w:rPr>
          <w:szCs w:val="24"/>
          <w:lang w:val="en-CA"/>
        </w:rPr>
        <w:t>contain</w:t>
      </w:r>
      <w:r w:rsidRPr="00A81CD3">
        <w:rPr>
          <w:szCs w:val="24"/>
          <w:lang w:val="en-CA"/>
        </w:rPr>
        <w:t xml:space="preserve"> the terms and conditions </w:t>
      </w:r>
      <w:r w:rsidR="00FB5A02">
        <w:rPr>
          <w:szCs w:val="24"/>
          <w:lang w:val="en-CA"/>
        </w:rPr>
        <w:t>considered advisable</w:t>
      </w:r>
      <w:r w:rsidRPr="00A81CD3">
        <w:rPr>
          <w:szCs w:val="24"/>
          <w:lang w:val="en-CA"/>
        </w:rPr>
        <w:t xml:space="preserve"> to ensure that the infringement of th</w:t>
      </w:r>
      <w:r w:rsidR="003B74FD">
        <w:rPr>
          <w:szCs w:val="24"/>
          <w:lang w:val="en-CA"/>
        </w:rPr>
        <w:t>o</w:t>
      </w:r>
      <w:r w:rsidRPr="00A81CD3">
        <w:rPr>
          <w:szCs w:val="24"/>
          <w:lang w:val="en-CA"/>
        </w:rPr>
        <w:t>se other rights was reasonable.</w:t>
      </w:r>
    </w:p>
    <w:p w14:paraId="4F7374AD" w14:textId="59A494D4"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However, the Crown is of the view that section 487.01 </w:t>
      </w:r>
      <w:r w:rsidRPr="00A81CD3">
        <w:rPr>
          <w:i/>
          <w:iCs/>
          <w:szCs w:val="24"/>
          <w:lang w:val="en-CA"/>
        </w:rPr>
        <w:t>Cr.</w:t>
      </w:r>
      <w:r w:rsidR="00C551CE">
        <w:rPr>
          <w:i/>
          <w:iCs/>
          <w:szCs w:val="24"/>
          <w:lang w:val="en-CA"/>
        </w:rPr>
        <w:t> </w:t>
      </w:r>
      <w:r w:rsidRPr="00A81CD3">
        <w:rPr>
          <w:i/>
          <w:iCs/>
          <w:szCs w:val="24"/>
          <w:lang w:val="en-CA"/>
        </w:rPr>
        <w:t>C.</w:t>
      </w:r>
      <w:r w:rsidRPr="00A81CD3">
        <w:rPr>
          <w:szCs w:val="24"/>
          <w:lang w:val="en-CA"/>
        </w:rPr>
        <w:t xml:space="preserve"> reflects the implicit intention of the legislat</w:t>
      </w:r>
      <w:r w:rsidR="00C551CE">
        <w:rPr>
          <w:szCs w:val="24"/>
          <w:lang w:val="en-CA"/>
        </w:rPr>
        <w:t>ure</w:t>
      </w:r>
      <w:r w:rsidRPr="00A81CD3">
        <w:rPr>
          <w:szCs w:val="24"/>
          <w:lang w:val="en-CA"/>
        </w:rPr>
        <w:t xml:space="preserve"> to allow infringements of other fundamental rights, including </w:t>
      </w:r>
      <w:r w:rsidRPr="00A81CD3">
        <w:rPr>
          <w:szCs w:val="24"/>
          <w:lang w:val="en-CA"/>
        </w:rPr>
        <w:lastRenderedPageBreak/>
        <w:t xml:space="preserve">those guaranteed by section 10 of the </w:t>
      </w:r>
      <w:r w:rsidRPr="00A81CD3">
        <w:rPr>
          <w:i/>
          <w:iCs/>
          <w:szCs w:val="24"/>
          <w:lang w:val="en-CA"/>
        </w:rPr>
        <w:t>Charter</w:t>
      </w:r>
      <w:r w:rsidRPr="00A81CD3">
        <w:rPr>
          <w:szCs w:val="24"/>
          <w:lang w:val="en-CA"/>
        </w:rPr>
        <w:t xml:space="preserve">, and cites </w:t>
      </w:r>
      <w:r w:rsidRPr="00A81CD3">
        <w:rPr>
          <w:i/>
          <w:iCs/>
          <w:szCs w:val="24"/>
          <w:lang w:val="en-CA"/>
        </w:rPr>
        <w:t>Orbanski</w:t>
      </w:r>
      <w:r w:rsidRPr="00A81CD3">
        <w:rPr>
          <w:rStyle w:val="Appelnotedebasdep"/>
          <w:lang w:val="en-CA"/>
        </w:rPr>
        <w:footnoteReference w:id="32"/>
      </w:r>
      <w:r w:rsidRPr="00A81CD3">
        <w:rPr>
          <w:i/>
          <w:iCs/>
          <w:lang w:val="en-CA"/>
        </w:rPr>
        <w:t xml:space="preserve"> </w:t>
      </w:r>
      <w:r w:rsidRPr="00A81CD3">
        <w:rPr>
          <w:szCs w:val="24"/>
          <w:lang w:val="en-CA"/>
        </w:rPr>
        <w:t xml:space="preserve">in support of its position. The Crown is right to point out that, in </w:t>
      </w:r>
      <w:r w:rsidR="00C551CE">
        <w:rPr>
          <w:szCs w:val="24"/>
          <w:lang w:val="en-CA"/>
        </w:rPr>
        <w:t>that</w:t>
      </w:r>
      <w:r w:rsidRPr="00A81CD3">
        <w:rPr>
          <w:szCs w:val="24"/>
          <w:lang w:val="en-CA"/>
        </w:rPr>
        <w:t xml:space="preserve"> decision, </w:t>
      </w:r>
      <w:r w:rsidRPr="00A81CD3">
        <w:rPr>
          <w:lang w:val="en-CA"/>
        </w:rPr>
        <w:t xml:space="preserve">the Supreme Court noted that a limitation on the rights guaranteed by the </w:t>
      </w:r>
      <w:r w:rsidRPr="00A81CD3">
        <w:rPr>
          <w:i/>
          <w:iCs/>
          <w:lang w:val="en-CA"/>
        </w:rPr>
        <w:t>Charter</w:t>
      </w:r>
      <w:r w:rsidRPr="00A81CD3">
        <w:rPr>
          <w:lang w:val="en-CA"/>
        </w:rPr>
        <w:t xml:space="preserve"> may be implicit, and that this will be the case when the limitation </w:t>
      </w:r>
      <w:r w:rsidR="00705025" w:rsidRPr="00A81CD3">
        <w:rPr>
          <w:lang w:val="en-CA"/>
        </w:rPr>
        <w:t>“</w:t>
      </w:r>
      <w:r w:rsidRPr="00A81CD3">
        <w:rPr>
          <w:lang w:val="en-CA"/>
        </w:rPr>
        <w:t>results by necessary implication from the terms of a statute or regulation or from its operating requirements”.</w:t>
      </w:r>
      <w:r w:rsidRPr="00A81CD3">
        <w:rPr>
          <w:rStyle w:val="Appelnotedebasdep"/>
          <w:lang w:val="en-CA"/>
        </w:rPr>
        <w:footnoteReference w:id="33"/>
      </w:r>
      <w:r w:rsidRPr="00A81CD3">
        <w:rPr>
          <w:lang w:val="en-CA"/>
        </w:rPr>
        <w:t xml:space="preserve"> Th</w:t>
      </w:r>
      <w:r w:rsidR="00C551CE">
        <w:rPr>
          <w:lang w:val="en-CA"/>
        </w:rPr>
        <w:t>at</w:t>
      </w:r>
      <w:r w:rsidRPr="00A81CD3">
        <w:rPr>
          <w:lang w:val="en-CA"/>
        </w:rPr>
        <w:t xml:space="preserve"> was the case in </w:t>
      </w:r>
      <w:r w:rsidR="00C551CE">
        <w:rPr>
          <w:lang w:val="en-CA"/>
        </w:rPr>
        <w:t>that</w:t>
      </w:r>
      <w:r w:rsidRPr="00A81CD3">
        <w:rPr>
          <w:lang w:val="en-CA"/>
        </w:rPr>
        <w:t xml:space="preserve"> matter, as it necessarily resulted from the power granted to police officers to stop drivers and promptly subject them to a roadside sobriety test that would deprive them of their right to counsel, at least temporarily.</w:t>
      </w:r>
      <w:r w:rsidRPr="00A81CD3">
        <w:rPr>
          <w:rStyle w:val="Appelnotedebasdep"/>
          <w:lang w:val="en-CA"/>
        </w:rPr>
        <w:footnoteReference w:id="34"/>
      </w:r>
      <w:r w:rsidRPr="00A81CD3">
        <w:rPr>
          <w:lang w:val="en-CA"/>
        </w:rPr>
        <w:t xml:space="preserve"> However, the same cannot be said of the operating requirements set out in subsection 487.01(1) </w:t>
      </w:r>
      <w:r w:rsidRPr="00A81CD3">
        <w:rPr>
          <w:i/>
          <w:iCs/>
          <w:lang w:val="en-CA"/>
        </w:rPr>
        <w:t>Cr.</w:t>
      </w:r>
      <w:r w:rsidR="00C551CE">
        <w:rPr>
          <w:i/>
          <w:iCs/>
          <w:lang w:val="en-CA"/>
        </w:rPr>
        <w:t> </w:t>
      </w:r>
      <w:r w:rsidRPr="00A81CD3">
        <w:rPr>
          <w:i/>
          <w:iCs/>
          <w:lang w:val="en-CA"/>
        </w:rPr>
        <w:t>C.</w:t>
      </w:r>
      <w:r w:rsidRPr="00A81CD3">
        <w:rPr>
          <w:lang w:val="en-CA"/>
        </w:rPr>
        <w:t xml:space="preserve">: authorizing police officers to conduct a search or seizure in a manner not provided for by law does not necessarily imply that the rights guaranteed by section 10 of the </w:t>
      </w:r>
      <w:r w:rsidRPr="00A81CD3">
        <w:rPr>
          <w:i/>
          <w:iCs/>
          <w:lang w:val="en-CA"/>
        </w:rPr>
        <w:t>Charter</w:t>
      </w:r>
      <w:r w:rsidRPr="00A81CD3">
        <w:rPr>
          <w:lang w:val="en-CA"/>
        </w:rPr>
        <w:t xml:space="preserve"> will be—or may be—limited in the execution of the warrant.</w:t>
      </w:r>
    </w:p>
    <w:p w14:paraId="4F7374AE" w14:textId="76AA1363"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In </w:t>
      </w:r>
      <w:r w:rsidRPr="00A81CD3">
        <w:rPr>
          <w:lang w:val="en-CA"/>
        </w:rPr>
        <w:t>the absence</w:t>
      </w:r>
      <w:r w:rsidRPr="00A81CD3">
        <w:rPr>
          <w:szCs w:val="24"/>
          <w:lang w:val="en-CA"/>
        </w:rPr>
        <w:t xml:space="preserve"> of elements reflecting an explicit or implicit intention on the part of the legislat</w:t>
      </w:r>
      <w:r w:rsidR="007247F6">
        <w:rPr>
          <w:szCs w:val="24"/>
          <w:lang w:val="en-CA"/>
        </w:rPr>
        <w:t>ure</w:t>
      </w:r>
      <w:r w:rsidRPr="00A81CD3">
        <w:rPr>
          <w:szCs w:val="24"/>
          <w:lang w:val="en-CA"/>
        </w:rPr>
        <w:t xml:space="preserve"> to allow the issuance of general warrants authorizing infringements of fundamental rights other than that guaranteed by section 8 of the </w:t>
      </w:r>
      <w:r w:rsidRPr="00A81CD3">
        <w:rPr>
          <w:i/>
          <w:iCs/>
          <w:szCs w:val="24"/>
          <w:lang w:val="en-CA"/>
        </w:rPr>
        <w:t>Charter</w:t>
      </w:r>
      <w:r w:rsidRPr="00A81CD3">
        <w:rPr>
          <w:szCs w:val="24"/>
          <w:lang w:val="en-CA"/>
        </w:rPr>
        <w:t xml:space="preserve">, I </w:t>
      </w:r>
      <w:r w:rsidR="007247F6">
        <w:rPr>
          <w:szCs w:val="24"/>
          <w:lang w:val="en-CA"/>
        </w:rPr>
        <w:t>am of the view</w:t>
      </w:r>
      <w:r w:rsidRPr="00A81CD3">
        <w:rPr>
          <w:szCs w:val="24"/>
          <w:lang w:val="en-CA"/>
        </w:rPr>
        <w:t xml:space="preserve"> that section 487.01 </w:t>
      </w:r>
      <w:r w:rsidRPr="00A81CD3">
        <w:rPr>
          <w:i/>
          <w:iCs/>
          <w:szCs w:val="24"/>
          <w:lang w:val="en-CA"/>
        </w:rPr>
        <w:t>Cr.</w:t>
      </w:r>
      <w:r w:rsidR="007247F6">
        <w:rPr>
          <w:i/>
          <w:iCs/>
          <w:szCs w:val="24"/>
          <w:lang w:val="en-CA"/>
        </w:rPr>
        <w:t> </w:t>
      </w:r>
      <w:r w:rsidRPr="00A81CD3">
        <w:rPr>
          <w:i/>
          <w:iCs/>
          <w:szCs w:val="24"/>
          <w:lang w:val="en-CA"/>
        </w:rPr>
        <w:t xml:space="preserve">C. </w:t>
      </w:r>
      <w:r w:rsidRPr="00A81CD3">
        <w:rPr>
          <w:szCs w:val="24"/>
          <w:lang w:val="en-CA"/>
        </w:rPr>
        <w:t xml:space="preserve">should not be given such a broad interpretation. As the Supreme Court pointed out in </w:t>
      </w:r>
      <w:r w:rsidRPr="00A81CD3">
        <w:rPr>
          <w:i/>
          <w:iCs/>
          <w:szCs w:val="24"/>
          <w:lang w:val="en-CA"/>
        </w:rPr>
        <w:t>Wong</w:t>
      </w:r>
      <w:r w:rsidRPr="00A81CD3">
        <w:rPr>
          <w:lang w:val="en-CA"/>
        </w:rPr>
        <w:t>,</w:t>
      </w:r>
      <w:r w:rsidRPr="00A81CD3">
        <w:rPr>
          <w:rStyle w:val="Appelnotedebasdep"/>
          <w:lang w:val="en-CA"/>
        </w:rPr>
        <w:footnoteReference w:id="35"/>
      </w:r>
      <w:r w:rsidRPr="00A81CD3">
        <w:rPr>
          <w:szCs w:val="24"/>
          <w:lang w:val="en-CA"/>
        </w:rPr>
        <w:t xml:space="preserve"> it is up to the legislat</w:t>
      </w:r>
      <w:r w:rsidR="007247F6">
        <w:rPr>
          <w:szCs w:val="24"/>
          <w:lang w:val="en-CA"/>
        </w:rPr>
        <w:t>ure</w:t>
      </w:r>
      <w:r w:rsidRPr="00A81CD3">
        <w:rPr>
          <w:szCs w:val="24"/>
          <w:lang w:val="en-CA"/>
        </w:rPr>
        <w:t xml:space="preserve"> to establish </w:t>
      </w:r>
      <w:r w:rsidR="007247F6">
        <w:rPr>
          <w:szCs w:val="24"/>
          <w:lang w:val="en-CA"/>
        </w:rPr>
        <w:t xml:space="preserve">the </w:t>
      </w:r>
      <w:r w:rsidRPr="00A81CD3">
        <w:rPr>
          <w:szCs w:val="24"/>
          <w:lang w:val="en-CA"/>
        </w:rPr>
        <w:t xml:space="preserve">rules allowing police officers to exercise their powers in a way that may infringe </w:t>
      </w:r>
      <w:r w:rsidRPr="00A81CD3">
        <w:rPr>
          <w:i/>
          <w:iCs/>
          <w:szCs w:val="24"/>
          <w:lang w:val="en-CA"/>
        </w:rPr>
        <w:t>Charter</w:t>
      </w:r>
      <w:r w:rsidRPr="00A81CD3">
        <w:rPr>
          <w:szCs w:val="24"/>
          <w:lang w:val="en-CA"/>
        </w:rPr>
        <w:t xml:space="preserve"> rights. It would therefore be inappropriate for the courts, through a broad interpretation of section 487.01 </w:t>
      </w:r>
      <w:r w:rsidRPr="00A81CD3">
        <w:rPr>
          <w:i/>
          <w:iCs/>
          <w:szCs w:val="24"/>
          <w:lang w:val="en-CA"/>
        </w:rPr>
        <w:t>Cr.</w:t>
      </w:r>
      <w:r w:rsidR="007247F6">
        <w:rPr>
          <w:i/>
          <w:iCs/>
          <w:szCs w:val="24"/>
          <w:lang w:val="en-CA"/>
        </w:rPr>
        <w:t> </w:t>
      </w:r>
      <w:r w:rsidRPr="00A81CD3">
        <w:rPr>
          <w:i/>
          <w:iCs/>
          <w:szCs w:val="24"/>
          <w:lang w:val="en-CA"/>
        </w:rPr>
        <w:t>C.</w:t>
      </w:r>
      <w:r w:rsidRPr="00A81CD3">
        <w:rPr>
          <w:szCs w:val="24"/>
          <w:lang w:val="en-CA"/>
        </w:rPr>
        <w:t xml:space="preserve">, to take it upon themselves to develop a regime allowing police officers to use techniques or procedures that infringe fundamental rights other than those guaranteed by section 8 of the </w:t>
      </w:r>
      <w:r w:rsidRPr="00A81CD3">
        <w:rPr>
          <w:i/>
          <w:iCs/>
          <w:szCs w:val="24"/>
          <w:lang w:val="en-CA"/>
        </w:rPr>
        <w:t>Charter</w:t>
      </w:r>
      <w:r w:rsidRPr="00A81CD3">
        <w:rPr>
          <w:szCs w:val="24"/>
          <w:lang w:val="en-CA"/>
        </w:rPr>
        <w:t xml:space="preserve">. </w:t>
      </w:r>
      <w:r w:rsidR="0032171F">
        <w:rPr>
          <w:szCs w:val="24"/>
          <w:lang w:val="en-CA"/>
        </w:rPr>
        <w:t>That is a decision for the legisla</w:t>
      </w:r>
      <w:r w:rsidR="00366F76">
        <w:rPr>
          <w:szCs w:val="24"/>
          <w:lang w:val="en-CA"/>
        </w:rPr>
        <w:t>t</w:t>
      </w:r>
      <w:r w:rsidR="0032171F">
        <w:rPr>
          <w:szCs w:val="24"/>
          <w:lang w:val="en-CA"/>
        </w:rPr>
        <w:t>u</w:t>
      </w:r>
      <w:r w:rsidR="00366F76">
        <w:rPr>
          <w:szCs w:val="24"/>
          <w:lang w:val="en-CA"/>
        </w:rPr>
        <w:t>r</w:t>
      </w:r>
      <w:r w:rsidR="0032171F">
        <w:rPr>
          <w:szCs w:val="24"/>
          <w:lang w:val="en-CA"/>
        </w:rPr>
        <w:t>e, and if it</w:t>
      </w:r>
      <w:r w:rsidRPr="00A81CD3">
        <w:rPr>
          <w:szCs w:val="24"/>
          <w:lang w:val="en-CA"/>
        </w:rPr>
        <w:t xml:space="preserve"> decides to adopt such a regime, it will then be up to the courts to verify its constitutionality with respect to the provisions of the </w:t>
      </w:r>
      <w:r w:rsidRPr="00A81CD3">
        <w:rPr>
          <w:i/>
          <w:iCs/>
          <w:szCs w:val="24"/>
          <w:lang w:val="en-CA"/>
        </w:rPr>
        <w:t>Charter</w:t>
      </w:r>
      <w:r w:rsidRPr="00A81CD3">
        <w:rPr>
          <w:szCs w:val="24"/>
          <w:lang w:val="en-CA"/>
        </w:rPr>
        <w:t>, including section 1.</w:t>
      </w:r>
    </w:p>
    <w:p w14:paraId="4F7374AF" w14:textId="3C32A25A"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I </w:t>
      </w:r>
      <w:r w:rsidR="0032171F">
        <w:rPr>
          <w:szCs w:val="24"/>
          <w:lang w:val="en-CA"/>
        </w:rPr>
        <w:t>conclude</w:t>
      </w:r>
      <w:r w:rsidRPr="00A81CD3">
        <w:rPr>
          <w:szCs w:val="24"/>
          <w:lang w:val="en-CA"/>
        </w:rPr>
        <w:t xml:space="preserve"> on this subject by </w:t>
      </w:r>
      <w:r w:rsidR="0032171F">
        <w:rPr>
          <w:szCs w:val="24"/>
          <w:lang w:val="en-CA"/>
        </w:rPr>
        <w:t>stating</w:t>
      </w:r>
      <w:r w:rsidRPr="00A81CD3">
        <w:rPr>
          <w:szCs w:val="24"/>
          <w:lang w:val="en-CA"/>
        </w:rPr>
        <w:t xml:space="preserve"> that I agree with the analysis presented by Professor Coughlan in his book </w:t>
      </w:r>
      <w:r w:rsidRPr="00A81CD3">
        <w:rPr>
          <w:i/>
          <w:iCs/>
          <w:szCs w:val="24"/>
          <w:lang w:val="en-CA"/>
        </w:rPr>
        <w:t>Criminal Procedure</w:t>
      </w:r>
      <w:r w:rsidRPr="00A81CD3">
        <w:rPr>
          <w:szCs w:val="24"/>
          <w:lang w:val="en-CA"/>
        </w:rPr>
        <w:t>. The following excerpt is worth quoting at length</w:t>
      </w:r>
      <w:r w:rsidRPr="00A81CD3">
        <w:rPr>
          <w:lang w:val="en-CA"/>
        </w:rPr>
        <w:t>:</w:t>
      </w:r>
      <w:r w:rsidRPr="00A81CD3">
        <w:rPr>
          <w:rStyle w:val="Appelnotedebasdep"/>
          <w:lang w:val="en-CA"/>
        </w:rPr>
        <w:footnoteReference w:id="36"/>
      </w:r>
    </w:p>
    <w:p w14:paraId="4F7374B0" w14:textId="743AF799" w:rsidR="00E406BF" w:rsidRPr="00A81CD3" w:rsidRDefault="00EF1AF1" w:rsidP="00462C72">
      <w:pPr>
        <w:pStyle w:val="Citationenretrait"/>
        <w:rPr>
          <w:lang w:val="en-CA"/>
        </w:rPr>
      </w:pPr>
      <w:r w:rsidRPr="00A81CD3">
        <w:rPr>
          <w:lang w:val="en-CA"/>
        </w:rPr>
        <w:t xml:space="preserve">[T]he “pretext stop” general warrant raises a particular concern that has not been properly addressed by any court yet. If, without a general warrant, the police stopped a vehicle in order to search for drugs but gave the detainee a different explanation for the detention — for example, the false claim that the vehicle had been speeding — then the police would be violating the detainee’s section 10(a) </w:t>
      </w:r>
      <w:r w:rsidRPr="00A81CD3">
        <w:rPr>
          <w:i/>
          <w:iCs/>
          <w:lang w:val="en-CA"/>
        </w:rPr>
        <w:t>Charter</w:t>
      </w:r>
      <w:r w:rsidRPr="00A81CD3">
        <w:rPr>
          <w:lang w:val="en-CA"/>
        </w:rPr>
        <w:t xml:space="preserve"> right to be informed of the reason for a detention. </w:t>
      </w:r>
      <w:r w:rsidRPr="00A81CD3">
        <w:rPr>
          <w:u w:val="single"/>
          <w:lang w:val="en-CA"/>
        </w:rPr>
        <w:t xml:space="preserve">But a general warrant for a pretext stop would seem to authorize exactly that sort of behaviour on the </w:t>
      </w:r>
      <w:r w:rsidRPr="00A81CD3">
        <w:rPr>
          <w:u w:val="single"/>
          <w:lang w:val="en-CA"/>
        </w:rPr>
        <w:lastRenderedPageBreak/>
        <w:t xml:space="preserve">part of police, which creates a problem: as a matter of constitutional law, a judge ought not to be able to issue a warrant authorizing a </w:t>
      </w:r>
      <w:r w:rsidRPr="00A81CD3">
        <w:rPr>
          <w:i/>
          <w:iCs/>
          <w:u w:val="single"/>
          <w:lang w:val="en-CA"/>
        </w:rPr>
        <w:t>Charter</w:t>
      </w:r>
      <w:r w:rsidRPr="00A81CD3">
        <w:rPr>
          <w:u w:val="single"/>
          <w:lang w:val="en-CA"/>
        </w:rPr>
        <w:t xml:space="preserve"> violation</w:t>
      </w:r>
      <w:r w:rsidRPr="00A81CD3">
        <w:rPr>
          <w:lang w:val="en-CA"/>
        </w:rPr>
        <w:t xml:space="preserve">. Certainly there are many circumstances in which what would otherwise be a </w:t>
      </w:r>
      <w:r w:rsidRPr="00A81CD3">
        <w:rPr>
          <w:i/>
          <w:iCs/>
          <w:lang w:val="en-CA"/>
        </w:rPr>
        <w:t>Charter</w:t>
      </w:r>
      <w:r w:rsidRPr="00A81CD3">
        <w:rPr>
          <w:lang w:val="en-CA"/>
        </w:rPr>
        <w:t xml:space="preserve"> violation is not one because of the existence of a warrant (a warrantless search is </w:t>
      </w:r>
      <w:r w:rsidRPr="00A81CD3">
        <w:rPr>
          <w:i/>
          <w:iCs/>
          <w:lang w:val="en-CA"/>
        </w:rPr>
        <w:t>prima facie</w:t>
      </w:r>
      <w:r w:rsidRPr="00A81CD3">
        <w:rPr>
          <w:lang w:val="en-CA"/>
        </w:rPr>
        <w:t xml:space="preserve"> unreasonable, but one made with a warrant is not, for example), but in that case the warrant is making lawful what would otherwise not be lawful. However, </w:t>
      </w:r>
      <w:r w:rsidRPr="00A81CD3">
        <w:rPr>
          <w:u w:val="single"/>
          <w:lang w:val="en-CA"/>
        </w:rPr>
        <w:t>that is very different from a warrant saying “violate Charter rights</w:t>
      </w:r>
      <w:r w:rsidRPr="00A81CD3">
        <w:rPr>
          <w:lang w:val="en-CA"/>
        </w:rPr>
        <w:t>.”</w:t>
      </w:r>
    </w:p>
    <w:p w14:paraId="4F7374B1" w14:textId="6911006B" w:rsidR="00E406BF" w:rsidRPr="00A81CD3" w:rsidRDefault="00EF1AF1" w:rsidP="00462C72">
      <w:pPr>
        <w:pStyle w:val="Citationenretrait"/>
        <w:rPr>
          <w:lang w:val="en-CA"/>
        </w:rPr>
      </w:pPr>
      <w:r w:rsidRPr="00A81CD3">
        <w:rPr>
          <w:lang w:val="en-CA"/>
        </w:rPr>
        <w:t xml:space="preserve">Some guidance can be found in the Ontario Court of Appeal decision in </w:t>
      </w:r>
      <w:r w:rsidRPr="00A81CD3">
        <w:rPr>
          <w:i/>
          <w:iCs/>
          <w:lang w:val="en-CA"/>
        </w:rPr>
        <w:t>R v Poirier</w:t>
      </w:r>
      <w:r w:rsidRPr="00A81CD3">
        <w:rPr>
          <w:lang w:val="en-CA"/>
        </w:rPr>
        <w:t xml:space="preserve">. In that case the police had obtained a general warrant allowing them to retain the accused until he excreted drugs he was (correctly) believed to have concealed in his rectum. In fact this resulted in his continuous detention at a police station for a period of forty-three hours: that is, well in excess of the maximum allowable time for a detention under section 503 of the </w:t>
      </w:r>
      <w:r w:rsidRPr="00A81CD3">
        <w:rPr>
          <w:i/>
          <w:iCs/>
          <w:lang w:val="en-CA"/>
        </w:rPr>
        <w:t>Code</w:t>
      </w:r>
      <w:r w:rsidRPr="00A81CD3">
        <w:rPr>
          <w:lang w:val="en-CA"/>
        </w:rPr>
        <w:t xml:space="preserve"> before an arrested person must be taken before a justice of the peace. On the facts of the case, this was not accidental: the police intended to violate section 503 and to obtain a general warrant authorizing them to do so. The Ontario Court of Appeal concluded that this was not permissible: section 503 reflects an important right, and a judge is not allowed to issue a warrant authorizing a violation of it. </w:t>
      </w:r>
      <w:r w:rsidRPr="00A81CD3">
        <w:rPr>
          <w:u w:val="single"/>
          <w:lang w:val="en-CA"/>
        </w:rPr>
        <w:t xml:space="preserve">That same reasoning ought to apply even more clearly in the case of a </w:t>
      </w:r>
      <w:r w:rsidRPr="00A81CD3">
        <w:rPr>
          <w:i/>
          <w:iCs/>
          <w:u w:val="single"/>
          <w:lang w:val="en-CA"/>
        </w:rPr>
        <w:t>Charter</w:t>
      </w:r>
      <w:r w:rsidRPr="00A81CD3">
        <w:rPr>
          <w:u w:val="single"/>
          <w:lang w:val="en-CA"/>
        </w:rPr>
        <w:t xml:space="preserve"> right: if a general warrant cannot authorize a violation of an ordinary statute, it surely cannot authorize a violation of section 10(a) of the </w:t>
      </w:r>
      <w:r w:rsidRPr="00A81CD3">
        <w:rPr>
          <w:i/>
          <w:iCs/>
          <w:u w:val="single"/>
          <w:lang w:val="en-CA"/>
        </w:rPr>
        <w:t>Charter</w:t>
      </w:r>
      <w:r w:rsidRPr="00A81CD3">
        <w:rPr>
          <w:lang w:val="en-CA"/>
        </w:rPr>
        <w:t>.</w:t>
      </w:r>
    </w:p>
    <w:p w14:paraId="4F7374B2" w14:textId="385E3D0C" w:rsidR="00E406BF" w:rsidRPr="00A81CD3" w:rsidRDefault="00EF1AF1" w:rsidP="00E406BF">
      <w:pPr>
        <w:pStyle w:val="Paragraphe"/>
        <w:widowControl w:val="0"/>
        <w:spacing w:line="240" w:lineRule="auto"/>
        <w:ind w:left="709" w:right="715"/>
        <w:jc w:val="right"/>
        <w:rPr>
          <w:sz w:val="22"/>
          <w:szCs w:val="22"/>
          <w:lang w:val="en-CA"/>
        </w:rPr>
      </w:pPr>
      <w:r w:rsidRPr="00A81CD3">
        <w:rPr>
          <w:sz w:val="22"/>
          <w:szCs w:val="22"/>
          <w:lang w:val="en-CA"/>
        </w:rPr>
        <w:t>[References omitted; emphasis added</w:t>
      </w:r>
      <w:r w:rsidR="009F3EF3">
        <w:rPr>
          <w:sz w:val="22"/>
          <w:szCs w:val="22"/>
          <w:lang w:val="en-CA"/>
        </w:rPr>
        <w:t>.</w:t>
      </w:r>
      <w:r w:rsidRPr="00A81CD3">
        <w:rPr>
          <w:sz w:val="22"/>
          <w:szCs w:val="22"/>
          <w:lang w:val="en-CA"/>
        </w:rPr>
        <w:t>]</w:t>
      </w:r>
    </w:p>
    <w:p w14:paraId="4F7374B3" w14:textId="1816732D" w:rsidR="00E406BF" w:rsidRPr="00A81CD3" w:rsidRDefault="00EF1AF1" w:rsidP="00462C72">
      <w:pPr>
        <w:pStyle w:val="Paragraphe"/>
        <w:numPr>
          <w:ilvl w:val="0"/>
          <w:numId w:val="1"/>
        </w:numPr>
        <w:spacing w:before="240" w:after="180" w:line="280" w:lineRule="exact"/>
        <w:rPr>
          <w:szCs w:val="24"/>
          <w:lang w:val="en-CA"/>
        </w:rPr>
      </w:pPr>
      <w:r w:rsidRPr="00A81CD3">
        <w:rPr>
          <w:lang w:val="en-CA"/>
        </w:rPr>
        <w:t>The</w:t>
      </w:r>
      <w:r w:rsidRPr="00A81CD3">
        <w:rPr>
          <w:szCs w:val="24"/>
          <w:lang w:val="en-CA"/>
        </w:rPr>
        <w:t xml:space="preserve"> foregoing analysis leads me to conclude that </w:t>
      </w:r>
      <w:r w:rsidRPr="00A81CD3">
        <w:rPr>
          <w:lang w:val="en-CA"/>
        </w:rPr>
        <w:t xml:space="preserve">section 487.01 </w:t>
      </w:r>
      <w:r w:rsidRPr="00A81CD3">
        <w:rPr>
          <w:i/>
          <w:iCs/>
          <w:lang w:val="en-CA"/>
        </w:rPr>
        <w:t>Cr.</w:t>
      </w:r>
      <w:r w:rsidR="00C22BA0">
        <w:rPr>
          <w:i/>
          <w:iCs/>
          <w:lang w:val="en-CA"/>
        </w:rPr>
        <w:t> </w:t>
      </w:r>
      <w:r w:rsidRPr="00A81CD3">
        <w:rPr>
          <w:i/>
          <w:iCs/>
          <w:lang w:val="en-CA"/>
        </w:rPr>
        <w:t>C.</w:t>
      </w:r>
      <w:r w:rsidRPr="00A81CD3">
        <w:rPr>
          <w:lang w:val="en-CA"/>
        </w:rPr>
        <w:t xml:space="preserve"> does not authorize a search or seizure carried out </w:t>
      </w:r>
      <w:r w:rsidR="00432C69">
        <w:rPr>
          <w:lang w:val="en-CA"/>
        </w:rPr>
        <w:t>in a manner</w:t>
      </w:r>
      <w:r w:rsidRPr="00A81CD3">
        <w:rPr>
          <w:lang w:val="en-CA"/>
        </w:rPr>
        <w:t xml:space="preserve"> that </w:t>
      </w:r>
      <w:r w:rsidR="00C22BA0">
        <w:rPr>
          <w:lang w:val="en-CA"/>
        </w:rPr>
        <w:t>infringe</w:t>
      </w:r>
      <w:r w:rsidR="00432C69">
        <w:rPr>
          <w:lang w:val="en-CA"/>
        </w:rPr>
        <w:t>s</w:t>
      </w:r>
      <w:r w:rsidRPr="00A81CD3">
        <w:rPr>
          <w:lang w:val="en-CA"/>
        </w:rPr>
        <w:t xml:space="preserve"> the rights guaranteed by section 10 of the </w:t>
      </w:r>
      <w:r w:rsidRPr="00A81CD3">
        <w:rPr>
          <w:i/>
          <w:iCs/>
          <w:lang w:val="en-CA"/>
        </w:rPr>
        <w:t>Charter</w:t>
      </w:r>
      <w:r w:rsidRPr="00A81CD3">
        <w:rPr>
          <w:lang w:val="en-CA"/>
        </w:rPr>
        <w:t xml:space="preserve">, which means that a warrant authorizing a person to be stopped and searched under a false </w:t>
      </w:r>
      <w:r w:rsidR="00CD1F32">
        <w:rPr>
          <w:lang w:val="en-CA"/>
        </w:rPr>
        <w:t>pretext</w:t>
      </w:r>
      <w:r w:rsidRPr="00A81CD3">
        <w:rPr>
          <w:lang w:val="en-CA"/>
        </w:rPr>
        <w:t xml:space="preserve"> cannot, in the current state of the law, be issued under section 487.01 </w:t>
      </w:r>
      <w:r w:rsidRPr="00A81CD3">
        <w:rPr>
          <w:i/>
          <w:iCs/>
          <w:lang w:val="en-CA"/>
        </w:rPr>
        <w:t>Cr.</w:t>
      </w:r>
      <w:r w:rsidR="00C22BA0">
        <w:rPr>
          <w:i/>
          <w:iCs/>
          <w:lang w:val="en-CA"/>
        </w:rPr>
        <w:t> </w:t>
      </w:r>
      <w:r w:rsidRPr="00A81CD3">
        <w:rPr>
          <w:i/>
          <w:iCs/>
          <w:lang w:val="en-CA"/>
        </w:rPr>
        <w:t>C.</w:t>
      </w:r>
      <w:r w:rsidRPr="00A81CD3">
        <w:rPr>
          <w:szCs w:val="24"/>
          <w:lang w:val="en-CA"/>
        </w:rPr>
        <w:t xml:space="preserve"> </w:t>
      </w:r>
      <w:r w:rsidRPr="00A81CD3">
        <w:rPr>
          <w:lang w:val="en-CA"/>
        </w:rPr>
        <w:t xml:space="preserve">The general warrant under which the police stopped the appellant on October 1, 2018, was therefore invalid. It follows that the search carried out by the police officers was </w:t>
      </w:r>
      <w:r w:rsidR="00C22BA0">
        <w:rPr>
          <w:lang w:val="en-CA"/>
        </w:rPr>
        <w:t>unreasonable</w:t>
      </w:r>
      <w:r w:rsidRPr="00A81CD3">
        <w:rPr>
          <w:lang w:val="en-CA"/>
        </w:rPr>
        <w:t xml:space="preserve"> within the meaning of section 8 of the </w:t>
      </w:r>
      <w:r w:rsidRPr="00A81CD3">
        <w:rPr>
          <w:i/>
          <w:iCs/>
          <w:lang w:val="en-CA"/>
        </w:rPr>
        <w:t>Charter</w:t>
      </w:r>
      <w:r w:rsidRPr="00A81CD3">
        <w:rPr>
          <w:lang w:val="en-CA"/>
        </w:rPr>
        <w:t>. It also follows that, throughout the operation, the appellant</w:t>
      </w:r>
      <w:r w:rsidR="00034114">
        <w:rPr>
          <w:lang w:val="en-CA"/>
        </w:rPr>
        <w:t xml:space="preserve">’s </w:t>
      </w:r>
      <w:r w:rsidR="00034114" w:rsidRPr="00A81CD3">
        <w:rPr>
          <w:lang w:val="en-CA"/>
        </w:rPr>
        <w:t xml:space="preserve">rights guaranteed by section 10 of the </w:t>
      </w:r>
      <w:r w:rsidR="00034114" w:rsidRPr="00A81CD3">
        <w:rPr>
          <w:i/>
          <w:iCs/>
          <w:lang w:val="en-CA"/>
        </w:rPr>
        <w:t>Charter</w:t>
      </w:r>
      <w:r w:rsidR="00034114" w:rsidRPr="00A81CD3">
        <w:rPr>
          <w:lang w:val="en-CA"/>
        </w:rPr>
        <w:t xml:space="preserve"> </w:t>
      </w:r>
      <w:r w:rsidR="00034114">
        <w:rPr>
          <w:lang w:val="en-CA"/>
        </w:rPr>
        <w:t>were infringed as he</w:t>
      </w:r>
      <w:r w:rsidRPr="00A81CD3">
        <w:rPr>
          <w:lang w:val="en-CA"/>
        </w:rPr>
        <w:t xml:space="preserve"> was not informed of the </w:t>
      </w:r>
      <w:r w:rsidR="009A2EE1">
        <w:rPr>
          <w:lang w:val="en-CA"/>
        </w:rPr>
        <w:t>real</w:t>
      </w:r>
      <w:r w:rsidRPr="00A81CD3">
        <w:rPr>
          <w:lang w:val="en-CA"/>
        </w:rPr>
        <w:t xml:space="preserve"> reasons for his detention. </w:t>
      </w:r>
    </w:p>
    <w:p w14:paraId="4F7374B4" w14:textId="77777777" w:rsidR="00E406BF" w:rsidRPr="006F7E56" w:rsidRDefault="00EF1AF1" w:rsidP="006F7E56">
      <w:pPr>
        <w:pStyle w:val="Titre3"/>
        <w:rPr>
          <w:b/>
          <w:bCs/>
          <w:lang w:val="en-CA"/>
        </w:rPr>
      </w:pPr>
      <w:r w:rsidRPr="006F7E56">
        <w:rPr>
          <w:b/>
          <w:bCs/>
          <w:lang w:val="en-CA"/>
        </w:rPr>
        <w:t>Did the police officers fail to inform the appellant of his right to counsel during the intervention on October 1, 2018?</w:t>
      </w:r>
    </w:p>
    <w:p w14:paraId="4F7374B5" w14:textId="41B49AE0"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In his brief, the appellant argues that the trial judge was wrong to conclude that he had been adequately informed of his right to counsel during the intervention on October 1, 2018.</w:t>
      </w:r>
      <w:r w:rsidRPr="00A81CD3">
        <w:rPr>
          <w:szCs w:val="24"/>
          <w:lang w:val="en-CA"/>
        </w:rPr>
        <w:t xml:space="preserve"> In his view, the judge should have </w:t>
      </w:r>
      <w:r w:rsidR="0093049E">
        <w:rPr>
          <w:szCs w:val="24"/>
          <w:lang w:val="en-CA"/>
        </w:rPr>
        <w:t>found</w:t>
      </w:r>
      <w:r w:rsidRPr="00A81CD3">
        <w:rPr>
          <w:szCs w:val="24"/>
          <w:lang w:val="en-CA"/>
        </w:rPr>
        <w:t xml:space="preserve"> that his right</w:t>
      </w:r>
      <w:r w:rsidR="0093049E">
        <w:rPr>
          <w:szCs w:val="24"/>
          <w:lang w:val="en-CA"/>
        </w:rPr>
        <w:t>s</w:t>
      </w:r>
      <w:r w:rsidRPr="00A81CD3">
        <w:rPr>
          <w:szCs w:val="24"/>
          <w:lang w:val="en-CA"/>
        </w:rPr>
        <w:t xml:space="preserve"> under </w:t>
      </w:r>
      <w:r w:rsidR="00E94862">
        <w:rPr>
          <w:szCs w:val="24"/>
          <w:lang w:val="en-CA"/>
        </w:rPr>
        <w:t>paragraph</w:t>
      </w:r>
      <w:r w:rsidRPr="00A81CD3">
        <w:rPr>
          <w:szCs w:val="24"/>
          <w:lang w:val="en-CA"/>
        </w:rPr>
        <w:t xml:space="preserve"> 10(b) of the </w:t>
      </w:r>
      <w:r w:rsidRPr="00A81CD3">
        <w:rPr>
          <w:i/>
          <w:iCs/>
          <w:szCs w:val="24"/>
          <w:lang w:val="en-CA"/>
        </w:rPr>
        <w:t>Canadian Charter</w:t>
      </w:r>
      <w:r w:rsidRPr="00A81CD3">
        <w:rPr>
          <w:szCs w:val="24"/>
          <w:lang w:val="en-CA"/>
        </w:rPr>
        <w:t xml:space="preserve"> </w:t>
      </w:r>
      <w:r w:rsidR="0093049E">
        <w:rPr>
          <w:szCs w:val="24"/>
          <w:lang w:val="en-CA"/>
        </w:rPr>
        <w:t xml:space="preserve">were infringed </w:t>
      </w:r>
      <w:r w:rsidRPr="00A81CD3">
        <w:rPr>
          <w:szCs w:val="24"/>
          <w:lang w:val="en-CA"/>
        </w:rPr>
        <w:t>independent</w:t>
      </w:r>
      <w:r w:rsidR="0093049E">
        <w:rPr>
          <w:szCs w:val="24"/>
          <w:lang w:val="en-CA"/>
        </w:rPr>
        <w:t>ly</w:t>
      </w:r>
      <w:r w:rsidRPr="00A81CD3">
        <w:rPr>
          <w:szCs w:val="24"/>
          <w:lang w:val="en-CA"/>
        </w:rPr>
        <w:t xml:space="preserve"> of </w:t>
      </w:r>
      <w:r w:rsidR="0093049E">
        <w:rPr>
          <w:szCs w:val="24"/>
          <w:lang w:val="en-CA"/>
        </w:rPr>
        <w:t>the infringements</w:t>
      </w:r>
      <w:r w:rsidRPr="00A81CD3">
        <w:rPr>
          <w:szCs w:val="24"/>
          <w:lang w:val="en-CA"/>
        </w:rPr>
        <w:t xml:space="preserve"> arising from the </w:t>
      </w:r>
      <w:r w:rsidRPr="00A81CD3">
        <w:rPr>
          <w:szCs w:val="24"/>
          <w:lang w:val="en-CA"/>
        </w:rPr>
        <w:lastRenderedPageBreak/>
        <w:t xml:space="preserve">invalidity of the warrant issued on July 16, 2018. </w:t>
      </w:r>
      <w:r w:rsidR="0093049E">
        <w:rPr>
          <w:szCs w:val="24"/>
          <w:lang w:val="en-CA"/>
        </w:rPr>
        <w:t>He submits that t</w:t>
      </w:r>
      <w:r w:rsidRPr="00A81CD3">
        <w:rPr>
          <w:szCs w:val="24"/>
          <w:lang w:val="en-CA"/>
        </w:rPr>
        <w:t xml:space="preserve">his </w:t>
      </w:r>
      <w:r w:rsidR="0093049E">
        <w:rPr>
          <w:szCs w:val="24"/>
          <w:lang w:val="en-CA"/>
        </w:rPr>
        <w:t>is</w:t>
      </w:r>
      <w:r w:rsidRPr="00A81CD3">
        <w:rPr>
          <w:szCs w:val="24"/>
          <w:lang w:val="en-CA"/>
        </w:rPr>
        <w:t xml:space="preserve"> a second reason why the cocaine was seized </w:t>
      </w:r>
      <w:r w:rsidR="00432C69">
        <w:rPr>
          <w:szCs w:val="24"/>
          <w:lang w:val="en-CA"/>
        </w:rPr>
        <w:t>in a manner</w:t>
      </w:r>
      <w:r w:rsidRPr="00A81CD3">
        <w:rPr>
          <w:lang w:val="en-CA"/>
        </w:rPr>
        <w:t xml:space="preserve"> that </w:t>
      </w:r>
      <w:r w:rsidR="0093049E">
        <w:rPr>
          <w:lang w:val="en-CA"/>
        </w:rPr>
        <w:t>infringed</w:t>
      </w:r>
      <w:r w:rsidRPr="00A81CD3">
        <w:rPr>
          <w:lang w:val="en-CA"/>
        </w:rPr>
        <w:t xml:space="preserve"> </w:t>
      </w:r>
      <w:r w:rsidRPr="00A81CD3">
        <w:rPr>
          <w:i/>
          <w:iCs/>
          <w:lang w:val="en-CA"/>
        </w:rPr>
        <w:t>Charter</w:t>
      </w:r>
      <w:r w:rsidRPr="00A81CD3">
        <w:rPr>
          <w:lang w:val="en-CA"/>
        </w:rPr>
        <w:t xml:space="preserve"> rights.</w:t>
      </w:r>
    </w:p>
    <w:p w14:paraId="4F7374B6" w14:textId="77777777"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The appellant</w:t>
      </w:r>
      <w:r w:rsidRPr="00A81CD3">
        <w:rPr>
          <w:szCs w:val="24"/>
          <w:lang w:val="en-CA"/>
        </w:rPr>
        <w:t xml:space="preserve"> was right not to insist on this issue at the appeal hearing.</w:t>
      </w:r>
    </w:p>
    <w:p w14:paraId="4F7374B7" w14:textId="5A15EF06"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As</w:t>
      </w:r>
      <w:r w:rsidRPr="00A81CD3">
        <w:rPr>
          <w:szCs w:val="24"/>
          <w:lang w:val="en-CA"/>
        </w:rPr>
        <w:t xml:space="preserve"> </w:t>
      </w:r>
      <w:r w:rsidR="00E710A4">
        <w:rPr>
          <w:szCs w:val="24"/>
          <w:lang w:val="en-CA"/>
        </w:rPr>
        <w:t>noted</w:t>
      </w:r>
      <w:r w:rsidRPr="00A81CD3">
        <w:rPr>
          <w:szCs w:val="24"/>
          <w:lang w:val="en-CA"/>
        </w:rPr>
        <w:t xml:space="preserve"> above, the judge rejected the appellant</w:t>
      </w:r>
      <w:r w:rsidR="00356592" w:rsidRPr="00A81CD3">
        <w:rPr>
          <w:szCs w:val="24"/>
          <w:lang w:val="en-CA"/>
        </w:rPr>
        <w:t>’</w:t>
      </w:r>
      <w:r w:rsidRPr="00A81CD3">
        <w:rPr>
          <w:szCs w:val="24"/>
          <w:lang w:val="en-CA"/>
        </w:rPr>
        <w:t xml:space="preserve">s version that </w:t>
      </w:r>
      <w:r w:rsidRPr="00A81CD3">
        <w:rPr>
          <w:lang w:val="en-CA"/>
        </w:rPr>
        <w:t xml:space="preserve">the police never informed him of his right to counsel. This finding is not challenged on appeal. The judge relied primarily on </w:t>
      </w:r>
      <w:r w:rsidRPr="00A81CD3">
        <w:rPr>
          <w:szCs w:val="24"/>
          <w:lang w:val="en-CA"/>
        </w:rPr>
        <w:t xml:space="preserve">the testimony of </w:t>
      </w:r>
      <w:r w:rsidR="00E710A4">
        <w:rPr>
          <w:szCs w:val="24"/>
          <w:lang w:val="en-CA"/>
        </w:rPr>
        <w:t>O</w:t>
      </w:r>
      <w:r w:rsidRPr="00A81CD3">
        <w:rPr>
          <w:szCs w:val="24"/>
          <w:lang w:val="en-CA"/>
        </w:rPr>
        <w:t>fficer Huot-Simard, who said that she had told the appellant, first when he was detained, and then a second time when he was arrested: [</w:t>
      </w:r>
      <w:r w:rsidR="00E710A4">
        <w:rPr>
          <w:smallCaps/>
          <w:szCs w:val="24"/>
          <w:lang w:val="en-CA"/>
        </w:rPr>
        <w:t>translation</w:t>
      </w:r>
      <w:r w:rsidRPr="00A81CD3">
        <w:rPr>
          <w:szCs w:val="24"/>
          <w:lang w:val="en-CA"/>
        </w:rPr>
        <w:t xml:space="preserve">] </w:t>
      </w:r>
      <w:r w:rsidR="00705025" w:rsidRPr="00A81CD3">
        <w:rPr>
          <w:szCs w:val="24"/>
          <w:lang w:val="en-CA"/>
        </w:rPr>
        <w:t>“</w:t>
      </w:r>
      <w:r w:rsidRPr="00A81CD3">
        <w:rPr>
          <w:szCs w:val="24"/>
          <w:lang w:val="en-CA"/>
        </w:rPr>
        <w:t>[y]ou have the right to contact a lawyer immediately regardless of your financial means, and you also have the right to free preliminary advice</w:t>
      </w:r>
      <w:r w:rsidR="00705025" w:rsidRPr="00A81CD3">
        <w:rPr>
          <w:szCs w:val="24"/>
          <w:lang w:val="en-CA"/>
        </w:rPr>
        <w:t>”</w:t>
      </w:r>
      <w:r w:rsidRPr="00A81CD3">
        <w:rPr>
          <w:lang w:val="en-CA"/>
        </w:rPr>
        <w:t>.</w:t>
      </w:r>
      <w:r w:rsidRPr="00A81CD3">
        <w:rPr>
          <w:rStyle w:val="Appelnotedebasdep"/>
          <w:lang w:val="en-CA"/>
        </w:rPr>
        <w:footnoteReference w:id="37"/>
      </w:r>
      <w:r w:rsidRPr="00A81CD3">
        <w:rPr>
          <w:szCs w:val="24"/>
          <w:lang w:val="en-CA"/>
        </w:rPr>
        <w:t xml:space="preserve"> Officer Huot-Simard also s</w:t>
      </w:r>
      <w:r w:rsidR="00862A6A" w:rsidRPr="00A81CD3">
        <w:rPr>
          <w:szCs w:val="24"/>
          <w:lang w:val="en-CA"/>
        </w:rPr>
        <w:t>tated</w:t>
      </w:r>
      <w:r w:rsidRPr="00A81CD3">
        <w:rPr>
          <w:szCs w:val="24"/>
          <w:lang w:val="en-CA"/>
        </w:rPr>
        <w:t xml:space="preserve"> that the appellant had nodded to indicate that he understood the message</w:t>
      </w:r>
      <w:r w:rsidR="00847817">
        <w:rPr>
          <w:szCs w:val="24"/>
          <w:lang w:val="en-CA"/>
        </w:rPr>
        <w:t>,</w:t>
      </w:r>
      <w:r w:rsidRPr="00A81CD3">
        <w:rPr>
          <w:szCs w:val="24"/>
          <w:lang w:val="en-CA"/>
        </w:rPr>
        <w:t xml:space="preserve"> but remained silent.</w:t>
      </w:r>
    </w:p>
    <w:p w14:paraId="4F7374B8" w14:textId="0DFB6F8F"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Admittedly</w:t>
      </w:r>
      <w:r w:rsidRPr="00A81CD3">
        <w:rPr>
          <w:szCs w:val="24"/>
          <w:lang w:val="en-CA"/>
        </w:rPr>
        <w:t xml:space="preserve">, it appears that Huot-Simard did not make any specific reference to duty counsel or to the possibility of the appellant being eligible for legal aid. However, I </w:t>
      </w:r>
      <w:r w:rsidR="00056E2B">
        <w:rPr>
          <w:szCs w:val="24"/>
          <w:lang w:val="en-CA"/>
        </w:rPr>
        <w:t>am of the view</w:t>
      </w:r>
      <w:r w:rsidRPr="00A81CD3">
        <w:rPr>
          <w:szCs w:val="24"/>
          <w:lang w:val="en-CA"/>
        </w:rPr>
        <w:t xml:space="preserve"> that, in the circumstances of this case, the judge </w:t>
      </w:r>
      <w:r w:rsidR="00056E2B">
        <w:rPr>
          <w:szCs w:val="24"/>
          <w:lang w:val="en-CA"/>
        </w:rPr>
        <w:t>made</w:t>
      </w:r>
      <w:r w:rsidRPr="00A81CD3">
        <w:rPr>
          <w:szCs w:val="24"/>
          <w:lang w:val="en-CA"/>
        </w:rPr>
        <w:t xml:space="preserve"> no reviewable error in concluding from the officer</w:t>
      </w:r>
      <w:r w:rsidR="00356592" w:rsidRPr="00A81CD3">
        <w:rPr>
          <w:szCs w:val="24"/>
          <w:lang w:val="en-CA"/>
        </w:rPr>
        <w:t>’</w:t>
      </w:r>
      <w:r w:rsidRPr="00A81CD3">
        <w:rPr>
          <w:szCs w:val="24"/>
          <w:lang w:val="en-CA"/>
        </w:rPr>
        <w:t xml:space="preserve">s words—that the appellant could contact a lawyer </w:t>
      </w:r>
      <w:r w:rsidRPr="00A81CD3">
        <w:rPr>
          <w:i/>
          <w:iCs/>
          <w:szCs w:val="24"/>
          <w:lang w:val="en-CA"/>
        </w:rPr>
        <w:t xml:space="preserve">regardless of his financial means </w:t>
      </w:r>
      <w:r w:rsidRPr="00A81CD3">
        <w:rPr>
          <w:szCs w:val="24"/>
          <w:lang w:val="en-CA"/>
        </w:rPr>
        <w:t xml:space="preserve">and was also entitled to </w:t>
      </w:r>
      <w:r w:rsidRPr="00A81CD3">
        <w:rPr>
          <w:i/>
          <w:iCs/>
          <w:szCs w:val="24"/>
          <w:lang w:val="en-CA"/>
        </w:rPr>
        <w:t>preliminary free</w:t>
      </w:r>
      <w:r w:rsidRPr="00A81CD3">
        <w:rPr>
          <w:szCs w:val="24"/>
          <w:lang w:val="en-CA"/>
        </w:rPr>
        <w:t xml:space="preserve"> advice—that the police had fulfilled their duty to inform</w:t>
      </w:r>
      <w:r w:rsidRPr="00A81CD3">
        <w:rPr>
          <w:lang w:val="en-CA"/>
        </w:rPr>
        <w:t>.</w:t>
      </w:r>
      <w:r w:rsidRPr="00A81CD3">
        <w:rPr>
          <w:rStyle w:val="Appelnotedebasdep"/>
          <w:lang w:val="en-CA"/>
        </w:rPr>
        <w:footnoteReference w:id="38"/>
      </w:r>
      <w:r w:rsidRPr="00A81CD3">
        <w:rPr>
          <w:szCs w:val="24"/>
          <w:lang w:val="en-CA"/>
        </w:rPr>
        <w:t xml:space="preserve"> As the Supreme Court </w:t>
      </w:r>
      <w:r w:rsidR="00056E2B">
        <w:rPr>
          <w:szCs w:val="24"/>
          <w:lang w:val="en-CA"/>
        </w:rPr>
        <w:t>noted</w:t>
      </w:r>
      <w:r w:rsidRPr="00A81CD3">
        <w:rPr>
          <w:szCs w:val="24"/>
          <w:lang w:val="en-CA"/>
        </w:rPr>
        <w:t xml:space="preserve"> in </w:t>
      </w:r>
      <w:r w:rsidRPr="00A81CD3">
        <w:rPr>
          <w:i/>
          <w:iCs/>
          <w:szCs w:val="24"/>
          <w:lang w:val="en-CA"/>
        </w:rPr>
        <w:t>Bartle</w:t>
      </w:r>
      <w:r w:rsidRPr="00A81CD3">
        <w:rPr>
          <w:szCs w:val="24"/>
          <w:lang w:val="en-CA"/>
        </w:rPr>
        <w:t>, it is not the words used by police officers, but the essence of what they say, that matters</w:t>
      </w:r>
      <w:r w:rsidR="00056E2B">
        <w:rPr>
          <w:szCs w:val="24"/>
          <w:lang w:val="en-CA"/>
        </w:rPr>
        <w:t>:</w:t>
      </w:r>
      <w:r w:rsidRPr="00A81CD3">
        <w:rPr>
          <w:rStyle w:val="Appelnotedebasdep"/>
          <w:lang w:val="en-CA"/>
        </w:rPr>
        <w:footnoteReference w:id="39"/>
      </w:r>
    </w:p>
    <w:p w14:paraId="4F7374B9" w14:textId="01F37687" w:rsidR="00E406BF" w:rsidRPr="00A81CD3" w:rsidRDefault="00A81CD3" w:rsidP="00462C72">
      <w:pPr>
        <w:pStyle w:val="Citationenretrait"/>
        <w:rPr>
          <w:lang w:val="en-CA"/>
        </w:rPr>
      </w:pPr>
      <w:r w:rsidRPr="00A81CD3">
        <w:rPr>
          <w:lang w:val="en-CA"/>
        </w:rPr>
        <w:t xml:space="preserve">On its face, the caution extended to the appellant both at the roadside and at the police station did not advise him of the existence and availability of any "duty counsel" service, nor did it provide him with the toll-free telephone number by which the service could be accessed. However, what must be considered is whether, despite the absence of precise words to this effect, the </w:t>
      </w:r>
      <w:r w:rsidRPr="00A81CD3">
        <w:rPr>
          <w:u w:val="single"/>
          <w:lang w:val="en-CA"/>
        </w:rPr>
        <w:t>essence of the appellant's right to immediate and temporary</w:t>
      </w:r>
      <w:r w:rsidRPr="006F7E56">
        <w:rPr>
          <w:u w:val="single"/>
          <w:lang w:val="en-CA"/>
        </w:rPr>
        <w:t xml:space="preserve"> free legal advice</w:t>
      </w:r>
      <w:r w:rsidRPr="00A81CD3">
        <w:rPr>
          <w:lang w:val="en-CA"/>
        </w:rPr>
        <w:t xml:space="preserve"> was adequately communicated to him, or, alternatively, whether the appellant fully understood his rights and waived the right to be expressly informed of them by the authorities</w:t>
      </w:r>
      <w:r w:rsidR="00EF1AF1" w:rsidRPr="00A81CD3">
        <w:rPr>
          <w:lang w:val="en-CA"/>
        </w:rPr>
        <w:t>.</w:t>
      </w:r>
    </w:p>
    <w:p w14:paraId="4F7374BA" w14:textId="7DB29D03" w:rsidR="00E406BF" w:rsidRPr="00A81CD3" w:rsidRDefault="00EF1AF1" w:rsidP="00E406BF">
      <w:pPr>
        <w:pStyle w:val="Paragraphe"/>
        <w:widowControl w:val="0"/>
        <w:spacing w:line="240" w:lineRule="auto"/>
        <w:ind w:left="709" w:right="715"/>
        <w:jc w:val="right"/>
        <w:rPr>
          <w:sz w:val="22"/>
          <w:szCs w:val="22"/>
          <w:lang w:val="en-CA"/>
        </w:rPr>
      </w:pPr>
      <w:r w:rsidRPr="00A81CD3">
        <w:rPr>
          <w:sz w:val="22"/>
          <w:szCs w:val="22"/>
          <w:lang w:val="en-CA"/>
        </w:rPr>
        <w:t>[Emphasis added</w:t>
      </w:r>
      <w:r w:rsidR="00056E2B">
        <w:rPr>
          <w:sz w:val="22"/>
          <w:szCs w:val="22"/>
          <w:lang w:val="en-CA"/>
        </w:rPr>
        <w:t>.</w:t>
      </w:r>
      <w:r w:rsidRPr="00A81CD3">
        <w:rPr>
          <w:sz w:val="22"/>
          <w:szCs w:val="22"/>
          <w:lang w:val="en-CA"/>
        </w:rPr>
        <w:t>]</w:t>
      </w:r>
    </w:p>
    <w:p w14:paraId="4F7374BB" w14:textId="28F60466" w:rsidR="00E406BF" w:rsidRPr="00A81CD3" w:rsidRDefault="00EF1AF1" w:rsidP="00462C72">
      <w:pPr>
        <w:pStyle w:val="Paragraphe"/>
        <w:numPr>
          <w:ilvl w:val="0"/>
          <w:numId w:val="1"/>
        </w:numPr>
        <w:spacing w:before="240" w:after="180" w:line="280" w:lineRule="exact"/>
        <w:rPr>
          <w:bCs/>
          <w:lang w:val="en-CA"/>
        </w:rPr>
      </w:pPr>
      <w:r w:rsidRPr="00A81CD3">
        <w:rPr>
          <w:lang w:val="en-CA"/>
        </w:rPr>
        <w:lastRenderedPageBreak/>
        <w:t xml:space="preserve">I </w:t>
      </w:r>
      <w:r w:rsidR="00DA5AA3">
        <w:rPr>
          <w:lang w:val="en-CA"/>
        </w:rPr>
        <w:t>am also of the view</w:t>
      </w:r>
      <w:r w:rsidRPr="00A81CD3">
        <w:rPr>
          <w:lang w:val="en-CA"/>
        </w:rPr>
        <w:t xml:space="preserve"> that, contrary to what the appellant claims, it is clear from Officer </w:t>
      </w:r>
      <w:r w:rsidRPr="00A81CD3">
        <w:rPr>
          <w:szCs w:val="24"/>
          <w:lang w:val="en-CA"/>
        </w:rPr>
        <w:t xml:space="preserve">Huot-Simard’s </w:t>
      </w:r>
      <w:r w:rsidR="00DA5AA3">
        <w:rPr>
          <w:szCs w:val="24"/>
          <w:lang w:val="en-CA"/>
        </w:rPr>
        <w:t>remarks</w:t>
      </w:r>
      <w:r w:rsidRPr="00A81CD3">
        <w:rPr>
          <w:szCs w:val="24"/>
          <w:lang w:val="en-CA"/>
        </w:rPr>
        <w:t xml:space="preserve"> that she did indeed tell him that he could contact a lawyer without delay.</w:t>
      </w:r>
    </w:p>
    <w:p w14:paraId="4F7374BC" w14:textId="0113866A" w:rsidR="00E406BF" w:rsidRPr="00A81CD3" w:rsidRDefault="00EF1AF1" w:rsidP="00EE4E7D">
      <w:pPr>
        <w:pStyle w:val="Paragraphe"/>
        <w:numPr>
          <w:ilvl w:val="0"/>
          <w:numId w:val="1"/>
        </w:numPr>
        <w:spacing w:before="180" w:after="180" w:line="280" w:lineRule="exact"/>
        <w:rPr>
          <w:bCs/>
          <w:lang w:val="en-CA"/>
        </w:rPr>
      </w:pPr>
      <w:r w:rsidRPr="00A81CD3">
        <w:rPr>
          <w:lang w:val="en-CA"/>
        </w:rPr>
        <w:t xml:space="preserve">In short, I am of the view that </w:t>
      </w:r>
      <w:r w:rsidRPr="00A81CD3">
        <w:rPr>
          <w:szCs w:val="24"/>
          <w:lang w:val="en-CA"/>
        </w:rPr>
        <w:t xml:space="preserve">the police did not fail in their duty to </w:t>
      </w:r>
      <w:r w:rsidRPr="00A81CD3">
        <w:rPr>
          <w:lang w:val="en-CA"/>
        </w:rPr>
        <w:t xml:space="preserve">adequately inform </w:t>
      </w:r>
      <w:r w:rsidR="00DA5AA3">
        <w:rPr>
          <w:lang w:val="en-CA"/>
        </w:rPr>
        <w:t>the appellant</w:t>
      </w:r>
      <w:r w:rsidRPr="00A81CD3">
        <w:rPr>
          <w:lang w:val="en-CA"/>
        </w:rPr>
        <w:t xml:space="preserve"> of his right to counsel </w:t>
      </w:r>
      <w:r w:rsidRPr="00A81CD3">
        <w:rPr>
          <w:szCs w:val="24"/>
          <w:lang w:val="en-CA"/>
        </w:rPr>
        <w:t xml:space="preserve">during the intervention on October 1, 2018. </w:t>
      </w:r>
      <w:r w:rsidRPr="00A81CD3">
        <w:rPr>
          <w:lang w:val="en-CA"/>
        </w:rPr>
        <w:t>The</w:t>
      </w:r>
      <w:r w:rsidRPr="00A81CD3">
        <w:rPr>
          <w:szCs w:val="24"/>
          <w:lang w:val="en-CA"/>
        </w:rPr>
        <w:t xml:space="preserve"> appellant did not, therefore, suffer any additional infringement of his right under paragraph 10(b) of the </w:t>
      </w:r>
      <w:r w:rsidRPr="00A81CD3">
        <w:rPr>
          <w:i/>
          <w:iCs/>
          <w:szCs w:val="24"/>
          <w:lang w:val="en-CA"/>
        </w:rPr>
        <w:t>Charter</w:t>
      </w:r>
      <w:r w:rsidRPr="00A81CD3">
        <w:rPr>
          <w:szCs w:val="24"/>
          <w:lang w:val="en-CA"/>
        </w:rPr>
        <w:t>.</w:t>
      </w:r>
    </w:p>
    <w:p w14:paraId="4F7374BD" w14:textId="15BF0B69" w:rsidR="00E406BF" w:rsidRPr="00A81CD3" w:rsidRDefault="00EF1AF1" w:rsidP="00A33E1D">
      <w:pPr>
        <w:pStyle w:val="Paragraphe"/>
        <w:keepNext/>
        <w:numPr>
          <w:ilvl w:val="0"/>
          <w:numId w:val="15"/>
        </w:numPr>
        <w:spacing w:before="240" w:after="180" w:line="280" w:lineRule="exact"/>
        <w:ind w:left="1077" w:hanging="357"/>
        <w:rPr>
          <w:b/>
          <w:bCs/>
          <w:lang w:val="en-CA"/>
        </w:rPr>
      </w:pPr>
      <w:r w:rsidRPr="00A81CD3">
        <w:rPr>
          <w:b/>
          <w:bCs/>
          <w:lang w:val="en-CA"/>
        </w:rPr>
        <w:t xml:space="preserve">Is the use of </w:t>
      </w:r>
      <w:r w:rsidR="00BB17C2">
        <w:rPr>
          <w:b/>
          <w:bCs/>
          <w:lang w:val="en-CA"/>
        </w:rPr>
        <w:t xml:space="preserve">the </w:t>
      </w:r>
      <w:r w:rsidRPr="00A81CD3">
        <w:rPr>
          <w:b/>
          <w:bCs/>
          <w:lang w:val="en-CA"/>
        </w:rPr>
        <w:t>cocaine in evidence likely to bring the administration of justice into disrepute?</w:t>
      </w:r>
    </w:p>
    <w:p w14:paraId="4F7374BE" w14:textId="335FEB7D"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Once </w:t>
      </w:r>
      <w:r w:rsidRPr="00A81CD3">
        <w:rPr>
          <w:lang w:val="en-CA"/>
        </w:rPr>
        <w:t>it has</w:t>
      </w:r>
      <w:r w:rsidRPr="00A81CD3">
        <w:rPr>
          <w:szCs w:val="24"/>
          <w:lang w:val="en-CA"/>
        </w:rPr>
        <w:t xml:space="preserve"> been established that the </w:t>
      </w:r>
      <w:r w:rsidRPr="00A81CD3">
        <w:rPr>
          <w:lang w:val="en-CA"/>
        </w:rPr>
        <w:t xml:space="preserve">cocaine was seized </w:t>
      </w:r>
      <w:r w:rsidR="00642968">
        <w:rPr>
          <w:lang w:val="en-CA"/>
        </w:rPr>
        <w:t>in a manner</w:t>
      </w:r>
      <w:r w:rsidRPr="00A81CD3">
        <w:rPr>
          <w:lang w:val="en-CA"/>
        </w:rPr>
        <w:t xml:space="preserve"> that </w:t>
      </w:r>
      <w:r w:rsidR="00642968">
        <w:rPr>
          <w:lang w:val="en-CA"/>
        </w:rPr>
        <w:t>infringed</w:t>
      </w:r>
      <w:r w:rsidRPr="00A81CD3">
        <w:rPr>
          <w:lang w:val="en-CA"/>
        </w:rPr>
        <w:t xml:space="preserve"> rights guaranteed by the </w:t>
      </w:r>
      <w:r w:rsidRPr="00A81CD3">
        <w:rPr>
          <w:i/>
          <w:iCs/>
          <w:lang w:val="en-CA"/>
        </w:rPr>
        <w:t>Canadian Charter</w:t>
      </w:r>
      <w:r w:rsidRPr="00A81CD3">
        <w:rPr>
          <w:lang w:val="en-CA"/>
        </w:rPr>
        <w:t xml:space="preserve">, the next question is whether its use in evidence is likely to bring the administration of justice into disrepute within the meaning of </w:t>
      </w:r>
      <w:r w:rsidR="002B2B84">
        <w:rPr>
          <w:lang w:val="en-CA"/>
        </w:rPr>
        <w:t>sub</w:t>
      </w:r>
      <w:r w:rsidRPr="00A81CD3">
        <w:rPr>
          <w:lang w:val="en-CA"/>
        </w:rPr>
        <w:t xml:space="preserve">section 24(2) of the </w:t>
      </w:r>
      <w:r w:rsidRPr="00A81CD3">
        <w:rPr>
          <w:i/>
          <w:iCs/>
          <w:lang w:val="en-CA"/>
        </w:rPr>
        <w:t>Charter</w:t>
      </w:r>
      <w:r w:rsidRPr="00A81CD3">
        <w:rPr>
          <w:lang w:val="en-CA"/>
        </w:rPr>
        <w:t>.</w:t>
      </w:r>
      <w:r w:rsidRPr="00A81CD3">
        <w:rPr>
          <w:szCs w:val="24"/>
          <w:lang w:val="en-CA"/>
        </w:rPr>
        <w:t xml:space="preserve"> </w:t>
      </w:r>
      <w:r w:rsidR="00F459B5">
        <w:rPr>
          <w:szCs w:val="24"/>
          <w:lang w:val="en-CA"/>
        </w:rPr>
        <w:t>Because</w:t>
      </w:r>
      <w:r w:rsidRPr="00A81CD3">
        <w:rPr>
          <w:szCs w:val="24"/>
          <w:lang w:val="en-CA"/>
        </w:rPr>
        <w:t xml:space="preserve"> the judge chose not to analyze this question—which can be explained by her conclusion that the </w:t>
      </w:r>
      <w:r w:rsidRPr="00A81CD3">
        <w:rPr>
          <w:lang w:val="en-CA"/>
        </w:rPr>
        <w:t xml:space="preserve">cocaine was seized </w:t>
      </w:r>
      <w:r w:rsidR="00F459B5">
        <w:rPr>
          <w:lang w:val="en-CA"/>
        </w:rPr>
        <w:t>in a manner</w:t>
      </w:r>
      <w:r w:rsidRPr="00A81CD3">
        <w:rPr>
          <w:lang w:val="en-CA"/>
        </w:rPr>
        <w:t xml:space="preserve"> that did not </w:t>
      </w:r>
      <w:r w:rsidR="00F459B5">
        <w:rPr>
          <w:lang w:val="en-CA"/>
        </w:rPr>
        <w:t>infringe</w:t>
      </w:r>
      <w:r w:rsidRPr="00A81CD3">
        <w:rPr>
          <w:lang w:val="en-CA"/>
        </w:rPr>
        <w:t xml:space="preserve"> the rights guaranteed by section 10 of the </w:t>
      </w:r>
      <w:r w:rsidRPr="00A81CD3">
        <w:rPr>
          <w:i/>
          <w:iCs/>
          <w:lang w:val="en-CA"/>
        </w:rPr>
        <w:t>Charter—</w:t>
      </w:r>
      <w:r w:rsidRPr="00A81CD3">
        <w:rPr>
          <w:lang w:val="en-CA"/>
        </w:rPr>
        <w:t xml:space="preserve">the analysis must be carried out without regard to the usual deference given to </w:t>
      </w:r>
      <w:r w:rsidRPr="00A81CD3">
        <w:rPr>
          <w:szCs w:val="24"/>
          <w:lang w:val="en-CA"/>
        </w:rPr>
        <w:t xml:space="preserve">the findings of the trial judge in applying </w:t>
      </w:r>
      <w:r w:rsidR="002B2B84">
        <w:rPr>
          <w:szCs w:val="24"/>
          <w:lang w:val="en-CA"/>
        </w:rPr>
        <w:t>sub</w:t>
      </w:r>
      <w:r w:rsidRPr="00A81CD3">
        <w:rPr>
          <w:szCs w:val="24"/>
          <w:lang w:val="en-CA"/>
        </w:rPr>
        <w:t xml:space="preserve">section 24(2) of the </w:t>
      </w:r>
      <w:r w:rsidRPr="00A81CD3">
        <w:rPr>
          <w:i/>
          <w:iCs/>
          <w:szCs w:val="24"/>
          <w:lang w:val="en-CA"/>
        </w:rPr>
        <w:t>Charter</w:t>
      </w:r>
      <w:r w:rsidRPr="00A81CD3">
        <w:rPr>
          <w:i/>
          <w:iCs/>
          <w:lang w:val="en-CA"/>
        </w:rPr>
        <w:t>.</w:t>
      </w:r>
      <w:r w:rsidRPr="00A81CD3">
        <w:rPr>
          <w:rStyle w:val="Appelnotedebasdep"/>
          <w:lang w:val="en-CA"/>
        </w:rPr>
        <w:footnoteReference w:id="40"/>
      </w:r>
    </w:p>
    <w:p w14:paraId="4F7374BF" w14:textId="01D9EF88"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In </w:t>
      </w:r>
      <w:r w:rsidRPr="00A81CD3">
        <w:rPr>
          <w:lang w:val="en-CA"/>
        </w:rPr>
        <w:t>light of</w:t>
      </w:r>
      <w:r w:rsidRPr="00A81CD3">
        <w:rPr>
          <w:szCs w:val="24"/>
          <w:lang w:val="en-CA"/>
        </w:rPr>
        <w:t xml:space="preserve"> the analytical framework set out by the Supreme Court in </w:t>
      </w:r>
      <w:r w:rsidRPr="00A81CD3">
        <w:rPr>
          <w:i/>
          <w:iCs/>
          <w:szCs w:val="24"/>
          <w:lang w:val="en-CA"/>
        </w:rPr>
        <w:t>Grant</w:t>
      </w:r>
      <w:r w:rsidRPr="006F7E56">
        <w:rPr>
          <w:lang w:val="en-CA"/>
        </w:rPr>
        <w:t>,</w:t>
      </w:r>
      <w:r w:rsidRPr="00A81CD3">
        <w:rPr>
          <w:rStyle w:val="Appelnotedebasdep"/>
          <w:lang w:val="en-CA"/>
        </w:rPr>
        <w:footnoteReference w:id="41"/>
      </w:r>
      <w:r w:rsidRPr="00A81CD3">
        <w:rPr>
          <w:szCs w:val="24"/>
          <w:lang w:val="en-CA"/>
        </w:rPr>
        <w:t xml:space="preserve"> three factors must be considered: </w:t>
      </w:r>
      <w:r w:rsidRPr="00A81CD3">
        <w:rPr>
          <w:i/>
          <w:iCs/>
          <w:lang w:val="en-CA"/>
        </w:rPr>
        <w:t>(i)</w:t>
      </w:r>
      <w:r w:rsidRPr="00A81CD3">
        <w:rPr>
          <w:lang w:val="en-CA"/>
        </w:rPr>
        <w:t xml:space="preserve"> the seriousness of the </w:t>
      </w:r>
      <w:r w:rsidRPr="006F7E56">
        <w:rPr>
          <w:i/>
          <w:iCs/>
          <w:lang w:val="en-CA"/>
        </w:rPr>
        <w:t>Charter</w:t>
      </w:r>
      <w:r w:rsidRPr="00A81CD3">
        <w:rPr>
          <w:lang w:val="en-CA"/>
        </w:rPr>
        <w:t xml:space="preserve">-infringing state conduct; </w:t>
      </w:r>
      <w:r w:rsidRPr="00A81CD3">
        <w:rPr>
          <w:i/>
          <w:iCs/>
          <w:lang w:val="en-CA"/>
        </w:rPr>
        <w:t>(ii)</w:t>
      </w:r>
      <w:r w:rsidRPr="00A81CD3">
        <w:rPr>
          <w:lang w:val="en-CA"/>
        </w:rPr>
        <w:t xml:space="preserve"> the impact of the breach on the </w:t>
      </w:r>
      <w:r w:rsidRPr="00A81CD3">
        <w:rPr>
          <w:i/>
          <w:iCs/>
          <w:lang w:val="en-CA"/>
        </w:rPr>
        <w:t>Charter</w:t>
      </w:r>
      <w:r w:rsidRPr="00A81CD3">
        <w:rPr>
          <w:lang w:val="en-CA"/>
        </w:rPr>
        <w:t xml:space="preserve">-protected interests; and </w:t>
      </w:r>
      <w:r w:rsidRPr="00A81CD3">
        <w:rPr>
          <w:i/>
          <w:iCs/>
          <w:lang w:val="en-CA"/>
        </w:rPr>
        <w:t>(iii)</w:t>
      </w:r>
      <w:r w:rsidRPr="00A81CD3">
        <w:rPr>
          <w:lang w:val="en-CA"/>
        </w:rPr>
        <w:t xml:space="preserve"> society’s interest in the adjudication of the case on its merits.</w:t>
      </w:r>
      <w:r w:rsidRPr="00A81CD3">
        <w:rPr>
          <w:rStyle w:val="Appelnotedebasdep"/>
          <w:lang w:val="en-CA"/>
        </w:rPr>
        <w:footnoteReference w:id="42"/>
      </w:r>
    </w:p>
    <w:p w14:paraId="4F7374C0" w14:textId="77777777" w:rsidR="00E406BF" w:rsidRPr="006F7E56" w:rsidRDefault="00EF1AF1" w:rsidP="006F7E56">
      <w:pPr>
        <w:pStyle w:val="Titre3"/>
        <w:numPr>
          <w:ilvl w:val="0"/>
          <w:numId w:val="21"/>
        </w:numPr>
        <w:rPr>
          <w:b/>
          <w:bCs/>
          <w:szCs w:val="24"/>
          <w:lang w:val="en-CA"/>
        </w:rPr>
      </w:pPr>
      <w:r w:rsidRPr="006F7E56">
        <w:rPr>
          <w:b/>
          <w:bCs/>
          <w:szCs w:val="24"/>
          <w:lang w:val="en-CA"/>
        </w:rPr>
        <w:t xml:space="preserve">The seriousness of the </w:t>
      </w:r>
      <w:r w:rsidRPr="006F7E56">
        <w:rPr>
          <w:b/>
          <w:bCs/>
          <w:i/>
          <w:iCs/>
          <w:szCs w:val="24"/>
          <w:lang w:val="en-CA"/>
        </w:rPr>
        <w:t>Charter</w:t>
      </w:r>
      <w:r w:rsidRPr="006F7E56">
        <w:rPr>
          <w:b/>
          <w:bCs/>
          <w:szCs w:val="24"/>
          <w:lang w:val="en-CA"/>
        </w:rPr>
        <w:t>-infringing state conduct</w:t>
      </w:r>
    </w:p>
    <w:p w14:paraId="4F7374C1" w14:textId="5E67EEFF"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At the first stage of the analysis, we must consider whether, if the courts fail to dissociate themselves from the consequences of </w:t>
      </w:r>
      <w:r w:rsidR="003D5F1D">
        <w:rPr>
          <w:lang w:val="en-CA"/>
        </w:rPr>
        <w:t>unlawful</w:t>
      </w:r>
      <w:r w:rsidRPr="00A81CD3">
        <w:rPr>
          <w:lang w:val="en-CA"/>
        </w:rPr>
        <w:t xml:space="preserve"> police conduct by excluding evidence obtained as a result of an infringement of fundamental rights, public confidence in the justice system will be undermined.</w:t>
      </w:r>
      <w:r w:rsidRPr="00A81CD3">
        <w:rPr>
          <w:rStyle w:val="Appelnotedebasdep"/>
          <w:lang w:val="en-CA"/>
        </w:rPr>
        <w:footnoteReference w:id="43"/>
      </w:r>
      <w:r w:rsidRPr="00A81CD3">
        <w:rPr>
          <w:lang w:val="en-CA"/>
        </w:rPr>
        <w:t xml:space="preserve"> Police conduct that violates </w:t>
      </w:r>
      <w:r w:rsidRPr="00A81CD3">
        <w:rPr>
          <w:i/>
          <w:iCs/>
          <w:lang w:val="en-CA"/>
        </w:rPr>
        <w:t>Charter</w:t>
      </w:r>
      <w:r w:rsidRPr="00A81CD3">
        <w:rPr>
          <w:lang w:val="en-CA"/>
        </w:rPr>
        <w:t xml:space="preserve"> rights will be more or less reprehensible or serious depending on the context: violations may be </w:t>
      </w:r>
      <w:r w:rsidR="00705025" w:rsidRPr="00A81CD3">
        <w:rPr>
          <w:lang w:val="en-CA"/>
        </w:rPr>
        <w:t>“</w:t>
      </w:r>
      <w:r w:rsidRPr="00A81CD3">
        <w:rPr>
          <w:lang w:val="en-CA"/>
        </w:rPr>
        <w:t>inadvertent</w:t>
      </w:r>
      <w:r w:rsidR="003D5F1D">
        <w:rPr>
          <w:lang w:val="en-CA"/>
        </w:rPr>
        <w:t xml:space="preserve"> or minor</w:t>
      </w:r>
      <w:r w:rsidR="00705025" w:rsidRPr="00A81CD3">
        <w:rPr>
          <w:lang w:val="en-CA"/>
        </w:rPr>
        <w:t>”</w:t>
      </w:r>
      <w:r w:rsidRPr="00A81CD3">
        <w:rPr>
          <w:lang w:val="en-CA"/>
        </w:rPr>
        <w:t xml:space="preserve"> or the result of “wilful</w:t>
      </w:r>
      <w:r w:rsidR="00705025" w:rsidRPr="00A81CD3">
        <w:rPr>
          <w:lang w:val="en-CA"/>
        </w:rPr>
        <w:t>”</w:t>
      </w:r>
      <w:r w:rsidRPr="00A81CD3">
        <w:rPr>
          <w:lang w:val="en-CA"/>
        </w:rPr>
        <w:t xml:space="preserve"> or </w:t>
      </w:r>
      <w:r w:rsidR="003D5F1D">
        <w:rPr>
          <w:lang w:val="en-CA"/>
        </w:rPr>
        <w:t>flagrant</w:t>
      </w:r>
      <w:r w:rsidRPr="00A81CD3">
        <w:rPr>
          <w:lang w:val="en-CA"/>
        </w:rPr>
        <w:t xml:space="preserve"> disregard for the rights of the </w:t>
      </w:r>
      <w:r w:rsidRPr="00A81CD3">
        <w:rPr>
          <w:lang w:val="en-CA"/>
        </w:rPr>
        <w:lastRenderedPageBreak/>
        <w:t>accused.</w:t>
      </w:r>
      <w:r w:rsidRPr="00A81CD3">
        <w:rPr>
          <w:rStyle w:val="Appelnotedebasdep"/>
          <w:lang w:val="en-CA"/>
        </w:rPr>
        <w:footnoteReference w:id="44"/>
      </w:r>
      <w:r w:rsidRPr="00A81CD3">
        <w:rPr>
          <w:lang w:val="en-CA"/>
        </w:rPr>
        <w:t xml:space="preserve"> It is therefore a question of situating the state</w:t>
      </w:r>
      <w:r w:rsidR="00356592" w:rsidRPr="00A81CD3">
        <w:rPr>
          <w:lang w:val="en-CA"/>
        </w:rPr>
        <w:t>’</w:t>
      </w:r>
      <w:r w:rsidRPr="00A81CD3">
        <w:rPr>
          <w:lang w:val="en-CA"/>
        </w:rPr>
        <w:t xml:space="preserve">s conduct on this </w:t>
      </w:r>
      <w:r w:rsidR="00705025" w:rsidRPr="00A81CD3">
        <w:rPr>
          <w:lang w:val="en-CA"/>
        </w:rPr>
        <w:t>“</w:t>
      </w:r>
      <w:r w:rsidRPr="00A81CD3">
        <w:rPr>
          <w:lang w:val="en-CA"/>
        </w:rPr>
        <w:t>scale of culpability</w:t>
      </w:r>
      <w:r w:rsidR="00705025" w:rsidRPr="00A81CD3">
        <w:rPr>
          <w:lang w:val="en-CA"/>
        </w:rPr>
        <w:t>”</w:t>
      </w:r>
      <w:r w:rsidRPr="00A81CD3">
        <w:rPr>
          <w:lang w:val="en-CA"/>
        </w:rPr>
        <w:t>: the more serious the conduct, the more the courts must dissociate themselves from it.</w:t>
      </w:r>
      <w:r w:rsidRPr="00A81CD3">
        <w:rPr>
          <w:rStyle w:val="Appelnotedebasdep"/>
          <w:lang w:val="en-CA"/>
        </w:rPr>
        <w:footnoteReference w:id="45"/>
      </w:r>
    </w:p>
    <w:p w14:paraId="4F7374C2" w14:textId="0038C705" w:rsidR="00E406BF" w:rsidRPr="00A81CD3" w:rsidRDefault="00EF1AF1" w:rsidP="00EE4E7D">
      <w:pPr>
        <w:pStyle w:val="Paragraphe"/>
        <w:numPr>
          <w:ilvl w:val="0"/>
          <w:numId w:val="1"/>
        </w:numPr>
        <w:spacing w:before="180" w:after="180" w:line="280" w:lineRule="exact"/>
        <w:rPr>
          <w:szCs w:val="24"/>
          <w:lang w:val="en-CA"/>
        </w:rPr>
      </w:pPr>
      <w:r w:rsidRPr="00A81CD3">
        <w:rPr>
          <w:szCs w:val="24"/>
          <w:lang w:val="en-CA"/>
        </w:rPr>
        <w:t xml:space="preserve">At </w:t>
      </w:r>
      <w:r w:rsidRPr="00A81CD3">
        <w:rPr>
          <w:lang w:val="en-CA"/>
        </w:rPr>
        <w:t>first</w:t>
      </w:r>
      <w:r w:rsidRPr="00A81CD3">
        <w:rPr>
          <w:szCs w:val="24"/>
          <w:lang w:val="en-CA"/>
        </w:rPr>
        <w:t xml:space="preserve"> glance, the </w:t>
      </w:r>
      <w:r w:rsidR="008D6A0F">
        <w:rPr>
          <w:szCs w:val="24"/>
          <w:lang w:val="en-CA"/>
        </w:rPr>
        <w:t>infringements</w:t>
      </w:r>
      <w:r w:rsidRPr="00A81CD3">
        <w:rPr>
          <w:szCs w:val="24"/>
          <w:lang w:val="en-CA"/>
        </w:rPr>
        <w:t xml:space="preserve"> of the appellant</w:t>
      </w:r>
      <w:r w:rsidR="00356592" w:rsidRPr="00A81CD3">
        <w:rPr>
          <w:szCs w:val="24"/>
          <w:lang w:val="en-CA"/>
        </w:rPr>
        <w:t>’</w:t>
      </w:r>
      <w:r w:rsidRPr="00A81CD3">
        <w:rPr>
          <w:szCs w:val="24"/>
          <w:lang w:val="en-CA"/>
        </w:rPr>
        <w:t xml:space="preserve">s rights protected by section 10 of the </w:t>
      </w:r>
      <w:r w:rsidRPr="00A81CD3">
        <w:rPr>
          <w:i/>
          <w:iCs/>
          <w:szCs w:val="24"/>
          <w:lang w:val="en-CA"/>
        </w:rPr>
        <w:t>Charter</w:t>
      </w:r>
      <w:r w:rsidRPr="00A81CD3">
        <w:rPr>
          <w:szCs w:val="24"/>
          <w:lang w:val="en-CA"/>
        </w:rPr>
        <w:t xml:space="preserve"> were neither minor nor inadvertent. In fact, the police acted in an intentional and premeditated manner by developing and executing a plan intended to infringe rights that are of </w:t>
      </w:r>
      <w:r w:rsidR="008D6A0F">
        <w:rPr>
          <w:szCs w:val="24"/>
          <w:lang w:val="en-CA"/>
        </w:rPr>
        <w:t>central</w:t>
      </w:r>
      <w:r w:rsidRPr="00A81CD3">
        <w:rPr>
          <w:szCs w:val="24"/>
          <w:lang w:val="en-CA"/>
        </w:rPr>
        <w:t xml:space="preserve"> importance in a free and democratic society</w:t>
      </w:r>
      <w:r w:rsidRPr="00A81CD3">
        <w:rPr>
          <w:lang w:val="en-CA"/>
        </w:rPr>
        <w:t>.</w:t>
      </w:r>
      <w:r w:rsidRPr="00A81CD3">
        <w:rPr>
          <w:rStyle w:val="Appelnotedebasdep"/>
          <w:lang w:val="en-CA"/>
        </w:rPr>
        <w:footnoteReference w:id="46"/>
      </w:r>
    </w:p>
    <w:p w14:paraId="4F7374C3" w14:textId="009735E6"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However</w:t>
      </w:r>
      <w:r w:rsidRPr="00A81CD3">
        <w:rPr>
          <w:szCs w:val="24"/>
          <w:lang w:val="en-CA"/>
        </w:rPr>
        <w:t xml:space="preserve">, there are two elements in particular that </w:t>
      </w:r>
      <w:r w:rsidR="008D6A0F">
        <w:rPr>
          <w:szCs w:val="24"/>
          <w:lang w:val="en-CA"/>
        </w:rPr>
        <w:t>stand out</w:t>
      </w:r>
      <w:r w:rsidRPr="00A81CD3">
        <w:rPr>
          <w:szCs w:val="24"/>
          <w:lang w:val="en-CA"/>
        </w:rPr>
        <w:t xml:space="preserve"> at this stage of the analysis. First, at the time the police </w:t>
      </w:r>
      <w:r w:rsidR="008D6A0F">
        <w:rPr>
          <w:szCs w:val="24"/>
          <w:lang w:val="en-CA"/>
        </w:rPr>
        <w:t>devised</w:t>
      </w:r>
      <w:r w:rsidRPr="00A81CD3">
        <w:rPr>
          <w:szCs w:val="24"/>
          <w:lang w:val="en-CA"/>
        </w:rPr>
        <w:t xml:space="preserve"> and executed this plan to stop the appellant while concealing from him the true reason for his detention, they were entitled to believe, on the basis of </w:t>
      </w:r>
      <w:r w:rsidRPr="00A81CD3">
        <w:rPr>
          <w:i/>
          <w:iCs/>
          <w:szCs w:val="24"/>
          <w:lang w:val="en-CA"/>
        </w:rPr>
        <w:t>Whipple</w:t>
      </w:r>
      <w:r w:rsidRPr="00A81CD3">
        <w:rPr>
          <w:rStyle w:val="Appelnotedebasdep"/>
          <w:lang w:val="en-CA"/>
        </w:rPr>
        <w:footnoteReference w:id="47"/>
      </w:r>
      <w:r w:rsidRPr="00A81CD3">
        <w:rPr>
          <w:i/>
          <w:iCs/>
          <w:szCs w:val="24"/>
          <w:lang w:val="en-CA"/>
        </w:rPr>
        <w:t>—</w:t>
      </w:r>
      <w:r w:rsidRPr="00A81CD3">
        <w:rPr>
          <w:szCs w:val="24"/>
          <w:lang w:val="en-CA"/>
        </w:rPr>
        <w:t xml:space="preserve">which remains, to this day, the only decision of a Canadian Court of Appeal dealing with the validity of </w:t>
      </w:r>
      <w:r w:rsidRPr="00A81CD3">
        <w:rPr>
          <w:lang w:val="en-CA"/>
        </w:rPr>
        <w:t xml:space="preserve">authorizing a person to be stopped and searched </w:t>
      </w:r>
      <w:r w:rsidRPr="00A81CD3">
        <w:rPr>
          <w:szCs w:val="24"/>
          <w:lang w:val="en-CA"/>
        </w:rPr>
        <w:t xml:space="preserve">under a false </w:t>
      </w:r>
      <w:r w:rsidR="00CD1F32">
        <w:rPr>
          <w:szCs w:val="24"/>
          <w:lang w:val="en-CA"/>
        </w:rPr>
        <w:t>pretext</w:t>
      </w:r>
      <w:r w:rsidRPr="00A81CD3">
        <w:rPr>
          <w:szCs w:val="24"/>
          <w:lang w:val="en-CA"/>
        </w:rPr>
        <w:t xml:space="preserve">—that an operation of this nature could be authorized under section 487.01 </w:t>
      </w:r>
      <w:r w:rsidRPr="00A81CD3">
        <w:rPr>
          <w:i/>
          <w:iCs/>
          <w:szCs w:val="24"/>
          <w:lang w:val="en-CA"/>
        </w:rPr>
        <w:t>Cr.</w:t>
      </w:r>
      <w:r w:rsidR="008D6A0F">
        <w:rPr>
          <w:i/>
          <w:iCs/>
          <w:szCs w:val="24"/>
          <w:lang w:val="en-CA"/>
        </w:rPr>
        <w:t> </w:t>
      </w:r>
      <w:r w:rsidRPr="00A81CD3">
        <w:rPr>
          <w:i/>
          <w:iCs/>
          <w:szCs w:val="24"/>
          <w:lang w:val="en-CA"/>
        </w:rPr>
        <w:t>C.</w:t>
      </w:r>
      <w:r w:rsidRPr="00A81CD3">
        <w:rPr>
          <w:szCs w:val="24"/>
          <w:lang w:val="en-CA"/>
        </w:rPr>
        <w:t xml:space="preserve"> Second, the plan devised by the police had been approved by a judge of the Court of Qu</w:t>
      </w:r>
      <w:r w:rsidR="008D6A0F">
        <w:rPr>
          <w:szCs w:val="24"/>
          <w:lang w:val="en-CA"/>
        </w:rPr>
        <w:t>é</w:t>
      </w:r>
      <w:r w:rsidRPr="00A81CD3">
        <w:rPr>
          <w:szCs w:val="24"/>
          <w:lang w:val="en-CA"/>
        </w:rPr>
        <w:t xml:space="preserve">bec, who could also reasonably believe, on the basis of </w:t>
      </w:r>
      <w:r w:rsidRPr="00A81CD3">
        <w:rPr>
          <w:i/>
          <w:iCs/>
          <w:szCs w:val="24"/>
          <w:lang w:val="en-CA"/>
        </w:rPr>
        <w:t>Whipple</w:t>
      </w:r>
      <w:r w:rsidRPr="00A81CD3">
        <w:rPr>
          <w:szCs w:val="24"/>
          <w:lang w:val="en-CA"/>
        </w:rPr>
        <w:t xml:space="preserve">, that the warrant issued in this case could be issued under section 487.01 </w:t>
      </w:r>
      <w:r w:rsidRPr="00A81CD3">
        <w:rPr>
          <w:i/>
          <w:iCs/>
          <w:szCs w:val="24"/>
          <w:lang w:val="en-CA"/>
        </w:rPr>
        <w:t>Cr.</w:t>
      </w:r>
      <w:r w:rsidR="008D6A0F">
        <w:rPr>
          <w:i/>
          <w:iCs/>
          <w:szCs w:val="24"/>
          <w:lang w:val="en-CA"/>
        </w:rPr>
        <w:t> </w:t>
      </w:r>
      <w:r w:rsidRPr="00A81CD3">
        <w:rPr>
          <w:i/>
          <w:iCs/>
          <w:szCs w:val="24"/>
          <w:lang w:val="en-CA"/>
        </w:rPr>
        <w:t>C.</w:t>
      </w:r>
      <w:r w:rsidRPr="00A81CD3">
        <w:rPr>
          <w:szCs w:val="24"/>
          <w:lang w:val="en-CA"/>
        </w:rPr>
        <w:t xml:space="preserve"> </w:t>
      </w:r>
      <w:r w:rsidR="008D6A0F">
        <w:rPr>
          <w:szCs w:val="24"/>
          <w:lang w:val="en-CA"/>
        </w:rPr>
        <w:t>In</w:t>
      </w:r>
      <w:r w:rsidRPr="00A81CD3">
        <w:rPr>
          <w:szCs w:val="24"/>
          <w:lang w:val="en-CA"/>
        </w:rPr>
        <w:t xml:space="preserve"> the circumstances, the good faith of the police officers </w:t>
      </w:r>
      <w:r w:rsidR="008D6A0F">
        <w:rPr>
          <w:szCs w:val="24"/>
          <w:lang w:val="en-CA"/>
        </w:rPr>
        <w:t>is in my view</w:t>
      </w:r>
      <w:r w:rsidRPr="00A81CD3">
        <w:rPr>
          <w:szCs w:val="24"/>
          <w:lang w:val="en-CA"/>
        </w:rPr>
        <w:t xml:space="preserve"> indisputable</w:t>
      </w:r>
      <w:r w:rsidRPr="00A81CD3">
        <w:rPr>
          <w:lang w:val="en-CA"/>
        </w:rPr>
        <w:t>.</w:t>
      </w:r>
      <w:r w:rsidRPr="00A81CD3">
        <w:rPr>
          <w:rStyle w:val="Appelnotedebasdep"/>
          <w:lang w:val="en-CA"/>
        </w:rPr>
        <w:footnoteReference w:id="48"/>
      </w:r>
    </w:p>
    <w:p w14:paraId="4F7374C4" w14:textId="21C225AF"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As for the fact that the police searched the appellant on the basis of an invalid warrant, I </w:t>
      </w:r>
      <w:r w:rsidR="00701D0F">
        <w:rPr>
          <w:lang w:val="en-CA"/>
        </w:rPr>
        <w:t>am of the view</w:t>
      </w:r>
      <w:r w:rsidRPr="00A81CD3">
        <w:rPr>
          <w:lang w:val="en-CA"/>
        </w:rPr>
        <w:t xml:space="preserve"> that this infringement of the appellant</w:t>
      </w:r>
      <w:r w:rsidR="00356592" w:rsidRPr="00A81CD3">
        <w:rPr>
          <w:lang w:val="en-CA"/>
        </w:rPr>
        <w:t>’</w:t>
      </w:r>
      <w:r w:rsidRPr="00A81CD3">
        <w:rPr>
          <w:lang w:val="en-CA"/>
        </w:rPr>
        <w:t xml:space="preserve">s right protected by section 8 of the </w:t>
      </w:r>
      <w:r w:rsidRPr="00A81CD3">
        <w:rPr>
          <w:i/>
          <w:iCs/>
          <w:lang w:val="en-CA"/>
        </w:rPr>
        <w:t>Charter</w:t>
      </w:r>
      <w:r w:rsidRPr="00A81CD3">
        <w:rPr>
          <w:lang w:val="en-CA"/>
        </w:rPr>
        <w:t xml:space="preserve"> did not significantly aggravate their conduct. It is undisputed that the police had the requisite grounds to stop the appellant for offences related to the trafficking or transportation of narcotics under section 495 </w:t>
      </w:r>
      <w:r w:rsidRPr="00A81CD3">
        <w:rPr>
          <w:i/>
          <w:iCs/>
          <w:lang w:val="en-CA"/>
        </w:rPr>
        <w:t>Cr.</w:t>
      </w:r>
      <w:r w:rsidR="00701D0F">
        <w:rPr>
          <w:i/>
          <w:iCs/>
          <w:lang w:val="en-CA"/>
        </w:rPr>
        <w:t> </w:t>
      </w:r>
      <w:r w:rsidRPr="00A81CD3">
        <w:rPr>
          <w:i/>
          <w:iCs/>
          <w:lang w:val="en-CA"/>
        </w:rPr>
        <w:t>C.</w:t>
      </w:r>
      <w:r w:rsidRPr="00A81CD3">
        <w:rPr>
          <w:lang w:val="en-CA"/>
        </w:rPr>
        <w:t xml:space="preserve">, and to conduct a search incidental to that arrest. </w:t>
      </w:r>
      <w:r w:rsidRPr="00A81CD3">
        <w:rPr>
          <w:szCs w:val="24"/>
          <w:lang w:val="en-CA"/>
        </w:rPr>
        <w:t>The infringement of section 8 is therefore only incidental to the infringement of section 10 caused by the police officers</w:t>
      </w:r>
      <w:r w:rsidR="00356592" w:rsidRPr="00A81CD3">
        <w:rPr>
          <w:szCs w:val="24"/>
          <w:lang w:val="en-CA"/>
        </w:rPr>
        <w:t>’</w:t>
      </w:r>
      <w:r w:rsidRPr="00A81CD3">
        <w:rPr>
          <w:szCs w:val="24"/>
          <w:lang w:val="en-CA"/>
        </w:rPr>
        <w:t xml:space="preserve"> decision to stop the appellant under a false </w:t>
      </w:r>
      <w:r w:rsidR="00CD1F32">
        <w:rPr>
          <w:szCs w:val="24"/>
          <w:lang w:val="en-CA"/>
        </w:rPr>
        <w:t>pretext</w:t>
      </w:r>
      <w:r w:rsidRPr="00A81CD3">
        <w:rPr>
          <w:szCs w:val="24"/>
          <w:lang w:val="en-CA"/>
        </w:rPr>
        <w:t>.</w:t>
      </w:r>
    </w:p>
    <w:p w14:paraId="4F7374C5" w14:textId="29123AAA"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lastRenderedPageBreak/>
        <w:t>In</w:t>
      </w:r>
      <w:r w:rsidRPr="00A81CD3">
        <w:rPr>
          <w:szCs w:val="24"/>
          <w:lang w:val="en-CA"/>
        </w:rPr>
        <w:t xml:space="preserve"> the circumstances, I </w:t>
      </w:r>
      <w:r w:rsidR="00701D0F">
        <w:rPr>
          <w:szCs w:val="24"/>
          <w:lang w:val="en-CA"/>
        </w:rPr>
        <w:t>am of the view</w:t>
      </w:r>
      <w:r w:rsidRPr="00A81CD3">
        <w:rPr>
          <w:szCs w:val="24"/>
          <w:lang w:val="en-CA"/>
        </w:rPr>
        <w:t xml:space="preserve"> that the seriousness of the police officers</w:t>
      </w:r>
      <w:r w:rsidR="00356592" w:rsidRPr="00A81CD3">
        <w:rPr>
          <w:szCs w:val="24"/>
          <w:lang w:val="en-CA"/>
        </w:rPr>
        <w:t>’</w:t>
      </w:r>
      <w:r w:rsidRPr="00A81CD3">
        <w:rPr>
          <w:szCs w:val="24"/>
          <w:lang w:val="en-CA"/>
        </w:rPr>
        <w:t xml:space="preserve"> conduct does not </w:t>
      </w:r>
      <w:r w:rsidR="00701D0F">
        <w:rPr>
          <w:szCs w:val="24"/>
          <w:lang w:val="en-CA"/>
        </w:rPr>
        <w:t>weigh heavily in favour</w:t>
      </w:r>
      <w:r w:rsidRPr="00A81CD3">
        <w:rPr>
          <w:szCs w:val="24"/>
          <w:lang w:val="en-CA"/>
        </w:rPr>
        <w:t xml:space="preserve"> </w:t>
      </w:r>
      <w:r w:rsidR="00701D0F">
        <w:rPr>
          <w:szCs w:val="24"/>
          <w:lang w:val="en-CA"/>
        </w:rPr>
        <w:t xml:space="preserve">of </w:t>
      </w:r>
      <w:r w:rsidRPr="00A81CD3">
        <w:rPr>
          <w:szCs w:val="24"/>
          <w:lang w:val="en-CA"/>
        </w:rPr>
        <w:t xml:space="preserve">the exclusion of the cocaine. </w:t>
      </w:r>
    </w:p>
    <w:p w14:paraId="4F7374C6" w14:textId="026E9C57" w:rsidR="00E406BF" w:rsidRPr="00A81CD3" w:rsidRDefault="00EF1AF1" w:rsidP="006F7E56">
      <w:pPr>
        <w:pStyle w:val="Titre3"/>
        <w:rPr>
          <w:b/>
          <w:bCs/>
          <w:szCs w:val="24"/>
          <w:lang w:val="en-CA"/>
        </w:rPr>
      </w:pPr>
      <w:r w:rsidRPr="00A81CD3">
        <w:rPr>
          <w:rFonts w:cs="Arial"/>
          <w:b/>
          <w:bCs/>
          <w:lang w:val="en-CA"/>
        </w:rPr>
        <w:t xml:space="preserve">The impact of the </w:t>
      </w:r>
      <w:r w:rsidR="00A87CAC">
        <w:rPr>
          <w:rFonts w:cs="Arial"/>
          <w:b/>
          <w:bCs/>
          <w:lang w:val="en-CA"/>
        </w:rPr>
        <w:t>breach</w:t>
      </w:r>
      <w:r w:rsidRPr="00A81CD3">
        <w:rPr>
          <w:rFonts w:cs="Arial"/>
          <w:b/>
          <w:bCs/>
          <w:lang w:val="en-CA"/>
        </w:rPr>
        <w:t xml:space="preserve"> on the </w:t>
      </w:r>
      <w:r w:rsidRPr="00A81CD3">
        <w:rPr>
          <w:rFonts w:cs="Arial"/>
          <w:b/>
          <w:bCs/>
          <w:i/>
          <w:iCs/>
          <w:lang w:val="en-CA"/>
        </w:rPr>
        <w:t>Charter</w:t>
      </w:r>
      <w:r w:rsidRPr="00A81CD3">
        <w:rPr>
          <w:rFonts w:cs="Arial"/>
          <w:b/>
          <w:bCs/>
          <w:lang w:val="en-CA"/>
        </w:rPr>
        <w:t>-protected interests</w:t>
      </w:r>
    </w:p>
    <w:p w14:paraId="4F7374C7" w14:textId="3B615A6F" w:rsidR="00E406BF" w:rsidRPr="00A81CD3" w:rsidRDefault="00EF1AF1" w:rsidP="00EE4E7D">
      <w:pPr>
        <w:pStyle w:val="Paragraphe"/>
        <w:numPr>
          <w:ilvl w:val="0"/>
          <w:numId w:val="1"/>
        </w:numPr>
        <w:spacing w:before="180" w:after="180" w:line="280" w:lineRule="exact"/>
        <w:rPr>
          <w:szCs w:val="24"/>
          <w:lang w:val="en-CA"/>
        </w:rPr>
      </w:pPr>
      <w:r w:rsidRPr="009C57D8">
        <w:rPr>
          <w:lang w:val="en-CA"/>
        </w:rPr>
        <w:t>The second stage involves</w:t>
      </w:r>
      <w:r w:rsidRPr="00A81CD3">
        <w:rPr>
          <w:lang w:val="en-CA"/>
        </w:rPr>
        <w:t xml:space="preserve"> “an evaluation of the extent to which the breach actually undermined the interests protected by the right infringed”.</w:t>
      </w:r>
      <w:r w:rsidRPr="00A81CD3">
        <w:rPr>
          <w:rStyle w:val="Appelnotedebasdep"/>
          <w:lang w:val="en-CA"/>
        </w:rPr>
        <w:footnoteReference w:id="49"/>
      </w:r>
      <w:r w:rsidRPr="00A81CD3">
        <w:rPr>
          <w:lang w:val="en-CA"/>
        </w:rPr>
        <w:t xml:space="preserve"> The question then becomes whether the state</w:t>
      </w:r>
      <w:r w:rsidR="00356592" w:rsidRPr="00A81CD3">
        <w:rPr>
          <w:lang w:val="en-CA"/>
        </w:rPr>
        <w:t>’</w:t>
      </w:r>
      <w:r w:rsidRPr="00A81CD3">
        <w:rPr>
          <w:lang w:val="en-CA"/>
        </w:rPr>
        <w:t>s conduct has actually undermined these interests and, if so, to what extent.</w:t>
      </w:r>
      <w:r w:rsidRPr="00A81CD3">
        <w:rPr>
          <w:rStyle w:val="Appelnotedebasdep"/>
          <w:lang w:val="en-CA"/>
        </w:rPr>
        <w:footnoteReference w:id="50"/>
      </w:r>
      <w:r w:rsidRPr="00A81CD3">
        <w:rPr>
          <w:lang w:val="en-CA"/>
        </w:rPr>
        <w:t xml:space="preserve"> This </w:t>
      </w:r>
      <w:r w:rsidR="003773DF">
        <w:rPr>
          <w:lang w:val="en-CA"/>
        </w:rPr>
        <w:t>also</w:t>
      </w:r>
      <w:r w:rsidRPr="00A81CD3">
        <w:rPr>
          <w:lang w:val="en-CA"/>
        </w:rPr>
        <w:t xml:space="preserve"> involves a scale of severity: violations that have a minor, technical, or fleeting impact will less likely be grounds for the exclusion of evidence than those that</w:t>
      </w:r>
      <w:r w:rsidRPr="00A81CD3">
        <w:rPr>
          <w:color w:val="000000"/>
          <w:kern w:val="0"/>
          <w:lang w:val="en-CA"/>
        </w:rPr>
        <w:t xml:space="preserve"> are </w:t>
      </w:r>
      <w:r w:rsidR="00705025" w:rsidRPr="00A81CD3">
        <w:rPr>
          <w:color w:val="000000"/>
          <w:kern w:val="0"/>
          <w:lang w:val="en-CA"/>
        </w:rPr>
        <w:t>“</w:t>
      </w:r>
      <w:r w:rsidRPr="00A81CD3">
        <w:rPr>
          <w:lang w:val="en-CA"/>
        </w:rPr>
        <w:t>profoundly intrusive or that seriously compromise the interests underlying the rights infringed”.</w:t>
      </w:r>
      <w:r w:rsidRPr="00A81CD3">
        <w:rPr>
          <w:rStyle w:val="Appelnotedebasdep"/>
          <w:lang w:val="en-CA"/>
        </w:rPr>
        <w:footnoteReference w:id="51"/>
      </w:r>
    </w:p>
    <w:p w14:paraId="4F7374C8" w14:textId="7AA390F5" w:rsidR="00E406BF" w:rsidRPr="00A81CD3" w:rsidRDefault="00EF1AF1" w:rsidP="00EE4E7D">
      <w:pPr>
        <w:pStyle w:val="Paragraphe"/>
        <w:numPr>
          <w:ilvl w:val="0"/>
          <w:numId w:val="1"/>
        </w:numPr>
        <w:spacing w:before="180" w:after="180" w:line="280" w:lineRule="exact"/>
        <w:rPr>
          <w:i/>
          <w:iCs/>
          <w:szCs w:val="24"/>
          <w:lang w:val="en-CA"/>
        </w:rPr>
      </w:pPr>
      <w:r w:rsidRPr="00A81CD3">
        <w:rPr>
          <w:szCs w:val="24"/>
          <w:lang w:val="en-CA"/>
        </w:rPr>
        <w:t xml:space="preserve">I </w:t>
      </w:r>
      <w:r w:rsidRPr="00A81CD3">
        <w:rPr>
          <w:lang w:val="en-CA"/>
        </w:rPr>
        <w:t>have</w:t>
      </w:r>
      <w:r w:rsidRPr="00A81CD3">
        <w:rPr>
          <w:szCs w:val="24"/>
          <w:lang w:val="en-CA"/>
        </w:rPr>
        <w:t xml:space="preserve"> no hesitation in concluding that the appellant suffered a significant infringement of his rights under section 10 of the </w:t>
      </w:r>
      <w:r w:rsidRPr="00A81CD3">
        <w:rPr>
          <w:i/>
          <w:iCs/>
          <w:szCs w:val="24"/>
          <w:lang w:val="en-CA"/>
        </w:rPr>
        <w:t>Canadian Charter</w:t>
      </w:r>
      <w:r w:rsidRPr="00A81CD3">
        <w:rPr>
          <w:szCs w:val="24"/>
          <w:lang w:val="en-CA"/>
        </w:rPr>
        <w:t>. Throughout the operation on October 1, 2018, he was kept in the dark as to the real reason why he had been stopped, detained, handcuffed, searched, and then put in the patrol car. As a result, he was unable to properly assess the nature and extent of the risk to which he was exposed and, consequently, did not have the opportunity to adequately exercise his right to counsel</w:t>
      </w:r>
      <w:r w:rsidRPr="00A81CD3">
        <w:rPr>
          <w:lang w:val="en-CA"/>
        </w:rPr>
        <w:t>.</w:t>
      </w:r>
      <w:r w:rsidRPr="00A81CD3">
        <w:rPr>
          <w:rStyle w:val="Appelnotedebasdep"/>
          <w:lang w:val="en-CA"/>
        </w:rPr>
        <w:footnoteReference w:id="52"/>
      </w:r>
      <w:r w:rsidRPr="00A81CD3">
        <w:rPr>
          <w:szCs w:val="24"/>
          <w:lang w:val="en-CA"/>
        </w:rPr>
        <w:t xml:space="preserve"> These </w:t>
      </w:r>
      <w:r w:rsidR="00215E98">
        <w:rPr>
          <w:szCs w:val="24"/>
          <w:lang w:val="en-CA"/>
        </w:rPr>
        <w:t xml:space="preserve">breaches </w:t>
      </w:r>
      <w:r w:rsidRPr="00A81CD3">
        <w:rPr>
          <w:szCs w:val="24"/>
          <w:lang w:val="en-CA"/>
        </w:rPr>
        <w:t>are certainly not minor.</w:t>
      </w:r>
    </w:p>
    <w:p w14:paraId="4F7374C9" w14:textId="67F4649D" w:rsidR="00E406BF" w:rsidRPr="00A81CD3" w:rsidRDefault="00EF1AF1" w:rsidP="00EE4E7D">
      <w:pPr>
        <w:pStyle w:val="Paragraphe"/>
        <w:numPr>
          <w:ilvl w:val="0"/>
          <w:numId w:val="1"/>
        </w:numPr>
        <w:spacing w:before="180" w:after="180" w:line="280" w:lineRule="exact"/>
        <w:rPr>
          <w:i/>
          <w:iCs/>
          <w:szCs w:val="24"/>
          <w:lang w:val="en-CA"/>
        </w:rPr>
      </w:pPr>
      <w:r w:rsidRPr="00A81CD3">
        <w:rPr>
          <w:lang w:val="en-CA"/>
        </w:rPr>
        <w:t>That</w:t>
      </w:r>
      <w:r w:rsidRPr="00A81CD3">
        <w:rPr>
          <w:szCs w:val="24"/>
          <w:lang w:val="en-CA"/>
        </w:rPr>
        <w:t xml:space="preserve"> </w:t>
      </w:r>
      <w:r w:rsidR="00215E98">
        <w:rPr>
          <w:szCs w:val="24"/>
          <w:lang w:val="en-CA"/>
        </w:rPr>
        <w:t xml:space="preserve">being </w:t>
      </w:r>
      <w:r w:rsidRPr="00A81CD3">
        <w:rPr>
          <w:szCs w:val="24"/>
          <w:lang w:val="en-CA"/>
        </w:rPr>
        <w:t xml:space="preserve">said, the seriousness of these </w:t>
      </w:r>
      <w:r w:rsidR="00215E98">
        <w:rPr>
          <w:szCs w:val="24"/>
          <w:lang w:val="en-CA"/>
        </w:rPr>
        <w:t>infringements</w:t>
      </w:r>
      <w:r w:rsidRPr="00A81CD3">
        <w:rPr>
          <w:szCs w:val="24"/>
          <w:lang w:val="en-CA"/>
        </w:rPr>
        <w:t xml:space="preserve"> is mitigated by the fact that they are not directly linked to the seizure of </w:t>
      </w:r>
      <w:r w:rsidR="00215E98">
        <w:rPr>
          <w:szCs w:val="24"/>
          <w:lang w:val="en-CA"/>
        </w:rPr>
        <w:t xml:space="preserve">the </w:t>
      </w:r>
      <w:r w:rsidRPr="00A81CD3">
        <w:rPr>
          <w:szCs w:val="24"/>
          <w:lang w:val="en-CA"/>
        </w:rPr>
        <w:t xml:space="preserve">cocaine during the search of his vehicle. Indeed, this is not one of those cases where the infringement of the rights guaranteed by section 10 of the </w:t>
      </w:r>
      <w:r w:rsidRPr="00A81CD3">
        <w:rPr>
          <w:i/>
          <w:iCs/>
          <w:szCs w:val="24"/>
          <w:lang w:val="en-CA"/>
        </w:rPr>
        <w:t>Charter</w:t>
      </w:r>
      <w:r w:rsidRPr="00A81CD3">
        <w:rPr>
          <w:szCs w:val="24"/>
          <w:lang w:val="en-CA"/>
        </w:rPr>
        <w:t xml:space="preserve"> led the accused to say or do something without which the police would never have obtained the evidence </w:t>
      </w:r>
      <w:r w:rsidR="007D3ACF">
        <w:rPr>
          <w:szCs w:val="24"/>
          <w:lang w:val="en-CA"/>
        </w:rPr>
        <w:t>in dispute</w:t>
      </w:r>
      <w:r w:rsidRPr="00A81CD3">
        <w:rPr>
          <w:szCs w:val="24"/>
          <w:lang w:val="en-CA"/>
        </w:rPr>
        <w:t xml:space="preserve">. As the Supreme Court </w:t>
      </w:r>
      <w:r w:rsidR="007D3ACF">
        <w:rPr>
          <w:szCs w:val="24"/>
          <w:lang w:val="en-CA"/>
        </w:rPr>
        <w:t>noted</w:t>
      </w:r>
      <w:r w:rsidRPr="00A81CD3">
        <w:rPr>
          <w:szCs w:val="24"/>
          <w:lang w:val="en-CA"/>
        </w:rPr>
        <w:t xml:space="preserve"> in </w:t>
      </w:r>
      <w:r w:rsidRPr="00A81CD3">
        <w:rPr>
          <w:i/>
          <w:iCs/>
          <w:szCs w:val="24"/>
          <w:lang w:val="en-CA"/>
        </w:rPr>
        <w:t>Beaver</w:t>
      </w:r>
      <w:r w:rsidRPr="00A81CD3">
        <w:rPr>
          <w:i/>
          <w:iCs/>
          <w:lang w:val="en-CA"/>
        </w:rPr>
        <w:t>:</w:t>
      </w:r>
      <w:r w:rsidRPr="00A81CD3">
        <w:rPr>
          <w:rStyle w:val="Appelnotedebasdep"/>
          <w:lang w:val="en-CA"/>
        </w:rPr>
        <w:footnoteReference w:id="53"/>
      </w:r>
    </w:p>
    <w:p w14:paraId="4F7374CA" w14:textId="07564C9F" w:rsidR="00E406BF" w:rsidRPr="007D3ACF" w:rsidRDefault="00A81CD3" w:rsidP="00BA0B83">
      <w:pPr>
        <w:pStyle w:val="Citationenretrait"/>
        <w:rPr>
          <w:szCs w:val="22"/>
          <w:lang w:val="en-CA"/>
        </w:rPr>
      </w:pPr>
      <w:r w:rsidRPr="006F7E56">
        <w:rPr>
          <w:color w:val="000000"/>
          <w:kern w:val="0"/>
          <w:szCs w:val="22"/>
          <w:u w:val="single"/>
          <w:lang w:val="en-CA"/>
        </w:rPr>
        <w:t>In appropriate cases, the lack of a causal</w:t>
      </w:r>
      <w:r w:rsidRPr="00A81CD3">
        <w:rPr>
          <w:color w:val="000000"/>
          <w:kern w:val="0"/>
          <w:sz w:val="24"/>
          <w:u w:val="single"/>
          <w:lang w:val="en-CA"/>
        </w:rPr>
        <w:t xml:space="preserve"> </w:t>
      </w:r>
      <w:r w:rsidRPr="006F7E56">
        <w:rPr>
          <w:color w:val="000000"/>
          <w:kern w:val="0"/>
          <w:szCs w:val="22"/>
          <w:u w:val="single"/>
          <w:lang w:val="en-CA"/>
        </w:rPr>
        <w:t>connection between the breaches and the obtaining of the impugned evidence may mitigate the impact of the breach on the accused’s </w:t>
      </w:r>
      <w:r w:rsidRPr="006F7E56">
        <w:rPr>
          <w:i/>
          <w:iCs/>
          <w:color w:val="000000"/>
          <w:kern w:val="0"/>
          <w:szCs w:val="22"/>
          <w:u w:val="single"/>
          <w:lang w:val="en-CA"/>
        </w:rPr>
        <w:t>Charter</w:t>
      </w:r>
      <w:r w:rsidRPr="006F7E56">
        <w:rPr>
          <w:color w:val="000000"/>
          <w:kern w:val="0"/>
          <w:szCs w:val="22"/>
          <w:u w:val="single"/>
          <w:lang w:val="en-CA"/>
        </w:rPr>
        <w:t>-protected interests</w:t>
      </w:r>
      <w:r w:rsidRPr="006F7E56">
        <w:rPr>
          <w:color w:val="000000"/>
          <w:kern w:val="0"/>
          <w:szCs w:val="22"/>
          <w:lang w:val="en-CA"/>
        </w:rPr>
        <w:t xml:space="preserve"> (</w:t>
      </w:r>
      <w:r w:rsidRPr="006F7E56">
        <w:rPr>
          <w:i/>
          <w:iCs/>
          <w:color w:val="000000"/>
          <w:kern w:val="0"/>
          <w:szCs w:val="22"/>
          <w:lang w:val="en-CA"/>
        </w:rPr>
        <w:t>Grant</w:t>
      </w:r>
      <w:r w:rsidRPr="006F7E56">
        <w:rPr>
          <w:color w:val="000000"/>
          <w:kern w:val="0"/>
          <w:szCs w:val="22"/>
          <w:lang w:val="en-CA"/>
        </w:rPr>
        <w:t>, at para. 122; </w:t>
      </w:r>
      <w:r w:rsidRPr="006F7E56">
        <w:rPr>
          <w:i/>
          <w:iCs/>
          <w:color w:val="000000"/>
          <w:kern w:val="0"/>
          <w:szCs w:val="22"/>
          <w:lang w:val="en-CA"/>
        </w:rPr>
        <w:t>R. v. Mian</w:t>
      </w:r>
      <w:r w:rsidRPr="006F7E56">
        <w:rPr>
          <w:color w:val="000000"/>
          <w:kern w:val="0"/>
          <w:szCs w:val="22"/>
          <w:lang w:val="en-CA"/>
        </w:rPr>
        <w:t>,</w:t>
      </w:r>
      <w:r w:rsidRPr="006F7E56">
        <w:rPr>
          <w:i/>
          <w:iCs/>
          <w:color w:val="000000"/>
          <w:kern w:val="0"/>
          <w:szCs w:val="22"/>
          <w:lang w:val="en-CA"/>
        </w:rPr>
        <w:t> </w:t>
      </w:r>
      <w:r w:rsidRPr="006F7E56">
        <w:rPr>
          <w:color w:val="000000"/>
          <w:kern w:val="0"/>
          <w:szCs w:val="22"/>
          <w:lang w:val="en-CA"/>
        </w:rPr>
        <w:t>2014 SCC 54, [2014] 2 S.C.R. 689,</w:t>
      </w:r>
      <w:r w:rsidRPr="006F7E56">
        <w:rPr>
          <w:i/>
          <w:iCs/>
          <w:color w:val="000000"/>
          <w:kern w:val="0"/>
          <w:szCs w:val="22"/>
          <w:lang w:val="en-CA"/>
        </w:rPr>
        <w:t> </w:t>
      </w:r>
      <w:r w:rsidRPr="006F7E56">
        <w:rPr>
          <w:color w:val="000000"/>
          <w:kern w:val="0"/>
          <w:szCs w:val="22"/>
          <w:lang w:val="en-CA"/>
        </w:rPr>
        <w:t>at para. 87;</w:t>
      </w:r>
      <w:r w:rsidRPr="006F7E56">
        <w:rPr>
          <w:i/>
          <w:iCs/>
          <w:color w:val="000000"/>
          <w:kern w:val="0"/>
          <w:szCs w:val="22"/>
          <w:lang w:val="en-CA"/>
        </w:rPr>
        <w:t> R. v. Rover</w:t>
      </w:r>
      <w:r w:rsidRPr="006F7E56">
        <w:rPr>
          <w:color w:val="000000"/>
          <w:kern w:val="0"/>
          <w:szCs w:val="22"/>
          <w:lang w:val="en-CA"/>
        </w:rPr>
        <w:t>,</w:t>
      </w:r>
      <w:r w:rsidRPr="006F7E56">
        <w:rPr>
          <w:i/>
          <w:iCs/>
          <w:color w:val="000000"/>
          <w:kern w:val="0"/>
          <w:szCs w:val="22"/>
          <w:lang w:val="en-CA"/>
        </w:rPr>
        <w:t> </w:t>
      </w:r>
      <w:r w:rsidRPr="006F7E56">
        <w:rPr>
          <w:color w:val="000000"/>
          <w:kern w:val="0"/>
          <w:szCs w:val="22"/>
          <w:lang w:val="en-CA"/>
        </w:rPr>
        <w:t>2018 ONCA 745, 143 O.R. (3d) 135, at para. 43; </w:t>
      </w:r>
      <w:r w:rsidRPr="006F7E56">
        <w:rPr>
          <w:i/>
          <w:iCs/>
          <w:kern w:val="0"/>
          <w:szCs w:val="22"/>
          <w:lang w:val="en-CA"/>
        </w:rPr>
        <w:t>R. v. Pileggi</w:t>
      </w:r>
      <w:r w:rsidRPr="006F7E56">
        <w:rPr>
          <w:kern w:val="0"/>
          <w:szCs w:val="22"/>
          <w:lang w:val="en-CA"/>
        </w:rPr>
        <w:t>,</w:t>
      </w:r>
      <w:r w:rsidRPr="006F7E56">
        <w:rPr>
          <w:i/>
          <w:iCs/>
          <w:kern w:val="0"/>
          <w:szCs w:val="22"/>
          <w:lang w:val="en-CA"/>
        </w:rPr>
        <w:t> </w:t>
      </w:r>
      <w:r w:rsidRPr="006F7E56">
        <w:rPr>
          <w:kern w:val="0"/>
          <w:szCs w:val="22"/>
          <w:lang w:val="en-CA"/>
        </w:rPr>
        <w:t>2021 ONCA 4,</w:t>
      </w:r>
      <w:r w:rsidRPr="006F7E56">
        <w:rPr>
          <w:color w:val="000000"/>
          <w:kern w:val="0"/>
          <w:szCs w:val="22"/>
          <w:lang w:val="en-CA"/>
        </w:rPr>
        <w:t xml:space="preserve"> 153 O.R. (3d) 561, at para. 120). </w:t>
      </w:r>
      <w:r w:rsidRPr="006F7E56">
        <w:rPr>
          <w:color w:val="000000"/>
          <w:kern w:val="0"/>
          <w:szCs w:val="22"/>
          <w:u w:val="single"/>
          <w:lang w:val="en-CA"/>
        </w:rPr>
        <w:t>As this Court explained in </w:t>
      </w:r>
      <w:r w:rsidRPr="006F7E56">
        <w:rPr>
          <w:i/>
          <w:iCs/>
          <w:color w:val="000000"/>
          <w:kern w:val="0"/>
          <w:szCs w:val="22"/>
          <w:u w:val="single"/>
          <w:lang w:val="en-CA"/>
        </w:rPr>
        <w:t>Grant</w:t>
      </w:r>
      <w:r w:rsidRPr="006F7E56">
        <w:rPr>
          <w:color w:val="000000"/>
          <w:kern w:val="0"/>
          <w:szCs w:val="22"/>
          <w:u w:val="single"/>
          <w:lang w:val="en-CA"/>
        </w:rPr>
        <w:t>, the strength of the causal connection between the </w:t>
      </w:r>
      <w:r w:rsidRPr="006F7E56">
        <w:rPr>
          <w:i/>
          <w:iCs/>
          <w:color w:val="000000"/>
          <w:kern w:val="0"/>
          <w:szCs w:val="22"/>
          <w:u w:val="single"/>
          <w:lang w:val="en-CA"/>
        </w:rPr>
        <w:t>Charter</w:t>
      </w:r>
      <w:r w:rsidRPr="006F7E56">
        <w:rPr>
          <w:color w:val="000000"/>
          <w:kern w:val="0"/>
          <w:szCs w:val="22"/>
          <w:u w:val="single"/>
          <w:lang w:val="en-CA"/>
        </w:rPr>
        <w:t xml:space="preserve"> infringement and the impugned evidence plays “a useful role . . . in </w:t>
      </w:r>
      <w:r w:rsidRPr="006F7E56">
        <w:rPr>
          <w:color w:val="000000"/>
          <w:kern w:val="0"/>
          <w:szCs w:val="22"/>
          <w:u w:val="single"/>
          <w:lang w:val="en-CA"/>
        </w:rPr>
        <w:lastRenderedPageBreak/>
        <w:t>assessing the actual impact of the breach on the protected interests of the accused”</w:t>
      </w:r>
      <w:r w:rsidRPr="006F7E56">
        <w:rPr>
          <w:color w:val="000000"/>
          <w:kern w:val="0"/>
          <w:szCs w:val="22"/>
          <w:lang w:val="en-CA"/>
        </w:rPr>
        <w:t xml:space="preserve"> (para. 122). </w:t>
      </w:r>
      <w:r w:rsidRPr="006F7E56">
        <w:rPr>
          <w:color w:val="000000"/>
          <w:kern w:val="0"/>
          <w:szCs w:val="22"/>
          <w:u w:val="single"/>
          <w:lang w:val="en-CA"/>
        </w:rPr>
        <w:t>Here, no such causal connection exists</w:t>
      </w:r>
      <w:r w:rsidRPr="006F7E56">
        <w:rPr>
          <w:color w:val="000000"/>
          <w:kern w:val="0"/>
          <w:szCs w:val="22"/>
          <w:lang w:val="en-CA"/>
        </w:rPr>
        <w:t>. The trial judge found that the </w:t>
      </w:r>
      <w:r w:rsidRPr="006F7E56">
        <w:rPr>
          <w:i/>
          <w:iCs/>
          <w:color w:val="000000"/>
          <w:kern w:val="0"/>
          <w:szCs w:val="22"/>
          <w:lang w:val="en-CA"/>
        </w:rPr>
        <w:t>Charter</w:t>
      </w:r>
      <w:r w:rsidRPr="006F7E56">
        <w:rPr>
          <w:color w:val="000000"/>
          <w:kern w:val="0"/>
          <w:szCs w:val="22"/>
          <w:lang w:val="en-CA"/>
        </w:rPr>
        <w:t> breaches arising from the unlawful detention “had little effect” on either appellant’s decision to confess (para. 247). As the trial judge explained, Beaver’s confession had nothing to do with the </w:t>
      </w:r>
      <w:r w:rsidRPr="006F7E56">
        <w:rPr>
          <w:i/>
          <w:iCs/>
          <w:color w:val="000000"/>
          <w:kern w:val="0"/>
          <w:szCs w:val="22"/>
          <w:lang w:val="en-CA"/>
        </w:rPr>
        <w:t>Charter </w:t>
      </w:r>
      <w:r w:rsidRPr="006F7E56">
        <w:rPr>
          <w:color w:val="000000"/>
          <w:kern w:val="0"/>
          <w:szCs w:val="22"/>
          <w:lang w:val="en-CA"/>
        </w:rPr>
        <w:t xml:space="preserve">breaches arising from the unlawful detention and everything to do with “the evidence that was beginning to unfold”, including, most importantly, Lambert’s videotaped confession (paras. 95 and 247). </w:t>
      </w:r>
      <w:r w:rsidRPr="006F7E56">
        <w:rPr>
          <w:color w:val="000000"/>
          <w:kern w:val="0"/>
          <w:szCs w:val="22"/>
          <w:u w:val="single"/>
          <w:lang w:val="en-CA"/>
        </w:rPr>
        <w:t>The lack of a causal connection between the </w:t>
      </w:r>
      <w:r w:rsidRPr="006F7E56">
        <w:rPr>
          <w:i/>
          <w:iCs/>
          <w:color w:val="000000"/>
          <w:kern w:val="0"/>
          <w:szCs w:val="22"/>
          <w:u w:val="single"/>
          <w:lang w:val="en-CA"/>
        </w:rPr>
        <w:t>Charter</w:t>
      </w:r>
      <w:r w:rsidRPr="006F7E56">
        <w:rPr>
          <w:color w:val="000000"/>
          <w:kern w:val="0"/>
          <w:szCs w:val="22"/>
          <w:u w:val="single"/>
          <w:lang w:val="en-CA"/>
        </w:rPr>
        <w:t> breaches and Beaver’s confession mitigates the actual impact of the breaches on his </w:t>
      </w:r>
      <w:r w:rsidRPr="006F7E56">
        <w:rPr>
          <w:i/>
          <w:iCs/>
          <w:color w:val="000000"/>
          <w:kern w:val="0"/>
          <w:szCs w:val="22"/>
          <w:u w:val="single"/>
          <w:lang w:val="en-CA"/>
        </w:rPr>
        <w:t>Charter</w:t>
      </w:r>
      <w:r w:rsidRPr="006F7E56">
        <w:rPr>
          <w:color w:val="000000"/>
          <w:kern w:val="0"/>
          <w:szCs w:val="22"/>
          <w:u w:val="single"/>
          <w:lang w:val="en-CA"/>
        </w:rPr>
        <w:t>-protected interests</w:t>
      </w:r>
      <w:r w:rsidR="00EF1AF1" w:rsidRPr="007D3ACF">
        <w:rPr>
          <w:szCs w:val="22"/>
          <w:lang w:val="en-CA"/>
        </w:rPr>
        <w:t>.</w:t>
      </w:r>
    </w:p>
    <w:p w14:paraId="4F7374CB" w14:textId="435C0C20" w:rsidR="00E406BF" w:rsidRPr="007D3ACF" w:rsidRDefault="00EF1AF1" w:rsidP="00E406BF">
      <w:pPr>
        <w:pStyle w:val="Paragraphe"/>
        <w:widowControl w:val="0"/>
        <w:spacing w:line="240" w:lineRule="auto"/>
        <w:ind w:left="709" w:right="715"/>
        <w:jc w:val="right"/>
        <w:rPr>
          <w:sz w:val="22"/>
          <w:szCs w:val="22"/>
          <w:lang w:val="en-CA"/>
        </w:rPr>
      </w:pPr>
      <w:r w:rsidRPr="007D3ACF">
        <w:rPr>
          <w:sz w:val="22"/>
          <w:szCs w:val="22"/>
          <w:lang w:val="en-CA"/>
        </w:rPr>
        <w:t>[Emphasis added</w:t>
      </w:r>
      <w:r w:rsidR="00434B1A">
        <w:rPr>
          <w:sz w:val="22"/>
          <w:szCs w:val="22"/>
          <w:lang w:val="en-CA"/>
        </w:rPr>
        <w:t>.</w:t>
      </w:r>
      <w:r w:rsidRPr="007D3ACF">
        <w:rPr>
          <w:sz w:val="22"/>
          <w:szCs w:val="22"/>
          <w:lang w:val="en-CA"/>
        </w:rPr>
        <w:t>]</w:t>
      </w:r>
    </w:p>
    <w:p w14:paraId="4F7374CC" w14:textId="7749B064" w:rsidR="00E406BF" w:rsidRPr="00A81CD3" w:rsidRDefault="001F4D79" w:rsidP="00EE4E7D">
      <w:pPr>
        <w:pStyle w:val="Paragraphe"/>
        <w:numPr>
          <w:ilvl w:val="0"/>
          <w:numId w:val="1"/>
        </w:numPr>
        <w:spacing w:before="180" w:after="180" w:line="280" w:lineRule="exact"/>
        <w:rPr>
          <w:i/>
          <w:iCs/>
          <w:szCs w:val="24"/>
          <w:lang w:val="en-CA"/>
        </w:rPr>
      </w:pPr>
      <w:r>
        <w:rPr>
          <w:lang w:val="en-CA"/>
        </w:rPr>
        <w:t>T</w:t>
      </w:r>
      <w:r w:rsidR="00EF1AF1" w:rsidRPr="00A81CD3">
        <w:rPr>
          <w:lang w:val="en-CA"/>
        </w:rPr>
        <w:t xml:space="preserve">he impact of the infringement of the right guaranteed by section 8 of the </w:t>
      </w:r>
      <w:r w:rsidR="00EF1AF1" w:rsidRPr="00A81CD3">
        <w:rPr>
          <w:i/>
          <w:iCs/>
          <w:lang w:val="en-CA"/>
        </w:rPr>
        <w:t>Charter</w:t>
      </w:r>
      <w:r w:rsidR="00EF1AF1" w:rsidRPr="00A81CD3">
        <w:rPr>
          <w:lang w:val="en-CA"/>
        </w:rPr>
        <w:t xml:space="preserve"> seems to me to be less significant. The appellant</w:t>
      </w:r>
      <w:r w:rsidR="00356592" w:rsidRPr="00A81CD3">
        <w:rPr>
          <w:lang w:val="en-CA"/>
        </w:rPr>
        <w:t>’</w:t>
      </w:r>
      <w:r w:rsidR="00EF1AF1" w:rsidRPr="00A81CD3">
        <w:rPr>
          <w:lang w:val="en-CA"/>
        </w:rPr>
        <w:t>s expectation of privacy was not high with respect to the contents of his car,</w:t>
      </w:r>
      <w:r w:rsidR="00EF1AF1" w:rsidRPr="00A81CD3">
        <w:rPr>
          <w:rStyle w:val="Appelnotedebasdep"/>
          <w:lang w:val="en-CA"/>
        </w:rPr>
        <w:footnoteReference w:id="54"/>
      </w:r>
      <w:r w:rsidR="00EF1AF1" w:rsidRPr="00A81CD3">
        <w:rPr>
          <w:lang w:val="en-CA"/>
        </w:rPr>
        <w:t xml:space="preserve"> and pat-down searches are generally considered minimally intrusive.</w:t>
      </w:r>
      <w:r w:rsidR="00EF1AF1" w:rsidRPr="00A81CD3">
        <w:rPr>
          <w:rStyle w:val="Appelnotedebasdep"/>
          <w:lang w:val="en-CA"/>
        </w:rPr>
        <w:footnoteReference w:id="55"/>
      </w:r>
      <w:r w:rsidR="00EF1AF1" w:rsidRPr="00A81CD3">
        <w:rPr>
          <w:lang w:val="en-CA"/>
        </w:rPr>
        <w:t xml:space="preserve"> In addition—and more importantly—it is a matter of record that the police had the requisite grounds to stop and search the appellant, which is relevant to assessing the impact of the </w:t>
      </w:r>
      <w:r w:rsidR="00434B1A">
        <w:rPr>
          <w:lang w:val="en-CA"/>
        </w:rPr>
        <w:t>breach</w:t>
      </w:r>
      <w:r w:rsidR="00EF1AF1" w:rsidRPr="00A81CD3">
        <w:rPr>
          <w:lang w:val="en-CA"/>
        </w:rPr>
        <w:t xml:space="preserve"> on the appellant</w:t>
      </w:r>
      <w:r w:rsidR="00356592" w:rsidRPr="00A81CD3">
        <w:rPr>
          <w:lang w:val="en-CA"/>
        </w:rPr>
        <w:t>’</w:t>
      </w:r>
      <w:r w:rsidR="00EF1AF1" w:rsidRPr="00A81CD3">
        <w:rPr>
          <w:lang w:val="en-CA"/>
        </w:rPr>
        <w:t>s rights.</w:t>
      </w:r>
      <w:r w:rsidR="00EF1AF1" w:rsidRPr="00A81CD3">
        <w:rPr>
          <w:rStyle w:val="Appelnotedebasdep"/>
          <w:lang w:val="en-CA"/>
        </w:rPr>
        <w:footnoteReference w:id="56"/>
      </w:r>
    </w:p>
    <w:p w14:paraId="4F7374CD" w14:textId="77FD1704" w:rsidR="00E406BF" w:rsidRPr="00A81CD3" w:rsidRDefault="00EF1AF1" w:rsidP="00EE4E7D">
      <w:pPr>
        <w:pStyle w:val="Paragraphe"/>
        <w:numPr>
          <w:ilvl w:val="0"/>
          <w:numId w:val="1"/>
        </w:numPr>
        <w:spacing w:before="180" w:after="180" w:line="280" w:lineRule="exact"/>
        <w:rPr>
          <w:i/>
          <w:iCs/>
          <w:szCs w:val="24"/>
          <w:lang w:val="en-CA"/>
        </w:rPr>
      </w:pPr>
      <w:r w:rsidRPr="00A81CD3">
        <w:rPr>
          <w:lang w:val="en-CA"/>
        </w:rPr>
        <w:t xml:space="preserve">In short, I </w:t>
      </w:r>
      <w:r w:rsidR="00434B1A">
        <w:rPr>
          <w:lang w:val="en-CA"/>
        </w:rPr>
        <w:t>am of the view</w:t>
      </w:r>
      <w:r w:rsidRPr="00A81CD3">
        <w:rPr>
          <w:lang w:val="en-CA"/>
        </w:rPr>
        <w:t xml:space="preserve"> that the concrete impact of the </w:t>
      </w:r>
      <w:r w:rsidR="00A87CAC">
        <w:rPr>
          <w:lang w:val="en-CA"/>
        </w:rPr>
        <w:t>breaches</w:t>
      </w:r>
      <w:r w:rsidRPr="00A81CD3">
        <w:rPr>
          <w:lang w:val="en-CA"/>
        </w:rPr>
        <w:t xml:space="preserve"> of fundamental rights, while not minimal, was not particularly significant.</w:t>
      </w:r>
    </w:p>
    <w:p w14:paraId="4F7374CE" w14:textId="01911656" w:rsidR="00E406BF" w:rsidRPr="00A81CD3" w:rsidRDefault="00EF1AF1" w:rsidP="006F7E56">
      <w:pPr>
        <w:pStyle w:val="Titre3"/>
        <w:rPr>
          <w:b/>
          <w:bCs/>
          <w:szCs w:val="24"/>
          <w:lang w:val="en-CA"/>
        </w:rPr>
      </w:pPr>
      <w:r w:rsidRPr="00A81CD3">
        <w:rPr>
          <w:rFonts w:cs="Arial"/>
          <w:b/>
          <w:bCs/>
          <w:lang w:val="en-CA"/>
        </w:rPr>
        <w:t>Societ</w:t>
      </w:r>
      <w:r w:rsidR="00434B1A">
        <w:rPr>
          <w:rFonts w:cs="Arial"/>
          <w:b/>
          <w:bCs/>
          <w:lang w:val="en-CA"/>
        </w:rPr>
        <w:t>y’s</w:t>
      </w:r>
      <w:r w:rsidRPr="00A81CD3">
        <w:rPr>
          <w:rFonts w:cs="Arial"/>
          <w:b/>
          <w:bCs/>
          <w:lang w:val="en-CA"/>
        </w:rPr>
        <w:t xml:space="preserve"> interest in the adjudication of the case on </w:t>
      </w:r>
      <w:r w:rsidR="00434B1A">
        <w:rPr>
          <w:rFonts w:cs="Arial"/>
          <w:b/>
          <w:bCs/>
          <w:lang w:val="en-CA"/>
        </w:rPr>
        <w:t>its</w:t>
      </w:r>
      <w:r w:rsidRPr="00A81CD3">
        <w:rPr>
          <w:rFonts w:cs="Arial"/>
          <w:b/>
          <w:bCs/>
          <w:lang w:val="en-CA"/>
        </w:rPr>
        <w:t xml:space="preserve"> merits</w:t>
      </w:r>
    </w:p>
    <w:p w14:paraId="4F7374CF" w14:textId="2EC9482B" w:rsidR="00E406BF" w:rsidRPr="00A81CD3" w:rsidRDefault="00EF1AF1" w:rsidP="00EE4E7D">
      <w:pPr>
        <w:pStyle w:val="Paragraphe"/>
        <w:numPr>
          <w:ilvl w:val="0"/>
          <w:numId w:val="1"/>
        </w:numPr>
        <w:spacing w:before="180" w:after="180" w:line="280" w:lineRule="exact"/>
        <w:rPr>
          <w:szCs w:val="24"/>
          <w:lang w:val="en-CA"/>
        </w:rPr>
      </w:pPr>
      <w:r w:rsidRPr="00353C16">
        <w:rPr>
          <w:lang w:val="en-CA"/>
        </w:rPr>
        <w:t>At the third stage</w:t>
      </w:r>
      <w:r w:rsidRPr="00A81CD3">
        <w:rPr>
          <w:lang w:val="en-CA"/>
        </w:rPr>
        <w:t xml:space="preserve"> of the analysis, the question is </w:t>
      </w:r>
      <w:r w:rsidR="00705025" w:rsidRPr="00A81CD3">
        <w:rPr>
          <w:color w:val="000000"/>
          <w:kern w:val="0"/>
          <w:sz w:val="27"/>
          <w:szCs w:val="27"/>
          <w:lang w:val="en-CA"/>
        </w:rPr>
        <w:t>“</w:t>
      </w:r>
      <w:r w:rsidRPr="00A81CD3">
        <w:rPr>
          <w:lang w:val="en-CA"/>
        </w:rPr>
        <w:t>whether the truth-seeking function of the criminal trial process would be better served by admission of the evidence, or by its exclusion”.</w:t>
      </w:r>
      <w:r w:rsidRPr="00A81CD3">
        <w:rPr>
          <w:rStyle w:val="Appelnotedebasdep"/>
          <w:lang w:val="en-CA"/>
        </w:rPr>
        <w:footnoteReference w:id="57"/>
      </w:r>
      <w:r w:rsidRPr="00A81CD3">
        <w:rPr>
          <w:lang w:val="en-CA"/>
        </w:rPr>
        <w:t xml:space="preserve"> In principle, society expects criminal cases to be tried on their merits. However, when evidence has been obtained in circumstances that </w:t>
      </w:r>
      <w:r w:rsidR="00D51F40">
        <w:rPr>
          <w:lang w:val="en-CA"/>
        </w:rPr>
        <w:t>infringe</w:t>
      </w:r>
      <w:r w:rsidRPr="00A81CD3">
        <w:rPr>
          <w:lang w:val="en-CA"/>
        </w:rPr>
        <w:t xml:space="preserve"> </w:t>
      </w:r>
      <w:r w:rsidRPr="00A81CD3">
        <w:rPr>
          <w:i/>
          <w:iCs/>
          <w:lang w:val="en-CA"/>
        </w:rPr>
        <w:t>Charter</w:t>
      </w:r>
      <w:r w:rsidRPr="00A81CD3">
        <w:rPr>
          <w:lang w:val="en-CA"/>
        </w:rPr>
        <w:t xml:space="preserve"> rights, courts must weigh its usefulness in the truth-seeking process against factors supporting its exclusion.</w:t>
      </w:r>
      <w:r w:rsidRPr="00A81CD3">
        <w:rPr>
          <w:rStyle w:val="Appelnotedebasdep"/>
          <w:lang w:val="en-CA"/>
        </w:rPr>
        <w:footnoteReference w:id="58"/>
      </w:r>
      <w:r w:rsidRPr="00A81CD3">
        <w:rPr>
          <w:lang w:val="en-CA"/>
        </w:rPr>
        <w:t xml:space="preserve"> The importance of the evidence for the prosecution’s case and the evidence’s reliability,</w:t>
      </w:r>
      <w:r w:rsidRPr="00A81CD3">
        <w:rPr>
          <w:rStyle w:val="Appelnotedebasdep"/>
          <w:lang w:val="en-CA"/>
        </w:rPr>
        <w:footnoteReference w:id="59"/>
      </w:r>
      <w:r w:rsidRPr="00A81CD3">
        <w:rPr>
          <w:lang w:val="en-CA"/>
        </w:rPr>
        <w:t xml:space="preserve"> as well as the seriousness of the alleged offence are therefore relevant factors—although this last factor should not be given undue weight.</w:t>
      </w:r>
      <w:r w:rsidRPr="00A81CD3">
        <w:rPr>
          <w:rStyle w:val="Appelnotedebasdep"/>
          <w:lang w:val="en-CA"/>
        </w:rPr>
        <w:footnoteReference w:id="60"/>
      </w:r>
    </w:p>
    <w:p w14:paraId="4F7374D0" w14:textId="77777777"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lastRenderedPageBreak/>
        <w:t>In my view, this last factor clearly supports the admission of the cocaine into evidence.</w:t>
      </w:r>
    </w:p>
    <w:p w14:paraId="4F7374D1" w14:textId="604F2CCD"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First, it is agreed that this evidence is essential to the prosecution. What </w:t>
      </w:r>
      <w:r w:rsidR="00011B55">
        <w:rPr>
          <w:lang w:val="en-CA"/>
        </w:rPr>
        <w:t xml:space="preserve">is </w:t>
      </w:r>
      <w:r w:rsidRPr="00A81CD3">
        <w:rPr>
          <w:lang w:val="en-CA"/>
        </w:rPr>
        <w:t>more, it is reliable evidence—as is generally the case with physical evidence,</w:t>
      </w:r>
      <w:r w:rsidRPr="00A81CD3">
        <w:rPr>
          <w:rStyle w:val="Appelnotedebasdep"/>
          <w:lang w:val="en-CA"/>
        </w:rPr>
        <w:footnoteReference w:id="61"/>
      </w:r>
      <w:r w:rsidRPr="00A81CD3">
        <w:rPr>
          <w:lang w:val="en-CA"/>
        </w:rPr>
        <w:t xml:space="preserve"> its reliability is in no way affected by the </w:t>
      </w:r>
      <w:r w:rsidRPr="00A81CD3">
        <w:rPr>
          <w:i/>
          <w:iCs/>
          <w:lang w:val="en-CA"/>
        </w:rPr>
        <w:t>Charter</w:t>
      </w:r>
      <w:r w:rsidRPr="00A81CD3">
        <w:rPr>
          <w:lang w:val="en-CA"/>
        </w:rPr>
        <w:t xml:space="preserve"> </w:t>
      </w:r>
      <w:r w:rsidR="00011B55">
        <w:rPr>
          <w:lang w:val="en-CA"/>
        </w:rPr>
        <w:t>breaches</w:t>
      </w:r>
      <w:r w:rsidRPr="00A81CD3">
        <w:rPr>
          <w:lang w:val="en-CA"/>
        </w:rPr>
        <w:t xml:space="preserve"> in question. As for the seriousness of the offence, the appellant was charged with possession of cocaine for the purpose of trafficking, unquestionably a serious offence. Although not very large, the quantity of cocaine seized—nine ounces—is not negligible. Society clearly has an interest in having this type of case adjudicated on its merits.</w:t>
      </w:r>
      <w:r w:rsidRPr="00A81CD3">
        <w:rPr>
          <w:rStyle w:val="Appelnotedebasdep"/>
          <w:lang w:val="en-CA"/>
        </w:rPr>
        <w:footnoteReference w:id="62"/>
      </w:r>
    </w:p>
    <w:p w14:paraId="4F7374D2" w14:textId="58769E6C"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 xml:space="preserve">All these factors weigh in favour of the use of the evidence. I therefore conclude that this third criterion weighs </w:t>
      </w:r>
      <w:r w:rsidR="00011B55">
        <w:rPr>
          <w:lang w:val="en-CA"/>
        </w:rPr>
        <w:t>heavily</w:t>
      </w:r>
      <w:r w:rsidRPr="00A81CD3">
        <w:rPr>
          <w:lang w:val="en-CA"/>
        </w:rPr>
        <w:t xml:space="preserve"> in favour of the admissibility of the evidence.</w:t>
      </w:r>
    </w:p>
    <w:p w14:paraId="4F7374D3" w14:textId="77777777" w:rsidR="00E406BF" w:rsidRPr="00A81CD3" w:rsidRDefault="00EF1AF1" w:rsidP="00E406BF">
      <w:pPr>
        <w:pStyle w:val="Paragraphe"/>
        <w:widowControl w:val="0"/>
        <w:spacing w:line="240" w:lineRule="auto"/>
        <w:jc w:val="center"/>
        <w:rPr>
          <w:szCs w:val="24"/>
          <w:lang w:val="en-CA"/>
        </w:rPr>
      </w:pPr>
      <w:r w:rsidRPr="00A81CD3">
        <w:rPr>
          <w:lang w:val="en-CA"/>
        </w:rPr>
        <w:t>*</w:t>
      </w:r>
      <w:r w:rsidRPr="00A81CD3">
        <w:rPr>
          <w:lang w:val="en-CA"/>
        </w:rPr>
        <w:tab/>
        <w:t>*</w:t>
      </w:r>
      <w:r w:rsidRPr="00A81CD3">
        <w:rPr>
          <w:lang w:val="en-CA"/>
        </w:rPr>
        <w:tab/>
        <w:t>*</w:t>
      </w:r>
    </w:p>
    <w:p w14:paraId="4F7374D4" w14:textId="00B3DEC3" w:rsidR="00E406BF" w:rsidRPr="00A81CD3" w:rsidRDefault="0001336E" w:rsidP="00EE4E7D">
      <w:pPr>
        <w:pStyle w:val="Paragraphe"/>
        <w:numPr>
          <w:ilvl w:val="0"/>
          <w:numId w:val="1"/>
        </w:numPr>
        <w:spacing w:before="180" w:after="180" w:line="280" w:lineRule="exact"/>
        <w:rPr>
          <w:szCs w:val="24"/>
          <w:lang w:val="en-CA"/>
        </w:rPr>
      </w:pPr>
      <w:r>
        <w:rPr>
          <w:szCs w:val="24"/>
          <w:lang w:val="en-CA"/>
        </w:rPr>
        <w:t>Because</w:t>
      </w:r>
      <w:r w:rsidR="00EF1AF1" w:rsidRPr="00A81CD3">
        <w:rPr>
          <w:szCs w:val="24"/>
          <w:lang w:val="en-CA"/>
        </w:rPr>
        <w:t xml:space="preserve"> </w:t>
      </w:r>
      <w:r w:rsidR="00EF1AF1" w:rsidRPr="00A81CD3">
        <w:rPr>
          <w:lang w:val="en-CA"/>
        </w:rPr>
        <w:t>the first and second factors weigh only moderately in favour of the appellant</w:t>
      </w:r>
      <w:r w:rsidR="00356592" w:rsidRPr="00A81CD3">
        <w:rPr>
          <w:lang w:val="en-CA"/>
        </w:rPr>
        <w:t>’</w:t>
      </w:r>
      <w:r w:rsidR="00EF1AF1" w:rsidRPr="00A81CD3">
        <w:rPr>
          <w:lang w:val="en-CA"/>
        </w:rPr>
        <w:t xml:space="preserve">s position, and </w:t>
      </w:r>
      <w:r>
        <w:rPr>
          <w:lang w:val="en-CA"/>
        </w:rPr>
        <w:t>because</w:t>
      </w:r>
      <w:r w:rsidR="00EF1AF1" w:rsidRPr="00A81CD3">
        <w:rPr>
          <w:lang w:val="en-CA"/>
        </w:rPr>
        <w:t xml:space="preserve"> society seems to me to have a clear interest in having the case adjudicated on its merits, I </w:t>
      </w:r>
      <w:r>
        <w:rPr>
          <w:lang w:val="en-CA"/>
        </w:rPr>
        <w:t>find</w:t>
      </w:r>
      <w:r w:rsidR="00EF1AF1" w:rsidRPr="00A81CD3">
        <w:rPr>
          <w:lang w:val="en-CA"/>
        </w:rPr>
        <w:t xml:space="preserve"> that the use in evidence of the cocaine seized during the operation on October 1, 2018, is not likely to bring the administration of justice into disrepute within the meaning of </w:t>
      </w:r>
      <w:r>
        <w:rPr>
          <w:lang w:val="en-CA"/>
        </w:rPr>
        <w:t>sub</w:t>
      </w:r>
      <w:r w:rsidR="00EF1AF1" w:rsidRPr="00A81CD3">
        <w:rPr>
          <w:lang w:val="en-CA"/>
        </w:rPr>
        <w:t xml:space="preserve">section 24(2) of the </w:t>
      </w:r>
      <w:r w:rsidR="00EF1AF1" w:rsidRPr="00A81CD3">
        <w:rPr>
          <w:i/>
          <w:iCs/>
          <w:lang w:val="en-CA"/>
        </w:rPr>
        <w:t>Charter</w:t>
      </w:r>
      <w:r w:rsidR="00EF1AF1" w:rsidRPr="00A81CD3">
        <w:rPr>
          <w:lang w:val="en-CA"/>
        </w:rPr>
        <w:t>.</w:t>
      </w:r>
    </w:p>
    <w:p w14:paraId="4F7374D5" w14:textId="77777777" w:rsidR="00E406BF" w:rsidRPr="00A81CD3" w:rsidRDefault="00EF1AF1" w:rsidP="00CA1BC7">
      <w:pPr>
        <w:pStyle w:val="Paragraphe"/>
        <w:widowControl w:val="0"/>
        <w:numPr>
          <w:ilvl w:val="0"/>
          <w:numId w:val="14"/>
        </w:numPr>
        <w:spacing w:before="240" w:after="180" w:line="280" w:lineRule="exact"/>
        <w:ind w:left="714" w:hanging="357"/>
        <w:rPr>
          <w:b/>
          <w:u w:val="single"/>
          <w:lang w:val="en-CA"/>
        </w:rPr>
      </w:pPr>
      <w:r w:rsidRPr="00A81CD3">
        <w:rPr>
          <w:rFonts w:cs="Arial"/>
          <w:b/>
          <w:bCs/>
          <w:u w:val="single"/>
          <w:lang w:val="en-CA"/>
        </w:rPr>
        <w:t>The alleged infringement of the right to be tried within a reasonable time</w:t>
      </w:r>
    </w:p>
    <w:p w14:paraId="4F7374D6" w14:textId="40AC62DD"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Reiterating the arguments he advanced at </w:t>
      </w:r>
      <w:r w:rsidR="002B2B84">
        <w:rPr>
          <w:lang w:val="en-CA"/>
        </w:rPr>
        <w:t>trial</w:t>
      </w:r>
      <w:r w:rsidRPr="00A81CD3">
        <w:rPr>
          <w:lang w:val="en-CA"/>
        </w:rPr>
        <w:t xml:space="preserve">, the appellant contends that the deliberation on his </w:t>
      </w:r>
      <w:r w:rsidR="009D7A88">
        <w:rPr>
          <w:lang w:val="en-CA"/>
        </w:rPr>
        <w:t>motions</w:t>
      </w:r>
      <w:r w:rsidRPr="00A81CD3">
        <w:rPr>
          <w:lang w:val="en-CA"/>
        </w:rPr>
        <w:t xml:space="preserve"> challenging the admissibility of the cocaine, which began on September 16, 2021, and ended on December 21, 2021, </w:t>
      </w:r>
      <w:r w:rsidR="002B2B84">
        <w:rPr>
          <w:lang w:val="en-CA"/>
        </w:rPr>
        <w:t>is</w:t>
      </w:r>
      <w:r w:rsidRPr="00A81CD3">
        <w:rPr>
          <w:lang w:val="en-CA"/>
        </w:rPr>
        <w:t xml:space="preserve"> not a discrete exceptional event within the meaning of the Supreme Court</w:t>
      </w:r>
      <w:r w:rsidR="00356592" w:rsidRPr="00A81CD3">
        <w:rPr>
          <w:lang w:val="en-CA"/>
        </w:rPr>
        <w:t>’</w:t>
      </w:r>
      <w:r w:rsidRPr="00A81CD3">
        <w:rPr>
          <w:lang w:val="en-CA"/>
        </w:rPr>
        <w:t xml:space="preserve">s decision in </w:t>
      </w:r>
      <w:r w:rsidRPr="00A81CD3">
        <w:rPr>
          <w:i/>
          <w:iCs/>
          <w:lang w:val="en-CA"/>
        </w:rPr>
        <w:t>Jordan</w:t>
      </w:r>
      <w:r w:rsidRPr="00A81CD3">
        <w:rPr>
          <w:lang w:val="en-CA"/>
        </w:rPr>
        <w:t>.</w:t>
      </w:r>
      <w:r w:rsidRPr="00A81CD3">
        <w:rPr>
          <w:rStyle w:val="Appelnotedebasdep"/>
          <w:lang w:val="en-CA"/>
        </w:rPr>
        <w:footnoteReference w:id="63"/>
      </w:r>
      <w:r w:rsidRPr="00A81CD3">
        <w:rPr>
          <w:lang w:val="en-CA"/>
        </w:rPr>
        <w:t xml:space="preserve"> In his view, this period should not be excluded from the calculation of the time limit in first instance because of the prosecution</w:t>
      </w:r>
      <w:r w:rsidR="00353C16">
        <w:rPr>
          <w:lang w:val="en-CA"/>
        </w:rPr>
        <w:t>’s</w:t>
      </w:r>
      <w:r w:rsidRPr="00A81CD3">
        <w:rPr>
          <w:lang w:val="en-CA"/>
        </w:rPr>
        <w:t xml:space="preserve"> </w:t>
      </w:r>
      <w:r w:rsidR="00353C16" w:rsidRPr="00A81CD3">
        <w:rPr>
          <w:lang w:val="en-CA"/>
        </w:rPr>
        <w:t xml:space="preserve">negligence </w:t>
      </w:r>
      <w:r w:rsidRPr="00A81CD3">
        <w:rPr>
          <w:lang w:val="en-CA"/>
        </w:rPr>
        <w:t xml:space="preserve">in not insisting that the arguments on the merits of the case take place immediately after the </w:t>
      </w:r>
      <w:r w:rsidRPr="00A81CD3">
        <w:rPr>
          <w:i/>
          <w:iCs/>
          <w:lang w:val="en-CA"/>
        </w:rPr>
        <w:t>voir dire</w:t>
      </w:r>
      <w:r w:rsidRPr="00A81CD3">
        <w:rPr>
          <w:lang w:val="en-CA"/>
        </w:rPr>
        <w:t xml:space="preserve"> rather than after the judgment on the admissibility of the cocaine. The appellant adds that the 18-month ceiling applicable under </w:t>
      </w:r>
      <w:r w:rsidRPr="00A81CD3">
        <w:rPr>
          <w:i/>
          <w:iCs/>
          <w:lang w:val="en-CA"/>
        </w:rPr>
        <w:t xml:space="preserve">Jordan </w:t>
      </w:r>
      <w:r w:rsidRPr="00A81CD3">
        <w:rPr>
          <w:lang w:val="en-CA"/>
        </w:rPr>
        <w:t xml:space="preserve">had been exceeded, and therefore the trial judge should have found that his right under </w:t>
      </w:r>
      <w:r w:rsidR="002B2B84">
        <w:rPr>
          <w:lang w:val="en-CA"/>
        </w:rPr>
        <w:t>paragraph</w:t>
      </w:r>
      <w:r w:rsidRPr="00A81CD3">
        <w:rPr>
          <w:lang w:val="en-CA"/>
        </w:rPr>
        <w:t xml:space="preserve"> 11(b) of the </w:t>
      </w:r>
      <w:r w:rsidRPr="00A81CD3">
        <w:rPr>
          <w:i/>
          <w:iCs/>
          <w:lang w:val="en-CA"/>
        </w:rPr>
        <w:t>Charter</w:t>
      </w:r>
      <w:r w:rsidRPr="00A81CD3">
        <w:rPr>
          <w:lang w:val="en-CA"/>
        </w:rPr>
        <w:t xml:space="preserve"> had been </w:t>
      </w:r>
      <w:r w:rsidR="002B2B84">
        <w:rPr>
          <w:lang w:val="en-CA"/>
        </w:rPr>
        <w:t>infringed</w:t>
      </w:r>
      <w:r w:rsidRPr="00A81CD3">
        <w:rPr>
          <w:lang w:val="en-CA"/>
        </w:rPr>
        <w:t xml:space="preserve"> and ordered a stay of proceedings.</w:t>
      </w:r>
    </w:p>
    <w:p w14:paraId="4F7374D7" w14:textId="07A89DB1" w:rsidR="00E406BF" w:rsidRPr="00A81CD3" w:rsidRDefault="00EF1AF1" w:rsidP="00EE4E7D">
      <w:pPr>
        <w:pStyle w:val="Paragraphe"/>
        <w:numPr>
          <w:ilvl w:val="0"/>
          <w:numId w:val="1"/>
        </w:numPr>
        <w:spacing w:before="180" w:after="180" w:line="280" w:lineRule="exact"/>
        <w:rPr>
          <w:lang w:val="en-CA"/>
        </w:rPr>
      </w:pPr>
      <w:r w:rsidRPr="00A81CD3">
        <w:rPr>
          <w:lang w:val="en-CA"/>
        </w:rPr>
        <w:lastRenderedPageBreak/>
        <w:t xml:space="preserve">I </w:t>
      </w:r>
      <w:r w:rsidR="002B2B84">
        <w:rPr>
          <w:lang w:val="en-CA"/>
        </w:rPr>
        <w:t>am of the view that</w:t>
      </w:r>
      <w:r w:rsidRPr="00A81CD3">
        <w:rPr>
          <w:lang w:val="en-CA"/>
        </w:rPr>
        <w:t xml:space="preserve"> the appellant</w:t>
      </w:r>
      <w:r w:rsidR="00356592" w:rsidRPr="00A81CD3">
        <w:rPr>
          <w:lang w:val="en-CA"/>
        </w:rPr>
        <w:t>’</w:t>
      </w:r>
      <w:r w:rsidRPr="00A81CD3">
        <w:rPr>
          <w:lang w:val="en-CA"/>
        </w:rPr>
        <w:t xml:space="preserve">s position </w:t>
      </w:r>
      <w:r w:rsidR="002B2B84">
        <w:rPr>
          <w:lang w:val="en-CA"/>
        </w:rPr>
        <w:t>is</w:t>
      </w:r>
      <w:r w:rsidRPr="00A81CD3">
        <w:rPr>
          <w:lang w:val="en-CA"/>
        </w:rPr>
        <w:t xml:space="preserve"> unfounded.</w:t>
      </w:r>
    </w:p>
    <w:p w14:paraId="4F7374D8" w14:textId="60A3C640" w:rsidR="00E406BF" w:rsidRPr="00A81CD3" w:rsidRDefault="00353C16" w:rsidP="00EE4E7D">
      <w:pPr>
        <w:pStyle w:val="Paragraphe"/>
        <w:numPr>
          <w:ilvl w:val="0"/>
          <w:numId w:val="1"/>
        </w:numPr>
        <w:spacing w:before="180" w:after="180" w:line="280" w:lineRule="exact"/>
        <w:rPr>
          <w:lang w:val="en-CA"/>
        </w:rPr>
      </w:pPr>
      <w:r>
        <w:rPr>
          <w:lang w:val="en-CA"/>
        </w:rPr>
        <w:t>T</w:t>
      </w:r>
      <w:r w:rsidR="00EF1AF1" w:rsidRPr="00A81CD3">
        <w:rPr>
          <w:lang w:val="en-CA"/>
        </w:rPr>
        <w:t>he Court</w:t>
      </w:r>
      <w:r w:rsidR="00356592" w:rsidRPr="00A81CD3">
        <w:rPr>
          <w:lang w:val="en-CA"/>
        </w:rPr>
        <w:t>’</w:t>
      </w:r>
      <w:r w:rsidR="00EF1AF1" w:rsidRPr="00A81CD3">
        <w:rPr>
          <w:lang w:val="en-CA"/>
        </w:rPr>
        <w:t xml:space="preserve">s case law </w:t>
      </w:r>
      <w:r>
        <w:rPr>
          <w:lang w:val="en-CA"/>
        </w:rPr>
        <w:t xml:space="preserve">establishes </w:t>
      </w:r>
      <w:r w:rsidR="00EF1AF1" w:rsidRPr="00A81CD3">
        <w:rPr>
          <w:lang w:val="en-CA"/>
        </w:rPr>
        <w:t>that [</w:t>
      </w:r>
      <w:r w:rsidR="00FA4D75">
        <w:rPr>
          <w:smallCaps/>
          <w:lang w:val="en-CA"/>
        </w:rPr>
        <w:t>translation</w:t>
      </w:r>
      <w:r w:rsidR="00EF1AF1" w:rsidRPr="00A81CD3">
        <w:rPr>
          <w:lang w:val="en-CA"/>
        </w:rPr>
        <w:t xml:space="preserve">] </w:t>
      </w:r>
      <w:r w:rsidR="00FA4D75">
        <w:rPr>
          <w:lang w:val="en-CA"/>
        </w:rPr>
        <w:t>“</w:t>
      </w:r>
      <w:r w:rsidR="00FA4D75" w:rsidRPr="006F7E56">
        <w:rPr>
          <w:lang w:val="en-CA"/>
        </w:rPr>
        <w:t>reserving judgment on interlocutory matters, which can put the brakes on a trial and, for this reason, render the court unavailable</w:t>
      </w:r>
      <w:r w:rsidR="00705025" w:rsidRPr="00A81CD3">
        <w:rPr>
          <w:lang w:val="en-CA"/>
        </w:rPr>
        <w:t>”</w:t>
      </w:r>
      <w:r w:rsidR="00EF1AF1" w:rsidRPr="00A81CD3">
        <w:rPr>
          <w:rStyle w:val="Appelnotedebasdep"/>
          <w:lang w:val="en-CA"/>
        </w:rPr>
        <w:footnoteReference w:id="64"/>
      </w:r>
      <w:r w:rsidR="00EF1AF1" w:rsidRPr="00A81CD3">
        <w:rPr>
          <w:lang w:val="en-CA"/>
        </w:rPr>
        <w:t xml:space="preserve"> may constitute discrete exceptional events that must be deducted from the calculation of the total length of the delay.</w:t>
      </w:r>
      <w:r w:rsidR="00EF1AF1" w:rsidRPr="00A81CD3">
        <w:rPr>
          <w:rStyle w:val="Appelnotedebasdep"/>
          <w:lang w:val="en-CA"/>
        </w:rPr>
        <w:footnoteReference w:id="65"/>
      </w:r>
      <w:r w:rsidR="00EF1AF1" w:rsidRPr="00A81CD3">
        <w:rPr>
          <w:lang w:val="en-CA"/>
        </w:rPr>
        <w:t xml:space="preserve"> This is not automatic. It is first and foremost up to the trial judge to determine whether, given the circumstances of the case, an interlocutory deliberation </w:t>
      </w:r>
      <w:r w:rsidR="00FA4D75">
        <w:rPr>
          <w:lang w:val="en-CA"/>
        </w:rPr>
        <w:t>should</w:t>
      </w:r>
      <w:r w:rsidR="00EF1AF1" w:rsidRPr="00A81CD3">
        <w:rPr>
          <w:lang w:val="en-CA"/>
        </w:rPr>
        <w:t xml:space="preserve"> be characterized as a discrete exceptional event.</w:t>
      </w:r>
      <w:r w:rsidR="00EF1AF1" w:rsidRPr="00A81CD3">
        <w:rPr>
          <w:rStyle w:val="Appelnotedebasdep"/>
          <w:lang w:val="en-CA"/>
        </w:rPr>
        <w:footnoteReference w:id="66"/>
      </w:r>
      <w:r w:rsidR="00EF1AF1" w:rsidRPr="00A81CD3">
        <w:rPr>
          <w:lang w:val="en-CA"/>
        </w:rPr>
        <w:t xml:space="preserve"> </w:t>
      </w:r>
      <w:r w:rsidR="00FA4D75">
        <w:rPr>
          <w:lang w:val="en-CA"/>
        </w:rPr>
        <w:t>Because</w:t>
      </w:r>
      <w:r w:rsidR="00EF1AF1" w:rsidRPr="00A81CD3">
        <w:rPr>
          <w:lang w:val="en-CA"/>
        </w:rPr>
        <w:t xml:space="preserve"> this analysis relies on the </w:t>
      </w:r>
      <w:r w:rsidR="00705025" w:rsidRPr="00A81CD3">
        <w:rPr>
          <w:lang w:val="en-CA"/>
        </w:rPr>
        <w:t>“</w:t>
      </w:r>
      <w:r w:rsidR="00EF1AF1" w:rsidRPr="00A81CD3">
        <w:rPr>
          <w:lang w:val="en-CA"/>
        </w:rPr>
        <w:t xml:space="preserve">trial judge’s </w:t>
      </w:r>
      <w:r w:rsidR="00FA4D75">
        <w:rPr>
          <w:lang w:val="en-CA"/>
        </w:rPr>
        <w:t>common</w:t>
      </w:r>
      <w:r w:rsidR="00EF1AF1" w:rsidRPr="00A81CD3">
        <w:rPr>
          <w:lang w:val="en-CA"/>
        </w:rPr>
        <w:t xml:space="preserve"> sense and experience”,</w:t>
      </w:r>
      <w:r w:rsidR="00EF1AF1" w:rsidRPr="00A81CD3">
        <w:rPr>
          <w:rStyle w:val="Appelnotedebasdep"/>
          <w:lang w:val="en-CA"/>
        </w:rPr>
        <w:footnoteReference w:id="67"/>
      </w:r>
      <w:r w:rsidR="00EF1AF1" w:rsidRPr="00A81CD3">
        <w:rPr>
          <w:lang w:val="en-CA"/>
        </w:rPr>
        <w:t xml:space="preserve"> appellate courts must show deference to the factual findings underlying the conclusions drawn by the judge.</w:t>
      </w:r>
      <w:r w:rsidR="00EF1AF1" w:rsidRPr="00A81CD3">
        <w:rPr>
          <w:rStyle w:val="Appelnotedebasdep"/>
          <w:lang w:val="en-CA"/>
        </w:rPr>
        <w:footnoteReference w:id="68"/>
      </w:r>
    </w:p>
    <w:p w14:paraId="4F7374D9" w14:textId="4DBF9F32"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It is true that in this case, the deliberation </w:t>
      </w:r>
      <w:r w:rsidR="00FA4D75" w:rsidRPr="00A81CD3">
        <w:rPr>
          <w:lang w:val="en-CA"/>
        </w:rPr>
        <w:t xml:space="preserve">period </w:t>
      </w:r>
      <w:r w:rsidRPr="00A81CD3">
        <w:rPr>
          <w:lang w:val="en-CA"/>
        </w:rPr>
        <w:t xml:space="preserve">that lasted from September 16, 2021, to December 21, 2021, could have been avoided, in that the arguments on the merits of the case could have taken place immediately after the </w:t>
      </w:r>
      <w:r w:rsidRPr="00A81CD3">
        <w:rPr>
          <w:i/>
          <w:iCs/>
          <w:lang w:val="en-CA"/>
        </w:rPr>
        <w:t>voir dire</w:t>
      </w:r>
      <w:r w:rsidRPr="00A81CD3">
        <w:rPr>
          <w:lang w:val="en-CA"/>
        </w:rPr>
        <w:t xml:space="preserve"> rather than after the judgment on the admissibility of the cocaine. However, as the judge noted,</w:t>
      </w:r>
      <w:r w:rsidRPr="00A81CD3">
        <w:rPr>
          <w:rStyle w:val="Appelnotedebasdep"/>
          <w:lang w:val="en-CA"/>
        </w:rPr>
        <w:footnoteReference w:id="69"/>
      </w:r>
      <w:r w:rsidRPr="00A81CD3">
        <w:rPr>
          <w:lang w:val="en-CA"/>
        </w:rPr>
        <w:t xml:space="preserve"> the appellant agreed with the Crown that the debate on the admissibility of </w:t>
      </w:r>
      <w:r w:rsidR="00690265">
        <w:rPr>
          <w:lang w:val="en-CA"/>
        </w:rPr>
        <w:t xml:space="preserve">the </w:t>
      </w:r>
      <w:r w:rsidRPr="00A81CD3">
        <w:rPr>
          <w:lang w:val="en-CA"/>
        </w:rPr>
        <w:t xml:space="preserve">cocaine should be settled before arguing the merits of the case. </w:t>
      </w:r>
      <w:r w:rsidR="00D6576B">
        <w:rPr>
          <w:lang w:val="en-CA"/>
        </w:rPr>
        <w:t>Everyone</w:t>
      </w:r>
      <w:r w:rsidRPr="00A81CD3">
        <w:rPr>
          <w:lang w:val="en-CA"/>
        </w:rPr>
        <w:t xml:space="preserve"> agreed that it was preferable to proceed in this way, as the judgment to be </w:t>
      </w:r>
      <w:r w:rsidR="00D6576B">
        <w:rPr>
          <w:lang w:val="en-CA"/>
        </w:rPr>
        <w:t>rendered</w:t>
      </w:r>
      <w:r w:rsidRPr="00A81CD3">
        <w:rPr>
          <w:lang w:val="en-CA"/>
        </w:rPr>
        <w:t xml:space="preserve"> on the appellant’s </w:t>
      </w:r>
      <w:r w:rsidR="009D7A88">
        <w:rPr>
          <w:lang w:val="en-CA"/>
        </w:rPr>
        <w:t>motions</w:t>
      </w:r>
      <w:r w:rsidRPr="00A81CD3">
        <w:rPr>
          <w:lang w:val="en-CA"/>
        </w:rPr>
        <w:t xml:space="preserve"> was likely to determine the outcome of the case.</w:t>
      </w:r>
      <w:r w:rsidRPr="00A81CD3">
        <w:rPr>
          <w:rStyle w:val="Appelnotedebasdep"/>
          <w:lang w:val="en-CA"/>
        </w:rPr>
        <w:footnoteReference w:id="70"/>
      </w:r>
    </w:p>
    <w:p w14:paraId="4F7374DA" w14:textId="124AA7BF" w:rsidR="00E406BF" w:rsidRPr="00A81CD3" w:rsidRDefault="00EF1AF1" w:rsidP="00EE4E7D">
      <w:pPr>
        <w:pStyle w:val="Paragraphe"/>
        <w:numPr>
          <w:ilvl w:val="0"/>
          <w:numId w:val="1"/>
        </w:numPr>
        <w:spacing w:before="180" w:after="180" w:line="280" w:lineRule="exact"/>
        <w:rPr>
          <w:lang w:val="en-CA"/>
        </w:rPr>
      </w:pPr>
      <w:r w:rsidRPr="00A81CD3">
        <w:rPr>
          <w:lang w:val="en-CA"/>
        </w:rPr>
        <w:t xml:space="preserve">In the circumstances, I consider it inappropriate for the appellant to accuse the Crown of having been negligent in not insisting that the arguments on the merits take place immediately after </w:t>
      </w:r>
      <w:r w:rsidR="00690265">
        <w:rPr>
          <w:lang w:val="en-CA"/>
        </w:rPr>
        <w:t xml:space="preserve">the </w:t>
      </w:r>
      <w:r w:rsidRPr="00A81CD3">
        <w:rPr>
          <w:i/>
          <w:iCs/>
          <w:lang w:val="en-CA"/>
        </w:rPr>
        <w:t>voir dire</w:t>
      </w:r>
      <w:r w:rsidRPr="00A81CD3">
        <w:rPr>
          <w:lang w:val="en-CA"/>
        </w:rPr>
        <w:t xml:space="preserve">, and thus of being responsible for the delay incurred between September 16 and December 21, 2021. I conclude that the appellant has not shown that the judge </w:t>
      </w:r>
      <w:r w:rsidR="006E27DC">
        <w:rPr>
          <w:lang w:val="en-CA"/>
        </w:rPr>
        <w:t>made</w:t>
      </w:r>
      <w:r w:rsidRPr="00A81CD3">
        <w:rPr>
          <w:lang w:val="en-CA"/>
        </w:rPr>
        <w:t xml:space="preserve"> a reviewable error in characterizing the interlocutory deliberation as a discrete event. His argument alleging </w:t>
      </w:r>
      <w:r w:rsidR="006E27DC">
        <w:rPr>
          <w:lang w:val="en-CA"/>
        </w:rPr>
        <w:t xml:space="preserve">an </w:t>
      </w:r>
      <w:r w:rsidRPr="00A81CD3">
        <w:rPr>
          <w:lang w:val="en-CA"/>
        </w:rPr>
        <w:t>infringement of the right to be tried within a reasonable time must therefore be rejected.</w:t>
      </w:r>
    </w:p>
    <w:p w14:paraId="6C8B133E" w14:textId="77777777" w:rsidR="00EF1AF1" w:rsidRPr="00A81CD3" w:rsidRDefault="00EF1AF1">
      <w:pPr>
        <w:spacing w:line="240" w:lineRule="auto"/>
        <w:rPr>
          <w:b/>
          <w:bCs/>
          <w:kern w:val="28"/>
          <w:lang w:val="en-CA"/>
        </w:rPr>
      </w:pPr>
      <w:r w:rsidRPr="00A81CD3">
        <w:rPr>
          <w:b/>
          <w:bCs/>
          <w:lang w:val="en-CA"/>
        </w:rPr>
        <w:br w:type="page"/>
      </w:r>
    </w:p>
    <w:p w14:paraId="4F7374DB" w14:textId="7FF4C734" w:rsidR="00E406BF" w:rsidRPr="00A81CD3" w:rsidRDefault="00EF1AF1" w:rsidP="00E406BF">
      <w:pPr>
        <w:pStyle w:val="Paragraphe"/>
        <w:keepNext/>
        <w:widowControl w:val="0"/>
        <w:spacing w:line="240" w:lineRule="auto"/>
        <w:rPr>
          <w:b/>
          <w:bCs/>
          <w:u w:val="single"/>
          <w:lang w:val="en-CA"/>
        </w:rPr>
      </w:pPr>
      <w:r w:rsidRPr="00A81CD3">
        <w:rPr>
          <w:b/>
          <w:bCs/>
          <w:lang w:val="en-CA"/>
        </w:rPr>
        <w:lastRenderedPageBreak/>
        <w:t>IV.</w:t>
      </w:r>
      <w:r w:rsidRPr="00A81CD3">
        <w:rPr>
          <w:b/>
          <w:bCs/>
          <w:lang w:val="en-CA"/>
        </w:rPr>
        <w:tab/>
      </w:r>
      <w:r w:rsidRPr="00A81CD3">
        <w:rPr>
          <w:b/>
          <w:bCs/>
          <w:u w:val="single"/>
          <w:lang w:val="en-CA"/>
        </w:rPr>
        <w:t>Conclusion</w:t>
      </w:r>
    </w:p>
    <w:p w14:paraId="4F7374DC" w14:textId="77777777" w:rsidR="00E406BF" w:rsidRPr="00A81CD3" w:rsidRDefault="00EF1AF1" w:rsidP="00EE4E7D">
      <w:pPr>
        <w:pStyle w:val="Paragraphe"/>
        <w:numPr>
          <w:ilvl w:val="0"/>
          <w:numId w:val="1"/>
        </w:numPr>
        <w:spacing w:before="180" w:after="180" w:line="280" w:lineRule="exact"/>
        <w:rPr>
          <w:szCs w:val="24"/>
          <w:lang w:val="en-CA"/>
        </w:rPr>
      </w:pPr>
      <w:r w:rsidRPr="00A81CD3">
        <w:rPr>
          <w:lang w:val="en-CA"/>
        </w:rPr>
        <w:t>For these reasons, I propose that the Court dismiss the appeal.</w:t>
      </w:r>
    </w:p>
    <w:tbl>
      <w:tblPr>
        <w:tblW w:w="0" w:type="auto"/>
        <w:tblLayout w:type="fixed"/>
        <w:tblCellMar>
          <w:left w:w="0" w:type="dxa"/>
          <w:right w:w="0" w:type="dxa"/>
        </w:tblCellMar>
        <w:tblLook w:val="0000" w:firstRow="0" w:lastRow="0" w:firstColumn="0" w:lastColumn="0" w:noHBand="0" w:noVBand="0"/>
      </w:tblPr>
      <w:tblGrid>
        <w:gridCol w:w="4735"/>
        <w:gridCol w:w="4625"/>
      </w:tblGrid>
      <w:tr w:rsidR="00DD634F" w:rsidRPr="00064EE2" w14:paraId="4F7374DE" w14:textId="77777777" w:rsidTr="006C32CB">
        <w:trPr>
          <w:cantSplit/>
          <w:trHeight w:val="860"/>
        </w:trPr>
        <w:tc>
          <w:tcPr>
            <w:tcW w:w="9360" w:type="dxa"/>
            <w:gridSpan w:val="2"/>
          </w:tcPr>
          <w:p w14:paraId="4F7374DD" w14:textId="77777777" w:rsidR="00E406BF" w:rsidRPr="00A81CD3" w:rsidRDefault="00E406BF" w:rsidP="00B013C5">
            <w:pPr>
              <w:widowControl w:val="0"/>
              <w:rPr>
                <w:lang w:val="en-CA"/>
              </w:rPr>
            </w:pPr>
          </w:p>
        </w:tc>
      </w:tr>
      <w:tr w:rsidR="00DD634F" w:rsidRPr="00064EE2" w14:paraId="4F7374E1" w14:textId="77777777" w:rsidTr="00B013C5">
        <w:trPr>
          <w:cantSplit/>
          <w:trHeight w:val="277"/>
        </w:trPr>
        <w:tc>
          <w:tcPr>
            <w:tcW w:w="4735" w:type="dxa"/>
            <w:vMerge w:val="restart"/>
          </w:tcPr>
          <w:p w14:paraId="4F7374DF" w14:textId="77777777" w:rsidR="00E406BF" w:rsidRPr="00A81CD3" w:rsidRDefault="00E406BF" w:rsidP="00B013C5">
            <w:pPr>
              <w:widowControl w:val="0"/>
              <w:rPr>
                <w:lang w:val="en-CA"/>
              </w:rPr>
            </w:pPr>
          </w:p>
        </w:tc>
        <w:tc>
          <w:tcPr>
            <w:tcW w:w="4625" w:type="dxa"/>
            <w:tcBorders>
              <w:bottom w:val="single" w:sz="8" w:space="0" w:color="auto"/>
            </w:tcBorders>
          </w:tcPr>
          <w:p w14:paraId="4F7374E0" w14:textId="77777777" w:rsidR="00E406BF" w:rsidRPr="00A81CD3" w:rsidRDefault="00E406BF" w:rsidP="00B013C5">
            <w:pPr>
              <w:widowControl w:val="0"/>
              <w:rPr>
                <w:lang w:val="en-CA"/>
              </w:rPr>
            </w:pPr>
          </w:p>
        </w:tc>
      </w:tr>
      <w:tr w:rsidR="00DD634F" w:rsidRPr="00A81CD3" w14:paraId="4F7374E4" w14:textId="77777777" w:rsidTr="00B013C5">
        <w:trPr>
          <w:cantSplit/>
          <w:trHeight w:val="276"/>
        </w:trPr>
        <w:tc>
          <w:tcPr>
            <w:tcW w:w="4735" w:type="dxa"/>
            <w:vMerge/>
          </w:tcPr>
          <w:p w14:paraId="4F7374E2" w14:textId="77777777" w:rsidR="00E406BF" w:rsidRPr="00A81CD3" w:rsidRDefault="00E406BF" w:rsidP="00B013C5">
            <w:pPr>
              <w:widowControl w:val="0"/>
              <w:rPr>
                <w:lang w:val="en-CA"/>
              </w:rPr>
            </w:pPr>
          </w:p>
        </w:tc>
        <w:tc>
          <w:tcPr>
            <w:tcW w:w="4625" w:type="dxa"/>
          </w:tcPr>
          <w:p w14:paraId="4F7374E3" w14:textId="77777777" w:rsidR="00E406BF" w:rsidRPr="00A81CD3" w:rsidRDefault="00EF1AF1" w:rsidP="00B013C5">
            <w:pPr>
              <w:widowControl w:val="0"/>
              <w:rPr>
                <w:lang w:val="en-CA"/>
              </w:rPr>
            </w:pPr>
            <w:r w:rsidRPr="00A81CD3">
              <w:rPr>
                <w:lang w:val="en-CA"/>
              </w:rPr>
              <w:t>FRÉDÉRIC BACHAND, J.A.</w:t>
            </w:r>
          </w:p>
        </w:tc>
      </w:tr>
    </w:tbl>
    <w:p w14:paraId="4F7374E5" w14:textId="77777777" w:rsidR="00E406BF" w:rsidRPr="00A81CD3" w:rsidRDefault="00E406BF" w:rsidP="00E406BF">
      <w:pPr>
        <w:widowControl w:val="0"/>
        <w:rPr>
          <w:lang w:val="en-CA"/>
        </w:rPr>
      </w:pPr>
    </w:p>
    <w:p w14:paraId="4F7374E6" w14:textId="77777777" w:rsidR="00E406BF" w:rsidRPr="00A81CD3" w:rsidRDefault="00E406BF" w:rsidP="009B219A">
      <w:pPr>
        <w:rPr>
          <w:lang w:val="en-CA"/>
        </w:rPr>
      </w:pPr>
    </w:p>
    <w:sectPr w:rsidR="00E406BF" w:rsidRPr="00A81CD3" w:rsidSect="006B762C">
      <w:headerReference w:type="default" r:id="rId10"/>
      <w:pgSz w:w="12242" w:h="15842" w:code="1"/>
      <w:pgMar w:top="1361" w:right="1009" w:bottom="1247" w:left="1871" w:header="1440" w:footer="79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67AAC" w14:textId="77777777" w:rsidR="00F74F65" w:rsidRDefault="00F74F65">
      <w:pPr>
        <w:spacing w:line="240" w:lineRule="auto"/>
      </w:pPr>
      <w:r>
        <w:separator/>
      </w:r>
    </w:p>
  </w:endnote>
  <w:endnote w:type="continuationSeparator" w:id="0">
    <w:p w14:paraId="4562EFB4" w14:textId="77777777" w:rsidR="00F74F65" w:rsidRDefault="00F74F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3F54" w14:textId="47169E54" w:rsidR="007657B0" w:rsidRPr="006F7E56" w:rsidRDefault="00213DFC" w:rsidP="006F7E56">
    <w:pPr>
      <w:spacing w:before="360"/>
      <w:ind w:left="703" w:hanging="703"/>
      <w:jc w:val="right"/>
      <w:rPr>
        <w:lang w:val="en-CA"/>
      </w:rPr>
    </w:pPr>
    <w:r w:rsidRPr="00BF35B6">
      <w:rPr>
        <w:rFonts w:cs="Arial"/>
        <w:b/>
        <w:szCs w:val="24"/>
        <w:lang w:val="en-CA"/>
      </w:rPr>
      <w:t>English translation of the judgment of the Court by SOQUIJ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A2748" w14:textId="77777777" w:rsidR="00F74F65" w:rsidRDefault="00F74F65">
      <w:r>
        <w:separator/>
      </w:r>
    </w:p>
  </w:footnote>
  <w:footnote w:type="continuationSeparator" w:id="0">
    <w:p w14:paraId="4BD58827" w14:textId="77777777" w:rsidR="00F74F65" w:rsidRDefault="00F74F65">
      <w:r>
        <w:continuationSeparator/>
      </w:r>
    </w:p>
  </w:footnote>
  <w:footnote w:id="1">
    <w:p w14:paraId="4F7374EF" w14:textId="33EC202E" w:rsidR="00C15F2C" w:rsidRPr="00EF1AF1" w:rsidRDefault="00EF1AF1" w:rsidP="00C15F2C">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 xml:space="preserve">R. c. Woods, </w:t>
      </w:r>
      <w:r w:rsidRPr="00EF1AF1">
        <w:rPr>
          <w:lang w:val="en-CA"/>
        </w:rPr>
        <w:t>2022 QCCQ 1494 (</w:t>
      </w:r>
      <w:r w:rsidR="00562268">
        <w:rPr>
          <w:lang w:val="en-CA"/>
        </w:rPr>
        <w:t>“</w:t>
      </w:r>
      <w:r w:rsidRPr="00EF1AF1">
        <w:rPr>
          <w:lang w:val="en-CA"/>
        </w:rPr>
        <w:t>judgment on guilt</w:t>
      </w:r>
      <w:r w:rsidR="00562268">
        <w:rPr>
          <w:lang w:val="en-CA"/>
        </w:rPr>
        <w:t>”</w:t>
      </w:r>
      <w:r w:rsidRPr="00EF1AF1">
        <w:rPr>
          <w:lang w:val="en-CA"/>
        </w:rPr>
        <w:t>).</w:t>
      </w:r>
    </w:p>
  </w:footnote>
  <w:footnote w:id="2">
    <w:p w14:paraId="4F7374F0" w14:textId="46633551" w:rsidR="00A57D0C" w:rsidRPr="00EF1AF1" w:rsidRDefault="00EF1AF1" w:rsidP="00A57D0C">
      <w:pPr>
        <w:pStyle w:val="Notedebasdepage"/>
        <w:ind w:left="284" w:hanging="284"/>
        <w:rPr>
          <w:rFonts w:cs="Arial"/>
          <w:lang w:val="en-CA"/>
        </w:rPr>
      </w:pPr>
      <w:r w:rsidRPr="00EF1AF1">
        <w:rPr>
          <w:rStyle w:val="Appelnotedebasdep"/>
          <w:rFonts w:cs="Arial"/>
          <w:lang w:val="en-CA"/>
        </w:rPr>
        <w:footnoteRef/>
      </w:r>
      <w:r w:rsidRPr="00EF1AF1">
        <w:rPr>
          <w:rFonts w:cs="Arial"/>
          <w:lang w:val="en-CA"/>
        </w:rPr>
        <w:tab/>
      </w:r>
      <w:r w:rsidRPr="00EF1AF1">
        <w:rPr>
          <w:rFonts w:cs="Arial"/>
          <w:i/>
          <w:iCs/>
          <w:lang w:val="en-CA"/>
        </w:rPr>
        <w:t>Woods c. R.</w:t>
      </w:r>
      <w:r w:rsidRPr="00EF1AF1">
        <w:rPr>
          <w:rFonts w:cs="Arial"/>
          <w:lang w:val="en-CA"/>
        </w:rPr>
        <w:t>, 2021 QCCQ 14490 (</w:t>
      </w:r>
      <w:r w:rsidR="00705025" w:rsidRPr="00EF1AF1">
        <w:rPr>
          <w:rFonts w:cs="Arial"/>
          <w:lang w:val="en-CA"/>
        </w:rPr>
        <w:t>“</w:t>
      </w:r>
      <w:r w:rsidRPr="00EF1AF1">
        <w:rPr>
          <w:rFonts w:cs="Arial"/>
          <w:lang w:val="en-CA"/>
        </w:rPr>
        <w:t>judgment on the admissibility of the cocaine</w:t>
      </w:r>
      <w:r w:rsidR="00705025" w:rsidRPr="00EF1AF1">
        <w:rPr>
          <w:rFonts w:cs="Arial"/>
          <w:lang w:val="en-CA"/>
        </w:rPr>
        <w:t>”</w:t>
      </w:r>
      <w:r w:rsidRPr="00EF1AF1">
        <w:rPr>
          <w:rFonts w:cs="Arial"/>
          <w:lang w:val="en-CA"/>
        </w:rPr>
        <w:t>).</w:t>
      </w:r>
    </w:p>
  </w:footnote>
  <w:footnote w:id="3">
    <w:p w14:paraId="4F7374F1" w14:textId="049B4394" w:rsidR="00E406BF" w:rsidRPr="00EF1AF1" w:rsidRDefault="00EF1AF1" w:rsidP="00E406BF">
      <w:pPr>
        <w:pStyle w:val="Notedebasdepage"/>
        <w:ind w:left="284" w:hanging="284"/>
        <w:rPr>
          <w:rFonts w:cs="Arial"/>
          <w:lang w:val="en-CA"/>
        </w:rPr>
      </w:pPr>
      <w:r w:rsidRPr="00EF1AF1">
        <w:rPr>
          <w:rStyle w:val="Appelnotedebasdep"/>
          <w:rFonts w:cs="Arial"/>
          <w:lang w:val="en-CA"/>
        </w:rPr>
        <w:footnoteRef/>
      </w:r>
      <w:r w:rsidRPr="00EF1AF1">
        <w:rPr>
          <w:lang w:val="en-CA"/>
        </w:rPr>
        <w:tab/>
      </w:r>
      <w:r w:rsidR="00E94862">
        <w:rPr>
          <w:lang w:val="en-CA"/>
        </w:rPr>
        <w:t>P</w:t>
      </w:r>
      <w:r w:rsidR="00E94862">
        <w:rPr>
          <w:szCs w:val="24"/>
          <w:lang w:val="en-CA"/>
        </w:rPr>
        <w:t>aragraph</w:t>
      </w:r>
      <w:r>
        <w:rPr>
          <w:lang w:val="en-CA"/>
        </w:rPr>
        <w:t> </w:t>
      </w:r>
      <w:r w:rsidRPr="00EF1AF1">
        <w:rPr>
          <w:lang w:val="en-CA"/>
        </w:rPr>
        <w:t xml:space="preserve">10(b) of the </w:t>
      </w:r>
      <w:r w:rsidRPr="00EF1AF1">
        <w:rPr>
          <w:i/>
          <w:iCs/>
          <w:lang w:val="en-CA"/>
        </w:rPr>
        <w:t>Canadian Charter of Rights and Freedoms</w:t>
      </w:r>
      <w:r w:rsidRPr="00EF1AF1">
        <w:rPr>
          <w:lang w:val="en-CA"/>
        </w:rPr>
        <w:t xml:space="preserve">, Part I of the </w:t>
      </w:r>
      <w:r w:rsidRPr="00EF1AF1">
        <w:rPr>
          <w:i/>
          <w:iCs/>
          <w:lang w:val="en-CA"/>
        </w:rPr>
        <w:t>Constitution Act, 1982</w:t>
      </w:r>
      <w:r w:rsidRPr="00EF1AF1">
        <w:rPr>
          <w:lang w:val="en-CA"/>
        </w:rPr>
        <w:t xml:space="preserve">, being Schedule B to the </w:t>
      </w:r>
      <w:r w:rsidRPr="00EF1AF1">
        <w:rPr>
          <w:i/>
          <w:iCs/>
          <w:lang w:val="en-CA"/>
        </w:rPr>
        <w:t xml:space="preserve">Canada Act 1982 </w:t>
      </w:r>
      <w:r w:rsidRPr="00EF1AF1">
        <w:rPr>
          <w:lang w:val="en-CA"/>
        </w:rPr>
        <w:t>(U.K.), 1982, c. 11 (</w:t>
      </w:r>
      <w:r w:rsidR="00705025" w:rsidRPr="00EF1AF1">
        <w:rPr>
          <w:lang w:val="en-CA"/>
        </w:rPr>
        <w:t>“</w:t>
      </w:r>
      <w:r w:rsidRPr="00EF1AF1">
        <w:rPr>
          <w:i/>
          <w:iCs/>
          <w:lang w:val="en-CA"/>
        </w:rPr>
        <w:t>Canadian Charter</w:t>
      </w:r>
      <w:r w:rsidR="00705025" w:rsidRPr="00EF1AF1">
        <w:rPr>
          <w:lang w:val="en-CA"/>
        </w:rPr>
        <w:t>”</w:t>
      </w:r>
      <w:r w:rsidRPr="00EF1AF1">
        <w:rPr>
          <w:lang w:val="en-CA"/>
        </w:rPr>
        <w:t xml:space="preserve"> or </w:t>
      </w:r>
      <w:r w:rsidR="00705025" w:rsidRPr="00EF1AF1">
        <w:rPr>
          <w:lang w:val="en-CA"/>
        </w:rPr>
        <w:t>“</w:t>
      </w:r>
      <w:r w:rsidRPr="00EF1AF1">
        <w:rPr>
          <w:i/>
          <w:iCs/>
          <w:lang w:val="en-CA"/>
        </w:rPr>
        <w:t>Charter</w:t>
      </w:r>
      <w:r w:rsidR="00705025" w:rsidRPr="00EF1AF1">
        <w:rPr>
          <w:lang w:val="en-CA"/>
        </w:rPr>
        <w:t>”</w:t>
      </w:r>
      <w:r w:rsidRPr="00EF1AF1">
        <w:rPr>
          <w:lang w:val="en-CA"/>
        </w:rPr>
        <w:t>).</w:t>
      </w:r>
    </w:p>
  </w:footnote>
  <w:footnote w:id="4">
    <w:p w14:paraId="4F7374F2" w14:textId="787CB576" w:rsidR="00E406BF" w:rsidRPr="00EF1AF1" w:rsidRDefault="00EF1AF1" w:rsidP="00E406BF">
      <w:pPr>
        <w:pStyle w:val="Notedebasdepage"/>
        <w:ind w:left="284" w:hanging="284"/>
        <w:rPr>
          <w:rFonts w:cs="Arial"/>
          <w:lang w:val="en-CA"/>
        </w:rPr>
      </w:pPr>
      <w:r w:rsidRPr="00EF1AF1">
        <w:rPr>
          <w:rStyle w:val="Appelnotedebasdep"/>
          <w:rFonts w:cs="Arial"/>
          <w:lang w:val="en-CA"/>
        </w:rPr>
        <w:footnoteRef/>
      </w:r>
      <w:r w:rsidRPr="00EF1AF1">
        <w:rPr>
          <w:rFonts w:cs="Arial"/>
          <w:lang w:val="en-CA"/>
        </w:rPr>
        <w:tab/>
      </w:r>
      <w:r w:rsidRPr="00EF1AF1">
        <w:rPr>
          <w:rFonts w:cs="Arial"/>
          <w:i/>
          <w:iCs/>
          <w:lang w:val="en-CA"/>
        </w:rPr>
        <w:t>Woods c. R.</w:t>
      </w:r>
      <w:r w:rsidRPr="00EF1AF1">
        <w:rPr>
          <w:rFonts w:cs="Arial"/>
          <w:lang w:val="en-CA"/>
        </w:rPr>
        <w:t>, 2022 QCCQ 1493 (</w:t>
      </w:r>
      <w:r w:rsidR="00705025" w:rsidRPr="00EF1AF1">
        <w:rPr>
          <w:rFonts w:cs="Arial"/>
          <w:lang w:val="en-CA"/>
        </w:rPr>
        <w:t>“</w:t>
      </w:r>
      <w:r w:rsidRPr="00EF1AF1">
        <w:rPr>
          <w:rFonts w:cs="Arial"/>
          <w:lang w:val="en-CA"/>
        </w:rPr>
        <w:t xml:space="preserve">judgment on the </w:t>
      </w:r>
      <w:r w:rsidRPr="00EF1AF1">
        <w:rPr>
          <w:rFonts w:cs="Arial"/>
          <w:i/>
          <w:iCs/>
          <w:lang w:val="en-CA"/>
        </w:rPr>
        <w:t>Jordan</w:t>
      </w:r>
      <w:r w:rsidRPr="00EF1AF1">
        <w:rPr>
          <w:rFonts w:cs="Arial"/>
          <w:lang w:val="en-CA"/>
        </w:rPr>
        <w:t xml:space="preserve"> motion</w:t>
      </w:r>
      <w:r w:rsidR="00705025" w:rsidRPr="00EF1AF1">
        <w:rPr>
          <w:rFonts w:cs="Arial"/>
          <w:lang w:val="en-CA"/>
        </w:rPr>
        <w:t>”</w:t>
      </w:r>
      <w:r w:rsidRPr="00EF1AF1">
        <w:rPr>
          <w:rFonts w:cs="Arial"/>
          <w:lang w:val="en-CA"/>
        </w:rPr>
        <w:t>).</w:t>
      </w:r>
    </w:p>
  </w:footnote>
  <w:footnote w:id="5">
    <w:p w14:paraId="4F7374F3" w14:textId="537C4773" w:rsidR="00E406BF" w:rsidRPr="00EF1AF1" w:rsidRDefault="00EF1AF1" w:rsidP="00E406BF">
      <w:pPr>
        <w:pStyle w:val="Notedebasdepage"/>
        <w:ind w:left="284" w:hanging="284"/>
        <w:rPr>
          <w:rFonts w:cs="Arial"/>
          <w:lang w:val="en-CA"/>
        </w:rPr>
      </w:pPr>
      <w:r w:rsidRPr="00EF1AF1">
        <w:rPr>
          <w:rStyle w:val="Appelnotedebasdep"/>
          <w:rFonts w:cs="Arial"/>
          <w:lang w:val="en-CA"/>
        </w:rPr>
        <w:footnoteRef/>
      </w:r>
      <w:r w:rsidRPr="00EF1AF1">
        <w:rPr>
          <w:lang w:val="en-CA"/>
        </w:rPr>
        <w:tab/>
      </w:r>
      <w:r w:rsidR="00E94862">
        <w:rPr>
          <w:lang w:val="en-CA"/>
        </w:rPr>
        <w:t>P</w:t>
      </w:r>
      <w:r w:rsidR="00E94862">
        <w:rPr>
          <w:szCs w:val="24"/>
          <w:lang w:val="en-CA"/>
        </w:rPr>
        <w:t>aragraph</w:t>
      </w:r>
      <w:r>
        <w:rPr>
          <w:lang w:val="en-CA"/>
        </w:rPr>
        <w:t> </w:t>
      </w:r>
      <w:r w:rsidRPr="00EF1AF1">
        <w:rPr>
          <w:lang w:val="en-CA"/>
        </w:rPr>
        <w:t xml:space="preserve">11(b) of the </w:t>
      </w:r>
      <w:r w:rsidRPr="00EF1AF1">
        <w:rPr>
          <w:i/>
          <w:iCs/>
          <w:lang w:val="en-CA"/>
        </w:rPr>
        <w:t>Canadian Charter</w:t>
      </w:r>
      <w:r w:rsidRPr="00EF1AF1">
        <w:rPr>
          <w:lang w:val="en-CA"/>
        </w:rPr>
        <w:t>.</w:t>
      </w:r>
    </w:p>
  </w:footnote>
  <w:footnote w:id="6">
    <w:p w14:paraId="4F7374F4" w14:textId="35FA735C" w:rsidR="00E406BF" w:rsidRPr="00EF1AF1" w:rsidRDefault="00EF1AF1" w:rsidP="00E406BF">
      <w:pPr>
        <w:pStyle w:val="Notedebasdepage"/>
        <w:ind w:left="284" w:hanging="284"/>
        <w:rPr>
          <w:rFonts w:cs="Arial"/>
          <w:lang w:val="en-CA"/>
        </w:rPr>
      </w:pPr>
      <w:r w:rsidRPr="00EF1AF1">
        <w:rPr>
          <w:rStyle w:val="Appelnotedebasdep"/>
          <w:rFonts w:cs="Arial"/>
          <w:lang w:val="en-CA"/>
        </w:rPr>
        <w:footnoteRef/>
      </w:r>
      <w:r w:rsidRPr="00EF1AF1">
        <w:rPr>
          <w:rFonts w:cs="Arial"/>
          <w:lang w:val="en-CA"/>
        </w:rPr>
        <w:tab/>
        <w:t xml:space="preserve">The appellant complained about this irregularity at </w:t>
      </w:r>
      <w:r w:rsidR="00887B17">
        <w:rPr>
          <w:rFonts w:cs="Arial"/>
          <w:lang w:val="en-CA"/>
        </w:rPr>
        <w:t>trial</w:t>
      </w:r>
      <w:r w:rsidRPr="00EF1AF1">
        <w:rPr>
          <w:rFonts w:cs="Arial"/>
          <w:lang w:val="en-CA"/>
        </w:rPr>
        <w:t xml:space="preserve"> but no longer does so on appeal.</w:t>
      </w:r>
    </w:p>
  </w:footnote>
  <w:footnote w:id="7">
    <w:p w14:paraId="4F7374F5"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 xml:space="preserve">R. c. Woods, </w:t>
      </w:r>
      <w:r w:rsidRPr="00EF1AF1">
        <w:rPr>
          <w:lang w:val="en-CA"/>
        </w:rPr>
        <w:t>2021 QCCQ 8638.</w:t>
      </w:r>
    </w:p>
  </w:footnote>
  <w:footnote w:id="8">
    <w:p w14:paraId="4F7374F6" w14:textId="77777777" w:rsidR="00E406BF" w:rsidRPr="00EF1AF1" w:rsidRDefault="00EF1AF1" w:rsidP="00E406BF">
      <w:pPr>
        <w:pStyle w:val="Notedebasdepage"/>
        <w:ind w:left="284" w:hanging="284"/>
        <w:rPr>
          <w:rFonts w:cs="Arial"/>
          <w:lang w:val="es-ES"/>
        </w:rPr>
      </w:pPr>
      <w:r w:rsidRPr="00EF1AF1">
        <w:rPr>
          <w:rStyle w:val="Appelnotedebasdep"/>
          <w:rFonts w:cs="Arial"/>
          <w:lang w:val="en-CA"/>
        </w:rPr>
        <w:footnoteRef/>
      </w:r>
      <w:r w:rsidRPr="00EF1AF1">
        <w:rPr>
          <w:rFonts w:cs="Arial"/>
          <w:lang w:val="en-CA"/>
        </w:rPr>
        <w:tab/>
        <w:t xml:space="preserve">Judgment on the admissibility of the cocaine, para. </w:t>
      </w:r>
      <w:r w:rsidRPr="00EF1AF1">
        <w:rPr>
          <w:rFonts w:cs="Arial"/>
          <w:lang w:val="es-ES"/>
        </w:rPr>
        <w:t>49.</w:t>
      </w:r>
    </w:p>
  </w:footnote>
  <w:footnote w:id="9">
    <w:p w14:paraId="4F7374F7" w14:textId="64285DF9" w:rsidR="00E406BF" w:rsidRPr="00EF1AF1" w:rsidRDefault="00EF1AF1" w:rsidP="00E406BF">
      <w:pPr>
        <w:pStyle w:val="Notedebasdepage"/>
        <w:ind w:left="284" w:hanging="284"/>
        <w:rPr>
          <w:rFonts w:cs="Arial"/>
          <w:lang w:val="es-ES"/>
        </w:rPr>
      </w:pPr>
      <w:r w:rsidRPr="00EF1AF1">
        <w:rPr>
          <w:rStyle w:val="Appelnotedebasdep"/>
          <w:rFonts w:cs="Arial"/>
          <w:lang w:val="en-CA"/>
        </w:rPr>
        <w:footnoteRef/>
      </w:r>
      <w:r w:rsidRPr="00EF1AF1">
        <w:rPr>
          <w:rFonts w:cs="Arial"/>
          <w:lang w:val="es-ES"/>
        </w:rPr>
        <w:tab/>
      </w:r>
      <w:r w:rsidRPr="00EF1AF1">
        <w:rPr>
          <w:rFonts w:cs="Arial"/>
          <w:i/>
          <w:iCs/>
          <w:lang w:val="es-ES"/>
        </w:rPr>
        <w:t xml:space="preserve">Id., </w:t>
      </w:r>
      <w:r w:rsidRPr="00EF1AF1">
        <w:rPr>
          <w:rFonts w:cs="Arial"/>
          <w:lang w:val="es-ES"/>
        </w:rPr>
        <w:t>para. 83.</w:t>
      </w:r>
    </w:p>
  </w:footnote>
  <w:footnote w:id="10">
    <w:p w14:paraId="4F7374F8" w14:textId="77777777"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s-ES"/>
        </w:rPr>
        <w:tab/>
      </w:r>
      <w:r w:rsidRPr="00EF1AF1">
        <w:rPr>
          <w:i/>
          <w:iCs/>
          <w:lang w:val="es-ES"/>
        </w:rPr>
        <w:t>R. v. Orbanski; R. v. Elias</w:t>
      </w:r>
      <w:r w:rsidRPr="00EF1AF1">
        <w:rPr>
          <w:lang w:val="es-ES"/>
        </w:rPr>
        <w:t>, 2005 SCC 37.</w:t>
      </w:r>
    </w:p>
  </w:footnote>
  <w:footnote w:id="11">
    <w:p w14:paraId="4F7374F9" w14:textId="77777777" w:rsidR="00E406BF" w:rsidRPr="00EF1AF1" w:rsidRDefault="00EF1AF1" w:rsidP="00E406BF">
      <w:pPr>
        <w:pStyle w:val="Notedebasdepage"/>
        <w:ind w:left="284" w:hanging="284"/>
        <w:rPr>
          <w:rFonts w:cs="Arial"/>
          <w:lang w:val="en-CA"/>
        </w:rPr>
      </w:pPr>
      <w:r w:rsidRPr="00EF1AF1">
        <w:rPr>
          <w:rStyle w:val="Appelnotedebasdep"/>
          <w:rFonts w:cs="Arial"/>
          <w:lang w:val="en-CA"/>
        </w:rPr>
        <w:footnoteRef/>
      </w:r>
      <w:r w:rsidRPr="00EF1AF1">
        <w:rPr>
          <w:rFonts w:cs="Arial"/>
          <w:lang w:val="en-CA"/>
        </w:rPr>
        <w:tab/>
        <w:t>Judgment on the admissibility of the cocaine, para. 91.</w:t>
      </w:r>
    </w:p>
  </w:footnote>
  <w:footnote w:id="12">
    <w:p w14:paraId="4F7374FA" w14:textId="7BD5984B"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Oakes</w:t>
      </w:r>
      <w:r w:rsidRPr="00EF1AF1">
        <w:rPr>
          <w:lang w:val="en-CA"/>
        </w:rPr>
        <w:t>, [1986] 1 S.C.R. 103 (</w:t>
      </w:r>
      <w:r w:rsidR="00705025" w:rsidRPr="00EF1AF1">
        <w:rPr>
          <w:lang w:val="en-CA"/>
        </w:rPr>
        <w:t>“</w:t>
      </w:r>
      <w:r w:rsidRPr="00EF1AF1">
        <w:rPr>
          <w:i/>
          <w:iCs/>
          <w:lang w:val="en-CA"/>
        </w:rPr>
        <w:t>Oakes</w:t>
      </w:r>
      <w:r w:rsidR="00705025" w:rsidRPr="00EF1AF1">
        <w:rPr>
          <w:lang w:val="en-CA"/>
        </w:rPr>
        <w:t>”</w:t>
      </w:r>
      <w:r w:rsidRPr="00EF1AF1">
        <w:rPr>
          <w:lang w:val="en-CA"/>
        </w:rPr>
        <w:t>).</w:t>
      </w:r>
    </w:p>
  </w:footnote>
  <w:footnote w:id="13">
    <w:p w14:paraId="4F7374FB"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Judgment on the admissibility of the cocaine, para. 97.</w:t>
      </w:r>
    </w:p>
  </w:footnote>
  <w:footnote w:id="14">
    <w:p w14:paraId="4F7374FC" w14:textId="7BA9F338"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Id.</w:t>
      </w:r>
      <w:r w:rsidRPr="00EF1AF1">
        <w:rPr>
          <w:lang w:val="en-CA"/>
        </w:rPr>
        <w:t>, para. 103.</w:t>
      </w:r>
    </w:p>
  </w:footnote>
  <w:footnote w:id="15">
    <w:p w14:paraId="4F7374FD" w14:textId="77777777"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n-CA"/>
        </w:rPr>
        <w:tab/>
        <w:t xml:space="preserve">Judgment on the admissibility of the cocaine, para. </w:t>
      </w:r>
      <w:r w:rsidRPr="00EF1AF1">
        <w:rPr>
          <w:lang w:val="es-ES"/>
        </w:rPr>
        <w:t>123.</w:t>
      </w:r>
    </w:p>
  </w:footnote>
  <w:footnote w:id="16">
    <w:p w14:paraId="4F7374FE" w14:textId="41E49C69" w:rsidR="00E406BF" w:rsidRPr="006F7E56" w:rsidRDefault="00EF1AF1" w:rsidP="00E406BF">
      <w:pPr>
        <w:pStyle w:val="Notedebasdepage"/>
        <w:ind w:left="284" w:hanging="284"/>
        <w:rPr>
          <w:lang w:val="en-CA"/>
        </w:rPr>
      </w:pPr>
      <w:r w:rsidRPr="00EF1AF1">
        <w:rPr>
          <w:rStyle w:val="Appelnotedebasdep"/>
          <w:lang w:val="en-CA"/>
        </w:rPr>
        <w:footnoteRef/>
      </w:r>
      <w:r w:rsidRPr="00EF1AF1">
        <w:rPr>
          <w:lang w:val="es-ES"/>
        </w:rPr>
        <w:tab/>
      </w:r>
      <w:r w:rsidRPr="00EF1AF1">
        <w:rPr>
          <w:i/>
          <w:iCs/>
          <w:lang w:val="es-ES"/>
        </w:rPr>
        <w:t>R. v</w:t>
      </w:r>
      <w:r w:rsidRPr="00EF1AF1">
        <w:rPr>
          <w:lang w:val="es-ES"/>
        </w:rPr>
        <w:t xml:space="preserve"> </w:t>
      </w:r>
      <w:r w:rsidRPr="00EF1AF1">
        <w:rPr>
          <w:i/>
          <w:iCs/>
          <w:lang w:val="es-ES"/>
        </w:rPr>
        <w:t>Jordan</w:t>
      </w:r>
      <w:r w:rsidRPr="00EF1AF1">
        <w:rPr>
          <w:lang w:val="es-ES"/>
        </w:rPr>
        <w:t xml:space="preserve">, 2016 SCC 27, paras. </w:t>
      </w:r>
      <w:r w:rsidRPr="006F7E56">
        <w:rPr>
          <w:lang w:val="en-CA"/>
        </w:rPr>
        <w:t>72</w:t>
      </w:r>
      <w:r w:rsidR="001C1D51" w:rsidRPr="006F7E56">
        <w:rPr>
          <w:lang w:val="en-CA"/>
        </w:rPr>
        <w:t>-</w:t>
      </w:r>
      <w:r w:rsidRPr="006F7E56">
        <w:rPr>
          <w:lang w:val="en-CA"/>
        </w:rPr>
        <w:t>76.</w:t>
      </w:r>
    </w:p>
  </w:footnote>
  <w:footnote w:id="17">
    <w:p w14:paraId="4F7374FF" w14:textId="77777777" w:rsidR="00E406BF" w:rsidRPr="006F7E56" w:rsidRDefault="00EF1AF1" w:rsidP="00E406BF">
      <w:pPr>
        <w:pStyle w:val="Notedebasdepage"/>
        <w:ind w:left="284" w:hanging="284"/>
        <w:rPr>
          <w:lang w:val="en-CA"/>
        </w:rPr>
      </w:pPr>
      <w:r w:rsidRPr="00EF1AF1">
        <w:rPr>
          <w:rStyle w:val="Appelnotedebasdep"/>
          <w:lang w:val="en-CA"/>
        </w:rPr>
        <w:footnoteRef/>
      </w:r>
      <w:r w:rsidRPr="006F7E56">
        <w:rPr>
          <w:lang w:val="en-CA"/>
        </w:rPr>
        <w:tab/>
      </w:r>
      <w:r w:rsidRPr="006F7E56">
        <w:rPr>
          <w:i/>
          <w:iCs/>
          <w:lang w:val="en-CA"/>
        </w:rPr>
        <w:t>R. v. Beaver</w:t>
      </w:r>
      <w:r w:rsidRPr="006F7E56">
        <w:rPr>
          <w:lang w:val="en-CA"/>
        </w:rPr>
        <w:t>, 2022 SCC 54.</w:t>
      </w:r>
    </w:p>
  </w:footnote>
  <w:footnote w:id="18">
    <w:p w14:paraId="4F737500" w14:textId="1AECEBC1" w:rsidR="00E406BF" w:rsidRPr="00EF1AF1" w:rsidRDefault="00EF1AF1" w:rsidP="00E406BF">
      <w:pPr>
        <w:pStyle w:val="Notedebasdepage"/>
        <w:ind w:left="284" w:hanging="284"/>
      </w:pPr>
      <w:r w:rsidRPr="00EF1AF1">
        <w:rPr>
          <w:rStyle w:val="Appelnotedebasdep"/>
          <w:lang w:val="en-CA"/>
        </w:rPr>
        <w:footnoteRef/>
      </w:r>
      <w:r w:rsidRPr="006F7E56">
        <w:rPr>
          <w:lang w:val="en-CA"/>
        </w:rPr>
        <w:tab/>
      </w:r>
      <w:r w:rsidRPr="006F7E56">
        <w:rPr>
          <w:i/>
          <w:iCs/>
          <w:lang w:val="en-CA"/>
        </w:rPr>
        <w:t>Id.</w:t>
      </w:r>
      <w:r w:rsidRPr="006F7E56">
        <w:rPr>
          <w:lang w:val="en-CA"/>
        </w:rPr>
        <w:t xml:space="preserve">, para. </w:t>
      </w:r>
      <w:r w:rsidRPr="00EF1AF1">
        <w:t>89 et seq.</w:t>
      </w:r>
    </w:p>
  </w:footnote>
  <w:footnote w:id="19">
    <w:p w14:paraId="4F737501"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6F7E56">
        <w:tab/>
      </w:r>
      <w:r w:rsidRPr="006F7E56">
        <w:rPr>
          <w:i/>
          <w:iCs/>
        </w:rPr>
        <w:t>R. v. Mack</w:t>
      </w:r>
      <w:r w:rsidRPr="006F7E56">
        <w:t xml:space="preserve">, 2014 SCC 58, para. </w:t>
      </w:r>
      <w:r w:rsidRPr="00EF1AF1">
        <w:rPr>
          <w:lang w:val="en-CA"/>
        </w:rPr>
        <w:t xml:space="preserve">38: “Whether evidence was ‘obtained in a manner’ that infringed an accused’s rights under the </w:t>
      </w:r>
      <w:r w:rsidRPr="006F7E56">
        <w:rPr>
          <w:i/>
          <w:iCs/>
          <w:lang w:val="en-CA"/>
        </w:rPr>
        <w:t>Charter</w:t>
      </w:r>
      <w:r w:rsidRPr="00EF1AF1">
        <w:rPr>
          <w:lang w:val="en-CA"/>
        </w:rPr>
        <w:t xml:space="preserve"> depends on the nature of the connection between the </w:t>
      </w:r>
      <w:r w:rsidRPr="00EF1AF1">
        <w:rPr>
          <w:i/>
          <w:iCs/>
          <w:lang w:val="en-CA"/>
        </w:rPr>
        <w:t xml:space="preserve">Charter </w:t>
      </w:r>
      <w:r w:rsidRPr="00EF1AF1">
        <w:rPr>
          <w:lang w:val="en-CA"/>
        </w:rPr>
        <w:t xml:space="preserve">violation and the evidence that was ultimately obtained. The courts have adopted a purposive approach to this inquiry. </w:t>
      </w:r>
      <w:r w:rsidRPr="00EF1AF1">
        <w:rPr>
          <w:u w:val="single"/>
          <w:lang w:val="en-CA"/>
        </w:rPr>
        <w:t>Establishing a strict causal relationship between the breach and the subsequent discovery of evidence is unnecessary</w:t>
      </w:r>
      <w:r w:rsidRPr="00EF1AF1">
        <w:rPr>
          <w:lang w:val="en-CA"/>
        </w:rPr>
        <w:t xml:space="preserve">. Evidence will be tainted if the breach and the discovery of the impugned evidence are part of the same transaction or course of conduct. </w:t>
      </w:r>
      <w:r w:rsidRPr="00EF1AF1">
        <w:rPr>
          <w:u w:val="single"/>
          <w:lang w:val="en-CA"/>
        </w:rPr>
        <w:t>The required connection between the breach and the subsequent statement may be temporal, contextual, causal, or a combination of the three</w:t>
      </w:r>
      <w:r w:rsidRPr="00EF1AF1">
        <w:rPr>
          <w:lang w:val="en-CA"/>
        </w:rPr>
        <w:t xml:space="preserve">” [emphasis added]. </w:t>
      </w:r>
      <w:r w:rsidRPr="00EF1AF1">
        <w:rPr>
          <w:i/>
          <w:iCs/>
          <w:lang w:val="en-CA"/>
        </w:rPr>
        <w:t>See also R. v. Beaver</w:t>
      </w:r>
      <w:r w:rsidRPr="00EF1AF1">
        <w:rPr>
          <w:lang w:val="en-CA"/>
        </w:rPr>
        <w:t>, 2022 SCC 54, para. 96.</w:t>
      </w:r>
    </w:p>
  </w:footnote>
  <w:footnote w:id="20">
    <w:p w14:paraId="4F737502" w14:textId="77777777"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n-CA"/>
        </w:rPr>
        <w:tab/>
        <w:t xml:space="preserve">This power is limited to a search motivated by fear for the safety of police officers or others: </w:t>
      </w:r>
      <w:r w:rsidRPr="00EF1AF1">
        <w:rPr>
          <w:i/>
          <w:iCs/>
          <w:lang w:val="en-CA"/>
        </w:rPr>
        <w:t>R. v. Mann</w:t>
      </w:r>
      <w:r w:rsidRPr="00EF1AF1">
        <w:rPr>
          <w:lang w:val="en-CA"/>
        </w:rPr>
        <w:t xml:space="preserve">, 2004 SCC 52, para. </w:t>
      </w:r>
      <w:r w:rsidRPr="00EF1AF1">
        <w:rPr>
          <w:lang w:val="es-ES"/>
        </w:rPr>
        <w:t xml:space="preserve">45; </w:t>
      </w:r>
      <w:r w:rsidRPr="00EF1AF1">
        <w:rPr>
          <w:i/>
          <w:iCs/>
          <w:lang w:val="es-ES"/>
        </w:rPr>
        <w:t>R. v. MacDonald</w:t>
      </w:r>
      <w:r w:rsidRPr="00EF1AF1">
        <w:rPr>
          <w:lang w:val="es-ES"/>
        </w:rPr>
        <w:t>, 2014 SCC 3, para. 41.</w:t>
      </w:r>
    </w:p>
  </w:footnote>
  <w:footnote w:id="21">
    <w:p w14:paraId="4F737503" w14:textId="0E1D1645" w:rsidR="00E406BF" w:rsidRPr="00EF1AF1" w:rsidRDefault="00EF1AF1" w:rsidP="00E406BF">
      <w:pPr>
        <w:pStyle w:val="Notedebasdepage"/>
        <w:ind w:left="284" w:hanging="284"/>
        <w:rPr>
          <w:i/>
          <w:iCs/>
          <w:lang w:val="en-CA"/>
        </w:rPr>
      </w:pPr>
      <w:r w:rsidRPr="00EF1AF1">
        <w:rPr>
          <w:rStyle w:val="Appelnotedebasdep"/>
          <w:lang w:val="en-CA"/>
        </w:rPr>
        <w:footnoteRef/>
      </w:r>
      <w:r w:rsidRPr="00EF1AF1">
        <w:rPr>
          <w:lang w:val="es-ES"/>
        </w:rPr>
        <w:tab/>
      </w:r>
      <w:r w:rsidRPr="00EF1AF1">
        <w:rPr>
          <w:i/>
          <w:iCs/>
          <w:lang w:val="es-ES"/>
        </w:rPr>
        <w:t>R. v. Bielli</w:t>
      </w:r>
      <w:r w:rsidRPr="00EF1AF1">
        <w:rPr>
          <w:lang w:val="es-ES"/>
        </w:rPr>
        <w:t xml:space="preserve">, 2021 ONCA 222, para. </w:t>
      </w:r>
      <w:r w:rsidRPr="00EF1AF1">
        <w:rPr>
          <w:lang w:val="en-CA"/>
        </w:rPr>
        <w:t>60 et seq.</w:t>
      </w:r>
    </w:p>
  </w:footnote>
  <w:footnote w:id="22">
    <w:p w14:paraId="4F737504"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An Act to amend the Criminal Code, the Crown Liability and Proceedings Act and the Radiocommunication Act</w:t>
      </w:r>
      <w:r w:rsidRPr="00EF1AF1">
        <w:rPr>
          <w:lang w:val="en-CA"/>
        </w:rPr>
        <w:t>, S.C. 1993, c. 40, s. 15.</w:t>
      </w:r>
    </w:p>
  </w:footnote>
  <w:footnote w:id="23">
    <w:p w14:paraId="4F737505"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Wong</w:t>
      </w:r>
      <w:r w:rsidRPr="00EF1AF1">
        <w:rPr>
          <w:lang w:val="en-CA"/>
        </w:rPr>
        <w:t>, [1990] 3 S.C.R. 36.</w:t>
      </w:r>
    </w:p>
  </w:footnote>
  <w:footnote w:id="24">
    <w:p w14:paraId="4F737506" w14:textId="0CEC0FAA"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 xml:space="preserve">Id, </w:t>
      </w:r>
      <w:r w:rsidRPr="00EF1AF1">
        <w:rPr>
          <w:lang w:val="en-CA"/>
        </w:rPr>
        <w:t>p. 57.</w:t>
      </w:r>
    </w:p>
  </w:footnote>
  <w:footnote w:id="25">
    <w:p w14:paraId="4F737507" w14:textId="404C2CA0" w:rsidR="00E406BF" w:rsidRPr="00EF1AF1" w:rsidRDefault="00EF1AF1" w:rsidP="00E406BF">
      <w:pPr>
        <w:pStyle w:val="Notedebasdepage"/>
        <w:ind w:left="284" w:hanging="284"/>
        <w:rPr>
          <w:i/>
          <w:iCs/>
          <w:lang w:val="en-CA"/>
        </w:rPr>
      </w:pPr>
      <w:r w:rsidRPr="00EF1AF1">
        <w:rPr>
          <w:rStyle w:val="Appelnotedebasdep"/>
          <w:lang w:val="en-CA"/>
        </w:rPr>
        <w:footnoteRef/>
      </w:r>
      <w:r w:rsidRPr="00EF1AF1">
        <w:rPr>
          <w:lang w:val="en-CA"/>
        </w:rPr>
        <w:tab/>
        <w:t xml:space="preserve">Steve Coughlan, </w:t>
      </w:r>
      <w:r w:rsidR="00705025" w:rsidRPr="00EF1AF1">
        <w:rPr>
          <w:lang w:val="en-CA"/>
        </w:rPr>
        <w:t>“</w:t>
      </w:r>
      <w:r w:rsidRPr="00EF1AF1">
        <w:rPr>
          <w:lang w:val="en-CA"/>
        </w:rPr>
        <w:t>General Warrants at the Crossroads: Limit or License?</w:t>
      </w:r>
      <w:r w:rsidR="00705025" w:rsidRPr="00EF1AF1">
        <w:rPr>
          <w:lang w:val="en-CA"/>
        </w:rPr>
        <w:t>”</w:t>
      </w:r>
      <w:r w:rsidRPr="00EF1AF1">
        <w:rPr>
          <w:lang w:val="en-CA"/>
        </w:rPr>
        <w:t>, (2003) 10 C.R. (6th) 269, pp. 270</w:t>
      </w:r>
      <w:r w:rsidR="00E07B41">
        <w:rPr>
          <w:lang w:val="en-CA"/>
        </w:rPr>
        <w:t>-</w:t>
      </w:r>
      <w:r w:rsidRPr="00EF1AF1">
        <w:rPr>
          <w:lang w:val="en-CA"/>
        </w:rPr>
        <w:t xml:space="preserve">271; Daniel W. Watt, </w:t>
      </w:r>
      <w:r w:rsidR="00705025" w:rsidRPr="00EF1AF1">
        <w:rPr>
          <w:lang w:val="en-CA"/>
        </w:rPr>
        <w:t>“</w:t>
      </w:r>
      <w:r w:rsidRPr="00EF1AF1">
        <w:rPr>
          <w:lang w:val="en-CA"/>
        </w:rPr>
        <w:t xml:space="preserve">General Warrants Take the Wrong Path: Challenging the Constitutionality of </w:t>
      </w:r>
      <w:r>
        <w:rPr>
          <w:lang w:val="en-CA"/>
        </w:rPr>
        <w:t>Section </w:t>
      </w:r>
      <w:r w:rsidRPr="00EF1AF1">
        <w:rPr>
          <w:lang w:val="en-CA"/>
        </w:rPr>
        <w:t>487.01 of the Code</w:t>
      </w:r>
      <w:r w:rsidR="00705025" w:rsidRPr="00EF1AF1">
        <w:rPr>
          <w:lang w:val="en-CA"/>
        </w:rPr>
        <w:t>”</w:t>
      </w:r>
      <w:r w:rsidRPr="00EF1AF1">
        <w:rPr>
          <w:lang w:val="en-CA"/>
        </w:rPr>
        <w:t xml:space="preserve">, (2008) 12 </w:t>
      </w:r>
      <w:r w:rsidRPr="006F7E56">
        <w:rPr>
          <w:lang w:val="en-CA"/>
        </w:rPr>
        <w:t>Can. Crim. L. Rev.</w:t>
      </w:r>
      <w:r w:rsidRPr="00EF1AF1">
        <w:rPr>
          <w:i/>
          <w:iCs/>
          <w:lang w:val="en-CA"/>
        </w:rPr>
        <w:t xml:space="preserve"> </w:t>
      </w:r>
      <w:r w:rsidRPr="00EF1AF1">
        <w:rPr>
          <w:lang w:val="en-CA"/>
        </w:rPr>
        <w:t>297, pp. 299</w:t>
      </w:r>
      <w:r w:rsidR="00E07B41">
        <w:rPr>
          <w:lang w:val="en-CA"/>
        </w:rPr>
        <w:t>-</w:t>
      </w:r>
      <w:r w:rsidRPr="00EF1AF1">
        <w:rPr>
          <w:lang w:val="en-CA"/>
        </w:rPr>
        <w:t>301.</w:t>
      </w:r>
    </w:p>
  </w:footnote>
  <w:footnote w:id="26">
    <w:p w14:paraId="4F737508" w14:textId="77777777" w:rsidR="00E406BF" w:rsidRPr="00EF1AF1" w:rsidRDefault="00EF1AF1" w:rsidP="006F7E56">
      <w:pPr>
        <w:pStyle w:val="Notedebasdepage"/>
        <w:ind w:left="284" w:hanging="284"/>
        <w:rPr>
          <w:i/>
          <w:iCs/>
          <w:lang w:val="en-CA"/>
        </w:rPr>
      </w:pPr>
      <w:r w:rsidRPr="00EF1AF1">
        <w:rPr>
          <w:rStyle w:val="Appelnotedebasdep"/>
          <w:lang w:val="en-CA"/>
        </w:rPr>
        <w:footnoteRef/>
      </w:r>
      <w:r w:rsidRPr="00EF1AF1">
        <w:rPr>
          <w:lang w:val="en-CA"/>
        </w:rPr>
        <w:tab/>
      </w:r>
      <w:r w:rsidRPr="00EF1AF1">
        <w:rPr>
          <w:i/>
          <w:iCs/>
          <w:lang w:val="en-CA"/>
        </w:rPr>
        <w:t>Supra</w:t>
      </w:r>
      <w:r w:rsidRPr="00EF1AF1">
        <w:rPr>
          <w:lang w:val="en-CA"/>
        </w:rPr>
        <w:t>, para. 10.</w:t>
      </w:r>
    </w:p>
  </w:footnote>
  <w:footnote w:id="27">
    <w:p w14:paraId="4F737509" w14:textId="4558C194" w:rsidR="00E406BF" w:rsidRPr="00EF1AF1" w:rsidRDefault="00EF1AF1" w:rsidP="00E406BF">
      <w:pPr>
        <w:pStyle w:val="Notedebasdepage"/>
        <w:ind w:left="284" w:hanging="284"/>
        <w:rPr>
          <w:rFonts w:cs="Arial"/>
          <w:lang w:val="en-CA"/>
        </w:rPr>
      </w:pPr>
      <w:r w:rsidRPr="00EF1AF1">
        <w:rPr>
          <w:rStyle w:val="Appelnotedebasdep"/>
          <w:rFonts w:cs="Arial"/>
          <w:lang w:val="en-CA"/>
        </w:rPr>
        <w:footnoteRef/>
      </w:r>
      <w:r w:rsidRPr="00EF1AF1">
        <w:rPr>
          <w:lang w:val="en-CA"/>
        </w:rPr>
        <w:tab/>
      </w:r>
      <w:r w:rsidR="00E94862">
        <w:rPr>
          <w:lang w:val="en-CA"/>
        </w:rPr>
        <w:t>P</w:t>
      </w:r>
      <w:r w:rsidR="00E94862">
        <w:rPr>
          <w:szCs w:val="24"/>
          <w:lang w:val="en-CA"/>
        </w:rPr>
        <w:t>aragraph</w:t>
      </w:r>
      <w:r>
        <w:rPr>
          <w:lang w:val="en-CA"/>
        </w:rPr>
        <w:t> </w:t>
      </w:r>
      <w:r w:rsidRPr="00EF1AF1">
        <w:rPr>
          <w:lang w:val="en-CA"/>
        </w:rPr>
        <w:t xml:space="preserve">10(a) of the </w:t>
      </w:r>
      <w:r w:rsidRPr="00EF1AF1">
        <w:rPr>
          <w:i/>
          <w:iCs/>
          <w:lang w:val="en-CA"/>
        </w:rPr>
        <w:t>Canadian Charter</w:t>
      </w:r>
      <w:r w:rsidRPr="00EF1AF1">
        <w:rPr>
          <w:lang w:val="en-CA"/>
        </w:rPr>
        <w:t>.</w:t>
      </w:r>
    </w:p>
  </w:footnote>
  <w:footnote w:id="28">
    <w:p w14:paraId="4F73750A" w14:textId="2343D160"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Whipple</w:t>
      </w:r>
      <w:r w:rsidRPr="00EF1AF1">
        <w:rPr>
          <w:lang w:val="en-CA"/>
        </w:rPr>
        <w:t>, 2016 ABCA 232</w:t>
      </w:r>
      <w:r w:rsidR="0069600D">
        <w:rPr>
          <w:lang w:val="en-CA"/>
        </w:rPr>
        <w:t>,</w:t>
      </w:r>
      <w:r w:rsidRPr="00EF1AF1">
        <w:rPr>
          <w:lang w:val="en-CA"/>
        </w:rPr>
        <w:t xml:space="preserve"> leave </w:t>
      </w:r>
      <w:r w:rsidR="0069600D">
        <w:rPr>
          <w:lang w:val="en-CA"/>
        </w:rPr>
        <w:t>to appeal to SCC refused, 37241 (</w:t>
      </w:r>
      <w:r w:rsidRPr="00EF1AF1">
        <w:rPr>
          <w:lang w:val="en-CA"/>
        </w:rPr>
        <w:t>February 2, 2017).</w:t>
      </w:r>
    </w:p>
  </w:footnote>
  <w:footnote w:id="29">
    <w:p w14:paraId="4F73750B" w14:textId="7BC41C86"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 xml:space="preserve">Nader Hasan, Mable Lai, David Schermbrucker </w:t>
      </w:r>
      <w:r w:rsidR="0069600D">
        <w:rPr>
          <w:lang w:val="en-CA"/>
        </w:rPr>
        <w:t>&amp;</w:t>
      </w:r>
      <w:r w:rsidRPr="00EF1AF1">
        <w:rPr>
          <w:lang w:val="en-CA"/>
        </w:rPr>
        <w:t xml:space="preserve"> Randy Schwartz, </w:t>
      </w:r>
      <w:r w:rsidRPr="00EF1AF1">
        <w:rPr>
          <w:i/>
          <w:iCs/>
          <w:lang w:val="en-CA"/>
        </w:rPr>
        <w:t xml:space="preserve">Search and Seizure </w:t>
      </w:r>
      <w:r w:rsidRPr="00EF1AF1">
        <w:rPr>
          <w:lang w:val="en-CA"/>
        </w:rPr>
        <w:t>(Toronto: Emond, 2021), p. 239.</w:t>
      </w:r>
    </w:p>
  </w:footnote>
  <w:footnote w:id="30">
    <w:p w14:paraId="4F73750C" w14:textId="47FC99F6"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 xml:space="preserve">On the fact that a warrant authorizing a person to be stopped and searched under a false </w:t>
      </w:r>
      <w:r w:rsidR="00CD1F32">
        <w:rPr>
          <w:lang w:val="en-CA"/>
        </w:rPr>
        <w:t>pretext</w:t>
      </w:r>
      <w:r w:rsidRPr="00EF1AF1">
        <w:rPr>
          <w:lang w:val="en-CA"/>
        </w:rPr>
        <w:t xml:space="preserve"> entails an infringement of </w:t>
      </w:r>
      <w:r>
        <w:rPr>
          <w:lang w:val="en-CA"/>
        </w:rPr>
        <w:t>paragraph </w:t>
      </w:r>
      <w:r w:rsidRPr="00EF1AF1">
        <w:rPr>
          <w:lang w:val="en-CA"/>
        </w:rPr>
        <w:t xml:space="preserve">10(a) of the </w:t>
      </w:r>
      <w:r w:rsidRPr="00EF1AF1">
        <w:rPr>
          <w:i/>
          <w:iCs/>
          <w:lang w:val="en-CA"/>
        </w:rPr>
        <w:t>Canadian Charter</w:t>
      </w:r>
      <w:r w:rsidRPr="00EF1AF1">
        <w:rPr>
          <w:lang w:val="en-CA"/>
        </w:rPr>
        <w:t xml:space="preserve">, see also: Steve Coughlan, </w:t>
      </w:r>
      <w:r w:rsidRPr="00EF1AF1">
        <w:rPr>
          <w:i/>
          <w:iCs/>
          <w:lang w:val="en-CA"/>
        </w:rPr>
        <w:t xml:space="preserve">Criminal Procedure </w:t>
      </w:r>
      <w:r w:rsidRPr="00EF1AF1">
        <w:rPr>
          <w:lang w:val="en-CA"/>
        </w:rPr>
        <w:t>(Toronto: Irwin Law, 2020), pp. 220</w:t>
      </w:r>
      <w:r w:rsidR="0069600D">
        <w:rPr>
          <w:lang w:val="en-CA"/>
        </w:rPr>
        <w:t>-</w:t>
      </w:r>
      <w:r w:rsidRPr="00EF1AF1">
        <w:rPr>
          <w:lang w:val="en-CA"/>
        </w:rPr>
        <w:t xml:space="preserve">221; Steve Coughlan, </w:t>
      </w:r>
      <w:r w:rsidR="00705025" w:rsidRPr="00EF1AF1">
        <w:rPr>
          <w:lang w:val="en-CA"/>
        </w:rPr>
        <w:t>“</w:t>
      </w:r>
      <w:r w:rsidRPr="00EF1AF1">
        <w:rPr>
          <w:lang w:val="en-CA"/>
        </w:rPr>
        <w:t xml:space="preserve">Case comment: </w:t>
      </w:r>
      <w:r w:rsidRPr="00EF1AF1">
        <w:rPr>
          <w:i/>
          <w:iCs/>
          <w:lang w:val="en-CA"/>
        </w:rPr>
        <w:t>R. v. Poirier</w:t>
      </w:r>
      <w:r w:rsidRPr="00EF1AF1">
        <w:rPr>
          <w:lang w:val="en-CA"/>
        </w:rPr>
        <w:t xml:space="preserve"> </w:t>
      </w:r>
      <w:r w:rsidR="00705025" w:rsidRPr="00EF1AF1">
        <w:rPr>
          <w:lang w:val="en-CA"/>
        </w:rPr>
        <w:t>”</w:t>
      </w:r>
      <w:r w:rsidRPr="00EF1AF1">
        <w:rPr>
          <w:lang w:val="en-CA"/>
        </w:rPr>
        <w:t xml:space="preserve">, (2016) 30 </w:t>
      </w:r>
      <w:r w:rsidRPr="006F7E56">
        <w:rPr>
          <w:lang w:val="en-CA"/>
        </w:rPr>
        <w:t>R.J.C.</w:t>
      </w:r>
      <w:r w:rsidRPr="00EF1AF1">
        <w:rPr>
          <w:lang w:val="en-CA"/>
        </w:rPr>
        <w:t xml:space="preserve"> (7</w:t>
      </w:r>
      <w:r w:rsidRPr="006F7E56">
        <w:rPr>
          <w:lang w:val="en-CA"/>
        </w:rPr>
        <w:t>th</w:t>
      </w:r>
      <w:r w:rsidRPr="00EF1AF1">
        <w:rPr>
          <w:vertAlign w:val="superscript"/>
          <w:lang w:val="en-CA"/>
        </w:rPr>
        <w:t xml:space="preserve"> </w:t>
      </w:r>
      <w:r w:rsidRPr="00EF1AF1">
        <w:rPr>
          <w:lang w:val="en-CA"/>
        </w:rPr>
        <w:t>ed.) 346, p. 347.</w:t>
      </w:r>
    </w:p>
  </w:footnote>
  <w:footnote w:id="31">
    <w:p w14:paraId="4F73750D" w14:textId="4EDA8DF8"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Bielli</w:t>
      </w:r>
      <w:r w:rsidRPr="00EF1AF1">
        <w:rPr>
          <w:lang w:val="en-CA"/>
        </w:rPr>
        <w:t xml:space="preserve">, 2021 ONCA 222. As in </w:t>
      </w:r>
      <w:r w:rsidR="0069600D">
        <w:rPr>
          <w:lang w:val="en-CA"/>
        </w:rPr>
        <w:t>this</w:t>
      </w:r>
      <w:r w:rsidRPr="00EF1AF1">
        <w:rPr>
          <w:lang w:val="en-CA"/>
        </w:rPr>
        <w:t xml:space="preserve"> case, the police had invoked a false </w:t>
      </w:r>
      <w:r w:rsidR="00CD1F32">
        <w:rPr>
          <w:lang w:val="en-CA"/>
        </w:rPr>
        <w:t>pretext</w:t>
      </w:r>
      <w:r w:rsidRPr="00EF1AF1">
        <w:rPr>
          <w:lang w:val="en-CA"/>
        </w:rPr>
        <w:t xml:space="preserve"> in order not to reveal the existence of an ongoing investigation into the activities of the criminal organization in question. However, unlike </w:t>
      </w:r>
      <w:r w:rsidR="0069600D">
        <w:rPr>
          <w:lang w:val="en-CA"/>
        </w:rPr>
        <w:t>this</w:t>
      </w:r>
      <w:r w:rsidRPr="00EF1AF1">
        <w:rPr>
          <w:lang w:val="en-CA"/>
        </w:rPr>
        <w:t xml:space="preserve"> case, the police had chosen to proceed without a warrant. As </w:t>
      </w:r>
      <w:r w:rsidR="0069600D">
        <w:rPr>
          <w:lang w:val="en-CA"/>
        </w:rPr>
        <w:t>for</w:t>
      </w:r>
      <w:r w:rsidRPr="00EF1AF1">
        <w:rPr>
          <w:lang w:val="en-CA"/>
        </w:rPr>
        <w:t xml:space="preserve"> the impact on the right to counsel of an infringement of the right to be informed promptly of the reasons for detention or arrest, see also: Peter W. Hogg </w:t>
      </w:r>
      <w:r w:rsidR="0069600D">
        <w:rPr>
          <w:lang w:val="en-CA"/>
        </w:rPr>
        <w:t>&amp;</w:t>
      </w:r>
      <w:r w:rsidRPr="00EF1AF1">
        <w:rPr>
          <w:lang w:val="en-CA"/>
        </w:rPr>
        <w:t xml:space="preserve"> Wade K. Wright, </w:t>
      </w:r>
      <w:r w:rsidRPr="00EF1AF1">
        <w:rPr>
          <w:i/>
          <w:iCs/>
          <w:lang w:val="en-CA"/>
        </w:rPr>
        <w:t>Constitutional Law of Canada</w:t>
      </w:r>
      <w:r w:rsidRPr="00EF1AF1">
        <w:rPr>
          <w:lang w:val="en-CA"/>
        </w:rPr>
        <w:t>, 5</w:t>
      </w:r>
      <w:r w:rsidRPr="006F7E56">
        <w:rPr>
          <w:lang w:val="en-CA"/>
        </w:rPr>
        <w:t>th</w:t>
      </w:r>
      <w:r w:rsidRPr="00EF1AF1">
        <w:rPr>
          <w:lang w:val="en-CA"/>
        </w:rPr>
        <w:t xml:space="preserve"> ed. </w:t>
      </w:r>
      <w:r w:rsidR="0069600D">
        <w:rPr>
          <w:lang w:val="en-CA"/>
        </w:rPr>
        <w:t>(</w:t>
      </w:r>
      <w:r w:rsidRPr="00EF1AF1">
        <w:rPr>
          <w:lang w:val="en-CA"/>
        </w:rPr>
        <w:t>Toronto</w:t>
      </w:r>
      <w:r w:rsidR="0069600D">
        <w:rPr>
          <w:lang w:val="en-CA"/>
        </w:rPr>
        <w:t>:</w:t>
      </w:r>
      <w:r w:rsidRPr="00EF1AF1">
        <w:rPr>
          <w:lang w:val="en-CA"/>
        </w:rPr>
        <w:t xml:space="preserve"> Thomson Reuters, 2024</w:t>
      </w:r>
      <w:r w:rsidR="0069600D">
        <w:rPr>
          <w:lang w:val="en-CA"/>
        </w:rPr>
        <w:t>),</w:t>
      </w:r>
      <w:r w:rsidRPr="00EF1AF1">
        <w:rPr>
          <w:lang w:val="en-CA"/>
        </w:rPr>
        <w:t xml:space="preserve"> loose-leaf, July 2024 supplement, pp. 50</w:t>
      </w:r>
      <w:r w:rsidR="0069600D">
        <w:rPr>
          <w:lang w:val="en-CA"/>
        </w:rPr>
        <w:t>-</w:t>
      </w:r>
      <w:r w:rsidRPr="00EF1AF1">
        <w:rPr>
          <w:lang w:val="en-CA"/>
        </w:rPr>
        <w:t>34 and 50</w:t>
      </w:r>
      <w:r w:rsidR="0069600D">
        <w:rPr>
          <w:lang w:val="en-CA"/>
        </w:rPr>
        <w:t>-</w:t>
      </w:r>
      <w:r w:rsidRPr="00EF1AF1">
        <w:rPr>
          <w:lang w:val="en-CA"/>
        </w:rPr>
        <w:t>35 (§ 50:10).</w:t>
      </w:r>
    </w:p>
  </w:footnote>
  <w:footnote w:id="32">
    <w:p w14:paraId="4F73750E" w14:textId="77777777" w:rsidR="00E406BF" w:rsidRPr="006F7E56" w:rsidRDefault="00EF1AF1" w:rsidP="00E406BF">
      <w:pPr>
        <w:pStyle w:val="Notedebasdepage"/>
        <w:ind w:left="284" w:hanging="284"/>
        <w:rPr>
          <w:lang w:val="en-CA"/>
        </w:rPr>
      </w:pPr>
      <w:r w:rsidRPr="00EF1AF1">
        <w:rPr>
          <w:rStyle w:val="Appelnotedebasdep"/>
          <w:lang w:val="en-CA"/>
        </w:rPr>
        <w:footnoteRef/>
      </w:r>
      <w:r w:rsidRPr="006F7E56">
        <w:rPr>
          <w:lang w:val="en-CA"/>
        </w:rPr>
        <w:tab/>
      </w:r>
      <w:r w:rsidRPr="006F7E56">
        <w:rPr>
          <w:i/>
          <w:iCs/>
          <w:lang w:val="en-CA"/>
        </w:rPr>
        <w:t>R. v. Orbanski; R. v. Elias</w:t>
      </w:r>
      <w:r w:rsidRPr="006F7E56">
        <w:rPr>
          <w:lang w:val="en-CA"/>
        </w:rPr>
        <w:t>, 2005 SCC 37.</w:t>
      </w:r>
    </w:p>
  </w:footnote>
  <w:footnote w:id="33">
    <w:p w14:paraId="4F73750F" w14:textId="64D6C185" w:rsidR="00E406BF" w:rsidRPr="00EF1AF1" w:rsidRDefault="00EF1AF1" w:rsidP="00E406BF">
      <w:pPr>
        <w:pStyle w:val="Notedebasdepage"/>
        <w:ind w:left="284" w:hanging="284"/>
        <w:rPr>
          <w:lang w:val="en-CA"/>
        </w:rPr>
      </w:pPr>
      <w:r w:rsidRPr="00EF1AF1">
        <w:rPr>
          <w:rStyle w:val="Appelnotedebasdep"/>
          <w:lang w:val="en-CA"/>
        </w:rPr>
        <w:footnoteRef/>
      </w:r>
      <w:r w:rsidRPr="006F7E56">
        <w:rPr>
          <w:lang w:val="en-CA"/>
        </w:rPr>
        <w:tab/>
      </w:r>
      <w:r w:rsidRPr="006F7E56">
        <w:rPr>
          <w:i/>
          <w:iCs/>
          <w:lang w:val="en-CA"/>
        </w:rPr>
        <w:t>Id.</w:t>
      </w:r>
      <w:r w:rsidRPr="006F7E56">
        <w:rPr>
          <w:lang w:val="en-CA"/>
        </w:rPr>
        <w:t xml:space="preserve">, para. </w:t>
      </w:r>
      <w:r w:rsidRPr="00EF1AF1">
        <w:rPr>
          <w:lang w:val="en-CA"/>
        </w:rPr>
        <w:t xml:space="preserve">36, citing </w:t>
      </w:r>
      <w:r w:rsidRPr="00EF1AF1">
        <w:rPr>
          <w:i/>
          <w:iCs/>
          <w:lang w:val="en-CA"/>
        </w:rPr>
        <w:t>R. v. Therens</w:t>
      </w:r>
      <w:r w:rsidRPr="00EF1AF1">
        <w:rPr>
          <w:lang w:val="en-CA"/>
        </w:rPr>
        <w:t>, [1985] 1 S.C.R. 613, p. 645.</w:t>
      </w:r>
    </w:p>
  </w:footnote>
  <w:footnote w:id="34">
    <w:p w14:paraId="4F737510" w14:textId="1DCAF438"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 xml:space="preserve"> </w:t>
      </w:r>
      <w:r w:rsidRPr="00EF1AF1">
        <w:rPr>
          <w:lang w:val="en-CA"/>
        </w:rPr>
        <w:tab/>
      </w:r>
      <w:r w:rsidRPr="00EF1AF1">
        <w:rPr>
          <w:i/>
          <w:iCs/>
          <w:lang w:val="en-CA"/>
        </w:rPr>
        <w:t>Id.</w:t>
      </w:r>
      <w:r w:rsidRPr="00EF1AF1">
        <w:rPr>
          <w:lang w:val="en-CA"/>
        </w:rPr>
        <w:t xml:space="preserve">, para. 52. </w:t>
      </w:r>
    </w:p>
  </w:footnote>
  <w:footnote w:id="35">
    <w:p w14:paraId="4F737511"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 xml:space="preserve"> </w:t>
      </w:r>
      <w:r w:rsidRPr="00EF1AF1">
        <w:rPr>
          <w:lang w:val="en-CA"/>
        </w:rPr>
        <w:tab/>
      </w:r>
      <w:r w:rsidRPr="00EF1AF1">
        <w:rPr>
          <w:i/>
          <w:iCs/>
          <w:lang w:val="en-CA"/>
        </w:rPr>
        <w:t>Supra</w:t>
      </w:r>
      <w:r w:rsidRPr="00EF1AF1">
        <w:rPr>
          <w:lang w:val="en-CA"/>
        </w:rPr>
        <w:t>, para. 47.</w:t>
      </w:r>
    </w:p>
  </w:footnote>
  <w:footnote w:id="36">
    <w:p w14:paraId="4F737512" w14:textId="0E07C736"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 xml:space="preserve">Steve Coughlan, </w:t>
      </w:r>
      <w:r w:rsidRPr="00EF1AF1">
        <w:rPr>
          <w:i/>
          <w:iCs/>
          <w:lang w:val="en-CA"/>
        </w:rPr>
        <w:t xml:space="preserve">Criminal Procedure </w:t>
      </w:r>
      <w:r w:rsidRPr="00EF1AF1">
        <w:rPr>
          <w:lang w:val="en-CA"/>
        </w:rPr>
        <w:t>(Toronto: Irwin Law, 2020), pp. 220</w:t>
      </w:r>
      <w:r w:rsidR="0032171F">
        <w:rPr>
          <w:lang w:val="en-CA"/>
        </w:rPr>
        <w:t>-</w:t>
      </w:r>
      <w:r w:rsidRPr="00EF1AF1">
        <w:rPr>
          <w:lang w:val="en-CA"/>
        </w:rPr>
        <w:t>221.</w:t>
      </w:r>
    </w:p>
  </w:footnote>
  <w:footnote w:id="37">
    <w:p w14:paraId="4F737513"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Testimony of Corinne Huot-Simard, September 9, 2021, A.B., vol. 4, p. 876.</w:t>
      </w:r>
    </w:p>
  </w:footnote>
  <w:footnote w:id="38">
    <w:p w14:paraId="4F737514" w14:textId="33F6033B"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00DA5AA3">
        <w:rPr>
          <w:lang w:val="en-CA"/>
        </w:rPr>
        <w:t>Purs</w:t>
      </w:r>
      <w:r w:rsidR="00366F76">
        <w:rPr>
          <w:lang w:val="en-CA"/>
        </w:rPr>
        <w:t>u</w:t>
      </w:r>
      <w:r w:rsidR="00DA5AA3">
        <w:rPr>
          <w:lang w:val="en-CA"/>
        </w:rPr>
        <w:t>ant to which</w:t>
      </w:r>
      <w:r w:rsidRPr="00EF1AF1">
        <w:rPr>
          <w:lang w:val="en-CA"/>
        </w:rPr>
        <w:t xml:space="preserve"> it was incumbent upon them </w:t>
      </w:r>
      <w:r w:rsidR="00705025" w:rsidRPr="00EF1AF1">
        <w:rPr>
          <w:lang w:val="en-CA"/>
        </w:rPr>
        <w:t>“</w:t>
      </w:r>
      <w:r w:rsidRPr="00EF1AF1">
        <w:rPr>
          <w:lang w:val="en-CA"/>
        </w:rPr>
        <w:t xml:space="preserve">to inform [the appellant] of his </w:t>
      </w:r>
      <w:r w:rsidR="00DA5AA3">
        <w:rPr>
          <w:lang w:val="en-CA"/>
        </w:rPr>
        <w:t>[…]</w:t>
      </w:r>
      <w:r w:rsidRPr="00EF1AF1">
        <w:rPr>
          <w:lang w:val="en-CA"/>
        </w:rPr>
        <w:t xml:space="preserve"> right to retain and instruct counsel without delay and of the existence and availability of legal aid and duty counsel” </w:t>
      </w:r>
      <w:r w:rsidRPr="00EF1AF1">
        <w:rPr>
          <w:i/>
          <w:iCs/>
          <w:lang w:val="en-CA"/>
        </w:rPr>
        <w:t>(R. v. Brunelle</w:t>
      </w:r>
      <w:r w:rsidRPr="00EF1AF1">
        <w:rPr>
          <w:lang w:val="en-CA"/>
        </w:rPr>
        <w:t>, 2024 SCC 3, par</w:t>
      </w:r>
      <w:r w:rsidR="00DA5AA3">
        <w:rPr>
          <w:lang w:val="en-CA"/>
        </w:rPr>
        <w:t>a</w:t>
      </w:r>
      <w:r w:rsidRPr="00EF1AF1">
        <w:rPr>
          <w:lang w:val="en-CA"/>
        </w:rPr>
        <w:t>. 80).</w:t>
      </w:r>
    </w:p>
  </w:footnote>
  <w:footnote w:id="39">
    <w:p w14:paraId="4F737515"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nb-NO"/>
        </w:rPr>
        <w:tab/>
      </w:r>
      <w:r w:rsidRPr="00EF1AF1">
        <w:rPr>
          <w:i/>
          <w:iCs/>
          <w:szCs w:val="24"/>
          <w:lang w:val="nb-NO"/>
        </w:rPr>
        <w:t>R. v. Bartle</w:t>
      </w:r>
      <w:r w:rsidRPr="00EF1AF1">
        <w:rPr>
          <w:szCs w:val="24"/>
          <w:lang w:val="nb-NO"/>
        </w:rPr>
        <w:t xml:space="preserve">, [1994] 3 S.C.R. 173, p. 202. </w:t>
      </w:r>
      <w:r w:rsidRPr="00EF1AF1">
        <w:rPr>
          <w:szCs w:val="24"/>
          <w:lang w:val="en-CA"/>
        </w:rPr>
        <w:t xml:space="preserve">See also: </w:t>
      </w:r>
      <w:r w:rsidRPr="00EF1AF1">
        <w:rPr>
          <w:i/>
          <w:iCs/>
          <w:szCs w:val="24"/>
          <w:lang w:val="en-CA"/>
        </w:rPr>
        <w:t>R. v. Knoblauch</w:t>
      </w:r>
      <w:r w:rsidRPr="00EF1AF1">
        <w:rPr>
          <w:szCs w:val="24"/>
          <w:lang w:val="en-CA"/>
        </w:rPr>
        <w:t xml:space="preserve">, 2018 SKCA 15, para. 29; </w:t>
      </w:r>
      <w:r w:rsidRPr="00EF1AF1">
        <w:rPr>
          <w:i/>
          <w:iCs/>
          <w:szCs w:val="24"/>
          <w:lang w:val="en-CA"/>
        </w:rPr>
        <w:t>R. v. Grouse</w:t>
      </w:r>
      <w:r w:rsidRPr="00EF1AF1">
        <w:rPr>
          <w:szCs w:val="24"/>
          <w:lang w:val="en-CA"/>
        </w:rPr>
        <w:t>, 2004 NSCA 108, para. 14</w:t>
      </w:r>
      <w:r w:rsidRPr="00EF1AF1">
        <w:rPr>
          <w:lang w:val="en-CA"/>
        </w:rPr>
        <w:t>.</w:t>
      </w:r>
    </w:p>
  </w:footnote>
  <w:footnote w:id="40">
    <w:p w14:paraId="4F737516" w14:textId="7FE6C832"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 xml:space="preserve">More precisely, deference is generally owed to findings of fact made in analyzing the admissibility of the evidence </w:t>
      </w:r>
      <w:r w:rsidR="007D3ACF">
        <w:rPr>
          <w:lang w:val="en-CA"/>
        </w:rPr>
        <w:t>in dispute</w:t>
      </w:r>
      <w:r w:rsidRPr="00EF1AF1">
        <w:rPr>
          <w:lang w:val="en-CA"/>
        </w:rPr>
        <w:t xml:space="preserve"> </w:t>
      </w:r>
      <w:r w:rsidRPr="006F7E56">
        <w:rPr>
          <w:lang w:val="en-CA"/>
        </w:rPr>
        <w:t>(</w:t>
      </w:r>
      <w:r w:rsidRPr="00EF1AF1">
        <w:rPr>
          <w:i/>
          <w:iCs/>
          <w:lang w:val="en-CA"/>
        </w:rPr>
        <w:t>R. v. Lafrance</w:t>
      </w:r>
      <w:r w:rsidRPr="00EF1AF1">
        <w:rPr>
          <w:lang w:val="en-CA"/>
        </w:rPr>
        <w:t xml:space="preserve">, 2022 SCC 32, para. 91; </w:t>
      </w:r>
      <w:r w:rsidRPr="00EF1AF1">
        <w:rPr>
          <w:i/>
          <w:iCs/>
          <w:lang w:val="en-CA"/>
        </w:rPr>
        <w:t>R. v. Beaver</w:t>
      </w:r>
      <w:r w:rsidRPr="00EF1AF1">
        <w:rPr>
          <w:lang w:val="en-CA"/>
        </w:rPr>
        <w:t>, 2022 SCC 54, para. 118) and in assessing the factors to be considered in applying sub</w:t>
      </w:r>
      <w:r>
        <w:rPr>
          <w:lang w:val="en-CA"/>
        </w:rPr>
        <w:t>section </w:t>
      </w:r>
      <w:r w:rsidRPr="00EF1AF1">
        <w:rPr>
          <w:lang w:val="en-CA"/>
        </w:rPr>
        <w:t xml:space="preserve">24(2) </w:t>
      </w:r>
      <w:r w:rsidRPr="006F7E56">
        <w:rPr>
          <w:lang w:val="en-CA"/>
        </w:rPr>
        <w:t>(</w:t>
      </w:r>
      <w:r w:rsidRPr="00EF1AF1">
        <w:rPr>
          <w:i/>
          <w:iCs/>
          <w:lang w:val="en-CA"/>
        </w:rPr>
        <w:t>R. v. Grant</w:t>
      </w:r>
      <w:r w:rsidRPr="00EF1AF1">
        <w:rPr>
          <w:lang w:val="en-CA"/>
        </w:rPr>
        <w:t xml:space="preserve">, 2009 SCC 32, para. </w:t>
      </w:r>
      <w:r w:rsidRPr="00EF1AF1">
        <w:t xml:space="preserve">86; </w:t>
      </w:r>
      <w:r w:rsidRPr="00EF1AF1">
        <w:rPr>
          <w:i/>
          <w:iCs/>
        </w:rPr>
        <w:t>R. v. Beaulieu</w:t>
      </w:r>
      <w:r w:rsidRPr="00EF1AF1">
        <w:t xml:space="preserve">, 2010 SCC 7, para. 5; </w:t>
      </w:r>
      <w:r w:rsidRPr="00EF1AF1">
        <w:rPr>
          <w:i/>
          <w:iCs/>
        </w:rPr>
        <w:t>R.</w:t>
      </w:r>
      <w:r w:rsidRPr="00EF1AF1">
        <w:t xml:space="preserve"> </w:t>
      </w:r>
      <w:r w:rsidRPr="00EF1AF1">
        <w:rPr>
          <w:i/>
          <w:iCs/>
        </w:rPr>
        <w:t>v.</w:t>
      </w:r>
      <w:r w:rsidRPr="00EF1AF1">
        <w:t xml:space="preserve"> </w:t>
      </w:r>
      <w:r w:rsidRPr="00EF1AF1">
        <w:rPr>
          <w:i/>
          <w:iCs/>
        </w:rPr>
        <w:t>Côté</w:t>
      </w:r>
      <w:r w:rsidRPr="00EF1AF1">
        <w:t xml:space="preserve">, 2011 SCC 46, para. </w:t>
      </w:r>
      <w:r w:rsidRPr="00EF1AF1">
        <w:rPr>
          <w:lang w:val="en-CA"/>
        </w:rPr>
        <w:t xml:space="preserve">44; </w:t>
      </w:r>
      <w:r w:rsidRPr="00EF1AF1">
        <w:rPr>
          <w:i/>
          <w:iCs/>
          <w:lang w:val="en-CA"/>
        </w:rPr>
        <w:t>R. v. Mack</w:t>
      </w:r>
      <w:r w:rsidRPr="00EF1AF1">
        <w:rPr>
          <w:lang w:val="en-CA"/>
        </w:rPr>
        <w:t xml:space="preserve">, 2014 SCC 58, para. 39; </w:t>
      </w:r>
      <w:r w:rsidRPr="00EF1AF1">
        <w:rPr>
          <w:i/>
          <w:iCs/>
          <w:lang w:val="en-CA"/>
        </w:rPr>
        <w:t>R. v. Beaver</w:t>
      </w:r>
      <w:r w:rsidRPr="00EF1AF1">
        <w:rPr>
          <w:lang w:val="en-CA"/>
        </w:rPr>
        <w:t>, 2022 SCC 54, para. 118).</w:t>
      </w:r>
    </w:p>
  </w:footnote>
  <w:footnote w:id="41">
    <w:p w14:paraId="4F737517"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Grant</w:t>
      </w:r>
      <w:r w:rsidRPr="00EF1AF1">
        <w:rPr>
          <w:lang w:val="en-CA"/>
        </w:rPr>
        <w:t>, 2009 SCC 32.</w:t>
      </w:r>
    </w:p>
  </w:footnote>
  <w:footnote w:id="42">
    <w:p w14:paraId="4F737518" w14:textId="539B173B" w:rsidR="00E406BF" w:rsidRPr="006F7E56"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Id.</w:t>
      </w:r>
      <w:r w:rsidRPr="00EF1AF1">
        <w:rPr>
          <w:lang w:val="en-CA"/>
        </w:rPr>
        <w:t xml:space="preserve">, para. 71. See also </w:t>
      </w:r>
      <w:r w:rsidRPr="00EF1AF1">
        <w:rPr>
          <w:i/>
          <w:iCs/>
          <w:lang w:val="en-CA"/>
        </w:rPr>
        <w:t>R. v. Beaver</w:t>
      </w:r>
      <w:r w:rsidRPr="00EF1AF1">
        <w:rPr>
          <w:lang w:val="en-CA"/>
        </w:rPr>
        <w:t xml:space="preserve">, 2022 SCC 54, para. </w:t>
      </w:r>
      <w:r w:rsidRPr="006F7E56">
        <w:rPr>
          <w:lang w:val="en-CA"/>
        </w:rPr>
        <w:t>116.</w:t>
      </w:r>
    </w:p>
  </w:footnote>
  <w:footnote w:id="43">
    <w:p w14:paraId="4F737519" w14:textId="788E64A2" w:rsidR="00E406BF" w:rsidRPr="006F7E56" w:rsidRDefault="00EF1AF1" w:rsidP="00E406BF">
      <w:pPr>
        <w:pStyle w:val="Notedebasdepage"/>
        <w:ind w:left="284" w:hanging="284"/>
        <w:rPr>
          <w:lang w:val="en-CA"/>
        </w:rPr>
      </w:pPr>
      <w:r w:rsidRPr="00EF1AF1">
        <w:rPr>
          <w:rStyle w:val="Appelnotedebasdep"/>
          <w:lang w:val="en-CA"/>
        </w:rPr>
        <w:footnoteRef/>
      </w:r>
      <w:r w:rsidRPr="006F7E56">
        <w:rPr>
          <w:lang w:val="en-CA"/>
        </w:rPr>
        <w:tab/>
      </w:r>
      <w:r w:rsidRPr="006F7E56">
        <w:rPr>
          <w:i/>
          <w:iCs/>
          <w:lang w:val="en-CA"/>
        </w:rPr>
        <w:t>Id.</w:t>
      </w:r>
      <w:r w:rsidRPr="006F7E56">
        <w:rPr>
          <w:lang w:val="en-CA"/>
        </w:rPr>
        <w:t>, paras. 72</w:t>
      </w:r>
      <w:r w:rsidR="001D7825" w:rsidRPr="006F7E56">
        <w:rPr>
          <w:lang w:val="en-CA"/>
        </w:rPr>
        <w:t>-</w:t>
      </w:r>
      <w:r w:rsidRPr="006F7E56">
        <w:rPr>
          <w:lang w:val="en-CA"/>
        </w:rPr>
        <w:t>73.</w:t>
      </w:r>
    </w:p>
  </w:footnote>
  <w:footnote w:id="44">
    <w:p w14:paraId="4F73751A" w14:textId="77777777" w:rsidR="00E406BF" w:rsidRPr="006F7E56" w:rsidRDefault="00EF1AF1" w:rsidP="00E406BF">
      <w:pPr>
        <w:pStyle w:val="Notedebasdepage"/>
        <w:ind w:left="284" w:hanging="284"/>
        <w:rPr>
          <w:lang w:val="en-CA"/>
        </w:rPr>
      </w:pPr>
      <w:r w:rsidRPr="00EF1AF1">
        <w:rPr>
          <w:rStyle w:val="Appelnotedebasdep"/>
          <w:lang w:val="en-CA"/>
        </w:rPr>
        <w:footnoteRef/>
      </w:r>
      <w:r w:rsidRPr="006F7E56">
        <w:rPr>
          <w:lang w:val="en-CA"/>
        </w:rPr>
        <w:tab/>
      </w:r>
      <w:r w:rsidRPr="006F7E56">
        <w:rPr>
          <w:i/>
          <w:iCs/>
          <w:lang w:val="en-CA"/>
        </w:rPr>
        <w:t>R. v. Grant</w:t>
      </w:r>
      <w:r w:rsidRPr="006F7E56">
        <w:rPr>
          <w:lang w:val="en-CA"/>
        </w:rPr>
        <w:t xml:space="preserve">, 2009 SCC 32, para. </w:t>
      </w:r>
      <w:r w:rsidRPr="00EF1AF1">
        <w:rPr>
          <w:lang w:val="en-CA"/>
        </w:rPr>
        <w:t xml:space="preserve">74. See also: </w:t>
      </w:r>
      <w:r w:rsidRPr="00EF1AF1">
        <w:rPr>
          <w:i/>
          <w:iCs/>
          <w:lang w:val="en-CA"/>
        </w:rPr>
        <w:t>R.</w:t>
      </w:r>
      <w:r w:rsidRPr="00EF1AF1">
        <w:rPr>
          <w:lang w:val="en-CA"/>
        </w:rPr>
        <w:t xml:space="preserve"> </w:t>
      </w:r>
      <w:r w:rsidRPr="00EF1AF1">
        <w:rPr>
          <w:i/>
          <w:iCs/>
          <w:lang w:val="en-CA"/>
        </w:rPr>
        <w:t>v.</w:t>
      </w:r>
      <w:r w:rsidRPr="00EF1AF1">
        <w:rPr>
          <w:lang w:val="en-CA"/>
        </w:rPr>
        <w:t xml:space="preserve"> </w:t>
      </w:r>
      <w:r w:rsidRPr="00EF1AF1">
        <w:rPr>
          <w:i/>
          <w:iCs/>
          <w:lang w:val="en-CA"/>
        </w:rPr>
        <w:t>Le</w:t>
      </w:r>
      <w:r w:rsidRPr="00EF1AF1">
        <w:rPr>
          <w:lang w:val="en-CA"/>
        </w:rPr>
        <w:t xml:space="preserve">, 2019 SCC 34, para. </w:t>
      </w:r>
      <w:r w:rsidRPr="006F7E56">
        <w:rPr>
          <w:lang w:val="en-CA"/>
        </w:rPr>
        <w:t xml:space="preserve">143; </w:t>
      </w:r>
      <w:r w:rsidRPr="006F7E56">
        <w:rPr>
          <w:i/>
          <w:iCs/>
          <w:lang w:val="en-CA"/>
        </w:rPr>
        <w:t>R. v. Tim</w:t>
      </w:r>
      <w:r w:rsidRPr="006F7E56">
        <w:rPr>
          <w:lang w:val="en-CA"/>
        </w:rPr>
        <w:t>, 2022 SCC 12, para. 82.</w:t>
      </w:r>
    </w:p>
  </w:footnote>
  <w:footnote w:id="45">
    <w:p w14:paraId="4F73751B"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6F7E56">
        <w:rPr>
          <w:lang w:val="en-CA"/>
        </w:rPr>
        <w:tab/>
      </w:r>
      <w:r w:rsidRPr="006F7E56">
        <w:rPr>
          <w:i/>
          <w:iCs/>
          <w:lang w:val="en-CA"/>
        </w:rPr>
        <w:t>R. v. Tim</w:t>
      </w:r>
      <w:r w:rsidRPr="006F7E56">
        <w:rPr>
          <w:lang w:val="en-CA"/>
        </w:rPr>
        <w:t xml:space="preserve">, 2022 SCC 12, para. </w:t>
      </w:r>
      <w:r w:rsidRPr="006F7E56">
        <w:rPr>
          <w:lang w:val="es-ES"/>
        </w:rPr>
        <w:t>82</w:t>
      </w:r>
      <w:r w:rsidRPr="00EF1AF1">
        <w:rPr>
          <w:i/>
          <w:iCs/>
          <w:lang w:val="es-ES"/>
        </w:rPr>
        <w:t>; R. v. Marakah</w:t>
      </w:r>
      <w:r w:rsidRPr="00EF1AF1">
        <w:rPr>
          <w:lang w:val="es-ES"/>
        </w:rPr>
        <w:t xml:space="preserve">, 2017 SCC 59, para. </w:t>
      </w:r>
      <w:r w:rsidRPr="00EF1AF1">
        <w:rPr>
          <w:lang w:val="en-CA"/>
        </w:rPr>
        <w:t>61.</w:t>
      </w:r>
    </w:p>
  </w:footnote>
  <w:footnote w:id="46">
    <w:p w14:paraId="4F73751C" w14:textId="6190D32E"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Evans</w:t>
      </w:r>
      <w:r w:rsidRPr="00EF1AF1">
        <w:rPr>
          <w:lang w:val="en-CA"/>
        </w:rPr>
        <w:t>, [1991] 1 S.C.R. 869, p. 875 (reasons of Sopinka</w:t>
      </w:r>
      <w:r w:rsidR="009C57D8">
        <w:rPr>
          <w:lang w:val="en-CA"/>
        </w:rPr>
        <w:t>,</w:t>
      </w:r>
      <w:r w:rsidRPr="00EF1AF1">
        <w:rPr>
          <w:lang w:val="en-CA"/>
        </w:rPr>
        <w:t xml:space="preserve"> J.); Robert J. Sharpe </w:t>
      </w:r>
      <w:r w:rsidR="009C57D8">
        <w:rPr>
          <w:lang w:val="en-CA"/>
        </w:rPr>
        <w:t>&amp;</w:t>
      </w:r>
      <w:r w:rsidRPr="00EF1AF1">
        <w:rPr>
          <w:lang w:val="en-CA"/>
        </w:rPr>
        <w:t xml:space="preserve"> Kent Roach, </w:t>
      </w:r>
      <w:r w:rsidRPr="00EF1AF1">
        <w:rPr>
          <w:i/>
          <w:iCs/>
          <w:lang w:val="en-CA"/>
        </w:rPr>
        <w:t>The Charter of Rights and Freedoms</w:t>
      </w:r>
      <w:r w:rsidRPr="00EF1AF1">
        <w:rPr>
          <w:lang w:val="en-CA"/>
        </w:rPr>
        <w:t>, 7</w:t>
      </w:r>
      <w:r w:rsidRPr="006F7E56">
        <w:rPr>
          <w:lang w:val="en-CA"/>
        </w:rPr>
        <w:t>th</w:t>
      </w:r>
      <w:r w:rsidRPr="00EF1AF1">
        <w:rPr>
          <w:lang w:val="en-CA"/>
        </w:rPr>
        <w:t xml:space="preserve"> ed. (Toronto: Irwin Law, 2021), pp. 338</w:t>
      </w:r>
      <w:r w:rsidR="009C57D8">
        <w:rPr>
          <w:lang w:val="en-CA"/>
        </w:rPr>
        <w:t>-</w:t>
      </w:r>
      <w:r w:rsidRPr="00EF1AF1">
        <w:rPr>
          <w:lang w:val="en-CA"/>
        </w:rPr>
        <w:t>339.</w:t>
      </w:r>
    </w:p>
  </w:footnote>
  <w:footnote w:id="47">
    <w:p w14:paraId="4F73751D" w14:textId="1783F303"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Whipple</w:t>
      </w:r>
      <w:r w:rsidRPr="00EF1AF1">
        <w:rPr>
          <w:lang w:val="en-CA"/>
        </w:rPr>
        <w:t>, 2016 ABCA 232</w:t>
      </w:r>
      <w:r w:rsidR="009C57D8">
        <w:rPr>
          <w:lang w:val="en-CA"/>
        </w:rPr>
        <w:t>,</w:t>
      </w:r>
      <w:r w:rsidRPr="00EF1AF1">
        <w:rPr>
          <w:lang w:val="en-CA"/>
        </w:rPr>
        <w:t xml:space="preserve"> leave </w:t>
      </w:r>
      <w:r w:rsidR="009C57D8">
        <w:rPr>
          <w:lang w:val="en-CA"/>
        </w:rPr>
        <w:t>to appeal to SCC refused, 37241</w:t>
      </w:r>
      <w:r w:rsidRPr="00EF1AF1">
        <w:rPr>
          <w:lang w:val="en-CA"/>
        </w:rPr>
        <w:t xml:space="preserve"> </w:t>
      </w:r>
      <w:r w:rsidR="009C57D8">
        <w:rPr>
          <w:lang w:val="en-CA"/>
        </w:rPr>
        <w:t>(</w:t>
      </w:r>
      <w:r w:rsidRPr="00EF1AF1">
        <w:rPr>
          <w:lang w:val="en-CA"/>
        </w:rPr>
        <w:t>February 2, 2017).</w:t>
      </w:r>
    </w:p>
  </w:footnote>
  <w:footnote w:id="48">
    <w:p w14:paraId="4F73751E" w14:textId="16ED92C9"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n-CA"/>
        </w:rPr>
        <w:tab/>
        <w:t xml:space="preserve">See, by analogy, </w:t>
      </w:r>
      <w:r w:rsidRPr="00EF1AF1">
        <w:rPr>
          <w:i/>
          <w:iCs/>
          <w:lang w:val="en-CA"/>
        </w:rPr>
        <w:t>R. v. Fliss</w:t>
      </w:r>
      <w:r w:rsidRPr="00EF1AF1">
        <w:rPr>
          <w:lang w:val="en-CA"/>
        </w:rPr>
        <w:t>, 2002 SCC 16, para. 84. The seriousness of the police officers</w:t>
      </w:r>
      <w:r w:rsidR="00356592" w:rsidRPr="00EF1AF1">
        <w:rPr>
          <w:lang w:val="en-CA"/>
        </w:rPr>
        <w:t>’</w:t>
      </w:r>
      <w:r w:rsidRPr="00EF1AF1">
        <w:rPr>
          <w:lang w:val="en-CA"/>
        </w:rPr>
        <w:t xml:space="preserve"> conduct is also greatly attenuated when it turns out that they acted in a context of legal uncertainty, relying on a law that had not yet been invalidated or on a line of case law that had not yet been overturned; see, on this point: </w:t>
      </w:r>
      <w:r w:rsidRPr="00EF1AF1">
        <w:rPr>
          <w:i/>
          <w:iCs/>
          <w:lang w:val="en-CA"/>
        </w:rPr>
        <w:t>R. v. Grant</w:t>
      </w:r>
      <w:r w:rsidRPr="00EF1AF1">
        <w:rPr>
          <w:lang w:val="en-CA"/>
        </w:rPr>
        <w:t xml:space="preserve">, 2009 SCC 32, para. </w:t>
      </w:r>
      <w:r w:rsidRPr="00EF1AF1">
        <w:t xml:space="preserve">133; Martin Vauclair, Tristan Desjardins </w:t>
      </w:r>
      <w:r w:rsidR="00BC136F">
        <w:t>&amp;</w:t>
      </w:r>
      <w:r w:rsidRPr="00EF1AF1">
        <w:t xml:space="preserve"> Pauline Lachance, </w:t>
      </w:r>
      <w:r w:rsidRPr="00EF1AF1">
        <w:rPr>
          <w:i/>
          <w:iCs/>
        </w:rPr>
        <w:t>Traité général de preuve et de procédures pénales</w:t>
      </w:r>
      <w:r w:rsidRPr="00EF1AF1">
        <w:t>, 31</w:t>
      </w:r>
      <w:r w:rsidRPr="006F7E56">
        <w:t>st</w:t>
      </w:r>
      <w:r w:rsidRPr="00EF1AF1">
        <w:t xml:space="preserve"> ed. </w:t>
      </w:r>
      <w:r w:rsidRPr="00EF1AF1">
        <w:rPr>
          <w:lang w:val="es-ES"/>
        </w:rPr>
        <w:t>(Montr</w:t>
      </w:r>
      <w:r w:rsidR="005B4E51" w:rsidRPr="00EF1AF1">
        <w:rPr>
          <w:lang w:val="es-ES"/>
        </w:rPr>
        <w:t>e</w:t>
      </w:r>
      <w:r w:rsidRPr="00EF1AF1">
        <w:rPr>
          <w:lang w:val="es-ES"/>
        </w:rPr>
        <w:t>al: Yvon Blais, 2024), pp. 770</w:t>
      </w:r>
      <w:r w:rsidR="00BC136F">
        <w:rPr>
          <w:lang w:val="es-ES"/>
        </w:rPr>
        <w:t>-</w:t>
      </w:r>
      <w:r w:rsidRPr="00EF1AF1">
        <w:rPr>
          <w:lang w:val="es-ES"/>
        </w:rPr>
        <w:t>771 (</w:t>
      </w:r>
      <w:r w:rsidR="00BC136F">
        <w:rPr>
          <w:lang w:val="es-ES"/>
        </w:rPr>
        <w:t>N</w:t>
      </w:r>
      <w:r w:rsidRPr="00EF1AF1">
        <w:rPr>
          <w:lang w:val="es-ES"/>
        </w:rPr>
        <w:t>o. 28.204).</w:t>
      </w:r>
    </w:p>
  </w:footnote>
  <w:footnote w:id="49">
    <w:p w14:paraId="4F73751F" w14:textId="77777777"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s-ES"/>
        </w:rPr>
        <w:tab/>
      </w:r>
      <w:r w:rsidRPr="00EF1AF1">
        <w:rPr>
          <w:i/>
          <w:iCs/>
          <w:lang w:val="es-ES"/>
        </w:rPr>
        <w:t>R. v. Grant</w:t>
      </w:r>
      <w:r w:rsidRPr="00EF1AF1">
        <w:rPr>
          <w:lang w:val="es-ES"/>
        </w:rPr>
        <w:t>, 2009 SCC 32, para. 76.</w:t>
      </w:r>
    </w:p>
  </w:footnote>
  <w:footnote w:id="50">
    <w:p w14:paraId="4F737520" w14:textId="3324D4C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s-ES"/>
        </w:rPr>
        <w:tab/>
      </w:r>
      <w:r w:rsidRPr="00EF1AF1">
        <w:rPr>
          <w:i/>
          <w:iCs/>
          <w:lang w:val="es-ES"/>
        </w:rPr>
        <w:t>Id.</w:t>
      </w:r>
      <w:r w:rsidRPr="00EF1AF1">
        <w:rPr>
          <w:lang w:val="es-ES"/>
        </w:rPr>
        <w:t xml:space="preserve">, para. 77; </w:t>
      </w:r>
      <w:r w:rsidRPr="00EF1AF1">
        <w:rPr>
          <w:i/>
          <w:iCs/>
          <w:lang w:val="es-ES"/>
        </w:rPr>
        <w:t>R. v. Le</w:t>
      </w:r>
      <w:r w:rsidRPr="00EF1AF1">
        <w:rPr>
          <w:lang w:val="es-ES"/>
        </w:rPr>
        <w:t xml:space="preserve">, 2019 SCC 34, para. </w:t>
      </w:r>
      <w:r w:rsidRPr="00EF1AF1">
        <w:rPr>
          <w:lang w:val="en-CA"/>
        </w:rPr>
        <w:t>151.</w:t>
      </w:r>
    </w:p>
  </w:footnote>
  <w:footnote w:id="51">
    <w:p w14:paraId="4F737521"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Tim</w:t>
      </w:r>
      <w:r w:rsidRPr="00EF1AF1">
        <w:rPr>
          <w:lang w:val="en-CA"/>
        </w:rPr>
        <w:t>, 2022 SCC 12, para. 90.</w:t>
      </w:r>
    </w:p>
  </w:footnote>
  <w:footnote w:id="52">
    <w:p w14:paraId="4F737522" w14:textId="67220793"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“An individual can only exercise his s. 10(b) right in a meaningful way if he knows the extent of his jeopardy</w:t>
      </w:r>
      <w:r w:rsidR="00434B1A">
        <w:rPr>
          <w:lang w:val="en-CA"/>
        </w:rPr>
        <w:t>.</w:t>
      </w:r>
      <w:r w:rsidRPr="00EF1AF1">
        <w:rPr>
          <w:lang w:val="en-CA"/>
        </w:rPr>
        <w:t xml:space="preserve">” </w:t>
      </w:r>
      <w:r w:rsidRPr="00EF1AF1">
        <w:rPr>
          <w:i/>
          <w:iCs/>
          <w:lang w:val="en-CA"/>
        </w:rPr>
        <w:t>(R. v. Black</w:t>
      </w:r>
      <w:r w:rsidRPr="00EF1AF1">
        <w:rPr>
          <w:lang w:val="en-CA"/>
        </w:rPr>
        <w:t xml:space="preserve">, [1989] 2 S.C.R. 138, pp. 152 and 153, reiterated in </w:t>
      </w:r>
      <w:r w:rsidRPr="00EF1AF1">
        <w:rPr>
          <w:i/>
          <w:iCs/>
          <w:lang w:val="en-CA"/>
        </w:rPr>
        <w:t>R. v. Evans</w:t>
      </w:r>
      <w:r w:rsidRPr="00EF1AF1">
        <w:rPr>
          <w:lang w:val="en-CA"/>
        </w:rPr>
        <w:t xml:space="preserve">, [1991] 1 S.C.R. 869, p. 887). See also </w:t>
      </w:r>
      <w:r w:rsidRPr="00EF1AF1">
        <w:rPr>
          <w:i/>
          <w:iCs/>
          <w:lang w:val="en-CA"/>
        </w:rPr>
        <w:t>supra</w:t>
      </w:r>
      <w:r w:rsidRPr="00EF1AF1">
        <w:rPr>
          <w:lang w:val="en-CA"/>
        </w:rPr>
        <w:t>, para. 54.</w:t>
      </w:r>
    </w:p>
  </w:footnote>
  <w:footnote w:id="53">
    <w:p w14:paraId="4F737523"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 xml:space="preserve">See </w:t>
      </w:r>
      <w:r w:rsidRPr="00EF1AF1">
        <w:rPr>
          <w:i/>
          <w:iCs/>
          <w:lang w:val="en-CA"/>
        </w:rPr>
        <w:t>R. v. Beaver</w:t>
      </w:r>
      <w:r w:rsidRPr="00EF1AF1">
        <w:rPr>
          <w:lang w:val="en-CA"/>
        </w:rPr>
        <w:t>, 2022 SCC 54, para. 125.</w:t>
      </w:r>
    </w:p>
  </w:footnote>
  <w:footnote w:id="54">
    <w:p w14:paraId="4F737524" w14:textId="2703B322"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Tim</w:t>
      </w:r>
      <w:r w:rsidRPr="00EF1AF1">
        <w:rPr>
          <w:lang w:val="en-CA"/>
        </w:rPr>
        <w:t xml:space="preserve">, 2022 SCC 12, para. 93; </w:t>
      </w:r>
      <w:r w:rsidRPr="00EF1AF1">
        <w:rPr>
          <w:i/>
          <w:iCs/>
          <w:lang w:val="en-CA"/>
        </w:rPr>
        <w:t>R. v. Harrison</w:t>
      </w:r>
      <w:r w:rsidRPr="00EF1AF1">
        <w:rPr>
          <w:lang w:val="en-CA"/>
        </w:rPr>
        <w:t>, 2009 SCC 34, para. 30;</w:t>
      </w:r>
      <w:r w:rsidRPr="00EF1AF1">
        <w:rPr>
          <w:i/>
          <w:iCs/>
          <w:lang w:val="en-CA"/>
        </w:rPr>
        <w:t xml:space="preserve"> R. v. Belnavis</w:t>
      </w:r>
      <w:r w:rsidRPr="00EF1AF1">
        <w:rPr>
          <w:lang w:val="en-CA"/>
        </w:rPr>
        <w:t>,</w:t>
      </w:r>
      <w:r w:rsidRPr="00EF1AF1">
        <w:rPr>
          <w:i/>
          <w:iCs/>
          <w:lang w:val="en-CA"/>
        </w:rPr>
        <w:t xml:space="preserve"> </w:t>
      </w:r>
      <w:r w:rsidRPr="00EF1AF1">
        <w:rPr>
          <w:lang w:val="en-CA"/>
        </w:rPr>
        <w:t>[1997] 3 S.C.R. 341, paras. 38</w:t>
      </w:r>
      <w:r w:rsidR="00D51F40">
        <w:rPr>
          <w:lang w:val="en-CA"/>
        </w:rPr>
        <w:t>-</w:t>
      </w:r>
      <w:r w:rsidRPr="00EF1AF1">
        <w:rPr>
          <w:lang w:val="en-CA"/>
        </w:rPr>
        <w:t>39.</w:t>
      </w:r>
    </w:p>
  </w:footnote>
  <w:footnote w:id="55">
    <w:p w14:paraId="4F737525" w14:textId="77777777" w:rsidR="00E406BF" w:rsidRPr="00EF1AF1" w:rsidRDefault="00EF1AF1" w:rsidP="00E406BF">
      <w:pPr>
        <w:pStyle w:val="Notedebasdepage"/>
        <w:ind w:left="284" w:hanging="284"/>
      </w:pPr>
      <w:r w:rsidRPr="00EF1AF1">
        <w:rPr>
          <w:rStyle w:val="Appelnotedebasdep"/>
          <w:lang w:val="en-CA"/>
        </w:rPr>
        <w:footnoteRef/>
      </w:r>
      <w:r w:rsidRPr="00EF1AF1">
        <w:rPr>
          <w:lang w:val="en-CA"/>
        </w:rPr>
        <w:t xml:space="preserve"> </w:t>
      </w:r>
      <w:r w:rsidRPr="00EF1AF1">
        <w:rPr>
          <w:lang w:val="en-CA"/>
        </w:rPr>
        <w:tab/>
      </w:r>
      <w:r w:rsidRPr="00EF1AF1">
        <w:rPr>
          <w:i/>
          <w:iCs/>
          <w:lang w:val="en-CA"/>
        </w:rPr>
        <w:t>R. v. Tim</w:t>
      </w:r>
      <w:r w:rsidRPr="00EF1AF1">
        <w:rPr>
          <w:lang w:val="en-CA"/>
        </w:rPr>
        <w:t xml:space="preserve">, 2022 SCC 12, para. </w:t>
      </w:r>
      <w:r w:rsidRPr="00EF1AF1">
        <w:t xml:space="preserve">93; </w:t>
      </w:r>
      <w:r w:rsidRPr="00EF1AF1">
        <w:rPr>
          <w:i/>
          <w:iCs/>
        </w:rPr>
        <w:t>Cloutier v. Langlois</w:t>
      </w:r>
      <w:r w:rsidRPr="00EF1AF1">
        <w:t>, [1990] 1 S.C.R. 158 at p. 185.</w:t>
      </w:r>
    </w:p>
  </w:footnote>
  <w:footnote w:id="56">
    <w:p w14:paraId="4F737526" w14:textId="53FBD4D9"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nb-NO"/>
        </w:rPr>
        <w:tab/>
      </w:r>
      <w:r w:rsidRPr="00EF1AF1">
        <w:rPr>
          <w:i/>
          <w:iCs/>
          <w:lang w:val="nb-NO"/>
        </w:rPr>
        <w:t>R. v. Mann</w:t>
      </w:r>
      <w:r w:rsidRPr="00EF1AF1">
        <w:rPr>
          <w:lang w:val="nb-NO"/>
        </w:rPr>
        <w:t xml:space="preserve">, 2004 SCC 52, para. </w:t>
      </w:r>
      <w:r w:rsidRPr="00EF1AF1">
        <w:rPr>
          <w:lang w:val="es-ES"/>
        </w:rPr>
        <w:t xml:space="preserve">56 </w:t>
      </w:r>
      <w:r w:rsidRPr="006F7E56">
        <w:rPr>
          <w:lang w:val="es-ES"/>
        </w:rPr>
        <w:t>(</w:t>
      </w:r>
      <w:r w:rsidRPr="00EF1AF1">
        <w:rPr>
          <w:i/>
          <w:iCs/>
          <w:lang w:val="es-ES"/>
        </w:rPr>
        <w:t>a contrario</w:t>
      </w:r>
      <w:r w:rsidRPr="00D51F40">
        <w:rPr>
          <w:lang w:val="es-ES"/>
        </w:rPr>
        <w:t>)</w:t>
      </w:r>
      <w:r w:rsidRPr="00EF1AF1">
        <w:rPr>
          <w:lang w:val="es-ES"/>
        </w:rPr>
        <w:t xml:space="preserve">; </w:t>
      </w:r>
      <w:r w:rsidRPr="00EF1AF1">
        <w:rPr>
          <w:i/>
          <w:iCs/>
          <w:lang w:val="es-ES"/>
        </w:rPr>
        <w:t>R. v. Harflett</w:t>
      </w:r>
      <w:r w:rsidRPr="00EF1AF1">
        <w:rPr>
          <w:lang w:val="es-ES"/>
        </w:rPr>
        <w:t>, 2016 ONCA 248, paras. 47</w:t>
      </w:r>
      <w:r w:rsidR="00D51F40">
        <w:rPr>
          <w:lang w:val="es-ES"/>
        </w:rPr>
        <w:t>-</w:t>
      </w:r>
      <w:r w:rsidRPr="00EF1AF1">
        <w:rPr>
          <w:lang w:val="es-ES"/>
        </w:rPr>
        <w:t xml:space="preserve">48, reiterated in </w:t>
      </w:r>
      <w:r w:rsidRPr="00EF1AF1">
        <w:rPr>
          <w:i/>
          <w:iCs/>
          <w:lang w:val="es-ES"/>
        </w:rPr>
        <w:t>R. v. Dunkley</w:t>
      </w:r>
      <w:r w:rsidRPr="00EF1AF1">
        <w:rPr>
          <w:lang w:val="es-ES"/>
        </w:rPr>
        <w:t>, 2016 ONCA 597, para. 58.</w:t>
      </w:r>
    </w:p>
  </w:footnote>
  <w:footnote w:id="57">
    <w:p w14:paraId="4F737527" w14:textId="77777777"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s-ES"/>
        </w:rPr>
        <w:tab/>
      </w:r>
      <w:r w:rsidRPr="00EF1AF1">
        <w:rPr>
          <w:i/>
          <w:iCs/>
          <w:lang w:val="es-ES"/>
        </w:rPr>
        <w:t>R. v. Grant</w:t>
      </w:r>
      <w:r w:rsidRPr="00EF1AF1">
        <w:rPr>
          <w:lang w:val="es-ES"/>
        </w:rPr>
        <w:t>, 2009 SCC 32, para. 79.</w:t>
      </w:r>
    </w:p>
  </w:footnote>
  <w:footnote w:id="58">
    <w:p w14:paraId="4F737528" w14:textId="7F217D31"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s-ES"/>
        </w:rPr>
        <w:tab/>
      </w:r>
      <w:r w:rsidRPr="00EF1AF1">
        <w:rPr>
          <w:i/>
          <w:iCs/>
          <w:lang w:val="es-ES"/>
        </w:rPr>
        <w:t>Id.</w:t>
      </w:r>
      <w:r w:rsidRPr="00EF1AF1">
        <w:rPr>
          <w:lang w:val="es-ES"/>
        </w:rPr>
        <w:t>, para. 82.</w:t>
      </w:r>
    </w:p>
  </w:footnote>
  <w:footnote w:id="59">
    <w:p w14:paraId="4F737529" w14:textId="42CCC460"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s-ES"/>
        </w:rPr>
        <w:tab/>
      </w:r>
      <w:r w:rsidRPr="00EF1AF1">
        <w:rPr>
          <w:i/>
          <w:iCs/>
          <w:lang w:val="es-ES"/>
        </w:rPr>
        <w:t>Id.</w:t>
      </w:r>
      <w:r w:rsidRPr="00EF1AF1">
        <w:rPr>
          <w:lang w:val="es-ES"/>
        </w:rPr>
        <w:t xml:space="preserve">, paras. </w:t>
      </w:r>
      <w:r w:rsidRPr="00EF1AF1">
        <w:rPr>
          <w:lang w:val="en-CA"/>
        </w:rPr>
        <w:t xml:space="preserve">81 and 83. See also: </w:t>
      </w:r>
      <w:r w:rsidRPr="00EF1AF1">
        <w:rPr>
          <w:i/>
          <w:iCs/>
          <w:lang w:val="en-CA"/>
        </w:rPr>
        <w:t>R.</w:t>
      </w:r>
      <w:r w:rsidRPr="00EF1AF1">
        <w:rPr>
          <w:lang w:val="en-CA"/>
        </w:rPr>
        <w:t xml:space="preserve"> </w:t>
      </w:r>
      <w:r w:rsidRPr="00EF1AF1">
        <w:rPr>
          <w:i/>
          <w:iCs/>
          <w:lang w:val="en-CA"/>
        </w:rPr>
        <w:t>v.</w:t>
      </w:r>
      <w:r w:rsidRPr="00EF1AF1">
        <w:rPr>
          <w:lang w:val="en-CA"/>
        </w:rPr>
        <w:t xml:space="preserve"> </w:t>
      </w:r>
      <w:r w:rsidRPr="00EF1AF1">
        <w:rPr>
          <w:i/>
          <w:iCs/>
          <w:lang w:val="en-CA"/>
        </w:rPr>
        <w:t>Côté</w:t>
      </w:r>
      <w:r w:rsidRPr="00EF1AF1">
        <w:rPr>
          <w:lang w:val="en-CA"/>
        </w:rPr>
        <w:t>, 2011 SCC 46, para. 47.</w:t>
      </w:r>
    </w:p>
  </w:footnote>
  <w:footnote w:id="60">
    <w:p w14:paraId="4F73752A"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Grant</w:t>
      </w:r>
      <w:r w:rsidRPr="00EF1AF1">
        <w:rPr>
          <w:lang w:val="en-CA"/>
        </w:rPr>
        <w:t xml:space="preserve">, 2009 SCC 32, para. 84; </w:t>
      </w:r>
      <w:r w:rsidRPr="00EF1AF1">
        <w:rPr>
          <w:i/>
          <w:iCs/>
          <w:lang w:val="en-CA"/>
        </w:rPr>
        <w:t>R. v. Harrison</w:t>
      </w:r>
      <w:r w:rsidRPr="00EF1AF1">
        <w:rPr>
          <w:lang w:val="en-CA"/>
        </w:rPr>
        <w:t>, 2009 SCC 34, para. 34.</w:t>
      </w:r>
    </w:p>
  </w:footnote>
  <w:footnote w:id="61">
    <w:p w14:paraId="4F73752B"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 Grant</w:t>
      </w:r>
      <w:r w:rsidRPr="00EF1AF1">
        <w:rPr>
          <w:lang w:val="en-CA"/>
        </w:rPr>
        <w:t>, 2009 SCC 32, para. 115.</w:t>
      </w:r>
    </w:p>
  </w:footnote>
  <w:footnote w:id="62">
    <w:p w14:paraId="4F73752C" w14:textId="6E0B231E"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n-CA"/>
        </w:rPr>
        <w:tab/>
        <w:t xml:space="preserve">See in particular: </w:t>
      </w:r>
      <w:r w:rsidRPr="00EF1AF1">
        <w:rPr>
          <w:i/>
          <w:iCs/>
          <w:lang w:val="en-CA"/>
        </w:rPr>
        <w:t>R. v</w:t>
      </w:r>
      <w:r w:rsidRPr="00EF1AF1">
        <w:rPr>
          <w:lang w:val="en-CA"/>
        </w:rPr>
        <w:t xml:space="preserve">. </w:t>
      </w:r>
      <w:r w:rsidRPr="00EF1AF1">
        <w:rPr>
          <w:i/>
          <w:iCs/>
          <w:lang w:val="en-CA"/>
        </w:rPr>
        <w:t>Parranto</w:t>
      </w:r>
      <w:r w:rsidRPr="00EF1AF1">
        <w:rPr>
          <w:lang w:val="en-CA"/>
        </w:rPr>
        <w:t>, 2021 SCC 46, paras. 87</w:t>
      </w:r>
      <w:r w:rsidR="00E94862">
        <w:rPr>
          <w:lang w:val="en-CA"/>
        </w:rPr>
        <w:t>-</w:t>
      </w:r>
      <w:r w:rsidRPr="00EF1AF1">
        <w:rPr>
          <w:lang w:val="en-CA"/>
        </w:rPr>
        <w:t>92 (concurring reasons of Moldaver</w:t>
      </w:r>
      <w:r w:rsidR="00E94862">
        <w:rPr>
          <w:lang w:val="en-CA"/>
        </w:rPr>
        <w:t>,</w:t>
      </w:r>
      <w:r w:rsidRPr="00EF1AF1">
        <w:rPr>
          <w:lang w:val="en-CA"/>
        </w:rPr>
        <w:t xml:space="preserve"> J.); </w:t>
      </w:r>
      <w:r w:rsidRPr="00EF1AF1">
        <w:rPr>
          <w:i/>
          <w:iCs/>
          <w:lang w:val="en-CA"/>
        </w:rPr>
        <w:t>R. v. Harrison</w:t>
      </w:r>
      <w:r w:rsidRPr="00EF1AF1">
        <w:rPr>
          <w:lang w:val="en-CA"/>
        </w:rPr>
        <w:t xml:space="preserve">, 2009 SCC 34, para. 35. See also: </w:t>
      </w:r>
      <w:r w:rsidRPr="00EF1AF1">
        <w:rPr>
          <w:i/>
          <w:iCs/>
          <w:lang w:val="en-CA"/>
        </w:rPr>
        <w:t>Martinbeault c. R.</w:t>
      </w:r>
      <w:r w:rsidRPr="00EF1AF1">
        <w:rPr>
          <w:lang w:val="en-CA"/>
        </w:rPr>
        <w:t xml:space="preserve">, 2022 QCCA 902, para. 46; </w:t>
      </w:r>
      <w:r w:rsidRPr="00EF1AF1">
        <w:rPr>
          <w:i/>
          <w:iCs/>
          <w:lang w:val="en-CA"/>
        </w:rPr>
        <w:t>Leventis c. R.</w:t>
      </w:r>
      <w:r w:rsidRPr="00EF1AF1">
        <w:rPr>
          <w:lang w:val="en-CA"/>
        </w:rPr>
        <w:t xml:space="preserve">, 2022 QCCA 291, para. 54; </w:t>
      </w:r>
      <w:r w:rsidRPr="00EF1AF1">
        <w:rPr>
          <w:i/>
          <w:iCs/>
          <w:lang w:val="en-CA"/>
        </w:rPr>
        <w:t>Blais c. R</w:t>
      </w:r>
      <w:r w:rsidRPr="00EF1AF1">
        <w:rPr>
          <w:lang w:val="en-CA"/>
        </w:rPr>
        <w:t>., 2018 QCCA 713</w:t>
      </w:r>
      <w:r w:rsidR="00E94862">
        <w:rPr>
          <w:lang w:val="en-CA"/>
        </w:rPr>
        <w:t>,</w:t>
      </w:r>
      <w:r w:rsidRPr="00EF1AF1">
        <w:rPr>
          <w:lang w:val="en-CA"/>
        </w:rPr>
        <w:t xml:space="preserve"> leave to appeal to </w:t>
      </w:r>
      <w:r w:rsidR="00E94862">
        <w:rPr>
          <w:lang w:val="en-CA"/>
        </w:rPr>
        <w:t>SCC refused</w:t>
      </w:r>
      <w:r w:rsidRPr="00EF1AF1">
        <w:rPr>
          <w:lang w:val="en-CA"/>
        </w:rPr>
        <w:t xml:space="preserve">, </w:t>
      </w:r>
      <w:r w:rsidR="00E94862">
        <w:rPr>
          <w:lang w:val="en-CA"/>
        </w:rPr>
        <w:t>38410 (</w:t>
      </w:r>
      <w:r w:rsidRPr="00EF1AF1">
        <w:rPr>
          <w:lang w:val="en-CA"/>
        </w:rPr>
        <w:t xml:space="preserve">May 2, 2019), para. </w:t>
      </w:r>
      <w:r w:rsidRPr="00EF1AF1">
        <w:rPr>
          <w:lang w:val="es-ES"/>
        </w:rPr>
        <w:t>57.</w:t>
      </w:r>
    </w:p>
  </w:footnote>
  <w:footnote w:id="63">
    <w:p w14:paraId="4F73752D" w14:textId="3C4F21B9" w:rsidR="00E406BF" w:rsidRPr="00EF1AF1" w:rsidRDefault="00EF1AF1" w:rsidP="00E406BF">
      <w:pPr>
        <w:pStyle w:val="Notedebasdepage"/>
        <w:ind w:left="284" w:hanging="284"/>
        <w:rPr>
          <w:lang w:val="es-ES"/>
        </w:rPr>
      </w:pPr>
      <w:r w:rsidRPr="00EF1AF1">
        <w:rPr>
          <w:rStyle w:val="Appelnotedebasdep"/>
          <w:lang w:val="en-CA"/>
        </w:rPr>
        <w:footnoteRef/>
      </w:r>
      <w:r w:rsidRPr="00EF1AF1">
        <w:rPr>
          <w:lang w:val="es-ES"/>
        </w:rPr>
        <w:tab/>
      </w:r>
      <w:r w:rsidRPr="00EF1AF1">
        <w:rPr>
          <w:i/>
          <w:iCs/>
          <w:lang w:val="es-ES"/>
        </w:rPr>
        <w:t>R. v</w:t>
      </w:r>
      <w:r w:rsidRPr="00EF1AF1">
        <w:rPr>
          <w:lang w:val="es-ES"/>
        </w:rPr>
        <w:t xml:space="preserve"> </w:t>
      </w:r>
      <w:r w:rsidRPr="00EF1AF1">
        <w:rPr>
          <w:i/>
          <w:iCs/>
          <w:lang w:val="es-ES"/>
        </w:rPr>
        <w:t>Jordan</w:t>
      </w:r>
      <w:r w:rsidRPr="00EF1AF1">
        <w:rPr>
          <w:lang w:val="es-ES"/>
        </w:rPr>
        <w:t>, 2016 SCC 27, paras. 72</w:t>
      </w:r>
      <w:r w:rsidR="00E94862">
        <w:rPr>
          <w:lang w:val="es-ES"/>
        </w:rPr>
        <w:t>-</w:t>
      </w:r>
      <w:r w:rsidRPr="00EF1AF1">
        <w:rPr>
          <w:lang w:val="es-ES"/>
        </w:rPr>
        <w:t>76.</w:t>
      </w:r>
    </w:p>
  </w:footnote>
  <w:footnote w:id="64">
    <w:p w14:paraId="4F73752E"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s-ES"/>
        </w:rPr>
        <w:tab/>
      </w:r>
      <w:r w:rsidRPr="00EF1AF1">
        <w:rPr>
          <w:i/>
          <w:iCs/>
          <w:lang w:val="es-ES"/>
        </w:rPr>
        <w:t>R. c. Rice</w:t>
      </w:r>
      <w:r w:rsidRPr="00EF1AF1">
        <w:rPr>
          <w:lang w:val="es-ES"/>
        </w:rPr>
        <w:t xml:space="preserve">, 2018 QCCA 198, para. </w:t>
      </w:r>
      <w:r w:rsidRPr="00EF1AF1">
        <w:rPr>
          <w:lang w:val="en-CA"/>
        </w:rPr>
        <w:t>86.</w:t>
      </w:r>
    </w:p>
  </w:footnote>
  <w:footnote w:id="65">
    <w:p w14:paraId="4F73752F" w14:textId="7D2DA894"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Id.</w:t>
      </w:r>
      <w:r w:rsidRPr="00EF1AF1">
        <w:rPr>
          <w:lang w:val="en-CA"/>
        </w:rPr>
        <w:t xml:space="preserve">; </w:t>
      </w:r>
      <w:r w:rsidRPr="00EF1AF1">
        <w:rPr>
          <w:i/>
          <w:iCs/>
          <w:lang w:val="en-CA"/>
        </w:rPr>
        <w:t xml:space="preserve">R. </w:t>
      </w:r>
      <w:r w:rsidR="006E27DC">
        <w:rPr>
          <w:i/>
          <w:iCs/>
          <w:lang w:val="en-CA"/>
        </w:rPr>
        <w:t>c</w:t>
      </w:r>
      <w:r w:rsidRPr="00EF1AF1">
        <w:rPr>
          <w:i/>
          <w:iCs/>
          <w:lang w:val="en-CA"/>
        </w:rPr>
        <w:t>. Thanabalasingham</w:t>
      </w:r>
      <w:r w:rsidRPr="00EF1AF1">
        <w:rPr>
          <w:lang w:val="en-CA"/>
        </w:rPr>
        <w:t>, 2019 QCCA 1765</w:t>
      </w:r>
      <w:r w:rsidR="006E27DC">
        <w:rPr>
          <w:lang w:val="en-CA"/>
        </w:rPr>
        <w:t xml:space="preserve">, aff’d </w:t>
      </w:r>
      <w:r w:rsidRPr="00EF1AF1">
        <w:rPr>
          <w:i/>
          <w:iCs/>
          <w:lang w:val="en-CA"/>
        </w:rPr>
        <w:t>R. v. Thanabalasingham</w:t>
      </w:r>
      <w:r w:rsidRPr="00EF1AF1">
        <w:rPr>
          <w:lang w:val="en-CA"/>
        </w:rPr>
        <w:t xml:space="preserve">, 2020 SCC 18, although the Supreme Court did not address the </w:t>
      </w:r>
      <w:r w:rsidR="006E27DC">
        <w:rPr>
          <w:lang w:val="en-CA"/>
        </w:rPr>
        <w:t>issue</w:t>
      </w:r>
      <w:r w:rsidRPr="00EF1AF1">
        <w:rPr>
          <w:lang w:val="en-CA"/>
        </w:rPr>
        <w:t xml:space="preserve"> of the characterization of interlocutory time limits, paras. 81</w:t>
      </w:r>
      <w:r w:rsidR="006E27DC">
        <w:rPr>
          <w:lang w:val="en-CA"/>
        </w:rPr>
        <w:t>-</w:t>
      </w:r>
      <w:r w:rsidRPr="00EF1AF1">
        <w:rPr>
          <w:lang w:val="en-CA"/>
        </w:rPr>
        <w:t xml:space="preserve">86; </w:t>
      </w:r>
      <w:r w:rsidRPr="00EF1AF1">
        <w:rPr>
          <w:i/>
          <w:iCs/>
          <w:lang w:val="en-CA"/>
        </w:rPr>
        <w:t>R.</w:t>
      </w:r>
      <w:r w:rsidRPr="00EF1AF1">
        <w:rPr>
          <w:lang w:val="en-CA"/>
        </w:rPr>
        <w:t xml:space="preserve"> </w:t>
      </w:r>
      <w:r w:rsidRPr="00EF1AF1">
        <w:rPr>
          <w:i/>
          <w:iCs/>
          <w:lang w:val="en-CA"/>
        </w:rPr>
        <w:t>c.</w:t>
      </w:r>
      <w:r w:rsidRPr="00EF1AF1">
        <w:rPr>
          <w:lang w:val="en-CA"/>
        </w:rPr>
        <w:t xml:space="preserve"> </w:t>
      </w:r>
      <w:r w:rsidRPr="00EF1AF1">
        <w:rPr>
          <w:i/>
          <w:iCs/>
          <w:lang w:val="en-CA"/>
        </w:rPr>
        <w:t>Lapointe</w:t>
      </w:r>
      <w:r w:rsidRPr="00EF1AF1">
        <w:rPr>
          <w:lang w:val="en-CA"/>
        </w:rPr>
        <w:t>, 2021 QCCA 152, paras. 54</w:t>
      </w:r>
      <w:r w:rsidR="006E27DC">
        <w:rPr>
          <w:lang w:val="en-CA"/>
        </w:rPr>
        <w:t>-</w:t>
      </w:r>
      <w:r w:rsidRPr="00EF1AF1">
        <w:rPr>
          <w:lang w:val="en-CA"/>
        </w:rPr>
        <w:t xml:space="preserve">55; </w:t>
      </w:r>
      <w:r w:rsidRPr="00EF1AF1">
        <w:rPr>
          <w:i/>
          <w:iCs/>
          <w:lang w:val="en-CA"/>
        </w:rPr>
        <w:t>R.</w:t>
      </w:r>
      <w:r w:rsidRPr="00EF1AF1">
        <w:rPr>
          <w:lang w:val="en-CA"/>
        </w:rPr>
        <w:t xml:space="preserve"> </w:t>
      </w:r>
      <w:r w:rsidRPr="00EF1AF1">
        <w:rPr>
          <w:i/>
          <w:iCs/>
          <w:lang w:val="en-CA"/>
        </w:rPr>
        <w:t>c.</w:t>
      </w:r>
      <w:r w:rsidRPr="00EF1AF1">
        <w:rPr>
          <w:lang w:val="en-CA"/>
        </w:rPr>
        <w:t xml:space="preserve"> </w:t>
      </w:r>
      <w:r w:rsidRPr="00EF1AF1">
        <w:rPr>
          <w:i/>
          <w:iCs/>
          <w:lang w:val="en-CA"/>
        </w:rPr>
        <w:t>St-Pierre</w:t>
      </w:r>
      <w:r w:rsidRPr="006F7E56">
        <w:rPr>
          <w:lang w:val="en-CA"/>
        </w:rPr>
        <w:t>,</w:t>
      </w:r>
      <w:r w:rsidRPr="00EF1AF1">
        <w:rPr>
          <w:i/>
          <w:iCs/>
          <w:lang w:val="en-CA"/>
        </w:rPr>
        <w:t xml:space="preserve"> </w:t>
      </w:r>
      <w:r w:rsidRPr="00EF1AF1">
        <w:rPr>
          <w:lang w:val="en-CA"/>
        </w:rPr>
        <w:t xml:space="preserve">2024 QCCA 341, para. 28; </w:t>
      </w:r>
      <w:r w:rsidRPr="00EF1AF1">
        <w:rPr>
          <w:i/>
          <w:iCs/>
          <w:lang w:val="en-CA"/>
        </w:rPr>
        <w:t>Rivera</w:t>
      </w:r>
      <w:r w:rsidRPr="00EF1AF1">
        <w:rPr>
          <w:lang w:val="en-CA"/>
        </w:rPr>
        <w:t xml:space="preserve"> </w:t>
      </w:r>
      <w:r w:rsidRPr="00EF1AF1">
        <w:rPr>
          <w:i/>
          <w:iCs/>
          <w:lang w:val="en-CA"/>
        </w:rPr>
        <w:t>c. R.</w:t>
      </w:r>
      <w:r w:rsidRPr="00EF1AF1">
        <w:rPr>
          <w:lang w:val="en-CA"/>
        </w:rPr>
        <w:t>, 2024 QCCA 1281, paras. 43</w:t>
      </w:r>
      <w:r w:rsidR="006E27DC">
        <w:rPr>
          <w:lang w:val="en-CA"/>
        </w:rPr>
        <w:t>-</w:t>
      </w:r>
      <w:r w:rsidRPr="00EF1AF1">
        <w:rPr>
          <w:lang w:val="en-CA"/>
        </w:rPr>
        <w:t>44.</w:t>
      </w:r>
    </w:p>
  </w:footnote>
  <w:footnote w:id="66">
    <w:p w14:paraId="4F737530" w14:textId="59CE28FC"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t>See</w:t>
      </w:r>
      <w:r w:rsidR="006E27DC">
        <w:rPr>
          <w:lang w:val="en-CA"/>
        </w:rPr>
        <w:t xml:space="preserve"> e.g.</w:t>
      </w:r>
      <w:r w:rsidRPr="00EF1AF1">
        <w:rPr>
          <w:lang w:val="en-CA"/>
        </w:rPr>
        <w:t xml:space="preserve">, </w:t>
      </w:r>
      <w:r w:rsidRPr="00EF1AF1">
        <w:rPr>
          <w:i/>
          <w:iCs/>
          <w:lang w:val="en-CA"/>
        </w:rPr>
        <w:t>Lapointe c. R.,</w:t>
      </w:r>
      <w:r w:rsidRPr="00EF1AF1">
        <w:rPr>
          <w:lang w:val="en-CA"/>
        </w:rPr>
        <w:t xml:space="preserve"> 2021 QCCA 152, para. 55: [</w:t>
      </w:r>
      <w:r w:rsidR="006E27DC">
        <w:rPr>
          <w:smallCaps/>
          <w:lang w:val="en-CA"/>
        </w:rPr>
        <w:t>translation</w:t>
      </w:r>
      <w:r w:rsidRPr="00EF1AF1">
        <w:rPr>
          <w:lang w:val="en-CA"/>
        </w:rPr>
        <w:t xml:space="preserve">] </w:t>
      </w:r>
      <w:r w:rsidR="00705025" w:rsidRPr="00EF1AF1">
        <w:rPr>
          <w:lang w:val="en-CA"/>
        </w:rPr>
        <w:t>“</w:t>
      </w:r>
      <w:r w:rsidRPr="00EF1AF1">
        <w:rPr>
          <w:lang w:val="en-CA"/>
        </w:rPr>
        <w:t>That is what Leblond</w:t>
      </w:r>
      <w:r w:rsidR="006E27DC">
        <w:rPr>
          <w:lang w:val="en-CA"/>
        </w:rPr>
        <w:t>,</w:t>
      </w:r>
      <w:r w:rsidRPr="00EF1AF1">
        <w:rPr>
          <w:lang w:val="en-CA"/>
        </w:rPr>
        <w:t xml:space="preserve"> J. considered here, and the appellant has failed to show how that conclusion would be erroneous </w:t>
      </w:r>
      <w:r w:rsidRPr="00EF1AF1">
        <w:rPr>
          <w:u w:val="single"/>
          <w:lang w:val="en-CA"/>
        </w:rPr>
        <w:t>given the circumstances of this case</w:t>
      </w:r>
      <w:r w:rsidRPr="00EF1AF1">
        <w:rPr>
          <w:lang w:val="en-CA"/>
        </w:rPr>
        <w:t xml:space="preserve"> [...]</w:t>
      </w:r>
      <w:r w:rsidR="00705025" w:rsidRPr="00EF1AF1">
        <w:rPr>
          <w:lang w:val="en-CA"/>
        </w:rPr>
        <w:t>”</w:t>
      </w:r>
      <w:r w:rsidRPr="00EF1AF1">
        <w:rPr>
          <w:lang w:val="en-CA"/>
        </w:rPr>
        <w:t xml:space="preserve"> </w:t>
      </w:r>
      <w:r w:rsidR="006E27DC">
        <w:rPr>
          <w:lang w:val="en-CA"/>
        </w:rPr>
        <w:t>[</w:t>
      </w:r>
      <w:r w:rsidRPr="00EF1AF1">
        <w:rPr>
          <w:lang w:val="en-CA"/>
        </w:rPr>
        <w:t>emphasis added</w:t>
      </w:r>
      <w:r w:rsidR="006E27DC">
        <w:rPr>
          <w:lang w:val="en-CA"/>
        </w:rPr>
        <w:t>]</w:t>
      </w:r>
      <w:r w:rsidRPr="00EF1AF1">
        <w:rPr>
          <w:lang w:val="en-CA"/>
        </w:rPr>
        <w:t>.</w:t>
      </w:r>
    </w:p>
  </w:footnote>
  <w:footnote w:id="67">
    <w:p w14:paraId="4F737531" w14:textId="77777777"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R. v</w:t>
      </w:r>
      <w:r w:rsidRPr="00EF1AF1">
        <w:rPr>
          <w:lang w:val="en-CA"/>
        </w:rPr>
        <w:t xml:space="preserve"> </w:t>
      </w:r>
      <w:r w:rsidRPr="00EF1AF1">
        <w:rPr>
          <w:i/>
          <w:iCs/>
          <w:lang w:val="en-CA"/>
        </w:rPr>
        <w:t>Jordan</w:t>
      </w:r>
      <w:r w:rsidRPr="00EF1AF1">
        <w:rPr>
          <w:lang w:val="en-CA"/>
        </w:rPr>
        <w:t>, 2016 SCC 27, para. 71.</w:t>
      </w:r>
    </w:p>
  </w:footnote>
  <w:footnote w:id="68">
    <w:p w14:paraId="4F737532" w14:textId="0F2F0D42" w:rsidR="00E406BF" w:rsidRPr="00EF1AF1"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Lapointe c. R.</w:t>
      </w:r>
      <w:r w:rsidRPr="00EF1AF1">
        <w:rPr>
          <w:lang w:val="en-CA"/>
        </w:rPr>
        <w:t>, 2021 QCCA 152, paras. 32</w:t>
      </w:r>
      <w:r w:rsidR="006E27DC">
        <w:rPr>
          <w:lang w:val="en-CA"/>
        </w:rPr>
        <w:t>-</w:t>
      </w:r>
      <w:r w:rsidRPr="00EF1AF1">
        <w:rPr>
          <w:lang w:val="en-CA"/>
        </w:rPr>
        <w:t xml:space="preserve">33, reiterated in </w:t>
      </w:r>
      <w:r w:rsidRPr="00EF1AF1">
        <w:rPr>
          <w:i/>
          <w:iCs/>
          <w:lang w:val="en-CA"/>
        </w:rPr>
        <w:t>St-Pierre</w:t>
      </w:r>
      <w:r w:rsidRPr="00EF1AF1">
        <w:rPr>
          <w:lang w:val="en-CA"/>
        </w:rPr>
        <w:t xml:space="preserve"> </w:t>
      </w:r>
      <w:r w:rsidRPr="006F7E56">
        <w:rPr>
          <w:i/>
          <w:iCs/>
          <w:lang w:val="en-CA"/>
        </w:rPr>
        <w:t>c</w:t>
      </w:r>
      <w:r w:rsidRPr="00EF1AF1">
        <w:rPr>
          <w:i/>
          <w:iCs/>
          <w:lang w:val="en-CA"/>
        </w:rPr>
        <w:t>. R.</w:t>
      </w:r>
      <w:r w:rsidRPr="00EF1AF1">
        <w:rPr>
          <w:lang w:val="en-CA"/>
        </w:rPr>
        <w:t xml:space="preserve">, 2024 QCCA 341, para. 9. See also: </w:t>
      </w:r>
      <w:r w:rsidRPr="00EF1AF1">
        <w:rPr>
          <w:i/>
          <w:iCs/>
          <w:lang w:val="en-CA"/>
        </w:rPr>
        <w:t>R. c. Rice</w:t>
      </w:r>
      <w:r w:rsidRPr="00EF1AF1">
        <w:rPr>
          <w:lang w:val="en-CA"/>
        </w:rPr>
        <w:t>, 2018 QCCA 198, para. 29</w:t>
      </w:r>
      <w:r w:rsidR="006E27DC">
        <w:rPr>
          <w:lang w:val="en-CA"/>
        </w:rPr>
        <w:t>-</w:t>
      </w:r>
      <w:r w:rsidRPr="00EF1AF1">
        <w:rPr>
          <w:lang w:val="en-CA"/>
        </w:rPr>
        <w:t xml:space="preserve">35; </w:t>
      </w:r>
      <w:r w:rsidRPr="00EF1AF1">
        <w:rPr>
          <w:i/>
          <w:iCs/>
          <w:lang w:val="en-CA"/>
        </w:rPr>
        <w:t>Charron c. R</w:t>
      </w:r>
      <w:r w:rsidRPr="00EF1AF1">
        <w:rPr>
          <w:lang w:val="en-CA"/>
        </w:rPr>
        <w:t>., 2020 QCCA 1599, para. 30.</w:t>
      </w:r>
    </w:p>
  </w:footnote>
  <w:footnote w:id="69">
    <w:p w14:paraId="4F737533" w14:textId="2B5AE061" w:rsidR="00E406BF" w:rsidRPr="006F7E56" w:rsidRDefault="00EF1AF1" w:rsidP="00E406BF">
      <w:pPr>
        <w:pStyle w:val="Notedebasdepage"/>
        <w:ind w:left="284" w:hanging="284"/>
        <w:rPr>
          <w:lang w:val="en-CA"/>
        </w:rPr>
      </w:pPr>
      <w:r w:rsidRPr="00EF1AF1">
        <w:rPr>
          <w:rStyle w:val="Appelnotedebasdep"/>
          <w:lang w:val="en-CA"/>
        </w:rPr>
        <w:footnoteRef/>
      </w:r>
      <w:r w:rsidRPr="00EF1AF1">
        <w:rPr>
          <w:lang w:val="en-CA"/>
        </w:rPr>
        <w:tab/>
        <w:t xml:space="preserve">Judgment on the </w:t>
      </w:r>
      <w:r w:rsidRPr="00EF1AF1">
        <w:rPr>
          <w:i/>
          <w:iCs/>
          <w:lang w:val="en-CA"/>
        </w:rPr>
        <w:t>Jordan</w:t>
      </w:r>
      <w:r w:rsidRPr="00EF1AF1">
        <w:rPr>
          <w:lang w:val="en-CA"/>
        </w:rPr>
        <w:t xml:space="preserve"> </w:t>
      </w:r>
      <w:r w:rsidR="009D7A88">
        <w:rPr>
          <w:lang w:val="en-CA"/>
        </w:rPr>
        <w:t>motion</w:t>
      </w:r>
      <w:r w:rsidRPr="00EF1AF1">
        <w:rPr>
          <w:lang w:val="en-CA"/>
        </w:rPr>
        <w:t>, paras. 40</w:t>
      </w:r>
      <w:r w:rsidR="006E27DC">
        <w:rPr>
          <w:lang w:val="en-CA"/>
        </w:rPr>
        <w:t>-</w:t>
      </w:r>
      <w:r w:rsidRPr="00EF1AF1">
        <w:rPr>
          <w:lang w:val="en-CA"/>
        </w:rPr>
        <w:t>41.</w:t>
      </w:r>
    </w:p>
  </w:footnote>
  <w:footnote w:id="70">
    <w:p w14:paraId="4F737534" w14:textId="585EB1FE" w:rsidR="00E406BF" w:rsidRPr="006F7E56" w:rsidRDefault="00EF1AF1" w:rsidP="00E406BF">
      <w:pPr>
        <w:pStyle w:val="Notedebasdepage"/>
        <w:ind w:left="284" w:hanging="284"/>
        <w:rPr>
          <w:lang w:val="en-CA"/>
        </w:rPr>
      </w:pPr>
      <w:r w:rsidRPr="00EF1AF1">
        <w:rPr>
          <w:rStyle w:val="Appelnotedebasdep"/>
          <w:lang w:val="en-CA"/>
        </w:rPr>
        <w:footnoteRef/>
      </w:r>
      <w:r w:rsidRPr="00EF1AF1">
        <w:rPr>
          <w:lang w:val="en-CA"/>
        </w:rPr>
        <w:tab/>
      </w:r>
      <w:r w:rsidRPr="00EF1AF1">
        <w:rPr>
          <w:i/>
          <w:iCs/>
          <w:lang w:val="en-CA"/>
        </w:rPr>
        <w:t>Id.</w:t>
      </w:r>
      <w:r w:rsidRPr="00EF1AF1">
        <w:rPr>
          <w:lang w:val="en-CA"/>
        </w:rPr>
        <w:t>, para. 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74EB" w14:textId="77777777" w:rsidR="00365C4D" w:rsidRPr="00EF1AF1" w:rsidRDefault="00EF1AF1" w:rsidP="008A1C48">
    <w:pPr>
      <w:tabs>
        <w:tab w:val="center" w:pos="4709"/>
        <w:tab w:val="right" w:pos="9360"/>
      </w:tabs>
      <w:spacing w:line="360" w:lineRule="auto"/>
      <w:ind w:right="524"/>
    </w:pPr>
    <w:r w:rsidRPr="00EF1AF1">
      <w:rPr>
        <w:lang w:val="en-CA"/>
      </w:rPr>
      <w:t xml:space="preserve">500-10-007795-220 </w:t>
    </w:r>
    <w:r w:rsidRPr="00EF1AF1">
      <w:rPr>
        <w:lang w:val="en-CA"/>
      </w:rPr>
      <w:tab/>
    </w:r>
    <w:r w:rsidRPr="00EF1AF1">
      <w:rPr>
        <w:lang w:val="en-CA"/>
      </w:rPr>
      <w:tab/>
      <w:t xml:space="preserve">PAGE: </w:t>
    </w:r>
    <w:r w:rsidRPr="00EF1AF1">
      <w:rPr>
        <w:lang w:val="en-CA"/>
      </w:rPr>
      <w:fldChar w:fldCharType="begin"/>
    </w:r>
    <w:r w:rsidRPr="00EF1AF1">
      <w:rPr>
        <w:lang w:val="en-CA"/>
      </w:rPr>
      <w:instrText xml:space="preserve"> PAGE </w:instrText>
    </w:r>
    <w:r w:rsidRPr="00EF1AF1">
      <w:rPr>
        <w:lang w:val="en-CA"/>
      </w:rPr>
      <w:fldChar w:fldCharType="separate"/>
    </w:r>
    <w:r w:rsidRPr="00EF1AF1">
      <w:rPr>
        <w:lang w:val="en-CA"/>
      </w:rPr>
      <w:t>2</w:t>
    </w:r>
    <w:r w:rsidRPr="00EF1AF1">
      <w:rPr>
        <w:lang w:val="en-CA"/>
      </w:rPr>
      <w:fldChar w:fldCharType="end"/>
    </w:r>
  </w:p>
  <w:p w14:paraId="4F7374EC" w14:textId="77777777" w:rsidR="00365C4D" w:rsidRPr="00EF1AF1" w:rsidRDefault="00365C4D" w:rsidP="008A1C48">
    <w:pPr>
      <w:tabs>
        <w:tab w:val="center" w:pos="4709"/>
        <w:tab w:val="right" w:pos="9360"/>
      </w:tabs>
      <w:spacing w:line="360" w:lineRule="auto"/>
      <w:ind w:right="52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74ED" w14:textId="77777777" w:rsidR="007E33E4" w:rsidRPr="00EF1AF1" w:rsidRDefault="00EF1AF1" w:rsidP="00DB2119">
    <w:pPr>
      <w:tabs>
        <w:tab w:val="center" w:pos="4709"/>
        <w:tab w:val="right" w:pos="9360"/>
      </w:tabs>
      <w:spacing w:line="360" w:lineRule="auto"/>
      <w:ind w:right="524"/>
    </w:pPr>
    <w:r w:rsidRPr="00EF1AF1">
      <w:rPr>
        <w:lang w:val="en-CA"/>
      </w:rPr>
      <w:t xml:space="preserve">500-10-007795-220 </w:t>
    </w:r>
    <w:r w:rsidRPr="00EF1AF1">
      <w:rPr>
        <w:lang w:val="en-CA"/>
      </w:rPr>
      <w:tab/>
    </w:r>
    <w:r w:rsidRPr="00EF1AF1">
      <w:rPr>
        <w:lang w:val="en-CA"/>
      </w:rPr>
      <w:tab/>
      <w:t xml:space="preserve">PAGE: </w:t>
    </w:r>
    <w:r w:rsidRPr="00EF1AF1">
      <w:rPr>
        <w:lang w:val="en-CA"/>
      </w:rPr>
      <w:fldChar w:fldCharType="begin"/>
    </w:r>
    <w:r w:rsidRPr="00EF1AF1">
      <w:rPr>
        <w:lang w:val="en-CA"/>
      </w:rPr>
      <w:instrText xml:space="preserve"> PAGE </w:instrText>
    </w:r>
    <w:r w:rsidRPr="00EF1AF1">
      <w:rPr>
        <w:lang w:val="en-CA"/>
      </w:rPr>
      <w:fldChar w:fldCharType="separate"/>
    </w:r>
    <w:r w:rsidRPr="00EF1AF1">
      <w:rPr>
        <w:lang w:val="en-CA"/>
      </w:rPr>
      <w:t>23</w:t>
    </w:r>
    <w:r w:rsidRPr="00EF1AF1">
      <w:rPr>
        <w:lang w:val="en-CA"/>
      </w:rPr>
      <w:fldChar w:fldCharType="end"/>
    </w:r>
  </w:p>
  <w:p w14:paraId="4F7374EE" w14:textId="77777777" w:rsidR="007E33E4" w:rsidRPr="00EF1AF1" w:rsidRDefault="007E33E4"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4288"/>
    <w:multiLevelType w:val="hybridMultilevel"/>
    <w:tmpl w:val="765C1ACE"/>
    <w:lvl w:ilvl="0" w:tplc="9D52D7A2">
      <w:start w:val="1"/>
      <w:numFmt w:val="lowerLetter"/>
      <w:lvlText w:val="%1)"/>
      <w:lvlJc w:val="left"/>
      <w:pPr>
        <w:ind w:left="1353" w:hanging="360"/>
      </w:pPr>
      <w:rPr>
        <w:rFonts w:hint="default"/>
      </w:rPr>
    </w:lvl>
    <w:lvl w:ilvl="1" w:tplc="DC5E7CAE" w:tentative="1">
      <w:start w:val="1"/>
      <w:numFmt w:val="lowerLetter"/>
      <w:lvlText w:val="%2."/>
      <w:lvlJc w:val="left"/>
      <w:pPr>
        <w:ind w:left="2073" w:hanging="360"/>
      </w:pPr>
    </w:lvl>
    <w:lvl w:ilvl="2" w:tplc="915CFAB8" w:tentative="1">
      <w:start w:val="1"/>
      <w:numFmt w:val="lowerRoman"/>
      <w:lvlText w:val="%3."/>
      <w:lvlJc w:val="right"/>
      <w:pPr>
        <w:ind w:left="2793" w:hanging="180"/>
      </w:pPr>
    </w:lvl>
    <w:lvl w:ilvl="3" w:tplc="EF9E0A94" w:tentative="1">
      <w:start w:val="1"/>
      <w:numFmt w:val="decimal"/>
      <w:lvlText w:val="%4."/>
      <w:lvlJc w:val="left"/>
      <w:pPr>
        <w:ind w:left="3513" w:hanging="360"/>
      </w:pPr>
    </w:lvl>
    <w:lvl w:ilvl="4" w:tplc="235E1956" w:tentative="1">
      <w:start w:val="1"/>
      <w:numFmt w:val="lowerLetter"/>
      <w:lvlText w:val="%5."/>
      <w:lvlJc w:val="left"/>
      <w:pPr>
        <w:ind w:left="4233" w:hanging="360"/>
      </w:pPr>
    </w:lvl>
    <w:lvl w:ilvl="5" w:tplc="6878233C" w:tentative="1">
      <w:start w:val="1"/>
      <w:numFmt w:val="lowerRoman"/>
      <w:lvlText w:val="%6."/>
      <w:lvlJc w:val="right"/>
      <w:pPr>
        <w:ind w:left="4953" w:hanging="180"/>
      </w:pPr>
    </w:lvl>
    <w:lvl w:ilvl="6" w:tplc="39643C32" w:tentative="1">
      <w:start w:val="1"/>
      <w:numFmt w:val="decimal"/>
      <w:lvlText w:val="%7."/>
      <w:lvlJc w:val="left"/>
      <w:pPr>
        <w:ind w:left="5673" w:hanging="360"/>
      </w:pPr>
    </w:lvl>
    <w:lvl w:ilvl="7" w:tplc="D706BC86" w:tentative="1">
      <w:start w:val="1"/>
      <w:numFmt w:val="lowerLetter"/>
      <w:lvlText w:val="%8."/>
      <w:lvlJc w:val="left"/>
      <w:pPr>
        <w:ind w:left="6393" w:hanging="360"/>
      </w:pPr>
    </w:lvl>
    <w:lvl w:ilvl="8" w:tplc="183C2390" w:tentative="1">
      <w:start w:val="1"/>
      <w:numFmt w:val="lowerRoman"/>
      <w:lvlText w:val="%9."/>
      <w:lvlJc w:val="right"/>
      <w:pPr>
        <w:ind w:left="7113" w:hanging="180"/>
      </w:pPr>
    </w:lvl>
  </w:abstractNum>
  <w:abstractNum w:abstractNumId="1" w15:restartNumberingAfterBreak="0">
    <w:nsid w:val="0B4868E1"/>
    <w:multiLevelType w:val="hybridMultilevel"/>
    <w:tmpl w:val="9246F748"/>
    <w:lvl w:ilvl="0" w:tplc="E0BAE0A8">
      <w:start w:val="1"/>
      <w:numFmt w:val="lowerLetter"/>
      <w:lvlText w:val="(%1)"/>
      <w:lvlJc w:val="left"/>
      <w:pPr>
        <w:ind w:left="1353" w:hanging="360"/>
      </w:pPr>
      <w:rPr>
        <w:rFonts w:hint="default"/>
      </w:rPr>
    </w:lvl>
    <w:lvl w:ilvl="1" w:tplc="603E863E" w:tentative="1">
      <w:start w:val="1"/>
      <w:numFmt w:val="lowerLetter"/>
      <w:lvlText w:val="%2."/>
      <w:lvlJc w:val="left"/>
      <w:pPr>
        <w:ind w:left="2073" w:hanging="360"/>
      </w:pPr>
    </w:lvl>
    <w:lvl w:ilvl="2" w:tplc="8154E012" w:tentative="1">
      <w:start w:val="1"/>
      <w:numFmt w:val="lowerRoman"/>
      <w:lvlText w:val="%3."/>
      <w:lvlJc w:val="right"/>
      <w:pPr>
        <w:ind w:left="2793" w:hanging="180"/>
      </w:pPr>
    </w:lvl>
    <w:lvl w:ilvl="3" w:tplc="CEFEA4C8" w:tentative="1">
      <w:start w:val="1"/>
      <w:numFmt w:val="decimal"/>
      <w:lvlText w:val="%4."/>
      <w:lvlJc w:val="left"/>
      <w:pPr>
        <w:ind w:left="3513" w:hanging="360"/>
      </w:pPr>
    </w:lvl>
    <w:lvl w:ilvl="4" w:tplc="17628072" w:tentative="1">
      <w:start w:val="1"/>
      <w:numFmt w:val="lowerLetter"/>
      <w:lvlText w:val="%5."/>
      <w:lvlJc w:val="left"/>
      <w:pPr>
        <w:ind w:left="4233" w:hanging="360"/>
      </w:pPr>
    </w:lvl>
    <w:lvl w:ilvl="5" w:tplc="0AA0FC36" w:tentative="1">
      <w:start w:val="1"/>
      <w:numFmt w:val="lowerRoman"/>
      <w:lvlText w:val="%6."/>
      <w:lvlJc w:val="right"/>
      <w:pPr>
        <w:ind w:left="4953" w:hanging="180"/>
      </w:pPr>
    </w:lvl>
    <w:lvl w:ilvl="6" w:tplc="49328E22" w:tentative="1">
      <w:start w:val="1"/>
      <w:numFmt w:val="decimal"/>
      <w:lvlText w:val="%7."/>
      <w:lvlJc w:val="left"/>
      <w:pPr>
        <w:ind w:left="5673" w:hanging="360"/>
      </w:pPr>
    </w:lvl>
    <w:lvl w:ilvl="7" w:tplc="12A6A70A" w:tentative="1">
      <w:start w:val="1"/>
      <w:numFmt w:val="lowerLetter"/>
      <w:lvlText w:val="%8."/>
      <w:lvlJc w:val="left"/>
      <w:pPr>
        <w:ind w:left="6393" w:hanging="360"/>
      </w:pPr>
    </w:lvl>
    <w:lvl w:ilvl="8" w:tplc="C2CC7E92" w:tentative="1">
      <w:start w:val="1"/>
      <w:numFmt w:val="lowerRoman"/>
      <w:lvlText w:val="%9."/>
      <w:lvlJc w:val="right"/>
      <w:pPr>
        <w:ind w:left="7113" w:hanging="180"/>
      </w:pPr>
    </w:lvl>
  </w:abstractNum>
  <w:abstractNum w:abstractNumId="2" w15:restartNumberingAfterBreak="0">
    <w:nsid w:val="1567409F"/>
    <w:multiLevelType w:val="hybridMultilevel"/>
    <w:tmpl w:val="08CCB77C"/>
    <w:lvl w:ilvl="0" w:tplc="734A4B0C">
      <w:start w:val="1"/>
      <w:numFmt w:val="lowerLetter"/>
      <w:pStyle w:val="Titre3"/>
      <w:lvlText w:val="(%1)"/>
      <w:lvlJc w:val="left"/>
      <w:pPr>
        <w:ind w:left="1709" w:hanging="360"/>
      </w:pPr>
      <w:rPr>
        <w:rFonts w:hint="default"/>
      </w:rPr>
    </w:lvl>
    <w:lvl w:ilvl="1" w:tplc="0A3CECFE" w:tentative="1">
      <w:start w:val="1"/>
      <w:numFmt w:val="lowerLetter"/>
      <w:lvlText w:val="%2."/>
      <w:lvlJc w:val="left"/>
      <w:pPr>
        <w:ind w:left="2429" w:hanging="360"/>
      </w:pPr>
    </w:lvl>
    <w:lvl w:ilvl="2" w:tplc="923467D4" w:tentative="1">
      <w:start w:val="1"/>
      <w:numFmt w:val="lowerRoman"/>
      <w:lvlText w:val="%3."/>
      <w:lvlJc w:val="right"/>
      <w:pPr>
        <w:ind w:left="3149" w:hanging="180"/>
      </w:pPr>
    </w:lvl>
    <w:lvl w:ilvl="3" w:tplc="AF109FA4" w:tentative="1">
      <w:start w:val="1"/>
      <w:numFmt w:val="decimal"/>
      <w:lvlText w:val="%4."/>
      <w:lvlJc w:val="left"/>
      <w:pPr>
        <w:ind w:left="3869" w:hanging="360"/>
      </w:pPr>
    </w:lvl>
    <w:lvl w:ilvl="4" w:tplc="062C351E" w:tentative="1">
      <w:start w:val="1"/>
      <w:numFmt w:val="lowerLetter"/>
      <w:lvlText w:val="%5."/>
      <w:lvlJc w:val="left"/>
      <w:pPr>
        <w:ind w:left="4589" w:hanging="360"/>
      </w:pPr>
    </w:lvl>
    <w:lvl w:ilvl="5" w:tplc="095097D0" w:tentative="1">
      <w:start w:val="1"/>
      <w:numFmt w:val="lowerRoman"/>
      <w:lvlText w:val="%6."/>
      <w:lvlJc w:val="right"/>
      <w:pPr>
        <w:ind w:left="5309" w:hanging="180"/>
      </w:pPr>
    </w:lvl>
    <w:lvl w:ilvl="6" w:tplc="85F23138" w:tentative="1">
      <w:start w:val="1"/>
      <w:numFmt w:val="decimal"/>
      <w:lvlText w:val="%7."/>
      <w:lvlJc w:val="left"/>
      <w:pPr>
        <w:ind w:left="6029" w:hanging="360"/>
      </w:pPr>
    </w:lvl>
    <w:lvl w:ilvl="7" w:tplc="B2702202" w:tentative="1">
      <w:start w:val="1"/>
      <w:numFmt w:val="lowerLetter"/>
      <w:lvlText w:val="%8."/>
      <w:lvlJc w:val="left"/>
      <w:pPr>
        <w:ind w:left="6749" w:hanging="360"/>
      </w:pPr>
    </w:lvl>
    <w:lvl w:ilvl="8" w:tplc="F45E5CCC" w:tentative="1">
      <w:start w:val="1"/>
      <w:numFmt w:val="lowerRoman"/>
      <w:lvlText w:val="%9."/>
      <w:lvlJc w:val="right"/>
      <w:pPr>
        <w:ind w:left="7469" w:hanging="180"/>
      </w:pPr>
    </w:lvl>
  </w:abstractNum>
  <w:abstractNum w:abstractNumId="3" w15:restartNumberingAfterBreak="0">
    <w:nsid w:val="268A44CE"/>
    <w:multiLevelType w:val="hybridMultilevel"/>
    <w:tmpl w:val="4E5C9C34"/>
    <w:lvl w:ilvl="0" w:tplc="243EC23E">
      <w:start w:val="1"/>
      <w:numFmt w:val="lowerRoman"/>
      <w:lvlText w:val="(%1)"/>
      <w:lvlJc w:val="left"/>
      <w:pPr>
        <w:ind w:left="2421" w:hanging="720"/>
      </w:pPr>
      <w:rPr>
        <w:rFonts w:hint="default"/>
        <w:b/>
        <w:bCs/>
      </w:rPr>
    </w:lvl>
    <w:lvl w:ilvl="1" w:tplc="B0E6D52A" w:tentative="1">
      <w:start w:val="1"/>
      <w:numFmt w:val="lowerLetter"/>
      <w:lvlText w:val="%2."/>
      <w:lvlJc w:val="left"/>
      <w:pPr>
        <w:ind w:left="2781" w:hanging="360"/>
      </w:pPr>
    </w:lvl>
    <w:lvl w:ilvl="2" w:tplc="5D8E94EA" w:tentative="1">
      <w:start w:val="1"/>
      <w:numFmt w:val="lowerRoman"/>
      <w:lvlText w:val="%3."/>
      <w:lvlJc w:val="right"/>
      <w:pPr>
        <w:ind w:left="3501" w:hanging="180"/>
      </w:pPr>
    </w:lvl>
    <w:lvl w:ilvl="3" w:tplc="6206D450" w:tentative="1">
      <w:start w:val="1"/>
      <w:numFmt w:val="decimal"/>
      <w:lvlText w:val="%4."/>
      <w:lvlJc w:val="left"/>
      <w:pPr>
        <w:ind w:left="4221" w:hanging="360"/>
      </w:pPr>
    </w:lvl>
    <w:lvl w:ilvl="4" w:tplc="A96AD906" w:tentative="1">
      <w:start w:val="1"/>
      <w:numFmt w:val="lowerLetter"/>
      <w:lvlText w:val="%5."/>
      <w:lvlJc w:val="left"/>
      <w:pPr>
        <w:ind w:left="4941" w:hanging="360"/>
      </w:pPr>
    </w:lvl>
    <w:lvl w:ilvl="5" w:tplc="6C183926" w:tentative="1">
      <w:start w:val="1"/>
      <w:numFmt w:val="lowerRoman"/>
      <w:lvlText w:val="%6."/>
      <w:lvlJc w:val="right"/>
      <w:pPr>
        <w:ind w:left="5661" w:hanging="180"/>
      </w:pPr>
    </w:lvl>
    <w:lvl w:ilvl="6" w:tplc="D0A61D0E" w:tentative="1">
      <w:start w:val="1"/>
      <w:numFmt w:val="decimal"/>
      <w:lvlText w:val="%7."/>
      <w:lvlJc w:val="left"/>
      <w:pPr>
        <w:ind w:left="6381" w:hanging="360"/>
      </w:pPr>
    </w:lvl>
    <w:lvl w:ilvl="7" w:tplc="02840274" w:tentative="1">
      <w:start w:val="1"/>
      <w:numFmt w:val="lowerLetter"/>
      <w:lvlText w:val="%8."/>
      <w:lvlJc w:val="left"/>
      <w:pPr>
        <w:ind w:left="7101" w:hanging="360"/>
      </w:pPr>
    </w:lvl>
    <w:lvl w:ilvl="8" w:tplc="5B924C78" w:tentative="1">
      <w:start w:val="1"/>
      <w:numFmt w:val="lowerRoman"/>
      <w:lvlText w:val="%9."/>
      <w:lvlJc w:val="right"/>
      <w:pPr>
        <w:ind w:left="7821" w:hanging="180"/>
      </w:pPr>
    </w:lvl>
  </w:abstractNum>
  <w:abstractNum w:abstractNumId="4" w15:restartNumberingAfterBreak="0">
    <w:nsid w:val="27BD355C"/>
    <w:multiLevelType w:val="hybridMultilevel"/>
    <w:tmpl w:val="C9E4BFC0"/>
    <w:lvl w:ilvl="0" w:tplc="A70E68B8">
      <w:start w:val="1"/>
      <w:numFmt w:val="lowerLetter"/>
      <w:lvlText w:val="%1)"/>
      <w:lvlJc w:val="left"/>
      <w:pPr>
        <w:ind w:left="1353" w:hanging="360"/>
      </w:pPr>
      <w:rPr>
        <w:rFonts w:ascii="Arial" w:eastAsia="Times New Roman" w:hAnsi="Arial" w:cs="Arial"/>
      </w:rPr>
    </w:lvl>
    <w:lvl w:ilvl="1" w:tplc="F13AF5D4" w:tentative="1">
      <w:start w:val="1"/>
      <w:numFmt w:val="lowerLetter"/>
      <w:lvlText w:val="%2."/>
      <w:lvlJc w:val="left"/>
      <w:pPr>
        <w:ind w:left="2073" w:hanging="360"/>
      </w:pPr>
    </w:lvl>
    <w:lvl w:ilvl="2" w:tplc="5E4C18C6" w:tentative="1">
      <w:start w:val="1"/>
      <w:numFmt w:val="lowerRoman"/>
      <w:lvlText w:val="%3."/>
      <w:lvlJc w:val="right"/>
      <w:pPr>
        <w:ind w:left="2793" w:hanging="180"/>
      </w:pPr>
    </w:lvl>
    <w:lvl w:ilvl="3" w:tplc="C26AFAC4" w:tentative="1">
      <w:start w:val="1"/>
      <w:numFmt w:val="decimal"/>
      <w:lvlText w:val="%4."/>
      <w:lvlJc w:val="left"/>
      <w:pPr>
        <w:ind w:left="3513" w:hanging="360"/>
      </w:pPr>
    </w:lvl>
    <w:lvl w:ilvl="4" w:tplc="C546A6AC" w:tentative="1">
      <w:start w:val="1"/>
      <w:numFmt w:val="lowerLetter"/>
      <w:lvlText w:val="%5."/>
      <w:lvlJc w:val="left"/>
      <w:pPr>
        <w:ind w:left="4233" w:hanging="360"/>
      </w:pPr>
    </w:lvl>
    <w:lvl w:ilvl="5" w:tplc="BE4C1722" w:tentative="1">
      <w:start w:val="1"/>
      <w:numFmt w:val="lowerRoman"/>
      <w:lvlText w:val="%6."/>
      <w:lvlJc w:val="right"/>
      <w:pPr>
        <w:ind w:left="4953" w:hanging="180"/>
      </w:pPr>
    </w:lvl>
    <w:lvl w:ilvl="6" w:tplc="C3205CBE" w:tentative="1">
      <w:start w:val="1"/>
      <w:numFmt w:val="decimal"/>
      <w:lvlText w:val="%7."/>
      <w:lvlJc w:val="left"/>
      <w:pPr>
        <w:ind w:left="5673" w:hanging="360"/>
      </w:pPr>
    </w:lvl>
    <w:lvl w:ilvl="7" w:tplc="5FF83EE4" w:tentative="1">
      <w:start w:val="1"/>
      <w:numFmt w:val="lowerLetter"/>
      <w:lvlText w:val="%8."/>
      <w:lvlJc w:val="left"/>
      <w:pPr>
        <w:ind w:left="6393" w:hanging="360"/>
      </w:pPr>
    </w:lvl>
    <w:lvl w:ilvl="8" w:tplc="1CF896F2" w:tentative="1">
      <w:start w:val="1"/>
      <w:numFmt w:val="lowerRoman"/>
      <w:lvlText w:val="%9."/>
      <w:lvlJc w:val="right"/>
      <w:pPr>
        <w:ind w:left="7113" w:hanging="180"/>
      </w:pPr>
    </w:lvl>
  </w:abstractNum>
  <w:abstractNum w:abstractNumId="5" w15:restartNumberingAfterBreak="0">
    <w:nsid w:val="28BB52DE"/>
    <w:multiLevelType w:val="multilevel"/>
    <w:tmpl w:val="2DB4AB44"/>
    <w:lvl w:ilvl="0">
      <w:start w:val="1"/>
      <w:numFmt w:val="decimal"/>
      <w:lvlText w:val="[%1]"/>
      <w:lvlJc w:val="left"/>
      <w:pPr>
        <w:tabs>
          <w:tab w:val="num" w:pos="720"/>
        </w:tabs>
        <w:ind w:left="0" w:firstLine="0"/>
      </w:pPr>
      <w:rPr>
        <w:rFonts w:hint="default"/>
        <w:i w:val="0"/>
        <w:iCs w:val="0"/>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2BC73CA0"/>
    <w:multiLevelType w:val="hybridMultilevel"/>
    <w:tmpl w:val="43849586"/>
    <w:lvl w:ilvl="0" w:tplc="AF6AEADC">
      <w:numFmt w:val="bullet"/>
      <w:lvlText w:val=""/>
      <w:lvlJc w:val="left"/>
      <w:pPr>
        <w:ind w:left="720" w:hanging="360"/>
      </w:pPr>
      <w:rPr>
        <w:rFonts w:ascii="Symbol" w:eastAsia="Times New Roman" w:hAnsi="Symbol" w:cs="Times New Roman" w:hint="default"/>
      </w:rPr>
    </w:lvl>
    <w:lvl w:ilvl="1" w:tplc="7FD0C0DE" w:tentative="1">
      <w:start w:val="1"/>
      <w:numFmt w:val="bullet"/>
      <w:lvlText w:val="o"/>
      <w:lvlJc w:val="left"/>
      <w:pPr>
        <w:ind w:left="1440" w:hanging="360"/>
      </w:pPr>
      <w:rPr>
        <w:rFonts w:ascii="Courier New" w:hAnsi="Courier New" w:cs="Courier New" w:hint="default"/>
      </w:rPr>
    </w:lvl>
    <w:lvl w:ilvl="2" w:tplc="A7945382" w:tentative="1">
      <w:start w:val="1"/>
      <w:numFmt w:val="bullet"/>
      <w:lvlText w:val=""/>
      <w:lvlJc w:val="left"/>
      <w:pPr>
        <w:ind w:left="2160" w:hanging="360"/>
      </w:pPr>
      <w:rPr>
        <w:rFonts w:ascii="Wingdings" w:hAnsi="Wingdings" w:hint="default"/>
      </w:rPr>
    </w:lvl>
    <w:lvl w:ilvl="3" w:tplc="17EC1BE6" w:tentative="1">
      <w:start w:val="1"/>
      <w:numFmt w:val="bullet"/>
      <w:lvlText w:val=""/>
      <w:lvlJc w:val="left"/>
      <w:pPr>
        <w:ind w:left="2880" w:hanging="360"/>
      </w:pPr>
      <w:rPr>
        <w:rFonts w:ascii="Symbol" w:hAnsi="Symbol" w:hint="default"/>
      </w:rPr>
    </w:lvl>
    <w:lvl w:ilvl="4" w:tplc="AC64E7CE" w:tentative="1">
      <w:start w:val="1"/>
      <w:numFmt w:val="bullet"/>
      <w:lvlText w:val="o"/>
      <w:lvlJc w:val="left"/>
      <w:pPr>
        <w:ind w:left="3600" w:hanging="360"/>
      </w:pPr>
      <w:rPr>
        <w:rFonts w:ascii="Courier New" w:hAnsi="Courier New" w:cs="Courier New" w:hint="default"/>
      </w:rPr>
    </w:lvl>
    <w:lvl w:ilvl="5" w:tplc="8F10E9B4" w:tentative="1">
      <w:start w:val="1"/>
      <w:numFmt w:val="bullet"/>
      <w:lvlText w:val=""/>
      <w:lvlJc w:val="left"/>
      <w:pPr>
        <w:ind w:left="4320" w:hanging="360"/>
      </w:pPr>
      <w:rPr>
        <w:rFonts w:ascii="Wingdings" w:hAnsi="Wingdings" w:hint="default"/>
      </w:rPr>
    </w:lvl>
    <w:lvl w:ilvl="6" w:tplc="44A49492" w:tentative="1">
      <w:start w:val="1"/>
      <w:numFmt w:val="bullet"/>
      <w:lvlText w:val=""/>
      <w:lvlJc w:val="left"/>
      <w:pPr>
        <w:ind w:left="5040" w:hanging="360"/>
      </w:pPr>
      <w:rPr>
        <w:rFonts w:ascii="Symbol" w:hAnsi="Symbol" w:hint="default"/>
      </w:rPr>
    </w:lvl>
    <w:lvl w:ilvl="7" w:tplc="2C8202F4" w:tentative="1">
      <w:start w:val="1"/>
      <w:numFmt w:val="bullet"/>
      <w:lvlText w:val="o"/>
      <w:lvlJc w:val="left"/>
      <w:pPr>
        <w:ind w:left="5760" w:hanging="360"/>
      </w:pPr>
      <w:rPr>
        <w:rFonts w:ascii="Courier New" w:hAnsi="Courier New" w:cs="Courier New" w:hint="default"/>
      </w:rPr>
    </w:lvl>
    <w:lvl w:ilvl="8" w:tplc="AC802B00" w:tentative="1">
      <w:start w:val="1"/>
      <w:numFmt w:val="bullet"/>
      <w:lvlText w:val=""/>
      <w:lvlJc w:val="left"/>
      <w:pPr>
        <w:ind w:left="6480" w:hanging="360"/>
      </w:pPr>
      <w:rPr>
        <w:rFonts w:ascii="Wingdings" w:hAnsi="Wingdings" w:hint="default"/>
      </w:rPr>
    </w:lvl>
  </w:abstractNum>
  <w:abstractNum w:abstractNumId="7" w15:restartNumberingAfterBreak="0">
    <w:nsid w:val="2C946F22"/>
    <w:multiLevelType w:val="hybridMultilevel"/>
    <w:tmpl w:val="0AB2B096"/>
    <w:lvl w:ilvl="0" w:tplc="4928DF2A">
      <w:start w:val="1"/>
      <w:numFmt w:val="bullet"/>
      <w:lvlText w:val=""/>
      <w:lvlJc w:val="left"/>
      <w:pPr>
        <w:ind w:left="720" w:hanging="360"/>
      </w:pPr>
      <w:rPr>
        <w:rFonts w:ascii="Wingdings" w:hAnsi="Wingdings" w:hint="default"/>
      </w:rPr>
    </w:lvl>
    <w:lvl w:ilvl="1" w:tplc="0512D928" w:tentative="1">
      <w:start w:val="1"/>
      <w:numFmt w:val="bullet"/>
      <w:lvlText w:val="o"/>
      <w:lvlJc w:val="left"/>
      <w:pPr>
        <w:ind w:left="1440" w:hanging="360"/>
      </w:pPr>
      <w:rPr>
        <w:rFonts w:ascii="Courier New" w:hAnsi="Courier New" w:cs="Courier New" w:hint="default"/>
      </w:rPr>
    </w:lvl>
    <w:lvl w:ilvl="2" w:tplc="86C6E6EA" w:tentative="1">
      <w:start w:val="1"/>
      <w:numFmt w:val="bullet"/>
      <w:lvlText w:val=""/>
      <w:lvlJc w:val="left"/>
      <w:pPr>
        <w:ind w:left="2160" w:hanging="360"/>
      </w:pPr>
      <w:rPr>
        <w:rFonts w:ascii="Wingdings" w:hAnsi="Wingdings" w:hint="default"/>
      </w:rPr>
    </w:lvl>
    <w:lvl w:ilvl="3" w:tplc="3F04E736" w:tentative="1">
      <w:start w:val="1"/>
      <w:numFmt w:val="bullet"/>
      <w:lvlText w:val=""/>
      <w:lvlJc w:val="left"/>
      <w:pPr>
        <w:ind w:left="2880" w:hanging="360"/>
      </w:pPr>
      <w:rPr>
        <w:rFonts w:ascii="Symbol" w:hAnsi="Symbol" w:hint="default"/>
      </w:rPr>
    </w:lvl>
    <w:lvl w:ilvl="4" w:tplc="BBF42526" w:tentative="1">
      <w:start w:val="1"/>
      <w:numFmt w:val="bullet"/>
      <w:lvlText w:val="o"/>
      <w:lvlJc w:val="left"/>
      <w:pPr>
        <w:ind w:left="3600" w:hanging="360"/>
      </w:pPr>
      <w:rPr>
        <w:rFonts w:ascii="Courier New" w:hAnsi="Courier New" w:cs="Courier New" w:hint="default"/>
      </w:rPr>
    </w:lvl>
    <w:lvl w:ilvl="5" w:tplc="7C6CA0F2" w:tentative="1">
      <w:start w:val="1"/>
      <w:numFmt w:val="bullet"/>
      <w:lvlText w:val=""/>
      <w:lvlJc w:val="left"/>
      <w:pPr>
        <w:ind w:left="4320" w:hanging="360"/>
      </w:pPr>
      <w:rPr>
        <w:rFonts w:ascii="Wingdings" w:hAnsi="Wingdings" w:hint="default"/>
      </w:rPr>
    </w:lvl>
    <w:lvl w:ilvl="6" w:tplc="FD22A434" w:tentative="1">
      <w:start w:val="1"/>
      <w:numFmt w:val="bullet"/>
      <w:lvlText w:val=""/>
      <w:lvlJc w:val="left"/>
      <w:pPr>
        <w:ind w:left="5040" w:hanging="360"/>
      </w:pPr>
      <w:rPr>
        <w:rFonts w:ascii="Symbol" w:hAnsi="Symbol" w:hint="default"/>
      </w:rPr>
    </w:lvl>
    <w:lvl w:ilvl="7" w:tplc="FBB280D8" w:tentative="1">
      <w:start w:val="1"/>
      <w:numFmt w:val="bullet"/>
      <w:lvlText w:val="o"/>
      <w:lvlJc w:val="left"/>
      <w:pPr>
        <w:ind w:left="5760" w:hanging="360"/>
      </w:pPr>
      <w:rPr>
        <w:rFonts w:ascii="Courier New" w:hAnsi="Courier New" w:cs="Courier New" w:hint="default"/>
      </w:rPr>
    </w:lvl>
    <w:lvl w:ilvl="8" w:tplc="48B6C024" w:tentative="1">
      <w:start w:val="1"/>
      <w:numFmt w:val="bullet"/>
      <w:lvlText w:val=""/>
      <w:lvlJc w:val="left"/>
      <w:pPr>
        <w:ind w:left="6480" w:hanging="360"/>
      </w:pPr>
      <w:rPr>
        <w:rFonts w:ascii="Wingdings" w:hAnsi="Wingdings" w:hint="default"/>
      </w:rPr>
    </w:lvl>
  </w:abstractNum>
  <w:abstractNum w:abstractNumId="8" w15:restartNumberingAfterBreak="0">
    <w:nsid w:val="2E69308F"/>
    <w:multiLevelType w:val="hybridMultilevel"/>
    <w:tmpl w:val="3E64E0B8"/>
    <w:lvl w:ilvl="0" w:tplc="C6482DCC">
      <w:start w:val="1"/>
      <w:numFmt w:val="upperLetter"/>
      <w:lvlText w:val="%1."/>
      <w:lvlJc w:val="left"/>
      <w:pPr>
        <w:ind w:left="720" w:hanging="360"/>
      </w:pPr>
      <w:rPr>
        <w:rFonts w:hint="default"/>
      </w:rPr>
    </w:lvl>
    <w:lvl w:ilvl="1" w:tplc="45E0302C" w:tentative="1">
      <w:start w:val="1"/>
      <w:numFmt w:val="lowerLetter"/>
      <w:lvlText w:val="%2."/>
      <w:lvlJc w:val="left"/>
      <w:pPr>
        <w:ind w:left="1440" w:hanging="360"/>
      </w:pPr>
    </w:lvl>
    <w:lvl w:ilvl="2" w:tplc="67D26638" w:tentative="1">
      <w:start w:val="1"/>
      <w:numFmt w:val="lowerRoman"/>
      <w:lvlText w:val="%3."/>
      <w:lvlJc w:val="right"/>
      <w:pPr>
        <w:ind w:left="2160" w:hanging="180"/>
      </w:pPr>
    </w:lvl>
    <w:lvl w:ilvl="3" w:tplc="115C3B16" w:tentative="1">
      <w:start w:val="1"/>
      <w:numFmt w:val="decimal"/>
      <w:lvlText w:val="%4."/>
      <w:lvlJc w:val="left"/>
      <w:pPr>
        <w:ind w:left="2880" w:hanging="360"/>
      </w:pPr>
    </w:lvl>
    <w:lvl w:ilvl="4" w:tplc="0F547D2C" w:tentative="1">
      <w:start w:val="1"/>
      <w:numFmt w:val="lowerLetter"/>
      <w:lvlText w:val="%5."/>
      <w:lvlJc w:val="left"/>
      <w:pPr>
        <w:ind w:left="3600" w:hanging="360"/>
      </w:pPr>
    </w:lvl>
    <w:lvl w:ilvl="5" w:tplc="7A4E7A4E" w:tentative="1">
      <w:start w:val="1"/>
      <w:numFmt w:val="lowerRoman"/>
      <w:lvlText w:val="%6."/>
      <w:lvlJc w:val="right"/>
      <w:pPr>
        <w:ind w:left="4320" w:hanging="180"/>
      </w:pPr>
    </w:lvl>
    <w:lvl w:ilvl="6" w:tplc="6BA2B984" w:tentative="1">
      <w:start w:val="1"/>
      <w:numFmt w:val="decimal"/>
      <w:lvlText w:val="%7."/>
      <w:lvlJc w:val="left"/>
      <w:pPr>
        <w:ind w:left="5040" w:hanging="360"/>
      </w:pPr>
    </w:lvl>
    <w:lvl w:ilvl="7" w:tplc="71402C58" w:tentative="1">
      <w:start w:val="1"/>
      <w:numFmt w:val="lowerLetter"/>
      <w:lvlText w:val="%8."/>
      <w:lvlJc w:val="left"/>
      <w:pPr>
        <w:ind w:left="5760" w:hanging="360"/>
      </w:pPr>
    </w:lvl>
    <w:lvl w:ilvl="8" w:tplc="919A5E70" w:tentative="1">
      <w:start w:val="1"/>
      <w:numFmt w:val="lowerRoman"/>
      <w:lvlText w:val="%9."/>
      <w:lvlJc w:val="right"/>
      <w:pPr>
        <w:ind w:left="6480" w:hanging="180"/>
      </w:pPr>
    </w:lvl>
  </w:abstractNum>
  <w:abstractNum w:abstractNumId="9" w15:restartNumberingAfterBreak="0">
    <w:nsid w:val="33DE0680"/>
    <w:multiLevelType w:val="hybridMultilevel"/>
    <w:tmpl w:val="A59CF57A"/>
    <w:lvl w:ilvl="0" w:tplc="A7E0C92E">
      <w:start w:val="1"/>
      <w:numFmt w:val="decimal"/>
      <w:lvlText w:val="%1."/>
      <w:lvlJc w:val="left"/>
      <w:pPr>
        <w:ind w:left="1353" w:hanging="360"/>
      </w:pPr>
      <w:rPr>
        <w:rFonts w:hint="default"/>
      </w:rPr>
    </w:lvl>
    <w:lvl w:ilvl="1" w:tplc="5D7E4118" w:tentative="1">
      <w:start w:val="1"/>
      <w:numFmt w:val="lowerLetter"/>
      <w:lvlText w:val="%2."/>
      <w:lvlJc w:val="left"/>
      <w:pPr>
        <w:ind w:left="2073" w:hanging="360"/>
      </w:pPr>
    </w:lvl>
    <w:lvl w:ilvl="2" w:tplc="B5DEAC0A" w:tentative="1">
      <w:start w:val="1"/>
      <w:numFmt w:val="lowerRoman"/>
      <w:lvlText w:val="%3."/>
      <w:lvlJc w:val="right"/>
      <w:pPr>
        <w:ind w:left="2793" w:hanging="180"/>
      </w:pPr>
    </w:lvl>
    <w:lvl w:ilvl="3" w:tplc="865E2888" w:tentative="1">
      <w:start w:val="1"/>
      <w:numFmt w:val="decimal"/>
      <w:lvlText w:val="%4."/>
      <w:lvlJc w:val="left"/>
      <w:pPr>
        <w:ind w:left="3513" w:hanging="360"/>
      </w:pPr>
    </w:lvl>
    <w:lvl w:ilvl="4" w:tplc="4EA47676" w:tentative="1">
      <w:start w:val="1"/>
      <w:numFmt w:val="lowerLetter"/>
      <w:lvlText w:val="%5."/>
      <w:lvlJc w:val="left"/>
      <w:pPr>
        <w:ind w:left="4233" w:hanging="360"/>
      </w:pPr>
    </w:lvl>
    <w:lvl w:ilvl="5" w:tplc="21668FEA" w:tentative="1">
      <w:start w:val="1"/>
      <w:numFmt w:val="lowerRoman"/>
      <w:lvlText w:val="%6."/>
      <w:lvlJc w:val="right"/>
      <w:pPr>
        <w:ind w:left="4953" w:hanging="180"/>
      </w:pPr>
    </w:lvl>
    <w:lvl w:ilvl="6" w:tplc="9ED4BBA2" w:tentative="1">
      <w:start w:val="1"/>
      <w:numFmt w:val="decimal"/>
      <w:lvlText w:val="%7."/>
      <w:lvlJc w:val="left"/>
      <w:pPr>
        <w:ind w:left="5673" w:hanging="360"/>
      </w:pPr>
    </w:lvl>
    <w:lvl w:ilvl="7" w:tplc="BC1E51C2" w:tentative="1">
      <w:start w:val="1"/>
      <w:numFmt w:val="lowerLetter"/>
      <w:lvlText w:val="%8."/>
      <w:lvlJc w:val="left"/>
      <w:pPr>
        <w:ind w:left="6393" w:hanging="360"/>
      </w:pPr>
    </w:lvl>
    <w:lvl w:ilvl="8" w:tplc="0A98C2BE" w:tentative="1">
      <w:start w:val="1"/>
      <w:numFmt w:val="lowerRoman"/>
      <w:lvlText w:val="%9."/>
      <w:lvlJc w:val="right"/>
      <w:pPr>
        <w:ind w:left="7113" w:hanging="180"/>
      </w:pPr>
    </w:lvl>
  </w:abstractNum>
  <w:abstractNum w:abstractNumId="10" w15:restartNumberingAfterBreak="0">
    <w:nsid w:val="35BA5FDE"/>
    <w:multiLevelType w:val="hybridMultilevel"/>
    <w:tmpl w:val="523E6D30"/>
    <w:lvl w:ilvl="0" w:tplc="00A877F4">
      <w:start w:val="1"/>
      <w:numFmt w:val="upperLetter"/>
      <w:lvlText w:val="%1."/>
      <w:lvlJc w:val="left"/>
      <w:pPr>
        <w:ind w:left="720" w:hanging="360"/>
      </w:pPr>
      <w:rPr>
        <w:rFonts w:hint="default"/>
      </w:rPr>
    </w:lvl>
    <w:lvl w:ilvl="1" w:tplc="69B4AA88" w:tentative="1">
      <w:start w:val="1"/>
      <w:numFmt w:val="lowerLetter"/>
      <w:lvlText w:val="%2."/>
      <w:lvlJc w:val="left"/>
      <w:pPr>
        <w:ind w:left="1440" w:hanging="360"/>
      </w:pPr>
    </w:lvl>
    <w:lvl w:ilvl="2" w:tplc="D924F4E8" w:tentative="1">
      <w:start w:val="1"/>
      <w:numFmt w:val="lowerRoman"/>
      <w:lvlText w:val="%3."/>
      <w:lvlJc w:val="right"/>
      <w:pPr>
        <w:ind w:left="2160" w:hanging="180"/>
      </w:pPr>
    </w:lvl>
    <w:lvl w:ilvl="3" w:tplc="14A6656A" w:tentative="1">
      <w:start w:val="1"/>
      <w:numFmt w:val="decimal"/>
      <w:lvlText w:val="%4."/>
      <w:lvlJc w:val="left"/>
      <w:pPr>
        <w:ind w:left="2880" w:hanging="360"/>
      </w:pPr>
    </w:lvl>
    <w:lvl w:ilvl="4" w:tplc="2960CD12" w:tentative="1">
      <w:start w:val="1"/>
      <w:numFmt w:val="lowerLetter"/>
      <w:lvlText w:val="%5."/>
      <w:lvlJc w:val="left"/>
      <w:pPr>
        <w:ind w:left="3600" w:hanging="360"/>
      </w:pPr>
    </w:lvl>
    <w:lvl w:ilvl="5" w:tplc="E4AACBE0" w:tentative="1">
      <w:start w:val="1"/>
      <w:numFmt w:val="lowerRoman"/>
      <w:lvlText w:val="%6."/>
      <w:lvlJc w:val="right"/>
      <w:pPr>
        <w:ind w:left="4320" w:hanging="180"/>
      </w:pPr>
    </w:lvl>
    <w:lvl w:ilvl="6" w:tplc="E28EFCB6" w:tentative="1">
      <w:start w:val="1"/>
      <w:numFmt w:val="decimal"/>
      <w:lvlText w:val="%7."/>
      <w:lvlJc w:val="left"/>
      <w:pPr>
        <w:ind w:left="5040" w:hanging="360"/>
      </w:pPr>
    </w:lvl>
    <w:lvl w:ilvl="7" w:tplc="68D6470A" w:tentative="1">
      <w:start w:val="1"/>
      <w:numFmt w:val="lowerLetter"/>
      <w:lvlText w:val="%8."/>
      <w:lvlJc w:val="left"/>
      <w:pPr>
        <w:ind w:left="5760" w:hanging="360"/>
      </w:pPr>
    </w:lvl>
    <w:lvl w:ilvl="8" w:tplc="CC7AFA78" w:tentative="1">
      <w:start w:val="1"/>
      <w:numFmt w:val="lowerRoman"/>
      <w:lvlText w:val="%9."/>
      <w:lvlJc w:val="right"/>
      <w:pPr>
        <w:ind w:left="6480" w:hanging="180"/>
      </w:pPr>
    </w:lvl>
  </w:abstractNum>
  <w:abstractNum w:abstractNumId="11" w15:restartNumberingAfterBreak="0">
    <w:nsid w:val="38B377DD"/>
    <w:multiLevelType w:val="hybridMultilevel"/>
    <w:tmpl w:val="3DFEB59C"/>
    <w:lvl w:ilvl="0" w:tplc="90BE6D94">
      <w:start w:val="1"/>
      <w:numFmt w:val="lowerLetter"/>
      <w:lvlText w:val="%1)"/>
      <w:lvlJc w:val="left"/>
      <w:pPr>
        <w:ind w:left="1712" w:hanging="360"/>
      </w:pPr>
      <w:rPr>
        <w:rFonts w:hint="default"/>
      </w:rPr>
    </w:lvl>
    <w:lvl w:ilvl="1" w:tplc="2B7C827E" w:tentative="1">
      <w:start w:val="1"/>
      <w:numFmt w:val="lowerLetter"/>
      <w:lvlText w:val="%2."/>
      <w:lvlJc w:val="left"/>
      <w:pPr>
        <w:ind w:left="2432" w:hanging="360"/>
      </w:pPr>
    </w:lvl>
    <w:lvl w:ilvl="2" w:tplc="A282E91C" w:tentative="1">
      <w:start w:val="1"/>
      <w:numFmt w:val="lowerRoman"/>
      <w:lvlText w:val="%3."/>
      <w:lvlJc w:val="right"/>
      <w:pPr>
        <w:ind w:left="3152" w:hanging="180"/>
      </w:pPr>
    </w:lvl>
    <w:lvl w:ilvl="3" w:tplc="6D969444" w:tentative="1">
      <w:start w:val="1"/>
      <w:numFmt w:val="decimal"/>
      <w:lvlText w:val="%4."/>
      <w:lvlJc w:val="left"/>
      <w:pPr>
        <w:ind w:left="3872" w:hanging="360"/>
      </w:pPr>
    </w:lvl>
    <w:lvl w:ilvl="4" w:tplc="935E0F1C" w:tentative="1">
      <w:start w:val="1"/>
      <w:numFmt w:val="lowerLetter"/>
      <w:lvlText w:val="%5."/>
      <w:lvlJc w:val="left"/>
      <w:pPr>
        <w:ind w:left="4592" w:hanging="360"/>
      </w:pPr>
    </w:lvl>
    <w:lvl w:ilvl="5" w:tplc="FDCC177E" w:tentative="1">
      <w:start w:val="1"/>
      <w:numFmt w:val="lowerRoman"/>
      <w:lvlText w:val="%6."/>
      <w:lvlJc w:val="right"/>
      <w:pPr>
        <w:ind w:left="5312" w:hanging="180"/>
      </w:pPr>
    </w:lvl>
    <w:lvl w:ilvl="6" w:tplc="9A46184E" w:tentative="1">
      <w:start w:val="1"/>
      <w:numFmt w:val="decimal"/>
      <w:lvlText w:val="%7."/>
      <w:lvlJc w:val="left"/>
      <w:pPr>
        <w:ind w:left="6032" w:hanging="360"/>
      </w:pPr>
    </w:lvl>
    <w:lvl w:ilvl="7" w:tplc="DE9C989A" w:tentative="1">
      <w:start w:val="1"/>
      <w:numFmt w:val="lowerLetter"/>
      <w:lvlText w:val="%8."/>
      <w:lvlJc w:val="left"/>
      <w:pPr>
        <w:ind w:left="6752" w:hanging="360"/>
      </w:pPr>
    </w:lvl>
    <w:lvl w:ilvl="8" w:tplc="CC94C9AE" w:tentative="1">
      <w:start w:val="1"/>
      <w:numFmt w:val="lowerRoman"/>
      <w:lvlText w:val="%9."/>
      <w:lvlJc w:val="right"/>
      <w:pPr>
        <w:ind w:left="7472" w:hanging="180"/>
      </w:pPr>
    </w:lvl>
  </w:abstractNum>
  <w:abstractNum w:abstractNumId="12" w15:restartNumberingAfterBreak="0">
    <w:nsid w:val="48552A68"/>
    <w:multiLevelType w:val="hybridMultilevel"/>
    <w:tmpl w:val="08B212A6"/>
    <w:lvl w:ilvl="0" w:tplc="D3D88104">
      <w:start w:val="1"/>
      <w:numFmt w:val="upperRoman"/>
      <w:lvlText w:val="%1."/>
      <w:lvlJc w:val="left"/>
      <w:pPr>
        <w:ind w:left="1080" w:hanging="720"/>
      </w:pPr>
      <w:rPr>
        <w:rFonts w:hint="default"/>
      </w:rPr>
    </w:lvl>
    <w:lvl w:ilvl="1" w:tplc="FE4A11B4" w:tentative="1">
      <w:start w:val="1"/>
      <w:numFmt w:val="lowerLetter"/>
      <w:lvlText w:val="%2."/>
      <w:lvlJc w:val="left"/>
      <w:pPr>
        <w:ind w:left="1440" w:hanging="360"/>
      </w:pPr>
    </w:lvl>
    <w:lvl w:ilvl="2" w:tplc="7188CA8A" w:tentative="1">
      <w:start w:val="1"/>
      <w:numFmt w:val="lowerRoman"/>
      <w:lvlText w:val="%3."/>
      <w:lvlJc w:val="right"/>
      <w:pPr>
        <w:ind w:left="2160" w:hanging="180"/>
      </w:pPr>
    </w:lvl>
    <w:lvl w:ilvl="3" w:tplc="9E98DE70" w:tentative="1">
      <w:start w:val="1"/>
      <w:numFmt w:val="decimal"/>
      <w:lvlText w:val="%4."/>
      <w:lvlJc w:val="left"/>
      <w:pPr>
        <w:ind w:left="2880" w:hanging="360"/>
      </w:pPr>
    </w:lvl>
    <w:lvl w:ilvl="4" w:tplc="F81CFF1A" w:tentative="1">
      <w:start w:val="1"/>
      <w:numFmt w:val="lowerLetter"/>
      <w:lvlText w:val="%5."/>
      <w:lvlJc w:val="left"/>
      <w:pPr>
        <w:ind w:left="3600" w:hanging="360"/>
      </w:pPr>
    </w:lvl>
    <w:lvl w:ilvl="5" w:tplc="0CCC4E02" w:tentative="1">
      <w:start w:val="1"/>
      <w:numFmt w:val="lowerRoman"/>
      <w:lvlText w:val="%6."/>
      <w:lvlJc w:val="right"/>
      <w:pPr>
        <w:ind w:left="4320" w:hanging="180"/>
      </w:pPr>
    </w:lvl>
    <w:lvl w:ilvl="6" w:tplc="2D801488" w:tentative="1">
      <w:start w:val="1"/>
      <w:numFmt w:val="decimal"/>
      <w:lvlText w:val="%7."/>
      <w:lvlJc w:val="left"/>
      <w:pPr>
        <w:ind w:left="5040" w:hanging="360"/>
      </w:pPr>
    </w:lvl>
    <w:lvl w:ilvl="7" w:tplc="FDA447E4" w:tentative="1">
      <w:start w:val="1"/>
      <w:numFmt w:val="lowerLetter"/>
      <w:lvlText w:val="%8."/>
      <w:lvlJc w:val="left"/>
      <w:pPr>
        <w:ind w:left="5760" w:hanging="360"/>
      </w:pPr>
    </w:lvl>
    <w:lvl w:ilvl="8" w:tplc="8C6A2718" w:tentative="1">
      <w:start w:val="1"/>
      <w:numFmt w:val="lowerRoman"/>
      <w:lvlText w:val="%9."/>
      <w:lvlJc w:val="right"/>
      <w:pPr>
        <w:ind w:left="6480" w:hanging="180"/>
      </w:pPr>
    </w:lvl>
  </w:abstractNum>
  <w:abstractNum w:abstractNumId="13" w15:restartNumberingAfterBreak="0">
    <w:nsid w:val="49394ECB"/>
    <w:multiLevelType w:val="hybridMultilevel"/>
    <w:tmpl w:val="3E64E0B8"/>
    <w:lvl w:ilvl="0" w:tplc="6298DF10">
      <w:start w:val="1"/>
      <w:numFmt w:val="upperLetter"/>
      <w:lvlText w:val="%1."/>
      <w:lvlJc w:val="left"/>
      <w:pPr>
        <w:ind w:left="720" w:hanging="360"/>
      </w:pPr>
      <w:rPr>
        <w:rFonts w:hint="default"/>
      </w:rPr>
    </w:lvl>
    <w:lvl w:ilvl="1" w:tplc="FDEA7F90" w:tentative="1">
      <w:start w:val="1"/>
      <w:numFmt w:val="lowerLetter"/>
      <w:lvlText w:val="%2."/>
      <w:lvlJc w:val="left"/>
      <w:pPr>
        <w:ind w:left="1440" w:hanging="360"/>
      </w:pPr>
    </w:lvl>
    <w:lvl w:ilvl="2" w:tplc="4B36E374" w:tentative="1">
      <w:start w:val="1"/>
      <w:numFmt w:val="lowerRoman"/>
      <w:lvlText w:val="%3."/>
      <w:lvlJc w:val="right"/>
      <w:pPr>
        <w:ind w:left="2160" w:hanging="180"/>
      </w:pPr>
    </w:lvl>
    <w:lvl w:ilvl="3" w:tplc="9E12C39C" w:tentative="1">
      <w:start w:val="1"/>
      <w:numFmt w:val="decimal"/>
      <w:lvlText w:val="%4."/>
      <w:lvlJc w:val="left"/>
      <w:pPr>
        <w:ind w:left="2880" w:hanging="360"/>
      </w:pPr>
    </w:lvl>
    <w:lvl w:ilvl="4" w:tplc="E766B8C8" w:tentative="1">
      <w:start w:val="1"/>
      <w:numFmt w:val="lowerLetter"/>
      <w:lvlText w:val="%5."/>
      <w:lvlJc w:val="left"/>
      <w:pPr>
        <w:ind w:left="3600" w:hanging="360"/>
      </w:pPr>
    </w:lvl>
    <w:lvl w:ilvl="5" w:tplc="4DA41732" w:tentative="1">
      <w:start w:val="1"/>
      <w:numFmt w:val="lowerRoman"/>
      <w:lvlText w:val="%6."/>
      <w:lvlJc w:val="right"/>
      <w:pPr>
        <w:ind w:left="4320" w:hanging="180"/>
      </w:pPr>
    </w:lvl>
    <w:lvl w:ilvl="6" w:tplc="49444166" w:tentative="1">
      <w:start w:val="1"/>
      <w:numFmt w:val="decimal"/>
      <w:lvlText w:val="%7."/>
      <w:lvlJc w:val="left"/>
      <w:pPr>
        <w:ind w:left="5040" w:hanging="360"/>
      </w:pPr>
    </w:lvl>
    <w:lvl w:ilvl="7" w:tplc="4DE002D0" w:tentative="1">
      <w:start w:val="1"/>
      <w:numFmt w:val="lowerLetter"/>
      <w:lvlText w:val="%8."/>
      <w:lvlJc w:val="left"/>
      <w:pPr>
        <w:ind w:left="5760" w:hanging="360"/>
      </w:pPr>
    </w:lvl>
    <w:lvl w:ilvl="8" w:tplc="394ECCE6" w:tentative="1">
      <w:start w:val="1"/>
      <w:numFmt w:val="lowerRoman"/>
      <w:lvlText w:val="%9."/>
      <w:lvlJc w:val="right"/>
      <w:pPr>
        <w:ind w:left="6480" w:hanging="180"/>
      </w:pPr>
    </w:lvl>
  </w:abstractNum>
  <w:abstractNum w:abstractNumId="14" w15:restartNumberingAfterBreak="0">
    <w:nsid w:val="4D8A7DD8"/>
    <w:multiLevelType w:val="hybridMultilevel"/>
    <w:tmpl w:val="3E64E0B8"/>
    <w:lvl w:ilvl="0" w:tplc="F9A004D2">
      <w:start w:val="1"/>
      <w:numFmt w:val="upperLetter"/>
      <w:lvlText w:val="%1."/>
      <w:lvlJc w:val="left"/>
      <w:pPr>
        <w:ind w:left="720" w:hanging="360"/>
      </w:pPr>
      <w:rPr>
        <w:rFonts w:hint="default"/>
      </w:rPr>
    </w:lvl>
    <w:lvl w:ilvl="1" w:tplc="44CE1A46" w:tentative="1">
      <w:start w:val="1"/>
      <w:numFmt w:val="lowerLetter"/>
      <w:lvlText w:val="%2."/>
      <w:lvlJc w:val="left"/>
      <w:pPr>
        <w:ind w:left="1440" w:hanging="360"/>
      </w:pPr>
    </w:lvl>
    <w:lvl w:ilvl="2" w:tplc="60E47330" w:tentative="1">
      <w:start w:val="1"/>
      <w:numFmt w:val="lowerRoman"/>
      <w:lvlText w:val="%3."/>
      <w:lvlJc w:val="right"/>
      <w:pPr>
        <w:ind w:left="2160" w:hanging="180"/>
      </w:pPr>
    </w:lvl>
    <w:lvl w:ilvl="3" w:tplc="67AEDAA2" w:tentative="1">
      <w:start w:val="1"/>
      <w:numFmt w:val="decimal"/>
      <w:lvlText w:val="%4."/>
      <w:lvlJc w:val="left"/>
      <w:pPr>
        <w:ind w:left="2880" w:hanging="360"/>
      </w:pPr>
    </w:lvl>
    <w:lvl w:ilvl="4" w:tplc="F78663A0" w:tentative="1">
      <w:start w:val="1"/>
      <w:numFmt w:val="lowerLetter"/>
      <w:lvlText w:val="%5."/>
      <w:lvlJc w:val="left"/>
      <w:pPr>
        <w:ind w:left="3600" w:hanging="360"/>
      </w:pPr>
    </w:lvl>
    <w:lvl w:ilvl="5" w:tplc="55BC894C" w:tentative="1">
      <w:start w:val="1"/>
      <w:numFmt w:val="lowerRoman"/>
      <w:lvlText w:val="%6."/>
      <w:lvlJc w:val="right"/>
      <w:pPr>
        <w:ind w:left="4320" w:hanging="180"/>
      </w:pPr>
    </w:lvl>
    <w:lvl w:ilvl="6" w:tplc="93AA68AC" w:tentative="1">
      <w:start w:val="1"/>
      <w:numFmt w:val="decimal"/>
      <w:lvlText w:val="%7."/>
      <w:lvlJc w:val="left"/>
      <w:pPr>
        <w:ind w:left="5040" w:hanging="360"/>
      </w:pPr>
    </w:lvl>
    <w:lvl w:ilvl="7" w:tplc="22A6A9DA" w:tentative="1">
      <w:start w:val="1"/>
      <w:numFmt w:val="lowerLetter"/>
      <w:lvlText w:val="%8."/>
      <w:lvlJc w:val="left"/>
      <w:pPr>
        <w:ind w:left="5760" w:hanging="360"/>
      </w:pPr>
    </w:lvl>
    <w:lvl w:ilvl="8" w:tplc="ACDCDEBA" w:tentative="1">
      <w:start w:val="1"/>
      <w:numFmt w:val="lowerRoman"/>
      <w:lvlText w:val="%9."/>
      <w:lvlJc w:val="right"/>
      <w:pPr>
        <w:ind w:left="6480" w:hanging="180"/>
      </w:pPr>
    </w:lvl>
  </w:abstractNum>
  <w:abstractNum w:abstractNumId="15" w15:restartNumberingAfterBreak="0">
    <w:nsid w:val="510C6CF8"/>
    <w:multiLevelType w:val="hybridMultilevel"/>
    <w:tmpl w:val="C072582C"/>
    <w:lvl w:ilvl="0" w:tplc="243EC23E">
      <w:start w:val="1"/>
      <w:numFmt w:val="lowerRoman"/>
      <w:lvlText w:val="(%1)"/>
      <w:lvlJc w:val="left"/>
      <w:pPr>
        <w:ind w:left="720" w:hanging="360"/>
      </w:pPr>
      <w:rPr>
        <w:rFonts w:hint="default"/>
        <w:b w:val="0"/>
        <w:bCs/>
      </w:rPr>
    </w:lvl>
    <w:lvl w:ilvl="1" w:tplc="A4DC1B26" w:tentative="1">
      <w:start w:val="1"/>
      <w:numFmt w:val="bullet"/>
      <w:lvlText w:val="o"/>
      <w:lvlJc w:val="left"/>
      <w:pPr>
        <w:ind w:left="1440" w:hanging="360"/>
      </w:pPr>
      <w:rPr>
        <w:rFonts w:ascii="Courier New" w:hAnsi="Courier New" w:cs="Courier New" w:hint="default"/>
      </w:rPr>
    </w:lvl>
    <w:lvl w:ilvl="2" w:tplc="F06E3B60" w:tentative="1">
      <w:start w:val="1"/>
      <w:numFmt w:val="bullet"/>
      <w:lvlText w:val=""/>
      <w:lvlJc w:val="left"/>
      <w:pPr>
        <w:ind w:left="2160" w:hanging="360"/>
      </w:pPr>
      <w:rPr>
        <w:rFonts w:ascii="Wingdings" w:hAnsi="Wingdings" w:hint="default"/>
      </w:rPr>
    </w:lvl>
    <w:lvl w:ilvl="3" w:tplc="3F9CA2AC" w:tentative="1">
      <w:start w:val="1"/>
      <w:numFmt w:val="bullet"/>
      <w:lvlText w:val=""/>
      <w:lvlJc w:val="left"/>
      <w:pPr>
        <w:ind w:left="2880" w:hanging="360"/>
      </w:pPr>
      <w:rPr>
        <w:rFonts w:ascii="Symbol" w:hAnsi="Symbol" w:hint="default"/>
      </w:rPr>
    </w:lvl>
    <w:lvl w:ilvl="4" w:tplc="2D48A24A" w:tentative="1">
      <w:start w:val="1"/>
      <w:numFmt w:val="bullet"/>
      <w:lvlText w:val="o"/>
      <w:lvlJc w:val="left"/>
      <w:pPr>
        <w:ind w:left="3600" w:hanging="360"/>
      </w:pPr>
      <w:rPr>
        <w:rFonts w:ascii="Courier New" w:hAnsi="Courier New" w:cs="Courier New" w:hint="default"/>
      </w:rPr>
    </w:lvl>
    <w:lvl w:ilvl="5" w:tplc="A1B888E2" w:tentative="1">
      <w:start w:val="1"/>
      <w:numFmt w:val="bullet"/>
      <w:lvlText w:val=""/>
      <w:lvlJc w:val="left"/>
      <w:pPr>
        <w:ind w:left="4320" w:hanging="360"/>
      </w:pPr>
      <w:rPr>
        <w:rFonts w:ascii="Wingdings" w:hAnsi="Wingdings" w:hint="default"/>
      </w:rPr>
    </w:lvl>
    <w:lvl w:ilvl="6" w:tplc="ED043EA4" w:tentative="1">
      <w:start w:val="1"/>
      <w:numFmt w:val="bullet"/>
      <w:lvlText w:val=""/>
      <w:lvlJc w:val="left"/>
      <w:pPr>
        <w:ind w:left="5040" w:hanging="360"/>
      </w:pPr>
      <w:rPr>
        <w:rFonts w:ascii="Symbol" w:hAnsi="Symbol" w:hint="default"/>
      </w:rPr>
    </w:lvl>
    <w:lvl w:ilvl="7" w:tplc="8D5A1A7E" w:tentative="1">
      <w:start w:val="1"/>
      <w:numFmt w:val="bullet"/>
      <w:lvlText w:val="o"/>
      <w:lvlJc w:val="left"/>
      <w:pPr>
        <w:ind w:left="5760" w:hanging="360"/>
      </w:pPr>
      <w:rPr>
        <w:rFonts w:ascii="Courier New" w:hAnsi="Courier New" w:cs="Courier New" w:hint="default"/>
      </w:rPr>
    </w:lvl>
    <w:lvl w:ilvl="8" w:tplc="B47A2F8E" w:tentative="1">
      <w:start w:val="1"/>
      <w:numFmt w:val="bullet"/>
      <w:lvlText w:val=""/>
      <w:lvlJc w:val="left"/>
      <w:pPr>
        <w:ind w:left="6480" w:hanging="360"/>
      </w:pPr>
      <w:rPr>
        <w:rFonts w:ascii="Wingdings" w:hAnsi="Wingdings" w:hint="default"/>
      </w:rPr>
    </w:lvl>
  </w:abstractNum>
  <w:abstractNum w:abstractNumId="16" w15:restartNumberingAfterBreak="0">
    <w:nsid w:val="5B5B7925"/>
    <w:multiLevelType w:val="hybridMultilevel"/>
    <w:tmpl w:val="E8BAD2AA"/>
    <w:lvl w:ilvl="0" w:tplc="E0BAE0A8">
      <w:start w:val="1"/>
      <w:numFmt w:val="lowerLetter"/>
      <w:lvlText w:val="(%1)"/>
      <w:lvlJc w:val="left"/>
      <w:pPr>
        <w:ind w:left="1353" w:hanging="360"/>
      </w:pPr>
      <w:rPr>
        <w:rFonts w:hint="default"/>
      </w:rPr>
    </w:lvl>
    <w:lvl w:ilvl="1" w:tplc="379A6D0E" w:tentative="1">
      <w:start w:val="1"/>
      <w:numFmt w:val="lowerLetter"/>
      <w:lvlText w:val="%2."/>
      <w:lvlJc w:val="left"/>
      <w:pPr>
        <w:ind w:left="2073" w:hanging="360"/>
      </w:pPr>
    </w:lvl>
    <w:lvl w:ilvl="2" w:tplc="211229A0" w:tentative="1">
      <w:start w:val="1"/>
      <w:numFmt w:val="lowerRoman"/>
      <w:lvlText w:val="%3."/>
      <w:lvlJc w:val="right"/>
      <w:pPr>
        <w:ind w:left="2793" w:hanging="180"/>
      </w:pPr>
    </w:lvl>
    <w:lvl w:ilvl="3" w:tplc="4424A15A" w:tentative="1">
      <w:start w:val="1"/>
      <w:numFmt w:val="decimal"/>
      <w:lvlText w:val="%4."/>
      <w:lvlJc w:val="left"/>
      <w:pPr>
        <w:ind w:left="3513" w:hanging="360"/>
      </w:pPr>
    </w:lvl>
    <w:lvl w:ilvl="4" w:tplc="9C26E30C" w:tentative="1">
      <w:start w:val="1"/>
      <w:numFmt w:val="lowerLetter"/>
      <w:lvlText w:val="%5."/>
      <w:lvlJc w:val="left"/>
      <w:pPr>
        <w:ind w:left="4233" w:hanging="360"/>
      </w:pPr>
    </w:lvl>
    <w:lvl w:ilvl="5" w:tplc="C67046D2" w:tentative="1">
      <w:start w:val="1"/>
      <w:numFmt w:val="lowerRoman"/>
      <w:lvlText w:val="%6."/>
      <w:lvlJc w:val="right"/>
      <w:pPr>
        <w:ind w:left="4953" w:hanging="180"/>
      </w:pPr>
    </w:lvl>
    <w:lvl w:ilvl="6" w:tplc="713C6DB6" w:tentative="1">
      <w:start w:val="1"/>
      <w:numFmt w:val="decimal"/>
      <w:lvlText w:val="%7."/>
      <w:lvlJc w:val="left"/>
      <w:pPr>
        <w:ind w:left="5673" w:hanging="360"/>
      </w:pPr>
    </w:lvl>
    <w:lvl w:ilvl="7" w:tplc="6F048506" w:tentative="1">
      <w:start w:val="1"/>
      <w:numFmt w:val="lowerLetter"/>
      <w:lvlText w:val="%8."/>
      <w:lvlJc w:val="left"/>
      <w:pPr>
        <w:ind w:left="6393" w:hanging="360"/>
      </w:pPr>
    </w:lvl>
    <w:lvl w:ilvl="8" w:tplc="DB2CCBFE" w:tentative="1">
      <w:start w:val="1"/>
      <w:numFmt w:val="lowerRoman"/>
      <w:lvlText w:val="%9."/>
      <w:lvlJc w:val="right"/>
      <w:pPr>
        <w:ind w:left="7113" w:hanging="180"/>
      </w:pPr>
    </w:lvl>
  </w:abstractNum>
  <w:abstractNum w:abstractNumId="17" w15:restartNumberingAfterBreak="0">
    <w:nsid w:val="5F6441B1"/>
    <w:multiLevelType w:val="hybridMultilevel"/>
    <w:tmpl w:val="B76646F6"/>
    <w:lvl w:ilvl="0" w:tplc="44500E58">
      <w:start w:val="1"/>
      <w:numFmt w:val="upperLetter"/>
      <w:lvlText w:val="%1."/>
      <w:lvlJc w:val="left"/>
      <w:pPr>
        <w:ind w:left="720" w:hanging="360"/>
      </w:pPr>
      <w:rPr>
        <w:rFonts w:hint="default"/>
      </w:rPr>
    </w:lvl>
    <w:lvl w:ilvl="1" w:tplc="A7B2D208" w:tentative="1">
      <w:start w:val="1"/>
      <w:numFmt w:val="lowerLetter"/>
      <w:lvlText w:val="%2."/>
      <w:lvlJc w:val="left"/>
      <w:pPr>
        <w:ind w:left="1440" w:hanging="360"/>
      </w:pPr>
    </w:lvl>
    <w:lvl w:ilvl="2" w:tplc="1C0E9828" w:tentative="1">
      <w:start w:val="1"/>
      <w:numFmt w:val="lowerRoman"/>
      <w:lvlText w:val="%3."/>
      <w:lvlJc w:val="right"/>
      <w:pPr>
        <w:ind w:left="2160" w:hanging="180"/>
      </w:pPr>
    </w:lvl>
    <w:lvl w:ilvl="3" w:tplc="CAD84D18" w:tentative="1">
      <w:start w:val="1"/>
      <w:numFmt w:val="decimal"/>
      <w:lvlText w:val="%4."/>
      <w:lvlJc w:val="left"/>
      <w:pPr>
        <w:ind w:left="2880" w:hanging="360"/>
      </w:pPr>
    </w:lvl>
    <w:lvl w:ilvl="4" w:tplc="F8D48534" w:tentative="1">
      <w:start w:val="1"/>
      <w:numFmt w:val="lowerLetter"/>
      <w:lvlText w:val="%5."/>
      <w:lvlJc w:val="left"/>
      <w:pPr>
        <w:ind w:left="3600" w:hanging="360"/>
      </w:pPr>
    </w:lvl>
    <w:lvl w:ilvl="5" w:tplc="BBAEB6FC" w:tentative="1">
      <w:start w:val="1"/>
      <w:numFmt w:val="lowerRoman"/>
      <w:lvlText w:val="%6."/>
      <w:lvlJc w:val="right"/>
      <w:pPr>
        <w:ind w:left="4320" w:hanging="180"/>
      </w:pPr>
    </w:lvl>
    <w:lvl w:ilvl="6" w:tplc="8A9C2162" w:tentative="1">
      <w:start w:val="1"/>
      <w:numFmt w:val="decimal"/>
      <w:lvlText w:val="%7."/>
      <w:lvlJc w:val="left"/>
      <w:pPr>
        <w:ind w:left="5040" w:hanging="360"/>
      </w:pPr>
    </w:lvl>
    <w:lvl w:ilvl="7" w:tplc="2E8AA9EC" w:tentative="1">
      <w:start w:val="1"/>
      <w:numFmt w:val="lowerLetter"/>
      <w:lvlText w:val="%8."/>
      <w:lvlJc w:val="left"/>
      <w:pPr>
        <w:ind w:left="5760" w:hanging="360"/>
      </w:pPr>
    </w:lvl>
    <w:lvl w:ilvl="8" w:tplc="6DB2E04A" w:tentative="1">
      <w:start w:val="1"/>
      <w:numFmt w:val="lowerRoman"/>
      <w:lvlText w:val="%9."/>
      <w:lvlJc w:val="right"/>
      <w:pPr>
        <w:ind w:left="6480" w:hanging="180"/>
      </w:pPr>
    </w:lvl>
  </w:abstractNum>
  <w:abstractNum w:abstractNumId="18" w15:restartNumberingAfterBreak="0">
    <w:nsid w:val="66DE0FC0"/>
    <w:multiLevelType w:val="hybridMultilevel"/>
    <w:tmpl w:val="3DBE029E"/>
    <w:lvl w:ilvl="0" w:tplc="CC8A70CA">
      <w:start w:val="1"/>
      <w:numFmt w:val="decimal"/>
      <w:lvlText w:val="%1."/>
      <w:lvlJc w:val="left"/>
      <w:pPr>
        <w:ind w:left="1080" w:hanging="360"/>
      </w:pPr>
      <w:rPr>
        <w:rFonts w:hint="default"/>
      </w:rPr>
    </w:lvl>
    <w:lvl w:ilvl="1" w:tplc="5672E802" w:tentative="1">
      <w:start w:val="1"/>
      <w:numFmt w:val="lowerLetter"/>
      <w:lvlText w:val="%2."/>
      <w:lvlJc w:val="left"/>
      <w:pPr>
        <w:ind w:left="1800" w:hanging="360"/>
      </w:pPr>
    </w:lvl>
    <w:lvl w:ilvl="2" w:tplc="59D01540" w:tentative="1">
      <w:start w:val="1"/>
      <w:numFmt w:val="lowerRoman"/>
      <w:lvlText w:val="%3."/>
      <w:lvlJc w:val="right"/>
      <w:pPr>
        <w:ind w:left="2520" w:hanging="180"/>
      </w:pPr>
    </w:lvl>
    <w:lvl w:ilvl="3" w:tplc="A392B120" w:tentative="1">
      <w:start w:val="1"/>
      <w:numFmt w:val="decimal"/>
      <w:lvlText w:val="%4."/>
      <w:lvlJc w:val="left"/>
      <w:pPr>
        <w:ind w:left="3240" w:hanging="360"/>
      </w:pPr>
    </w:lvl>
    <w:lvl w:ilvl="4" w:tplc="9DD2EED8" w:tentative="1">
      <w:start w:val="1"/>
      <w:numFmt w:val="lowerLetter"/>
      <w:lvlText w:val="%5."/>
      <w:lvlJc w:val="left"/>
      <w:pPr>
        <w:ind w:left="3960" w:hanging="360"/>
      </w:pPr>
    </w:lvl>
    <w:lvl w:ilvl="5" w:tplc="6B84421A" w:tentative="1">
      <w:start w:val="1"/>
      <w:numFmt w:val="lowerRoman"/>
      <w:lvlText w:val="%6."/>
      <w:lvlJc w:val="right"/>
      <w:pPr>
        <w:ind w:left="4680" w:hanging="180"/>
      </w:pPr>
    </w:lvl>
    <w:lvl w:ilvl="6" w:tplc="691E36C8" w:tentative="1">
      <w:start w:val="1"/>
      <w:numFmt w:val="decimal"/>
      <w:lvlText w:val="%7."/>
      <w:lvlJc w:val="left"/>
      <w:pPr>
        <w:ind w:left="5400" w:hanging="360"/>
      </w:pPr>
    </w:lvl>
    <w:lvl w:ilvl="7" w:tplc="00D43646" w:tentative="1">
      <w:start w:val="1"/>
      <w:numFmt w:val="lowerLetter"/>
      <w:lvlText w:val="%8."/>
      <w:lvlJc w:val="left"/>
      <w:pPr>
        <w:ind w:left="6120" w:hanging="360"/>
      </w:pPr>
    </w:lvl>
    <w:lvl w:ilvl="8" w:tplc="701666F2" w:tentative="1">
      <w:start w:val="1"/>
      <w:numFmt w:val="lowerRoman"/>
      <w:lvlText w:val="%9."/>
      <w:lvlJc w:val="right"/>
      <w:pPr>
        <w:ind w:left="6840" w:hanging="180"/>
      </w:pPr>
    </w:lvl>
  </w:abstractNum>
  <w:abstractNum w:abstractNumId="19" w15:restartNumberingAfterBreak="0">
    <w:nsid w:val="73DF7E71"/>
    <w:multiLevelType w:val="hybridMultilevel"/>
    <w:tmpl w:val="0700E6FC"/>
    <w:lvl w:ilvl="0" w:tplc="69A8B94C">
      <w:start w:val="1"/>
      <w:numFmt w:val="upperLetter"/>
      <w:lvlText w:val="%1."/>
      <w:lvlJc w:val="left"/>
      <w:pPr>
        <w:ind w:left="1020" w:hanging="360"/>
      </w:pPr>
    </w:lvl>
    <w:lvl w:ilvl="1" w:tplc="0B7E2E6E">
      <w:start w:val="1"/>
      <w:numFmt w:val="upperLetter"/>
      <w:lvlText w:val="%2."/>
      <w:lvlJc w:val="left"/>
      <w:pPr>
        <w:ind w:left="1020" w:hanging="360"/>
      </w:pPr>
    </w:lvl>
    <w:lvl w:ilvl="2" w:tplc="78828BD6">
      <w:start w:val="1"/>
      <w:numFmt w:val="upperLetter"/>
      <w:lvlText w:val="%3."/>
      <w:lvlJc w:val="left"/>
      <w:pPr>
        <w:ind w:left="1020" w:hanging="360"/>
      </w:pPr>
    </w:lvl>
    <w:lvl w:ilvl="3" w:tplc="1536248E">
      <w:start w:val="1"/>
      <w:numFmt w:val="upperLetter"/>
      <w:lvlText w:val="%4."/>
      <w:lvlJc w:val="left"/>
      <w:pPr>
        <w:ind w:left="1020" w:hanging="360"/>
      </w:pPr>
    </w:lvl>
    <w:lvl w:ilvl="4" w:tplc="D06A118E">
      <w:start w:val="1"/>
      <w:numFmt w:val="upperLetter"/>
      <w:lvlText w:val="%5."/>
      <w:lvlJc w:val="left"/>
      <w:pPr>
        <w:ind w:left="1020" w:hanging="360"/>
      </w:pPr>
    </w:lvl>
    <w:lvl w:ilvl="5" w:tplc="ECB464E8">
      <w:start w:val="1"/>
      <w:numFmt w:val="upperLetter"/>
      <w:lvlText w:val="%6."/>
      <w:lvlJc w:val="left"/>
      <w:pPr>
        <w:ind w:left="1020" w:hanging="360"/>
      </w:pPr>
    </w:lvl>
    <w:lvl w:ilvl="6" w:tplc="7C1CDF00">
      <w:start w:val="1"/>
      <w:numFmt w:val="upperLetter"/>
      <w:lvlText w:val="%7."/>
      <w:lvlJc w:val="left"/>
      <w:pPr>
        <w:ind w:left="1020" w:hanging="360"/>
      </w:pPr>
    </w:lvl>
    <w:lvl w:ilvl="7" w:tplc="82DA555A">
      <w:start w:val="1"/>
      <w:numFmt w:val="upperLetter"/>
      <w:lvlText w:val="%8."/>
      <w:lvlJc w:val="left"/>
      <w:pPr>
        <w:ind w:left="1020" w:hanging="360"/>
      </w:pPr>
    </w:lvl>
    <w:lvl w:ilvl="8" w:tplc="C688C6BC">
      <w:start w:val="1"/>
      <w:numFmt w:val="upperLetter"/>
      <w:lvlText w:val="%9."/>
      <w:lvlJc w:val="left"/>
      <w:pPr>
        <w:ind w:left="1020" w:hanging="360"/>
      </w:pPr>
    </w:lvl>
  </w:abstractNum>
  <w:num w:numId="1" w16cid:durableId="807667603">
    <w:abstractNumId w:val="5"/>
  </w:num>
  <w:num w:numId="2" w16cid:durableId="1535578931">
    <w:abstractNumId w:val="0"/>
  </w:num>
  <w:num w:numId="3" w16cid:durableId="1683120781">
    <w:abstractNumId w:val="6"/>
  </w:num>
  <w:num w:numId="4" w16cid:durableId="1624462401">
    <w:abstractNumId w:val="7"/>
  </w:num>
  <w:num w:numId="5" w16cid:durableId="2057466950">
    <w:abstractNumId w:val="10"/>
  </w:num>
  <w:num w:numId="6" w16cid:durableId="421414874">
    <w:abstractNumId w:val="3"/>
  </w:num>
  <w:num w:numId="7" w16cid:durableId="218708057">
    <w:abstractNumId w:val="14"/>
  </w:num>
  <w:num w:numId="8" w16cid:durableId="2076707259">
    <w:abstractNumId w:val="15"/>
  </w:num>
  <w:num w:numId="9" w16cid:durableId="105389958">
    <w:abstractNumId w:val="9"/>
  </w:num>
  <w:num w:numId="10" w16cid:durableId="1806194856">
    <w:abstractNumId w:val="8"/>
  </w:num>
  <w:num w:numId="11" w16cid:durableId="1102842593">
    <w:abstractNumId w:val="4"/>
  </w:num>
  <w:num w:numId="12" w16cid:durableId="52628417">
    <w:abstractNumId w:val="19"/>
  </w:num>
  <w:num w:numId="13" w16cid:durableId="2136291218">
    <w:abstractNumId w:val="16"/>
  </w:num>
  <w:num w:numId="14" w16cid:durableId="1318457784">
    <w:abstractNumId w:val="17"/>
  </w:num>
  <w:num w:numId="15" w16cid:durableId="240139698">
    <w:abstractNumId w:val="18"/>
  </w:num>
  <w:num w:numId="16" w16cid:durableId="493880460">
    <w:abstractNumId w:val="2"/>
  </w:num>
  <w:num w:numId="17" w16cid:durableId="1383364678">
    <w:abstractNumId w:val="11"/>
  </w:num>
  <w:num w:numId="18" w16cid:durableId="201015523">
    <w:abstractNumId w:val="12"/>
  </w:num>
  <w:num w:numId="19" w16cid:durableId="1237403118">
    <w:abstractNumId w:val="1"/>
  </w:num>
  <w:num w:numId="20" w16cid:durableId="1821846738">
    <w:abstractNumId w:val="13"/>
  </w:num>
  <w:num w:numId="21" w16cid:durableId="1424185115">
    <w:abstractNumId w:val="2"/>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19A"/>
    <w:rsid w:val="00002236"/>
    <w:rsid w:val="0000280E"/>
    <w:rsid w:val="00011B55"/>
    <w:rsid w:val="000131E1"/>
    <w:rsid w:val="0001336E"/>
    <w:rsid w:val="00014DA5"/>
    <w:rsid w:val="000175B0"/>
    <w:rsid w:val="00022808"/>
    <w:rsid w:val="00034114"/>
    <w:rsid w:val="00035656"/>
    <w:rsid w:val="0003745E"/>
    <w:rsid w:val="0004394C"/>
    <w:rsid w:val="00043F66"/>
    <w:rsid w:val="0005187F"/>
    <w:rsid w:val="00053691"/>
    <w:rsid w:val="000541BC"/>
    <w:rsid w:val="0005518E"/>
    <w:rsid w:val="00055CD2"/>
    <w:rsid w:val="00056E2B"/>
    <w:rsid w:val="000638D4"/>
    <w:rsid w:val="00064EE2"/>
    <w:rsid w:val="0007062C"/>
    <w:rsid w:val="00071DA2"/>
    <w:rsid w:val="00073987"/>
    <w:rsid w:val="00083F87"/>
    <w:rsid w:val="00084C0F"/>
    <w:rsid w:val="000A157F"/>
    <w:rsid w:val="000A400C"/>
    <w:rsid w:val="000A63C7"/>
    <w:rsid w:val="000A7516"/>
    <w:rsid w:val="000B42AF"/>
    <w:rsid w:val="000B4CBD"/>
    <w:rsid w:val="000C0D4E"/>
    <w:rsid w:val="000C56F1"/>
    <w:rsid w:val="000D6AED"/>
    <w:rsid w:val="00105E18"/>
    <w:rsid w:val="00110B53"/>
    <w:rsid w:val="00112321"/>
    <w:rsid w:val="00114BC8"/>
    <w:rsid w:val="00117914"/>
    <w:rsid w:val="00124BD4"/>
    <w:rsid w:val="0013028C"/>
    <w:rsid w:val="001338DE"/>
    <w:rsid w:val="001341C8"/>
    <w:rsid w:val="00134248"/>
    <w:rsid w:val="0014005F"/>
    <w:rsid w:val="001465BC"/>
    <w:rsid w:val="00154458"/>
    <w:rsid w:val="0015610F"/>
    <w:rsid w:val="00156417"/>
    <w:rsid w:val="00160B31"/>
    <w:rsid w:val="001613DD"/>
    <w:rsid w:val="00170617"/>
    <w:rsid w:val="001708AB"/>
    <w:rsid w:val="00181F56"/>
    <w:rsid w:val="00190FA7"/>
    <w:rsid w:val="00193EE2"/>
    <w:rsid w:val="001947CB"/>
    <w:rsid w:val="001960F5"/>
    <w:rsid w:val="001972F2"/>
    <w:rsid w:val="001A4450"/>
    <w:rsid w:val="001A58B1"/>
    <w:rsid w:val="001A7AE6"/>
    <w:rsid w:val="001B5CE2"/>
    <w:rsid w:val="001C0DF9"/>
    <w:rsid w:val="001C1D51"/>
    <w:rsid w:val="001D7825"/>
    <w:rsid w:val="001E1656"/>
    <w:rsid w:val="001E2C7C"/>
    <w:rsid w:val="001E40C9"/>
    <w:rsid w:val="001E5750"/>
    <w:rsid w:val="001F4D79"/>
    <w:rsid w:val="00200ECE"/>
    <w:rsid w:val="00201F8C"/>
    <w:rsid w:val="00205871"/>
    <w:rsid w:val="00205DC4"/>
    <w:rsid w:val="00210EC5"/>
    <w:rsid w:val="00212783"/>
    <w:rsid w:val="00213B70"/>
    <w:rsid w:val="00213DFC"/>
    <w:rsid w:val="00215359"/>
    <w:rsid w:val="0021548E"/>
    <w:rsid w:val="00215E98"/>
    <w:rsid w:val="00221F1E"/>
    <w:rsid w:val="00224E1F"/>
    <w:rsid w:val="002273F5"/>
    <w:rsid w:val="002432B9"/>
    <w:rsid w:val="00245E90"/>
    <w:rsid w:val="00246755"/>
    <w:rsid w:val="00246DB0"/>
    <w:rsid w:val="00261192"/>
    <w:rsid w:val="00267E38"/>
    <w:rsid w:val="00277D2E"/>
    <w:rsid w:val="00281E32"/>
    <w:rsid w:val="002916CA"/>
    <w:rsid w:val="00297FCA"/>
    <w:rsid w:val="002A08E2"/>
    <w:rsid w:val="002A0F14"/>
    <w:rsid w:val="002A58A3"/>
    <w:rsid w:val="002B0462"/>
    <w:rsid w:val="002B2B84"/>
    <w:rsid w:val="002B4A07"/>
    <w:rsid w:val="002B75F2"/>
    <w:rsid w:val="002C4107"/>
    <w:rsid w:val="002C5C76"/>
    <w:rsid w:val="002C7C72"/>
    <w:rsid w:val="002D1B37"/>
    <w:rsid w:val="002D2CA7"/>
    <w:rsid w:val="002D2FA5"/>
    <w:rsid w:val="002D3D5E"/>
    <w:rsid w:val="002D7D05"/>
    <w:rsid w:val="002E1F0E"/>
    <w:rsid w:val="002E229C"/>
    <w:rsid w:val="002E51F1"/>
    <w:rsid w:val="002E63B1"/>
    <w:rsid w:val="002F1350"/>
    <w:rsid w:val="002F1B66"/>
    <w:rsid w:val="002F6136"/>
    <w:rsid w:val="0030251D"/>
    <w:rsid w:val="00307F22"/>
    <w:rsid w:val="0032171F"/>
    <w:rsid w:val="00322DE0"/>
    <w:rsid w:val="0032363D"/>
    <w:rsid w:val="00326EFD"/>
    <w:rsid w:val="0033190E"/>
    <w:rsid w:val="003374C8"/>
    <w:rsid w:val="00337DF9"/>
    <w:rsid w:val="0034223B"/>
    <w:rsid w:val="003516D0"/>
    <w:rsid w:val="00351E5C"/>
    <w:rsid w:val="0035297F"/>
    <w:rsid w:val="00353C16"/>
    <w:rsid w:val="00354D56"/>
    <w:rsid w:val="00356592"/>
    <w:rsid w:val="00361325"/>
    <w:rsid w:val="00362A0A"/>
    <w:rsid w:val="00364FAC"/>
    <w:rsid w:val="00365C37"/>
    <w:rsid w:val="00365C4D"/>
    <w:rsid w:val="00366F76"/>
    <w:rsid w:val="00374888"/>
    <w:rsid w:val="00374E40"/>
    <w:rsid w:val="003773DF"/>
    <w:rsid w:val="00384ECC"/>
    <w:rsid w:val="00386800"/>
    <w:rsid w:val="00386D59"/>
    <w:rsid w:val="00392E75"/>
    <w:rsid w:val="003968A7"/>
    <w:rsid w:val="00396B33"/>
    <w:rsid w:val="003A1156"/>
    <w:rsid w:val="003A4F9D"/>
    <w:rsid w:val="003A611D"/>
    <w:rsid w:val="003A73E6"/>
    <w:rsid w:val="003A7A67"/>
    <w:rsid w:val="003B00A2"/>
    <w:rsid w:val="003B0A63"/>
    <w:rsid w:val="003B1C9F"/>
    <w:rsid w:val="003B29D0"/>
    <w:rsid w:val="003B3BF9"/>
    <w:rsid w:val="003B74FD"/>
    <w:rsid w:val="003C43FD"/>
    <w:rsid w:val="003C4B4B"/>
    <w:rsid w:val="003D046E"/>
    <w:rsid w:val="003D0B71"/>
    <w:rsid w:val="003D1EC1"/>
    <w:rsid w:val="003D487D"/>
    <w:rsid w:val="003D5F1D"/>
    <w:rsid w:val="003D6E19"/>
    <w:rsid w:val="003D7914"/>
    <w:rsid w:val="003D7EBA"/>
    <w:rsid w:val="003E0922"/>
    <w:rsid w:val="003E2118"/>
    <w:rsid w:val="003E3239"/>
    <w:rsid w:val="003E3700"/>
    <w:rsid w:val="003E3E3C"/>
    <w:rsid w:val="003E4587"/>
    <w:rsid w:val="003E5599"/>
    <w:rsid w:val="003E7966"/>
    <w:rsid w:val="003F1732"/>
    <w:rsid w:val="003F202A"/>
    <w:rsid w:val="003F5985"/>
    <w:rsid w:val="003F5B6C"/>
    <w:rsid w:val="003F72DB"/>
    <w:rsid w:val="003F77B0"/>
    <w:rsid w:val="00400DA8"/>
    <w:rsid w:val="004045E8"/>
    <w:rsid w:val="00407307"/>
    <w:rsid w:val="00411C34"/>
    <w:rsid w:val="00412D18"/>
    <w:rsid w:val="00423DF1"/>
    <w:rsid w:val="004258BE"/>
    <w:rsid w:val="00430C58"/>
    <w:rsid w:val="00432C69"/>
    <w:rsid w:val="004331C4"/>
    <w:rsid w:val="00433218"/>
    <w:rsid w:val="00434B1A"/>
    <w:rsid w:val="0043564D"/>
    <w:rsid w:val="004375C6"/>
    <w:rsid w:val="00441C25"/>
    <w:rsid w:val="00446452"/>
    <w:rsid w:val="00461BA7"/>
    <w:rsid w:val="00462C72"/>
    <w:rsid w:val="00472DC8"/>
    <w:rsid w:val="004800FB"/>
    <w:rsid w:val="004802EC"/>
    <w:rsid w:val="00481EC7"/>
    <w:rsid w:val="0048592E"/>
    <w:rsid w:val="00491BA4"/>
    <w:rsid w:val="004A29F1"/>
    <w:rsid w:val="004A5F63"/>
    <w:rsid w:val="004A6641"/>
    <w:rsid w:val="004B1E94"/>
    <w:rsid w:val="004B33FF"/>
    <w:rsid w:val="004B4B4B"/>
    <w:rsid w:val="004B5A2E"/>
    <w:rsid w:val="004B6764"/>
    <w:rsid w:val="004B6F57"/>
    <w:rsid w:val="004D2F69"/>
    <w:rsid w:val="004D32FC"/>
    <w:rsid w:val="004D629F"/>
    <w:rsid w:val="004E249C"/>
    <w:rsid w:val="004E3A8D"/>
    <w:rsid w:val="004E4FBA"/>
    <w:rsid w:val="004F111E"/>
    <w:rsid w:val="00502745"/>
    <w:rsid w:val="00510F03"/>
    <w:rsid w:val="00511AC2"/>
    <w:rsid w:val="005131F1"/>
    <w:rsid w:val="00513590"/>
    <w:rsid w:val="0051484F"/>
    <w:rsid w:val="00516B3E"/>
    <w:rsid w:val="00525138"/>
    <w:rsid w:val="005262C9"/>
    <w:rsid w:val="00531D70"/>
    <w:rsid w:val="0053565F"/>
    <w:rsid w:val="00542934"/>
    <w:rsid w:val="00562268"/>
    <w:rsid w:val="00566BF6"/>
    <w:rsid w:val="0057495C"/>
    <w:rsid w:val="00580A30"/>
    <w:rsid w:val="00583434"/>
    <w:rsid w:val="0058349F"/>
    <w:rsid w:val="005852C9"/>
    <w:rsid w:val="00591936"/>
    <w:rsid w:val="005A6442"/>
    <w:rsid w:val="005A78BF"/>
    <w:rsid w:val="005B4E51"/>
    <w:rsid w:val="005B6B4C"/>
    <w:rsid w:val="005C5F62"/>
    <w:rsid w:val="005C7516"/>
    <w:rsid w:val="005D1522"/>
    <w:rsid w:val="005E44B7"/>
    <w:rsid w:val="005F221F"/>
    <w:rsid w:val="005F2CF6"/>
    <w:rsid w:val="005F5F5F"/>
    <w:rsid w:val="006055A3"/>
    <w:rsid w:val="0061010C"/>
    <w:rsid w:val="006152F9"/>
    <w:rsid w:val="00622C62"/>
    <w:rsid w:val="00624770"/>
    <w:rsid w:val="0063769E"/>
    <w:rsid w:val="00637C63"/>
    <w:rsid w:val="00641932"/>
    <w:rsid w:val="00641C98"/>
    <w:rsid w:val="0064250B"/>
    <w:rsid w:val="00642968"/>
    <w:rsid w:val="006431D8"/>
    <w:rsid w:val="00646217"/>
    <w:rsid w:val="00650804"/>
    <w:rsid w:val="00677003"/>
    <w:rsid w:val="006774DB"/>
    <w:rsid w:val="00681551"/>
    <w:rsid w:val="006823A7"/>
    <w:rsid w:val="006826AA"/>
    <w:rsid w:val="00682DA3"/>
    <w:rsid w:val="0068356A"/>
    <w:rsid w:val="00690265"/>
    <w:rsid w:val="0069600D"/>
    <w:rsid w:val="006A0462"/>
    <w:rsid w:val="006A0DB0"/>
    <w:rsid w:val="006A5BD9"/>
    <w:rsid w:val="006A6629"/>
    <w:rsid w:val="006B1CFF"/>
    <w:rsid w:val="006B6478"/>
    <w:rsid w:val="006B762C"/>
    <w:rsid w:val="006C32CB"/>
    <w:rsid w:val="006D1737"/>
    <w:rsid w:val="006D441B"/>
    <w:rsid w:val="006D4B47"/>
    <w:rsid w:val="006E27DC"/>
    <w:rsid w:val="006E578E"/>
    <w:rsid w:val="006F6848"/>
    <w:rsid w:val="006F7E56"/>
    <w:rsid w:val="00701D0F"/>
    <w:rsid w:val="00701FE7"/>
    <w:rsid w:val="00702A08"/>
    <w:rsid w:val="00702DC9"/>
    <w:rsid w:val="00703111"/>
    <w:rsid w:val="00705025"/>
    <w:rsid w:val="007057A6"/>
    <w:rsid w:val="007072F8"/>
    <w:rsid w:val="0071213F"/>
    <w:rsid w:val="00714A43"/>
    <w:rsid w:val="0071548A"/>
    <w:rsid w:val="00722854"/>
    <w:rsid w:val="00724608"/>
    <w:rsid w:val="007247F6"/>
    <w:rsid w:val="00727610"/>
    <w:rsid w:val="007307E4"/>
    <w:rsid w:val="00732565"/>
    <w:rsid w:val="007325E5"/>
    <w:rsid w:val="00740A17"/>
    <w:rsid w:val="00746232"/>
    <w:rsid w:val="007462D6"/>
    <w:rsid w:val="0074738B"/>
    <w:rsid w:val="007539D4"/>
    <w:rsid w:val="00754875"/>
    <w:rsid w:val="007556FD"/>
    <w:rsid w:val="0076062E"/>
    <w:rsid w:val="007657B0"/>
    <w:rsid w:val="007704B7"/>
    <w:rsid w:val="00772A77"/>
    <w:rsid w:val="007816B7"/>
    <w:rsid w:val="00785B55"/>
    <w:rsid w:val="007901CC"/>
    <w:rsid w:val="00792697"/>
    <w:rsid w:val="007953F3"/>
    <w:rsid w:val="007A1319"/>
    <w:rsid w:val="007A4159"/>
    <w:rsid w:val="007A7803"/>
    <w:rsid w:val="007B061E"/>
    <w:rsid w:val="007B48D5"/>
    <w:rsid w:val="007B792D"/>
    <w:rsid w:val="007D087C"/>
    <w:rsid w:val="007D1981"/>
    <w:rsid w:val="007D2EA8"/>
    <w:rsid w:val="007D320D"/>
    <w:rsid w:val="007D3ACF"/>
    <w:rsid w:val="007D4553"/>
    <w:rsid w:val="007E1E64"/>
    <w:rsid w:val="007E33E4"/>
    <w:rsid w:val="007E4CC9"/>
    <w:rsid w:val="007F40FD"/>
    <w:rsid w:val="007F42F1"/>
    <w:rsid w:val="007F61D0"/>
    <w:rsid w:val="00800D23"/>
    <w:rsid w:val="00802682"/>
    <w:rsid w:val="0080294B"/>
    <w:rsid w:val="008129D5"/>
    <w:rsid w:val="00813228"/>
    <w:rsid w:val="00816273"/>
    <w:rsid w:val="00824ADF"/>
    <w:rsid w:val="0082717B"/>
    <w:rsid w:val="00827B04"/>
    <w:rsid w:val="0083032E"/>
    <w:rsid w:val="00831312"/>
    <w:rsid w:val="00834E60"/>
    <w:rsid w:val="00835932"/>
    <w:rsid w:val="00841907"/>
    <w:rsid w:val="00847817"/>
    <w:rsid w:val="0086036A"/>
    <w:rsid w:val="00862A6A"/>
    <w:rsid w:val="008653A3"/>
    <w:rsid w:val="008657A2"/>
    <w:rsid w:val="00866645"/>
    <w:rsid w:val="008721F7"/>
    <w:rsid w:val="00882210"/>
    <w:rsid w:val="00882CFF"/>
    <w:rsid w:val="00887B17"/>
    <w:rsid w:val="00893BD3"/>
    <w:rsid w:val="008958C2"/>
    <w:rsid w:val="008A1C48"/>
    <w:rsid w:val="008A6185"/>
    <w:rsid w:val="008B128C"/>
    <w:rsid w:val="008B54E3"/>
    <w:rsid w:val="008C1FE9"/>
    <w:rsid w:val="008C7DCE"/>
    <w:rsid w:val="008D18FC"/>
    <w:rsid w:val="008D398B"/>
    <w:rsid w:val="008D6A0F"/>
    <w:rsid w:val="008D701A"/>
    <w:rsid w:val="008D7E49"/>
    <w:rsid w:val="008E264E"/>
    <w:rsid w:val="008E3B15"/>
    <w:rsid w:val="008E41F0"/>
    <w:rsid w:val="008E5E9D"/>
    <w:rsid w:val="008F0B54"/>
    <w:rsid w:val="008F0FE4"/>
    <w:rsid w:val="008F364A"/>
    <w:rsid w:val="008F3F53"/>
    <w:rsid w:val="00901B82"/>
    <w:rsid w:val="00912ADF"/>
    <w:rsid w:val="00913E03"/>
    <w:rsid w:val="0091404F"/>
    <w:rsid w:val="009229E9"/>
    <w:rsid w:val="009261E2"/>
    <w:rsid w:val="00926953"/>
    <w:rsid w:val="0093049E"/>
    <w:rsid w:val="00932703"/>
    <w:rsid w:val="009328D6"/>
    <w:rsid w:val="00936469"/>
    <w:rsid w:val="009400B7"/>
    <w:rsid w:val="00943D5C"/>
    <w:rsid w:val="009450F7"/>
    <w:rsid w:val="00946A44"/>
    <w:rsid w:val="00946BD3"/>
    <w:rsid w:val="0095297F"/>
    <w:rsid w:val="00954685"/>
    <w:rsid w:val="00954DC2"/>
    <w:rsid w:val="00957B92"/>
    <w:rsid w:val="009629B8"/>
    <w:rsid w:val="009658F6"/>
    <w:rsid w:val="00970966"/>
    <w:rsid w:val="00970C53"/>
    <w:rsid w:val="00974442"/>
    <w:rsid w:val="0097632C"/>
    <w:rsid w:val="0097758B"/>
    <w:rsid w:val="00980E5B"/>
    <w:rsid w:val="0098132E"/>
    <w:rsid w:val="00993B70"/>
    <w:rsid w:val="00994537"/>
    <w:rsid w:val="00995590"/>
    <w:rsid w:val="009A2EE1"/>
    <w:rsid w:val="009A43C6"/>
    <w:rsid w:val="009A6C4A"/>
    <w:rsid w:val="009B219A"/>
    <w:rsid w:val="009B7FB3"/>
    <w:rsid w:val="009C0520"/>
    <w:rsid w:val="009C57D8"/>
    <w:rsid w:val="009C6882"/>
    <w:rsid w:val="009C7FB2"/>
    <w:rsid w:val="009D1286"/>
    <w:rsid w:val="009D44A3"/>
    <w:rsid w:val="009D7A88"/>
    <w:rsid w:val="009E2A81"/>
    <w:rsid w:val="009E3D34"/>
    <w:rsid w:val="009F1F69"/>
    <w:rsid w:val="009F3EF3"/>
    <w:rsid w:val="00A00D94"/>
    <w:rsid w:val="00A03B3F"/>
    <w:rsid w:val="00A07A09"/>
    <w:rsid w:val="00A1479D"/>
    <w:rsid w:val="00A17ADF"/>
    <w:rsid w:val="00A23BF4"/>
    <w:rsid w:val="00A2593B"/>
    <w:rsid w:val="00A26A9E"/>
    <w:rsid w:val="00A26D9C"/>
    <w:rsid w:val="00A30F53"/>
    <w:rsid w:val="00A33E1D"/>
    <w:rsid w:val="00A34E05"/>
    <w:rsid w:val="00A43527"/>
    <w:rsid w:val="00A438E9"/>
    <w:rsid w:val="00A43D8B"/>
    <w:rsid w:val="00A454F1"/>
    <w:rsid w:val="00A50382"/>
    <w:rsid w:val="00A543CC"/>
    <w:rsid w:val="00A57D0C"/>
    <w:rsid w:val="00A742DB"/>
    <w:rsid w:val="00A76F43"/>
    <w:rsid w:val="00A77E81"/>
    <w:rsid w:val="00A80039"/>
    <w:rsid w:val="00A81CD3"/>
    <w:rsid w:val="00A87CAC"/>
    <w:rsid w:val="00A93CFF"/>
    <w:rsid w:val="00A96EA4"/>
    <w:rsid w:val="00AA5201"/>
    <w:rsid w:val="00AB5468"/>
    <w:rsid w:val="00AB7DD2"/>
    <w:rsid w:val="00AC1CAA"/>
    <w:rsid w:val="00AC25AA"/>
    <w:rsid w:val="00AD6A12"/>
    <w:rsid w:val="00AE1B6D"/>
    <w:rsid w:val="00AE3C4A"/>
    <w:rsid w:val="00AF0C7C"/>
    <w:rsid w:val="00B00DC6"/>
    <w:rsid w:val="00B013C5"/>
    <w:rsid w:val="00B01D86"/>
    <w:rsid w:val="00B0384B"/>
    <w:rsid w:val="00B06A93"/>
    <w:rsid w:val="00B07E4E"/>
    <w:rsid w:val="00B11A3D"/>
    <w:rsid w:val="00B11FD1"/>
    <w:rsid w:val="00B137E9"/>
    <w:rsid w:val="00B21B60"/>
    <w:rsid w:val="00B2331A"/>
    <w:rsid w:val="00B25F63"/>
    <w:rsid w:val="00B2691C"/>
    <w:rsid w:val="00B27FAE"/>
    <w:rsid w:val="00B30EA2"/>
    <w:rsid w:val="00B310CA"/>
    <w:rsid w:val="00B3329F"/>
    <w:rsid w:val="00B357E2"/>
    <w:rsid w:val="00B36ED3"/>
    <w:rsid w:val="00B37B66"/>
    <w:rsid w:val="00B40849"/>
    <w:rsid w:val="00B438BB"/>
    <w:rsid w:val="00B47767"/>
    <w:rsid w:val="00B513C9"/>
    <w:rsid w:val="00B56EF4"/>
    <w:rsid w:val="00B57F12"/>
    <w:rsid w:val="00B64A29"/>
    <w:rsid w:val="00B67345"/>
    <w:rsid w:val="00B67596"/>
    <w:rsid w:val="00B70485"/>
    <w:rsid w:val="00B707CB"/>
    <w:rsid w:val="00B82A13"/>
    <w:rsid w:val="00B8776C"/>
    <w:rsid w:val="00B96252"/>
    <w:rsid w:val="00B9704B"/>
    <w:rsid w:val="00BA08F0"/>
    <w:rsid w:val="00BA0B83"/>
    <w:rsid w:val="00BA371A"/>
    <w:rsid w:val="00BB17C2"/>
    <w:rsid w:val="00BB33CB"/>
    <w:rsid w:val="00BB6B47"/>
    <w:rsid w:val="00BC136F"/>
    <w:rsid w:val="00BC1C11"/>
    <w:rsid w:val="00BC317E"/>
    <w:rsid w:val="00BC55B4"/>
    <w:rsid w:val="00BC7E09"/>
    <w:rsid w:val="00BD0CC4"/>
    <w:rsid w:val="00BD3558"/>
    <w:rsid w:val="00BE3E89"/>
    <w:rsid w:val="00BE46E8"/>
    <w:rsid w:val="00BE53EB"/>
    <w:rsid w:val="00BF78F1"/>
    <w:rsid w:val="00C02AF8"/>
    <w:rsid w:val="00C06801"/>
    <w:rsid w:val="00C13C94"/>
    <w:rsid w:val="00C15F2C"/>
    <w:rsid w:val="00C17E01"/>
    <w:rsid w:val="00C213A5"/>
    <w:rsid w:val="00C22BA0"/>
    <w:rsid w:val="00C26AD3"/>
    <w:rsid w:val="00C31AC4"/>
    <w:rsid w:val="00C32CA5"/>
    <w:rsid w:val="00C331EA"/>
    <w:rsid w:val="00C409BE"/>
    <w:rsid w:val="00C423CA"/>
    <w:rsid w:val="00C42882"/>
    <w:rsid w:val="00C42CCE"/>
    <w:rsid w:val="00C4596B"/>
    <w:rsid w:val="00C47520"/>
    <w:rsid w:val="00C5177E"/>
    <w:rsid w:val="00C551CE"/>
    <w:rsid w:val="00C652ED"/>
    <w:rsid w:val="00C71EB8"/>
    <w:rsid w:val="00C74919"/>
    <w:rsid w:val="00C76734"/>
    <w:rsid w:val="00C7793C"/>
    <w:rsid w:val="00C77C69"/>
    <w:rsid w:val="00C80EC2"/>
    <w:rsid w:val="00C8721C"/>
    <w:rsid w:val="00C93454"/>
    <w:rsid w:val="00C939A8"/>
    <w:rsid w:val="00C9498B"/>
    <w:rsid w:val="00C95E89"/>
    <w:rsid w:val="00C962D6"/>
    <w:rsid w:val="00C97145"/>
    <w:rsid w:val="00CA0E3C"/>
    <w:rsid w:val="00CA1BC7"/>
    <w:rsid w:val="00CA33B9"/>
    <w:rsid w:val="00CB5CCF"/>
    <w:rsid w:val="00CC1839"/>
    <w:rsid w:val="00CC628A"/>
    <w:rsid w:val="00CD1F32"/>
    <w:rsid w:val="00CD2D19"/>
    <w:rsid w:val="00CD306E"/>
    <w:rsid w:val="00CD4D06"/>
    <w:rsid w:val="00CE3C34"/>
    <w:rsid w:val="00CE5234"/>
    <w:rsid w:val="00CF091D"/>
    <w:rsid w:val="00CF45F2"/>
    <w:rsid w:val="00D010FD"/>
    <w:rsid w:val="00D02812"/>
    <w:rsid w:val="00D02BA7"/>
    <w:rsid w:val="00D03EA4"/>
    <w:rsid w:val="00D151E4"/>
    <w:rsid w:val="00D20056"/>
    <w:rsid w:val="00D237E0"/>
    <w:rsid w:val="00D27DF0"/>
    <w:rsid w:val="00D32348"/>
    <w:rsid w:val="00D33236"/>
    <w:rsid w:val="00D51DEE"/>
    <w:rsid w:val="00D51F40"/>
    <w:rsid w:val="00D6576B"/>
    <w:rsid w:val="00D75061"/>
    <w:rsid w:val="00D765AB"/>
    <w:rsid w:val="00D76632"/>
    <w:rsid w:val="00D77402"/>
    <w:rsid w:val="00D820D2"/>
    <w:rsid w:val="00D8421C"/>
    <w:rsid w:val="00DA5AA3"/>
    <w:rsid w:val="00DB061B"/>
    <w:rsid w:val="00DB06CF"/>
    <w:rsid w:val="00DB2119"/>
    <w:rsid w:val="00DB289E"/>
    <w:rsid w:val="00DB38E5"/>
    <w:rsid w:val="00DB4787"/>
    <w:rsid w:val="00DB6672"/>
    <w:rsid w:val="00DC05BC"/>
    <w:rsid w:val="00DC7754"/>
    <w:rsid w:val="00DD0E75"/>
    <w:rsid w:val="00DD3A24"/>
    <w:rsid w:val="00DD4797"/>
    <w:rsid w:val="00DD48CD"/>
    <w:rsid w:val="00DD521A"/>
    <w:rsid w:val="00DD634F"/>
    <w:rsid w:val="00DD7260"/>
    <w:rsid w:val="00DE3C2F"/>
    <w:rsid w:val="00DE4A36"/>
    <w:rsid w:val="00DE5DE5"/>
    <w:rsid w:val="00DF3516"/>
    <w:rsid w:val="00E020AA"/>
    <w:rsid w:val="00E03C07"/>
    <w:rsid w:val="00E03C1F"/>
    <w:rsid w:val="00E03FC6"/>
    <w:rsid w:val="00E0545A"/>
    <w:rsid w:val="00E05CBC"/>
    <w:rsid w:val="00E07B41"/>
    <w:rsid w:val="00E15B38"/>
    <w:rsid w:val="00E16F47"/>
    <w:rsid w:val="00E20E3C"/>
    <w:rsid w:val="00E21E39"/>
    <w:rsid w:val="00E32679"/>
    <w:rsid w:val="00E36290"/>
    <w:rsid w:val="00E406BF"/>
    <w:rsid w:val="00E4112B"/>
    <w:rsid w:val="00E537BB"/>
    <w:rsid w:val="00E55CA6"/>
    <w:rsid w:val="00E57E4A"/>
    <w:rsid w:val="00E66F5D"/>
    <w:rsid w:val="00E67588"/>
    <w:rsid w:val="00E710A4"/>
    <w:rsid w:val="00E81E61"/>
    <w:rsid w:val="00E825DF"/>
    <w:rsid w:val="00E848B4"/>
    <w:rsid w:val="00E91417"/>
    <w:rsid w:val="00E932D6"/>
    <w:rsid w:val="00E94329"/>
    <w:rsid w:val="00E94862"/>
    <w:rsid w:val="00EA24C0"/>
    <w:rsid w:val="00EA274B"/>
    <w:rsid w:val="00EA6829"/>
    <w:rsid w:val="00EA7CAA"/>
    <w:rsid w:val="00EB1377"/>
    <w:rsid w:val="00EC1E33"/>
    <w:rsid w:val="00EC4758"/>
    <w:rsid w:val="00ED3883"/>
    <w:rsid w:val="00ED3B76"/>
    <w:rsid w:val="00ED4C9F"/>
    <w:rsid w:val="00ED77F9"/>
    <w:rsid w:val="00EE14B8"/>
    <w:rsid w:val="00EE268B"/>
    <w:rsid w:val="00EE34D2"/>
    <w:rsid w:val="00EE4E7D"/>
    <w:rsid w:val="00EE6905"/>
    <w:rsid w:val="00EF1AF1"/>
    <w:rsid w:val="00EF2A9C"/>
    <w:rsid w:val="00EF7891"/>
    <w:rsid w:val="00F04E99"/>
    <w:rsid w:val="00F06A42"/>
    <w:rsid w:val="00F07022"/>
    <w:rsid w:val="00F1119E"/>
    <w:rsid w:val="00F14DCC"/>
    <w:rsid w:val="00F22547"/>
    <w:rsid w:val="00F26635"/>
    <w:rsid w:val="00F269E5"/>
    <w:rsid w:val="00F269F7"/>
    <w:rsid w:val="00F27130"/>
    <w:rsid w:val="00F27FFB"/>
    <w:rsid w:val="00F33E30"/>
    <w:rsid w:val="00F35522"/>
    <w:rsid w:val="00F35A34"/>
    <w:rsid w:val="00F40882"/>
    <w:rsid w:val="00F43559"/>
    <w:rsid w:val="00F459B5"/>
    <w:rsid w:val="00F526D0"/>
    <w:rsid w:val="00F5789B"/>
    <w:rsid w:val="00F614F8"/>
    <w:rsid w:val="00F62DE2"/>
    <w:rsid w:val="00F63C82"/>
    <w:rsid w:val="00F71788"/>
    <w:rsid w:val="00F74F65"/>
    <w:rsid w:val="00F75AAB"/>
    <w:rsid w:val="00F75C76"/>
    <w:rsid w:val="00F76441"/>
    <w:rsid w:val="00F83D53"/>
    <w:rsid w:val="00F85C1A"/>
    <w:rsid w:val="00F90D96"/>
    <w:rsid w:val="00FA4D75"/>
    <w:rsid w:val="00FB038E"/>
    <w:rsid w:val="00FB5A02"/>
    <w:rsid w:val="00FC042A"/>
    <w:rsid w:val="00FC6430"/>
    <w:rsid w:val="00FC720B"/>
    <w:rsid w:val="00FE3FE9"/>
    <w:rsid w:val="00FE4B0C"/>
    <w:rsid w:val="00FE6A10"/>
    <w:rsid w:val="00FF00E9"/>
    <w:rsid w:val="00FF2B64"/>
    <w:rsid w:val="00FF7AE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373A6"/>
  <w15:chartTrackingRefBased/>
  <w15:docId w15:val="{37C6853B-7AC3-435E-BFAA-274D2559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qFormat/>
    <w:pPr>
      <w:keepNext/>
      <w:spacing w:before="240" w:after="60" w:line="500" w:lineRule="exact"/>
      <w:outlineLvl w:val="0"/>
    </w:pPr>
    <w:rPr>
      <w:b/>
      <w:kern w:val="28"/>
      <w:sz w:val="28"/>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link w:val="Titre3Car"/>
    <w:qFormat/>
    <w:pPr>
      <w:keepNext/>
      <w:numPr>
        <w:numId w:val="16"/>
      </w:numPr>
      <w:spacing w:before="240" w:after="60"/>
      <w:outlineLvl w:val="2"/>
    </w:pPr>
  </w:style>
  <w:style w:type="paragraph" w:styleId="Titre4">
    <w:name w:val="heading 4"/>
    <w:basedOn w:val="Normal"/>
    <w:next w:val="Normal"/>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pPr>
      <w:spacing w:before="120" w:after="120" w:line="500" w:lineRule="exact"/>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aliases w:val=" Char1 Char1 Char Char, Char1 Char1 Char1, Char1 Char2 Char, Char1 Char3,Char1 Char1 Char Char,Char1 Char1 Char1,Char1 Char2 Char,Footnote Text Char Char Char,Footnote Text Char Char1,Footnote Text Char1 Char,Footnote Text Char2,fn"/>
    <w:basedOn w:val="Normal"/>
    <w:link w:val="NotedebasdepageCar"/>
    <w:qFormat/>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pPr>
      <w:widowControl w:val="0"/>
      <w:numPr>
        <w:ilvl w:val="1"/>
        <w:numId w:val="1"/>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aliases w:val="Char Char6 Char Char Char Char Char Char Char Char Char Char Char Char,Char6 Char Char Char Char Char Char Char Char Char Char Char Char Char,Footnote,Ref,de nota al pie,fr"/>
    <w:uiPriority w:val="99"/>
    <w:qFormat/>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character" w:customStyle="1" w:styleId="normaltextrun">
    <w:name w:val="normaltextrun"/>
    <w:basedOn w:val="Policepardfaut"/>
    <w:rsid w:val="00591936"/>
  </w:style>
  <w:style w:type="character" w:customStyle="1" w:styleId="eop">
    <w:name w:val="eop"/>
    <w:basedOn w:val="Policepardfaut"/>
    <w:rsid w:val="00591936"/>
  </w:style>
  <w:style w:type="character" w:customStyle="1" w:styleId="NotedebasdepageCar">
    <w:name w:val="Note de bas de page Car"/>
    <w:aliases w:val=" Char1 Char1 Char Char Car, Char1 Char1 Char1 Car, Char1 Char2 Char Car, Char1 Char3 Car,Char1 Char1 Char Char Car,Char1 Char1 Char1 Car,Char1 Char2 Char Car,Footnote Text Char Char Char Car,Footnote Text Char Char1 Car,fn Car"/>
    <w:basedOn w:val="Policepardfaut"/>
    <w:link w:val="Notedebasdepage"/>
    <w:rsid w:val="00365C4D"/>
    <w:rPr>
      <w:rFonts w:ascii="Arial" w:hAnsi="Arial"/>
      <w:lang w:eastAsia="fr-FR"/>
    </w:rPr>
  </w:style>
  <w:style w:type="character" w:customStyle="1" w:styleId="ParagrapheCar">
    <w:name w:val="Paragraphe Car"/>
    <w:link w:val="Paragraphe"/>
    <w:rsid w:val="00365C4D"/>
    <w:rPr>
      <w:rFonts w:ascii="Arial" w:hAnsi="Arial"/>
      <w:kern w:val="28"/>
      <w:sz w:val="24"/>
      <w:lang w:eastAsia="fr-FR"/>
    </w:rPr>
  </w:style>
  <w:style w:type="character" w:styleId="Hyperlien">
    <w:name w:val="Hyperlink"/>
    <w:uiPriority w:val="99"/>
    <w:rsid w:val="00E406BF"/>
    <w:rPr>
      <w:noProof w:val="0"/>
      <w:color w:val="0000FF"/>
      <w:u w:val="single"/>
      <w:lang w:val="fr-CA"/>
    </w:rPr>
  </w:style>
  <w:style w:type="character" w:styleId="Marquedecommentaire">
    <w:name w:val="annotation reference"/>
    <w:basedOn w:val="Policepardfaut"/>
    <w:uiPriority w:val="99"/>
    <w:semiHidden/>
    <w:unhideWhenUsed/>
    <w:rsid w:val="00E406BF"/>
    <w:rPr>
      <w:sz w:val="16"/>
      <w:szCs w:val="16"/>
    </w:rPr>
  </w:style>
  <w:style w:type="paragraph" w:styleId="Commentaire">
    <w:name w:val="annotation text"/>
    <w:basedOn w:val="Normal"/>
    <w:link w:val="CommentaireCar"/>
    <w:uiPriority w:val="99"/>
    <w:unhideWhenUsed/>
    <w:rsid w:val="00E406BF"/>
    <w:pPr>
      <w:spacing w:line="240" w:lineRule="auto"/>
    </w:pPr>
    <w:rPr>
      <w:sz w:val="20"/>
    </w:rPr>
  </w:style>
  <w:style w:type="character" w:customStyle="1" w:styleId="CommentaireCar">
    <w:name w:val="Commentaire Car"/>
    <w:basedOn w:val="Policepardfaut"/>
    <w:link w:val="Commentaire"/>
    <w:uiPriority w:val="99"/>
    <w:rsid w:val="00E406BF"/>
    <w:rPr>
      <w:rFonts w:ascii="Arial" w:hAnsi="Arial"/>
      <w:lang w:eastAsia="fr-FR"/>
    </w:rPr>
  </w:style>
  <w:style w:type="paragraph" w:styleId="Rvision">
    <w:name w:val="Revision"/>
    <w:hidden/>
    <w:uiPriority w:val="99"/>
    <w:semiHidden/>
    <w:rsid w:val="00E406BF"/>
    <w:rPr>
      <w:rFonts w:ascii="Arial" w:hAnsi="Arial"/>
      <w:sz w:val="24"/>
      <w:lang w:eastAsia="fr-FR"/>
    </w:rPr>
  </w:style>
  <w:style w:type="paragraph" w:styleId="Objetducommentaire">
    <w:name w:val="annotation subject"/>
    <w:basedOn w:val="Commentaire"/>
    <w:next w:val="Commentaire"/>
    <w:link w:val="ObjetducommentaireCar"/>
    <w:uiPriority w:val="99"/>
    <w:semiHidden/>
    <w:unhideWhenUsed/>
    <w:rsid w:val="00E406BF"/>
    <w:rPr>
      <w:b/>
      <w:bCs/>
    </w:rPr>
  </w:style>
  <w:style w:type="character" w:customStyle="1" w:styleId="ObjetducommentaireCar">
    <w:name w:val="Objet du commentaire Car"/>
    <w:basedOn w:val="CommentaireCar"/>
    <w:link w:val="Objetducommentaire"/>
    <w:uiPriority w:val="99"/>
    <w:semiHidden/>
    <w:rsid w:val="00E406BF"/>
    <w:rPr>
      <w:rFonts w:ascii="Arial" w:hAnsi="Arial"/>
      <w:b/>
      <w:bCs/>
      <w:lang w:eastAsia="fr-FR"/>
    </w:rPr>
  </w:style>
  <w:style w:type="character" w:customStyle="1" w:styleId="Titre3Car">
    <w:name w:val="Titre 3 Car"/>
    <w:basedOn w:val="Policepardfaut"/>
    <w:link w:val="Titre3"/>
    <w:rsid w:val="00E406BF"/>
    <w:rPr>
      <w:rFonts w:ascii="Arial" w:hAnsi="Arial"/>
      <w:sz w:val="24"/>
      <w:lang w:eastAsia="fr-FR"/>
    </w:rPr>
  </w:style>
  <w:style w:type="character" w:customStyle="1" w:styleId="Mentionnonrsolue1">
    <w:name w:val="Mention non résolue1"/>
    <w:basedOn w:val="Policepardfaut"/>
    <w:uiPriority w:val="99"/>
    <w:semiHidden/>
    <w:unhideWhenUsed/>
    <w:rsid w:val="00E406BF"/>
    <w:rPr>
      <w:color w:val="605E5C"/>
      <w:shd w:val="clear" w:color="auto" w:fill="E1DFDD"/>
    </w:rPr>
  </w:style>
  <w:style w:type="character" w:styleId="Lienvisit">
    <w:name w:val="FollowedHyperlink"/>
    <w:basedOn w:val="Policepardfaut"/>
    <w:uiPriority w:val="99"/>
    <w:semiHidden/>
    <w:unhideWhenUsed/>
    <w:rsid w:val="00E406BF"/>
    <w:rPr>
      <w:color w:val="954F72" w:themeColor="followedHyperlink"/>
      <w:u w:val="single"/>
    </w:rPr>
  </w:style>
  <w:style w:type="character" w:styleId="Mentionnonrsolue">
    <w:name w:val="Unresolved Mention"/>
    <w:basedOn w:val="Policepardfaut"/>
    <w:uiPriority w:val="99"/>
    <w:semiHidden/>
    <w:unhideWhenUsed/>
    <w:rsid w:val="00535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0A407-F3E0-4091-A86A-C2BCC92A1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28</Pages>
  <Words>8776</Words>
  <Characters>48270</Characters>
  <Application>Microsoft Office Word</Application>
  <DocSecurity>0</DocSecurity>
  <Lines>402</Lines>
  <Paragraphs>113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Boisvert, Annie</dc:creator>
  <cp:lastModifiedBy>Traduction</cp:lastModifiedBy>
  <cp:revision>7</cp:revision>
  <dcterms:created xsi:type="dcterms:W3CDTF">2026-05-19T13:03:00Z</dcterms:created>
  <dcterms:modified xsi:type="dcterms:W3CDTF">2026-05-19T13:17:00Z</dcterms:modified>
</cp:coreProperties>
</file>