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CellMar>
          <w:left w:w="0" w:type="dxa"/>
          <w:right w:w="0" w:type="dxa"/>
        </w:tblCellMar>
        <w:tblLook w:val="0000" w:firstRow="0" w:lastRow="0" w:firstColumn="0" w:lastColumn="0" w:noHBand="0" w:noVBand="0"/>
      </w:tblPr>
      <w:tblGrid>
        <w:gridCol w:w="1030"/>
        <w:gridCol w:w="590"/>
        <w:gridCol w:w="2350"/>
        <w:gridCol w:w="3402"/>
        <w:gridCol w:w="1988"/>
      </w:tblGrid>
      <w:tr w:rsidR="008F364A" w:rsidRPr="00F77433" w14:paraId="73C83548" w14:textId="77777777" w:rsidTr="008D18FC">
        <w:trPr>
          <w:trHeight w:val="248"/>
        </w:trPr>
        <w:tc>
          <w:tcPr>
            <w:tcW w:w="7372" w:type="dxa"/>
            <w:gridSpan w:val="4"/>
          </w:tcPr>
          <w:p w14:paraId="514DEAE6" w14:textId="4D1F61A4" w:rsidR="008F364A" w:rsidRPr="00CC0BA6" w:rsidRDefault="00CC0BA6" w:rsidP="00CC0BA6">
            <w:pPr>
              <w:pStyle w:val="zSoquijdatRepertorie"/>
              <w:rPr>
                <w:rFonts w:cs="Arial"/>
              </w:rPr>
            </w:pPr>
            <w:r>
              <w:rPr>
                <w:rFonts w:cs="Arial"/>
              </w:rPr>
              <w:t>Droit de la famille — 261553</w:t>
            </w:r>
          </w:p>
        </w:tc>
        <w:tc>
          <w:tcPr>
            <w:tcW w:w="1988" w:type="dxa"/>
          </w:tcPr>
          <w:p w14:paraId="353956EB" w14:textId="6ADCA4B7" w:rsidR="008F364A" w:rsidRPr="00682794" w:rsidRDefault="00682794" w:rsidP="00682794">
            <w:pPr>
              <w:pStyle w:val="zSoquijdatRefNeutre"/>
              <w:jc w:val="right"/>
              <w:rPr>
                <w:rFonts w:cs="Arial"/>
              </w:rPr>
            </w:pPr>
            <w:r w:rsidRPr="00682794">
              <w:rPr>
                <w:rFonts w:cs="Arial"/>
              </w:rPr>
              <w:t>2026 QCCA 1300</w:t>
            </w:r>
          </w:p>
        </w:tc>
      </w:tr>
      <w:tr w:rsidR="008F364A" w:rsidRPr="00F77433" w14:paraId="3CB47E1A" w14:textId="77777777" w:rsidTr="008D18FC">
        <w:trPr>
          <w:trHeight w:val="247"/>
        </w:trPr>
        <w:tc>
          <w:tcPr>
            <w:tcW w:w="9360" w:type="dxa"/>
            <w:gridSpan w:val="5"/>
          </w:tcPr>
          <w:p w14:paraId="62B10909" w14:textId="77777777" w:rsidR="008F364A" w:rsidRPr="00F77433" w:rsidRDefault="00740A17">
            <w:pPr>
              <w:pStyle w:val="zSoquijlblCour"/>
            </w:pPr>
            <w:r w:rsidRPr="00F77433">
              <w:t>COUR D’APPEL</w:t>
            </w:r>
          </w:p>
        </w:tc>
      </w:tr>
      <w:tr w:rsidR="008F364A" w:rsidRPr="00F77433" w14:paraId="5B189E1C" w14:textId="77777777" w:rsidTr="008D18FC">
        <w:trPr>
          <w:trHeight w:val="540"/>
        </w:trPr>
        <w:tc>
          <w:tcPr>
            <w:tcW w:w="9360" w:type="dxa"/>
            <w:gridSpan w:val="5"/>
          </w:tcPr>
          <w:p w14:paraId="7356917F" w14:textId="77777777" w:rsidR="008F364A" w:rsidRPr="00F77433" w:rsidRDefault="008F364A">
            <w:pPr>
              <w:pStyle w:val="zSoquijdatDivision"/>
            </w:pPr>
          </w:p>
        </w:tc>
      </w:tr>
      <w:tr w:rsidR="008F364A" w:rsidRPr="00F77433" w14:paraId="0FC3CEF3" w14:textId="77777777" w:rsidTr="008D18FC">
        <w:tc>
          <w:tcPr>
            <w:tcW w:w="9360" w:type="dxa"/>
            <w:gridSpan w:val="5"/>
          </w:tcPr>
          <w:p w14:paraId="5A768471" w14:textId="77777777" w:rsidR="008F364A" w:rsidRPr="00F77433" w:rsidRDefault="00740A17">
            <w:pPr>
              <w:pStyle w:val="zSoquijlblPays"/>
            </w:pPr>
            <w:r w:rsidRPr="00F77433">
              <w:t>CANADA</w:t>
            </w:r>
          </w:p>
        </w:tc>
      </w:tr>
      <w:tr w:rsidR="008F364A" w:rsidRPr="00F77433" w14:paraId="6B5DDF89" w14:textId="77777777" w:rsidTr="008D18FC">
        <w:tc>
          <w:tcPr>
            <w:tcW w:w="9360" w:type="dxa"/>
            <w:gridSpan w:val="5"/>
          </w:tcPr>
          <w:p w14:paraId="65E70955" w14:textId="77777777" w:rsidR="008F364A" w:rsidRPr="00F77433" w:rsidRDefault="00740A17">
            <w:pPr>
              <w:pStyle w:val="zSoquijlblProvince"/>
            </w:pPr>
            <w:r w:rsidRPr="00F77433">
              <w:t>PROVINCE DE QUÉBEC</w:t>
            </w:r>
          </w:p>
        </w:tc>
      </w:tr>
      <w:tr w:rsidR="00F87405" w:rsidRPr="00F77433" w14:paraId="5EAD09A0" w14:textId="77777777" w:rsidTr="00841D13">
        <w:tc>
          <w:tcPr>
            <w:tcW w:w="9360" w:type="dxa"/>
            <w:gridSpan w:val="5"/>
          </w:tcPr>
          <w:p w14:paraId="4B23547B" w14:textId="77777777" w:rsidR="00F87405" w:rsidRPr="00F77433" w:rsidRDefault="00F87405" w:rsidP="00F87405">
            <w:pPr>
              <w:pStyle w:val="zSoquijlblGreffe"/>
            </w:pPr>
            <w:r w:rsidRPr="00F77433">
              <w:t xml:space="preserve">SIÈGE DE </w:t>
            </w:r>
            <w:bookmarkStart w:id="0" w:name="NomGreffe"/>
            <w:r w:rsidRPr="00F77433">
              <w:t>MONTRÉAL</w:t>
            </w:r>
            <w:bookmarkEnd w:id="0"/>
          </w:p>
          <w:p w14:paraId="23892068" w14:textId="239AFBE2" w:rsidR="00F87405" w:rsidRPr="00F77433" w:rsidRDefault="00F87405" w:rsidP="00F87405">
            <w:pPr>
              <w:pStyle w:val="zSoquijlblGreffe"/>
            </w:pPr>
          </w:p>
        </w:tc>
      </w:tr>
      <w:tr w:rsidR="008F364A" w:rsidRPr="00F77433" w14:paraId="2FF6B17C" w14:textId="77777777" w:rsidTr="008D18FC">
        <w:tc>
          <w:tcPr>
            <w:tcW w:w="1030" w:type="dxa"/>
          </w:tcPr>
          <w:p w14:paraId="2F5722C8" w14:textId="77777777" w:rsidR="008F364A" w:rsidRPr="00F77433" w:rsidRDefault="00740A17">
            <w:pPr>
              <w:pStyle w:val="zSoquijlblNoDossier"/>
            </w:pPr>
            <w:r w:rsidRPr="00F77433">
              <w:t>N° :</w:t>
            </w:r>
          </w:p>
        </w:tc>
        <w:tc>
          <w:tcPr>
            <w:tcW w:w="8330" w:type="dxa"/>
            <w:gridSpan w:val="4"/>
          </w:tcPr>
          <w:p w14:paraId="3CDE1C76" w14:textId="328F1ED3" w:rsidR="008F364A" w:rsidRPr="00F77433" w:rsidRDefault="00F87405">
            <w:pPr>
              <w:pStyle w:val="zSoquijdatNoDossier"/>
            </w:pPr>
            <w:bookmarkStart w:id="1" w:name="NoDossier"/>
            <w:r w:rsidRPr="00F77433">
              <w:t>500-09-700463-250</w:t>
            </w:r>
            <w:bookmarkEnd w:id="1"/>
          </w:p>
        </w:tc>
      </w:tr>
      <w:tr w:rsidR="00F87405" w:rsidRPr="00F77433" w14:paraId="22CA88E7" w14:textId="77777777" w:rsidTr="008D18FC">
        <w:tc>
          <w:tcPr>
            <w:tcW w:w="9360" w:type="dxa"/>
            <w:gridSpan w:val="5"/>
          </w:tcPr>
          <w:p w14:paraId="30074ABA" w14:textId="4EF2DCC2" w:rsidR="00F87405" w:rsidRPr="00F77433" w:rsidRDefault="00F87405" w:rsidP="00F87405">
            <w:pPr>
              <w:pStyle w:val="zSoquijdatNoDossierAnt"/>
            </w:pPr>
            <w:r w:rsidRPr="00F77433">
              <w:t>(700-12-054886-239)</w:t>
            </w:r>
          </w:p>
        </w:tc>
      </w:tr>
      <w:tr w:rsidR="008F364A" w:rsidRPr="00F77433" w14:paraId="782946AF" w14:textId="77777777" w:rsidTr="008D18FC">
        <w:tc>
          <w:tcPr>
            <w:tcW w:w="9360" w:type="dxa"/>
            <w:gridSpan w:val="5"/>
          </w:tcPr>
          <w:p w14:paraId="2603BAFD" w14:textId="77777777" w:rsidR="008F364A" w:rsidRPr="00F77433" w:rsidRDefault="008F364A"/>
        </w:tc>
      </w:tr>
      <w:tr w:rsidR="008F364A" w:rsidRPr="00F77433" w14:paraId="1051CF78" w14:textId="77777777" w:rsidTr="008D18FC">
        <w:tc>
          <w:tcPr>
            <w:tcW w:w="1030" w:type="dxa"/>
          </w:tcPr>
          <w:p w14:paraId="6289B26A" w14:textId="77777777" w:rsidR="008F364A" w:rsidRPr="00F77433" w:rsidRDefault="00740A17">
            <w:pPr>
              <w:pStyle w:val="zSoquijlblDateJugement"/>
            </w:pPr>
            <w:r w:rsidRPr="00F77433">
              <w:t>DATE :</w:t>
            </w:r>
          </w:p>
        </w:tc>
        <w:tc>
          <w:tcPr>
            <w:tcW w:w="8330" w:type="dxa"/>
            <w:gridSpan w:val="4"/>
          </w:tcPr>
          <w:p w14:paraId="578E7CAD" w14:textId="515E74E8" w:rsidR="008F364A" w:rsidRPr="006D19D7" w:rsidRDefault="006D19D7">
            <w:pPr>
              <w:pStyle w:val="zSoquijdatDateJugement"/>
            </w:pPr>
            <w:r w:rsidRPr="006D19D7">
              <w:t>1</w:t>
            </w:r>
            <w:r w:rsidRPr="006D19D7">
              <w:rPr>
                <w:vertAlign w:val="superscript"/>
              </w:rPr>
              <w:t>er</w:t>
            </w:r>
            <w:r w:rsidRPr="006D19D7">
              <w:t xml:space="preserve"> octobre 2026</w:t>
            </w:r>
          </w:p>
        </w:tc>
      </w:tr>
      <w:tr w:rsidR="008F364A" w:rsidRPr="00F77433" w14:paraId="2A1B1FC4" w14:textId="77777777" w:rsidTr="008D18FC">
        <w:tc>
          <w:tcPr>
            <w:tcW w:w="9360" w:type="dxa"/>
            <w:gridSpan w:val="5"/>
            <w:tcBorders>
              <w:bottom w:val="single" w:sz="8" w:space="0" w:color="auto"/>
            </w:tcBorders>
          </w:tcPr>
          <w:p w14:paraId="2D90E12C" w14:textId="77777777" w:rsidR="008F364A" w:rsidRPr="006D19D7" w:rsidRDefault="008F364A"/>
        </w:tc>
      </w:tr>
      <w:tr w:rsidR="008F364A" w:rsidRPr="00F77433" w14:paraId="6FE1F384" w14:textId="77777777" w:rsidTr="008D18FC">
        <w:tc>
          <w:tcPr>
            <w:tcW w:w="9360" w:type="dxa"/>
            <w:gridSpan w:val="5"/>
            <w:tcBorders>
              <w:top w:val="single" w:sz="8" w:space="0" w:color="auto"/>
            </w:tcBorders>
          </w:tcPr>
          <w:p w14:paraId="6D9E6051" w14:textId="77777777" w:rsidR="008F364A" w:rsidRPr="00F77433" w:rsidRDefault="008F364A"/>
        </w:tc>
      </w:tr>
      <w:tr w:rsidR="008F364A" w:rsidRPr="00F77433" w14:paraId="37EA108D" w14:textId="77777777" w:rsidTr="008D18FC">
        <w:tc>
          <w:tcPr>
            <w:tcW w:w="1620" w:type="dxa"/>
            <w:gridSpan w:val="2"/>
          </w:tcPr>
          <w:p w14:paraId="4A4804F7" w14:textId="77777777" w:rsidR="008F364A" w:rsidRPr="00F77433" w:rsidRDefault="00B70485" w:rsidP="00423DF1">
            <w:pPr>
              <w:pStyle w:val="zSoquijlblJuge"/>
              <w:ind w:right="-142"/>
            </w:pPr>
            <w:bookmarkStart w:id="2" w:name="FORMATION"/>
            <w:r w:rsidRPr="00F77433">
              <w:t>FORMATION</w:t>
            </w:r>
            <w:r w:rsidR="00B513C9" w:rsidRPr="00F77433">
              <w:t> </w:t>
            </w:r>
            <w:r w:rsidR="00740A17" w:rsidRPr="00F77433">
              <w:t>:</w:t>
            </w:r>
            <w:bookmarkEnd w:id="2"/>
          </w:p>
        </w:tc>
        <w:tc>
          <w:tcPr>
            <w:tcW w:w="2350" w:type="dxa"/>
          </w:tcPr>
          <w:p w14:paraId="47F354DE" w14:textId="77777777" w:rsidR="008F364A" w:rsidRPr="00F77433" w:rsidRDefault="00740A17">
            <w:pPr>
              <w:pStyle w:val="zSoquijdatQteJuge"/>
            </w:pPr>
            <w:bookmarkStart w:id="3" w:name="Honorables"/>
            <w:r w:rsidRPr="00F77433">
              <w:t>LES HONORABLES</w:t>
            </w:r>
            <w:bookmarkEnd w:id="3"/>
          </w:p>
        </w:tc>
        <w:tc>
          <w:tcPr>
            <w:tcW w:w="5390" w:type="dxa"/>
            <w:gridSpan w:val="2"/>
          </w:tcPr>
          <w:p w14:paraId="5D0B9A05" w14:textId="48E80B3B" w:rsidR="008F364A" w:rsidRPr="00F77433" w:rsidRDefault="00F87405">
            <w:pPr>
              <w:pStyle w:val="zSoquijdatJuge"/>
              <w:rPr>
                <w:lang w:val="en-CA"/>
              </w:rPr>
            </w:pPr>
            <w:bookmarkStart w:id="4" w:name="NomJuge1"/>
            <w:r w:rsidRPr="00F77433">
              <w:rPr>
                <w:lang w:val="en-CA"/>
              </w:rPr>
              <w:t>PETER KALICHMAN, J.C.A.</w:t>
            </w:r>
            <w:bookmarkEnd w:id="4"/>
          </w:p>
          <w:p w14:paraId="212095B3" w14:textId="6BCAF367" w:rsidR="008F364A" w:rsidRPr="00F77433" w:rsidRDefault="00F87405">
            <w:pPr>
              <w:pStyle w:val="zSoquijdatJuge"/>
              <w:rPr>
                <w:lang w:val="en-CA"/>
              </w:rPr>
            </w:pPr>
            <w:bookmarkStart w:id="5" w:name="NomJuge2"/>
            <w:r w:rsidRPr="00F77433">
              <w:rPr>
                <w:lang w:val="en-CA"/>
              </w:rPr>
              <w:t>JUDITH HARVIE, J.C.A.</w:t>
            </w:r>
            <w:bookmarkEnd w:id="5"/>
          </w:p>
          <w:p w14:paraId="570A0EE3" w14:textId="70DB2D21" w:rsidR="005A78BF" w:rsidRPr="00F77433" w:rsidRDefault="00F87405" w:rsidP="00F87405">
            <w:pPr>
              <w:pStyle w:val="zSoquijdatJuge"/>
              <w:rPr>
                <w:lang w:val="de-DE"/>
              </w:rPr>
            </w:pPr>
            <w:bookmarkStart w:id="6" w:name="_Hlt520513784"/>
            <w:bookmarkStart w:id="7" w:name="NomJuge3"/>
            <w:bookmarkEnd w:id="6"/>
            <w:r w:rsidRPr="00F77433">
              <w:t>MYRIAM LACHANCE, J.C.A.</w:t>
            </w:r>
            <w:bookmarkEnd w:id="7"/>
          </w:p>
        </w:tc>
      </w:tr>
      <w:tr w:rsidR="008F364A" w:rsidRPr="00F77433" w14:paraId="27C6E4E6" w14:textId="77777777" w:rsidTr="008D18FC">
        <w:tc>
          <w:tcPr>
            <w:tcW w:w="9360" w:type="dxa"/>
            <w:gridSpan w:val="5"/>
            <w:tcBorders>
              <w:bottom w:val="single" w:sz="8" w:space="0" w:color="auto"/>
            </w:tcBorders>
          </w:tcPr>
          <w:p w14:paraId="2989D541" w14:textId="77777777" w:rsidR="008F364A" w:rsidRPr="00F77433" w:rsidRDefault="008F364A">
            <w:pPr>
              <w:rPr>
                <w:lang w:val="de-DE"/>
              </w:rPr>
            </w:pPr>
          </w:p>
        </w:tc>
      </w:tr>
      <w:tr w:rsidR="008F364A" w:rsidRPr="00F77433" w14:paraId="2B3D4E7E" w14:textId="77777777" w:rsidTr="008D18FC">
        <w:tc>
          <w:tcPr>
            <w:tcW w:w="9360" w:type="dxa"/>
            <w:gridSpan w:val="5"/>
          </w:tcPr>
          <w:p w14:paraId="14480D92" w14:textId="77777777" w:rsidR="008F364A" w:rsidRPr="00F77433" w:rsidRDefault="008F364A">
            <w:pPr>
              <w:pStyle w:val="zSoquijlblTitrePartie"/>
              <w:rPr>
                <w:lang w:val="de-DE"/>
              </w:rPr>
            </w:pPr>
          </w:p>
        </w:tc>
      </w:tr>
      <w:tr w:rsidR="008F364A" w:rsidRPr="00F77433" w14:paraId="0E403E19" w14:textId="77777777" w:rsidTr="008D18FC">
        <w:tc>
          <w:tcPr>
            <w:tcW w:w="9360" w:type="dxa"/>
            <w:gridSpan w:val="5"/>
          </w:tcPr>
          <w:p w14:paraId="69F8F0F1" w14:textId="6E645196" w:rsidR="008F364A" w:rsidRPr="00F77433" w:rsidRDefault="00F87405">
            <w:pPr>
              <w:pStyle w:val="zSoquijdatNomPartieDem"/>
              <w:rPr>
                <w:lang w:val="de-DE"/>
              </w:rPr>
            </w:pPr>
            <w:r w:rsidRPr="00F77433">
              <w:t>A</w:t>
            </w:r>
            <w:r w:rsidR="006A4CEA">
              <w:t>…</w:t>
            </w:r>
            <w:r w:rsidR="009B4630">
              <w:t xml:space="preserve"> </w:t>
            </w:r>
            <w:r w:rsidR="006A4CEA" w:rsidRPr="00F77433">
              <w:t>L</w:t>
            </w:r>
            <w:r w:rsidR="006A4CEA">
              <w:t>…</w:t>
            </w:r>
          </w:p>
        </w:tc>
      </w:tr>
      <w:tr w:rsidR="008F364A" w:rsidRPr="00F77433" w14:paraId="403BA343" w14:textId="77777777" w:rsidTr="008D18FC">
        <w:tc>
          <w:tcPr>
            <w:tcW w:w="9360" w:type="dxa"/>
            <w:gridSpan w:val="5"/>
          </w:tcPr>
          <w:p w14:paraId="519AF1D0" w14:textId="61C208F8" w:rsidR="008F364A" w:rsidRPr="00F77433" w:rsidRDefault="00F87405">
            <w:pPr>
              <w:pStyle w:val="zSoquijdatQtePartieDem"/>
              <w:rPr>
                <w:lang w:val="de-DE"/>
              </w:rPr>
            </w:pPr>
            <w:r w:rsidRPr="00F77433">
              <w:t>APPELANT – défendeur</w:t>
            </w:r>
          </w:p>
        </w:tc>
      </w:tr>
      <w:tr w:rsidR="008F364A" w:rsidRPr="00F77433" w14:paraId="696C9C24" w14:textId="77777777" w:rsidTr="008D18FC">
        <w:tc>
          <w:tcPr>
            <w:tcW w:w="9360" w:type="dxa"/>
            <w:gridSpan w:val="5"/>
          </w:tcPr>
          <w:p w14:paraId="4AF30DFE" w14:textId="77777777" w:rsidR="008F364A" w:rsidRPr="00F77433" w:rsidRDefault="00740A17">
            <w:pPr>
              <w:pStyle w:val="zSoquijlblLienParties"/>
              <w:rPr>
                <w:lang w:val="en-CA"/>
              </w:rPr>
            </w:pPr>
            <w:r w:rsidRPr="00F77433">
              <w:rPr>
                <w:lang w:val="en-CA"/>
              </w:rPr>
              <w:t>c.</w:t>
            </w:r>
          </w:p>
        </w:tc>
      </w:tr>
      <w:tr w:rsidR="008F364A" w:rsidRPr="00F77433" w14:paraId="049B8FD1" w14:textId="77777777" w:rsidTr="008D18FC">
        <w:tc>
          <w:tcPr>
            <w:tcW w:w="9360" w:type="dxa"/>
            <w:gridSpan w:val="5"/>
          </w:tcPr>
          <w:p w14:paraId="06AF0D3D" w14:textId="77777777" w:rsidR="008F364A" w:rsidRPr="00F77433" w:rsidRDefault="008F364A">
            <w:pPr>
              <w:rPr>
                <w:lang w:val="en-CA"/>
              </w:rPr>
            </w:pPr>
          </w:p>
        </w:tc>
      </w:tr>
      <w:tr w:rsidR="008F364A" w:rsidRPr="00F77433" w14:paraId="2957E70F" w14:textId="77777777" w:rsidTr="008D18FC">
        <w:tc>
          <w:tcPr>
            <w:tcW w:w="9360" w:type="dxa"/>
            <w:gridSpan w:val="5"/>
          </w:tcPr>
          <w:p w14:paraId="5EE8F04F" w14:textId="2E82327B" w:rsidR="008F364A" w:rsidRPr="00F77433" w:rsidRDefault="006A4CEA">
            <w:pPr>
              <w:pStyle w:val="zSoquijdatNomPartieDef"/>
              <w:rPr>
                <w:lang w:val="en-CA"/>
              </w:rPr>
            </w:pPr>
            <w:r w:rsidRPr="00F77433">
              <w:t>N</w:t>
            </w:r>
            <w:r>
              <w:t>…</w:t>
            </w:r>
            <w:r w:rsidRPr="00F77433">
              <w:t xml:space="preserve"> B</w:t>
            </w:r>
            <w:r>
              <w:t>…</w:t>
            </w:r>
          </w:p>
        </w:tc>
      </w:tr>
      <w:tr w:rsidR="008F364A" w:rsidRPr="00F77433" w14:paraId="5F7DB7B6" w14:textId="77777777" w:rsidTr="008D18FC">
        <w:tc>
          <w:tcPr>
            <w:tcW w:w="9360" w:type="dxa"/>
            <w:gridSpan w:val="5"/>
          </w:tcPr>
          <w:p w14:paraId="2C47F48E" w14:textId="5C223096" w:rsidR="008F364A" w:rsidRPr="00F77433" w:rsidRDefault="00F87405">
            <w:pPr>
              <w:pStyle w:val="zSoquijdatQtePartieDef"/>
              <w:rPr>
                <w:lang w:val="en-CA"/>
              </w:rPr>
            </w:pPr>
            <w:r w:rsidRPr="00F77433">
              <w:t>INTIMÉE – demanderesse</w:t>
            </w:r>
          </w:p>
        </w:tc>
      </w:tr>
      <w:tr w:rsidR="008F364A" w:rsidRPr="00F77433" w14:paraId="43535677" w14:textId="77777777" w:rsidTr="008D18FC">
        <w:tc>
          <w:tcPr>
            <w:tcW w:w="9360" w:type="dxa"/>
            <w:gridSpan w:val="5"/>
          </w:tcPr>
          <w:p w14:paraId="74FDAFEF" w14:textId="77777777" w:rsidR="008F364A" w:rsidRPr="00F77433" w:rsidRDefault="008F364A">
            <w:pPr>
              <w:rPr>
                <w:lang w:val="en-CA"/>
              </w:rPr>
            </w:pPr>
          </w:p>
        </w:tc>
      </w:tr>
      <w:tr w:rsidR="008F364A" w:rsidRPr="00F77433" w14:paraId="0F9D22E8" w14:textId="77777777" w:rsidTr="008D18FC">
        <w:tc>
          <w:tcPr>
            <w:tcW w:w="9360" w:type="dxa"/>
            <w:gridSpan w:val="5"/>
            <w:tcBorders>
              <w:top w:val="single" w:sz="8" w:space="0" w:color="auto"/>
            </w:tcBorders>
          </w:tcPr>
          <w:p w14:paraId="6F28E9C5" w14:textId="77777777" w:rsidR="008F364A" w:rsidRPr="00F77433" w:rsidRDefault="008F364A">
            <w:pPr>
              <w:rPr>
                <w:lang w:val="en-CA"/>
              </w:rPr>
            </w:pPr>
            <w:bookmarkStart w:id="8" w:name="Arret"/>
          </w:p>
        </w:tc>
      </w:tr>
      <w:tr w:rsidR="008F364A" w:rsidRPr="00F77433" w14:paraId="27EDE3C6" w14:textId="77777777" w:rsidTr="008D18FC">
        <w:tc>
          <w:tcPr>
            <w:tcW w:w="9360" w:type="dxa"/>
            <w:gridSpan w:val="5"/>
          </w:tcPr>
          <w:p w14:paraId="1A50C6F8" w14:textId="1A1685A7" w:rsidR="008F364A" w:rsidRPr="00F77433" w:rsidRDefault="00F87405">
            <w:pPr>
              <w:pStyle w:val="zSoquijlblTypeDocument"/>
            </w:pPr>
            <w:bookmarkStart w:id="9" w:name="TitreDocument"/>
            <w:r w:rsidRPr="00F77433">
              <w:t>ARRÊT</w:t>
            </w:r>
            <w:bookmarkEnd w:id="9"/>
          </w:p>
        </w:tc>
      </w:tr>
      <w:tr w:rsidR="008F364A" w:rsidRPr="00F77433" w14:paraId="1D99C731" w14:textId="77777777" w:rsidTr="008D18FC">
        <w:tc>
          <w:tcPr>
            <w:tcW w:w="9360" w:type="dxa"/>
            <w:gridSpan w:val="5"/>
            <w:tcBorders>
              <w:bottom w:val="single" w:sz="8" w:space="0" w:color="auto"/>
            </w:tcBorders>
          </w:tcPr>
          <w:p w14:paraId="6C47E7F0" w14:textId="77777777" w:rsidR="008F364A" w:rsidRPr="00F77433" w:rsidRDefault="008F364A"/>
        </w:tc>
      </w:tr>
      <w:tr w:rsidR="008F364A" w:rsidRPr="00F77433" w14:paraId="2E8EFB15" w14:textId="77777777" w:rsidTr="008D18FC">
        <w:tc>
          <w:tcPr>
            <w:tcW w:w="9360" w:type="dxa"/>
            <w:gridSpan w:val="5"/>
            <w:tcBorders>
              <w:top w:val="single" w:sz="8" w:space="0" w:color="auto"/>
            </w:tcBorders>
          </w:tcPr>
          <w:p w14:paraId="2F7B76F2" w14:textId="77777777" w:rsidR="008F364A" w:rsidRPr="00F77433" w:rsidRDefault="008F364A"/>
        </w:tc>
      </w:tr>
    </w:tbl>
    <w:p w14:paraId="1D3A1883" w14:textId="77777777" w:rsidR="00506768" w:rsidRPr="00F77433" w:rsidRDefault="00506768" w:rsidP="00225665">
      <w:pPr>
        <w:tabs>
          <w:tab w:val="left" w:pos="630"/>
        </w:tabs>
        <w:spacing w:after="120"/>
        <w:jc w:val="both"/>
        <w:rPr>
          <w:rFonts w:cs="Arial"/>
          <w:b/>
          <w:bCs/>
          <w:szCs w:val="24"/>
        </w:rPr>
      </w:pPr>
      <w:r w:rsidRPr="00F77433">
        <w:rPr>
          <w:rFonts w:cs="Arial"/>
          <w:b/>
          <w:bCs/>
          <w:szCs w:val="24"/>
          <w:u w:val="single"/>
        </w:rPr>
        <w:t>MISE EN GARDE</w:t>
      </w:r>
      <w:r w:rsidRPr="00F77433">
        <w:rPr>
          <w:rFonts w:cs="Arial"/>
          <w:b/>
          <w:bCs/>
          <w:szCs w:val="24"/>
        </w:rPr>
        <w:t xml:space="preserve"> : Interdiction de divulgation ou diffusion : le </w:t>
      </w:r>
      <w:r w:rsidRPr="00F77433">
        <w:rPr>
          <w:rFonts w:cs="Arial"/>
          <w:b/>
          <w:bCs/>
          <w:i/>
          <w:iCs/>
          <w:szCs w:val="24"/>
        </w:rPr>
        <w:t>Code de procédure civile</w:t>
      </w:r>
      <w:r w:rsidRPr="00F77433">
        <w:rPr>
          <w:rFonts w:cs="Arial"/>
          <w:b/>
          <w:bCs/>
          <w:szCs w:val="24"/>
        </w:rPr>
        <w:t xml:space="preserve"> (« </w:t>
      </w:r>
      <w:r w:rsidRPr="00F77433">
        <w:rPr>
          <w:rFonts w:cs="Arial"/>
          <w:b/>
          <w:bCs/>
          <w:i/>
          <w:iCs/>
          <w:szCs w:val="24"/>
        </w:rPr>
        <w:t>C.p.c.</w:t>
      </w:r>
      <w:r w:rsidRPr="00F77433">
        <w:rPr>
          <w:rFonts w:cs="Arial"/>
          <w:b/>
          <w:bCs/>
          <w:szCs w:val="24"/>
        </w:rPr>
        <w:t xml:space="preserve"> ») interdit de divulguer ou diffuser tout renseignement permettant d’identifier une partie ou un enfant dont l’intérêt est en jeu dans une instance en matière familiale, à moins que le tribunal ou la loi ne l’autorise ou que cette divulgation ou diffusion ne soit nécessaire pour permettre l’application d’une loi (art. 16 </w:t>
      </w:r>
      <w:r w:rsidRPr="00F77433">
        <w:rPr>
          <w:rFonts w:cs="Arial"/>
          <w:b/>
          <w:bCs/>
          <w:i/>
          <w:iCs/>
          <w:szCs w:val="24"/>
        </w:rPr>
        <w:t>C.p.c.</w:t>
      </w:r>
      <w:r w:rsidRPr="00F77433">
        <w:rPr>
          <w:rFonts w:cs="Arial"/>
          <w:b/>
          <w:bCs/>
          <w:szCs w:val="24"/>
        </w:rPr>
        <w:t>).</w:t>
      </w:r>
    </w:p>
    <w:p w14:paraId="5BAC6C4C" w14:textId="3A544310" w:rsidR="00506768" w:rsidRPr="00F77433" w:rsidRDefault="00506768" w:rsidP="00225665">
      <w:pPr>
        <w:pStyle w:val="Paragraphe"/>
        <w:spacing w:line="280" w:lineRule="exact"/>
      </w:pPr>
      <w:r w:rsidRPr="00F77433">
        <w:t xml:space="preserve">L’appelant se pourvoit contre un jugement rendu le 19 novembre 2025 (rectifié le 21 novembre 2025) par la Cour supérieure (l’honorable Janick Perreault), qui lui impose une peine de 175 heures de travaux </w:t>
      </w:r>
      <w:r w:rsidRPr="00F77433">
        <w:rPr>
          <w:lang w:eastAsia="fr-CA"/>
        </w:rPr>
        <w:t>d’utilité sociale</w:t>
      </w:r>
      <w:r w:rsidR="009453F8" w:rsidRPr="00F77433">
        <w:rPr>
          <w:lang w:eastAsia="fr-CA"/>
        </w:rPr>
        <w:t xml:space="preserve"> </w:t>
      </w:r>
      <w:r w:rsidRPr="00F77433">
        <w:rPr>
          <w:lang w:eastAsia="fr-CA"/>
        </w:rPr>
        <w:t>et</w:t>
      </w:r>
      <w:r w:rsidRPr="00F77433">
        <w:rPr>
          <w:rFonts w:ascii="Helvetica" w:hAnsi="Helvetica" w:cs="Helvetica"/>
          <w:szCs w:val="24"/>
          <w:lang w:eastAsia="fr-CA"/>
        </w:rPr>
        <w:t>, en cas de refus d’obtempérer à l’intégralité de deux ordonnances,</w:t>
      </w:r>
      <w:r w:rsidRPr="00F77433">
        <w:rPr>
          <w:lang w:eastAsia="fr-CA"/>
        </w:rPr>
        <w:t xml:space="preserve"> à </w:t>
      </w:r>
      <w:r w:rsidRPr="00F77433">
        <w:t>60 jours d’emprisonnement, suivant</w:t>
      </w:r>
      <w:r w:rsidRPr="00F77433">
        <w:rPr>
          <w:lang w:eastAsia="fr-CA"/>
        </w:rPr>
        <w:t xml:space="preserve"> une condamnation pour outrage au tribunal civil (</w:t>
      </w:r>
      <w:r w:rsidRPr="00F77433">
        <w:t>art. 58 </w:t>
      </w:r>
      <w:r w:rsidRPr="00F77433">
        <w:rPr>
          <w:i/>
          <w:iCs/>
        </w:rPr>
        <w:t>C.p.c.</w:t>
      </w:r>
      <w:r w:rsidRPr="00F77433">
        <w:t>)</w:t>
      </w:r>
      <w:r w:rsidRPr="00F77433">
        <w:rPr>
          <w:lang w:eastAsia="fr-CA"/>
        </w:rPr>
        <w:t xml:space="preserve">, commis dans le cadre d’une procédure de </w:t>
      </w:r>
      <w:r w:rsidRPr="00F77433">
        <w:t>divorce</w:t>
      </w:r>
      <w:r w:rsidRPr="00F77433">
        <w:rPr>
          <w:lang w:eastAsia="fr-CA"/>
        </w:rPr>
        <w:t xml:space="preserve"> qui l’oppose à l’intimée</w:t>
      </w:r>
      <w:r w:rsidRPr="00F77433">
        <w:rPr>
          <w:rStyle w:val="Appelnotedebasdep"/>
        </w:rPr>
        <w:footnoteReference w:id="1"/>
      </w:r>
      <w:r w:rsidRPr="00F77433">
        <w:t>.</w:t>
      </w:r>
    </w:p>
    <w:p w14:paraId="00C395B3" w14:textId="4C15647C" w:rsidR="00506768" w:rsidRPr="00F77433" w:rsidRDefault="00506768" w:rsidP="009453F8">
      <w:pPr>
        <w:pStyle w:val="Paragraphe"/>
        <w:spacing w:line="280" w:lineRule="exact"/>
      </w:pPr>
      <w:r w:rsidRPr="00F77433">
        <w:lastRenderedPageBreak/>
        <w:t>L’appelant fait valoir que la juge a erré en lui infligeant une peine disproportionnée et manifestement non indiquée pour deux raisons : sa volonté de se conformer aux ordonnances et sa situation personnelle. À ce sujet, il dépose, deux jours avant l’audience, une demande de permission de produire une preuve nouvelle afin de démontrer que l’exécution de la peine compromettrait le soutien qu’il doit apporter à son enfant, un jeune adulte handicapé, ainsi que sa présence en Tunisie pour des procédures judiciaires en cours.</w:t>
      </w:r>
    </w:p>
    <w:p w14:paraId="6A52B1B1" w14:textId="6BBCD730" w:rsidR="00506768" w:rsidRPr="00F77433" w:rsidRDefault="00506768" w:rsidP="009453F8">
      <w:pPr>
        <w:pStyle w:val="Paragraphe"/>
        <w:tabs>
          <w:tab w:val="clear" w:pos="720"/>
          <w:tab w:val="num" w:pos="709"/>
        </w:tabs>
        <w:spacing w:line="280" w:lineRule="exact"/>
      </w:pPr>
      <w:r w:rsidRPr="00F77433">
        <w:t>De son côté, l’intimée rejette les arguments de l’appelant et souligne que ses charges domestiques n’ont jamais été abordées en première instance, alors qu’elles auraient pu l’être. Elle conteste la demande tardive de présenter de nouvelles preuves et demande de déclarer l’appel abusif et l’appelant plaideur quérulent. Elle réclame aussi 10 000 $ en dommages-intérêts, alléguant un manquement important au déroulement de l’instance parce que l’appelant a inclus des références juridiques inexistantes générées par l’intelligence artificielle dans ses actes de procédure.</w:t>
      </w:r>
    </w:p>
    <w:p w14:paraId="0177BFF4" w14:textId="77777777" w:rsidR="00506768" w:rsidRPr="00F77433" w:rsidRDefault="00506768" w:rsidP="00EF4A63">
      <w:pPr>
        <w:pStyle w:val="Paragraphe"/>
        <w:numPr>
          <w:ilvl w:val="0"/>
          <w:numId w:val="0"/>
        </w:numPr>
        <w:tabs>
          <w:tab w:val="num" w:pos="709"/>
        </w:tabs>
        <w:spacing w:before="240" w:after="240" w:line="280" w:lineRule="exact"/>
        <w:jc w:val="center"/>
      </w:pPr>
      <w:r w:rsidRPr="00F77433">
        <w:t>*****</w:t>
      </w:r>
    </w:p>
    <w:p w14:paraId="6A0B9AC0" w14:textId="77777777" w:rsidR="00506768" w:rsidRPr="00F77433" w:rsidRDefault="00506768" w:rsidP="009453F8">
      <w:pPr>
        <w:pStyle w:val="Paragraphe"/>
        <w:tabs>
          <w:tab w:val="clear" w:pos="720"/>
          <w:tab w:val="num" w:pos="709"/>
        </w:tabs>
        <w:spacing w:line="280" w:lineRule="exact"/>
      </w:pPr>
      <w:r w:rsidRPr="00F77433">
        <w:t>Les parties se marient en Tunisie le 8 août 2006 et se séparent en 2023. L’intimée entame la même année les procédures de divorce.</w:t>
      </w:r>
    </w:p>
    <w:p w14:paraId="5A3CB0E9" w14:textId="69F0213F" w:rsidR="00506768" w:rsidRPr="00F77433" w:rsidRDefault="00506768" w:rsidP="009453F8">
      <w:pPr>
        <w:pStyle w:val="Paragraphe"/>
        <w:tabs>
          <w:tab w:val="clear" w:pos="720"/>
          <w:tab w:val="num" w:pos="709"/>
        </w:tabs>
        <w:spacing w:line="280" w:lineRule="exact"/>
      </w:pPr>
      <w:bookmarkStart w:id="10" w:name="_Hlk233366289"/>
      <w:r w:rsidRPr="00F77433">
        <w:t>Le 12</w:t>
      </w:r>
      <w:r w:rsidR="00B211CA" w:rsidRPr="00F77433">
        <w:t xml:space="preserve"> </w:t>
      </w:r>
      <w:r w:rsidRPr="00F77433">
        <w:t xml:space="preserve">janvier 2024, la Cour supérieure ordonne à l’appelant de remettre à l’intimée les biens qui lui appartiennent et le condamne à lui payer une somme de 4 000 $ à titre de compensation pour abus suivant son défaut </w:t>
      </w:r>
      <w:bookmarkEnd w:id="10"/>
      <w:r w:rsidRPr="00F77433">
        <w:t>d’agir</w:t>
      </w:r>
      <w:r w:rsidRPr="00F77433">
        <w:rPr>
          <w:rStyle w:val="Appelnotedebasdep"/>
        </w:rPr>
        <w:footnoteReference w:id="2"/>
      </w:r>
      <w:r w:rsidRPr="00F77433">
        <w:t>.</w:t>
      </w:r>
    </w:p>
    <w:p w14:paraId="655BB4EE" w14:textId="57E7C7F0" w:rsidR="00506768" w:rsidRPr="00F77433" w:rsidRDefault="00506768" w:rsidP="009453F8">
      <w:pPr>
        <w:pStyle w:val="Paragraphe"/>
        <w:tabs>
          <w:tab w:val="clear" w:pos="720"/>
          <w:tab w:val="num" w:pos="709"/>
        </w:tabs>
        <w:spacing w:line="280" w:lineRule="exact"/>
      </w:pPr>
      <w:bookmarkStart w:id="11" w:name="_Hlk233366325"/>
      <w:r w:rsidRPr="00F77433">
        <w:t>Le 25</w:t>
      </w:r>
      <w:r w:rsidR="00B211CA" w:rsidRPr="00F77433">
        <w:t xml:space="preserve"> </w:t>
      </w:r>
      <w:r w:rsidRPr="00F77433">
        <w:t xml:space="preserve">avril 2024, la Cour supérieure lui ordonne de communiquer des documents financiers à l’intimée dans un délai de 30 jours. Elle le condamne aussi à payer une nouvelle somme de 4 000 $ </w:t>
      </w:r>
      <w:bookmarkEnd w:id="11"/>
      <w:r w:rsidRPr="00F77433">
        <w:t xml:space="preserve">pour </w:t>
      </w:r>
      <w:r w:rsidRPr="00F77433">
        <w:rPr>
          <w:rFonts w:ascii="Helvetica" w:hAnsi="Helvetica" w:cs="Helvetica"/>
          <w:szCs w:val="24"/>
          <w:lang w:eastAsia="fr-CA"/>
        </w:rPr>
        <w:t>son refus de remettre à l’intimée ses biens</w:t>
      </w:r>
      <w:r w:rsidRPr="00F77433">
        <w:rPr>
          <w:rStyle w:val="Appelnotedebasdep"/>
        </w:rPr>
        <w:footnoteReference w:id="3"/>
      </w:r>
      <w:r w:rsidRPr="00F77433">
        <w:t>.</w:t>
      </w:r>
    </w:p>
    <w:p w14:paraId="0A3909F2" w14:textId="5348DC62" w:rsidR="00506768" w:rsidRPr="00F77433" w:rsidRDefault="00506768" w:rsidP="009453F8">
      <w:pPr>
        <w:pStyle w:val="Paragraphe"/>
        <w:tabs>
          <w:tab w:val="clear" w:pos="720"/>
          <w:tab w:val="num" w:pos="709"/>
        </w:tabs>
        <w:spacing w:line="280" w:lineRule="exact"/>
      </w:pPr>
      <w:bookmarkStart w:id="12" w:name="_Hlk233366374"/>
      <w:r w:rsidRPr="00F77433">
        <w:t>Le 14</w:t>
      </w:r>
      <w:r w:rsidR="00B211CA" w:rsidRPr="00F77433">
        <w:t xml:space="preserve"> </w:t>
      </w:r>
      <w:r w:rsidRPr="00F77433">
        <w:t>juin 2024, la Cour supérieure cite l’appelant à comparaître pour répondre à une accusation d’outrage au tribunal en lien avec ces ordonnances et il est déclaré coupable le 13</w:t>
      </w:r>
      <w:r w:rsidR="00B211CA" w:rsidRPr="00F77433">
        <w:t xml:space="preserve"> </w:t>
      </w:r>
      <w:r w:rsidRPr="00F77433">
        <w:t>janvier 2025</w:t>
      </w:r>
      <w:bookmarkEnd w:id="12"/>
      <w:r w:rsidRPr="00F77433">
        <w:t>.</w:t>
      </w:r>
      <w:bookmarkStart w:id="13" w:name="_Hlk233366447"/>
    </w:p>
    <w:p w14:paraId="493F4994" w14:textId="23B9A807" w:rsidR="00506768" w:rsidRPr="00F77433" w:rsidRDefault="00506768" w:rsidP="009453F8">
      <w:pPr>
        <w:pStyle w:val="Paragraphe"/>
        <w:spacing w:line="280" w:lineRule="exact"/>
      </w:pPr>
      <w:r w:rsidRPr="00F77433">
        <w:t xml:space="preserve">Il </w:t>
      </w:r>
      <w:bookmarkStart w:id="14" w:name="_Hlk233366593"/>
      <w:r w:rsidRPr="00F77433">
        <w:t>appelle immédiatement de sa condamnation, mais la requête en rejet d’appel de l’intimée est accueillie, puisque le pourvoi est prématuré</w:t>
      </w:r>
      <w:r w:rsidRPr="00F77433">
        <w:rPr>
          <w:rStyle w:val="Appelnotedebasdep"/>
        </w:rPr>
        <w:footnoteReference w:id="4"/>
      </w:r>
      <w:r w:rsidRPr="00F77433">
        <w:t>. À la suite du jugement entrepris, il dépose une seconde déclaration d’appel quant à sa condamnation, que</w:t>
      </w:r>
      <w:r w:rsidR="00225665" w:rsidRPr="00F77433">
        <w:t> </w:t>
      </w:r>
      <w:r w:rsidRPr="00F77433">
        <w:rPr>
          <w:rFonts w:cs="Arial"/>
        </w:rPr>
        <w:t>la</w:t>
      </w:r>
      <w:r w:rsidR="00225665" w:rsidRPr="00F77433">
        <w:rPr>
          <w:rFonts w:cs="Arial"/>
        </w:rPr>
        <w:t> </w:t>
      </w:r>
      <w:r w:rsidRPr="00F77433">
        <w:rPr>
          <w:rFonts w:cs="Arial"/>
        </w:rPr>
        <w:t>Cour rejette, étant d’avis que les moyens d’appel invoqués ne présentent aucune</w:t>
      </w:r>
      <w:r w:rsidR="00225665" w:rsidRPr="00F77433">
        <w:rPr>
          <w:rFonts w:cs="Arial"/>
        </w:rPr>
        <w:t> </w:t>
      </w:r>
      <w:r w:rsidRPr="00F77433">
        <w:rPr>
          <w:rFonts w:cs="Arial"/>
        </w:rPr>
        <w:t>chance raisonnable de succès</w:t>
      </w:r>
      <w:r w:rsidRPr="00F77433">
        <w:rPr>
          <w:rStyle w:val="Appelnotedebasdep"/>
          <w:rFonts w:cs="Arial"/>
        </w:rPr>
        <w:footnoteReference w:id="5"/>
      </w:r>
      <w:r w:rsidRPr="00F77433">
        <w:rPr>
          <w:rFonts w:cs="Arial"/>
        </w:rPr>
        <w:t xml:space="preserve">. </w:t>
      </w:r>
      <w:bookmarkEnd w:id="13"/>
      <w:bookmarkEnd w:id="14"/>
      <w:r w:rsidRPr="00F77433">
        <w:rPr>
          <w:rFonts w:ascii="Helvetica" w:hAnsi="Helvetica" w:cs="Helvetica"/>
          <w:szCs w:val="24"/>
          <w:lang w:eastAsia="fr-CA"/>
        </w:rPr>
        <w:t xml:space="preserve">L’appelant se pourvoit contre la sanction </w:t>
      </w:r>
      <w:r w:rsidRPr="00F77433">
        <w:rPr>
          <w:rFonts w:ascii="Helvetica" w:hAnsi="Helvetica" w:cs="Helvetica"/>
          <w:szCs w:val="24"/>
          <w:lang w:eastAsia="fr-CA"/>
        </w:rPr>
        <w:lastRenderedPageBreak/>
        <w:t>le</w:t>
      </w:r>
      <w:r w:rsidR="00225665" w:rsidRPr="00F77433">
        <w:rPr>
          <w:rFonts w:ascii="Helvetica" w:hAnsi="Helvetica" w:cs="Helvetica"/>
          <w:szCs w:val="24"/>
          <w:lang w:eastAsia="fr-CA"/>
        </w:rPr>
        <w:t> </w:t>
      </w:r>
      <w:r w:rsidRPr="00F77433">
        <w:rPr>
          <w:rFonts w:ascii="Helvetica" w:hAnsi="Helvetica" w:cs="Helvetica"/>
          <w:szCs w:val="24"/>
          <w:lang w:eastAsia="fr-CA"/>
        </w:rPr>
        <w:t>15</w:t>
      </w:r>
      <w:r w:rsidR="00225665" w:rsidRPr="00F77433">
        <w:rPr>
          <w:rFonts w:ascii="Helvetica" w:hAnsi="Helvetica" w:cs="Helvetica"/>
          <w:szCs w:val="24"/>
          <w:lang w:eastAsia="fr-CA"/>
        </w:rPr>
        <w:t> </w:t>
      </w:r>
      <w:r w:rsidRPr="00F77433">
        <w:rPr>
          <w:rFonts w:ascii="Helvetica" w:hAnsi="Helvetica" w:cs="Helvetica"/>
          <w:szCs w:val="24"/>
          <w:lang w:eastAsia="fr-CA"/>
        </w:rPr>
        <w:t>décembre 2025 et dépose une demande de permission de produire des pièces additionnelles le 7 juillet 2026.</w:t>
      </w:r>
    </w:p>
    <w:p w14:paraId="1BF6833E" w14:textId="77777777" w:rsidR="00506768" w:rsidRPr="00F77433" w:rsidRDefault="00506768" w:rsidP="00506768">
      <w:pPr>
        <w:pStyle w:val="Titre1"/>
      </w:pPr>
      <w:r w:rsidRPr="00F77433">
        <w:t>La nouvelle preuve</w:t>
      </w:r>
    </w:p>
    <w:p w14:paraId="5B159825" w14:textId="06CDC458" w:rsidR="00506768" w:rsidRPr="00F77433" w:rsidRDefault="00506768" w:rsidP="009453F8">
      <w:pPr>
        <w:pStyle w:val="Paragraphe"/>
        <w:spacing w:line="280" w:lineRule="exact"/>
      </w:pPr>
      <w:r w:rsidRPr="00F77433">
        <w:t xml:space="preserve">Le premier document est une lettre manuscrite et sans serment de </w:t>
      </w:r>
      <w:r w:rsidR="006A4CEA" w:rsidRPr="00F77433">
        <w:t>S</w:t>
      </w:r>
      <w:r w:rsidR="006A4CEA">
        <w:t>…</w:t>
      </w:r>
      <w:r w:rsidR="006A4CEA" w:rsidRPr="00F77433">
        <w:t xml:space="preserve"> F</w:t>
      </w:r>
      <w:r w:rsidR="006A4CEA">
        <w:t>…</w:t>
      </w:r>
      <w:r w:rsidR="006A4CEA" w:rsidRPr="00F77433">
        <w:t xml:space="preserve"> </w:t>
      </w:r>
      <w:r w:rsidRPr="00F77433">
        <w:t>(la mère de l’enfant de l’appelant) datée du 23 juin 2026. Elle y relate l’implication de l’appelant auprès de cet enfant, qui a des besoins particuliers (« P-10 »). Le second est une lettre de son avocat en Tunisie, datée du 30 juin 2026, expliquant pourquoi sa présence dans ce pays est requise en raison d’instances judiciaires impliquant l’intimée</w:t>
      </w:r>
      <w:r w:rsidR="00225665" w:rsidRPr="00F77433">
        <w:t> </w:t>
      </w:r>
      <w:r w:rsidRPr="00F77433">
        <w:t>(« P-11 »).</w:t>
      </w:r>
    </w:p>
    <w:p w14:paraId="667AAD3D" w14:textId="50D921AE" w:rsidR="00506768" w:rsidRPr="00F77433" w:rsidRDefault="00506768" w:rsidP="009453F8">
      <w:pPr>
        <w:pStyle w:val="Paragraphe"/>
        <w:tabs>
          <w:tab w:val="clear" w:pos="720"/>
          <w:tab w:val="num" w:pos="709"/>
        </w:tabs>
        <w:spacing w:line="280" w:lineRule="exact"/>
      </w:pPr>
      <w:r w:rsidRPr="00F77433">
        <w:t>La permission de produire une nouvelle preuve en appel n’est accordée que de façon exceptionnelle</w:t>
      </w:r>
      <w:r w:rsidRPr="00F77433">
        <w:rPr>
          <w:rStyle w:val="Appelnotedebasdep"/>
        </w:rPr>
        <w:footnoteReference w:id="6"/>
      </w:r>
      <w:r w:rsidRPr="00F77433">
        <w:t xml:space="preserve"> lorsqu’il est démontré que la preuve est nouvelle et indispensable et que les fins de </w:t>
      </w:r>
      <w:r w:rsidRPr="00F77433">
        <w:rPr>
          <w:szCs w:val="24"/>
        </w:rPr>
        <w:t>la justice requièrent son introduction en preuve. L’appelant échoue à faire cette démonstration.</w:t>
      </w:r>
    </w:p>
    <w:p w14:paraId="0B54E949" w14:textId="022320DD" w:rsidR="00506768" w:rsidRPr="00F77433" w:rsidRDefault="00506768" w:rsidP="009453F8">
      <w:pPr>
        <w:pStyle w:val="Paragraphe"/>
        <w:spacing w:line="280" w:lineRule="exact"/>
      </w:pPr>
      <w:r w:rsidRPr="00F77433">
        <w:t>D’abord, celui-ci veut invoquer des contraintes personnelles et les appuyer au moyen de P-10 et P-11, mais ce sujet n’est pas totalement nouveau, puisque la juge s’est assurée que le</w:t>
      </w:r>
      <w:r w:rsidRPr="00F77433">
        <w:rPr>
          <w:lang w:eastAsia="fr-CA"/>
        </w:rPr>
        <w:t xml:space="preserve"> délai de 12 mois qu’elle accorde à l’appelant pour exécuter ses travaux d’utilité sociale était approprié, ce qu’elle a constaté dans ses motifs en précisant qu’il n’avait pas d’emploi</w:t>
      </w:r>
      <w:r w:rsidRPr="00F77433">
        <w:rPr>
          <w:rStyle w:val="Appelnotedebasdep"/>
          <w:lang w:eastAsia="fr-CA"/>
        </w:rPr>
        <w:footnoteReference w:id="7"/>
      </w:r>
      <w:r w:rsidRPr="00F77433">
        <w:rPr>
          <w:lang w:eastAsia="fr-CA"/>
        </w:rPr>
        <w:t>.</w:t>
      </w:r>
    </w:p>
    <w:p w14:paraId="53864D1E" w14:textId="77777777" w:rsidR="00506768" w:rsidRPr="00F77433" w:rsidRDefault="00506768" w:rsidP="009453F8">
      <w:pPr>
        <w:pStyle w:val="Paragraphe"/>
        <w:spacing w:line="280" w:lineRule="exact"/>
      </w:pPr>
      <w:r w:rsidRPr="00F77433">
        <w:t>En outre, l’appelant a déjà tenté d’apporter une nouvelle preuve en appel à ce sujet, ainsi qu’à propos de la nécessité de se déplacer en Tunisie, mais la Cour lui a refusé cette permission dans le cadre de l’appel de sa condamnation</w:t>
      </w:r>
      <w:r w:rsidRPr="00F77433">
        <w:rPr>
          <w:rStyle w:val="Appelnotedebasdep"/>
        </w:rPr>
        <w:footnoteReference w:id="8"/>
      </w:r>
      <w:r w:rsidRPr="00F77433">
        <w:t>. Il ne peut, par des documents confectionnés postérieurement sur les mêmes sujets, contourner la décision déjà rendue par la Cour</w:t>
      </w:r>
      <w:r w:rsidRPr="00F77433">
        <w:rPr>
          <w:rStyle w:val="Appelnotedebasdep"/>
        </w:rPr>
        <w:footnoteReference w:id="9"/>
      </w:r>
      <w:r w:rsidRPr="00F77433">
        <w:t>. Sa demande doit donc être rejetée.</w:t>
      </w:r>
    </w:p>
    <w:p w14:paraId="62494932" w14:textId="18B06EB1" w:rsidR="00506768" w:rsidRPr="00F77433" w:rsidRDefault="00506768" w:rsidP="009453F8">
      <w:pPr>
        <w:pStyle w:val="Paragraphe"/>
        <w:spacing w:line="280" w:lineRule="exact"/>
      </w:pPr>
      <w:r w:rsidRPr="00F77433">
        <w:rPr>
          <w:rFonts w:ascii="Helvetica" w:hAnsi="Helvetica" w:cs="Helvetica"/>
          <w:szCs w:val="24"/>
          <w:lang w:eastAsia="fr-CA"/>
        </w:rPr>
        <w:t xml:space="preserve">De plus, l’intimée fait valoir que l’appelant réfère dans son exposé à des documents qui n’ont jamais été déposés comme pièces en première instance. Ces </w:t>
      </w:r>
      <w:r w:rsidRPr="00F77433">
        <w:rPr>
          <w:rFonts w:ascii="Helvetica" w:hAnsi="Helvetica" w:cs="Helvetica"/>
          <w:szCs w:val="24"/>
          <w:lang w:eastAsia="fr-CA"/>
        </w:rPr>
        <w:lastRenderedPageBreak/>
        <w:t>documents ne peuvent en effet être considérés dans le cadre de l’appel</w:t>
      </w:r>
      <w:r w:rsidRPr="00F77433">
        <w:rPr>
          <w:rStyle w:val="Appelnotedebasdep"/>
          <w:rFonts w:ascii="Helvetica" w:hAnsi="Helvetica" w:cs="Helvetica"/>
          <w:szCs w:val="24"/>
          <w:lang w:eastAsia="fr-CA"/>
        </w:rPr>
        <w:footnoteReference w:id="10"/>
      </w:r>
      <w:r w:rsidRPr="00F77433">
        <w:rPr>
          <w:rFonts w:ascii="Helvetica" w:hAnsi="Helvetica" w:cs="Helvetica"/>
          <w:szCs w:val="24"/>
          <w:lang w:eastAsia="fr-CA"/>
        </w:rPr>
        <w:t>, mais la Cour ajoute qu’en tout état de cause, aucun d’entre eux n’aurait eu d’incidence sur l’appel.</w:t>
      </w:r>
    </w:p>
    <w:p w14:paraId="3089E014" w14:textId="77777777" w:rsidR="00506768" w:rsidRPr="00F77433" w:rsidRDefault="00506768" w:rsidP="00EF4A63">
      <w:pPr>
        <w:pStyle w:val="Paragraphe"/>
        <w:numPr>
          <w:ilvl w:val="0"/>
          <w:numId w:val="0"/>
        </w:numPr>
        <w:tabs>
          <w:tab w:val="num" w:pos="709"/>
        </w:tabs>
        <w:spacing w:before="240" w:after="240" w:line="280" w:lineRule="exact"/>
        <w:jc w:val="center"/>
      </w:pPr>
      <w:bookmarkStart w:id="15" w:name="_Toc232528035"/>
      <w:bookmarkStart w:id="16" w:name="_Toc232595583"/>
      <w:bookmarkStart w:id="17" w:name="_Ref172714518"/>
      <w:bookmarkStart w:id="18" w:name="_Ref172714519"/>
      <w:bookmarkStart w:id="19" w:name="_Ref172714541"/>
      <w:bookmarkStart w:id="20" w:name="_Ref172714830"/>
      <w:r w:rsidRPr="00F77433">
        <w:t>*****</w:t>
      </w:r>
    </w:p>
    <w:p w14:paraId="34661BBC" w14:textId="2FCD8C89" w:rsidR="00506768" w:rsidRPr="00F77433" w:rsidRDefault="00506768" w:rsidP="009453F8">
      <w:pPr>
        <w:pStyle w:val="Paragraphe"/>
        <w:spacing w:line="280" w:lineRule="exact"/>
        <w:rPr>
          <w:lang w:eastAsia="fr-CA"/>
        </w:rPr>
      </w:pPr>
      <w:r w:rsidRPr="00F77433">
        <w:t xml:space="preserve">Avant de traiter des moyens d’appel, il convient de rappeler le cadre juridique applicable à la peine en matière </w:t>
      </w:r>
      <w:r w:rsidRPr="00F77433">
        <w:rPr>
          <w:lang w:eastAsia="fr-CA"/>
        </w:rPr>
        <w:t xml:space="preserve">d’outrage au tribunal civil. </w:t>
      </w:r>
      <w:r w:rsidRPr="00F77433">
        <w:t>L’art.</w:t>
      </w:r>
      <w:r w:rsidRPr="00F77433">
        <w:rPr>
          <w:lang w:eastAsia="fr-CA"/>
        </w:rPr>
        <w:t xml:space="preserve"> 62 al. 1 </w:t>
      </w:r>
      <w:r w:rsidRPr="00F77433">
        <w:rPr>
          <w:i/>
          <w:iCs/>
          <w:lang w:eastAsia="fr-CA"/>
        </w:rPr>
        <w:t>C.p.c</w:t>
      </w:r>
      <w:r w:rsidRPr="00F77433">
        <w:rPr>
          <w:lang w:eastAsia="fr-CA"/>
        </w:rPr>
        <w:t>.</w:t>
      </w:r>
      <w:r w:rsidRPr="00F77433">
        <w:rPr>
          <w:rStyle w:val="Appelnotedebasdep"/>
          <w:lang w:eastAsia="fr-CA"/>
        </w:rPr>
        <w:footnoteReference w:id="11"/>
      </w:r>
      <w:r w:rsidRPr="00F77433">
        <w:rPr>
          <w:lang w:eastAsia="fr-CA"/>
        </w:rPr>
        <w:t xml:space="preserve"> prévoit seulement deux types de sanction pour </w:t>
      </w:r>
      <w:r w:rsidRPr="00F77433">
        <w:rPr>
          <w:i/>
          <w:iCs/>
          <w:lang w:eastAsia="fr-CA"/>
        </w:rPr>
        <w:t>punir</w:t>
      </w:r>
      <w:r w:rsidRPr="00F77433">
        <w:rPr>
          <w:lang w:eastAsia="fr-CA"/>
        </w:rPr>
        <w:t xml:space="preserve"> une personne qui en est déclarée coupable d’outrage, soit l’amende punitive ainsi que les travaux d’utilité sociale, lesquels peuvent être jumelés. L’emprisonnement n’en fait pas partie</w:t>
      </w:r>
      <w:r w:rsidRPr="00F77433">
        <w:rPr>
          <w:rStyle w:val="Appelnotedebasdep"/>
          <w:lang w:eastAsia="fr-CA"/>
        </w:rPr>
        <w:footnoteReference w:id="12"/>
      </w:r>
      <w:r w:rsidRPr="00F77433">
        <w:rPr>
          <w:lang w:eastAsia="fr-CA"/>
        </w:rPr>
        <w:t>. La punition s’applique autant pour l’ordonnance (ou l’injonction) qui a finalement été respectée que celle qui ne l’est toujours pas.</w:t>
      </w:r>
    </w:p>
    <w:p w14:paraId="4C42C52D" w14:textId="265567C3" w:rsidR="00506768" w:rsidRPr="00F77433" w:rsidRDefault="00506768" w:rsidP="009453F8">
      <w:pPr>
        <w:pStyle w:val="Paragraphe"/>
        <w:spacing w:line="280" w:lineRule="exact"/>
        <w:rPr>
          <w:lang w:eastAsia="fr-CA"/>
        </w:rPr>
      </w:pPr>
      <w:r w:rsidRPr="00F77433">
        <w:rPr>
          <w:lang w:eastAsia="fr-CA"/>
        </w:rPr>
        <w:t xml:space="preserve">Dans ce dernier cas, selon </w:t>
      </w:r>
      <w:r w:rsidRPr="00F77433">
        <w:t xml:space="preserve">l’al. 2 de l’art. 62 </w:t>
      </w:r>
      <w:r w:rsidRPr="00F77433">
        <w:rPr>
          <w:i/>
          <w:iCs/>
        </w:rPr>
        <w:t>C.p.c</w:t>
      </w:r>
      <w:r w:rsidRPr="00F77433">
        <w:t>.</w:t>
      </w:r>
      <w:r w:rsidRPr="00F77433">
        <w:rPr>
          <w:rStyle w:val="Appelnotedebasdep"/>
        </w:rPr>
        <w:footnoteReference w:id="13"/>
      </w:r>
      <w:r w:rsidRPr="00F77433">
        <w:t xml:space="preserve">, </w:t>
      </w:r>
      <w:r w:rsidRPr="00F77433">
        <w:rPr>
          <w:lang w:eastAsia="fr-CA"/>
        </w:rPr>
        <w:t xml:space="preserve">lorsque </w:t>
      </w:r>
      <w:r w:rsidRPr="00F77433">
        <w:t xml:space="preserve">la personne n’a toujours pas obtempéré à </w:t>
      </w:r>
      <w:r w:rsidRPr="00F77433">
        <w:rPr>
          <w:lang w:eastAsia="fr-CA"/>
        </w:rPr>
        <w:t xml:space="preserve">l’ordonnance (ou à l’injonction) à l’origine de l’outrage, la détention peut être imposée à des fins </w:t>
      </w:r>
      <w:r w:rsidRPr="00F77433">
        <w:rPr>
          <w:i/>
          <w:iCs/>
          <w:lang w:eastAsia="fr-CA"/>
        </w:rPr>
        <w:t>coercitives</w:t>
      </w:r>
      <w:r w:rsidRPr="00F77433">
        <w:rPr>
          <w:lang w:eastAsia="fr-CA"/>
        </w:rPr>
        <w:t xml:space="preserve"> en sus de la sanction punitive, comme « mesure civile d’exécution des ordonnances et injonctions »</w:t>
      </w:r>
      <w:r w:rsidRPr="00F77433">
        <w:rPr>
          <w:rStyle w:val="Appelnotedebasdep"/>
          <w:lang w:eastAsia="fr-CA"/>
        </w:rPr>
        <w:footnoteReference w:id="14"/>
      </w:r>
      <w:r w:rsidRPr="00F77433">
        <w:rPr>
          <w:lang w:eastAsia="fr-CA"/>
        </w:rPr>
        <w:t>.</w:t>
      </w:r>
    </w:p>
    <w:p w14:paraId="38932CEF" w14:textId="77777777" w:rsidR="00506768" w:rsidRPr="00F77433" w:rsidRDefault="00506768" w:rsidP="009453F8">
      <w:pPr>
        <w:pStyle w:val="Paragraphe"/>
        <w:spacing w:line="280" w:lineRule="exact"/>
        <w:rPr>
          <w:lang w:eastAsia="fr-CA"/>
        </w:rPr>
      </w:pPr>
      <w:r w:rsidRPr="00F77433">
        <w:t>Dans</w:t>
      </w:r>
      <w:r w:rsidRPr="00F77433">
        <w:rPr>
          <w:lang w:eastAsia="fr-CA"/>
        </w:rPr>
        <w:t xml:space="preserve"> un tel cas, le juge impose d’abord l’amende ou les travaux d’utilité sociale (ou les deux), et s’il conclut à la nécessité d’ajouter l’emprisonnement, il en fixe la durée qui ne peut excéder un an. Le juge prévoit également que la personne emprisonnée sera ramenée devant le tribunal à </w:t>
      </w:r>
      <w:r w:rsidRPr="00F77433">
        <w:t>intervalles réguliers</w:t>
      </w:r>
      <w:r w:rsidRPr="00F77433">
        <w:rPr>
          <w:lang w:eastAsia="fr-CA"/>
        </w:rPr>
        <w:t>, afin de lui permettre de s’expliquer</w:t>
      </w:r>
      <w:r w:rsidRPr="00F77433">
        <w:rPr>
          <w:rStyle w:val="Appelnotedebasdep"/>
          <w:szCs w:val="24"/>
          <w:lang w:eastAsia="fr-CA"/>
        </w:rPr>
        <w:footnoteReference w:id="15"/>
      </w:r>
      <w:r w:rsidRPr="00F77433">
        <w:rPr>
          <w:lang w:eastAsia="fr-CA"/>
        </w:rPr>
        <w:t xml:space="preserve">. La personne peut alors être libérée ou retournée en détention afin de purger le reliquat </w:t>
      </w:r>
      <w:r w:rsidRPr="00F77433">
        <w:rPr>
          <w:rFonts w:ascii="Helvetica" w:hAnsi="Helvetica" w:cs="Helvetica"/>
          <w:szCs w:val="24"/>
          <w:lang w:eastAsia="fr-CA"/>
        </w:rPr>
        <w:lastRenderedPageBreak/>
        <w:t>de la période d’emprisonnement ordonnée</w:t>
      </w:r>
      <w:r w:rsidRPr="00F77433">
        <w:rPr>
          <w:lang w:eastAsia="fr-CA"/>
        </w:rPr>
        <w:t>. Cela dit, dès que la personne respecte l’ordonnance ou l’injonction, elle doit être remise en liberté</w:t>
      </w:r>
      <w:r w:rsidRPr="00F77433">
        <w:rPr>
          <w:rStyle w:val="Appelnotedebasdep"/>
        </w:rPr>
        <w:footnoteReference w:id="16"/>
      </w:r>
      <w:r w:rsidRPr="00F77433">
        <w:t>.</w:t>
      </w:r>
    </w:p>
    <w:p w14:paraId="012FA1A6" w14:textId="357A6301" w:rsidR="00506768" w:rsidRPr="00F77433" w:rsidRDefault="00506768" w:rsidP="009453F8">
      <w:pPr>
        <w:pStyle w:val="Paragraphe"/>
        <w:spacing w:line="280" w:lineRule="exact"/>
        <w:rPr>
          <w:lang w:eastAsia="fr-CA"/>
        </w:rPr>
      </w:pPr>
      <w:r w:rsidRPr="00F77433">
        <w:t>Les objectifs et principes de détermination de la peine se transposent, avec une certaine adaptation, à l’évaluation de la sanction pour outrage au tribunal civil</w:t>
      </w:r>
      <w:r w:rsidRPr="00F77433">
        <w:rPr>
          <w:rStyle w:val="Appelnotedebasdep"/>
          <w:lang w:eastAsia="fr-CA"/>
        </w:rPr>
        <w:footnoteReference w:id="17"/>
      </w:r>
      <w:r w:rsidRPr="00F77433">
        <w:rPr>
          <w:lang w:eastAsia="fr-CA"/>
        </w:rPr>
        <w:t>.</w:t>
      </w:r>
    </w:p>
    <w:bookmarkEnd w:id="15"/>
    <w:bookmarkEnd w:id="16"/>
    <w:bookmarkEnd w:id="17"/>
    <w:bookmarkEnd w:id="18"/>
    <w:bookmarkEnd w:id="19"/>
    <w:bookmarkEnd w:id="20"/>
    <w:p w14:paraId="1B590219" w14:textId="77777777" w:rsidR="00506768" w:rsidRPr="00F77433" w:rsidRDefault="00506768" w:rsidP="00506768">
      <w:pPr>
        <w:pStyle w:val="Titre4"/>
      </w:pPr>
      <w:r w:rsidRPr="00F77433">
        <w:t>Analyse</w:t>
      </w:r>
    </w:p>
    <w:p w14:paraId="40B233AD" w14:textId="3334FBED" w:rsidR="00506768" w:rsidRPr="00F77433" w:rsidRDefault="00506768" w:rsidP="009453F8">
      <w:pPr>
        <w:pStyle w:val="Paragraphe"/>
        <w:spacing w:line="280" w:lineRule="exact"/>
        <w:rPr>
          <w:lang w:eastAsia="fr-CA"/>
        </w:rPr>
      </w:pPr>
      <w:r w:rsidRPr="00F77433">
        <w:rPr>
          <w:lang w:eastAsia="fr-CA"/>
        </w:rPr>
        <w:t xml:space="preserve">La </w:t>
      </w:r>
      <w:r w:rsidRPr="00F77433">
        <w:t xml:space="preserve">juge </w:t>
      </w:r>
      <w:r w:rsidRPr="00F77433">
        <w:rPr>
          <w:lang w:eastAsia="fr-CA"/>
        </w:rPr>
        <w:t>a déterminé qu’une amende n’était pas appropriée étant donnée la somme impayée de 8 000 $ découlant de la violation de l’ordonnance relative aux biens de l’intimée. Elle a donc imposé des travaux d’utilité sociale.</w:t>
      </w:r>
    </w:p>
    <w:p w14:paraId="0F755AD7" w14:textId="12B16F6B" w:rsidR="00506768" w:rsidRPr="00F77433" w:rsidRDefault="00506768" w:rsidP="009453F8">
      <w:pPr>
        <w:pStyle w:val="Paragraphe"/>
        <w:spacing w:line="280" w:lineRule="exact"/>
      </w:pPr>
      <w:r w:rsidRPr="00F77433">
        <w:rPr>
          <w:szCs w:val="24"/>
          <w:lang w:eastAsia="fr-CA"/>
        </w:rPr>
        <w:t xml:space="preserve">Par </w:t>
      </w:r>
      <w:r w:rsidRPr="00F77433">
        <w:t>ailleurs</w:t>
      </w:r>
      <w:r w:rsidRPr="00F77433">
        <w:rPr>
          <w:szCs w:val="24"/>
          <w:lang w:eastAsia="fr-CA"/>
        </w:rPr>
        <w:t>, la juge était peu optimiste quant à la possibilité que les travaux d’utilité sociale suffisent à eux seuls à assurer le respect des ordonnances relatives à la remise des biens de l’intimée et aux documents financiers</w:t>
      </w:r>
      <w:r w:rsidRPr="00F77433">
        <w:rPr>
          <w:rStyle w:val="Marquedecommentaire"/>
          <w:kern w:val="0"/>
        </w:rPr>
        <w:t xml:space="preserve"> </w:t>
      </w:r>
      <w:r w:rsidRPr="00F77433">
        <w:rPr>
          <w:szCs w:val="24"/>
          <w:lang w:eastAsia="fr-CA"/>
        </w:rPr>
        <w:t>essentiels pour établir les revenus de l’appelant. Elle a notamment souligné les tentatives répétées de l’appelant d’entraver leur exécution</w:t>
      </w:r>
      <w:r w:rsidRPr="00F77433">
        <w:rPr>
          <w:rStyle w:val="Appelnotedebasdep"/>
          <w:szCs w:val="24"/>
          <w:lang w:eastAsia="fr-CA"/>
        </w:rPr>
        <w:footnoteReference w:id="18"/>
      </w:r>
      <w:r w:rsidRPr="00F77433">
        <w:rPr>
          <w:szCs w:val="24"/>
          <w:lang w:eastAsia="fr-CA"/>
        </w:rPr>
        <w:t xml:space="preserve">, et le temps écoulé depuis les ordonnances (22 et 18 mois respectivement), avant de conclure </w:t>
      </w:r>
      <w:r w:rsidRPr="00F77433">
        <w:rPr>
          <w:lang w:eastAsia="fr-CA"/>
        </w:rPr>
        <w:t>qu’une période d’emprisonnement de 60 jours était également nécessaire.</w:t>
      </w:r>
    </w:p>
    <w:p w14:paraId="242AA3F4" w14:textId="340F7887" w:rsidR="00506768" w:rsidRPr="00F77433" w:rsidRDefault="00506768" w:rsidP="009453F8">
      <w:pPr>
        <w:pStyle w:val="Paragraphe"/>
        <w:spacing w:line="280" w:lineRule="exact"/>
      </w:pPr>
      <w:r w:rsidRPr="00F77433">
        <w:t>D’emblée, l’intimée reconna</w:t>
      </w:r>
      <w:r w:rsidR="00225665" w:rsidRPr="00F77433">
        <w:t>î</w:t>
      </w:r>
      <w:r w:rsidRPr="00F77433">
        <w:t>t qu’il y a lieu d’intervenir au niveau du quantum des travaux d’utilité sociale. En effet, dans les conclusions du jugement, la juge indique qu’elle condamne l’appelant à 175 heures, mais dans son analyse, elle estime qu’un total de 150 heures est approprié :</w:t>
      </w:r>
    </w:p>
    <w:p w14:paraId="12E083D0" w14:textId="79A95B08" w:rsidR="00506768" w:rsidRPr="00F77433" w:rsidRDefault="00506768" w:rsidP="00B211CA">
      <w:pPr>
        <w:pStyle w:val="Citationenretrait"/>
        <w:rPr>
          <w:szCs w:val="22"/>
        </w:rPr>
      </w:pPr>
      <w:r w:rsidRPr="00F77433">
        <w:rPr>
          <w:szCs w:val="22"/>
        </w:rPr>
        <w:t xml:space="preserve">[21]   Afin de </w:t>
      </w:r>
      <w:r w:rsidRPr="00F77433">
        <w:t>rencontrer</w:t>
      </w:r>
      <w:r w:rsidRPr="00F77433">
        <w:rPr>
          <w:szCs w:val="22"/>
        </w:rPr>
        <w:t xml:space="preserve"> les fins de la justice, la peine ne peut être symbolique. </w:t>
      </w:r>
      <w:r w:rsidRPr="00F77433">
        <w:rPr>
          <w:szCs w:val="22"/>
          <w:u w:val="single"/>
        </w:rPr>
        <w:t>Une peine de 150 heures de travaux d’utilité sociale apparaît juste et proportionnée afin de dénoncer la violation commise à l’égard, non pas d’une, mais de deux ordonnances,</w:t>
      </w:r>
      <w:r w:rsidRPr="00F77433">
        <w:rPr>
          <w:szCs w:val="22"/>
        </w:rPr>
        <w:t xml:space="preserve"> et de susciter chez le défendeur une prise de conscience sur la gravité de ses gestes et l’importance de respecter les ordonnances judiciaires.</w:t>
      </w:r>
    </w:p>
    <w:p w14:paraId="4A2D7091" w14:textId="77777777" w:rsidR="00506768" w:rsidRPr="00F77433" w:rsidRDefault="00506768" w:rsidP="00B211CA">
      <w:pPr>
        <w:pStyle w:val="Citationenretrait"/>
      </w:pPr>
      <w:r w:rsidRPr="00F77433">
        <w:t>[…]</w:t>
      </w:r>
    </w:p>
    <w:p w14:paraId="4C4458BF" w14:textId="25C5E4C4" w:rsidR="00506768" w:rsidRPr="00F77433" w:rsidRDefault="00506768" w:rsidP="00B211CA">
      <w:pPr>
        <w:pStyle w:val="Citationenretrait"/>
        <w:rPr>
          <w:szCs w:val="22"/>
        </w:rPr>
      </w:pPr>
      <w:r w:rsidRPr="00F77433">
        <w:rPr>
          <w:szCs w:val="22"/>
        </w:rPr>
        <w:t>[40]   </w:t>
      </w:r>
      <w:r w:rsidRPr="00F77433">
        <w:rPr>
          <w:b/>
          <w:bCs/>
          <w:szCs w:val="22"/>
        </w:rPr>
        <w:t>CONDAMNE</w:t>
      </w:r>
      <w:r w:rsidRPr="00F77433">
        <w:rPr>
          <w:szCs w:val="22"/>
        </w:rPr>
        <w:t xml:space="preserve"> le </w:t>
      </w:r>
      <w:r w:rsidRPr="00F77433">
        <w:t>défendeur</w:t>
      </w:r>
      <w:r w:rsidRPr="00F77433">
        <w:rPr>
          <w:szCs w:val="22"/>
        </w:rPr>
        <w:t xml:space="preserve">, coupable d’outrage au tribunal, à des travaux d’utilité sociale; et </w:t>
      </w:r>
      <w:r w:rsidRPr="00F77433">
        <w:rPr>
          <w:b/>
          <w:bCs/>
          <w:szCs w:val="22"/>
        </w:rPr>
        <w:t>ORDONNE</w:t>
      </w:r>
      <w:r w:rsidRPr="00F77433">
        <w:rPr>
          <w:szCs w:val="22"/>
        </w:rPr>
        <w:t xml:space="preserve"> au défendeur d’accomplir </w:t>
      </w:r>
      <w:r w:rsidRPr="00F77433">
        <w:rPr>
          <w:szCs w:val="22"/>
          <w:u w:val="single"/>
        </w:rPr>
        <w:t>cent soixante-quinze (175) heures de travail d’utilité sociale,</w:t>
      </w:r>
      <w:r w:rsidRPr="00F77433">
        <w:rPr>
          <w:szCs w:val="22"/>
        </w:rPr>
        <w:t xml:space="preserve"> sous la supervision d’une personne agente </w:t>
      </w:r>
      <w:r w:rsidRPr="00F77433">
        <w:rPr>
          <w:szCs w:val="22"/>
        </w:rPr>
        <w:lastRenderedPageBreak/>
        <w:t>de probation du district de Terrebonne, ou de toutes autres personnes à être désignées par elle, dans un délai de douze (12) mois du présent jugement;</w:t>
      </w:r>
      <w:r w:rsidRPr="00F77433">
        <w:rPr>
          <w:rStyle w:val="Appelnotedebasdep"/>
          <w:szCs w:val="22"/>
        </w:rPr>
        <w:footnoteReference w:id="19"/>
      </w:r>
    </w:p>
    <w:p w14:paraId="750D6AB4" w14:textId="77777777" w:rsidR="00506768" w:rsidRPr="00F77433" w:rsidRDefault="00506768" w:rsidP="00225665">
      <w:pPr>
        <w:pStyle w:val="Paragraphe"/>
        <w:numPr>
          <w:ilvl w:val="0"/>
          <w:numId w:val="0"/>
        </w:numPr>
        <w:spacing w:line="280" w:lineRule="exact"/>
        <w:ind w:left="425" w:right="714"/>
        <w:jc w:val="right"/>
        <w:rPr>
          <w:sz w:val="22"/>
          <w:szCs w:val="22"/>
        </w:rPr>
      </w:pPr>
      <w:r w:rsidRPr="00F77433">
        <w:rPr>
          <w:sz w:val="22"/>
          <w:szCs w:val="22"/>
        </w:rPr>
        <w:t>[Soulignements ajoutés]</w:t>
      </w:r>
    </w:p>
    <w:p w14:paraId="1EC37AFF" w14:textId="1192FC62" w:rsidR="00506768" w:rsidRPr="00F77433" w:rsidRDefault="00506768" w:rsidP="00503381">
      <w:pPr>
        <w:pStyle w:val="Paragraphe"/>
        <w:tabs>
          <w:tab w:val="clear" w:pos="720"/>
          <w:tab w:val="num" w:pos="709"/>
        </w:tabs>
        <w:spacing w:before="240" w:line="280" w:lineRule="exact"/>
      </w:pPr>
      <w:r w:rsidRPr="00F77433">
        <w:t>Même au regard d’une sanction de 150</w:t>
      </w:r>
      <w:r w:rsidR="00F77433">
        <w:t xml:space="preserve"> </w:t>
      </w:r>
      <w:r w:rsidRPr="00F77433">
        <w:t xml:space="preserve">heures de </w:t>
      </w:r>
      <w:r w:rsidR="00E57145" w:rsidRPr="00F77433">
        <w:t>trava</w:t>
      </w:r>
      <w:r w:rsidR="00243A19" w:rsidRPr="00F77433">
        <w:t>il</w:t>
      </w:r>
      <w:r w:rsidR="00E57145" w:rsidRPr="00F77433">
        <w:t xml:space="preserve"> </w:t>
      </w:r>
      <w:r w:rsidRPr="00F77433">
        <w:t xml:space="preserve">d’utilité sociale, l’appelant considère que les </w:t>
      </w:r>
      <w:r w:rsidRPr="00F77433">
        <w:rPr>
          <w:szCs w:val="24"/>
          <w:lang w:eastAsia="fr-CA"/>
        </w:rPr>
        <w:t>60 jours d’emprisonnement</w:t>
      </w:r>
      <w:r w:rsidRPr="00F77433">
        <w:t xml:space="preserve"> sont disproportionnés et manifestement non indiqués puisqu’il n’a pas la disponibilité nécessaire pour la purger et qu’il maintient vouloir se conformer aux ordonnances. Il a d’ailleurs déjà remboursé 2 000 $ et a permis à l’intimée de récupérer une partie de ses biens en présence de policiers.</w:t>
      </w:r>
    </w:p>
    <w:p w14:paraId="4C524900" w14:textId="72386468" w:rsidR="00506768" w:rsidRPr="00F77433" w:rsidRDefault="00506768" w:rsidP="009453F8">
      <w:pPr>
        <w:pStyle w:val="Paragraphe"/>
        <w:spacing w:line="280" w:lineRule="exact"/>
      </w:pPr>
      <w:r w:rsidRPr="00F77433">
        <w:t>La Cour constate en effet une erreur de principe ayant une incidence sur les conclusions</w:t>
      </w:r>
      <w:r w:rsidRPr="00F77433">
        <w:rPr>
          <w:rStyle w:val="Appelnotedebasdep"/>
        </w:rPr>
        <w:footnoteReference w:id="20"/>
      </w:r>
      <w:r w:rsidRPr="00F77433">
        <w:t xml:space="preserve"> et les rendant disproportionnés. La juge a prévu</w:t>
      </w:r>
      <w:r w:rsidR="00E57145" w:rsidRPr="00F77433">
        <w:t xml:space="preserve"> l’emprisonnement</w:t>
      </w:r>
      <w:r w:rsidRPr="00F77433">
        <w:t>, notamment en raison du défaut de l’appelant de rembourser la somme de 8 000 $, alors que l’aspect monétaire des ordonnances ne faisait pas partie de la condamnation pour outrage, comme il est indiqué dans le Jugement</w:t>
      </w:r>
      <w:r w:rsidR="00503381" w:rsidRPr="00F77433">
        <w:t xml:space="preserve"> </w:t>
      </w:r>
      <w:r w:rsidRPr="00F77433">
        <w:t>sur l’outrage où le contenu de la citation à compara</w:t>
      </w:r>
      <w:r w:rsidR="00225665" w:rsidRPr="00F77433">
        <w:t>î</w:t>
      </w:r>
      <w:r w:rsidRPr="00F77433">
        <w:t>tre</w:t>
      </w:r>
      <w:r w:rsidR="00503381" w:rsidRPr="00F77433">
        <w:t xml:space="preserve"> </w:t>
      </w:r>
      <w:r w:rsidRPr="00F77433">
        <w:t>est reproduit :</w:t>
      </w:r>
    </w:p>
    <w:p w14:paraId="0BC75FF7" w14:textId="691CCB49" w:rsidR="00506768" w:rsidRPr="00F77433" w:rsidRDefault="00506768" w:rsidP="00503381">
      <w:pPr>
        <w:pStyle w:val="Citationenretrait"/>
      </w:pPr>
      <w:r w:rsidRPr="00F77433">
        <w:t>[21   Le 14 juin 2024, l’honorable Pierre A. Béliveau, j.c.s., cite le défendeur à comparaître pour répondre à l’accusation d’outrage au tribunal. L’outrage allégué à l’ordonnance est ainsi formulé :</w:t>
      </w:r>
    </w:p>
    <w:p w14:paraId="7AB94DD6" w14:textId="77777777" w:rsidR="00506768" w:rsidRPr="00F77433" w:rsidRDefault="00506768" w:rsidP="00EF6199">
      <w:pPr>
        <w:pStyle w:val="Citationenretrait"/>
        <w:ind w:left="1440"/>
      </w:pPr>
      <w:r w:rsidRPr="00F77433">
        <w:t>Monsieur L…, le défendeur refuse et/ou néglige de se conformer au jugement du 12 janvier 2024 rendu par l’honorable Danielle Turcotte, j.c.s., et celui du 25 avril 2024 rendu par l’honorable Andres Garin, j.c.s., pour les raisons suivantes :</w:t>
      </w:r>
    </w:p>
    <w:p w14:paraId="31EBF30B" w14:textId="3C80ECE2" w:rsidR="00506768" w:rsidRPr="00F77433" w:rsidRDefault="00506768" w:rsidP="00EF6199">
      <w:pPr>
        <w:pStyle w:val="Citationenretrait"/>
        <w:ind w:left="2160"/>
      </w:pPr>
      <w:r w:rsidRPr="00F77433">
        <w:t>a.</w:t>
      </w:r>
      <w:r w:rsidR="00225665" w:rsidRPr="00F77433">
        <w:t>   </w:t>
      </w:r>
      <w:r w:rsidRPr="00F77433">
        <w:t xml:space="preserve">Le défendeur refuse de remettre </w:t>
      </w:r>
      <w:r w:rsidRPr="00F77433">
        <w:rPr>
          <w:u w:val="single"/>
        </w:rPr>
        <w:t>les biens</w:t>
      </w:r>
      <w:r w:rsidRPr="00F77433">
        <w:t xml:space="preserve"> appartenant à la demanderesse lesquels sont énumérés à l’Annexe A du jugement du 12 janvier 2024;</w:t>
      </w:r>
    </w:p>
    <w:p w14:paraId="43D7C0D7" w14:textId="72FB327B" w:rsidR="00506768" w:rsidRPr="00F77433" w:rsidRDefault="00506768" w:rsidP="00EF6199">
      <w:pPr>
        <w:pStyle w:val="Citationenretrait"/>
        <w:ind w:left="2160"/>
        <w:rPr>
          <w:szCs w:val="22"/>
        </w:rPr>
      </w:pPr>
      <w:r w:rsidRPr="00F77433">
        <w:t>b.</w:t>
      </w:r>
      <w:r w:rsidR="00225665" w:rsidRPr="00F77433">
        <w:t>   </w:t>
      </w:r>
      <w:r w:rsidRPr="00F77433">
        <w:t xml:space="preserve">Le défendeur n’a pas communiqué à la demanderesse dans un délai de trente (30) jours suivant le jugement du 25 avril 2024 </w:t>
      </w:r>
      <w:r w:rsidRPr="00F77433">
        <w:rPr>
          <w:u w:val="single"/>
        </w:rPr>
        <w:t>les documents</w:t>
      </w:r>
      <w:r w:rsidRPr="00F77433">
        <w:t xml:space="preserve"> visés par les paragraphes 45 a) b) c) d) e) i) et l) de la Demande de la demanderesse pour mesures de gestion et ordonnance de sauvegarde datée du 19 avril 2024.</w:t>
      </w:r>
      <w:r w:rsidRPr="00F77433">
        <w:rPr>
          <w:rStyle w:val="Appelnotedebasdep"/>
        </w:rPr>
        <w:footnoteReference w:id="21"/>
      </w:r>
    </w:p>
    <w:p w14:paraId="470DDBC3" w14:textId="77777777" w:rsidR="00506768" w:rsidRPr="00F77433" w:rsidRDefault="00506768" w:rsidP="00225665">
      <w:pPr>
        <w:pStyle w:val="Paragraphe"/>
        <w:numPr>
          <w:ilvl w:val="0"/>
          <w:numId w:val="0"/>
        </w:numPr>
        <w:spacing w:line="280" w:lineRule="exact"/>
        <w:ind w:left="992" w:right="714"/>
        <w:jc w:val="right"/>
        <w:rPr>
          <w:sz w:val="22"/>
          <w:szCs w:val="22"/>
        </w:rPr>
      </w:pPr>
      <w:r w:rsidRPr="00F77433">
        <w:rPr>
          <w:sz w:val="22"/>
          <w:szCs w:val="22"/>
        </w:rPr>
        <w:t>[Soulignements ajoutés et renvoi omis]</w:t>
      </w:r>
    </w:p>
    <w:p w14:paraId="79B491A4" w14:textId="77777777" w:rsidR="00506768" w:rsidRPr="00F77433" w:rsidRDefault="00506768" w:rsidP="00EF6199">
      <w:pPr>
        <w:pStyle w:val="Paragraphe"/>
        <w:spacing w:before="240" w:line="280" w:lineRule="exact"/>
      </w:pPr>
      <w:r w:rsidRPr="00F77433">
        <w:lastRenderedPageBreak/>
        <w:t>Dans son analyse, la juge tient compte de la somme de 8 000 $ qui n’a pas totalement été payée</w:t>
      </w:r>
      <w:r w:rsidRPr="00F77433">
        <w:rPr>
          <w:rStyle w:val="Appelnotedebasdep"/>
        </w:rPr>
        <w:footnoteReference w:id="22"/>
      </w:r>
      <w:r w:rsidRPr="00F77433">
        <w:t xml:space="preserve">. Il s’agit certes d’une circonstance pertinente de façon générale, mais l’appelant ne pouvait être puni à cet égard ni se voir imposer une mesure coercitive pour ce manquement, contrairement à ce qui a été ordonné : </w:t>
      </w:r>
    </w:p>
    <w:p w14:paraId="1F443D90" w14:textId="28993E33" w:rsidR="00506768" w:rsidRPr="00F77433" w:rsidRDefault="00506768" w:rsidP="00EF6199">
      <w:pPr>
        <w:pStyle w:val="Citationenretrait"/>
      </w:pPr>
      <w:r w:rsidRPr="00F77433">
        <w:t>[43]   </w:t>
      </w:r>
      <w:r w:rsidRPr="00F77433">
        <w:rPr>
          <w:b/>
          <w:bCs/>
        </w:rPr>
        <w:t>CONDAMNE</w:t>
      </w:r>
      <w:r w:rsidRPr="00F77433">
        <w:t xml:space="preserve"> le défendeur, A… L…, à partir du 19 décembre 2025, sans sursis et sans remise de peine, </w:t>
      </w:r>
      <w:r w:rsidRPr="00F77433">
        <w:rPr>
          <w:u w:val="single"/>
        </w:rPr>
        <w:t>à une peine d’emprisonnement de soixante (60) jours consécutifs à moins qu’il n’ait payé d’ici cette date la somme de 8000 $</w:t>
      </w:r>
      <w:r w:rsidRPr="00F77433">
        <w:t xml:space="preserve">, laquelle devant être déposée au greffe du Palais de justice de Saint-Jérôme (service de justice) plus les frais administratifs de 4 % au montant de 320 $; </w:t>
      </w:r>
      <w:r w:rsidRPr="00F77433">
        <w:rPr>
          <w:u w:val="single"/>
        </w:rPr>
        <w:t>remis à la demanderesse les biens décrits au jugement du 12 janvier 2024</w:t>
      </w:r>
      <w:r w:rsidRPr="00F77433">
        <w:t xml:space="preserve"> </w:t>
      </w:r>
      <w:r w:rsidRPr="00F77433">
        <w:rPr>
          <w:u w:val="single"/>
        </w:rPr>
        <w:t>et communiqué les documents énumérés au jugement du 25 avril 2024</w:t>
      </w:r>
      <w:r w:rsidRPr="00F77433">
        <w:t xml:space="preserve">; et </w:t>
      </w:r>
      <w:r w:rsidRPr="00F77433">
        <w:rPr>
          <w:b/>
          <w:bCs/>
        </w:rPr>
        <w:t>ORDONNE</w:t>
      </w:r>
      <w:r w:rsidRPr="00F77433">
        <w:t xml:space="preserve">, le cas échéant, </w:t>
      </w:r>
      <w:r w:rsidRPr="00F77433">
        <w:rPr>
          <w:u w:val="single"/>
        </w:rPr>
        <w:t>la libération de la somme de 8000 $</w:t>
      </w:r>
      <w:r w:rsidRPr="00F77433">
        <w:t xml:space="preserve"> à compter du 20 décembre 2025.</w:t>
      </w:r>
      <w:r w:rsidRPr="00F77433">
        <w:rPr>
          <w:rStyle w:val="Appelnotedebasdep"/>
          <w:szCs w:val="22"/>
        </w:rPr>
        <w:footnoteReference w:id="23"/>
      </w:r>
    </w:p>
    <w:p w14:paraId="17FA6FE4" w14:textId="33CF152B" w:rsidR="00506768" w:rsidRPr="00F77433" w:rsidRDefault="00506768" w:rsidP="00EF6199">
      <w:pPr>
        <w:pStyle w:val="Paragraphe"/>
        <w:spacing w:before="240" w:line="280" w:lineRule="exact"/>
      </w:pPr>
      <w:r w:rsidRPr="00F77433">
        <w:rPr>
          <w:szCs w:val="24"/>
        </w:rPr>
        <w:t>L</w:t>
      </w:r>
      <w:r w:rsidRPr="00F77433">
        <w:rPr>
          <w:rFonts w:ascii="Helvetica" w:hAnsi="Helvetica" w:cs="Helvetica"/>
          <w:szCs w:val="24"/>
          <w:lang w:eastAsia="fr-CA"/>
        </w:rPr>
        <w:t xml:space="preserve">a juge a donc commis une erreur de principe en liant la condamnation monétaire à la période d'emprisonnement. Cela impose à la Cour de procéder à une nouvelle détermination de la peine et non de simplement ajuster les conclusions de la juge. En </w:t>
      </w:r>
      <w:r w:rsidRPr="00F77433">
        <w:t>prenant</w:t>
      </w:r>
      <w:r w:rsidRPr="00F77433">
        <w:rPr>
          <w:rFonts w:ascii="Helvetica" w:hAnsi="Helvetica" w:cs="Helvetica"/>
          <w:szCs w:val="24"/>
          <w:lang w:eastAsia="fr-CA"/>
        </w:rPr>
        <w:t xml:space="preserve"> les conclusions de fait de la juge</w:t>
      </w:r>
      <w:r w:rsidRPr="00F77433">
        <w:rPr>
          <w:rStyle w:val="Appelnotedebasdep"/>
          <w:sz w:val="22"/>
          <w:szCs w:val="22"/>
        </w:rPr>
        <w:footnoteReference w:id="24"/>
      </w:r>
      <w:r w:rsidRPr="00F77433">
        <w:rPr>
          <w:rFonts w:ascii="Helvetica" w:hAnsi="Helvetica" w:cs="Helvetica"/>
          <w:szCs w:val="24"/>
          <w:lang w:eastAsia="fr-CA"/>
        </w:rPr>
        <w:t xml:space="preserve">, </w:t>
      </w:r>
      <w:r w:rsidRPr="00F77433">
        <w:rPr>
          <w:szCs w:val="24"/>
        </w:rPr>
        <w:t xml:space="preserve">l’imposition de travaux d’utilité sociale à titre de sanction punitive et de l’emprisonnement demeurent justifiés. Par ailleurs, selon l’évaluation de la juge des facteurs pertinents, du fait </w:t>
      </w:r>
      <w:r w:rsidRPr="00F77433">
        <w:rPr>
          <w:rFonts w:ascii="Helvetica" w:hAnsi="Helvetica" w:cs="Helvetica"/>
          <w:szCs w:val="24"/>
          <w:lang w:eastAsia="fr-CA"/>
        </w:rPr>
        <w:t>qu’il s’agit de la première infraction de l’appelant et du principe de proportionnalité, la Cour est d’avis qu’</w:t>
      </w:r>
      <w:r w:rsidRPr="00F77433">
        <w:rPr>
          <w:szCs w:val="24"/>
        </w:rPr>
        <w:t>un quantum de</w:t>
      </w:r>
      <w:r w:rsidRPr="00F77433">
        <w:rPr>
          <w:rFonts w:ascii="Helvetica" w:hAnsi="Helvetica" w:cs="Helvetica"/>
          <w:szCs w:val="24"/>
          <w:lang w:eastAsia="fr-CA"/>
        </w:rPr>
        <w:t xml:space="preserve"> 100 heures de travail d’utilité sociale est approprié et que 30 jours suffisent pour remplir la fonction coercitive de l’emprisonnement, </w:t>
      </w:r>
      <w:r w:rsidRPr="00F77433">
        <w:t>en prévoyant de ramener l’appelant devant le tribunal tous les 10 jours.</w:t>
      </w:r>
    </w:p>
    <w:p w14:paraId="7DA3489A" w14:textId="77777777" w:rsidR="00506768" w:rsidRPr="00F77433" w:rsidRDefault="00506768" w:rsidP="00506768">
      <w:pPr>
        <w:pStyle w:val="Titre4"/>
      </w:pPr>
      <w:bookmarkStart w:id="21" w:name="_Toc232595591"/>
      <w:bookmarkStart w:id="22" w:name="_Toc232528042"/>
      <w:r w:rsidRPr="00F77433">
        <w:t>Les demandes de l’intimée</w:t>
      </w:r>
    </w:p>
    <w:p w14:paraId="7C2546C9" w14:textId="77777777" w:rsidR="00506768" w:rsidRPr="00F77433" w:rsidRDefault="00506768" w:rsidP="009453F8">
      <w:pPr>
        <w:pStyle w:val="Paragraphe"/>
        <w:spacing w:line="280" w:lineRule="exact"/>
      </w:pPr>
      <w:r w:rsidRPr="00F77433">
        <w:t>Dans son exposé, l’intimée formule trois demandes visant à (1) faire déclarer l’appel abusif; (2) faire déclarer l’appelant plaideur quérulent; et à (3) sanctionner un manquement important dans le déroulement de l’instance.</w:t>
      </w:r>
    </w:p>
    <w:p w14:paraId="3D197D30" w14:textId="76E8C0D1" w:rsidR="00506768" w:rsidRPr="00F77433" w:rsidRDefault="00506768" w:rsidP="009453F8">
      <w:pPr>
        <w:pStyle w:val="Paragraphe"/>
        <w:spacing w:line="280" w:lineRule="exact"/>
      </w:pPr>
      <w:bookmarkStart w:id="23" w:name="_Hlk233366665"/>
      <w:bookmarkEnd w:id="21"/>
      <w:r w:rsidRPr="00F77433">
        <w:t xml:space="preserve">Concernant la premièrement demande, l’intimée reprend les arguments qui se retrouvaient dans sa </w:t>
      </w:r>
      <w:r w:rsidRPr="00F77433">
        <w:rPr>
          <w:i/>
          <w:iCs/>
        </w:rPr>
        <w:t>Requête en rejet d’appel et en déclaration d’abus</w:t>
      </w:r>
      <w:r w:rsidRPr="00F77433">
        <w:t xml:space="preserve"> présentée dans le cadre de l’appel de la peine. Cette requête a été rejetée sur le vu du dossier le 29 janvier 2026</w:t>
      </w:r>
      <w:bookmarkEnd w:id="23"/>
      <w:r w:rsidRPr="00F77433">
        <w:rPr>
          <w:rStyle w:val="Appelnotedebasdep"/>
        </w:rPr>
        <w:footnoteReference w:id="25"/>
      </w:r>
      <w:r w:rsidRPr="00F77433">
        <w:t xml:space="preserve"> et il n’y a pas lieu de rouvrir cette question</w:t>
      </w:r>
      <w:bookmarkStart w:id="24" w:name="_Hlk233374438"/>
      <w:r w:rsidRPr="00F77433">
        <w:t xml:space="preserve"> en l’espèce, d’autant plus </w:t>
      </w:r>
      <w:r w:rsidRPr="00F77433">
        <w:lastRenderedPageBreak/>
        <w:t>qu’une demande similaire avait déjà été rejetée dans le cadre de l’appel du jugement sur l’outrage</w:t>
      </w:r>
      <w:r w:rsidRPr="00F77433">
        <w:rPr>
          <w:rStyle w:val="Appelnotedebasdep"/>
        </w:rPr>
        <w:footnoteReference w:id="26"/>
      </w:r>
      <w:r w:rsidRPr="00F77433">
        <w:t>.</w:t>
      </w:r>
    </w:p>
    <w:bookmarkEnd w:id="22"/>
    <w:p w14:paraId="15E47122" w14:textId="77777777" w:rsidR="00506768" w:rsidRPr="00F77433" w:rsidRDefault="00506768" w:rsidP="009453F8">
      <w:pPr>
        <w:pStyle w:val="Paragraphe"/>
        <w:spacing w:line="280" w:lineRule="exact"/>
      </w:pPr>
      <w:r w:rsidRPr="00F77433">
        <w:t>La deuxième demande de l’intimée vise à faire déclarer l’appelant plaideur quérulent. Elle offre des arguments similaires à l’abus et, dans les deux cas, c’est le comportement qui se déroule en appel (et non en première instance) qui est pertinent</w:t>
      </w:r>
      <w:r w:rsidRPr="00F77433">
        <w:rPr>
          <w:rStyle w:val="Appelnotedebasdep"/>
        </w:rPr>
        <w:footnoteReference w:id="27"/>
      </w:r>
      <w:r w:rsidRPr="00F77433">
        <w:t>. À cet égard, la Cour n’est pas convaincue que la déclaration de quérulence soit justifiée, tout en notant que les multiples procédures en appel et la redondance des demandes de permission de présenter une nouvelle preuve, dont la tardiveté de la dernière, constituent des indices de comportement quérulent qui pourraient l’amener à revisiter la question si l’appelant persiste en ce sens</w:t>
      </w:r>
      <w:r w:rsidRPr="00F77433">
        <w:rPr>
          <w:rStyle w:val="Appelnotedebasdep"/>
        </w:rPr>
        <w:footnoteReference w:id="28"/>
      </w:r>
      <w:r w:rsidRPr="00F77433">
        <w:t>.</w:t>
      </w:r>
    </w:p>
    <w:p w14:paraId="77D4DEE5" w14:textId="6D746466" w:rsidR="00506768" w:rsidRPr="00F77433" w:rsidRDefault="00506768" w:rsidP="009453F8">
      <w:pPr>
        <w:pStyle w:val="Paragraphe"/>
        <w:spacing w:line="280" w:lineRule="exact"/>
        <w:rPr>
          <w:lang w:val="fr-FR"/>
        </w:rPr>
      </w:pPr>
      <w:r w:rsidRPr="00F77433">
        <w:t>Troisièmement, l’intimée réclame un dédommagement de 10 000</w:t>
      </w:r>
      <w:r w:rsidR="00416F5F" w:rsidRPr="00F77433">
        <w:t> </w:t>
      </w:r>
      <w:r w:rsidRPr="00F77433">
        <w:t xml:space="preserve">$ pour sanctionner un manquement au déroulement de l’instance de la part de l’appelant (art. 342 </w:t>
      </w:r>
      <w:r w:rsidRPr="00F77433">
        <w:rPr>
          <w:i/>
          <w:iCs/>
        </w:rPr>
        <w:t>C.p.c</w:t>
      </w:r>
      <w:r w:rsidRPr="00F77433">
        <w:t>.), parce qu’il a utilisé l’intelligence artificielle pour la rédaction de sa déclaration d’appel et de son exposé, qui comportent deux références à des arrêts inexistants et une référence inexacte quant à un paragraphe cité.</w:t>
      </w:r>
    </w:p>
    <w:p w14:paraId="3C77E436" w14:textId="77777777" w:rsidR="00506768" w:rsidRPr="00F77433" w:rsidRDefault="00506768" w:rsidP="009453F8">
      <w:pPr>
        <w:pStyle w:val="Paragraphe"/>
        <w:spacing w:line="280" w:lineRule="exact"/>
      </w:pPr>
      <w:r w:rsidRPr="00F77433">
        <w:t xml:space="preserve">Bien qu’il ne soit pas interdit de recourir à l’intelligence artificielle dans la rédaction des actes de procédure en appel, les parties, même non représentées </w:t>
      </w:r>
      <w:r w:rsidRPr="00F77433">
        <w:rPr>
          <w:rFonts w:eastAsia="Arial" w:cs="Arial"/>
          <w:szCs w:val="24"/>
        </w:rPr>
        <w:t xml:space="preserve">(art. 23 </w:t>
      </w:r>
      <w:r w:rsidRPr="00F77433">
        <w:rPr>
          <w:rFonts w:eastAsia="Arial" w:cs="Arial"/>
          <w:i/>
          <w:iCs/>
          <w:szCs w:val="24"/>
        </w:rPr>
        <w:t>C.p.c.</w:t>
      </w:r>
      <w:r w:rsidRPr="00F77433">
        <w:rPr>
          <w:rFonts w:eastAsia="Arial" w:cs="Arial"/>
          <w:szCs w:val="24"/>
        </w:rPr>
        <w:t xml:space="preserve">), </w:t>
      </w:r>
      <w:r w:rsidRPr="00F77433">
        <w:t xml:space="preserve">doivent en tout temps s’assurer de l’utiliser avec rigueur et dans </w:t>
      </w:r>
      <w:r w:rsidRPr="00F77433">
        <w:rPr>
          <w:rFonts w:eastAsia="Arial" w:cs="Arial"/>
          <w:szCs w:val="24"/>
        </w:rPr>
        <w:t>le respect </w:t>
      </w:r>
      <w:r w:rsidRPr="00F77433">
        <w:t>des principes directeurs de la procédure (art. 18 à 20 </w:t>
      </w:r>
      <w:r w:rsidRPr="00F77433">
        <w:rPr>
          <w:i/>
          <w:iCs/>
        </w:rPr>
        <w:t>C.p.c</w:t>
      </w:r>
      <w:r w:rsidRPr="00F77433">
        <w:t xml:space="preserve">.). Elles doivent également respecter </w:t>
      </w:r>
      <w:r w:rsidRPr="00F77433">
        <w:rPr>
          <w:i/>
          <w:iCs/>
        </w:rPr>
        <w:t>l’</w:t>
      </w:r>
      <w:r w:rsidRPr="00F77433">
        <w:rPr>
          <w:i/>
          <w:iCs/>
          <w:lang w:val="fr-FR"/>
        </w:rPr>
        <w:t xml:space="preserve">Avis concernant le recours à l’intelligence artificielle devant la Cour d’appel </w:t>
      </w:r>
      <w:r w:rsidRPr="00F77433">
        <w:rPr>
          <w:lang w:val="fr-FR"/>
        </w:rPr>
        <w:t>adopté par la Juge en chef du Québec,</w:t>
      </w:r>
      <w:r w:rsidRPr="00F77433">
        <w:rPr>
          <w:i/>
          <w:iCs/>
          <w:lang w:val="fr-FR"/>
        </w:rPr>
        <w:t xml:space="preserve"> </w:t>
      </w:r>
      <w:r w:rsidRPr="00F77433">
        <w:rPr>
          <w:lang w:val="fr-FR"/>
        </w:rPr>
        <w:t xml:space="preserve">qui prévoit notamment que « [l]e plaideur est responsable de l’exactitude de ses observations écrites et orales. S’il utilise l’intelligence artificielle pour les préparer, il doit vérifier et contrôler l’information fournie. </w:t>
      </w:r>
      <w:r w:rsidRPr="00F77433">
        <w:rPr>
          <w:u w:val="single"/>
          <w:lang w:val="fr-FR"/>
        </w:rPr>
        <w:t>Il lui appartient d’effectuer les recoupements nécessaires avec des banques de données fiables afin de s’assurer que les références et leur contenu résistent à un examen minutieux et contribuent à maintenir l’intégrité et la fiabilité de notre système de justice</w:t>
      </w:r>
      <w:r w:rsidRPr="00F77433">
        <w:rPr>
          <w:lang w:val="fr-FR"/>
        </w:rPr>
        <w:t> »</w:t>
      </w:r>
      <w:r w:rsidRPr="00F77433">
        <w:rPr>
          <w:rStyle w:val="Appelnotedebasdep"/>
        </w:rPr>
        <w:footnoteReference w:id="29"/>
      </w:r>
      <w:r w:rsidRPr="00F77433">
        <w:rPr>
          <w:lang w:val="fr-FR"/>
        </w:rPr>
        <w:t>.</w:t>
      </w:r>
    </w:p>
    <w:p w14:paraId="5E7AD08B" w14:textId="77777777" w:rsidR="00506768" w:rsidRPr="00F77433" w:rsidRDefault="00506768" w:rsidP="009453F8">
      <w:pPr>
        <w:pStyle w:val="Paragraphe"/>
        <w:spacing w:line="280" w:lineRule="exact"/>
      </w:pPr>
      <w:r w:rsidRPr="00F77433">
        <w:t>L’appelant</w:t>
      </w:r>
      <w:r w:rsidRPr="00F77433">
        <w:rPr>
          <w:rFonts w:eastAsia="Arial" w:cs="Arial"/>
          <w:szCs w:val="24"/>
        </w:rPr>
        <w:t xml:space="preserve"> a contrevenu à cet Avis de la Juge en chef et la Cour estime que dans les circonstances de l’affaire, il y a lieu de dénoncer ce comportement, qui s’apparente à une forme de négligence plutôt que de la mauvaise foi.</w:t>
      </w:r>
    </w:p>
    <w:p w14:paraId="289F580A" w14:textId="1B24EE92" w:rsidR="00506768" w:rsidRPr="00F77433" w:rsidRDefault="00506768" w:rsidP="009453F8">
      <w:pPr>
        <w:pStyle w:val="Paragraphe"/>
        <w:spacing w:line="280" w:lineRule="exact"/>
        <w:rPr>
          <w:rFonts w:cs="Arial"/>
        </w:rPr>
      </w:pPr>
      <w:r w:rsidRPr="00F77433">
        <w:t>Effectivement</w:t>
      </w:r>
      <w:r w:rsidRPr="00F77433">
        <w:rPr>
          <w:rFonts w:eastAsia="Arial" w:cs="Arial"/>
          <w:szCs w:val="24"/>
        </w:rPr>
        <w:t xml:space="preserve">, la présente affaire se distingue de l’affaire </w:t>
      </w:r>
      <w:r w:rsidRPr="00F77433">
        <w:rPr>
          <w:rFonts w:eastAsia="Arial" w:cs="Arial"/>
          <w:i/>
          <w:iCs/>
          <w:szCs w:val="24"/>
        </w:rPr>
        <w:t>Droit de la famille</w:t>
      </w:r>
      <w:r w:rsidRPr="00F77433">
        <w:rPr>
          <w:rFonts w:eastAsia="Arial" w:cs="Arial"/>
          <w:szCs w:val="24"/>
        </w:rPr>
        <w:t xml:space="preserve"> — </w:t>
      </w:r>
      <w:r w:rsidRPr="00F77433">
        <w:rPr>
          <w:rFonts w:eastAsia="Arial" w:cs="Arial"/>
          <w:i/>
          <w:iCs/>
          <w:szCs w:val="24"/>
        </w:rPr>
        <w:t>261234</w:t>
      </w:r>
      <w:r w:rsidRPr="00F77433">
        <w:rPr>
          <w:rFonts w:eastAsia="Arial" w:cs="Arial"/>
          <w:szCs w:val="24"/>
        </w:rPr>
        <w:t xml:space="preserve"> où la connaissance des hallucinations par l’appelant avait été démontrée entraînant qu’une somme de 1 000 $ à verser l’intimée a été imposée </w:t>
      </w:r>
      <w:r w:rsidRPr="00F77433">
        <w:rPr>
          <w:rFonts w:cs="Arial"/>
        </w:rPr>
        <w:t>à titre de</w:t>
      </w:r>
      <w:r w:rsidRPr="00F77433">
        <w:rPr>
          <w:rStyle w:val="apple-converted-space"/>
          <w:rFonts w:cs="Arial"/>
        </w:rPr>
        <w:t> </w:t>
      </w:r>
      <w:r w:rsidRPr="00F77433">
        <w:rPr>
          <w:rFonts w:cs="Arial"/>
        </w:rPr>
        <w:t xml:space="preserve">frais de </w:t>
      </w:r>
      <w:r w:rsidRPr="00F77433">
        <w:rPr>
          <w:rFonts w:cs="Arial"/>
        </w:rPr>
        <w:lastRenderedPageBreak/>
        <w:t>justice. Cette somme sanctionnait</w:t>
      </w:r>
      <w:r w:rsidRPr="00F77433">
        <w:rPr>
          <w:rStyle w:val="apple-converted-space"/>
          <w:rFonts w:cs="Arial"/>
        </w:rPr>
        <w:t xml:space="preserve"> le manquement de façon proportionnelle à sa gravité en tenant compte notamment </w:t>
      </w:r>
      <w:r w:rsidRPr="00F77433">
        <w:rPr>
          <w:rFonts w:cs="Arial"/>
        </w:rPr>
        <w:t>du temps consacré à l’affaire et du travail effectué (</w:t>
      </w:r>
      <w:r w:rsidRPr="00F77433">
        <w:rPr>
          <w:rFonts w:eastAsia="Arial" w:cs="Arial"/>
          <w:szCs w:val="24"/>
        </w:rPr>
        <w:t>en sus des frais de justice de l’appel). Dans cet arrêt, la Cour a considéré que l’appelant avait agi volontairement, puisqu’il avait admis lors de l’audience avoir été averti (par l’avocat consulté dans le cadre des procédures d’appel) de la présence de références et citations inventées, sans toutefois corriger le tir ou en aviser quiconque, se contentant d’invoquer l’oubli [TRADUCTION] « </w:t>
      </w:r>
      <w:r w:rsidRPr="00F77433">
        <w:rPr>
          <w:rFonts w:cs="Arial"/>
        </w:rPr>
        <w:t>et de passer sous silence la situation jusqu’à ce qu’il soit interpellé à ce sujet par les membres de la Cour »</w:t>
      </w:r>
      <w:r w:rsidRPr="00F77433">
        <w:rPr>
          <w:rStyle w:val="Appelnotedebasdep"/>
          <w:rFonts w:eastAsia="Arial" w:cs="Arial"/>
          <w:szCs w:val="24"/>
        </w:rPr>
        <w:footnoteReference w:id="30"/>
      </w:r>
      <w:r w:rsidRPr="00F77433">
        <w:rPr>
          <w:rFonts w:eastAsia="Arial" w:cs="Arial"/>
          <w:szCs w:val="24"/>
        </w:rPr>
        <w:t>.</w:t>
      </w:r>
    </w:p>
    <w:p w14:paraId="04012E8F" w14:textId="77777777" w:rsidR="00506768" w:rsidRPr="00F77433" w:rsidRDefault="00506768" w:rsidP="009453F8">
      <w:pPr>
        <w:pStyle w:val="Paragraphe"/>
        <w:spacing w:line="280" w:lineRule="exact"/>
        <w:rPr>
          <w:rFonts w:cs="Arial"/>
        </w:rPr>
      </w:pPr>
      <w:r w:rsidRPr="00F77433">
        <w:rPr>
          <w:rFonts w:eastAsia="Arial" w:cs="Arial"/>
          <w:szCs w:val="24"/>
        </w:rPr>
        <w:t xml:space="preserve">En </w:t>
      </w:r>
      <w:r w:rsidRPr="00F77433">
        <w:t>l’espèce</w:t>
      </w:r>
      <w:r w:rsidRPr="00F77433">
        <w:rPr>
          <w:rFonts w:eastAsia="Arial" w:cs="Arial"/>
          <w:szCs w:val="24"/>
        </w:rPr>
        <w:t xml:space="preserve">, une telle connaissance de la part de l’appelant n’a pas été démontrée. </w:t>
      </w:r>
      <w:r w:rsidRPr="00F77433">
        <w:rPr>
          <w:rFonts w:cs="Arial"/>
        </w:rPr>
        <w:t xml:space="preserve">Néanmoins, il est nécessaire de sanctionner le comportement de l’appelant et, pour cette raison, il y a lieu de le condamner aux frais de justice en vertu de l’article 340 </w:t>
      </w:r>
      <w:r w:rsidRPr="00F77433">
        <w:rPr>
          <w:rFonts w:cs="Arial"/>
          <w:i/>
          <w:iCs/>
        </w:rPr>
        <w:t>C.p.c.</w:t>
      </w:r>
      <w:r w:rsidRPr="00F77433">
        <w:rPr>
          <w:rStyle w:val="Appelnotedebasdep"/>
          <w:rFonts w:cs="Arial"/>
        </w:rPr>
        <w:footnoteReference w:id="31"/>
      </w:r>
      <w:r w:rsidRPr="00F77433">
        <w:rPr>
          <w:rFonts w:cs="Arial"/>
        </w:rPr>
        <w:t xml:space="preserve">. </w:t>
      </w:r>
    </w:p>
    <w:p w14:paraId="3C63DCE5" w14:textId="77777777" w:rsidR="00506768" w:rsidRPr="00F77433" w:rsidRDefault="00506768" w:rsidP="009453F8">
      <w:pPr>
        <w:pStyle w:val="Titre1"/>
        <w:spacing w:after="120" w:line="280" w:lineRule="exact"/>
      </w:pPr>
      <w:bookmarkStart w:id="25" w:name="_Toc232528043"/>
      <w:bookmarkStart w:id="26" w:name="_Toc232595594"/>
      <w:bookmarkEnd w:id="24"/>
      <w:r w:rsidRPr="00F77433">
        <w:t>POUR CES MOTIFS, LA COUR :</w:t>
      </w:r>
      <w:bookmarkEnd w:id="25"/>
      <w:bookmarkEnd w:id="26"/>
    </w:p>
    <w:p w14:paraId="5E1E18D4" w14:textId="77777777" w:rsidR="00506768" w:rsidRPr="00F77433" w:rsidRDefault="00506768" w:rsidP="009453F8">
      <w:pPr>
        <w:pStyle w:val="Paragraphe"/>
        <w:spacing w:line="280" w:lineRule="exact"/>
        <w:rPr>
          <w:lang w:eastAsia="fr-CA"/>
        </w:rPr>
      </w:pPr>
      <w:r w:rsidRPr="00F77433">
        <w:rPr>
          <w:b/>
          <w:bCs/>
        </w:rPr>
        <w:t xml:space="preserve">AUTORISE </w:t>
      </w:r>
      <w:r w:rsidRPr="00F77433">
        <w:t>la présentation hors délai de</w:t>
      </w:r>
      <w:r w:rsidRPr="00F77433">
        <w:rPr>
          <w:b/>
          <w:bCs/>
        </w:rPr>
        <w:t xml:space="preserve"> </w:t>
      </w:r>
      <w:r w:rsidRPr="00F77433">
        <w:t>la demande de permission de présenter une preuve nouvelle indispensable;</w:t>
      </w:r>
    </w:p>
    <w:p w14:paraId="43AB5C79" w14:textId="70DE7DCD" w:rsidR="00506768" w:rsidRPr="00F77433" w:rsidRDefault="00506768" w:rsidP="009453F8">
      <w:pPr>
        <w:pStyle w:val="Paragraphe"/>
        <w:spacing w:line="280" w:lineRule="exact"/>
        <w:rPr>
          <w:lang w:eastAsia="fr-CA"/>
        </w:rPr>
      </w:pPr>
      <w:r w:rsidRPr="00F77433">
        <w:rPr>
          <w:b/>
          <w:bCs/>
        </w:rPr>
        <w:t>REJETTE</w:t>
      </w:r>
      <w:r w:rsidR="009453F8" w:rsidRPr="00F77433">
        <w:rPr>
          <w:b/>
          <w:bCs/>
        </w:rPr>
        <w:t xml:space="preserve"> </w:t>
      </w:r>
      <w:r w:rsidRPr="00F77433">
        <w:t>la demande de permission de présenter une preuve nouvelle indispensable;</w:t>
      </w:r>
    </w:p>
    <w:p w14:paraId="20077789" w14:textId="77777777" w:rsidR="00506768" w:rsidRPr="00F77433" w:rsidRDefault="00506768" w:rsidP="009453F8">
      <w:pPr>
        <w:pStyle w:val="Paragraphe"/>
        <w:spacing w:line="280" w:lineRule="exact"/>
        <w:rPr>
          <w:lang w:eastAsia="fr-CA"/>
        </w:rPr>
      </w:pPr>
      <w:r w:rsidRPr="00F77433">
        <w:rPr>
          <w:rFonts w:ascii="Arial-BoldMT" w:hAnsi="Arial-BoldMT" w:cs="Arial-BoldMT"/>
          <w:b/>
          <w:bCs/>
          <w:lang w:eastAsia="fr-CA"/>
        </w:rPr>
        <w:t xml:space="preserve">ACCUEILLE </w:t>
      </w:r>
      <w:r w:rsidRPr="00F77433">
        <w:rPr>
          <w:rFonts w:ascii="Arial-BoldMT" w:hAnsi="Arial-BoldMT" w:cs="Arial-BoldMT"/>
          <w:lang w:eastAsia="fr-CA"/>
        </w:rPr>
        <w:t xml:space="preserve">en </w:t>
      </w:r>
      <w:r w:rsidRPr="00F77433">
        <w:t>partie</w:t>
      </w:r>
      <w:r w:rsidRPr="00F77433">
        <w:rPr>
          <w:rFonts w:ascii="Arial-BoldMT" w:hAnsi="Arial-BoldMT" w:cs="Arial-BoldMT"/>
          <w:b/>
          <w:bCs/>
          <w:lang w:eastAsia="fr-CA"/>
        </w:rPr>
        <w:t xml:space="preserve"> </w:t>
      </w:r>
      <w:r w:rsidRPr="00F77433">
        <w:rPr>
          <w:rFonts w:ascii="Arial-BoldMT" w:hAnsi="Arial-BoldMT" w:cs="Arial-BoldMT"/>
          <w:lang w:eastAsia="fr-CA"/>
        </w:rPr>
        <w:t>l’appel;</w:t>
      </w:r>
    </w:p>
    <w:p w14:paraId="5981739F" w14:textId="47621972" w:rsidR="00506768" w:rsidRPr="00F77433" w:rsidRDefault="00506768" w:rsidP="009453F8">
      <w:pPr>
        <w:pStyle w:val="Paragraphe"/>
        <w:spacing w:line="280" w:lineRule="exact"/>
        <w:rPr>
          <w:lang w:eastAsia="fr-CA"/>
        </w:rPr>
      </w:pPr>
      <w:r w:rsidRPr="00F77433">
        <w:rPr>
          <w:rFonts w:ascii="Arial-BoldMT" w:hAnsi="Arial-BoldMT" w:cs="Arial-BoldMT"/>
          <w:b/>
          <w:bCs/>
          <w:lang w:eastAsia="fr-CA"/>
        </w:rPr>
        <w:t xml:space="preserve">INFIRME </w:t>
      </w:r>
      <w:r w:rsidRPr="00F77433">
        <w:rPr>
          <w:rFonts w:ascii="Arial-BoldMT" w:hAnsi="Arial-BoldMT" w:cs="Arial-BoldMT"/>
          <w:lang w:eastAsia="fr-CA"/>
        </w:rPr>
        <w:t xml:space="preserve">la </w:t>
      </w:r>
      <w:r w:rsidRPr="00F77433">
        <w:t>sanction</w:t>
      </w:r>
      <w:r w:rsidRPr="00F77433">
        <w:rPr>
          <w:rFonts w:ascii="Arial-BoldMT" w:hAnsi="Arial-BoldMT" w:cs="Arial-BoldMT"/>
          <w:lang w:eastAsia="fr-CA"/>
        </w:rPr>
        <w:t xml:space="preserve"> punitive </w:t>
      </w:r>
      <w:r w:rsidRPr="00F77433">
        <w:t>de 175</w:t>
      </w:r>
      <w:r w:rsidR="009453F8" w:rsidRPr="00F77433">
        <w:t xml:space="preserve"> </w:t>
      </w:r>
      <w:r w:rsidRPr="00F77433">
        <w:t xml:space="preserve">heures de travail </w:t>
      </w:r>
      <w:r w:rsidRPr="00F77433">
        <w:rPr>
          <w:lang w:eastAsia="fr-CA"/>
        </w:rPr>
        <w:t>d’utilité sociale</w:t>
      </w:r>
      <w:r w:rsidR="009453F8" w:rsidRPr="00F77433">
        <w:rPr>
          <w:lang w:eastAsia="fr-CA"/>
        </w:rPr>
        <w:t xml:space="preserve"> </w:t>
      </w:r>
      <w:r w:rsidRPr="00F77433">
        <w:rPr>
          <w:lang w:eastAsia="fr-CA"/>
        </w:rPr>
        <w:t xml:space="preserve">et l’emprisonnement de </w:t>
      </w:r>
      <w:r w:rsidRPr="00F77433">
        <w:t>60</w:t>
      </w:r>
      <w:r w:rsidR="009453F8" w:rsidRPr="00F77433">
        <w:t xml:space="preserve"> </w:t>
      </w:r>
      <w:r w:rsidRPr="00F77433">
        <w:t xml:space="preserve">jours </w:t>
      </w:r>
      <w:r w:rsidRPr="00F77433">
        <w:rPr>
          <w:rFonts w:ascii="Arial-BoldMT" w:hAnsi="Arial-BoldMT" w:cs="Arial-BoldMT"/>
          <w:lang w:eastAsia="fr-CA"/>
        </w:rPr>
        <w:t>imposés en première instance dans le dossier n° </w:t>
      </w:r>
      <w:r w:rsidRPr="00F77433">
        <w:rPr>
          <w:rFonts w:ascii="ArialMT" w:hAnsi="ArialMT" w:cs="ArialMT"/>
          <w:szCs w:val="24"/>
          <w:lang w:eastAsia="fr-CA"/>
        </w:rPr>
        <w:t>700</w:t>
      </w:r>
      <w:r w:rsidR="009453F8" w:rsidRPr="00F77433">
        <w:rPr>
          <w:rFonts w:ascii="ArialMT" w:hAnsi="ArialMT" w:cs="ArialMT"/>
          <w:szCs w:val="24"/>
          <w:lang w:eastAsia="fr-CA"/>
        </w:rPr>
        <w:noBreakHyphen/>
      </w:r>
      <w:r w:rsidRPr="00F77433">
        <w:rPr>
          <w:rFonts w:ascii="ArialMT" w:hAnsi="ArialMT" w:cs="ArialMT"/>
          <w:szCs w:val="24"/>
          <w:lang w:eastAsia="fr-CA"/>
        </w:rPr>
        <w:t>12</w:t>
      </w:r>
      <w:r w:rsidR="009453F8" w:rsidRPr="00F77433">
        <w:rPr>
          <w:rFonts w:ascii="ArialMT" w:hAnsi="ArialMT" w:cs="ArialMT"/>
          <w:szCs w:val="24"/>
          <w:lang w:eastAsia="fr-CA"/>
        </w:rPr>
        <w:noBreakHyphen/>
      </w:r>
      <w:r w:rsidRPr="00F77433">
        <w:rPr>
          <w:rFonts w:ascii="ArialMT" w:hAnsi="ArialMT" w:cs="ArialMT"/>
          <w:szCs w:val="24"/>
          <w:lang w:eastAsia="fr-CA"/>
        </w:rPr>
        <w:t xml:space="preserve">054886-239 </w:t>
      </w:r>
      <w:r w:rsidRPr="00F77433">
        <w:t>le 19 novembre 2025 (rectifié le 21 novembre 2025) par la Cour</w:t>
      </w:r>
      <w:r w:rsidR="009453F8" w:rsidRPr="00F77433">
        <w:t> </w:t>
      </w:r>
      <w:r w:rsidRPr="00F77433">
        <w:t>supérieure (l’honorable Janick Perreault);</w:t>
      </w:r>
    </w:p>
    <w:p w14:paraId="563D8515" w14:textId="0E77388D" w:rsidR="00506768" w:rsidRPr="00F77433" w:rsidRDefault="00506768" w:rsidP="009453F8">
      <w:pPr>
        <w:pStyle w:val="Paragraphe"/>
        <w:spacing w:line="280" w:lineRule="exact"/>
        <w:rPr>
          <w:lang w:eastAsia="fr-CA"/>
        </w:rPr>
      </w:pPr>
      <w:r w:rsidRPr="00F77433">
        <w:rPr>
          <w:rFonts w:ascii="Arial-BoldMT" w:hAnsi="Arial-BoldMT" w:cs="Arial-BoldMT"/>
          <w:b/>
          <w:bCs/>
          <w:lang w:eastAsia="fr-CA"/>
        </w:rPr>
        <w:t xml:space="preserve">SUBSTITUE </w:t>
      </w:r>
      <w:r w:rsidRPr="00F77433">
        <w:rPr>
          <w:rFonts w:ascii="Arial-BoldMT" w:hAnsi="Arial-BoldMT" w:cs="Arial-BoldMT"/>
          <w:lang w:eastAsia="fr-CA"/>
        </w:rPr>
        <w:t xml:space="preserve">à la </w:t>
      </w:r>
      <w:r w:rsidRPr="00F77433">
        <w:t>sanction</w:t>
      </w:r>
      <w:r w:rsidRPr="00F77433">
        <w:rPr>
          <w:rFonts w:ascii="Arial-BoldMT" w:hAnsi="Arial-BoldMT" w:cs="Arial-BoldMT"/>
          <w:lang w:eastAsia="fr-CA"/>
        </w:rPr>
        <w:t xml:space="preserve"> punitive de 175</w:t>
      </w:r>
      <w:r w:rsidR="009453F8" w:rsidRPr="00F77433">
        <w:rPr>
          <w:rFonts w:ascii="Arial-BoldMT" w:hAnsi="Arial-BoldMT" w:cs="Arial-BoldMT"/>
          <w:lang w:eastAsia="fr-CA"/>
        </w:rPr>
        <w:t xml:space="preserve"> </w:t>
      </w:r>
      <w:r w:rsidRPr="00F77433">
        <w:rPr>
          <w:rFonts w:ascii="Arial-BoldMT" w:hAnsi="Arial-BoldMT" w:cs="Arial-BoldMT"/>
          <w:lang w:eastAsia="fr-CA"/>
        </w:rPr>
        <w:t>heures de travail d’utilité sociale, une peine de 100</w:t>
      </w:r>
      <w:r w:rsidR="009453F8" w:rsidRPr="00F77433">
        <w:rPr>
          <w:rFonts w:ascii="Arial-BoldMT" w:hAnsi="Arial-BoldMT" w:cs="Arial-BoldMT"/>
          <w:lang w:eastAsia="fr-CA"/>
        </w:rPr>
        <w:t xml:space="preserve"> </w:t>
      </w:r>
      <w:r w:rsidRPr="00F77433">
        <w:rPr>
          <w:rFonts w:ascii="Arial-BoldMT" w:hAnsi="Arial-BoldMT" w:cs="Arial-BoldMT"/>
          <w:lang w:eastAsia="fr-CA"/>
        </w:rPr>
        <w:t>heures de travail d’utilité sociale, toutes les autres modalités de la peine initiale demeurant inchangées;</w:t>
      </w:r>
    </w:p>
    <w:p w14:paraId="11276D2B" w14:textId="264F4482" w:rsidR="00506768" w:rsidRPr="00F77433" w:rsidRDefault="00506768" w:rsidP="009453F8">
      <w:pPr>
        <w:pStyle w:val="Paragraphe"/>
        <w:spacing w:line="280" w:lineRule="exact"/>
        <w:rPr>
          <w:lang w:eastAsia="fr-CA"/>
        </w:rPr>
      </w:pPr>
      <w:r w:rsidRPr="00F77433">
        <w:rPr>
          <w:rFonts w:ascii="Arial-BoldMT" w:hAnsi="Arial-BoldMT" w:cs="Arial-BoldMT"/>
          <w:b/>
          <w:bCs/>
          <w:lang w:eastAsia="fr-CA"/>
        </w:rPr>
        <w:t xml:space="preserve">SUBSTITUE </w:t>
      </w:r>
      <w:r w:rsidRPr="00F77433">
        <w:rPr>
          <w:rFonts w:ascii="Arial-BoldMT" w:hAnsi="Arial-BoldMT" w:cs="Arial-BoldMT"/>
          <w:lang w:eastAsia="fr-CA"/>
        </w:rPr>
        <w:t xml:space="preserve">à la </w:t>
      </w:r>
      <w:r w:rsidRPr="00F77433">
        <w:t>mesure</w:t>
      </w:r>
      <w:r w:rsidRPr="00F77433">
        <w:rPr>
          <w:rFonts w:ascii="Arial-BoldMT" w:hAnsi="Arial-BoldMT" w:cs="Arial-BoldMT"/>
          <w:lang w:eastAsia="fr-CA"/>
        </w:rPr>
        <w:t xml:space="preserve"> coercitive d’emprisonnement de 60 jours, une mesure coercitive d’emprisonnement de 30</w:t>
      </w:r>
      <w:r w:rsidR="009453F8" w:rsidRPr="00F77433">
        <w:rPr>
          <w:rFonts w:ascii="Arial-BoldMT" w:hAnsi="Arial-BoldMT" w:cs="Arial-BoldMT"/>
          <w:lang w:eastAsia="fr-CA"/>
        </w:rPr>
        <w:t xml:space="preserve"> </w:t>
      </w:r>
      <w:r w:rsidRPr="00F77433">
        <w:rPr>
          <w:rFonts w:ascii="Arial-BoldMT" w:hAnsi="Arial-BoldMT" w:cs="Arial-BoldMT"/>
          <w:lang w:eastAsia="fr-CA"/>
        </w:rPr>
        <w:t>jours;</w:t>
      </w:r>
    </w:p>
    <w:p w14:paraId="3093CBBC" w14:textId="497736B4" w:rsidR="00506768" w:rsidRPr="00F77433" w:rsidRDefault="00506768" w:rsidP="009453F8">
      <w:pPr>
        <w:pStyle w:val="Paragraphe"/>
        <w:spacing w:line="280" w:lineRule="exact"/>
      </w:pPr>
      <w:r w:rsidRPr="00F77433">
        <w:rPr>
          <w:b/>
          <w:bCs/>
          <w:szCs w:val="24"/>
          <w:lang w:eastAsia="fr-CA"/>
        </w:rPr>
        <w:t>ORDONNE</w:t>
      </w:r>
      <w:r w:rsidRPr="00F77433">
        <w:rPr>
          <w:szCs w:val="24"/>
          <w:lang w:eastAsia="fr-CA"/>
        </w:rPr>
        <w:t xml:space="preserve"> à </w:t>
      </w:r>
      <w:r w:rsidRPr="00F77433">
        <w:t>l’appelant</w:t>
      </w:r>
      <w:r w:rsidRPr="00F77433">
        <w:rPr>
          <w:szCs w:val="24"/>
          <w:lang w:eastAsia="fr-CA"/>
        </w:rPr>
        <w:t xml:space="preserve"> de se rapporter aux autorités policières au plus tard</w:t>
      </w:r>
      <w:r w:rsidR="00225665" w:rsidRPr="00F77433">
        <w:rPr>
          <w:szCs w:val="24"/>
          <w:lang w:eastAsia="fr-CA"/>
        </w:rPr>
        <w:t> </w:t>
      </w:r>
      <w:r w:rsidRPr="00F77433">
        <w:rPr>
          <w:szCs w:val="24"/>
          <w:lang w:eastAsia="fr-CA"/>
        </w:rPr>
        <w:t>le</w:t>
      </w:r>
      <w:r w:rsidR="006D19D7">
        <w:rPr>
          <w:szCs w:val="24"/>
          <w:lang w:eastAsia="fr-CA"/>
        </w:rPr>
        <w:t> 6 octob</w:t>
      </w:r>
      <w:r w:rsidRPr="00F77433">
        <w:rPr>
          <w:szCs w:val="24"/>
          <w:lang w:eastAsia="fr-CA"/>
        </w:rPr>
        <w:t>re 2026, afin d’être conduit dans un établissement de détention et confié à l’administrateur de l’établissement pour l’exécution de la mesure d’emprisonnement, à moins qu’il n’ait</w:t>
      </w:r>
      <w:r w:rsidRPr="00F77433">
        <w:rPr>
          <w:sz w:val="22"/>
          <w:szCs w:val="22"/>
          <w:lang w:eastAsia="fr-CA"/>
        </w:rPr>
        <w:t xml:space="preserve"> </w:t>
      </w:r>
      <w:r w:rsidRPr="00F77433">
        <w:rPr>
          <w:szCs w:val="24"/>
          <w:lang w:eastAsia="fr-CA"/>
        </w:rPr>
        <w:t xml:space="preserve">remis à la demanderesse les biens décrits au jugement du </w:t>
      </w:r>
      <w:r w:rsidRPr="00F77433">
        <w:rPr>
          <w:szCs w:val="24"/>
          <w:lang w:eastAsia="fr-CA"/>
        </w:rPr>
        <w:lastRenderedPageBreak/>
        <w:t>12 janvier 2024 et communiqué les documents énumérés au jugement du</w:t>
      </w:r>
      <w:r w:rsidR="00EF4A63" w:rsidRPr="00F77433">
        <w:rPr>
          <w:szCs w:val="24"/>
          <w:lang w:eastAsia="fr-CA"/>
        </w:rPr>
        <w:t> </w:t>
      </w:r>
      <w:r w:rsidRPr="00F77433">
        <w:rPr>
          <w:szCs w:val="24"/>
          <w:lang w:eastAsia="fr-CA"/>
        </w:rPr>
        <w:t>25 avril 2024 et à</w:t>
      </w:r>
      <w:r w:rsidRPr="00F77433">
        <w:t xml:space="preserve"> défaut,</w:t>
      </w:r>
      <w:r w:rsidR="009453F8" w:rsidRPr="00F77433">
        <w:t xml:space="preserve"> </w:t>
      </w:r>
      <w:r w:rsidRPr="00F77433">
        <w:rPr>
          <w:b/>
          <w:bCs/>
        </w:rPr>
        <w:t>ENJOINT</w:t>
      </w:r>
      <w:r w:rsidR="00EF4A63" w:rsidRPr="00F77433">
        <w:t xml:space="preserve"> </w:t>
      </w:r>
      <w:r w:rsidRPr="00F77433">
        <w:t xml:space="preserve">aux agents de la paix et à tout huissier du Québec d’appréhender </w:t>
      </w:r>
      <w:r w:rsidR="006A4CEA" w:rsidRPr="00F77433">
        <w:t>A</w:t>
      </w:r>
      <w:r w:rsidR="006A4CEA">
        <w:t>…</w:t>
      </w:r>
      <w:r w:rsidR="006A4CEA" w:rsidRPr="00F77433">
        <w:t xml:space="preserve"> L</w:t>
      </w:r>
      <w:r w:rsidR="006A4CEA">
        <w:t>…</w:t>
      </w:r>
      <w:r w:rsidRPr="00F77433">
        <w:t>, de le conduire à un établissement de détention et de le confier à l’administrateur de l’établissement pour l’exécution de la mesure d’emprisonnement;</w:t>
      </w:r>
    </w:p>
    <w:p w14:paraId="30FBBF38" w14:textId="606A52AB" w:rsidR="00506768" w:rsidRPr="00F77433" w:rsidRDefault="00506768" w:rsidP="009453F8">
      <w:pPr>
        <w:pStyle w:val="Paragraphe"/>
        <w:spacing w:line="280" w:lineRule="exact"/>
      </w:pPr>
      <w:r w:rsidRPr="00F77433">
        <w:rPr>
          <w:b/>
          <w:bCs/>
        </w:rPr>
        <w:t>ORDONNE</w:t>
      </w:r>
      <w:r w:rsidR="009453F8" w:rsidRPr="00F77433">
        <w:rPr>
          <w:b/>
          <w:bCs/>
        </w:rPr>
        <w:t xml:space="preserve"> </w:t>
      </w:r>
      <w:r w:rsidRPr="00F77433">
        <w:t xml:space="preserve">à l’administrateur de l’établissement de détention d’admettre et de détenir </w:t>
      </w:r>
      <w:r w:rsidR="006A4CEA">
        <w:t>A…</w:t>
      </w:r>
      <w:r w:rsidR="006A4CEA" w:rsidRPr="00F77433">
        <w:t xml:space="preserve"> L</w:t>
      </w:r>
      <w:r w:rsidR="006A4CEA">
        <w:t>…</w:t>
      </w:r>
      <w:r w:rsidRPr="00F77433">
        <w:t>;</w:t>
      </w:r>
    </w:p>
    <w:p w14:paraId="44E38B9A" w14:textId="11566150" w:rsidR="00506768" w:rsidRPr="00F77433" w:rsidRDefault="00506768" w:rsidP="009453F8">
      <w:pPr>
        <w:pStyle w:val="Paragraphe"/>
        <w:spacing w:line="280" w:lineRule="exact"/>
      </w:pPr>
      <w:r w:rsidRPr="00F77433">
        <w:rPr>
          <w:b/>
          <w:bCs/>
        </w:rPr>
        <w:t>ORDONNE</w:t>
      </w:r>
      <w:r w:rsidR="009453F8" w:rsidRPr="00F77433">
        <w:t xml:space="preserve"> </w:t>
      </w:r>
      <w:r w:rsidRPr="00F77433">
        <w:t xml:space="preserve">à </w:t>
      </w:r>
      <w:r w:rsidR="006A4CEA">
        <w:t>A…</w:t>
      </w:r>
      <w:r w:rsidR="006A4CEA" w:rsidRPr="00F77433">
        <w:t xml:space="preserve"> </w:t>
      </w:r>
      <w:r w:rsidR="006A4CEA">
        <w:t>L…</w:t>
      </w:r>
      <w:r w:rsidR="006A4CEA" w:rsidRPr="00F77433">
        <w:t xml:space="preserve"> </w:t>
      </w:r>
      <w:r w:rsidRPr="00F77433">
        <w:t>de comparaître devant la Cour supérieure le dixième</w:t>
      </w:r>
      <w:r w:rsidR="009453F8" w:rsidRPr="00F77433">
        <w:t> </w:t>
      </w:r>
      <w:r w:rsidRPr="00F77433">
        <w:t>jour suivant la date de son incarcération (ou le premier jour ouvrable qui suit), afin de lui permettre de démontrer qu’il a l’intention d’obéir aux ordonnances rendues ayant mené à sa condamnation civile pour outrage au tribunal de manière à justifier sa libération, étant entendu qu’il pourra à tout moment durant sa période d’incarcération demander la tenue d’une audience à cette fin;</w:t>
      </w:r>
    </w:p>
    <w:p w14:paraId="686F7EFD" w14:textId="747FA328" w:rsidR="00506768" w:rsidRPr="00F77433" w:rsidRDefault="00506768" w:rsidP="009453F8">
      <w:pPr>
        <w:pStyle w:val="Paragraphe"/>
        <w:spacing w:line="280" w:lineRule="exact"/>
        <w:rPr>
          <w:lang w:eastAsia="fr-CA"/>
        </w:rPr>
      </w:pPr>
      <w:r w:rsidRPr="00F77433">
        <w:rPr>
          <w:b/>
          <w:bCs/>
          <w:lang w:eastAsia="fr-CA"/>
        </w:rPr>
        <w:t>REJETTE</w:t>
      </w:r>
      <w:r w:rsidR="009453F8" w:rsidRPr="00F77433">
        <w:rPr>
          <w:b/>
          <w:bCs/>
          <w:lang w:eastAsia="fr-CA"/>
        </w:rPr>
        <w:t xml:space="preserve"> </w:t>
      </w:r>
      <w:r w:rsidRPr="00F77433">
        <w:rPr>
          <w:lang w:eastAsia="fr-CA"/>
        </w:rPr>
        <w:t xml:space="preserve">la </w:t>
      </w:r>
      <w:r w:rsidRPr="00F77433">
        <w:t>demande</w:t>
      </w:r>
      <w:r w:rsidRPr="00F77433">
        <w:rPr>
          <w:lang w:eastAsia="fr-CA"/>
        </w:rPr>
        <w:t xml:space="preserve"> pour déclarer la procédure d’appel abusive;</w:t>
      </w:r>
    </w:p>
    <w:p w14:paraId="1867AD45" w14:textId="3350D58D" w:rsidR="00506768" w:rsidRPr="00F77433" w:rsidRDefault="00506768" w:rsidP="009453F8">
      <w:pPr>
        <w:pStyle w:val="Paragraphe"/>
        <w:spacing w:line="280" w:lineRule="exact"/>
        <w:rPr>
          <w:lang w:eastAsia="fr-CA"/>
        </w:rPr>
      </w:pPr>
      <w:r w:rsidRPr="00F77433">
        <w:rPr>
          <w:b/>
          <w:bCs/>
          <w:lang w:eastAsia="fr-CA"/>
        </w:rPr>
        <w:t>REJETTE</w:t>
      </w:r>
      <w:r w:rsidR="009453F8" w:rsidRPr="00F77433">
        <w:rPr>
          <w:lang w:eastAsia="fr-CA"/>
        </w:rPr>
        <w:t xml:space="preserve"> </w:t>
      </w:r>
      <w:r w:rsidRPr="00F77433">
        <w:rPr>
          <w:lang w:eastAsia="fr-CA"/>
        </w:rPr>
        <w:t xml:space="preserve">la </w:t>
      </w:r>
      <w:r w:rsidRPr="00F77433">
        <w:t>demande</w:t>
      </w:r>
      <w:r w:rsidRPr="00F77433">
        <w:rPr>
          <w:lang w:eastAsia="fr-CA"/>
        </w:rPr>
        <w:t xml:space="preserve"> pour faire déclarer l’appelant plaideur</w:t>
      </w:r>
      <w:r w:rsidR="009453F8" w:rsidRPr="00F77433">
        <w:rPr>
          <w:lang w:eastAsia="fr-CA"/>
        </w:rPr>
        <w:t xml:space="preserve"> </w:t>
      </w:r>
      <w:r w:rsidRPr="00F77433">
        <w:rPr>
          <w:lang w:eastAsia="fr-CA"/>
        </w:rPr>
        <w:t>quérulent</w:t>
      </w:r>
      <w:r w:rsidR="009453F8" w:rsidRPr="00F77433">
        <w:rPr>
          <w:lang w:eastAsia="fr-CA"/>
        </w:rPr>
        <w:t xml:space="preserve"> </w:t>
      </w:r>
      <w:r w:rsidRPr="00F77433">
        <w:rPr>
          <w:lang w:eastAsia="fr-CA"/>
        </w:rPr>
        <w:t>en appel;</w:t>
      </w:r>
    </w:p>
    <w:p w14:paraId="5C6EDF1F" w14:textId="63F01897" w:rsidR="00506768" w:rsidRPr="00F77433" w:rsidRDefault="00506768" w:rsidP="009453F8">
      <w:pPr>
        <w:pStyle w:val="Paragraphe"/>
        <w:spacing w:line="280" w:lineRule="exact"/>
        <w:rPr>
          <w:b/>
          <w:bCs/>
          <w:lang w:eastAsia="fr-CA"/>
        </w:rPr>
      </w:pPr>
      <w:r w:rsidRPr="00F77433">
        <w:rPr>
          <w:b/>
          <w:bCs/>
          <w:lang w:eastAsia="fr-CA"/>
        </w:rPr>
        <w:t xml:space="preserve">REJETTE </w:t>
      </w:r>
      <w:r w:rsidRPr="00F77433">
        <w:rPr>
          <w:lang w:eastAsia="fr-CA"/>
        </w:rPr>
        <w:t xml:space="preserve">la </w:t>
      </w:r>
      <w:r w:rsidRPr="00F77433">
        <w:t>demande</w:t>
      </w:r>
      <w:r w:rsidRPr="00F77433">
        <w:rPr>
          <w:b/>
          <w:bCs/>
          <w:lang w:eastAsia="fr-CA"/>
        </w:rPr>
        <w:t xml:space="preserve"> </w:t>
      </w:r>
      <w:r w:rsidRPr="00F77433">
        <w:rPr>
          <w:lang w:eastAsia="fr-CA"/>
        </w:rPr>
        <w:t xml:space="preserve">visant à </w:t>
      </w:r>
      <w:r w:rsidRPr="00F77433">
        <w:t>sanctionner un manquement au déroulement de</w:t>
      </w:r>
      <w:r w:rsidR="009453F8" w:rsidRPr="00F77433">
        <w:t> </w:t>
      </w:r>
      <w:r w:rsidRPr="00F77433">
        <w:t>l’instance;</w:t>
      </w:r>
    </w:p>
    <w:p w14:paraId="3E430DF3" w14:textId="3E27CC54" w:rsidR="008F364A" w:rsidRPr="00F77433" w:rsidRDefault="00506768" w:rsidP="00EB204B">
      <w:pPr>
        <w:pStyle w:val="Paragraphe"/>
        <w:spacing w:line="280" w:lineRule="exact"/>
        <w:rPr>
          <w:b/>
        </w:rPr>
      </w:pPr>
      <w:r w:rsidRPr="00F77433">
        <w:rPr>
          <w:b/>
          <w:bCs/>
          <w:lang w:eastAsia="fr-CA"/>
        </w:rPr>
        <w:t>LE TOUT</w:t>
      </w:r>
      <w:r w:rsidR="00504652" w:rsidRPr="00F77433">
        <w:rPr>
          <w:b/>
          <w:bCs/>
          <w:lang w:eastAsia="fr-CA"/>
        </w:rPr>
        <w:t>,</w:t>
      </w:r>
      <w:r w:rsidRPr="00F77433">
        <w:rPr>
          <w:b/>
          <w:bCs/>
          <w:lang w:eastAsia="fr-CA"/>
        </w:rPr>
        <w:t xml:space="preserve"> </w:t>
      </w:r>
      <w:r w:rsidRPr="00F77433">
        <w:rPr>
          <w:lang w:eastAsia="fr-CA"/>
        </w:rPr>
        <w:t xml:space="preserve">avec les </w:t>
      </w:r>
      <w:r w:rsidRPr="00F77433">
        <w:t>frais</w:t>
      </w:r>
      <w:r w:rsidRPr="00F77433">
        <w:rPr>
          <w:lang w:eastAsia="fr-CA"/>
        </w:rPr>
        <w:t xml:space="preserve"> de justice en faveur de l’intimée.</w:t>
      </w:r>
    </w:p>
    <w:tbl>
      <w:tblP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1997"/>
        <w:gridCol w:w="2685"/>
        <w:gridCol w:w="4680"/>
      </w:tblGrid>
      <w:tr w:rsidR="008F364A" w:rsidRPr="00F77433" w14:paraId="620B1C8B" w14:textId="77777777" w:rsidTr="003E3239">
        <w:trPr>
          <w:trHeight w:val="576"/>
        </w:trPr>
        <w:tc>
          <w:tcPr>
            <w:tcW w:w="9362" w:type="dxa"/>
            <w:gridSpan w:val="3"/>
            <w:tcBorders>
              <w:top w:val="nil"/>
              <w:bottom w:val="nil"/>
            </w:tcBorders>
          </w:tcPr>
          <w:p w14:paraId="2D7AFB65" w14:textId="77777777" w:rsidR="008F364A" w:rsidRPr="00F77433" w:rsidRDefault="008F364A">
            <w:pPr>
              <w:keepNext/>
            </w:pPr>
          </w:p>
        </w:tc>
      </w:tr>
      <w:tr w:rsidR="008F364A" w:rsidRPr="00F77433" w14:paraId="27E0ACB4" w14:textId="77777777" w:rsidTr="00117914">
        <w:trPr>
          <w:trHeight w:val="283"/>
        </w:trPr>
        <w:tc>
          <w:tcPr>
            <w:tcW w:w="4682" w:type="dxa"/>
            <w:gridSpan w:val="2"/>
            <w:tcBorders>
              <w:top w:val="nil"/>
              <w:bottom w:val="nil"/>
            </w:tcBorders>
          </w:tcPr>
          <w:p w14:paraId="5F52EBF1" w14:textId="77777777" w:rsidR="008F364A" w:rsidRPr="00F77433" w:rsidRDefault="008F364A">
            <w:pPr>
              <w:keepNext/>
            </w:pPr>
          </w:p>
        </w:tc>
        <w:tc>
          <w:tcPr>
            <w:tcW w:w="4680" w:type="dxa"/>
            <w:tcBorders>
              <w:top w:val="nil"/>
              <w:bottom w:val="single" w:sz="8" w:space="0" w:color="auto"/>
            </w:tcBorders>
          </w:tcPr>
          <w:p w14:paraId="0B326887" w14:textId="77777777" w:rsidR="008F364A" w:rsidRPr="00F77433" w:rsidRDefault="008F364A">
            <w:pPr>
              <w:keepNext/>
            </w:pPr>
          </w:p>
        </w:tc>
      </w:tr>
      <w:tr w:rsidR="008F364A" w:rsidRPr="006D19D7" w14:paraId="27BAA9C9" w14:textId="77777777" w:rsidTr="00117914">
        <w:trPr>
          <w:trHeight w:val="283"/>
        </w:trPr>
        <w:tc>
          <w:tcPr>
            <w:tcW w:w="4682" w:type="dxa"/>
            <w:gridSpan w:val="2"/>
            <w:tcBorders>
              <w:top w:val="nil"/>
            </w:tcBorders>
          </w:tcPr>
          <w:p w14:paraId="714E4EED" w14:textId="77777777" w:rsidR="008F364A" w:rsidRPr="00F77433" w:rsidRDefault="008F364A">
            <w:pPr>
              <w:keepNext/>
            </w:pPr>
          </w:p>
        </w:tc>
        <w:tc>
          <w:tcPr>
            <w:tcW w:w="4680" w:type="dxa"/>
            <w:tcBorders>
              <w:top w:val="single" w:sz="8" w:space="0" w:color="auto"/>
            </w:tcBorders>
          </w:tcPr>
          <w:p w14:paraId="6436DC9F" w14:textId="59863802" w:rsidR="008F364A" w:rsidRPr="00F77433" w:rsidRDefault="00791252">
            <w:pPr>
              <w:rPr>
                <w:lang w:val="en-CA"/>
              </w:rPr>
            </w:pPr>
            <w:r>
              <w:t>PETER KALICHMAN, J.C.A.</w:t>
            </w:r>
          </w:p>
        </w:tc>
      </w:tr>
      <w:tr w:rsidR="008F364A" w:rsidRPr="006D19D7" w14:paraId="7F243767" w14:textId="77777777" w:rsidTr="00117914">
        <w:trPr>
          <w:trHeight w:val="283"/>
        </w:trPr>
        <w:tc>
          <w:tcPr>
            <w:tcW w:w="4682" w:type="dxa"/>
            <w:gridSpan w:val="2"/>
            <w:tcBorders>
              <w:top w:val="nil"/>
            </w:tcBorders>
          </w:tcPr>
          <w:p w14:paraId="3F105EAF" w14:textId="77777777" w:rsidR="008F364A" w:rsidRPr="00F77433" w:rsidRDefault="008F364A">
            <w:pPr>
              <w:keepNext/>
              <w:rPr>
                <w:lang w:val="en-CA"/>
              </w:rPr>
            </w:pPr>
            <w:bookmarkStart w:id="27" w:name="Signature2"/>
          </w:p>
        </w:tc>
        <w:tc>
          <w:tcPr>
            <w:tcW w:w="4680" w:type="dxa"/>
            <w:tcBorders>
              <w:top w:val="nil"/>
            </w:tcBorders>
          </w:tcPr>
          <w:p w14:paraId="720D312B" w14:textId="77777777" w:rsidR="008F364A" w:rsidRPr="00F77433" w:rsidRDefault="008F364A">
            <w:pPr>
              <w:keepNext/>
              <w:rPr>
                <w:lang w:val="en-CA"/>
              </w:rPr>
            </w:pPr>
          </w:p>
        </w:tc>
      </w:tr>
      <w:tr w:rsidR="008F364A" w:rsidRPr="006D19D7" w14:paraId="08602986" w14:textId="77777777" w:rsidTr="00117914">
        <w:trPr>
          <w:trHeight w:val="283"/>
        </w:trPr>
        <w:tc>
          <w:tcPr>
            <w:tcW w:w="4682" w:type="dxa"/>
            <w:gridSpan w:val="2"/>
            <w:tcBorders>
              <w:top w:val="nil"/>
              <w:bottom w:val="nil"/>
            </w:tcBorders>
          </w:tcPr>
          <w:p w14:paraId="2B6E6321" w14:textId="77777777" w:rsidR="008F364A" w:rsidRPr="00F77433" w:rsidRDefault="008F364A">
            <w:pPr>
              <w:keepNext/>
              <w:rPr>
                <w:lang w:val="en-CA"/>
              </w:rPr>
            </w:pPr>
          </w:p>
        </w:tc>
        <w:tc>
          <w:tcPr>
            <w:tcW w:w="4680" w:type="dxa"/>
            <w:tcBorders>
              <w:top w:val="nil"/>
              <w:bottom w:val="single" w:sz="8" w:space="0" w:color="auto"/>
            </w:tcBorders>
          </w:tcPr>
          <w:p w14:paraId="44DDB471" w14:textId="77777777" w:rsidR="008F364A" w:rsidRPr="00F77433" w:rsidRDefault="008F364A">
            <w:pPr>
              <w:keepNext/>
              <w:rPr>
                <w:lang w:val="en-CA"/>
              </w:rPr>
            </w:pPr>
          </w:p>
        </w:tc>
      </w:tr>
      <w:tr w:rsidR="008F364A" w:rsidRPr="006D19D7" w14:paraId="3EA222EE" w14:textId="77777777" w:rsidTr="00117914">
        <w:trPr>
          <w:trHeight w:val="283"/>
        </w:trPr>
        <w:tc>
          <w:tcPr>
            <w:tcW w:w="4682" w:type="dxa"/>
            <w:gridSpan w:val="2"/>
            <w:tcBorders>
              <w:top w:val="nil"/>
            </w:tcBorders>
          </w:tcPr>
          <w:p w14:paraId="6C259E51" w14:textId="77777777" w:rsidR="008F364A" w:rsidRPr="00F77433" w:rsidRDefault="008F364A">
            <w:pPr>
              <w:keepNext/>
              <w:rPr>
                <w:lang w:val="en-CA"/>
              </w:rPr>
            </w:pPr>
          </w:p>
        </w:tc>
        <w:tc>
          <w:tcPr>
            <w:tcW w:w="4680" w:type="dxa"/>
            <w:tcBorders>
              <w:top w:val="single" w:sz="8" w:space="0" w:color="auto"/>
            </w:tcBorders>
          </w:tcPr>
          <w:p w14:paraId="7A3782CE" w14:textId="0DA61036" w:rsidR="008F364A" w:rsidRPr="00F77433" w:rsidRDefault="00791252">
            <w:pPr>
              <w:keepNext/>
              <w:rPr>
                <w:lang w:val="en-CA"/>
              </w:rPr>
            </w:pPr>
            <w:r>
              <w:t>JUDITH HARVIE, J.C.A.</w:t>
            </w:r>
          </w:p>
        </w:tc>
      </w:tr>
      <w:tr w:rsidR="008F364A" w:rsidRPr="006D19D7" w14:paraId="6FC54D99" w14:textId="77777777" w:rsidTr="00117914">
        <w:trPr>
          <w:trHeight w:val="283"/>
        </w:trPr>
        <w:tc>
          <w:tcPr>
            <w:tcW w:w="4682" w:type="dxa"/>
            <w:gridSpan w:val="2"/>
            <w:tcBorders>
              <w:top w:val="nil"/>
            </w:tcBorders>
          </w:tcPr>
          <w:p w14:paraId="6D22D54E" w14:textId="77777777" w:rsidR="008F364A" w:rsidRPr="00F77433" w:rsidRDefault="008F364A">
            <w:pPr>
              <w:keepNext/>
              <w:rPr>
                <w:lang w:val="en-CA"/>
              </w:rPr>
            </w:pPr>
            <w:bookmarkStart w:id="28" w:name="Signature3"/>
            <w:bookmarkEnd w:id="27"/>
          </w:p>
        </w:tc>
        <w:tc>
          <w:tcPr>
            <w:tcW w:w="4680" w:type="dxa"/>
            <w:tcBorders>
              <w:top w:val="nil"/>
            </w:tcBorders>
          </w:tcPr>
          <w:p w14:paraId="6C5E1129" w14:textId="77777777" w:rsidR="008F364A" w:rsidRPr="00F77433" w:rsidRDefault="008F364A">
            <w:pPr>
              <w:keepNext/>
              <w:rPr>
                <w:lang w:val="en-CA"/>
              </w:rPr>
            </w:pPr>
          </w:p>
        </w:tc>
      </w:tr>
      <w:tr w:rsidR="008F364A" w:rsidRPr="006D19D7" w14:paraId="2C2CDBC3" w14:textId="77777777" w:rsidTr="00117914">
        <w:trPr>
          <w:trHeight w:val="283"/>
        </w:trPr>
        <w:tc>
          <w:tcPr>
            <w:tcW w:w="4682" w:type="dxa"/>
            <w:gridSpan w:val="2"/>
            <w:tcBorders>
              <w:top w:val="nil"/>
              <w:bottom w:val="nil"/>
            </w:tcBorders>
          </w:tcPr>
          <w:p w14:paraId="7F3EE296" w14:textId="77777777" w:rsidR="008F364A" w:rsidRPr="00F77433" w:rsidRDefault="008F364A">
            <w:pPr>
              <w:keepNext/>
              <w:rPr>
                <w:lang w:val="en-CA"/>
              </w:rPr>
            </w:pPr>
          </w:p>
        </w:tc>
        <w:tc>
          <w:tcPr>
            <w:tcW w:w="4680" w:type="dxa"/>
            <w:tcBorders>
              <w:top w:val="nil"/>
              <w:bottom w:val="single" w:sz="8" w:space="0" w:color="auto"/>
            </w:tcBorders>
          </w:tcPr>
          <w:p w14:paraId="2A878603" w14:textId="77777777" w:rsidR="008F364A" w:rsidRPr="00F77433" w:rsidRDefault="008F364A">
            <w:pPr>
              <w:keepNext/>
              <w:rPr>
                <w:lang w:val="en-CA"/>
              </w:rPr>
            </w:pPr>
          </w:p>
        </w:tc>
      </w:tr>
      <w:tr w:rsidR="008F364A" w:rsidRPr="00F77433" w14:paraId="753FBDE5" w14:textId="77777777" w:rsidTr="00117914">
        <w:trPr>
          <w:trHeight w:val="283"/>
        </w:trPr>
        <w:tc>
          <w:tcPr>
            <w:tcW w:w="4682" w:type="dxa"/>
            <w:gridSpan w:val="2"/>
            <w:tcBorders>
              <w:top w:val="nil"/>
            </w:tcBorders>
          </w:tcPr>
          <w:p w14:paraId="4FF783EF" w14:textId="77777777" w:rsidR="008F364A" w:rsidRPr="00F77433" w:rsidRDefault="008F364A">
            <w:pPr>
              <w:keepNext/>
              <w:rPr>
                <w:lang w:val="en-CA"/>
              </w:rPr>
            </w:pPr>
          </w:p>
        </w:tc>
        <w:tc>
          <w:tcPr>
            <w:tcW w:w="4680" w:type="dxa"/>
            <w:tcBorders>
              <w:top w:val="single" w:sz="8" w:space="0" w:color="auto"/>
            </w:tcBorders>
          </w:tcPr>
          <w:p w14:paraId="658D3539" w14:textId="489C7D45" w:rsidR="008F364A" w:rsidRPr="00F77433" w:rsidRDefault="00791252">
            <w:pPr>
              <w:keepNext/>
            </w:pPr>
            <w:r>
              <w:t>MYRIAM LACHANCE, J.C.A.</w:t>
            </w:r>
          </w:p>
        </w:tc>
      </w:tr>
      <w:bookmarkEnd w:id="28"/>
      <w:tr w:rsidR="005A78BF" w:rsidRPr="00F77433" w14:paraId="2878DBA4" w14:textId="77777777" w:rsidTr="00F87405">
        <w:tc>
          <w:tcPr>
            <w:tcW w:w="9362" w:type="dxa"/>
            <w:gridSpan w:val="3"/>
            <w:tcBorders>
              <w:bottom w:val="nil"/>
            </w:tcBorders>
          </w:tcPr>
          <w:p w14:paraId="17295A46" w14:textId="77777777" w:rsidR="005A78BF" w:rsidRPr="00F77433" w:rsidRDefault="005A78BF" w:rsidP="005A78BF"/>
        </w:tc>
      </w:tr>
      <w:tr w:rsidR="005A78BF" w:rsidRPr="00F77433" w14:paraId="66ADDDA2" w14:textId="77777777" w:rsidTr="00F87405">
        <w:tc>
          <w:tcPr>
            <w:tcW w:w="9362" w:type="dxa"/>
            <w:gridSpan w:val="3"/>
            <w:tcBorders>
              <w:top w:val="nil"/>
            </w:tcBorders>
          </w:tcPr>
          <w:p w14:paraId="3F8EDC80" w14:textId="616BB8FD" w:rsidR="005A78BF" w:rsidRPr="00F77433" w:rsidRDefault="006A4CEA" w:rsidP="005A78BF">
            <w:pPr>
              <w:pStyle w:val="zSoquijdatNomProcureurDem"/>
              <w:rPr>
                <w:lang w:val="en-CA"/>
              </w:rPr>
            </w:pPr>
            <w:r>
              <w:t>A…</w:t>
            </w:r>
            <w:r w:rsidRPr="00F77433">
              <w:t xml:space="preserve"> L</w:t>
            </w:r>
            <w:r>
              <w:t>…</w:t>
            </w:r>
          </w:p>
        </w:tc>
      </w:tr>
      <w:tr w:rsidR="005A78BF" w:rsidRPr="00F77433" w14:paraId="77A8E1EB" w14:textId="77777777" w:rsidTr="00423DF1">
        <w:tc>
          <w:tcPr>
            <w:tcW w:w="9362" w:type="dxa"/>
            <w:gridSpan w:val="3"/>
          </w:tcPr>
          <w:p w14:paraId="4ED90BDC" w14:textId="0735420C" w:rsidR="005A78BF" w:rsidRPr="00F77433" w:rsidRDefault="00F87405" w:rsidP="005A78BF">
            <w:pPr>
              <w:pStyle w:val="zSoquijlblProcureurDem"/>
              <w:rPr>
                <w:lang w:val="en-CA"/>
              </w:rPr>
            </w:pPr>
            <w:r w:rsidRPr="00F77433">
              <w:t>Non représenté</w:t>
            </w:r>
          </w:p>
        </w:tc>
      </w:tr>
      <w:tr w:rsidR="005A78BF" w:rsidRPr="00F77433" w14:paraId="20FA2605" w14:textId="77777777" w:rsidTr="00423DF1">
        <w:tc>
          <w:tcPr>
            <w:tcW w:w="9362" w:type="dxa"/>
            <w:gridSpan w:val="3"/>
          </w:tcPr>
          <w:p w14:paraId="24EFDCE6" w14:textId="77777777" w:rsidR="005A78BF" w:rsidRPr="00F77433" w:rsidRDefault="005A78BF" w:rsidP="005A78BF">
            <w:pPr>
              <w:rPr>
                <w:lang w:val="en-CA"/>
              </w:rPr>
            </w:pPr>
          </w:p>
        </w:tc>
      </w:tr>
      <w:tr w:rsidR="005A78BF" w:rsidRPr="00F77433" w14:paraId="5B2C4449" w14:textId="77777777" w:rsidTr="00423DF1">
        <w:tc>
          <w:tcPr>
            <w:tcW w:w="9362" w:type="dxa"/>
            <w:gridSpan w:val="3"/>
          </w:tcPr>
          <w:p w14:paraId="379145B7" w14:textId="36255183" w:rsidR="005A78BF" w:rsidRPr="00F77433" w:rsidRDefault="00F87405" w:rsidP="005A78BF">
            <w:pPr>
              <w:pStyle w:val="zSoquijdatNomProcureurDef"/>
              <w:rPr>
                <w:lang w:val="en-CA"/>
              </w:rPr>
            </w:pPr>
            <w:r w:rsidRPr="00F77433">
              <w:t>Me Roxanne Varnaitis</w:t>
            </w:r>
          </w:p>
        </w:tc>
      </w:tr>
      <w:tr w:rsidR="005A78BF" w:rsidRPr="00F77433" w14:paraId="7E6D9606" w14:textId="77777777" w:rsidTr="00423DF1">
        <w:tc>
          <w:tcPr>
            <w:tcW w:w="9362" w:type="dxa"/>
            <w:gridSpan w:val="3"/>
          </w:tcPr>
          <w:p w14:paraId="4C44974F" w14:textId="696026A3" w:rsidR="005A78BF" w:rsidRPr="00F77433" w:rsidRDefault="00F87405" w:rsidP="005A78BF">
            <w:pPr>
              <w:pStyle w:val="zSoquijdatCabinetProcureurDef"/>
              <w:rPr>
                <w:lang w:val="en-CA"/>
              </w:rPr>
            </w:pPr>
            <w:r w:rsidRPr="00F77433">
              <w:t>VARNAITIS AVOCATS</w:t>
            </w:r>
          </w:p>
        </w:tc>
      </w:tr>
      <w:tr w:rsidR="005A78BF" w:rsidRPr="00F77433" w14:paraId="1653E712" w14:textId="77777777" w:rsidTr="00423DF1">
        <w:tc>
          <w:tcPr>
            <w:tcW w:w="9362" w:type="dxa"/>
            <w:gridSpan w:val="3"/>
          </w:tcPr>
          <w:p w14:paraId="4D216CB3" w14:textId="0FFA0BCC" w:rsidR="005A78BF" w:rsidRPr="00F77433" w:rsidRDefault="00F87405" w:rsidP="005A78BF">
            <w:pPr>
              <w:pStyle w:val="zSoquijlblProcureurDef"/>
              <w:rPr>
                <w:lang w:val="en-CA"/>
              </w:rPr>
            </w:pPr>
            <w:r w:rsidRPr="00F77433">
              <w:t>Pour l’intimé</w:t>
            </w:r>
            <w:r w:rsidR="00AA1ECD">
              <w:t>e</w:t>
            </w:r>
          </w:p>
        </w:tc>
      </w:tr>
      <w:tr w:rsidR="005A78BF" w:rsidRPr="00F77433" w14:paraId="0DAA5BCE" w14:textId="77777777" w:rsidTr="00423DF1">
        <w:tc>
          <w:tcPr>
            <w:tcW w:w="9362" w:type="dxa"/>
            <w:gridSpan w:val="3"/>
          </w:tcPr>
          <w:p w14:paraId="2BD4616D" w14:textId="77777777" w:rsidR="005A78BF" w:rsidRPr="00F77433" w:rsidRDefault="005A78BF" w:rsidP="005A78BF">
            <w:pPr>
              <w:rPr>
                <w:lang w:val="en-CA"/>
              </w:rPr>
            </w:pPr>
          </w:p>
        </w:tc>
      </w:tr>
      <w:tr w:rsidR="005A78BF" w:rsidRPr="00F77433" w14:paraId="035B4CC7" w14:textId="77777777" w:rsidTr="00423DF1">
        <w:tc>
          <w:tcPr>
            <w:tcW w:w="1997" w:type="dxa"/>
          </w:tcPr>
          <w:p w14:paraId="5B90B311" w14:textId="77777777" w:rsidR="005A78BF" w:rsidRPr="00F77433" w:rsidRDefault="005A78BF" w:rsidP="005A78BF">
            <w:pPr>
              <w:pStyle w:val="zSoquijlblDateAudience"/>
            </w:pPr>
            <w:r w:rsidRPr="00F77433">
              <w:t>Date d’audience :</w:t>
            </w:r>
          </w:p>
        </w:tc>
        <w:tc>
          <w:tcPr>
            <w:tcW w:w="7365" w:type="dxa"/>
            <w:gridSpan w:val="2"/>
          </w:tcPr>
          <w:p w14:paraId="59328D15" w14:textId="1300033D" w:rsidR="005A78BF" w:rsidRPr="00F77433" w:rsidRDefault="00F87405" w:rsidP="005A78BF">
            <w:pPr>
              <w:pStyle w:val="zSoquijdatDateAudience"/>
            </w:pPr>
            <w:r w:rsidRPr="00F77433">
              <w:t>Le 10 juillet 2026</w:t>
            </w:r>
          </w:p>
        </w:tc>
      </w:tr>
      <w:bookmarkEnd w:id="8"/>
    </w:tbl>
    <w:p w14:paraId="56F5F821" w14:textId="77777777" w:rsidR="00740A17" w:rsidRPr="00F77433" w:rsidRDefault="00740A17" w:rsidP="00F87405"/>
    <w:sectPr w:rsidR="00740A17" w:rsidRPr="00F77433" w:rsidSect="00F87405">
      <w:headerReference w:type="default" r:id="rId8"/>
      <w:pgSz w:w="12242" w:h="15842" w:code="1"/>
      <w:pgMar w:top="1440" w:right="1008" w:bottom="1440" w:left="1872" w:header="1440" w:footer="7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A1391" w14:textId="77777777" w:rsidR="00BC5C7D" w:rsidRDefault="00BC5C7D">
      <w:r>
        <w:separator/>
      </w:r>
    </w:p>
  </w:endnote>
  <w:endnote w:type="continuationSeparator" w:id="0">
    <w:p w14:paraId="27D667AA" w14:textId="77777777" w:rsidR="00BC5C7D" w:rsidRDefault="00BC5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31145" w14:textId="77777777" w:rsidR="00BC5C7D" w:rsidRDefault="00BC5C7D">
      <w:r>
        <w:separator/>
      </w:r>
    </w:p>
  </w:footnote>
  <w:footnote w:type="continuationSeparator" w:id="0">
    <w:p w14:paraId="4153DD67" w14:textId="77777777" w:rsidR="00BC5C7D" w:rsidRDefault="00BC5C7D">
      <w:r>
        <w:continuationSeparator/>
      </w:r>
    </w:p>
  </w:footnote>
  <w:footnote w:id="1">
    <w:p w14:paraId="585D6C76" w14:textId="69AB5A7D"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Droit de la famille — 251 752</w:t>
      </w:r>
      <w:r w:rsidRPr="00416F5F">
        <w:t>,</w:t>
      </w:r>
      <w:r w:rsidRPr="00416F5F">
        <w:rPr>
          <w:i/>
          <w:iCs/>
        </w:rPr>
        <w:t xml:space="preserve"> </w:t>
      </w:r>
      <w:r w:rsidRPr="00416F5F">
        <w:t>2025 QCCS 4449</w:t>
      </w:r>
      <w:r w:rsidR="00417D18" w:rsidRPr="00416F5F">
        <w:t xml:space="preserve"> </w:t>
      </w:r>
      <w:r w:rsidRPr="00416F5F">
        <w:t>[Jugement entrepris].</w:t>
      </w:r>
    </w:p>
  </w:footnote>
  <w:footnote w:id="2">
    <w:p w14:paraId="1316C95B" w14:textId="4663E001"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Droit de la famille — 2517</w:t>
      </w:r>
      <w:r w:rsidRPr="00416F5F">
        <w:t>, 2025 QCCS 154, par. 12, 24 et 37-40 [Jugement sur l’outrage].</w:t>
      </w:r>
    </w:p>
  </w:footnote>
  <w:footnote w:id="3">
    <w:p w14:paraId="6C375D68" w14:textId="2104D12B"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Id</w:t>
      </w:r>
      <w:r w:rsidRPr="00416F5F">
        <w:t>., par. 13 et 24.</w:t>
      </w:r>
    </w:p>
  </w:footnote>
  <w:footnote w:id="4">
    <w:p w14:paraId="23074536" w14:textId="77777777"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Droit de la famille — 25538</w:t>
      </w:r>
      <w:r w:rsidRPr="00416F5F">
        <w:t>, 2025 QCCA 489.</w:t>
      </w:r>
    </w:p>
  </w:footnote>
  <w:footnote w:id="5">
    <w:p w14:paraId="68F6E7C8" w14:textId="77777777"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Droit de la famille — 26163</w:t>
      </w:r>
      <w:r w:rsidRPr="00416F5F">
        <w:t>, 2026 QCCA 178.</w:t>
      </w:r>
    </w:p>
  </w:footnote>
  <w:footnote w:id="6">
    <w:p w14:paraId="6326C237" w14:textId="0027DF15"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Droit de la famille – 18911</w:t>
      </w:r>
      <w:r w:rsidRPr="00416F5F">
        <w:t>, 2018 QCCA 691, par. 6.</w:t>
      </w:r>
    </w:p>
  </w:footnote>
  <w:footnote w:id="7">
    <w:p w14:paraId="60F59AA9" w14:textId="77777777" w:rsidR="00506768" w:rsidRPr="00416F5F" w:rsidRDefault="00506768" w:rsidP="00506768">
      <w:pPr>
        <w:pStyle w:val="Notedebasdepage"/>
      </w:pPr>
      <w:r w:rsidRPr="00416F5F">
        <w:rPr>
          <w:rStyle w:val="Appelnotedebasdep"/>
        </w:rPr>
        <w:footnoteRef/>
      </w:r>
      <w:r w:rsidRPr="00416F5F">
        <w:t xml:space="preserve"> </w:t>
      </w:r>
      <w:r w:rsidRPr="00416F5F">
        <w:tab/>
        <w:t>Jugement entrepris, par. 22 : « Pour exécuter les travaux d’utilité sociale, une période de 12 mois lui sera accordée. Il s’agit d’une période raisonnable, considérant ses disponibilités compte tenu qu’il ne travaille pas et aucune représentation n’indique que ce délai serait inacceptable. »</w:t>
      </w:r>
    </w:p>
  </w:footnote>
  <w:footnote w:id="8">
    <w:p w14:paraId="493B27B3" w14:textId="37143659"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Droit de la famille — 26163</w:t>
      </w:r>
      <w:r w:rsidRPr="00416F5F">
        <w:t xml:space="preserve">, 2026 QCCA 178; Requête pour permission de présenter des preuves nouvelles indispensables (art. 380 </w:t>
      </w:r>
      <w:r w:rsidRPr="00416F5F">
        <w:rPr>
          <w:i/>
          <w:iCs/>
        </w:rPr>
        <w:t>C.p.c</w:t>
      </w:r>
      <w:r w:rsidRPr="00416F5F">
        <w:t>.) du 30 décembre 2025, par. 4a); « Annexe 5 : Dossier médical du fils de l’appelant, démontrant que ce dernier était contraint de voyager en Tunisie pour assurer les soins de son fils autiste, ce qui justifie certaines absences à des audiences clés ».</w:t>
      </w:r>
    </w:p>
  </w:footnote>
  <w:footnote w:id="9">
    <w:p w14:paraId="7D6EE3DA" w14:textId="56B52234" w:rsidR="00506768" w:rsidRPr="00416F5F" w:rsidRDefault="00506768" w:rsidP="00506768">
      <w:pPr>
        <w:pStyle w:val="Notedebasdepage"/>
      </w:pPr>
      <w:r w:rsidRPr="00416F5F">
        <w:rPr>
          <w:rStyle w:val="Appelnotedebasdep"/>
        </w:rPr>
        <w:footnoteRef/>
      </w:r>
      <w:r w:rsidRPr="00416F5F">
        <w:t xml:space="preserve"> </w:t>
      </w:r>
      <w:r w:rsidRPr="00416F5F">
        <w:tab/>
        <w:t xml:space="preserve">Voir à titre d’exemple </w:t>
      </w:r>
      <w:r w:rsidRPr="00416F5F">
        <w:rPr>
          <w:i/>
          <w:iCs/>
        </w:rPr>
        <w:t>Ponce c. Industrielle Alliance, Assurances et services financiers inc</w:t>
      </w:r>
      <w:r w:rsidRPr="00416F5F">
        <w:t>., 2026 QCCA 724, par. 31-38.</w:t>
      </w:r>
    </w:p>
  </w:footnote>
  <w:footnote w:id="10">
    <w:p w14:paraId="22281CA1" w14:textId="77777777"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Miramare Investment Incorporated c. AOD Corporation</w:t>
      </w:r>
      <w:r w:rsidRPr="00416F5F">
        <w:t xml:space="preserve">, 2024 QCCA 1194, par. 18; </w:t>
      </w:r>
      <w:r w:rsidRPr="00416F5F">
        <w:rPr>
          <w:i/>
          <w:iCs/>
        </w:rPr>
        <w:t>Immeubles Redbourne South Shore inc. c. Soutex inc</w:t>
      </w:r>
      <w:r w:rsidRPr="00416F5F">
        <w:t>., 2026 QCCA 434, note de bas de page 66.</w:t>
      </w:r>
    </w:p>
  </w:footnote>
  <w:footnote w:id="11">
    <w:p w14:paraId="77DF1ED5" w14:textId="77777777" w:rsidR="00506768" w:rsidRPr="00416F5F" w:rsidRDefault="00506768" w:rsidP="00506768">
      <w:pPr>
        <w:pStyle w:val="Notedebasdepage"/>
      </w:pPr>
      <w:r w:rsidRPr="00416F5F">
        <w:rPr>
          <w:rStyle w:val="Appelnotedebasdep"/>
        </w:rPr>
        <w:footnoteRef/>
      </w:r>
      <w:r w:rsidRPr="00416F5F">
        <w:t xml:space="preserve"> </w:t>
      </w:r>
      <w:r w:rsidRPr="00416F5F">
        <w:tab/>
        <w:t>Art. 62 al. 1 </w:t>
      </w:r>
      <w:r w:rsidRPr="00416F5F">
        <w:rPr>
          <w:i/>
          <w:iCs/>
        </w:rPr>
        <w:t xml:space="preserve">C.p.c. </w:t>
      </w:r>
      <w:r w:rsidRPr="00416F5F">
        <w:t>: Les seules sanctions qui peuvent être prononcées pour punir l’outrage au tribunal sont les suivantes:</w:t>
      </w:r>
    </w:p>
    <w:p w14:paraId="45AEC31F" w14:textId="77777777" w:rsidR="00506768" w:rsidRPr="00416F5F" w:rsidRDefault="00506768" w:rsidP="00506768">
      <w:pPr>
        <w:pStyle w:val="Notedebasdepage"/>
        <w:ind w:firstLine="0"/>
      </w:pPr>
      <w:r w:rsidRPr="00416F5F">
        <w:t>1° le paiement, à titre punitif, d’un montant qui n’excède pas 10 000 $ si l’outrage est le fait d’une personne physique, ou 100 000 $ s’il est le fait d’une personne morale, d’une société ou d’une association ou d’un autre groupement sans personnalité juridique, auquel cas le jugement est exécuté conformément au chapitre XIII du Code de procédure pénale (chapitre C-25.1);</w:t>
      </w:r>
    </w:p>
    <w:p w14:paraId="5C804BE9" w14:textId="77777777" w:rsidR="00506768" w:rsidRPr="00416F5F" w:rsidRDefault="00506768" w:rsidP="00506768">
      <w:pPr>
        <w:pStyle w:val="Notedebasdepage"/>
        <w:ind w:firstLine="0"/>
      </w:pPr>
      <w:r w:rsidRPr="00416F5F">
        <w:t>2° l’exécution par la personne même ou par ses dirigeants, de travaux d’utilité sociale dont la nature, les conditions et la durée sont établies par le tribunal.</w:t>
      </w:r>
    </w:p>
  </w:footnote>
  <w:footnote w:id="12">
    <w:p w14:paraId="40ED06B5" w14:textId="48EC7CC1"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Lacroix c. Autorité des marchés financiers</w:t>
      </w:r>
      <w:r w:rsidRPr="00416F5F">
        <w:t xml:space="preserve">, 2020 QCCA 873, par. 59 et 62; </w:t>
      </w:r>
      <w:r w:rsidRPr="00416F5F">
        <w:rPr>
          <w:i/>
          <w:iCs/>
        </w:rPr>
        <w:t>Droit de la famille — 21819</w:t>
      </w:r>
      <w:r w:rsidRPr="00416F5F">
        <w:t>, 2021 QCCA 759, par. 34.</w:t>
      </w:r>
    </w:p>
  </w:footnote>
  <w:footnote w:id="13">
    <w:p w14:paraId="60271828" w14:textId="7C121723" w:rsidR="00506768" w:rsidRPr="00416F5F" w:rsidRDefault="00506768" w:rsidP="00506768">
      <w:pPr>
        <w:pStyle w:val="Notedebasdepage"/>
      </w:pPr>
      <w:r w:rsidRPr="00416F5F">
        <w:rPr>
          <w:rStyle w:val="Appelnotedebasdep"/>
        </w:rPr>
        <w:footnoteRef/>
      </w:r>
      <w:r w:rsidRPr="00416F5F">
        <w:t xml:space="preserve"> </w:t>
      </w:r>
      <w:r w:rsidRPr="00416F5F">
        <w:tab/>
        <w:t>Art. 62 al. 2 </w:t>
      </w:r>
      <w:r w:rsidRPr="00416F5F">
        <w:rPr>
          <w:i/>
          <w:iCs/>
        </w:rPr>
        <w:t>C.p.c</w:t>
      </w:r>
      <w:r w:rsidRPr="00F77433">
        <w:t>.</w:t>
      </w:r>
      <w:r w:rsidR="00F77433" w:rsidRPr="00F77433">
        <w:t> </w:t>
      </w:r>
      <w:r w:rsidRPr="00F77433">
        <w:t xml:space="preserve">: </w:t>
      </w:r>
      <w:r w:rsidRPr="00416F5F">
        <w:t>Si la personne refuse d’obtempérer à l’ordonnance ou à l’injonction, le tribunal peut, en sus de la peine imposée, prononcer l’emprisonnement pour la période qu’il fixe. La personne ainsi emprisonnée doit être périodiquement appelée à comparaître pour s’expliquer et l’emprisonnement peut être prononcé de nouveau jusqu’à ce qu’elle obéisse. En aucun cas, l’emprisonnement ne peut excéder un an.</w:t>
      </w:r>
    </w:p>
  </w:footnote>
  <w:footnote w:id="14">
    <w:p w14:paraId="56D69E88" w14:textId="52DB55CA"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Droit de la famille — 21819</w:t>
      </w:r>
      <w:r w:rsidRPr="00416F5F">
        <w:t xml:space="preserve">, 2021 QCCA 759, par. 35 en référence à </w:t>
      </w:r>
      <w:r w:rsidRPr="00416F5F">
        <w:rPr>
          <w:i/>
          <w:iCs/>
        </w:rPr>
        <w:t>Lacroix c. Autorité des marchés financiers</w:t>
      </w:r>
      <w:r w:rsidRPr="00416F5F">
        <w:t>, 2020 QCCA 873, par. 63-64.</w:t>
      </w:r>
    </w:p>
  </w:footnote>
  <w:footnote w:id="15">
    <w:p w14:paraId="028CA5BF" w14:textId="47C36931" w:rsidR="00506768" w:rsidRPr="00416F5F" w:rsidRDefault="00506768" w:rsidP="00506768">
      <w:pPr>
        <w:pStyle w:val="Notedebasdepage"/>
        <w:rPr>
          <w:i/>
          <w:iCs/>
        </w:rPr>
      </w:pPr>
      <w:r w:rsidRPr="00416F5F">
        <w:rPr>
          <w:rStyle w:val="Appelnotedebasdep"/>
        </w:rPr>
        <w:footnoteRef/>
      </w:r>
      <w:r w:rsidRPr="00416F5F">
        <w:t xml:space="preserve"> </w:t>
      </w:r>
      <w:r w:rsidRPr="00416F5F">
        <w:tab/>
      </w:r>
      <w:r w:rsidRPr="00416F5F">
        <w:rPr>
          <w:i/>
          <w:iCs/>
        </w:rPr>
        <w:t>Lacroix c. Autorité des marchés financiers</w:t>
      </w:r>
      <w:r w:rsidRPr="00416F5F">
        <w:t xml:space="preserve">, 2020 QCCA 873, par. 113-114, repris dans </w:t>
      </w:r>
      <w:r w:rsidRPr="00416F5F">
        <w:rPr>
          <w:i/>
          <w:iCs/>
        </w:rPr>
        <w:t>Réception de Zenda Glenhill Holdings Corporation</w:t>
      </w:r>
      <w:r w:rsidRPr="00416F5F">
        <w:t xml:space="preserve">, 2022 QCCA 270, par. 22-23. Voir le Jugement entrepris, par. 43 et 47. </w:t>
      </w:r>
    </w:p>
  </w:footnote>
  <w:footnote w:id="16">
    <w:p w14:paraId="68BF37CC" w14:textId="66CA4B31"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Lacroix c. Autorité des marchés financiers</w:t>
      </w:r>
      <w:r w:rsidRPr="00416F5F">
        <w:t>, 2020 QCCA 873, par. 64.</w:t>
      </w:r>
    </w:p>
  </w:footnote>
  <w:footnote w:id="17">
    <w:p w14:paraId="0ACC7BC9" w14:textId="13B1F740"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Lacroix c. Autorité des marchés financiers</w:t>
      </w:r>
      <w:r w:rsidRPr="00416F5F">
        <w:t xml:space="preserve">, 2020 QCCA 873, par. 49 en référence à </w:t>
      </w:r>
      <w:r w:rsidRPr="00416F5F">
        <w:rPr>
          <w:i/>
          <w:iCs/>
        </w:rPr>
        <w:t>Douek c. Brossard</w:t>
      </w:r>
      <w:r w:rsidRPr="00416F5F">
        <w:t>, 2018 QCCA 1734, par. 14.</w:t>
      </w:r>
    </w:p>
  </w:footnote>
  <w:footnote w:id="18">
    <w:p w14:paraId="61B57CFF" w14:textId="77777777" w:rsidR="00506768" w:rsidRPr="00416F5F" w:rsidRDefault="00506768" w:rsidP="00506768">
      <w:pPr>
        <w:pStyle w:val="Notedebasdepage"/>
      </w:pPr>
      <w:r w:rsidRPr="00416F5F">
        <w:rPr>
          <w:rStyle w:val="Appelnotedebasdep"/>
        </w:rPr>
        <w:footnoteRef/>
      </w:r>
      <w:r w:rsidRPr="00416F5F">
        <w:t xml:space="preserve"> </w:t>
      </w:r>
      <w:r w:rsidRPr="00416F5F">
        <w:tab/>
        <w:t>Jugement entrepris, par. 28. Voir aussi : Jugement sur l’outrage, par. 27 et 29.</w:t>
      </w:r>
    </w:p>
  </w:footnote>
  <w:footnote w:id="19">
    <w:p w14:paraId="0A893E92" w14:textId="77777777" w:rsidR="00506768" w:rsidRPr="00416F5F" w:rsidRDefault="00506768" w:rsidP="00506768">
      <w:pPr>
        <w:pStyle w:val="Notedebasdepage"/>
      </w:pPr>
      <w:r w:rsidRPr="00416F5F">
        <w:rPr>
          <w:rStyle w:val="Appelnotedebasdep"/>
        </w:rPr>
        <w:footnoteRef/>
      </w:r>
      <w:r w:rsidRPr="00416F5F">
        <w:t xml:space="preserve"> </w:t>
      </w:r>
      <w:r w:rsidRPr="00416F5F">
        <w:tab/>
        <w:t>Jugement entrepris, par. 21 et 40.</w:t>
      </w:r>
    </w:p>
  </w:footnote>
  <w:footnote w:id="20">
    <w:p w14:paraId="4E322B26" w14:textId="2E70F05D"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R. c. Lacasse</w:t>
      </w:r>
      <w:r w:rsidRPr="00416F5F">
        <w:t xml:space="preserve">, 2015 CSC 64, par. 11; </w:t>
      </w:r>
      <w:r w:rsidRPr="00416F5F">
        <w:rPr>
          <w:i/>
          <w:iCs/>
        </w:rPr>
        <w:t>R. c. Friesen</w:t>
      </w:r>
      <w:r w:rsidRPr="00416F5F">
        <w:t>, 2020 CSC 9, par. 26.</w:t>
      </w:r>
    </w:p>
  </w:footnote>
  <w:footnote w:id="21">
    <w:p w14:paraId="75AE2EE9" w14:textId="77777777" w:rsidR="00506768" w:rsidRPr="00416F5F" w:rsidRDefault="00506768" w:rsidP="00506768">
      <w:pPr>
        <w:pStyle w:val="Notedebasdepage"/>
      </w:pPr>
      <w:r w:rsidRPr="00416F5F">
        <w:rPr>
          <w:rStyle w:val="Appelnotedebasdep"/>
        </w:rPr>
        <w:footnoteRef/>
      </w:r>
      <w:r w:rsidRPr="00416F5F">
        <w:t xml:space="preserve"> </w:t>
      </w:r>
      <w:r w:rsidRPr="00416F5F">
        <w:tab/>
        <w:t>Jugement sur l’outrage, par. 21 en référence à la Demande de la demanderesse pour une ordonnance portant citation à comparaître en matière d’outrage au tribunal (art. 57 à 62 </w:t>
      </w:r>
      <w:r w:rsidRPr="00416F5F">
        <w:rPr>
          <w:i/>
          <w:iCs/>
        </w:rPr>
        <w:t>C.p.c</w:t>
      </w:r>
      <w:r w:rsidRPr="00416F5F">
        <w:t>.), 11 juin 2024.</w:t>
      </w:r>
    </w:p>
  </w:footnote>
  <w:footnote w:id="22">
    <w:p w14:paraId="364AA63E" w14:textId="77777777" w:rsidR="00506768" w:rsidRPr="00416F5F" w:rsidRDefault="00506768" w:rsidP="00506768">
      <w:pPr>
        <w:pStyle w:val="Notedebasdepage"/>
      </w:pPr>
      <w:r w:rsidRPr="00416F5F">
        <w:rPr>
          <w:rStyle w:val="Appelnotedebasdep"/>
        </w:rPr>
        <w:footnoteRef/>
      </w:r>
      <w:r w:rsidRPr="00416F5F">
        <w:t xml:space="preserve"> </w:t>
      </w:r>
      <w:r w:rsidRPr="00416F5F">
        <w:tab/>
        <w:t>Jugement entrepris, par. 2, 3, 13, 15, 30, 32, 37 et 38.</w:t>
      </w:r>
    </w:p>
  </w:footnote>
  <w:footnote w:id="23">
    <w:p w14:paraId="68D86D44" w14:textId="77777777" w:rsidR="00506768" w:rsidRPr="00416F5F" w:rsidRDefault="00506768" w:rsidP="00506768">
      <w:pPr>
        <w:pStyle w:val="Notedebasdepage"/>
      </w:pPr>
      <w:r w:rsidRPr="00416F5F">
        <w:rPr>
          <w:rStyle w:val="Appelnotedebasdep"/>
        </w:rPr>
        <w:footnoteRef/>
      </w:r>
      <w:r w:rsidRPr="00416F5F">
        <w:t xml:space="preserve"> </w:t>
      </w:r>
      <w:r w:rsidRPr="00416F5F">
        <w:tab/>
        <w:t>Jugement entrepris, par. 43.</w:t>
      </w:r>
    </w:p>
  </w:footnote>
  <w:footnote w:id="24">
    <w:p w14:paraId="51E4B440" w14:textId="77777777" w:rsidR="00506768" w:rsidRPr="00416F5F" w:rsidRDefault="00506768" w:rsidP="00506768">
      <w:pPr>
        <w:pStyle w:val="Notedebasdepage"/>
      </w:pPr>
      <w:r w:rsidRPr="00416F5F">
        <w:rPr>
          <w:rStyle w:val="Appelnotedebasdep"/>
        </w:rPr>
        <w:footnoteRef/>
      </w:r>
      <w:r w:rsidRPr="00416F5F">
        <w:t xml:space="preserve"> </w:t>
      </w:r>
      <w:r w:rsidRPr="00416F5F">
        <w:tab/>
        <w:t>Jugement entrepris, par. 18-37; Jugement sur l’outrage, par. 25-33, 38-39 et 41.</w:t>
      </w:r>
    </w:p>
  </w:footnote>
  <w:footnote w:id="25">
    <w:p w14:paraId="4DE3E054" w14:textId="53E5F411"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Droit de la famille — 2682</w:t>
      </w:r>
      <w:r w:rsidRPr="00416F5F">
        <w:t>, 2026 QCCA 92.</w:t>
      </w:r>
    </w:p>
  </w:footnote>
  <w:footnote w:id="26">
    <w:p w14:paraId="3A21D1A1" w14:textId="69716D83" w:rsidR="00506768" w:rsidRPr="00416F5F" w:rsidRDefault="00506768" w:rsidP="00506768">
      <w:pPr>
        <w:pStyle w:val="Notedebasdepage"/>
      </w:pPr>
      <w:r w:rsidRPr="00416F5F">
        <w:rPr>
          <w:rStyle w:val="Appelnotedebasdep"/>
        </w:rPr>
        <w:footnoteRef/>
      </w:r>
      <w:r w:rsidRPr="00416F5F">
        <w:t xml:space="preserve"> </w:t>
      </w:r>
      <w:r w:rsidRPr="00416F5F">
        <w:tab/>
        <w:t xml:space="preserve">« Le fait qu’un appel n’ait aucune chance raisonnable de succès ne suffit pas à justifier une déclaration d’abus » : </w:t>
      </w:r>
      <w:r w:rsidRPr="00416F5F">
        <w:rPr>
          <w:i/>
          <w:iCs/>
        </w:rPr>
        <w:t>Droit de la famille — 26163</w:t>
      </w:r>
      <w:r w:rsidRPr="00416F5F">
        <w:t>, 2026 QCCA 178, par. 5.</w:t>
      </w:r>
    </w:p>
  </w:footnote>
  <w:footnote w:id="27">
    <w:p w14:paraId="3E73E288" w14:textId="06C261FE"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Bouchard c. Municipalité de Saint-Nazaire</w:t>
      </w:r>
      <w:r w:rsidRPr="00416F5F">
        <w:t xml:space="preserve">, 2023 QCCA 1534, par. 29-30; </w:t>
      </w:r>
      <w:r w:rsidRPr="00416F5F">
        <w:rPr>
          <w:i/>
          <w:iCs/>
        </w:rPr>
        <w:t>Lapierre c. R.</w:t>
      </w:r>
      <w:r w:rsidRPr="00416F5F">
        <w:t>, 2018 QCCA 1473, par. 23.</w:t>
      </w:r>
    </w:p>
  </w:footnote>
  <w:footnote w:id="28">
    <w:p w14:paraId="7EC65B76" w14:textId="34FE34F7"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Droit de la famille — 152787</w:t>
      </w:r>
      <w:r w:rsidRPr="00416F5F">
        <w:t>, 2015 QCCA 1836, par. 32.</w:t>
      </w:r>
    </w:p>
  </w:footnote>
  <w:footnote w:id="29">
    <w:p w14:paraId="1AAFB8D4" w14:textId="27085A1E" w:rsidR="00506768" w:rsidRPr="00416F5F" w:rsidRDefault="00506768" w:rsidP="00506768">
      <w:pPr>
        <w:pStyle w:val="Notedebasdepage"/>
      </w:pPr>
      <w:r w:rsidRPr="00416F5F">
        <w:rPr>
          <w:rStyle w:val="Appelnotedebasdep"/>
        </w:rPr>
        <w:footnoteRef/>
      </w:r>
      <w:r w:rsidRPr="00416F5F">
        <w:t xml:space="preserve"> </w:t>
      </w:r>
      <w:r w:rsidRPr="00416F5F">
        <w:tab/>
        <w:t xml:space="preserve">Cour d’appel du Québec, </w:t>
      </w:r>
      <w:r w:rsidRPr="00416F5F">
        <w:rPr>
          <w:i/>
          <w:iCs/>
        </w:rPr>
        <w:t>Avis concernant le recours à l’intelligence artificielle devant la Cour d’appel</w:t>
      </w:r>
      <w:r w:rsidRPr="00416F5F">
        <w:t>, 8 août 2024, p. 1 [Soulignement ajouté].</w:t>
      </w:r>
    </w:p>
  </w:footnote>
  <w:footnote w:id="30">
    <w:p w14:paraId="62525356" w14:textId="72E10E09" w:rsidR="00506768" w:rsidRPr="00416F5F" w:rsidRDefault="00506768" w:rsidP="00506768">
      <w:pPr>
        <w:pStyle w:val="Notedebasdepage"/>
      </w:pPr>
      <w:r w:rsidRPr="00416F5F">
        <w:rPr>
          <w:rStyle w:val="Appelnotedebasdep"/>
        </w:rPr>
        <w:footnoteRef/>
      </w:r>
      <w:r w:rsidRPr="00416F5F">
        <w:t xml:space="preserve"> </w:t>
      </w:r>
      <w:r w:rsidRPr="00416F5F">
        <w:tab/>
      </w:r>
      <w:r w:rsidRPr="00416F5F">
        <w:rPr>
          <w:i/>
          <w:iCs/>
        </w:rPr>
        <w:t>Droit de la famille — 261234</w:t>
      </w:r>
      <w:r w:rsidRPr="00416F5F">
        <w:t>, 2026 QCCA 1092, par. 22 et 29-32.</w:t>
      </w:r>
    </w:p>
  </w:footnote>
  <w:footnote w:id="31">
    <w:p w14:paraId="0B53FE89" w14:textId="77777777" w:rsidR="00506768" w:rsidRPr="00416F5F" w:rsidRDefault="00506768" w:rsidP="00506768">
      <w:pPr>
        <w:pStyle w:val="Notedebasdepage"/>
      </w:pPr>
      <w:r w:rsidRPr="00416F5F">
        <w:rPr>
          <w:rStyle w:val="Appelnotedebasdep"/>
        </w:rPr>
        <w:footnoteRef/>
      </w:r>
      <w:r w:rsidRPr="00416F5F">
        <w:t xml:space="preserve"> </w:t>
      </w:r>
      <w:r w:rsidRPr="00416F5F">
        <w:tab/>
        <w:t xml:space="preserve">Art. 340 </w:t>
      </w:r>
      <w:r w:rsidRPr="00416F5F">
        <w:rPr>
          <w:i/>
          <w:iCs/>
        </w:rPr>
        <w:t>C.p.c.</w:t>
      </w:r>
      <w:r w:rsidRPr="00416F5F">
        <w:t> : « […] Cependant, les frais de justice sont à la charge, en matière familiale, de chacune des parties, en matière d’intégrité ou d’état, du demandeur et, en matière de capacité, de la personne concernée par la demande. Dans l’un ou l’autre de ces cas, le tribunal peut en décider autrement.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50EE" w14:textId="5253D12B" w:rsidR="007E33E4" w:rsidRDefault="00F87405" w:rsidP="00DB2119">
    <w:pPr>
      <w:tabs>
        <w:tab w:val="center" w:pos="4709"/>
        <w:tab w:val="right" w:pos="9360"/>
      </w:tabs>
      <w:spacing w:line="360" w:lineRule="auto"/>
      <w:ind w:right="524"/>
    </w:pPr>
    <w:bookmarkStart w:id="29" w:name="EntDossier"/>
    <w:r>
      <w:t>500-09-700463-250</w:t>
    </w:r>
    <w:bookmarkEnd w:id="29"/>
    <w:r w:rsidR="007E33E4" w:rsidRPr="007462D6">
      <w:t xml:space="preserve"> </w:t>
    </w:r>
    <w:r w:rsidR="007E33E4">
      <w:tab/>
    </w:r>
    <w:r w:rsidR="007E33E4">
      <w:tab/>
      <w:t xml:space="preserve">PAGE : </w:t>
    </w:r>
    <w:r w:rsidR="007E33E4">
      <w:fldChar w:fldCharType="begin"/>
    </w:r>
    <w:r w:rsidR="007E33E4">
      <w:instrText xml:space="preserve"> PAGE </w:instrText>
    </w:r>
    <w:r w:rsidR="007E33E4">
      <w:fldChar w:fldCharType="separate"/>
    </w:r>
    <w:r w:rsidR="008D18FC">
      <w:rPr>
        <w:noProof/>
      </w:rPr>
      <w:t>2</w:t>
    </w:r>
    <w:r w:rsidR="007E33E4">
      <w:fldChar w:fldCharType="end"/>
    </w:r>
  </w:p>
  <w:p w14:paraId="33C495F3" w14:textId="77777777" w:rsidR="007E33E4" w:rsidRDefault="007E33E4" w:rsidP="00DB2119">
    <w:pPr>
      <w:tabs>
        <w:tab w:val="center" w:pos="4709"/>
        <w:tab w:val="right" w:pos="9360"/>
      </w:tabs>
      <w:spacing w:line="360" w:lineRule="auto"/>
      <w:ind w:right="52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B52DE"/>
    <w:multiLevelType w:val="multilevel"/>
    <w:tmpl w:val="5140860C"/>
    <w:lvl w:ilvl="0">
      <w:start w:val="1"/>
      <w:numFmt w:val="decimal"/>
      <w:pStyle w:val="Paragraphe"/>
      <w:lvlText w:val="[%1]"/>
      <w:lvlJc w:val="left"/>
      <w:pPr>
        <w:tabs>
          <w:tab w:val="num" w:pos="720"/>
        </w:tabs>
        <w:ind w:left="0" w:firstLine="0"/>
      </w:pPr>
      <w:rPr>
        <w:rFonts w:hint="default"/>
        <w:b w:val="0"/>
        <w:bCs w:val="0"/>
        <w:i w:val="0"/>
        <w:iCs w:val="0"/>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4360459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nNBChoix" w:val="3"/>
    <w:docVar w:name="MotifJuge1" w:val="MOTIFS DU JUGE"/>
    <w:docVar w:name="MotifJuge2" w:val="MOTIFS DE LA JUGE"/>
    <w:docVar w:name="MotifJuge3" w:val="MOTIFS DE LA JUGE"/>
    <w:docVar w:name="NomFamJuge1" w:val="KALICHMAN"/>
    <w:docVar w:name="NomFamJuge2" w:val="HARVIE"/>
    <w:docVar w:name="NomFamJuge3" w:val="LACHANCE"/>
    <w:docVar w:name="NomFamJuge4" w:val="MAILHOT"/>
    <w:docVar w:name="NomFamJuge5" w:val="BAUDOUIN"/>
    <w:docVar w:name="QteJuge1" w:val=", J.C.A."/>
    <w:docVar w:name="QteJuge2" w:val=", J.C.A."/>
    <w:docVar w:name="QteJuge3" w:val=", J.C.A."/>
    <w:docVar w:name="stPremiereFois" w:val="Non"/>
  </w:docVars>
  <w:rsids>
    <w:rsidRoot w:val="00F87405"/>
    <w:rsid w:val="000131E1"/>
    <w:rsid w:val="00022659"/>
    <w:rsid w:val="0004394C"/>
    <w:rsid w:val="00053691"/>
    <w:rsid w:val="000A7516"/>
    <w:rsid w:val="000B42AF"/>
    <w:rsid w:val="00110B53"/>
    <w:rsid w:val="00112321"/>
    <w:rsid w:val="00117914"/>
    <w:rsid w:val="0013028C"/>
    <w:rsid w:val="001407BC"/>
    <w:rsid w:val="00143800"/>
    <w:rsid w:val="0015610F"/>
    <w:rsid w:val="00160B31"/>
    <w:rsid w:val="0017181C"/>
    <w:rsid w:val="00181F56"/>
    <w:rsid w:val="00190FA7"/>
    <w:rsid w:val="001972F2"/>
    <w:rsid w:val="00205DC4"/>
    <w:rsid w:val="0021548E"/>
    <w:rsid w:val="00225665"/>
    <w:rsid w:val="002273F5"/>
    <w:rsid w:val="00243A19"/>
    <w:rsid w:val="00256C5F"/>
    <w:rsid w:val="00290CE6"/>
    <w:rsid w:val="002B4A07"/>
    <w:rsid w:val="002C4107"/>
    <w:rsid w:val="002E1F0E"/>
    <w:rsid w:val="002E229C"/>
    <w:rsid w:val="002E4FCE"/>
    <w:rsid w:val="002E51F1"/>
    <w:rsid w:val="002F1350"/>
    <w:rsid w:val="002F6136"/>
    <w:rsid w:val="00322DE0"/>
    <w:rsid w:val="0032363D"/>
    <w:rsid w:val="0033190E"/>
    <w:rsid w:val="00361325"/>
    <w:rsid w:val="00374888"/>
    <w:rsid w:val="00374E40"/>
    <w:rsid w:val="00376530"/>
    <w:rsid w:val="00392E75"/>
    <w:rsid w:val="00394B2F"/>
    <w:rsid w:val="003D487D"/>
    <w:rsid w:val="003E3239"/>
    <w:rsid w:val="003E3E3C"/>
    <w:rsid w:val="00416F5F"/>
    <w:rsid w:val="00417D18"/>
    <w:rsid w:val="00423DF1"/>
    <w:rsid w:val="00430C58"/>
    <w:rsid w:val="004331C4"/>
    <w:rsid w:val="0043564D"/>
    <w:rsid w:val="00441C25"/>
    <w:rsid w:val="00446452"/>
    <w:rsid w:val="00457127"/>
    <w:rsid w:val="00472DC8"/>
    <w:rsid w:val="004802EC"/>
    <w:rsid w:val="004A29F1"/>
    <w:rsid w:val="004A6641"/>
    <w:rsid w:val="004B1E94"/>
    <w:rsid w:val="004B33FF"/>
    <w:rsid w:val="004D2F69"/>
    <w:rsid w:val="004E4FBA"/>
    <w:rsid w:val="00503381"/>
    <w:rsid w:val="00504652"/>
    <w:rsid w:val="00506768"/>
    <w:rsid w:val="005131F1"/>
    <w:rsid w:val="0051484F"/>
    <w:rsid w:val="00516B3E"/>
    <w:rsid w:val="005262C9"/>
    <w:rsid w:val="00531D70"/>
    <w:rsid w:val="00566BF6"/>
    <w:rsid w:val="00583434"/>
    <w:rsid w:val="0058349F"/>
    <w:rsid w:val="005A4488"/>
    <w:rsid w:val="005A78BF"/>
    <w:rsid w:val="005B6B4C"/>
    <w:rsid w:val="005C5F21"/>
    <w:rsid w:val="005C7516"/>
    <w:rsid w:val="005D1522"/>
    <w:rsid w:val="005E0732"/>
    <w:rsid w:val="005F5F5F"/>
    <w:rsid w:val="00624770"/>
    <w:rsid w:val="0064250B"/>
    <w:rsid w:val="006826AA"/>
    <w:rsid w:val="00682794"/>
    <w:rsid w:val="0068356A"/>
    <w:rsid w:val="006A0DB0"/>
    <w:rsid w:val="006A4CEA"/>
    <w:rsid w:val="006A6629"/>
    <w:rsid w:val="006D19D7"/>
    <w:rsid w:val="0071298B"/>
    <w:rsid w:val="00740A17"/>
    <w:rsid w:val="007462D6"/>
    <w:rsid w:val="0074738B"/>
    <w:rsid w:val="0076062E"/>
    <w:rsid w:val="00767771"/>
    <w:rsid w:val="007901CC"/>
    <w:rsid w:val="00791252"/>
    <w:rsid w:val="007953F3"/>
    <w:rsid w:val="007A7803"/>
    <w:rsid w:val="007B061E"/>
    <w:rsid w:val="007B48D5"/>
    <w:rsid w:val="007D087C"/>
    <w:rsid w:val="007E33E4"/>
    <w:rsid w:val="007E4CC9"/>
    <w:rsid w:val="007F40FD"/>
    <w:rsid w:val="00800D23"/>
    <w:rsid w:val="00816273"/>
    <w:rsid w:val="0082717B"/>
    <w:rsid w:val="00827B04"/>
    <w:rsid w:val="0083032E"/>
    <w:rsid w:val="00841907"/>
    <w:rsid w:val="0086036A"/>
    <w:rsid w:val="008653A3"/>
    <w:rsid w:val="008657A2"/>
    <w:rsid w:val="00866645"/>
    <w:rsid w:val="00882210"/>
    <w:rsid w:val="008A349A"/>
    <w:rsid w:val="008A6185"/>
    <w:rsid w:val="008C1FE9"/>
    <w:rsid w:val="008C3408"/>
    <w:rsid w:val="008C7DCE"/>
    <w:rsid w:val="008D18FC"/>
    <w:rsid w:val="008D21C6"/>
    <w:rsid w:val="008D398B"/>
    <w:rsid w:val="008D7E49"/>
    <w:rsid w:val="008E5E9D"/>
    <w:rsid w:val="008F364A"/>
    <w:rsid w:val="008F3F53"/>
    <w:rsid w:val="0090631F"/>
    <w:rsid w:val="00906F97"/>
    <w:rsid w:val="00913E03"/>
    <w:rsid w:val="00917284"/>
    <w:rsid w:val="009229E9"/>
    <w:rsid w:val="00926953"/>
    <w:rsid w:val="00932703"/>
    <w:rsid w:val="00936469"/>
    <w:rsid w:val="009400B7"/>
    <w:rsid w:val="009453F8"/>
    <w:rsid w:val="00954DC2"/>
    <w:rsid w:val="00957B92"/>
    <w:rsid w:val="00970966"/>
    <w:rsid w:val="0097237A"/>
    <w:rsid w:val="00974442"/>
    <w:rsid w:val="009B4630"/>
    <w:rsid w:val="009E0CE8"/>
    <w:rsid w:val="009F1F69"/>
    <w:rsid w:val="00A23BF4"/>
    <w:rsid w:val="00A2593B"/>
    <w:rsid w:val="00A34E05"/>
    <w:rsid w:val="00A43D8B"/>
    <w:rsid w:val="00A454F1"/>
    <w:rsid w:val="00A543CC"/>
    <w:rsid w:val="00A93CFF"/>
    <w:rsid w:val="00AA1ECD"/>
    <w:rsid w:val="00AA7DF1"/>
    <w:rsid w:val="00AB7DD2"/>
    <w:rsid w:val="00AE1B6D"/>
    <w:rsid w:val="00AE43D4"/>
    <w:rsid w:val="00AF0C7C"/>
    <w:rsid w:val="00B01D86"/>
    <w:rsid w:val="00B07E4E"/>
    <w:rsid w:val="00B11FD1"/>
    <w:rsid w:val="00B137E9"/>
    <w:rsid w:val="00B211CA"/>
    <w:rsid w:val="00B30EA2"/>
    <w:rsid w:val="00B36ED3"/>
    <w:rsid w:val="00B513C9"/>
    <w:rsid w:val="00B56EF4"/>
    <w:rsid w:val="00B70485"/>
    <w:rsid w:val="00B712EE"/>
    <w:rsid w:val="00B82A13"/>
    <w:rsid w:val="00BC5C7D"/>
    <w:rsid w:val="00C02AF8"/>
    <w:rsid w:val="00C17E01"/>
    <w:rsid w:val="00C31AC4"/>
    <w:rsid w:val="00C409BE"/>
    <w:rsid w:val="00C423CA"/>
    <w:rsid w:val="00C652ED"/>
    <w:rsid w:val="00C7793C"/>
    <w:rsid w:val="00C939A8"/>
    <w:rsid w:val="00C97145"/>
    <w:rsid w:val="00CC0BA6"/>
    <w:rsid w:val="00D010FD"/>
    <w:rsid w:val="00D02812"/>
    <w:rsid w:val="00D20056"/>
    <w:rsid w:val="00D34DC9"/>
    <w:rsid w:val="00D4673B"/>
    <w:rsid w:val="00D7582D"/>
    <w:rsid w:val="00DB2119"/>
    <w:rsid w:val="00DC05BC"/>
    <w:rsid w:val="00DC76F2"/>
    <w:rsid w:val="00DD3A24"/>
    <w:rsid w:val="00DF3516"/>
    <w:rsid w:val="00E03C07"/>
    <w:rsid w:val="00E20E3C"/>
    <w:rsid w:val="00E36290"/>
    <w:rsid w:val="00E57145"/>
    <w:rsid w:val="00E81E61"/>
    <w:rsid w:val="00E848B4"/>
    <w:rsid w:val="00E91417"/>
    <w:rsid w:val="00E94329"/>
    <w:rsid w:val="00EB1377"/>
    <w:rsid w:val="00EB204B"/>
    <w:rsid w:val="00EC1E33"/>
    <w:rsid w:val="00EC4BF4"/>
    <w:rsid w:val="00ED742C"/>
    <w:rsid w:val="00EF4A63"/>
    <w:rsid w:val="00EF6199"/>
    <w:rsid w:val="00EF7B89"/>
    <w:rsid w:val="00F07022"/>
    <w:rsid w:val="00F1119E"/>
    <w:rsid w:val="00F26635"/>
    <w:rsid w:val="00F33E30"/>
    <w:rsid w:val="00F35A34"/>
    <w:rsid w:val="00F40882"/>
    <w:rsid w:val="00F43559"/>
    <w:rsid w:val="00F5789B"/>
    <w:rsid w:val="00F75AAB"/>
    <w:rsid w:val="00F75C76"/>
    <w:rsid w:val="00F77433"/>
    <w:rsid w:val="00F87405"/>
    <w:rsid w:val="00FC720B"/>
    <w:rsid w:val="00FE3FE9"/>
    <w:rsid w:val="00FE6A10"/>
    <w:rsid w:val="00FF4ED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6EDEAD"/>
  <w15:chartTrackingRefBased/>
  <w15:docId w15:val="{74E5C68F-F2B7-4CFB-9E84-17BB90CF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0" w:lineRule="exact"/>
    </w:pPr>
    <w:rPr>
      <w:rFonts w:ascii="Arial" w:hAnsi="Arial"/>
      <w:sz w:val="24"/>
      <w:lang w:eastAsia="fr-FR"/>
    </w:rPr>
  </w:style>
  <w:style w:type="paragraph" w:styleId="Titre1">
    <w:name w:val="heading 1"/>
    <w:basedOn w:val="Normal"/>
    <w:next w:val="Normal"/>
    <w:link w:val="Titre1Car"/>
    <w:qFormat/>
    <w:pPr>
      <w:keepNext/>
      <w:spacing w:before="240" w:after="60" w:line="500" w:lineRule="exact"/>
      <w:outlineLvl w:val="0"/>
    </w:pPr>
    <w:rPr>
      <w:b/>
      <w:kern w:val="28"/>
      <w:sz w:val="28"/>
    </w:rPr>
  </w:style>
  <w:style w:type="paragraph" w:styleId="Titre2">
    <w:name w:val="heading 2"/>
    <w:basedOn w:val="Normal"/>
    <w:next w:val="Normal"/>
    <w:qFormat/>
    <w:pPr>
      <w:keepNext/>
      <w:spacing w:before="240" w:after="60"/>
      <w:outlineLvl w:val="1"/>
    </w:pPr>
    <w:rPr>
      <w:b/>
      <w:i/>
    </w:rPr>
  </w:style>
  <w:style w:type="paragraph" w:styleId="Titre3">
    <w:name w:val="heading 3"/>
    <w:basedOn w:val="Normal"/>
    <w:next w:val="Normal"/>
    <w:qFormat/>
    <w:pPr>
      <w:keepNext/>
      <w:spacing w:before="240" w:after="60"/>
      <w:outlineLvl w:val="2"/>
    </w:pPr>
  </w:style>
  <w:style w:type="paragraph" w:styleId="Titre4">
    <w:name w:val="heading 4"/>
    <w:basedOn w:val="Normal"/>
    <w:next w:val="Normal"/>
    <w:link w:val="Titre4Car"/>
    <w:qFormat/>
    <w:pPr>
      <w:keepNext/>
      <w:spacing w:before="240" w:after="60"/>
      <w:outlineLvl w:val="3"/>
    </w:pPr>
    <w:rPr>
      <w:b/>
    </w:rPr>
  </w:style>
  <w:style w:type="paragraph" w:styleId="Titre5">
    <w:name w:val="heading 5"/>
    <w:basedOn w:val="Normal"/>
    <w:next w:val="Normal"/>
    <w:qFormat/>
    <w:pPr>
      <w:spacing w:before="240" w:after="60"/>
      <w:outlineLvl w:val="4"/>
    </w:pPr>
    <w:rPr>
      <w:sz w:val="22"/>
    </w:rPr>
  </w:style>
  <w:style w:type="paragraph" w:styleId="Titre6">
    <w:name w:val="heading 6"/>
    <w:basedOn w:val="Normal"/>
    <w:next w:val="Normal"/>
    <w:qFormat/>
    <w:pPr>
      <w:spacing w:before="240" w:after="60"/>
      <w:outlineLvl w:val="5"/>
    </w:pPr>
    <w:rPr>
      <w:i/>
      <w:sz w:val="22"/>
    </w:rPr>
  </w:style>
  <w:style w:type="paragraph" w:styleId="Titre7">
    <w:name w:val="heading 7"/>
    <w:basedOn w:val="Normal"/>
    <w:next w:val="Normal"/>
    <w:qFormat/>
    <w:pPr>
      <w:spacing w:before="240" w:after="60"/>
      <w:outlineLvl w:val="6"/>
    </w:pPr>
    <w:rPr>
      <w:sz w:val="20"/>
    </w:rPr>
  </w:style>
  <w:style w:type="paragraph" w:styleId="Titre8">
    <w:name w:val="heading 8"/>
    <w:basedOn w:val="Normal"/>
    <w:next w:val="Normal"/>
    <w:qFormat/>
    <w:pPr>
      <w:spacing w:before="240" w:after="60"/>
      <w:outlineLvl w:val="7"/>
    </w:pPr>
    <w:rPr>
      <w:i/>
      <w:sz w:val="20"/>
    </w:rPr>
  </w:style>
  <w:style w:type="paragraph" w:styleId="Titre9">
    <w:name w:val="heading 9"/>
    <w:basedOn w:val="Normal"/>
    <w:next w:val="Normal"/>
    <w:qFormat/>
    <w:p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
    <w:name w:val="Paragraphe"/>
    <w:basedOn w:val="Normal"/>
    <w:link w:val="ParagrapheCar"/>
    <w:qFormat/>
    <w:pPr>
      <w:numPr>
        <w:numId w:val="1"/>
      </w:numPr>
      <w:spacing w:before="120" w:after="120" w:line="500" w:lineRule="exact"/>
      <w:jc w:val="both"/>
    </w:pPr>
    <w:rPr>
      <w:kern w:val="28"/>
    </w:rPr>
  </w:style>
  <w:style w:type="paragraph" w:customStyle="1" w:styleId="Citationenretrait">
    <w:name w:val="Citation en retrait"/>
    <w:basedOn w:val="Normal"/>
    <w:pPr>
      <w:spacing w:before="120" w:after="120"/>
      <w:ind w:left="720" w:right="720"/>
      <w:jc w:val="both"/>
    </w:pPr>
    <w:rPr>
      <w:kern w:val="24"/>
      <w:sz w:val="22"/>
    </w:rPr>
  </w:style>
  <w:style w:type="character" w:customStyle="1" w:styleId="Citationintgre">
    <w:name w:val="Citation intégrée"/>
    <w:rPr>
      <w:rFonts w:ascii="Arial" w:hAnsi="Arial"/>
      <w:i/>
      <w:noProof w:val="0"/>
      <w:sz w:val="22"/>
      <w:lang w:val="fr-CA"/>
    </w:rPr>
  </w:style>
  <w:style w:type="paragraph" w:styleId="Corpsdetexte">
    <w:name w:val="Body Text"/>
    <w:basedOn w:val="Normal"/>
    <w:semiHidden/>
    <w:pPr>
      <w:spacing w:after="120"/>
    </w:pPr>
  </w:style>
  <w:style w:type="paragraph" w:styleId="Notedebasdepage">
    <w:name w:val="footnote text"/>
    <w:aliases w:val="Char Char Char,Char Char,ft,Footnote text,ft2,fn,Char,Nota de rodapé,Char Char Char Char Char,Footnote Text Char Char Char Char Char,Footnote Text Char Char Char Char,Footnote reference,FA Fu,ft Char Ch,Footnotes,Footnote ak"/>
    <w:basedOn w:val="Normal"/>
    <w:link w:val="NotedebasdepageCar"/>
    <w:qFormat/>
    <w:pPr>
      <w:spacing w:line="240" w:lineRule="auto"/>
      <w:ind w:left="360" w:hanging="360"/>
      <w:jc w:val="both"/>
    </w:pPr>
    <w:rPr>
      <w:sz w:val="20"/>
    </w:rPr>
  </w:style>
  <w:style w:type="paragraph" w:styleId="Notedefin">
    <w:name w:val="endnote text"/>
    <w:basedOn w:val="Normal"/>
    <w:semiHidden/>
    <w:pPr>
      <w:ind w:left="-360"/>
      <w:jc w:val="both"/>
    </w:pPr>
    <w:rPr>
      <w:sz w:val="20"/>
    </w:rPr>
  </w:style>
  <w:style w:type="paragraph" w:customStyle="1" w:styleId="zSoquijlblCour">
    <w:name w:val="zSoquij_lblCour"/>
    <w:basedOn w:val="Normal"/>
    <w:pPr>
      <w:spacing w:line="500" w:lineRule="exact"/>
      <w:jc w:val="center"/>
    </w:pPr>
    <w:rPr>
      <w:b/>
      <w:sz w:val="36"/>
    </w:rPr>
  </w:style>
  <w:style w:type="paragraph" w:customStyle="1" w:styleId="zSoquijlblPays">
    <w:name w:val="zSoquij_lblPays"/>
    <w:basedOn w:val="Normal"/>
  </w:style>
  <w:style w:type="paragraph" w:customStyle="1" w:styleId="zSoquijlblProvince">
    <w:name w:val="zSoquij_lblProvince"/>
    <w:basedOn w:val="Normal"/>
  </w:style>
  <w:style w:type="paragraph" w:customStyle="1" w:styleId="zSoquijlblGreffe">
    <w:name w:val="zSoquij_lblGreffe"/>
    <w:basedOn w:val="Normal"/>
  </w:style>
  <w:style w:type="paragraph" w:customStyle="1" w:styleId="zSoquijdatGreffe">
    <w:name w:val="zSoquij_datGreffe"/>
    <w:basedOn w:val="Normal"/>
  </w:style>
  <w:style w:type="paragraph" w:customStyle="1" w:styleId="zSoquijdatDivision">
    <w:name w:val="zSoquij_datDivision"/>
    <w:basedOn w:val="Normal"/>
    <w:pPr>
      <w:jc w:val="center"/>
    </w:pPr>
    <w:rPr>
      <w:sz w:val="22"/>
    </w:rPr>
  </w:style>
  <w:style w:type="paragraph" w:customStyle="1" w:styleId="zSoquijlblNoDossier">
    <w:name w:val="zSoquij_lblNoDossier"/>
    <w:basedOn w:val="Normal"/>
  </w:style>
  <w:style w:type="paragraph" w:customStyle="1" w:styleId="zSoquijdatNoDossier">
    <w:name w:val="zSoquij_datNoDossier"/>
    <w:basedOn w:val="Normal"/>
  </w:style>
  <w:style w:type="paragraph" w:customStyle="1" w:styleId="zSoquijdatNoDossierAnt">
    <w:name w:val="zSoquij_datNoDossierAnt"/>
    <w:basedOn w:val="Normal"/>
    <w:pPr>
      <w:ind w:left="950"/>
    </w:pPr>
  </w:style>
  <w:style w:type="paragraph" w:customStyle="1" w:styleId="zSoquijdatDateJugement">
    <w:name w:val="zSoquij_datDateJugement"/>
    <w:basedOn w:val="Normal"/>
  </w:style>
  <w:style w:type="paragraph" w:customStyle="1" w:styleId="zSoquijlblDateJugement">
    <w:name w:val="zSoquij_lblDateJugement"/>
    <w:basedOn w:val="Normal"/>
  </w:style>
  <w:style w:type="paragraph" w:customStyle="1" w:styleId="zSoquijlblJuge">
    <w:name w:val="zSoquij_lblJuge"/>
    <w:basedOn w:val="Normal"/>
    <w:rPr>
      <w:b/>
    </w:rPr>
  </w:style>
  <w:style w:type="paragraph" w:customStyle="1" w:styleId="zSoquijdatQteJuge">
    <w:name w:val="zSoquij_datQteJuge"/>
    <w:basedOn w:val="Normal"/>
    <w:rPr>
      <w:b/>
    </w:rPr>
  </w:style>
  <w:style w:type="paragraph" w:customStyle="1" w:styleId="zSoquijdatJuge">
    <w:name w:val="zSoquij_datJuge"/>
    <w:basedOn w:val="Normal"/>
    <w:rPr>
      <w:b/>
    </w:rPr>
  </w:style>
  <w:style w:type="paragraph" w:customStyle="1" w:styleId="zSoquijdatNomPartieDem">
    <w:name w:val="zSoquij_datNomPartieDem"/>
    <w:basedOn w:val="Normal"/>
    <w:rPr>
      <w:b/>
      <w:bCs/>
    </w:rPr>
  </w:style>
  <w:style w:type="paragraph" w:customStyle="1" w:styleId="zSoquijdatQtePartieDem">
    <w:name w:val="zSoquij_datQtePartieDem"/>
    <w:basedOn w:val="Normal"/>
    <w:pPr>
      <w:ind w:left="708"/>
    </w:pPr>
  </w:style>
  <w:style w:type="paragraph" w:customStyle="1" w:styleId="zSoquijlblLienParties">
    <w:name w:val="zSoquij_lblLienParties"/>
    <w:basedOn w:val="Normal"/>
  </w:style>
  <w:style w:type="paragraph" w:customStyle="1" w:styleId="zSoquijdatNomPartieDef">
    <w:name w:val="zSoquij_datNomPartieDef"/>
    <w:basedOn w:val="Normal"/>
    <w:rPr>
      <w:b/>
      <w:bCs/>
    </w:rPr>
  </w:style>
  <w:style w:type="paragraph" w:customStyle="1" w:styleId="zSoquijdatQtePartieDef">
    <w:name w:val="zSoquij_datQtePartieDef"/>
    <w:basedOn w:val="Normal"/>
    <w:pPr>
      <w:ind w:left="708"/>
    </w:pPr>
  </w:style>
  <w:style w:type="paragraph" w:customStyle="1" w:styleId="zSoquijlblTypeDocument">
    <w:name w:val="zSoquij_lblTypeDocument"/>
    <w:basedOn w:val="Normal"/>
    <w:pPr>
      <w:jc w:val="center"/>
    </w:pPr>
  </w:style>
  <w:style w:type="paragraph" w:customStyle="1" w:styleId="zSoquijlblProcureurDem">
    <w:name w:val="zSoquij_lblProcureurDem"/>
    <w:basedOn w:val="Normal"/>
  </w:style>
  <w:style w:type="paragraph" w:customStyle="1" w:styleId="zSoquijlblProcureurDef">
    <w:name w:val="zSoquij_lblProcureurDef"/>
    <w:basedOn w:val="Normal"/>
  </w:style>
  <w:style w:type="paragraph" w:customStyle="1" w:styleId="zSoquijlblDateAudience">
    <w:name w:val="zSoquij_lblDateAudience"/>
    <w:basedOn w:val="Normal"/>
  </w:style>
  <w:style w:type="paragraph" w:customStyle="1" w:styleId="zSoquijdatDateAudience">
    <w:name w:val="zSoquij_datDateAudience"/>
    <w:basedOn w:val="Normal"/>
  </w:style>
  <w:style w:type="paragraph" w:customStyle="1" w:styleId="zSoquijlblNomChambre">
    <w:name w:val="zSoquij_lblNomChambre"/>
    <w:basedOn w:val="Normal"/>
  </w:style>
  <w:style w:type="paragraph" w:customStyle="1" w:styleId="zSoquijlblOpinionJuge">
    <w:name w:val="zSoquij_lblOpinionJuge"/>
    <w:basedOn w:val="Normal"/>
    <w:pPr>
      <w:jc w:val="center"/>
    </w:pPr>
  </w:style>
  <w:style w:type="character" w:customStyle="1" w:styleId="zSoquijlblEntNoDossier">
    <w:name w:val="zSoquij_lblEntNoDossier"/>
    <w:basedOn w:val="Policepardfaut"/>
    <w:rPr>
      <w:noProof w:val="0"/>
      <w:lang w:val="fr-CA"/>
    </w:rPr>
  </w:style>
  <w:style w:type="paragraph" w:customStyle="1" w:styleId="zSoquijlblTitrePartie">
    <w:name w:val="zSoquij_lblTitrePartie"/>
    <w:basedOn w:val="Normal"/>
  </w:style>
  <w:style w:type="paragraph" w:customStyle="1" w:styleId="zSoquijdatIdJuge">
    <w:name w:val="zSoquij_datIdJuge"/>
    <w:basedOn w:val="Normal"/>
    <w:pPr>
      <w:jc w:val="right"/>
    </w:pPr>
  </w:style>
  <w:style w:type="paragraph" w:customStyle="1" w:styleId="Sous-paragraphe">
    <w:name w:val="Sous-paragraphe"/>
    <w:basedOn w:val="Normal"/>
    <w:qFormat/>
    <w:pPr>
      <w:widowControl w:val="0"/>
      <w:numPr>
        <w:ilvl w:val="1"/>
        <w:numId w:val="1"/>
      </w:numPr>
      <w:spacing w:after="120"/>
      <w:jc w:val="both"/>
    </w:pPr>
    <w:rPr>
      <w:kern w:val="28"/>
    </w:rPr>
  </w:style>
  <w:style w:type="paragraph" w:customStyle="1" w:styleId="zSoquijdatNomProcureurDem">
    <w:name w:val="zSoquij_datNomProcureurDem"/>
    <w:basedOn w:val="zSoquijlblProcureurDem"/>
    <w:pPr>
      <w:keepNext/>
    </w:pPr>
  </w:style>
  <w:style w:type="paragraph" w:customStyle="1" w:styleId="zSoquijdatNomProcureurDef">
    <w:name w:val="zSoquij_datNomProcureurDef"/>
    <w:basedOn w:val="zSoquijlblProcureurDef"/>
    <w:pPr>
      <w:keepNext/>
    </w:pPr>
  </w:style>
  <w:style w:type="paragraph" w:customStyle="1" w:styleId="zSoquijdatCabinetProcureurDem">
    <w:name w:val="zSoquij_datCabinetProcureurDem"/>
    <w:basedOn w:val="Normal"/>
    <w:pPr>
      <w:keepNext/>
    </w:pPr>
  </w:style>
  <w:style w:type="paragraph" w:customStyle="1" w:styleId="zSoquijdatCabinetProcureurDef">
    <w:name w:val="zSoquij_datCabinetProcureurDef"/>
    <w:basedOn w:val="zSoquijlblProcureurDef"/>
    <w:pPr>
      <w:keepNext/>
    </w:pPr>
  </w:style>
  <w:style w:type="paragraph" w:styleId="En-tte">
    <w:name w:val="header"/>
    <w:basedOn w:val="Normal"/>
    <w:semiHidden/>
    <w:pPr>
      <w:tabs>
        <w:tab w:val="center" w:pos="4320"/>
        <w:tab w:val="right" w:pos="8640"/>
      </w:tabs>
    </w:pPr>
  </w:style>
  <w:style w:type="paragraph" w:styleId="Pieddepage">
    <w:name w:val="footer"/>
    <w:basedOn w:val="Normal"/>
    <w:semiHidden/>
    <w:pPr>
      <w:tabs>
        <w:tab w:val="center" w:pos="4320"/>
        <w:tab w:val="right" w:pos="8640"/>
      </w:tabs>
    </w:pPr>
  </w:style>
  <w:style w:type="paragraph" w:customStyle="1" w:styleId="Tableaudroiteanglais">
    <w:name w:val="Tableau droite anglais"/>
    <w:basedOn w:val="Tableaugauchefranais"/>
    <w:pPr>
      <w:ind w:left="144" w:right="720"/>
      <w:jc w:val="both"/>
    </w:pPr>
    <w:rPr>
      <w:lang w:val="en-CA"/>
    </w:rPr>
  </w:style>
  <w:style w:type="paragraph" w:customStyle="1" w:styleId="Tableaugauchefranais">
    <w:name w:val="Tableau gauche français"/>
    <w:basedOn w:val="Normal"/>
    <w:pPr>
      <w:ind w:left="720" w:right="144"/>
    </w:pPr>
    <w:rPr>
      <w:sz w:val="22"/>
    </w:rPr>
  </w:style>
  <w:style w:type="character" w:styleId="Appelnotedebasdep">
    <w:name w:val="footnote reference"/>
    <w:aliases w:val="fr,Ref,de nota al pie,Char Char6 Char Char Char Char Char Char Char Char Char Char Char Char,Char6 Char Char Char Char Char Char Char Char Char Char Char Char Char,Footnote"/>
    <w:uiPriority w:val="99"/>
    <w:qFormat/>
    <w:rPr>
      <w:noProof w:val="0"/>
      <w:vertAlign w:val="superscript"/>
      <w:lang w:val="fr-CA"/>
    </w:rPr>
  </w:style>
  <w:style w:type="paragraph" w:styleId="Corpsdetexte3">
    <w:name w:val="Body Text 3"/>
    <w:basedOn w:val="Normal"/>
    <w:semiHidden/>
    <w:pPr>
      <w:spacing w:after="120"/>
    </w:pPr>
    <w:rPr>
      <w:sz w:val="16"/>
    </w:rPr>
  </w:style>
  <w:style w:type="paragraph" w:customStyle="1" w:styleId="zSoquijdatRepertorie">
    <w:name w:val="zSoquij_datRepertorie"/>
    <w:basedOn w:val="zSoquijlblCour"/>
    <w:pPr>
      <w:spacing w:line="240" w:lineRule="auto"/>
      <w:jc w:val="left"/>
    </w:pPr>
    <w:rPr>
      <w:sz w:val="22"/>
    </w:rPr>
  </w:style>
  <w:style w:type="paragraph" w:customStyle="1" w:styleId="zSoquijdatRefNeutre">
    <w:name w:val="zSoquij_datRefNeutre"/>
    <w:basedOn w:val="zSoquijlblCour"/>
    <w:pPr>
      <w:spacing w:line="240" w:lineRule="auto"/>
      <w:jc w:val="left"/>
    </w:pPr>
    <w:rPr>
      <w:sz w:val="22"/>
    </w:rPr>
  </w:style>
  <w:style w:type="table" w:styleId="Grilledutableau">
    <w:name w:val="Table Grid"/>
    <w:basedOn w:val="TableauNormal"/>
    <w:uiPriority w:val="39"/>
    <w:rsid w:val="00E20E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E3239"/>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E3239"/>
    <w:rPr>
      <w:rFonts w:ascii="Segoe UI" w:hAnsi="Segoe UI" w:cs="Segoe UI"/>
      <w:sz w:val="18"/>
      <w:szCs w:val="18"/>
      <w:lang w:eastAsia="fr-FR"/>
    </w:rPr>
  </w:style>
  <w:style w:type="character" w:customStyle="1" w:styleId="NotedebasdepageCar">
    <w:name w:val="Note de bas de page Car"/>
    <w:aliases w:val="Char Char Char Car,Char Char Car,ft Car,Footnote text Car,ft2 Car,fn Car,Char Car,Nota de rodapé Car,Char Char Char Char Char Car,Footnote Text Char Char Char Char Char Car,Footnote Text Char Char Char Char Car,FA Fu Car"/>
    <w:basedOn w:val="Policepardfaut"/>
    <w:link w:val="Notedebasdepage"/>
    <w:rsid w:val="00506768"/>
    <w:rPr>
      <w:rFonts w:ascii="Arial" w:hAnsi="Arial"/>
      <w:lang w:eastAsia="fr-FR"/>
    </w:rPr>
  </w:style>
  <w:style w:type="character" w:customStyle="1" w:styleId="ParagrapheCar">
    <w:name w:val="Paragraphe Car"/>
    <w:link w:val="Paragraphe"/>
    <w:qFormat/>
    <w:rsid w:val="00506768"/>
    <w:rPr>
      <w:rFonts w:ascii="Arial" w:hAnsi="Arial"/>
      <w:kern w:val="28"/>
      <w:sz w:val="24"/>
      <w:lang w:eastAsia="fr-FR"/>
    </w:rPr>
  </w:style>
  <w:style w:type="character" w:styleId="Hyperlien">
    <w:name w:val="Hyperlink"/>
    <w:uiPriority w:val="99"/>
    <w:rsid w:val="00506768"/>
    <w:rPr>
      <w:noProof w:val="0"/>
      <w:color w:val="0000FF"/>
      <w:u w:val="single"/>
      <w:lang w:val="fr-CA"/>
    </w:rPr>
  </w:style>
  <w:style w:type="character" w:styleId="Marquedecommentaire">
    <w:name w:val="annotation reference"/>
    <w:basedOn w:val="Policepardfaut"/>
    <w:uiPriority w:val="99"/>
    <w:unhideWhenUsed/>
    <w:rsid w:val="00506768"/>
    <w:rPr>
      <w:sz w:val="16"/>
      <w:szCs w:val="16"/>
    </w:rPr>
  </w:style>
  <w:style w:type="character" w:customStyle="1" w:styleId="Titre1Car">
    <w:name w:val="Titre 1 Car"/>
    <w:basedOn w:val="Policepardfaut"/>
    <w:link w:val="Titre1"/>
    <w:rsid w:val="00506768"/>
    <w:rPr>
      <w:rFonts w:ascii="Arial" w:hAnsi="Arial"/>
      <w:b/>
      <w:kern w:val="28"/>
      <w:sz w:val="28"/>
      <w:lang w:eastAsia="fr-FR"/>
    </w:rPr>
  </w:style>
  <w:style w:type="character" w:customStyle="1" w:styleId="Titre4Car">
    <w:name w:val="Titre 4 Car"/>
    <w:basedOn w:val="Policepardfaut"/>
    <w:link w:val="Titre4"/>
    <w:rsid w:val="00506768"/>
    <w:rPr>
      <w:rFonts w:ascii="Arial" w:hAnsi="Arial"/>
      <w:b/>
      <w:sz w:val="24"/>
      <w:lang w:eastAsia="fr-FR"/>
    </w:rPr>
  </w:style>
  <w:style w:type="character" w:customStyle="1" w:styleId="apple-converted-space">
    <w:name w:val="apple-converted-space"/>
    <w:basedOn w:val="Policepardfaut"/>
    <w:rsid w:val="00506768"/>
  </w:style>
  <w:style w:type="character" w:styleId="Mentionnonrsolue">
    <w:name w:val="Unresolved Mention"/>
    <w:basedOn w:val="Policepardfaut"/>
    <w:uiPriority w:val="99"/>
    <w:semiHidden/>
    <w:unhideWhenUsed/>
    <w:rsid w:val="00416F5F"/>
    <w:rPr>
      <w:color w:val="605E5C"/>
      <w:shd w:val="clear" w:color="auto" w:fill="E1DFDD"/>
    </w:rPr>
  </w:style>
  <w:style w:type="character" w:styleId="Appeldenotedefin">
    <w:name w:val="endnote reference"/>
    <w:basedOn w:val="Policepardfaut"/>
    <w:uiPriority w:val="99"/>
    <w:semiHidden/>
    <w:unhideWhenUsed/>
    <w:rsid w:val="00416F5F"/>
    <w:rPr>
      <w:vertAlign w:val="superscript"/>
    </w:rPr>
  </w:style>
  <w:style w:type="paragraph" w:styleId="Rvision">
    <w:name w:val="Revision"/>
    <w:hidden/>
    <w:uiPriority w:val="99"/>
    <w:semiHidden/>
    <w:rsid w:val="00E57145"/>
    <w:rPr>
      <w:rFonts w:ascii="Arial" w:hAnsi="Arial"/>
      <w:sz w:val="24"/>
      <w:lang w:eastAsia="fr-FR"/>
    </w:rPr>
  </w:style>
  <w:style w:type="paragraph" w:styleId="Commentaire">
    <w:name w:val="annotation text"/>
    <w:basedOn w:val="Normal"/>
    <w:link w:val="CommentaireCar"/>
    <w:uiPriority w:val="99"/>
    <w:unhideWhenUsed/>
    <w:rsid w:val="00504652"/>
    <w:pPr>
      <w:spacing w:line="240" w:lineRule="auto"/>
    </w:pPr>
    <w:rPr>
      <w:sz w:val="20"/>
    </w:rPr>
  </w:style>
  <w:style w:type="character" w:customStyle="1" w:styleId="CommentaireCar">
    <w:name w:val="Commentaire Car"/>
    <w:basedOn w:val="Policepardfaut"/>
    <w:link w:val="Commentaire"/>
    <w:uiPriority w:val="99"/>
    <w:rsid w:val="00504652"/>
    <w:rPr>
      <w:rFonts w:ascii="Arial" w:hAnsi="Arial"/>
      <w:lang w:eastAsia="fr-FR"/>
    </w:rPr>
  </w:style>
  <w:style w:type="paragraph" w:styleId="Objetducommentaire">
    <w:name w:val="annotation subject"/>
    <w:basedOn w:val="Commentaire"/>
    <w:next w:val="Commentaire"/>
    <w:link w:val="ObjetducommentaireCar"/>
    <w:uiPriority w:val="99"/>
    <w:semiHidden/>
    <w:unhideWhenUsed/>
    <w:rsid w:val="00504652"/>
    <w:rPr>
      <w:b/>
      <w:bCs/>
    </w:rPr>
  </w:style>
  <w:style w:type="character" w:customStyle="1" w:styleId="ObjetducommentaireCar">
    <w:name w:val="Objet du commentaire Car"/>
    <w:basedOn w:val="CommentaireCar"/>
    <w:link w:val="Objetducommentaire"/>
    <w:uiPriority w:val="99"/>
    <w:semiHidden/>
    <w:rsid w:val="00504652"/>
    <w:rPr>
      <w:rFonts w:ascii="Arial" w:hAnsi="Arial"/>
      <w:b/>
      <w:bCs/>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Gabarits_SOQUIJ\Gabarits_SOQUIJ%20CA\CAFra-VERSION%20oct.%202024.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8A525-8000-4EBF-92DB-64B5AB8AA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CAFra-VERSION oct. 2024.dotm</Template>
  <TotalTime>20</TotalTime>
  <Pages>10</Pages>
  <Words>2954</Words>
  <Characters>16253</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Gabarit de jugement pour la cour d'appel</vt:lpstr>
    </vt:vector>
  </TitlesOfParts>
  <Manager>Patrice Tardif</Manager>
  <Company>MJQ</Company>
  <LinksUpToDate>false</LinksUpToDate>
  <CharactersWithSpaces>19169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Gabarit de jugement pour la cour d'appel</dc:title>
  <dc:subject/>
  <dc:creator>Josée Boisvert</dc:creator>
  <cp:keywords/>
  <dc:description/>
  <cp:lastModifiedBy>Paillé, Pryscilla</cp:lastModifiedBy>
  <cp:revision>8</cp:revision>
  <cp:lastPrinted>2026-09-24T15:48:00Z</cp:lastPrinted>
  <dcterms:created xsi:type="dcterms:W3CDTF">2026-10-01T12:30:00Z</dcterms:created>
  <dcterms:modified xsi:type="dcterms:W3CDTF">2026-10-05T12:02:00Z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quij_DateModification">
    <vt:lpwstr>04-26-2001</vt:lpwstr>
  </property>
  <property fmtid="{D5CDD505-2E9C-101B-9397-08002B2CF9AE}" pid="3" name="Soquij_Version">
    <vt:lpwstr>1.6</vt:lpwstr>
  </property>
  <property fmtid="{D5CDD505-2E9C-101B-9397-08002B2CF9AE}" pid="4" name="Soquij_ModifiePar">
    <vt:lpwstr>renste</vt:lpwstr>
  </property>
  <property fmtid="{D5CDD505-2E9C-101B-9397-08002B2CF9AE}" pid="5" name="Soquij_Modele">
    <vt:lpwstr>Edj</vt:lpwstr>
  </property>
  <property fmtid="{D5CDD505-2E9C-101B-9397-08002B2CF9AE}" pid="6" name="Soquij_Cour">
    <vt:lpwstr>CA</vt:lpwstr>
  </property>
  <property fmtid="{D5CDD505-2E9C-101B-9397-08002B2CF9AE}" pid="7" name="Soquij_Langue">
    <vt:lpwstr>Fra</vt:lpwstr>
  </property>
</Properties>
</file>