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90" w:type="dxa"/>
        <w:tblLayout w:type="fixed"/>
        <w:tblCellMar>
          <w:left w:w="70" w:type="dxa"/>
          <w:right w:w="70" w:type="dxa"/>
        </w:tblCellMar>
        <w:tblLook w:val="0000" w:firstRow="0" w:lastRow="0" w:firstColumn="0" w:lastColumn="0" w:noHBand="0" w:noVBand="0"/>
      </w:tblPr>
      <w:tblGrid>
        <w:gridCol w:w="6323"/>
        <w:gridCol w:w="3267"/>
      </w:tblGrid>
      <w:tr w:rsidR="008A7FD1" w:rsidRPr="001674E5" w14:paraId="0983F373" w14:textId="77777777">
        <w:trPr>
          <w:cantSplit/>
        </w:trPr>
        <w:tc>
          <w:tcPr>
            <w:tcW w:w="4795" w:type="dxa"/>
          </w:tcPr>
          <w:p w14:paraId="7D4A396E" w14:textId="1F316DC7" w:rsidR="008A7FD1" w:rsidRPr="005435F1" w:rsidRDefault="005435F1" w:rsidP="005435F1">
            <w:pPr>
              <w:pStyle w:val="zSoquijdatRepertorie"/>
              <w:rPr>
                <w:rFonts w:cs="Arial"/>
              </w:rPr>
            </w:pPr>
            <w:r>
              <w:rPr>
                <w:rFonts w:cs="Arial"/>
              </w:rPr>
              <w:t>Centre de la petite enfance Le Jardin de Robi inc. et Syndicat des travailleuses des centres de la petite enfance et des bureaux coordonnateurs du Saguenay — Lac-Saint-Jean - FSSS-CSN</w:t>
            </w:r>
          </w:p>
        </w:tc>
        <w:tc>
          <w:tcPr>
            <w:tcW w:w="2477" w:type="dxa"/>
          </w:tcPr>
          <w:p w14:paraId="238A3E47" w14:textId="2458F448" w:rsidR="008A7FD1" w:rsidRPr="008A4A12" w:rsidRDefault="008A4A12" w:rsidP="008A4A12">
            <w:pPr>
              <w:pStyle w:val="zSoquijdatRefNeutre"/>
              <w:rPr>
                <w:rFonts w:cs="Arial"/>
              </w:rPr>
            </w:pPr>
            <w:r w:rsidRPr="008A4A12">
              <w:rPr>
                <w:rFonts w:cs="Arial"/>
              </w:rPr>
              <w:t>2026 QCTAT 4049</w:t>
            </w:r>
          </w:p>
        </w:tc>
      </w:tr>
    </w:tbl>
    <w:p w14:paraId="261F4B76" w14:textId="77777777" w:rsidR="008A7FD1" w:rsidRPr="001674E5" w:rsidRDefault="008A7FD1"/>
    <w:tbl>
      <w:tblPr>
        <w:tblW w:w="9568" w:type="dxa"/>
        <w:tblLayout w:type="fixed"/>
        <w:tblCellMar>
          <w:left w:w="70" w:type="dxa"/>
          <w:right w:w="70" w:type="dxa"/>
        </w:tblCellMar>
        <w:tblLook w:val="0000" w:firstRow="0" w:lastRow="0" w:firstColumn="0" w:lastColumn="0" w:noHBand="0" w:noVBand="0"/>
      </w:tblPr>
      <w:tblGrid>
        <w:gridCol w:w="3331"/>
        <w:gridCol w:w="1772"/>
        <w:gridCol w:w="780"/>
        <w:gridCol w:w="3685"/>
      </w:tblGrid>
      <w:tr w:rsidR="00C74B6F" w:rsidRPr="001674E5" w14:paraId="2311D644" w14:textId="77777777" w:rsidTr="00036794">
        <w:trPr>
          <w:cantSplit/>
        </w:trPr>
        <w:tc>
          <w:tcPr>
            <w:tcW w:w="9568" w:type="dxa"/>
            <w:gridSpan w:val="4"/>
            <w:vAlign w:val="center"/>
          </w:tcPr>
          <w:p w14:paraId="601BBC40" w14:textId="77777777" w:rsidR="00C74B6F" w:rsidRPr="001674E5" w:rsidRDefault="000E1320">
            <w:pPr>
              <w:jc w:val="center"/>
              <w:rPr>
                <w:sz w:val="36"/>
                <w:szCs w:val="36"/>
              </w:rPr>
            </w:pPr>
            <w:r w:rsidRPr="001674E5">
              <w:rPr>
                <w:b/>
                <w:sz w:val="36"/>
                <w:szCs w:val="36"/>
              </w:rPr>
              <w:t>TRIBUNAL ADMINISTRATIF DU TRAVAIL</w:t>
            </w:r>
          </w:p>
        </w:tc>
      </w:tr>
      <w:tr w:rsidR="00C74B6F" w:rsidRPr="001674E5" w14:paraId="3AEFFA32" w14:textId="77777777" w:rsidTr="00036794">
        <w:trPr>
          <w:cantSplit/>
        </w:trPr>
        <w:tc>
          <w:tcPr>
            <w:tcW w:w="9568" w:type="dxa"/>
            <w:gridSpan w:val="4"/>
          </w:tcPr>
          <w:p w14:paraId="7E55C192" w14:textId="5350D6B2" w:rsidR="00C74B6F" w:rsidRPr="001674E5" w:rsidRDefault="006F0154" w:rsidP="009A67E7">
            <w:pPr>
              <w:pStyle w:val="zSoquijdatDivision"/>
            </w:pPr>
            <w:r w:rsidRPr="001674E5">
              <w:t>(</w:t>
            </w:r>
            <w:r w:rsidR="00742B82" w:rsidRPr="001674E5">
              <w:t>Division des services essentiels et des services assurant le bien-être de la population</w:t>
            </w:r>
            <w:r w:rsidRPr="001674E5">
              <w:t>)</w:t>
            </w:r>
          </w:p>
        </w:tc>
      </w:tr>
      <w:tr w:rsidR="00C74B6F" w:rsidRPr="001674E5" w14:paraId="6E617B53" w14:textId="77777777" w:rsidTr="00036794">
        <w:trPr>
          <w:cantSplit/>
        </w:trPr>
        <w:tc>
          <w:tcPr>
            <w:tcW w:w="9568" w:type="dxa"/>
            <w:gridSpan w:val="4"/>
          </w:tcPr>
          <w:p w14:paraId="235E2942" w14:textId="77777777" w:rsidR="002B2FC3" w:rsidRPr="001674E5" w:rsidRDefault="002B2FC3" w:rsidP="002B2FC3"/>
        </w:tc>
      </w:tr>
      <w:tr w:rsidR="00A84FC6" w:rsidRPr="001674E5" w14:paraId="21ACB3AB" w14:textId="77777777" w:rsidTr="00036794">
        <w:trPr>
          <w:cantSplit/>
        </w:trPr>
        <w:tc>
          <w:tcPr>
            <w:tcW w:w="9568" w:type="dxa"/>
            <w:gridSpan w:val="4"/>
          </w:tcPr>
          <w:p w14:paraId="2CC521C1" w14:textId="77777777" w:rsidR="00A84FC6" w:rsidRPr="001674E5" w:rsidRDefault="00A84FC6" w:rsidP="002B2FC3"/>
        </w:tc>
      </w:tr>
      <w:tr w:rsidR="00C74B6F" w:rsidRPr="001674E5" w14:paraId="7527C113" w14:textId="77777777" w:rsidTr="00036794">
        <w:tc>
          <w:tcPr>
            <w:tcW w:w="3331" w:type="dxa"/>
          </w:tcPr>
          <w:p w14:paraId="797576B1" w14:textId="77777777" w:rsidR="00C74B6F" w:rsidRPr="001674E5" w:rsidRDefault="0084255F">
            <w:bookmarkStart w:id="0" w:name="region" w:colFirst="1" w:colLast="1"/>
            <w:r w:rsidRPr="001674E5">
              <w:t>Région :</w:t>
            </w:r>
          </w:p>
        </w:tc>
        <w:tc>
          <w:tcPr>
            <w:tcW w:w="6237" w:type="dxa"/>
            <w:gridSpan w:val="3"/>
          </w:tcPr>
          <w:p w14:paraId="2A5760C2" w14:textId="1876FECE" w:rsidR="00C74B6F" w:rsidRPr="001674E5" w:rsidRDefault="00742B82" w:rsidP="00F4095A">
            <w:pPr>
              <w:pStyle w:val="zSoquijdatGreffe"/>
            </w:pPr>
            <w:r w:rsidRPr="001674E5">
              <w:t>Saguenay–Lac-Saint-Jean</w:t>
            </w:r>
          </w:p>
        </w:tc>
      </w:tr>
      <w:bookmarkEnd w:id="0"/>
      <w:tr w:rsidR="00C74B6F" w:rsidRPr="001674E5" w14:paraId="1C18B9E0" w14:textId="77777777" w:rsidTr="00036794">
        <w:trPr>
          <w:cantSplit/>
        </w:trPr>
        <w:tc>
          <w:tcPr>
            <w:tcW w:w="9568" w:type="dxa"/>
            <w:gridSpan w:val="4"/>
          </w:tcPr>
          <w:p w14:paraId="1126E480" w14:textId="77777777" w:rsidR="00C74B6F" w:rsidRPr="001674E5" w:rsidRDefault="00C74B6F"/>
        </w:tc>
      </w:tr>
      <w:tr w:rsidR="00C74B6F" w:rsidRPr="001674E5" w14:paraId="1162641B" w14:textId="77777777" w:rsidTr="00036794">
        <w:tc>
          <w:tcPr>
            <w:tcW w:w="3331" w:type="dxa"/>
          </w:tcPr>
          <w:p w14:paraId="7B9F82C4" w14:textId="5B200D56" w:rsidR="00C74B6F" w:rsidRPr="001674E5" w:rsidRDefault="0084255F">
            <w:bookmarkStart w:id="1" w:name="ref_dossier" w:colFirst="1" w:colLast="1"/>
            <w:r w:rsidRPr="001674E5">
              <w:t>Dossier</w:t>
            </w:r>
            <w:bookmarkStart w:id="2" w:name="dossiers"/>
            <w:bookmarkEnd w:id="2"/>
            <w:r w:rsidRPr="001674E5">
              <w:t> :</w:t>
            </w:r>
          </w:p>
        </w:tc>
        <w:tc>
          <w:tcPr>
            <w:tcW w:w="6237" w:type="dxa"/>
            <w:gridSpan w:val="3"/>
          </w:tcPr>
          <w:p w14:paraId="3168827B" w14:textId="75A1CC1B" w:rsidR="00C74B6F" w:rsidRPr="001674E5" w:rsidRDefault="00742B82" w:rsidP="00F4095A">
            <w:pPr>
              <w:pStyle w:val="zSoquijdatNoDossier"/>
            </w:pPr>
            <w:r w:rsidRPr="001674E5">
              <w:t>1461070-71-2602</w:t>
            </w:r>
          </w:p>
        </w:tc>
      </w:tr>
      <w:bookmarkEnd w:id="1"/>
      <w:tr w:rsidR="00C74B6F" w:rsidRPr="001674E5" w14:paraId="52D8067A" w14:textId="77777777" w:rsidTr="00036794">
        <w:trPr>
          <w:cantSplit/>
        </w:trPr>
        <w:tc>
          <w:tcPr>
            <w:tcW w:w="9568" w:type="dxa"/>
            <w:gridSpan w:val="4"/>
          </w:tcPr>
          <w:p w14:paraId="06A714DD" w14:textId="77777777" w:rsidR="00C74B6F" w:rsidRPr="001674E5" w:rsidRDefault="00D44BCF">
            <w:r w:rsidRPr="001674E5">
              <w:fldChar w:fldCharType="begin"/>
            </w:r>
            <w:r w:rsidRPr="001674E5">
              <w:instrText xml:space="preserve"> AUTOTEXTLIST  \* Upper  \* MERGEFORMAT </w:instrText>
            </w:r>
            <w:r w:rsidRPr="001674E5">
              <w:fldChar w:fldCharType="end"/>
            </w:r>
          </w:p>
        </w:tc>
      </w:tr>
      <w:tr w:rsidR="00C74B6F" w:rsidRPr="001674E5" w14:paraId="384F170C" w14:textId="77777777" w:rsidTr="00036794">
        <w:tc>
          <w:tcPr>
            <w:tcW w:w="3331" w:type="dxa"/>
          </w:tcPr>
          <w:p w14:paraId="447D45E5" w14:textId="33B03D84" w:rsidR="00C74B6F" w:rsidRPr="001674E5" w:rsidRDefault="008C79A7" w:rsidP="0045114F">
            <w:pPr>
              <w:ind w:right="46"/>
            </w:pPr>
            <w:r w:rsidRPr="001674E5">
              <w:t xml:space="preserve">Dossier </w:t>
            </w:r>
            <w:r w:rsidR="00742B82" w:rsidRPr="001674E5">
              <w:rPr>
                <w:szCs w:val="24"/>
              </w:rPr>
              <w:t>accréditation</w:t>
            </w:r>
            <w:r w:rsidRPr="001674E5">
              <w:rPr>
                <w:szCs w:val="24"/>
              </w:rPr>
              <w:t xml:space="preserve"> :</w:t>
            </w:r>
          </w:p>
        </w:tc>
        <w:tc>
          <w:tcPr>
            <w:tcW w:w="6237" w:type="dxa"/>
            <w:gridSpan w:val="3"/>
          </w:tcPr>
          <w:p w14:paraId="14EF3849" w14:textId="7622196A" w:rsidR="00C74B6F" w:rsidRPr="001674E5" w:rsidRDefault="00742B82" w:rsidP="004D6CEA">
            <w:pPr>
              <w:pStyle w:val="zSoquijdatNCSST"/>
            </w:pPr>
            <w:r w:rsidRPr="001674E5">
              <w:t>AQ-1003-2583</w:t>
            </w:r>
          </w:p>
        </w:tc>
      </w:tr>
      <w:tr w:rsidR="00C74B6F" w:rsidRPr="001674E5" w14:paraId="5B6FFD9E" w14:textId="77777777" w:rsidTr="00036794">
        <w:trPr>
          <w:cantSplit/>
        </w:trPr>
        <w:tc>
          <w:tcPr>
            <w:tcW w:w="9568" w:type="dxa"/>
            <w:gridSpan w:val="4"/>
          </w:tcPr>
          <w:p w14:paraId="4D33E89F" w14:textId="77777777" w:rsidR="00C74B6F" w:rsidRPr="001674E5" w:rsidRDefault="00C74B6F"/>
        </w:tc>
      </w:tr>
      <w:tr w:rsidR="00C74B6F" w:rsidRPr="001674E5" w14:paraId="3D771FD0" w14:textId="77777777" w:rsidTr="00036794">
        <w:trPr>
          <w:cantSplit/>
        </w:trPr>
        <w:tc>
          <w:tcPr>
            <w:tcW w:w="9568" w:type="dxa"/>
            <w:gridSpan w:val="4"/>
          </w:tcPr>
          <w:p w14:paraId="53FD74D0" w14:textId="77777777" w:rsidR="00C74B6F" w:rsidRPr="001674E5" w:rsidRDefault="00C74B6F"/>
        </w:tc>
      </w:tr>
      <w:tr w:rsidR="006E3DD8" w:rsidRPr="001674E5" w14:paraId="6F9668A8" w14:textId="77777777" w:rsidTr="00036794">
        <w:trPr>
          <w:cantSplit/>
        </w:trPr>
        <w:tc>
          <w:tcPr>
            <w:tcW w:w="3331" w:type="dxa"/>
          </w:tcPr>
          <w:p w14:paraId="1E0C36A5" w14:textId="21FE8DE6" w:rsidR="006E3DD8" w:rsidRPr="001674E5" w:rsidRDefault="00742B82" w:rsidP="0076350E">
            <w:pPr>
              <w:ind w:right="-70"/>
            </w:pPr>
            <w:r w:rsidRPr="001674E5">
              <w:t>Montréal et Québec</w:t>
            </w:r>
            <w:r w:rsidR="00C04E32" w:rsidRPr="001674E5">
              <w:t>,</w:t>
            </w:r>
          </w:p>
        </w:tc>
        <w:tc>
          <w:tcPr>
            <w:tcW w:w="6237" w:type="dxa"/>
            <w:gridSpan w:val="3"/>
          </w:tcPr>
          <w:p w14:paraId="559927BD" w14:textId="2CB30C5A" w:rsidR="006E3DD8" w:rsidRPr="001674E5" w:rsidRDefault="00C04E32" w:rsidP="005B5689">
            <w:pPr>
              <w:pStyle w:val="zSoquijdatDateJugement"/>
            </w:pPr>
            <w:r w:rsidRPr="001674E5">
              <w:t xml:space="preserve">le </w:t>
            </w:r>
            <w:r w:rsidR="00CD4A47">
              <w:t>9</w:t>
            </w:r>
            <w:r w:rsidR="00DB51BF">
              <w:t xml:space="preserve"> octobre </w:t>
            </w:r>
            <w:r w:rsidR="00742B82" w:rsidRPr="001674E5">
              <w:t>2026</w:t>
            </w:r>
          </w:p>
        </w:tc>
      </w:tr>
      <w:tr w:rsidR="00942AB8" w:rsidRPr="001674E5" w14:paraId="5EF57969" w14:textId="77777777" w:rsidTr="00036794">
        <w:trPr>
          <w:cantSplit/>
        </w:trPr>
        <w:tc>
          <w:tcPr>
            <w:tcW w:w="9568" w:type="dxa"/>
            <w:gridSpan w:val="4"/>
          </w:tcPr>
          <w:p w14:paraId="7839DD8E" w14:textId="77777777" w:rsidR="00942AB8" w:rsidRPr="001674E5" w:rsidRDefault="00942AB8" w:rsidP="00FA153F">
            <w:r w:rsidRPr="001674E5">
              <w:t>______________________________________________________________________</w:t>
            </w:r>
          </w:p>
        </w:tc>
      </w:tr>
      <w:tr w:rsidR="00942AB8" w:rsidRPr="001674E5" w14:paraId="43702F76" w14:textId="77777777" w:rsidTr="00036794">
        <w:trPr>
          <w:cantSplit/>
          <w:trHeight w:val="148"/>
        </w:trPr>
        <w:tc>
          <w:tcPr>
            <w:tcW w:w="9568" w:type="dxa"/>
            <w:gridSpan w:val="4"/>
          </w:tcPr>
          <w:p w14:paraId="0A3F8F7C" w14:textId="77777777" w:rsidR="00942AB8" w:rsidRPr="001674E5" w:rsidRDefault="00942AB8" w:rsidP="00FA153F"/>
        </w:tc>
      </w:tr>
      <w:tr w:rsidR="0035375B" w:rsidRPr="001674E5" w14:paraId="1A52A493" w14:textId="77777777" w:rsidTr="00036794">
        <w:trPr>
          <w:cantSplit/>
          <w:trHeight w:val="148"/>
        </w:trPr>
        <w:tc>
          <w:tcPr>
            <w:tcW w:w="5883" w:type="dxa"/>
            <w:gridSpan w:val="3"/>
          </w:tcPr>
          <w:p w14:paraId="41D98A2C" w14:textId="566C10F3" w:rsidR="0035375B" w:rsidRPr="001674E5" w:rsidRDefault="0035375B">
            <w:pPr>
              <w:rPr>
                <w:b/>
                <w:bCs/>
              </w:rPr>
            </w:pPr>
            <w:bookmarkStart w:id="3" w:name="ref_commissaire" w:colFirst="1" w:colLast="1"/>
            <w:r w:rsidRPr="001674E5">
              <w:rPr>
                <w:b/>
                <w:bCs/>
              </w:rPr>
              <w:t>DEVANT L</w:t>
            </w:r>
            <w:r w:rsidR="00742B82" w:rsidRPr="001674E5">
              <w:rPr>
                <w:b/>
                <w:bCs/>
              </w:rPr>
              <w:t>ES</w:t>
            </w:r>
            <w:r w:rsidRPr="001674E5">
              <w:rPr>
                <w:b/>
                <w:bCs/>
              </w:rPr>
              <w:t xml:space="preserve"> JUGE</w:t>
            </w:r>
            <w:r w:rsidR="00742B82" w:rsidRPr="001674E5">
              <w:rPr>
                <w:b/>
                <w:bCs/>
              </w:rPr>
              <w:t>S</w:t>
            </w:r>
            <w:r w:rsidRPr="001674E5">
              <w:rPr>
                <w:b/>
                <w:bCs/>
              </w:rPr>
              <w:t xml:space="preserve"> ADMINISTRATI</w:t>
            </w:r>
            <w:r w:rsidR="00742B82" w:rsidRPr="001674E5">
              <w:rPr>
                <w:b/>
                <w:bCs/>
              </w:rPr>
              <w:t>FS</w:t>
            </w:r>
            <w:r w:rsidRPr="001674E5">
              <w:rPr>
                <w:b/>
                <w:bCs/>
              </w:rPr>
              <w:t> :</w:t>
            </w:r>
          </w:p>
        </w:tc>
        <w:tc>
          <w:tcPr>
            <w:tcW w:w="3685" w:type="dxa"/>
          </w:tcPr>
          <w:p w14:paraId="3EAB6652" w14:textId="5DCAD576" w:rsidR="00742B82" w:rsidRPr="001674E5" w:rsidRDefault="00742B82" w:rsidP="00742B82">
            <w:pPr>
              <w:spacing w:after="40"/>
              <w:rPr>
                <w:b/>
              </w:rPr>
            </w:pPr>
            <w:r w:rsidRPr="001674E5">
              <w:rPr>
                <w:b/>
              </w:rPr>
              <w:t>Irène Zaïkoff</w:t>
            </w:r>
          </w:p>
          <w:p w14:paraId="50813812" w14:textId="77777777" w:rsidR="00742B82" w:rsidRPr="001674E5" w:rsidRDefault="00742B82" w:rsidP="00742B82">
            <w:pPr>
              <w:spacing w:after="40"/>
              <w:rPr>
                <w:b/>
              </w:rPr>
            </w:pPr>
            <w:r w:rsidRPr="001674E5">
              <w:rPr>
                <w:b/>
              </w:rPr>
              <w:t>Véronique Girard</w:t>
            </w:r>
          </w:p>
          <w:p w14:paraId="51969EB0" w14:textId="233E9C34" w:rsidR="0035375B" w:rsidRPr="001674E5" w:rsidRDefault="00742B82" w:rsidP="00742B82">
            <w:pPr>
              <w:pStyle w:val="zSoquijdatJuge"/>
              <w:spacing w:after="40"/>
              <w:rPr>
                <w:bCs/>
              </w:rPr>
            </w:pPr>
            <w:r w:rsidRPr="001674E5">
              <w:t>Pierre-Étienne Morand</w:t>
            </w:r>
          </w:p>
        </w:tc>
      </w:tr>
      <w:bookmarkEnd w:id="3"/>
      <w:tr w:rsidR="006966FF" w:rsidRPr="001674E5" w14:paraId="08AA88A7" w14:textId="77777777" w:rsidTr="00036794">
        <w:tc>
          <w:tcPr>
            <w:tcW w:w="9568" w:type="dxa"/>
            <w:gridSpan w:val="4"/>
          </w:tcPr>
          <w:p w14:paraId="3EB6DF8A" w14:textId="260470DC" w:rsidR="006966FF" w:rsidRPr="001674E5" w:rsidRDefault="006966FF" w:rsidP="006966FF">
            <w:r w:rsidRPr="001674E5">
              <w:t>____________________________________________________________________________________________________________________________________________</w:t>
            </w:r>
          </w:p>
        </w:tc>
      </w:tr>
      <w:tr w:rsidR="006966FF" w:rsidRPr="001674E5" w14:paraId="0F11C42E" w14:textId="77777777" w:rsidTr="00DB51BF">
        <w:tc>
          <w:tcPr>
            <w:tcW w:w="5103" w:type="dxa"/>
            <w:gridSpan w:val="2"/>
          </w:tcPr>
          <w:p w14:paraId="11492824" w14:textId="77777777" w:rsidR="006966FF" w:rsidRPr="001674E5" w:rsidRDefault="006966FF" w:rsidP="006966FF">
            <w:bookmarkStart w:id="4" w:name="bloc_parties_gauche"/>
            <w:bookmarkEnd w:id="4"/>
          </w:p>
        </w:tc>
        <w:tc>
          <w:tcPr>
            <w:tcW w:w="4465" w:type="dxa"/>
            <w:gridSpan w:val="2"/>
          </w:tcPr>
          <w:p w14:paraId="3E95ACC5" w14:textId="77777777" w:rsidR="006966FF" w:rsidRPr="001674E5" w:rsidRDefault="006966FF" w:rsidP="006966FF"/>
        </w:tc>
      </w:tr>
      <w:tr w:rsidR="006966FF" w:rsidRPr="001674E5" w14:paraId="4D3EA5C6" w14:textId="77777777" w:rsidTr="00DB51BF">
        <w:tc>
          <w:tcPr>
            <w:tcW w:w="5103" w:type="dxa"/>
            <w:gridSpan w:val="2"/>
          </w:tcPr>
          <w:p w14:paraId="5831E824" w14:textId="77777777" w:rsidR="006966FF" w:rsidRPr="001674E5" w:rsidRDefault="006966FF" w:rsidP="006966FF">
            <w:pPr>
              <w:rPr>
                <w:b/>
              </w:rPr>
            </w:pPr>
            <w:r w:rsidRPr="001674E5">
              <w:rPr>
                <w:b/>
              </w:rPr>
              <w:t xml:space="preserve">Centre de la petite enfance Le Jardin de </w:t>
            </w:r>
          </w:p>
          <w:p w14:paraId="379FDE8C" w14:textId="0DA38A84" w:rsidR="006966FF" w:rsidRPr="001674E5" w:rsidRDefault="006966FF" w:rsidP="006966FF">
            <w:pPr>
              <w:pStyle w:val="zSoquijdatNomPartieDem"/>
              <w:rPr>
                <w:b/>
              </w:rPr>
            </w:pPr>
            <w:r w:rsidRPr="001674E5">
              <w:rPr>
                <w:b/>
              </w:rPr>
              <w:t>Robi inc.</w:t>
            </w:r>
          </w:p>
        </w:tc>
        <w:tc>
          <w:tcPr>
            <w:tcW w:w="4465" w:type="dxa"/>
            <w:gridSpan w:val="2"/>
          </w:tcPr>
          <w:p w14:paraId="0B295F6E" w14:textId="77777777" w:rsidR="006966FF" w:rsidRPr="001674E5" w:rsidRDefault="006966FF" w:rsidP="006966FF"/>
        </w:tc>
      </w:tr>
      <w:tr w:rsidR="006966FF" w:rsidRPr="001674E5" w14:paraId="78BD4584" w14:textId="77777777" w:rsidTr="00DB51BF">
        <w:tc>
          <w:tcPr>
            <w:tcW w:w="5103" w:type="dxa"/>
            <w:gridSpan w:val="2"/>
          </w:tcPr>
          <w:p w14:paraId="776A7A36" w14:textId="335DD523" w:rsidR="006966FF" w:rsidRPr="001674E5" w:rsidRDefault="006966FF" w:rsidP="006966FF">
            <w:pPr>
              <w:pStyle w:val="zSoquijdatQtePartieDem"/>
              <w:tabs>
                <w:tab w:val="left" w:pos="3539"/>
              </w:tabs>
              <w:ind w:left="708"/>
            </w:pPr>
            <w:bookmarkStart w:id="5" w:name="partie_demanderesse"/>
            <w:bookmarkEnd w:id="5"/>
            <w:r w:rsidRPr="001674E5">
              <w:t>Partie demanderesse</w:t>
            </w:r>
          </w:p>
        </w:tc>
        <w:tc>
          <w:tcPr>
            <w:tcW w:w="4465" w:type="dxa"/>
            <w:gridSpan w:val="2"/>
          </w:tcPr>
          <w:p w14:paraId="4ADF6F4A" w14:textId="77777777" w:rsidR="006966FF" w:rsidRPr="001674E5" w:rsidRDefault="006966FF" w:rsidP="006966FF"/>
        </w:tc>
      </w:tr>
      <w:tr w:rsidR="006966FF" w:rsidRPr="001674E5" w14:paraId="5B705AD2" w14:textId="77777777" w:rsidTr="00DB51BF">
        <w:tc>
          <w:tcPr>
            <w:tcW w:w="5103" w:type="dxa"/>
            <w:gridSpan w:val="2"/>
          </w:tcPr>
          <w:p w14:paraId="1020DEC7" w14:textId="77777777" w:rsidR="006966FF" w:rsidRPr="001674E5" w:rsidRDefault="006966FF" w:rsidP="006966FF"/>
        </w:tc>
        <w:tc>
          <w:tcPr>
            <w:tcW w:w="4465" w:type="dxa"/>
            <w:gridSpan w:val="2"/>
          </w:tcPr>
          <w:p w14:paraId="580F3BA7" w14:textId="77777777" w:rsidR="006966FF" w:rsidRPr="001674E5" w:rsidRDefault="006966FF" w:rsidP="006966FF"/>
        </w:tc>
      </w:tr>
      <w:tr w:rsidR="006966FF" w:rsidRPr="001674E5" w14:paraId="6FA5A7C1" w14:textId="77777777" w:rsidTr="00DB51BF">
        <w:tc>
          <w:tcPr>
            <w:tcW w:w="5103" w:type="dxa"/>
            <w:gridSpan w:val="2"/>
          </w:tcPr>
          <w:p w14:paraId="00590C60" w14:textId="77A2143D" w:rsidR="006966FF" w:rsidRPr="001674E5" w:rsidRDefault="006966FF" w:rsidP="006966FF">
            <w:pPr>
              <w:pStyle w:val="zSoquijlblLienParties"/>
            </w:pPr>
            <w:r w:rsidRPr="001674E5">
              <w:t>et</w:t>
            </w:r>
          </w:p>
        </w:tc>
        <w:tc>
          <w:tcPr>
            <w:tcW w:w="4465" w:type="dxa"/>
            <w:gridSpan w:val="2"/>
          </w:tcPr>
          <w:p w14:paraId="733C696E" w14:textId="77777777" w:rsidR="006966FF" w:rsidRPr="001674E5" w:rsidRDefault="006966FF" w:rsidP="006966FF"/>
        </w:tc>
      </w:tr>
      <w:tr w:rsidR="006966FF" w:rsidRPr="001674E5" w14:paraId="7D447807" w14:textId="77777777" w:rsidTr="00DB51BF">
        <w:tc>
          <w:tcPr>
            <w:tcW w:w="5103" w:type="dxa"/>
            <w:gridSpan w:val="2"/>
          </w:tcPr>
          <w:p w14:paraId="41219D03" w14:textId="77777777" w:rsidR="006966FF" w:rsidRPr="001674E5" w:rsidRDefault="006966FF" w:rsidP="006966FF"/>
        </w:tc>
        <w:tc>
          <w:tcPr>
            <w:tcW w:w="4465" w:type="dxa"/>
            <w:gridSpan w:val="2"/>
          </w:tcPr>
          <w:p w14:paraId="41914658" w14:textId="77777777" w:rsidR="006966FF" w:rsidRPr="001674E5" w:rsidRDefault="006966FF" w:rsidP="006966FF"/>
        </w:tc>
      </w:tr>
      <w:tr w:rsidR="006966FF" w:rsidRPr="001674E5" w14:paraId="43A21B1F" w14:textId="77777777" w:rsidTr="00DB51BF">
        <w:tc>
          <w:tcPr>
            <w:tcW w:w="5103" w:type="dxa"/>
            <w:gridSpan w:val="2"/>
          </w:tcPr>
          <w:p w14:paraId="46335642" w14:textId="77777777" w:rsidR="006966FF" w:rsidRPr="001674E5" w:rsidRDefault="006966FF" w:rsidP="006966FF">
            <w:pPr>
              <w:rPr>
                <w:b/>
              </w:rPr>
            </w:pPr>
            <w:r w:rsidRPr="001674E5">
              <w:rPr>
                <w:b/>
              </w:rPr>
              <w:t xml:space="preserve">Syndicat des travailleuses des centres de </w:t>
            </w:r>
          </w:p>
          <w:p w14:paraId="3A80EFD4" w14:textId="77777777" w:rsidR="006966FF" w:rsidRPr="001674E5" w:rsidRDefault="006966FF" w:rsidP="006966FF">
            <w:pPr>
              <w:rPr>
                <w:b/>
              </w:rPr>
            </w:pPr>
            <w:r w:rsidRPr="001674E5">
              <w:rPr>
                <w:b/>
              </w:rPr>
              <w:t xml:space="preserve">la petite enfance et des bureaux </w:t>
            </w:r>
          </w:p>
          <w:p w14:paraId="7F7D6749" w14:textId="77777777" w:rsidR="006966FF" w:rsidRPr="001674E5" w:rsidRDefault="006966FF" w:rsidP="006966FF">
            <w:pPr>
              <w:rPr>
                <w:b/>
              </w:rPr>
            </w:pPr>
            <w:r w:rsidRPr="001674E5">
              <w:rPr>
                <w:b/>
              </w:rPr>
              <w:t xml:space="preserve">coordonnateurs du Saguenay – Lac </w:t>
            </w:r>
          </w:p>
          <w:p w14:paraId="46BDB17C" w14:textId="08F06278" w:rsidR="006966FF" w:rsidRPr="001674E5" w:rsidRDefault="006966FF" w:rsidP="006966FF">
            <w:pPr>
              <w:pStyle w:val="zSoquijdatNomPartieDef"/>
              <w:rPr>
                <w:b/>
              </w:rPr>
            </w:pPr>
            <w:r w:rsidRPr="001674E5">
              <w:rPr>
                <w:b/>
              </w:rPr>
              <w:t>Saint-Jean - FSSS-CSN</w:t>
            </w:r>
          </w:p>
        </w:tc>
        <w:tc>
          <w:tcPr>
            <w:tcW w:w="4465" w:type="dxa"/>
            <w:gridSpan w:val="2"/>
          </w:tcPr>
          <w:p w14:paraId="764EAF25" w14:textId="77777777" w:rsidR="006966FF" w:rsidRPr="001674E5" w:rsidRDefault="006966FF" w:rsidP="006966FF"/>
        </w:tc>
      </w:tr>
      <w:tr w:rsidR="006966FF" w:rsidRPr="001674E5" w14:paraId="3345034B" w14:textId="77777777" w:rsidTr="00DB51BF">
        <w:tc>
          <w:tcPr>
            <w:tcW w:w="5103" w:type="dxa"/>
            <w:gridSpan w:val="2"/>
          </w:tcPr>
          <w:p w14:paraId="3CF757B1" w14:textId="1F0F4029" w:rsidR="006966FF" w:rsidRPr="001674E5" w:rsidRDefault="006966FF" w:rsidP="006966FF">
            <w:pPr>
              <w:pStyle w:val="zSoquijdatQtePartieDef"/>
              <w:ind w:left="708"/>
            </w:pPr>
            <w:r w:rsidRPr="001674E5">
              <w:t>Partie défenderesse</w:t>
            </w:r>
          </w:p>
        </w:tc>
        <w:tc>
          <w:tcPr>
            <w:tcW w:w="4465" w:type="dxa"/>
            <w:gridSpan w:val="2"/>
          </w:tcPr>
          <w:p w14:paraId="77EBFC8F" w14:textId="77777777" w:rsidR="006966FF" w:rsidRPr="001674E5" w:rsidRDefault="006966FF" w:rsidP="006966FF"/>
        </w:tc>
      </w:tr>
      <w:tr w:rsidR="006966FF" w:rsidRPr="001674E5" w14:paraId="0D3EDEA3" w14:textId="77777777" w:rsidTr="00DB51BF">
        <w:tc>
          <w:tcPr>
            <w:tcW w:w="5103" w:type="dxa"/>
            <w:gridSpan w:val="2"/>
          </w:tcPr>
          <w:p w14:paraId="21610776" w14:textId="77777777" w:rsidR="006966FF" w:rsidRPr="001674E5" w:rsidRDefault="006966FF" w:rsidP="006966FF"/>
        </w:tc>
        <w:tc>
          <w:tcPr>
            <w:tcW w:w="4465" w:type="dxa"/>
            <w:gridSpan w:val="2"/>
          </w:tcPr>
          <w:p w14:paraId="2268101D" w14:textId="77777777" w:rsidR="006966FF" w:rsidRPr="001674E5" w:rsidRDefault="006966FF" w:rsidP="006966FF"/>
        </w:tc>
      </w:tr>
      <w:tr w:rsidR="006966FF" w:rsidRPr="001674E5" w14:paraId="15C86938" w14:textId="77777777" w:rsidTr="00DB51BF">
        <w:tc>
          <w:tcPr>
            <w:tcW w:w="5103" w:type="dxa"/>
            <w:gridSpan w:val="2"/>
          </w:tcPr>
          <w:p w14:paraId="4FAA9A68" w14:textId="3FEFCC3C" w:rsidR="006966FF" w:rsidRPr="001674E5" w:rsidRDefault="006966FF" w:rsidP="006966FF">
            <w:r w:rsidRPr="001674E5">
              <w:t>et</w:t>
            </w:r>
          </w:p>
        </w:tc>
        <w:tc>
          <w:tcPr>
            <w:tcW w:w="4465" w:type="dxa"/>
            <w:gridSpan w:val="2"/>
          </w:tcPr>
          <w:p w14:paraId="5EF2703B" w14:textId="77777777" w:rsidR="006966FF" w:rsidRPr="001674E5" w:rsidRDefault="006966FF" w:rsidP="006966FF"/>
        </w:tc>
      </w:tr>
      <w:tr w:rsidR="006966FF" w:rsidRPr="001674E5" w14:paraId="3CBE38FE" w14:textId="77777777" w:rsidTr="00DB51BF">
        <w:tc>
          <w:tcPr>
            <w:tcW w:w="5103" w:type="dxa"/>
            <w:gridSpan w:val="2"/>
          </w:tcPr>
          <w:p w14:paraId="799C2C22" w14:textId="77777777" w:rsidR="006966FF" w:rsidRPr="001674E5" w:rsidRDefault="006966FF" w:rsidP="006966FF"/>
        </w:tc>
        <w:tc>
          <w:tcPr>
            <w:tcW w:w="4465" w:type="dxa"/>
            <w:gridSpan w:val="2"/>
          </w:tcPr>
          <w:p w14:paraId="77561706" w14:textId="77777777" w:rsidR="006966FF" w:rsidRPr="001674E5" w:rsidRDefault="006966FF" w:rsidP="006966FF"/>
        </w:tc>
      </w:tr>
      <w:tr w:rsidR="006966FF" w:rsidRPr="001674E5" w14:paraId="21A265B2" w14:textId="77777777" w:rsidTr="00DB51BF">
        <w:tc>
          <w:tcPr>
            <w:tcW w:w="5103" w:type="dxa"/>
            <w:gridSpan w:val="2"/>
          </w:tcPr>
          <w:p w14:paraId="689D2CD5" w14:textId="0D5391F5" w:rsidR="00011E08" w:rsidRPr="00147A94" w:rsidRDefault="006966FF" w:rsidP="00147A94">
            <w:pPr>
              <w:pStyle w:val="zSoquijdatNomPartieInt"/>
              <w:rPr>
                <w:b/>
              </w:rPr>
            </w:pPr>
            <w:r w:rsidRPr="001674E5">
              <w:rPr>
                <w:b/>
              </w:rPr>
              <w:t>Procureur général du Québec</w:t>
            </w:r>
          </w:p>
        </w:tc>
        <w:tc>
          <w:tcPr>
            <w:tcW w:w="4465" w:type="dxa"/>
            <w:gridSpan w:val="2"/>
          </w:tcPr>
          <w:p w14:paraId="70CDC8EF" w14:textId="6D089422" w:rsidR="006966FF" w:rsidRPr="001674E5" w:rsidRDefault="006966FF" w:rsidP="006966FF"/>
        </w:tc>
      </w:tr>
      <w:tr w:rsidR="00147A94" w:rsidRPr="001674E5" w14:paraId="057DF659" w14:textId="77777777" w:rsidTr="00DB51BF">
        <w:tc>
          <w:tcPr>
            <w:tcW w:w="5103" w:type="dxa"/>
            <w:gridSpan w:val="2"/>
          </w:tcPr>
          <w:p w14:paraId="0DD2D82E" w14:textId="6093488F" w:rsidR="00147A94" w:rsidRPr="00147A94" w:rsidRDefault="00147A94" w:rsidP="00147A94">
            <w:pPr>
              <w:pStyle w:val="zSoquijdatNomPartieInt"/>
              <w:spacing w:after="60"/>
              <w:ind w:left="634"/>
              <w:rPr>
                <w:bCs/>
              </w:rPr>
            </w:pPr>
            <w:r w:rsidRPr="00DB51BF">
              <w:rPr>
                <w:bCs/>
              </w:rPr>
              <w:t>Partie intervenante de première part</w:t>
            </w:r>
          </w:p>
        </w:tc>
        <w:tc>
          <w:tcPr>
            <w:tcW w:w="4465" w:type="dxa"/>
            <w:gridSpan w:val="2"/>
          </w:tcPr>
          <w:p w14:paraId="6CBC0E50" w14:textId="77777777" w:rsidR="00147A94" w:rsidRPr="001674E5" w:rsidRDefault="00147A94" w:rsidP="006966FF"/>
        </w:tc>
      </w:tr>
      <w:tr w:rsidR="00147A94" w:rsidRPr="001674E5" w14:paraId="3525F85A" w14:textId="77777777" w:rsidTr="00DB51BF">
        <w:tc>
          <w:tcPr>
            <w:tcW w:w="5103" w:type="dxa"/>
            <w:gridSpan w:val="2"/>
          </w:tcPr>
          <w:p w14:paraId="43911702" w14:textId="77777777" w:rsidR="00147A94" w:rsidRPr="00DB51BF" w:rsidRDefault="00147A94" w:rsidP="00147A94">
            <w:pPr>
              <w:pStyle w:val="zSoquijdatNomPartieInt"/>
              <w:spacing w:after="60"/>
              <w:rPr>
                <w:bCs/>
              </w:rPr>
            </w:pPr>
          </w:p>
        </w:tc>
        <w:tc>
          <w:tcPr>
            <w:tcW w:w="4465" w:type="dxa"/>
            <w:gridSpan w:val="2"/>
          </w:tcPr>
          <w:p w14:paraId="302C78E0" w14:textId="77777777" w:rsidR="00147A94" w:rsidRPr="001674E5" w:rsidRDefault="00147A94" w:rsidP="006966FF"/>
        </w:tc>
      </w:tr>
      <w:tr w:rsidR="0015007C" w:rsidRPr="001674E5" w14:paraId="52E91DD7" w14:textId="77777777" w:rsidTr="00DB51BF">
        <w:tc>
          <w:tcPr>
            <w:tcW w:w="5103" w:type="dxa"/>
            <w:gridSpan w:val="2"/>
          </w:tcPr>
          <w:p w14:paraId="5AB94CD3" w14:textId="1344DE20" w:rsidR="0015007C" w:rsidRPr="0015007C" w:rsidRDefault="0015007C" w:rsidP="006966FF">
            <w:pPr>
              <w:pStyle w:val="zSoquijdatNomPartieInt"/>
              <w:spacing w:after="60"/>
              <w:rPr>
                <w:bCs/>
              </w:rPr>
            </w:pPr>
            <w:r w:rsidRPr="0015007C">
              <w:rPr>
                <w:bCs/>
              </w:rPr>
              <w:t>et</w:t>
            </w:r>
          </w:p>
        </w:tc>
        <w:tc>
          <w:tcPr>
            <w:tcW w:w="4465" w:type="dxa"/>
            <w:gridSpan w:val="2"/>
          </w:tcPr>
          <w:p w14:paraId="11C52355" w14:textId="77777777" w:rsidR="0015007C" w:rsidRPr="001674E5" w:rsidRDefault="0015007C" w:rsidP="006966FF"/>
        </w:tc>
      </w:tr>
      <w:tr w:rsidR="0015007C" w:rsidRPr="001674E5" w14:paraId="7F5D120D" w14:textId="77777777" w:rsidTr="00DB51BF">
        <w:tc>
          <w:tcPr>
            <w:tcW w:w="5103" w:type="dxa"/>
            <w:gridSpan w:val="2"/>
          </w:tcPr>
          <w:p w14:paraId="37B2A678" w14:textId="77777777" w:rsidR="0015007C" w:rsidRPr="001674E5" w:rsidRDefault="0015007C" w:rsidP="006966FF">
            <w:pPr>
              <w:pStyle w:val="zSoquijdatNomPartieInt"/>
              <w:spacing w:after="60"/>
              <w:rPr>
                <w:b/>
              </w:rPr>
            </w:pPr>
          </w:p>
        </w:tc>
        <w:tc>
          <w:tcPr>
            <w:tcW w:w="4465" w:type="dxa"/>
            <w:gridSpan w:val="2"/>
          </w:tcPr>
          <w:p w14:paraId="5BA90CCE" w14:textId="77777777" w:rsidR="0015007C" w:rsidRPr="001674E5" w:rsidRDefault="0015007C" w:rsidP="006966FF"/>
        </w:tc>
      </w:tr>
      <w:tr w:rsidR="006966FF" w:rsidRPr="001674E5" w14:paraId="24786788" w14:textId="77777777" w:rsidTr="00DB51BF">
        <w:tc>
          <w:tcPr>
            <w:tcW w:w="5103" w:type="dxa"/>
            <w:gridSpan w:val="2"/>
          </w:tcPr>
          <w:p w14:paraId="24B19E42" w14:textId="04833114" w:rsidR="006966FF" w:rsidRPr="001674E5" w:rsidRDefault="006966FF" w:rsidP="00147A94">
            <w:pPr>
              <w:pStyle w:val="zSoquijdatNomPartieInt"/>
              <w:spacing w:after="60"/>
              <w:rPr>
                <w:b/>
              </w:rPr>
            </w:pPr>
            <w:r w:rsidRPr="001674E5">
              <w:rPr>
                <w:b/>
              </w:rPr>
              <w:lastRenderedPageBreak/>
              <w:t>Fédération des intervenantes en petite enfance du Québec (CSQ)</w:t>
            </w:r>
          </w:p>
        </w:tc>
        <w:tc>
          <w:tcPr>
            <w:tcW w:w="4465" w:type="dxa"/>
            <w:gridSpan w:val="2"/>
          </w:tcPr>
          <w:p w14:paraId="4D111C53" w14:textId="77777777" w:rsidR="006966FF" w:rsidRPr="001674E5" w:rsidRDefault="006966FF" w:rsidP="006966FF"/>
        </w:tc>
      </w:tr>
      <w:tr w:rsidR="006966FF" w:rsidRPr="001674E5" w14:paraId="42319044" w14:textId="77777777" w:rsidTr="00DB51BF">
        <w:tc>
          <w:tcPr>
            <w:tcW w:w="5103" w:type="dxa"/>
            <w:gridSpan w:val="2"/>
          </w:tcPr>
          <w:p w14:paraId="0B3ECA45" w14:textId="47C996B1" w:rsidR="006966FF" w:rsidRPr="001674E5" w:rsidRDefault="006966FF" w:rsidP="00147A94">
            <w:pPr>
              <w:pStyle w:val="zSoquijdatNomPartieInt"/>
              <w:spacing w:after="60"/>
              <w:rPr>
                <w:b/>
              </w:rPr>
            </w:pPr>
            <w:r w:rsidRPr="001674E5">
              <w:rPr>
                <w:b/>
              </w:rPr>
              <w:t>Fédération des travailleurs et travailleuses du Québec</w:t>
            </w:r>
          </w:p>
        </w:tc>
        <w:tc>
          <w:tcPr>
            <w:tcW w:w="4465" w:type="dxa"/>
            <w:gridSpan w:val="2"/>
          </w:tcPr>
          <w:p w14:paraId="02E26461" w14:textId="77777777" w:rsidR="006966FF" w:rsidRPr="001674E5" w:rsidRDefault="006966FF" w:rsidP="006966FF"/>
        </w:tc>
      </w:tr>
      <w:tr w:rsidR="006966FF" w:rsidRPr="001674E5" w14:paraId="1DEF8C00" w14:textId="77777777" w:rsidTr="00DB51BF">
        <w:tc>
          <w:tcPr>
            <w:tcW w:w="5103" w:type="dxa"/>
            <w:gridSpan w:val="2"/>
          </w:tcPr>
          <w:p w14:paraId="21981115" w14:textId="369CFA62" w:rsidR="00011E08" w:rsidRPr="001674E5" w:rsidRDefault="006966FF" w:rsidP="00147A94">
            <w:pPr>
              <w:pStyle w:val="zSoquijdatNomPartieInt"/>
              <w:spacing w:after="60"/>
              <w:rPr>
                <w:b/>
              </w:rPr>
            </w:pPr>
            <w:r w:rsidRPr="001674E5">
              <w:rPr>
                <w:b/>
              </w:rPr>
              <w:t>Alliance du personnel professionnel et technique de la santé et des services sociaux (APTS)</w:t>
            </w:r>
          </w:p>
        </w:tc>
        <w:tc>
          <w:tcPr>
            <w:tcW w:w="4465" w:type="dxa"/>
            <w:gridSpan w:val="2"/>
          </w:tcPr>
          <w:p w14:paraId="61D405CE" w14:textId="77777777" w:rsidR="006966FF" w:rsidRPr="001674E5" w:rsidRDefault="006966FF" w:rsidP="006966FF"/>
        </w:tc>
      </w:tr>
      <w:tr w:rsidR="006966FF" w:rsidRPr="001674E5" w14:paraId="3F1FFD6C" w14:textId="77777777" w:rsidTr="00DB51BF">
        <w:tc>
          <w:tcPr>
            <w:tcW w:w="5103" w:type="dxa"/>
            <w:gridSpan w:val="2"/>
          </w:tcPr>
          <w:p w14:paraId="732FD7D2" w14:textId="3D269CD6" w:rsidR="006966FF" w:rsidRPr="001674E5" w:rsidRDefault="006966FF" w:rsidP="0059734D">
            <w:pPr>
              <w:pStyle w:val="zSoquijdatNomPartieInt"/>
              <w:rPr>
                <w:b/>
              </w:rPr>
            </w:pPr>
            <w:r w:rsidRPr="001674E5">
              <w:rPr>
                <w:b/>
              </w:rPr>
              <w:t>Centrale des syndicats démocratiques</w:t>
            </w:r>
          </w:p>
        </w:tc>
        <w:tc>
          <w:tcPr>
            <w:tcW w:w="4465" w:type="dxa"/>
            <w:gridSpan w:val="2"/>
          </w:tcPr>
          <w:p w14:paraId="0D7791C5" w14:textId="77777777" w:rsidR="006966FF" w:rsidRPr="001674E5" w:rsidRDefault="006966FF" w:rsidP="006966FF"/>
        </w:tc>
      </w:tr>
      <w:tr w:rsidR="006966FF" w:rsidRPr="001674E5" w14:paraId="1D09A651" w14:textId="77777777" w:rsidTr="00DB51BF">
        <w:tc>
          <w:tcPr>
            <w:tcW w:w="5103" w:type="dxa"/>
            <w:gridSpan w:val="2"/>
          </w:tcPr>
          <w:p w14:paraId="6E2434A7" w14:textId="7D1EF1AD" w:rsidR="006966FF" w:rsidRPr="00DB51BF" w:rsidRDefault="006966FF" w:rsidP="006966FF">
            <w:pPr>
              <w:pStyle w:val="zSoquijdatQtePartieInt"/>
              <w:ind w:left="708"/>
            </w:pPr>
            <w:r w:rsidRPr="00DB51BF">
              <w:t>Parties intervenantes</w:t>
            </w:r>
            <w:r w:rsidR="00135DA2" w:rsidRPr="00DB51BF">
              <w:t xml:space="preserve"> de deuxième part</w:t>
            </w:r>
          </w:p>
        </w:tc>
        <w:tc>
          <w:tcPr>
            <w:tcW w:w="4465" w:type="dxa"/>
            <w:gridSpan w:val="2"/>
          </w:tcPr>
          <w:p w14:paraId="7E04E672" w14:textId="77777777" w:rsidR="006966FF" w:rsidRPr="001674E5" w:rsidRDefault="006966FF" w:rsidP="006966FF"/>
        </w:tc>
      </w:tr>
      <w:tr w:rsidR="006966FF" w:rsidRPr="001674E5" w14:paraId="176C8EE1" w14:textId="77777777" w:rsidTr="00DB51BF">
        <w:tc>
          <w:tcPr>
            <w:tcW w:w="5103" w:type="dxa"/>
            <w:gridSpan w:val="2"/>
          </w:tcPr>
          <w:p w14:paraId="163E317E" w14:textId="77777777" w:rsidR="006966FF" w:rsidRPr="001674E5" w:rsidRDefault="006966FF" w:rsidP="006966FF"/>
        </w:tc>
        <w:tc>
          <w:tcPr>
            <w:tcW w:w="4465" w:type="dxa"/>
            <w:gridSpan w:val="2"/>
          </w:tcPr>
          <w:p w14:paraId="6AFD6DDC" w14:textId="77777777" w:rsidR="006966FF" w:rsidRPr="001674E5" w:rsidRDefault="006966FF" w:rsidP="006966FF"/>
        </w:tc>
      </w:tr>
    </w:tbl>
    <w:p w14:paraId="3AB20E41" w14:textId="77777777" w:rsidR="00C74B6F" w:rsidRPr="001674E5" w:rsidRDefault="00C74B6F">
      <w:r w:rsidRPr="001674E5">
        <w:t>______________________________________________________________________</w:t>
      </w:r>
    </w:p>
    <w:p w14:paraId="5BD99626" w14:textId="77777777" w:rsidR="00C74B6F" w:rsidRPr="001674E5" w:rsidRDefault="00C74B6F"/>
    <w:p w14:paraId="45621508" w14:textId="77777777" w:rsidR="00C74B6F" w:rsidRPr="001674E5" w:rsidRDefault="00C74B6F" w:rsidP="00953376">
      <w:pPr>
        <w:jc w:val="center"/>
        <w:rPr>
          <w:b/>
          <w:bCs/>
        </w:rPr>
      </w:pPr>
      <w:bookmarkStart w:id="6" w:name="decision"/>
      <w:r w:rsidRPr="001674E5">
        <w:rPr>
          <w:b/>
          <w:bCs/>
        </w:rPr>
        <w:t>DÉCISION</w:t>
      </w:r>
      <w:bookmarkEnd w:id="6"/>
    </w:p>
    <w:p w14:paraId="5ECDBCF4" w14:textId="77777777" w:rsidR="008F20EA" w:rsidRPr="001674E5" w:rsidRDefault="008F20EA" w:rsidP="008F20EA">
      <w:bookmarkStart w:id="7" w:name="separation"/>
      <w:bookmarkStart w:id="8" w:name="parag_1"/>
      <w:r w:rsidRPr="001674E5">
        <w:t>______________________________________________________________________</w:t>
      </w:r>
    </w:p>
    <w:p w14:paraId="15D6CFCF" w14:textId="77777777" w:rsidR="008F20EA" w:rsidRDefault="008F20EA" w:rsidP="00147A94">
      <w:pPr>
        <w:pStyle w:val="Titre1"/>
        <w:spacing w:before="360" w:after="360"/>
      </w:pPr>
      <w:bookmarkStart w:id="9" w:name="supprimer_apercu"/>
      <w:bookmarkEnd w:id="7"/>
      <w:r w:rsidRPr="001674E5">
        <w:t>L’APERÇU</w:t>
      </w:r>
    </w:p>
    <w:p w14:paraId="5EF57A31" w14:textId="40B1E9CA" w:rsidR="00983E2C" w:rsidRDefault="006B4494" w:rsidP="0083631A">
      <w:pPr>
        <w:pStyle w:val="corpsdedcision"/>
        <w:tabs>
          <w:tab w:val="clear" w:pos="360"/>
          <w:tab w:val="num" w:pos="720"/>
        </w:tabs>
        <w:rPr>
          <w:lang w:eastAsia="fr-FR"/>
        </w:rPr>
      </w:pPr>
      <w:r>
        <w:rPr>
          <w:lang w:eastAsia="fr-FR"/>
        </w:rPr>
        <w:t xml:space="preserve">La présente décision </w:t>
      </w:r>
      <w:r w:rsidR="003F264E">
        <w:rPr>
          <w:lang w:eastAsia="fr-FR"/>
        </w:rPr>
        <w:t>dispose</w:t>
      </w:r>
      <w:r>
        <w:rPr>
          <w:lang w:eastAsia="fr-FR"/>
        </w:rPr>
        <w:t xml:space="preserve"> de </w:t>
      </w:r>
      <w:r w:rsidRPr="004D49AE">
        <w:rPr>
          <w:lang w:eastAsia="fr-FR"/>
        </w:rPr>
        <w:t xml:space="preserve">la </w:t>
      </w:r>
      <w:r w:rsidR="00AC2AC7" w:rsidRPr="004D49AE">
        <w:rPr>
          <w:lang w:eastAsia="fr-FR"/>
        </w:rPr>
        <w:t>contestation constitutionnelle du</w:t>
      </w:r>
      <w:r w:rsidR="00AC2AC7" w:rsidRPr="004D49AE">
        <w:rPr>
          <w:b/>
        </w:rPr>
        <w:t xml:space="preserve"> </w:t>
      </w:r>
      <w:r w:rsidR="00AC2AC7" w:rsidRPr="004D49AE">
        <w:t>Syndicat</w:t>
      </w:r>
      <w:r w:rsidR="00AC2AC7" w:rsidRPr="00AF0EC1">
        <w:t xml:space="preserve"> des travailleuses des centres de la</w:t>
      </w:r>
      <w:r w:rsidR="00AC2AC7" w:rsidRPr="006B4494">
        <w:t xml:space="preserve"> petite enfance et des bureaux coordonnateurs du Saguenay – Lac</w:t>
      </w:r>
      <w:r w:rsidR="00AC2AC7">
        <w:t>-</w:t>
      </w:r>
      <w:r w:rsidR="00AC2AC7" w:rsidRPr="006B4494">
        <w:t>Saint-Jean - FSSS-CS</w:t>
      </w:r>
      <w:r w:rsidR="00AC2AC7">
        <w:t xml:space="preserve">N, le syndicat, </w:t>
      </w:r>
      <w:r w:rsidR="00DB7B0D">
        <w:rPr>
          <w:lang w:eastAsia="fr-FR"/>
        </w:rPr>
        <w:t>qui cherche</w:t>
      </w:r>
      <w:r w:rsidR="00CF026B">
        <w:rPr>
          <w:lang w:eastAsia="fr-FR"/>
        </w:rPr>
        <w:t xml:space="preserve"> à faire déclarer inopérant </w:t>
      </w:r>
      <w:r w:rsidR="00BD3684">
        <w:rPr>
          <w:lang w:eastAsia="fr-FR"/>
        </w:rPr>
        <w:t xml:space="preserve">le </w:t>
      </w:r>
      <w:r w:rsidR="00411431" w:rsidRPr="007E76D3">
        <w:rPr>
          <w:lang w:eastAsia="fr-FR"/>
        </w:rPr>
        <w:t>nouveau</w:t>
      </w:r>
      <w:r w:rsidR="00411431">
        <w:rPr>
          <w:lang w:eastAsia="fr-FR"/>
        </w:rPr>
        <w:t xml:space="preserve"> régime des services assurant le bien-être de la population, les</w:t>
      </w:r>
      <w:r w:rsidR="004A28FD">
        <w:rPr>
          <w:lang w:eastAsia="fr-FR"/>
        </w:rPr>
        <w:t> </w:t>
      </w:r>
      <w:r w:rsidR="00411431">
        <w:rPr>
          <w:lang w:eastAsia="fr-FR"/>
        </w:rPr>
        <w:t>SBEP</w:t>
      </w:r>
      <w:r w:rsidR="004A28FD">
        <w:rPr>
          <w:lang w:eastAsia="fr-FR"/>
        </w:rPr>
        <w:t>,</w:t>
      </w:r>
      <w:r w:rsidR="00411431">
        <w:rPr>
          <w:lang w:eastAsia="fr-FR"/>
        </w:rPr>
        <w:t xml:space="preserve"> du </w:t>
      </w:r>
      <w:r>
        <w:rPr>
          <w:lang w:eastAsia="fr-FR"/>
        </w:rPr>
        <w:t xml:space="preserve">chapitre V.1.1 du </w:t>
      </w:r>
      <w:r w:rsidRPr="006B4494">
        <w:rPr>
          <w:i/>
          <w:iCs/>
          <w:lang w:eastAsia="fr-FR"/>
        </w:rPr>
        <w:t>Code</w:t>
      </w:r>
      <w:r w:rsidR="000D0779">
        <w:rPr>
          <w:i/>
          <w:iCs/>
          <w:lang w:eastAsia="fr-FR"/>
        </w:rPr>
        <w:t xml:space="preserve"> du</w:t>
      </w:r>
      <w:r w:rsidRPr="006B4494">
        <w:rPr>
          <w:i/>
          <w:iCs/>
          <w:lang w:eastAsia="fr-FR"/>
        </w:rPr>
        <w:t xml:space="preserve"> travail</w:t>
      </w:r>
      <w:r w:rsidRPr="00551D25">
        <w:rPr>
          <w:rStyle w:val="Appelnotedebasdep"/>
          <w:lang w:eastAsia="fr-FR"/>
        </w:rPr>
        <w:footnoteReference w:id="1"/>
      </w:r>
      <w:r>
        <w:rPr>
          <w:lang w:eastAsia="fr-FR"/>
        </w:rPr>
        <w:t>, le Code</w:t>
      </w:r>
      <w:r w:rsidR="00BD3684">
        <w:rPr>
          <w:lang w:eastAsia="fr-FR"/>
        </w:rPr>
        <w:t xml:space="preserve">. </w:t>
      </w:r>
      <w:r w:rsidR="00B16355">
        <w:rPr>
          <w:lang w:eastAsia="fr-FR"/>
        </w:rPr>
        <w:t>Ces services</w:t>
      </w:r>
      <w:r w:rsidR="00171316">
        <w:rPr>
          <w:lang w:eastAsia="fr-FR"/>
        </w:rPr>
        <w:t xml:space="preserve"> sont </w:t>
      </w:r>
      <w:r w:rsidR="00EF1DA9">
        <w:rPr>
          <w:lang w:eastAsia="fr-FR"/>
        </w:rPr>
        <w:t xml:space="preserve">ceux </w:t>
      </w:r>
      <w:r w:rsidR="00C95F0D">
        <w:rPr>
          <w:lang w:eastAsia="fr-FR"/>
        </w:rPr>
        <w:t xml:space="preserve">minimalement requis pour éviter que </w:t>
      </w:r>
      <w:r w:rsidR="00C95F0D" w:rsidRPr="002D3C20">
        <w:rPr>
          <w:lang w:eastAsia="fr-FR"/>
        </w:rPr>
        <w:t>ne</w:t>
      </w:r>
      <w:r w:rsidR="00C95F0D">
        <w:rPr>
          <w:lang w:eastAsia="fr-FR"/>
        </w:rPr>
        <w:t xml:space="preserve"> soit affectée de manière disproportionnée la sécurité sociale, économique ou environnementale de la population, notamment celle des personnes en situation de vulnérabilité</w:t>
      </w:r>
      <w:r w:rsidR="00B53A96">
        <w:rPr>
          <w:lang w:eastAsia="fr-FR"/>
        </w:rPr>
        <w:t>,</w:t>
      </w:r>
      <w:r w:rsidR="000777A1">
        <w:rPr>
          <w:lang w:eastAsia="fr-FR"/>
        </w:rPr>
        <w:t xml:space="preserve"> en cas de grève ou de lock-out</w:t>
      </w:r>
      <w:r w:rsidR="00C95F0D">
        <w:rPr>
          <w:rStyle w:val="Appelnotedebasdep"/>
          <w:lang w:eastAsia="fr-FR"/>
        </w:rPr>
        <w:footnoteReference w:id="2"/>
      </w:r>
      <w:r w:rsidR="00C95F0D">
        <w:rPr>
          <w:lang w:eastAsia="fr-FR"/>
        </w:rPr>
        <w:t>.</w:t>
      </w:r>
    </w:p>
    <w:p w14:paraId="794893B2" w14:textId="034EBD73" w:rsidR="00895EA6" w:rsidRDefault="002127AA" w:rsidP="0083631A">
      <w:pPr>
        <w:pStyle w:val="corpsdedcision"/>
        <w:tabs>
          <w:tab w:val="clear" w:pos="360"/>
          <w:tab w:val="num" w:pos="720"/>
        </w:tabs>
      </w:pPr>
      <w:r>
        <w:rPr>
          <w:lang w:eastAsia="fr-FR"/>
        </w:rPr>
        <w:t>L</w:t>
      </w:r>
      <w:r w:rsidR="003B4E9F">
        <w:rPr>
          <w:lang w:eastAsia="fr-FR"/>
        </w:rPr>
        <w:t xml:space="preserve">e </w:t>
      </w:r>
      <w:r w:rsidR="00065CC6">
        <w:rPr>
          <w:lang w:eastAsia="fr-FR"/>
        </w:rPr>
        <w:t>recours</w:t>
      </w:r>
      <w:r w:rsidR="006B4494">
        <w:rPr>
          <w:lang w:eastAsia="fr-FR"/>
        </w:rPr>
        <w:t xml:space="preserve"> </w:t>
      </w:r>
      <w:r>
        <w:rPr>
          <w:lang w:eastAsia="fr-FR"/>
        </w:rPr>
        <w:t xml:space="preserve">du syndicat </w:t>
      </w:r>
      <w:r w:rsidR="00EF13D8">
        <w:rPr>
          <w:lang w:eastAsia="fr-FR"/>
        </w:rPr>
        <w:t xml:space="preserve">est </w:t>
      </w:r>
      <w:r>
        <w:rPr>
          <w:lang w:eastAsia="fr-FR"/>
        </w:rPr>
        <w:t>entrepris</w:t>
      </w:r>
      <w:r w:rsidR="006B4494">
        <w:rPr>
          <w:lang w:eastAsia="fr-FR"/>
        </w:rPr>
        <w:t xml:space="preserve"> </w:t>
      </w:r>
      <w:r w:rsidR="00135DA2">
        <w:rPr>
          <w:lang w:eastAsia="fr-FR"/>
        </w:rPr>
        <w:t>l</w:t>
      </w:r>
      <w:r w:rsidR="006B4494">
        <w:rPr>
          <w:lang w:eastAsia="fr-FR"/>
        </w:rPr>
        <w:t>e 10 février 202</w:t>
      </w:r>
      <w:r w:rsidR="00083719">
        <w:rPr>
          <w:lang w:eastAsia="fr-FR"/>
        </w:rPr>
        <w:t>6</w:t>
      </w:r>
      <w:r w:rsidR="006B4494">
        <w:rPr>
          <w:lang w:eastAsia="fr-FR"/>
        </w:rPr>
        <w:t xml:space="preserve"> </w:t>
      </w:r>
      <w:r w:rsidR="00EF13D8">
        <w:rPr>
          <w:lang w:eastAsia="fr-FR"/>
        </w:rPr>
        <w:t xml:space="preserve">en réponse à celui </w:t>
      </w:r>
      <w:r>
        <w:rPr>
          <w:lang w:eastAsia="fr-FR"/>
        </w:rPr>
        <w:t>déposé</w:t>
      </w:r>
      <w:r w:rsidR="00171316">
        <w:rPr>
          <w:lang w:eastAsia="fr-FR"/>
        </w:rPr>
        <w:t xml:space="preserve"> </w:t>
      </w:r>
      <w:r w:rsidR="00EF13D8">
        <w:rPr>
          <w:lang w:eastAsia="fr-FR"/>
        </w:rPr>
        <w:t xml:space="preserve">quelques jours plus tôt </w:t>
      </w:r>
      <w:r w:rsidR="00EF13D8">
        <w:t>par le Centre de la petite enfance Le Jardin de Robi inc., l’employeur ou le CPE Le Jardin de Robi</w:t>
      </w:r>
      <w:r w:rsidR="008316DA">
        <w:t xml:space="preserve">. Ce dernier </w:t>
      </w:r>
      <w:r>
        <w:t>sollicite que les parties soient</w:t>
      </w:r>
      <w:r w:rsidR="00171316">
        <w:t xml:space="preserve"> assujetti</w:t>
      </w:r>
      <w:r>
        <w:t>es</w:t>
      </w:r>
      <w:r w:rsidR="00171316">
        <w:t xml:space="preserve"> au</w:t>
      </w:r>
      <w:r w:rsidR="00EF13D8">
        <w:t xml:space="preserve"> </w:t>
      </w:r>
      <w:r w:rsidR="00171316">
        <w:t xml:space="preserve">maintien </w:t>
      </w:r>
      <w:r w:rsidR="00EF13D8">
        <w:t>de S</w:t>
      </w:r>
      <w:r w:rsidR="00B53A96">
        <w:t>BEP</w:t>
      </w:r>
      <w:r w:rsidR="00EF13D8">
        <w:t xml:space="preserve"> en cas de grève ou de lock-out</w:t>
      </w:r>
      <w:r w:rsidR="0021334F" w:rsidRPr="0021334F">
        <w:t xml:space="preserve"> </w:t>
      </w:r>
      <w:r w:rsidR="0021334F">
        <w:t>en vertu de ce nouveau</w:t>
      </w:r>
      <w:r w:rsidR="004B5814">
        <w:t> </w:t>
      </w:r>
      <w:r w:rsidR="0021334F">
        <w:t>régime</w:t>
      </w:r>
      <w:r w:rsidR="00EF13D8">
        <w:t>.</w:t>
      </w:r>
    </w:p>
    <w:p w14:paraId="4F237A86" w14:textId="557785B1" w:rsidR="004251EC" w:rsidRDefault="0045718C" w:rsidP="0083631A">
      <w:pPr>
        <w:pStyle w:val="corpsdedcision"/>
        <w:tabs>
          <w:tab w:val="clear" w:pos="360"/>
          <w:tab w:val="num" w:pos="720"/>
        </w:tabs>
        <w:rPr>
          <w:lang w:eastAsia="fr-FR"/>
        </w:rPr>
      </w:pPr>
      <w:r>
        <w:t xml:space="preserve">À la </w:t>
      </w:r>
      <w:r w:rsidRPr="00DB7B0D">
        <w:t>demande</w:t>
      </w:r>
      <w:r>
        <w:t xml:space="preserve"> des parties, l</w:t>
      </w:r>
      <w:r w:rsidR="004251EC">
        <w:t>e Tribunal</w:t>
      </w:r>
      <w:r w:rsidR="00DE1C66">
        <w:rPr>
          <w:rStyle w:val="Appelnotedebasdep"/>
        </w:rPr>
        <w:footnoteReference w:id="3"/>
      </w:r>
      <w:r w:rsidR="004251EC">
        <w:t xml:space="preserve"> a </w:t>
      </w:r>
      <w:r w:rsidR="00AC2AC7">
        <w:t>d’abord procédé sur le fond du dossier. Il</w:t>
      </w:r>
      <w:r w:rsidR="006D566E">
        <w:t> </w:t>
      </w:r>
      <w:r w:rsidR="00AC2AC7">
        <w:t xml:space="preserve">a </w:t>
      </w:r>
      <w:r w:rsidR="004251EC">
        <w:t>rendu deux décisions interlocutoires</w:t>
      </w:r>
      <w:r w:rsidR="003B4E9F">
        <w:t>,</w:t>
      </w:r>
      <w:r w:rsidR="004251EC">
        <w:t xml:space="preserve"> sous réserve de l’issue du débat constitutionnel. Dans la première, </w:t>
      </w:r>
      <w:r w:rsidR="00D14692">
        <w:t>transmise</w:t>
      </w:r>
      <w:r w:rsidR="004251EC">
        <w:t xml:space="preserve"> le 13 mars 2026, il assujettit le syndicat et l’employeur </w:t>
      </w:r>
      <w:r w:rsidR="00863609">
        <w:t>au maintien</w:t>
      </w:r>
      <w:r w:rsidR="004251EC">
        <w:t xml:space="preserve"> de SBEP en cas de grève ou de lock-out jusqu’à la signature de la convention </w:t>
      </w:r>
      <w:r w:rsidR="004251EC">
        <w:lastRenderedPageBreak/>
        <w:t xml:space="preserve">collective ou </w:t>
      </w:r>
      <w:r w:rsidR="00F34E4B">
        <w:t xml:space="preserve">de </w:t>
      </w:r>
      <w:r w:rsidR="004251EC">
        <w:t xml:space="preserve">ce </w:t>
      </w:r>
      <w:r w:rsidR="004251EC" w:rsidRPr="00147A94">
        <w:t>qui en tient lieu</w:t>
      </w:r>
      <w:r w:rsidR="004251EC" w:rsidRPr="00147A94">
        <w:rPr>
          <w:rStyle w:val="Appelnotedebasdep"/>
        </w:rPr>
        <w:footnoteReference w:id="4"/>
      </w:r>
      <w:r w:rsidR="004251EC" w:rsidRPr="00147A94">
        <w:t xml:space="preserve">. </w:t>
      </w:r>
      <w:r w:rsidR="004A28FD" w:rsidRPr="00147A94">
        <w:t>Dans la deuxième, rendue le</w:t>
      </w:r>
      <w:r w:rsidR="004251EC" w:rsidRPr="00147A94">
        <w:t xml:space="preserve"> 26 mars 2026, il</w:t>
      </w:r>
      <w:r w:rsidR="0034781A" w:rsidRPr="00147A94">
        <w:t> </w:t>
      </w:r>
      <w:r w:rsidR="004251EC" w:rsidRPr="00147A94">
        <w:t>détermine les SBEP devant être assurés</w:t>
      </w:r>
      <w:r w:rsidR="004251EC">
        <w:t xml:space="preserve"> par les parties pendant toute la phase des négociations</w:t>
      </w:r>
      <w:r w:rsidR="004251EC">
        <w:rPr>
          <w:rStyle w:val="Appelnotedebasdep"/>
        </w:rPr>
        <w:footnoteReference w:id="5"/>
      </w:r>
      <w:r w:rsidR="000777A1">
        <w:t>.</w:t>
      </w:r>
    </w:p>
    <w:p w14:paraId="32117292" w14:textId="608AEAE8" w:rsidR="00C42162" w:rsidRDefault="00C42162" w:rsidP="00AF2CEF">
      <w:pPr>
        <w:pStyle w:val="corpsdedcision"/>
        <w:tabs>
          <w:tab w:val="clear" w:pos="360"/>
          <w:tab w:val="num" w:pos="720"/>
        </w:tabs>
        <w:spacing w:before="360"/>
        <w:rPr>
          <w:lang w:eastAsia="fr-FR"/>
        </w:rPr>
      </w:pPr>
      <w:r>
        <w:t xml:space="preserve">Ces décisions ont eu pour effet de </w:t>
      </w:r>
      <w:r w:rsidR="00AC2AC7">
        <w:t>restreindre</w:t>
      </w:r>
      <w:r w:rsidR="004B5B3D">
        <w:t xml:space="preserve"> </w:t>
      </w:r>
      <w:r>
        <w:t xml:space="preserve">la grève </w:t>
      </w:r>
      <w:r w:rsidR="00ED7937">
        <w:t>générale</w:t>
      </w:r>
      <w:r>
        <w:t xml:space="preserve"> </w:t>
      </w:r>
      <w:r w:rsidRPr="00DB7B0D">
        <w:t>illimitée</w:t>
      </w:r>
      <w:r>
        <w:t xml:space="preserve"> </w:t>
      </w:r>
      <w:r w:rsidR="00ED7937">
        <w:t>des salariées représentées par le syndicat</w:t>
      </w:r>
      <w:r w:rsidR="00863609">
        <w:t>,</w:t>
      </w:r>
      <w:r w:rsidR="00ED7937">
        <w:t xml:space="preserve"> </w:t>
      </w:r>
      <w:r>
        <w:t>en cours depuis le 22 octobre 2025</w:t>
      </w:r>
      <w:r w:rsidR="00ED7937">
        <w:t xml:space="preserve">. </w:t>
      </w:r>
      <w:r w:rsidR="00481E46">
        <w:t>À compter</w:t>
      </w:r>
      <w:r w:rsidR="00E37C3A">
        <w:t xml:space="preserve"> du</w:t>
      </w:r>
      <w:r w:rsidR="00341E79">
        <w:t xml:space="preserve"> 1</w:t>
      </w:r>
      <w:r w:rsidR="00341E79" w:rsidRPr="000449A1">
        <w:rPr>
          <w:vertAlign w:val="superscript"/>
        </w:rPr>
        <w:t>er</w:t>
      </w:r>
      <w:r w:rsidR="00341E79">
        <w:t xml:space="preserve"> avril 2026, </w:t>
      </w:r>
      <w:r w:rsidR="00295598">
        <w:t>elles</w:t>
      </w:r>
      <w:r w:rsidR="00341E79">
        <w:t xml:space="preserve"> doivent fournir </w:t>
      </w:r>
      <w:r w:rsidR="00FE547D">
        <w:t>une prestation de travail</w:t>
      </w:r>
      <w:r w:rsidR="007372C1">
        <w:t xml:space="preserve"> </w:t>
      </w:r>
      <w:r w:rsidR="00CB0BA4">
        <w:t xml:space="preserve">de </w:t>
      </w:r>
      <w:r w:rsidR="007372C1">
        <w:t xml:space="preserve">trois jours </w:t>
      </w:r>
      <w:r w:rsidR="00D92FFB">
        <w:t>par semaine</w:t>
      </w:r>
      <w:r w:rsidR="00384309">
        <w:t xml:space="preserve"> afin d’offrir les services de garde éducatifs minimums convenus</w:t>
      </w:r>
      <w:r w:rsidR="007372C1">
        <w:rPr>
          <w:rStyle w:val="Appelnotedebasdep"/>
        </w:rPr>
        <w:footnoteReference w:id="6"/>
      </w:r>
      <w:r w:rsidR="007372C1">
        <w:t>.</w:t>
      </w:r>
    </w:p>
    <w:p w14:paraId="105D9C84" w14:textId="42C013EB" w:rsidR="00135DA2" w:rsidRDefault="00135DA2" w:rsidP="00135DA2">
      <w:pPr>
        <w:pStyle w:val="corpsdedcision"/>
        <w:tabs>
          <w:tab w:val="clear" w:pos="360"/>
          <w:tab w:val="num" w:pos="720"/>
        </w:tabs>
      </w:pPr>
      <w:r>
        <w:rPr>
          <w:lang w:eastAsia="fr-FR"/>
        </w:rPr>
        <w:t xml:space="preserve">Essentiellement, </w:t>
      </w:r>
      <w:r w:rsidR="00895EA6">
        <w:t>le syndicat</w:t>
      </w:r>
      <w:r w:rsidR="006B4494">
        <w:t xml:space="preserve"> soutient que le régime des SBEP</w:t>
      </w:r>
      <w:r w:rsidR="00D14692">
        <w:t>,</w:t>
      </w:r>
      <w:r w:rsidR="006B4494">
        <w:t xml:space="preserve"> en particulier l’</w:t>
      </w:r>
      <w:r>
        <w:t>article</w:t>
      </w:r>
      <w:r w:rsidR="006B4494">
        <w:t xml:space="preserve"> 111.22.3</w:t>
      </w:r>
      <w:r w:rsidR="0031393C">
        <w:t xml:space="preserve"> du Code</w:t>
      </w:r>
      <w:r w:rsidR="006B4494">
        <w:t xml:space="preserve"> qui les définit</w:t>
      </w:r>
      <w:r w:rsidR="00895EA6">
        <w:t>,</w:t>
      </w:r>
      <w:r w:rsidR="006B4494">
        <w:t xml:space="preserve"> </w:t>
      </w:r>
      <w:r w:rsidR="004A5894">
        <w:t>viole</w:t>
      </w:r>
      <w:r w:rsidR="006B4494">
        <w:t xml:space="preserve"> la liberté d’</w:t>
      </w:r>
      <w:r>
        <w:t>association</w:t>
      </w:r>
      <w:r w:rsidR="006B4494">
        <w:t>,</w:t>
      </w:r>
      <w:r w:rsidR="00D92FFB">
        <w:t xml:space="preserve"> qui est</w:t>
      </w:r>
      <w:r w:rsidR="006B4494">
        <w:t xml:space="preserve"> </w:t>
      </w:r>
      <w:r>
        <w:t>protégée</w:t>
      </w:r>
      <w:r w:rsidR="006B4494">
        <w:t xml:space="preserve"> </w:t>
      </w:r>
      <w:r w:rsidR="003F264E">
        <w:t xml:space="preserve">par </w:t>
      </w:r>
      <w:r>
        <w:t>l’alinéa</w:t>
      </w:r>
      <w:r w:rsidR="006B4494">
        <w:t xml:space="preserve"> </w:t>
      </w:r>
      <w:r w:rsidRPr="001674E5">
        <w:t>2</w:t>
      </w:r>
      <w:r w:rsidRPr="008F0ED4">
        <w:rPr>
          <w:i/>
          <w:iCs/>
        </w:rPr>
        <w:t>d</w:t>
      </w:r>
      <w:r w:rsidRPr="00A375F1">
        <w:t>)</w:t>
      </w:r>
      <w:r w:rsidRPr="001674E5">
        <w:t xml:space="preserve"> de la </w:t>
      </w:r>
      <w:r w:rsidRPr="001674E5">
        <w:rPr>
          <w:i/>
          <w:iCs/>
        </w:rPr>
        <w:t>Charte canadienne des droits et libertés</w:t>
      </w:r>
      <w:r w:rsidRPr="001674E5">
        <w:rPr>
          <w:rStyle w:val="Appelnotedebasdep"/>
        </w:rPr>
        <w:footnoteReference w:id="7"/>
      </w:r>
      <w:r w:rsidRPr="001674E5">
        <w:t xml:space="preserve"> et l’article 3 </w:t>
      </w:r>
      <w:r w:rsidR="000449A1">
        <w:t xml:space="preserve">de la </w:t>
      </w:r>
      <w:r w:rsidRPr="001674E5">
        <w:rPr>
          <w:i/>
          <w:iCs/>
        </w:rPr>
        <w:t>Charte des droits et libertés de la personne</w:t>
      </w:r>
      <w:r w:rsidRPr="001674E5">
        <w:rPr>
          <w:rStyle w:val="Appelnotedebasdep"/>
        </w:rPr>
        <w:footnoteReference w:id="8"/>
      </w:r>
      <w:r w:rsidRPr="001674E5">
        <w:t xml:space="preserve">, </w:t>
      </w:r>
      <w:r w:rsidR="00A60378">
        <w:t xml:space="preserve">en ce qu’il entrave substantiellement le droit de grève et le processus </w:t>
      </w:r>
      <w:r w:rsidR="006F567D">
        <w:t xml:space="preserve">véritable </w:t>
      </w:r>
      <w:r w:rsidR="00A60378">
        <w:t>de</w:t>
      </w:r>
      <w:r w:rsidR="00AC2AC7">
        <w:t xml:space="preserve"> </w:t>
      </w:r>
      <w:r w:rsidR="00A60378">
        <w:t>négociation</w:t>
      </w:r>
      <w:r w:rsidR="000449A1">
        <w:t xml:space="preserve"> collective</w:t>
      </w:r>
      <w:r w:rsidR="00A60378">
        <w:t xml:space="preserve">. </w:t>
      </w:r>
      <w:r w:rsidR="006F567D">
        <w:t>C</w:t>
      </w:r>
      <w:r w:rsidR="006220A0">
        <w:t xml:space="preserve">es dispositions </w:t>
      </w:r>
      <w:r w:rsidR="00B179AD">
        <w:t>législatives</w:t>
      </w:r>
      <w:r w:rsidR="006220A0">
        <w:t xml:space="preserve"> ne peuvent se justifier dans une socié</w:t>
      </w:r>
      <w:r w:rsidR="00B179AD">
        <w:t>té</w:t>
      </w:r>
      <w:r w:rsidR="006220A0">
        <w:t xml:space="preserve"> libre et démocratique</w:t>
      </w:r>
      <w:r w:rsidR="006220A0" w:rsidRPr="001674E5">
        <w:rPr>
          <w:rStyle w:val="Appelnotedebasdep"/>
        </w:rPr>
        <w:footnoteReference w:id="9"/>
      </w:r>
      <w:r w:rsidRPr="001674E5">
        <w:t xml:space="preserve">. </w:t>
      </w:r>
      <w:r w:rsidR="006220A0">
        <w:t>Elles</w:t>
      </w:r>
      <w:r w:rsidRPr="001674E5">
        <w:t xml:space="preserve"> doivent donc</w:t>
      </w:r>
      <w:r w:rsidR="00D81A8F">
        <w:t xml:space="preserve"> </w:t>
      </w:r>
      <w:r w:rsidRPr="001674E5">
        <w:t>être déclaré</w:t>
      </w:r>
      <w:r w:rsidR="002053B8">
        <w:t>e</w:t>
      </w:r>
      <w:r w:rsidRPr="001674E5">
        <w:t>s inopérant</w:t>
      </w:r>
      <w:r w:rsidR="0086003B">
        <w:t>e</w:t>
      </w:r>
      <w:r w:rsidRPr="001674E5">
        <w:t>s.</w:t>
      </w:r>
    </w:p>
    <w:p w14:paraId="2A280FEE" w14:textId="67E86856" w:rsidR="00895EA6" w:rsidRPr="00895EA6" w:rsidRDefault="00895EA6" w:rsidP="00135DA2">
      <w:pPr>
        <w:pStyle w:val="corpsdedcision"/>
        <w:tabs>
          <w:tab w:val="clear" w:pos="360"/>
          <w:tab w:val="num" w:pos="720"/>
        </w:tabs>
        <w:rPr>
          <w:bCs/>
        </w:rPr>
      </w:pPr>
      <w:r>
        <w:t xml:space="preserve">La </w:t>
      </w:r>
      <w:r w:rsidRPr="00895EA6">
        <w:rPr>
          <w:bCs/>
        </w:rPr>
        <w:t>Centrale des syndicats du Québec (CSQ)</w:t>
      </w:r>
      <w:r>
        <w:rPr>
          <w:rStyle w:val="Appelnotedebasdep"/>
          <w:bCs/>
        </w:rPr>
        <w:footnoteReference w:id="10"/>
      </w:r>
      <w:r w:rsidRPr="00895EA6">
        <w:rPr>
          <w:bCs/>
        </w:rPr>
        <w:t>, la</w:t>
      </w:r>
      <w:r>
        <w:rPr>
          <w:b/>
        </w:rPr>
        <w:t xml:space="preserve"> </w:t>
      </w:r>
      <w:r w:rsidRPr="00895EA6">
        <w:rPr>
          <w:bCs/>
        </w:rPr>
        <w:t>Fédération des intervenantes en petite enfance du Québec (CSQ)</w:t>
      </w:r>
      <w:r>
        <w:rPr>
          <w:rStyle w:val="Appelnotedebasdep"/>
          <w:bCs/>
        </w:rPr>
        <w:footnoteReference w:id="11"/>
      </w:r>
      <w:r>
        <w:rPr>
          <w:bCs/>
        </w:rPr>
        <w:t xml:space="preserve">, la </w:t>
      </w:r>
      <w:r w:rsidRPr="00895EA6">
        <w:rPr>
          <w:bCs/>
        </w:rPr>
        <w:t>Fédération des travailleurs et travailleuses du Québec</w:t>
      </w:r>
      <w:r>
        <w:rPr>
          <w:rStyle w:val="Appelnotedebasdep"/>
          <w:bCs/>
        </w:rPr>
        <w:footnoteReference w:id="12"/>
      </w:r>
      <w:r>
        <w:rPr>
          <w:bCs/>
        </w:rPr>
        <w:t xml:space="preserve">, </w:t>
      </w:r>
      <w:r w:rsidRPr="00895EA6">
        <w:rPr>
          <w:bCs/>
        </w:rPr>
        <w:t>l’Alliance du personnel professionnel et technique de la santé et des services sociaux (APTS)</w:t>
      </w:r>
      <w:r>
        <w:rPr>
          <w:rStyle w:val="Appelnotedebasdep"/>
          <w:bCs/>
        </w:rPr>
        <w:footnoteReference w:id="13"/>
      </w:r>
      <w:r>
        <w:rPr>
          <w:bCs/>
        </w:rPr>
        <w:t xml:space="preserve"> et la Centrale des syndicat</w:t>
      </w:r>
      <w:r w:rsidR="002053B8">
        <w:rPr>
          <w:bCs/>
        </w:rPr>
        <w:t>s</w:t>
      </w:r>
      <w:r>
        <w:rPr>
          <w:bCs/>
        </w:rPr>
        <w:t xml:space="preserve"> démocratiques</w:t>
      </w:r>
      <w:r>
        <w:rPr>
          <w:rStyle w:val="Appelnotedebasdep"/>
          <w:bCs/>
        </w:rPr>
        <w:footnoteReference w:id="14"/>
      </w:r>
      <w:r w:rsidR="007D7E9E">
        <w:rPr>
          <w:bCs/>
        </w:rPr>
        <w:t>,</w:t>
      </w:r>
      <w:r>
        <w:rPr>
          <w:bCs/>
        </w:rPr>
        <w:t xml:space="preserve"> qui sont intervenantes </w:t>
      </w:r>
      <w:r w:rsidR="0086003B">
        <w:rPr>
          <w:bCs/>
        </w:rPr>
        <w:t>sur le volet</w:t>
      </w:r>
      <w:r>
        <w:rPr>
          <w:bCs/>
        </w:rPr>
        <w:t xml:space="preserve"> </w:t>
      </w:r>
      <w:r w:rsidR="0086003B">
        <w:rPr>
          <w:bCs/>
        </w:rPr>
        <w:t>constitutionnel</w:t>
      </w:r>
      <w:r w:rsidR="0086003B">
        <w:rPr>
          <w:rStyle w:val="Appelnotedebasdep"/>
          <w:bCs/>
        </w:rPr>
        <w:footnoteReference w:id="15"/>
      </w:r>
      <w:r w:rsidR="00F05B38">
        <w:rPr>
          <w:bCs/>
        </w:rPr>
        <w:t>,</w:t>
      </w:r>
      <w:r w:rsidR="0086003B">
        <w:rPr>
          <w:bCs/>
        </w:rPr>
        <w:t xml:space="preserve"> appuie</w:t>
      </w:r>
      <w:r w:rsidR="00CA1A15">
        <w:rPr>
          <w:bCs/>
        </w:rPr>
        <w:t>nt</w:t>
      </w:r>
      <w:r w:rsidR="0086003B">
        <w:rPr>
          <w:bCs/>
        </w:rPr>
        <w:t xml:space="preserve"> la position du syndicat.</w:t>
      </w:r>
    </w:p>
    <w:p w14:paraId="36E0B06F" w14:textId="01FEAFBD" w:rsidR="00841D35" w:rsidRDefault="0086003B" w:rsidP="0083631A">
      <w:pPr>
        <w:pStyle w:val="corpsdedcision"/>
        <w:keepNext/>
        <w:keepLines/>
        <w:tabs>
          <w:tab w:val="clear" w:pos="360"/>
          <w:tab w:val="num" w:pos="720"/>
        </w:tabs>
      </w:pPr>
      <w:r>
        <w:lastRenderedPageBreak/>
        <w:t>Le procureur général du Québec, le PGQ, est d’avis que le régime des SBEP ne porte pas atteinte à la liberté d’association et, s</w:t>
      </w:r>
      <w:r w:rsidRPr="001674E5">
        <w:t xml:space="preserve">ubsidiairement, </w:t>
      </w:r>
      <w:r>
        <w:t>qu’</w:t>
      </w:r>
      <w:r w:rsidRPr="001674E5">
        <w:t xml:space="preserve">il s’agirait </w:t>
      </w:r>
      <w:r>
        <w:t xml:space="preserve">alors </w:t>
      </w:r>
      <w:r w:rsidRPr="001674E5">
        <w:t xml:space="preserve">d’une restriction qui se justifie constitutionnellement en vertu de l’article premier de la Charte canadienne et de l’article 9.1 de la Charte québécoise. L’employeur appuie </w:t>
      </w:r>
      <w:r w:rsidR="00EF253F">
        <w:t>s</w:t>
      </w:r>
      <w:r w:rsidRPr="001674E5">
        <w:t>a position</w:t>
      </w:r>
      <w:r>
        <w:t>.</w:t>
      </w:r>
    </w:p>
    <w:p w14:paraId="4D3ECA2E" w14:textId="5E292BE0" w:rsidR="008732BF" w:rsidRDefault="008732BF" w:rsidP="008732BF">
      <w:pPr>
        <w:pStyle w:val="corpsdedcision"/>
        <w:tabs>
          <w:tab w:val="clear" w:pos="360"/>
          <w:tab w:val="num" w:pos="720"/>
        </w:tabs>
        <w:rPr>
          <w:lang w:eastAsia="fr-FR"/>
        </w:rPr>
      </w:pPr>
      <w:r>
        <w:rPr>
          <w:lang w:eastAsia="fr-FR"/>
        </w:rPr>
        <w:t xml:space="preserve">La preuve est constituée </w:t>
      </w:r>
      <w:r w:rsidR="00D55CF9">
        <w:rPr>
          <w:lang w:eastAsia="fr-FR"/>
        </w:rPr>
        <w:t xml:space="preserve">d’admissions, </w:t>
      </w:r>
      <w:r>
        <w:rPr>
          <w:lang w:eastAsia="fr-FR"/>
        </w:rPr>
        <w:t>de témoignages de plusieurs personnes</w:t>
      </w:r>
      <w:r w:rsidR="00906E7A">
        <w:rPr>
          <w:lang w:eastAsia="fr-FR"/>
        </w:rPr>
        <w:t xml:space="preserve"> </w:t>
      </w:r>
      <w:r>
        <w:rPr>
          <w:lang w:eastAsia="fr-FR"/>
        </w:rPr>
        <w:t>impliquées dans les négociations nationales, régionales et locales, d’une éducatrice travaillant pour l’employeur et d’un témoin expert, Mélanie Laroche, professeure titulaire à l’École des relations industrielles de l’Université de Montréal.</w:t>
      </w:r>
    </w:p>
    <w:p w14:paraId="7CDF3826" w14:textId="71600376" w:rsidR="008732BF" w:rsidRDefault="008732BF" w:rsidP="00AF2CEF">
      <w:pPr>
        <w:pStyle w:val="corpsdedcision"/>
        <w:keepNext/>
        <w:keepLines/>
        <w:widowControl w:val="0"/>
        <w:tabs>
          <w:tab w:val="clear" w:pos="360"/>
          <w:tab w:val="num" w:pos="720"/>
        </w:tabs>
        <w:rPr>
          <w:lang w:eastAsia="fr-FR"/>
        </w:rPr>
      </w:pPr>
      <w:r>
        <w:rPr>
          <w:lang w:eastAsia="fr-FR"/>
        </w:rPr>
        <w:t xml:space="preserve">Cette dernière a présenté un rapport d’expertise, rédigé </w:t>
      </w:r>
      <w:r w:rsidR="00B11F82">
        <w:rPr>
          <w:lang w:eastAsia="fr-FR"/>
        </w:rPr>
        <w:t xml:space="preserve">avec </w:t>
      </w:r>
      <w:r>
        <w:rPr>
          <w:lang w:eastAsia="fr-FR"/>
        </w:rPr>
        <w:t>Patrice</w:t>
      </w:r>
      <w:r w:rsidR="004304CD">
        <w:rPr>
          <w:lang w:eastAsia="fr-FR"/>
        </w:rPr>
        <w:t> </w:t>
      </w:r>
      <w:r>
        <w:rPr>
          <w:lang w:eastAsia="fr-FR"/>
        </w:rPr>
        <w:t xml:space="preserve">Jallette, également </w:t>
      </w:r>
      <w:r w:rsidRPr="006F567D">
        <w:rPr>
          <w:lang w:eastAsia="fr-FR"/>
        </w:rPr>
        <w:t>professeur</w:t>
      </w:r>
      <w:r>
        <w:rPr>
          <w:lang w:eastAsia="fr-FR"/>
        </w:rPr>
        <w:t xml:space="preserve"> titulaire à l’École des relations industrielles de l’Université de Montréal, intitulé « </w:t>
      </w:r>
      <w:r w:rsidRPr="00A375F1">
        <w:rPr>
          <w:i/>
          <w:iCs/>
          <w:sz w:val="22"/>
          <w:szCs w:val="22"/>
          <w:lang w:eastAsia="fr-FR"/>
        </w:rPr>
        <w:t>Analyse des impacts du régime des services visant à assurer le bien-être de la population (SBEP) dans le contexte particulier du secteur des services de garde au Québec</w:t>
      </w:r>
      <w:r w:rsidR="001A195F">
        <w:rPr>
          <w:lang w:eastAsia="fr-FR"/>
        </w:rPr>
        <w:t> </w:t>
      </w:r>
      <w:r>
        <w:rPr>
          <w:lang w:eastAsia="fr-FR"/>
        </w:rPr>
        <w:t>»</w:t>
      </w:r>
      <w:r w:rsidR="001A195F">
        <w:rPr>
          <w:lang w:eastAsia="fr-FR"/>
        </w:rPr>
        <w:t>.</w:t>
      </w:r>
    </w:p>
    <w:p w14:paraId="2B021A0B" w14:textId="21E37322" w:rsidR="008732BF" w:rsidRDefault="008732BF" w:rsidP="00CA7F6C">
      <w:pPr>
        <w:pStyle w:val="corpsdedcision"/>
        <w:rPr>
          <w:lang w:eastAsia="fr-FR"/>
        </w:rPr>
      </w:pPr>
      <w:r>
        <w:rPr>
          <w:lang w:eastAsia="fr-FR"/>
        </w:rPr>
        <w:t>Une importante preuve documentaire a été déposée de part et d’autre. Le dossier est également constitué de la preuve administrée lors de</w:t>
      </w:r>
      <w:r w:rsidR="00C4642B">
        <w:rPr>
          <w:lang w:eastAsia="fr-FR"/>
        </w:rPr>
        <w:t>s</w:t>
      </w:r>
      <w:r>
        <w:rPr>
          <w:lang w:eastAsia="fr-FR"/>
        </w:rPr>
        <w:t xml:space="preserve"> précédentes étapes</w:t>
      </w:r>
      <w:r w:rsidR="00C4642B">
        <w:rPr>
          <w:lang w:eastAsia="fr-FR"/>
        </w:rPr>
        <w:t xml:space="preserve"> de l’instance</w:t>
      </w:r>
      <w:r>
        <w:rPr>
          <w:lang w:eastAsia="fr-FR"/>
        </w:rPr>
        <w:t>, soit l’assujettissement des parties et la détermination des SBEP à maintenir en cas de grève ou de lock-out.</w:t>
      </w:r>
    </w:p>
    <w:p w14:paraId="2BB6CC7F" w14:textId="2E05CE87" w:rsidR="009B21D8" w:rsidRDefault="002E6312" w:rsidP="009B21D8">
      <w:pPr>
        <w:pStyle w:val="Titre1"/>
      </w:pPr>
      <w:r>
        <w:t>les questions en litige</w:t>
      </w:r>
    </w:p>
    <w:p w14:paraId="11145411" w14:textId="77777777" w:rsidR="002F5D6E" w:rsidRPr="001674E5" w:rsidRDefault="002F5D6E" w:rsidP="00C16821">
      <w:pPr>
        <w:pStyle w:val="corpsdedcision"/>
        <w:tabs>
          <w:tab w:val="clear" w:pos="360"/>
          <w:tab w:val="num" w:pos="720"/>
        </w:tabs>
        <w:spacing w:after="240"/>
      </w:pPr>
      <w:r w:rsidRPr="001674E5">
        <w:t>Les questions en litige sont les suivantes :</w:t>
      </w:r>
    </w:p>
    <w:p w14:paraId="51AEF16C" w14:textId="7AE482AB" w:rsidR="007B04AE" w:rsidRDefault="007B04AE" w:rsidP="00C16821">
      <w:pPr>
        <w:pStyle w:val="corpsdedcision"/>
        <w:numPr>
          <w:ilvl w:val="0"/>
          <w:numId w:val="7"/>
        </w:numPr>
        <w:tabs>
          <w:tab w:val="clear" w:pos="720"/>
          <w:tab w:val="left" w:pos="1134"/>
        </w:tabs>
        <w:spacing w:after="240"/>
        <w:ind w:left="1134" w:hanging="425"/>
        <w:rPr>
          <w:lang w:eastAsia="fr-FR"/>
        </w:rPr>
      </w:pPr>
      <w:r>
        <w:rPr>
          <w:lang w:eastAsia="fr-FR"/>
        </w:rPr>
        <w:t>Le régime des S</w:t>
      </w:r>
      <w:r w:rsidR="0081025E">
        <w:rPr>
          <w:lang w:eastAsia="fr-FR"/>
        </w:rPr>
        <w:t>BEP</w:t>
      </w:r>
      <w:r>
        <w:rPr>
          <w:lang w:eastAsia="fr-FR"/>
        </w:rPr>
        <w:t xml:space="preserve"> porte-t-il atteinte à la liberté d’association</w:t>
      </w:r>
      <w:r w:rsidR="00DB30D7">
        <w:rPr>
          <w:lang w:eastAsia="fr-FR"/>
        </w:rPr>
        <w:t>,</w:t>
      </w:r>
      <w:r>
        <w:rPr>
          <w:lang w:eastAsia="fr-FR"/>
        </w:rPr>
        <w:t xml:space="preserve"> protégée par l</w:t>
      </w:r>
      <w:r w:rsidR="004A0437">
        <w:rPr>
          <w:lang w:eastAsia="fr-FR"/>
        </w:rPr>
        <w:t>a</w:t>
      </w:r>
      <w:r>
        <w:rPr>
          <w:lang w:eastAsia="fr-FR"/>
        </w:rPr>
        <w:t xml:space="preserve"> </w:t>
      </w:r>
      <w:r w:rsidR="004A0437">
        <w:rPr>
          <w:lang w:eastAsia="fr-FR"/>
        </w:rPr>
        <w:t xml:space="preserve">Charte canadienne et la Charte </w:t>
      </w:r>
      <w:r>
        <w:rPr>
          <w:lang w:eastAsia="fr-FR"/>
        </w:rPr>
        <w:t>québécoise</w:t>
      </w:r>
      <w:r w:rsidR="000449A1">
        <w:rPr>
          <w:lang w:eastAsia="fr-FR"/>
        </w:rPr>
        <w:t>,</w:t>
      </w:r>
      <w:r>
        <w:rPr>
          <w:lang w:eastAsia="fr-FR"/>
        </w:rPr>
        <w:t xml:space="preserve"> des salarié</w:t>
      </w:r>
      <w:r w:rsidR="00A8236A">
        <w:rPr>
          <w:lang w:eastAsia="fr-FR"/>
        </w:rPr>
        <w:t>e</w:t>
      </w:r>
      <w:r>
        <w:rPr>
          <w:lang w:eastAsia="fr-FR"/>
        </w:rPr>
        <w:t>s représent</w:t>
      </w:r>
      <w:r w:rsidR="00A8236A">
        <w:rPr>
          <w:lang w:eastAsia="fr-FR"/>
        </w:rPr>
        <w:t>ées par</w:t>
      </w:r>
      <w:r>
        <w:rPr>
          <w:lang w:eastAsia="fr-FR"/>
        </w:rPr>
        <w:t xml:space="preserve"> le syndicat?</w:t>
      </w:r>
    </w:p>
    <w:p w14:paraId="7BAD5ED5" w14:textId="2FBF4AE1" w:rsidR="002E6312" w:rsidRPr="002E6312" w:rsidRDefault="007B04AE" w:rsidP="00C16821">
      <w:pPr>
        <w:pStyle w:val="corpsdedcision"/>
        <w:numPr>
          <w:ilvl w:val="0"/>
          <w:numId w:val="7"/>
        </w:numPr>
        <w:tabs>
          <w:tab w:val="clear" w:pos="720"/>
          <w:tab w:val="left" w:pos="1134"/>
        </w:tabs>
        <w:ind w:left="1134" w:hanging="425"/>
        <w:rPr>
          <w:lang w:eastAsia="fr-FR"/>
        </w:rPr>
      </w:pPr>
      <w:r>
        <w:rPr>
          <w:lang w:eastAsia="fr-FR"/>
        </w:rPr>
        <w:t xml:space="preserve">Le cas échéant, cette atteinte est-elle justifiée par l’article </w:t>
      </w:r>
      <w:r w:rsidRPr="00E94360">
        <w:rPr>
          <w:lang w:eastAsia="fr-FR"/>
        </w:rPr>
        <w:t>1</w:t>
      </w:r>
      <w:r>
        <w:rPr>
          <w:lang w:eastAsia="fr-FR"/>
        </w:rPr>
        <w:t xml:space="preserve"> de la Charte canadienne et l’article 9.1 de la Charte québécoise?</w:t>
      </w:r>
    </w:p>
    <w:p w14:paraId="17C5ECDB" w14:textId="54C24502" w:rsidR="00496354" w:rsidRDefault="00496354" w:rsidP="00AF2CEF">
      <w:pPr>
        <w:pStyle w:val="corpsdedcision"/>
        <w:tabs>
          <w:tab w:val="clear" w:pos="360"/>
          <w:tab w:val="num" w:pos="720"/>
        </w:tabs>
        <w:spacing w:after="0"/>
        <w:rPr>
          <w:lang w:eastAsia="fr-FR"/>
        </w:rPr>
      </w:pPr>
      <w:r w:rsidRPr="00AE7F06">
        <w:t>Pour les motifs qui suivent, le Tribunal conclut que le régime des SBEP</w:t>
      </w:r>
      <w:r w:rsidR="00AA4721" w:rsidRPr="00AE7F06">
        <w:t xml:space="preserve"> </w:t>
      </w:r>
      <w:r w:rsidR="00725CCA" w:rsidRPr="00AE7F06">
        <w:t>interfère dans</w:t>
      </w:r>
      <w:r w:rsidR="005B4257" w:rsidRPr="00AE7F06">
        <w:t xml:space="preserve"> la négociation collective et </w:t>
      </w:r>
      <w:r w:rsidR="00AA4721" w:rsidRPr="00AE7F06">
        <w:t>limite le</w:t>
      </w:r>
      <w:r w:rsidR="00F50B6B" w:rsidRPr="00AE7F06">
        <w:t xml:space="preserve"> droit de grève </w:t>
      </w:r>
      <w:r w:rsidR="00AA4721" w:rsidRPr="00AE7F06">
        <w:t xml:space="preserve">d’une manière qui entrave substantiellement </w:t>
      </w:r>
      <w:r w:rsidR="0021334F" w:rsidRPr="00AE7F06">
        <w:t>un</w:t>
      </w:r>
      <w:r w:rsidR="00AA4721" w:rsidRPr="00AE7F06">
        <w:t xml:space="preserve"> </w:t>
      </w:r>
      <w:r w:rsidRPr="00AE7F06">
        <w:t xml:space="preserve">processus </w:t>
      </w:r>
      <w:r w:rsidR="004548D2" w:rsidRPr="00AE7F06">
        <w:t>véritable</w:t>
      </w:r>
      <w:r w:rsidR="004548D2" w:rsidRPr="00AE7F06" w:rsidDel="0021334F">
        <w:t xml:space="preserve"> </w:t>
      </w:r>
      <w:r w:rsidRPr="00AE7F06">
        <w:t>de négociation collective</w:t>
      </w:r>
      <w:r w:rsidR="00AC2AC7" w:rsidRPr="00AE7F06">
        <w:t>.</w:t>
      </w:r>
      <w:r w:rsidR="00AC2AC7">
        <w:t xml:space="preserve"> </w:t>
      </w:r>
      <w:r>
        <w:t xml:space="preserve">Cette </w:t>
      </w:r>
      <w:r w:rsidR="004A0437">
        <w:t>restriction</w:t>
      </w:r>
      <w:r>
        <w:t xml:space="preserve"> à la liberté d’association n’est pas justifiée </w:t>
      </w:r>
      <w:r w:rsidR="006F567D">
        <w:t>au</w:t>
      </w:r>
      <w:r>
        <w:t xml:space="preserve"> regard des article</w:t>
      </w:r>
      <w:r w:rsidR="003B4E9F">
        <w:t>s</w:t>
      </w:r>
      <w:r>
        <w:t xml:space="preserve"> 1 de la </w:t>
      </w:r>
      <w:r w:rsidR="00F05B38">
        <w:t>Ch</w:t>
      </w:r>
      <w:r>
        <w:t xml:space="preserve">arte canadienne </w:t>
      </w:r>
      <w:r w:rsidR="006F567D">
        <w:t>et</w:t>
      </w:r>
      <w:r>
        <w:t xml:space="preserve"> 9.1 de la Charte québécoise</w:t>
      </w:r>
      <w:r w:rsidR="004632FD">
        <w:rPr>
          <w:rStyle w:val="Appelnotedebasdep"/>
          <w:lang w:eastAsia="fr-FR"/>
        </w:rPr>
        <w:footnoteReference w:id="16"/>
      </w:r>
      <w:r>
        <w:t>. Par conséquent, il déclare le</w:t>
      </w:r>
      <w:r w:rsidR="007762EB">
        <w:t>s articles 111.22.3 à 111.22.16 du</w:t>
      </w:r>
      <w:r>
        <w:t xml:space="preserve"> chapitre V.1.1 du Code</w:t>
      </w:r>
      <w:r w:rsidR="000449A1">
        <w:t xml:space="preserve"> constitutionnellement</w:t>
      </w:r>
      <w:r>
        <w:t xml:space="preserve"> inopérant</w:t>
      </w:r>
      <w:r w:rsidR="0068327B">
        <w:t>s</w:t>
      </w:r>
      <w:r>
        <w:t xml:space="preserve"> </w:t>
      </w:r>
      <w:r w:rsidR="000449A1">
        <w:t>à l’égard des parties</w:t>
      </w:r>
      <w:r w:rsidR="00AA4721">
        <w:t xml:space="preserve">. </w:t>
      </w:r>
      <w:r w:rsidR="00AA4721" w:rsidRPr="00AE7F06">
        <w:t>Les deux décisions qu’il a rendues de façon interlocutoire en appliquant le régime des SBEP sont donc révoquées</w:t>
      </w:r>
      <w:r w:rsidR="00AA4721">
        <w:t>.</w:t>
      </w:r>
    </w:p>
    <w:bookmarkEnd w:id="8"/>
    <w:bookmarkEnd w:id="9"/>
    <w:p w14:paraId="43DEF158" w14:textId="44D8610C" w:rsidR="00B50F63" w:rsidRDefault="00FF4826" w:rsidP="00AF2CEF">
      <w:pPr>
        <w:pStyle w:val="Titre1"/>
        <w:spacing w:before="360"/>
      </w:pPr>
      <w:r>
        <w:lastRenderedPageBreak/>
        <w:t>le régime des services assurant le bien</w:t>
      </w:r>
      <w:r w:rsidR="007A3155">
        <w:t>-</w:t>
      </w:r>
      <w:r>
        <w:t>être de la population</w:t>
      </w:r>
    </w:p>
    <w:p w14:paraId="7AFF865F" w14:textId="255B75DB" w:rsidR="00B50F63" w:rsidRDefault="00B50F63" w:rsidP="00605A81">
      <w:pPr>
        <w:pStyle w:val="Titre2"/>
        <w:jc w:val="both"/>
      </w:pPr>
      <w:r>
        <w:t xml:space="preserve">l’encadrement du droit de grève </w:t>
      </w:r>
      <w:r w:rsidR="00831B5D">
        <w:t>dans le code</w:t>
      </w:r>
      <w:r w:rsidR="00AC2AC7">
        <w:t xml:space="preserve"> préalablement à l’instauration du régime des </w:t>
      </w:r>
      <w:r w:rsidR="006F567D">
        <w:t>services assurant le bien-être de la population</w:t>
      </w:r>
    </w:p>
    <w:p w14:paraId="01264136" w14:textId="0FEFE43E" w:rsidR="00FB76E7" w:rsidRPr="00B50F63" w:rsidRDefault="004A5593" w:rsidP="00AF2B92">
      <w:pPr>
        <w:pStyle w:val="corpsdedcision"/>
        <w:tabs>
          <w:tab w:val="clear" w:pos="360"/>
          <w:tab w:val="num" w:pos="720"/>
        </w:tabs>
        <w:rPr>
          <w:lang w:eastAsia="fr-FR"/>
        </w:rPr>
      </w:pPr>
      <w:r>
        <w:rPr>
          <w:lang w:eastAsia="fr-FR"/>
        </w:rPr>
        <w:t>L</w:t>
      </w:r>
      <w:r w:rsidR="00FB76E7">
        <w:rPr>
          <w:lang w:eastAsia="fr-FR"/>
        </w:rPr>
        <w:t>e</w:t>
      </w:r>
      <w:r w:rsidR="00B50F63">
        <w:rPr>
          <w:lang w:eastAsia="fr-FR"/>
        </w:rPr>
        <w:t xml:space="preserve"> </w:t>
      </w:r>
      <w:r w:rsidR="00AF2B92">
        <w:rPr>
          <w:lang w:eastAsia="fr-FR"/>
        </w:rPr>
        <w:t>C</w:t>
      </w:r>
      <w:r w:rsidR="00B50F63">
        <w:rPr>
          <w:lang w:eastAsia="fr-FR"/>
        </w:rPr>
        <w:t>ode</w:t>
      </w:r>
      <w:r w:rsidR="00D2132F">
        <w:rPr>
          <w:lang w:eastAsia="fr-FR"/>
        </w:rPr>
        <w:t>,</w:t>
      </w:r>
      <w:r w:rsidR="00B50F63">
        <w:rPr>
          <w:lang w:eastAsia="fr-FR"/>
        </w:rPr>
        <w:t xml:space="preserve"> </w:t>
      </w:r>
      <w:r w:rsidR="00571984">
        <w:rPr>
          <w:lang w:eastAsia="fr-FR"/>
        </w:rPr>
        <w:t xml:space="preserve">fondé sur le modèle de la </w:t>
      </w:r>
      <w:r w:rsidR="00571984" w:rsidRPr="00571984">
        <w:rPr>
          <w:i/>
          <w:iCs/>
          <w:lang w:eastAsia="fr-FR"/>
        </w:rPr>
        <w:t>Loi Wagner</w:t>
      </w:r>
      <w:r w:rsidR="00571984">
        <w:rPr>
          <w:lang w:eastAsia="fr-FR"/>
        </w:rPr>
        <w:t xml:space="preserve"> </w:t>
      </w:r>
      <w:r w:rsidR="007762EB" w:rsidRPr="00D2132F">
        <w:rPr>
          <w:rStyle w:val="cf01"/>
          <w:rFonts w:ascii="Arial" w:hAnsi="Arial" w:cs="Arial"/>
          <w:sz w:val="24"/>
          <w:szCs w:val="24"/>
        </w:rPr>
        <w:t xml:space="preserve">adoptée aux États-Unis en 1935 sous le nom de </w:t>
      </w:r>
      <w:r w:rsidR="007762EB" w:rsidRPr="00D2132F">
        <w:rPr>
          <w:rStyle w:val="cf11"/>
          <w:rFonts w:ascii="Arial" w:hAnsi="Arial" w:cs="Arial"/>
          <w:sz w:val="24"/>
          <w:szCs w:val="24"/>
        </w:rPr>
        <w:t>National Labor Relations Act</w:t>
      </w:r>
      <w:r w:rsidR="007762EB" w:rsidRPr="00D2132F">
        <w:rPr>
          <w:rStyle w:val="cf11"/>
          <w:i w:val="0"/>
          <w:iCs w:val="0"/>
          <w:sz w:val="24"/>
          <w:szCs w:val="24"/>
        </w:rPr>
        <w:t>,</w:t>
      </w:r>
      <w:r w:rsidR="007762EB">
        <w:rPr>
          <w:rStyle w:val="cf11"/>
          <w:sz w:val="24"/>
          <w:szCs w:val="24"/>
        </w:rPr>
        <w:t xml:space="preserve"> </w:t>
      </w:r>
      <w:r w:rsidR="00571984">
        <w:rPr>
          <w:lang w:eastAsia="fr-FR"/>
        </w:rPr>
        <w:t xml:space="preserve">garantit aux salariés le droit de négocier collectivement, mais </w:t>
      </w:r>
      <w:r w:rsidR="009F32B7">
        <w:rPr>
          <w:lang w:eastAsia="fr-FR"/>
        </w:rPr>
        <w:t xml:space="preserve">fixe </w:t>
      </w:r>
      <w:r w:rsidR="00571984">
        <w:rPr>
          <w:lang w:eastAsia="fr-FR"/>
        </w:rPr>
        <w:t xml:space="preserve">en échange </w:t>
      </w:r>
      <w:r w:rsidR="009F32B7">
        <w:rPr>
          <w:lang w:eastAsia="fr-FR"/>
        </w:rPr>
        <w:t xml:space="preserve">des </w:t>
      </w:r>
      <w:r w:rsidR="009F32B7" w:rsidRPr="004A0437">
        <w:rPr>
          <w:lang w:eastAsia="fr-FR"/>
        </w:rPr>
        <w:t xml:space="preserve">balises à </w:t>
      </w:r>
      <w:r w:rsidR="00607351" w:rsidRPr="004A0437">
        <w:rPr>
          <w:lang w:eastAsia="fr-FR"/>
        </w:rPr>
        <w:t>l’exercice</w:t>
      </w:r>
      <w:r w:rsidR="009F32B7">
        <w:rPr>
          <w:lang w:eastAsia="fr-FR"/>
        </w:rPr>
        <w:t xml:space="preserve"> du droit de grève</w:t>
      </w:r>
      <w:r w:rsidR="004C195E">
        <w:rPr>
          <w:lang w:eastAsia="fr-FR"/>
        </w:rPr>
        <w:t>. Il</w:t>
      </w:r>
      <w:r w:rsidR="00607351">
        <w:rPr>
          <w:lang w:eastAsia="fr-FR"/>
        </w:rPr>
        <w:t xml:space="preserve"> </w:t>
      </w:r>
      <w:r w:rsidR="00195AC5">
        <w:rPr>
          <w:lang w:eastAsia="fr-FR"/>
        </w:rPr>
        <w:t>l’</w:t>
      </w:r>
      <w:r w:rsidR="00FB76E7">
        <w:rPr>
          <w:lang w:eastAsia="fr-FR"/>
        </w:rPr>
        <w:t>interdit pendant la durée de la convention collective</w:t>
      </w:r>
      <w:r w:rsidR="00FB76E7">
        <w:rPr>
          <w:rStyle w:val="Appelnotedebasdep"/>
          <w:lang w:eastAsia="fr-FR"/>
        </w:rPr>
        <w:footnoteReference w:id="17"/>
      </w:r>
      <w:r w:rsidR="00A43C2B">
        <w:rPr>
          <w:lang w:eastAsia="fr-FR"/>
        </w:rPr>
        <w:t>;</w:t>
      </w:r>
      <w:r w:rsidR="00FB76E7">
        <w:rPr>
          <w:lang w:eastAsia="fr-FR"/>
        </w:rPr>
        <w:t xml:space="preserve"> </w:t>
      </w:r>
      <w:r w:rsidR="00A43C2B">
        <w:rPr>
          <w:lang w:eastAsia="fr-FR"/>
        </w:rPr>
        <w:t>i</w:t>
      </w:r>
      <w:r w:rsidR="003F596B">
        <w:rPr>
          <w:lang w:eastAsia="fr-FR"/>
        </w:rPr>
        <w:t xml:space="preserve">l </w:t>
      </w:r>
      <w:r w:rsidR="00195AC5">
        <w:rPr>
          <w:lang w:eastAsia="fr-FR"/>
        </w:rPr>
        <w:t>établit</w:t>
      </w:r>
      <w:r w:rsidR="003F596B">
        <w:rPr>
          <w:lang w:eastAsia="fr-FR"/>
        </w:rPr>
        <w:t xml:space="preserve"> des conditions </w:t>
      </w:r>
      <w:r w:rsidR="007525F4">
        <w:rPr>
          <w:lang w:eastAsia="fr-FR"/>
        </w:rPr>
        <w:t>préalables</w:t>
      </w:r>
      <w:r w:rsidR="00A43C2B">
        <w:rPr>
          <w:lang w:eastAsia="fr-FR"/>
        </w:rPr>
        <w:t>,</w:t>
      </w:r>
      <w:r w:rsidR="00827BF3">
        <w:rPr>
          <w:lang w:eastAsia="fr-FR"/>
        </w:rPr>
        <w:t xml:space="preserve"> </w:t>
      </w:r>
      <w:r w:rsidR="00AC74FB">
        <w:rPr>
          <w:lang w:eastAsia="fr-FR"/>
        </w:rPr>
        <w:t>comme la tenue d’un vote au scrutin secret</w:t>
      </w:r>
      <w:r w:rsidR="000449A1">
        <w:rPr>
          <w:rStyle w:val="Appelnotedebasdep"/>
          <w:lang w:eastAsia="fr-FR"/>
        </w:rPr>
        <w:footnoteReference w:id="18"/>
      </w:r>
      <w:r w:rsidR="004C195E">
        <w:rPr>
          <w:lang w:eastAsia="fr-FR"/>
        </w:rPr>
        <w:t xml:space="preserve"> et</w:t>
      </w:r>
      <w:r w:rsidR="00AC74FB">
        <w:rPr>
          <w:lang w:eastAsia="fr-FR"/>
        </w:rPr>
        <w:t xml:space="preserve"> </w:t>
      </w:r>
      <w:r w:rsidR="00A43C2B">
        <w:rPr>
          <w:lang w:eastAsia="fr-FR"/>
        </w:rPr>
        <w:t>i</w:t>
      </w:r>
      <w:r w:rsidR="0015611C">
        <w:rPr>
          <w:lang w:eastAsia="fr-FR"/>
        </w:rPr>
        <w:t xml:space="preserve">l </w:t>
      </w:r>
      <w:r w:rsidR="004A5894">
        <w:rPr>
          <w:lang w:eastAsia="fr-FR"/>
        </w:rPr>
        <w:t>prohibe</w:t>
      </w:r>
      <w:r w:rsidR="0015611C">
        <w:rPr>
          <w:lang w:eastAsia="fr-FR"/>
        </w:rPr>
        <w:t xml:space="preserve"> certaines formes de grèves (grève</w:t>
      </w:r>
      <w:r w:rsidR="007A3155">
        <w:rPr>
          <w:lang w:eastAsia="fr-FR"/>
        </w:rPr>
        <w:t>s</w:t>
      </w:r>
      <w:r w:rsidR="005E0680">
        <w:rPr>
          <w:lang w:eastAsia="fr-FR"/>
        </w:rPr>
        <w:t> </w:t>
      </w:r>
      <w:r w:rsidR="00607351">
        <w:rPr>
          <w:lang w:eastAsia="fr-FR"/>
        </w:rPr>
        <w:t>partielles</w:t>
      </w:r>
      <w:r w:rsidR="007720C6">
        <w:rPr>
          <w:lang w:eastAsia="fr-FR"/>
        </w:rPr>
        <w:t xml:space="preserve"> ou</w:t>
      </w:r>
      <w:r w:rsidR="0015611C">
        <w:rPr>
          <w:lang w:eastAsia="fr-FR"/>
        </w:rPr>
        <w:t xml:space="preserve"> </w:t>
      </w:r>
      <w:r w:rsidR="009F32B7">
        <w:rPr>
          <w:lang w:eastAsia="fr-FR"/>
        </w:rPr>
        <w:t>ralentissement d’</w:t>
      </w:r>
      <w:r w:rsidR="00607351">
        <w:rPr>
          <w:lang w:eastAsia="fr-FR"/>
        </w:rPr>
        <w:t>activités</w:t>
      </w:r>
      <w:r w:rsidR="000449A1">
        <w:rPr>
          <w:rStyle w:val="Appelnotedebasdep"/>
          <w:lang w:eastAsia="fr-FR"/>
        </w:rPr>
        <w:footnoteReference w:id="19"/>
      </w:r>
      <w:r w:rsidR="009F32B7">
        <w:rPr>
          <w:lang w:eastAsia="fr-FR"/>
        </w:rPr>
        <w:t>)</w:t>
      </w:r>
      <w:r w:rsidR="00607351">
        <w:rPr>
          <w:lang w:eastAsia="fr-FR"/>
        </w:rPr>
        <w:t>.</w:t>
      </w:r>
    </w:p>
    <w:p w14:paraId="1C1FCD11" w14:textId="036D6E5F" w:rsidR="00B50F63" w:rsidRDefault="00411431" w:rsidP="00B50F63">
      <w:pPr>
        <w:pStyle w:val="corpsdedcision"/>
        <w:rPr>
          <w:lang w:eastAsia="fr-FR"/>
        </w:rPr>
      </w:pPr>
      <w:r>
        <w:rPr>
          <w:lang w:eastAsia="fr-FR"/>
        </w:rPr>
        <w:t xml:space="preserve">La grève est </w:t>
      </w:r>
      <w:r w:rsidR="00BD3684">
        <w:rPr>
          <w:lang w:eastAsia="fr-FR"/>
        </w:rPr>
        <w:t>interdite en</w:t>
      </w:r>
      <w:r>
        <w:rPr>
          <w:lang w:eastAsia="fr-FR"/>
        </w:rPr>
        <w:t xml:space="preserve"> tout temps </w:t>
      </w:r>
      <w:r w:rsidR="00CD58CF">
        <w:rPr>
          <w:lang w:eastAsia="fr-FR"/>
        </w:rPr>
        <w:t xml:space="preserve">à certaines catégories de </w:t>
      </w:r>
      <w:r w:rsidR="00E31496">
        <w:rPr>
          <w:lang w:eastAsia="fr-FR"/>
        </w:rPr>
        <w:t>salariés,</w:t>
      </w:r>
      <w:r w:rsidR="00FB76E7">
        <w:rPr>
          <w:lang w:eastAsia="fr-FR"/>
        </w:rPr>
        <w:t xml:space="preserve"> comme les policiers et </w:t>
      </w:r>
      <w:r w:rsidR="000449A1">
        <w:rPr>
          <w:lang w:eastAsia="fr-FR"/>
        </w:rPr>
        <w:t xml:space="preserve">les </w:t>
      </w:r>
      <w:r w:rsidR="00FB76E7">
        <w:rPr>
          <w:lang w:eastAsia="fr-FR"/>
        </w:rPr>
        <w:t>pompiers municipaux</w:t>
      </w:r>
      <w:r w:rsidR="00FB76E7">
        <w:rPr>
          <w:rStyle w:val="Appelnotedebasdep"/>
          <w:lang w:eastAsia="fr-FR"/>
        </w:rPr>
        <w:footnoteReference w:id="20"/>
      </w:r>
      <w:r w:rsidR="00FB76E7">
        <w:rPr>
          <w:lang w:eastAsia="fr-FR"/>
        </w:rPr>
        <w:t>.</w:t>
      </w:r>
    </w:p>
    <w:p w14:paraId="65955601" w14:textId="54E5CD9C" w:rsidR="0045084A" w:rsidRPr="0045084A" w:rsidRDefault="00FB76E7" w:rsidP="00FA59FA">
      <w:pPr>
        <w:pStyle w:val="corpsdedcision"/>
        <w:rPr>
          <w:szCs w:val="24"/>
          <w:lang w:eastAsia="fr-FR"/>
        </w:rPr>
      </w:pPr>
      <w:r w:rsidRPr="00993BE4">
        <w:rPr>
          <w:lang w:eastAsia="fr-FR"/>
        </w:rPr>
        <w:t>D’autres</w:t>
      </w:r>
      <w:r w:rsidR="00CD58CF">
        <w:rPr>
          <w:lang w:eastAsia="fr-FR"/>
        </w:rPr>
        <w:t xml:space="preserve"> salariés</w:t>
      </w:r>
      <w:r w:rsidR="009F0BBA">
        <w:rPr>
          <w:lang w:eastAsia="fr-FR"/>
        </w:rPr>
        <w:t>,</w:t>
      </w:r>
      <w:r w:rsidRPr="00993BE4">
        <w:rPr>
          <w:lang w:eastAsia="fr-FR"/>
        </w:rPr>
        <w:t xml:space="preserve"> </w:t>
      </w:r>
      <w:r w:rsidR="00391324" w:rsidRPr="00993BE4">
        <w:rPr>
          <w:lang w:eastAsia="fr-FR"/>
        </w:rPr>
        <w:t xml:space="preserve">faisant partie des services </w:t>
      </w:r>
      <w:r w:rsidR="00A049AA" w:rsidRPr="00993BE4">
        <w:rPr>
          <w:lang w:eastAsia="fr-FR"/>
        </w:rPr>
        <w:t>p</w:t>
      </w:r>
      <w:r w:rsidR="00391324" w:rsidRPr="00993BE4">
        <w:rPr>
          <w:lang w:eastAsia="fr-FR"/>
        </w:rPr>
        <w:t>ubli</w:t>
      </w:r>
      <w:r w:rsidR="00A049AA" w:rsidRPr="00993BE4">
        <w:rPr>
          <w:lang w:eastAsia="fr-FR"/>
        </w:rPr>
        <w:t>c</w:t>
      </w:r>
      <w:r w:rsidR="00391324" w:rsidRPr="00993BE4">
        <w:rPr>
          <w:lang w:eastAsia="fr-FR"/>
        </w:rPr>
        <w:t>s</w:t>
      </w:r>
      <w:r w:rsidR="009F0BBA">
        <w:rPr>
          <w:lang w:eastAsia="fr-FR"/>
        </w:rPr>
        <w:t>,</w:t>
      </w:r>
      <w:r w:rsidR="00391324" w:rsidRPr="00993BE4">
        <w:rPr>
          <w:lang w:eastAsia="fr-FR"/>
        </w:rPr>
        <w:t xml:space="preserve"> </w:t>
      </w:r>
      <w:r w:rsidR="00CD58CF">
        <w:rPr>
          <w:lang w:eastAsia="fr-FR"/>
        </w:rPr>
        <w:t>du réseau de la santé et des services sociaux et de la fonction publique</w:t>
      </w:r>
      <w:r w:rsidR="00CD58CF" w:rsidRPr="00993BE4">
        <w:rPr>
          <w:lang w:eastAsia="fr-FR"/>
        </w:rPr>
        <w:t xml:space="preserve"> </w:t>
      </w:r>
      <w:r w:rsidRPr="00993BE4">
        <w:rPr>
          <w:lang w:eastAsia="fr-FR"/>
        </w:rPr>
        <w:t xml:space="preserve">sont soumis </w:t>
      </w:r>
      <w:r w:rsidR="00A17C0F" w:rsidRPr="00993BE4">
        <w:rPr>
          <w:lang w:eastAsia="fr-FR"/>
        </w:rPr>
        <w:t>à des dispositions particulières</w:t>
      </w:r>
      <w:r w:rsidR="00391324" w:rsidRPr="00993BE4">
        <w:rPr>
          <w:lang w:eastAsia="fr-FR"/>
        </w:rPr>
        <w:t xml:space="preserve"> </w:t>
      </w:r>
      <w:r w:rsidR="00AF2B92">
        <w:rPr>
          <w:lang w:eastAsia="fr-FR"/>
        </w:rPr>
        <w:t>prévues au chapitre V.1 du Code</w:t>
      </w:r>
      <w:r w:rsidR="00F472D0">
        <w:rPr>
          <w:lang w:eastAsia="fr-FR"/>
        </w:rPr>
        <w:t>,</w:t>
      </w:r>
      <w:r w:rsidR="00AF2B92">
        <w:rPr>
          <w:lang w:eastAsia="fr-FR"/>
        </w:rPr>
        <w:t xml:space="preserve"> </w:t>
      </w:r>
      <w:r w:rsidR="00391324" w:rsidRPr="00993BE4">
        <w:rPr>
          <w:lang w:eastAsia="fr-FR"/>
        </w:rPr>
        <w:t xml:space="preserve">qui </w:t>
      </w:r>
      <w:r w:rsidR="00CB4B62" w:rsidRPr="00993BE4">
        <w:rPr>
          <w:lang w:eastAsia="fr-FR"/>
        </w:rPr>
        <w:t>viennent</w:t>
      </w:r>
      <w:r w:rsidR="00A049AA" w:rsidRPr="00993BE4">
        <w:rPr>
          <w:lang w:eastAsia="fr-FR"/>
        </w:rPr>
        <w:t xml:space="preserve"> </w:t>
      </w:r>
      <w:r w:rsidR="003901D5">
        <w:rPr>
          <w:lang w:eastAsia="fr-FR"/>
        </w:rPr>
        <w:t>restreindre</w:t>
      </w:r>
      <w:r w:rsidR="00A049AA" w:rsidRPr="00993BE4">
        <w:rPr>
          <w:lang w:eastAsia="fr-FR"/>
        </w:rPr>
        <w:t xml:space="preserve"> davantage l’exercice du droit de </w:t>
      </w:r>
      <w:r w:rsidR="0045084A" w:rsidRPr="00CD58CF">
        <w:rPr>
          <w:lang w:eastAsia="fr-FR"/>
        </w:rPr>
        <w:t>grève,</w:t>
      </w:r>
      <w:r w:rsidR="0045084A">
        <w:rPr>
          <w:lang w:eastAsia="fr-FR"/>
        </w:rPr>
        <w:t xml:space="preserve"> notamment par l’obligation de maintenir</w:t>
      </w:r>
      <w:r w:rsidR="003F264E">
        <w:rPr>
          <w:lang w:eastAsia="fr-FR"/>
        </w:rPr>
        <w:t xml:space="preserve"> </w:t>
      </w:r>
      <w:r w:rsidR="0045084A">
        <w:rPr>
          <w:lang w:eastAsia="fr-FR"/>
        </w:rPr>
        <w:t>des services essentiels.</w:t>
      </w:r>
    </w:p>
    <w:p w14:paraId="55FAB989" w14:textId="1CE5B460" w:rsidR="0045084A" w:rsidRPr="00C84AFF" w:rsidRDefault="0045084A" w:rsidP="00C84AFF">
      <w:pPr>
        <w:pStyle w:val="corpsdedcision"/>
        <w:rPr>
          <w:szCs w:val="24"/>
          <w:lang w:eastAsia="fr-FR"/>
        </w:rPr>
      </w:pPr>
      <w:r>
        <w:rPr>
          <w:lang w:eastAsia="fr-FR"/>
        </w:rPr>
        <w:t>Dans les services publics</w:t>
      </w:r>
      <w:r w:rsidR="006D54B6">
        <w:rPr>
          <w:rStyle w:val="Appelnotedebasdep"/>
          <w:lang w:eastAsia="fr-FR"/>
        </w:rPr>
        <w:footnoteReference w:id="21"/>
      </w:r>
      <w:r>
        <w:rPr>
          <w:lang w:eastAsia="fr-FR"/>
        </w:rPr>
        <w:t xml:space="preserve"> et dans le réseau de la santé et des services sociaux</w:t>
      </w:r>
      <w:r w:rsidR="006D54B6">
        <w:rPr>
          <w:lang w:eastAsia="fr-FR"/>
        </w:rPr>
        <w:t xml:space="preserve">, ces services sont ceux dont l’interruption peut avoir pour effet de </w:t>
      </w:r>
      <w:r w:rsidR="006D54B6" w:rsidRPr="00E66F21">
        <w:rPr>
          <w:lang w:eastAsia="fr-FR"/>
        </w:rPr>
        <w:t xml:space="preserve">mettre en </w:t>
      </w:r>
      <w:r w:rsidR="006D54B6" w:rsidRPr="00CD58CF">
        <w:rPr>
          <w:b/>
          <w:bCs/>
          <w:lang w:eastAsia="fr-FR"/>
        </w:rPr>
        <w:t>danger la santé ou la sécurité publique</w:t>
      </w:r>
      <w:r w:rsidR="006D54B6">
        <w:rPr>
          <w:rStyle w:val="Appelnotedebasdep"/>
          <w:lang w:eastAsia="fr-FR"/>
        </w:rPr>
        <w:footnoteReference w:id="22"/>
      </w:r>
      <w:r w:rsidR="006D54B6">
        <w:rPr>
          <w:lang w:eastAsia="fr-FR"/>
        </w:rPr>
        <w:t xml:space="preserve">. </w:t>
      </w:r>
      <w:r w:rsidR="00F15F3F">
        <w:rPr>
          <w:lang w:eastAsia="fr-FR"/>
        </w:rPr>
        <w:t xml:space="preserve">Sans entrer dans les détails, il suffit, </w:t>
      </w:r>
      <w:r w:rsidR="00234C50">
        <w:rPr>
          <w:lang w:eastAsia="fr-FR"/>
        </w:rPr>
        <w:t>à ce stade-ci</w:t>
      </w:r>
      <w:r w:rsidR="00F15F3F">
        <w:rPr>
          <w:lang w:eastAsia="fr-FR"/>
        </w:rPr>
        <w:t>,</w:t>
      </w:r>
      <w:r w:rsidR="00234C50">
        <w:rPr>
          <w:lang w:eastAsia="fr-FR"/>
        </w:rPr>
        <w:t xml:space="preserve"> de préciser que le Code prévoit</w:t>
      </w:r>
      <w:r w:rsidR="00171316">
        <w:rPr>
          <w:lang w:eastAsia="fr-FR"/>
        </w:rPr>
        <w:t>,</w:t>
      </w:r>
      <w:r w:rsidR="00234C50">
        <w:rPr>
          <w:lang w:eastAsia="fr-FR"/>
        </w:rPr>
        <w:t xml:space="preserve"> comme condition préalable à l’</w:t>
      </w:r>
      <w:r w:rsidR="00234C50" w:rsidRPr="0068327B">
        <w:rPr>
          <w:lang w:eastAsia="fr-FR"/>
        </w:rPr>
        <w:t>exercice</w:t>
      </w:r>
      <w:r w:rsidR="00234C50">
        <w:rPr>
          <w:lang w:eastAsia="fr-FR"/>
        </w:rPr>
        <w:t xml:space="preserve"> de la grève</w:t>
      </w:r>
      <w:r w:rsidR="00171316">
        <w:rPr>
          <w:lang w:eastAsia="fr-FR"/>
        </w:rPr>
        <w:t>,</w:t>
      </w:r>
      <w:r w:rsidR="00234C50">
        <w:rPr>
          <w:lang w:eastAsia="fr-FR"/>
        </w:rPr>
        <w:t xml:space="preserve"> que les parties transmettent leur entente </w:t>
      </w:r>
      <w:r w:rsidR="00C84AFF">
        <w:rPr>
          <w:lang w:eastAsia="fr-FR"/>
        </w:rPr>
        <w:t xml:space="preserve">au Tribunal </w:t>
      </w:r>
      <w:r w:rsidR="00234C50">
        <w:rPr>
          <w:lang w:eastAsia="fr-FR"/>
        </w:rPr>
        <w:t xml:space="preserve">ou, </w:t>
      </w:r>
      <w:r w:rsidR="00C84AFF">
        <w:rPr>
          <w:lang w:eastAsia="fr-FR"/>
        </w:rPr>
        <w:t>à défaut</w:t>
      </w:r>
      <w:r w:rsidR="00234C50">
        <w:rPr>
          <w:lang w:eastAsia="fr-FR"/>
        </w:rPr>
        <w:t xml:space="preserve">, </w:t>
      </w:r>
      <w:r w:rsidR="00C84AFF">
        <w:rPr>
          <w:lang w:eastAsia="fr-FR"/>
        </w:rPr>
        <w:t xml:space="preserve">que </w:t>
      </w:r>
      <w:r w:rsidR="00234C50">
        <w:rPr>
          <w:lang w:eastAsia="fr-FR"/>
        </w:rPr>
        <w:t xml:space="preserve">l’association accréditée </w:t>
      </w:r>
      <w:r w:rsidR="00C84AFF">
        <w:rPr>
          <w:lang w:eastAsia="fr-FR"/>
        </w:rPr>
        <w:t xml:space="preserve">lui envoie </w:t>
      </w:r>
      <w:r w:rsidR="00234C50">
        <w:rPr>
          <w:lang w:eastAsia="fr-FR"/>
        </w:rPr>
        <w:t>sa liste</w:t>
      </w:r>
      <w:r w:rsidR="00171316">
        <w:rPr>
          <w:lang w:eastAsia="fr-FR"/>
        </w:rPr>
        <w:t>,</w:t>
      </w:r>
      <w:r w:rsidR="00234C50">
        <w:rPr>
          <w:lang w:eastAsia="fr-FR"/>
        </w:rPr>
        <w:t xml:space="preserve"> afin qu’il évalue la suffisance</w:t>
      </w:r>
      <w:r w:rsidR="00C84AFF">
        <w:rPr>
          <w:lang w:eastAsia="fr-FR"/>
        </w:rPr>
        <w:t xml:space="preserve"> des services essentiels à maintenir pendant la grève. De plus, </w:t>
      </w:r>
      <w:r w:rsidR="0063671A">
        <w:rPr>
          <w:lang w:eastAsia="fr-FR"/>
        </w:rPr>
        <w:t>elle</w:t>
      </w:r>
      <w:r w:rsidR="006D54B6">
        <w:rPr>
          <w:lang w:eastAsia="fr-FR"/>
        </w:rPr>
        <w:t xml:space="preserve"> ne peut </w:t>
      </w:r>
      <w:r w:rsidR="00411431">
        <w:rPr>
          <w:lang w:eastAsia="fr-FR"/>
        </w:rPr>
        <w:t xml:space="preserve">avoir lieu </w:t>
      </w:r>
      <w:r w:rsidR="006D54B6">
        <w:rPr>
          <w:lang w:eastAsia="fr-FR"/>
        </w:rPr>
        <w:t xml:space="preserve">avant </w:t>
      </w:r>
      <w:r w:rsidR="005D7E83">
        <w:rPr>
          <w:lang w:eastAsia="fr-FR"/>
        </w:rPr>
        <w:t>que l’association accrédité</w:t>
      </w:r>
      <w:r w:rsidR="00AF0EC1">
        <w:rPr>
          <w:lang w:eastAsia="fr-FR"/>
        </w:rPr>
        <w:t>e</w:t>
      </w:r>
      <w:r w:rsidR="005D7E83">
        <w:rPr>
          <w:lang w:eastAsia="fr-FR"/>
        </w:rPr>
        <w:t xml:space="preserve"> </w:t>
      </w:r>
      <w:r w:rsidR="009937A5">
        <w:rPr>
          <w:lang w:eastAsia="fr-FR"/>
        </w:rPr>
        <w:t>n’ait transmis</w:t>
      </w:r>
      <w:r w:rsidR="00885194">
        <w:rPr>
          <w:lang w:eastAsia="fr-FR"/>
        </w:rPr>
        <w:t>,</w:t>
      </w:r>
      <w:r w:rsidR="009937A5">
        <w:rPr>
          <w:lang w:eastAsia="fr-FR"/>
        </w:rPr>
        <w:t xml:space="preserve"> </w:t>
      </w:r>
      <w:r w:rsidR="00AF0EC1">
        <w:rPr>
          <w:lang w:eastAsia="fr-FR"/>
        </w:rPr>
        <w:t>à l’intérieur</w:t>
      </w:r>
      <w:r w:rsidR="009937A5">
        <w:rPr>
          <w:lang w:eastAsia="fr-FR"/>
        </w:rPr>
        <w:t xml:space="preserve"> </w:t>
      </w:r>
      <w:r w:rsidR="00AF0EC1">
        <w:rPr>
          <w:lang w:eastAsia="fr-FR"/>
        </w:rPr>
        <w:t xml:space="preserve">de </w:t>
      </w:r>
      <w:r w:rsidR="009937A5">
        <w:rPr>
          <w:lang w:eastAsia="fr-FR"/>
        </w:rPr>
        <w:t>certain</w:t>
      </w:r>
      <w:r w:rsidR="00AF0EC1">
        <w:rPr>
          <w:lang w:eastAsia="fr-FR"/>
        </w:rPr>
        <w:t>s</w:t>
      </w:r>
      <w:r w:rsidR="009937A5">
        <w:rPr>
          <w:lang w:eastAsia="fr-FR"/>
        </w:rPr>
        <w:t xml:space="preserve"> délai</w:t>
      </w:r>
      <w:r w:rsidR="00AF0EC1">
        <w:rPr>
          <w:lang w:eastAsia="fr-FR"/>
        </w:rPr>
        <w:t>s</w:t>
      </w:r>
      <w:r w:rsidR="00885194">
        <w:rPr>
          <w:lang w:eastAsia="fr-FR"/>
        </w:rPr>
        <w:t>,</w:t>
      </w:r>
      <w:r w:rsidR="005D7E83">
        <w:rPr>
          <w:lang w:eastAsia="fr-FR"/>
        </w:rPr>
        <w:t xml:space="preserve"> </w:t>
      </w:r>
      <w:r w:rsidR="006D54B6">
        <w:rPr>
          <w:lang w:eastAsia="fr-FR"/>
        </w:rPr>
        <w:t>un avis préalable</w:t>
      </w:r>
      <w:r w:rsidR="00171316">
        <w:rPr>
          <w:lang w:eastAsia="fr-FR"/>
        </w:rPr>
        <w:t xml:space="preserve"> précisant le moment où elle </w:t>
      </w:r>
      <w:r w:rsidR="005D7E83">
        <w:rPr>
          <w:lang w:eastAsia="fr-FR"/>
        </w:rPr>
        <w:t>aura lieu</w:t>
      </w:r>
      <w:r w:rsidR="00171316">
        <w:rPr>
          <w:lang w:eastAsia="fr-FR"/>
        </w:rPr>
        <w:t xml:space="preserve"> et sa durée</w:t>
      </w:r>
      <w:r w:rsidR="00C84AFF" w:rsidRPr="00F417EE">
        <w:rPr>
          <w:rStyle w:val="Appelnotedebasdep"/>
          <w:lang w:eastAsia="fr-FR"/>
        </w:rPr>
        <w:footnoteReference w:id="23"/>
      </w:r>
      <w:r w:rsidR="00C84AFF">
        <w:rPr>
          <w:lang w:eastAsia="fr-FR"/>
        </w:rPr>
        <w:t>.</w:t>
      </w:r>
    </w:p>
    <w:p w14:paraId="1B9B903E" w14:textId="66A6CB44" w:rsidR="00FB76E7" w:rsidRPr="0098192C" w:rsidRDefault="00FA59FA" w:rsidP="00DB7B0D">
      <w:pPr>
        <w:pStyle w:val="corpsdedcision"/>
        <w:tabs>
          <w:tab w:val="clear" w:pos="360"/>
          <w:tab w:val="num" w:pos="720"/>
        </w:tabs>
        <w:rPr>
          <w:szCs w:val="24"/>
        </w:rPr>
      </w:pPr>
      <w:r w:rsidRPr="0098192C">
        <w:rPr>
          <w:lang w:eastAsia="fr-FR"/>
        </w:rPr>
        <w:lastRenderedPageBreak/>
        <w:t xml:space="preserve">Dans </w:t>
      </w:r>
      <w:r w:rsidR="00CA7717" w:rsidRPr="0098192C">
        <w:rPr>
          <w:lang w:eastAsia="fr-FR"/>
        </w:rPr>
        <w:t>le cas de la fonction publique</w:t>
      </w:r>
      <w:r w:rsidR="00C84AFF" w:rsidRPr="0098192C">
        <w:rPr>
          <w:lang w:eastAsia="fr-FR"/>
        </w:rPr>
        <w:t xml:space="preserve">, </w:t>
      </w:r>
      <w:r w:rsidR="006D54B6" w:rsidRPr="0098192C">
        <w:rPr>
          <w:lang w:eastAsia="fr-FR"/>
        </w:rPr>
        <w:t>a</w:t>
      </w:r>
      <w:r w:rsidR="00CA7717" w:rsidRPr="0098192C">
        <w:rPr>
          <w:lang w:eastAsia="fr-FR"/>
        </w:rPr>
        <w:t xml:space="preserve">ucun critère </w:t>
      </w:r>
      <w:r w:rsidR="00153A68" w:rsidRPr="0098192C">
        <w:rPr>
          <w:lang w:eastAsia="fr-FR"/>
        </w:rPr>
        <w:t>n’est</w:t>
      </w:r>
      <w:r w:rsidR="00CA7717" w:rsidRPr="0098192C">
        <w:rPr>
          <w:lang w:eastAsia="fr-FR"/>
        </w:rPr>
        <w:t xml:space="preserve"> </w:t>
      </w:r>
      <w:r w:rsidR="00153A68" w:rsidRPr="0098192C">
        <w:rPr>
          <w:lang w:eastAsia="fr-FR"/>
        </w:rPr>
        <w:t xml:space="preserve">prévu au Code. </w:t>
      </w:r>
      <w:r w:rsidR="00B94C76" w:rsidRPr="0098192C">
        <w:rPr>
          <w:lang w:eastAsia="fr-FR"/>
        </w:rPr>
        <w:t>L</w:t>
      </w:r>
      <w:r w:rsidR="009147FC" w:rsidRPr="0098192C">
        <w:rPr>
          <w:lang w:eastAsia="fr-FR"/>
        </w:rPr>
        <w:t xml:space="preserve">es parties </w:t>
      </w:r>
      <w:r w:rsidR="00B94C76" w:rsidRPr="0098192C">
        <w:rPr>
          <w:lang w:eastAsia="fr-FR"/>
        </w:rPr>
        <w:t xml:space="preserve">sont </w:t>
      </w:r>
      <w:r w:rsidR="0097077B" w:rsidRPr="0098192C">
        <w:rPr>
          <w:lang w:eastAsia="fr-FR"/>
        </w:rPr>
        <w:t>parvenues</w:t>
      </w:r>
      <w:r w:rsidR="00F23069" w:rsidRPr="0098192C">
        <w:rPr>
          <w:lang w:eastAsia="fr-FR"/>
        </w:rPr>
        <w:t>,</w:t>
      </w:r>
      <w:r w:rsidR="00B94C76" w:rsidRPr="0098192C">
        <w:rPr>
          <w:lang w:eastAsia="fr-FR"/>
        </w:rPr>
        <w:t xml:space="preserve"> dans la large majorité</w:t>
      </w:r>
      <w:r w:rsidR="0097077B" w:rsidRPr="0098192C">
        <w:rPr>
          <w:lang w:eastAsia="fr-FR"/>
        </w:rPr>
        <w:t xml:space="preserve"> </w:t>
      </w:r>
      <w:r w:rsidR="00B94C76" w:rsidRPr="0098192C">
        <w:rPr>
          <w:lang w:eastAsia="fr-FR"/>
        </w:rPr>
        <w:t>des cas</w:t>
      </w:r>
      <w:r w:rsidR="00F23069" w:rsidRPr="0098192C">
        <w:rPr>
          <w:lang w:eastAsia="fr-FR"/>
        </w:rPr>
        <w:t>,</w:t>
      </w:r>
      <w:r w:rsidR="00B94C76" w:rsidRPr="0098192C">
        <w:rPr>
          <w:lang w:eastAsia="fr-FR"/>
        </w:rPr>
        <w:t xml:space="preserve"> à une ent</w:t>
      </w:r>
      <w:r w:rsidR="0097077B" w:rsidRPr="0098192C">
        <w:rPr>
          <w:lang w:eastAsia="fr-FR"/>
        </w:rPr>
        <w:t>e</w:t>
      </w:r>
      <w:r w:rsidR="00B94C76" w:rsidRPr="0098192C">
        <w:rPr>
          <w:lang w:eastAsia="fr-FR"/>
        </w:rPr>
        <w:t>nte</w:t>
      </w:r>
      <w:r w:rsidR="0097077B" w:rsidRPr="0098192C">
        <w:rPr>
          <w:lang w:eastAsia="fr-FR"/>
        </w:rPr>
        <w:t xml:space="preserve"> et </w:t>
      </w:r>
      <w:r w:rsidR="009147FC" w:rsidRPr="0098192C">
        <w:rPr>
          <w:lang w:eastAsia="fr-FR"/>
        </w:rPr>
        <w:t xml:space="preserve">ont </w:t>
      </w:r>
      <w:r w:rsidR="00CF1577" w:rsidRPr="0098192C">
        <w:rPr>
          <w:lang w:eastAsia="fr-FR"/>
        </w:rPr>
        <w:t>élaboré</w:t>
      </w:r>
      <w:r w:rsidR="00F23069" w:rsidRPr="0098192C">
        <w:rPr>
          <w:lang w:eastAsia="fr-FR"/>
        </w:rPr>
        <w:t>,</w:t>
      </w:r>
      <w:r w:rsidR="009147FC" w:rsidRPr="0098192C">
        <w:rPr>
          <w:lang w:eastAsia="fr-FR"/>
        </w:rPr>
        <w:t xml:space="preserve"> </w:t>
      </w:r>
      <w:r w:rsidR="00153A68" w:rsidRPr="0098192C">
        <w:rPr>
          <w:lang w:eastAsia="fr-FR"/>
        </w:rPr>
        <w:t>au fil des ans</w:t>
      </w:r>
      <w:r w:rsidR="00F23069" w:rsidRPr="0098192C">
        <w:rPr>
          <w:lang w:eastAsia="fr-FR"/>
        </w:rPr>
        <w:t>,</w:t>
      </w:r>
      <w:r w:rsidR="009147FC" w:rsidRPr="0098192C">
        <w:rPr>
          <w:lang w:eastAsia="fr-FR"/>
        </w:rPr>
        <w:t xml:space="preserve"> une </w:t>
      </w:r>
      <w:r w:rsidR="00E627D3" w:rsidRPr="0098192C">
        <w:rPr>
          <w:lang w:eastAsia="fr-FR"/>
        </w:rPr>
        <w:t xml:space="preserve">liste </w:t>
      </w:r>
      <w:r w:rsidR="006D54B6" w:rsidRPr="0098192C">
        <w:rPr>
          <w:lang w:eastAsia="fr-FR"/>
        </w:rPr>
        <w:t>d’</w:t>
      </w:r>
      <w:r w:rsidR="00E81056" w:rsidRPr="0098192C">
        <w:rPr>
          <w:lang w:eastAsia="fr-FR"/>
        </w:rPr>
        <w:t>éléments</w:t>
      </w:r>
      <w:r w:rsidR="00E627D3" w:rsidRPr="0098192C">
        <w:rPr>
          <w:lang w:eastAsia="fr-FR"/>
        </w:rPr>
        <w:t xml:space="preserve"> servant de base de discussion</w:t>
      </w:r>
      <w:r w:rsidR="00130980" w:rsidRPr="0098192C">
        <w:rPr>
          <w:lang w:eastAsia="fr-FR"/>
        </w:rPr>
        <w:t xml:space="preserve">. </w:t>
      </w:r>
      <w:r w:rsidR="00130980" w:rsidRPr="0098192C">
        <w:rPr>
          <w:szCs w:val="24"/>
        </w:rPr>
        <w:t>Entre autres, on y retrouve</w:t>
      </w:r>
      <w:r w:rsidR="00C84AFF" w:rsidRPr="0098192C">
        <w:rPr>
          <w:szCs w:val="24"/>
        </w:rPr>
        <w:t xml:space="preserve"> </w:t>
      </w:r>
      <w:r w:rsidR="00130980" w:rsidRPr="0098192C">
        <w:rPr>
          <w:szCs w:val="24"/>
        </w:rPr>
        <w:t>les services nécessaires au respect de la santé, de l’ordre et de la sécurité publique;</w:t>
      </w:r>
      <w:r w:rsidR="00C84AFF" w:rsidRPr="0098192C">
        <w:rPr>
          <w:szCs w:val="24"/>
        </w:rPr>
        <w:t xml:space="preserve"> </w:t>
      </w:r>
      <w:r w:rsidR="00130980" w:rsidRPr="0098192C">
        <w:rPr>
          <w:szCs w:val="24"/>
        </w:rPr>
        <w:t>les services inhérents au respect des droits des individus en matière d’aide financière;</w:t>
      </w:r>
      <w:r w:rsidR="00C84AFF" w:rsidRPr="0098192C">
        <w:rPr>
          <w:szCs w:val="24"/>
        </w:rPr>
        <w:t xml:space="preserve"> </w:t>
      </w:r>
      <w:r w:rsidR="00130980" w:rsidRPr="0098192C">
        <w:rPr>
          <w:szCs w:val="24"/>
        </w:rPr>
        <w:t>les services nécessaires au fonctionnement de l’Assemblée nationale;</w:t>
      </w:r>
      <w:r w:rsidR="00C84AFF" w:rsidRPr="0098192C">
        <w:rPr>
          <w:szCs w:val="24"/>
        </w:rPr>
        <w:t xml:space="preserve"> </w:t>
      </w:r>
      <w:r w:rsidR="00AF0EC1">
        <w:rPr>
          <w:szCs w:val="24"/>
        </w:rPr>
        <w:t xml:space="preserve">les services assurant </w:t>
      </w:r>
      <w:r w:rsidR="00130980" w:rsidRPr="0098192C">
        <w:rPr>
          <w:szCs w:val="24"/>
        </w:rPr>
        <w:t>le bon fonctionnement des établissements de détention;</w:t>
      </w:r>
      <w:r w:rsidR="00C84AFF" w:rsidRPr="0098192C">
        <w:rPr>
          <w:szCs w:val="24"/>
        </w:rPr>
        <w:t xml:space="preserve"> </w:t>
      </w:r>
      <w:r w:rsidR="00130980" w:rsidRPr="0098192C">
        <w:rPr>
          <w:szCs w:val="24"/>
        </w:rPr>
        <w:t>les services judiciaires et quasi judiciaires offerts à la population</w:t>
      </w:r>
      <w:r w:rsidR="0089397C" w:rsidRPr="0098192C">
        <w:rPr>
          <w:szCs w:val="24"/>
        </w:rPr>
        <w:t>.</w:t>
      </w:r>
      <w:r w:rsidR="00C84AFF" w:rsidRPr="0098192C">
        <w:rPr>
          <w:szCs w:val="24"/>
        </w:rPr>
        <w:t xml:space="preserve"> Comme on peut le constater, ces critères sont différents de celui du danger pour la santé </w:t>
      </w:r>
      <w:r w:rsidR="0098192C" w:rsidRPr="0098192C">
        <w:rPr>
          <w:szCs w:val="24"/>
        </w:rPr>
        <w:t>ou</w:t>
      </w:r>
      <w:r w:rsidR="00C84AFF" w:rsidRPr="0098192C">
        <w:rPr>
          <w:szCs w:val="24"/>
        </w:rPr>
        <w:t xml:space="preserve"> la sécurité publique</w:t>
      </w:r>
      <w:r w:rsidR="00072A06" w:rsidRPr="0098192C">
        <w:rPr>
          <w:szCs w:val="24"/>
        </w:rPr>
        <w:t>.</w:t>
      </w:r>
      <w:r w:rsidR="00063C30" w:rsidRPr="0098192C">
        <w:rPr>
          <w:szCs w:val="24"/>
        </w:rPr>
        <w:t xml:space="preserve"> </w:t>
      </w:r>
      <w:r w:rsidR="0098192C" w:rsidRPr="0098192C">
        <w:rPr>
          <w:szCs w:val="24"/>
        </w:rPr>
        <w:t xml:space="preserve">Aucun tribunal ne s’est prononcé sur la </w:t>
      </w:r>
      <w:r w:rsidR="00C972FD" w:rsidRPr="0098192C">
        <w:rPr>
          <w:szCs w:val="24"/>
        </w:rPr>
        <w:t>constitutionnalité</w:t>
      </w:r>
      <w:r w:rsidR="0098192C" w:rsidRPr="0098192C">
        <w:rPr>
          <w:szCs w:val="24"/>
        </w:rPr>
        <w:t xml:space="preserve"> de ces critères.</w:t>
      </w:r>
    </w:p>
    <w:p w14:paraId="1B97D8BE" w14:textId="0FF2B397" w:rsidR="00B50F63" w:rsidRPr="00B50F63" w:rsidRDefault="00B50F63" w:rsidP="00B50F63">
      <w:pPr>
        <w:pStyle w:val="Titre2"/>
      </w:pPr>
      <w:r>
        <w:t>l’ajout de deux nouveaux mécanismes au code</w:t>
      </w:r>
    </w:p>
    <w:p w14:paraId="3502999E" w14:textId="3D22014B" w:rsidR="00FF4826" w:rsidRDefault="003F5C2D" w:rsidP="008937B4">
      <w:pPr>
        <w:pStyle w:val="corpsdedcision"/>
        <w:tabs>
          <w:tab w:val="clear" w:pos="360"/>
        </w:tabs>
      </w:pPr>
      <w:r>
        <w:t>L</w:t>
      </w:r>
      <w:r w:rsidR="00D2572E">
        <w:t>e 19</w:t>
      </w:r>
      <w:r w:rsidR="00A63689">
        <w:t xml:space="preserve"> février 2025, le </w:t>
      </w:r>
      <w:r w:rsidR="00065415">
        <w:t xml:space="preserve">ministre du Travail présente le </w:t>
      </w:r>
      <w:r w:rsidR="00A63689">
        <w:t xml:space="preserve">projet de loi n°89, intitulé </w:t>
      </w:r>
      <w:r w:rsidR="00A63689" w:rsidRPr="00AA6679">
        <w:rPr>
          <w:sz w:val="22"/>
          <w:szCs w:val="22"/>
        </w:rPr>
        <w:t>« </w:t>
      </w:r>
      <w:r w:rsidR="00437F73" w:rsidRPr="00AA6679">
        <w:rPr>
          <w:i/>
          <w:iCs/>
          <w:sz w:val="22"/>
          <w:szCs w:val="22"/>
        </w:rPr>
        <w:t>Loi</w:t>
      </w:r>
      <w:r w:rsidR="000B1699" w:rsidRPr="00AA6679">
        <w:rPr>
          <w:i/>
          <w:iCs/>
          <w:sz w:val="22"/>
          <w:szCs w:val="22"/>
        </w:rPr>
        <w:t> </w:t>
      </w:r>
      <w:r w:rsidR="00437F73" w:rsidRPr="00AA6679">
        <w:rPr>
          <w:i/>
          <w:iCs/>
          <w:sz w:val="22"/>
          <w:szCs w:val="22"/>
        </w:rPr>
        <w:t>visant à considérer davantage les besoins de la population en cas de grève ou de lock-out »</w:t>
      </w:r>
      <w:r w:rsidR="003635A0">
        <w:rPr>
          <w:i/>
          <w:iCs/>
        </w:rPr>
        <w:t>.</w:t>
      </w:r>
      <w:r w:rsidR="0017422C">
        <w:rPr>
          <w:i/>
          <w:iCs/>
        </w:rPr>
        <w:t xml:space="preserve"> </w:t>
      </w:r>
      <w:r w:rsidR="00416826">
        <w:t xml:space="preserve">Les </w:t>
      </w:r>
      <w:r w:rsidR="0017422C">
        <w:t>consultations</w:t>
      </w:r>
      <w:r w:rsidR="00416826">
        <w:t xml:space="preserve"> particulières se déroulent en mars et</w:t>
      </w:r>
      <w:r w:rsidR="00AA192F">
        <w:rPr>
          <w:i/>
          <w:iCs/>
        </w:rPr>
        <w:t xml:space="preserve"> </w:t>
      </w:r>
      <w:r w:rsidR="0017422C">
        <w:t>l</w:t>
      </w:r>
      <w:r w:rsidR="00AA192F" w:rsidRPr="00AA192F">
        <w:t>a Commission de l’éco</w:t>
      </w:r>
      <w:r w:rsidR="00AA192F">
        <w:t>nomie et du travail en fait l’étude dé</w:t>
      </w:r>
      <w:r w:rsidR="00313A76">
        <w:t>taillée</w:t>
      </w:r>
      <w:r w:rsidR="0017422C">
        <w:t xml:space="preserve"> en avril et en mai 2025. Le projet de loi</w:t>
      </w:r>
      <w:r w:rsidR="000B1699">
        <w:t> </w:t>
      </w:r>
      <w:r w:rsidR="00F23069" w:rsidRPr="00F23069">
        <w:t>n°</w:t>
      </w:r>
      <w:r w:rsidR="0017422C">
        <w:t xml:space="preserve">89 est </w:t>
      </w:r>
      <w:r w:rsidR="008937B4">
        <w:t>sanctionné le 30 mai 2025 et entre en vigueur l</w:t>
      </w:r>
      <w:r w:rsidR="00F371DA">
        <w:t xml:space="preserve">e 30 novembre </w:t>
      </w:r>
      <w:r w:rsidR="004D5191">
        <w:t>suivant</w:t>
      </w:r>
      <w:r w:rsidR="00AA29ED">
        <w:t>.</w:t>
      </w:r>
      <w:r w:rsidR="005B1C01">
        <w:t xml:space="preserve"> </w:t>
      </w:r>
      <w:r w:rsidR="00AA29ED">
        <w:t>Il</w:t>
      </w:r>
      <w:r w:rsidR="000B1699">
        <w:t> </w:t>
      </w:r>
      <w:r w:rsidR="00AA29ED">
        <w:t>devient</w:t>
      </w:r>
      <w:r w:rsidR="005B1C01">
        <w:t xml:space="preserve"> </w:t>
      </w:r>
      <w:r w:rsidR="005B1C01" w:rsidRPr="00F371DA">
        <w:t>la Loi 14</w:t>
      </w:r>
      <w:r w:rsidR="005B1C01" w:rsidRPr="00F371DA">
        <w:rPr>
          <w:vertAlign w:val="superscript"/>
        </w:rPr>
        <w:footnoteReference w:id="24"/>
      </w:r>
      <w:r w:rsidR="005B1C01">
        <w:t>.</w:t>
      </w:r>
    </w:p>
    <w:p w14:paraId="4A899C55" w14:textId="1A04FD54" w:rsidR="00B50F63" w:rsidRPr="00C214A2" w:rsidRDefault="00FF4826" w:rsidP="00B50F63">
      <w:pPr>
        <w:pStyle w:val="corpsdedcision"/>
        <w:spacing w:after="240"/>
      </w:pPr>
      <w:r>
        <w:t xml:space="preserve">D’une part, </w:t>
      </w:r>
      <w:r w:rsidR="0076142D">
        <w:t xml:space="preserve">la Loi 14 </w:t>
      </w:r>
      <w:r>
        <w:t xml:space="preserve">ajoute le chapitre V.1.1 au Code, </w:t>
      </w:r>
      <w:r w:rsidR="009D424C">
        <w:t xml:space="preserve">qui </w:t>
      </w:r>
      <w:r w:rsidR="009D424C" w:rsidRPr="009D424C">
        <w:t>s’intitule « </w:t>
      </w:r>
      <w:r w:rsidR="009D424C" w:rsidRPr="0002677A">
        <w:rPr>
          <w:i/>
          <w:iCs/>
          <w:sz w:val="22"/>
          <w:szCs w:val="22"/>
        </w:rPr>
        <w:t>Dispositions particulières relatives aux services à maintenir pour assurer le bien-être de la population</w:t>
      </w:r>
      <w:r w:rsidR="009D424C" w:rsidRPr="0002677A">
        <w:rPr>
          <w:sz w:val="22"/>
          <w:szCs w:val="22"/>
        </w:rPr>
        <w:t> </w:t>
      </w:r>
      <w:r w:rsidR="009D424C" w:rsidRPr="009D424C">
        <w:t>»</w:t>
      </w:r>
      <w:r>
        <w:t>, soit le régime des SBEP</w:t>
      </w:r>
      <w:r w:rsidR="00A32DBB">
        <w:t>,</w:t>
      </w:r>
      <w:r>
        <w:t xml:space="preserve"> qui fait l’objet du </w:t>
      </w:r>
      <w:r w:rsidR="00CC09C0">
        <w:t xml:space="preserve">présent </w:t>
      </w:r>
      <w:r>
        <w:t>débat</w:t>
      </w:r>
      <w:r w:rsidR="009D424C" w:rsidRPr="009D424C">
        <w:t>.</w:t>
      </w:r>
      <w:r w:rsidR="007C0725">
        <w:t xml:space="preserve"> </w:t>
      </w:r>
      <w:r w:rsidR="001D59F3">
        <w:t xml:space="preserve">À la suite d’un processus qui sera détaillé </w:t>
      </w:r>
      <w:r w:rsidR="00AA29ED">
        <w:t>ultérieurement</w:t>
      </w:r>
      <w:r w:rsidR="001D59F3">
        <w:t>, le Tribunal peut ordonner aux parties de mainte</w:t>
      </w:r>
      <w:r w:rsidR="005265D2">
        <w:t>n</w:t>
      </w:r>
      <w:r w:rsidR="001D59F3">
        <w:t xml:space="preserve">ir des SBEP en cas de grève ou de lock-out </w:t>
      </w:r>
      <w:r w:rsidR="005265D2">
        <w:t>pendant toute la phase des négociations.</w:t>
      </w:r>
      <w:r w:rsidR="00B50F63" w:rsidRPr="00B50F63">
        <w:t xml:space="preserve"> </w:t>
      </w:r>
      <w:r w:rsidR="00B50F63">
        <w:t>La notion de SBEP se trouve énoncé</w:t>
      </w:r>
      <w:r w:rsidR="001C66EC">
        <w:t>e</w:t>
      </w:r>
      <w:r w:rsidR="00B50F63">
        <w:t xml:space="preserve"> ainsi à l’article 111.22.3 du </w:t>
      </w:r>
      <w:r w:rsidR="00B50F63" w:rsidRPr="00C214A2">
        <w:t>Code</w:t>
      </w:r>
      <w:r w:rsidR="00B50F63">
        <w:t> </w:t>
      </w:r>
      <w:r w:rsidR="00B50F63" w:rsidRPr="00C214A2">
        <w:t>:</w:t>
      </w:r>
    </w:p>
    <w:p w14:paraId="1C3F3648" w14:textId="77777777" w:rsidR="00B50F63" w:rsidRDefault="00B50F63" w:rsidP="004E46CA">
      <w:pPr>
        <w:pStyle w:val="citation"/>
        <w:tabs>
          <w:tab w:val="left" w:pos="1843"/>
        </w:tabs>
        <w:spacing w:after="240"/>
      </w:pPr>
      <w:r w:rsidRPr="00C214A2">
        <w:rPr>
          <w:b/>
          <w:bCs/>
        </w:rPr>
        <w:t>111.22.3.</w:t>
      </w:r>
      <w:r>
        <w:tab/>
      </w:r>
      <w:r w:rsidRPr="00C214A2">
        <w:t xml:space="preserve">Dans le présent chapitre, on entend par «services assurant le bien-être de la population» les </w:t>
      </w:r>
      <w:r w:rsidRPr="00282520">
        <w:rPr>
          <w:u w:val="single"/>
        </w:rPr>
        <w:t xml:space="preserve">services </w:t>
      </w:r>
      <w:r w:rsidRPr="00521CB5">
        <w:rPr>
          <w:u w:val="single"/>
        </w:rPr>
        <w:t>minimalement requis</w:t>
      </w:r>
      <w:r w:rsidRPr="00C214A2">
        <w:t xml:space="preserve"> pour éviter que ne soit affectée de </w:t>
      </w:r>
      <w:r w:rsidRPr="00521CB5">
        <w:rPr>
          <w:u w:val="single"/>
        </w:rPr>
        <w:t>manière disproportionnée</w:t>
      </w:r>
      <w:r w:rsidRPr="00C214A2">
        <w:t xml:space="preserve"> la </w:t>
      </w:r>
      <w:r w:rsidRPr="00521CB5">
        <w:rPr>
          <w:u w:val="single"/>
        </w:rPr>
        <w:t>sécurité sociale, économique ou environnementale</w:t>
      </w:r>
      <w:r w:rsidRPr="00C214A2">
        <w:t xml:space="preserve"> de la population, notamment celles des personnes en situation de vulnérabilité.</w:t>
      </w:r>
    </w:p>
    <w:p w14:paraId="071FA1A0" w14:textId="482BF9E6" w:rsidR="00063C30" w:rsidRDefault="00B50F63" w:rsidP="004E46CA">
      <w:pPr>
        <w:pStyle w:val="citation"/>
        <w:spacing w:after="360"/>
      </w:pPr>
      <w:r w:rsidRPr="005B1482">
        <w:rPr>
          <w:sz w:val="24"/>
          <w:szCs w:val="24"/>
        </w:rPr>
        <w:t>[</w:t>
      </w:r>
      <w:r>
        <w:rPr>
          <w:sz w:val="24"/>
          <w:szCs w:val="24"/>
        </w:rPr>
        <w:t>No</w:t>
      </w:r>
      <w:r w:rsidR="00E75E80">
        <w:rPr>
          <w:sz w:val="24"/>
          <w:szCs w:val="24"/>
        </w:rPr>
        <w:t>tre</w:t>
      </w:r>
      <w:r w:rsidRPr="005B1482">
        <w:rPr>
          <w:sz w:val="24"/>
          <w:szCs w:val="24"/>
        </w:rPr>
        <w:t xml:space="preserve"> soulignement]</w:t>
      </w:r>
    </w:p>
    <w:p w14:paraId="11545E67" w14:textId="67BE35B7" w:rsidR="0003669A" w:rsidRDefault="00FF4826" w:rsidP="00FF4826">
      <w:pPr>
        <w:pStyle w:val="corpsdedcision"/>
        <w:tabs>
          <w:tab w:val="clear" w:pos="360"/>
        </w:tabs>
      </w:pPr>
      <w:r>
        <w:t xml:space="preserve">D’autre part, </w:t>
      </w:r>
      <w:r w:rsidR="0076142D">
        <w:t xml:space="preserve">la Loi 14 </w:t>
      </w:r>
      <w:r w:rsidR="0003669A">
        <w:t xml:space="preserve">introduit le chapitre V.3.1 </w:t>
      </w:r>
      <w:r w:rsidR="005B2EDB">
        <w:t>conférant</w:t>
      </w:r>
      <w:r w:rsidR="0003669A">
        <w:t xml:space="preserve"> des pouvoirs spéciaux au ministre du </w:t>
      </w:r>
      <w:r w:rsidR="007A7797">
        <w:t>T</w:t>
      </w:r>
      <w:r w:rsidR="0003669A">
        <w:t>ravail. Celui-ci peut mettre fin à une grève ou à un lock-out à certaines conditions et déférer le différend à l’</w:t>
      </w:r>
      <w:r w:rsidR="005B2EDB">
        <w:t>a</w:t>
      </w:r>
      <w:r w:rsidR="0003669A">
        <w:t>rbitrage. Cette partie de la loi n’est pas en cause dans le présent dossier.</w:t>
      </w:r>
      <w:r w:rsidR="00A32DBB">
        <w:t xml:space="preserve"> </w:t>
      </w:r>
      <w:r w:rsidR="00DD620C">
        <w:t>Seule celle sur</w:t>
      </w:r>
      <w:r w:rsidR="00A32DBB">
        <w:t xml:space="preserve"> le régime des SBEP</w:t>
      </w:r>
      <w:r w:rsidR="00DD620C">
        <w:t xml:space="preserve"> est visée </w:t>
      </w:r>
      <w:r w:rsidR="00D1194F">
        <w:t>pa</w:t>
      </w:r>
      <w:r w:rsidR="00DD620C">
        <w:t xml:space="preserve">r la contestation </w:t>
      </w:r>
      <w:r w:rsidR="00D1194F">
        <w:t>constitutionnelle</w:t>
      </w:r>
      <w:r w:rsidR="00DD620C">
        <w:t xml:space="preserve"> devant le Tribunal</w:t>
      </w:r>
      <w:r w:rsidR="00A32DBB">
        <w:t>.</w:t>
      </w:r>
    </w:p>
    <w:p w14:paraId="464E753F" w14:textId="58D2F924" w:rsidR="00B50F63" w:rsidRDefault="00DD620C" w:rsidP="00B93D51">
      <w:pPr>
        <w:pStyle w:val="corpsdedcision"/>
        <w:tabs>
          <w:tab w:val="clear" w:pos="360"/>
        </w:tabs>
      </w:pPr>
      <w:r>
        <w:t xml:space="preserve">Par ailleurs, </w:t>
      </w:r>
      <w:r w:rsidR="00C3769F">
        <w:t>se</w:t>
      </w:r>
      <w:r w:rsidR="00D7679F">
        <w:t>p</w:t>
      </w:r>
      <w:r w:rsidR="00C3769F">
        <w:t xml:space="preserve">t pourvois </w:t>
      </w:r>
      <w:r w:rsidR="00FD7FFC" w:rsidRPr="008556D7">
        <w:t>en contrôle judiciaire</w:t>
      </w:r>
      <w:r w:rsidR="00FD7FFC">
        <w:t xml:space="preserve"> </w:t>
      </w:r>
      <w:r w:rsidR="00515A86" w:rsidRPr="00515A86">
        <w:t>attaqu</w:t>
      </w:r>
      <w:r w:rsidR="00515A86">
        <w:t>a</w:t>
      </w:r>
      <w:r w:rsidR="00515A86" w:rsidRPr="00515A86">
        <w:t xml:space="preserve">nt la constitutionnalité de la Loi 14 </w:t>
      </w:r>
      <w:r w:rsidR="00C3769F">
        <w:t xml:space="preserve">ont été déposés </w:t>
      </w:r>
      <w:r w:rsidR="00FD7FFC">
        <w:t>en Cour supérieure</w:t>
      </w:r>
      <w:r w:rsidR="00515A86">
        <w:t xml:space="preserve"> afin de contester</w:t>
      </w:r>
      <w:r w:rsidR="00C3769F">
        <w:t xml:space="preserve"> </w:t>
      </w:r>
      <w:r w:rsidR="00515A86">
        <w:t>le</w:t>
      </w:r>
      <w:r w:rsidR="00025AC6">
        <w:t xml:space="preserve"> régime des SBEP </w:t>
      </w:r>
      <w:r w:rsidR="00063C30">
        <w:t xml:space="preserve">ainsi </w:t>
      </w:r>
      <w:r w:rsidR="00515A86">
        <w:t>que</w:t>
      </w:r>
      <w:r w:rsidR="00025AC6">
        <w:t xml:space="preserve"> </w:t>
      </w:r>
      <w:r w:rsidR="00515A86">
        <w:t>le</w:t>
      </w:r>
      <w:r w:rsidR="00025AC6">
        <w:t xml:space="preserve"> mécanisme conférant des pouvoirs spéciaux au ministre du Travail</w:t>
      </w:r>
      <w:r w:rsidR="00D1194F">
        <w:rPr>
          <w:rStyle w:val="Appelnotedebasdep"/>
        </w:rPr>
        <w:footnoteReference w:id="25"/>
      </w:r>
      <w:r w:rsidR="00D1194F">
        <w:t>.</w:t>
      </w:r>
    </w:p>
    <w:p w14:paraId="5F6EB63B" w14:textId="2D2B382C" w:rsidR="00B76DEE" w:rsidRDefault="00B76DEE" w:rsidP="006C0504">
      <w:pPr>
        <w:pStyle w:val="Titre2"/>
        <w:jc w:val="both"/>
      </w:pPr>
      <w:r>
        <w:t xml:space="preserve">les </w:t>
      </w:r>
      <w:r w:rsidR="00DC2E01">
        <w:t>pa</w:t>
      </w:r>
      <w:r>
        <w:t xml:space="preserve">rties </w:t>
      </w:r>
      <w:r w:rsidR="00DC2E01">
        <w:t xml:space="preserve">pouvant être </w:t>
      </w:r>
      <w:r>
        <w:t xml:space="preserve">visées </w:t>
      </w:r>
      <w:r w:rsidR="00DC2E01">
        <w:t>pa</w:t>
      </w:r>
      <w:r>
        <w:t xml:space="preserve">r le </w:t>
      </w:r>
      <w:r w:rsidR="00DC2E01">
        <w:t>maintien de services assurant le bien-être de la population</w:t>
      </w:r>
    </w:p>
    <w:p w14:paraId="15952BB4" w14:textId="77777777" w:rsidR="0068327B" w:rsidRDefault="00F95F3F" w:rsidP="00AF2CEF">
      <w:pPr>
        <w:pStyle w:val="corpsdedcision"/>
        <w:spacing w:after="240"/>
        <w:rPr>
          <w:lang w:eastAsia="fr-FR"/>
        </w:rPr>
      </w:pPr>
      <w:r>
        <w:rPr>
          <w:lang w:eastAsia="fr-FR"/>
        </w:rPr>
        <w:t>Tou</w:t>
      </w:r>
      <w:r w:rsidR="004B7169">
        <w:rPr>
          <w:lang w:eastAsia="fr-FR"/>
        </w:rPr>
        <w:t>te</w:t>
      </w:r>
      <w:r>
        <w:rPr>
          <w:lang w:eastAsia="fr-FR"/>
        </w:rPr>
        <w:t xml:space="preserve"> </w:t>
      </w:r>
      <w:r w:rsidR="004B7169">
        <w:rPr>
          <w:lang w:eastAsia="fr-FR"/>
        </w:rPr>
        <w:t xml:space="preserve">association accréditée et </w:t>
      </w:r>
      <w:r>
        <w:rPr>
          <w:lang w:eastAsia="fr-FR"/>
        </w:rPr>
        <w:t>employeur, à l’</w:t>
      </w:r>
      <w:r w:rsidR="0088466F">
        <w:rPr>
          <w:lang w:eastAsia="fr-FR"/>
        </w:rPr>
        <w:t>exception</w:t>
      </w:r>
      <w:r>
        <w:rPr>
          <w:lang w:eastAsia="fr-FR"/>
        </w:rPr>
        <w:t xml:space="preserve"> des ministères et organismes du </w:t>
      </w:r>
      <w:r w:rsidR="0088466F">
        <w:rPr>
          <w:lang w:eastAsia="fr-FR"/>
        </w:rPr>
        <w:t>gouvernement</w:t>
      </w:r>
      <w:r>
        <w:rPr>
          <w:lang w:eastAsia="fr-FR"/>
        </w:rPr>
        <w:t xml:space="preserve"> dont le personnel est nommé suivant la </w:t>
      </w:r>
      <w:r w:rsidRPr="0088466F">
        <w:rPr>
          <w:i/>
          <w:iCs/>
          <w:lang w:eastAsia="fr-FR"/>
        </w:rPr>
        <w:t xml:space="preserve">Loi sur la fonction </w:t>
      </w:r>
      <w:r w:rsidR="0088466F" w:rsidRPr="0088466F">
        <w:rPr>
          <w:i/>
          <w:iCs/>
          <w:lang w:eastAsia="fr-FR"/>
        </w:rPr>
        <w:t>publique</w:t>
      </w:r>
      <w:r w:rsidR="0088466F" w:rsidRPr="00515A86">
        <w:rPr>
          <w:rStyle w:val="Appelnotedebasdep"/>
          <w:lang w:eastAsia="fr-FR"/>
        </w:rPr>
        <w:footnoteReference w:id="26"/>
      </w:r>
      <w:r w:rsidR="0088466F">
        <w:rPr>
          <w:lang w:eastAsia="fr-FR"/>
        </w:rPr>
        <w:t xml:space="preserve"> et des établissement</w:t>
      </w:r>
      <w:r w:rsidR="00DE60CD">
        <w:rPr>
          <w:lang w:eastAsia="fr-FR"/>
        </w:rPr>
        <w:t>s</w:t>
      </w:r>
      <w:r w:rsidR="0088466F">
        <w:rPr>
          <w:lang w:eastAsia="fr-FR"/>
        </w:rPr>
        <w:t xml:space="preserve"> de santé</w:t>
      </w:r>
      <w:r w:rsidR="00F821E1">
        <w:rPr>
          <w:lang w:eastAsia="fr-FR"/>
        </w:rPr>
        <w:t xml:space="preserve"> et de services sociaux</w:t>
      </w:r>
      <w:r w:rsidR="0088466F">
        <w:rPr>
          <w:lang w:eastAsia="fr-FR"/>
        </w:rPr>
        <w:t xml:space="preserve">, sont susceptibles d’être assujettis à l’obligation de maintenir des </w:t>
      </w:r>
      <w:r w:rsidR="00AE039D">
        <w:rPr>
          <w:lang w:eastAsia="fr-FR"/>
        </w:rPr>
        <w:t>SBEP</w:t>
      </w:r>
      <w:r w:rsidR="00C50BC5">
        <w:rPr>
          <w:rStyle w:val="Appelnotedebasdep"/>
          <w:lang w:eastAsia="fr-FR"/>
        </w:rPr>
        <w:footnoteReference w:id="27"/>
      </w:r>
      <w:r w:rsidR="0088466F">
        <w:rPr>
          <w:lang w:eastAsia="fr-FR"/>
        </w:rPr>
        <w:t>.</w:t>
      </w:r>
    </w:p>
    <w:p w14:paraId="2C5B3822" w14:textId="1AFC1714" w:rsidR="001953E2" w:rsidRDefault="00426370" w:rsidP="001953E2">
      <w:pPr>
        <w:pStyle w:val="corpsdedcision"/>
        <w:rPr>
          <w:lang w:eastAsia="fr-FR"/>
        </w:rPr>
      </w:pPr>
      <w:r>
        <w:rPr>
          <w:szCs w:val="24"/>
          <w:lang w:eastAsia="fr-FR"/>
        </w:rPr>
        <w:t>Le régime des SBEP a un champ d’application plus large que celui des services essentiels. Les services publics sont énumérés à l’article 111.0.16 du Code</w:t>
      </w:r>
      <w:r w:rsidR="0068327B">
        <w:rPr>
          <w:szCs w:val="24"/>
          <w:lang w:eastAsia="fr-FR"/>
        </w:rPr>
        <w:t xml:space="preserve"> et</w:t>
      </w:r>
      <w:r>
        <w:rPr>
          <w:szCs w:val="24"/>
          <w:lang w:eastAsia="fr-FR"/>
        </w:rPr>
        <w:t xml:space="preserve"> sont déterminés en fonction de leur nature. Les deux autres secteurs visés, soit le réseau de la santé et des services sociaux ainsi que la fonction publique sont, évidemment, bien circonscrits.</w:t>
      </w:r>
    </w:p>
    <w:p w14:paraId="3E8CA5C9" w14:textId="545701C0" w:rsidR="00745519" w:rsidRPr="001953E2" w:rsidRDefault="00745519" w:rsidP="001953E2">
      <w:pPr>
        <w:pStyle w:val="corpsdedcision"/>
        <w:rPr>
          <w:lang w:eastAsia="fr-FR"/>
        </w:rPr>
      </w:pPr>
      <w:r>
        <w:rPr>
          <w:lang w:eastAsia="fr-FR"/>
        </w:rPr>
        <w:t xml:space="preserve">Ainsi, </w:t>
      </w:r>
      <w:r w:rsidR="00A109DF">
        <w:rPr>
          <w:lang w:eastAsia="fr-FR"/>
        </w:rPr>
        <w:t xml:space="preserve">les dispositions du </w:t>
      </w:r>
      <w:r w:rsidR="0087544B">
        <w:rPr>
          <w:lang w:eastAsia="fr-FR"/>
        </w:rPr>
        <w:t>chapitre V.1.1 du Code s’appliquent aux</w:t>
      </w:r>
      <w:r w:rsidR="00A36908">
        <w:rPr>
          <w:lang w:eastAsia="fr-FR"/>
        </w:rPr>
        <w:t xml:space="preserve"> services publics, qui se trou</w:t>
      </w:r>
      <w:r w:rsidR="001C66EC">
        <w:rPr>
          <w:lang w:eastAsia="fr-FR"/>
        </w:rPr>
        <w:t>v</w:t>
      </w:r>
      <w:r w:rsidR="00A36908">
        <w:rPr>
          <w:lang w:eastAsia="fr-FR"/>
        </w:rPr>
        <w:t xml:space="preserve">ent </w:t>
      </w:r>
      <w:r w:rsidR="00B06EDF">
        <w:rPr>
          <w:lang w:eastAsia="fr-FR"/>
        </w:rPr>
        <w:t xml:space="preserve">déjà </w:t>
      </w:r>
      <w:r w:rsidR="0083700E">
        <w:rPr>
          <w:lang w:eastAsia="fr-FR"/>
        </w:rPr>
        <w:t xml:space="preserve">couverts </w:t>
      </w:r>
      <w:r w:rsidR="00A36908">
        <w:rPr>
          <w:lang w:eastAsia="fr-FR"/>
        </w:rPr>
        <w:t xml:space="preserve">par le régime des services </w:t>
      </w:r>
      <w:r w:rsidR="00242D5A">
        <w:rPr>
          <w:lang w:eastAsia="fr-FR"/>
        </w:rPr>
        <w:t>essentiels</w:t>
      </w:r>
      <w:r w:rsidR="00A36908">
        <w:rPr>
          <w:lang w:eastAsia="fr-FR"/>
        </w:rPr>
        <w:t xml:space="preserve"> </w:t>
      </w:r>
      <w:r w:rsidR="0087544B">
        <w:rPr>
          <w:lang w:eastAsia="fr-FR"/>
        </w:rPr>
        <w:t xml:space="preserve">prévus au chapitre V.1 du Code. </w:t>
      </w:r>
      <w:r w:rsidR="0098192C">
        <w:rPr>
          <w:lang w:eastAsia="fr-FR"/>
        </w:rPr>
        <w:t xml:space="preserve">Les parties pourraient </w:t>
      </w:r>
      <w:r w:rsidR="00426370">
        <w:rPr>
          <w:lang w:eastAsia="fr-FR"/>
        </w:rPr>
        <w:t xml:space="preserve">donc, dans ce cas, </w:t>
      </w:r>
      <w:r w:rsidR="0098192C">
        <w:rPr>
          <w:lang w:eastAsia="fr-FR"/>
        </w:rPr>
        <w:t>devoir maintenir des se</w:t>
      </w:r>
      <w:r w:rsidR="00C972FD">
        <w:rPr>
          <w:lang w:eastAsia="fr-FR"/>
        </w:rPr>
        <w:t>r</w:t>
      </w:r>
      <w:r w:rsidR="0098192C">
        <w:rPr>
          <w:lang w:eastAsia="fr-FR"/>
        </w:rPr>
        <w:t xml:space="preserve">vices essentiels et des SBEP. </w:t>
      </w:r>
      <w:r w:rsidR="00063C30">
        <w:rPr>
          <w:lang w:eastAsia="fr-FR"/>
        </w:rPr>
        <w:t>L</w:t>
      </w:r>
      <w:r w:rsidR="00B06EDF">
        <w:rPr>
          <w:lang w:eastAsia="fr-FR"/>
        </w:rPr>
        <w:t>e nouveau régime</w:t>
      </w:r>
      <w:r w:rsidR="00063C30">
        <w:rPr>
          <w:lang w:eastAsia="fr-FR"/>
        </w:rPr>
        <w:t xml:space="preserve"> </w:t>
      </w:r>
      <w:r w:rsidR="0083700E">
        <w:rPr>
          <w:lang w:eastAsia="fr-FR"/>
        </w:rPr>
        <w:t>vise</w:t>
      </w:r>
      <w:r w:rsidR="00063C30">
        <w:rPr>
          <w:lang w:eastAsia="fr-FR"/>
        </w:rPr>
        <w:t xml:space="preserve"> également </w:t>
      </w:r>
      <w:r w:rsidR="00242D5A">
        <w:rPr>
          <w:lang w:eastAsia="fr-FR"/>
        </w:rPr>
        <w:t>le secteur de l’</w:t>
      </w:r>
      <w:r w:rsidR="002D77AC">
        <w:rPr>
          <w:lang w:eastAsia="fr-FR"/>
        </w:rPr>
        <w:t>éducation</w:t>
      </w:r>
      <w:r w:rsidR="00242D5A">
        <w:rPr>
          <w:lang w:eastAsia="fr-FR"/>
        </w:rPr>
        <w:t>, les</w:t>
      </w:r>
      <w:r w:rsidR="008774C1">
        <w:rPr>
          <w:lang w:eastAsia="fr-FR"/>
        </w:rPr>
        <w:t> </w:t>
      </w:r>
      <w:r w:rsidR="00242D5A">
        <w:rPr>
          <w:lang w:eastAsia="fr-FR"/>
        </w:rPr>
        <w:t>centres de la petite enfance et les entreprises privées</w:t>
      </w:r>
      <w:r w:rsidR="006622E6">
        <w:rPr>
          <w:lang w:eastAsia="fr-FR"/>
        </w:rPr>
        <w:t>.</w:t>
      </w:r>
    </w:p>
    <w:p w14:paraId="3FAF3EF5" w14:textId="7C060785" w:rsidR="00A500E4" w:rsidRDefault="008A6BCD" w:rsidP="006C0504">
      <w:pPr>
        <w:pStyle w:val="Titre2"/>
        <w:jc w:val="both"/>
      </w:pPr>
      <w:r>
        <w:t>Les différentes étapes du régime de</w:t>
      </w:r>
      <w:r w:rsidR="00B06EDF">
        <w:t>s</w:t>
      </w:r>
      <w:r>
        <w:t xml:space="preserve"> services assurant le bien</w:t>
      </w:r>
      <w:r w:rsidR="00326506">
        <w:noBreakHyphen/>
      </w:r>
      <w:r>
        <w:t>être de la population</w:t>
      </w:r>
    </w:p>
    <w:p w14:paraId="5BD2CEFF" w14:textId="41BF6E5A" w:rsidR="00A624D4" w:rsidRDefault="002F36C5" w:rsidP="00AF2CEF">
      <w:pPr>
        <w:pStyle w:val="corpsdedcision"/>
        <w:spacing w:after="0"/>
        <w:rPr>
          <w:szCs w:val="24"/>
          <w:lang w:eastAsia="fr-FR"/>
        </w:rPr>
      </w:pPr>
      <w:r>
        <w:rPr>
          <w:szCs w:val="24"/>
          <w:lang w:eastAsia="fr-FR"/>
        </w:rPr>
        <w:t xml:space="preserve">La première étape </w:t>
      </w:r>
      <w:r w:rsidR="00025AC6">
        <w:rPr>
          <w:szCs w:val="24"/>
          <w:lang w:eastAsia="fr-FR"/>
        </w:rPr>
        <w:t xml:space="preserve">du régime </w:t>
      </w:r>
      <w:r>
        <w:rPr>
          <w:szCs w:val="24"/>
          <w:lang w:eastAsia="fr-FR"/>
        </w:rPr>
        <w:t>est celle de l’adoption par le gouvernement d’un décret</w:t>
      </w:r>
      <w:r w:rsidRPr="003612DC">
        <w:rPr>
          <w:szCs w:val="24"/>
          <w:lang w:eastAsia="fr-FR"/>
        </w:rPr>
        <w:t xml:space="preserve"> </w:t>
      </w:r>
      <w:r>
        <w:rPr>
          <w:szCs w:val="24"/>
          <w:lang w:eastAsia="fr-FR"/>
        </w:rPr>
        <w:t xml:space="preserve">désignant </w:t>
      </w:r>
      <w:r w:rsidR="007762EB">
        <w:rPr>
          <w:szCs w:val="24"/>
          <w:lang w:eastAsia="fr-FR"/>
        </w:rPr>
        <w:t>un employeur et une association accréditée</w:t>
      </w:r>
      <w:r>
        <w:t xml:space="preserve"> à l’égard desquels le Tribunal peut déterminer si des SBEP doivent être maintenus en cas de grève ou de lock</w:t>
      </w:r>
      <w:r w:rsidR="00326506">
        <w:noBreakHyphen/>
      </w:r>
      <w:r>
        <w:t>out</w:t>
      </w:r>
      <w:r>
        <w:rPr>
          <w:szCs w:val="24"/>
          <w:lang w:eastAsia="fr-FR"/>
        </w:rPr>
        <w:t xml:space="preserve">. Ce décret </w:t>
      </w:r>
      <w:r w:rsidRPr="00FB5D78">
        <w:rPr>
          <w:szCs w:val="24"/>
          <w:lang w:eastAsia="fr-FR"/>
        </w:rPr>
        <w:t>a effet</w:t>
      </w:r>
      <w:r>
        <w:rPr>
          <w:szCs w:val="24"/>
          <w:lang w:eastAsia="fr-FR"/>
        </w:rPr>
        <w:t xml:space="preserve"> jusqu’au dépôt d’une convention collective ou de ce qui en tient lieu. Il peut être pris en tout temps avant un tel dépôt</w:t>
      </w:r>
      <w:r>
        <w:rPr>
          <w:rStyle w:val="Appelnotedebasdep"/>
          <w:szCs w:val="24"/>
          <w:lang w:eastAsia="fr-FR"/>
        </w:rPr>
        <w:footnoteReference w:id="28"/>
      </w:r>
      <w:r>
        <w:rPr>
          <w:szCs w:val="24"/>
          <w:lang w:eastAsia="fr-FR"/>
        </w:rPr>
        <w:t>.</w:t>
      </w:r>
      <w:r w:rsidR="002A08B9">
        <w:rPr>
          <w:szCs w:val="24"/>
          <w:lang w:eastAsia="fr-FR"/>
        </w:rPr>
        <w:t xml:space="preserve"> </w:t>
      </w:r>
      <w:r w:rsidR="00A624D4" w:rsidRPr="002A08B9">
        <w:rPr>
          <w:szCs w:val="24"/>
          <w:lang w:eastAsia="fr-FR"/>
        </w:rPr>
        <w:t>L</w:t>
      </w:r>
      <w:r w:rsidR="00EA3B94" w:rsidRPr="002A08B9">
        <w:rPr>
          <w:szCs w:val="24"/>
          <w:lang w:eastAsia="fr-FR"/>
        </w:rPr>
        <w:t>e Code ne prév</w:t>
      </w:r>
      <w:r w:rsidR="009969BE" w:rsidRPr="002A08B9">
        <w:rPr>
          <w:szCs w:val="24"/>
          <w:lang w:eastAsia="fr-FR"/>
        </w:rPr>
        <w:t>o</w:t>
      </w:r>
      <w:r w:rsidR="00EA3B94" w:rsidRPr="002A08B9">
        <w:rPr>
          <w:szCs w:val="24"/>
          <w:lang w:eastAsia="fr-FR"/>
        </w:rPr>
        <w:t>it pas les critères devant guider l’adoption de ce décret.</w:t>
      </w:r>
    </w:p>
    <w:p w14:paraId="7F721601" w14:textId="787F2F2C" w:rsidR="00D66345" w:rsidRPr="00AA3E98" w:rsidRDefault="00D66345" w:rsidP="00AF2CEF">
      <w:pPr>
        <w:pStyle w:val="corpsdedcision"/>
        <w:spacing w:before="360"/>
        <w:rPr>
          <w:szCs w:val="24"/>
          <w:lang w:eastAsia="fr-FR"/>
        </w:rPr>
      </w:pPr>
      <w:r>
        <w:rPr>
          <w:szCs w:val="24"/>
          <w:lang w:eastAsia="fr-FR"/>
        </w:rPr>
        <w:t>Le déclenchement du processus se distingue de celui qui prévaut en matière de services essentiels dans un service public. Depuis 2019, il n’y a plus d’intervention gouvernementale</w:t>
      </w:r>
      <w:r>
        <w:rPr>
          <w:rStyle w:val="Appelnotedebasdep"/>
          <w:szCs w:val="24"/>
          <w:lang w:eastAsia="fr-FR"/>
        </w:rPr>
        <w:footnoteReference w:id="29"/>
      </w:r>
      <w:r>
        <w:rPr>
          <w:szCs w:val="24"/>
          <w:lang w:eastAsia="fr-FR"/>
        </w:rPr>
        <w:t xml:space="preserve">. C’est le Tribunal qui, de sa propre initiative ou à la demande des parties, fait enquête pour </w:t>
      </w:r>
      <w:r w:rsidR="0068327B">
        <w:rPr>
          <w:szCs w:val="24"/>
          <w:lang w:eastAsia="fr-FR"/>
        </w:rPr>
        <w:t>décider</w:t>
      </w:r>
      <w:r>
        <w:rPr>
          <w:szCs w:val="24"/>
          <w:lang w:eastAsia="fr-FR"/>
        </w:rPr>
        <w:t xml:space="preserve"> s’il y a lieu d</w:t>
      </w:r>
      <w:r w:rsidR="00426370">
        <w:rPr>
          <w:szCs w:val="24"/>
          <w:lang w:eastAsia="fr-FR"/>
        </w:rPr>
        <w:t xml:space="preserve">e les </w:t>
      </w:r>
      <w:r>
        <w:rPr>
          <w:szCs w:val="24"/>
          <w:lang w:eastAsia="fr-FR"/>
        </w:rPr>
        <w:t xml:space="preserve">assujettir. Le Code précise le critère </w:t>
      </w:r>
      <w:r w:rsidR="00426370">
        <w:rPr>
          <w:szCs w:val="24"/>
          <w:lang w:eastAsia="fr-FR"/>
        </w:rPr>
        <w:t xml:space="preserve">applicable, </w:t>
      </w:r>
      <w:r>
        <w:rPr>
          <w:szCs w:val="24"/>
          <w:lang w:eastAsia="fr-FR"/>
        </w:rPr>
        <w:t>qui est celui du danger pour la santé ou la sécurité publique</w:t>
      </w:r>
      <w:r>
        <w:rPr>
          <w:rStyle w:val="Appelnotedebasdep"/>
          <w:szCs w:val="24"/>
          <w:lang w:eastAsia="fr-FR"/>
        </w:rPr>
        <w:footnoteReference w:id="30"/>
      </w:r>
      <w:r>
        <w:rPr>
          <w:szCs w:val="24"/>
          <w:lang w:eastAsia="fr-FR"/>
        </w:rPr>
        <w:t xml:space="preserve">. De plus, cet exercice se fait normalement avant le début de la phase des négociations et vaut pour chaque phase </w:t>
      </w:r>
      <w:r w:rsidR="0068327B">
        <w:rPr>
          <w:szCs w:val="24"/>
          <w:lang w:eastAsia="fr-FR"/>
        </w:rPr>
        <w:t>subséquente</w:t>
      </w:r>
      <w:r w:rsidR="009050D2">
        <w:rPr>
          <w:szCs w:val="24"/>
          <w:lang w:eastAsia="fr-FR"/>
        </w:rPr>
        <w:t>,</w:t>
      </w:r>
      <w:r>
        <w:rPr>
          <w:szCs w:val="24"/>
          <w:lang w:eastAsia="fr-FR"/>
        </w:rPr>
        <w:t xml:space="preserve"> </w:t>
      </w:r>
      <w:r w:rsidR="009050D2">
        <w:rPr>
          <w:szCs w:val="24"/>
          <w:lang w:eastAsia="fr-FR"/>
        </w:rPr>
        <w:t>à moins que la décision</w:t>
      </w:r>
      <w:r>
        <w:rPr>
          <w:szCs w:val="24"/>
          <w:lang w:eastAsia="fr-FR"/>
        </w:rPr>
        <w:t xml:space="preserve"> soit révoqué</w:t>
      </w:r>
      <w:r w:rsidR="009050D2">
        <w:rPr>
          <w:szCs w:val="24"/>
          <w:lang w:eastAsia="fr-FR"/>
        </w:rPr>
        <w:t>e</w:t>
      </w:r>
      <w:r w:rsidR="00AA3E98">
        <w:rPr>
          <w:rStyle w:val="Appelnotedebasdep"/>
          <w:szCs w:val="24"/>
          <w:lang w:eastAsia="fr-FR"/>
        </w:rPr>
        <w:footnoteReference w:id="31"/>
      </w:r>
      <w:r>
        <w:rPr>
          <w:szCs w:val="24"/>
          <w:lang w:eastAsia="fr-FR"/>
        </w:rPr>
        <w:t>.</w:t>
      </w:r>
    </w:p>
    <w:p w14:paraId="2BEA262A" w14:textId="401F35DF" w:rsidR="002F36C5" w:rsidRDefault="00AA3E98" w:rsidP="002F36C5">
      <w:pPr>
        <w:pStyle w:val="corpsdedcision"/>
        <w:rPr>
          <w:szCs w:val="24"/>
          <w:lang w:eastAsia="fr-FR"/>
        </w:rPr>
      </w:pPr>
      <w:r>
        <w:rPr>
          <w:szCs w:val="24"/>
          <w:lang w:eastAsia="fr-FR"/>
        </w:rPr>
        <w:t>Dans le nouveau régime, à</w:t>
      </w:r>
      <w:r w:rsidR="00CE1C3D" w:rsidRPr="00CE1C3D">
        <w:rPr>
          <w:szCs w:val="24"/>
          <w:lang w:eastAsia="fr-FR"/>
        </w:rPr>
        <w:t xml:space="preserve"> partir du moment où le droit de grève ou de lock-out est acquis</w:t>
      </w:r>
      <w:r w:rsidR="00CE1C3D">
        <w:rPr>
          <w:szCs w:val="24"/>
          <w:lang w:eastAsia="fr-FR"/>
        </w:rPr>
        <w:t>, qu’il soit exercé ou non,</w:t>
      </w:r>
      <w:r w:rsidR="00CE1C3D" w:rsidRPr="00CE1C3D">
        <w:rPr>
          <w:szCs w:val="24"/>
          <w:lang w:eastAsia="fr-FR"/>
        </w:rPr>
        <w:t xml:space="preserve"> </w:t>
      </w:r>
      <w:r w:rsidR="0083700E">
        <w:rPr>
          <w:szCs w:val="24"/>
          <w:lang w:eastAsia="fr-FR"/>
        </w:rPr>
        <w:t>u</w:t>
      </w:r>
      <w:r w:rsidR="002F36C5">
        <w:rPr>
          <w:szCs w:val="24"/>
          <w:lang w:eastAsia="fr-FR"/>
        </w:rPr>
        <w:t>ne partie</w:t>
      </w:r>
      <w:r>
        <w:rPr>
          <w:szCs w:val="24"/>
          <w:lang w:eastAsia="fr-FR"/>
        </w:rPr>
        <w:t xml:space="preserve"> </w:t>
      </w:r>
      <w:r w:rsidR="002F36C5">
        <w:rPr>
          <w:szCs w:val="24"/>
          <w:lang w:eastAsia="fr-FR"/>
        </w:rPr>
        <w:t xml:space="preserve">désignée par décret peut saisir le Tribunal </w:t>
      </w:r>
      <w:r w:rsidR="00025AC6">
        <w:rPr>
          <w:szCs w:val="24"/>
          <w:lang w:eastAsia="fr-FR"/>
        </w:rPr>
        <w:t xml:space="preserve">pour qu’il </w:t>
      </w:r>
      <w:r w:rsidR="00025AC6" w:rsidRPr="00025AC6">
        <w:rPr>
          <w:szCs w:val="24"/>
          <w:lang w:eastAsia="fr-FR"/>
        </w:rPr>
        <w:t>détermine s’il y a lieu d’assujettir les parties au maintien de SBEP</w:t>
      </w:r>
      <w:r w:rsidR="002F36C5">
        <w:rPr>
          <w:szCs w:val="24"/>
          <w:lang w:eastAsia="fr-FR"/>
        </w:rPr>
        <w:t>.</w:t>
      </w:r>
    </w:p>
    <w:p w14:paraId="0A47E65C" w14:textId="76A9DA41" w:rsidR="002F36C5" w:rsidRDefault="00025AC6" w:rsidP="002F36C5">
      <w:pPr>
        <w:pStyle w:val="corpsdedcision"/>
        <w:rPr>
          <w:szCs w:val="24"/>
          <w:lang w:eastAsia="fr-FR"/>
        </w:rPr>
      </w:pPr>
      <w:r w:rsidRPr="004D49AE">
        <w:rPr>
          <w:szCs w:val="24"/>
          <w:lang w:eastAsia="fr-FR"/>
        </w:rPr>
        <w:t>À cette</w:t>
      </w:r>
      <w:r w:rsidR="002F36C5" w:rsidRPr="004D49AE">
        <w:rPr>
          <w:szCs w:val="24"/>
          <w:lang w:eastAsia="fr-FR"/>
        </w:rPr>
        <w:t xml:space="preserve"> deuxième étape</w:t>
      </w:r>
      <w:r w:rsidRPr="004D49AE">
        <w:rPr>
          <w:szCs w:val="24"/>
          <w:lang w:eastAsia="fr-FR"/>
        </w:rPr>
        <w:t>,</w:t>
      </w:r>
      <w:r w:rsidR="002F36C5">
        <w:rPr>
          <w:szCs w:val="24"/>
          <w:lang w:eastAsia="fr-FR"/>
        </w:rPr>
        <w:t xml:space="preserve"> le Tribunal</w:t>
      </w:r>
      <w:r w:rsidR="008E40EB">
        <w:rPr>
          <w:szCs w:val="24"/>
          <w:lang w:eastAsia="fr-FR"/>
        </w:rPr>
        <w:t xml:space="preserve"> </w:t>
      </w:r>
      <w:r w:rsidR="002F36C5">
        <w:rPr>
          <w:szCs w:val="24"/>
          <w:lang w:eastAsia="fr-FR"/>
        </w:rPr>
        <w:t>doit permettre aux parties de présenter leurs observations, mais, tout comme en matière de services essentiels, il n’est pas tenu de tenir une audience</w:t>
      </w:r>
      <w:r w:rsidR="002F36C5">
        <w:rPr>
          <w:rStyle w:val="Appelnotedebasdep"/>
          <w:szCs w:val="24"/>
          <w:lang w:eastAsia="fr-FR"/>
        </w:rPr>
        <w:footnoteReference w:id="32"/>
      </w:r>
      <w:r w:rsidR="002F36C5">
        <w:rPr>
          <w:szCs w:val="24"/>
          <w:lang w:eastAsia="fr-FR"/>
        </w:rPr>
        <w:t>.</w:t>
      </w:r>
    </w:p>
    <w:p w14:paraId="035D15B1" w14:textId="1BAAB1E4" w:rsidR="002F36C5" w:rsidRDefault="002F36C5" w:rsidP="002F36C5">
      <w:pPr>
        <w:pStyle w:val="corpsdedcision"/>
        <w:rPr>
          <w:szCs w:val="24"/>
          <w:lang w:eastAsia="fr-FR"/>
        </w:rPr>
      </w:pPr>
      <w:r>
        <w:rPr>
          <w:szCs w:val="24"/>
          <w:lang w:eastAsia="fr-FR"/>
        </w:rPr>
        <w:t xml:space="preserve">Cette décision s’applique pour la phase des négociations </w:t>
      </w:r>
      <w:r w:rsidRPr="00CF64C3">
        <w:rPr>
          <w:szCs w:val="24"/>
          <w:lang w:eastAsia="fr-FR"/>
        </w:rPr>
        <w:t>en cours</w:t>
      </w:r>
      <w:r>
        <w:rPr>
          <w:rStyle w:val="Appelnotedebasdep"/>
          <w:szCs w:val="24"/>
          <w:lang w:eastAsia="fr-FR"/>
        </w:rPr>
        <w:footnoteReference w:id="33"/>
      </w:r>
      <w:r>
        <w:rPr>
          <w:szCs w:val="24"/>
          <w:lang w:eastAsia="fr-FR"/>
        </w:rPr>
        <w:t xml:space="preserve">. Le Tribunal ne détermine pas à ce moment les services devant être maintenus, ce qui relève de la </w:t>
      </w:r>
      <w:r w:rsidR="00481E46">
        <w:rPr>
          <w:szCs w:val="24"/>
          <w:lang w:eastAsia="fr-FR"/>
        </w:rPr>
        <w:t>troisième</w:t>
      </w:r>
      <w:r>
        <w:rPr>
          <w:szCs w:val="24"/>
          <w:lang w:eastAsia="fr-FR"/>
        </w:rPr>
        <w:t xml:space="preserve"> étape. La grève ou le lock-out se poursuivent malgré cette décision, sauf si le Tribunal juge que des circonstances exceptionnelles justifient d</w:t>
      </w:r>
      <w:r w:rsidR="00F40C7D">
        <w:rPr>
          <w:szCs w:val="24"/>
          <w:lang w:eastAsia="fr-FR"/>
        </w:rPr>
        <w:t>’</w:t>
      </w:r>
      <w:r>
        <w:rPr>
          <w:szCs w:val="24"/>
          <w:lang w:eastAsia="fr-FR"/>
        </w:rPr>
        <w:t>e</w:t>
      </w:r>
      <w:r w:rsidR="00F40C7D">
        <w:rPr>
          <w:szCs w:val="24"/>
          <w:lang w:eastAsia="fr-FR"/>
        </w:rPr>
        <w:t>n</w:t>
      </w:r>
      <w:r>
        <w:rPr>
          <w:szCs w:val="24"/>
          <w:lang w:eastAsia="fr-FR"/>
        </w:rPr>
        <w:t xml:space="preserve"> suspendre l</w:t>
      </w:r>
      <w:r w:rsidR="00A75BD4">
        <w:rPr>
          <w:szCs w:val="24"/>
          <w:lang w:eastAsia="fr-FR"/>
        </w:rPr>
        <w:t>’</w:t>
      </w:r>
      <w:r>
        <w:rPr>
          <w:szCs w:val="24"/>
          <w:lang w:eastAsia="fr-FR"/>
        </w:rPr>
        <w:t>exercice</w:t>
      </w:r>
      <w:r w:rsidR="00B07BCB">
        <w:rPr>
          <w:rStyle w:val="Appelnotedebasdep"/>
          <w:szCs w:val="24"/>
          <w:lang w:eastAsia="fr-FR"/>
        </w:rPr>
        <w:footnoteReference w:id="34"/>
      </w:r>
      <w:r w:rsidR="00B07BCB">
        <w:rPr>
          <w:szCs w:val="24"/>
          <w:lang w:eastAsia="fr-FR"/>
        </w:rPr>
        <w:t>.</w:t>
      </w:r>
    </w:p>
    <w:p w14:paraId="2515D89B" w14:textId="4B409DF4" w:rsidR="002F36C5" w:rsidRDefault="002F36C5" w:rsidP="002F36C5">
      <w:pPr>
        <w:pStyle w:val="corpsdedcision"/>
        <w:rPr>
          <w:szCs w:val="24"/>
          <w:lang w:eastAsia="fr-FR"/>
        </w:rPr>
      </w:pPr>
      <w:r>
        <w:rPr>
          <w:szCs w:val="24"/>
          <w:lang w:eastAsia="fr-FR"/>
        </w:rPr>
        <w:t xml:space="preserve">La troisième </w:t>
      </w:r>
      <w:r w:rsidR="007536C0">
        <w:rPr>
          <w:szCs w:val="24"/>
          <w:lang w:eastAsia="fr-FR"/>
        </w:rPr>
        <w:t xml:space="preserve">étape </w:t>
      </w:r>
      <w:r>
        <w:rPr>
          <w:szCs w:val="24"/>
          <w:lang w:eastAsia="fr-FR"/>
        </w:rPr>
        <w:t>porte sur l’évaluation ou la détermination des SBEP qui devront être maintenus par les parties.</w:t>
      </w:r>
    </w:p>
    <w:p w14:paraId="2CF10C34" w14:textId="14415E6D" w:rsidR="006048DC" w:rsidRDefault="00B11F82" w:rsidP="002F36C5">
      <w:pPr>
        <w:pStyle w:val="corpsdedcision"/>
        <w:rPr>
          <w:szCs w:val="24"/>
          <w:lang w:eastAsia="fr-FR"/>
        </w:rPr>
      </w:pPr>
      <w:r>
        <w:rPr>
          <w:szCs w:val="24"/>
          <w:lang w:eastAsia="fr-FR"/>
        </w:rPr>
        <w:t>Elles</w:t>
      </w:r>
      <w:r w:rsidR="002F36C5">
        <w:rPr>
          <w:szCs w:val="24"/>
          <w:lang w:eastAsia="fr-FR"/>
        </w:rPr>
        <w:t xml:space="preserve"> </w:t>
      </w:r>
      <w:r w:rsidR="002F36C5" w:rsidRPr="00983009">
        <w:rPr>
          <w:szCs w:val="24"/>
          <w:lang w:eastAsia="fr-FR"/>
        </w:rPr>
        <w:t xml:space="preserve">ont sept jours ouvrables francs pour négocier les SBEP à maintenir </w:t>
      </w:r>
      <w:r w:rsidR="002F36C5">
        <w:rPr>
          <w:szCs w:val="24"/>
          <w:lang w:eastAsia="fr-FR"/>
        </w:rPr>
        <w:t>u</w:t>
      </w:r>
      <w:r w:rsidR="002F36C5" w:rsidRPr="00983009">
        <w:rPr>
          <w:szCs w:val="24"/>
          <w:lang w:eastAsia="fr-FR"/>
        </w:rPr>
        <w:t>ne fois la décision d’assujettissement notifiée</w:t>
      </w:r>
      <w:r w:rsidR="00FD060B">
        <w:rPr>
          <w:rStyle w:val="Appelnotedebasdep"/>
          <w:szCs w:val="24"/>
          <w:lang w:eastAsia="fr-FR"/>
        </w:rPr>
        <w:footnoteReference w:id="35"/>
      </w:r>
      <w:r w:rsidR="002F36C5" w:rsidRPr="00983009">
        <w:rPr>
          <w:szCs w:val="24"/>
          <w:lang w:eastAsia="fr-FR"/>
        </w:rPr>
        <w:t xml:space="preserve">. La négociation doit commencer et se poursuivre </w:t>
      </w:r>
      <w:r w:rsidR="002F36C5">
        <w:rPr>
          <w:szCs w:val="24"/>
          <w:lang w:eastAsia="fr-FR"/>
        </w:rPr>
        <w:t>avec</w:t>
      </w:r>
      <w:r w:rsidR="002F36C5" w:rsidRPr="00983009">
        <w:rPr>
          <w:szCs w:val="24"/>
          <w:lang w:eastAsia="fr-FR"/>
        </w:rPr>
        <w:t xml:space="preserve"> diligen</w:t>
      </w:r>
      <w:r w:rsidR="002F36C5">
        <w:rPr>
          <w:szCs w:val="24"/>
          <w:lang w:eastAsia="fr-FR"/>
        </w:rPr>
        <w:t>c</w:t>
      </w:r>
      <w:r w:rsidR="002F36C5" w:rsidRPr="00983009">
        <w:rPr>
          <w:szCs w:val="24"/>
          <w:lang w:eastAsia="fr-FR"/>
        </w:rPr>
        <w:t>e</w:t>
      </w:r>
      <w:r w:rsidR="002F36C5">
        <w:rPr>
          <w:szCs w:val="24"/>
          <w:lang w:eastAsia="fr-FR"/>
        </w:rPr>
        <w:t xml:space="preserve"> et bonne foi</w:t>
      </w:r>
      <w:r w:rsidR="002F36C5">
        <w:rPr>
          <w:rStyle w:val="Appelnotedebasdep"/>
          <w:szCs w:val="24"/>
          <w:lang w:eastAsia="fr-FR"/>
        </w:rPr>
        <w:footnoteReference w:id="36"/>
      </w:r>
      <w:r w:rsidR="002F36C5" w:rsidRPr="00983009">
        <w:rPr>
          <w:szCs w:val="24"/>
          <w:lang w:eastAsia="fr-FR"/>
        </w:rPr>
        <w:t>.</w:t>
      </w:r>
    </w:p>
    <w:p w14:paraId="522379B7" w14:textId="143F44C8" w:rsidR="002F36C5" w:rsidRPr="00983009" w:rsidRDefault="002F36C5" w:rsidP="00AF2CEF">
      <w:pPr>
        <w:pStyle w:val="corpsdedcision"/>
        <w:keepNext/>
        <w:keepLines/>
        <w:widowControl w:val="0"/>
        <w:rPr>
          <w:szCs w:val="24"/>
          <w:lang w:eastAsia="fr-FR"/>
        </w:rPr>
      </w:pPr>
      <w:r w:rsidRPr="00983009">
        <w:rPr>
          <w:szCs w:val="24"/>
          <w:lang w:eastAsia="fr-FR"/>
        </w:rPr>
        <w:t xml:space="preserve">Tout comme en matière de services essentiels, le législateur privilégie la conclusion d’une entente. </w:t>
      </w:r>
      <w:r w:rsidR="00841D35">
        <w:rPr>
          <w:szCs w:val="24"/>
          <w:lang w:eastAsia="fr-FR"/>
        </w:rPr>
        <w:t xml:space="preserve">Cependant, contrairement aux services publics où l’exercice se fait à chaque grève, les parties doivent prévoir les services à maintenir pour toute la phase des négociations. </w:t>
      </w:r>
      <w:r w:rsidRPr="00983009">
        <w:rPr>
          <w:rFonts w:cs="Arial"/>
          <w:color w:val="000000"/>
          <w:spacing w:val="-1"/>
          <w:szCs w:val="24"/>
          <w:lang w:val="fr-FR"/>
        </w:rPr>
        <w:t>Le Tribunal peut, de sa propre initiative ou à la demande</w:t>
      </w:r>
      <w:r w:rsidRPr="00983009">
        <w:rPr>
          <w:rFonts w:ascii="Times New Roman" w:hAnsi="Times New Roman"/>
          <w:szCs w:val="24"/>
        </w:rPr>
        <w:t xml:space="preserve"> </w:t>
      </w:r>
      <w:r w:rsidRPr="00983009">
        <w:rPr>
          <w:rFonts w:cs="Arial"/>
          <w:color w:val="000000"/>
          <w:spacing w:val="-3"/>
          <w:szCs w:val="24"/>
          <w:lang w:val="fr-FR"/>
        </w:rPr>
        <w:t>de l’une des parties, désigner un conciliateur pour les aider.</w:t>
      </w:r>
      <w:r w:rsidRPr="00983009">
        <w:rPr>
          <w:rFonts w:ascii="Times New Roman" w:hAnsi="Times New Roman"/>
          <w:szCs w:val="24"/>
        </w:rPr>
        <w:t xml:space="preserve"> </w:t>
      </w:r>
      <w:r w:rsidR="00BB58B4">
        <w:rPr>
          <w:rFonts w:cs="Arial"/>
          <w:color w:val="000000"/>
          <w:szCs w:val="24"/>
          <w:lang w:val="fr-FR"/>
        </w:rPr>
        <w:t>Celles-ci</w:t>
      </w:r>
      <w:r w:rsidRPr="00983009">
        <w:rPr>
          <w:rFonts w:cs="Arial"/>
          <w:color w:val="000000"/>
          <w:szCs w:val="24"/>
          <w:lang w:val="fr-FR"/>
        </w:rPr>
        <w:t xml:space="preserve"> doivent transmettre sans délai leur entente au Tribunal pour approbation</w:t>
      </w:r>
      <w:r>
        <w:rPr>
          <w:rStyle w:val="Appelnotedebasdep"/>
          <w:rFonts w:cs="Arial"/>
          <w:color w:val="000000"/>
          <w:szCs w:val="24"/>
          <w:lang w:val="fr-FR"/>
        </w:rPr>
        <w:footnoteReference w:id="37"/>
      </w:r>
      <w:r w:rsidRPr="00983009">
        <w:rPr>
          <w:rFonts w:cs="Arial"/>
          <w:color w:val="000000"/>
          <w:szCs w:val="24"/>
          <w:lang w:val="fr-FR"/>
        </w:rPr>
        <w:t>.</w:t>
      </w:r>
      <w:r w:rsidR="005D7E83" w:rsidRPr="005D7E83">
        <w:rPr>
          <w:szCs w:val="24"/>
          <w:lang w:eastAsia="fr-FR"/>
        </w:rPr>
        <w:t xml:space="preserve"> </w:t>
      </w:r>
    </w:p>
    <w:p w14:paraId="36013F4B" w14:textId="5C61450E" w:rsidR="002F36C5" w:rsidRPr="00F376AB" w:rsidRDefault="002F36C5" w:rsidP="002F36C5">
      <w:pPr>
        <w:pStyle w:val="corpsdedcision"/>
        <w:tabs>
          <w:tab w:val="clear" w:pos="360"/>
        </w:tabs>
        <w:rPr>
          <w:szCs w:val="24"/>
          <w:lang w:eastAsia="fr-FR"/>
        </w:rPr>
      </w:pPr>
      <w:r>
        <w:rPr>
          <w:lang w:val="fr-FR"/>
        </w:rPr>
        <w:t xml:space="preserve">À la </w:t>
      </w:r>
      <w:r w:rsidRPr="00F376AB">
        <w:rPr>
          <w:lang w:val="fr-FR"/>
        </w:rPr>
        <w:t xml:space="preserve">réception d’une entente, le Tribunal évalue la suffisance des </w:t>
      </w:r>
      <w:r>
        <w:rPr>
          <w:lang w:val="fr-FR"/>
        </w:rPr>
        <w:t>SBEP</w:t>
      </w:r>
      <w:r w:rsidRPr="00F376AB">
        <w:rPr>
          <w:spacing w:val="21"/>
          <w:lang w:val="fr-FR"/>
        </w:rPr>
        <w:t xml:space="preserve"> </w:t>
      </w:r>
      <w:r w:rsidRPr="00F376AB">
        <w:rPr>
          <w:lang w:val="fr-FR"/>
        </w:rPr>
        <w:t>qui</w:t>
      </w:r>
      <w:r w:rsidRPr="00F376AB">
        <w:rPr>
          <w:spacing w:val="21"/>
          <w:lang w:val="fr-FR"/>
        </w:rPr>
        <w:t xml:space="preserve"> </w:t>
      </w:r>
      <w:r w:rsidRPr="00F376AB">
        <w:rPr>
          <w:lang w:val="fr-FR"/>
        </w:rPr>
        <w:t>y</w:t>
      </w:r>
      <w:r w:rsidRPr="00F376AB">
        <w:rPr>
          <w:spacing w:val="21"/>
          <w:lang w:val="fr-FR"/>
        </w:rPr>
        <w:t xml:space="preserve"> </w:t>
      </w:r>
      <w:r w:rsidRPr="00F376AB">
        <w:rPr>
          <w:lang w:val="fr-FR"/>
        </w:rPr>
        <w:t>sont</w:t>
      </w:r>
      <w:r w:rsidRPr="00F376AB">
        <w:rPr>
          <w:spacing w:val="22"/>
          <w:lang w:val="fr-FR"/>
        </w:rPr>
        <w:t xml:space="preserve"> </w:t>
      </w:r>
      <w:r w:rsidRPr="00F376AB">
        <w:rPr>
          <w:lang w:val="fr-FR"/>
        </w:rPr>
        <w:t xml:space="preserve">prévus. </w:t>
      </w:r>
      <w:r w:rsidRPr="00F376AB">
        <w:rPr>
          <w:rFonts w:cs="Arial"/>
          <w:color w:val="000000"/>
          <w:szCs w:val="24"/>
          <w:lang w:val="fr-FR"/>
        </w:rPr>
        <w:t>À défaut d’entente</w:t>
      </w:r>
      <w:r w:rsidR="00482A4B">
        <w:rPr>
          <w:rFonts w:cs="Arial"/>
          <w:color w:val="000000"/>
          <w:szCs w:val="24"/>
          <w:lang w:val="fr-FR"/>
        </w:rPr>
        <w:t>,</w:t>
      </w:r>
      <w:r>
        <w:rPr>
          <w:lang w:val="fr-FR"/>
        </w:rPr>
        <w:t xml:space="preserve"> ou s</w:t>
      </w:r>
      <w:r w:rsidRPr="00F376AB">
        <w:rPr>
          <w:lang w:val="fr-FR"/>
        </w:rPr>
        <w:t>’il</w:t>
      </w:r>
      <w:r w:rsidRPr="00F376AB">
        <w:rPr>
          <w:spacing w:val="21"/>
          <w:lang w:val="fr-FR"/>
        </w:rPr>
        <w:t xml:space="preserve"> </w:t>
      </w:r>
      <w:r>
        <w:rPr>
          <w:spacing w:val="21"/>
          <w:lang w:val="fr-FR"/>
        </w:rPr>
        <w:t xml:space="preserve">la </w:t>
      </w:r>
      <w:r w:rsidRPr="00F376AB">
        <w:rPr>
          <w:lang w:val="fr-FR"/>
        </w:rPr>
        <w:t>juge</w:t>
      </w:r>
      <w:r w:rsidRPr="00F376AB">
        <w:rPr>
          <w:spacing w:val="21"/>
          <w:lang w:val="fr-FR"/>
        </w:rPr>
        <w:t xml:space="preserve"> </w:t>
      </w:r>
      <w:r>
        <w:rPr>
          <w:lang w:val="fr-FR"/>
        </w:rPr>
        <w:t>insuffisante</w:t>
      </w:r>
      <w:r w:rsidRPr="00F376AB">
        <w:rPr>
          <w:lang w:val="fr-FR"/>
        </w:rPr>
        <w:t>,</w:t>
      </w:r>
      <w:r w:rsidRPr="00F376AB">
        <w:rPr>
          <w:spacing w:val="21"/>
          <w:lang w:val="fr-FR"/>
        </w:rPr>
        <w:t xml:space="preserve"> </w:t>
      </w:r>
      <w:r w:rsidRPr="00F376AB">
        <w:rPr>
          <w:lang w:val="fr-FR"/>
        </w:rPr>
        <w:t>il</w:t>
      </w:r>
      <w:r w:rsidRPr="00F376AB">
        <w:rPr>
          <w:spacing w:val="21"/>
          <w:lang w:val="fr-FR"/>
        </w:rPr>
        <w:t xml:space="preserve"> </w:t>
      </w:r>
      <w:r w:rsidRPr="00F376AB">
        <w:rPr>
          <w:spacing w:val="-6"/>
          <w:lang w:val="fr-FR"/>
        </w:rPr>
        <w:t>doit</w:t>
      </w:r>
      <w:r w:rsidRPr="00F376AB">
        <w:rPr>
          <w:rFonts w:ascii="Times New Roman" w:hAnsi="Times New Roman"/>
        </w:rPr>
        <w:t xml:space="preserve"> </w:t>
      </w:r>
      <w:r w:rsidRPr="00F376AB">
        <w:rPr>
          <w:lang w:val="fr-FR"/>
        </w:rPr>
        <w:t>alors déterminer les services et la façon de les maintenir</w:t>
      </w:r>
      <w:r>
        <w:rPr>
          <w:rStyle w:val="Appelnotedebasdep"/>
          <w:lang w:val="fr-FR"/>
        </w:rPr>
        <w:footnoteReference w:id="38"/>
      </w:r>
      <w:r w:rsidRPr="00F376AB">
        <w:rPr>
          <w:lang w:val="fr-FR"/>
        </w:rPr>
        <w:t>.</w:t>
      </w:r>
    </w:p>
    <w:p w14:paraId="1BAF9855" w14:textId="5431406F" w:rsidR="00E40F25" w:rsidRPr="009C495B" w:rsidRDefault="002F36C5" w:rsidP="00DB7B0D">
      <w:pPr>
        <w:pStyle w:val="corpsdedcision"/>
        <w:tabs>
          <w:tab w:val="clear" w:pos="360"/>
        </w:tabs>
        <w:rPr>
          <w:lang w:eastAsia="fr-FR"/>
        </w:rPr>
      </w:pPr>
      <w:r>
        <w:rPr>
          <w:szCs w:val="24"/>
          <w:lang w:eastAsia="fr-FR"/>
        </w:rPr>
        <w:t>Le Code prévoit également que le Tribunal peut, en tout temps, de sa propre initiative ou à la demande d’une partie, modifier ou révoquer une décision qu’il a rendue</w:t>
      </w:r>
      <w:r>
        <w:rPr>
          <w:rStyle w:val="Appelnotedebasdep"/>
          <w:szCs w:val="24"/>
          <w:lang w:eastAsia="fr-FR"/>
        </w:rPr>
        <w:footnoteReference w:id="39"/>
      </w:r>
      <w:r>
        <w:rPr>
          <w:szCs w:val="24"/>
          <w:lang w:eastAsia="fr-FR"/>
        </w:rPr>
        <w:t xml:space="preserve">. Il lui accorde </w:t>
      </w:r>
      <w:r w:rsidR="00EF3C2B">
        <w:rPr>
          <w:szCs w:val="24"/>
          <w:lang w:eastAsia="fr-FR"/>
        </w:rPr>
        <w:t>l</w:t>
      </w:r>
      <w:r>
        <w:rPr>
          <w:szCs w:val="24"/>
          <w:lang w:eastAsia="fr-FR"/>
        </w:rPr>
        <w:t xml:space="preserve">es </w:t>
      </w:r>
      <w:r w:rsidR="00EF3C2B">
        <w:rPr>
          <w:szCs w:val="24"/>
          <w:lang w:eastAsia="fr-FR"/>
        </w:rPr>
        <w:t xml:space="preserve">mêmes </w:t>
      </w:r>
      <w:r>
        <w:rPr>
          <w:szCs w:val="24"/>
          <w:lang w:eastAsia="fr-FR"/>
        </w:rPr>
        <w:t xml:space="preserve">pouvoirs de redressement </w:t>
      </w:r>
      <w:r w:rsidR="00EF3C2B">
        <w:rPr>
          <w:szCs w:val="24"/>
          <w:lang w:eastAsia="fr-FR"/>
        </w:rPr>
        <w:t xml:space="preserve">qu’en matière de services essentiels </w:t>
      </w:r>
      <w:r>
        <w:rPr>
          <w:szCs w:val="24"/>
          <w:lang w:eastAsia="fr-FR"/>
        </w:rPr>
        <w:t>si une grève ou un lock-out contrevient à une disposition de la loi ou aux SBEP qui doivent être maintenus ou si ceux</w:t>
      </w:r>
      <w:r>
        <w:rPr>
          <w:szCs w:val="24"/>
          <w:lang w:eastAsia="fr-FR"/>
        </w:rPr>
        <w:noBreakHyphen/>
        <w:t xml:space="preserve">ci </w:t>
      </w:r>
      <w:r w:rsidR="00515A86">
        <w:rPr>
          <w:szCs w:val="24"/>
          <w:lang w:eastAsia="fr-FR"/>
        </w:rPr>
        <w:t>s’avèrent</w:t>
      </w:r>
      <w:r>
        <w:rPr>
          <w:szCs w:val="24"/>
          <w:lang w:eastAsia="fr-FR"/>
        </w:rPr>
        <w:t xml:space="preserve"> </w:t>
      </w:r>
      <w:r w:rsidR="00515A86">
        <w:rPr>
          <w:szCs w:val="24"/>
          <w:lang w:eastAsia="fr-FR"/>
        </w:rPr>
        <w:t>in</w:t>
      </w:r>
      <w:r>
        <w:rPr>
          <w:szCs w:val="24"/>
          <w:lang w:eastAsia="fr-FR"/>
        </w:rPr>
        <w:t>suffisants</w:t>
      </w:r>
      <w:r>
        <w:rPr>
          <w:rStyle w:val="Appelnotedebasdep"/>
          <w:szCs w:val="24"/>
          <w:lang w:eastAsia="fr-FR"/>
        </w:rPr>
        <w:footnoteReference w:id="40"/>
      </w:r>
      <w:r>
        <w:rPr>
          <w:szCs w:val="24"/>
          <w:lang w:eastAsia="fr-FR"/>
        </w:rPr>
        <w:t>.</w:t>
      </w:r>
    </w:p>
    <w:p w14:paraId="4CE768ED" w14:textId="29FBCCC1" w:rsidR="00FF4826" w:rsidRDefault="00FF4826" w:rsidP="002E357D">
      <w:pPr>
        <w:pStyle w:val="Titre1"/>
      </w:pPr>
      <w:r>
        <w:t>le contexte factuel</w:t>
      </w:r>
    </w:p>
    <w:p w14:paraId="756D236E" w14:textId="70AAF173" w:rsidR="00414578" w:rsidRDefault="00414578" w:rsidP="00414578">
      <w:pPr>
        <w:pStyle w:val="Titre2"/>
      </w:pPr>
      <w:r>
        <w:t>les parties</w:t>
      </w:r>
    </w:p>
    <w:p w14:paraId="352354AD" w14:textId="5030DBF1" w:rsidR="00922640" w:rsidRPr="001674E5" w:rsidRDefault="00922640" w:rsidP="00124C25">
      <w:pPr>
        <w:pStyle w:val="corpsdedcision"/>
      </w:pPr>
      <w:r>
        <w:t>L</w:t>
      </w:r>
      <w:r w:rsidRPr="001674E5">
        <w:t xml:space="preserve">’employeur est un </w:t>
      </w:r>
      <w:r w:rsidR="007536C0">
        <w:t>c</w:t>
      </w:r>
      <w:r w:rsidR="007536C0" w:rsidRPr="001674E5">
        <w:t xml:space="preserve">entre </w:t>
      </w:r>
      <w:r w:rsidRPr="001674E5">
        <w:t xml:space="preserve">de la petite enfance, CPE, situé à Roberval, au Saguenay-Lac-Saint-Jean. Il offre des services de garde éducatifs, comme prévu à la </w:t>
      </w:r>
      <w:r w:rsidRPr="001674E5">
        <w:rPr>
          <w:i/>
          <w:iCs/>
        </w:rPr>
        <w:t>Loi</w:t>
      </w:r>
      <w:r w:rsidR="00326506">
        <w:rPr>
          <w:i/>
          <w:iCs/>
        </w:rPr>
        <w:t> </w:t>
      </w:r>
      <w:r w:rsidRPr="001674E5">
        <w:rPr>
          <w:i/>
          <w:iCs/>
        </w:rPr>
        <w:t>sur les services de garde éducatifs à l’enfance</w:t>
      </w:r>
      <w:r w:rsidRPr="001674E5">
        <w:rPr>
          <w:rStyle w:val="Appelnotedebasdep"/>
        </w:rPr>
        <w:footnoteReference w:id="41"/>
      </w:r>
      <w:r w:rsidRPr="001674E5">
        <w:t>. Il détient un permis du ministère de la Famille qui lui permet d’accueillir 80 enfants</w:t>
      </w:r>
      <w:r w:rsidRPr="001674E5">
        <w:rPr>
          <w:rStyle w:val="Appelnotedebasdep"/>
        </w:rPr>
        <w:footnoteReference w:id="42"/>
      </w:r>
      <w:r w:rsidRPr="001674E5">
        <w:t>, âgés de 0 à 5 ans.</w:t>
      </w:r>
      <w:r w:rsidR="00124C25">
        <w:t xml:space="preserve"> Il</w:t>
      </w:r>
      <w:r w:rsidRPr="001674E5">
        <w:t xml:space="preserve"> est un organisme sans but lucratif, dirigé par un conseil d’administration,</w:t>
      </w:r>
      <w:r w:rsidR="00AF0EC1">
        <w:t xml:space="preserve"> dont au moins les deux tiers des membres sont des parents</w:t>
      </w:r>
      <w:r w:rsidRPr="001674E5">
        <w:rPr>
          <w:rStyle w:val="Appelnotedebasdep"/>
        </w:rPr>
        <w:footnoteReference w:id="43"/>
      </w:r>
      <w:r w:rsidRPr="001674E5">
        <w:t>.</w:t>
      </w:r>
      <w:r w:rsidR="00124C25">
        <w:t xml:space="preserve"> </w:t>
      </w:r>
      <w:r w:rsidRPr="001674E5">
        <w:t>Deux employé</w:t>
      </w:r>
      <w:r w:rsidR="007E483E">
        <w:t>e</w:t>
      </w:r>
      <w:r w:rsidRPr="001674E5">
        <w:t>s cadres, la directrice générale et la directrice adjointe</w:t>
      </w:r>
      <w:r w:rsidR="00AE039D">
        <w:t>,</w:t>
      </w:r>
      <w:r w:rsidRPr="001674E5">
        <w:t xml:space="preserve"> gèrent l’organisme. Toutes deux sont également des éducatrices qualifiées.</w:t>
      </w:r>
    </w:p>
    <w:p w14:paraId="1B88D768" w14:textId="39032022" w:rsidR="00414578" w:rsidRDefault="00922640" w:rsidP="00124C25">
      <w:pPr>
        <w:pStyle w:val="corpsdedcision"/>
      </w:pPr>
      <w:r w:rsidRPr="001674E5">
        <w:t>Le syndicat est une association accréditée au sens du Code, qui représente toutes les personnes salariées de l’employeur, à savoir seize éducatrices qualifiées, deux éducatrices non qualifiées et deux responsables de l’alimentation.</w:t>
      </w:r>
    </w:p>
    <w:p w14:paraId="3B6117CE" w14:textId="21F1929C" w:rsidR="00922640" w:rsidRPr="001674E5" w:rsidRDefault="00414578" w:rsidP="00B77C67">
      <w:pPr>
        <w:pStyle w:val="Titre2"/>
        <w:jc w:val="both"/>
      </w:pPr>
      <w:r>
        <w:t>les nÉgoc</w:t>
      </w:r>
      <w:r w:rsidR="00F1343C">
        <w:t>I</w:t>
      </w:r>
      <w:r>
        <w:t xml:space="preserve">ations pour le renouvellement de la </w:t>
      </w:r>
      <w:r w:rsidR="008B60AB">
        <w:t xml:space="preserve">convention </w:t>
      </w:r>
      <w:r w:rsidRPr="004B7169">
        <w:t>collective</w:t>
      </w:r>
    </w:p>
    <w:p w14:paraId="6F1B6AFE" w14:textId="53BE0998" w:rsidR="00124C25" w:rsidRDefault="00124C25" w:rsidP="00326506">
      <w:pPr>
        <w:pStyle w:val="corpsdedcision"/>
        <w:rPr>
          <w:lang w:eastAsia="fr-FR"/>
        </w:rPr>
      </w:pPr>
      <w:r w:rsidRPr="001674E5">
        <w:t>La convention collective qui lie les parties est échue depuis le 31 mars 2023.</w:t>
      </w:r>
    </w:p>
    <w:p w14:paraId="4A301FC5" w14:textId="785548F2" w:rsidR="00414578" w:rsidRPr="001674E5" w:rsidRDefault="00922640" w:rsidP="00414578">
      <w:pPr>
        <w:pStyle w:val="corpsdedcision"/>
        <w:rPr>
          <w:lang w:eastAsia="fr-FR"/>
        </w:rPr>
      </w:pPr>
      <w:r w:rsidRPr="001674E5">
        <w:t>Bien que cette façon de faire ne soit pas encadrée par la loi, depuis plusieurs années, avec l’accord de toutes les parties impliquées, les négociations dans le secteur des CPE se déroulent sur trois paliers : national, régional et local.</w:t>
      </w:r>
    </w:p>
    <w:p w14:paraId="27109D29" w14:textId="19A10CE0" w:rsidR="00414578" w:rsidRDefault="00922640" w:rsidP="00414578">
      <w:pPr>
        <w:pStyle w:val="corpsdedcision"/>
        <w:tabs>
          <w:tab w:val="clear" w:pos="360"/>
          <w:tab w:val="num" w:pos="720"/>
        </w:tabs>
        <w:rPr>
          <w:lang w:eastAsia="fr-FR"/>
        </w:rPr>
      </w:pPr>
      <w:r w:rsidRPr="001674E5">
        <w:t>Pour qu’une convention collective soit conclue entre un employeur et une association accréditée, il doit y avoir entente aux trois paliers de négociation.</w:t>
      </w:r>
    </w:p>
    <w:p w14:paraId="18E9F082" w14:textId="418B8C72" w:rsidR="00BB18CA" w:rsidRPr="001674E5" w:rsidRDefault="00BB18CA" w:rsidP="00414578">
      <w:pPr>
        <w:pStyle w:val="corpsdedcision"/>
        <w:tabs>
          <w:tab w:val="clear" w:pos="360"/>
          <w:tab w:val="num" w:pos="720"/>
        </w:tabs>
        <w:rPr>
          <w:lang w:eastAsia="fr-FR"/>
        </w:rPr>
      </w:pPr>
      <w:r w:rsidRPr="001674E5">
        <w:rPr>
          <w:lang w:eastAsia="fr-FR"/>
        </w:rPr>
        <w:t xml:space="preserve">La table nationale permet de négocier les </w:t>
      </w:r>
      <w:r w:rsidR="008316DA">
        <w:rPr>
          <w:lang w:eastAsia="fr-FR"/>
        </w:rPr>
        <w:t>aspect</w:t>
      </w:r>
      <w:r w:rsidRPr="001674E5">
        <w:rPr>
          <w:lang w:eastAsia="fr-FR"/>
        </w:rPr>
        <w:t>s monétaires et certaines conditions normatives avec la participation du ministère de la Famille et du Conseil du trésor</w:t>
      </w:r>
      <w:r w:rsidR="00FB1D99">
        <w:rPr>
          <w:lang w:eastAsia="fr-FR"/>
        </w:rPr>
        <w:t>. Le gouvern</w:t>
      </w:r>
      <w:r w:rsidR="00A24ACB">
        <w:rPr>
          <w:lang w:eastAsia="fr-FR"/>
        </w:rPr>
        <w:t>e</w:t>
      </w:r>
      <w:r w:rsidR="00FB1D99">
        <w:rPr>
          <w:lang w:eastAsia="fr-FR"/>
        </w:rPr>
        <w:t xml:space="preserve">ment est non seulement </w:t>
      </w:r>
      <w:r w:rsidRPr="001674E5">
        <w:rPr>
          <w:lang w:eastAsia="fr-FR"/>
        </w:rPr>
        <w:t xml:space="preserve">le </w:t>
      </w:r>
      <w:r w:rsidR="00A03F9D">
        <w:rPr>
          <w:lang w:eastAsia="fr-FR"/>
        </w:rPr>
        <w:t xml:space="preserve">principal </w:t>
      </w:r>
      <w:r w:rsidRPr="001674E5">
        <w:rPr>
          <w:lang w:eastAsia="fr-FR"/>
        </w:rPr>
        <w:t>bailleur de fonds dans ce secteur</w:t>
      </w:r>
      <w:r w:rsidR="00FB1D99">
        <w:rPr>
          <w:lang w:eastAsia="fr-FR"/>
        </w:rPr>
        <w:t xml:space="preserve">, mais </w:t>
      </w:r>
      <w:r w:rsidR="008951D9">
        <w:rPr>
          <w:lang w:eastAsia="fr-FR"/>
        </w:rPr>
        <w:t xml:space="preserve">il </w:t>
      </w:r>
      <w:r w:rsidR="00A24ACB">
        <w:rPr>
          <w:lang w:eastAsia="fr-FR"/>
        </w:rPr>
        <w:t xml:space="preserve">établit </w:t>
      </w:r>
      <w:r w:rsidR="00E1447C">
        <w:rPr>
          <w:lang w:eastAsia="fr-FR"/>
        </w:rPr>
        <w:t xml:space="preserve">également </w:t>
      </w:r>
      <w:r w:rsidR="00A24ACB">
        <w:rPr>
          <w:lang w:eastAsia="fr-FR"/>
        </w:rPr>
        <w:t xml:space="preserve">le cadre normatif des services </w:t>
      </w:r>
      <w:r w:rsidR="00471AFA">
        <w:rPr>
          <w:lang w:eastAsia="fr-FR"/>
        </w:rPr>
        <w:t xml:space="preserve">de garde </w:t>
      </w:r>
      <w:r w:rsidR="00A24ACB">
        <w:rPr>
          <w:lang w:eastAsia="fr-FR"/>
        </w:rPr>
        <w:t>éducatifs</w:t>
      </w:r>
      <w:r w:rsidRPr="001674E5">
        <w:rPr>
          <w:rStyle w:val="Appelnotedebasdep"/>
          <w:lang w:eastAsia="fr-FR"/>
        </w:rPr>
        <w:footnoteReference w:id="44"/>
      </w:r>
      <w:r w:rsidRPr="001674E5">
        <w:rPr>
          <w:lang w:eastAsia="fr-FR"/>
        </w:rPr>
        <w:t>.</w:t>
      </w:r>
    </w:p>
    <w:p w14:paraId="5383483F" w14:textId="65A4373B" w:rsidR="00BB18CA" w:rsidRPr="001674E5" w:rsidRDefault="00AA3E98" w:rsidP="005C4667">
      <w:pPr>
        <w:pStyle w:val="corpsdedcision"/>
        <w:rPr>
          <w:lang w:eastAsia="fr-FR"/>
        </w:rPr>
      </w:pPr>
      <w:r>
        <w:rPr>
          <w:lang w:eastAsia="fr-FR"/>
        </w:rPr>
        <w:t>Les négociations nationales entre</w:t>
      </w:r>
      <w:r w:rsidRPr="001674E5">
        <w:rPr>
          <w:lang w:eastAsia="fr-FR"/>
        </w:rPr>
        <w:t xml:space="preserve"> différentes associations patronales de CPE et la Fédération de la santé et des services sociaux</w:t>
      </w:r>
      <w:r>
        <w:rPr>
          <w:lang w:eastAsia="fr-FR"/>
        </w:rPr>
        <w:t xml:space="preserve">, affiliée à la </w:t>
      </w:r>
      <w:r w:rsidRPr="001674E5">
        <w:rPr>
          <w:lang w:eastAsia="fr-FR"/>
        </w:rPr>
        <w:t>Confédération des syndicats nationaux</w:t>
      </w:r>
      <w:r>
        <w:rPr>
          <w:lang w:eastAsia="fr-FR"/>
        </w:rPr>
        <w:t>,</w:t>
      </w:r>
      <w:r w:rsidRPr="001674E5">
        <w:rPr>
          <w:lang w:eastAsia="fr-FR"/>
        </w:rPr>
        <w:t xml:space="preserve"> </w:t>
      </w:r>
      <w:r>
        <w:rPr>
          <w:lang w:eastAsia="fr-FR"/>
        </w:rPr>
        <w:t xml:space="preserve">la </w:t>
      </w:r>
      <w:r w:rsidRPr="001674E5">
        <w:rPr>
          <w:lang w:eastAsia="fr-FR"/>
        </w:rPr>
        <w:t>FSSS-CSN</w:t>
      </w:r>
      <w:r>
        <w:rPr>
          <w:lang w:eastAsia="fr-FR"/>
        </w:rPr>
        <w:t xml:space="preserve">, </w:t>
      </w:r>
      <w:r w:rsidR="00BB18CA">
        <w:rPr>
          <w:lang w:eastAsia="fr-FR"/>
        </w:rPr>
        <w:t xml:space="preserve">débutent en juin 2023 et se </w:t>
      </w:r>
      <w:r w:rsidR="008B60AB">
        <w:rPr>
          <w:lang w:eastAsia="fr-FR"/>
        </w:rPr>
        <w:t>conclue</w:t>
      </w:r>
      <w:r w:rsidR="008951D9">
        <w:rPr>
          <w:lang w:eastAsia="fr-FR"/>
        </w:rPr>
        <w:t>nt</w:t>
      </w:r>
      <w:r w:rsidR="008B60AB">
        <w:rPr>
          <w:lang w:eastAsia="fr-FR"/>
        </w:rPr>
        <w:t xml:space="preserve"> </w:t>
      </w:r>
      <w:r w:rsidR="00BB18CA">
        <w:rPr>
          <w:lang w:eastAsia="fr-FR"/>
        </w:rPr>
        <w:t>le 5 mai 2025 par une entente de principe</w:t>
      </w:r>
      <w:r w:rsidR="00BE29F9">
        <w:rPr>
          <w:rStyle w:val="Appelnotedebasdep"/>
          <w:lang w:eastAsia="fr-FR"/>
        </w:rPr>
        <w:footnoteReference w:id="45"/>
      </w:r>
      <w:r w:rsidR="00BB18CA">
        <w:rPr>
          <w:lang w:eastAsia="fr-FR"/>
        </w:rPr>
        <w:t xml:space="preserve">. </w:t>
      </w:r>
      <w:r w:rsidR="00F1343C">
        <w:rPr>
          <w:lang w:eastAsia="fr-FR"/>
        </w:rPr>
        <w:t>Treize</w:t>
      </w:r>
      <w:r w:rsidR="00361354">
        <w:rPr>
          <w:lang w:eastAsia="fr-FR"/>
        </w:rPr>
        <w:t xml:space="preserve"> journées de grève ont été tenues</w:t>
      </w:r>
      <w:r w:rsidR="00531841">
        <w:rPr>
          <w:lang w:eastAsia="fr-FR"/>
        </w:rPr>
        <w:t xml:space="preserve"> à travers la province par les associations affiliées à la FSSS-CSN</w:t>
      </w:r>
      <w:r w:rsidR="00A16C8B">
        <w:rPr>
          <w:lang w:eastAsia="fr-FR"/>
        </w:rPr>
        <w:t>.</w:t>
      </w:r>
      <w:r w:rsidR="00C606B6">
        <w:rPr>
          <w:lang w:eastAsia="fr-FR"/>
        </w:rPr>
        <w:t xml:space="preserve"> </w:t>
      </w:r>
      <w:r w:rsidR="009F596E">
        <w:rPr>
          <w:lang w:eastAsia="fr-FR"/>
        </w:rPr>
        <w:t>Entre</w:t>
      </w:r>
      <w:r w:rsidR="00F1343C">
        <w:rPr>
          <w:lang w:eastAsia="fr-FR"/>
        </w:rPr>
        <w:t>-</w:t>
      </w:r>
      <w:r w:rsidR="00C606B6">
        <w:rPr>
          <w:lang w:eastAsia="fr-FR"/>
        </w:rPr>
        <w:t xml:space="preserve">temps, rappelons que </w:t>
      </w:r>
      <w:r w:rsidR="00933DB5">
        <w:rPr>
          <w:lang w:eastAsia="fr-FR"/>
        </w:rPr>
        <w:t>le projet de loi</w:t>
      </w:r>
      <w:r w:rsidR="00326506">
        <w:rPr>
          <w:lang w:eastAsia="fr-FR"/>
        </w:rPr>
        <w:t> </w:t>
      </w:r>
      <w:r w:rsidR="00F23069" w:rsidRPr="00F23069">
        <w:rPr>
          <w:lang w:eastAsia="fr-FR"/>
        </w:rPr>
        <w:t>n°</w:t>
      </w:r>
      <w:r w:rsidR="00933DB5">
        <w:rPr>
          <w:lang w:eastAsia="fr-FR"/>
        </w:rPr>
        <w:t>89</w:t>
      </w:r>
      <w:r w:rsidR="00864904">
        <w:rPr>
          <w:lang w:eastAsia="fr-FR"/>
        </w:rPr>
        <w:t>,</w:t>
      </w:r>
      <w:r w:rsidR="00933DB5">
        <w:rPr>
          <w:lang w:eastAsia="fr-FR"/>
        </w:rPr>
        <w:t xml:space="preserve"> devenu la Loi 14</w:t>
      </w:r>
      <w:r w:rsidR="00864904">
        <w:rPr>
          <w:lang w:eastAsia="fr-FR"/>
        </w:rPr>
        <w:t>,</w:t>
      </w:r>
      <w:r w:rsidR="00933DB5">
        <w:rPr>
          <w:lang w:eastAsia="fr-FR"/>
        </w:rPr>
        <w:t xml:space="preserve"> est présenté le 19 </w:t>
      </w:r>
      <w:r w:rsidR="009F596E">
        <w:rPr>
          <w:lang w:eastAsia="fr-FR"/>
        </w:rPr>
        <w:t>février</w:t>
      </w:r>
      <w:r w:rsidR="00933DB5">
        <w:rPr>
          <w:lang w:eastAsia="fr-FR"/>
        </w:rPr>
        <w:t xml:space="preserve"> 2025 et qu</w:t>
      </w:r>
      <w:r w:rsidR="009F596E">
        <w:rPr>
          <w:lang w:eastAsia="fr-FR"/>
        </w:rPr>
        <w:t>’il est sanctionné le 30</w:t>
      </w:r>
      <w:r w:rsidR="00147A94">
        <w:rPr>
          <w:lang w:eastAsia="fr-FR"/>
        </w:rPr>
        <w:t> </w:t>
      </w:r>
      <w:r w:rsidR="009F596E">
        <w:rPr>
          <w:lang w:eastAsia="fr-FR"/>
        </w:rPr>
        <w:t>mai</w:t>
      </w:r>
      <w:r w:rsidR="00147A94">
        <w:rPr>
          <w:lang w:eastAsia="fr-FR"/>
        </w:rPr>
        <w:t> </w:t>
      </w:r>
      <w:r w:rsidR="009F596E">
        <w:rPr>
          <w:lang w:eastAsia="fr-FR"/>
        </w:rPr>
        <w:t>suivant.</w:t>
      </w:r>
    </w:p>
    <w:p w14:paraId="20CB5C5B" w14:textId="37BA3464" w:rsidR="00BB18CA" w:rsidRPr="001674E5" w:rsidRDefault="00531841" w:rsidP="00D0077D">
      <w:pPr>
        <w:pStyle w:val="corpsdedcision"/>
        <w:spacing w:after="0"/>
        <w:rPr>
          <w:lang w:eastAsia="fr-FR"/>
        </w:rPr>
      </w:pPr>
      <w:r>
        <w:rPr>
          <w:lang w:eastAsia="fr-FR" w:bidi="fr-FR"/>
        </w:rPr>
        <w:t>De façon parallèle, l</w:t>
      </w:r>
      <w:r w:rsidR="00BB18CA">
        <w:rPr>
          <w:lang w:eastAsia="fr-FR" w:bidi="fr-FR"/>
        </w:rPr>
        <w:t>es négociations au palier régional commencent en juin 2024</w:t>
      </w:r>
      <w:r w:rsidR="003C331B">
        <w:rPr>
          <w:lang w:eastAsia="fr-FR" w:bidi="fr-FR"/>
        </w:rPr>
        <w:t xml:space="preserve"> et se terminent </w:t>
      </w:r>
      <w:r w:rsidR="00BB18CA">
        <w:rPr>
          <w:lang w:eastAsia="fr-FR" w:bidi="fr-FR"/>
        </w:rPr>
        <w:t>le 4 décembre de la même année</w:t>
      </w:r>
      <w:r w:rsidR="003C331B">
        <w:rPr>
          <w:lang w:eastAsia="fr-FR" w:bidi="fr-FR"/>
        </w:rPr>
        <w:t xml:space="preserve"> par une entente de principe</w:t>
      </w:r>
      <w:r w:rsidR="00BB18CA">
        <w:rPr>
          <w:lang w:eastAsia="fr-FR" w:bidi="fr-FR"/>
        </w:rPr>
        <w:t>.</w:t>
      </w:r>
      <w:r w:rsidR="00BB18CA" w:rsidRPr="00BB18CA">
        <w:rPr>
          <w:lang w:eastAsia="fr-FR"/>
        </w:rPr>
        <w:t xml:space="preserve"> </w:t>
      </w:r>
      <w:r w:rsidR="003C331B">
        <w:rPr>
          <w:lang w:eastAsia="fr-FR"/>
        </w:rPr>
        <w:t>Ces</w:t>
      </w:r>
      <w:r w:rsidR="00326506">
        <w:rPr>
          <w:lang w:eastAsia="fr-FR"/>
        </w:rPr>
        <w:t> </w:t>
      </w:r>
      <w:r w:rsidR="003C331B">
        <w:rPr>
          <w:lang w:eastAsia="fr-FR"/>
        </w:rPr>
        <w:t>négociations régionales</w:t>
      </w:r>
      <w:r w:rsidR="00414578">
        <w:rPr>
          <w:lang w:eastAsia="fr-FR"/>
        </w:rPr>
        <w:t xml:space="preserve"> se déroulent entre</w:t>
      </w:r>
      <w:r w:rsidR="00BB18CA" w:rsidRPr="001674E5">
        <w:rPr>
          <w:lang w:eastAsia="fr-FR"/>
        </w:rPr>
        <w:t xml:space="preserve"> l’Association patronale des Centres de la petite enfance et bureaux coordonnateurs du Saguenay-Lac-Saint-Jean, qui regroupe </w:t>
      </w:r>
      <w:r w:rsidR="00714962">
        <w:rPr>
          <w:lang w:eastAsia="fr-FR"/>
        </w:rPr>
        <w:t>9</w:t>
      </w:r>
      <w:r w:rsidR="008A5030">
        <w:rPr>
          <w:lang w:eastAsia="fr-FR"/>
        </w:rPr>
        <w:t> </w:t>
      </w:r>
      <w:r w:rsidR="00BB18CA" w:rsidRPr="001674E5">
        <w:rPr>
          <w:lang w:eastAsia="fr-FR"/>
        </w:rPr>
        <w:t>employeurs et 14</w:t>
      </w:r>
      <w:r w:rsidR="00E73AAF">
        <w:rPr>
          <w:lang w:eastAsia="fr-FR"/>
        </w:rPr>
        <w:t xml:space="preserve"> </w:t>
      </w:r>
      <w:r w:rsidR="00BB18CA" w:rsidRPr="001674E5">
        <w:rPr>
          <w:lang w:eastAsia="fr-FR"/>
        </w:rPr>
        <w:t xml:space="preserve">établissements, et le </w:t>
      </w:r>
      <w:r w:rsidR="00977AE1">
        <w:rPr>
          <w:lang w:eastAsia="fr-FR"/>
        </w:rPr>
        <w:t>s</w:t>
      </w:r>
      <w:r w:rsidR="00977AE1" w:rsidRPr="001674E5">
        <w:rPr>
          <w:lang w:eastAsia="fr-FR"/>
        </w:rPr>
        <w:t>yndicat</w:t>
      </w:r>
      <w:r w:rsidR="00BB18CA" w:rsidRPr="001674E5">
        <w:rPr>
          <w:lang w:eastAsia="fr-FR"/>
        </w:rPr>
        <w:t>, qui représente 850 personnes salariées travaillant pour des CPE de la région du Saguenay-Lac</w:t>
      </w:r>
      <w:r w:rsidR="004F0B98">
        <w:rPr>
          <w:lang w:eastAsia="fr-FR"/>
        </w:rPr>
        <w:noBreakHyphen/>
      </w:r>
      <w:r w:rsidR="00BB18CA" w:rsidRPr="001674E5">
        <w:rPr>
          <w:lang w:eastAsia="fr-FR"/>
        </w:rPr>
        <w:t>Saint-Jean, dont</w:t>
      </w:r>
      <w:r w:rsidR="00BB18CA" w:rsidRPr="001674E5">
        <w:rPr>
          <w:lang w:eastAsia="fr-FR" w:bidi="fr-FR"/>
        </w:rPr>
        <w:t xml:space="preserve"> </w:t>
      </w:r>
      <w:r w:rsidR="00FE1C62">
        <w:rPr>
          <w:lang w:eastAsia="fr-FR" w:bidi="fr-FR"/>
        </w:rPr>
        <w:t>l’employeur</w:t>
      </w:r>
      <w:r w:rsidR="00BB18CA" w:rsidRPr="001674E5">
        <w:rPr>
          <w:rStyle w:val="Appelnotedebasdep"/>
          <w:lang w:eastAsia="fr-FR" w:bidi="fr-FR"/>
        </w:rPr>
        <w:footnoteReference w:id="46"/>
      </w:r>
      <w:r w:rsidR="00BB18CA" w:rsidRPr="001674E5">
        <w:rPr>
          <w:lang w:eastAsia="fr-FR" w:bidi="fr-FR"/>
        </w:rPr>
        <w:t xml:space="preserve">. </w:t>
      </w:r>
      <w:r w:rsidR="00BB18CA" w:rsidRPr="00BB18CA">
        <w:rPr>
          <w:lang w:eastAsia="fr-FR" w:bidi="fr-FR"/>
        </w:rPr>
        <w:t>La directrice générale du CPE Le Jardin de Robi fait partie du comité de négociation patronal.</w:t>
      </w:r>
    </w:p>
    <w:p w14:paraId="3B498C39" w14:textId="2AC0C281" w:rsidR="00414578" w:rsidRPr="001674E5" w:rsidRDefault="00414578" w:rsidP="00D0077D">
      <w:pPr>
        <w:pStyle w:val="corpsdedcision"/>
        <w:spacing w:before="360"/>
        <w:rPr>
          <w:lang w:eastAsia="fr-FR"/>
        </w:rPr>
      </w:pPr>
      <w:r w:rsidRPr="001674E5">
        <w:rPr>
          <w:lang w:eastAsia="fr-FR"/>
        </w:rPr>
        <w:t>Il ne reste donc qu’à parvenir à une entente au palier local pour que les parties puissent renouveler leur convention collective pour la période 2023-2028.</w:t>
      </w:r>
    </w:p>
    <w:p w14:paraId="78C6BAD1" w14:textId="0FDB330E" w:rsidR="00BB18CA" w:rsidRPr="001674E5" w:rsidRDefault="00414578" w:rsidP="00BB18CA">
      <w:pPr>
        <w:pStyle w:val="corpsdedcision"/>
        <w:rPr>
          <w:lang w:eastAsia="fr-FR"/>
        </w:rPr>
      </w:pPr>
      <w:r w:rsidRPr="00AA3E98">
        <w:rPr>
          <w:lang w:eastAsia="fr-FR"/>
        </w:rPr>
        <w:t>Les négociations au palier local commencent le 16 janvier 2025</w:t>
      </w:r>
      <w:r w:rsidRPr="00414578">
        <w:rPr>
          <w:lang w:eastAsia="fr-FR"/>
        </w:rPr>
        <w:t>. Elles sont aussi effectuées par les comités de négociation impliqués dans la négociation régionale. Les</w:t>
      </w:r>
      <w:r w:rsidR="00E41AA5">
        <w:rPr>
          <w:lang w:eastAsia="fr-FR"/>
        </w:rPr>
        <w:t> </w:t>
      </w:r>
      <w:r w:rsidRPr="00414578">
        <w:rPr>
          <w:lang w:eastAsia="fr-FR"/>
        </w:rPr>
        <w:t>enjeux locaux pour chacun des CPE concernés sont discutés à tour de rôle.</w:t>
      </w:r>
    </w:p>
    <w:p w14:paraId="70A3756E" w14:textId="3EE45268" w:rsidR="00414578" w:rsidRDefault="00AA3E98" w:rsidP="00414578">
      <w:pPr>
        <w:pStyle w:val="corpsdedcision"/>
      </w:pPr>
      <w:r w:rsidRPr="00AA3E98">
        <w:t xml:space="preserve">Le dossier du CPE </w:t>
      </w:r>
      <w:r w:rsidR="00471AFA">
        <w:t>L</w:t>
      </w:r>
      <w:r w:rsidRPr="00AA3E98">
        <w:t xml:space="preserve">e Jardin de Robi est abordé </w:t>
      </w:r>
      <w:r w:rsidR="00414578" w:rsidRPr="00AA3E98">
        <w:t>pour la première fois le 30</w:t>
      </w:r>
      <w:r w:rsidR="00E41AA5">
        <w:t> </w:t>
      </w:r>
      <w:r w:rsidR="00414578" w:rsidRPr="00AA3E98">
        <w:t>janvier</w:t>
      </w:r>
      <w:r w:rsidR="00E41AA5">
        <w:t> </w:t>
      </w:r>
      <w:r w:rsidR="00414578" w:rsidRPr="00AA3E98">
        <w:t>2025.</w:t>
      </w:r>
      <w:r w:rsidR="00414578">
        <w:t xml:space="preserve"> </w:t>
      </w:r>
      <w:r>
        <w:t>Les parties</w:t>
      </w:r>
      <w:r w:rsidR="00FE1C62">
        <w:t xml:space="preserve"> </w:t>
      </w:r>
      <w:r w:rsidR="00414578">
        <w:t>s’entendent alors sur l’ensemble des matières discutées</w:t>
      </w:r>
      <w:r w:rsidR="00515A86">
        <w:t>,</w:t>
      </w:r>
      <w:r w:rsidR="00414578">
        <w:t xml:space="preserve"> à l’exception de deux demandes patronales, soit </w:t>
      </w:r>
      <w:r w:rsidR="00616E7E">
        <w:t>la réduction du</w:t>
      </w:r>
      <w:r w:rsidR="00414578">
        <w:t xml:space="preserve"> nombre d’heures de travail hebdomadaire à la cuisine et la </w:t>
      </w:r>
      <w:r w:rsidR="00616E7E">
        <w:t xml:space="preserve">suppression de la </w:t>
      </w:r>
      <w:r w:rsidR="00414578">
        <w:t>rémunération de la pause repas de 30</w:t>
      </w:r>
      <w:r w:rsidR="00E41AA5">
        <w:t> </w:t>
      </w:r>
      <w:r w:rsidR="00414578">
        <w:t>minutes.</w:t>
      </w:r>
    </w:p>
    <w:p w14:paraId="49DCE1BD" w14:textId="3F0D9215" w:rsidR="00414578" w:rsidRDefault="00414578" w:rsidP="00414578">
      <w:pPr>
        <w:pStyle w:val="corpsdedcision"/>
      </w:pPr>
      <w:r>
        <w:t>Invoquant une situation financière précaire, l’employeur souhaite réduire le nombre d’heures effectuées par les salari</w:t>
      </w:r>
      <w:r w:rsidRPr="00974906">
        <w:t>é</w:t>
      </w:r>
      <w:r w:rsidR="00714962" w:rsidRPr="00974906">
        <w:t>e</w:t>
      </w:r>
      <w:r w:rsidRPr="00974906">
        <w:t>s</w:t>
      </w:r>
      <w:r>
        <w:t xml:space="preserve"> responsables de l’alimentation de 52 à 40</w:t>
      </w:r>
      <w:r w:rsidR="00761ED5">
        <w:t> </w:t>
      </w:r>
      <w:r>
        <w:t>heures par semaine. Il demande aussi que la pause repas de 30 minutes</w:t>
      </w:r>
      <w:r w:rsidR="00515A86">
        <w:t>,</w:t>
      </w:r>
      <w:r>
        <w:t xml:space="preserve"> </w:t>
      </w:r>
      <w:r w:rsidR="0044426C">
        <w:t>qui est rémunérée</w:t>
      </w:r>
      <w:r w:rsidR="00515A86">
        <w:t>,</w:t>
      </w:r>
      <w:r w:rsidR="0044426C">
        <w:t xml:space="preserve"> </w:t>
      </w:r>
      <w:r w:rsidR="002434C0">
        <w:t xml:space="preserve">ne </w:t>
      </w:r>
      <w:r w:rsidR="0044426C">
        <w:t xml:space="preserve">le </w:t>
      </w:r>
      <w:r>
        <w:t xml:space="preserve">soit </w:t>
      </w:r>
      <w:r w:rsidR="00AA5A7B">
        <w:t xml:space="preserve">plus </w:t>
      </w:r>
      <w:r w:rsidR="00887EF2">
        <w:t>dorén</w:t>
      </w:r>
      <w:r w:rsidR="005B40CA">
        <w:t>avant</w:t>
      </w:r>
      <w:r w:rsidR="00031F46">
        <w:t xml:space="preserve">. </w:t>
      </w:r>
      <w:r>
        <w:t xml:space="preserve">Il s’agit </w:t>
      </w:r>
      <w:r w:rsidR="00616E7E">
        <w:t xml:space="preserve">de la perte </w:t>
      </w:r>
      <w:r>
        <w:t>d’un avantage local dont bénéficient depuis 40 ans les personnes salariées représentées par le syndicat.</w:t>
      </w:r>
    </w:p>
    <w:p w14:paraId="033490C5" w14:textId="697B278B" w:rsidR="00A916C5" w:rsidRPr="001674E5" w:rsidRDefault="0014434F" w:rsidP="00A916C5">
      <w:pPr>
        <w:pStyle w:val="corpsdedcision"/>
        <w:rPr>
          <w:lang w:eastAsia="fr-FR"/>
        </w:rPr>
      </w:pPr>
      <w:r w:rsidRPr="001674E5">
        <w:rPr>
          <w:lang w:eastAsia="fr-FR"/>
        </w:rPr>
        <w:t>Lors d’une séance de négociation</w:t>
      </w:r>
      <w:r w:rsidR="00CB4171">
        <w:rPr>
          <w:lang w:eastAsia="fr-FR"/>
        </w:rPr>
        <w:t xml:space="preserve"> locale tenue le</w:t>
      </w:r>
      <w:r w:rsidR="00A916C5" w:rsidRPr="001674E5">
        <w:rPr>
          <w:lang w:eastAsia="fr-FR"/>
        </w:rPr>
        <w:t xml:space="preserve"> 27 mai</w:t>
      </w:r>
      <w:r w:rsidR="00DA0361">
        <w:rPr>
          <w:lang w:eastAsia="fr-FR"/>
        </w:rPr>
        <w:t xml:space="preserve"> </w:t>
      </w:r>
      <w:r w:rsidR="005B40CA" w:rsidRPr="001674E5">
        <w:rPr>
          <w:lang w:eastAsia="fr-FR"/>
        </w:rPr>
        <w:t>2025</w:t>
      </w:r>
      <w:r w:rsidR="00A916C5" w:rsidRPr="001674E5">
        <w:rPr>
          <w:lang w:eastAsia="fr-FR"/>
        </w:rPr>
        <w:t xml:space="preserve">, le syndicat accepte la coupure d’heures des responsables de l’alimentation, à condition que la pause repas </w:t>
      </w:r>
      <w:r w:rsidR="00FA192D">
        <w:rPr>
          <w:lang w:eastAsia="fr-FR"/>
        </w:rPr>
        <w:t xml:space="preserve">des éducatrices </w:t>
      </w:r>
      <w:r w:rsidR="00CB4171">
        <w:rPr>
          <w:lang w:eastAsia="fr-FR"/>
        </w:rPr>
        <w:t xml:space="preserve">demeure </w:t>
      </w:r>
      <w:r w:rsidR="00A916C5" w:rsidRPr="001674E5">
        <w:rPr>
          <w:lang w:eastAsia="fr-FR"/>
        </w:rPr>
        <w:t>rémunérée.</w:t>
      </w:r>
    </w:p>
    <w:p w14:paraId="32AFA8E2" w14:textId="2E6C0CE5" w:rsidR="00A916C5" w:rsidRPr="001674E5" w:rsidRDefault="00CB4171" w:rsidP="00A916C5">
      <w:pPr>
        <w:pStyle w:val="corpsdedcision"/>
        <w:rPr>
          <w:lang w:eastAsia="fr-FR"/>
        </w:rPr>
      </w:pPr>
      <w:r>
        <w:rPr>
          <w:lang w:eastAsia="fr-FR"/>
        </w:rPr>
        <w:t>À cette même date</w:t>
      </w:r>
      <w:r w:rsidR="00A916C5" w:rsidRPr="001674E5">
        <w:rPr>
          <w:lang w:eastAsia="fr-FR"/>
        </w:rPr>
        <w:t xml:space="preserve">, l’Association patronale des Centres de la petite enfance et bureaux coordonnateurs du Saguenay-Lac-Saint-Jean demande la nomination d’un conciliateur du ministère du Travail devant la difficulté des parties à parvenir à un accord au niveau local pour trois CPE, dont </w:t>
      </w:r>
      <w:r w:rsidR="00CF06B9">
        <w:rPr>
          <w:lang w:eastAsia="fr-FR"/>
        </w:rPr>
        <w:t>l’employeur</w:t>
      </w:r>
      <w:r w:rsidR="00A916C5" w:rsidRPr="001674E5">
        <w:rPr>
          <w:lang w:eastAsia="fr-FR"/>
        </w:rPr>
        <w:t>.</w:t>
      </w:r>
    </w:p>
    <w:p w14:paraId="17EEB2FB" w14:textId="7C19B38B" w:rsidR="00A916C5" w:rsidRPr="001674E5" w:rsidRDefault="00A916C5" w:rsidP="00A916C5">
      <w:pPr>
        <w:pStyle w:val="corpsdedcision"/>
        <w:rPr>
          <w:lang w:eastAsia="fr-FR"/>
        </w:rPr>
      </w:pPr>
      <w:r w:rsidRPr="001674E5">
        <w:rPr>
          <w:lang w:eastAsia="fr-FR"/>
        </w:rPr>
        <w:t>Des séances de conciliation regroup</w:t>
      </w:r>
      <w:r w:rsidR="00B16F5A">
        <w:rPr>
          <w:lang w:eastAsia="fr-FR"/>
        </w:rPr>
        <w:t>ant ces trois employeurs</w:t>
      </w:r>
      <w:r w:rsidRPr="001674E5">
        <w:rPr>
          <w:lang w:eastAsia="fr-FR"/>
        </w:rPr>
        <w:t xml:space="preserve"> ont lieu les 25 et 26 juin</w:t>
      </w:r>
      <w:r w:rsidR="00C972FD">
        <w:rPr>
          <w:lang w:eastAsia="fr-FR"/>
        </w:rPr>
        <w:t xml:space="preserve">, </w:t>
      </w:r>
      <w:r w:rsidR="00C972FD" w:rsidRPr="00BD3684">
        <w:rPr>
          <w:lang w:eastAsia="fr-FR"/>
        </w:rPr>
        <w:t>ainsi que</w:t>
      </w:r>
      <w:r w:rsidR="00C972FD">
        <w:rPr>
          <w:lang w:eastAsia="fr-FR"/>
        </w:rPr>
        <w:t xml:space="preserve"> les</w:t>
      </w:r>
      <w:r w:rsidRPr="001674E5">
        <w:rPr>
          <w:lang w:eastAsia="fr-FR"/>
        </w:rPr>
        <w:t xml:space="preserve"> 3, 15, 17 et 22 septembre 2025</w:t>
      </w:r>
      <w:r w:rsidRPr="001674E5">
        <w:rPr>
          <w:rStyle w:val="Appelnotedebasdep"/>
          <w:lang w:eastAsia="fr-FR"/>
        </w:rPr>
        <w:footnoteReference w:id="47"/>
      </w:r>
      <w:r w:rsidRPr="001674E5">
        <w:rPr>
          <w:lang w:eastAsia="fr-FR"/>
        </w:rPr>
        <w:t>.</w:t>
      </w:r>
    </w:p>
    <w:p w14:paraId="3B550899" w14:textId="66EC484F" w:rsidR="00A916C5" w:rsidRPr="001674E5" w:rsidRDefault="00A916C5" w:rsidP="00A916C5">
      <w:pPr>
        <w:pStyle w:val="corpsdedcision"/>
        <w:rPr>
          <w:lang w:eastAsia="fr-FR"/>
        </w:rPr>
      </w:pPr>
      <w:r w:rsidRPr="001674E5">
        <w:rPr>
          <w:lang w:eastAsia="fr-FR" w:bidi="fr-FR"/>
        </w:rPr>
        <w:t>Le 23 septembre 2025, les salariées représentées par le syndicat tiennent une première journée de grève en lien avec la négociation au palier local</w:t>
      </w:r>
      <w:r w:rsidRPr="001674E5">
        <w:rPr>
          <w:rStyle w:val="Appelnotedebasdep"/>
          <w:lang w:eastAsia="fr-FR" w:bidi="fr-FR"/>
        </w:rPr>
        <w:footnoteReference w:id="48"/>
      </w:r>
      <w:r w:rsidRPr="001674E5">
        <w:rPr>
          <w:lang w:eastAsia="fr-FR" w:bidi="fr-FR"/>
        </w:rPr>
        <w:t xml:space="preserve">. Il s’agit de leur </w:t>
      </w:r>
      <w:r w:rsidRPr="00805FC1">
        <w:rPr>
          <w:lang w:eastAsia="fr-FR" w:bidi="fr-FR"/>
        </w:rPr>
        <w:t>14</w:t>
      </w:r>
      <w:r w:rsidRPr="00805FC1">
        <w:rPr>
          <w:vertAlign w:val="superscript"/>
          <w:lang w:eastAsia="fr-FR" w:bidi="fr-FR"/>
        </w:rPr>
        <w:t>e</w:t>
      </w:r>
      <w:r w:rsidRPr="001674E5">
        <w:rPr>
          <w:lang w:eastAsia="fr-FR" w:bidi="fr-FR"/>
        </w:rPr>
        <w:t> journée de grève, tous paliers confondus.</w:t>
      </w:r>
    </w:p>
    <w:p w14:paraId="3912900C" w14:textId="491A73BC" w:rsidR="00A916C5" w:rsidRPr="001674E5" w:rsidRDefault="00A916C5" w:rsidP="00D0077D">
      <w:pPr>
        <w:pStyle w:val="corpsdedcision"/>
        <w:spacing w:after="0"/>
        <w:rPr>
          <w:lang w:eastAsia="fr-FR"/>
        </w:rPr>
      </w:pPr>
      <w:r w:rsidRPr="001674E5">
        <w:rPr>
          <w:lang w:eastAsia="fr-FR"/>
        </w:rPr>
        <w:t xml:space="preserve">En date du 29 septembre 2025, à l’exception </w:t>
      </w:r>
      <w:r w:rsidR="00CF06B9">
        <w:rPr>
          <w:lang w:eastAsia="fr-FR"/>
        </w:rPr>
        <w:t>de l’employeur</w:t>
      </w:r>
      <w:r w:rsidRPr="001674E5">
        <w:rPr>
          <w:lang w:eastAsia="fr-FR"/>
        </w:rPr>
        <w:t xml:space="preserve">, tous les CPE faisant partie de la négociation locale </w:t>
      </w:r>
      <w:r w:rsidR="00B16F5A">
        <w:rPr>
          <w:lang w:eastAsia="fr-FR"/>
        </w:rPr>
        <w:t xml:space="preserve">ont conclu </w:t>
      </w:r>
      <w:r w:rsidRPr="001674E5">
        <w:rPr>
          <w:lang w:eastAsia="fr-FR"/>
        </w:rPr>
        <w:t>une entente de principe.</w:t>
      </w:r>
      <w:r w:rsidR="004C7186">
        <w:rPr>
          <w:lang w:eastAsia="fr-FR"/>
        </w:rPr>
        <w:t xml:space="preserve"> </w:t>
      </w:r>
      <w:r w:rsidR="00481E46">
        <w:rPr>
          <w:lang w:eastAsia="fr-FR"/>
        </w:rPr>
        <w:t xml:space="preserve">L’unique point en </w:t>
      </w:r>
      <w:r w:rsidR="004C7186">
        <w:rPr>
          <w:lang w:eastAsia="fr-FR"/>
        </w:rPr>
        <w:t xml:space="preserve">litige qui subsiste entre </w:t>
      </w:r>
      <w:r w:rsidR="00B5299F">
        <w:rPr>
          <w:lang w:eastAsia="fr-FR"/>
        </w:rPr>
        <w:t xml:space="preserve">le CPE Le Jardin de Robi et le syndicat </w:t>
      </w:r>
      <w:r w:rsidR="004C7186">
        <w:rPr>
          <w:lang w:eastAsia="fr-FR"/>
        </w:rPr>
        <w:t xml:space="preserve">concerne la </w:t>
      </w:r>
      <w:r w:rsidR="00471AFA">
        <w:rPr>
          <w:lang w:eastAsia="fr-FR"/>
        </w:rPr>
        <w:t xml:space="preserve">demande patronale de </w:t>
      </w:r>
      <w:r w:rsidR="00A07DEF">
        <w:rPr>
          <w:lang w:eastAsia="fr-FR"/>
        </w:rPr>
        <w:t>suppr</w:t>
      </w:r>
      <w:r w:rsidR="00471AFA">
        <w:rPr>
          <w:lang w:eastAsia="fr-FR"/>
        </w:rPr>
        <w:t>imer</w:t>
      </w:r>
      <w:r w:rsidR="00A07DEF">
        <w:rPr>
          <w:lang w:eastAsia="fr-FR"/>
        </w:rPr>
        <w:t xml:space="preserve"> la </w:t>
      </w:r>
      <w:r w:rsidR="004C7186">
        <w:rPr>
          <w:lang w:eastAsia="fr-FR"/>
        </w:rPr>
        <w:t>rémunération de la pause</w:t>
      </w:r>
      <w:r w:rsidR="003D4E11">
        <w:rPr>
          <w:lang w:eastAsia="fr-FR"/>
        </w:rPr>
        <w:t xml:space="preserve"> </w:t>
      </w:r>
      <w:r w:rsidR="004C7186">
        <w:rPr>
          <w:lang w:eastAsia="fr-FR"/>
        </w:rPr>
        <w:t>repas d’une durée de 30 minutes.</w:t>
      </w:r>
    </w:p>
    <w:p w14:paraId="182CFB99" w14:textId="054FC9D8" w:rsidR="00A916C5" w:rsidRPr="001674E5" w:rsidRDefault="00A916C5" w:rsidP="00AF2CEF">
      <w:pPr>
        <w:pStyle w:val="corpsdedcision"/>
        <w:keepNext/>
        <w:keepLines/>
        <w:widowControl w:val="0"/>
        <w:spacing w:before="360"/>
        <w:rPr>
          <w:lang w:eastAsia="fr-FR"/>
        </w:rPr>
      </w:pPr>
      <w:r w:rsidRPr="001674E5">
        <w:rPr>
          <w:lang w:eastAsia="fr-FR"/>
        </w:rPr>
        <w:t xml:space="preserve">Les salariées </w:t>
      </w:r>
      <w:r w:rsidR="001119E7">
        <w:rPr>
          <w:lang w:eastAsia="fr-FR"/>
        </w:rPr>
        <w:t>représentées par le syndicat</w:t>
      </w:r>
      <w:r w:rsidRPr="001674E5">
        <w:rPr>
          <w:lang w:eastAsia="fr-FR"/>
        </w:rPr>
        <w:t xml:space="preserve"> </w:t>
      </w:r>
      <w:r w:rsidRPr="00977AE1">
        <w:rPr>
          <w:lang w:eastAsia="fr-FR"/>
        </w:rPr>
        <w:t>entament</w:t>
      </w:r>
      <w:r w:rsidRPr="001674E5">
        <w:rPr>
          <w:lang w:eastAsia="fr-FR"/>
        </w:rPr>
        <w:t xml:space="preserve"> d’autres grèves, d’une durée d’une à deux journées consécutives, les 29 et 30</w:t>
      </w:r>
      <w:r w:rsidR="005B7FD1">
        <w:rPr>
          <w:lang w:eastAsia="fr-FR"/>
        </w:rPr>
        <w:t xml:space="preserve"> </w:t>
      </w:r>
      <w:r w:rsidRPr="001674E5">
        <w:rPr>
          <w:lang w:eastAsia="fr-FR"/>
        </w:rPr>
        <w:t>septembre</w:t>
      </w:r>
      <w:r w:rsidR="00C972FD">
        <w:rPr>
          <w:lang w:eastAsia="fr-FR"/>
        </w:rPr>
        <w:t xml:space="preserve">, </w:t>
      </w:r>
      <w:r w:rsidR="007762EB">
        <w:rPr>
          <w:lang w:eastAsia="fr-FR"/>
        </w:rPr>
        <w:t>puis</w:t>
      </w:r>
      <w:r w:rsidR="00C972FD">
        <w:rPr>
          <w:lang w:eastAsia="fr-FR"/>
        </w:rPr>
        <w:t xml:space="preserve"> les</w:t>
      </w:r>
      <w:r w:rsidRPr="001674E5">
        <w:rPr>
          <w:lang w:eastAsia="fr-FR"/>
        </w:rPr>
        <w:t xml:space="preserve"> 6, 7, 16 et 21 octobre 2025, sans que les parties parviennent à dénouer l’impasse dans la négociation.</w:t>
      </w:r>
    </w:p>
    <w:p w14:paraId="10BCCAE4" w14:textId="711C440E" w:rsidR="00A916C5" w:rsidRPr="001674E5" w:rsidRDefault="00A916C5" w:rsidP="00A916C5">
      <w:pPr>
        <w:pStyle w:val="corpsdedcision"/>
        <w:rPr>
          <w:lang w:eastAsia="fr-FR"/>
        </w:rPr>
      </w:pPr>
      <w:r w:rsidRPr="001674E5">
        <w:rPr>
          <w:lang w:eastAsia="fr-FR"/>
        </w:rPr>
        <w:t>Le 22 octobre 2025, après une autre séance de conciliation infructueuse</w:t>
      </w:r>
      <w:r w:rsidRPr="001674E5">
        <w:rPr>
          <w:rStyle w:val="Appelnotedebasdep"/>
          <w:lang w:eastAsia="fr-FR"/>
        </w:rPr>
        <w:footnoteReference w:id="49"/>
      </w:r>
      <w:r w:rsidRPr="001674E5">
        <w:rPr>
          <w:lang w:eastAsia="fr-FR"/>
        </w:rPr>
        <w:t xml:space="preserve"> et 20 journées de grève, dont </w:t>
      </w:r>
      <w:r w:rsidR="00714962">
        <w:rPr>
          <w:lang w:eastAsia="fr-FR"/>
        </w:rPr>
        <w:t>7</w:t>
      </w:r>
      <w:r w:rsidRPr="001674E5">
        <w:rPr>
          <w:lang w:eastAsia="fr-FR"/>
        </w:rPr>
        <w:t xml:space="preserve"> en lien avec la négociation au niveau local, les salariées </w:t>
      </w:r>
      <w:r w:rsidR="001119E7">
        <w:rPr>
          <w:lang w:eastAsia="fr-FR"/>
        </w:rPr>
        <w:t>représentées par le syndicat</w:t>
      </w:r>
      <w:r w:rsidR="001119E7" w:rsidRPr="001674E5">
        <w:rPr>
          <w:lang w:eastAsia="fr-FR"/>
        </w:rPr>
        <w:t xml:space="preserve"> </w:t>
      </w:r>
      <w:r w:rsidRPr="001674E5">
        <w:rPr>
          <w:lang w:eastAsia="fr-FR"/>
        </w:rPr>
        <w:t>déclenchent une grève générale illimitée.</w:t>
      </w:r>
    </w:p>
    <w:p w14:paraId="5DE86E5F" w14:textId="441C1FB0" w:rsidR="00EA748E" w:rsidRDefault="00A916C5" w:rsidP="00F65C1E">
      <w:pPr>
        <w:pStyle w:val="corpsdedcision"/>
        <w:tabs>
          <w:tab w:val="clear" w:pos="360"/>
        </w:tabs>
      </w:pPr>
      <w:r w:rsidRPr="001674E5">
        <w:rPr>
          <w:lang w:eastAsia="fr-FR"/>
        </w:rPr>
        <w:t xml:space="preserve">Le </w:t>
      </w:r>
      <w:r w:rsidRPr="00B801B7">
        <w:rPr>
          <w:lang w:eastAsia="fr-FR"/>
        </w:rPr>
        <w:t>6 novembre 2025,</w:t>
      </w:r>
      <w:r w:rsidRPr="001674E5">
        <w:rPr>
          <w:lang w:eastAsia="fr-FR"/>
        </w:rPr>
        <w:t xml:space="preserve"> une séance de conciliation élargie est tenue en présence des comités syndical et patronal de négociation, de deux parents membres du conseil d’administration et de 19 personnes salariées.</w:t>
      </w:r>
    </w:p>
    <w:p w14:paraId="736A20E7" w14:textId="04F02E4A" w:rsidR="00F65C1E" w:rsidRDefault="00F65C1E" w:rsidP="00F65C1E">
      <w:pPr>
        <w:pStyle w:val="corpsdedcision"/>
        <w:tabs>
          <w:tab w:val="clear" w:pos="360"/>
        </w:tabs>
      </w:pPr>
      <w:r>
        <w:rPr>
          <w:lang w:eastAsia="fr-FR"/>
        </w:rPr>
        <w:t xml:space="preserve">Lors </w:t>
      </w:r>
      <w:r w:rsidR="00841D35">
        <w:rPr>
          <w:lang w:eastAsia="fr-FR"/>
        </w:rPr>
        <w:t xml:space="preserve">de </w:t>
      </w:r>
      <w:r w:rsidR="009F7E2A">
        <w:rPr>
          <w:lang w:eastAsia="fr-FR"/>
        </w:rPr>
        <w:t>cette</w:t>
      </w:r>
      <w:r>
        <w:rPr>
          <w:lang w:eastAsia="fr-FR"/>
        </w:rPr>
        <w:t xml:space="preserve"> séance, l’employeur réitère les raisons de sa demande</w:t>
      </w:r>
      <w:r w:rsidR="00F94E22">
        <w:rPr>
          <w:lang w:eastAsia="fr-FR"/>
        </w:rPr>
        <w:t xml:space="preserve"> et propose différentes modalités d’application du retrait de la pause repas rémunérée. </w:t>
      </w:r>
      <w:r>
        <w:rPr>
          <w:lang w:eastAsia="fr-FR"/>
        </w:rPr>
        <w:t xml:space="preserve">Le syndicat </w:t>
      </w:r>
      <w:r w:rsidR="006B42AB">
        <w:rPr>
          <w:lang w:eastAsia="fr-FR"/>
        </w:rPr>
        <w:t xml:space="preserve">avance différentes solutions, mais elles </w:t>
      </w:r>
      <w:r>
        <w:rPr>
          <w:lang w:eastAsia="fr-FR"/>
        </w:rPr>
        <w:t xml:space="preserve">ne sont pas envisageables pour l’employeur. </w:t>
      </w:r>
      <w:r w:rsidR="006B42AB">
        <w:rPr>
          <w:lang w:eastAsia="fr-FR"/>
        </w:rPr>
        <w:t>Nous y reviendrons.</w:t>
      </w:r>
    </w:p>
    <w:p w14:paraId="62416773" w14:textId="19AAB54C" w:rsidR="00F65C1E" w:rsidRDefault="006B42AB" w:rsidP="00F65C1E">
      <w:pPr>
        <w:pStyle w:val="corpsdedcision"/>
        <w:tabs>
          <w:tab w:val="clear" w:pos="360"/>
        </w:tabs>
      </w:pPr>
      <w:r>
        <w:rPr>
          <w:lang w:eastAsia="fr-FR"/>
        </w:rPr>
        <w:t>L</w:t>
      </w:r>
      <w:r w:rsidR="000007D5" w:rsidRPr="000478EB">
        <w:rPr>
          <w:lang w:eastAsia="fr-FR"/>
        </w:rPr>
        <w:t xml:space="preserve">e mouvement </w:t>
      </w:r>
      <w:r w:rsidR="00714962">
        <w:rPr>
          <w:lang w:eastAsia="fr-FR"/>
        </w:rPr>
        <w:t xml:space="preserve">suivant </w:t>
      </w:r>
      <w:r w:rsidR="000007D5" w:rsidRPr="000478EB">
        <w:rPr>
          <w:lang w:eastAsia="fr-FR"/>
        </w:rPr>
        <w:t>de l’employeur est le dépôt d’une demande écrite</w:t>
      </w:r>
      <w:r w:rsidR="000007D5">
        <w:rPr>
          <w:lang w:eastAsia="fr-FR"/>
        </w:rPr>
        <w:t xml:space="preserve"> </w:t>
      </w:r>
      <w:r w:rsidR="000007D5" w:rsidRPr="006518FD">
        <w:rPr>
          <w:lang w:eastAsia="fr-FR"/>
        </w:rPr>
        <w:t>au ministre du Travail afin qu’il recommande au gouvernement la prise d’un décret lui permettant de saisir le Tribunal d’une demande d’assujettissement au maintien de SBEP en cas de grève ou de lock-out</w:t>
      </w:r>
      <w:r w:rsidR="000007D5">
        <w:rPr>
          <w:lang w:eastAsia="fr-FR"/>
        </w:rPr>
        <w:t>, au lendemain de l’entrée en vigueur de la Loi 14, le</w:t>
      </w:r>
      <w:r w:rsidR="005B7FD1">
        <w:rPr>
          <w:lang w:eastAsia="fr-FR"/>
        </w:rPr>
        <w:t> </w:t>
      </w:r>
      <w:r w:rsidR="000007D5">
        <w:rPr>
          <w:lang w:eastAsia="fr-FR"/>
        </w:rPr>
        <w:t>30</w:t>
      </w:r>
      <w:r w:rsidR="005B7FD1">
        <w:rPr>
          <w:lang w:eastAsia="fr-FR"/>
        </w:rPr>
        <w:t> </w:t>
      </w:r>
      <w:r w:rsidR="000007D5">
        <w:rPr>
          <w:lang w:eastAsia="fr-FR"/>
        </w:rPr>
        <w:t>novembre 2025</w:t>
      </w:r>
      <w:r w:rsidR="000007D5" w:rsidRPr="006518FD">
        <w:rPr>
          <w:lang w:eastAsia="fr-FR"/>
        </w:rPr>
        <w:t>.</w:t>
      </w:r>
    </w:p>
    <w:p w14:paraId="64DF9C09" w14:textId="40CBB068" w:rsidR="00A916C5" w:rsidRPr="001674E5" w:rsidRDefault="00A916C5" w:rsidP="00A916C5">
      <w:pPr>
        <w:pStyle w:val="corpsdedcision"/>
        <w:rPr>
          <w:lang w:eastAsia="fr-FR"/>
        </w:rPr>
      </w:pPr>
      <w:r w:rsidRPr="001674E5">
        <w:rPr>
          <w:lang w:eastAsia="fr-FR"/>
        </w:rPr>
        <w:t>Le 17 décembre</w:t>
      </w:r>
      <w:r w:rsidR="00BB2144">
        <w:rPr>
          <w:lang w:eastAsia="fr-FR"/>
        </w:rPr>
        <w:t> </w:t>
      </w:r>
      <w:r w:rsidRPr="001674E5">
        <w:rPr>
          <w:lang w:eastAsia="fr-FR"/>
        </w:rPr>
        <w:t>2025, le cabinet du ministre du Travail répond qu’il n’a pas l’intention de recommander au gouvernement la prise d’un tel décret.</w:t>
      </w:r>
    </w:p>
    <w:p w14:paraId="65106C45" w14:textId="72DAA6F2" w:rsidR="00DD59A9" w:rsidRDefault="00FC168D" w:rsidP="00DD59A9">
      <w:pPr>
        <w:pStyle w:val="corpsdedcision"/>
      </w:pPr>
      <w:r>
        <w:rPr>
          <w:lang w:eastAsia="fr-FR"/>
        </w:rPr>
        <w:t>L</w:t>
      </w:r>
      <w:r w:rsidR="00A916C5" w:rsidRPr="001674E5">
        <w:rPr>
          <w:lang w:eastAsia="fr-FR"/>
        </w:rPr>
        <w:t>e 22 décembre</w:t>
      </w:r>
      <w:r w:rsidR="00BB2144">
        <w:rPr>
          <w:lang w:eastAsia="fr-FR"/>
        </w:rPr>
        <w:t> </w:t>
      </w:r>
      <w:r w:rsidR="00A916C5" w:rsidRPr="001674E5">
        <w:rPr>
          <w:lang w:eastAsia="fr-FR"/>
        </w:rPr>
        <w:t xml:space="preserve">2025, l’employeur </w:t>
      </w:r>
      <w:r w:rsidR="00841D35">
        <w:rPr>
          <w:lang w:eastAsia="fr-FR"/>
        </w:rPr>
        <w:t>renouvelle</w:t>
      </w:r>
      <w:r w:rsidR="00A916C5" w:rsidRPr="001674E5">
        <w:rPr>
          <w:lang w:eastAsia="fr-FR"/>
        </w:rPr>
        <w:t xml:space="preserve"> sa demande </w:t>
      </w:r>
      <w:r w:rsidR="00CE3EFF">
        <w:rPr>
          <w:lang w:eastAsia="fr-FR"/>
        </w:rPr>
        <w:t xml:space="preserve">de décret </w:t>
      </w:r>
      <w:r w:rsidR="00A916C5" w:rsidRPr="001674E5">
        <w:rPr>
          <w:lang w:eastAsia="fr-FR"/>
        </w:rPr>
        <w:t>auprès du ministre du Travail</w:t>
      </w:r>
      <w:r>
        <w:rPr>
          <w:lang w:eastAsia="fr-FR"/>
        </w:rPr>
        <w:t xml:space="preserve">, sans qu’aucune discussion </w:t>
      </w:r>
      <w:r w:rsidR="00F306C9">
        <w:rPr>
          <w:lang w:eastAsia="fr-FR"/>
        </w:rPr>
        <w:t>n’</w:t>
      </w:r>
      <w:r>
        <w:rPr>
          <w:lang w:eastAsia="fr-FR"/>
        </w:rPr>
        <w:t>ait eu lieu entre les parties</w:t>
      </w:r>
      <w:r w:rsidR="00A916C5" w:rsidRPr="001674E5">
        <w:rPr>
          <w:lang w:eastAsia="fr-FR"/>
        </w:rPr>
        <w:t>.</w:t>
      </w:r>
    </w:p>
    <w:p w14:paraId="34E4939A" w14:textId="6581CC2A" w:rsidR="00DD59A9" w:rsidRDefault="00DD59A9" w:rsidP="00DD59A9">
      <w:pPr>
        <w:pStyle w:val="corpsdedcision"/>
        <w:rPr>
          <w:lang w:eastAsia="fr-FR"/>
        </w:rPr>
      </w:pPr>
      <w:r>
        <w:rPr>
          <w:lang w:eastAsia="fr-FR"/>
        </w:rPr>
        <w:t>Malgré tout, le syndicat communique avec la conciliatrice pour reprendre la négociation au retour du congé des fêtes. Au cours du mois de janvier</w:t>
      </w:r>
      <w:r w:rsidR="006634D7">
        <w:rPr>
          <w:lang w:eastAsia="fr-FR"/>
        </w:rPr>
        <w:t xml:space="preserve"> 2026</w:t>
      </w:r>
      <w:r>
        <w:rPr>
          <w:lang w:eastAsia="fr-FR"/>
        </w:rPr>
        <w:t>, la</w:t>
      </w:r>
      <w:r w:rsidR="00BB2144">
        <w:rPr>
          <w:lang w:eastAsia="fr-FR"/>
        </w:rPr>
        <w:t> </w:t>
      </w:r>
      <w:r>
        <w:rPr>
          <w:lang w:eastAsia="fr-FR"/>
        </w:rPr>
        <w:t xml:space="preserve">conciliatrice a des échanges avec chaque partie individuellement. Le syndicat avance alors la possibilité qu’une partie de la pause repas rémunérée soit tributaire de la situation financière du CPE </w:t>
      </w:r>
      <w:r w:rsidR="00FA192D">
        <w:rPr>
          <w:lang w:eastAsia="fr-FR"/>
        </w:rPr>
        <w:t xml:space="preserve">de </w:t>
      </w:r>
      <w:r>
        <w:rPr>
          <w:lang w:eastAsia="fr-FR"/>
        </w:rPr>
        <w:t xml:space="preserve">l’année précédente. Une séance de conciliation entre porte-paroles doit avoir lieu le 6 février 2025. Il s’agit de la première séance de </w:t>
      </w:r>
      <w:r w:rsidR="00606DD0">
        <w:rPr>
          <w:lang w:eastAsia="fr-FR"/>
        </w:rPr>
        <w:t>négociation entre les parties</w:t>
      </w:r>
      <w:r>
        <w:rPr>
          <w:lang w:eastAsia="fr-FR"/>
        </w:rPr>
        <w:t xml:space="preserve"> depuis </w:t>
      </w:r>
      <w:r w:rsidR="007762EB">
        <w:rPr>
          <w:lang w:eastAsia="fr-FR"/>
        </w:rPr>
        <w:t>trois mois</w:t>
      </w:r>
      <w:r>
        <w:rPr>
          <w:lang w:eastAsia="fr-FR"/>
        </w:rPr>
        <w:t>.</w:t>
      </w:r>
    </w:p>
    <w:p w14:paraId="76A455F5" w14:textId="6352FD1A" w:rsidR="000007D5" w:rsidRPr="001674E5" w:rsidRDefault="000007D5" w:rsidP="005206FD">
      <w:pPr>
        <w:pStyle w:val="Titre2"/>
      </w:pPr>
      <w:r w:rsidRPr="000007D5">
        <w:t>L’ADOPTION D’UN DÉCRET</w:t>
      </w:r>
    </w:p>
    <w:p w14:paraId="3E0C6758" w14:textId="44364120" w:rsidR="00A916C5" w:rsidRPr="001674E5" w:rsidRDefault="00A916C5" w:rsidP="00ED15DD">
      <w:pPr>
        <w:pStyle w:val="corpsdedcision"/>
        <w:rPr>
          <w:lang w:eastAsia="fr-FR"/>
        </w:rPr>
      </w:pPr>
      <w:r w:rsidRPr="001674E5">
        <w:rPr>
          <w:lang w:eastAsia="fr-FR"/>
        </w:rPr>
        <w:t xml:space="preserve">Le 6 février 2026, </w:t>
      </w:r>
      <w:r w:rsidR="008C05C4" w:rsidRPr="008C05C4">
        <w:rPr>
          <w:lang w:eastAsia="fr-FR"/>
        </w:rPr>
        <w:t xml:space="preserve">deux heures avant la reprise prévue de la conciliation, </w:t>
      </w:r>
      <w:r w:rsidRPr="001674E5">
        <w:rPr>
          <w:lang w:eastAsia="fr-FR"/>
        </w:rPr>
        <w:t>le décret qui désigne le syndicat et l’employeur comme parties à l’égard desquelles le Tribunal peut déterminer si des SBEP doivent être maintenus en cas de grève ou de lock-out est communiqué aux parties et au Tribunal.</w:t>
      </w:r>
    </w:p>
    <w:p w14:paraId="7CE57E3F" w14:textId="45D91881" w:rsidR="00A916C5" w:rsidRDefault="008C05C4" w:rsidP="00A916C5">
      <w:pPr>
        <w:pStyle w:val="corpsdedcision"/>
        <w:rPr>
          <w:lang w:eastAsia="fr-FR"/>
        </w:rPr>
      </w:pPr>
      <w:r>
        <w:rPr>
          <w:lang w:eastAsia="fr-FR"/>
        </w:rPr>
        <w:t>Dans les circonstances, la rencontre entre porte-paroles</w:t>
      </w:r>
      <w:r w:rsidR="00A916C5" w:rsidRPr="001674E5">
        <w:rPr>
          <w:lang w:eastAsia="fr-FR"/>
        </w:rPr>
        <w:t xml:space="preserve"> dure </w:t>
      </w:r>
      <w:r w:rsidR="000320E6">
        <w:rPr>
          <w:lang w:eastAsia="fr-FR"/>
        </w:rPr>
        <w:t xml:space="preserve">moins de </w:t>
      </w:r>
      <w:r w:rsidR="00482A4B">
        <w:rPr>
          <w:lang w:eastAsia="fr-FR"/>
        </w:rPr>
        <w:t>dix</w:t>
      </w:r>
      <w:r w:rsidR="00A916C5" w:rsidRPr="001674E5">
        <w:rPr>
          <w:lang w:eastAsia="fr-FR"/>
        </w:rPr>
        <w:t xml:space="preserve"> minutes et le conciliateur </w:t>
      </w:r>
      <w:r w:rsidR="00207EA3">
        <w:rPr>
          <w:lang w:eastAsia="fr-FR"/>
        </w:rPr>
        <w:t xml:space="preserve">met </w:t>
      </w:r>
      <w:r w:rsidR="00A916C5" w:rsidRPr="001674E5">
        <w:rPr>
          <w:lang w:eastAsia="fr-FR"/>
        </w:rPr>
        <w:t>fin au processus de conciliation.</w:t>
      </w:r>
    </w:p>
    <w:p w14:paraId="6D9104F0" w14:textId="061A1523" w:rsidR="00A916C5" w:rsidRPr="001674E5" w:rsidRDefault="00A916C5" w:rsidP="00A916C5">
      <w:pPr>
        <w:pStyle w:val="Titre2"/>
      </w:pPr>
      <w:r>
        <w:t>le recours au Tribunal</w:t>
      </w:r>
    </w:p>
    <w:p w14:paraId="1475853C" w14:textId="42992204" w:rsidR="002F711B" w:rsidRPr="001674E5" w:rsidRDefault="006D7D69" w:rsidP="00A916C5">
      <w:pPr>
        <w:pStyle w:val="corpsdedcision"/>
        <w:tabs>
          <w:tab w:val="clear" w:pos="360"/>
        </w:tabs>
        <w:rPr>
          <w:lang w:eastAsia="fr-FR"/>
        </w:rPr>
      </w:pPr>
      <w:r w:rsidRPr="001674E5">
        <w:t>Le même jour,</w:t>
      </w:r>
      <w:r w:rsidR="002F711B" w:rsidRPr="001674E5">
        <w:t xml:space="preserve"> l’employeur </w:t>
      </w:r>
      <w:r w:rsidR="00D009A4" w:rsidRPr="001674E5">
        <w:t xml:space="preserve">demande </w:t>
      </w:r>
      <w:r w:rsidRPr="001674E5">
        <w:t>au Tribunal</w:t>
      </w:r>
      <w:r w:rsidR="00D009A4" w:rsidRPr="001674E5">
        <w:t xml:space="preserve"> qu’il assujettisse les parties au maintien de SBEP en se fondant sur</w:t>
      </w:r>
      <w:r w:rsidR="002F711B" w:rsidRPr="001674E5">
        <w:t xml:space="preserve"> l’article</w:t>
      </w:r>
      <w:r w:rsidR="00420D33" w:rsidRPr="001674E5">
        <w:t> </w:t>
      </w:r>
      <w:r w:rsidR="002F711B" w:rsidRPr="001674E5">
        <w:t xml:space="preserve">111.22.5 du </w:t>
      </w:r>
      <w:r w:rsidR="002F711B" w:rsidRPr="009D424C">
        <w:t>Code</w:t>
      </w:r>
      <w:r w:rsidR="009D424C">
        <w:t>.</w:t>
      </w:r>
      <w:r w:rsidR="005972DC">
        <w:t xml:space="preserve"> Il requiert également que le Tribunal </w:t>
      </w:r>
      <w:r w:rsidR="005972DC" w:rsidRPr="005972DC">
        <w:t>ordonne la suspension de la grève en attendant qu’il détermine les SBEP à maintenir</w:t>
      </w:r>
      <w:r w:rsidR="005972DC">
        <w:rPr>
          <w:rStyle w:val="Appelnotedebasdep"/>
        </w:rPr>
        <w:footnoteReference w:id="50"/>
      </w:r>
      <w:r w:rsidR="005972DC" w:rsidRPr="005972DC">
        <w:t>.</w:t>
      </w:r>
      <w:r w:rsidR="002F711B" w:rsidRPr="001674E5">
        <w:t xml:space="preserve"> </w:t>
      </w:r>
      <w:r w:rsidR="009D424C" w:rsidRPr="009D424C">
        <w:t>Il s’agit du premier dossier en la matière dont le Tribunal est saisi.</w:t>
      </w:r>
    </w:p>
    <w:p w14:paraId="61B673AA" w14:textId="0B9FE5F2" w:rsidR="002C7D43" w:rsidRPr="001674E5" w:rsidRDefault="002C7D43" w:rsidP="002F711B">
      <w:pPr>
        <w:pStyle w:val="corpsdedcision"/>
        <w:tabs>
          <w:tab w:val="clear" w:pos="360"/>
        </w:tabs>
      </w:pPr>
      <w:r w:rsidRPr="001674E5">
        <w:t xml:space="preserve">Le </w:t>
      </w:r>
      <w:r w:rsidR="00083CB9" w:rsidRPr="001674E5">
        <w:t>10</w:t>
      </w:r>
      <w:r w:rsidR="00420D33" w:rsidRPr="001674E5">
        <w:t> </w:t>
      </w:r>
      <w:r w:rsidR="00083CB9" w:rsidRPr="001674E5">
        <w:t xml:space="preserve">février 2026, le </w:t>
      </w:r>
      <w:r w:rsidRPr="001674E5">
        <w:t xml:space="preserve">syndicat </w:t>
      </w:r>
      <w:r w:rsidR="001B2572">
        <w:t>écrit au Tribunal</w:t>
      </w:r>
      <w:r w:rsidR="00083CB9" w:rsidRPr="001674E5">
        <w:t xml:space="preserve"> qu’il </w:t>
      </w:r>
      <w:r w:rsidR="0052565F" w:rsidRPr="001674E5">
        <w:t xml:space="preserve">entend </w:t>
      </w:r>
      <w:r w:rsidRPr="001674E5">
        <w:t>conteste</w:t>
      </w:r>
      <w:r w:rsidR="0052565F" w:rsidRPr="001674E5">
        <w:t>r</w:t>
      </w:r>
      <w:r w:rsidRPr="001674E5">
        <w:t xml:space="preserve"> </w:t>
      </w:r>
      <w:r w:rsidR="00CC3C3B" w:rsidRPr="001674E5">
        <w:t xml:space="preserve">la demande ainsi que </w:t>
      </w:r>
      <w:r w:rsidRPr="001674E5">
        <w:t>le caractère opérant des articles</w:t>
      </w:r>
      <w:r w:rsidR="00420D33" w:rsidRPr="001674E5">
        <w:t> </w:t>
      </w:r>
      <w:r w:rsidRPr="001674E5">
        <w:t xml:space="preserve">111.22.3 à 111.22.16 du Code. Un </w:t>
      </w:r>
      <w:r w:rsidR="004B7169" w:rsidRPr="001674E5">
        <w:t>avis en</w:t>
      </w:r>
      <w:r w:rsidRPr="001674E5">
        <w:t xml:space="preserve"> vertu de l’article</w:t>
      </w:r>
      <w:r w:rsidR="00420D33" w:rsidRPr="001674E5">
        <w:t> </w:t>
      </w:r>
      <w:r w:rsidRPr="001674E5">
        <w:t xml:space="preserve">76 du </w:t>
      </w:r>
      <w:r w:rsidRPr="001674E5">
        <w:rPr>
          <w:i/>
          <w:iCs/>
        </w:rPr>
        <w:t>Code de procédure civile</w:t>
      </w:r>
      <w:r w:rsidRPr="001674E5">
        <w:rPr>
          <w:vertAlign w:val="superscript"/>
        </w:rPr>
        <w:footnoteReference w:id="51"/>
      </w:r>
      <w:r w:rsidRPr="001674E5">
        <w:t xml:space="preserve"> est </w:t>
      </w:r>
      <w:r w:rsidR="00551BFE">
        <w:t>signifié</w:t>
      </w:r>
      <w:r w:rsidRPr="001674E5">
        <w:t xml:space="preserve"> </w:t>
      </w:r>
      <w:r w:rsidR="00420D33" w:rsidRPr="001674E5">
        <w:t>au</w:t>
      </w:r>
      <w:r w:rsidRPr="001674E5">
        <w:t xml:space="preserve"> PGQ</w:t>
      </w:r>
      <w:r w:rsidR="00D549B7">
        <w:t>, qui intervient au présent dossier</w:t>
      </w:r>
      <w:r w:rsidR="00083CB9" w:rsidRPr="001674E5">
        <w:t>.</w:t>
      </w:r>
    </w:p>
    <w:p w14:paraId="3EC80E09" w14:textId="24192642" w:rsidR="003A7A03" w:rsidRDefault="00083CB9" w:rsidP="00083CB9">
      <w:pPr>
        <w:pStyle w:val="corpsdedcision"/>
        <w:tabs>
          <w:tab w:val="clear" w:pos="360"/>
        </w:tabs>
      </w:pPr>
      <w:r w:rsidRPr="001674E5">
        <w:t>L</w:t>
      </w:r>
      <w:r w:rsidR="008706ED">
        <w:t>ors d’une conférence préparatoire, l</w:t>
      </w:r>
      <w:r w:rsidRPr="001674E5">
        <w:t xml:space="preserve">es parties demandent au Tribunal de se prononcer, dans un premier temps, sur la question de l’assujettissement au maintien de SBEP et, le cas échéant, de déterminer quels services devraient être maintenus, avant d’entendre la </w:t>
      </w:r>
      <w:r w:rsidR="00FA192D">
        <w:t xml:space="preserve">présente </w:t>
      </w:r>
      <w:r w:rsidRPr="001674E5">
        <w:t>contestation constitutionnelle.</w:t>
      </w:r>
      <w:r w:rsidR="00B5299F">
        <w:t xml:space="preserve"> Elles soulignent que le Tribunal bénéficiera ainsi d’un contexte factuel plus complet. Le Tribunal </w:t>
      </w:r>
      <w:r w:rsidR="00BF70AF">
        <w:t>consent</w:t>
      </w:r>
      <w:r w:rsidR="00B5299F">
        <w:t xml:space="preserve"> à </w:t>
      </w:r>
      <w:r w:rsidR="00BF70AF">
        <w:t>disposer</w:t>
      </w:r>
      <w:r w:rsidR="00B5299F">
        <w:t xml:space="preserve"> des questions dans cet ordre, étant entendu </w:t>
      </w:r>
      <w:r w:rsidR="00D549B7">
        <w:t xml:space="preserve">que </w:t>
      </w:r>
      <w:r w:rsidR="00B5299F">
        <w:t xml:space="preserve">s’il </w:t>
      </w:r>
      <w:r w:rsidR="00BF70AF">
        <w:t>assujettit</w:t>
      </w:r>
      <w:r w:rsidR="00B5299F">
        <w:t xml:space="preserve"> les </w:t>
      </w:r>
      <w:r w:rsidR="00BF70AF">
        <w:t>parties</w:t>
      </w:r>
      <w:r w:rsidR="00B5299F">
        <w:t xml:space="preserve"> au maintien de S</w:t>
      </w:r>
      <w:r w:rsidR="00C972FD">
        <w:t>BE</w:t>
      </w:r>
      <w:r w:rsidR="00B5299F">
        <w:t>P, les décisions qu’il rendr</w:t>
      </w:r>
      <w:r w:rsidR="00BF70AF">
        <w:t>a</w:t>
      </w:r>
      <w:r w:rsidR="00B5299F">
        <w:t xml:space="preserve"> ser</w:t>
      </w:r>
      <w:r w:rsidR="00BF70AF">
        <w:t>ont</w:t>
      </w:r>
      <w:r w:rsidR="00B5299F">
        <w:t xml:space="preserve"> int</w:t>
      </w:r>
      <w:r w:rsidR="00BF70AF">
        <w:t>e</w:t>
      </w:r>
      <w:r w:rsidR="00B5299F">
        <w:t>rlocutoires en attendant l’issue du débat constitutionnel.</w:t>
      </w:r>
    </w:p>
    <w:p w14:paraId="34A4B029" w14:textId="78C80253" w:rsidR="003A7A03" w:rsidRDefault="003A7A03" w:rsidP="003A7A03">
      <w:pPr>
        <w:pStyle w:val="corpsdedcision"/>
        <w:tabs>
          <w:tab w:val="clear" w:pos="360"/>
        </w:tabs>
      </w:pPr>
      <w:r w:rsidRPr="001674E5">
        <w:t xml:space="preserve">Le 13 mars 2026, le Tribunal </w:t>
      </w:r>
      <w:r w:rsidR="008706ED">
        <w:t xml:space="preserve">rend </w:t>
      </w:r>
      <w:r w:rsidR="00C04FF8">
        <w:t xml:space="preserve">sa première décision : il </w:t>
      </w:r>
      <w:r w:rsidRPr="001674E5">
        <w:t>ordonne aux parties, de façon interlocutoire, de maintenir des SBEP en cas de grève ou de lock-out pour la phase des négociations en cours</w:t>
      </w:r>
      <w:r w:rsidRPr="001674E5">
        <w:rPr>
          <w:rStyle w:val="Appelnotedebasdep"/>
        </w:rPr>
        <w:footnoteReference w:id="52"/>
      </w:r>
      <w:r w:rsidRPr="001674E5">
        <w:t>.</w:t>
      </w:r>
    </w:p>
    <w:p w14:paraId="74CF1A83" w14:textId="17A37E02" w:rsidR="003A7A03" w:rsidRDefault="003A7A03" w:rsidP="00A16D04">
      <w:pPr>
        <w:pStyle w:val="corpsdedcision"/>
        <w:tabs>
          <w:tab w:val="clear" w:pos="360"/>
        </w:tabs>
      </w:pPr>
      <w:r w:rsidRPr="001674E5">
        <w:t xml:space="preserve">Le 26 mars 2026, </w:t>
      </w:r>
      <w:r w:rsidR="00482A4B">
        <w:t xml:space="preserve">dans une deuxième décision également rendue de façon interlocutoire, le Tribunal </w:t>
      </w:r>
      <w:r w:rsidR="00C04FF8" w:rsidRPr="001674E5">
        <w:t>détermine</w:t>
      </w:r>
      <w:r w:rsidR="00C04FF8">
        <w:t xml:space="preserve"> </w:t>
      </w:r>
      <w:r w:rsidRPr="001674E5">
        <w:t xml:space="preserve">les SBEP </w:t>
      </w:r>
      <w:r w:rsidR="00C04FF8">
        <w:t>qui doivent</w:t>
      </w:r>
      <w:r w:rsidRPr="001674E5">
        <w:t xml:space="preserve"> être maintenus dans un tel cas</w:t>
      </w:r>
      <w:r w:rsidRPr="001674E5">
        <w:rPr>
          <w:rStyle w:val="Appelnotedebasdep"/>
        </w:rPr>
        <w:footnoteReference w:id="53"/>
      </w:r>
      <w:r w:rsidRPr="001674E5">
        <w:t>.</w:t>
      </w:r>
    </w:p>
    <w:p w14:paraId="024E9678" w14:textId="03287C66" w:rsidR="003A7A03" w:rsidRPr="00053A3E" w:rsidRDefault="003A7A03" w:rsidP="003A7A03">
      <w:pPr>
        <w:pStyle w:val="corpsdedcision"/>
        <w:rPr>
          <w:lang w:eastAsia="fr-FR"/>
        </w:rPr>
      </w:pPr>
      <w:r>
        <w:rPr>
          <w:lang w:eastAsia="fr-FR"/>
        </w:rPr>
        <w:t>Le 30 avril 2026, les audiences sur le volet constitutionnel commencent.</w:t>
      </w:r>
    </w:p>
    <w:p w14:paraId="1BEF3131" w14:textId="7BC689DA" w:rsidR="003A7A03" w:rsidRDefault="003A7A03" w:rsidP="003A7A03">
      <w:pPr>
        <w:pStyle w:val="corpsdedcision"/>
        <w:tabs>
          <w:tab w:val="clear" w:pos="360"/>
        </w:tabs>
      </w:pPr>
      <w:r>
        <w:t xml:space="preserve">Alors qu’elles sont en cours, le 4 juin suivant, deux parents utilisateurs </w:t>
      </w:r>
      <w:r w:rsidR="00BB2144">
        <w:t xml:space="preserve">du service de garde </w:t>
      </w:r>
      <w:r>
        <w:t>déposent chacun une demande de redressement au Tribunal</w:t>
      </w:r>
      <w:r w:rsidR="00BF70AF">
        <w:t xml:space="preserve"> en vertu de l’article 111.22.14 du Code</w:t>
      </w:r>
      <w:r>
        <w:t xml:space="preserve">. Essentiellement, ils jugent que </w:t>
      </w:r>
      <w:r w:rsidR="006D4C4B">
        <w:t>l’équilibre recherché par les ordonnances du Tribunal n’est pas atteint. D’une part, ils sont d’avis que le maintien de</w:t>
      </w:r>
      <w:r w:rsidR="00FF6A97">
        <w:t>s</w:t>
      </w:r>
      <w:r w:rsidR="006D4C4B">
        <w:t xml:space="preserve"> SBEP ne permet plus l’exercice effectif du droit de grève. Ils soulignent</w:t>
      </w:r>
      <w:r w:rsidR="00E66F21">
        <w:t xml:space="preserve"> </w:t>
      </w:r>
      <w:r w:rsidR="006D4C4B">
        <w:t>que les activités de mobilisation sont très réduites</w:t>
      </w:r>
      <w:r w:rsidR="0083268D">
        <w:t xml:space="preserve">, </w:t>
      </w:r>
      <w:r w:rsidR="0094366B">
        <w:t>que le syndicat ne peut plus mettre de pression supplémentaire significative dans le cadre du conflit de travail</w:t>
      </w:r>
      <w:r w:rsidR="0083268D">
        <w:t xml:space="preserve"> et que l</w:t>
      </w:r>
      <w:r w:rsidR="0094366B">
        <w:t xml:space="preserve">es négociations semblent au point mort. </w:t>
      </w:r>
      <w:r w:rsidR="006D4C4B">
        <w:t xml:space="preserve">D’autre part, </w:t>
      </w:r>
      <w:r w:rsidR="00E66F21">
        <w:t xml:space="preserve">ils soutiennent que </w:t>
      </w:r>
      <w:r>
        <w:t xml:space="preserve">les services maintenus </w:t>
      </w:r>
      <w:r w:rsidR="00207EA3">
        <w:t xml:space="preserve">se révèlent </w:t>
      </w:r>
      <w:r>
        <w:t>insuffisants</w:t>
      </w:r>
      <w:r w:rsidR="006D4C4B">
        <w:t xml:space="preserve"> pour éviter aux parents </w:t>
      </w:r>
      <w:r w:rsidR="0094366B">
        <w:t>des impacts importants</w:t>
      </w:r>
      <w:r w:rsidR="0083268D">
        <w:t xml:space="preserve"> qui s’accentuent au fil du temps</w:t>
      </w:r>
      <w:r w:rsidR="0094366B">
        <w:t xml:space="preserve">. </w:t>
      </w:r>
      <w:r w:rsidR="000171F5">
        <w:t xml:space="preserve">Pour ces </w:t>
      </w:r>
      <w:r w:rsidR="00D549B7">
        <w:t>raisons,</w:t>
      </w:r>
      <w:r w:rsidR="000171F5">
        <w:t xml:space="preserve"> ils demandent au Tribunal de revoir </w:t>
      </w:r>
      <w:r w:rsidR="00D549B7">
        <w:t>le</w:t>
      </w:r>
      <w:r w:rsidR="000171F5">
        <w:t>s services minimaux devant être fournis.</w:t>
      </w:r>
      <w:r>
        <w:t xml:space="preserve"> Les deux demandes ont fait l’objet d’un désistement par la suite.</w:t>
      </w:r>
    </w:p>
    <w:p w14:paraId="423EF61A" w14:textId="1610B8D7" w:rsidR="003A7A03" w:rsidRDefault="003A7A03" w:rsidP="003A7A03">
      <w:pPr>
        <w:pStyle w:val="corpsdedcision"/>
        <w:tabs>
          <w:tab w:val="clear" w:pos="360"/>
        </w:tabs>
      </w:pPr>
      <w:r>
        <w:t xml:space="preserve">Le 5 juin 2026, le volet constitutionnel est </w:t>
      </w:r>
      <w:r w:rsidR="00D4005F">
        <w:t xml:space="preserve">mis </w:t>
      </w:r>
      <w:r>
        <w:t>en délibéré.</w:t>
      </w:r>
    </w:p>
    <w:p w14:paraId="5C4737AA" w14:textId="2A58A26E" w:rsidR="00867D69" w:rsidRDefault="00867D69" w:rsidP="00867D69">
      <w:pPr>
        <w:pStyle w:val="Titre2"/>
      </w:pPr>
      <w:r>
        <w:t>la fin du conflit</w:t>
      </w:r>
    </w:p>
    <w:p w14:paraId="04741100" w14:textId="4DF72440" w:rsidR="003A7A03" w:rsidRDefault="003A7A03" w:rsidP="003A7A03">
      <w:pPr>
        <w:pStyle w:val="corpsdedcision"/>
        <w:tabs>
          <w:tab w:val="clear" w:pos="360"/>
        </w:tabs>
      </w:pPr>
      <w:r>
        <w:t>Le 15 juin 2026, le syndicat met fin à la grève générale illimitée.</w:t>
      </w:r>
    </w:p>
    <w:p w14:paraId="21B43DCC" w14:textId="6B504C9D" w:rsidR="00A07DEF" w:rsidRDefault="003A7A03" w:rsidP="00A07DEF">
      <w:pPr>
        <w:pStyle w:val="corpsdedcision"/>
        <w:tabs>
          <w:tab w:val="clear" w:pos="360"/>
        </w:tabs>
      </w:pPr>
      <w:r>
        <w:t>Le 6 juillet 2026, les salariées votent en faveur d’une entente de principe conclue la semaine précédente entre l’employeur et le syndicat pour le renouvellement de la convention collective.</w:t>
      </w:r>
    </w:p>
    <w:p w14:paraId="5C35620F" w14:textId="24F4E48D" w:rsidR="00867D69" w:rsidRDefault="00F17022" w:rsidP="004B7169">
      <w:pPr>
        <w:pStyle w:val="corpsdedcision"/>
        <w:tabs>
          <w:tab w:val="clear" w:pos="360"/>
        </w:tabs>
      </w:pPr>
      <w:r>
        <w:t>Le 13 juillet 2026, le syndicat</w:t>
      </w:r>
      <w:r w:rsidR="00D93E85">
        <w:t>, de consentement</w:t>
      </w:r>
      <w:r>
        <w:t xml:space="preserve"> avec l’employeur et </w:t>
      </w:r>
      <w:r w:rsidR="00D93E85">
        <w:t>le</w:t>
      </w:r>
      <w:r>
        <w:t xml:space="preserve"> PGQ, </w:t>
      </w:r>
      <w:r w:rsidR="0018069A">
        <w:t xml:space="preserve">informe </w:t>
      </w:r>
      <w:r>
        <w:t xml:space="preserve">le Tribunal de la signature de la convention collective et des dispositions convenues relativement </w:t>
      </w:r>
      <w:r w:rsidR="007A66A0">
        <w:t xml:space="preserve">aux heures de travail et </w:t>
      </w:r>
      <w:r>
        <w:t>à la pause</w:t>
      </w:r>
      <w:r w:rsidR="007A66A0">
        <w:t xml:space="preserve"> </w:t>
      </w:r>
      <w:r>
        <w:t>repas</w:t>
      </w:r>
      <w:r w:rsidR="000C16EF">
        <w:t xml:space="preserve"> de 30 minutes</w:t>
      </w:r>
      <w:r w:rsidR="007A66A0">
        <w:t xml:space="preserve">. </w:t>
      </w:r>
      <w:r w:rsidR="00DD2C1E">
        <w:t>Essent</w:t>
      </w:r>
      <w:r w:rsidR="00370E5B">
        <w:t xml:space="preserve">iellement, </w:t>
      </w:r>
      <w:r w:rsidR="00094F6A">
        <w:t>celle-ci</w:t>
      </w:r>
      <w:r>
        <w:t xml:space="preserve"> ne sera dorénavant </w:t>
      </w:r>
      <w:r w:rsidR="00A07DEF">
        <w:t>plus rémunérée</w:t>
      </w:r>
      <w:r>
        <w:t>, sauf pour</w:t>
      </w:r>
      <w:r w:rsidR="00A07DEF">
        <w:t xml:space="preserve"> l</w:t>
      </w:r>
      <w:r w:rsidR="006F4CB1">
        <w:t>es</w:t>
      </w:r>
      <w:r w:rsidR="00A07DEF">
        <w:t xml:space="preserve"> </w:t>
      </w:r>
      <w:r w:rsidR="00BE01E4">
        <w:t>salariée</w:t>
      </w:r>
      <w:r w:rsidR="006F4CB1">
        <w:t>s</w:t>
      </w:r>
      <w:r w:rsidR="00A07DEF">
        <w:t xml:space="preserve"> à l’emploi au moment de la signature de la convention collective</w:t>
      </w:r>
      <w:r w:rsidR="008A50A2">
        <w:t xml:space="preserve"> et</w:t>
      </w:r>
      <w:r w:rsidR="000C3D36">
        <w:t xml:space="preserve"> seulement si l’employeur</w:t>
      </w:r>
      <w:r w:rsidR="007859CF">
        <w:t xml:space="preserve"> </w:t>
      </w:r>
      <w:r w:rsidR="00031F46">
        <w:t xml:space="preserve">atteint </w:t>
      </w:r>
      <w:r w:rsidR="007859CF">
        <w:t xml:space="preserve">un certain </w:t>
      </w:r>
      <w:r w:rsidR="00094F6A">
        <w:t>excédent budgétaire</w:t>
      </w:r>
      <w:r w:rsidR="00A36C78">
        <w:t xml:space="preserve"> dans ses états </w:t>
      </w:r>
      <w:r w:rsidR="008A50A2">
        <w:t>financiers</w:t>
      </w:r>
      <w:r w:rsidR="00031F46">
        <w:t xml:space="preserve"> annuels</w:t>
      </w:r>
      <w:r w:rsidR="00A36C78">
        <w:t xml:space="preserve">. </w:t>
      </w:r>
      <w:r w:rsidR="00110CE7">
        <w:t xml:space="preserve">Dans le cas contraire, </w:t>
      </w:r>
      <w:r w:rsidR="00726564">
        <w:t>seule</w:t>
      </w:r>
      <w:r w:rsidR="00D0663C">
        <w:t>s</w:t>
      </w:r>
      <w:r w:rsidR="00726564">
        <w:t xml:space="preserve"> 15 minutes de la pa</w:t>
      </w:r>
      <w:r w:rsidR="000C16EF">
        <w:t>use</w:t>
      </w:r>
      <w:r w:rsidR="00964A8F">
        <w:t xml:space="preserve"> </w:t>
      </w:r>
      <w:r w:rsidR="00AD1FC7">
        <w:t>repas ser</w:t>
      </w:r>
      <w:r w:rsidR="006634D7">
        <w:t>ont</w:t>
      </w:r>
      <w:r w:rsidR="00AD1FC7">
        <w:t xml:space="preserve"> rémunérée</w:t>
      </w:r>
      <w:r w:rsidR="006634D7">
        <w:t>s</w:t>
      </w:r>
      <w:r w:rsidR="00AD1FC7">
        <w:t>.</w:t>
      </w:r>
    </w:p>
    <w:p w14:paraId="1AF56AE7" w14:textId="7F22CFE6" w:rsidR="00867D69" w:rsidRPr="00B16355" w:rsidRDefault="008E0338" w:rsidP="00867D69">
      <w:pPr>
        <w:pStyle w:val="corpsdedcision"/>
        <w:tabs>
          <w:tab w:val="clear" w:pos="360"/>
          <w:tab w:val="num" w:pos="720"/>
        </w:tabs>
      </w:pPr>
      <w:r w:rsidRPr="00B16355">
        <w:t>L</w:t>
      </w:r>
      <w:r w:rsidR="0060461F" w:rsidRPr="00B16355">
        <w:t xml:space="preserve">es parties </w:t>
      </w:r>
      <w:r w:rsidRPr="00B16355">
        <w:t xml:space="preserve">s’entendent pour </w:t>
      </w:r>
      <w:r w:rsidR="0060461F" w:rsidRPr="00B16355">
        <w:t xml:space="preserve">que le Tribunal </w:t>
      </w:r>
      <w:r w:rsidR="008553EE" w:rsidRPr="00B16355">
        <w:t>se prononce sur</w:t>
      </w:r>
      <w:r w:rsidRPr="00B16355">
        <w:t xml:space="preserve"> la question constitutionnelle malgré le règlement de la convention collective. </w:t>
      </w:r>
      <w:r w:rsidR="0098596D" w:rsidRPr="00B16355">
        <w:t>Le Tribunal est</w:t>
      </w:r>
      <w:r w:rsidR="00D549B7" w:rsidRPr="00B16355">
        <w:t xml:space="preserve"> d’avis</w:t>
      </w:r>
      <w:r w:rsidR="003F12DA" w:rsidRPr="00B16355">
        <w:t xml:space="preserve">, tout comme </w:t>
      </w:r>
      <w:r w:rsidR="00072A06" w:rsidRPr="00B16355">
        <w:t>elles</w:t>
      </w:r>
      <w:r w:rsidR="003F12DA" w:rsidRPr="00B16355">
        <w:t>,</w:t>
      </w:r>
      <w:r w:rsidR="00D549B7" w:rsidRPr="00B16355">
        <w:t xml:space="preserve"> qu’il </w:t>
      </w:r>
      <w:r w:rsidRPr="00B16355">
        <w:t xml:space="preserve">apparait </w:t>
      </w:r>
      <w:r w:rsidR="0060461F" w:rsidRPr="00B16355">
        <w:t xml:space="preserve">utile de </w:t>
      </w:r>
      <w:r w:rsidRPr="00B16355">
        <w:t>mener l’exercice à son terme</w:t>
      </w:r>
      <w:r w:rsidR="0098596D" w:rsidRPr="00B16355">
        <w:t xml:space="preserve"> et </w:t>
      </w:r>
      <w:r w:rsidR="00072A06" w:rsidRPr="00B16355">
        <w:t>par conséquen</w:t>
      </w:r>
      <w:r w:rsidR="0083268D">
        <w:t>t</w:t>
      </w:r>
      <w:r w:rsidR="00072A06" w:rsidRPr="00B16355">
        <w:t xml:space="preserve">, </w:t>
      </w:r>
      <w:r w:rsidR="0098596D" w:rsidRPr="00B16355">
        <w:t>n’a pas soulevé la question du caractère théorique du litige.</w:t>
      </w:r>
      <w:r w:rsidR="00BB1DEA" w:rsidRPr="00B16355">
        <w:t xml:space="preserve"> </w:t>
      </w:r>
      <w:r w:rsidR="007762EB">
        <w:t xml:space="preserve">D’une part, </w:t>
      </w:r>
      <w:r w:rsidR="00BD3684">
        <w:t xml:space="preserve">il doit </w:t>
      </w:r>
      <w:r w:rsidR="007762EB">
        <w:t xml:space="preserve">déterminer si les deux décisions </w:t>
      </w:r>
      <w:r w:rsidR="00BD3684">
        <w:t xml:space="preserve">rendues </w:t>
      </w:r>
      <w:r w:rsidR="007762EB" w:rsidRPr="00426370">
        <w:rPr>
          <w:u w:val="single"/>
        </w:rPr>
        <w:t>sous réserve</w:t>
      </w:r>
      <w:r w:rsidR="007762EB">
        <w:t xml:space="preserve"> de l’issue de la question constitutionnelle sont opérantes. </w:t>
      </w:r>
      <w:r w:rsidR="00CC2348">
        <w:t xml:space="preserve">D’autre </w:t>
      </w:r>
      <w:r w:rsidR="00426370">
        <w:t>part,</w:t>
      </w:r>
      <w:r w:rsidR="0098596D" w:rsidRPr="00B16355">
        <w:t xml:space="preserve"> il</w:t>
      </w:r>
      <w:r w:rsidR="00C83794" w:rsidRPr="00B16355">
        <w:t xml:space="preserve"> est dans une posit</w:t>
      </w:r>
      <w:r w:rsidR="000B6B26" w:rsidRPr="00B16355">
        <w:t>i</w:t>
      </w:r>
      <w:r w:rsidR="00C83794" w:rsidRPr="00B16355">
        <w:t>on p</w:t>
      </w:r>
      <w:r w:rsidR="00EE2575" w:rsidRPr="00B16355">
        <w:t>rivilégiée pour disposer de la question</w:t>
      </w:r>
      <w:r w:rsidR="00D549B7" w:rsidRPr="00B16355">
        <w:t xml:space="preserve">, </w:t>
      </w:r>
      <w:r w:rsidR="0098596D" w:rsidRPr="00B16355">
        <w:t>puisqu’il</w:t>
      </w:r>
      <w:r w:rsidRPr="00B16355">
        <w:t xml:space="preserve"> a</w:t>
      </w:r>
      <w:r w:rsidR="005A18FF" w:rsidRPr="00B16355">
        <w:t xml:space="preserve"> eu le bénéfice </w:t>
      </w:r>
      <w:r w:rsidR="00FE64DF" w:rsidRPr="00B16355">
        <w:t xml:space="preserve">d’entendre la preuve et </w:t>
      </w:r>
      <w:r w:rsidR="00970D7E" w:rsidRPr="00B16355">
        <w:t>d’</w:t>
      </w:r>
      <w:r w:rsidR="005A18FF" w:rsidRPr="00B16355">
        <w:t xml:space="preserve">appliquer les dispositions </w:t>
      </w:r>
      <w:r w:rsidR="00F54E51" w:rsidRPr="00B16355">
        <w:t xml:space="preserve">du régime </w:t>
      </w:r>
      <w:r w:rsidR="00841D35">
        <w:t xml:space="preserve">des </w:t>
      </w:r>
      <w:r w:rsidR="00F54E51" w:rsidRPr="00B16355">
        <w:t xml:space="preserve">SBEP </w:t>
      </w:r>
      <w:r w:rsidR="005A18FF" w:rsidRPr="00B16355">
        <w:t xml:space="preserve">dans </w:t>
      </w:r>
      <w:r w:rsidR="00002B52" w:rsidRPr="00B16355">
        <w:t>le présent dossier</w:t>
      </w:r>
      <w:r w:rsidR="005A18FF" w:rsidRPr="00B16355">
        <w:t>.</w:t>
      </w:r>
      <w:r w:rsidR="00D80381" w:rsidRPr="00B16355">
        <w:t xml:space="preserve"> </w:t>
      </w:r>
      <w:r w:rsidRPr="00B16355">
        <w:t>Même si la Cour supérieure est saisi</w:t>
      </w:r>
      <w:r w:rsidR="00165262" w:rsidRPr="00B16355">
        <w:t>e</w:t>
      </w:r>
      <w:r w:rsidRPr="00B16355">
        <w:t xml:space="preserve"> de la question de l</w:t>
      </w:r>
      <w:r w:rsidR="00AD1FC7" w:rsidRPr="00B16355">
        <w:t xml:space="preserve">a </w:t>
      </w:r>
      <w:r w:rsidR="004B7169" w:rsidRPr="00B16355">
        <w:t>constitutionnalité</w:t>
      </w:r>
      <w:r w:rsidRPr="00B16355">
        <w:t xml:space="preserve"> des deux mécanismes introduits par la Loi 14, la décision du Tribunal </w:t>
      </w:r>
      <w:r w:rsidR="00CC2348">
        <w:t>pourrait être</w:t>
      </w:r>
      <w:r w:rsidR="00CC2348" w:rsidRPr="00B16355">
        <w:t xml:space="preserve"> </w:t>
      </w:r>
      <w:r w:rsidRPr="00B16355">
        <w:t>susceptible de lui apporter un éclairage dans un contexte factuel précis.</w:t>
      </w:r>
    </w:p>
    <w:p w14:paraId="263EA2C2" w14:textId="1AB94EA9" w:rsidR="00083CB9" w:rsidRDefault="003A7A03" w:rsidP="009B0876">
      <w:pPr>
        <w:pStyle w:val="Titre1"/>
        <w:spacing w:after="360"/>
      </w:pPr>
      <w:r>
        <w:t>Les décisions rendues par le tribunal dans le présent dossier</w:t>
      </w:r>
    </w:p>
    <w:p w14:paraId="432D3EA6" w14:textId="4E00927A" w:rsidR="00053A3E" w:rsidRDefault="00053A3E" w:rsidP="003A7A03">
      <w:pPr>
        <w:pStyle w:val="Titre2"/>
      </w:pPr>
      <w:r w:rsidRPr="0077365B">
        <w:t>La décision d’assujettissement</w:t>
      </w:r>
    </w:p>
    <w:p w14:paraId="578ED6EA" w14:textId="35D79648" w:rsidR="00DB4C06" w:rsidRPr="00B16355" w:rsidRDefault="00AD598A" w:rsidP="00DB7B0D">
      <w:pPr>
        <w:pStyle w:val="corpsdedcision"/>
      </w:pPr>
      <w:r>
        <w:rPr>
          <w:lang w:eastAsia="fr-FR"/>
        </w:rPr>
        <w:t>Dans sa décision, l</w:t>
      </w:r>
      <w:r w:rsidR="00DB4C06" w:rsidRPr="00B16355">
        <w:rPr>
          <w:lang w:eastAsia="fr-FR"/>
        </w:rPr>
        <w:t>e Tribunal établit un cadre d’analyse en deux étapes.</w:t>
      </w:r>
      <w:r w:rsidR="00DB4C06" w:rsidRPr="00B16355">
        <w:t xml:space="preserve"> </w:t>
      </w:r>
      <w:r w:rsidR="00DB4C06" w:rsidRPr="00B16355">
        <w:rPr>
          <w:lang w:eastAsia="fr-FR"/>
        </w:rPr>
        <w:t>En</w:t>
      </w:r>
      <w:r w:rsidR="00D82B57">
        <w:rPr>
          <w:lang w:eastAsia="fr-FR"/>
        </w:rPr>
        <w:t> </w:t>
      </w:r>
      <w:r w:rsidR="00DB4C06" w:rsidRPr="00B16355">
        <w:rPr>
          <w:lang w:eastAsia="fr-FR"/>
        </w:rPr>
        <w:t xml:space="preserve">premier lieu, il doit déterminer si la preuve étaye une atteinte à la sécurité sociale, économique ou environnementale de la population ou d’une partie de la population, notamment </w:t>
      </w:r>
      <w:r w:rsidR="00714962">
        <w:rPr>
          <w:lang w:eastAsia="fr-FR"/>
        </w:rPr>
        <w:t xml:space="preserve">la </w:t>
      </w:r>
      <w:r w:rsidR="00DB4C06" w:rsidRPr="00B16355">
        <w:rPr>
          <w:lang w:eastAsia="fr-FR"/>
        </w:rPr>
        <w:t>plus vulnérable. Dans un deuxième temps, le cas échéant, il doit mesurer si cette atteinte est disproportionnée.</w:t>
      </w:r>
    </w:p>
    <w:p w14:paraId="12DF184E" w14:textId="1AC6BFD2" w:rsidR="006048DC" w:rsidRDefault="006048DC" w:rsidP="00EC2310">
      <w:pPr>
        <w:pStyle w:val="corpsdedcision"/>
        <w:spacing w:after="240"/>
        <w:rPr>
          <w:lang w:eastAsia="fr-FR"/>
        </w:rPr>
      </w:pPr>
      <w:r>
        <w:rPr>
          <w:lang w:eastAsia="fr-FR"/>
        </w:rPr>
        <w:t xml:space="preserve">L’article 111.22.3 du Code, reproduit plus haut, est la pierre angulaire du régime des SBEP, qu’il </w:t>
      </w:r>
      <w:r w:rsidR="002C01F4">
        <w:rPr>
          <w:lang w:eastAsia="fr-FR"/>
        </w:rPr>
        <w:t>cerne</w:t>
      </w:r>
      <w:r>
        <w:rPr>
          <w:lang w:eastAsia="fr-FR"/>
        </w:rPr>
        <w:t xml:space="preserve"> selon les quatre éléments suivants :</w:t>
      </w:r>
    </w:p>
    <w:p w14:paraId="13B42D0C" w14:textId="563BB2E5" w:rsidR="006048DC" w:rsidRDefault="00EF2CE3" w:rsidP="00EC2310">
      <w:pPr>
        <w:pStyle w:val="corpsdedcision"/>
        <w:numPr>
          <w:ilvl w:val="0"/>
          <w:numId w:val="5"/>
        </w:numPr>
        <w:tabs>
          <w:tab w:val="clear" w:pos="720"/>
          <w:tab w:val="left" w:pos="1134"/>
        </w:tabs>
        <w:spacing w:after="240"/>
        <w:ind w:left="1134" w:hanging="425"/>
        <w:rPr>
          <w:lang w:eastAsia="fr-FR"/>
        </w:rPr>
      </w:pPr>
      <w:r>
        <w:rPr>
          <w:lang w:eastAsia="fr-FR"/>
        </w:rPr>
        <w:t>il y a une atteinte</w:t>
      </w:r>
      <w:r w:rsidR="00BD3684">
        <w:rPr>
          <w:lang w:eastAsia="fr-FR"/>
        </w:rPr>
        <w:t xml:space="preserve"> à </w:t>
      </w:r>
      <w:r w:rsidR="006048DC">
        <w:rPr>
          <w:lang w:eastAsia="fr-FR"/>
        </w:rPr>
        <w:t>la sécurité sociale, économique ou environnementale</w:t>
      </w:r>
      <w:r w:rsidR="00BD3684" w:rsidRPr="00BD3684">
        <w:rPr>
          <w:lang w:eastAsia="fr-FR"/>
        </w:rPr>
        <w:t xml:space="preserve"> </w:t>
      </w:r>
      <w:r w:rsidR="00BD3684">
        <w:rPr>
          <w:lang w:eastAsia="fr-FR"/>
        </w:rPr>
        <w:t>durant une grève ou un lock-out</w:t>
      </w:r>
      <w:r w:rsidR="006048DC">
        <w:rPr>
          <w:lang w:eastAsia="fr-FR"/>
        </w:rPr>
        <w:t>;</w:t>
      </w:r>
    </w:p>
    <w:p w14:paraId="0230EE7E" w14:textId="4336C726" w:rsidR="006048DC" w:rsidRDefault="00EF2CE3" w:rsidP="00EC2310">
      <w:pPr>
        <w:pStyle w:val="corpsdedcision"/>
        <w:numPr>
          <w:ilvl w:val="0"/>
          <w:numId w:val="5"/>
        </w:numPr>
        <w:tabs>
          <w:tab w:val="clear" w:pos="720"/>
          <w:tab w:val="left" w:pos="1134"/>
        </w:tabs>
        <w:spacing w:after="240"/>
        <w:ind w:left="1134" w:hanging="425"/>
        <w:rPr>
          <w:lang w:eastAsia="fr-FR"/>
        </w:rPr>
      </w:pPr>
      <w:r>
        <w:rPr>
          <w:lang w:eastAsia="fr-FR"/>
        </w:rPr>
        <w:t xml:space="preserve">cette atteinte touche </w:t>
      </w:r>
      <w:r w:rsidR="006048DC">
        <w:rPr>
          <w:lang w:eastAsia="fr-FR"/>
        </w:rPr>
        <w:t>la population et en particulier des personnes en situation de vulnérabilité;</w:t>
      </w:r>
    </w:p>
    <w:p w14:paraId="51564162" w14:textId="6CDC6DF8" w:rsidR="00EF2CE3" w:rsidRDefault="00BD3684" w:rsidP="00EC2310">
      <w:pPr>
        <w:pStyle w:val="corpsdedcision"/>
        <w:numPr>
          <w:ilvl w:val="0"/>
          <w:numId w:val="5"/>
        </w:numPr>
        <w:tabs>
          <w:tab w:val="clear" w:pos="720"/>
          <w:tab w:val="left" w:pos="1134"/>
        </w:tabs>
        <w:spacing w:after="240"/>
        <w:ind w:left="1134" w:hanging="425"/>
        <w:rPr>
          <w:lang w:eastAsia="fr-FR"/>
        </w:rPr>
      </w:pPr>
      <w:r>
        <w:rPr>
          <w:lang w:eastAsia="fr-FR"/>
        </w:rPr>
        <w:t>le Tribunal juge que l’impact est disproportionné</w:t>
      </w:r>
      <w:r w:rsidR="00EC2310">
        <w:rPr>
          <w:lang w:eastAsia="fr-FR"/>
        </w:rPr>
        <w:t>;</w:t>
      </w:r>
    </w:p>
    <w:p w14:paraId="2A3A160A" w14:textId="3FF2A182" w:rsidR="006048DC" w:rsidRDefault="00EF2CE3" w:rsidP="000033B2">
      <w:pPr>
        <w:pStyle w:val="corpsdedcision"/>
        <w:numPr>
          <w:ilvl w:val="0"/>
          <w:numId w:val="5"/>
        </w:numPr>
        <w:tabs>
          <w:tab w:val="clear" w:pos="720"/>
          <w:tab w:val="left" w:pos="1134"/>
        </w:tabs>
        <w:ind w:left="1134" w:hanging="425"/>
        <w:rPr>
          <w:lang w:eastAsia="fr-FR"/>
        </w:rPr>
      </w:pPr>
      <w:r>
        <w:rPr>
          <w:lang w:eastAsia="fr-FR"/>
        </w:rPr>
        <w:t>des services minimum</w:t>
      </w:r>
      <w:r w:rsidR="00714962">
        <w:rPr>
          <w:lang w:eastAsia="fr-FR"/>
        </w:rPr>
        <w:t>s</w:t>
      </w:r>
      <w:r>
        <w:rPr>
          <w:lang w:eastAsia="fr-FR"/>
        </w:rPr>
        <w:t xml:space="preserve"> doivent être maintenus</w:t>
      </w:r>
      <w:r w:rsidR="00EC2310">
        <w:rPr>
          <w:lang w:eastAsia="fr-FR"/>
        </w:rPr>
        <w:t>.</w:t>
      </w:r>
    </w:p>
    <w:p w14:paraId="116C554E" w14:textId="77777777" w:rsidR="006048DC" w:rsidRDefault="006048DC" w:rsidP="009B0876">
      <w:pPr>
        <w:pStyle w:val="corpsdedcision"/>
        <w:rPr>
          <w:lang w:eastAsia="fr-FR"/>
        </w:rPr>
      </w:pPr>
      <w:r>
        <w:rPr>
          <w:lang w:eastAsia="fr-FR"/>
        </w:rPr>
        <w:t xml:space="preserve">Le Code ne </w:t>
      </w:r>
      <w:r w:rsidRPr="00B16355">
        <w:rPr>
          <w:lang w:eastAsia="fr-FR"/>
        </w:rPr>
        <w:t>définit</w:t>
      </w:r>
      <w:r>
        <w:rPr>
          <w:lang w:eastAsia="fr-FR"/>
        </w:rPr>
        <w:t xml:space="preserve"> pas les notions de sécurité sociale, économique et environnementale. </w:t>
      </w:r>
      <w:r>
        <w:t>Comme l’ont souligné plusieurs professeurs</w:t>
      </w:r>
      <w:r>
        <w:rPr>
          <w:rStyle w:val="Appelnotedebasdep"/>
        </w:rPr>
        <w:footnoteReference w:id="54"/>
      </w:r>
      <w:r>
        <w:t xml:space="preserve"> lors des consultations particulières tenues en mars 2025 sur le projet de loi </w:t>
      </w:r>
      <w:r w:rsidRPr="00F23069">
        <w:t>n°</w:t>
      </w:r>
      <w:r>
        <w:t>89, devenu la Loi 14, elles sont, pour la plupart, inconnues en droit</w:t>
      </w:r>
      <w:r w:rsidRPr="00C214A2">
        <w:t xml:space="preserve"> québécois. </w:t>
      </w:r>
      <w:r>
        <w:t>Le législateur n’établit pas davantage les éléments de comparaison nécessaires à l’évaluation du caractère disproportionné.</w:t>
      </w:r>
    </w:p>
    <w:p w14:paraId="04114963" w14:textId="2344FBC1" w:rsidR="006048DC" w:rsidRPr="00B16355" w:rsidRDefault="006048DC" w:rsidP="009B0876">
      <w:pPr>
        <w:pStyle w:val="corpsdedcision"/>
        <w:keepNext/>
        <w:keepLines/>
        <w:widowControl w:val="0"/>
        <w:rPr>
          <w:lang w:eastAsia="fr-FR"/>
        </w:rPr>
      </w:pPr>
      <w:r w:rsidRPr="00B16355">
        <w:t>Le PGQ</w:t>
      </w:r>
      <w:r w:rsidR="00EE4D23" w:rsidRPr="00B16355">
        <w:t>,</w:t>
      </w:r>
      <w:r w:rsidRPr="00B16355">
        <w:t xml:space="preserve"> autorisé à intervenir </w:t>
      </w:r>
      <w:r w:rsidR="00EE4D23" w:rsidRPr="00B16355">
        <w:t xml:space="preserve">lors de l’instance portant </w:t>
      </w:r>
      <w:r w:rsidRPr="00B16355">
        <w:t>sur l’assujettissement considérant l’impact de ces notions sur la question constitutionnelle</w:t>
      </w:r>
      <w:r w:rsidR="00EE4D23" w:rsidRPr="00B16355">
        <w:t xml:space="preserve">, </w:t>
      </w:r>
      <w:r w:rsidR="008C552F">
        <w:t xml:space="preserve">ne fournit aucune </w:t>
      </w:r>
      <w:r w:rsidR="00EE4D23" w:rsidRPr="00B16355">
        <w:t>définition</w:t>
      </w:r>
      <w:r w:rsidRPr="00B16355">
        <w:t xml:space="preserve">. Il </w:t>
      </w:r>
      <w:r w:rsidR="00EE4D23" w:rsidRPr="00B16355">
        <w:t>est d’avis</w:t>
      </w:r>
      <w:r w:rsidRPr="00B16355">
        <w:t xml:space="preserve"> que l’article 111.22.3 du Code couvre de larges concepts et un vaste spectre de situations. Pour cette raison, il invite le Tribunal à </w:t>
      </w:r>
      <w:r w:rsidR="008C552F">
        <w:t>s’abstenir</w:t>
      </w:r>
      <w:r w:rsidR="00EE4D23" w:rsidRPr="00B16355">
        <w:t xml:space="preserve"> d’élaborer </w:t>
      </w:r>
      <w:r w:rsidR="002B0F41">
        <w:t>une</w:t>
      </w:r>
      <w:r w:rsidR="00EE4D23" w:rsidRPr="00B16355">
        <w:t xml:space="preserve"> définition générale de ces notions</w:t>
      </w:r>
      <w:r w:rsidR="007348C8">
        <w:t xml:space="preserve"> et </w:t>
      </w:r>
      <w:r w:rsidR="00B16355" w:rsidRPr="00B16355">
        <w:t xml:space="preserve">lui suggère </w:t>
      </w:r>
      <w:r w:rsidR="00EE4D23" w:rsidRPr="00B16355">
        <w:t xml:space="preserve">plutôt </w:t>
      </w:r>
      <w:r w:rsidR="00B16355" w:rsidRPr="00B16355">
        <w:t>d’</w:t>
      </w:r>
      <w:r w:rsidR="00EE4D23" w:rsidRPr="00B16355">
        <w:t xml:space="preserve">examiner </w:t>
      </w:r>
      <w:r w:rsidR="00DB4C06" w:rsidRPr="00B16355">
        <w:t>si les faits</w:t>
      </w:r>
      <w:r w:rsidR="00EE4D23" w:rsidRPr="00B16355">
        <w:t xml:space="preserve"> du cas qui lui</w:t>
      </w:r>
      <w:r w:rsidR="00DB4C06" w:rsidRPr="00B16355">
        <w:t xml:space="preserve"> est soumis</w:t>
      </w:r>
      <w:r w:rsidR="00EE4D23" w:rsidRPr="00B16355">
        <w:t xml:space="preserve"> </w:t>
      </w:r>
      <w:r w:rsidR="00DB4C06" w:rsidRPr="00B16355">
        <w:t>peuvent</w:t>
      </w:r>
      <w:r w:rsidR="00EE4D23" w:rsidRPr="00B16355">
        <w:t xml:space="preserve"> </w:t>
      </w:r>
      <w:r w:rsidR="00DB4C06" w:rsidRPr="00B16355">
        <w:t>rel</w:t>
      </w:r>
      <w:r w:rsidR="008F7822">
        <w:t>e</w:t>
      </w:r>
      <w:r w:rsidR="00DB4C06" w:rsidRPr="00B16355">
        <w:t>ver de</w:t>
      </w:r>
      <w:r w:rsidR="00EE4D23" w:rsidRPr="00B16355">
        <w:t xml:space="preserve"> celles-ci</w:t>
      </w:r>
      <w:r w:rsidRPr="00B16355">
        <w:rPr>
          <w:rStyle w:val="Appelnotedebasdep"/>
        </w:rPr>
        <w:footnoteReference w:id="55"/>
      </w:r>
      <w:r w:rsidRPr="00B16355">
        <w:t>.</w:t>
      </w:r>
    </w:p>
    <w:p w14:paraId="26390959" w14:textId="0449C296" w:rsidR="006048DC" w:rsidRDefault="00EE4D23" w:rsidP="006048DC">
      <w:pPr>
        <w:pStyle w:val="corpsdedcision"/>
        <w:rPr>
          <w:lang w:eastAsia="fr-FR"/>
        </w:rPr>
      </w:pPr>
      <w:r w:rsidRPr="00B16355">
        <w:t>L</w:t>
      </w:r>
      <w:r w:rsidR="006048DC" w:rsidRPr="00B16355">
        <w:t xml:space="preserve">e Tribunal </w:t>
      </w:r>
      <w:r w:rsidR="007348C8">
        <w:t>constate</w:t>
      </w:r>
      <w:r w:rsidR="006048DC" w:rsidRPr="00B16355">
        <w:t xml:space="preserve"> </w:t>
      </w:r>
      <w:r w:rsidR="00DB4C06" w:rsidRPr="00B16355">
        <w:t>que les critères retenus par le législateur sont loin d’être clairs</w:t>
      </w:r>
      <w:r w:rsidR="00DB4C06">
        <w:t xml:space="preserve"> et </w:t>
      </w:r>
      <w:r w:rsidR="006048DC">
        <w:t>qu’il est difficile de cerner de si larges concepts applicables à une variété de situations. Il juge cependant nécessaire de tenter d’en définir les contours avant de les appliquer à l’affaire dont il est saisi</w:t>
      </w:r>
      <w:r w:rsidR="006048DC">
        <w:rPr>
          <w:rStyle w:val="Appelnotedebasdep"/>
        </w:rPr>
        <w:footnoteReference w:id="56"/>
      </w:r>
      <w:r w:rsidR="006048DC">
        <w:t>.</w:t>
      </w:r>
    </w:p>
    <w:p w14:paraId="75285F84" w14:textId="77777777" w:rsidR="006048DC" w:rsidRDefault="006048DC" w:rsidP="006048DC">
      <w:pPr>
        <w:pStyle w:val="corpsdedcision"/>
        <w:rPr>
          <w:lang w:eastAsia="fr-FR"/>
        </w:rPr>
      </w:pPr>
      <w:r>
        <w:t>Il souligne tout d’abord que le régime des SBEP vise à apporter une protection accrue à la population face aux conséquences des conflits de travail par rapport à celle établie par celui des services essentiels. Il conclut que le législateur n’a pas souhaité retenir le critère de danger. Il constate également que les notions de sécurité sociale et économique semblent viser des réalités plus larges que les définitions des dictionnaires et des organismes internationaux.</w:t>
      </w:r>
    </w:p>
    <w:p w14:paraId="28E53008" w14:textId="0725F5CD" w:rsidR="006048DC" w:rsidRPr="00B16355" w:rsidRDefault="006048DC" w:rsidP="00C16821">
      <w:pPr>
        <w:pStyle w:val="corpsdedcision"/>
        <w:tabs>
          <w:tab w:val="clear" w:pos="360"/>
          <w:tab w:val="num" w:pos="720"/>
        </w:tabs>
        <w:spacing w:after="240"/>
      </w:pPr>
      <w:r>
        <w:t>Quant aux effets disproportionnés, le Tribunal retient qu’ils doivent dépasser les inconvénients « </w:t>
      </w:r>
      <w:r w:rsidRPr="005D0CC8">
        <w:rPr>
          <w:i/>
          <w:iCs/>
          <w:sz w:val="22"/>
          <w:szCs w:val="22"/>
        </w:rPr>
        <w:t>normaux</w:t>
      </w:r>
      <w:r>
        <w:t> » d’une grève et causer un préjudice indu</w:t>
      </w:r>
      <w:r w:rsidR="00543F78" w:rsidRPr="00B16355">
        <w:t>, tout en soulignant la difficulté d’établir un tel seuil</w:t>
      </w:r>
      <w:r w:rsidR="00D461F2" w:rsidRPr="00B16355">
        <w:t xml:space="preserve"> et l’impossibilité pour lui de prendre en compte certains effets</w:t>
      </w:r>
      <w:r w:rsidRPr="00B16355">
        <w:t> :</w:t>
      </w:r>
    </w:p>
    <w:p w14:paraId="25A23ABC" w14:textId="36C5584E" w:rsidR="006048DC" w:rsidRDefault="006048DC" w:rsidP="005D0CC8">
      <w:pPr>
        <w:pStyle w:val="citation"/>
        <w:spacing w:after="120"/>
        <w:rPr>
          <w:lang w:eastAsia="fr-FR"/>
        </w:rPr>
      </w:pPr>
      <w:r w:rsidRPr="00C6278E">
        <w:rPr>
          <w:lang w:eastAsia="fr-FR"/>
        </w:rPr>
        <w:t>[139]</w:t>
      </w:r>
      <w:r w:rsidRPr="00C6278E">
        <w:rPr>
          <w:lang w:eastAsia="fr-FR"/>
        </w:rPr>
        <w:tab/>
        <w:t xml:space="preserve">La recherche d’une disproportion implique une comparaison entre deux éléments et une conclusion que l’un n’est pas en équilibre avec l’autre. Tant la définition du </w:t>
      </w:r>
      <w:r w:rsidRPr="00FC168D">
        <w:rPr>
          <w:i/>
          <w:iCs/>
          <w:lang w:eastAsia="fr-FR"/>
        </w:rPr>
        <w:t>Robert</w:t>
      </w:r>
      <w:r>
        <w:rPr>
          <w:vertAlign w:val="superscript"/>
          <w:lang w:eastAsia="fr-FR"/>
        </w:rPr>
        <w:t>80</w:t>
      </w:r>
      <w:r w:rsidRPr="00C6278E">
        <w:rPr>
          <w:lang w:eastAsia="fr-FR"/>
        </w:rPr>
        <w:t xml:space="preserve"> que du </w:t>
      </w:r>
      <w:r w:rsidRPr="00FC168D">
        <w:rPr>
          <w:i/>
          <w:iCs/>
          <w:lang w:eastAsia="fr-FR"/>
        </w:rPr>
        <w:t>Larousse</w:t>
      </w:r>
      <w:r>
        <w:rPr>
          <w:vertAlign w:val="superscript"/>
          <w:lang w:eastAsia="fr-FR"/>
        </w:rPr>
        <w:t>81</w:t>
      </w:r>
      <w:r w:rsidRPr="00C6278E">
        <w:rPr>
          <w:lang w:eastAsia="fr-FR"/>
        </w:rPr>
        <w:t xml:space="preserve"> font appel à une différence qui est excessive. Il est également question de démesure, de discordance et de disparité.</w:t>
      </w:r>
    </w:p>
    <w:p w14:paraId="219F86FC" w14:textId="0441EA2E" w:rsidR="006048DC" w:rsidRPr="0099645A" w:rsidRDefault="006048DC" w:rsidP="005D0CC8">
      <w:pPr>
        <w:pStyle w:val="citation"/>
        <w:spacing w:after="120"/>
        <w:rPr>
          <w:sz w:val="22"/>
          <w:szCs w:val="22"/>
          <w:lang w:eastAsia="fr-FR"/>
        </w:rPr>
      </w:pPr>
      <w:r w:rsidRPr="0099645A">
        <w:rPr>
          <w:sz w:val="22"/>
          <w:szCs w:val="22"/>
          <w:lang w:eastAsia="fr-FR"/>
        </w:rPr>
        <w:t>[…]</w:t>
      </w:r>
    </w:p>
    <w:p w14:paraId="201E6A26" w14:textId="38A69992" w:rsidR="006048DC" w:rsidRDefault="006048DC" w:rsidP="005D0CC8">
      <w:pPr>
        <w:pStyle w:val="citation"/>
        <w:spacing w:after="120"/>
        <w:rPr>
          <w:lang w:eastAsia="fr-FR"/>
        </w:rPr>
      </w:pPr>
      <w:r>
        <w:rPr>
          <w:lang w:eastAsia="fr-FR"/>
        </w:rPr>
        <w:t>[141]</w:t>
      </w:r>
      <w:r>
        <w:rPr>
          <w:lang w:eastAsia="fr-FR"/>
        </w:rPr>
        <w:tab/>
        <w:t xml:space="preserve">Bien que l’article 111.22.3 du Code ne soit pas explicite à ce sujet, il ressort des débats parlementaires que le régime des SBEP cherche à prémunir la population contre des inconvénients qui vont au-delà des impacts « </w:t>
      </w:r>
      <w:r w:rsidRPr="00FC168D">
        <w:rPr>
          <w:i/>
          <w:iCs/>
          <w:sz w:val="18"/>
          <w:szCs w:val="18"/>
          <w:lang w:eastAsia="fr-FR"/>
        </w:rPr>
        <w:t>normaux</w:t>
      </w:r>
      <w:r w:rsidRPr="00FC168D">
        <w:rPr>
          <w:sz w:val="18"/>
          <w:szCs w:val="18"/>
          <w:lang w:eastAsia="fr-FR"/>
        </w:rPr>
        <w:t xml:space="preserve"> </w:t>
      </w:r>
      <w:r>
        <w:rPr>
          <w:lang w:eastAsia="fr-FR"/>
        </w:rPr>
        <w:t>» qu’une grève peut produire. Ainsi s’exprime le ministre du Travail</w:t>
      </w:r>
      <w:r w:rsidRPr="007E7ACE">
        <w:rPr>
          <w:vertAlign w:val="superscript"/>
          <w:lang w:eastAsia="fr-FR"/>
        </w:rPr>
        <w:t>83</w:t>
      </w:r>
      <w:r>
        <w:rPr>
          <w:lang w:eastAsia="fr-FR"/>
        </w:rPr>
        <w:t>:</w:t>
      </w:r>
    </w:p>
    <w:p w14:paraId="6E439053" w14:textId="2F7DE198" w:rsidR="006048DC" w:rsidRDefault="006048DC" w:rsidP="00FB2C83">
      <w:pPr>
        <w:pStyle w:val="Citationendoubleretrait"/>
        <w:spacing w:after="240"/>
      </w:pPr>
      <w:r w:rsidRPr="0099645A">
        <w:rPr>
          <w:sz w:val="22"/>
          <w:szCs w:val="22"/>
        </w:rPr>
        <w:t>[…]</w:t>
      </w:r>
      <w:r>
        <w:t xml:space="preserve"> Et évidemment c’est factuel, ça tiendra des rencontres des circonstances qui sont mises en preuve, mais disproportionné, </w:t>
      </w:r>
      <w:r w:rsidRPr="00D35B79">
        <w:rPr>
          <w:u w:val="single"/>
        </w:rPr>
        <w:t>c’est disproportion par rapport aux inconvénients que…dont on peut normalement s’attendre ou dont la population peut normalement s’attendre lors de l’exercice d’un droit de grève</w:t>
      </w:r>
      <w:r>
        <w:t xml:space="preserve">. Donc, c’est certain qu’il y aura une démonstration à faire que la grève cause des </w:t>
      </w:r>
      <w:r w:rsidRPr="00D35B79">
        <w:rPr>
          <w:u w:val="single"/>
        </w:rPr>
        <w:t>conséquences qui dépassent ce qui doit normalement être accepté dans le cadre d’un conflit de travail</w:t>
      </w:r>
      <w:r>
        <w:t>…</w:t>
      </w:r>
    </w:p>
    <w:p w14:paraId="1C154EAC" w14:textId="3846E9AE" w:rsidR="006048DC" w:rsidRPr="00AD662C" w:rsidRDefault="006048DC" w:rsidP="00930448">
      <w:pPr>
        <w:pStyle w:val="Citationendoubleretrait"/>
        <w:spacing w:after="360"/>
        <w:rPr>
          <w:sz w:val="20"/>
          <w:szCs w:val="22"/>
        </w:rPr>
      </w:pPr>
      <w:r w:rsidRPr="009B5265">
        <w:rPr>
          <w:sz w:val="20"/>
          <w:szCs w:val="22"/>
        </w:rPr>
        <w:t>[Notre soulignement et transcription textuelle]</w:t>
      </w:r>
    </w:p>
    <w:p w14:paraId="2B34D6B7" w14:textId="085C8D70" w:rsidR="006048DC" w:rsidRPr="00AD662C" w:rsidRDefault="006048DC" w:rsidP="009B0876">
      <w:pPr>
        <w:pStyle w:val="citation"/>
        <w:keepNext/>
        <w:keepLines/>
        <w:spacing w:after="120"/>
        <w:rPr>
          <w:u w:val="single"/>
          <w:lang w:eastAsia="fr-FR"/>
        </w:rPr>
      </w:pPr>
      <w:r>
        <w:rPr>
          <w:lang w:eastAsia="fr-FR"/>
        </w:rPr>
        <w:t>[142]</w:t>
      </w:r>
      <w:r>
        <w:rPr>
          <w:lang w:eastAsia="fr-FR"/>
        </w:rPr>
        <w:tab/>
      </w:r>
      <w:r w:rsidRPr="00DB7B0D">
        <w:rPr>
          <w:u w:val="single"/>
          <w:lang w:eastAsia="fr-FR"/>
        </w:rPr>
        <w:t>Le seuil de ce qui constitue une atteinte normale ou acceptable pour la population reste cependant difficile à déterminer et à objectiver. Il semble étranger à toute considération des effets bénéfiques pour la population qui peuvent découler de l’amélioration des conditions de travail à la suite d’un conflit de travail</w:t>
      </w:r>
      <w:r w:rsidRPr="00DB7B0D">
        <w:rPr>
          <w:u w:val="single"/>
          <w:vertAlign w:val="superscript"/>
          <w:lang w:eastAsia="fr-FR"/>
        </w:rPr>
        <w:t>84</w:t>
      </w:r>
      <w:r w:rsidRPr="00DB7B0D">
        <w:rPr>
          <w:u w:val="single"/>
          <w:lang w:eastAsia="fr-FR"/>
        </w:rPr>
        <w:t>.</w:t>
      </w:r>
    </w:p>
    <w:p w14:paraId="0B9E4F35" w14:textId="78C8A6FA" w:rsidR="006048DC" w:rsidRPr="0099645A" w:rsidRDefault="006048DC" w:rsidP="00A61D61">
      <w:pPr>
        <w:pStyle w:val="citation"/>
        <w:spacing w:after="120"/>
        <w:rPr>
          <w:sz w:val="22"/>
          <w:szCs w:val="22"/>
          <w:lang w:eastAsia="fr-FR"/>
        </w:rPr>
      </w:pPr>
      <w:r w:rsidRPr="0099645A">
        <w:rPr>
          <w:sz w:val="22"/>
          <w:szCs w:val="22"/>
          <w:lang w:eastAsia="fr-FR"/>
        </w:rPr>
        <w:t>[…]</w:t>
      </w:r>
    </w:p>
    <w:p w14:paraId="7152019B" w14:textId="058A3A52" w:rsidR="006048DC" w:rsidRDefault="006048DC" w:rsidP="00D572DA">
      <w:pPr>
        <w:pStyle w:val="citation"/>
        <w:spacing w:after="120"/>
        <w:rPr>
          <w:lang w:eastAsia="fr-FR"/>
        </w:rPr>
      </w:pPr>
      <w:r>
        <w:rPr>
          <w:lang w:eastAsia="fr-FR"/>
        </w:rPr>
        <w:t>[146]</w:t>
      </w:r>
      <w:r>
        <w:rPr>
          <w:lang w:eastAsia="fr-FR"/>
        </w:rPr>
        <w:tab/>
        <w:t xml:space="preserve">Le Tribunal retient l’expression du « </w:t>
      </w:r>
      <w:r w:rsidRPr="00FC168D">
        <w:rPr>
          <w:i/>
          <w:iCs/>
          <w:sz w:val="18"/>
          <w:szCs w:val="18"/>
          <w:lang w:eastAsia="fr-FR"/>
        </w:rPr>
        <w:t>préjudice indu</w:t>
      </w:r>
      <w:r w:rsidRPr="00FC168D">
        <w:rPr>
          <w:sz w:val="18"/>
          <w:szCs w:val="18"/>
          <w:lang w:eastAsia="fr-FR"/>
        </w:rPr>
        <w:t xml:space="preserve"> </w:t>
      </w:r>
      <w:r>
        <w:rPr>
          <w:lang w:eastAsia="fr-FR"/>
        </w:rPr>
        <w:t xml:space="preserve">», que le juge en chef Dickson a employée dans l’arrêt </w:t>
      </w:r>
      <w:r w:rsidRPr="005479E2">
        <w:rPr>
          <w:lang w:eastAsia="fr-FR"/>
        </w:rPr>
        <w:t>des Producteurs laitiers</w:t>
      </w:r>
      <w:r>
        <w:rPr>
          <w:lang w:eastAsia="fr-FR"/>
        </w:rPr>
        <w:t xml:space="preserve"> à l’égard du préjudice économique majeur qu’un conflit produisait sur des tiers. Il écrit</w:t>
      </w:r>
      <w:r w:rsidRPr="00356D47">
        <w:rPr>
          <w:vertAlign w:val="superscript"/>
          <w:lang w:eastAsia="fr-FR"/>
        </w:rPr>
        <w:t>86</w:t>
      </w:r>
      <w:r>
        <w:rPr>
          <w:lang w:eastAsia="fr-FR"/>
        </w:rPr>
        <w:t>:</w:t>
      </w:r>
    </w:p>
    <w:p w14:paraId="17DAB2CF" w14:textId="0994A343" w:rsidR="006048DC" w:rsidRDefault="006048DC" w:rsidP="00D572DA">
      <w:pPr>
        <w:pStyle w:val="Citationendoubleretrait"/>
        <w:spacing w:after="120"/>
      </w:pPr>
      <w:r>
        <w:t xml:space="preserve">Dans le </w:t>
      </w:r>
      <w:r w:rsidRPr="00FC168D">
        <w:rPr>
          <w:i/>
          <w:iCs/>
        </w:rPr>
        <w:t>Renvoi relatif aux relations de travail en Alberta</w:t>
      </w:r>
      <w:r>
        <w:t xml:space="preserve">, j'ai accepté l'argument des "services essentiels" pour justifier la substitution d'un régime convenable d'arbitrage obligatoire à la liberté de grève. Le législateur est autorisé à restreindre la liberté de grève d'employés chaque fois qu'une grève aurait pour effet de priver le public de services essentiels. </w:t>
      </w:r>
      <w:r w:rsidRPr="00FB2BC4">
        <w:rPr>
          <w:u w:val="single"/>
        </w:rPr>
        <w:t xml:space="preserve">La raison d'être d'une telle restriction est que les membres du public qui ne participent pas à un processus donné de négociation collective ne devraient pas avoir à subir de </w:t>
      </w:r>
      <w:r w:rsidRPr="00FB2BC4">
        <w:rPr>
          <w:b/>
          <w:bCs/>
          <w:u w:val="single"/>
        </w:rPr>
        <w:t>préjudice indu</w:t>
      </w:r>
      <w:r w:rsidRPr="00FB2BC4">
        <w:rPr>
          <w:u w:val="single"/>
        </w:rPr>
        <w:t xml:space="preserve"> lorsque les négociations n'aboutissent pas à un accord</w:t>
      </w:r>
      <w:r w:rsidRPr="00EC0B41">
        <w:t xml:space="preserve">. </w:t>
      </w:r>
      <w:r>
        <w:t xml:space="preserve">À mon avis, cette même raison d'être s'applique aussi lorsque le préjudice subi par des tiers est de nature économique. Quoique, comme je l'ai souligné dans le </w:t>
      </w:r>
      <w:r w:rsidRPr="00FC168D">
        <w:rPr>
          <w:i/>
          <w:iCs/>
        </w:rPr>
        <w:t>Renvoi relatif aux relations de travail en Alberta</w:t>
      </w:r>
      <w:r>
        <w:t xml:space="preserve">, le droit de négocier collectivement et, partant, celui de faire la grève, ne mette pas en jeu que des intérêts purement économiques des travailleurs, il ne fait pas de doute que des préoccupations d'ordre économique jouent un rôle important dans un bon nombre de conflits de travail. </w:t>
      </w:r>
      <w:r w:rsidRPr="00FB2BC4">
        <w:rPr>
          <w:u w:val="single"/>
        </w:rPr>
        <w:t>En fait, il serait étrange que notre société accorde une protection constitutionnelle à la liberté des salariés de recourir à la grève pour promouvoir leurs intérêts économiques et autres, et tienne en même temps à ce que l'état reste inactif et indifférent devant le préjudice économique grave causé à autrui</w:t>
      </w:r>
      <w:r w:rsidRPr="00EC0B41">
        <w:t xml:space="preserve">. </w:t>
      </w:r>
      <w:r>
        <w:t xml:space="preserve">Exiger que le législateur ferme les yeux sur le préjudice économique qui peut résulter d'arrêts de travail reviendrait à consacrer dans la Constitution un régime particulier de relations de travail. </w:t>
      </w:r>
      <w:r w:rsidRPr="0099645A">
        <w:rPr>
          <w:sz w:val="22"/>
          <w:szCs w:val="22"/>
        </w:rPr>
        <w:t>[…]</w:t>
      </w:r>
    </w:p>
    <w:p w14:paraId="782479BD" w14:textId="7B91D3AB" w:rsidR="006048DC" w:rsidRPr="00AD662C" w:rsidRDefault="006048DC" w:rsidP="00F46E6B">
      <w:pPr>
        <w:pStyle w:val="Citationendoubleretrait"/>
        <w:spacing w:before="120" w:after="120"/>
        <w:rPr>
          <w:sz w:val="20"/>
          <w:szCs w:val="22"/>
        </w:rPr>
      </w:pPr>
      <w:r w:rsidRPr="00F46E6B">
        <w:rPr>
          <w:sz w:val="20"/>
          <w:szCs w:val="22"/>
        </w:rPr>
        <w:t>[Notre soulignement et emphase ajoutée]</w:t>
      </w:r>
    </w:p>
    <w:p w14:paraId="2101E151" w14:textId="1775EB9D" w:rsidR="006048DC" w:rsidRDefault="006048DC" w:rsidP="00F46E6B">
      <w:pPr>
        <w:pStyle w:val="citation"/>
        <w:spacing w:before="120" w:after="120"/>
        <w:rPr>
          <w:lang w:eastAsia="fr-FR"/>
        </w:rPr>
      </w:pPr>
      <w:r>
        <w:rPr>
          <w:lang w:eastAsia="fr-FR"/>
        </w:rPr>
        <w:t>[147]</w:t>
      </w:r>
      <w:r>
        <w:rPr>
          <w:lang w:eastAsia="fr-FR"/>
        </w:rPr>
        <w:tab/>
        <w:t>Pour justifier l’intervention du Tribunal, il ne faut pas seulement que la population soit affectée par le conflit de travail, mais qu’elle en subisse un préjudice indu.</w:t>
      </w:r>
    </w:p>
    <w:p w14:paraId="4F5EF8CA" w14:textId="10F1142A" w:rsidR="006048DC" w:rsidRDefault="006048DC" w:rsidP="00147A94">
      <w:pPr>
        <w:pStyle w:val="citation"/>
        <w:spacing w:before="240" w:after="240"/>
        <w:rPr>
          <w:lang w:eastAsia="fr-FR"/>
        </w:rPr>
      </w:pPr>
      <w:r>
        <w:rPr>
          <w:lang w:eastAsia="fr-FR"/>
        </w:rPr>
        <w:t>[148]</w:t>
      </w:r>
      <w:r>
        <w:rPr>
          <w:lang w:eastAsia="fr-FR"/>
        </w:rPr>
        <w:tab/>
        <w:t>Les éléments factuels propres à chaque affaire devront être soigneusement pris en considération pour évaluer le caractère disproportionné des effets de la grève. La durée du conflit, son intensité, la nature des services interrompus, les caractéristiques de la population visée et la présence de personnes vulnérables parmi elle, ainsi que l’absence de solutions de rechange sont autant de facteurs qui peuvent influer dans l’évaluation.</w:t>
      </w:r>
    </w:p>
    <w:p w14:paraId="4F4D4954" w14:textId="6FC406C6" w:rsidR="002C01F4" w:rsidRPr="00AD662C" w:rsidRDefault="006048DC" w:rsidP="00930448">
      <w:pPr>
        <w:pStyle w:val="citation"/>
        <w:spacing w:before="240" w:after="360"/>
        <w:rPr>
          <w:rFonts w:cs="Arial"/>
          <w:sz w:val="24"/>
          <w:szCs w:val="24"/>
          <w:lang w:eastAsia="fr-FR"/>
        </w:rPr>
      </w:pPr>
      <w:r>
        <w:rPr>
          <w:rFonts w:cs="Arial"/>
          <w:sz w:val="24"/>
          <w:szCs w:val="24"/>
          <w:lang w:eastAsia="fr-FR"/>
        </w:rPr>
        <w:t>[</w:t>
      </w:r>
      <w:r w:rsidR="00044180">
        <w:rPr>
          <w:sz w:val="24"/>
          <w:szCs w:val="24"/>
          <w:lang w:eastAsia="fr-FR"/>
        </w:rPr>
        <w:t>No</w:t>
      </w:r>
      <w:r w:rsidR="008F7822">
        <w:rPr>
          <w:sz w:val="24"/>
          <w:szCs w:val="24"/>
          <w:lang w:eastAsia="fr-FR"/>
        </w:rPr>
        <w:t>s</w:t>
      </w:r>
      <w:r w:rsidR="00044180">
        <w:rPr>
          <w:sz w:val="24"/>
          <w:szCs w:val="24"/>
          <w:lang w:eastAsia="fr-FR"/>
        </w:rPr>
        <w:t xml:space="preserve"> soulignement</w:t>
      </w:r>
      <w:r w:rsidR="008F7822">
        <w:rPr>
          <w:sz w:val="24"/>
          <w:szCs w:val="24"/>
          <w:lang w:eastAsia="fr-FR"/>
        </w:rPr>
        <w:t>s et</w:t>
      </w:r>
      <w:r w:rsidR="00044180" w:rsidRPr="007E7ACE">
        <w:rPr>
          <w:sz w:val="24"/>
          <w:szCs w:val="24"/>
          <w:lang w:eastAsia="fr-FR"/>
        </w:rPr>
        <w:t xml:space="preserve"> </w:t>
      </w:r>
      <w:r w:rsidR="00044180">
        <w:rPr>
          <w:sz w:val="24"/>
          <w:szCs w:val="24"/>
          <w:lang w:eastAsia="fr-FR"/>
        </w:rPr>
        <w:t>n</w:t>
      </w:r>
      <w:r w:rsidRPr="007E7ACE">
        <w:rPr>
          <w:sz w:val="24"/>
          <w:szCs w:val="24"/>
          <w:lang w:eastAsia="fr-FR"/>
        </w:rPr>
        <w:t>otes omises</w:t>
      </w:r>
      <w:r>
        <w:rPr>
          <w:rFonts w:cs="Arial"/>
          <w:sz w:val="24"/>
          <w:szCs w:val="24"/>
          <w:lang w:eastAsia="fr-FR"/>
        </w:rPr>
        <w:t>]</w:t>
      </w:r>
    </w:p>
    <w:p w14:paraId="100261FA" w14:textId="2B692460" w:rsidR="00893010" w:rsidRDefault="00EA5D50" w:rsidP="00AD662C">
      <w:pPr>
        <w:pStyle w:val="corpsdedcision"/>
        <w:tabs>
          <w:tab w:val="clear" w:pos="360"/>
        </w:tabs>
        <w:spacing w:after="240"/>
      </w:pPr>
      <w:r>
        <w:t xml:space="preserve">Après avoir </w:t>
      </w:r>
      <w:r w:rsidR="002C01F4">
        <w:t xml:space="preserve">cerné </w:t>
      </w:r>
      <w:r>
        <w:t>les contours de la notion de SBEP</w:t>
      </w:r>
      <w:r w:rsidR="00031F46">
        <w:t>,</w:t>
      </w:r>
      <w:r>
        <w:t xml:space="preserve"> l</w:t>
      </w:r>
      <w:r w:rsidR="00F6781A" w:rsidRPr="00F6781A">
        <w:t xml:space="preserve">e Tribunal </w:t>
      </w:r>
      <w:r w:rsidR="00893010">
        <w:t>brosse le portrait de la nature des services interrompus par la grève et de la population visée :</w:t>
      </w:r>
    </w:p>
    <w:p w14:paraId="306A7C8F" w14:textId="7CF9E966" w:rsidR="00893010" w:rsidRDefault="00893010" w:rsidP="00DA3C74">
      <w:pPr>
        <w:pStyle w:val="citation"/>
        <w:spacing w:after="120"/>
      </w:pPr>
      <w:r>
        <w:t>[154]</w:t>
      </w:r>
      <w:r>
        <w:tab/>
        <w:t>Le présent dossier met en cause une interruption de services d’un CPE de Roberval, une municipalité du Lac-Saint-Jean.</w:t>
      </w:r>
    </w:p>
    <w:p w14:paraId="41B1660F" w14:textId="7B203E4E" w:rsidR="00BC37EC" w:rsidRDefault="00893010" w:rsidP="00DA3C74">
      <w:pPr>
        <w:pStyle w:val="citation"/>
        <w:spacing w:after="120"/>
      </w:pPr>
      <w:r>
        <w:t>[155]</w:t>
      </w:r>
      <w:r>
        <w:tab/>
        <w:t>Selon les données socioéconomiques en preuve, Roberval a une population approximative de 9</w:t>
      </w:r>
      <w:r w:rsidR="004E2781">
        <w:t> </w:t>
      </w:r>
      <w:r>
        <w:t>840 habitants. Le revenu médian après impôts des ménages est de 55</w:t>
      </w:r>
      <w:r w:rsidR="00881180">
        <w:t> </w:t>
      </w:r>
      <w:r>
        <w:t>600</w:t>
      </w:r>
      <w:r w:rsidR="00881180">
        <w:t> </w:t>
      </w:r>
      <w:r>
        <w:t>$. Son indice de vitalité économique (2014</w:t>
      </w:r>
      <w:r w:rsidR="00881180">
        <w:t> </w:t>
      </w:r>
      <w:r>
        <w:t>-</w:t>
      </w:r>
      <w:r w:rsidR="00881180">
        <w:t> </w:t>
      </w:r>
      <w:r>
        <w:t>2022) de -3,8094 classe cette municipalité au 858</w:t>
      </w:r>
      <w:r w:rsidRPr="00881180">
        <w:rPr>
          <w:vertAlign w:val="superscript"/>
        </w:rPr>
        <w:t>e</w:t>
      </w:r>
      <w:r>
        <w:t xml:space="preserve"> rang sur 1</w:t>
      </w:r>
      <w:r w:rsidR="00BC37EC">
        <w:t> </w:t>
      </w:r>
      <w:r>
        <w:t>141.</w:t>
      </w:r>
    </w:p>
    <w:p w14:paraId="66E45233" w14:textId="6B9DAFBF" w:rsidR="00BC37EC" w:rsidRDefault="00893010" w:rsidP="00A61D61">
      <w:pPr>
        <w:pStyle w:val="citation"/>
        <w:keepNext/>
        <w:keepLines/>
        <w:spacing w:after="120"/>
      </w:pPr>
      <w:r>
        <w:t>[156]</w:t>
      </w:r>
      <w:r>
        <w:tab/>
        <w:t>Il apparait également du dossier que Roberval et ses environs comptent une importante communauté autochtone et que plusieurs parents utilisateurs en font partie. Or,</w:t>
      </w:r>
      <w:r w:rsidR="00A61D61">
        <w:t> </w:t>
      </w:r>
      <w:r>
        <w:t>les peuples autochtones du Canada sont confrontés à des écarts socioéconomiques importants et persistants avec la population non autochtone</w:t>
      </w:r>
      <w:r w:rsidR="00BC37EC">
        <w:rPr>
          <w:vertAlign w:val="superscript"/>
        </w:rPr>
        <w:t>87</w:t>
      </w:r>
      <w:r>
        <w:t>.</w:t>
      </w:r>
    </w:p>
    <w:p w14:paraId="30BC0C35" w14:textId="5F722994" w:rsidR="00BC37EC" w:rsidRDefault="00893010" w:rsidP="00DA3C74">
      <w:pPr>
        <w:pStyle w:val="citation"/>
        <w:spacing w:after="120"/>
      </w:pPr>
      <w:r>
        <w:t>[157]</w:t>
      </w:r>
      <w:r>
        <w:tab/>
        <w:t xml:space="preserve">En tant que CPE, l’employeur est un service de garde reconnu, régi par la </w:t>
      </w:r>
      <w:r w:rsidRPr="00612DC6">
        <w:rPr>
          <w:i/>
          <w:iCs/>
        </w:rPr>
        <w:t>Loi sur les services de garde</w:t>
      </w:r>
      <w:r>
        <w:t xml:space="preserve">. Dans l’affaire </w:t>
      </w:r>
      <w:r w:rsidRPr="00BC37EC">
        <w:rPr>
          <w:i/>
          <w:iCs/>
        </w:rPr>
        <w:t>Québec (Procureur général)</w:t>
      </w:r>
      <w:r>
        <w:t xml:space="preserve"> c. </w:t>
      </w:r>
      <w:r w:rsidRPr="00BC37EC">
        <w:rPr>
          <w:i/>
          <w:iCs/>
        </w:rPr>
        <w:t>Kanyinda</w:t>
      </w:r>
      <w:r w:rsidR="00BC37EC">
        <w:rPr>
          <w:vertAlign w:val="superscript"/>
        </w:rPr>
        <w:t>88</w:t>
      </w:r>
      <w:r>
        <w:t>, un tout récent arrêt portant sur l’admissibilité des demandeurs d’asile aux services de garde subventionnés, la Cour suprême s’est penchée sur le régime québécois et ses objectifs</w:t>
      </w:r>
      <w:r w:rsidR="004F25E5">
        <w:t> </w:t>
      </w:r>
      <w:r>
        <w:t>: assurer l’égalité des chances, faciliter la conciliation travail famille et aider les familles à faibles revenus.</w:t>
      </w:r>
      <w:r w:rsidR="00BC37EC">
        <w:t xml:space="preserve"> </w:t>
      </w:r>
      <w:r w:rsidR="00BC37EC" w:rsidRPr="0099645A">
        <w:rPr>
          <w:rFonts w:cs="Arial"/>
          <w:sz w:val="22"/>
          <w:szCs w:val="22"/>
        </w:rPr>
        <w:t>[…]</w:t>
      </w:r>
    </w:p>
    <w:p w14:paraId="05BB6FB4" w14:textId="4EC48274" w:rsidR="00BC37EC" w:rsidRDefault="00893010" w:rsidP="00DA3C74">
      <w:pPr>
        <w:pStyle w:val="citation"/>
        <w:spacing w:after="120"/>
      </w:pPr>
      <w:r>
        <w:t>[158]</w:t>
      </w:r>
      <w:r>
        <w:tab/>
        <w:t>La Loi sur les services de garde a pour «</w:t>
      </w:r>
      <w:r w:rsidR="0030126C">
        <w:t> </w:t>
      </w:r>
      <w:r w:rsidRPr="00E37C3A">
        <w:rPr>
          <w:i/>
          <w:iCs/>
          <w:sz w:val="18"/>
          <w:szCs w:val="18"/>
        </w:rPr>
        <w:t xml:space="preserve">objet de promouvoir la qualité des services de garde éducatifs destinés aux enfants avant leur admission à l’école en vue d’assurer la santé, la sécurité, le développement, la réussite éducative, </w:t>
      </w:r>
      <w:r w:rsidRPr="00E37C3A">
        <w:rPr>
          <w:i/>
          <w:iCs/>
          <w:sz w:val="18"/>
          <w:szCs w:val="18"/>
          <w:u w:val="single"/>
        </w:rPr>
        <w:t>le bien-être et l’égalité des chances des enfants</w:t>
      </w:r>
      <w:r w:rsidRPr="00E37C3A">
        <w:rPr>
          <w:i/>
          <w:iCs/>
          <w:sz w:val="18"/>
          <w:szCs w:val="18"/>
        </w:rPr>
        <w:t xml:space="preserve"> qui reçoivent ces services, notamment ceux qui présentent des </w:t>
      </w:r>
      <w:r w:rsidRPr="00E37C3A">
        <w:rPr>
          <w:i/>
          <w:iCs/>
          <w:sz w:val="18"/>
          <w:szCs w:val="18"/>
          <w:u w:val="single"/>
        </w:rPr>
        <w:t>besoins particuliers</w:t>
      </w:r>
      <w:r w:rsidRPr="00E37C3A">
        <w:rPr>
          <w:i/>
          <w:iCs/>
          <w:sz w:val="18"/>
          <w:szCs w:val="18"/>
        </w:rPr>
        <w:t xml:space="preserve"> ou qui vivent dans des contextes de </w:t>
      </w:r>
      <w:r w:rsidRPr="00E37C3A">
        <w:rPr>
          <w:i/>
          <w:iCs/>
          <w:sz w:val="18"/>
          <w:szCs w:val="18"/>
          <w:u w:val="single"/>
        </w:rPr>
        <w:t xml:space="preserve">précarité </w:t>
      </w:r>
      <w:r w:rsidR="00BE2D06" w:rsidRPr="00E37C3A">
        <w:rPr>
          <w:i/>
          <w:iCs/>
          <w:sz w:val="18"/>
          <w:szCs w:val="18"/>
          <w:u w:val="single"/>
        </w:rPr>
        <w:t>socio</w:t>
      </w:r>
      <w:r w:rsidR="001A195F" w:rsidRPr="00E37C3A">
        <w:rPr>
          <w:i/>
          <w:iCs/>
          <w:sz w:val="18"/>
          <w:szCs w:val="18"/>
          <w:u w:val="single"/>
        </w:rPr>
        <w:t>-</w:t>
      </w:r>
      <w:r w:rsidR="00BE2D06" w:rsidRPr="0070470B">
        <w:rPr>
          <w:i/>
          <w:iCs/>
          <w:sz w:val="18"/>
          <w:szCs w:val="18"/>
          <w:u w:val="single"/>
        </w:rPr>
        <w:t>économique</w:t>
      </w:r>
      <w:r w:rsidR="001A195F" w:rsidRPr="0070470B">
        <w:t> »</w:t>
      </w:r>
      <w:r w:rsidR="00BC37EC" w:rsidRPr="0070470B">
        <w:rPr>
          <w:vertAlign w:val="superscript"/>
        </w:rPr>
        <w:t>89</w:t>
      </w:r>
      <w:r w:rsidRPr="0070470B">
        <w:t xml:space="preserve"> </w:t>
      </w:r>
      <w:r w:rsidRPr="00DA3C74">
        <w:t>[Nos soulignements]</w:t>
      </w:r>
    </w:p>
    <w:p w14:paraId="6106B20F" w14:textId="29E722D6" w:rsidR="00BC37EC" w:rsidRPr="0099645A" w:rsidRDefault="00893010" w:rsidP="009A4A2D">
      <w:pPr>
        <w:pStyle w:val="citation"/>
        <w:spacing w:before="120" w:after="120"/>
        <w:rPr>
          <w:sz w:val="22"/>
          <w:szCs w:val="22"/>
        </w:rPr>
      </w:pPr>
      <w:r w:rsidRPr="0099645A">
        <w:rPr>
          <w:sz w:val="22"/>
          <w:szCs w:val="22"/>
        </w:rPr>
        <w:t>[</w:t>
      </w:r>
      <w:r w:rsidR="00BC37EC" w:rsidRPr="0099645A">
        <w:rPr>
          <w:sz w:val="22"/>
          <w:szCs w:val="22"/>
        </w:rPr>
        <w:t>…</w:t>
      </w:r>
      <w:r w:rsidR="00BC37EC" w:rsidRPr="0099645A">
        <w:rPr>
          <w:rFonts w:cs="Arial"/>
          <w:sz w:val="22"/>
          <w:szCs w:val="22"/>
        </w:rPr>
        <w:t>]</w:t>
      </w:r>
    </w:p>
    <w:p w14:paraId="3E81FF01" w14:textId="38623E60" w:rsidR="00BC37EC" w:rsidRDefault="00893010" w:rsidP="00DA3C74">
      <w:pPr>
        <w:pStyle w:val="citation"/>
        <w:spacing w:after="120"/>
      </w:pPr>
      <w:r>
        <w:t>[162]</w:t>
      </w:r>
      <w:r>
        <w:tab/>
        <w:t>Les enfants sont des personnes vulnérables par définition.</w:t>
      </w:r>
    </w:p>
    <w:p w14:paraId="3C8B828D" w14:textId="3F715BF4" w:rsidR="00BC37EC" w:rsidRDefault="00893010" w:rsidP="00DA3C74">
      <w:pPr>
        <w:pStyle w:val="citation"/>
        <w:spacing w:after="120"/>
      </w:pPr>
      <w:r>
        <w:t>[163]</w:t>
      </w:r>
      <w:r>
        <w:tab/>
        <w:t>14 des 84 enfants utilisateurs de l’employeur font l’objet d’un suivi par la Direction de la protection de la jeunesse, la DPJ, ou les services autochtones de protection de l’enfance. Il s’agit donc de plus de 17</w:t>
      </w:r>
      <w:r w:rsidR="002A7D74">
        <w:t> </w:t>
      </w:r>
      <w:r>
        <w:t>% des enfants, ce qui n’est pas négligeable. Parmi ceux-ci, un nombre significatif fait partie de communautés autochtones.</w:t>
      </w:r>
    </w:p>
    <w:p w14:paraId="1C8F944A" w14:textId="7CE57CF1" w:rsidR="00BC37EC" w:rsidRDefault="00893010" w:rsidP="00DA3C74">
      <w:pPr>
        <w:pStyle w:val="citation"/>
        <w:spacing w:after="120"/>
      </w:pPr>
      <w:r>
        <w:t>[164]</w:t>
      </w:r>
      <w:r>
        <w:tab/>
        <w:t>L’employeur est appelé à interagir avec des intervenants en protection de la jeunesse dans le cadre d’un suivi. Qui plus est, certains parents préfèrent que les visites avec les intervenants se déroulent chez l’employeur, plutôt que dans leur milieu familial. Quelques parents font l’objet d’un suivi par la DPJ pour le développement des compétences parentales. Il s’agit de parents éprouvant des difficultés à répondre aux besoins de base des enfants.</w:t>
      </w:r>
    </w:p>
    <w:p w14:paraId="62F861B9" w14:textId="0580497F" w:rsidR="00BC37EC" w:rsidRDefault="00893010" w:rsidP="00DA3C74">
      <w:pPr>
        <w:pStyle w:val="citation"/>
        <w:spacing w:after="120"/>
      </w:pPr>
      <w:r>
        <w:t>[165]</w:t>
      </w:r>
      <w:r>
        <w:tab/>
        <w:t>La directrice générale de l’employeur explique que le CPE est un «</w:t>
      </w:r>
      <w:r w:rsidR="00AD662C">
        <w:t> </w:t>
      </w:r>
      <w:r w:rsidRPr="00BC37EC">
        <w:rPr>
          <w:i/>
          <w:iCs/>
          <w:sz w:val="18"/>
          <w:szCs w:val="18"/>
        </w:rPr>
        <w:t>filet de sécurité</w:t>
      </w:r>
      <w:r w:rsidR="00AD662C">
        <w:t> </w:t>
      </w:r>
      <w:r>
        <w:t>», particulièrement dans un contexte où des enfants évoluent dans un milieu où ils peuvent faire l’objet de négligence ou de violence. «</w:t>
      </w:r>
      <w:r w:rsidR="00AD662C">
        <w:t> </w:t>
      </w:r>
      <w:r w:rsidRPr="00BC37EC">
        <w:rPr>
          <w:i/>
          <w:iCs/>
          <w:sz w:val="18"/>
          <w:szCs w:val="18"/>
        </w:rPr>
        <w:t>On amène des facteurs de protection</w:t>
      </w:r>
      <w:r w:rsidR="00AD662C">
        <w:t> </w:t>
      </w:r>
      <w:r>
        <w:t>», qui viennent contrebalancer le milieu familial, explique-t-elle.</w:t>
      </w:r>
    </w:p>
    <w:p w14:paraId="3335D27C" w14:textId="287A0A41" w:rsidR="00BC37EC" w:rsidRDefault="00893010" w:rsidP="00DA3C74">
      <w:pPr>
        <w:pStyle w:val="citation"/>
        <w:spacing w:after="120"/>
      </w:pPr>
      <w:r>
        <w:t>[166]</w:t>
      </w:r>
      <w:r>
        <w:tab/>
        <w:t>Il existe également un protocole d’entente avec le Centre intégré universitaire de santé et de services sociaux du Saguenay-Lac-Saint-Jean quant à la réservation de places pour 5 jours par semaine, qui sont attribuées par une intervenante du Centre local de services communautaires, le CLSC. Quatre enfants sont ainsi référés dans le cadre du Programme de réservation de places en service de garde éducatif pour les enfants en situation de vulnérabilité qui doivent intégrer l’établissement de l’employeur en raison d’un besoin urgent de fréquenter un milieu de garde.</w:t>
      </w:r>
    </w:p>
    <w:p w14:paraId="2661A353" w14:textId="2DD8D769" w:rsidR="001170AB" w:rsidRDefault="00893010" w:rsidP="00DA3C74">
      <w:pPr>
        <w:pStyle w:val="citation"/>
        <w:spacing w:after="120"/>
      </w:pPr>
      <w:r>
        <w:t>[167]</w:t>
      </w:r>
      <w:r>
        <w:tab/>
        <w:t>L’employeur accueille aussi des enfants qui bénéficient de mesures d’intégration, car ils ont des besoins particuliers (ex.</w:t>
      </w:r>
      <w:r w:rsidR="00AD662C">
        <w:t> </w:t>
      </w:r>
      <w:r>
        <w:t>: déficience intellectuelle, physique, retards de développement). Ces mesures font suite aux recommandations de professionnels visant à faire évoluer l’enfant au niveau de son autonomie dans le milieu de garde. Au moment où la grève a débuté, un enfant bénéficiait de telles mesures et deux autres étaient en attente d’une évaluation pour en bénéficier.</w:t>
      </w:r>
    </w:p>
    <w:p w14:paraId="5599AB23" w14:textId="3A6C51BC" w:rsidR="001170AB" w:rsidRDefault="00893010" w:rsidP="00DA3C74">
      <w:pPr>
        <w:pStyle w:val="citation"/>
        <w:spacing w:after="120"/>
      </w:pPr>
      <w:r>
        <w:t>[168]</w:t>
      </w:r>
      <w:r>
        <w:tab/>
        <w:t>Enfin, l’employeur a 6 places réservées en priorité pour des enfants dont les parents sont bénéficiaires des programmes gouvernementaux d’aide sociale, de solidarité sociale ou d’objectif emploi. Dans les faits, il en accueille davantage. À l’heure actuelle, il accueille 12 enfants dont les parents sont dispensés du paiement de la contribution réduite de 9,65</w:t>
      </w:r>
      <w:r w:rsidR="006D14B1">
        <w:t> </w:t>
      </w:r>
      <w:r>
        <w:t>$ par jour de garde</w:t>
      </w:r>
      <w:r w:rsidR="001170AB">
        <w:rPr>
          <w:vertAlign w:val="superscript"/>
        </w:rPr>
        <w:t>93</w:t>
      </w:r>
      <w:r>
        <w:t>.</w:t>
      </w:r>
    </w:p>
    <w:p w14:paraId="16177FA3" w14:textId="7FB9DCA0" w:rsidR="001170AB" w:rsidRDefault="00893010" w:rsidP="00DA3C74">
      <w:pPr>
        <w:pStyle w:val="citation"/>
        <w:spacing w:after="120"/>
      </w:pPr>
      <w:r>
        <w:t>[169]</w:t>
      </w:r>
      <w:r>
        <w:tab/>
        <w:t xml:space="preserve">Les enfants qui font l’objet d’un suivi par la DPJ, qui bénéficient de mesures d’intégration ou qui sont référés par une intervenante du CLSC se trouvent évidemment dans une situation de vulnérabilité accrue, combinant parfois plusieurs conditions. Cette vulnérabilité </w:t>
      </w:r>
      <w:r w:rsidRPr="001170AB">
        <w:rPr>
          <w:i/>
          <w:iCs/>
        </w:rPr>
        <w:t>déjà</w:t>
      </w:r>
      <w:r>
        <w:t xml:space="preserve"> accrue l’est encore davantage dans bien des cas, puisque pour bon nombre d’entre eux, les parents sont dispensés du paiement de la contribution réduite du fait de leur situation précaire.</w:t>
      </w:r>
    </w:p>
    <w:p w14:paraId="4587B66B" w14:textId="7384FB32" w:rsidR="001170AB" w:rsidRDefault="00893010" w:rsidP="00DA3C74">
      <w:pPr>
        <w:pStyle w:val="citation"/>
        <w:spacing w:after="120"/>
      </w:pPr>
      <w:r>
        <w:t>[170]</w:t>
      </w:r>
      <w:r>
        <w:tab/>
        <w:t>Bien sûr que le système est perfectible, notamment au niveau de l’accessibilité. Il n’en demeure pas moins que le réseau des CPE s’inscrit dans le filet social québécois, ce qu’a d’ailleurs reconnu le syndicat à l’audience.</w:t>
      </w:r>
    </w:p>
    <w:p w14:paraId="785CC063" w14:textId="069784F3" w:rsidR="00712B28" w:rsidRDefault="00893010" w:rsidP="00147A94">
      <w:pPr>
        <w:pStyle w:val="citation"/>
        <w:spacing w:after="240"/>
      </w:pPr>
      <w:r>
        <w:t>[171]</w:t>
      </w:r>
      <w:r>
        <w:tab/>
        <w:t>En résumé, par sa mission, l’employeur offre des services qui se rattachent à la sécurité sociale et économique des parents et des enfants. De plus, il est un partenaire de la DPJ et du CIUSSS du Saguenay Lac-Saint-Jean et les services qu’il rend procurent une sécurité sociale aux enfants et une sécurité socioéconomique aux parents. Il dessert également une population vulnérable</w:t>
      </w:r>
      <w:r w:rsidR="008B5DB5">
        <w:t> </w:t>
      </w:r>
      <w:r>
        <w:t>: d’une part, certains parents qui sont socioéconomiquement défavorisés et, d’autre part, les enfants. Parmi ces derniers, on trouve un pourcentage significatif qui a une vulnérabilité accrue en raison de conditions personnelles ou du fait qu’ils appartiennent à un milieu socioéconomique défavorisé.</w:t>
      </w:r>
    </w:p>
    <w:p w14:paraId="1EFEA3C1" w14:textId="667E3535" w:rsidR="001170AB" w:rsidRPr="00AD662C" w:rsidRDefault="00712B28" w:rsidP="00AD662C">
      <w:pPr>
        <w:pStyle w:val="citation"/>
        <w:spacing w:after="360"/>
        <w:rPr>
          <w:sz w:val="24"/>
          <w:szCs w:val="24"/>
        </w:rPr>
      </w:pPr>
      <w:r>
        <w:rPr>
          <w:rFonts w:cs="Arial"/>
          <w:sz w:val="24"/>
          <w:szCs w:val="24"/>
        </w:rPr>
        <w:t>[</w:t>
      </w:r>
      <w:r w:rsidRPr="00712B28">
        <w:rPr>
          <w:sz w:val="24"/>
          <w:szCs w:val="24"/>
        </w:rPr>
        <w:t>Notes omises</w:t>
      </w:r>
      <w:r>
        <w:rPr>
          <w:rFonts w:cs="Arial"/>
          <w:sz w:val="24"/>
          <w:szCs w:val="24"/>
        </w:rPr>
        <w:t>]</w:t>
      </w:r>
    </w:p>
    <w:p w14:paraId="4CB750AD" w14:textId="30CBE4D0" w:rsidR="00712B28" w:rsidRDefault="001170AB" w:rsidP="00A61D61">
      <w:pPr>
        <w:pStyle w:val="corpsdedcision"/>
        <w:tabs>
          <w:tab w:val="clear" w:pos="360"/>
        </w:tabs>
        <w:spacing w:after="280"/>
      </w:pPr>
      <w:r>
        <w:t xml:space="preserve">Le Tribunal </w:t>
      </w:r>
      <w:r w:rsidR="00F6781A" w:rsidRPr="00F6781A">
        <w:t xml:space="preserve">conclut que </w:t>
      </w:r>
      <w:r w:rsidR="00712B28">
        <w:t xml:space="preserve">la preuve démontre qu’en raison </w:t>
      </w:r>
      <w:r w:rsidR="00CB0259">
        <w:t xml:space="preserve">de la </w:t>
      </w:r>
      <w:r w:rsidR="00BB6EF8">
        <w:t>grève générale illimitée</w:t>
      </w:r>
      <w:r w:rsidR="00712B28">
        <w:t xml:space="preserve"> en cours depuis près de cinq mois, les enfants </w:t>
      </w:r>
      <w:r w:rsidR="00712B28" w:rsidRPr="00712B28">
        <w:t>fréquentant l’établissement de l’employeur, en particulier ceux qui présentent une vulnérabilité accrue</w:t>
      </w:r>
      <w:r w:rsidR="00712B28">
        <w:t xml:space="preserve">, subissent une atteinte à leur </w:t>
      </w:r>
      <w:r w:rsidR="00F6781A" w:rsidRPr="00F6781A">
        <w:t>sécurité sociale</w:t>
      </w:r>
      <w:r w:rsidR="00712B28">
        <w:t>.</w:t>
      </w:r>
    </w:p>
    <w:p w14:paraId="21DA131F" w14:textId="58E50B1F" w:rsidR="00CC2AF7" w:rsidRDefault="00CC2AF7" w:rsidP="00A61D61">
      <w:pPr>
        <w:pStyle w:val="corpsdedcision"/>
        <w:tabs>
          <w:tab w:val="clear" w:pos="360"/>
        </w:tabs>
        <w:spacing w:after="280"/>
      </w:pPr>
      <w:r>
        <w:t xml:space="preserve">Il </w:t>
      </w:r>
      <w:r w:rsidR="00034B3B">
        <w:t>juge</w:t>
      </w:r>
      <w:r>
        <w:t xml:space="preserve"> </w:t>
      </w:r>
      <w:r w:rsidR="008C552F">
        <w:t xml:space="preserve">aussi </w:t>
      </w:r>
      <w:r>
        <w:t>que l</w:t>
      </w:r>
      <w:r w:rsidRPr="00CC2AF7">
        <w:t xml:space="preserve">a grève produit un effet sur la sécurité socioéconomique des parents, </w:t>
      </w:r>
      <w:r w:rsidR="00714962" w:rsidRPr="00CC2AF7">
        <w:t xml:space="preserve">en particulier </w:t>
      </w:r>
      <w:r w:rsidR="0075762D">
        <w:t>d</w:t>
      </w:r>
      <w:r w:rsidR="00714962" w:rsidRPr="00CC2AF7">
        <w:t>es femmes</w:t>
      </w:r>
      <w:r w:rsidR="00714962">
        <w:t xml:space="preserve">, </w:t>
      </w:r>
      <w:r w:rsidRPr="00CC2AF7">
        <w:t>notamment parce qu’ils voient leur capacité à travailler compromise</w:t>
      </w:r>
      <w:r w:rsidR="00714962">
        <w:t xml:space="preserve"> </w:t>
      </w:r>
      <w:r w:rsidRPr="00CC2AF7">
        <w:t>et qu’ils sont à court de mesures alternatives.</w:t>
      </w:r>
      <w:r>
        <w:t xml:space="preserve"> </w:t>
      </w:r>
      <w:r w:rsidRPr="00CC2AF7">
        <w:t>Ces effets sont de nature à affecter d’une manière encore plus démesurée les parents vulnérables.</w:t>
      </w:r>
    </w:p>
    <w:p w14:paraId="2EA2ED5D" w14:textId="5F4CF0F6" w:rsidR="00B4655A" w:rsidRDefault="00B4655A" w:rsidP="00A61D61">
      <w:pPr>
        <w:pStyle w:val="corpsdedcision"/>
        <w:tabs>
          <w:tab w:val="clear" w:pos="360"/>
        </w:tabs>
        <w:spacing w:after="240"/>
      </w:pPr>
      <w:r w:rsidRPr="00B4655A">
        <w:t xml:space="preserve">Le Tribunal </w:t>
      </w:r>
      <w:r w:rsidR="003546F4">
        <w:t>considère</w:t>
      </w:r>
      <w:r w:rsidRPr="00B4655A">
        <w:t xml:space="preserve"> </w:t>
      </w:r>
      <w:r w:rsidR="00A7485A">
        <w:t xml:space="preserve">ensuite </w:t>
      </w:r>
      <w:r w:rsidRPr="00B4655A">
        <w:t xml:space="preserve">que </w:t>
      </w:r>
      <w:r w:rsidR="005179F7">
        <w:t>la</w:t>
      </w:r>
      <w:r>
        <w:t xml:space="preserve"> grève a un impact disproportionné sur</w:t>
      </w:r>
      <w:r w:rsidRPr="00B4655A">
        <w:t xml:space="preserve"> la sécurité sociale de</w:t>
      </w:r>
      <w:r w:rsidR="00482A4B">
        <w:t>s</w:t>
      </w:r>
      <w:r w:rsidRPr="00B4655A">
        <w:t xml:space="preserve"> enfants </w:t>
      </w:r>
      <w:r>
        <w:t>et sur la sécurité socioéconomique des parents utilisateurs du service de garde.</w:t>
      </w:r>
    </w:p>
    <w:p w14:paraId="1FBAE6ED" w14:textId="7C3F38BA" w:rsidR="00893010" w:rsidRDefault="008B5DB5" w:rsidP="00A61D61">
      <w:pPr>
        <w:pStyle w:val="corpsdedcision"/>
        <w:tabs>
          <w:tab w:val="clear" w:pos="360"/>
        </w:tabs>
        <w:spacing w:after="280"/>
      </w:pPr>
      <w:r>
        <w:t xml:space="preserve">Il </w:t>
      </w:r>
      <w:r w:rsidR="00893010" w:rsidRPr="00893010">
        <w:t>souligne que la durée et l’intensité de la grève sont des facteurs déterminants</w:t>
      </w:r>
      <w:r w:rsidR="003D4420">
        <w:t>,</w:t>
      </w:r>
      <w:r w:rsidR="00893010" w:rsidRPr="00893010">
        <w:t xml:space="preserve"> compte tenu de la nature des services interrompus, du contexte socioéconomique, de la population </w:t>
      </w:r>
      <w:r w:rsidR="00551BFE">
        <w:t>affectée</w:t>
      </w:r>
      <w:r w:rsidR="00893010" w:rsidRPr="00893010">
        <w:t xml:space="preserve"> et de l’absence de mesures alternatives.</w:t>
      </w:r>
    </w:p>
    <w:p w14:paraId="62ADBC7E" w14:textId="7E3711B7" w:rsidR="00F6781A" w:rsidRDefault="00F6781A" w:rsidP="00A61D61">
      <w:pPr>
        <w:pStyle w:val="corpsdedcision"/>
        <w:tabs>
          <w:tab w:val="clear" w:pos="360"/>
        </w:tabs>
        <w:spacing w:after="280"/>
      </w:pPr>
      <w:r w:rsidRPr="00F6781A">
        <w:t>Il ordonne donc à l’employeur et au syndicat de maintenir des SBEP en cas de grève ou de lock-out pour la phase des négociations en cours.</w:t>
      </w:r>
    </w:p>
    <w:p w14:paraId="0B7E1BD1" w14:textId="07FF3A18" w:rsidR="000171F5" w:rsidRPr="00F12F50" w:rsidRDefault="000171F5" w:rsidP="00DB7B0D">
      <w:pPr>
        <w:pStyle w:val="corpsdedcision"/>
        <w:rPr>
          <w:lang w:eastAsia="fr-FR"/>
        </w:rPr>
      </w:pPr>
      <w:r w:rsidRPr="00551255">
        <w:t>Il importe de rappeler que le Tribunal s’est prononcé en présumant</w:t>
      </w:r>
      <w:r w:rsidR="002C01F4">
        <w:t>,</w:t>
      </w:r>
      <w:r w:rsidRPr="00551255">
        <w:t xml:space="preserve"> à ce stade</w:t>
      </w:r>
      <w:r w:rsidR="002C01F4">
        <w:t>,</w:t>
      </w:r>
      <w:r w:rsidRPr="00551255">
        <w:t xml:space="preserve"> de la constitutionnalité du régime des SBEP.</w:t>
      </w:r>
      <w:r w:rsidR="00551255" w:rsidRPr="00551255">
        <w:t xml:space="preserve"> Il a rappelé que son rôle consistait alors, suivant</w:t>
      </w:r>
      <w:r w:rsidR="00551255" w:rsidRPr="00370222">
        <w:rPr>
          <w:lang w:eastAsia="fr-FR"/>
        </w:rPr>
        <w:t xml:space="preserve"> les enseignements de la Cour suprême dans l’arrêt </w:t>
      </w:r>
      <w:r w:rsidR="00551255" w:rsidRPr="00370222">
        <w:rPr>
          <w:i/>
          <w:iCs/>
          <w:lang w:eastAsia="fr-FR"/>
        </w:rPr>
        <w:t>Doré</w:t>
      </w:r>
      <w:r w:rsidR="00E11277">
        <w:rPr>
          <w:i/>
          <w:iCs/>
          <w:lang w:eastAsia="fr-FR"/>
        </w:rPr>
        <w:t xml:space="preserve"> </w:t>
      </w:r>
      <w:r w:rsidR="00E11277" w:rsidRPr="001E60BF">
        <w:rPr>
          <w:lang w:eastAsia="fr-FR"/>
        </w:rPr>
        <w:t>c.</w:t>
      </w:r>
      <w:r w:rsidR="00E11277">
        <w:rPr>
          <w:i/>
          <w:iCs/>
          <w:lang w:eastAsia="fr-FR"/>
        </w:rPr>
        <w:t xml:space="preserve"> Barreau du Québec</w:t>
      </w:r>
      <w:r w:rsidR="00551255" w:rsidRPr="00A7485A">
        <w:rPr>
          <w:rStyle w:val="Appelnotedebasdep"/>
          <w:lang w:eastAsia="fr-FR"/>
        </w:rPr>
        <w:footnoteReference w:id="57"/>
      </w:r>
      <w:r w:rsidR="00551255" w:rsidRPr="00370222">
        <w:rPr>
          <w:lang w:eastAsia="fr-FR"/>
        </w:rPr>
        <w:t xml:space="preserve">, </w:t>
      </w:r>
      <w:r w:rsidR="00551255">
        <w:rPr>
          <w:lang w:eastAsia="fr-FR"/>
        </w:rPr>
        <w:t>à</w:t>
      </w:r>
      <w:r w:rsidR="00551255" w:rsidRPr="00370222">
        <w:rPr>
          <w:lang w:eastAsia="fr-FR"/>
        </w:rPr>
        <w:t xml:space="preserve"> donner effet autant que possible aux </w:t>
      </w:r>
      <w:r w:rsidR="00A7485A">
        <w:rPr>
          <w:lang w:eastAsia="fr-FR"/>
        </w:rPr>
        <w:t>valeurs consacrées</w:t>
      </w:r>
      <w:r w:rsidR="00551255" w:rsidRPr="00370222">
        <w:rPr>
          <w:lang w:eastAsia="fr-FR"/>
        </w:rPr>
        <w:t xml:space="preserve"> par l</w:t>
      </w:r>
      <w:r w:rsidR="00A7485A">
        <w:rPr>
          <w:lang w:eastAsia="fr-FR"/>
        </w:rPr>
        <w:t>es</w:t>
      </w:r>
      <w:r w:rsidR="00551255" w:rsidRPr="00370222">
        <w:rPr>
          <w:lang w:eastAsia="fr-FR"/>
        </w:rPr>
        <w:t xml:space="preserve"> </w:t>
      </w:r>
      <w:r w:rsidR="00A7485A">
        <w:rPr>
          <w:lang w:eastAsia="fr-FR"/>
        </w:rPr>
        <w:t>c</w:t>
      </w:r>
      <w:r w:rsidR="00551255" w:rsidRPr="00370222">
        <w:rPr>
          <w:lang w:eastAsia="fr-FR"/>
        </w:rPr>
        <w:t>harte</w:t>
      </w:r>
      <w:r w:rsidR="00A7485A">
        <w:rPr>
          <w:lang w:eastAsia="fr-FR"/>
        </w:rPr>
        <w:t>s</w:t>
      </w:r>
      <w:r w:rsidR="00551255" w:rsidRPr="00370222">
        <w:rPr>
          <w:lang w:eastAsia="fr-FR"/>
        </w:rPr>
        <w:t xml:space="preserve">, compte tenu </w:t>
      </w:r>
      <w:r w:rsidR="00A7485A">
        <w:rPr>
          <w:lang w:eastAsia="fr-FR"/>
        </w:rPr>
        <w:t>des objectifs visés par la loi</w:t>
      </w:r>
      <w:r w:rsidR="00551255">
        <w:rPr>
          <w:lang w:eastAsia="fr-FR"/>
        </w:rPr>
        <w:t>.</w:t>
      </w:r>
      <w:r w:rsidR="00551255" w:rsidRPr="00370222">
        <w:rPr>
          <w:lang w:eastAsia="fr-FR"/>
        </w:rPr>
        <w:t xml:space="preserve"> Il a notamment rejeté l’argument du syndicat selon lequel il devait déterminer si les effets potentiels de l’assujettissement surpassaient l’atteinte au droit de grève qu’il provoque, jugeant que cette analyse ne relevait pas de l’instance sur l’assujettissement</w:t>
      </w:r>
      <w:r w:rsidR="00E11277" w:rsidRPr="00E11277">
        <w:rPr>
          <w:rStyle w:val="Appelnotedebasdep"/>
          <w:lang w:eastAsia="fr-FR"/>
        </w:rPr>
        <w:footnoteReference w:id="58"/>
      </w:r>
      <w:r w:rsidR="00551255" w:rsidRPr="00370222">
        <w:rPr>
          <w:lang w:eastAsia="fr-FR"/>
        </w:rPr>
        <w:t>.</w:t>
      </w:r>
      <w:r w:rsidR="00E11277" w:rsidRPr="00370222">
        <w:rPr>
          <w:lang w:eastAsia="fr-FR"/>
        </w:rPr>
        <w:t xml:space="preserve"> Il a aussi souligné que le seuil que devait atteindre le préjudice était élevé</w:t>
      </w:r>
      <w:r w:rsidR="004A5894">
        <w:rPr>
          <w:lang w:eastAsia="fr-FR"/>
        </w:rPr>
        <w:t>,</w:t>
      </w:r>
      <w:r w:rsidR="00E11277" w:rsidRPr="00370222">
        <w:rPr>
          <w:lang w:eastAsia="fr-FR"/>
        </w:rPr>
        <w:t xml:space="preserve"> mais ne devait pas être </w:t>
      </w:r>
      <w:r w:rsidR="002C01F4">
        <w:rPr>
          <w:lang w:eastAsia="fr-FR"/>
        </w:rPr>
        <w:t xml:space="preserve">rendu </w:t>
      </w:r>
      <w:r w:rsidR="00E11277" w:rsidRPr="00370222">
        <w:rPr>
          <w:lang w:eastAsia="fr-FR"/>
        </w:rPr>
        <w:t xml:space="preserve">inaccessible au point de rendre </w:t>
      </w:r>
      <w:r w:rsidR="002C01F4">
        <w:rPr>
          <w:lang w:eastAsia="fr-FR"/>
        </w:rPr>
        <w:t>t</w:t>
      </w:r>
      <w:r w:rsidR="00E11277" w:rsidRPr="00370222">
        <w:rPr>
          <w:lang w:eastAsia="fr-FR"/>
        </w:rPr>
        <w:t>oute démarche d’assujettissement au maintien des SBEP théorique. L’</w:t>
      </w:r>
      <w:r w:rsidR="00370222" w:rsidRPr="00370222">
        <w:rPr>
          <w:lang w:eastAsia="fr-FR"/>
        </w:rPr>
        <w:t>analyse</w:t>
      </w:r>
      <w:r w:rsidR="00370222">
        <w:rPr>
          <w:lang w:eastAsia="fr-FR"/>
        </w:rPr>
        <w:t xml:space="preserve"> à laquelle le Tribunal doit se livrer</w:t>
      </w:r>
      <w:r w:rsidR="00E11277" w:rsidRPr="00370222">
        <w:rPr>
          <w:lang w:eastAsia="fr-FR"/>
        </w:rPr>
        <w:t xml:space="preserve"> </w:t>
      </w:r>
      <w:r w:rsidR="00370222">
        <w:rPr>
          <w:lang w:eastAsia="fr-FR"/>
        </w:rPr>
        <w:t>à l’étape de</w:t>
      </w:r>
      <w:r w:rsidR="00E11277" w:rsidRPr="00370222">
        <w:rPr>
          <w:lang w:eastAsia="fr-FR"/>
        </w:rPr>
        <w:t xml:space="preserve"> la question constitutionnelle est </w:t>
      </w:r>
      <w:r w:rsidR="007500D2">
        <w:rPr>
          <w:lang w:eastAsia="fr-FR"/>
        </w:rPr>
        <w:t>tout</w:t>
      </w:r>
      <w:r w:rsidR="00471AFA">
        <w:rPr>
          <w:lang w:eastAsia="fr-FR"/>
        </w:rPr>
        <w:t>e</w:t>
      </w:r>
      <w:r w:rsidR="007500D2">
        <w:rPr>
          <w:lang w:eastAsia="fr-FR"/>
        </w:rPr>
        <w:t xml:space="preserve"> autre</w:t>
      </w:r>
      <w:r w:rsidR="00E11277" w:rsidRPr="00370222">
        <w:rPr>
          <w:lang w:eastAsia="fr-FR"/>
        </w:rPr>
        <w:t>.</w:t>
      </w:r>
    </w:p>
    <w:p w14:paraId="2D3AAC1A" w14:textId="43F0D932" w:rsidR="00053A3E" w:rsidRDefault="00053A3E" w:rsidP="009B0876">
      <w:pPr>
        <w:pStyle w:val="Titre2"/>
        <w:jc w:val="both"/>
      </w:pPr>
      <w:r w:rsidRPr="0077365B">
        <w:t>La décision déterminant les S</w:t>
      </w:r>
      <w:r w:rsidR="00F50B6B">
        <w:t>ervices</w:t>
      </w:r>
      <w:r w:rsidRPr="0077365B">
        <w:t xml:space="preserve"> à maintenir</w:t>
      </w:r>
      <w:r w:rsidR="00F50B6B">
        <w:t xml:space="preserve"> pour assurer le bien-être de la population</w:t>
      </w:r>
    </w:p>
    <w:p w14:paraId="61ACC97D" w14:textId="05C5E189" w:rsidR="00D47FCC" w:rsidRPr="0085316B" w:rsidRDefault="004311A6" w:rsidP="0085316B">
      <w:pPr>
        <w:pStyle w:val="corpsdedcision"/>
        <w:tabs>
          <w:tab w:val="clear" w:pos="360"/>
        </w:tabs>
      </w:pPr>
      <w:r>
        <w:t>Lors d’une séance de conciliation convoquée par le Tribunal à la suite de la décision d’assujettissement, les parties sont parvenues à s’entendre sur les SBEP à maintenir en cas de grève ou de lock-out pour la phase de négociation en cours. Cette</w:t>
      </w:r>
      <w:r w:rsidR="00F3573A">
        <w:t> </w:t>
      </w:r>
      <w:r>
        <w:t xml:space="preserve">entente </w:t>
      </w:r>
      <w:r w:rsidR="00864904">
        <w:t>est</w:t>
      </w:r>
      <w:r>
        <w:t xml:space="preserve"> soumise à l’approbation du Tribunal </w:t>
      </w:r>
      <w:r w:rsidR="008B5DB5">
        <w:t>pour</w:t>
      </w:r>
      <w:r>
        <w:t xml:space="preserve"> </w:t>
      </w:r>
      <w:r w:rsidR="00471AFA">
        <w:t xml:space="preserve">qu’il en </w:t>
      </w:r>
      <w:r>
        <w:t>évalue la suffisance.</w:t>
      </w:r>
    </w:p>
    <w:p w14:paraId="79F7B0E5" w14:textId="0AF8BF61" w:rsidR="00D47FCC" w:rsidRPr="00D47FCC" w:rsidRDefault="007852FF" w:rsidP="00D47FCC">
      <w:pPr>
        <w:pStyle w:val="corpsdedcision"/>
        <w:tabs>
          <w:tab w:val="clear" w:pos="360"/>
        </w:tabs>
        <w:rPr>
          <w:szCs w:val="24"/>
        </w:rPr>
      </w:pPr>
      <w:r>
        <w:rPr>
          <w:szCs w:val="24"/>
        </w:rPr>
        <w:t>Pendant la poursuite de la grève en cours, l’entente prévoit</w:t>
      </w:r>
      <w:r w:rsidR="00D47FCC">
        <w:rPr>
          <w:szCs w:val="24"/>
        </w:rPr>
        <w:t xml:space="preserve"> que l</w:t>
      </w:r>
      <w:r w:rsidR="00D47FCC" w:rsidRPr="00D47FCC">
        <w:rPr>
          <w:szCs w:val="24"/>
        </w:rPr>
        <w:t>es services de garde éducatifs s</w:t>
      </w:r>
      <w:r w:rsidR="00D47FCC">
        <w:rPr>
          <w:szCs w:val="24"/>
        </w:rPr>
        <w:t>o</w:t>
      </w:r>
      <w:r w:rsidR="00602B5B">
        <w:rPr>
          <w:szCs w:val="24"/>
        </w:rPr>
        <w:t>nt</w:t>
      </w:r>
      <w:r w:rsidR="00D47FCC" w:rsidRPr="00D47FCC">
        <w:rPr>
          <w:szCs w:val="24"/>
        </w:rPr>
        <w:t xml:space="preserve"> offerts trois jours par semaine, les mercredi</w:t>
      </w:r>
      <w:r w:rsidR="0053204D">
        <w:rPr>
          <w:szCs w:val="24"/>
        </w:rPr>
        <w:t>s</w:t>
      </w:r>
      <w:r w:rsidR="00D47FCC" w:rsidRPr="00D47FCC">
        <w:rPr>
          <w:szCs w:val="24"/>
        </w:rPr>
        <w:t>, jeudi</w:t>
      </w:r>
      <w:r w:rsidR="0053204D">
        <w:rPr>
          <w:szCs w:val="24"/>
        </w:rPr>
        <w:t>s</w:t>
      </w:r>
      <w:r w:rsidR="00D47FCC" w:rsidRPr="00D47FCC">
        <w:rPr>
          <w:szCs w:val="24"/>
        </w:rPr>
        <w:t xml:space="preserve"> et vendredi</w:t>
      </w:r>
      <w:r w:rsidR="0053204D">
        <w:rPr>
          <w:szCs w:val="24"/>
        </w:rPr>
        <w:t>s</w:t>
      </w:r>
      <w:r w:rsidR="00D47FCC" w:rsidRPr="00D47FCC">
        <w:rPr>
          <w:szCs w:val="24"/>
        </w:rPr>
        <w:t xml:space="preserve"> de</w:t>
      </w:r>
      <w:r w:rsidR="00147A94">
        <w:rPr>
          <w:szCs w:val="24"/>
        </w:rPr>
        <w:t> </w:t>
      </w:r>
      <w:r w:rsidR="00D47FCC" w:rsidRPr="00D47FCC">
        <w:rPr>
          <w:szCs w:val="24"/>
        </w:rPr>
        <w:t>8 h 30 à 15 h 45</w:t>
      </w:r>
      <w:r w:rsidR="001E60BF">
        <w:rPr>
          <w:szCs w:val="24"/>
        </w:rPr>
        <w:t>.</w:t>
      </w:r>
    </w:p>
    <w:p w14:paraId="7797DE61" w14:textId="3A5E8106" w:rsidR="00D47FCC" w:rsidRPr="00D47FCC" w:rsidRDefault="007852FF" w:rsidP="00D47FCC">
      <w:pPr>
        <w:pStyle w:val="corpsdedcision"/>
        <w:tabs>
          <w:tab w:val="clear" w:pos="360"/>
        </w:tabs>
        <w:rPr>
          <w:szCs w:val="24"/>
        </w:rPr>
      </w:pPr>
      <w:r>
        <w:rPr>
          <w:szCs w:val="24"/>
        </w:rPr>
        <w:t>L</w:t>
      </w:r>
      <w:r w:rsidRPr="00D47FCC">
        <w:rPr>
          <w:szCs w:val="24"/>
        </w:rPr>
        <w:t>e Tribunal jug</w:t>
      </w:r>
      <w:r w:rsidR="00864904">
        <w:rPr>
          <w:szCs w:val="24"/>
        </w:rPr>
        <w:t>e</w:t>
      </w:r>
      <w:r w:rsidRPr="00D47FCC">
        <w:rPr>
          <w:szCs w:val="24"/>
        </w:rPr>
        <w:t xml:space="preserve"> l’entente suffisante </w:t>
      </w:r>
      <w:r>
        <w:rPr>
          <w:szCs w:val="24"/>
        </w:rPr>
        <w:t>dans ce cas de figure.</w:t>
      </w:r>
      <w:r w:rsidRPr="00D47FCC">
        <w:rPr>
          <w:szCs w:val="24"/>
        </w:rPr>
        <w:t xml:space="preserve"> </w:t>
      </w:r>
      <w:r w:rsidR="00D47FCC" w:rsidRPr="00D47FCC">
        <w:rPr>
          <w:szCs w:val="24"/>
        </w:rPr>
        <w:t xml:space="preserve">Bien que les heures d’ouverture </w:t>
      </w:r>
      <w:r w:rsidR="00947862">
        <w:rPr>
          <w:szCs w:val="24"/>
        </w:rPr>
        <w:t>soient</w:t>
      </w:r>
      <w:r w:rsidR="00D47FCC" w:rsidRPr="00D47FCC">
        <w:rPr>
          <w:szCs w:val="24"/>
        </w:rPr>
        <w:t xml:space="preserve"> réduites et qu’il y a</w:t>
      </w:r>
      <w:r w:rsidR="00947862">
        <w:rPr>
          <w:szCs w:val="24"/>
        </w:rPr>
        <w:t>it</w:t>
      </w:r>
      <w:r w:rsidR="00D47FCC" w:rsidRPr="00D47FCC">
        <w:rPr>
          <w:szCs w:val="24"/>
        </w:rPr>
        <w:t xml:space="preserve"> une absence complète de </w:t>
      </w:r>
      <w:r w:rsidR="00A7485A" w:rsidRPr="00D47FCC">
        <w:rPr>
          <w:szCs w:val="24"/>
        </w:rPr>
        <w:t>service les</w:t>
      </w:r>
      <w:r w:rsidR="00D47FCC" w:rsidRPr="00D47FCC">
        <w:rPr>
          <w:szCs w:val="24"/>
        </w:rPr>
        <w:t xml:space="preserve"> lundis et mardis, l’entente perme</w:t>
      </w:r>
      <w:r w:rsidR="0058625B">
        <w:rPr>
          <w:szCs w:val="24"/>
        </w:rPr>
        <w:t>t</w:t>
      </w:r>
      <w:r w:rsidR="00D47FCC" w:rsidRPr="00D47FCC">
        <w:rPr>
          <w:szCs w:val="24"/>
        </w:rPr>
        <w:t xml:space="preserve"> aux parents et aux enfants d’avoir une stabilité et une prévisibilité</w:t>
      </w:r>
      <w:r w:rsidR="002414E5">
        <w:rPr>
          <w:szCs w:val="24"/>
        </w:rPr>
        <w:t>,</w:t>
      </w:r>
      <w:r w:rsidR="00C516BB">
        <w:rPr>
          <w:szCs w:val="24"/>
        </w:rPr>
        <w:t xml:space="preserve"> tout en </w:t>
      </w:r>
      <w:r w:rsidR="002414E5">
        <w:rPr>
          <w:szCs w:val="24"/>
        </w:rPr>
        <w:t>assurant</w:t>
      </w:r>
      <w:r w:rsidR="00C516BB">
        <w:rPr>
          <w:szCs w:val="24"/>
        </w:rPr>
        <w:t xml:space="preserve"> la poursuite </w:t>
      </w:r>
      <w:r w:rsidR="002F66BF">
        <w:rPr>
          <w:szCs w:val="24"/>
        </w:rPr>
        <w:t xml:space="preserve">partielle </w:t>
      </w:r>
      <w:r w:rsidR="002A3460">
        <w:rPr>
          <w:szCs w:val="24"/>
        </w:rPr>
        <w:t>de l’exercice du droit de grève</w:t>
      </w:r>
      <w:r w:rsidR="00D47FCC" w:rsidRPr="00D47FCC">
        <w:rPr>
          <w:szCs w:val="24"/>
        </w:rPr>
        <w:t>.</w:t>
      </w:r>
    </w:p>
    <w:p w14:paraId="70762A20" w14:textId="4D02492D" w:rsidR="0058625B" w:rsidRDefault="0058625B" w:rsidP="00D47FCC">
      <w:pPr>
        <w:pStyle w:val="corpsdedcision"/>
        <w:tabs>
          <w:tab w:val="clear" w:pos="360"/>
        </w:tabs>
        <w:rPr>
          <w:szCs w:val="24"/>
        </w:rPr>
      </w:pPr>
      <w:r>
        <w:rPr>
          <w:szCs w:val="24"/>
        </w:rPr>
        <w:t xml:space="preserve">En revanche, le Tribunal </w:t>
      </w:r>
      <w:r w:rsidR="007852FF">
        <w:rPr>
          <w:szCs w:val="24"/>
        </w:rPr>
        <w:t>détermine</w:t>
      </w:r>
      <w:r>
        <w:rPr>
          <w:szCs w:val="24"/>
        </w:rPr>
        <w:t xml:space="preserve"> que l’entente </w:t>
      </w:r>
      <w:r w:rsidR="007852FF">
        <w:rPr>
          <w:szCs w:val="24"/>
        </w:rPr>
        <w:t>est</w:t>
      </w:r>
      <w:r>
        <w:rPr>
          <w:szCs w:val="24"/>
        </w:rPr>
        <w:t xml:space="preserve"> insuffisante quant aux services à maintenir dans le cas où le syndicat mettait fin à </w:t>
      </w:r>
      <w:r w:rsidR="00630344">
        <w:rPr>
          <w:szCs w:val="24"/>
        </w:rPr>
        <w:t>sa grève</w:t>
      </w:r>
      <w:r>
        <w:rPr>
          <w:szCs w:val="24"/>
        </w:rPr>
        <w:t xml:space="preserve"> et qu’un nouvel arrêt de travail était déclenché ultérieurement durant la phase de négociation en cours.</w:t>
      </w:r>
    </w:p>
    <w:p w14:paraId="5EB38FCC" w14:textId="7684EC27" w:rsidR="00D47FCC" w:rsidRDefault="0058625B" w:rsidP="00AD662C">
      <w:pPr>
        <w:pStyle w:val="corpsdedcision"/>
        <w:tabs>
          <w:tab w:val="clear" w:pos="360"/>
        </w:tabs>
        <w:spacing w:after="240"/>
        <w:rPr>
          <w:szCs w:val="24"/>
        </w:rPr>
      </w:pPr>
      <w:r>
        <w:rPr>
          <w:szCs w:val="24"/>
        </w:rPr>
        <w:t>L</w:t>
      </w:r>
      <w:r w:rsidR="0068628E">
        <w:rPr>
          <w:szCs w:val="24"/>
        </w:rPr>
        <w:t>’entente entre les parties prévoyait</w:t>
      </w:r>
      <w:r>
        <w:rPr>
          <w:szCs w:val="24"/>
        </w:rPr>
        <w:t xml:space="preserve"> </w:t>
      </w:r>
      <w:r w:rsidR="0068628E">
        <w:rPr>
          <w:szCs w:val="24"/>
        </w:rPr>
        <w:t>les deux scénarios suivants</w:t>
      </w:r>
      <w:r>
        <w:rPr>
          <w:szCs w:val="24"/>
        </w:rPr>
        <w:t> :</w:t>
      </w:r>
    </w:p>
    <w:p w14:paraId="1F372717" w14:textId="4B6F153C" w:rsidR="0058625B" w:rsidRPr="00802D77" w:rsidRDefault="0058625B" w:rsidP="005D058A">
      <w:pPr>
        <w:pStyle w:val="corpsdedcision"/>
        <w:numPr>
          <w:ilvl w:val="0"/>
          <w:numId w:val="6"/>
        </w:numPr>
        <w:tabs>
          <w:tab w:val="clear" w:pos="720"/>
          <w:tab w:val="left" w:pos="1134"/>
        </w:tabs>
        <w:spacing w:after="240"/>
        <w:ind w:left="1145" w:hanging="425"/>
        <w:rPr>
          <w:lang w:eastAsia="fr-FR"/>
        </w:rPr>
      </w:pPr>
      <w:r>
        <w:rPr>
          <w:lang w:eastAsia="fr-FR"/>
        </w:rPr>
        <w:t xml:space="preserve">toute </w:t>
      </w:r>
      <w:r w:rsidRPr="00802D77">
        <w:rPr>
          <w:lang w:eastAsia="fr-FR"/>
        </w:rPr>
        <w:t>grève de deux jours ou moins au cours d’une même semaine n’</w:t>
      </w:r>
      <w:r w:rsidR="00482A4B">
        <w:rPr>
          <w:lang w:eastAsia="fr-FR"/>
        </w:rPr>
        <w:t>entrainera</w:t>
      </w:r>
      <w:r w:rsidRPr="00802D77">
        <w:rPr>
          <w:lang w:eastAsia="fr-FR"/>
        </w:rPr>
        <w:t xml:space="preserve"> aucun service minimum, étant entendu que le</w:t>
      </w:r>
      <w:r>
        <w:rPr>
          <w:lang w:eastAsia="fr-FR"/>
        </w:rPr>
        <w:t>s</w:t>
      </w:r>
      <w:r w:rsidRPr="00802D77">
        <w:rPr>
          <w:lang w:eastAsia="fr-FR"/>
        </w:rPr>
        <w:t xml:space="preserve"> journées </w:t>
      </w:r>
      <w:r>
        <w:rPr>
          <w:lang w:eastAsia="fr-FR"/>
        </w:rPr>
        <w:t>de</w:t>
      </w:r>
      <w:r w:rsidRPr="00802D77">
        <w:rPr>
          <w:lang w:eastAsia="fr-FR"/>
        </w:rPr>
        <w:t xml:space="preserve"> grève</w:t>
      </w:r>
      <w:r>
        <w:rPr>
          <w:lang w:eastAsia="fr-FR"/>
        </w:rPr>
        <w:t xml:space="preserve"> sont choisies par le syndicat</w:t>
      </w:r>
      <w:r w:rsidRPr="00802D77">
        <w:rPr>
          <w:lang w:eastAsia="fr-FR"/>
        </w:rPr>
        <w:t>;</w:t>
      </w:r>
    </w:p>
    <w:p w14:paraId="21E3527B" w14:textId="77777777" w:rsidR="0058625B" w:rsidRDefault="0058625B" w:rsidP="005D058A">
      <w:pPr>
        <w:pStyle w:val="corpsdedcision"/>
        <w:numPr>
          <w:ilvl w:val="0"/>
          <w:numId w:val="6"/>
        </w:numPr>
        <w:tabs>
          <w:tab w:val="clear" w:pos="720"/>
          <w:tab w:val="left" w:pos="1134"/>
        </w:tabs>
        <w:ind w:left="1145" w:hanging="425"/>
        <w:rPr>
          <w:lang w:eastAsia="fr-FR"/>
        </w:rPr>
      </w:pPr>
      <w:r w:rsidRPr="00802D77">
        <w:rPr>
          <w:lang w:eastAsia="fr-FR"/>
        </w:rPr>
        <w:t xml:space="preserve">pour toute grève de trois jours ou plus, les parties conviennent de solliciter à nouveau le Tribunal pour déterminer </w:t>
      </w:r>
      <w:r>
        <w:rPr>
          <w:lang w:eastAsia="fr-FR"/>
        </w:rPr>
        <w:t>les</w:t>
      </w:r>
      <w:r w:rsidRPr="00802D77">
        <w:rPr>
          <w:lang w:eastAsia="fr-FR"/>
        </w:rPr>
        <w:t xml:space="preserve"> SBEP à maintenir.</w:t>
      </w:r>
    </w:p>
    <w:p w14:paraId="125FD283" w14:textId="65E89B9F" w:rsidR="0068628E" w:rsidRDefault="0068628E" w:rsidP="009B0876">
      <w:pPr>
        <w:pStyle w:val="corpsdedcision"/>
        <w:keepNext/>
        <w:keepLines/>
        <w:tabs>
          <w:tab w:val="clear" w:pos="360"/>
        </w:tabs>
        <w:rPr>
          <w:lang w:eastAsia="fr-FR"/>
        </w:rPr>
      </w:pPr>
      <w:r>
        <w:rPr>
          <w:lang w:eastAsia="fr-FR"/>
        </w:rPr>
        <w:t>En ce qui concerne le premier scénario, le Tribunal conclut que les SBEP prévus sont insuffisants</w:t>
      </w:r>
      <w:r w:rsidR="00370222">
        <w:rPr>
          <w:lang w:eastAsia="fr-FR"/>
        </w:rPr>
        <w:t xml:space="preserve">, </w:t>
      </w:r>
      <w:r w:rsidR="00F3573A">
        <w:rPr>
          <w:lang w:eastAsia="fr-FR"/>
        </w:rPr>
        <w:t xml:space="preserve">puisque </w:t>
      </w:r>
      <w:r w:rsidR="00370222">
        <w:rPr>
          <w:lang w:eastAsia="fr-FR"/>
        </w:rPr>
        <w:t xml:space="preserve">les parties n’ont pas pris en compte l’effet </w:t>
      </w:r>
      <w:r w:rsidR="0033424E">
        <w:rPr>
          <w:lang w:eastAsia="fr-FR"/>
        </w:rPr>
        <w:t>cumulatif</w:t>
      </w:r>
      <w:r w:rsidR="00370222">
        <w:rPr>
          <w:lang w:eastAsia="fr-FR"/>
        </w:rPr>
        <w:t xml:space="preserve"> des différentes grèves sur les parents et les enfants, lequel doit s’apprécier </w:t>
      </w:r>
      <w:r w:rsidR="0033424E">
        <w:rPr>
          <w:lang w:eastAsia="fr-FR"/>
        </w:rPr>
        <w:t xml:space="preserve">au </w:t>
      </w:r>
      <w:r w:rsidR="00370222">
        <w:rPr>
          <w:lang w:eastAsia="fr-FR"/>
        </w:rPr>
        <w:t>regard de l’absence d’obligation du syndicat de donner un préavis avant d’exercer une nouvelle grève.</w:t>
      </w:r>
    </w:p>
    <w:p w14:paraId="50ECBED3" w14:textId="73F6DE03" w:rsidR="00044180" w:rsidRDefault="0068628E" w:rsidP="00A858AE">
      <w:pPr>
        <w:pStyle w:val="corpsdedcision"/>
        <w:tabs>
          <w:tab w:val="clear" w:pos="360"/>
        </w:tabs>
        <w:rPr>
          <w:lang w:eastAsia="fr-FR"/>
        </w:rPr>
      </w:pPr>
      <w:r>
        <w:rPr>
          <w:lang w:eastAsia="fr-FR"/>
        </w:rPr>
        <w:t>Le Tribunal juge également insuffisante l’entente dans le deuxième cas de figure, puisque l</w:t>
      </w:r>
      <w:r w:rsidRPr="0068628E">
        <w:rPr>
          <w:lang w:eastAsia="fr-FR"/>
        </w:rPr>
        <w:t xml:space="preserve">es parties ne déterminent pas les SBEP à maintenir dans </w:t>
      </w:r>
      <w:r>
        <w:rPr>
          <w:lang w:eastAsia="fr-FR"/>
        </w:rPr>
        <w:t>l’</w:t>
      </w:r>
      <w:r w:rsidRPr="0068628E">
        <w:rPr>
          <w:lang w:eastAsia="fr-FR"/>
        </w:rPr>
        <w:t>hypothèse</w:t>
      </w:r>
      <w:r>
        <w:rPr>
          <w:lang w:eastAsia="fr-FR"/>
        </w:rPr>
        <w:t xml:space="preserve"> d’une nouvelle grève de trois</w:t>
      </w:r>
      <w:r w:rsidR="008B5DB5">
        <w:rPr>
          <w:lang w:eastAsia="fr-FR"/>
        </w:rPr>
        <w:t xml:space="preserve"> jours</w:t>
      </w:r>
      <w:r>
        <w:rPr>
          <w:lang w:eastAsia="fr-FR"/>
        </w:rPr>
        <w:t xml:space="preserve"> ou plus</w:t>
      </w:r>
      <w:r w:rsidR="002C01F4">
        <w:rPr>
          <w:lang w:eastAsia="fr-FR"/>
        </w:rPr>
        <w:t>. De plus, l</w:t>
      </w:r>
      <w:r w:rsidR="00A858AE" w:rsidRPr="005B4257">
        <w:rPr>
          <w:lang w:eastAsia="fr-FR"/>
        </w:rPr>
        <w:t xml:space="preserve">a proposition des parties </w:t>
      </w:r>
      <w:r w:rsidR="002C01F4" w:rsidRPr="0068628E">
        <w:rPr>
          <w:lang w:eastAsia="fr-FR"/>
        </w:rPr>
        <w:t xml:space="preserve">de </w:t>
      </w:r>
      <w:r w:rsidR="00D768B6">
        <w:rPr>
          <w:lang w:eastAsia="fr-FR"/>
        </w:rPr>
        <w:t>saisir à nouveau</w:t>
      </w:r>
      <w:r w:rsidR="00D768B6" w:rsidRPr="0068628E">
        <w:rPr>
          <w:lang w:eastAsia="fr-FR"/>
        </w:rPr>
        <w:t xml:space="preserve"> </w:t>
      </w:r>
      <w:r w:rsidR="002C01F4" w:rsidRPr="0068628E">
        <w:rPr>
          <w:lang w:eastAsia="fr-FR"/>
        </w:rPr>
        <w:t>le Tribunal</w:t>
      </w:r>
      <w:r w:rsidR="002C01F4" w:rsidRPr="002C01F4">
        <w:rPr>
          <w:lang w:eastAsia="fr-FR"/>
        </w:rPr>
        <w:t xml:space="preserve"> </w:t>
      </w:r>
      <w:r w:rsidR="00190B20">
        <w:rPr>
          <w:lang w:eastAsia="fr-FR"/>
        </w:rPr>
        <w:t>soulève certaines difficultés</w:t>
      </w:r>
      <w:r w:rsidR="002C01F4">
        <w:rPr>
          <w:lang w:eastAsia="fr-FR"/>
        </w:rPr>
        <w:t xml:space="preserve">, puisque la grève </w:t>
      </w:r>
      <w:r w:rsidR="002C01F4" w:rsidRPr="007C3E7D">
        <w:rPr>
          <w:lang w:eastAsia="fr-FR"/>
        </w:rPr>
        <w:t>n’est sujette à aucun avis préalable</w:t>
      </w:r>
      <w:r w:rsidR="002C01F4">
        <w:rPr>
          <w:lang w:eastAsia="fr-FR"/>
        </w:rPr>
        <w:t xml:space="preserve"> à son exercice</w:t>
      </w:r>
      <w:r w:rsidR="00A858AE" w:rsidRPr="005B4257">
        <w:rPr>
          <w:lang w:eastAsia="fr-FR"/>
        </w:rPr>
        <w:t>.</w:t>
      </w:r>
    </w:p>
    <w:p w14:paraId="1A3991CB" w14:textId="26D96273" w:rsidR="0068628E" w:rsidRDefault="00A858AE" w:rsidP="000B1E9E">
      <w:pPr>
        <w:pStyle w:val="corpsdedcision"/>
        <w:tabs>
          <w:tab w:val="clear" w:pos="360"/>
        </w:tabs>
        <w:spacing w:after="240"/>
        <w:rPr>
          <w:lang w:eastAsia="fr-FR"/>
        </w:rPr>
      </w:pPr>
      <w:r w:rsidRPr="005B4257">
        <w:rPr>
          <w:lang w:eastAsia="fr-FR"/>
        </w:rPr>
        <w:t xml:space="preserve">Le Tribunal </w:t>
      </w:r>
      <w:r w:rsidR="00044180">
        <w:rPr>
          <w:lang w:eastAsia="fr-FR"/>
        </w:rPr>
        <w:t xml:space="preserve">souligne qu’il </w:t>
      </w:r>
      <w:r w:rsidR="00862394">
        <w:rPr>
          <w:lang w:eastAsia="fr-FR"/>
        </w:rPr>
        <w:t>est conscient</w:t>
      </w:r>
      <w:r w:rsidRPr="005B4257">
        <w:rPr>
          <w:lang w:eastAsia="fr-FR"/>
        </w:rPr>
        <w:t xml:space="preserve"> de la difficulté </w:t>
      </w:r>
      <w:r w:rsidR="00862394">
        <w:rPr>
          <w:lang w:eastAsia="fr-FR"/>
        </w:rPr>
        <w:t xml:space="preserve">qu’impose le régime aux </w:t>
      </w:r>
      <w:r>
        <w:rPr>
          <w:lang w:eastAsia="fr-FR"/>
        </w:rPr>
        <w:t xml:space="preserve">parties </w:t>
      </w:r>
      <w:r w:rsidR="00862394">
        <w:rPr>
          <w:lang w:eastAsia="fr-FR"/>
        </w:rPr>
        <w:t xml:space="preserve">qui doivent </w:t>
      </w:r>
      <w:r>
        <w:rPr>
          <w:lang w:eastAsia="fr-FR"/>
        </w:rPr>
        <w:t>déterminer les services minimaux à maintenir dans une multitude de situations :</w:t>
      </w:r>
    </w:p>
    <w:p w14:paraId="537C9BDD" w14:textId="434422E1" w:rsidR="00637EC3" w:rsidRDefault="0068628E" w:rsidP="000B1E9E">
      <w:pPr>
        <w:pStyle w:val="citation"/>
        <w:spacing w:after="120"/>
        <w:rPr>
          <w:lang w:eastAsia="fr-FR"/>
        </w:rPr>
      </w:pPr>
      <w:r>
        <w:rPr>
          <w:lang w:eastAsia="fr-FR"/>
        </w:rPr>
        <w:t>[48]</w:t>
      </w:r>
      <w:r>
        <w:rPr>
          <w:lang w:eastAsia="fr-FR"/>
        </w:rPr>
        <w:tab/>
        <w:t xml:space="preserve">Le Tribunal est conscient de la difficulté à laquelle se sont butées les parties pour déterminer les SBEP à maintenir en cas de grève ou de lock-out futurs pour toute la phase des négociations. </w:t>
      </w:r>
      <w:r w:rsidRPr="005B4257">
        <w:rPr>
          <w:u w:val="single"/>
          <w:lang w:eastAsia="fr-FR"/>
        </w:rPr>
        <w:t>De multiples situations peuvent se présenter et les circonstances changer</w:t>
      </w:r>
      <w:r w:rsidRPr="00EC0B41">
        <w:rPr>
          <w:lang w:eastAsia="fr-FR"/>
        </w:rPr>
        <w:t>.</w:t>
      </w:r>
    </w:p>
    <w:p w14:paraId="3EB1DF2A" w14:textId="4509BC81" w:rsidR="008B5DB5" w:rsidRPr="005B4257" w:rsidRDefault="0068628E" w:rsidP="000B1E9E">
      <w:pPr>
        <w:pStyle w:val="citation"/>
        <w:spacing w:after="120"/>
        <w:rPr>
          <w:u w:val="single"/>
          <w:lang w:eastAsia="fr-FR"/>
        </w:rPr>
      </w:pPr>
      <w:r>
        <w:rPr>
          <w:lang w:eastAsia="fr-FR"/>
        </w:rPr>
        <w:t>[49]</w:t>
      </w:r>
      <w:r>
        <w:rPr>
          <w:lang w:eastAsia="fr-FR"/>
        </w:rPr>
        <w:tab/>
      </w:r>
      <w:r w:rsidRPr="005B4257">
        <w:rPr>
          <w:u w:val="single"/>
          <w:lang w:eastAsia="fr-FR"/>
        </w:rPr>
        <w:t>L’élément de pondération prévu à l’article 111.22.3 du Code rend l’exercice encore plus difficile dans la mesure où le législateur invite à se pencher sur des services minimalement requis pour éviter le caractère disproportionné d’effets qui ne sont pas forcément connus</w:t>
      </w:r>
      <w:r w:rsidRPr="00EC0B41">
        <w:rPr>
          <w:lang w:eastAsia="fr-FR"/>
        </w:rPr>
        <w:t>.</w:t>
      </w:r>
    </w:p>
    <w:p w14:paraId="67D8D7B9" w14:textId="2C359860" w:rsidR="0083252C" w:rsidRDefault="0068628E" w:rsidP="00AD662C">
      <w:pPr>
        <w:pStyle w:val="citation"/>
        <w:spacing w:after="240"/>
        <w:rPr>
          <w:lang w:eastAsia="fr-FR"/>
        </w:rPr>
      </w:pPr>
      <w:r>
        <w:rPr>
          <w:lang w:eastAsia="fr-FR"/>
        </w:rPr>
        <w:t>[50]</w:t>
      </w:r>
      <w:r>
        <w:rPr>
          <w:lang w:eastAsia="fr-FR"/>
        </w:rPr>
        <w:tab/>
        <w:t>En voulant ressaisir le Tribunal lors d’un éventuel arrêt de travail, les parties ont tenté de pallier ces écueils. Cependant, elles se trouvent à modifier le régime des SBEP qui, contrairement à celui des services essentiels en services publics, ne porte pas sur une grève précise.</w:t>
      </w:r>
    </w:p>
    <w:p w14:paraId="7CF93262" w14:textId="7C4440FE" w:rsidR="00637EC3" w:rsidRPr="00AD662C" w:rsidRDefault="0083252C" w:rsidP="00AD662C">
      <w:pPr>
        <w:pStyle w:val="citation"/>
        <w:spacing w:after="360"/>
        <w:rPr>
          <w:sz w:val="24"/>
          <w:szCs w:val="24"/>
          <w:lang w:eastAsia="fr-FR"/>
        </w:rPr>
      </w:pPr>
      <w:r w:rsidRPr="004B7169">
        <w:rPr>
          <w:rFonts w:cs="Arial"/>
          <w:sz w:val="24"/>
          <w:szCs w:val="24"/>
          <w:lang w:eastAsia="fr-FR"/>
        </w:rPr>
        <w:t>[</w:t>
      </w:r>
      <w:r w:rsidR="00044180">
        <w:rPr>
          <w:rFonts w:cs="Arial"/>
          <w:sz w:val="24"/>
          <w:szCs w:val="24"/>
          <w:lang w:eastAsia="fr-FR"/>
        </w:rPr>
        <w:t>No</w:t>
      </w:r>
      <w:r w:rsidR="00256381">
        <w:rPr>
          <w:rFonts w:cs="Arial"/>
          <w:sz w:val="24"/>
          <w:szCs w:val="24"/>
          <w:lang w:eastAsia="fr-FR"/>
        </w:rPr>
        <w:t>s</w:t>
      </w:r>
      <w:r w:rsidR="00044180">
        <w:rPr>
          <w:rFonts w:cs="Arial"/>
          <w:sz w:val="24"/>
          <w:szCs w:val="24"/>
          <w:lang w:eastAsia="fr-FR"/>
        </w:rPr>
        <w:t xml:space="preserve"> soulignement</w:t>
      </w:r>
      <w:r w:rsidR="00256381">
        <w:rPr>
          <w:sz w:val="24"/>
          <w:szCs w:val="24"/>
          <w:lang w:eastAsia="fr-FR"/>
        </w:rPr>
        <w:t>s</w:t>
      </w:r>
      <w:r w:rsidRPr="004B7169">
        <w:rPr>
          <w:rFonts w:cs="Arial"/>
          <w:sz w:val="24"/>
          <w:szCs w:val="24"/>
          <w:lang w:eastAsia="fr-FR"/>
        </w:rPr>
        <w:t>]</w:t>
      </w:r>
    </w:p>
    <w:p w14:paraId="51755535" w14:textId="3F9F260B" w:rsidR="00EC0457" w:rsidRDefault="00240C9C" w:rsidP="001E60BF">
      <w:pPr>
        <w:pStyle w:val="corpsdedcision"/>
        <w:tabs>
          <w:tab w:val="clear" w:pos="360"/>
        </w:tabs>
      </w:pPr>
      <w:r>
        <w:t>Faisant</w:t>
      </w:r>
      <w:r w:rsidR="00637EC3">
        <w:t xml:space="preserve"> face aux mêmes difficultés que les parties pour déterminer les SBEP à maintenir sans </w:t>
      </w:r>
      <w:r w:rsidR="00D768B6">
        <w:t>connaître</w:t>
      </w:r>
      <w:r w:rsidR="00637EC3">
        <w:t xml:space="preserve"> le moment et la durée d’un nouvel arrêt de travail,</w:t>
      </w:r>
      <w:r w:rsidR="00C7383D">
        <w:t xml:space="preserve"> contrairement à ce qu’il fai</w:t>
      </w:r>
      <w:r w:rsidR="0053204D">
        <w:t>t</w:t>
      </w:r>
      <w:r w:rsidR="00C7383D">
        <w:t xml:space="preserve"> en matière de services essentiels dans les services publics,</w:t>
      </w:r>
      <w:r w:rsidR="00637EC3">
        <w:t xml:space="preserve"> </w:t>
      </w:r>
      <w:r>
        <w:t>le Tribunal s’inspire des principes établis en matière de services essentiels dans le réseau de la santé et des services sociaux</w:t>
      </w:r>
      <w:r w:rsidR="00EC0457">
        <w:t>. Dans ce cas, des modulations à la hausse du niveau de service après une certaine durée de grève sont prévues pour tenir compte de l’effet cumulatif d’un nombre indéterminé de grèves de courte durée</w:t>
      </w:r>
      <w:r w:rsidR="00A7485A">
        <w:rPr>
          <w:rStyle w:val="Appelnotedebasdep"/>
        </w:rPr>
        <w:footnoteReference w:id="59"/>
      </w:r>
      <w:r w:rsidR="000433EE">
        <w:t>.</w:t>
      </w:r>
    </w:p>
    <w:p w14:paraId="01464B4C" w14:textId="29776F47" w:rsidR="00EC0457" w:rsidRPr="00A858AE" w:rsidRDefault="00C7383D" w:rsidP="009B0876">
      <w:pPr>
        <w:pStyle w:val="corpsdedcision"/>
        <w:keepNext/>
        <w:keepLines/>
        <w:tabs>
          <w:tab w:val="clear" w:pos="360"/>
        </w:tabs>
        <w:rPr>
          <w:sz w:val="22"/>
          <w:lang w:eastAsia="fr-FR"/>
        </w:rPr>
      </w:pPr>
      <w:r>
        <w:t>Ainsi, l</w:t>
      </w:r>
      <w:r w:rsidR="00EC0457" w:rsidRPr="00EC0457">
        <w:t>e Tribunal détermine</w:t>
      </w:r>
      <w:r>
        <w:t xml:space="preserve"> </w:t>
      </w:r>
      <w:r w:rsidR="00EC0457" w:rsidRPr="00EC0457">
        <w:t>que</w:t>
      </w:r>
      <w:r w:rsidR="00D0663C">
        <w:t>,</w:t>
      </w:r>
      <w:r w:rsidR="00EC0457" w:rsidRPr="00EC0457">
        <w:t xml:space="preserve"> d</w:t>
      </w:r>
      <w:r w:rsidR="00EC0457" w:rsidRPr="00A858AE">
        <w:rPr>
          <w:rStyle w:val="Citationintgre"/>
          <w:i w:val="0"/>
          <w:iCs/>
          <w:sz w:val="24"/>
          <w:szCs w:val="24"/>
        </w:rPr>
        <w:t>ans le cas où le syndicat me</w:t>
      </w:r>
      <w:r w:rsidR="008B5DB5" w:rsidRPr="00A858AE">
        <w:rPr>
          <w:rStyle w:val="Citationintgre"/>
          <w:i w:val="0"/>
          <w:iCs/>
          <w:sz w:val="24"/>
          <w:szCs w:val="24"/>
        </w:rPr>
        <w:t>t</w:t>
      </w:r>
      <w:r w:rsidR="00EC0457" w:rsidRPr="00A858AE">
        <w:rPr>
          <w:rStyle w:val="Citationintgre"/>
          <w:i w:val="0"/>
          <w:iCs/>
          <w:sz w:val="24"/>
          <w:szCs w:val="24"/>
        </w:rPr>
        <w:t xml:space="preserve"> fin à sa </w:t>
      </w:r>
      <w:r w:rsidR="00493AA8" w:rsidRPr="00A858AE">
        <w:rPr>
          <w:rStyle w:val="Citationintgre"/>
          <w:i w:val="0"/>
          <w:iCs/>
          <w:sz w:val="24"/>
          <w:szCs w:val="24"/>
        </w:rPr>
        <w:t>grève</w:t>
      </w:r>
      <w:r w:rsidR="00EC0457" w:rsidRPr="00A858AE">
        <w:rPr>
          <w:rStyle w:val="Citationintgre"/>
          <w:i w:val="0"/>
          <w:iCs/>
          <w:sz w:val="24"/>
          <w:szCs w:val="24"/>
        </w:rPr>
        <w:t xml:space="preserve"> et qu</w:t>
      </w:r>
      <w:r w:rsidR="00493AA8" w:rsidRPr="00A858AE">
        <w:rPr>
          <w:rStyle w:val="Citationintgre"/>
          <w:i w:val="0"/>
          <w:iCs/>
          <w:sz w:val="24"/>
          <w:szCs w:val="24"/>
        </w:rPr>
        <w:t>’il</w:t>
      </w:r>
      <w:r w:rsidR="00EC0457" w:rsidRPr="00A858AE">
        <w:rPr>
          <w:rStyle w:val="Citationintgre"/>
          <w:i w:val="0"/>
          <w:iCs/>
          <w:sz w:val="24"/>
          <w:szCs w:val="24"/>
        </w:rPr>
        <w:t xml:space="preserve"> </w:t>
      </w:r>
      <w:r w:rsidR="00493AA8" w:rsidRPr="00A858AE">
        <w:rPr>
          <w:rStyle w:val="Citationintgre"/>
          <w:i w:val="0"/>
          <w:iCs/>
          <w:sz w:val="24"/>
          <w:szCs w:val="24"/>
        </w:rPr>
        <w:t>en</w:t>
      </w:r>
      <w:r w:rsidR="00EC0457" w:rsidRPr="00A858AE">
        <w:rPr>
          <w:rStyle w:val="Citationintgre"/>
          <w:i w:val="0"/>
          <w:iCs/>
          <w:sz w:val="24"/>
          <w:szCs w:val="24"/>
        </w:rPr>
        <w:t xml:space="preserve"> déclenc</w:t>
      </w:r>
      <w:r w:rsidR="008B5DB5" w:rsidRPr="00A858AE">
        <w:rPr>
          <w:rStyle w:val="Citationintgre"/>
          <w:i w:val="0"/>
          <w:iCs/>
          <w:sz w:val="24"/>
          <w:szCs w:val="24"/>
        </w:rPr>
        <w:t>he</w:t>
      </w:r>
      <w:r w:rsidR="00EC0457" w:rsidRPr="00A858AE">
        <w:rPr>
          <w:rStyle w:val="Citationintgre"/>
          <w:i w:val="0"/>
          <w:iCs/>
          <w:sz w:val="24"/>
          <w:szCs w:val="24"/>
        </w:rPr>
        <w:t xml:space="preserve"> une nouvelle ou que l’employeur décr</w:t>
      </w:r>
      <w:r w:rsidR="008B5DB5" w:rsidRPr="00A858AE">
        <w:rPr>
          <w:rStyle w:val="Citationintgre"/>
          <w:i w:val="0"/>
          <w:iCs/>
          <w:sz w:val="24"/>
          <w:szCs w:val="24"/>
        </w:rPr>
        <w:t>ète</w:t>
      </w:r>
      <w:r w:rsidR="00EC0457" w:rsidRPr="00A858AE">
        <w:rPr>
          <w:rStyle w:val="Citationintgre"/>
          <w:i w:val="0"/>
          <w:iCs/>
          <w:sz w:val="24"/>
          <w:szCs w:val="24"/>
        </w:rPr>
        <w:t xml:space="preserve"> un lock-out, les parties doivent maintenir les </w:t>
      </w:r>
      <w:r w:rsidR="0053204D" w:rsidRPr="00A858AE">
        <w:rPr>
          <w:rStyle w:val="Citationintgre"/>
          <w:i w:val="0"/>
          <w:iCs/>
          <w:sz w:val="24"/>
          <w:szCs w:val="24"/>
        </w:rPr>
        <w:t>SBEP</w:t>
      </w:r>
      <w:r w:rsidR="00EC0457" w:rsidRPr="00A858AE">
        <w:rPr>
          <w:rStyle w:val="Citationintgre"/>
          <w:i w:val="0"/>
          <w:iCs/>
          <w:sz w:val="24"/>
          <w:szCs w:val="24"/>
        </w:rPr>
        <w:t xml:space="preserve"> selon les règles </w:t>
      </w:r>
      <w:r w:rsidRPr="00A858AE">
        <w:rPr>
          <w:rStyle w:val="Citationintgre"/>
          <w:i w:val="0"/>
          <w:iCs/>
          <w:sz w:val="24"/>
          <w:szCs w:val="24"/>
        </w:rPr>
        <w:t xml:space="preserve">prévues pour la grève </w:t>
      </w:r>
      <w:r w:rsidR="007D6F64" w:rsidRPr="00A858AE">
        <w:rPr>
          <w:rStyle w:val="Citationintgre"/>
          <w:i w:val="0"/>
          <w:iCs/>
          <w:sz w:val="24"/>
          <w:szCs w:val="24"/>
        </w:rPr>
        <w:t>actuelle</w:t>
      </w:r>
      <w:r w:rsidR="00EC0457" w:rsidRPr="00A858AE">
        <w:rPr>
          <w:rStyle w:val="Citationintgre"/>
          <w:i w:val="0"/>
          <w:iCs/>
          <w:sz w:val="24"/>
          <w:szCs w:val="24"/>
        </w:rPr>
        <w:t>.</w:t>
      </w:r>
      <w:r w:rsidR="00EC0457" w:rsidRPr="00EC0457">
        <w:rPr>
          <w:rStyle w:val="Citationintgre"/>
        </w:rPr>
        <w:t xml:space="preserve"> </w:t>
      </w:r>
      <w:r w:rsidR="00EC0457" w:rsidRPr="00EC0457">
        <w:t>Si l’arrêt de travail a lieu les lundis ou mardis, il n’</w:t>
      </w:r>
      <w:r w:rsidR="00482A4B">
        <w:t>entraine</w:t>
      </w:r>
      <w:r w:rsidR="00EC0457" w:rsidRPr="00EC0457">
        <w:t xml:space="preserve"> aucun service minimum. S’il a lieu les mercredis, jeudis ou vendredis, les parties doivent maintenir les </w:t>
      </w:r>
      <w:r w:rsidR="0053204D">
        <w:t>SBEP</w:t>
      </w:r>
      <w:r w:rsidR="00EC0457" w:rsidRPr="00EC0457">
        <w:t xml:space="preserve"> selon les règles de </w:t>
      </w:r>
      <w:r w:rsidR="007D6F64">
        <w:t>l’</w:t>
      </w:r>
      <w:r w:rsidR="00EC0457" w:rsidRPr="00EC0457">
        <w:t>entente</w:t>
      </w:r>
      <w:r w:rsidR="007D6F64">
        <w:t xml:space="preserve"> s’appliquant à la grève alors en cours</w:t>
      </w:r>
      <w:r w:rsidR="00EC0457" w:rsidRPr="00EC0457">
        <w:t>.</w:t>
      </w:r>
    </w:p>
    <w:p w14:paraId="0811C89E" w14:textId="1C32AB51" w:rsidR="004C2944" w:rsidRDefault="001674E5" w:rsidP="00FE73FB">
      <w:pPr>
        <w:pStyle w:val="Titre1"/>
        <w:keepLines/>
        <w:jc w:val="both"/>
      </w:pPr>
      <w:r>
        <w:t>L</w:t>
      </w:r>
      <w:r w:rsidR="00660DA4">
        <w:t>e régime des S</w:t>
      </w:r>
      <w:r w:rsidR="00F50B6B">
        <w:t>ervices assurant le bien-être de la population</w:t>
      </w:r>
      <w:r w:rsidR="00660DA4">
        <w:t xml:space="preserve"> porte-t-il </w:t>
      </w:r>
      <w:r>
        <w:t xml:space="preserve">atteinte à la liberté </w:t>
      </w:r>
      <w:r w:rsidR="00C301BE">
        <w:t>d’association</w:t>
      </w:r>
      <w:r w:rsidR="00DB30D7">
        <w:t>,</w:t>
      </w:r>
      <w:r w:rsidR="00C301BE">
        <w:t xml:space="preserve"> protégée par </w:t>
      </w:r>
      <w:r w:rsidR="00DB060B">
        <w:t>la charte canadienne et la charte québécoise</w:t>
      </w:r>
      <w:r w:rsidR="00C301BE">
        <w:t>, des salarié</w:t>
      </w:r>
      <w:r w:rsidR="00C01D0F">
        <w:t>es r</w:t>
      </w:r>
      <w:r w:rsidR="00C301BE">
        <w:t>eprésent</w:t>
      </w:r>
      <w:r w:rsidR="00A8236A">
        <w:t>ées par</w:t>
      </w:r>
      <w:r w:rsidR="00C301BE">
        <w:t xml:space="preserve"> le syndicat?</w:t>
      </w:r>
    </w:p>
    <w:p w14:paraId="3288C495" w14:textId="0D1A3574" w:rsidR="001C27B3" w:rsidRPr="001C27B3" w:rsidRDefault="001C27B3" w:rsidP="001C27B3">
      <w:pPr>
        <w:pStyle w:val="Titre2"/>
      </w:pPr>
      <w:r>
        <w:t>les positions des parties</w:t>
      </w:r>
    </w:p>
    <w:p w14:paraId="1323F532" w14:textId="7F582849" w:rsidR="00B4465A" w:rsidRDefault="007A3430" w:rsidP="00323172">
      <w:pPr>
        <w:pStyle w:val="corpsdedcision"/>
        <w:tabs>
          <w:tab w:val="clear" w:pos="360"/>
          <w:tab w:val="num" w:pos="720"/>
        </w:tabs>
        <w:rPr>
          <w:lang w:eastAsia="fr-FR"/>
        </w:rPr>
      </w:pPr>
      <w:r>
        <w:rPr>
          <w:lang w:eastAsia="fr-FR"/>
        </w:rPr>
        <w:t xml:space="preserve">Le syndicat et les intervenants de deuxième part sont d’avis que le régime des </w:t>
      </w:r>
      <w:r w:rsidR="00EE40B1">
        <w:rPr>
          <w:lang w:eastAsia="fr-FR"/>
        </w:rPr>
        <w:t>SBEP</w:t>
      </w:r>
      <w:r>
        <w:rPr>
          <w:lang w:eastAsia="fr-FR"/>
        </w:rPr>
        <w:t xml:space="preserve"> </w:t>
      </w:r>
      <w:r w:rsidR="00F005F8">
        <w:rPr>
          <w:lang w:eastAsia="fr-FR"/>
        </w:rPr>
        <w:t>limite</w:t>
      </w:r>
      <w:r>
        <w:rPr>
          <w:lang w:eastAsia="fr-FR"/>
        </w:rPr>
        <w:t xml:space="preserve"> </w:t>
      </w:r>
      <w:r w:rsidR="00F005F8">
        <w:rPr>
          <w:lang w:eastAsia="fr-FR"/>
        </w:rPr>
        <w:t xml:space="preserve">la grève de manière à entraver </w:t>
      </w:r>
      <w:r w:rsidR="00044180">
        <w:rPr>
          <w:lang w:eastAsia="fr-FR"/>
        </w:rPr>
        <w:t>substantiellement</w:t>
      </w:r>
      <w:r w:rsidR="00F005F8">
        <w:rPr>
          <w:lang w:eastAsia="fr-FR"/>
        </w:rPr>
        <w:t xml:space="preserve"> </w:t>
      </w:r>
      <w:r>
        <w:rPr>
          <w:lang w:eastAsia="fr-FR"/>
        </w:rPr>
        <w:t xml:space="preserve">le droit </w:t>
      </w:r>
      <w:r w:rsidR="00F005F8">
        <w:rPr>
          <w:lang w:eastAsia="fr-FR"/>
        </w:rPr>
        <w:t>constitutionnel d</w:t>
      </w:r>
      <w:r w:rsidR="00D768B6">
        <w:rPr>
          <w:lang w:eastAsia="fr-FR"/>
        </w:rPr>
        <w:t>e l</w:t>
      </w:r>
      <w:r w:rsidR="00F005F8">
        <w:rPr>
          <w:lang w:eastAsia="fr-FR"/>
        </w:rPr>
        <w:t>’exercer</w:t>
      </w:r>
      <w:r>
        <w:rPr>
          <w:lang w:eastAsia="fr-FR"/>
        </w:rPr>
        <w:t xml:space="preserve"> et </w:t>
      </w:r>
      <w:r w:rsidR="00F005F8">
        <w:rPr>
          <w:lang w:eastAsia="fr-FR"/>
        </w:rPr>
        <w:t>la possibilité</w:t>
      </w:r>
      <w:r w:rsidR="001E60BF">
        <w:rPr>
          <w:lang w:eastAsia="fr-FR"/>
        </w:rPr>
        <w:t>,</w:t>
      </w:r>
      <w:r w:rsidR="00F005F8">
        <w:rPr>
          <w:lang w:eastAsia="fr-FR"/>
        </w:rPr>
        <w:t xml:space="preserve"> pour les salariées</w:t>
      </w:r>
      <w:r w:rsidR="001E60BF">
        <w:rPr>
          <w:lang w:eastAsia="fr-FR"/>
        </w:rPr>
        <w:t>,</w:t>
      </w:r>
      <w:r w:rsidR="00F005F8">
        <w:rPr>
          <w:lang w:eastAsia="fr-FR"/>
        </w:rPr>
        <w:t xml:space="preserve"> d’atteindre leurs objectifs collectifs par le b</w:t>
      </w:r>
      <w:r w:rsidR="00FC0E0A">
        <w:rPr>
          <w:lang w:eastAsia="fr-FR"/>
        </w:rPr>
        <w:t>i</w:t>
      </w:r>
      <w:r w:rsidR="00F005F8">
        <w:rPr>
          <w:lang w:eastAsia="fr-FR"/>
        </w:rPr>
        <w:t xml:space="preserve">ais de la négociation collective. Ils soulignent que l’entrave résulte du fait que le régime enlève toute prévisibilité du cadre juridique applicable lors d’une négociation collective, qu’il est </w:t>
      </w:r>
      <w:r w:rsidR="001E60BF">
        <w:rPr>
          <w:lang w:eastAsia="fr-FR"/>
        </w:rPr>
        <w:t xml:space="preserve">à </w:t>
      </w:r>
      <w:r w:rsidR="00F005F8">
        <w:rPr>
          <w:lang w:eastAsia="fr-FR"/>
        </w:rPr>
        <w:t>l’avantage des employeurs et de l’</w:t>
      </w:r>
      <w:r w:rsidR="00044180">
        <w:rPr>
          <w:lang w:eastAsia="fr-FR"/>
        </w:rPr>
        <w:t>É</w:t>
      </w:r>
      <w:r w:rsidR="00F005F8">
        <w:rPr>
          <w:lang w:eastAsia="fr-FR"/>
        </w:rPr>
        <w:t>tat, qu’il accentue le déséquilibre structurel de la négociation collective et enfin</w:t>
      </w:r>
      <w:r w:rsidR="001E60BF">
        <w:rPr>
          <w:lang w:eastAsia="fr-FR"/>
        </w:rPr>
        <w:t>,</w:t>
      </w:r>
      <w:r w:rsidR="00F005F8">
        <w:rPr>
          <w:lang w:eastAsia="fr-FR"/>
        </w:rPr>
        <w:t xml:space="preserve"> qu’il est impraticable</w:t>
      </w:r>
      <w:r w:rsidR="001E60BF">
        <w:rPr>
          <w:lang w:eastAsia="fr-FR"/>
        </w:rPr>
        <w:t>,</w:t>
      </w:r>
      <w:r w:rsidR="00F005F8">
        <w:rPr>
          <w:lang w:eastAsia="fr-FR"/>
        </w:rPr>
        <w:t xml:space="preserve"> notamment à cause des biais systémiques.</w:t>
      </w:r>
    </w:p>
    <w:p w14:paraId="733200BE" w14:textId="7F0CC71A" w:rsidR="006A4DA1" w:rsidRDefault="00B7500D" w:rsidP="00D6184E">
      <w:pPr>
        <w:pStyle w:val="corpsdedcision"/>
        <w:rPr>
          <w:lang w:eastAsia="fr-FR"/>
        </w:rPr>
      </w:pPr>
      <w:r>
        <w:rPr>
          <w:lang w:eastAsia="fr-FR"/>
        </w:rPr>
        <w:t>Le PGQ, appuyé par l’employeur, soutient</w:t>
      </w:r>
      <w:r w:rsidR="00044180">
        <w:rPr>
          <w:lang w:eastAsia="fr-FR"/>
        </w:rPr>
        <w:t>,</w:t>
      </w:r>
      <w:r>
        <w:rPr>
          <w:lang w:eastAsia="fr-FR"/>
        </w:rPr>
        <w:t xml:space="preserve"> </w:t>
      </w:r>
      <w:r w:rsidR="00033B1B">
        <w:rPr>
          <w:lang w:eastAsia="fr-FR"/>
        </w:rPr>
        <w:t>qu’</w:t>
      </w:r>
      <w:r>
        <w:rPr>
          <w:lang w:eastAsia="fr-FR"/>
        </w:rPr>
        <w:t>au contraire</w:t>
      </w:r>
      <w:r w:rsidR="00DF0D1D">
        <w:rPr>
          <w:lang w:eastAsia="fr-FR"/>
        </w:rPr>
        <w:t>,</w:t>
      </w:r>
      <w:r>
        <w:rPr>
          <w:lang w:eastAsia="fr-FR"/>
        </w:rPr>
        <w:t xml:space="preserve"> le régime des SBEP n’entraine aucune entrave et encore moins </w:t>
      </w:r>
      <w:r w:rsidR="00DF0D1D">
        <w:rPr>
          <w:lang w:eastAsia="fr-FR"/>
        </w:rPr>
        <w:t>une</w:t>
      </w:r>
      <w:r w:rsidR="001D5C15">
        <w:rPr>
          <w:lang w:eastAsia="fr-FR"/>
        </w:rPr>
        <w:t xml:space="preserve"> </w:t>
      </w:r>
      <w:r>
        <w:rPr>
          <w:lang w:eastAsia="fr-FR"/>
        </w:rPr>
        <w:t>entrave substantielle au processus de négociation collective et au droit de grève. Il rappelle que celui-ci n’est pas sans limite</w:t>
      </w:r>
      <w:r w:rsidR="00DC2B10">
        <w:rPr>
          <w:lang w:eastAsia="fr-FR"/>
        </w:rPr>
        <w:t xml:space="preserve"> et que </w:t>
      </w:r>
      <w:r>
        <w:rPr>
          <w:lang w:eastAsia="fr-FR"/>
        </w:rPr>
        <w:t>l’état du droit n’</w:t>
      </w:r>
      <w:r w:rsidR="00CE690F">
        <w:rPr>
          <w:lang w:eastAsia="fr-FR"/>
        </w:rPr>
        <w:t>interdit</w:t>
      </w:r>
      <w:r>
        <w:rPr>
          <w:lang w:eastAsia="fr-FR"/>
        </w:rPr>
        <w:t xml:space="preserve"> pas </w:t>
      </w:r>
      <w:r w:rsidR="00864904">
        <w:rPr>
          <w:lang w:eastAsia="fr-FR"/>
        </w:rPr>
        <w:t>de</w:t>
      </w:r>
      <w:r>
        <w:rPr>
          <w:lang w:eastAsia="fr-FR"/>
        </w:rPr>
        <w:t xml:space="preserve"> limiter les impacts d’une grève sur la population</w:t>
      </w:r>
      <w:r w:rsidR="001E60BF">
        <w:rPr>
          <w:lang w:eastAsia="fr-FR"/>
        </w:rPr>
        <w:t>,</w:t>
      </w:r>
      <w:r>
        <w:rPr>
          <w:lang w:eastAsia="fr-FR"/>
        </w:rPr>
        <w:t xml:space="preserve"> particulièrement </w:t>
      </w:r>
      <w:r w:rsidR="00D768B6">
        <w:rPr>
          <w:lang w:eastAsia="fr-FR"/>
        </w:rPr>
        <w:t>sur les personnes vulnérables</w:t>
      </w:r>
      <w:r>
        <w:rPr>
          <w:lang w:eastAsia="fr-FR"/>
        </w:rPr>
        <w:t>.</w:t>
      </w:r>
    </w:p>
    <w:p w14:paraId="5E8855A9" w14:textId="7228A577" w:rsidR="00D6184E" w:rsidRPr="00873C59" w:rsidRDefault="00864904" w:rsidP="00D6184E">
      <w:pPr>
        <w:pStyle w:val="corpsdedcision"/>
        <w:rPr>
          <w:lang w:eastAsia="fr-FR"/>
        </w:rPr>
      </w:pPr>
      <w:r>
        <w:rPr>
          <w:lang w:eastAsia="fr-FR"/>
        </w:rPr>
        <w:t>Le PGQ</w:t>
      </w:r>
      <w:r w:rsidR="008C4AED">
        <w:rPr>
          <w:lang w:eastAsia="fr-FR"/>
        </w:rPr>
        <w:t xml:space="preserve"> rappelle que </w:t>
      </w:r>
      <w:r w:rsidR="00CE690F">
        <w:rPr>
          <w:lang w:eastAsia="fr-FR"/>
        </w:rPr>
        <w:t xml:space="preserve">le syndicat a pu négocier collectivement les conditions de travail de ses membres, exercer des moyens de pression allant jusqu’à faire une grève </w:t>
      </w:r>
      <w:r w:rsidR="002672B1">
        <w:rPr>
          <w:lang w:eastAsia="fr-FR"/>
        </w:rPr>
        <w:t xml:space="preserve">générale </w:t>
      </w:r>
      <w:r w:rsidR="00CE690F">
        <w:rPr>
          <w:lang w:eastAsia="fr-FR"/>
        </w:rPr>
        <w:t xml:space="preserve">illimitée de </w:t>
      </w:r>
      <w:r w:rsidR="00951AA6">
        <w:rPr>
          <w:lang w:eastAsia="fr-FR"/>
        </w:rPr>
        <w:t>cinq</w:t>
      </w:r>
      <w:r w:rsidR="00CE690F">
        <w:rPr>
          <w:lang w:eastAsia="fr-FR"/>
        </w:rPr>
        <w:t xml:space="preserve"> mois, négocier les SBEP à maintenir</w:t>
      </w:r>
      <w:r w:rsidR="002672B1">
        <w:rPr>
          <w:lang w:eastAsia="fr-FR"/>
        </w:rPr>
        <w:t xml:space="preserve">, ajoutant qu’il </w:t>
      </w:r>
      <w:r w:rsidR="00CE690F">
        <w:rPr>
          <w:lang w:eastAsia="fr-FR"/>
        </w:rPr>
        <w:t>peut encore exercer son droit de grève tout en maintenant des SBEP.</w:t>
      </w:r>
      <w:r w:rsidR="00CE4CE5">
        <w:rPr>
          <w:lang w:eastAsia="fr-FR"/>
        </w:rPr>
        <w:t xml:space="preserve"> L</w:t>
      </w:r>
      <w:r w:rsidR="00CE690F">
        <w:rPr>
          <w:lang w:eastAsia="fr-FR"/>
        </w:rPr>
        <w:t>’impasse dans la négociation collective ne résulterait pas des dispositions législatives</w:t>
      </w:r>
      <w:r w:rsidR="00F836D4">
        <w:rPr>
          <w:lang w:eastAsia="fr-FR"/>
        </w:rPr>
        <w:t xml:space="preserve"> </w:t>
      </w:r>
      <w:r w:rsidR="007D7A14">
        <w:rPr>
          <w:lang w:eastAsia="fr-FR"/>
        </w:rPr>
        <w:t>en cause</w:t>
      </w:r>
      <w:r w:rsidR="00CE690F">
        <w:rPr>
          <w:lang w:eastAsia="fr-FR"/>
        </w:rPr>
        <w:t xml:space="preserve">, mais plutôt de la </w:t>
      </w:r>
      <w:r w:rsidR="002058C6">
        <w:rPr>
          <w:lang w:eastAsia="fr-FR"/>
        </w:rPr>
        <w:t xml:space="preserve">position de </w:t>
      </w:r>
      <w:r w:rsidR="00CE690F">
        <w:rPr>
          <w:lang w:eastAsia="fr-FR"/>
        </w:rPr>
        <w:t>fermeture du syndicat.</w:t>
      </w:r>
      <w:r w:rsidR="00CE4CE5" w:rsidRPr="00CE4CE5">
        <w:rPr>
          <w:lang w:eastAsia="fr-FR"/>
        </w:rPr>
        <w:t xml:space="preserve"> </w:t>
      </w:r>
      <w:r w:rsidR="00CE4CE5">
        <w:rPr>
          <w:lang w:eastAsia="fr-FR"/>
        </w:rPr>
        <w:t xml:space="preserve">La grève a entrainé un </w:t>
      </w:r>
      <w:r w:rsidR="00551BFE">
        <w:rPr>
          <w:lang w:eastAsia="fr-FR"/>
        </w:rPr>
        <w:t>préjudice</w:t>
      </w:r>
      <w:r w:rsidR="00CE4CE5">
        <w:rPr>
          <w:lang w:eastAsia="fr-FR"/>
        </w:rPr>
        <w:t xml:space="preserve"> indu sur la population, soit les parents et enfants inscrits auprès de l’employeur.</w:t>
      </w:r>
      <w:r w:rsidR="00D6184E" w:rsidRPr="00D6184E">
        <w:rPr>
          <w:lang w:eastAsia="fr-FR"/>
        </w:rPr>
        <w:t xml:space="preserve"> </w:t>
      </w:r>
      <w:r w:rsidR="00D6184E">
        <w:rPr>
          <w:lang w:eastAsia="fr-FR"/>
        </w:rPr>
        <w:t xml:space="preserve">Aussi, le PGQ est d’avis que le processus enclenché par le régime des SBEP, en tenant compte des deux décisions rendues par le Tribunal, n’a pas entravé la capacité des membres du syndicat </w:t>
      </w:r>
      <w:r w:rsidR="00D768B6">
        <w:rPr>
          <w:lang w:eastAsia="fr-FR"/>
        </w:rPr>
        <w:t>à</w:t>
      </w:r>
      <w:r w:rsidR="00D6184E">
        <w:rPr>
          <w:lang w:eastAsia="fr-FR"/>
        </w:rPr>
        <w:t xml:space="preserve"> </w:t>
      </w:r>
      <w:r w:rsidR="00D6184E" w:rsidRPr="004D49AE">
        <w:rPr>
          <w:lang w:eastAsia="fr-FR"/>
        </w:rPr>
        <w:t>poursuivre leurs objectifs communs, incluant la négociation collective et l</w:t>
      </w:r>
      <w:r w:rsidR="004D49AE" w:rsidRPr="004D49AE">
        <w:rPr>
          <w:lang w:eastAsia="fr-FR"/>
        </w:rPr>
        <w:t>’exercic</w:t>
      </w:r>
      <w:r w:rsidR="00D6184E" w:rsidRPr="004D49AE">
        <w:rPr>
          <w:lang w:eastAsia="fr-FR"/>
        </w:rPr>
        <w:t xml:space="preserve">e de </w:t>
      </w:r>
      <w:r w:rsidR="004D49AE" w:rsidRPr="004D49AE">
        <w:rPr>
          <w:lang w:eastAsia="fr-FR"/>
        </w:rPr>
        <w:t xml:space="preserve">la </w:t>
      </w:r>
      <w:r w:rsidR="00D6184E" w:rsidRPr="004D49AE">
        <w:rPr>
          <w:lang w:eastAsia="fr-FR"/>
        </w:rPr>
        <w:t>grève</w:t>
      </w:r>
      <w:r w:rsidR="00D6184E">
        <w:rPr>
          <w:lang w:eastAsia="fr-FR"/>
        </w:rPr>
        <w:t>.</w:t>
      </w:r>
    </w:p>
    <w:p w14:paraId="5BACCC21" w14:textId="15205B44" w:rsidR="00CE690F" w:rsidRDefault="00D6184E" w:rsidP="009B0876">
      <w:pPr>
        <w:pStyle w:val="corpsdedcision"/>
        <w:keepNext/>
        <w:keepLines/>
        <w:rPr>
          <w:lang w:eastAsia="fr-FR"/>
        </w:rPr>
      </w:pPr>
      <w:r w:rsidRPr="00FC5A76">
        <w:rPr>
          <w:lang w:eastAsia="fr-FR"/>
        </w:rPr>
        <w:t>Le Tribunal est d’</w:t>
      </w:r>
      <w:r w:rsidR="00E5570B" w:rsidRPr="00FC5A76">
        <w:rPr>
          <w:lang w:eastAsia="fr-FR"/>
        </w:rPr>
        <w:t>a</w:t>
      </w:r>
      <w:r w:rsidRPr="00FC5A76">
        <w:rPr>
          <w:lang w:eastAsia="fr-FR"/>
        </w:rPr>
        <w:t>vis que l</w:t>
      </w:r>
      <w:r w:rsidR="00012137" w:rsidRPr="00FC5A76">
        <w:rPr>
          <w:lang w:eastAsia="fr-FR"/>
        </w:rPr>
        <w:t>a preuve démontre qu</w:t>
      </w:r>
      <w:r w:rsidRPr="00FC5A76">
        <w:rPr>
          <w:lang w:eastAsia="fr-FR"/>
        </w:rPr>
        <w:t xml:space="preserve">e </w:t>
      </w:r>
      <w:r w:rsidR="00012137" w:rsidRPr="00FC5A76">
        <w:rPr>
          <w:lang w:eastAsia="fr-FR"/>
        </w:rPr>
        <w:t xml:space="preserve">le </w:t>
      </w:r>
      <w:r w:rsidRPr="00FC5A76">
        <w:rPr>
          <w:lang w:eastAsia="fr-FR"/>
        </w:rPr>
        <w:t xml:space="preserve">régime des SBEP </w:t>
      </w:r>
      <w:r w:rsidR="00725CCA" w:rsidRPr="00FC5A76">
        <w:rPr>
          <w:lang w:eastAsia="fr-FR"/>
        </w:rPr>
        <w:t>interfère dans</w:t>
      </w:r>
      <w:r w:rsidR="005B4257" w:rsidRPr="00FC5A76">
        <w:rPr>
          <w:lang w:eastAsia="fr-FR"/>
        </w:rPr>
        <w:t xml:space="preserve"> la négociation collective et </w:t>
      </w:r>
      <w:r w:rsidR="00CC1AAA" w:rsidRPr="00FC5A76">
        <w:rPr>
          <w:lang w:eastAsia="fr-FR"/>
        </w:rPr>
        <w:t xml:space="preserve">limite le droit de grève d’une manière qui </w:t>
      </w:r>
      <w:r w:rsidRPr="00FC5A76">
        <w:rPr>
          <w:lang w:eastAsia="fr-FR"/>
        </w:rPr>
        <w:t xml:space="preserve">entrave substantiellement </w:t>
      </w:r>
      <w:r w:rsidR="00EF2CE3">
        <w:rPr>
          <w:lang w:eastAsia="fr-FR"/>
        </w:rPr>
        <w:t>le</w:t>
      </w:r>
      <w:r w:rsidR="00EF2CE3" w:rsidRPr="00FC5A76">
        <w:rPr>
          <w:lang w:eastAsia="fr-FR"/>
        </w:rPr>
        <w:t xml:space="preserve"> </w:t>
      </w:r>
      <w:r w:rsidRPr="00FC5A76">
        <w:rPr>
          <w:lang w:eastAsia="fr-FR"/>
        </w:rPr>
        <w:t xml:space="preserve">processus véritable de </w:t>
      </w:r>
      <w:r w:rsidR="00E5570B" w:rsidRPr="00FC5A76">
        <w:rPr>
          <w:lang w:eastAsia="fr-FR"/>
        </w:rPr>
        <w:t>négociation</w:t>
      </w:r>
      <w:r w:rsidRPr="00FC5A76">
        <w:rPr>
          <w:lang w:eastAsia="fr-FR"/>
        </w:rPr>
        <w:t xml:space="preserve"> collective</w:t>
      </w:r>
      <w:r w:rsidR="00012137" w:rsidRPr="00FC5A76">
        <w:rPr>
          <w:lang w:eastAsia="fr-FR"/>
        </w:rPr>
        <w:t xml:space="preserve"> des </w:t>
      </w:r>
      <w:r w:rsidR="00E5570B" w:rsidRPr="00FC5A76">
        <w:rPr>
          <w:lang w:eastAsia="fr-FR"/>
        </w:rPr>
        <w:t xml:space="preserve">salariées représentées par le syndicat. </w:t>
      </w:r>
      <w:r w:rsidR="00E5570B">
        <w:rPr>
          <w:lang w:eastAsia="fr-FR"/>
        </w:rPr>
        <w:t>Voici pourquoi.</w:t>
      </w:r>
    </w:p>
    <w:p w14:paraId="18974C13" w14:textId="4AE6CE54" w:rsidR="001C27B3" w:rsidRDefault="001C27B3" w:rsidP="001C27B3">
      <w:pPr>
        <w:pStyle w:val="Titre2"/>
      </w:pPr>
      <w:r>
        <w:t>l</w:t>
      </w:r>
      <w:r w:rsidR="00E409D2">
        <w:t>es</w:t>
      </w:r>
      <w:r>
        <w:t xml:space="preserve"> </w:t>
      </w:r>
      <w:r w:rsidR="00E409D2">
        <w:t xml:space="preserve">principes juridiques </w:t>
      </w:r>
      <w:r w:rsidR="00D559F2">
        <w:t>définissant</w:t>
      </w:r>
      <w:r w:rsidR="00D845AA">
        <w:t xml:space="preserve"> la liberté d’Association</w:t>
      </w:r>
    </w:p>
    <w:p w14:paraId="1950C7F0" w14:textId="0A949F90" w:rsidR="00CC2A9F" w:rsidRPr="00CC2A9F" w:rsidRDefault="00CC2A9F" w:rsidP="00CC2A9F">
      <w:pPr>
        <w:pStyle w:val="Titre3"/>
      </w:pPr>
      <w:r>
        <w:t xml:space="preserve">La protection </w:t>
      </w:r>
      <w:r w:rsidR="00E409D2">
        <w:t xml:space="preserve">constitutionnelle </w:t>
      </w:r>
      <w:r>
        <w:t>de la négociation collective et du droit de grève</w:t>
      </w:r>
    </w:p>
    <w:p w14:paraId="492A32FA" w14:textId="40157A5F" w:rsidR="00486FE2" w:rsidRDefault="00831B0B" w:rsidP="00486FE2">
      <w:pPr>
        <w:pStyle w:val="corpsdedcision"/>
        <w:rPr>
          <w:lang w:eastAsia="fr-FR"/>
        </w:rPr>
      </w:pPr>
      <w:r>
        <w:rPr>
          <w:lang w:eastAsia="fr-FR"/>
        </w:rPr>
        <w:t xml:space="preserve">Au terme </w:t>
      </w:r>
      <w:r w:rsidR="00891A9B">
        <w:rPr>
          <w:lang w:eastAsia="fr-FR"/>
        </w:rPr>
        <w:t>d’une évolution</w:t>
      </w:r>
      <w:r>
        <w:rPr>
          <w:lang w:eastAsia="fr-FR"/>
        </w:rPr>
        <w:t xml:space="preserve"> </w:t>
      </w:r>
      <w:r w:rsidR="006F266A">
        <w:rPr>
          <w:lang w:eastAsia="fr-FR"/>
        </w:rPr>
        <w:t xml:space="preserve">de la </w:t>
      </w:r>
      <w:r w:rsidR="00825F98">
        <w:rPr>
          <w:lang w:eastAsia="fr-FR"/>
        </w:rPr>
        <w:t>jurispruden</w:t>
      </w:r>
      <w:r w:rsidR="006F266A">
        <w:rPr>
          <w:lang w:eastAsia="fr-FR"/>
        </w:rPr>
        <w:t>ce de la Cour suprême du Canada</w:t>
      </w:r>
      <w:r>
        <w:rPr>
          <w:lang w:eastAsia="fr-FR"/>
        </w:rPr>
        <w:t xml:space="preserve">, </w:t>
      </w:r>
      <w:r w:rsidR="004C3B1F">
        <w:rPr>
          <w:lang w:eastAsia="fr-FR"/>
        </w:rPr>
        <w:t>il</w:t>
      </w:r>
      <w:r w:rsidR="00147A94">
        <w:rPr>
          <w:lang w:eastAsia="fr-FR"/>
        </w:rPr>
        <w:t> </w:t>
      </w:r>
      <w:r w:rsidR="004C3B1F">
        <w:rPr>
          <w:lang w:eastAsia="fr-FR"/>
        </w:rPr>
        <w:t xml:space="preserve">est maintenant bien établi que la liberté d’association doit recevoir </w:t>
      </w:r>
      <w:r w:rsidR="00D4705F">
        <w:rPr>
          <w:lang w:eastAsia="fr-FR"/>
        </w:rPr>
        <w:t>« </w:t>
      </w:r>
      <w:r w:rsidR="004C3B1F" w:rsidRPr="00D4705F">
        <w:rPr>
          <w:rStyle w:val="Citationintgre"/>
          <w:lang w:eastAsia="fr-FR"/>
        </w:rPr>
        <w:t>une inter</w:t>
      </w:r>
      <w:r w:rsidR="008052EE" w:rsidRPr="00D4705F">
        <w:rPr>
          <w:rStyle w:val="Citationintgre"/>
          <w:lang w:eastAsia="fr-FR"/>
        </w:rPr>
        <w:t xml:space="preserve">prétation </w:t>
      </w:r>
      <w:r w:rsidR="00526E87" w:rsidRPr="00D4705F">
        <w:rPr>
          <w:rStyle w:val="Citationintgre"/>
          <w:lang w:eastAsia="fr-FR"/>
        </w:rPr>
        <w:t xml:space="preserve">généreuse </w:t>
      </w:r>
      <w:r w:rsidR="00526E87">
        <w:rPr>
          <w:rStyle w:val="Citationintgre"/>
          <w:lang w:eastAsia="fr-FR"/>
        </w:rPr>
        <w:t xml:space="preserve">et </w:t>
      </w:r>
      <w:r w:rsidR="008052EE" w:rsidRPr="00D4705F">
        <w:rPr>
          <w:rStyle w:val="Citationintgre"/>
          <w:lang w:eastAsia="fr-FR"/>
        </w:rPr>
        <w:t xml:space="preserve">téléologique, qui tient </w:t>
      </w:r>
      <w:r w:rsidR="00F02EAF">
        <w:rPr>
          <w:rStyle w:val="Citationintgre"/>
          <w:lang w:eastAsia="fr-FR"/>
        </w:rPr>
        <w:t>compte</w:t>
      </w:r>
      <w:r w:rsidR="008052EE" w:rsidRPr="00D4705F">
        <w:rPr>
          <w:rStyle w:val="Citationintgre"/>
          <w:lang w:eastAsia="fr-FR"/>
        </w:rPr>
        <w:t xml:space="preserve"> des </w:t>
      </w:r>
      <w:r w:rsidR="00F32012" w:rsidRPr="00FE73FB">
        <w:rPr>
          <w:rStyle w:val="Citationintgre"/>
          <w:i w:val="0"/>
          <w:iCs/>
          <w:sz w:val="24"/>
          <w:szCs w:val="24"/>
          <w:lang w:eastAsia="fr-FR"/>
        </w:rPr>
        <w:t>«</w:t>
      </w:r>
      <w:r w:rsidR="00F32012">
        <w:rPr>
          <w:rStyle w:val="Citationintgre"/>
          <w:lang w:eastAsia="fr-FR"/>
        </w:rPr>
        <w:t> </w:t>
      </w:r>
      <w:r w:rsidR="008052EE" w:rsidRPr="00D4705F">
        <w:rPr>
          <w:rStyle w:val="Citationintgre"/>
          <w:lang w:eastAsia="fr-FR"/>
        </w:rPr>
        <w:t xml:space="preserve">objectifs </w:t>
      </w:r>
      <w:r w:rsidR="00D9011A" w:rsidRPr="00D4705F">
        <w:rPr>
          <w:rStyle w:val="Citationintgre"/>
          <w:lang w:eastAsia="fr-FR"/>
        </w:rPr>
        <w:t xml:space="preserve">plus larges de la </w:t>
      </w:r>
      <w:r w:rsidR="00D9011A" w:rsidRPr="00471AFA">
        <w:rPr>
          <w:rStyle w:val="Citationintgre"/>
          <w:lang w:eastAsia="fr-FR"/>
        </w:rPr>
        <w:t>Charte</w:t>
      </w:r>
      <w:r w:rsidR="00F32012">
        <w:rPr>
          <w:lang w:eastAsia="fr-FR"/>
        </w:rPr>
        <w:t> »</w:t>
      </w:r>
      <w:r w:rsidR="00D4705F">
        <w:rPr>
          <w:rStyle w:val="Appelnotedebasdep"/>
          <w:lang w:eastAsia="fr-FR"/>
        </w:rPr>
        <w:footnoteReference w:id="60"/>
      </w:r>
      <w:r w:rsidR="002F4D25">
        <w:rPr>
          <w:lang w:eastAsia="fr-FR"/>
        </w:rPr>
        <w:t>.</w:t>
      </w:r>
    </w:p>
    <w:p w14:paraId="56283352" w14:textId="37BDA5EE" w:rsidR="006F266A" w:rsidRDefault="006F266A" w:rsidP="006F266A">
      <w:pPr>
        <w:pStyle w:val="corpsdedcision"/>
        <w:rPr>
          <w:lang w:eastAsia="fr-FR"/>
        </w:rPr>
      </w:pPr>
      <w:r>
        <w:rPr>
          <w:lang w:eastAsia="fr-FR"/>
        </w:rPr>
        <w:t>Alors que dans trois affaires en matière</w:t>
      </w:r>
      <w:r w:rsidR="00951AA6">
        <w:rPr>
          <w:lang w:eastAsia="fr-FR"/>
        </w:rPr>
        <w:t xml:space="preserve"> de</w:t>
      </w:r>
      <w:r>
        <w:rPr>
          <w:lang w:eastAsia="fr-FR"/>
        </w:rPr>
        <w:t xml:space="preserve"> relations du travail rendues en 1987</w:t>
      </w:r>
      <w:r>
        <w:rPr>
          <w:rStyle w:val="Appelnotedebasdep"/>
          <w:lang w:eastAsia="fr-FR"/>
        </w:rPr>
        <w:footnoteReference w:id="61"/>
      </w:r>
      <w:r>
        <w:rPr>
          <w:lang w:eastAsia="fr-FR"/>
        </w:rPr>
        <w:t>,</w:t>
      </w:r>
      <w:r w:rsidR="00541BAF">
        <w:rPr>
          <w:lang w:eastAsia="fr-FR"/>
        </w:rPr>
        <w:t xml:space="preserve"> </w:t>
      </w:r>
      <w:r>
        <w:rPr>
          <w:lang w:eastAsia="fr-FR"/>
        </w:rPr>
        <w:t xml:space="preserve">la portée de </w:t>
      </w:r>
      <w:r w:rsidR="001E60BF">
        <w:rPr>
          <w:lang w:eastAsia="fr-FR"/>
        </w:rPr>
        <w:t xml:space="preserve">la </w:t>
      </w:r>
      <w:r>
        <w:rPr>
          <w:lang w:eastAsia="fr-FR"/>
        </w:rPr>
        <w:t xml:space="preserve">liberté d’association était limitée selon les droits que possède chaque individu, ce qui excluait le droit de négocier collectivement et le droit de faire la grève, la Cour suprême a </w:t>
      </w:r>
      <w:r w:rsidR="00044180">
        <w:rPr>
          <w:lang w:eastAsia="fr-FR"/>
        </w:rPr>
        <w:t xml:space="preserve">réalisé </w:t>
      </w:r>
      <w:r>
        <w:rPr>
          <w:lang w:eastAsia="fr-FR"/>
        </w:rPr>
        <w:t>un virage majeur en 2001</w:t>
      </w:r>
      <w:r w:rsidRPr="006F266A">
        <w:rPr>
          <w:lang w:eastAsia="fr-FR"/>
        </w:rPr>
        <w:t xml:space="preserve"> </w:t>
      </w:r>
      <w:r>
        <w:rPr>
          <w:lang w:eastAsia="fr-FR"/>
        </w:rPr>
        <w:t xml:space="preserve">avec l’arrêt </w:t>
      </w:r>
      <w:r w:rsidRPr="00DE211C">
        <w:rPr>
          <w:i/>
          <w:lang w:eastAsia="fr-FR"/>
        </w:rPr>
        <w:t xml:space="preserve">Dunmore </w:t>
      </w:r>
      <w:r>
        <w:rPr>
          <w:lang w:eastAsia="fr-FR"/>
        </w:rPr>
        <w:t xml:space="preserve">c. </w:t>
      </w:r>
      <w:r w:rsidRPr="00DE211C">
        <w:rPr>
          <w:i/>
          <w:lang w:eastAsia="fr-FR"/>
        </w:rPr>
        <w:t>Ontario (Procureur général)</w:t>
      </w:r>
      <w:r w:rsidRPr="00F31943">
        <w:rPr>
          <w:rStyle w:val="Appelnotedebasdep"/>
          <w:iCs/>
          <w:lang w:eastAsia="fr-FR"/>
        </w:rPr>
        <w:footnoteReference w:id="62"/>
      </w:r>
      <w:r>
        <w:rPr>
          <w:lang w:eastAsia="fr-FR"/>
        </w:rPr>
        <w:t>. Elle y élargit la portée de la liberté d’association</w:t>
      </w:r>
      <w:r w:rsidRPr="00D67321">
        <w:t xml:space="preserve"> </w:t>
      </w:r>
      <w:r w:rsidRPr="00D67321">
        <w:rPr>
          <w:lang w:eastAsia="fr-FR"/>
        </w:rPr>
        <w:t>à la protection d’intérêts collectifs, qui ne peuvent être exercés individuellement</w:t>
      </w:r>
      <w:r>
        <w:rPr>
          <w:lang w:eastAsia="fr-FR"/>
        </w:rPr>
        <w:t>.</w:t>
      </w:r>
    </w:p>
    <w:p w14:paraId="5FF97721" w14:textId="3CC93664" w:rsidR="000A0134" w:rsidRDefault="000A0134" w:rsidP="00147A94">
      <w:pPr>
        <w:pStyle w:val="corpsdedcision"/>
        <w:tabs>
          <w:tab w:val="clear" w:pos="360"/>
        </w:tabs>
        <w:rPr>
          <w:lang w:eastAsia="fr-FR"/>
        </w:rPr>
      </w:pPr>
      <w:r w:rsidRPr="000A0134">
        <w:rPr>
          <w:lang w:eastAsia="fr-FR"/>
        </w:rPr>
        <w:t xml:space="preserve">En 2007, l’arrêt </w:t>
      </w:r>
      <w:r w:rsidRPr="000A0134">
        <w:rPr>
          <w:i/>
          <w:lang w:eastAsia="fr-FR"/>
        </w:rPr>
        <w:t>Health Services and Support – Facilities Subsector Bargaining Assn.</w:t>
      </w:r>
      <w:r w:rsidRPr="000A0134">
        <w:rPr>
          <w:lang w:eastAsia="fr-FR"/>
        </w:rPr>
        <w:t xml:space="preserve"> c. </w:t>
      </w:r>
      <w:r w:rsidRPr="000A0134">
        <w:rPr>
          <w:i/>
          <w:lang w:eastAsia="fr-FR"/>
        </w:rPr>
        <w:t>Colombie-Britannique</w:t>
      </w:r>
      <w:r w:rsidRPr="00F31943">
        <w:rPr>
          <w:rStyle w:val="Appelnotedebasdep"/>
          <w:iCs/>
          <w:lang w:eastAsia="fr-FR"/>
        </w:rPr>
        <w:footnoteReference w:id="63"/>
      </w:r>
      <w:r w:rsidRPr="000A0134">
        <w:rPr>
          <w:lang w:eastAsia="fr-FR"/>
        </w:rPr>
        <w:t xml:space="preserve"> </w:t>
      </w:r>
      <w:r w:rsidR="00312113">
        <w:rPr>
          <w:lang w:eastAsia="fr-FR"/>
        </w:rPr>
        <w:t>a expressément reconnu que l’al</w:t>
      </w:r>
      <w:r w:rsidR="00D768B6">
        <w:rPr>
          <w:lang w:eastAsia="fr-FR"/>
        </w:rPr>
        <w:t>inéa</w:t>
      </w:r>
      <w:r w:rsidR="00312113">
        <w:rPr>
          <w:lang w:eastAsia="fr-FR"/>
        </w:rPr>
        <w:t xml:space="preserve"> 2</w:t>
      </w:r>
      <w:r w:rsidR="00312113" w:rsidRPr="001E60BF">
        <w:rPr>
          <w:i/>
          <w:iCs/>
          <w:lang w:eastAsia="fr-FR"/>
        </w:rPr>
        <w:t>d</w:t>
      </w:r>
      <w:r w:rsidR="00312113" w:rsidRPr="00E84E40">
        <w:rPr>
          <w:lang w:eastAsia="fr-FR"/>
        </w:rPr>
        <w:t>)</w:t>
      </w:r>
      <w:r w:rsidR="00312113">
        <w:rPr>
          <w:lang w:eastAsia="fr-FR"/>
        </w:rPr>
        <w:t xml:space="preserve"> de la Charte canadienne garantit </w:t>
      </w:r>
      <w:r>
        <w:rPr>
          <w:lang w:eastAsia="fr-FR"/>
        </w:rPr>
        <w:t xml:space="preserve">le droit des salariés de </w:t>
      </w:r>
      <w:r w:rsidR="00571984">
        <w:rPr>
          <w:lang w:eastAsia="fr-FR"/>
        </w:rPr>
        <w:t xml:space="preserve">s’associer en vue d’atteindre des objectifs liés au travail par un processus de négociation collective. </w:t>
      </w:r>
      <w:r w:rsidR="005036DC">
        <w:rPr>
          <w:rStyle w:val="Citationintgre"/>
          <w:i w:val="0"/>
          <w:sz w:val="24"/>
          <w:szCs w:val="24"/>
          <w:lang w:eastAsia="fr-FR"/>
        </w:rPr>
        <w:t>Toutefois, la Charte ne garantit pas l’</w:t>
      </w:r>
      <w:r w:rsidR="008C1E7C">
        <w:rPr>
          <w:rStyle w:val="Citationintgre"/>
          <w:i w:val="0"/>
          <w:sz w:val="24"/>
          <w:szCs w:val="24"/>
          <w:lang w:eastAsia="fr-FR"/>
        </w:rPr>
        <w:t>a</w:t>
      </w:r>
      <w:r w:rsidR="005036DC">
        <w:rPr>
          <w:rStyle w:val="Citationintgre"/>
          <w:i w:val="0"/>
          <w:sz w:val="24"/>
          <w:szCs w:val="24"/>
          <w:lang w:eastAsia="fr-FR"/>
        </w:rPr>
        <w:t xml:space="preserve">ccès à un régime particulier ni </w:t>
      </w:r>
      <w:r w:rsidR="001D10C1">
        <w:rPr>
          <w:rStyle w:val="Citationintgre"/>
          <w:i w:val="0"/>
          <w:sz w:val="24"/>
          <w:szCs w:val="24"/>
          <w:lang w:eastAsia="fr-FR"/>
        </w:rPr>
        <w:t>l’atteinte des objectifs poursuivis</w:t>
      </w:r>
      <w:r w:rsidR="00CC1AAA">
        <w:rPr>
          <w:rStyle w:val="Appelnotedebasdep"/>
          <w:szCs w:val="24"/>
          <w:lang w:eastAsia="fr-FR"/>
        </w:rPr>
        <w:footnoteReference w:id="64"/>
      </w:r>
      <w:r w:rsidR="001D10C1">
        <w:rPr>
          <w:rStyle w:val="Citationintgre"/>
          <w:i w:val="0"/>
          <w:sz w:val="24"/>
          <w:szCs w:val="24"/>
          <w:lang w:eastAsia="fr-FR"/>
        </w:rPr>
        <w:t>.</w:t>
      </w:r>
    </w:p>
    <w:p w14:paraId="5581CF54" w14:textId="713B5152" w:rsidR="000A0134" w:rsidRDefault="000A0134" w:rsidP="000A0134">
      <w:pPr>
        <w:pStyle w:val="corpsdedcision"/>
        <w:tabs>
          <w:tab w:val="clear" w:pos="360"/>
        </w:tabs>
        <w:rPr>
          <w:lang w:eastAsia="fr-FR"/>
        </w:rPr>
      </w:pPr>
      <w:r>
        <w:rPr>
          <w:lang w:eastAsia="fr-FR"/>
        </w:rPr>
        <w:t>Au début de 2015, trois arrêts marquent un nouveau pas dans l’interprétation de la liberté d’association dans un contexte de droit du travail</w:t>
      </w:r>
      <w:r w:rsidR="00BE59A2">
        <w:rPr>
          <w:lang w:eastAsia="fr-FR"/>
        </w:rPr>
        <w:t> </w:t>
      </w:r>
      <w:r>
        <w:rPr>
          <w:lang w:eastAsia="fr-FR"/>
        </w:rPr>
        <w:t xml:space="preserve">: </w:t>
      </w:r>
      <w:r w:rsidRPr="00287BE7">
        <w:rPr>
          <w:i/>
          <w:lang w:eastAsia="fr-FR"/>
        </w:rPr>
        <w:t xml:space="preserve">Association de la police montée de l’Ontario </w:t>
      </w:r>
      <w:r>
        <w:rPr>
          <w:lang w:eastAsia="fr-FR"/>
        </w:rPr>
        <w:t xml:space="preserve">c. </w:t>
      </w:r>
      <w:r w:rsidRPr="00287BE7">
        <w:rPr>
          <w:i/>
          <w:lang w:eastAsia="fr-FR"/>
        </w:rPr>
        <w:t>Canada (Procureur général)</w:t>
      </w:r>
      <w:r>
        <w:rPr>
          <w:rStyle w:val="Appelnotedebasdep"/>
          <w:lang w:eastAsia="fr-FR"/>
        </w:rPr>
        <w:footnoteReference w:id="65"/>
      </w:r>
      <w:r w:rsidR="0078325E">
        <w:rPr>
          <w:lang w:eastAsia="fr-FR"/>
        </w:rPr>
        <w:t xml:space="preserve">, l’arrêt </w:t>
      </w:r>
      <w:r w:rsidR="0078325E" w:rsidRPr="00E84E40">
        <w:rPr>
          <w:i/>
          <w:iCs/>
          <w:lang w:eastAsia="fr-FR"/>
        </w:rPr>
        <w:t>APMO</w:t>
      </w:r>
      <w:r w:rsidR="0078325E">
        <w:rPr>
          <w:lang w:eastAsia="fr-FR"/>
        </w:rPr>
        <w:t xml:space="preserve">, </w:t>
      </w:r>
      <w:r w:rsidRPr="00287BE7">
        <w:rPr>
          <w:i/>
          <w:lang w:eastAsia="fr-FR"/>
        </w:rPr>
        <w:t>Meredith</w:t>
      </w:r>
      <w:r>
        <w:rPr>
          <w:lang w:eastAsia="fr-FR"/>
        </w:rPr>
        <w:t xml:space="preserve"> c. </w:t>
      </w:r>
      <w:r w:rsidRPr="00287BE7">
        <w:rPr>
          <w:i/>
          <w:lang w:eastAsia="fr-FR"/>
        </w:rPr>
        <w:t>Canada (Procureur général)</w:t>
      </w:r>
      <w:r w:rsidR="004C195E">
        <w:rPr>
          <w:i/>
          <w:lang w:eastAsia="fr-FR"/>
        </w:rPr>
        <w:t xml:space="preserve">, </w:t>
      </w:r>
      <w:r w:rsidR="004C195E" w:rsidRPr="004C195E">
        <w:rPr>
          <w:iCs/>
          <w:lang w:eastAsia="fr-FR"/>
        </w:rPr>
        <w:t>l’arrêt</w:t>
      </w:r>
      <w:r w:rsidR="004C195E">
        <w:rPr>
          <w:i/>
          <w:lang w:eastAsia="fr-FR"/>
        </w:rPr>
        <w:t xml:space="preserve"> </w:t>
      </w:r>
      <w:r w:rsidR="004C195E" w:rsidRPr="004C195E">
        <w:rPr>
          <w:i/>
          <w:lang w:eastAsia="fr-FR"/>
        </w:rPr>
        <w:t>Meredith</w:t>
      </w:r>
      <w:r w:rsidRPr="00F31943">
        <w:rPr>
          <w:rStyle w:val="Appelnotedebasdep"/>
          <w:iCs/>
          <w:lang w:eastAsia="fr-FR"/>
        </w:rPr>
        <w:footnoteReference w:id="66"/>
      </w:r>
      <w:r w:rsidR="004C195E">
        <w:rPr>
          <w:iCs/>
          <w:lang w:eastAsia="fr-FR"/>
        </w:rPr>
        <w:t>,</w:t>
      </w:r>
      <w:r>
        <w:rPr>
          <w:lang w:eastAsia="fr-FR"/>
        </w:rPr>
        <w:t xml:space="preserve"> et</w:t>
      </w:r>
      <w:r w:rsidR="00571984">
        <w:rPr>
          <w:lang w:eastAsia="fr-FR"/>
        </w:rPr>
        <w:t xml:space="preserve"> </w:t>
      </w:r>
      <w:r w:rsidRPr="00287BE7">
        <w:rPr>
          <w:i/>
          <w:lang w:eastAsia="fr-FR"/>
        </w:rPr>
        <w:t>Sask</w:t>
      </w:r>
      <w:r w:rsidR="000610E9">
        <w:rPr>
          <w:i/>
          <w:lang w:eastAsia="fr-FR"/>
        </w:rPr>
        <w:t>atchewan</w:t>
      </w:r>
      <w:r w:rsidRPr="00287BE7">
        <w:rPr>
          <w:i/>
          <w:lang w:eastAsia="fr-FR"/>
        </w:rPr>
        <w:t xml:space="preserve"> Fed</w:t>
      </w:r>
      <w:r w:rsidR="000610E9">
        <w:rPr>
          <w:i/>
          <w:lang w:eastAsia="fr-FR"/>
        </w:rPr>
        <w:t>eration</w:t>
      </w:r>
      <w:r w:rsidRPr="00287BE7">
        <w:rPr>
          <w:i/>
          <w:lang w:eastAsia="fr-FR"/>
        </w:rPr>
        <w:t xml:space="preserve"> of Labour</w:t>
      </w:r>
      <w:r>
        <w:rPr>
          <w:lang w:eastAsia="fr-FR"/>
        </w:rPr>
        <w:t xml:space="preserve"> c. </w:t>
      </w:r>
      <w:r w:rsidRPr="00287BE7">
        <w:rPr>
          <w:i/>
          <w:lang w:eastAsia="fr-FR"/>
        </w:rPr>
        <w:t>Saskatchewan</w:t>
      </w:r>
      <w:r w:rsidR="00571984">
        <w:rPr>
          <w:rStyle w:val="Appelnotedebasdep"/>
          <w:lang w:eastAsia="fr-FR"/>
        </w:rPr>
        <w:footnoteReference w:id="67"/>
      </w:r>
      <w:r w:rsidR="0078325E">
        <w:rPr>
          <w:i/>
          <w:lang w:eastAsia="fr-FR"/>
        </w:rPr>
        <w:t xml:space="preserve">, </w:t>
      </w:r>
      <w:r w:rsidR="0078325E" w:rsidRPr="0078325E">
        <w:rPr>
          <w:iCs/>
          <w:lang w:eastAsia="fr-FR"/>
        </w:rPr>
        <w:t xml:space="preserve">l’arrêt </w:t>
      </w:r>
      <w:r w:rsidR="0078325E" w:rsidRPr="0078325E">
        <w:rPr>
          <w:i/>
          <w:lang w:eastAsia="fr-FR"/>
        </w:rPr>
        <w:t>Saskatchewan</w:t>
      </w:r>
      <w:r>
        <w:rPr>
          <w:lang w:eastAsia="fr-FR"/>
        </w:rPr>
        <w:t>.</w:t>
      </w:r>
    </w:p>
    <w:p w14:paraId="2D151CE1" w14:textId="524B6B74" w:rsidR="000A0134" w:rsidRDefault="004B7169" w:rsidP="00544F64">
      <w:pPr>
        <w:pStyle w:val="corpsdedcision"/>
        <w:tabs>
          <w:tab w:val="clear" w:pos="360"/>
        </w:tabs>
        <w:spacing w:after="0"/>
        <w:rPr>
          <w:lang w:eastAsia="fr-FR"/>
        </w:rPr>
      </w:pPr>
      <w:r w:rsidRPr="007E76D3">
        <w:rPr>
          <w:lang w:eastAsia="fr-FR"/>
        </w:rPr>
        <w:t xml:space="preserve">Dans l’arrêt </w:t>
      </w:r>
      <w:r w:rsidRPr="00097536">
        <w:rPr>
          <w:i/>
          <w:iCs/>
          <w:lang w:eastAsia="fr-FR"/>
        </w:rPr>
        <w:t>APMO</w:t>
      </w:r>
      <w:r w:rsidR="000A0134">
        <w:rPr>
          <w:lang w:eastAsia="fr-FR"/>
        </w:rPr>
        <w:t xml:space="preserve">, la Cour confirme que le droit à la négociation collective </w:t>
      </w:r>
      <w:r w:rsidR="00CC1AAA">
        <w:rPr>
          <w:lang w:eastAsia="fr-FR"/>
        </w:rPr>
        <w:t>n’est pas simplement un « </w:t>
      </w:r>
      <w:r w:rsidR="00CC1AAA" w:rsidRPr="00E84DC0">
        <w:rPr>
          <w:rStyle w:val="Citationintgre"/>
        </w:rPr>
        <w:t>droit dérivé</w:t>
      </w:r>
      <w:r w:rsidR="00CC1AAA">
        <w:rPr>
          <w:lang w:eastAsia="fr-FR"/>
        </w:rPr>
        <w:t> »</w:t>
      </w:r>
      <w:r w:rsidR="00D43103">
        <w:rPr>
          <w:lang w:eastAsia="fr-FR"/>
        </w:rPr>
        <w:t>,</w:t>
      </w:r>
      <w:r w:rsidR="00CC1AAA">
        <w:rPr>
          <w:lang w:eastAsia="fr-FR"/>
        </w:rPr>
        <w:t xml:space="preserve"> mais qu’il </w:t>
      </w:r>
      <w:r w:rsidR="000A0134">
        <w:rPr>
          <w:lang w:eastAsia="fr-FR"/>
        </w:rPr>
        <w:t>fait partie intégrante de la liberté d’association protégée par la Charte canadienne</w:t>
      </w:r>
      <w:r w:rsidR="00602B5B">
        <w:rPr>
          <w:lang w:eastAsia="fr-FR"/>
        </w:rPr>
        <w:t xml:space="preserve">, </w:t>
      </w:r>
      <w:r w:rsidR="00602B5B" w:rsidRPr="00602B5B">
        <w:rPr>
          <w:lang w:eastAsia="fr-FR"/>
        </w:rPr>
        <w:t>c’est-à-dire qu’il en constitue une composante indispensable</w:t>
      </w:r>
      <w:r w:rsidR="00CC1AAA">
        <w:rPr>
          <w:rStyle w:val="Appelnotedebasdep"/>
          <w:lang w:eastAsia="fr-FR"/>
        </w:rPr>
        <w:footnoteReference w:id="68"/>
      </w:r>
      <w:r w:rsidR="000A0134">
        <w:rPr>
          <w:lang w:eastAsia="fr-FR"/>
        </w:rPr>
        <w:t>.</w:t>
      </w:r>
    </w:p>
    <w:p w14:paraId="41DA57A4" w14:textId="7CBE68F6" w:rsidR="007579E1" w:rsidRDefault="00FC5A76" w:rsidP="00B14ADD">
      <w:pPr>
        <w:pStyle w:val="corpsdedcision"/>
        <w:spacing w:before="240" w:after="240"/>
        <w:rPr>
          <w:lang w:eastAsia="fr-FR"/>
        </w:rPr>
      </w:pPr>
      <w:r>
        <w:rPr>
          <w:lang w:eastAsia="fr-FR"/>
        </w:rPr>
        <w:t>L</w:t>
      </w:r>
      <w:r w:rsidR="00EA739C">
        <w:rPr>
          <w:lang w:eastAsia="fr-FR"/>
        </w:rPr>
        <w:t xml:space="preserve">a Cour </w:t>
      </w:r>
      <w:r>
        <w:rPr>
          <w:lang w:eastAsia="fr-FR"/>
        </w:rPr>
        <w:t>poursuit en énonçant</w:t>
      </w:r>
      <w:r w:rsidR="00927A42">
        <w:rPr>
          <w:lang w:eastAsia="fr-FR"/>
        </w:rPr>
        <w:t xml:space="preserve"> </w:t>
      </w:r>
      <w:r w:rsidR="00EA739C">
        <w:rPr>
          <w:lang w:eastAsia="fr-FR"/>
        </w:rPr>
        <w:t>t</w:t>
      </w:r>
      <w:r w:rsidR="007579E1">
        <w:rPr>
          <w:lang w:eastAsia="fr-FR"/>
        </w:rPr>
        <w:t xml:space="preserve">rois catégories d’activités </w:t>
      </w:r>
      <w:r w:rsidR="00F777B9">
        <w:rPr>
          <w:lang w:eastAsia="fr-FR"/>
        </w:rPr>
        <w:t>qui</w:t>
      </w:r>
      <w:r w:rsidR="00AB621B">
        <w:rPr>
          <w:lang w:eastAsia="fr-FR"/>
        </w:rPr>
        <w:t xml:space="preserve"> sont </w:t>
      </w:r>
      <w:r w:rsidR="007579E1">
        <w:rPr>
          <w:lang w:eastAsia="fr-FR"/>
        </w:rPr>
        <w:t>protégées</w:t>
      </w:r>
      <w:r w:rsidR="00EA739C">
        <w:rPr>
          <w:lang w:eastAsia="fr-FR"/>
        </w:rPr>
        <w:t xml:space="preserve"> par l’alinéa 2</w:t>
      </w:r>
      <w:r w:rsidR="00EA739C" w:rsidRPr="001E60BF">
        <w:rPr>
          <w:i/>
          <w:iCs/>
          <w:lang w:eastAsia="fr-FR"/>
        </w:rPr>
        <w:t>d</w:t>
      </w:r>
      <w:r w:rsidR="00EA739C" w:rsidRPr="00097536">
        <w:rPr>
          <w:lang w:eastAsia="fr-FR"/>
        </w:rPr>
        <w:t>)</w:t>
      </w:r>
      <w:r w:rsidR="00EA739C">
        <w:rPr>
          <w:lang w:eastAsia="fr-FR"/>
        </w:rPr>
        <w:t xml:space="preserve"> de la Charte </w:t>
      </w:r>
      <w:r w:rsidR="000610E9">
        <w:rPr>
          <w:lang w:eastAsia="fr-FR"/>
        </w:rPr>
        <w:t xml:space="preserve">canadienne </w:t>
      </w:r>
      <w:r w:rsidR="00EA739C">
        <w:rPr>
          <w:lang w:eastAsia="fr-FR"/>
        </w:rPr>
        <w:t>en fonction de son objet</w:t>
      </w:r>
      <w:r w:rsidR="007579E1">
        <w:rPr>
          <w:rStyle w:val="Appelnotedebasdep"/>
          <w:lang w:eastAsia="fr-FR"/>
        </w:rPr>
        <w:footnoteReference w:id="69"/>
      </w:r>
      <w:r w:rsidR="007579E1">
        <w:rPr>
          <w:lang w:eastAsia="fr-FR"/>
        </w:rPr>
        <w:t> :</w:t>
      </w:r>
    </w:p>
    <w:p w14:paraId="52C6C27C" w14:textId="49DE2BDD" w:rsidR="007579E1" w:rsidRDefault="007579E1" w:rsidP="00B14ADD">
      <w:pPr>
        <w:pStyle w:val="citation"/>
        <w:spacing w:after="200"/>
        <w:rPr>
          <w:lang w:eastAsia="fr-FR"/>
        </w:rPr>
      </w:pPr>
      <w:r>
        <w:rPr>
          <w:lang w:eastAsia="fr-FR"/>
        </w:rPr>
        <w:t>[66]</w:t>
      </w:r>
      <w:r w:rsidR="00612DC6">
        <w:rPr>
          <w:lang w:eastAsia="fr-FR"/>
        </w:rPr>
        <w:tab/>
      </w:r>
      <w:r w:rsidRPr="00A958E0">
        <w:rPr>
          <w:lang w:eastAsia="fr-FR"/>
        </w:rPr>
        <w:t>En résumé, considéré en fonction de son objet, l’al. 2</w:t>
      </w:r>
      <w:r w:rsidRPr="00E37C3A">
        <w:rPr>
          <w:i/>
          <w:iCs/>
          <w:lang w:eastAsia="fr-FR"/>
        </w:rPr>
        <w:t>d</w:t>
      </w:r>
      <w:r w:rsidRPr="00A958E0">
        <w:rPr>
          <w:lang w:eastAsia="fr-FR"/>
        </w:rPr>
        <w:t>) protège trois catégories d’activités</w:t>
      </w:r>
      <w:r w:rsidR="00544F64">
        <w:rPr>
          <w:lang w:eastAsia="fr-FR"/>
        </w:rPr>
        <w:t> </w:t>
      </w:r>
      <w:r w:rsidRPr="00A958E0">
        <w:rPr>
          <w:lang w:eastAsia="fr-FR"/>
        </w:rPr>
        <w:t xml:space="preserve">: (1) le droit de s’unir à d’autres et de constituer des associations; (2) le droit de s’unir à d’autres pour exercer d’autres droits constitutionnels; et (3) </w:t>
      </w:r>
      <w:r w:rsidRPr="00404792">
        <w:rPr>
          <w:u w:val="single"/>
          <w:lang w:eastAsia="fr-FR"/>
        </w:rPr>
        <w:t>le droit de s’unir à d’autres pour faire face, à armes plus égales, à la puissance et à la force d’autres groupes ou entités</w:t>
      </w:r>
      <w:r w:rsidRPr="00A958E0">
        <w:rPr>
          <w:lang w:eastAsia="fr-FR"/>
        </w:rPr>
        <w:t>.</w:t>
      </w:r>
    </w:p>
    <w:p w14:paraId="6B33C2E0" w14:textId="6911AD90" w:rsidR="007579E1" w:rsidRPr="007579E1" w:rsidRDefault="007579E1" w:rsidP="00544F64">
      <w:pPr>
        <w:pStyle w:val="citation"/>
        <w:spacing w:after="360"/>
        <w:rPr>
          <w:sz w:val="24"/>
          <w:szCs w:val="24"/>
          <w:lang w:eastAsia="fr-FR"/>
        </w:rPr>
      </w:pPr>
      <w:r w:rsidRPr="00404792">
        <w:rPr>
          <w:sz w:val="24"/>
          <w:szCs w:val="24"/>
          <w:lang w:eastAsia="fr-FR"/>
        </w:rPr>
        <w:t>[</w:t>
      </w:r>
      <w:r w:rsidR="00044180" w:rsidRPr="00404792">
        <w:rPr>
          <w:sz w:val="24"/>
          <w:szCs w:val="24"/>
          <w:lang w:eastAsia="fr-FR"/>
        </w:rPr>
        <w:t>No</w:t>
      </w:r>
      <w:r w:rsidR="00044180">
        <w:rPr>
          <w:sz w:val="24"/>
          <w:szCs w:val="24"/>
          <w:lang w:eastAsia="fr-FR"/>
        </w:rPr>
        <w:t>tre</w:t>
      </w:r>
      <w:r w:rsidR="00044180" w:rsidRPr="00404792">
        <w:rPr>
          <w:sz w:val="24"/>
          <w:szCs w:val="24"/>
          <w:lang w:eastAsia="fr-FR"/>
        </w:rPr>
        <w:t xml:space="preserve"> </w:t>
      </w:r>
      <w:r w:rsidRPr="00404792">
        <w:rPr>
          <w:sz w:val="24"/>
          <w:szCs w:val="24"/>
          <w:lang w:eastAsia="fr-FR"/>
        </w:rPr>
        <w:t>soulignement</w:t>
      </w:r>
      <w:r>
        <w:rPr>
          <w:sz w:val="24"/>
          <w:szCs w:val="24"/>
          <w:lang w:eastAsia="fr-FR"/>
        </w:rPr>
        <w:t>]</w:t>
      </w:r>
    </w:p>
    <w:p w14:paraId="01C2D427" w14:textId="17FA6A43" w:rsidR="00895608" w:rsidRDefault="007579E1" w:rsidP="00A61D61">
      <w:pPr>
        <w:pStyle w:val="corpsdedcision"/>
        <w:spacing w:after="240"/>
        <w:rPr>
          <w:lang w:eastAsia="fr-FR"/>
        </w:rPr>
      </w:pPr>
      <w:r>
        <w:rPr>
          <w:lang w:eastAsia="fr-FR"/>
        </w:rPr>
        <w:t xml:space="preserve">Par ailleurs, </w:t>
      </w:r>
      <w:r w:rsidR="00312113">
        <w:rPr>
          <w:lang w:eastAsia="fr-FR"/>
        </w:rPr>
        <w:t xml:space="preserve">l’arrêt </w:t>
      </w:r>
      <w:r w:rsidR="00312113" w:rsidRPr="004D49AE">
        <w:rPr>
          <w:i/>
          <w:iCs/>
          <w:lang w:eastAsia="fr-FR"/>
        </w:rPr>
        <w:t>Saskatchewan</w:t>
      </w:r>
      <w:r w:rsidR="00312113">
        <w:rPr>
          <w:lang w:eastAsia="fr-FR"/>
        </w:rPr>
        <w:t xml:space="preserve"> revêt une importance particulière ici</w:t>
      </w:r>
      <w:r w:rsidR="00482A4B">
        <w:rPr>
          <w:lang w:eastAsia="fr-FR"/>
        </w:rPr>
        <w:t>,</w:t>
      </w:r>
      <w:r w:rsidR="00312113">
        <w:rPr>
          <w:lang w:eastAsia="fr-FR"/>
        </w:rPr>
        <w:t xml:space="preserve"> car </w:t>
      </w:r>
      <w:r w:rsidR="002A222F">
        <w:rPr>
          <w:lang w:eastAsia="fr-FR"/>
        </w:rPr>
        <w:t xml:space="preserve">il </w:t>
      </w:r>
      <w:r w:rsidR="00D559F2">
        <w:rPr>
          <w:lang w:eastAsia="fr-FR"/>
        </w:rPr>
        <w:t>p</w:t>
      </w:r>
      <w:r w:rsidR="00F777B9">
        <w:rPr>
          <w:lang w:eastAsia="fr-FR"/>
        </w:rPr>
        <w:t>o</w:t>
      </w:r>
      <w:r w:rsidR="00D559F2">
        <w:rPr>
          <w:lang w:eastAsia="fr-FR"/>
        </w:rPr>
        <w:t>rte sur</w:t>
      </w:r>
      <w:r w:rsidR="002A222F">
        <w:rPr>
          <w:lang w:eastAsia="fr-FR"/>
        </w:rPr>
        <w:t xml:space="preserve"> </w:t>
      </w:r>
      <w:r>
        <w:rPr>
          <w:lang w:eastAsia="fr-FR"/>
        </w:rPr>
        <w:t xml:space="preserve">le droit de </w:t>
      </w:r>
      <w:r w:rsidR="000A0134">
        <w:rPr>
          <w:lang w:eastAsia="fr-FR"/>
        </w:rPr>
        <w:t>grève</w:t>
      </w:r>
      <w:r w:rsidR="00FC5A76">
        <w:rPr>
          <w:lang w:eastAsia="fr-FR"/>
        </w:rPr>
        <w:t>.</w:t>
      </w:r>
    </w:p>
    <w:p w14:paraId="35BB14F3" w14:textId="54FCDD67" w:rsidR="00895608" w:rsidRDefault="00895608" w:rsidP="00895608">
      <w:pPr>
        <w:pStyle w:val="corpsdedcision"/>
        <w:rPr>
          <w:lang w:eastAsia="fr-FR"/>
        </w:rPr>
      </w:pPr>
      <w:r>
        <w:rPr>
          <w:lang w:eastAsia="fr-FR"/>
        </w:rPr>
        <w:t xml:space="preserve">La Cour se prononce sur la constitutionnalité d’une </w:t>
      </w:r>
      <w:r w:rsidRPr="004B7169">
        <w:rPr>
          <w:lang w:eastAsia="fr-FR"/>
        </w:rPr>
        <w:t>loi de la Saskatchewan</w:t>
      </w:r>
      <w:r>
        <w:rPr>
          <w:lang w:eastAsia="fr-FR"/>
        </w:rPr>
        <w:t xml:space="preserve"> (la</w:t>
      </w:r>
      <w:r w:rsidR="00BF3C5C">
        <w:rPr>
          <w:lang w:eastAsia="fr-FR"/>
        </w:rPr>
        <w:t> </w:t>
      </w:r>
      <w:r w:rsidRPr="00EC0F59">
        <w:rPr>
          <w:i/>
          <w:iCs/>
          <w:lang w:eastAsia="fr-FR"/>
        </w:rPr>
        <w:t>PSESA</w:t>
      </w:r>
      <w:r>
        <w:rPr>
          <w:lang w:eastAsia="fr-FR"/>
        </w:rPr>
        <w:t xml:space="preserve">) </w:t>
      </w:r>
      <w:r w:rsidR="00D768B6">
        <w:rPr>
          <w:lang w:eastAsia="fr-FR"/>
        </w:rPr>
        <w:t xml:space="preserve">qui restreint </w:t>
      </w:r>
      <w:r>
        <w:rPr>
          <w:lang w:eastAsia="fr-FR"/>
        </w:rPr>
        <w:t xml:space="preserve">le droit de grève des salariés d’un employeur public. Les salariés désignés ne pouvaient prendre part à la grève et devaient assurer des services essentiels, définis largement. </w:t>
      </w:r>
      <w:r w:rsidR="00D559F2">
        <w:rPr>
          <w:lang w:eastAsia="fr-FR"/>
        </w:rPr>
        <w:t>Ces services</w:t>
      </w:r>
      <w:r>
        <w:rPr>
          <w:lang w:eastAsia="fr-FR"/>
        </w:rPr>
        <w:t xml:space="preserve"> étaient déterminés unilatéralement par l’employeur s’il ne parvenait pas à s’entendre avec le syndicat. De plus, la loi limitait la compétence du tribunal spécialisé en relations du travail de la Saskatchewan, le </w:t>
      </w:r>
      <w:r w:rsidRPr="00B3202B">
        <w:rPr>
          <w:i/>
          <w:lang w:eastAsia="fr-FR"/>
        </w:rPr>
        <w:t>Saskatchewan Labour Relations Board</w:t>
      </w:r>
      <w:r>
        <w:rPr>
          <w:lang w:eastAsia="fr-FR"/>
        </w:rPr>
        <w:t>, qui ne pouvait réviser si un service, déterminé comme essentiel par l’employeur, devait l’être ou non. Il ne pouvait que réévaluer le nombre de salariés d</w:t>
      </w:r>
      <w:r w:rsidR="00D768B6">
        <w:rPr>
          <w:lang w:eastAsia="fr-FR"/>
        </w:rPr>
        <w:t>’une</w:t>
      </w:r>
      <w:r>
        <w:rPr>
          <w:lang w:eastAsia="fr-FR"/>
        </w:rPr>
        <w:t xml:space="preserve"> catégorie tenu</w:t>
      </w:r>
      <w:r w:rsidR="00A474C3">
        <w:rPr>
          <w:lang w:eastAsia="fr-FR"/>
        </w:rPr>
        <w:t>e</w:t>
      </w:r>
      <w:r>
        <w:rPr>
          <w:lang w:eastAsia="fr-FR"/>
        </w:rPr>
        <w:t xml:space="preserve"> d’exercer leurs fonctions lors d’une grève</w:t>
      </w:r>
      <w:r>
        <w:rPr>
          <w:rStyle w:val="Appelnotedebasdep"/>
          <w:lang w:eastAsia="fr-FR"/>
        </w:rPr>
        <w:footnoteReference w:id="70"/>
      </w:r>
      <w:r>
        <w:rPr>
          <w:lang w:eastAsia="fr-FR"/>
        </w:rPr>
        <w:t>.</w:t>
      </w:r>
    </w:p>
    <w:p w14:paraId="1AC52DD2" w14:textId="2DC30CF0" w:rsidR="00FC5A76" w:rsidRDefault="00FC5A76" w:rsidP="00442950">
      <w:pPr>
        <w:pStyle w:val="corpsdedcision"/>
        <w:tabs>
          <w:tab w:val="clear" w:pos="360"/>
        </w:tabs>
        <w:spacing w:after="240"/>
        <w:rPr>
          <w:lang w:eastAsia="fr-FR"/>
        </w:rPr>
      </w:pPr>
      <w:r>
        <w:rPr>
          <w:lang w:eastAsia="fr-FR"/>
        </w:rPr>
        <w:t xml:space="preserve">La </w:t>
      </w:r>
      <w:r w:rsidRPr="00E71694">
        <w:rPr>
          <w:lang w:eastAsia="fr-FR"/>
        </w:rPr>
        <w:t>Cour suprême</w:t>
      </w:r>
      <w:r>
        <w:rPr>
          <w:lang w:eastAsia="fr-FR"/>
        </w:rPr>
        <w:t xml:space="preserve"> s’appuie sur l’histoire, la jurisprudence et les obligations internationales du Canada, pour conclure que</w:t>
      </w:r>
      <w:r w:rsidR="00132CE8">
        <w:rPr>
          <w:lang w:eastAsia="fr-FR"/>
        </w:rPr>
        <w:t>,</w:t>
      </w:r>
      <w:r>
        <w:rPr>
          <w:lang w:eastAsia="fr-FR"/>
        </w:rPr>
        <w:t xml:space="preserve"> dans notre système de relations du travail, le droit de grève est un élément essentiel d’un processus véritable de négociation collective. </w:t>
      </w:r>
      <w:r w:rsidR="00132CE8">
        <w:rPr>
          <w:lang w:eastAsia="fr-FR"/>
        </w:rPr>
        <w:t>Cela l’amène à consacrer sa constitutionnalité</w:t>
      </w:r>
      <w:r w:rsidR="00F777B9">
        <w:rPr>
          <w:lang w:eastAsia="fr-FR"/>
        </w:rPr>
        <w:t> :</w:t>
      </w:r>
    </w:p>
    <w:p w14:paraId="7C968931" w14:textId="14C3E85C" w:rsidR="00132CE8" w:rsidRDefault="00944FEF" w:rsidP="00B14ADD">
      <w:pPr>
        <w:pStyle w:val="citation"/>
        <w:spacing w:after="200"/>
        <w:rPr>
          <w:lang w:eastAsia="fr-FR"/>
        </w:rPr>
      </w:pPr>
      <w:r>
        <w:rPr>
          <w:lang w:eastAsia="fr-FR"/>
        </w:rPr>
        <w:t>[3]</w:t>
      </w:r>
      <w:r>
        <w:rPr>
          <w:lang w:eastAsia="fr-FR"/>
        </w:rPr>
        <w:tab/>
      </w:r>
      <w:r w:rsidR="00132CE8" w:rsidRPr="0013043C">
        <w:rPr>
          <w:lang w:eastAsia="fr-FR"/>
        </w:rPr>
        <w:t>L’histoire, la jurisprudence et les obligations internationales du Canada confirment que, dans notre régime de relations du travail</w:t>
      </w:r>
      <w:r w:rsidR="00132CE8" w:rsidRPr="00E71694">
        <w:rPr>
          <w:lang w:eastAsia="fr-FR"/>
        </w:rPr>
        <w:t xml:space="preserve">, le droit de grève </w:t>
      </w:r>
      <w:r w:rsidR="00132CE8" w:rsidRPr="00E71694">
        <w:rPr>
          <w:u w:val="single"/>
          <w:lang w:eastAsia="fr-FR"/>
        </w:rPr>
        <w:t>constitue un élément essentiel d’un processus véritable de négociation collective</w:t>
      </w:r>
      <w:r w:rsidR="00132CE8" w:rsidRPr="00E71694">
        <w:rPr>
          <w:lang w:eastAsia="fr-FR"/>
        </w:rPr>
        <w:t xml:space="preserve">. </w:t>
      </w:r>
      <w:r w:rsidRPr="00515AFA">
        <w:rPr>
          <w:sz w:val="22"/>
          <w:szCs w:val="22"/>
          <w:lang w:eastAsia="fr-FR"/>
        </w:rPr>
        <w:t>[…]</w:t>
      </w:r>
      <w:r w:rsidRPr="00E71694">
        <w:rPr>
          <w:lang w:eastAsia="fr-FR"/>
        </w:rPr>
        <w:t xml:space="preserve"> Le droit de grève n’est pas seulement dérivé de la négociation collective, </w:t>
      </w:r>
      <w:r w:rsidRPr="00E71694">
        <w:rPr>
          <w:u w:val="single"/>
          <w:lang w:eastAsia="fr-FR"/>
        </w:rPr>
        <w:t>il en constitue une composante indispensable</w:t>
      </w:r>
      <w:r w:rsidRPr="00E71694">
        <w:rPr>
          <w:lang w:eastAsia="fr-FR"/>
        </w:rPr>
        <w:t xml:space="preserve">. Le temps me paraît venu de </w:t>
      </w:r>
      <w:r w:rsidRPr="00E71694">
        <w:rPr>
          <w:u w:val="single"/>
          <w:lang w:eastAsia="fr-FR"/>
        </w:rPr>
        <w:t>le consacrer constitutionnellement</w:t>
      </w:r>
      <w:r>
        <w:rPr>
          <w:lang w:eastAsia="fr-FR"/>
        </w:rPr>
        <w:t>.</w:t>
      </w:r>
    </w:p>
    <w:p w14:paraId="00498CB7" w14:textId="655B9EF1" w:rsidR="00CC2A9F" w:rsidRPr="00132CE8" w:rsidRDefault="00132CE8" w:rsidP="00A61D61">
      <w:pPr>
        <w:pStyle w:val="citation"/>
        <w:spacing w:after="240"/>
        <w:rPr>
          <w:sz w:val="24"/>
          <w:szCs w:val="24"/>
          <w:lang w:eastAsia="fr-FR"/>
        </w:rPr>
      </w:pPr>
      <w:r w:rsidRPr="00132CE8">
        <w:rPr>
          <w:sz w:val="24"/>
          <w:szCs w:val="24"/>
          <w:lang w:eastAsia="fr-FR"/>
        </w:rPr>
        <w:t>[</w:t>
      </w:r>
      <w:r>
        <w:rPr>
          <w:sz w:val="24"/>
          <w:szCs w:val="24"/>
          <w:lang w:eastAsia="fr-FR"/>
        </w:rPr>
        <w:t>N</w:t>
      </w:r>
      <w:r w:rsidRPr="00132CE8">
        <w:rPr>
          <w:sz w:val="24"/>
          <w:szCs w:val="24"/>
          <w:lang w:eastAsia="fr-FR"/>
        </w:rPr>
        <w:t>otre soulignement]</w:t>
      </w:r>
    </w:p>
    <w:p w14:paraId="47D2D479" w14:textId="3721156E" w:rsidR="00413B8D" w:rsidRPr="00D77009" w:rsidRDefault="00132CE8" w:rsidP="00A61D61">
      <w:pPr>
        <w:pStyle w:val="corpsdedcision"/>
        <w:tabs>
          <w:tab w:val="clear" w:pos="360"/>
          <w:tab w:val="num" w:pos="720"/>
        </w:tabs>
        <w:spacing w:before="360"/>
        <w:rPr>
          <w:color w:val="010302"/>
        </w:rPr>
      </w:pPr>
      <w:r>
        <w:rPr>
          <w:lang w:eastAsia="fr-FR"/>
        </w:rPr>
        <w:t xml:space="preserve">La Cour suprême </w:t>
      </w:r>
      <w:r w:rsidR="00F777B9">
        <w:rPr>
          <w:lang w:eastAsia="fr-FR"/>
        </w:rPr>
        <w:t xml:space="preserve">procède à une analyse approfondie du droit de grève et </w:t>
      </w:r>
      <w:r>
        <w:rPr>
          <w:lang w:eastAsia="fr-FR"/>
        </w:rPr>
        <w:t xml:space="preserve">tient des propos sur </w:t>
      </w:r>
      <w:r w:rsidR="00774DF3">
        <w:rPr>
          <w:lang w:eastAsia="fr-FR"/>
        </w:rPr>
        <w:t xml:space="preserve">son </w:t>
      </w:r>
      <w:r>
        <w:rPr>
          <w:lang w:eastAsia="fr-FR"/>
        </w:rPr>
        <w:t>essence</w:t>
      </w:r>
      <w:r w:rsidR="00E409D2">
        <w:rPr>
          <w:lang w:eastAsia="fr-FR"/>
        </w:rPr>
        <w:t>,</w:t>
      </w:r>
      <w:r>
        <w:rPr>
          <w:lang w:eastAsia="fr-FR"/>
        </w:rPr>
        <w:t xml:space="preserve"> qui </w:t>
      </w:r>
      <w:r w:rsidR="00E409D2">
        <w:rPr>
          <w:lang w:eastAsia="fr-FR"/>
        </w:rPr>
        <w:t>s</w:t>
      </w:r>
      <w:r>
        <w:rPr>
          <w:lang w:eastAsia="fr-FR"/>
        </w:rPr>
        <w:t xml:space="preserve">ont </w:t>
      </w:r>
      <w:r w:rsidR="00F777B9">
        <w:rPr>
          <w:lang w:eastAsia="fr-FR"/>
        </w:rPr>
        <w:t xml:space="preserve">particulièrement </w:t>
      </w:r>
      <w:r w:rsidR="00D559F2">
        <w:rPr>
          <w:lang w:eastAsia="fr-FR"/>
        </w:rPr>
        <w:t>pertinents</w:t>
      </w:r>
      <w:r w:rsidR="00E409D2">
        <w:rPr>
          <w:lang w:eastAsia="fr-FR"/>
        </w:rPr>
        <w:t xml:space="preserve"> </w:t>
      </w:r>
      <w:r w:rsidR="00F777B9">
        <w:rPr>
          <w:lang w:eastAsia="fr-FR"/>
        </w:rPr>
        <w:t>au regard du</w:t>
      </w:r>
      <w:r>
        <w:rPr>
          <w:lang w:eastAsia="fr-FR"/>
        </w:rPr>
        <w:t xml:space="preserve"> </w:t>
      </w:r>
      <w:r w:rsidR="00F777B9">
        <w:rPr>
          <w:lang w:eastAsia="fr-FR"/>
        </w:rPr>
        <w:t>présent</w:t>
      </w:r>
      <w:r>
        <w:rPr>
          <w:lang w:eastAsia="fr-FR"/>
        </w:rPr>
        <w:t xml:space="preserve"> dossier. </w:t>
      </w:r>
      <w:r w:rsidR="00413B8D">
        <w:t>Malgré le moyen de pression économique « </w:t>
      </w:r>
      <w:r w:rsidR="00413B8D" w:rsidRPr="00A01657">
        <w:rPr>
          <w:rStyle w:val="Citationintgre"/>
        </w:rPr>
        <w:t>redoutable</w:t>
      </w:r>
      <w:r w:rsidR="00413B8D">
        <w:t> » qu</w:t>
      </w:r>
      <w:r w:rsidR="008447B8">
        <w:t>’elle</w:t>
      </w:r>
      <w:r w:rsidR="00413B8D">
        <w:t xml:space="preserve"> constitue, la</w:t>
      </w:r>
      <w:r w:rsidR="008D2A84">
        <w:t> </w:t>
      </w:r>
      <w:r w:rsidR="00413B8D">
        <w:t xml:space="preserve">Cour souligne que </w:t>
      </w:r>
      <w:r w:rsidR="008447B8">
        <w:t>la grève</w:t>
      </w:r>
      <w:r w:rsidR="00413B8D">
        <w:t xml:space="preserve"> est une « </w:t>
      </w:r>
      <w:r w:rsidR="00413B8D" w:rsidRPr="00A01657">
        <w:rPr>
          <w:rStyle w:val="Citationintgre"/>
        </w:rPr>
        <w:t>composante cruciale de la promotion de la paix industrielle et partant</w:t>
      </w:r>
      <w:r w:rsidR="00612DC6">
        <w:rPr>
          <w:rStyle w:val="Citationintgre"/>
        </w:rPr>
        <w:t>,</w:t>
      </w:r>
      <w:r w:rsidR="00413B8D" w:rsidRPr="00A01657">
        <w:rPr>
          <w:rStyle w:val="Citationintgre"/>
        </w:rPr>
        <w:t xml:space="preserve"> </w:t>
      </w:r>
      <w:r w:rsidR="00413B8D" w:rsidRPr="00A01657">
        <w:rPr>
          <w:rStyle w:val="Citationintgre"/>
          <w:u w:val="single"/>
        </w:rPr>
        <w:t>socio-économique</w:t>
      </w:r>
      <w:r w:rsidR="00413B8D">
        <w:t> »</w:t>
      </w:r>
      <w:r w:rsidR="00413B8D">
        <w:rPr>
          <w:rStyle w:val="Appelnotedebasdep"/>
        </w:rPr>
        <w:footnoteReference w:id="71"/>
      </w:r>
      <w:r w:rsidR="00413B8D">
        <w:t>. [Notre soulignement]</w:t>
      </w:r>
    </w:p>
    <w:p w14:paraId="60054AF7" w14:textId="66172B60" w:rsidR="00132CE8" w:rsidRDefault="00413B8D" w:rsidP="00442950">
      <w:pPr>
        <w:pStyle w:val="corpsdedcision"/>
        <w:tabs>
          <w:tab w:val="clear" w:pos="360"/>
        </w:tabs>
        <w:spacing w:after="240"/>
        <w:rPr>
          <w:lang w:eastAsia="fr-FR"/>
        </w:rPr>
      </w:pPr>
      <w:r>
        <w:rPr>
          <w:lang w:eastAsia="fr-FR"/>
        </w:rPr>
        <w:t>E</w:t>
      </w:r>
      <w:r w:rsidR="005C494B">
        <w:rPr>
          <w:lang w:eastAsia="fr-FR"/>
        </w:rPr>
        <w:t>n reconnaissant que la grève est indispensable aux salariés pour négocier collectivement leurs conditions de travail</w:t>
      </w:r>
      <w:r>
        <w:rPr>
          <w:lang w:eastAsia="fr-FR"/>
        </w:rPr>
        <w:t xml:space="preserve"> dans un régime fondé sur le modèle de la </w:t>
      </w:r>
      <w:r w:rsidRPr="001E60BF">
        <w:rPr>
          <w:i/>
          <w:iCs/>
          <w:lang w:eastAsia="fr-FR"/>
        </w:rPr>
        <w:t>Loi</w:t>
      </w:r>
      <w:r w:rsidR="008D2A84">
        <w:rPr>
          <w:i/>
          <w:iCs/>
          <w:lang w:eastAsia="fr-FR"/>
        </w:rPr>
        <w:t> </w:t>
      </w:r>
      <w:r w:rsidRPr="001E60BF">
        <w:rPr>
          <w:i/>
          <w:iCs/>
          <w:lang w:eastAsia="fr-FR"/>
        </w:rPr>
        <w:t>Wagner</w:t>
      </w:r>
      <w:r w:rsidR="005C494B">
        <w:rPr>
          <w:lang w:eastAsia="fr-FR"/>
        </w:rPr>
        <w:t>, on accepte implicitement les sanctions économiques liées à son exercice</w:t>
      </w:r>
      <w:r w:rsidR="005C494B">
        <w:rPr>
          <w:rStyle w:val="Appelnotedebasdep"/>
          <w:lang w:eastAsia="fr-FR"/>
        </w:rPr>
        <w:footnoteReference w:id="72"/>
      </w:r>
      <w:r w:rsidR="005C494B">
        <w:rPr>
          <w:lang w:eastAsia="fr-FR"/>
        </w:rPr>
        <w:t> :</w:t>
      </w:r>
    </w:p>
    <w:p w14:paraId="27796F91" w14:textId="698FF30F" w:rsidR="00C26EE6" w:rsidRDefault="005C494B" w:rsidP="00442950">
      <w:pPr>
        <w:pStyle w:val="citation"/>
        <w:spacing w:after="360"/>
        <w:rPr>
          <w:lang w:eastAsia="fr-FR"/>
        </w:rPr>
      </w:pPr>
      <w:r>
        <w:rPr>
          <w:lang w:eastAsia="fr-FR"/>
        </w:rPr>
        <w:t>[46]</w:t>
      </w:r>
      <w:r>
        <w:rPr>
          <w:lang w:eastAsia="fr-FR"/>
        </w:rPr>
        <w:tab/>
      </w:r>
      <w:r w:rsidRPr="00FF452A">
        <w:rPr>
          <w:lang w:eastAsia="fr-FR"/>
        </w:rPr>
        <w:t>Il importe toutefois</w:t>
      </w:r>
      <w:r>
        <w:rPr>
          <w:lang w:eastAsia="fr-FR"/>
        </w:rPr>
        <w:t xml:space="preserve"> de souligner que la reconnaissance du droit de grève n’est pas propre </w:t>
      </w:r>
      <w:r w:rsidRPr="0013043C">
        <w:rPr>
          <w:lang w:eastAsia="fr-FR"/>
        </w:rPr>
        <w:t xml:space="preserve">au seul modèle </w:t>
      </w:r>
      <w:r w:rsidRPr="0013043C">
        <w:rPr>
          <w:i/>
          <w:iCs/>
          <w:lang w:eastAsia="fr-FR"/>
        </w:rPr>
        <w:t>Wagner</w:t>
      </w:r>
      <w:r w:rsidRPr="0013043C">
        <w:rPr>
          <w:lang w:eastAsia="fr-FR"/>
        </w:rPr>
        <w:t xml:space="preserve">; elle est de la plupart des modèles de relations de travail. </w:t>
      </w:r>
      <w:r w:rsidRPr="0013043C">
        <w:rPr>
          <w:u w:val="single"/>
          <w:lang w:eastAsia="fr-FR"/>
        </w:rPr>
        <w:t xml:space="preserve">Et lorsque l’histoire montre l’importance de la grève pour le bon fonctionnement d’un modèle de relations de travail en particulier, comme c’est le cas du modèle fondé sur la </w:t>
      </w:r>
      <w:r w:rsidRPr="0013043C">
        <w:rPr>
          <w:i/>
          <w:iCs/>
          <w:u w:val="single"/>
          <w:lang w:eastAsia="fr-FR"/>
        </w:rPr>
        <w:t>Loi Wagner</w:t>
      </w:r>
      <w:r w:rsidRPr="0013043C">
        <w:rPr>
          <w:u w:val="single"/>
          <w:lang w:eastAsia="fr-FR"/>
        </w:rPr>
        <w:t xml:space="preserve">, on ne doit pas s’étonner que la suppression du droit de grève légal soit considérée comme une entrave substantielle à la négociation </w:t>
      </w:r>
      <w:r w:rsidR="00C26EE6" w:rsidRPr="0013043C">
        <w:rPr>
          <w:u w:val="single"/>
          <w:lang w:eastAsia="fr-FR"/>
        </w:rPr>
        <w:t>collective véritable</w:t>
      </w:r>
      <w:r w:rsidRPr="0013043C">
        <w:rPr>
          <w:u w:val="single"/>
          <w:lang w:eastAsia="fr-FR"/>
        </w:rPr>
        <w:t>.</w:t>
      </w:r>
      <w:r w:rsidRPr="0013043C">
        <w:rPr>
          <w:lang w:eastAsia="fr-FR"/>
        </w:rPr>
        <w:t xml:space="preserve"> En effet, on reconnaît </w:t>
      </w:r>
      <w:r w:rsidR="00C26EE6" w:rsidRPr="0013043C">
        <w:rPr>
          <w:lang w:eastAsia="fr-FR"/>
        </w:rPr>
        <w:t>depuis longtemps</w:t>
      </w:r>
      <w:r w:rsidRPr="0013043C">
        <w:rPr>
          <w:lang w:eastAsia="fr-FR"/>
        </w:rPr>
        <w:t xml:space="preserve"> que le pouvoir des travailleurs de cesser</w:t>
      </w:r>
      <w:r w:rsidR="00C26EE6" w:rsidRPr="0013043C">
        <w:rPr>
          <w:lang w:eastAsia="fr-FR"/>
        </w:rPr>
        <w:t xml:space="preserve"> </w:t>
      </w:r>
      <w:r w:rsidRPr="0013043C">
        <w:rPr>
          <w:lang w:eastAsia="fr-FR"/>
        </w:rPr>
        <w:t>collectivement le travail aux fins de la négociation de leurs</w:t>
      </w:r>
      <w:r>
        <w:rPr>
          <w:lang w:eastAsia="fr-FR"/>
        </w:rPr>
        <w:t xml:space="preserve"> conditions de travail — le droit de grève, en somme — constitue une composante essentielle de la poursuite, par les travailleurs, d’objectifs liés au travail. </w:t>
      </w:r>
      <w:r w:rsidRPr="00C26EE6">
        <w:rPr>
          <w:lang w:eastAsia="fr-FR"/>
        </w:rPr>
        <w:t>Comme l’indique le professeur H. D. Woods dans le rapport décisif qu’il a déposé en 1968</w:t>
      </w:r>
      <w:r w:rsidRPr="00EC0B41">
        <w:rPr>
          <w:lang w:eastAsia="fr-FR"/>
        </w:rPr>
        <w:t>, «</w:t>
      </w:r>
      <w:r w:rsidR="00905F7E" w:rsidRPr="00EC0B41">
        <w:rPr>
          <w:lang w:eastAsia="fr-FR"/>
        </w:rPr>
        <w:t> </w:t>
      </w:r>
      <w:r w:rsidRPr="00022665">
        <w:rPr>
          <w:sz w:val="22"/>
          <w:szCs w:val="22"/>
          <w:u w:val="single"/>
          <w:lang w:eastAsia="fr-FR"/>
        </w:rPr>
        <w:t>[a]</w:t>
      </w:r>
      <w:r w:rsidRPr="00C26EE6">
        <w:rPr>
          <w:u w:val="single"/>
          <w:lang w:eastAsia="fr-FR"/>
        </w:rPr>
        <w:t>ccepter un régime de négociation collective, c’est implicitement reconnaître le droit de recours aux sanctions économiques</w:t>
      </w:r>
      <w:r w:rsidR="00905F7E" w:rsidRPr="00EC0B41">
        <w:rPr>
          <w:lang w:eastAsia="fr-FR"/>
        </w:rPr>
        <w:t> </w:t>
      </w:r>
      <w:r w:rsidRPr="00EC0B41">
        <w:rPr>
          <w:lang w:eastAsia="fr-FR"/>
        </w:rPr>
        <w:t>»</w:t>
      </w:r>
      <w:r>
        <w:rPr>
          <w:lang w:eastAsia="fr-FR"/>
        </w:rPr>
        <w:t xml:space="preserve"> (</w:t>
      </w:r>
      <w:r w:rsidRPr="00612DC6">
        <w:rPr>
          <w:i/>
          <w:iCs/>
          <w:lang w:eastAsia="fr-FR"/>
        </w:rPr>
        <w:t>Les relations du travail au Canada : Rapport de l’Équipe spécialisée en relations de travail</w:t>
      </w:r>
      <w:r>
        <w:rPr>
          <w:lang w:eastAsia="fr-FR"/>
        </w:rPr>
        <w:t xml:space="preserve"> (1969), p.</w:t>
      </w:r>
      <w:r w:rsidR="00022665">
        <w:rPr>
          <w:lang w:eastAsia="fr-FR"/>
        </w:rPr>
        <w:t> </w:t>
      </w:r>
      <w:r>
        <w:rPr>
          <w:lang w:eastAsia="fr-FR"/>
        </w:rPr>
        <w:t>192). La grève fait “partie intégrante du régime canadien de relations du travail” et elle “est devenue partie intégrante de notre régime démocratique”</w:t>
      </w:r>
      <w:r w:rsidR="00022665">
        <w:rPr>
          <w:lang w:eastAsia="fr-FR"/>
        </w:rPr>
        <w:t> </w:t>
      </w:r>
      <w:r>
        <w:rPr>
          <w:lang w:eastAsia="fr-FR"/>
        </w:rPr>
        <w:t>» (p. 142 et 193)</w:t>
      </w:r>
      <w:r w:rsidR="00C26EE6">
        <w:rPr>
          <w:lang w:eastAsia="fr-FR"/>
        </w:rPr>
        <w:t>.</w:t>
      </w:r>
    </w:p>
    <w:p w14:paraId="402F48D2" w14:textId="036C1206" w:rsidR="00D77009" w:rsidRPr="00D77009" w:rsidRDefault="00C26EE6" w:rsidP="00442950">
      <w:pPr>
        <w:pStyle w:val="corpsdedcision"/>
        <w:tabs>
          <w:tab w:val="clear" w:pos="360"/>
          <w:tab w:val="num" w:pos="720"/>
        </w:tabs>
        <w:spacing w:after="240"/>
        <w:rPr>
          <w:color w:val="010302"/>
        </w:rPr>
      </w:pPr>
      <w:r>
        <w:rPr>
          <w:lang w:eastAsia="fr-FR"/>
        </w:rPr>
        <w:t xml:space="preserve">Au sujet des effets de la grève, la Cour </w:t>
      </w:r>
      <w:r w:rsidR="00841D35">
        <w:rPr>
          <w:lang w:eastAsia="fr-FR"/>
        </w:rPr>
        <w:t>se réfère</w:t>
      </w:r>
      <w:r>
        <w:rPr>
          <w:lang w:eastAsia="fr-FR"/>
        </w:rPr>
        <w:t xml:space="preserve"> à</w:t>
      </w:r>
      <w:r w:rsidRPr="00C26EE6">
        <w:rPr>
          <w:rFonts w:ascii="Times New Roman" w:hAnsi="Times New Roman"/>
          <w:lang w:val="fr-FR"/>
        </w:rPr>
        <w:t xml:space="preserve"> </w:t>
      </w:r>
      <w:r w:rsidRPr="00C26EE6">
        <w:rPr>
          <w:lang w:val="fr-FR"/>
        </w:rPr>
        <w:t>l’arrêt</w:t>
      </w:r>
      <w:r w:rsidRPr="00C26EE6">
        <w:rPr>
          <w:spacing w:val="17"/>
          <w:lang w:val="fr-FR"/>
        </w:rPr>
        <w:t xml:space="preserve"> </w:t>
      </w:r>
      <w:r w:rsidRPr="00C26EE6">
        <w:rPr>
          <w:i/>
          <w:iCs/>
          <w:spacing w:val="17"/>
          <w:lang w:val="fr-FR"/>
        </w:rPr>
        <w:t>S.D.G.M.R.</w:t>
      </w:r>
      <w:r w:rsidRPr="00C26EE6">
        <w:rPr>
          <w:i/>
          <w:iCs/>
          <w:lang w:val="fr-FR"/>
        </w:rPr>
        <w:t>,</w:t>
      </w:r>
      <w:r w:rsidRPr="00C26EE6">
        <w:rPr>
          <w:i/>
          <w:iCs/>
          <w:spacing w:val="18"/>
          <w:lang w:val="fr-FR"/>
        </w:rPr>
        <w:t xml:space="preserve"> </w:t>
      </w:r>
      <w:r w:rsidRPr="00C26EE6">
        <w:rPr>
          <w:i/>
          <w:iCs/>
          <w:lang w:val="fr-FR"/>
        </w:rPr>
        <w:t>section</w:t>
      </w:r>
      <w:r w:rsidRPr="00C26EE6">
        <w:rPr>
          <w:i/>
          <w:iCs/>
          <w:spacing w:val="17"/>
          <w:lang w:val="fr-FR"/>
        </w:rPr>
        <w:t xml:space="preserve"> </w:t>
      </w:r>
      <w:r w:rsidRPr="00C26EE6">
        <w:rPr>
          <w:i/>
          <w:iCs/>
          <w:lang w:val="fr-FR"/>
        </w:rPr>
        <w:t>locale</w:t>
      </w:r>
      <w:r w:rsidRPr="00C26EE6">
        <w:rPr>
          <w:i/>
          <w:iCs/>
          <w:spacing w:val="17"/>
          <w:lang w:val="fr-FR"/>
        </w:rPr>
        <w:t xml:space="preserve"> 558 </w:t>
      </w:r>
      <w:r w:rsidRPr="007D7A14">
        <w:rPr>
          <w:lang w:val="fr-FR"/>
        </w:rPr>
        <w:t>c.</w:t>
      </w:r>
      <w:r w:rsidRPr="00C26EE6">
        <w:rPr>
          <w:i/>
          <w:iCs/>
          <w:spacing w:val="17"/>
          <w:lang w:val="fr-FR"/>
        </w:rPr>
        <w:t xml:space="preserve"> </w:t>
      </w:r>
      <w:r w:rsidRPr="00C26EE6">
        <w:rPr>
          <w:i/>
          <w:iCs/>
          <w:lang w:val="fr-FR"/>
        </w:rPr>
        <w:t>Pepsi-Col</w:t>
      </w:r>
      <w:r>
        <w:rPr>
          <w:i/>
          <w:iCs/>
          <w:lang w:val="fr-FR"/>
        </w:rPr>
        <w:t>a</w:t>
      </w:r>
      <w:r w:rsidRPr="00C26EE6">
        <w:rPr>
          <w:i/>
          <w:iCs/>
          <w:spacing w:val="17"/>
          <w:lang w:val="fr-FR"/>
        </w:rPr>
        <w:t xml:space="preserve"> Canada</w:t>
      </w:r>
      <w:r w:rsidRPr="00C26EE6">
        <w:t xml:space="preserve"> </w:t>
      </w:r>
      <w:r w:rsidRPr="00C26EE6">
        <w:rPr>
          <w:i/>
          <w:iCs/>
        </w:rPr>
        <w:t>Beverages (West) Ltd</w:t>
      </w:r>
      <w:r w:rsidRPr="007D7A14">
        <w:rPr>
          <w:rStyle w:val="Appelnotedebasdep"/>
          <w:rFonts w:cs="Arial"/>
          <w:color w:val="000000"/>
          <w:szCs w:val="24"/>
        </w:rPr>
        <w:footnoteReference w:id="73"/>
      </w:r>
      <w:r w:rsidR="0078325E">
        <w:rPr>
          <w:i/>
          <w:iCs/>
        </w:rPr>
        <w:t>,</w:t>
      </w:r>
      <w:r w:rsidR="00D77009">
        <w:rPr>
          <w:i/>
          <w:iCs/>
        </w:rPr>
        <w:t xml:space="preserve"> </w:t>
      </w:r>
      <w:r w:rsidR="007C00C5" w:rsidRPr="00C26EE6">
        <w:t>qu</w:t>
      </w:r>
      <w:r w:rsidR="007C00C5">
        <w:t>’elle</w:t>
      </w:r>
      <w:r w:rsidR="008A2552">
        <w:t xml:space="preserve"> a rendu en 2002</w:t>
      </w:r>
      <w:r w:rsidR="0078325E">
        <w:t xml:space="preserve"> et qui porte </w:t>
      </w:r>
      <w:r w:rsidR="008A2552">
        <w:t xml:space="preserve">sur la </w:t>
      </w:r>
      <w:r w:rsidR="00E409D2">
        <w:t>protection du piquetage</w:t>
      </w:r>
      <w:r w:rsidR="00E409D2" w:rsidRPr="00C26EE6">
        <w:t xml:space="preserve"> </w:t>
      </w:r>
      <w:r w:rsidR="00E409D2">
        <w:t xml:space="preserve">secondaire en vertu de la </w:t>
      </w:r>
      <w:r w:rsidR="008A2552">
        <w:t xml:space="preserve">liberté </w:t>
      </w:r>
      <w:r w:rsidR="007C00C5">
        <w:t>d’expression</w:t>
      </w:r>
      <w:r w:rsidR="00DC69B3">
        <w:t xml:space="preserve">. </w:t>
      </w:r>
      <w:r w:rsidR="006B42AB">
        <w:t>Elle</w:t>
      </w:r>
      <w:r w:rsidR="00D77009">
        <w:t xml:space="preserve"> y souligne le rôle de la grève dans le maintien de la paix économique et sociale</w:t>
      </w:r>
      <w:r w:rsidR="00917466">
        <w:t>,</w:t>
      </w:r>
      <w:r w:rsidR="00D77009">
        <w:t xml:space="preserve"> </w:t>
      </w:r>
      <w:r w:rsidR="00E409D2">
        <w:t>ce qui justifie d’</w:t>
      </w:r>
      <w:r w:rsidR="00D77009">
        <w:t>accepter</w:t>
      </w:r>
      <w:r w:rsidR="00E409D2">
        <w:t>,</w:t>
      </w:r>
      <w:r w:rsidR="00D77009">
        <w:t xml:space="preserve"> </w:t>
      </w:r>
      <w:r w:rsidR="00E409D2">
        <w:t xml:space="preserve">en contrepartie et dans une certaine mesure, </w:t>
      </w:r>
      <w:r w:rsidR="00D77009">
        <w:t>qu</w:t>
      </w:r>
      <w:r w:rsidR="00E409D2">
        <w:t>’elle</w:t>
      </w:r>
      <w:r w:rsidR="00D77009">
        <w:t xml:space="preserve"> cause un préjudice non seulement </w:t>
      </w:r>
      <w:r w:rsidR="001E60BF">
        <w:t>à</w:t>
      </w:r>
      <w:r w:rsidR="00D77009">
        <w:t xml:space="preserve"> l’employeur, mais </w:t>
      </w:r>
      <w:r w:rsidR="0078325E">
        <w:t xml:space="preserve">aussi </w:t>
      </w:r>
      <w:r w:rsidR="00E409D2">
        <w:t>aux</w:t>
      </w:r>
      <w:r w:rsidR="00D77009">
        <w:t xml:space="preserve"> tiers. </w:t>
      </w:r>
      <w:r w:rsidR="00CC2A9F">
        <w:t>Il apparait utile de reproduire les paragraphes 24 et 25</w:t>
      </w:r>
      <w:r w:rsidR="0078325E">
        <w:t xml:space="preserve"> de ce jugement</w:t>
      </w:r>
      <w:r w:rsidR="00CC2A9F">
        <w:t xml:space="preserve">, qui sont cités dans l’arrêt </w:t>
      </w:r>
      <w:r w:rsidR="00CC2A9F" w:rsidRPr="00CC2A9F">
        <w:rPr>
          <w:i/>
          <w:iCs/>
        </w:rPr>
        <w:t>Saskatchewan</w:t>
      </w:r>
      <w:r w:rsidR="00CC2A9F" w:rsidRPr="007D7A14">
        <w:rPr>
          <w:rStyle w:val="Appelnotedebasdep"/>
        </w:rPr>
        <w:footnoteReference w:id="74"/>
      </w:r>
      <w:r w:rsidR="00CC2A9F">
        <w:t> :</w:t>
      </w:r>
    </w:p>
    <w:p w14:paraId="46B152B8" w14:textId="2B475995" w:rsidR="00CC2A9F" w:rsidRDefault="00D77009" w:rsidP="00B14ADD">
      <w:pPr>
        <w:pStyle w:val="citation"/>
        <w:spacing w:after="120"/>
      </w:pPr>
      <w:r>
        <w:t xml:space="preserve">24 </w:t>
      </w:r>
      <w:r>
        <w:tab/>
        <w:t xml:space="preserve">Les travailleurs ont le droit d’être représentés par un syndicat et, lorsqu’un syndicat est appuyé par </w:t>
      </w:r>
      <w:r w:rsidRPr="0000321E">
        <w:t>la majorité des travailleurs, les employeurs sont tenus de négocier de bonne foi avec lui.  La négociation de bonne foi est le principal moteur de la paix industrielle et de l’efficacité économique. Cependant, il arrive que des négociations cessent et que des conflits menacent la paix dans les relations du travail. On a alors accepté que, le cas échéant, les syndicats et les employeurs puissent</w:t>
      </w:r>
      <w:r>
        <w:t xml:space="preserve"> légitimement exercer, dans une certaine mesure, des pressions économiques les uns sur les autres en vue de résoudre le différend qui les oppose. </w:t>
      </w:r>
      <w:r w:rsidRPr="00CC2A9F">
        <w:rPr>
          <w:u w:val="single"/>
        </w:rPr>
        <w:t>En conséquence, les salariés jouissent du droit de cesser de fournir leurs services, ce qui cause un préjudice économique directement à leur employeur et indirectement aux tiers qui font affaire avec lui</w:t>
      </w:r>
      <w:r>
        <w:t>. De même, les employeurs conservent le droit d’exercer des pressions économiques sur leurs salariés en recourant au lock-out et, dans la plupart des ressorts canadiens, à des travailleurs de remplacement.</w:t>
      </w:r>
    </w:p>
    <w:p w14:paraId="20F53671" w14:textId="03F07613" w:rsidR="00CC2A9F" w:rsidRDefault="00CC2A9F" w:rsidP="00442950">
      <w:pPr>
        <w:pStyle w:val="citation"/>
        <w:spacing w:after="240"/>
      </w:pPr>
      <w:r>
        <w:t>25</w:t>
      </w:r>
      <w:r w:rsidR="00D77009">
        <w:tab/>
      </w:r>
      <w:r w:rsidR="00D77009" w:rsidRPr="00CC2A9F">
        <w:rPr>
          <w:u w:val="single"/>
        </w:rPr>
        <w:t>Les conflits de travail peuvent toucher des secteurs importants de l’économie et avoir des répercussions sur des villes, des région</w:t>
      </w:r>
      <w:r w:rsidRPr="00CC2A9F">
        <w:rPr>
          <w:u w:val="single"/>
        </w:rPr>
        <w:t>s</w:t>
      </w:r>
      <w:r w:rsidR="00D77009" w:rsidRPr="00CC2A9F">
        <w:rPr>
          <w:u w:val="single"/>
        </w:rPr>
        <w:t xml:space="preserve"> et, parfois, sur le pays tout entier. Il peut en résulter des coûts importants pour les parties et le public. Néanmoins, notre société en est venue à reconnaître que ces coûts sont justifiés eu égard à l’objectif supérieur de la résolution des conflits de travail et du maintien de la paix économique et sociale</w:t>
      </w:r>
      <w:r w:rsidR="00D77009" w:rsidRPr="00E94652">
        <w:t>.</w:t>
      </w:r>
      <w:r w:rsidR="00D77009">
        <w:t xml:space="preserve"> Désormais, elle accepte aussi que l’exercice de pressions économiques, dans les limites autorisées par la loi, et l’infliction d’un préjudice économique lors d’un conflit de travail représentent le prix d’un système qui encourage les parties à résoudre leurs différends d’une manière acceptable pour chacune d’elles (voir, de manière générale, G. W. Adams, </w:t>
      </w:r>
      <w:r w:rsidR="00D77009" w:rsidRPr="002022D6">
        <w:rPr>
          <w:i/>
          <w:iCs/>
        </w:rPr>
        <w:t>Canadian Labour Law</w:t>
      </w:r>
      <w:r w:rsidR="00D77009">
        <w:t xml:space="preserve"> (2</w:t>
      </w:r>
      <w:r w:rsidR="00D77009" w:rsidRPr="003D2F20">
        <w:rPr>
          <w:vertAlign w:val="superscript"/>
        </w:rPr>
        <w:t>e</w:t>
      </w:r>
      <w:r w:rsidR="00D77009">
        <w:t xml:space="preserve"> éd. (feuilles mobiles)), p. 1-11 à 1-15).</w:t>
      </w:r>
    </w:p>
    <w:p w14:paraId="78CC2089" w14:textId="26DE8BFA" w:rsidR="00CC2A9F" w:rsidRPr="00CC2A9F" w:rsidRDefault="00CC2A9F" w:rsidP="00442950">
      <w:pPr>
        <w:pStyle w:val="citation"/>
        <w:spacing w:after="360"/>
        <w:rPr>
          <w:sz w:val="24"/>
          <w:szCs w:val="24"/>
        </w:rPr>
      </w:pPr>
      <w:r w:rsidRPr="00CC2A9F">
        <w:rPr>
          <w:sz w:val="24"/>
          <w:szCs w:val="24"/>
        </w:rPr>
        <w:t>[No</w:t>
      </w:r>
      <w:r w:rsidR="00917466">
        <w:rPr>
          <w:sz w:val="24"/>
          <w:szCs w:val="24"/>
        </w:rPr>
        <w:t>s</w:t>
      </w:r>
      <w:r w:rsidRPr="00CC2A9F">
        <w:rPr>
          <w:sz w:val="24"/>
          <w:szCs w:val="24"/>
        </w:rPr>
        <w:t xml:space="preserve"> soulignement</w:t>
      </w:r>
      <w:r w:rsidR="00917466">
        <w:rPr>
          <w:sz w:val="24"/>
          <w:szCs w:val="24"/>
        </w:rPr>
        <w:t>s</w:t>
      </w:r>
      <w:r w:rsidRPr="00CC2A9F">
        <w:rPr>
          <w:sz w:val="24"/>
          <w:szCs w:val="24"/>
        </w:rPr>
        <w:t>]</w:t>
      </w:r>
    </w:p>
    <w:p w14:paraId="2B667AA0" w14:textId="00BE8788" w:rsidR="000A0134" w:rsidRDefault="00084AB4" w:rsidP="000A0134">
      <w:pPr>
        <w:pStyle w:val="corpsdedcision"/>
        <w:tabs>
          <w:tab w:val="clear" w:pos="360"/>
        </w:tabs>
        <w:rPr>
          <w:lang w:eastAsia="fr-FR"/>
        </w:rPr>
      </w:pPr>
      <w:r>
        <w:rPr>
          <w:lang w:eastAsia="fr-FR"/>
        </w:rPr>
        <w:t>Dans la trilogie de 20</w:t>
      </w:r>
      <w:r w:rsidR="005A0D5A">
        <w:rPr>
          <w:lang w:eastAsia="fr-FR"/>
        </w:rPr>
        <w:t>1</w:t>
      </w:r>
      <w:r>
        <w:rPr>
          <w:lang w:eastAsia="fr-FR"/>
        </w:rPr>
        <w:t>5, a</w:t>
      </w:r>
      <w:r w:rsidR="000473FC">
        <w:rPr>
          <w:lang w:eastAsia="fr-FR"/>
        </w:rPr>
        <w:t xml:space="preserve">fin d’écarter sa position antérieure sur la liberté d’association, la Cour suprême s’appuie notamment sur la dissidence du juge en chef Dickson dans le </w:t>
      </w:r>
      <w:r w:rsidR="000473FC" w:rsidRPr="001807F2">
        <w:rPr>
          <w:i/>
          <w:iCs/>
          <w:lang w:eastAsia="fr-FR"/>
        </w:rPr>
        <w:t xml:space="preserve">Renvoi </w:t>
      </w:r>
      <w:r w:rsidR="000473FC">
        <w:rPr>
          <w:i/>
          <w:iCs/>
          <w:lang w:eastAsia="fr-FR"/>
        </w:rPr>
        <w:t>relatif à</w:t>
      </w:r>
      <w:r w:rsidR="000473FC" w:rsidRPr="001807F2">
        <w:rPr>
          <w:i/>
          <w:iCs/>
          <w:lang w:eastAsia="fr-FR"/>
        </w:rPr>
        <w:t xml:space="preserve"> l’Alberta</w:t>
      </w:r>
      <w:r w:rsidR="000473FC">
        <w:rPr>
          <w:rStyle w:val="Appelnotedebasdep"/>
          <w:lang w:eastAsia="fr-FR"/>
        </w:rPr>
        <w:footnoteReference w:id="75"/>
      </w:r>
      <w:r w:rsidR="000473FC">
        <w:rPr>
          <w:lang w:eastAsia="fr-FR"/>
        </w:rPr>
        <w:t xml:space="preserve">. </w:t>
      </w:r>
      <w:r w:rsidR="00312113">
        <w:rPr>
          <w:lang w:eastAsia="fr-FR"/>
        </w:rPr>
        <w:t>Celui-ci</w:t>
      </w:r>
      <w:r w:rsidR="000473FC">
        <w:rPr>
          <w:lang w:eastAsia="fr-FR"/>
        </w:rPr>
        <w:t xml:space="preserve"> </w:t>
      </w:r>
      <w:r w:rsidR="006B42AB">
        <w:rPr>
          <w:lang w:eastAsia="fr-FR"/>
        </w:rPr>
        <w:t xml:space="preserve">est </w:t>
      </w:r>
      <w:r w:rsidR="000473FC">
        <w:rPr>
          <w:lang w:eastAsia="fr-FR"/>
        </w:rPr>
        <w:t>d’avis que la Charte canadienne protège certaines activités collectives, qui n’ont pas d’équivalent individuel, comme le droit de négocier collectivement et le droit de faire la grève.</w:t>
      </w:r>
    </w:p>
    <w:p w14:paraId="56E8F6EC" w14:textId="2FAD2D42" w:rsidR="00486FE2" w:rsidRDefault="00482A4B" w:rsidP="000473FC">
      <w:pPr>
        <w:pStyle w:val="corpsdedcision"/>
        <w:rPr>
          <w:lang w:eastAsia="fr-FR"/>
        </w:rPr>
      </w:pPr>
      <w:r>
        <w:rPr>
          <w:lang w:eastAsia="fr-FR"/>
        </w:rPr>
        <w:t>De surcroit</w:t>
      </w:r>
      <w:r w:rsidR="000473FC">
        <w:rPr>
          <w:lang w:eastAsia="fr-FR"/>
        </w:rPr>
        <w:t xml:space="preserve">, </w:t>
      </w:r>
      <w:r w:rsidR="00312113">
        <w:rPr>
          <w:lang w:eastAsia="fr-FR"/>
        </w:rPr>
        <w:t xml:space="preserve">la Cour suprême </w:t>
      </w:r>
      <w:r w:rsidR="004F51A8">
        <w:rPr>
          <w:lang w:eastAsia="fr-FR"/>
        </w:rPr>
        <w:t>réitère l’importance</w:t>
      </w:r>
      <w:r w:rsidR="00312113">
        <w:rPr>
          <w:lang w:eastAsia="fr-FR"/>
        </w:rPr>
        <w:t xml:space="preserve"> </w:t>
      </w:r>
      <w:r w:rsidR="004F51A8">
        <w:rPr>
          <w:lang w:eastAsia="fr-FR"/>
        </w:rPr>
        <w:t>du</w:t>
      </w:r>
      <w:r w:rsidR="00312113">
        <w:rPr>
          <w:lang w:eastAsia="fr-FR"/>
        </w:rPr>
        <w:t xml:space="preserve"> droit international</w:t>
      </w:r>
      <w:r w:rsidR="004F51A8">
        <w:rPr>
          <w:lang w:eastAsia="fr-FR"/>
        </w:rPr>
        <w:t> :</w:t>
      </w:r>
      <w:r w:rsidR="00486FE2">
        <w:rPr>
          <w:lang w:eastAsia="fr-FR"/>
        </w:rPr>
        <w:t xml:space="preserve"> « </w:t>
      </w:r>
      <w:r w:rsidR="00312113">
        <w:rPr>
          <w:lang w:eastAsia="fr-FR"/>
        </w:rPr>
        <w:t>[</w:t>
      </w:r>
      <w:r w:rsidR="00044180">
        <w:rPr>
          <w:lang w:eastAsia="fr-FR"/>
        </w:rPr>
        <w:t>…</w:t>
      </w:r>
      <w:r w:rsidR="00312113">
        <w:rPr>
          <w:lang w:eastAsia="fr-FR"/>
        </w:rPr>
        <w:t>]</w:t>
      </w:r>
      <w:r w:rsidR="00486FE2" w:rsidRPr="002C4B38">
        <w:rPr>
          <w:rStyle w:val="Citationintgre"/>
          <w:lang w:eastAsia="fr-FR"/>
        </w:rPr>
        <w:t xml:space="preserve">il faut présumer que la </w:t>
      </w:r>
      <w:r w:rsidR="00486FE2" w:rsidRPr="00EB7599">
        <w:rPr>
          <w:rStyle w:val="Citationintgre"/>
          <w:i w:val="0"/>
          <w:iCs/>
          <w:lang w:eastAsia="fr-FR"/>
        </w:rPr>
        <w:t>Charte</w:t>
      </w:r>
      <w:r w:rsidR="00486FE2" w:rsidRPr="002C4B38">
        <w:rPr>
          <w:rStyle w:val="Citationintgre"/>
          <w:lang w:eastAsia="fr-FR"/>
        </w:rPr>
        <w:t xml:space="preserve"> accorde une protection au moins aussi grande que les instruments ratifiés par le Canada en matière de droits de la personne</w:t>
      </w:r>
      <w:r w:rsidR="002155E7">
        <w:rPr>
          <w:rStyle w:val="Appelnotedebasdep"/>
          <w:lang w:eastAsia="fr-FR"/>
        </w:rPr>
        <w:footnoteReference w:id="76"/>
      </w:r>
      <w:r w:rsidR="002155E7">
        <w:rPr>
          <w:rStyle w:val="Citationintgre"/>
          <w:lang w:eastAsia="fr-FR"/>
        </w:rPr>
        <w:t>.</w:t>
      </w:r>
      <w:r w:rsidR="009953AE">
        <w:rPr>
          <w:lang w:eastAsia="fr-FR"/>
        </w:rPr>
        <w:t> »</w:t>
      </w:r>
    </w:p>
    <w:p w14:paraId="6A9F7FD2" w14:textId="2E568F7A" w:rsidR="00486FE2" w:rsidRDefault="00312113" w:rsidP="00BC3468">
      <w:pPr>
        <w:pStyle w:val="corpsdedcision"/>
        <w:spacing w:after="120"/>
        <w:rPr>
          <w:lang w:eastAsia="fr-FR"/>
        </w:rPr>
      </w:pPr>
      <w:r>
        <w:rPr>
          <w:lang w:eastAsia="fr-FR"/>
        </w:rPr>
        <w:t>P</w:t>
      </w:r>
      <w:r w:rsidR="00486FE2">
        <w:rPr>
          <w:lang w:eastAsia="fr-FR"/>
        </w:rPr>
        <w:t>lusieurs outils internationaux consacrent le droit à la négociation collective et le droit de grève</w:t>
      </w:r>
      <w:r w:rsidR="00486FE2">
        <w:rPr>
          <w:rStyle w:val="Appelnotedebasdep"/>
          <w:lang w:eastAsia="fr-FR"/>
        </w:rPr>
        <w:footnoteReference w:id="77"/>
      </w:r>
      <w:r w:rsidR="00486FE2">
        <w:rPr>
          <w:lang w:eastAsia="fr-FR"/>
        </w:rPr>
        <w:t>.</w:t>
      </w:r>
      <w:r w:rsidR="00486FE2" w:rsidRPr="00A146E7">
        <w:rPr>
          <w:lang w:eastAsia="fr-FR"/>
        </w:rPr>
        <w:t xml:space="preserve"> </w:t>
      </w:r>
      <w:r w:rsidR="00486FE2">
        <w:rPr>
          <w:lang w:eastAsia="fr-FR"/>
        </w:rPr>
        <w:t xml:space="preserve">Le Canada a notamment adhéré et ratifié en 1972 la </w:t>
      </w:r>
      <w:r w:rsidR="00486FE2" w:rsidRPr="001C27B3">
        <w:rPr>
          <w:i/>
          <w:iCs/>
          <w:lang w:eastAsia="fr-FR"/>
        </w:rPr>
        <w:t>Convention (n°87) concernant la liberté syndicale et la protection du droit syndical</w:t>
      </w:r>
      <w:r w:rsidR="00486FE2">
        <w:rPr>
          <w:lang w:eastAsia="fr-FR"/>
        </w:rPr>
        <w:t>, qui protège les activités fondamentales des syndicats et</w:t>
      </w:r>
      <w:r w:rsidR="00482A4B">
        <w:rPr>
          <w:lang w:eastAsia="fr-FR"/>
        </w:rPr>
        <w:t>,</w:t>
      </w:r>
      <w:r w:rsidR="00486FE2">
        <w:rPr>
          <w:lang w:eastAsia="fr-FR"/>
        </w:rPr>
        <w:t xml:space="preserve"> plus récemment,</w:t>
      </w:r>
      <w:r w:rsidR="00EA739C">
        <w:rPr>
          <w:lang w:eastAsia="fr-FR"/>
        </w:rPr>
        <w:t xml:space="preserve"> </w:t>
      </w:r>
      <w:r w:rsidR="00486FE2">
        <w:rPr>
          <w:lang w:eastAsia="fr-FR"/>
        </w:rPr>
        <w:t xml:space="preserve">en 2017, </w:t>
      </w:r>
      <w:r w:rsidR="00486FE2" w:rsidRPr="00B874C0">
        <w:t xml:space="preserve">la </w:t>
      </w:r>
      <w:r w:rsidR="00486FE2" w:rsidRPr="001C27B3">
        <w:rPr>
          <w:i/>
        </w:rPr>
        <w:t>Convention (n°98) sur le droit d’organisation et de négociation collective, 1949</w:t>
      </w:r>
      <w:r w:rsidR="00901049">
        <w:rPr>
          <w:i/>
        </w:rPr>
        <w:t>,</w:t>
      </w:r>
      <w:r w:rsidR="00486FE2" w:rsidRPr="00B874C0">
        <w:t xml:space="preserve"> qui prévoit le droit d’être protégé contre l’ingérence et le droit à la négociation collective. </w:t>
      </w:r>
      <w:r w:rsidR="00486FE2">
        <w:t xml:space="preserve">En 1990, </w:t>
      </w:r>
      <w:r w:rsidR="00486FE2">
        <w:rPr>
          <w:lang w:eastAsia="fr-FR"/>
        </w:rPr>
        <w:t xml:space="preserve">il a également signé et ratifié la </w:t>
      </w:r>
      <w:r w:rsidR="00486FE2" w:rsidRPr="001C27B3">
        <w:rPr>
          <w:i/>
          <w:iCs/>
          <w:lang w:eastAsia="fr-FR"/>
        </w:rPr>
        <w:t>Charte de l’Organisation des États américains</w:t>
      </w:r>
      <w:r w:rsidR="00486FE2">
        <w:rPr>
          <w:lang w:eastAsia="fr-FR"/>
        </w:rPr>
        <w:t xml:space="preserve">, dont le paragraphe 45 pose comme principe le droit </w:t>
      </w:r>
      <w:r w:rsidR="00F75325">
        <w:rPr>
          <w:lang w:eastAsia="fr-FR"/>
        </w:rPr>
        <w:t xml:space="preserve">à </w:t>
      </w:r>
      <w:r w:rsidR="00486FE2">
        <w:rPr>
          <w:lang w:eastAsia="fr-FR"/>
        </w:rPr>
        <w:t>la négociation collective et le droit de grève</w:t>
      </w:r>
      <w:r w:rsidR="00486FE2">
        <w:rPr>
          <w:rStyle w:val="Appelnotedebasdep"/>
          <w:lang w:eastAsia="fr-FR"/>
        </w:rPr>
        <w:footnoteReference w:id="78"/>
      </w:r>
      <w:r w:rsidR="00486FE2">
        <w:rPr>
          <w:lang w:eastAsia="fr-FR"/>
        </w:rPr>
        <w:t>.</w:t>
      </w:r>
    </w:p>
    <w:p w14:paraId="116C5C4D" w14:textId="7E4BFA87" w:rsidR="001C27B3" w:rsidRDefault="00486FE2" w:rsidP="00A61D61">
      <w:pPr>
        <w:pStyle w:val="corpsdedcision"/>
        <w:keepNext/>
        <w:keepLines/>
        <w:widowControl w:val="0"/>
        <w:tabs>
          <w:tab w:val="clear" w:pos="360"/>
        </w:tabs>
        <w:spacing w:before="360"/>
        <w:rPr>
          <w:lang w:eastAsia="fr-FR"/>
        </w:rPr>
      </w:pPr>
      <w:r>
        <w:rPr>
          <w:lang w:eastAsia="fr-FR"/>
        </w:rPr>
        <w:t>Très récemment</w:t>
      </w:r>
      <w:r w:rsidR="002F6008">
        <w:rPr>
          <w:lang w:eastAsia="fr-FR"/>
        </w:rPr>
        <w:t>,</w:t>
      </w:r>
      <w:r>
        <w:rPr>
          <w:lang w:eastAsia="fr-FR"/>
        </w:rPr>
        <w:t xml:space="preserve"> la Cour internationale de Justice, la CIJ, a donné son avis consultatif en réponse à une question posée par l’Organisation </w:t>
      </w:r>
      <w:r w:rsidR="00482A4B">
        <w:rPr>
          <w:lang w:eastAsia="fr-FR"/>
        </w:rPr>
        <w:t>i</w:t>
      </w:r>
      <w:r>
        <w:rPr>
          <w:lang w:eastAsia="fr-FR"/>
        </w:rPr>
        <w:t xml:space="preserve">nternationale du </w:t>
      </w:r>
      <w:r w:rsidR="00CE262A">
        <w:rPr>
          <w:lang w:eastAsia="fr-FR"/>
        </w:rPr>
        <w:t>travail</w:t>
      </w:r>
      <w:r w:rsidR="00B07BCB">
        <w:rPr>
          <w:lang w:eastAsia="fr-FR"/>
        </w:rPr>
        <w:t>, l’OIT,</w:t>
      </w:r>
      <w:r>
        <w:rPr>
          <w:lang w:eastAsia="fr-FR"/>
        </w:rPr>
        <w:t xml:space="preserve"> visant à déterminer si le droit de grève était protégé par la </w:t>
      </w:r>
      <w:r w:rsidRPr="00A5392E">
        <w:rPr>
          <w:i/>
          <w:iCs/>
          <w:lang w:eastAsia="fr-FR"/>
        </w:rPr>
        <w:t>Convention n°87</w:t>
      </w:r>
      <w:r>
        <w:rPr>
          <w:lang w:eastAsia="fr-FR"/>
        </w:rPr>
        <w:t xml:space="preserve"> de l’OIT</w:t>
      </w:r>
      <w:r>
        <w:rPr>
          <w:rStyle w:val="Appelnotedebasdep"/>
          <w:lang w:eastAsia="fr-FR"/>
        </w:rPr>
        <w:footnoteReference w:id="79"/>
      </w:r>
      <w:r>
        <w:rPr>
          <w:lang w:eastAsia="fr-FR"/>
        </w:rPr>
        <w:t xml:space="preserve">. La CIJ </w:t>
      </w:r>
      <w:r w:rsidR="002155E7">
        <w:rPr>
          <w:lang w:eastAsia="fr-FR"/>
        </w:rPr>
        <w:t xml:space="preserve">a </w:t>
      </w:r>
      <w:r>
        <w:rPr>
          <w:lang w:eastAsia="fr-FR"/>
        </w:rPr>
        <w:t>répond</w:t>
      </w:r>
      <w:r w:rsidR="002155E7">
        <w:rPr>
          <w:lang w:eastAsia="fr-FR"/>
        </w:rPr>
        <w:t>u</w:t>
      </w:r>
      <w:r>
        <w:rPr>
          <w:lang w:eastAsia="fr-FR"/>
        </w:rPr>
        <w:t xml:space="preserve"> par l’affirmative. Elle </w:t>
      </w:r>
      <w:r w:rsidR="002155E7">
        <w:rPr>
          <w:lang w:eastAsia="fr-FR"/>
        </w:rPr>
        <w:t xml:space="preserve">est </w:t>
      </w:r>
      <w:r>
        <w:rPr>
          <w:lang w:eastAsia="fr-FR"/>
        </w:rPr>
        <w:t xml:space="preserve">ainsi </w:t>
      </w:r>
      <w:r w:rsidR="00A474C3">
        <w:rPr>
          <w:lang w:eastAsia="fr-FR"/>
        </w:rPr>
        <w:t>venue</w:t>
      </w:r>
      <w:r w:rsidR="002155E7">
        <w:rPr>
          <w:lang w:eastAsia="fr-FR"/>
        </w:rPr>
        <w:t xml:space="preserve"> </w:t>
      </w:r>
      <w:r>
        <w:rPr>
          <w:lang w:eastAsia="fr-FR"/>
        </w:rPr>
        <w:t>appuyer la position déjà énoncée par le Comité de la liberté syndicale</w:t>
      </w:r>
      <w:r w:rsidR="00B07BCB" w:rsidRPr="00B07BCB">
        <w:rPr>
          <w:lang w:eastAsia="fr-FR"/>
        </w:rPr>
        <w:t>, un organisme de contrôle de l’OIT</w:t>
      </w:r>
      <w:r>
        <w:rPr>
          <w:rStyle w:val="Appelnotedebasdep"/>
          <w:lang w:eastAsia="fr-FR"/>
        </w:rPr>
        <w:footnoteReference w:id="80"/>
      </w:r>
      <w:r>
        <w:rPr>
          <w:lang w:eastAsia="fr-FR"/>
        </w:rPr>
        <w:t>.</w:t>
      </w:r>
    </w:p>
    <w:p w14:paraId="25F5DF73" w14:textId="42A2B97F" w:rsidR="001C27B3" w:rsidRDefault="006E2529" w:rsidP="006E2529">
      <w:pPr>
        <w:pStyle w:val="corpsdedcision"/>
        <w:tabs>
          <w:tab w:val="clear" w:pos="360"/>
        </w:tabs>
        <w:rPr>
          <w:lang w:eastAsia="fr-FR"/>
        </w:rPr>
      </w:pPr>
      <w:r>
        <w:rPr>
          <w:lang w:eastAsia="fr-FR"/>
        </w:rPr>
        <w:t>A</w:t>
      </w:r>
      <w:r w:rsidR="0038628C">
        <w:rPr>
          <w:lang w:eastAsia="fr-FR"/>
        </w:rPr>
        <w:t>ussi</w:t>
      </w:r>
      <w:r>
        <w:rPr>
          <w:lang w:eastAsia="fr-FR"/>
        </w:rPr>
        <w:t>, le droit international consacre le droit de grève comme étant indissociable du droit de négocier collectivement</w:t>
      </w:r>
      <w:r>
        <w:rPr>
          <w:rStyle w:val="Appelnotedebasdep"/>
          <w:lang w:eastAsia="fr-FR"/>
        </w:rPr>
        <w:footnoteReference w:id="81"/>
      </w:r>
      <w:r>
        <w:rPr>
          <w:lang w:eastAsia="fr-FR"/>
        </w:rPr>
        <w:t>.</w:t>
      </w:r>
    </w:p>
    <w:p w14:paraId="730B390F" w14:textId="77777777" w:rsidR="00CC2A9F" w:rsidRPr="00F73B6D" w:rsidRDefault="00CC2A9F" w:rsidP="00CC2A9F">
      <w:pPr>
        <w:pStyle w:val="Titre3"/>
      </w:pPr>
      <w:r>
        <w:t>La notion d’entrave substantielle</w:t>
      </w:r>
    </w:p>
    <w:p w14:paraId="675CF8F8" w14:textId="26EE406F" w:rsidR="00CC2A9F" w:rsidRDefault="00CC2A9F" w:rsidP="00CC2A9F">
      <w:pPr>
        <w:pStyle w:val="corpsdedcision"/>
        <w:rPr>
          <w:lang w:eastAsia="fr-FR"/>
        </w:rPr>
      </w:pPr>
      <w:r>
        <w:rPr>
          <w:lang w:eastAsia="fr-FR"/>
        </w:rPr>
        <w:t>Toute restriction législative au processus véritable de négociation collective n</w:t>
      </w:r>
      <w:r w:rsidR="00E409D2">
        <w:rPr>
          <w:lang w:eastAsia="fr-FR"/>
        </w:rPr>
        <w:t>’entraîne</w:t>
      </w:r>
      <w:r>
        <w:rPr>
          <w:lang w:eastAsia="fr-FR"/>
        </w:rPr>
        <w:t xml:space="preserve"> pas une atteinte à la liberté d’association. Il faut établir si </w:t>
      </w:r>
      <w:r w:rsidR="00413B8D">
        <w:rPr>
          <w:lang w:eastAsia="fr-FR"/>
        </w:rPr>
        <w:t>elle</w:t>
      </w:r>
      <w:r>
        <w:rPr>
          <w:lang w:eastAsia="fr-FR"/>
        </w:rPr>
        <w:t xml:space="preserve"> </w:t>
      </w:r>
      <w:r w:rsidR="00895608">
        <w:rPr>
          <w:lang w:eastAsia="fr-FR"/>
        </w:rPr>
        <w:t xml:space="preserve">constitue </w:t>
      </w:r>
      <w:r w:rsidR="001E60BF">
        <w:rPr>
          <w:lang w:eastAsia="fr-FR"/>
        </w:rPr>
        <w:t xml:space="preserve">une </w:t>
      </w:r>
      <w:r>
        <w:rPr>
          <w:lang w:eastAsia="fr-FR"/>
        </w:rPr>
        <w:t>« </w:t>
      </w:r>
      <w:r w:rsidRPr="00895608">
        <w:rPr>
          <w:rStyle w:val="Citationintgre"/>
          <w:lang w:eastAsia="fr-FR"/>
        </w:rPr>
        <w:t>entrave substantielle</w:t>
      </w:r>
      <w:r w:rsidR="00895608">
        <w:rPr>
          <w:lang w:eastAsia="fr-FR"/>
        </w:rPr>
        <w:t> ».</w:t>
      </w:r>
    </w:p>
    <w:p w14:paraId="1098E8BE" w14:textId="6D241833" w:rsidR="00CC2A9F" w:rsidRDefault="00CC2A9F" w:rsidP="00CC2A9F">
      <w:pPr>
        <w:pStyle w:val="corpsdedcision"/>
        <w:rPr>
          <w:lang w:eastAsia="fr-FR"/>
        </w:rPr>
      </w:pPr>
      <w:r>
        <w:rPr>
          <w:lang w:eastAsia="fr-FR"/>
        </w:rPr>
        <w:t>Dans chaque cas, une analyse contextuelle et factuelle s’impose.</w:t>
      </w:r>
    </w:p>
    <w:p w14:paraId="552570E7" w14:textId="268D2CB7" w:rsidR="00CC2A9F" w:rsidRDefault="00413B8D" w:rsidP="00442950">
      <w:pPr>
        <w:pStyle w:val="corpsdedcision"/>
        <w:spacing w:after="240"/>
        <w:rPr>
          <w:lang w:eastAsia="fr-FR"/>
        </w:rPr>
      </w:pPr>
      <w:r>
        <w:rPr>
          <w:lang w:eastAsia="fr-FR"/>
        </w:rPr>
        <w:t xml:space="preserve">Dans l’arrêt </w:t>
      </w:r>
      <w:r w:rsidRPr="00FF526F">
        <w:rPr>
          <w:i/>
          <w:iCs/>
          <w:lang w:eastAsia="fr-FR"/>
        </w:rPr>
        <w:t>Hea</w:t>
      </w:r>
      <w:r>
        <w:rPr>
          <w:i/>
          <w:iCs/>
          <w:lang w:eastAsia="fr-FR"/>
        </w:rPr>
        <w:t>l</w:t>
      </w:r>
      <w:r w:rsidRPr="00FF526F">
        <w:rPr>
          <w:i/>
          <w:iCs/>
          <w:lang w:eastAsia="fr-FR"/>
        </w:rPr>
        <w:t>th Services</w:t>
      </w:r>
      <w:r w:rsidRPr="00413B8D">
        <w:rPr>
          <w:lang w:eastAsia="fr-FR"/>
        </w:rPr>
        <w:t>,</w:t>
      </w:r>
      <w:r>
        <w:rPr>
          <w:lang w:eastAsia="fr-FR"/>
        </w:rPr>
        <w:t xml:space="preserve"> v</w:t>
      </w:r>
      <w:r w:rsidR="00CC2A9F">
        <w:rPr>
          <w:lang w:eastAsia="fr-FR"/>
        </w:rPr>
        <w:t xml:space="preserve">oici comment la Cour suprême </w:t>
      </w:r>
      <w:r>
        <w:rPr>
          <w:lang w:eastAsia="fr-FR"/>
        </w:rPr>
        <w:t>présente l’analyse permettant d’évaluer le</w:t>
      </w:r>
      <w:r w:rsidR="00CC2A9F">
        <w:rPr>
          <w:lang w:eastAsia="fr-FR"/>
        </w:rPr>
        <w:t xml:space="preserve"> caractère substantiel de l’entrave</w:t>
      </w:r>
      <w:r w:rsidR="00CC2A9F">
        <w:rPr>
          <w:rStyle w:val="Appelnotedebasdep"/>
          <w:lang w:eastAsia="fr-FR"/>
        </w:rPr>
        <w:footnoteReference w:id="82"/>
      </w:r>
      <w:r w:rsidR="00CC2A9F">
        <w:rPr>
          <w:lang w:eastAsia="fr-FR"/>
        </w:rPr>
        <w:t>, alors qu’elle se prononce sur la constitutionnalité d’une loi qui soustrait certains sujets à la négociation</w:t>
      </w:r>
      <w:r>
        <w:rPr>
          <w:lang w:eastAsia="fr-FR"/>
        </w:rPr>
        <w:t xml:space="preserve"> (l</w:t>
      </w:r>
      <w:r w:rsidR="00CC2A9F">
        <w:rPr>
          <w:lang w:eastAsia="fr-FR"/>
        </w:rPr>
        <w:t>e droit de grève n’est pas en cause</w:t>
      </w:r>
      <w:r>
        <w:rPr>
          <w:lang w:eastAsia="fr-FR"/>
        </w:rPr>
        <w:t>)</w:t>
      </w:r>
      <w:r w:rsidR="00CC2A9F">
        <w:rPr>
          <w:lang w:eastAsia="fr-FR"/>
        </w:rPr>
        <w:t> :</w:t>
      </w:r>
    </w:p>
    <w:p w14:paraId="5DBF6155" w14:textId="11B5DBCD" w:rsidR="00CC2A9F" w:rsidRDefault="00CC2A9F" w:rsidP="00442950">
      <w:pPr>
        <w:pStyle w:val="citation"/>
        <w:spacing w:after="240"/>
        <w:rPr>
          <w:lang w:eastAsia="fr-FR"/>
        </w:rPr>
      </w:pPr>
      <w:r>
        <w:rPr>
          <w:lang w:eastAsia="fr-FR"/>
        </w:rPr>
        <w:t>[93]</w:t>
      </w:r>
      <w:r>
        <w:rPr>
          <w:lang w:eastAsia="fr-FR"/>
        </w:rPr>
        <w:tab/>
      </w:r>
      <w:r w:rsidRPr="00373B23">
        <w:rPr>
          <w:lang w:eastAsia="fr-FR"/>
        </w:rPr>
        <w:t>De façon générale, pour déterminer si une mesure gouvernementale ayant des répercussions sur le processus de négociation collective protégé par la </w:t>
      </w:r>
      <w:r w:rsidRPr="00E45266">
        <w:rPr>
          <w:i/>
          <w:iCs/>
          <w:lang w:eastAsia="fr-FR"/>
        </w:rPr>
        <w:t>Charte</w:t>
      </w:r>
      <w:r w:rsidRPr="00373B23">
        <w:rPr>
          <w:lang w:eastAsia="fr-FR"/>
        </w:rPr>
        <w:t> constitue une atteinte substantielle, il faut examiner successivement deux questions. </w:t>
      </w:r>
      <w:r>
        <w:rPr>
          <w:lang w:eastAsia="fr-FR"/>
        </w:rPr>
        <w:t xml:space="preserve">D’abord, il faut déterminer </w:t>
      </w:r>
      <w:r w:rsidRPr="005B4257">
        <w:rPr>
          <w:u w:val="single"/>
          <w:lang w:eastAsia="fr-FR"/>
        </w:rPr>
        <w:t>l’importance que les aspects touchés revêtent pour le processus de négociation collective</w:t>
      </w:r>
      <w:r>
        <w:rPr>
          <w:lang w:eastAsia="fr-FR"/>
        </w:rPr>
        <w:t xml:space="preserve"> et, plus particulièrement, la mesure dans laquelle </w:t>
      </w:r>
      <w:r w:rsidRPr="005B4257">
        <w:rPr>
          <w:u w:val="single"/>
          <w:lang w:eastAsia="fr-FR"/>
        </w:rPr>
        <w:t>la capacité des syndiqués d’agir d’une seule voix en vue de réaliser des objectifs communs est compromise</w:t>
      </w:r>
      <w:r>
        <w:rPr>
          <w:lang w:eastAsia="fr-FR"/>
        </w:rPr>
        <w:t xml:space="preserve">. Puis, on doit étudier </w:t>
      </w:r>
      <w:r w:rsidRPr="00895608">
        <w:rPr>
          <w:u w:val="single"/>
          <w:lang w:eastAsia="fr-FR"/>
        </w:rPr>
        <w:t>l’impact de la mesure sur le droit collectif à une consultation et à une négociation menée de bonne foi</w:t>
      </w:r>
      <w:r>
        <w:rPr>
          <w:lang w:eastAsia="fr-FR"/>
        </w:rPr>
        <w:t>.</w:t>
      </w:r>
    </w:p>
    <w:p w14:paraId="03F9F2A2" w14:textId="71204A3C" w:rsidR="00CC2A9F" w:rsidRPr="00442950" w:rsidRDefault="00CC2A9F" w:rsidP="00442950">
      <w:pPr>
        <w:pStyle w:val="citation"/>
        <w:spacing w:after="360"/>
        <w:rPr>
          <w:sz w:val="24"/>
          <w:szCs w:val="24"/>
          <w:lang w:eastAsia="fr-FR"/>
        </w:rPr>
      </w:pPr>
      <w:r w:rsidRPr="004F10D1">
        <w:rPr>
          <w:rFonts w:cs="Arial"/>
          <w:sz w:val="24"/>
          <w:szCs w:val="24"/>
          <w:lang w:eastAsia="fr-FR"/>
        </w:rPr>
        <w:t>[</w:t>
      </w:r>
      <w:r w:rsidRPr="004F10D1">
        <w:rPr>
          <w:sz w:val="24"/>
          <w:szCs w:val="24"/>
          <w:lang w:eastAsia="fr-FR"/>
        </w:rPr>
        <w:t>Notre soulignement</w:t>
      </w:r>
      <w:r w:rsidRPr="004F10D1">
        <w:rPr>
          <w:rFonts w:cs="Arial"/>
          <w:sz w:val="24"/>
          <w:szCs w:val="24"/>
          <w:lang w:eastAsia="fr-FR"/>
        </w:rPr>
        <w:t>]</w:t>
      </w:r>
    </w:p>
    <w:p w14:paraId="30277CD2" w14:textId="3581AE70" w:rsidR="000B0B36" w:rsidRDefault="000B0B36" w:rsidP="00CC2A9F">
      <w:pPr>
        <w:pStyle w:val="corpsdedcision"/>
        <w:tabs>
          <w:tab w:val="clear" w:pos="360"/>
        </w:tabs>
        <w:rPr>
          <w:lang w:eastAsia="fr-FR"/>
        </w:rPr>
      </w:pPr>
      <w:r>
        <w:rPr>
          <w:lang w:eastAsia="fr-FR"/>
        </w:rPr>
        <w:t xml:space="preserve">Il ne faut cependant pas considérer que les faits </w:t>
      </w:r>
      <w:r w:rsidR="00A474C3">
        <w:rPr>
          <w:lang w:eastAsia="fr-FR"/>
        </w:rPr>
        <w:t>à la base de</w:t>
      </w:r>
      <w:r>
        <w:rPr>
          <w:lang w:eastAsia="fr-FR"/>
        </w:rPr>
        <w:t xml:space="preserve"> l’arrêt </w:t>
      </w:r>
      <w:r w:rsidRPr="000B0B36">
        <w:rPr>
          <w:i/>
          <w:iCs/>
          <w:lang w:eastAsia="fr-FR"/>
        </w:rPr>
        <w:t>Health Service</w:t>
      </w:r>
      <w:r w:rsidR="002155E7">
        <w:rPr>
          <w:i/>
          <w:iCs/>
          <w:lang w:eastAsia="fr-FR"/>
        </w:rPr>
        <w:t>s</w:t>
      </w:r>
      <w:r w:rsidR="00BC3299">
        <w:rPr>
          <w:lang w:eastAsia="fr-FR"/>
        </w:rPr>
        <w:t> </w:t>
      </w:r>
      <w:r>
        <w:rPr>
          <w:lang w:eastAsia="fr-FR"/>
        </w:rPr>
        <w:t>–</w:t>
      </w:r>
      <w:r w:rsidR="00BC3299">
        <w:rPr>
          <w:lang w:eastAsia="fr-FR"/>
        </w:rPr>
        <w:t> </w:t>
      </w:r>
      <w:r>
        <w:rPr>
          <w:lang w:eastAsia="fr-FR"/>
        </w:rPr>
        <w:t>où la loi modifiait les conventions collectives sur des sujets d’importance et interdisait la négociation future sur ces mêmes sujets – constituent un seuil minimal pour entrainer une violation de la liberté d’association</w:t>
      </w:r>
      <w:r>
        <w:rPr>
          <w:rStyle w:val="Appelnotedebasdep"/>
          <w:lang w:eastAsia="fr-FR"/>
        </w:rPr>
        <w:footnoteReference w:id="83"/>
      </w:r>
      <w:r>
        <w:rPr>
          <w:lang w:eastAsia="fr-FR"/>
        </w:rPr>
        <w:t>.</w:t>
      </w:r>
    </w:p>
    <w:p w14:paraId="4172C380" w14:textId="445F280A" w:rsidR="0078325E" w:rsidRDefault="00CC2A9F" w:rsidP="00CC2A9F">
      <w:pPr>
        <w:pStyle w:val="corpsdedcision"/>
        <w:tabs>
          <w:tab w:val="clear" w:pos="360"/>
        </w:tabs>
        <w:rPr>
          <w:lang w:eastAsia="fr-FR"/>
        </w:rPr>
      </w:pPr>
      <w:r>
        <w:rPr>
          <w:lang w:eastAsia="fr-FR"/>
        </w:rPr>
        <w:t xml:space="preserve">Dans l’arrêt </w:t>
      </w:r>
      <w:r w:rsidRPr="00663252">
        <w:rPr>
          <w:i/>
          <w:iCs/>
          <w:lang w:eastAsia="fr-FR"/>
        </w:rPr>
        <w:t>APMO</w:t>
      </w:r>
      <w:r>
        <w:rPr>
          <w:lang w:eastAsia="fr-FR"/>
        </w:rPr>
        <w:t xml:space="preserve">, la Cour suprême reformule le test de </w:t>
      </w:r>
      <w:r w:rsidRPr="004F10D1">
        <w:rPr>
          <w:i/>
          <w:iCs/>
          <w:lang w:eastAsia="fr-FR"/>
        </w:rPr>
        <w:t>Health Services</w:t>
      </w:r>
      <w:r>
        <w:rPr>
          <w:lang w:eastAsia="fr-FR"/>
        </w:rPr>
        <w:t xml:space="preserve"> à la lumière du rapport de force, qui est particulièrement central dans les relations entre employés et employeur. Elle s’appuie sur l’objectif de la liberté d’association : « </w:t>
      </w:r>
      <w:r w:rsidR="004D49AE" w:rsidRPr="004D49AE">
        <w:rPr>
          <w:rFonts w:cs="Arial"/>
          <w:i/>
          <w:iCs/>
          <w:sz w:val="22"/>
          <w:szCs w:val="22"/>
          <w:lang w:eastAsia="fr-FR"/>
        </w:rPr>
        <w:t>L</w:t>
      </w:r>
      <w:r w:rsidRPr="004D49AE">
        <w:rPr>
          <w:rStyle w:val="Citationintgre"/>
          <w:szCs w:val="22"/>
          <w:lang w:eastAsia="fr-FR"/>
        </w:rPr>
        <w:t>’</w:t>
      </w:r>
      <w:r w:rsidRPr="00193C41">
        <w:rPr>
          <w:rStyle w:val="Citationintgre"/>
          <w:lang w:eastAsia="fr-FR"/>
        </w:rPr>
        <w:t xml:space="preserve">approche téléologique reconnait </w:t>
      </w:r>
      <w:r>
        <w:rPr>
          <w:rStyle w:val="Citationintgre"/>
          <w:lang w:eastAsia="fr-FR"/>
        </w:rPr>
        <w:t xml:space="preserve">donc </w:t>
      </w:r>
      <w:r w:rsidRPr="00193C41">
        <w:rPr>
          <w:rStyle w:val="Citationintgre"/>
          <w:lang w:eastAsia="fr-FR"/>
        </w:rPr>
        <w:t xml:space="preserve">que la liberté d’association est constitutive de </w:t>
      </w:r>
      <w:r w:rsidRPr="00C71F5A">
        <w:rPr>
          <w:rStyle w:val="Citationintgre"/>
          <w:u w:val="single"/>
          <w:lang w:eastAsia="fr-FR"/>
        </w:rPr>
        <w:t>pouvoirs</w:t>
      </w:r>
      <w:r w:rsidRPr="000B2A4A">
        <w:rPr>
          <w:rStyle w:val="Appelnotedebasdep"/>
          <w:iCs/>
          <w:szCs w:val="24"/>
          <w:lang w:eastAsia="fr-FR"/>
        </w:rPr>
        <w:footnoteReference w:id="84"/>
      </w:r>
      <w:r>
        <w:rPr>
          <w:lang w:eastAsia="fr-FR"/>
        </w:rPr>
        <w:t xml:space="preserve"> » [Notre soulignement]. </w:t>
      </w:r>
      <w:r w:rsidR="0078325E">
        <w:rPr>
          <w:lang w:eastAsia="fr-FR"/>
        </w:rPr>
        <w:t>La Cour souligne que la protection accordée par l’alinéa 2</w:t>
      </w:r>
      <w:r w:rsidR="0078325E" w:rsidRPr="005C0792">
        <w:rPr>
          <w:i/>
          <w:lang w:eastAsia="fr-FR"/>
        </w:rPr>
        <w:t>d</w:t>
      </w:r>
      <w:r w:rsidR="0078325E">
        <w:rPr>
          <w:lang w:eastAsia="fr-FR"/>
        </w:rPr>
        <w:t>) de la Charte canadienne doit s’interpréter en tenant compte du</w:t>
      </w:r>
      <w:r w:rsidR="0078325E" w:rsidRPr="0078325E">
        <w:rPr>
          <w:lang w:eastAsia="fr-FR"/>
        </w:rPr>
        <w:t xml:space="preserve"> </w:t>
      </w:r>
      <w:r w:rsidR="0078325E">
        <w:rPr>
          <w:lang w:eastAsia="fr-FR"/>
        </w:rPr>
        <w:t>déséquilibre des forces en présence, qui est depuis toujours en défaveur des travailleurs.</w:t>
      </w:r>
    </w:p>
    <w:p w14:paraId="28F4E30B" w14:textId="10F927A6" w:rsidR="00CC2A9F" w:rsidRDefault="00CC2A9F" w:rsidP="00442950">
      <w:pPr>
        <w:pStyle w:val="corpsdedcision"/>
        <w:tabs>
          <w:tab w:val="clear" w:pos="360"/>
        </w:tabs>
        <w:spacing w:after="240"/>
        <w:rPr>
          <w:lang w:eastAsia="fr-FR"/>
        </w:rPr>
      </w:pPr>
      <w:r>
        <w:rPr>
          <w:lang w:eastAsia="fr-FR"/>
        </w:rPr>
        <w:t>Elle s’exprime en ces termes :</w:t>
      </w:r>
    </w:p>
    <w:p w14:paraId="0CD7B536" w14:textId="705B2005" w:rsidR="005179CA" w:rsidRPr="00895608" w:rsidRDefault="00895608" w:rsidP="00442950">
      <w:pPr>
        <w:pStyle w:val="citation"/>
        <w:spacing w:after="240"/>
        <w:rPr>
          <w:lang w:val="fr-FR" w:eastAsia="fr-FR"/>
        </w:rPr>
      </w:pPr>
      <w:r w:rsidRPr="00266836">
        <w:rPr>
          <w:lang w:val="fr-FR" w:eastAsia="fr-FR"/>
        </w:rPr>
        <w:t>[71]</w:t>
      </w:r>
      <w:r w:rsidR="00EB7599" w:rsidRPr="00266836">
        <w:rPr>
          <w:lang w:val="fr-FR" w:eastAsia="fr-FR"/>
        </w:rPr>
        <w:tab/>
      </w:r>
      <w:r w:rsidR="00266836" w:rsidRPr="001511F4">
        <w:rPr>
          <w:sz w:val="22"/>
          <w:szCs w:val="22"/>
          <w:lang w:val="fr-FR" w:eastAsia="fr-FR"/>
        </w:rPr>
        <w:t>[…]</w:t>
      </w:r>
      <w:r w:rsidR="00266836" w:rsidRPr="00266836">
        <w:rPr>
          <w:sz w:val="24"/>
          <w:szCs w:val="24"/>
          <w:lang w:val="fr-FR" w:eastAsia="fr-FR"/>
        </w:rPr>
        <w:t xml:space="preserve"> </w:t>
      </w:r>
      <w:r w:rsidRPr="00266836">
        <w:rPr>
          <w:lang w:val="fr-FR" w:eastAsia="fr-FR"/>
        </w:rPr>
        <w:t xml:space="preserve">Comme l’a affirmé la Cour dans </w:t>
      </w:r>
      <w:r w:rsidRPr="00266836">
        <w:rPr>
          <w:i/>
          <w:iCs/>
          <w:lang w:val="fr-FR" w:eastAsia="fr-FR"/>
        </w:rPr>
        <w:t>Health Services</w:t>
      </w:r>
      <w:r w:rsidRPr="00895608">
        <w:rPr>
          <w:lang w:val="fr-FR" w:eastAsia="fr-FR"/>
        </w:rPr>
        <w:t>, «</w:t>
      </w:r>
      <w:r w:rsidR="00F155D0">
        <w:rPr>
          <w:lang w:val="fr-FR" w:eastAsia="fr-FR"/>
        </w:rPr>
        <w:t> </w:t>
      </w:r>
      <w:r w:rsidRPr="00895608">
        <w:rPr>
          <w:lang w:val="fr-FR" w:eastAsia="fr-FR"/>
        </w:rPr>
        <w:t>un des succès fondamentaux résultant de la négociation collective est de pallier l’inégalité qui a toujours existé entre employeur et employés . . .</w:t>
      </w:r>
      <w:r w:rsidR="00F155D0">
        <w:rPr>
          <w:lang w:val="fr-FR" w:eastAsia="fr-FR"/>
        </w:rPr>
        <w:t> </w:t>
      </w:r>
      <w:r w:rsidRPr="00895608">
        <w:rPr>
          <w:lang w:val="fr-FR" w:eastAsia="fr-FR"/>
        </w:rPr>
        <w:t>» (par. 84).</w:t>
      </w:r>
      <w:r>
        <w:rPr>
          <w:lang w:val="fr-FR" w:eastAsia="fr-FR"/>
        </w:rPr>
        <w:t xml:space="preserve"> </w:t>
      </w:r>
      <w:r w:rsidRPr="005179CA">
        <w:rPr>
          <w:u w:val="single"/>
          <w:lang w:val="fr-FR" w:eastAsia="fr-FR"/>
        </w:rPr>
        <w:t xml:space="preserve">Ainsi, le mécanisme qui porte substantiellement atteinte à un processus </w:t>
      </w:r>
      <w:r w:rsidR="005179CA" w:rsidRPr="005179CA">
        <w:rPr>
          <w:u w:val="single"/>
          <w:lang w:val="fr-FR" w:eastAsia="fr-FR"/>
        </w:rPr>
        <w:t>véritable</w:t>
      </w:r>
      <w:r w:rsidRPr="005179CA">
        <w:rPr>
          <w:u w:val="single"/>
          <w:lang w:val="fr-FR" w:eastAsia="fr-FR"/>
        </w:rPr>
        <w:t xml:space="preserve"> de négociation collective en réduisant le </w:t>
      </w:r>
      <w:r w:rsidR="005179CA" w:rsidRPr="005179CA">
        <w:rPr>
          <w:u w:val="single"/>
          <w:lang w:val="fr-FR" w:eastAsia="fr-FR"/>
        </w:rPr>
        <w:t>pouvoir</w:t>
      </w:r>
      <w:r w:rsidRPr="005179CA">
        <w:rPr>
          <w:u w:val="single"/>
          <w:lang w:val="fr-FR" w:eastAsia="fr-FR"/>
        </w:rPr>
        <w:t xml:space="preserve"> de négociation des employés ne </w:t>
      </w:r>
      <w:r w:rsidR="005179CA" w:rsidRPr="005179CA">
        <w:rPr>
          <w:u w:val="single"/>
          <w:lang w:val="fr-FR" w:eastAsia="fr-FR"/>
        </w:rPr>
        <w:t>respecte</w:t>
      </w:r>
      <w:r w:rsidRPr="005179CA">
        <w:rPr>
          <w:u w:val="single"/>
          <w:lang w:val="fr-FR" w:eastAsia="fr-FR"/>
        </w:rPr>
        <w:t xml:space="preserve"> </w:t>
      </w:r>
      <w:r w:rsidR="005179CA" w:rsidRPr="005179CA">
        <w:rPr>
          <w:u w:val="single"/>
          <w:lang w:val="fr-FR" w:eastAsia="fr-FR"/>
        </w:rPr>
        <w:t>pas la liberté d’association garantie par l’al. 2</w:t>
      </w:r>
      <w:r w:rsidR="005179CA" w:rsidRPr="005179CA">
        <w:rPr>
          <w:i/>
          <w:iCs/>
          <w:u w:val="single"/>
          <w:lang w:val="fr-FR" w:eastAsia="fr-FR"/>
        </w:rPr>
        <w:t>d</w:t>
      </w:r>
      <w:r w:rsidR="005179CA" w:rsidRPr="008C2ABA">
        <w:rPr>
          <w:u w:val="single"/>
          <w:lang w:val="fr-FR" w:eastAsia="fr-FR"/>
        </w:rPr>
        <w:t>)</w:t>
      </w:r>
      <w:r w:rsidR="005179CA" w:rsidRPr="00E94652">
        <w:rPr>
          <w:lang w:val="fr-FR" w:eastAsia="fr-FR"/>
        </w:rPr>
        <w:t>.</w:t>
      </w:r>
    </w:p>
    <w:p w14:paraId="24BBDA8D" w14:textId="448435CF" w:rsidR="0078325E" w:rsidRDefault="00CC2A9F" w:rsidP="00442950">
      <w:pPr>
        <w:pStyle w:val="citation"/>
        <w:spacing w:after="240"/>
        <w:rPr>
          <w:lang w:eastAsia="fr-FR"/>
        </w:rPr>
      </w:pPr>
      <w:r w:rsidRPr="00837D44">
        <w:rPr>
          <w:lang w:eastAsia="fr-FR"/>
        </w:rPr>
        <w:t>[72]</w:t>
      </w:r>
      <w:r w:rsidRPr="00837D44">
        <w:rPr>
          <w:lang w:eastAsia="fr-FR"/>
        </w:rPr>
        <w:tab/>
      </w:r>
      <w:r w:rsidRPr="00837D44">
        <w:rPr>
          <w:u w:val="single"/>
          <w:lang w:eastAsia="fr-FR"/>
        </w:rPr>
        <w:t>L’équilibre nécessaire à la poursuite véritable d’objectifs relatifs au travail peut être rompu de maintes façons</w:t>
      </w:r>
      <w:r w:rsidRPr="00E94652">
        <w:rPr>
          <w:lang w:eastAsia="fr-FR"/>
        </w:rPr>
        <w:t>.</w:t>
      </w:r>
      <w:r w:rsidRPr="00837D44">
        <w:rPr>
          <w:lang w:eastAsia="fr-FR"/>
        </w:rPr>
        <w:t xml:space="preserve"> Des lois et des règlements peuvent restreindre les sujets susceptibles de faire l’objet de négociation ou imposer des résultats arbitraires. Ils peuvent interdire l’action collective des employés sans offrir de mesures de protection adéquate en compensation et réduire ainsi leur pouvoir de négociation. Ils peuvent rendre impossible la réalisation des objectifs des employés relatifs aux conditions de travail. Ou encore, des lois et des règlements pourraient établir un processus que les employés seraient incapables de contrôler ou d’influencer. </w:t>
      </w:r>
      <w:r w:rsidRPr="00837D44">
        <w:rPr>
          <w:u w:val="single"/>
          <w:lang w:eastAsia="fr-FR"/>
        </w:rPr>
        <w:t>Quelle que soit la restriction, il faut essentiellement déterminer si les mesures en question perturbent l’équilibre de</w:t>
      </w:r>
      <w:r>
        <w:rPr>
          <w:u w:val="single"/>
          <w:lang w:eastAsia="fr-FR"/>
        </w:rPr>
        <w:t>s</w:t>
      </w:r>
      <w:r w:rsidRPr="00837D44">
        <w:rPr>
          <w:u w:val="single"/>
          <w:lang w:eastAsia="fr-FR"/>
        </w:rPr>
        <w:t xml:space="preserve"> rapports de force entre les employés et l’employeur que l’al. 2</w:t>
      </w:r>
      <w:r w:rsidRPr="00837D44">
        <w:rPr>
          <w:i/>
          <w:u w:val="single"/>
          <w:lang w:eastAsia="fr-FR"/>
        </w:rPr>
        <w:t>d</w:t>
      </w:r>
      <w:r w:rsidRPr="000B2A4A">
        <w:rPr>
          <w:iCs/>
          <w:u w:val="single"/>
          <w:lang w:eastAsia="fr-FR"/>
        </w:rPr>
        <w:t>)</w:t>
      </w:r>
      <w:r w:rsidRPr="00837D44">
        <w:rPr>
          <w:u w:val="single"/>
          <w:lang w:eastAsia="fr-FR"/>
        </w:rPr>
        <w:t xml:space="preserve"> vise à établir, de telle sorte qu’elles interfèrent de façon substantielle avec un processus véritable de négociation collective</w:t>
      </w:r>
      <w:r w:rsidRPr="00837D44">
        <w:rPr>
          <w:lang w:eastAsia="fr-FR"/>
        </w:rPr>
        <w:t xml:space="preserve"> (</w:t>
      </w:r>
      <w:r w:rsidRPr="00837D44">
        <w:rPr>
          <w:i/>
          <w:lang w:eastAsia="fr-FR"/>
        </w:rPr>
        <w:t>Health Services</w:t>
      </w:r>
      <w:r w:rsidRPr="00837D44">
        <w:rPr>
          <w:lang w:eastAsia="fr-FR"/>
        </w:rPr>
        <w:t>, par. 90).</w:t>
      </w:r>
    </w:p>
    <w:p w14:paraId="6553B67E" w14:textId="1546E5D0" w:rsidR="00CC2A9F" w:rsidRPr="001511F4" w:rsidRDefault="0078325E" w:rsidP="00442950">
      <w:pPr>
        <w:pStyle w:val="citation"/>
        <w:spacing w:after="240"/>
        <w:rPr>
          <w:sz w:val="22"/>
          <w:szCs w:val="22"/>
          <w:lang w:eastAsia="fr-FR"/>
        </w:rPr>
      </w:pPr>
      <w:r w:rsidRPr="001511F4">
        <w:rPr>
          <w:sz w:val="22"/>
          <w:szCs w:val="22"/>
          <w:lang w:eastAsia="fr-FR"/>
        </w:rPr>
        <w:t>[…]</w:t>
      </w:r>
    </w:p>
    <w:p w14:paraId="24552CC8" w14:textId="26990AEB" w:rsidR="0078325E" w:rsidRDefault="0078325E" w:rsidP="00442950">
      <w:pPr>
        <w:pStyle w:val="citation"/>
        <w:spacing w:after="240"/>
        <w:rPr>
          <w:sz w:val="22"/>
          <w:szCs w:val="22"/>
          <w:lang w:eastAsia="fr-FR"/>
        </w:rPr>
      </w:pPr>
      <w:r w:rsidRPr="00837D44">
        <w:rPr>
          <w:lang w:eastAsia="fr-FR"/>
        </w:rPr>
        <w:t>[80]</w:t>
      </w:r>
      <w:r w:rsidRPr="00837D44">
        <w:rPr>
          <w:lang w:eastAsia="fr-FR"/>
        </w:rPr>
        <w:tab/>
        <w:t>Pour récapituler, l’al. 2</w:t>
      </w:r>
      <w:r w:rsidRPr="00837D44">
        <w:rPr>
          <w:i/>
          <w:lang w:eastAsia="fr-FR"/>
        </w:rPr>
        <w:t>d</w:t>
      </w:r>
      <w:r w:rsidRPr="000B2A4A">
        <w:rPr>
          <w:iCs/>
          <w:lang w:eastAsia="fr-FR"/>
        </w:rPr>
        <w:t>)</w:t>
      </w:r>
      <w:r w:rsidRPr="00837D44">
        <w:rPr>
          <w:lang w:eastAsia="fr-FR"/>
        </w:rPr>
        <w:t xml:space="preserve"> protège contre une entrave substantielle au droit à un processus véritable de négociation collective. </w:t>
      </w:r>
      <w:r w:rsidRPr="00837D44">
        <w:rPr>
          <w:u w:val="single"/>
          <w:lang w:eastAsia="fr-FR"/>
        </w:rPr>
        <w:t>Historiquement, les travailleurs se sont associés pour «</w:t>
      </w:r>
      <w:r w:rsidR="00D45041">
        <w:rPr>
          <w:u w:val="single"/>
          <w:lang w:eastAsia="fr-FR"/>
        </w:rPr>
        <w:t> </w:t>
      </w:r>
      <w:r w:rsidRPr="00837D44">
        <w:rPr>
          <w:u w:val="single"/>
          <w:lang w:eastAsia="fr-FR"/>
        </w:rPr>
        <w:t>faire face, à armes plus égales, à la puissance et à la force de ceux avec qui leurs intérêts interagissaient et, peut-être même, entraient en conflit</w:t>
      </w:r>
      <w:r w:rsidR="00D93C24">
        <w:rPr>
          <w:u w:val="single"/>
          <w:lang w:eastAsia="fr-FR"/>
        </w:rPr>
        <w:t> </w:t>
      </w:r>
      <w:r w:rsidRPr="00837D44">
        <w:rPr>
          <w:u w:val="single"/>
          <w:lang w:eastAsia="fr-FR"/>
        </w:rPr>
        <w:t>», c’est-à-dire leur employeur</w:t>
      </w:r>
      <w:r w:rsidRPr="00837D44">
        <w:rPr>
          <w:lang w:eastAsia="fr-FR"/>
        </w:rPr>
        <w:t xml:space="preserve"> (</w:t>
      </w:r>
      <w:r w:rsidRPr="00837D44">
        <w:rPr>
          <w:i/>
          <w:lang w:eastAsia="fr-FR"/>
        </w:rPr>
        <w:t>Renvoi relatif à l’Alberta</w:t>
      </w:r>
      <w:r w:rsidRPr="00837D44">
        <w:rPr>
          <w:lang w:eastAsia="fr-FR"/>
        </w:rPr>
        <w:t>, p. 366). La garantie prévue à l’al. 2</w:t>
      </w:r>
      <w:r w:rsidRPr="00837D44">
        <w:rPr>
          <w:i/>
          <w:lang w:eastAsia="fr-FR"/>
        </w:rPr>
        <w:t>d</w:t>
      </w:r>
      <w:r w:rsidRPr="000B2A4A">
        <w:rPr>
          <w:iCs/>
          <w:lang w:eastAsia="fr-FR"/>
        </w:rPr>
        <w:t>)</w:t>
      </w:r>
      <w:r w:rsidRPr="00D93C24">
        <w:rPr>
          <w:iCs/>
          <w:lang w:eastAsia="fr-FR"/>
        </w:rPr>
        <w:t xml:space="preserve"> </w:t>
      </w:r>
      <w:r w:rsidRPr="00837D44">
        <w:rPr>
          <w:lang w:eastAsia="fr-FR"/>
        </w:rPr>
        <w:t>de la Charte ne peut faire abstraction du déséquilibre des forces en présence dans le contexte des relations du travail</w:t>
      </w:r>
      <w:r w:rsidRPr="00837D44">
        <w:rPr>
          <w:i/>
          <w:lang w:eastAsia="fr-FR"/>
        </w:rPr>
        <w:t>.</w:t>
      </w:r>
      <w:r w:rsidRPr="00837D44">
        <w:rPr>
          <w:lang w:eastAsia="fr-FR"/>
        </w:rPr>
        <w:t xml:space="preserve"> Le permettre reviendrait à ne pas tenir compte «</w:t>
      </w:r>
      <w:r w:rsidR="0066679E">
        <w:rPr>
          <w:lang w:eastAsia="fr-FR"/>
        </w:rPr>
        <w:t> </w:t>
      </w:r>
      <w:r w:rsidRPr="00837D44">
        <w:rPr>
          <w:lang w:eastAsia="fr-FR"/>
        </w:rPr>
        <w:t>des origines historiques des concepts enchâssés</w:t>
      </w:r>
      <w:r w:rsidR="0066679E">
        <w:rPr>
          <w:lang w:eastAsia="fr-FR"/>
        </w:rPr>
        <w:t> </w:t>
      </w:r>
      <w:r w:rsidRPr="00837D44">
        <w:rPr>
          <w:lang w:eastAsia="fr-FR"/>
        </w:rPr>
        <w:t>» à l’al. 2</w:t>
      </w:r>
      <w:r w:rsidRPr="00837D44">
        <w:rPr>
          <w:i/>
          <w:lang w:eastAsia="fr-FR"/>
        </w:rPr>
        <w:t>d</w:t>
      </w:r>
      <w:r w:rsidRPr="008C2ABA">
        <w:rPr>
          <w:iCs/>
          <w:lang w:eastAsia="fr-FR"/>
        </w:rPr>
        <w:t>)</w:t>
      </w:r>
      <w:r w:rsidRPr="00837D44">
        <w:rPr>
          <w:lang w:eastAsia="fr-FR"/>
        </w:rPr>
        <w:t xml:space="preserve"> (</w:t>
      </w:r>
      <w:r w:rsidRPr="00837D44">
        <w:rPr>
          <w:i/>
          <w:lang w:eastAsia="fr-FR"/>
        </w:rPr>
        <w:t>Big M Drug Mart</w:t>
      </w:r>
      <w:r w:rsidRPr="00837D44">
        <w:rPr>
          <w:lang w:eastAsia="fr-FR"/>
        </w:rPr>
        <w:t xml:space="preserve">, p. 344). </w:t>
      </w:r>
      <w:r w:rsidRPr="00837D44">
        <w:rPr>
          <w:u w:val="single"/>
          <w:lang w:eastAsia="fr-FR"/>
        </w:rPr>
        <w:t xml:space="preserve">Portera donc atteinte au droit à un processus véritable de négociation collective tout régime législatif qui prive les employés de protections adéquates dans leurs interactions avec l’employeur de manière à créer une </w:t>
      </w:r>
      <w:r w:rsidRPr="008F2C63">
        <w:rPr>
          <w:bCs/>
          <w:u w:val="single"/>
          <w:lang w:eastAsia="fr-FR"/>
        </w:rPr>
        <w:t>entrave substantielle</w:t>
      </w:r>
      <w:r w:rsidRPr="00837D44">
        <w:rPr>
          <w:u w:val="single"/>
          <w:lang w:eastAsia="fr-FR"/>
        </w:rPr>
        <w:t xml:space="preserve"> à leur capacité de véritablement mener des négociations collectives</w:t>
      </w:r>
      <w:r w:rsidRPr="00837D44">
        <w:rPr>
          <w:lang w:eastAsia="fr-FR"/>
        </w:rPr>
        <w:t>.</w:t>
      </w:r>
    </w:p>
    <w:p w14:paraId="6DA03FF6" w14:textId="08978D21" w:rsidR="00CC2A9F" w:rsidRPr="00442950" w:rsidRDefault="00CC2A9F" w:rsidP="00442950">
      <w:pPr>
        <w:pStyle w:val="citation"/>
        <w:spacing w:after="360"/>
        <w:rPr>
          <w:sz w:val="24"/>
          <w:szCs w:val="24"/>
          <w:lang w:eastAsia="fr-FR"/>
        </w:rPr>
      </w:pPr>
      <w:r>
        <w:rPr>
          <w:sz w:val="24"/>
          <w:szCs w:val="24"/>
          <w:lang w:eastAsia="fr-FR"/>
        </w:rPr>
        <w:t>[No</w:t>
      </w:r>
      <w:r w:rsidR="001E39B5">
        <w:rPr>
          <w:sz w:val="24"/>
          <w:szCs w:val="24"/>
          <w:lang w:eastAsia="fr-FR"/>
        </w:rPr>
        <w:t>s</w:t>
      </w:r>
      <w:r>
        <w:rPr>
          <w:sz w:val="24"/>
          <w:szCs w:val="24"/>
          <w:lang w:eastAsia="fr-FR"/>
        </w:rPr>
        <w:t xml:space="preserve"> s</w:t>
      </w:r>
      <w:r w:rsidRPr="000D30E8">
        <w:rPr>
          <w:sz w:val="24"/>
          <w:szCs w:val="24"/>
          <w:lang w:eastAsia="fr-FR"/>
        </w:rPr>
        <w:t>oulignement</w:t>
      </w:r>
      <w:r w:rsidR="001E39B5">
        <w:rPr>
          <w:sz w:val="24"/>
          <w:szCs w:val="24"/>
          <w:lang w:eastAsia="fr-FR"/>
        </w:rPr>
        <w:t>s</w:t>
      </w:r>
      <w:r>
        <w:rPr>
          <w:sz w:val="24"/>
          <w:szCs w:val="24"/>
          <w:lang w:eastAsia="fr-FR"/>
        </w:rPr>
        <w:t>]</w:t>
      </w:r>
    </w:p>
    <w:p w14:paraId="4459FEAF" w14:textId="0E873980" w:rsidR="00CC2A9F" w:rsidRDefault="00CC2A9F" w:rsidP="00561BEA">
      <w:pPr>
        <w:pStyle w:val="corpsdedcision"/>
        <w:tabs>
          <w:tab w:val="clear" w:pos="360"/>
        </w:tabs>
        <w:rPr>
          <w:lang w:eastAsia="fr-FR"/>
        </w:rPr>
      </w:pPr>
      <w:r w:rsidRPr="00895608">
        <w:rPr>
          <w:lang w:eastAsia="fr-FR"/>
        </w:rPr>
        <w:t>De plus, la Cour précise qu’il n’est pas requis de démontrer que la mesure de l’État entraine une « </w:t>
      </w:r>
      <w:r w:rsidRPr="00895608">
        <w:rPr>
          <w:rStyle w:val="Citationintgre"/>
        </w:rPr>
        <w:t>impossibilité</w:t>
      </w:r>
      <w:r w:rsidRPr="00895608">
        <w:rPr>
          <w:lang w:eastAsia="fr-FR"/>
        </w:rPr>
        <w:t xml:space="preserve"> » effective de réaliser les objectifs relatifs au travail, </w:t>
      </w:r>
      <w:r w:rsidR="005179CA">
        <w:rPr>
          <w:lang w:eastAsia="fr-FR"/>
        </w:rPr>
        <w:t xml:space="preserve">comme l’avait laissé entendre l’arrêt </w:t>
      </w:r>
      <w:r w:rsidR="005179CA" w:rsidRPr="005179CA">
        <w:rPr>
          <w:i/>
          <w:iCs/>
          <w:lang w:eastAsia="fr-FR"/>
        </w:rPr>
        <w:t>Fraser</w:t>
      </w:r>
      <w:r w:rsidR="005179CA" w:rsidRPr="00057AAF">
        <w:rPr>
          <w:rStyle w:val="Appelnotedebasdep"/>
          <w:lang w:eastAsia="fr-FR"/>
        </w:rPr>
        <w:footnoteReference w:id="85"/>
      </w:r>
      <w:r w:rsidR="005179CA">
        <w:rPr>
          <w:lang w:eastAsia="fr-FR"/>
        </w:rPr>
        <w:t xml:space="preserve">, </w:t>
      </w:r>
      <w:r w:rsidRPr="00895608">
        <w:rPr>
          <w:lang w:eastAsia="fr-FR"/>
        </w:rPr>
        <w:t>mais bien une « </w:t>
      </w:r>
      <w:r w:rsidRPr="00895608">
        <w:rPr>
          <w:rStyle w:val="Citationintgre"/>
        </w:rPr>
        <w:t>entrave substantielle</w:t>
      </w:r>
      <w:r w:rsidRPr="00895608">
        <w:rPr>
          <w:lang w:eastAsia="fr-FR"/>
        </w:rPr>
        <w:t> »</w:t>
      </w:r>
      <w:r w:rsidR="005179CA">
        <w:rPr>
          <w:rStyle w:val="Appelnotedebasdep"/>
          <w:lang w:eastAsia="fr-FR"/>
        </w:rPr>
        <w:footnoteReference w:id="86"/>
      </w:r>
      <w:r w:rsidRPr="00895608">
        <w:rPr>
          <w:lang w:eastAsia="fr-FR"/>
        </w:rPr>
        <w:t>.</w:t>
      </w:r>
    </w:p>
    <w:p w14:paraId="4B8C5B70" w14:textId="6F4D7D48" w:rsidR="00CC2A9F" w:rsidRDefault="00CC2A9F" w:rsidP="00442950">
      <w:pPr>
        <w:pStyle w:val="corpsdedcision"/>
        <w:tabs>
          <w:tab w:val="clear" w:pos="360"/>
        </w:tabs>
        <w:spacing w:after="240"/>
        <w:rPr>
          <w:lang w:eastAsia="fr-FR"/>
        </w:rPr>
      </w:pPr>
      <w:r>
        <w:rPr>
          <w:lang w:eastAsia="fr-FR"/>
        </w:rPr>
        <w:t xml:space="preserve">La Cour aborde à nouveau la question du rapport de force dans l’arrêt </w:t>
      </w:r>
      <w:r w:rsidRPr="002B06D2">
        <w:rPr>
          <w:i/>
          <w:iCs/>
          <w:lang w:eastAsia="fr-FR"/>
        </w:rPr>
        <w:t>Saskatchewan</w:t>
      </w:r>
      <w:r w:rsidRPr="004F10D1">
        <w:rPr>
          <w:rStyle w:val="Appelnotedebasdep"/>
          <w:lang w:eastAsia="fr-FR"/>
        </w:rPr>
        <w:footnoteReference w:id="87"/>
      </w:r>
      <w:r>
        <w:rPr>
          <w:lang w:eastAsia="fr-FR"/>
        </w:rPr>
        <w:t xml:space="preserve">, alors qu’elle </w:t>
      </w:r>
      <w:r w:rsidR="00413B8D">
        <w:rPr>
          <w:lang w:eastAsia="fr-FR"/>
        </w:rPr>
        <w:t>insiste sur le caractère indispensable d</w:t>
      </w:r>
      <w:r>
        <w:rPr>
          <w:lang w:eastAsia="fr-FR"/>
        </w:rPr>
        <w:t>e la grève pour permettre aux salariés de négocier davantage sur un pied d’égalité avec l’employeur :</w:t>
      </w:r>
    </w:p>
    <w:p w14:paraId="2E8D2E26" w14:textId="6A06F60B" w:rsidR="00CC2A9F" w:rsidRDefault="00CC2A9F" w:rsidP="00442950">
      <w:pPr>
        <w:pStyle w:val="citation"/>
        <w:spacing w:after="360"/>
        <w:rPr>
          <w:lang w:eastAsia="fr-FR"/>
        </w:rPr>
      </w:pPr>
      <w:r>
        <w:rPr>
          <w:lang w:eastAsia="fr-FR"/>
        </w:rPr>
        <w:t>[55]</w:t>
      </w:r>
      <w:r w:rsidR="002F4B70">
        <w:rPr>
          <w:lang w:eastAsia="fr-FR"/>
        </w:rPr>
        <w:tab/>
      </w:r>
      <w:r>
        <w:rPr>
          <w:lang w:eastAsia="fr-FR"/>
        </w:rPr>
        <w:t>La grève — le «</w:t>
      </w:r>
      <w:r w:rsidR="00655529">
        <w:rPr>
          <w:lang w:eastAsia="fr-FR"/>
        </w:rPr>
        <w:t> </w:t>
      </w:r>
      <w:r>
        <w:rPr>
          <w:lang w:eastAsia="fr-FR"/>
        </w:rPr>
        <w:t>moteur</w:t>
      </w:r>
      <w:r w:rsidR="00655529">
        <w:rPr>
          <w:lang w:eastAsia="fr-FR"/>
        </w:rPr>
        <w:t> </w:t>
      </w:r>
      <w:r>
        <w:rPr>
          <w:lang w:eastAsia="fr-FR"/>
        </w:rPr>
        <w:t xml:space="preserve">» de la négociation collective — favorise aussi l’égalité dans le processus de négociation (England, p. 188). La Cour reconnaît depuis longtemps les inégalités marquées qui façonnent les relations entre employeurs et salariés, ainsi que la vulnérabilité des salariés dans ce contexte. </w:t>
      </w:r>
      <w:r w:rsidRPr="00442950">
        <w:rPr>
          <w:sz w:val="24"/>
          <w:szCs w:val="24"/>
          <w:lang w:eastAsia="fr-FR"/>
        </w:rPr>
        <w:t>[…]</w:t>
      </w:r>
    </w:p>
    <w:p w14:paraId="3C523A42" w14:textId="3D236838" w:rsidR="00E409D2" w:rsidRDefault="00D52F6D" w:rsidP="00442950">
      <w:pPr>
        <w:pStyle w:val="corpsdedcision"/>
        <w:spacing w:after="240"/>
        <w:rPr>
          <w:lang w:eastAsia="fr-FR"/>
        </w:rPr>
      </w:pPr>
      <w:r>
        <w:rPr>
          <w:lang w:eastAsia="fr-FR"/>
        </w:rPr>
        <w:t xml:space="preserve">Elle s’appuie sur l’approche adoptée dans l’arrêt </w:t>
      </w:r>
      <w:r w:rsidRPr="00D86F07">
        <w:rPr>
          <w:i/>
          <w:iCs/>
          <w:lang w:eastAsia="fr-FR"/>
        </w:rPr>
        <w:t>APMO</w:t>
      </w:r>
      <w:r>
        <w:rPr>
          <w:lang w:eastAsia="fr-FR"/>
        </w:rPr>
        <w:t xml:space="preserve"> pour énoncer le test qui permet de déterminer quelle limite au droit de grève porte</w:t>
      </w:r>
      <w:r w:rsidR="001857B8">
        <w:rPr>
          <w:lang w:eastAsia="fr-FR"/>
        </w:rPr>
        <w:t xml:space="preserve"> </w:t>
      </w:r>
      <w:r w:rsidR="007D7A14">
        <w:rPr>
          <w:lang w:eastAsia="fr-FR"/>
        </w:rPr>
        <w:t>atteinte au</w:t>
      </w:r>
      <w:r w:rsidR="001857B8">
        <w:rPr>
          <w:lang w:eastAsia="fr-FR"/>
        </w:rPr>
        <w:t xml:space="preserve"> droit garanti à l’al</w:t>
      </w:r>
      <w:r w:rsidR="00272F20">
        <w:rPr>
          <w:lang w:eastAsia="fr-FR"/>
        </w:rPr>
        <w:t>inéa</w:t>
      </w:r>
      <w:r w:rsidR="007D7A14">
        <w:rPr>
          <w:lang w:eastAsia="fr-FR"/>
        </w:rPr>
        <w:t xml:space="preserve"> </w:t>
      </w:r>
      <w:r w:rsidR="001857B8">
        <w:rPr>
          <w:lang w:eastAsia="fr-FR"/>
        </w:rPr>
        <w:t>2</w:t>
      </w:r>
      <w:r w:rsidR="001857B8" w:rsidRPr="007D7A14">
        <w:rPr>
          <w:i/>
          <w:iCs/>
          <w:lang w:eastAsia="fr-FR"/>
        </w:rPr>
        <w:t>d</w:t>
      </w:r>
      <w:r w:rsidR="001857B8" w:rsidRPr="00D86F07">
        <w:rPr>
          <w:lang w:eastAsia="fr-FR"/>
        </w:rPr>
        <w:t>)</w:t>
      </w:r>
      <w:r w:rsidR="001857B8">
        <w:rPr>
          <w:lang w:eastAsia="fr-FR"/>
        </w:rPr>
        <w:t xml:space="preserve"> de la Charte canadienne</w:t>
      </w:r>
      <w:r w:rsidR="00442950">
        <w:rPr>
          <w:lang w:eastAsia="fr-FR"/>
        </w:rPr>
        <w:t> </w:t>
      </w:r>
      <w:r w:rsidR="001857B8">
        <w:rPr>
          <w:lang w:eastAsia="fr-FR"/>
        </w:rPr>
        <w:t>:</w:t>
      </w:r>
    </w:p>
    <w:p w14:paraId="18DBE659" w14:textId="38591C27" w:rsidR="001857B8" w:rsidRDefault="001857B8" w:rsidP="009F74C0">
      <w:pPr>
        <w:pStyle w:val="citation"/>
        <w:spacing w:after="120"/>
        <w:rPr>
          <w:lang w:eastAsia="fr-FR"/>
        </w:rPr>
      </w:pPr>
      <w:r>
        <w:rPr>
          <w:lang w:eastAsia="fr-FR"/>
        </w:rPr>
        <w:t>[77]</w:t>
      </w:r>
      <w:r>
        <w:rPr>
          <w:lang w:eastAsia="fr-FR"/>
        </w:rPr>
        <w:tab/>
        <w:t>Cela nous amène au test qui permet de déterminer s’il y a ou non atteinte au droit garanti à l’al. 2</w:t>
      </w:r>
      <w:r w:rsidRPr="007D7A14">
        <w:rPr>
          <w:i/>
          <w:iCs/>
          <w:lang w:eastAsia="fr-FR"/>
        </w:rPr>
        <w:t>d</w:t>
      </w:r>
      <w:r w:rsidRPr="00D86F07">
        <w:rPr>
          <w:lang w:eastAsia="fr-FR"/>
        </w:rPr>
        <w:t>)</w:t>
      </w:r>
      <w:r w:rsidRPr="007D7A14">
        <w:rPr>
          <w:lang w:eastAsia="fr-FR"/>
        </w:rPr>
        <w:t>.</w:t>
      </w:r>
      <w:r>
        <w:rPr>
          <w:lang w:eastAsia="fr-FR"/>
        </w:rPr>
        <w:t xml:space="preserve"> Le droit de grève est protégé en raison de sa fonction unique dans le processus de négociation collective. Dans </w:t>
      </w:r>
      <w:r w:rsidRPr="00863B6D">
        <w:rPr>
          <w:i/>
          <w:iCs/>
          <w:lang w:eastAsia="fr-FR"/>
        </w:rPr>
        <w:t>Health Services</w:t>
      </w:r>
      <w:r>
        <w:rPr>
          <w:lang w:eastAsia="fr-FR"/>
        </w:rPr>
        <w:t xml:space="preserve">, la Cour dit </w:t>
      </w:r>
      <w:r w:rsidR="00863B6D">
        <w:rPr>
          <w:lang w:eastAsia="fr-FR"/>
        </w:rPr>
        <w:t>de cet</w:t>
      </w:r>
      <w:r>
        <w:rPr>
          <w:lang w:eastAsia="fr-FR"/>
        </w:rPr>
        <w:t xml:space="preserve"> alinéa qu’il empêche l’État </w:t>
      </w:r>
      <w:r w:rsidR="00863B6D">
        <w:rPr>
          <w:lang w:eastAsia="fr-FR"/>
        </w:rPr>
        <w:t>d’entraver substantiellement</w:t>
      </w:r>
      <w:r>
        <w:rPr>
          <w:lang w:eastAsia="fr-FR"/>
        </w:rPr>
        <w:t xml:space="preserve"> la faculté des </w:t>
      </w:r>
      <w:r w:rsidR="00863B6D">
        <w:rPr>
          <w:lang w:eastAsia="fr-FR"/>
        </w:rPr>
        <w:t>travailleurs</w:t>
      </w:r>
      <w:r>
        <w:rPr>
          <w:lang w:eastAsia="fr-FR"/>
        </w:rPr>
        <w:t xml:space="preserve"> d’agir de manière concertée par l’entremise de leur syndicat afin d’exercer une influence véritable sur leurs conditions de travail dans le cadre d’un processus de négociation collective (par. 90). La juge en chef McLachlin et le juge LeBel confirment d’ailleurs ce qui suit dans </w:t>
      </w:r>
      <w:r w:rsidRPr="00863B6D">
        <w:rPr>
          <w:i/>
          <w:iCs/>
          <w:lang w:eastAsia="fr-FR"/>
        </w:rPr>
        <w:t>Police monté</w:t>
      </w:r>
      <w:r w:rsidRPr="005447F3">
        <w:rPr>
          <w:i/>
          <w:iCs/>
          <w:lang w:eastAsia="fr-FR"/>
        </w:rPr>
        <w:t>e</w:t>
      </w:r>
      <w:r w:rsidR="005447F3">
        <w:rPr>
          <w:i/>
          <w:iCs/>
          <w:lang w:eastAsia="fr-FR"/>
        </w:rPr>
        <w:t> </w:t>
      </w:r>
      <w:r w:rsidRPr="005447F3">
        <w:rPr>
          <w:lang w:eastAsia="fr-FR"/>
        </w:rPr>
        <w:t>:</w:t>
      </w:r>
    </w:p>
    <w:p w14:paraId="5D6B44E2" w14:textId="60A72102" w:rsidR="001857B8" w:rsidRDefault="001857B8" w:rsidP="009F74C0">
      <w:pPr>
        <w:pStyle w:val="Citationendoubleretrait"/>
        <w:spacing w:after="240"/>
      </w:pPr>
      <w:r>
        <w:t>L’équilibre nécessaire à la poursuite véritable d’objectifs relatifs au travail peut être rompu de maintes façons. Des lois et des règlements peuvent restreindre les sujets susceptibles de faire l’objet de négociation ou imposer des résultats arbitraires. Ils peuvent interdire l’action collective des employés sans offrir de mesures de protection adéquate en compensation et réduire ainsi leur pouvoir de négociation</w:t>
      </w:r>
      <w:r w:rsidRPr="00EC5FEC">
        <w:rPr>
          <w:sz w:val="20"/>
        </w:rPr>
        <w:t>. [. . .]</w:t>
      </w:r>
      <w:r>
        <w:t xml:space="preserve"> Quelle que soit la nature de la restriction</w:t>
      </w:r>
      <w:r w:rsidRPr="001857B8">
        <w:rPr>
          <w:i/>
          <w:iCs/>
        </w:rPr>
        <w:t>, il faut essentiellement déterminer si les mesures en question perturbent l’équilibre des rapports de force entre les employés et l’employeur que l’al. 2d</w:t>
      </w:r>
      <w:r w:rsidRPr="00D86F07">
        <w:t>)</w:t>
      </w:r>
      <w:r w:rsidRPr="001857B8">
        <w:rPr>
          <w:i/>
          <w:iCs/>
        </w:rPr>
        <w:t xml:space="preserve"> vise à établir, de telle sorte qu’elles </w:t>
      </w:r>
      <w:r w:rsidR="008F2C63" w:rsidRPr="001857B8">
        <w:rPr>
          <w:i/>
          <w:iCs/>
        </w:rPr>
        <w:t>interfèrent de</w:t>
      </w:r>
      <w:r w:rsidRPr="001857B8">
        <w:rPr>
          <w:i/>
          <w:iCs/>
        </w:rPr>
        <w:t xml:space="preserve"> façon substantielle avec un processus véritable de négociation collective</w:t>
      </w:r>
      <w:r>
        <w:t xml:space="preserve"> . . . [Italiques ajoutés; par. 72.]</w:t>
      </w:r>
    </w:p>
    <w:p w14:paraId="7C75E781" w14:textId="49E0CF4D" w:rsidR="00CC2A9F" w:rsidRDefault="00CC2A9F" w:rsidP="009F74C0">
      <w:pPr>
        <w:pStyle w:val="citation"/>
        <w:spacing w:after="240"/>
        <w:rPr>
          <w:lang w:eastAsia="fr-FR"/>
        </w:rPr>
      </w:pPr>
      <w:r>
        <w:rPr>
          <w:lang w:eastAsia="fr-FR"/>
        </w:rPr>
        <w:t>[78]</w:t>
      </w:r>
      <w:r>
        <w:rPr>
          <w:lang w:eastAsia="fr-FR"/>
        </w:rPr>
        <w:tab/>
      </w:r>
      <w:r w:rsidRPr="00EC0F59">
        <w:rPr>
          <w:rStyle w:val="Citationintgre"/>
          <w:i w:val="0"/>
          <w:sz w:val="20"/>
          <w:u w:val="single"/>
        </w:rPr>
        <w:t xml:space="preserve">Le test consiste alors à déterminer si, dans un cas donné, </w:t>
      </w:r>
      <w:r w:rsidRPr="00EC0F59">
        <w:rPr>
          <w:rStyle w:val="Citationintgre"/>
          <w:i w:val="0"/>
          <w:sz w:val="20"/>
          <w:u w:val="single"/>
          <w:lang w:eastAsia="fr-FR"/>
        </w:rPr>
        <w:t>l’entrave législative au droit de grève équivaut ou non à une entrave substantielle à la négociation collective</w:t>
      </w:r>
      <w:r w:rsidRPr="00E94652">
        <w:t>.</w:t>
      </w:r>
      <w:r w:rsidRPr="0083296D">
        <w:t xml:space="preserve"> Il</w:t>
      </w:r>
      <w:r w:rsidR="007E6921">
        <w:t> </w:t>
      </w:r>
      <w:r w:rsidRPr="0083296D">
        <w:t xml:space="preserve">appert que la </w:t>
      </w:r>
      <w:r w:rsidRPr="00EC0F59">
        <w:rPr>
          <w:i/>
          <w:iCs/>
        </w:rPr>
        <w:t>PSESA</w:t>
      </w:r>
      <w:r w:rsidRPr="0083296D">
        <w:t xml:space="preserve"> </w:t>
      </w:r>
      <w:r w:rsidRPr="0083296D">
        <w:rPr>
          <w:lang w:eastAsia="fr-FR"/>
        </w:rPr>
        <w:t>satisfait à cette condition en ce qu’elle empêche les salariés désigné</w:t>
      </w:r>
      <w:r>
        <w:rPr>
          <w:lang w:eastAsia="fr-FR"/>
        </w:rPr>
        <w:t>s</w:t>
      </w:r>
      <w:r w:rsidRPr="0083296D">
        <w:rPr>
          <w:lang w:eastAsia="fr-FR"/>
        </w:rPr>
        <w:t xml:space="preserve"> de se liv</w:t>
      </w:r>
      <w:r>
        <w:rPr>
          <w:lang w:eastAsia="fr-FR"/>
        </w:rPr>
        <w:t>r</w:t>
      </w:r>
      <w:r w:rsidRPr="0083296D">
        <w:rPr>
          <w:lang w:eastAsia="fr-FR"/>
        </w:rPr>
        <w:t xml:space="preserve">er à </w:t>
      </w:r>
      <w:r w:rsidRPr="00EC0F59">
        <w:rPr>
          <w:i/>
          <w:iCs/>
          <w:lang w:eastAsia="fr-FR"/>
        </w:rPr>
        <w:t>tout</w:t>
      </w:r>
      <w:r w:rsidRPr="0083296D">
        <w:rPr>
          <w:lang w:eastAsia="fr-FR"/>
        </w:rPr>
        <w:t xml:space="preserve"> arrêt de travail dans le cadre du processus de négociation. Sa justification doit donc être démontrée au regard de l’</w:t>
      </w:r>
      <w:r>
        <w:rPr>
          <w:lang w:eastAsia="fr-FR"/>
        </w:rPr>
        <w:t>a</w:t>
      </w:r>
      <w:r w:rsidRPr="0083296D">
        <w:rPr>
          <w:lang w:eastAsia="fr-FR"/>
        </w:rPr>
        <w:t xml:space="preserve">rticle premier de la </w:t>
      </w:r>
      <w:r w:rsidRPr="00EC0F59">
        <w:rPr>
          <w:i/>
          <w:iCs/>
          <w:lang w:eastAsia="fr-FR"/>
        </w:rPr>
        <w:t>Charte</w:t>
      </w:r>
      <w:r w:rsidRPr="0083296D">
        <w:rPr>
          <w:lang w:eastAsia="fr-FR"/>
        </w:rPr>
        <w:t>.</w:t>
      </w:r>
    </w:p>
    <w:p w14:paraId="60FF4D1C" w14:textId="769FB5D8" w:rsidR="00CC2A9F" w:rsidRPr="009F74C0" w:rsidRDefault="00CC2A9F" w:rsidP="009F74C0">
      <w:pPr>
        <w:pStyle w:val="citation"/>
        <w:spacing w:after="360"/>
        <w:rPr>
          <w:sz w:val="24"/>
          <w:szCs w:val="24"/>
          <w:lang w:eastAsia="fr-FR"/>
        </w:rPr>
      </w:pPr>
      <w:r>
        <w:rPr>
          <w:sz w:val="24"/>
          <w:szCs w:val="24"/>
          <w:lang w:eastAsia="fr-FR"/>
        </w:rPr>
        <w:t>[Notre soulignement]</w:t>
      </w:r>
    </w:p>
    <w:p w14:paraId="3D3E0CE1" w14:textId="6FFB4CF0" w:rsidR="00CC2A9F" w:rsidRPr="00863B6D" w:rsidRDefault="00841D35" w:rsidP="00CC2A9F">
      <w:pPr>
        <w:pStyle w:val="corpsdedcision"/>
        <w:rPr>
          <w:lang w:eastAsia="fr-FR"/>
        </w:rPr>
      </w:pPr>
      <w:r w:rsidRPr="00841D35">
        <w:rPr>
          <w:lang w:eastAsia="fr-FR"/>
        </w:rPr>
        <w:t xml:space="preserve">Après avoir conclu à la présence d’une entrave substantielle, la </w:t>
      </w:r>
      <w:r w:rsidR="00863B6D">
        <w:rPr>
          <w:lang w:eastAsia="fr-FR"/>
        </w:rPr>
        <w:t xml:space="preserve">Cour </w:t>
      </w:r>
      <w:r w:rsidR="00863B6D" w:rsidRPr="00863B6D">
        <w:rPr>
          <w:lang w:eastAsia="fr-FR"/>
        </w:rPr>
        <w:t>suprême</w:t>
      </w:r>
      <w:r w:rsidR="00CC2A9F" w:rsidRPr="00863B6D">
        <w:rPr>
          <w:lang w:eastAsia="fr-FR"/>
        </w:rPr>
        <w:t xml:space="preserve"> </w:t>
      </w:r>
      <w:r w:rsidR="0063671A">
        <w:rPr>
          <w:lang w:eastAsia="fr-FR"/>
        </w:rPr>
        <w:t>tranche</w:t>
      </w:r>
      <w:r w:rsidR="00CC2A9F" w:rsidRPr="00863B6D">
        <w:rPr>
          <w:lang w:eastAsia="fr-FR"/>
        </w:rPr>
        <w:t xml:space="preserve"> que </w:t>
      </w:r>
      <w:r w:rsidR="00D52F6D">
        <w:rPr>
          <w:lang w:eastAsia="fr-FR"/>
        </w:rPr>
        <w:t>la PSESA ne peut se</w:t>
      </w:r>
      <w:r w:rsidR="00CC2A9F" w:rsidRPr="00863B6D">
        <w:rPr>
          <w:lang w:eastAsia="fr-FR"/>
        </w:rPr>
        <w:t xml:space="preserve"> justifi</w:t>
      </w:r>
      <w:r w:rsidR="00D52F6D">
        <w:rPr>
          <w:lang w:eastAsia="fr-FR"/>
        </w:rPr>
        <w:t>er constitutionnellement</w:t>
      </w:r>
      <w:r w:rsidR="00CC2A9F" w:rsidRPr="00863B6D">
        <w:rPr>
          <w:lang w:eastAsia="fr-FR"/>
        </w:rPr>
        <w:t xml:space="preserve"> </w:t>
      </w:r>
      <w:r w:rsidRPr="00841D35">
        <w:rPr>
          <w:lang w:eastAsia="fr-FR"/>
        </w:rPr>
        <w:t>au regard de l’article 1</w:t>
      </w:r>
      <w:r w:rsidR="0063671A">
        <w:rPr>
          <w:lang w:eastAsia="fr-FR"/>
        </w:rPr>
        <w:t xml:space="preserve"> de la Charte canadienne</w:t>
      </w:r>
      <w:r>
        <w:rPr>
          <w:lang w:eastAsia="fr-FR"/>
        </w:rPr>
        <w:t xml:space="preserve">, </w:t>
      </w:r>
      <w:r w:rsidR="00CC2A9F" w:rsidRPr="00863B6D">
        <w:rPr>
          <w:lang w:eastAsia="fr-FR"/>
        </w:rPr>
        <w:t>parce que</w:t>
      </w:r>
      <w:r w:rsidR="00D52F6D">
        <w:rPr>
          <w:lang w:eastAsia="fr-FR"/>
        </w:rPr>
        <w:t xml:space="preserve"> </w:t>
      </w:r>
      <w:r w:rsidR="00CC2A9F" w:rsidRPr="00863B6D">
        <w:rPr>
          <w:lang w:eastAsia="fr-FR"/>
        </w:rPr>
        <w:t>la notion de services essentiels est trop large, qu’ils sont déterminés par l’employeur seul, sans pouvoir être révisés par un tribunal indépendant et sans mécanisme de substitution au retrait du droit d’exercer la grève pour régler le différend.</w:t>
      </w:r>
    </w:p>
    <w:p w14:paraId="1080E830" w14:textId="79175D8E" w:rsidR="00CC2A9F" w:rsidRDefault="00CC2A9F" w:rsidP="006E5FD2">
      <w:pPr>
        <w:pStyle w:val="corpsdedcision"/>
        <w:spacing w:after="240"/>
        <w:rPr>
          <w:lang w:eastAsia="fr-FR"/>
        </w:rPr>
      </w:pPr>
      <w:r>
        <w:rPr>
          <w:lang w:eastAsia="fr-FR"/>
        </w:rPr>
        <w:t xml:space="preserve">Dans l’affaire </w:t>
      </w:r>
      <w:r w:rsidR="00EF2CE3" w:rsidRPr="00F15B41">
        <w:rPr>
          <w:i/>
          <w:iCs/>
          <w:lang w:eastAsia="fr-FR"/>
        </w:rPr>
        <w:t xml:space="preserve">Procureur général du Québec </w:t>
      </w:r>
      <w:r w:rsidR="00EF2CE3" w:rsidRPr="00EF2CE3">
        <w:rPr>
          <w:lang w:eastAsia="fr-FR"/>
        </w:rPr>
        <w:t>c.</w:t>
      </w:r>
      <w:r w:rsidR="00EF2CE3">
        <w:rPr>
          <w:i/>
          <w:iCs/>
          <w:lang w:eastAsia="fr-FR"/>
        </w:rPr>
        <w:t xml:space="preserve"> </w:t>
      </w:r>
      <w:r w:rsidRPr="00F15B41">
        <w:rPr>
          <w:i/>
          <w:iCs/>
          <w:lang w:eastAsia="fr-FR"/>
        </w:rPr>
        <w:t>Les avocats et notaires de l’</w:t>
      </w:r>
      <w:r>
        <w:rPr>
          <w:i/>
          <w:iCs/>
          <w:lang w:eastAsia="fr-FR"/>
        </w:rPr>
        <w:t>É</w:t>
      </w:r>
      <w:r w:rsidRPr="00F15B41">
        <w:rPr>
          <w:i/>
          <w:iCs/>
          <w:lang w:eastAsia="fr-FR"/>
        </w:rPr>
        <w:t>tat québécois</w:t>
      </w:r>
      <w:r>
        <w:rPr>
          <w:rStyle w:val="Appelnotedebasdep"/>
          <w:lang w:eastAsia="fr-FR"/>
        </w:rPr>
        <w:footnoteReference w:id="88"/>
      </w:r>
      <w:r>
        <w:rPr>
          <w:lang w:eastAsia="fr-FR"/>
        </w:rPr>
        <w:t>, la Cour d’appel résume ainsi les enseignements de la Cour suprême quant à la mesure du caractère substantiel de l’entrave dans un contexte de rapports collectifs d</w:t>
      </w:r>
      <w:r w:rsidR="002155E7">
        <w:rPr>
          <w:lang w:eastAsia="fr-FR"/>
        </w:rPr>
        <w:t>e</w:t>
      </w:r>
      <w:r>
        <w:rPr>
          <w:lang w:eastAsia="fr-FR"/>
        </w:rPr>
        <w:t xml:space="preserve"> travail</w:t>
      </w:r>
      <w:r w:rsidR="00863B6D">
        <w:rPr>
          <w:lang w:eastAsia="fr-FR"/>
        </w:rPr>
        <w:t xml:space="preserve">. Le rapport de force apparait </w:t>
      </w:r>
      <w:r w:rsidR="000F64B4">
        <w:rPr>
          <w:lang w:eastAsia="fr-FR"/>
        </w:rPr>
        <w:t xml:space="preserve">comme </w:t>
      </w:r>
      <w:r w:rsidR="00863B6D">
        <w:rPr>
          <w:lang w:eastAsia="fr-FR"/>
        </w:rPr>
        <w:t>un élément crucial</w:t>
      </w:r>
      <w:r>
        <w:rPr>
          <w:lang w:eastAsia="fr-FR"/>
        </w:rPr>
        <w:t> :</w:t>
      </w:r>
    </w:p>
    <w:p w14:paraId="1C1391F4" w14:textId="4A1C8F7F" w:rsidR="00CC2A9F" w:rsidRDefault="00CC2A9F" w:rsidP="006E5FD2">
      <w:pPr>
        <w:pStyle w:val="citation"/>
        <w:spacing w:after="240"/>
        <w:rPr>
          <w:u w:val="single"/>
          <w:lang w:eastAsia="fr-FR"/>
        </w:rPr>
      </w:pPr>
      <w:r>
        <w:rPr>
          <w:lang w:eastAsia="fr-FR"/>
        </w:rPr>
        <w:t>[75]</w:t>
      </w:r>
      <w:r w:rsidR="006E5FD2">
        <w:rPr>
          <w:lang w:eastAsia="fr-FR"/>
        </w:rPr>
        <w:tab/>
      </w:r>
      <w:r w:rsidRPr="00C638AC">
        <w:rPr>
          <w:sz w:val="22"/>
          <w:szCs w:val="22"/>
          <w:lang w:eastAsia="fr-FR"/>
        </w:rPr>
        <w:t>[…]</w:t>
      </w:r>
      <w:r>
        <w:rPr>
          <w:lang w:eastAsia="fr-FR"/>
        </w:rPr>
        <w:t xml:space="preserve"> En d’autres termes, le caractère substantiel ou non d’une atteinte ou d’une entrave s’apprécie en fonction de la finalité de l’alinéa 2</w:t>
      </w:r>
      <w:r w:rsidRPr="00AF37EA">
        <w:rPr>
          <w:i/>
          <w:iCs/>
          <w:lang w:eastAsia="fr-FR"/>
        </w:rPr>
        <w:t>d</w:t>
      </w:r>
      <w:r>
        <w:rPr>
          <w:lang w:eastAsia="fr-FR"/>
        </w:rPr>
        <w:t xml:space="preserve">) de la </w:t>
      </w:r>
      <w:r w:rsidRPr="00AF37EA">
        <w:rPr>
          <w:i/>
          <w:iCs/>
          <w:lang w:eastAsia="fr-FR"/>
        </w:rPr>
        <w:t>CCDL</w:t>
      </w:r>
      <w:r>
        <w:rPr>
          <w:lang w:eastAsia="fr-FR"/>
        </w:rPr>
        <w:t xml:space="preserve">. </w:t>
      </w:r>
      <w:r w:rsidRPr="008B73D6">
        <w:rPr>
          <w:u w:val="single"/>
          <w:lang w:eastAsia="fr-FR"/>
        </w:rPr>
        <w:t>À quoi sert la liberté d’association en contexte de relations du travail, maintenant qu’elle y a sa place? À fortifier le droit de négocier collectivement en établissant un équilibre des rapports de force entre l’employeur et les salariés. Il y a entrave substantielle lorsque cet équilibre est perturbé et que les mesures contestées interfèrent de façon substantielle avec un processus véritable de négociation collective</w:t>
      </w:r>
      <w:r w:rsidRPr="00E94652">
        <w:rPr>
          <w:lang w:eastAsia="fr-FR"/>
        </w:rPr>
        <w:t>.</w:t>
      </w:r>
    </w:p>
    <w:p w14:paraId="467D9365" w14:textId="232A05CD" w:rsidR="00863B6D" w:rsidRPr="00863B6D" w:rsidRDefault="00CC2A9F" w:rsidP="006E5FD2">
      <w:pPr>
        <w:pStyle w:val="citation"/>
        <w:spacing w:after="360"/>
        <w:rPr>
          <w:sz w:val="24"/>
          <w:szCs w:val="24"/>
          <w:lang w:eastAsia="fr-FR"/>
        </w:rPr>
      </w:pPr>
      <w:r w:rsidRPr="008B73D6">
        <w:rPr>
          <w:sz w:val="24"/>
          <w:szCs w:val="24"/>
          <w:lang w:eastAsia="fr-FR"/>
        </w:rPr>
        <w:t>[Notre soulignement]</w:t>
      </w:r>
    </w:p>
    <w:p w14:paraId="4545F780" w14:textId="10950F07" w:rsidR="00D52F6D" w:rsidRDefault="00D52F6D" w:rsidP="002B3161">
      <w:pPr>
        <w:pStyle w:val="corpsdedcision"/>
        <w:rPr>
          <w:lang w:eastAsia="fr-FR"/>
        </w:rPr>
      </w:pPr>
      <w:r>
        <w:rPr>
          <w:lang w:eastAsia="fr-FR"/>
        </w:rPr>
        <w:t xml:space="preserve">Ainsi, le droit de </w:t>
      </w:r>
      <w:r w:rsidR="008F2C63">
        <w:rPr>
          <w:lang w:eastAsia="fr-FR"/>
        </w:rPr>
        <w:t>grève</w:t>
      </w:r>
      <w:r>
        <w:rPr>
          <w:lang w:eastAsia="fr-FR"/>
        </w:rPr>
        <w:t xml:space="preserve"> joue un rôle fondamental dans l’équilibre des forces et permet un processus véritable de </w:t>
      </w:r>
      <w:r w:rsidR="008F2C63">
        <w:rPr>
          <w:lang w:eastAsia="fr-FR"/>
        </w:rPr>
        <w:t>négociation</w:t>
      </w:r>
      <w:r>
        <w:rPr>
          <w:lang w:eastAsia="fr-FR"/>
        </w:rPr>
        <w:t xml:space="preserve"> collective. Une mesure législative qui </w:t>
      </w:r>
      <w:r w:rsidR="008F2C63">
        <w:rPr>
          <w:lang w:eastAsia="fr-FR"/>
        </w:rPr>
        <w:t>limite le droit de grève de façon à interférer</w:t>
      </w:r>
      <w:r>
        <w:rPr>
          <w:lang w:eastAsia="fr-FR"/>
        </w:rPr>
        <w:t xml:space="preserve"> </w:t>
      </w:r>
      <w:r w:rsidR="008F2C63">
        <w:rPr>
          <w:lang w:eastAsia="fr-FR"/>
        </w:rPr>
        <w:t xml:space="preserve">de façon substantielle </w:t>
      </w:r>
      <w:r>
        <w:rPr>
          <w:lang w:eastAsia="fr-FR"/>
        </w:rPr>
        <w:t xml:space="preserve">dans cet équilibre </w:t>
      </w:r>
      <w:r w:rsidR="008F2C63">
        <w:rPr>
          <w:lang w:eastAsia="fr-FR"/>
        </w:rPr>
        <w:t>porte atteinte au processus véritable de négociation collective</w:t>
      </w:r>
      <w:r w:rsidR="00BA6203">
        <w:rPr>
          <w:lang w:eastAsia="fr-FR"/>
        </w:rPr>
        <w:t>.</w:t>
      </w:r>
    </w:p>
    <w:p w14:paraId="0E0056A0" w14:textId="774E0B02" w:rsidR="001C27B3" w:rsidRDefault="006C50CD" w:rsidP="002B3161">
      <w:pPr>
        <w:pStyle w:val="corpsdedcision"/>
        <w:rPr>
          <w:lang w:eastAsia="fr-FR"/>
        </w:rPr>
      </w:pPr>
      <w:r>
        <w:rPr>
          <w:lang w:eastAsia="fr-FR"/>
        </w:rPr>
        <w:t>Afin de déterminer si les dispositions législ</w:t>
      </w:r>
      <w:r w:rsidR="00AA1706">
        <w:rPr>
          <w:lang w:eastAsia="fr-FR"/>
        </w:rPr>
        <w:t xml:space="preserve">atives </w:t>
      </w:r>
      <w:r w:rsidR="00580758">
        <w:rPr>
          <w:lang w:eastAsia="fr-FR"/>
        </w:rPr>
        <w:t>contestées</w:t>
      </w:r>
      <w:r w:rsidR="00AA1706">
        <w:rPr>
          <w:lang w:eastAsia="fr-FR"/>
        </w:rPr>
        <w:t xml:space="preserve"> viole</w:t>
      </w:r>
      <w:r w:rsidR="00580758">
        <w:rPr>
          <w:lang w:eastAsia="fr-FR"/>
        </w:rPr>
        <w:t>nt</w:t>
      </w:r>
      <w:r w:rsidR="00AA1706">
        <w:rPr>
          <w:lang w:eastAsia="fr-FR"/>
        </w:rPr>
        <w:t xml:space="preserve"> la liberté d’association</w:t>
      </w:r>
      <w:r w:rsidR="00E45266">
        <w:rPr>
          <w:lang w:eastAsia="fr-FR"/>
        </w:rPr>
        <w:t xml:space="preserve"> garantie par la Charte canadienne</w:t>
      </w:r>
      <w:r w:rsidR="00AA1706">
        <w:rPr>
          <w:lang w:eastAsia="fr-FR"/>
        </w:rPr>
        <w:t xml:space="preserve">, </w:t>
      </w:r>
      <w:r w:rsidR="00580758">
        <w:rPr>
          <w:lang w:eastAsia="fr-FR"/>
        </w:rPr>
        <w:t xml:space="preserve">le Tribunal doit déterminer si les activités en cause font partie de celles protégées par </w:t>
      </w:r>
      <w:r w:rsidR="00C379E7">
        <w:rPr>
          <w:lang w:eastAsia="fr-FR"/>
        </w:rPr>
        <w:t>celle-ci</w:t>
      </w:r>
      <w:r w:rsidR="00580758">
        <w:rPr>
          <w:lang w:eastAsia="fr-FR"/>
        </w:rPr>
        <w:t xml:space="preserve"> et si, par leur objet ou leur effet, </w:t>
      </w:r>
      <w:r w:rsidR="00E50A17">
        <w:rPr>
          <w:lang w:eastAsia="fr-FR"/>
        </w:rPr>
        <w:t>la loi ou l’action gouvernementale contestée entrave substantiellement ces activités</w:t>
      </w:r>
      <w:r w:rsidR="00E50A17">
        <w:rPr>
          <w:rStyle w:val="Appelnotedebasdep"/>
          <w:lang w:eastAsia="fr-FR"/>
        </w:rPr>
        <w:footnoteReference w:id="89"/>
      </w:r>
      <w:r w:rsidR="00E50A17">
        <w:rPr>
          <w:lang w:eastAsia="fr-FR"/>
        </w:rPr>
        <w:t>.</w:t>
      </w:r>
    </w:p>
    <w:p w14:paraId="4260E5F3" w14:textId="515D16B0" w:rsidR="001C27B3" w:rsidRDefault="00CD2DD8" w:rsidP="00C27EB1">
      <w:pPr>
        <w:pStyle w:val="corpsdedcision"/>
        <w:rPr>
          <w:lang w:eastAsia="fr-FR"/>
        </w:rPr>
      </w:pPr>
      <w:r>
        <w:rPr>
          <w:lang w:eastAsia="fr-FR"/>
        </w:rPr>
        <w:t>La contestation constitutionnelle du syndicat est fondée sur l’atteinte à deux activités associatives</w:t>
      </w:r>
      <w:r w:rsidR="001E60BF">
        <w:rPr>
          <w:lang w:eastAsia="fr-FR"/>
        </w:rPr>
        <w:t>,</w:t>
      </w:r>
      <w:r>
        <w:rPr>
          <w:lang w:eastAsia="fr-FR"/>
        </w:rPr>
        <w:t xml:space="preserve"> soit </w:t>
      </w:r>
      <w:r w:rsidR="006A4445">
        <w:rPr>
          <w:lang w:eastAsia="fr-FR"/>
        </w:rPr>
        <w:t>le droit à la</w:t>
      </w:r>
      <w:r>
        <w:rPr>
          <w:lang w:eastAsia="fr-FR"/>
        </w:rPr>
        <w:t xml:space="preserve"> négociation collective et le droit de grève. </w:t>
      </w:r>
      <w:r w:rsidR="00044180">
        <w:rPr>
          <w:lang w:eastAsia="fr-FR"/>
        </w:rPr>
        <w:t>Toutes</w:t>
      </w:r>
      <w:r w:rsidR="007E6921">
        <w:rPr>
          <w:lang w:eastAsia="fr-FR"/>
        </w:rPr>
        <w:t> </w:t>
      </w:r>
      <w:r w:rsidR="00044180">
        <w:rPr>
          <w:lang w:eastAsia="fr-FR"/>
        </w:rPr>
        <w:t xml:space="preserve">deux sont protégées par la liberté d’association. </w:t>
      </w:r>
      <w:r w:rsidR="00C0405C">
        <w:rPr>
          <w:lang w:eastAsia="fr-FR"/>
        </w:rPr>
        <w:t xml:space="preserve">Il faut alors déterminer </w:t>
      </w:r>
      <w:r w:rsidR="00044180" w:rsidRPr="00863B6D">
        <w:rPr>
          <w:lang w:eastAsia="fr-FR"/>
        </w:rPr>
        <w:t>si l’objet et les effets du régime des SBEP entrave</w:t>
      </w:r>
      <w:r w:rsidR="00856532" w:rsidRPr="00863B6D">
        <w:rPr>
          <w:lang w:eastAsia="fr-FR"/>
        </w:rPr>
        <w:t>nt</w:t>
      </w:r>
      <w:r w:rsidR="00044180" w:rsidRPr="00863B6D">
        <w:rPr>
          <w:lang w:eastAsia="fr-FR"/>
        </w:rPr>
        <w:t xml:space="preserve"> substantiellement </w:t>
      </w:r>
      <w:r w:rsidR="007500D2">
        <w:rPr>
          <w:lang w:eastAsia="fr-FR"/>
        </w:rPr>
        <w:t>un</w:t>
      </w:r>
      <w:r w:rsidR="00044180" w:rsidRPr="00863B6D">
        <w:rPr>
          <w:lang w:eastAsia="fr-FR"/>
        </w:rPr>
        <w:t xml:space="preserve"> processus </w:t>
      </w:r>
      <w:r w:rsidR="00856532" w:rsidRPr="00863B6D">
        <w:rPr>
          <w:lang w:eastAsia="fr-FR"/>
        </w:rPr>
        <w:t xml:space="preserve">véritable </w:t>
      </w:r>
      <w:r w:rsidR="00044180" w:rsidRPr="00863B6D">
        <w:rPr>
          <w:lang w:eastAsia="fr-FR"/>
        </w:rPr>
        <w:t>de négociation collective</w:t>
      </w:r>
      <w:r w:rsidR="00410A04" w:rsidRPr="00863B6D">
        <w:rPr>
          <w:lang w:eastAsia="fr-FR"/>
        </w:rPr>
        <w:t>.</w:t>
      </w:r>
    </w:p>
    <w:p w14:paraId="5B56E3D4" w14:textId="2D8365C6" w:rsidR="007F578A" w:rsidRPr="007F578A" w:rsidRDefault="007F578A" w:rsidP="008F2C63">
      <w:pPr>
        <w:pStyle w:val="Titre2"/>
        <w:jc w:val="both"/>
      </w:pPr>
      <w:r>
        <w:t xml:space="preserve">L’objet du régime </w:t>
      </w:r>
      <w:r w:rsidR="00F50B6B">
        <w:t>des services assurant le bien-être de la population</w:t>
      </w:r>
      <w:r>
        <w:t xml:space="preserve"> vise-t-il </w:t>
      </w:r>
      <w:r w:rsidR="005E6797">
        <w:t>à</w:t>
      </w:r>
      <w:r>
        <w:t xml:space="preserve"> entrav</w:t>
      </w:r>
      <w:r w:rsidR="002E30E7">
        <w:t>er</w:t>
      </w:r>
      <w:r>
        <w:t xml:space="preserve"> </w:t>
      </w:r>
      <w:r w:rsidR="00A754C4">
        <w:t>substantiellement</w:t>
      </w:r>
      <w:r>
        <w:t xml:space="preserve"> le processus </w:t>
      </w:r>
      <w:r w:rsidR="00A754C4">
        <w:t xml:space="preserve">véritable </w:t>
      </w:r>
      <w:r>
        <w:t>de</w:t>
      </w:r>
      <w:r w:rsidR="00A754C4">
        <w:t xml:space="preserve"> négociation collective?</w:t>
      </w:r>
    </w:p>
    <w:p w14:paraId="127A4093" w14:textId="2F17A5D2" w:rsidR="00904C14" w:rsidRDefault="00902721" w:rsidP="00D61770">
      <w:pPr>
        <w:pStyle w:val="corpsdedcision"/>
        <w:rPr>
          <w:lang w:eastAsia="fr-FR"/>
        </w:rPr>
      </w:pPr>
      <w:r>
        <w:rPr>
          <w:lang w:eastAsia="fr-FR"/>
        </w:rPr>
        <w:t>L</w:t>
      </w:r>
      <w:r w:rsidR="00904C14">
        <w:rPr>
          <w:lang w:eastAsia="fr-FR"/>
        </w:rPr>
        <w:t xml:space="preserve">e syndicat plaide que lorsqu’on examine </w:t>
      </w:r>
      <w:r w:rsidR="008732BF">
        <w:rPr>
          <w:lang w:eastAsia="fr-FR"/>
        </w:rPr>
        <w:t xml:space="preserve">la Loi 14 </w:t>
      </w:r>
      <w:r w:rsidR="003F380D">
        <w:rPr>
          <w:lang w:eastAsia="fr-FR"/>
        </w:rPr>
        <w:t>dans son contexte</w:t>
      </w:r>
      <w:r w:rsidR="00C74661">
        <w:rPr>
          <w:lang w:eastAsia="fr-FR"/>
        </w:rPr>
        <w:t>,</w:t>
      </w:r>
      <w:r w:rsidR="00610742">
        <w:rPr>
          <w:lang w:eastAsia="fr-FR"/>
        </w:rPr>
        <w:t xml:space="preserve"> on doit conclure que les dispositions législatives </w:t>
      </w:r>
      <w:r w:rsidR="008732BF">
        <w:rPr>
          <w:lang w:eastAsia="fr-FR"/>
        </w:rPr>
        <w:t xml:space="preserve">relatives aux SBEP </w:t>
      </w:r>
      <w:r w:rsidR="00904C14">
        <w:rPr>
          <w:lang w:eastAsia="fr-FR"/>
        </w:rPr>
        <w:t xml:space="preserve">ne </w:t>
      </w:r>
      <w:r w:rsidR="00610742">
        <w:rPr>
          <w:lang w:eastAsia="fr-FR"/>
        </w:rPr>
        <w:t>visent</w:t>
      </w:r>
      <w:r w:rsidR="00904C14">
        <w:rPr>
          <w:lang w:eastAsia="fr-FR"/>
        </w:rPr>
        <w:t xml:space="preserve"> pas à protéger le bien-être de la population, mais plutôt </w:t>
      </w:r>
      <w:r w:rsidR="00610742">
        <w:rPr>
          <w:lang w:eastAsia="fr-FR"/>
        </w:rPr>
        <w:t>à</w:t>
      </w:r>
      <w:r w:rsidR="00904C14">
        <w:rPr>
          <w:lang w:eastAsia="fr-FR"/>
        </w:rPr>
        <w:t xml:space="preserve"> limiter le contre-pouvoir syndical</w:t>
      </w:r>
      <w:r w:rsidR="003F380D">
        <w:rPr>
          <w:rStyle w:val="Appelnotedebasdep"/>
          <w:lang w:eastAsia="fr-FR"/>
        </w:rPr>
        <w:footnoteReference w:id="90"/>
      </w:r>
      <w:r w:rsidR="00904C14">
        <w:rPr>
          <w:lang w:eastAsia="fr-FR"/>
        </w:rPr>
        <w:t>.</w:t>
      </w:r>
    </w:p>
    <w:p w14:paraId="2061E4F1" w14:textId="1BC2E772" w:rsidR="00CD187F" w:rsidRDefault="00902721" w:rsidP="00CD187F">
      <w:pPr>
        <w:pStyle w:val="corpsdedcision"/>
        <w:rPr>
          <w:lang w:eastAsia="fr-FR"/>
        </w:rPr>
      </w:pPr>
      <w:r>
        <w:rPr>
          <w:lang w:eastAsia="fr-FR"/>
        </w:rPr>
        <w:t>Il</w:t>
      </w:r>
      <w:r w:rsidR="00FE50F7">
        <w:rPr>
          <w:lang w:eastAsia="fr-FR"/>
        </w:rPr>
        <w:t xml:space="preserve"> </w:t>
      </w:r>
      <w:r w:rsidR="00085D00">
        <w:rPr>
          <w:lang w:eastAsia="fr-FR"/>
        </w:rPr>
        <w:t xml:space="preserve">ajoute </w:t>
      </w:r>
      <w:r w:rsidR="00CD187F">
        <w:rPr>
          <w:lang w:eastAsia="fr-FR"/>
        </w:rPr>
        <w:t xml:space="preserve">que le gouvernement a </w:t>
      </w:r>
      <w:r w:rsidR="009E03AC">
        <w:rPr>
          <w:lang w:eastAsia="fr-FR"/>
        </w:rPr>
        <w:t>présenté un certain nombre d</w:t>
      </w:r>
      <w:r w:rsidR="002F6008">
        <w:rPr>
          <w:lang w:eastAsia="fr-FR"/>
        </w:rPr>
        <w:t>’</w:t>
      </w:r>
      <w:r w:rsidR="00EC0F59">
        <w:rPr>
          <w:lang w:eastAsia="fr-FR"/>
        </w:rPr>
        <w:t>autres</w:t>
      </w:r>
      <w:r w:rsidR="009E03AC">
        <w:rPr>
          <w:lang w:eastAsia="fr-FR"/>
        </w:rPr>
        <w:t xml:space="preserve"> projets de loi, qui ont été sujets à de vives controverses</w:t>
      </w:r>
      <w:r w:rsidR="00CD187F">
        <w:rPr>
          <w:lang w:eastAsia="fr-FR"/>
        </w:rPr>
        <w:t xml:space="preserve">: </w:t>
      </w:r>
      <w:r w:rsidR="00CD187F" w:rsidRPr="003F380D">
        <w:rPr>
          <w:i/>
          <w:iCs/>
          <w:lang w:eastAsia="fr-FR"/>
        </w:rPr>
        <w:t>Loi sur la laïcité de l’État</w:t>
      </w:r>
      <w:r w:rsidR="00572BA9" w:rsidRPr="004F10D1">
        <w:rPr>
          <w:rStyle w:val="Appelnotedebasdep"/>
          <w:lang w:eastAsia="fr-FR"/>
        </w:rPr>
        <w:footnoteReference w:id="91"/>
      </w:r>
      <w:r w:rsidR="00CD187F">
        <w:rPr>
          <w:lang w:eastAsia="fr-FR"/>
        </w:rPr>
        <w:t xml:space="preserve">, </w:t>
      </w:r>
      <w:r w:rsidR="00CD187F" w:rsidRPr="003F380D">
        <w:rPr>
          <w:i/>
          <w:iCs/>
          <w:lang w:eastAsia="fr-FR"/>
        </w:rPr>
        <w:t>Loi visant à améliorer la transparence, la gouvernance et le processus démocratique de diverses associations en milieu de travail</w:t>
      </w:r>
      <w:r w:rsidR="00572BA9" w:rsidRPr="004F10D1">
        <w:rPr>
          <w:rStyle w:val="Appelnotedebasdep"/>
          <w:lang w:eastAsia="fr-FR"/>
        </w:rPr>
        <w:footnoteReference w:id="92"/>
      </w:r>
      <w:r w:rsidR="00CD187F">
        <w:rPr>
          <w:lang w:eastAsia="fr-FR"/>
        </w:rPr>
        <w:t xml:space="preserve">, </w:t>
      </w:r>
      <w:r w:rsidR="00CD187F" w:rsidRPr="003F380D">
        <w:rPr>
          <w:i/>
          <w:iCs/>
          <w:lang w:eastAsia="fr-FR"/>
        </w:rPr>
        <w:t>Loi constitutionnelle sur le Québec</w:t>
      </w:r>
      <w:r w:rsidR="00572BA9" w:rsidRPr="004F10D1">
        <w:rPr>
          <w:rStyle w:val="Appelnotedebasdep"/>
          <w:lang w:eastAsia="fr-FR"/>
        </w:rPr>
        <w:footnoteReference w:id="93"/>
      </w:r>
      <w:r w:rsidR="00CD187F">
        <w:rPr>
          <w:lang w:eastAsia="fr-FR"/>
        </w:rPr>
        <w:t>.</w:t>
      </w:r>
      <w:r w:rsidR="00CF1DC3">
        <w:rPr>
          <w:lang w:eastAsia="fr-FR"/>
        </w:rPr>
        <w:t xml:space="preserve"> </w:t>
      </w:r>
      <w:r w:rsidR="00563D19">
        <w:rPr>
          <w:lang w:eastAsia="fr-FR"/>
        </w:rPr>
        <w:t xml:space="preserve">Ces </w:t>
      </w:r>
      <w:r w:rsidR="00D026BC">
        <w:rPr>
          <w:lang w:eastAsia="fr-FR"/>
        </w:rPr>
        <w:t>législations</w:t>
      </w:r>
      <w:r w:rsidR="008732BF">
        <w:rPr>
          <w:lang w:eastAsia="fr-FR"/>
        </w:rPr>
        <w:t xml:space="preserve"> </w:t>
      </w:r>
      <w:r w:rsidR="00D74583">
        <w:rPr>
          <w:lang w:eastAsia="fr-FR"/>
        </w:rPr>
        <w:t xml:space="preserve">ont </w:t>
      </w:r>
      <w:r w:rsidR="00AF20B9">
        <w:rPr>
          <w:lang w:eastAsia="fr-FR"/>
        </w:rPr>
        <w:t>soulevé</w:t>
      </w:r>
      <w:r w:rsidR="00D74583">
        <w:rPr>
          <w:lang w:eastAsia="fr-FR"/>
        </w:rPr>
        <w:t xml:space="preserve"> des préoccupations dans la société civile et</w:t>
      </w:r>
      <w:r w:rsidR="00085D00">
        <w:rPr>
          <w:lang w:eastAsia="fr-FR"/>
        </w:rPr>
        <w:t xml:space="preserve"> la communauté</w:t>
      </w:r>
      <w:r w:rsidR="00D74583">
        <w:rPr>
          <w:lang w:eastAsia="fr-FR"/>
        </w:rPr>
        <w:t xml:space="preserve"> juridique </w:t>
      </w:r>
      <w:r w:rsidR="008732BF">
        <w:rPr>
          <w:lang w:eastAsia="fr-FR"/>
        </w:rPr>
        <w:t>en lien</w:t>
      </w:r>
      <w:r w:rsidR="00B64DE2">
        <w:rPr>
          <w:lang w:eastAsia="fr-FR"/>
        </w:rPr>
        <w:t xml:space="preserve"> </w:t>
      </w:r>
      <w:r w:rsidR="008732BF">
        <w:rPr>
          <w:lang w:eastAsia="fr-FR"/>
        </w:rPr>
        <w:t xml:space="preserve">avec la </w:t>
      </w:r>
      <w:r w:rsidR="00B64DE2">
        <w:rPr>
          <w:lang w:eastAsia="fr-FR"/>
        </w:rPr>
        <w:t>viol</w:t>
      </w:r>
      <w:r w:rsidR="008732BF">
        <w:rPr>
          <w:lang w:eastAsia="fr-FR"/>
        </w:rPr>
        <w:t>ation de</w:t>
      </w:r>
      <w:r w:rsidR="00563D19">
        <w:rPr>
          <w:lang w:eastAsia="fr-FR"/>
        </w:rPr>
        <w:t xml:space="preserve"> </w:t>
      </w:r>
      <w:r w:rsidR="009234DC">
        <w:rPr>
          <w:lang w:eastAsia="fr-FR"/>
        </w:rPr>
        <w:t>droits fondamentaux</w:t>
      </w:r>
      <w:r>
        <w:rPr>
          <w:lang w:eastAsia="fr-FR"/>
        </w:rPr>
        <w:t xml:space="preserve"> et </w:t>
      </w:r>
      <w:r w:rsidR="002F6008">
        <w:rPr>
          <w:lang w:eastAsia="fr-FR"/>
        </w:rPr>
        <w:t>plusieurs</w:t>
      </w:r>
      <w:r w:rsidR="00085D00">
        <w:rPr>
          <w:lang w:eastAsia="fr-FR"/>
        </w:rPr>
        <w:t xml:space="preserve"> de ces projets de loi adoptés </w:t>
      </w:r>
      <w:r>
        <w:rPr>
          <w:lang w:eastAsia="fr-FR"/>
        </w:rPr>
        <w:t>font l’objet de contestations constitutionnelles</w:t>
      </w:r>
      <w:r w:rsidR="009234DC">
        <w:rPr>
          <w:lang w:eastAsia="fr-FR"/>
        </w:rPr>
        <w:t>.</w:t>
      </w:r>
    </w:p>
    <w:p w14:paraId="61761C7B" w14:textId="40EAF67B" w:rsidR="008732BF" w:rsidRDefault="00632309" w:rsidP="004848A9">
      <w:pPr>
        <w:pStyle w:val="corpsdedcision"/>
        <w:rPr>
          <w:lang w:eastAsia="fr-FR"/>
        </w:rPr>
      </w:pPr>
      <w:r>
        <w:rPr>
          <w:lang w:eastAsia="fr-FR"/>
        </w:rPr>
        <w:t>Le syndicat</w:t>
      </w:r>
      <w:r w:rsidR="000B39D1">
        <w:rPr>
          <w:lang w:eastAsia="fr-FR"/>
        </w:rPr>
        <w:t xml:space="preserve"> avance que le ministre du Tr</w:t>
      </w:r>
      <w:r w:rsidR="003F380D">
        <w:rPr>
          <w:lang w:eastAsia="fr-FR"/>
        </w:rPr>
        <w:t>a</w:t>
      </w:r>
      <w:r w:rsidR="000B39D1">
        <w:rPr>
          <w:lang w:eastAsia="fr-FR"/>
        </w:rPr>
        <w:t xml:space="preserve">vail </w:t>
      </w:r>
      <w:r w:rsidR="003F380D">
        <w:rPr>
          <w:lang w:eastAsia="fr-FR"/>
        </w:rPr>
        <w:t>n’a pas</w:t>
      </w:r>
      <w:r w:rsidR="000B39D1">
        <w:rPr>
          <w:lang w:eastAsia="fr-FR"/>
        </w:rPr>
        <w:t xml:space="preserve"> fait mention</w:t>
      </w:r>
      <w:r w:rsidR="00864904">
        <w:rPr>
          <w:lang w:eastAsia="fr-FR"/>
        </w:rPr>
        <w:t>,</w:t>
      </w:r>
      <w:r w:rsidR="000B39D1">
        <w:rPr>
          <w:lang w:eastAsia="fr-FR"/>
        </w:rPr>
        <w:t xml:space="preserve"> </w:t>
      </w:r>
      <w:r w:rsidR="00864904">
        <w:rPr>
          <w:lang w:eastAsia="fr-FR"/>
        </w:rPr>
        <w:t xml:space="preserve">dans ses déclarations publiques, </w:t>
      </w:r>
      <w:r w:rsidR="000B39D1">
        <w:rPr>
          <w:lang w:eastAsia="fr-FR"/>
        </w:rPr>
        <w:t>de la nécessité de protéger le</w:t>
      </w:r>
      <w:r w:rsidR="003F380D">
        <w:rPr>
          <w:lang w:eastAsia="fr-FR"/>
        </w:rPr>
        <w:t xml:space="preserve"> bien-être de la population</w:t>
      </w:r>
      <w:r w:rsidR="004848A9">
        <w:rPr>
          <w:lang w:eastAsia="fr-FR"/>
        </w:rPr>
        <w:t>, mais</w:t>
      </w:r>
      <w:r w:rsidR="00864904">
        <w:rPr>
          <w:lang w:eastAsia="fr-FR"/>
        </w:rPr>
        <w:t xml:space="preserve"> qu’il</w:t>
      </w:r>
      <w:r w:rsidR="004848A9">
        <w:rPr>
          <w:lang w:eastAsia="fr-FR"/>
        </w:rPr>
        <w:t xml:space="preserve"> a </w:t>
      </w:r>
      <w:r w:rsidR="003F380D">
        <w:rPr>
          <w:lang w:eastAsia="fr-FR"/>
        </w:rPr>
        <w:t xml:space="preserve">plutôt critiqué la jurisprudence du Tribunal en matière de services essentiels, en la dénonçant comme trop restrictive. </w:t>
      </w:r>
      <w:r w:rsidR="008732BF">
        <w:rPr>
          <w:lang w:eastAsia="fr-FR"/>
        </w:rPr>
        <w:t>Aussi</w:t>
      </w:r>
      <w:r w:rsidR="00756237">
        <w:rPr>
          <w:lang w:eastAsia="fr-FR"/>
        </w:rPr>
        <w:t>,</w:t>
      </w:r>
      <w:r w:rsidR="008732BF">
        <w:rPr>
          <w:lang w:eastAsia="fr-FR"/>
        </w:rPr>
        <w:t xml:space="preserve"> le régime des SBEP s’inscri</w:t>
      </w:r>
      <w:r w:rsidR="004848A9">
        <w:rPr>
          <w:lang w:eastAsia="fr-FR"/>
        </w:rPr>
        <w:t>rait</w:t>
      </w:r>
      <w:r w:rsidR="008732BF">
        <w:rPr>
          <w:lang w:eastAsia="fr-FR"/>
        </w:rPr>
        <w:t xml:space="preserve"> dans cette mouvance </w:t>
      </w:r>
      <w:r w:rsidR="00085D00">
        <w:rPr>
          <w:lang w:eastAsia="fr-FR"/>
        </w:rPr>
        <w:t>« </w:t>
      </w:r>
      <w:r w:rsidR="008732BF" w:rsidRPr="0081025E">
        <w:rPr>
          <w:i/>
          <w:iCs/>
          <w:sz w:val="22"/>
          <w:szCs w:val="18"/>
          <w:lang w:eastAsia="fr-FR"/>
        </w:rPr>
        <w:t>liberticide</w:t>
      </w:r>
      <w:r w:rsidR="00085D00">
        <w:rPr>
          <w:lang w:eastAsia="fr-FR"/>
        </w:rPr>
        <w:t> »</w:t>
      </w:r>
      <w:r w:rsidR="008732BF">
        <w:rPr>
          <w:lang w:eastAsia="fr-FR"/>
        </w:rPr>
        <w:t xml:space="preserve"> du gouvernement.</w:t>
      </w:r>
    </w:p>
    <w:p w14:paraId="1C5EF6ED" w14:textId="0CA736E5" w:rsidR="00B34AAF" w:rsidRDefault="004848A9" w:rsidP="00EC7717">
      <w:pPr>
        <w:pStyle w:val="corpsdedcision"/>
        <w:spacing w:after="240"/>
        <w:rPr>
          <w:lang w:eastAsia="fr-FR"/>
        </w:rPr>
      </w:pPr>
      <w:r>
        <w:rPr>
          <w:lang w:eastAsia="fr-FR"/>
        </w:rPr>
        <w:t xml:space="preserve">Bien que le contexte soit </w:t>
      </w:r>
      <w:r w:rsidR="00077786">
        <w:rPr>
          <w:lang w:eastAsia="fr-FR"/>
        </w:rPr>
        <w:t xml:space="preserve">important pour établir le véritable objet de la loi, le Tribunal est d’avis que le syndicat n’a pas réussi à démontrer que le régime </w:t>
      </w:r>
      <w:r w:rsidR="00625C80">
        <w:rPr>
          <w:lang w:eastAsia="fr-FR"/>
        </w:rPr>
        <w:t xml:space="preserve">des </w:t>
      </w:r>
      <w:r w:rsidR="00077786">
        <w:rPr>
          <w:lang w:eastAsia="fr-FR"/>
        </w:rPr>
        <w:t xml:space="preserve">SBEP a pour objet </w:t>
      </w:r>
      <w:r w:rsidR="009C3DF4">
        <w:rPr>
          <w:lang w:eastAsia="fr-FR"/>
        </w:rPr>
        <w:t>d’entraver substantiellement le droit de grève</w:t>
      </w:r>
      <w:r w:rsidR="00611F10">
        <w:rPr>
          <w:lang w:eastAsia="fr-FR"/>
        </w:rPr>
        <w:t xml:space="preserve"> ou le processus de négociation collective</w:t>
      </w:r>
      <w:r w:rsidR="00C1536A">
        <w:rPr>
          <w:lang w:eastAsia="fr-FR"/>
        </w:rPr>
        <w:t xml:space="preserve">. </w:t>
      </w:r>
      <w:r w:rsidR="00B34AAF">
        <w:rPr>
          <w:lang w:eastAsia="fr-FR"/>
        </w:rPr>
        <w:t>La Cour suprême rappelle qu’il faut user de prudence dans l’évaluation de l’intention du législateur</w:t>
      </w:r>
      <w:r w:rsidR="00B34AAF">
        <w:rPr>
          <w:rStyle w:val="Appelnotedebasdep"/>
          <w:lang w:eastAsia="fr-FR"/>
        </w:rPr>
        <w:footnoteReference w:id="94"/>
      </w:r>
      <w:r w:rsidR="00B34AAF">
        <w:rPr>
          <w:lang w:eastAsia="fr-FR"/>
        </w:rPr>
        <w:t> :</w:t>
      </w:r>
    </w:p>
    <w:p w14:paraId="65233EB1" w14:textId="2063BE1E" w:rsidR="00B34AAF" w:rsidRDefault="00B34AAF" w:rsidP="00515AFA">
      <w:pPr>
        <w:pStyle w:val="citation"/>
        <w:spacing w:after="360"/>
      </w:pPr>
      <w:r w:rsidRPr="00C8714D">
        <w:t>[3</w:t>
      </w:r>
      <w:r w:rsidR="008769E0">
        <w:t>3</w:t>
      </w:r>
      <w:r w:rsidRPr="00C8714D">
        <w:t>]</w:t>
      </w:r>
      <w:r w:rsidR="00E73ABE">
        <w:tab/>
      </w:r>
      <w:r w:rsidRPr="0000321E">
        <w:t>On ne peut</w:t>
      </w:r>
      <w:r w:rsidRPr="00C8714D">
        <w:t xml:space="preserve"> jamais assez souligner les difficultés de l’évaluation de l’intention du législateur.  Cette évaluation touche au cœur même des relations entre législatif et judiciaire, et, si elle est entreprise à la légère, elle peut devenir un processus d’induction assez subjectif.  De plus, le type de preuve requis pour aller au-delà du libellé d’une loi et conclure que son objectif est inconstitutionnel n’est pas souvent fourni par les documents législatifs, pour des raisons évidentes.  Vu les faits en l’espèce, je pense donc qu’il est plus approprié d’axer l’analyse sur l’effet des dispositions attaquées, mais je note que certaines préoccupations exprimées plus haut seront prises en compte dans l’analyse selon l’article premier.</w:t>
      </w:r>
    </w:p>
    <w:p w14:paraId="3BD32BE3" w14:textId="3BDE03B9" w:rsidR="001F44D2" w:rsidRDefault="001F44D2" w:rsidP="001F44D2">
      <w:pPr>
        <w:pStyle w:val="corpsdedcision"/>
        <w:tabs>
          <w:tab w:val="clear" w:pos="360"/>
          <w:tab w:val="num" w:pos="720"/>
        </w:tabs>
      </w:pPr>
      <w:r>
        <w:rPr>
          <w:lang w:eastAsia="fr-FR"/>
        </w:rPr>
        <w:t xml:space="preserve">Le fait </w:t>
      </w:r>
      <w:r w:rsidR="00197F5A">
        <w:rPr>
          <w:lang w:eastAsia="fr-FR"/>
        </w:rPr>
        <w:t xml:space="preserve">que le </w:t>
      </w:r>
      <w:r w:rsidR="007471CD">
        <w:rPr>
          <w:lang w:eastAsia="fr-FR"/>
        </w:rPr>
        <w:t xml:space="preserve">législateur ait confié au Tribunal la compétence de décider de </w:t>
      </w:r>
      <w:r w:rsidR="00A104CF">
        <w:rPr>
          <w:lang w:eastAsia="fr-FR"/>
        </w:rPr>
        <w:t>l’assujettissement</w:t>
      </w:r>
      <w:r w:rsidR="007471CD">
        <w:rPr>
          <w:lang w:eastAsia="fr-FR"/>
        </w:rPr>
        <w:t xml:space="preserve"> des </w:t>
      </w:r>
      <w:r w:rsidR="00A104CF">
        <w:rPr>
          <w:lang w:eastAsia="fr-FR"/>
        </w:rPr>
        <w:t>parties</w:t>
      </w:r>
      <w:r w:rsidR="007471CD">
        <w:rPr>
          <w:lang w:eastAsia="fr-FR"/>
        </w:rPr>
        <w:t xml:space="preserve"> </w:t>
      </w:r>
      <w:r w:rsidR="00756237">
        <w:rPr>
          <w:lang w:eastAsia="fr-FR"/>
        </w:rPr>
        <w:t>au</w:t>
      </w:r>
      <w:r w:rsidR="007471CD">
        <w:rPr>
          <w:lang w:eastAsia="fr-FR"/>
        </w:rPr>
        <w:t xml:space="preserve"> </w:t>
      </w:r>
      <w:r w:rsidR="00A104CF">
        <w:rPr>
          <w:lang w:eastAsia="fr-FR"/>
        </w:rPr>
        <w:t>maintien</w:t>
      </w:r>
      <w:r w:rsidR="007471CD">
        <w:rPr>
          <w:lang w:eastAsia="fr-FR"/>
        </w:rPr>
        <w:t xml:space="preserve"> de SBE</w:t>
      </w:r>
      <w:r w:rsidR="00A104CF">
        <w:rPr>
          <w:lang w:eastAsia="fr-FR"/>
        </w:rPr>
        <w:t>P</w:t>
      </w:r>
      <w:r w:rsidR="007471CD">
        <w:rPr>
          <w:lang w:eastAsia="fr-FR"/>
        </w:rPr>
        <w:t xml:space="preserve"> et que </w:t>
      </w:r>
      <w:r>
        <w:rPr>
          <w:lang w:eastAsia="fr-FR"/>
        </w:rPr>
        <w:t>la définition de</w:t>
      </w:r>
      <w:r w:rsidR="00625C80">
        <w:rPr>
          <w:lang w:eastAsia="fr-FR"/>
        </w:rPr>
        <w:t xml:space="preserve"> ceux-ci</w:t>
      </w:r>
      <w:r>
        <w:rPr>
          <w:lang w:eastAsia="fr-FR"/>
        </w:rPr>
        <w:t xml:space="preserve"> réfère aux </w:t>
      </w:r>
      <w:r w:rsidRPr="0060052F">
        <w:t>services « </w:t>
      </w:r>
      <w:r w:rsidRPr="0060052F">
        <w:rPr>
          <w:rStyle w:val="Citationintgre"/>
        </w:rPr>
        <w:t>minimalement requis</w:t>
      </w:r>
      <w:r w:rsidRPr="0060052F">
        <w:t> »</w:t>
      </w:r>
      <w:r w:rsidRPr="00C214A2">
        <w:t xml:space="preserve"> </w:t>
      </w:r>
      <w:r w:rsidR="00A104CF">
        <w:t>et à des</w:t>
      </w:r>
      <w:r>
        <w:t xml:space="preserve"> effets « </w:t>
      </w:r>
      <w:r w:rsidRPr="0060052F">
        <w:rPr>
          <w:rStyle w:val="Citationintgre"/>
        </w:rPr>
        <w:t>disproportionnés</w:t>
      </w:r>
      <w:r>
        <w:t xml:space="preserve"> » </w:t>
      </w:r>
      <w:r w:rsidR="00EE126C">
        <w:t>tend</w:t>
      </w:r>
      <w:r w:rsidR="00D22C68">
        <w:t>ent</w:t>
      </w:r>
      <w:r w:rsidR="00EE126C">
        <w:t xml:space="preserve"> à démontrer </w:t>
      </w:r>
      <w:r>
        <w:t>que le véritable objet du régime n’est pas de</w:t>
      </w:r>
      <w:r w:rsidR="0081025E">
        <w:t xml:space="preserve"> « </w:t>
      </w:r>
      <w:r w:rsidR="00AA55D2" w:rsidRPr="00982BB3">
        <w:rPr>
          <w:i/>
          <w:iCs/>
          <w:sz w:val="22"/>
          <w:szCs w:val="22"/>
        </w:rPr>
        <w:t>bris</w:t>
      </w:r>
      <w:r w:rsidRPr="00982BB3">
        <w:rPr>
          <w:i/>
          <w:iCs/>
          <w:sz w:val="22"/>
          <w:szCs w:val="22"/>
        </w:rPr>
        <w:t>er</w:t>
      </w:r>
      <w:r w:rsidR="0081025E">
        <w:t> »</w:t>
      </w:r>
      <w:r>
        <w:t xml:space="preserve"> le</w:t>
      </w:r>
      <w:r w:rsidR="000D6B42">
        <w:t>s</w:t>
      </w:r>
      <w:r>
        <w:t xml:space="preserve"> syndicats, mais </w:t>
      </w:r>
      <w:r w:rsidR="000D6B42">
        <w:t>plutôt</w:t>
      </w:r>
      <w:r w:rsidR="00EE126C">
        <w:t xml:space="preserve"> </w:t>
      </w:r>
      <w:r>
        <w:t xml:space="preserve">de protéger la population de </w:t>
      </w:r>
      <w:r w:rsidR="00AA55D2">
        <w:t>certains</w:t>
      </w:r>
      <w:r>
        <w:t xml:space="preserve"> </w:t>
      </w:r>
      <w:r w:rsidR="00AA55D2">
        <w:t xml:space="preserve">des </w:t>
      </w:r>
      <w:r>
        <w:t>effets</w:t>
      </w:r>
      <w:r w:rsidR="00864904">
        <w:t xml:space="preserve"> de la grève</w:t>
      </w:r>
      <w:r w:rsidRPr="00C214A2">
        <w:t>.</w:t>
      </w:r>
    </w:p>
    <w:p w14:paraId="143D8358" w14:textId="4676E7B3" w:rsidR="00473D11" w:rsidRDefault="00C61A05" w:rsidP="00C51A0F">
      <w:pPr>
        <w:pStyle w:val="corpsdedcision"/>
        <w:spacing w:after="240"/>
        <w:rPr>
          <w:lang w:eastAsia="fr-FR"/>
        </w:rPr>
      </w:pPr>
      <w:r>
        <w:rPr>
          <w:lang w:eastAsia="fr-FR"/>
        </w:rPr>
        <w:t>Dans la décision d’assujettissement, l</w:t>
      </w:r>
      <w:r w:rsidR="00610742">
        <w:rPr>
          <w:lang w:eastAsia="fr-FR"/>
        </w:rPr>
        <w:t>e</w:t>
      </w:r>
      <w:r w:rsidR="00473D11">
        <w:rPr>
          <w:lang w:eastAsia="fr-FR"/>
        </w:rPr>
        <w:t xml:space="preserve"> Tribunal écrivait qu</w:t>
      </w:r>
      <w:r w:rsidR="003F380D">
        <w:rPr>
          <w:lang w:eastAsia="fr-FR"/>
        </w:rPr>
        <w:t>e le régime des SBEP</w:t>
      </w:r>
      <w:r w:rsidR="00473D11">
        <w:rPr>
          <w:lang w:eastAsia="fr-FR"/>
        </w:rPr>
        <w:t xml:space="preserve"> </w:t>
      </w:r>
      <w:r w:rsidR="00473D11" w:rsidRPr="00EF2CE3">
        <w:rPr>
          <w:lang w:eastAsia="fr-FR"/>
        </w:rPr>
        <w:t>vis</w:t>
      </w:r>
      <w:r w:rsidR="00A30CAB" w:rsidRPr="00EF2CE3">
        <w:rPr>
          <w:lang w:eastAsia="fr-FR"/>
        </w:rPr>
        <w:t>e</w:t>
      </w:r>
      <w:r w:rsidR="00473D11">
        <w:rPr>
          <w:lang w:eastAsia="fr-FR"/>
        </w:rPr>
        <w:t xml:space="preserve"> à limiter le droit de grève dans des situations qui ne sont pas </w:t>
      </w:r>
      <w:r w:rsidR="00A30CAB">
        <w:rPr>
          <w:lang w:eastAsia="fr-FR"/>
        </w:rPr>
        <w:t>couvertes</w:t>
      </w:r>
      <w:r w:rsidR="00473D11">
        <w:rPr>
          <w:lang w:eastAsia="fr-FR"/>
        </w:rPr>
        <w:t xml:space="preserve"> par le maintien des services essentiels :</w:t>
      </w:r>
    </w:p>
    <w:p w14:paraId="4E748CCF" w14:textId="79DEDE4F" w:rsidR="003F380D" w:rsidRPr="00C51A0F" w:rsidRDefault="00473D11" w:rsidP="00C51A0F">
      <w:pPr>
        <w:pStyle w:val="citation"/>
        <w:spacing w:after="240"/>
        <w:rPr>
          <w:u w:val="single"/>
          <w:lang w:eastAsia="fr-FR"/>
        </w:rPr>
      </w:pPr>
      <w:r w:rsidRPr="0017352A">
        <w:rPr>
          <w:u w:val="single"/>
          <w:lang w:eastAsia="fr-FR"/>
        </w:rPr>
        <w:t>L’objet des dispositions en matière de SBEP</w:t>
      </w:r>
    </w:p>
    <w:p w14:paraId="3E859511" w14:textId="3FBEFB33" w:rsidR="00473D11" w:rsidRDefault="00473D11" w:rsidP="009368C7">
      <w:pPr>
        <w:pStyle w:val="citation"/>
        <w:spacing w:after="120"/>
        <w:rPr>
          <w:lang w:eastAsia="fr-FR"/>
        </w:rPr>
      </w:pPr>
      <w:r>
        <w:rPr>
          <w:lang w:eastAsia="fr-FR"/>
        </w:rPr>
        <w:t>[105]</w:t>
      </w:r>
      <w:r>
        <w:rPr>
          <w:lang w:eastAsia="fr-FR"/>
        </w:rPr>
        <w:tab/>
        <w:t>Il apparait du texte de l’article 111.22.3, des débats parlementaires et du contexte dans lequel il s’inscrit, que le régime des SBEP vise à limiter le droit de grève dans des situations qui ne sont pas visées par le maintien des services essentiels, afin d’éviter à la population, et notamment aux personnes en situation de vulnérabilité, de subir des conséquences disproportionnées à leur sécurité sociale, économique ou environnementale.</w:t>
      </w:r>
    </w:p>
    <w:p w14:paraId="29A4FA54" w14:textId="7C8F1C88" w:rsidR="00473D11" w:rsidRPr="00C51A0F" w:rsidRDefault="00473D11" w:rsidP="00E874DF">
      <w:pPr>
        <w:pStyle w:val="citation"/>
        <w:spacing w:after="360"/>
        <w:rPr>
          <w:sz w:val="24"/>
          <w:szCs w:val="24"/>
          <w:lang w:eastAsia="fr-FR"/>
        </w:rPr>
      </w:pPr>
      <w:r>
        <w:rPr>
          <w:lang w:eastAsia="fr-FR"/>
        </w:rPr>
        <w:t>[106]</w:t>
      </w:r>
      <w:r>
        <w:rPr>
          <w:lang w:eastAsia="fr-FR"/>
        </w:rPr>
        <w:tab/>
        <w:t xml:space="preserve">Le titre de la Loi 14 est révélateur, comme souligné précédemment : la loi vise à considérer </w:t>
      </w:r>
      <w:r w:rsidRPr="00384C4F">
        <w:rPr>
          <w:u w:val="single"/>
          <w:lang w:eastAsia="fr-FR"/>
        </w:rPr>
        <w:t>davantage</w:t>
      </w:r>
      <w:r>
        <w:rPr>
          <w:lang w:eastAsia="fr-FR"/>
        </w:rPr>
        <w:t xml:space="preserve"> les besoins de la population en cas de grève ou de lock-out. Elle implique donc une protection accrue de la population face aux conséquences des conflits de travail par rapport à celle établie par le régime préexistant des services essentiels.</w:t>
      </w:r>
    </w:p>
    <w:p w14:paraId="2815E7D6" w14:textId="68215D41" w:rsidR="003F380D" w:rsidRDefault="008B6864" w:rsidP="003F380D">
      <w:pPr>
        <w:pStyle w:val="corpsdedcision"/>
        <w:rPr>
          <w:lang w:eastAsia="fr-FR"/>
        </w:rPr>
      </w:pPr>
      <w:r>
        <w:rPr>
          <w:lang w:eastAsia="fr-FR"/>
        </w:rPr>
        <w:t>On peut effectivement constater</w:t>
      </w:r>
      <w:r w:rsidR="00D22C68">
        <w:rPr>
          <w:lang w:eastAsia="fr-FR"/>
        </w:rPr>
        <w:t>,</w:t>
      </w:r>
      <w:r>
        <w:rPr>
          <w:lang w:eastAsia="fr-FR"/>
        </w:rPr>
        <w:t xml:space="preserve"> à la lecture des débats </w:t>
      </w:r>
      <w:r w:rsidR="002C4499">
        <w:rPr>
          <w:lang w:eastAsia="fr-FR"/>
        </w:rPr>
        <w:t>parlementaires</w:t>
      </w:r>
      <w:r>
        <w:rPr>
          <w:lang w:eastAsia="fr-FR"/>
        </w:rPr>
        <w:t xml:space="preserve"> qui ont précéd</w:t>
      </w:r>
      <w:r w:rsidR="000340FF">
        <w:rPr>
          <w:lang w:eastAsia="fr-FR"/>
        </w:rPr>
        <w:t>é l’adoption d</w:t>
      </w:r>
      <w:r w:rsidR="00625C80">
        <w:rPr>
          <w:lang w:eastAsia="fr-FR"/>
        </w:rPr>
        <w:t>e</w:t>
      </w:r>
      <w:r w:rsidR="000340FF">
        <w:rPr>
          <w:lang w:eastAsia="fr-FR"/>
        </w:rPr>
        <w:t xml:space="preserve"> la Loi 14, que le </w:t>
      </w:r>
      <w:r w:rsidR="002C4499">
        <w:rPr>
          <w:lang w:eastAsia="fr-FR"/>
        </w:rPr>
        <w:t>ministre</w:t>
      </w:r>
      <w:r w:rsidR="000340FF">
        <w:rPr>
          <w:lang w:eastAsia="fr-FR"/>
        </w:rPr>
        <w:t xml:space="preserve"> </w:t>
      </w:r>
      <w:r w:rsidR="002C4499">
        <w:rPr>
          <w:lang w:eastAsia="fr-FR"/>
        </w:rPr>
        <w:t xml:space="preserve">du Travail </w:t>
      </w:r>
      <w:r w:rsidR="000340FF">
        <w:rPr>
          <w:lang w:eastAsia="fr-FR"/>
        </w:rPr>
        <w:t xml:space="preserve">a </w:t>
      </w:r>
      <w:r w:rsidR="002C4499">
        <w:rPr>
          <w:lang w:eastAsia="fr-FR"/>
        </w:rPr>
        <w:t>cité plusieurs exemples où l</w:t>
      </w:r>
      <w:r w:rsidR="00E56E3A">
        <w:rPr>
          <w:lang w:eastAsia="fr-FR"/>
        </w:rPr>
        <w:t>e</w:t>
      </w:r>
      <w:r w:rsidR="002C4499">
        <w:rPr>
          <w:lang w:eastAsia="fr-FR"/>
        </w:rPr>
        <w:t xml:space="preserve"> Tribunal n’avait pas assujetti les parties au maintien de </w:t>
      </w:r>
      <w:r w:rsidR="00E57F4D">
        <w:rPr>
          <w:lang w:eastAsia="fr-FR"/>
        </w:rPr>
        <w:t>services</w:t>
      </w:r>
      <w:r w:rsidR="002C4499">
        <w:rPr>
          <w:lang w:eastAsia="fr-FR"/>
        </w:rPr>
        <w:t xml:space="preserve"> essentiels en cas de grève. </w:t>
      </w:r>
      <w:r w:rsidR="00E57F4D">
        <w:rPr>
          <w:lang w:eastAsia="fr-FR"/>
        </w:rPr>
        <w:t xml:space="preserve">Cependant, </w:t>
      </w:r>
      <w:r w:rsidR="003037F9">
        <w:rPr>
          <w:lang w:eastAsia="fr-FR"/>
        </w:rPr>
        <w:t>il</w:t>
      </w:r>
      <w:r w:rsidR="003F380D">
        <w:rPr>
          <w:lang w:eastAsia="fr-FR"/>
        </w:rPr>
        <w:t xml:space="preserve"> n’est pas incompatible que l’objet du régime des </w:t>
      </w:r>
      <w:r w:rsidR="00EE40B1">
        <w:rPr>
          <w:lang w:eastAsia="fr-FR"/>
        </w:rPr>
        <w:t>SBEP</w:t>
      </w:r>
      <w:r w:rsidR="003F380D">
        <w:rPr>
          <w:lang w:eastAsia="fr-FR"/>
        </w:rPr>
        <w:t xml:space="preserve"> vise à </w:t>
      </w:r>
      <w:r w:rsidR="00B504DA">
        <w:rPr>
          <w:lang w:eastAsia="fr-FR"/>
        </w:rPr>
        <w:t>améliorer</w:t>
      </w:r>
      <w:r w:rsidR="003F380D">
        <w:rPr>
          <w:lang w:eastAsia="fr-FR"/>
        </w:rPr>
        <w:t xml:space="preserve"> le bien</w:t>
      </w:r>
      <w:r w:rsidR="001B094D">
        <w:rPr>
          <w:lang w:eastAsia="fr-FR"/>
        </w:rPr>
        <w:t>-</w:t>
      </w:r>
      <w:r w:rsidR="003F380D">
        <w:rPr>
          <w:lang w:eastAsia="fr-FR"/>
        </w:rPr>
        <w:t xml:space="preserve">être de la </w:t>
      </w:r>
      <w:r w:rsidR="00B504DA">
        <w:rPr>
          <w:lang w:eastAsia="fr-FR"/>
        </w:rPr>
        <w:t>population</w:t>
      </w:r>
      <w:r w:rsidR="003F380D">
        <w:rPr>
          <w:lang w:eastAsia="fr-FR"/>
        </w:rPr>
        <w:t xml:space="preserve"> e</w:t>
      </w:r>
      <w:r w:rsidR="00B504DA">
        <w:rPr>
          <w:lang w:eastAsia="fr-FR"/>
        </w:rPr>
        <w:t>n s’appliquant à des situations non couvertes par le maintien de services essentiels.</w:t>
      </w:r>
    </w:p>
    <w:p w14:paraId="78FF1836" w14:textId="5EE229D9" w:rsidR="005B792D" w:rsidRDefault="001B094D" w:rsidP="003F380D">
      <w:pPr>
        <w:pStyle w:val="corpsdedcision"/>
        <w:rPr>
          <w:lang w:eastAsia="fr-FR"/>
        </w:rPr>
      </w:pPr>
      <w:r>
        <w:rPr>
          <w:lang w:eastAsia="fr-FR"/>
        </w:rPr>
        <w:t>Certes, les dispositions législatives relatives au</w:t>
      </w:r>
      <w:r w:rsidR="003037F9">
        <w:rPr>
          <w:lang w:eastAsia="fr-FR"/>
        </w:rPr>
        <w:t>x</w:t>
      </w:r>
      <w:r>
        <w:rPr>
          <w:lang w:eastAsia="fr-FR"/>
        </w:rPr>
        <w:t xml:space="preserve"> SBEP ont pour conséquence de limiter le droit de grève</w:t>
      </w:r>
      <w:r w:rsidR="0065525C">
        <w:rPr>
          <w:lang w:eastAsia="fr-FR"/>
        </w:rPr>
        <w:t xml:space="preserve"> et ses impacts</w:t>
      </w:r>
      <w:r>
        <w:rPr>
          <w:lang w:eastAsia="fr-FR"/>
        </w:rPr>
        <w:t xml:space="preserve">, </w:t>
      </w:r>
      <w:r w:rsidR="00E31CB2">
        <w:rPr>
          <w:lang w:eastAsia="fr-FR"/>
        </w:rPr>
        <w:t xml:space="preserve">mais </w:t>
      </w:r>
      <w:r w:rsidR="003037F9">
        <w:rPr>
          <w:lang w:eastAsia="fr-FR"/>
        </w:rPr>
        <w:t xml:space="preserve">leur </w:t>
      </w:r>
      <w:r w:rsidR="00E31CB2">
        <w:rPr>
          <w:lang w:eastAsia="fr-FR"/>
        </w:rPr>
        <w:t xml:space="preserve">objectif premier demeure </w:t>
      </w:r>
      <w:r w:rsidR="00CD06BD">
        <w:rPr>
          <w:lang w:eastAsia="fr-FR"/>
        </w:rPr>
        <w:t xml:space="preserve">de permettre à la population de bénéficier de certains services lors de conflits qui </w:t>
      </w:r>
      <w:r w:rsidR="00D415A2">
        <w:rPr>
          <w:lang w:eastAsia="fr-FR"/>
        </w:rPr>
        <w:t xml:space="preserve">affectent de manière </w:t>
      </w:r>
      <w:r w:rsidR="00FD3493">
        <w:rPr>
          <w:lang w:eastAsia="fr-FR"/>
        </w:rPr>
        <w:t>disproportionnée</w:t>
      </w:r>
      <w:r w:rsidR="00D415A2">
        <w:rPr>
          <w:lang w:eastAsia="fr-FR"/>
        </w:rPr>
        <w:t xml:space="preserve"> sa sécurité sociale, économique </w:t>
      </w:r>
      <w:r w:rsidR="002F6008">
        <w:rPr>
          <w:lang w:eastAsia="fr-FR"/>
        </w:rPr>
        <w:t>ou</w:t>
      </w:r>
      <w:r w:rsidR="00D415A2">
        <w:rPr>
          <w:lang w:eastAsia="fr-FR"/>
        </w:rPr>
        <w:t xml:space="preserve"> </w:t>
      </w:r>
      <w:r w:rsidR="00FD3493">
        <w:rPr>
          <w:lang w:eastAsia="fr-FR"/>
        </w:rPr>
        <w:t>environnementale</w:t>
      </w:r>
      <w:r w:rsidR="00D415A2">
        <w:rPr>
          <w:lang w:eastAsia="fr-FR"/>
        </w:rPr>
        <w:t>.</w:t>
      </w:r>
    </w:p>
    <w:p w14:paraId="7C6C1232" w14:textId="5EC99EC0" w:rsidR="00C8714D" w:rsidRDefault="00BA0F43" w:rsidP="00971630">
      <w:pPr>
        <w:pStyle w:val="corpsdedcision"/>
        <w:rPr>
          <w:lang w:eastAsia="fr-FR"/>
        </w:rPr>
      </w:pPr>
      <w:r>
        <w:rPr>
          <w:lang w:eastAsia="fr-FR"/>
        </w:rPr>
        <w:t xml:space="preserve">Le raisonnement de </w:t>
      </w:r>
      <w:r w:rsidR="00B86F79">
        <w:rPr>
          <w:lang w:eastAsia="fr-FR"/>
        </w:rPr>
        <w:t xml:space="preserve">la Cour supérieure dans </w:t>
      </w:r>
      <w:r w:rsidR="00891C00">
        <w:rPr>
          <w:lang w:eastAsia="fr-FR"/>
        </w:rPr>
        <w:t xml:space="preserve">le jugement </w:t>
      </w:r>
      <w:r w:rsidR="00F15B41" w:rsidRPr="00170BF4">
        <w:rPr>
          <w:i/>
          <w:iCs/>
          <w:lang w:eastAsia="fr-FR"/>
        </w:rPr>
        <w:t>LANEQ</w:t>
      </w:r>
      <w:r w:rsidR="00125F4C">
        <w:rPr>
          <w:rStyle w:val="Appelnotedebasdep"/>
          <w:lang w:eastAsia="fr-FR"/>
        </w:rPr>
        <w:footnoteReference w:id="95"/>
      </w:r>
      <w:r w:rsidR="00F15B41">
        <w:rPr>
          <w:lang w:eastAsia="fr-FR"/>
        </w:rPr>
        <w:t xml:space="preserve"> </w:t>
      </w:r>
      <w:r w:rsidR="00745551">
        <w:rPr>
          <w:lang w:eastAsia="fr-FR"/>
        </w:rPr>
        <w:t>présente une analogie intéressante</w:t>
      </w:r>
      <w:r w:rsidR="00625C80">
        <w:rPr>
          <w:lang w:eastAsia="fr-FR"/>
        </w:rPr>
        <w:t xml:space="preserve"> avec la présente affaire</w:t>
      </w:r>
      <w:r w:rsidR="00745551">
        <w:rPr>
          <w:lang w:eastAsia="fr-FR"/>
        </w:rPr>
        <w:t>. Alors qu’elle se prononce sur l</w:t>
      </w:r>
      <w:r w:rsidR="00A15CE3">
        <w:rPr>
          <w:lang w:eastAsia="fr-FR"/>
        </w:rPr>
        <w:t xml:space="preserve">a </w:t>
      </w:r>
      <w:r w:rsidR="002F0261">
        <w:rPr>
          <w:lang w:eastAsia="fr-FR"/>
        </w:rPr>
        <w:t>constitutionnalité</w:t>
      </w:r>
      <w:r w:rsidR="00A15CE3">
        <w:rPr>
          <w:lang w:eastAsia="fr-FR"/>
        </w:rPr>
        <w:t xml:space="preserve"> </w:t>
      </w:r>
      <w:r w:rsidR="002F0261">
        <w:rPr>
          <w:lang w:eastAsia="fr-FR"/>
        </w:rPr>
        <w:t xml:space="preserve">de la loi mettant fin à la grève exercée par les juristes de </w:t>
      </w:r>
      <w:r w:rsidR="00085D00">
        <w:rPr>
          <w:lang w:eastAsia="fr-FR"/>
        </w:rPr>
        <w:t>l’État</w:t>
      </w:r>
      <w:r w:rsidR="002F0261">
        <w:rPr>
          <w:lang w:eastAsia="fr-FR"/>
        </w:rPr>
        <w:t xml:space="preserve">, </w:t>
      </w:r>
      <w:r w:rsidR="00745551">
        <w:rPr>
          <w:lang w:eastAsia="fr-FR"/>
        </w:rPr>
        <w:t xml:space="preserve">la Cour </w:t>
      </w:r>
      <w:r w:rsidR="005B792D">
        <w:rPr>
          <w:lang w:eastAsia="fr-FR"/>
        </w:rPr>
        <w:t xml:space="preserve">écrit que </w:t>
      </w:r>
      <w:r w:rsidR="00EB48F8">
        <w:rPr>
          <w:lang w:eastAsia="fr-FR"/>
        </w:rPr>
        <w:t xml:space="preserve">la </w:t>
      </w:r>
      <w:r w:rsidR="003F2170">
        <w:rPr>
          <w:lang w:eastAsia="fr-FR"/>
        </w:rPr>
        <w:t xml:space="preserve">négation du droit de grève est </w:t>
      </w:r>
      <w:r w:rsidR="000B74C7">
        <w:rPr>
          <w:lang w:eastAsia="fr-FR"/>
        </w:rPr>
        <w:t>le moyen utilisé par le législateur pour rétablir la totalité des services que rendent les juristes.</w:t>
      </w:r>
    </w:p>
    <w:p w14:paraId="26AA2F7E" w14:textId="56E8F08C" w:rsidR="00B504DA" w:rsidRDefault="00B504DA" w:rsidP="003F380D">
      <w:pPr>
        <w:pStyle w:val="corpsdedcision"/>
        <w:rPr>
          <w:lang w:eastAsia="fr-FR"/>
        </w:rPr>
      </w:pPr>
      <w:r>
        <w:rPr>
          <w:lang w:eastAsia="fr-FR"/>
        </w:rPr>
        <w:t xml:space="preserve">Le Tribunal </w:t>
      </w:r>
      <w:r w:rsidR="005E21B1">
        <w:rPr>
          <w:lang w:eastAsia="fr-FR"/>
        </w:rPr>
        <w:t xml:space="preserve">considère donc </w:t>
      </w:r>
      <w:r w:rsidR="00A15CE3">
        <w:rPr>
          <w:lang w:eastAsia="fr-FR"/>
        </w:rPr>
        <w:t>que le</w:t>
      </w:r>
      <w:r>
        <w:rPr>
          <w:lang w:eastAsia="fr-FR"/>
        </w:rPr>
        <w:t xml:space="preserve"> régime des SBEP </w:t>
      </w:r>
      <w:r w:rsidR="00B95603">
        <w:rPr>
          <w:lang w:eastAsia="fr-FR"/>
        </w:rPr>
        <w:t>n’</w:t>
      </w:r>
      <w:r>
        <w:rPr>
          <w:lang w:eastAsia="fr-FR"/>
        </w:rPr>
        <w:t xml:space="preserve">a </w:t>
      </w:r>
      <w:r w:rsidR="00085D00">
        <w:rPr>
          <w:lang w:eastAsia="fr-FR"/>
        </w:rPr>
        <w:t xml:space="preserve">pas </w:t>
      </w:r>
      <w:r>
        <w:rPr>
          <w:lang w:eastAsia="fr-FR"/>
        </w:rPr>
        <w:t>pour objet d</w:t>
      </w:r>
      <w:r w:rsidR="00971630">
        <w:rPr>
          <w:lang w:eastAsia="fr-FR"/>
        </w:rPr>
        <w:t xml:space="preserve">’entraver substantiellement </w:t>
      </w:r>
      <w:r w:rsidR="00BA73AB">
        <w:rPr>
          <w:lang w:eastAsia="fr-FR"/>
        </w:rPr>
        <w:t>le processus véritable de négociation collective</w:t>
      </w:r>
      <w:r w:rsidR="00FD3493">
        <w:rPr>
          <w:lang w:eastAsia="fr-FR"/>
        </w:rPr>
        <w:t xml:space="preserve">. </w:t>
      </w:r>
      <w:r w:rsidR="00D22A52">
        <w:rPr>
          <w:lang w:eastAsia="fr-FR"/>
        </w:rPr>
        <w:t>En revanche</w:t>
      </w:r>
      <w:r>
        <w:rPr>
          <w:lang w:eastAsia="fr-FR"/>
        </w:rPr>
        <w:t xml:space="preserve">, </w:t>
      </w:r>
      <w:r w:rsidR="00BA73AB">
        <w:rPr>
          <w:lang w:eastAsia="fr-FR"/>
        </w:rPr>
        <w:t xml:space="preserve">il en va autrement pour </w:t>
      </w:r>
      <w:r>
        <w:rPr>
          <w:lang w:eastAsia="fr-FR"/>
        </w:rPr>
        <w:t>ses effets.</w:t>
      </w:r>
    </w:p>
    <w:p w14:paraId="7362B261" w14:textId="7138A689" w:rsidR="006A4DA1" w:rsidRDefault="00CA60C8" w:rsidP="008F2C63">
      <w:pPr>
        <w:pStyle w:val="Titre2"/>
        <w:jc w:val="both"/>
      </w:pPr>
      <w:r>
        <w:t>Les effets du régime des</w:t>
      </w:r>
      <w:r w:rsidR="00F50B6B">
        <w:t xml:space="preserve"> services assurant le bien-être de la population</w:t>
      </w:r>
      <w:r w:rsidR="00971630">
        <w:t xml:space="preserve"> </w:t>
      </w:r>
      <w:r w:rsidR="007C7BB0">
        <w:t>entravent</w:t>
      </w:r>
      <w:r w:rsidR="00971630">
        <w:t xml:space="preserve">-ils </w:t>
      </w:r>
      <w:r w:rsidR="007C7BB0">
        <w:t>substantiellement</w:t>
      </w:r>
      <w:r w:rsidR="00971630">
        <w:t xml:space="preserve"> le processus </w:t>
      </w:r>
      <w:r w:rsidR="007C7BB0">
        <w:t>véritable de négociation collective?</w:t>
      </w:r>
    </w:p>
    <w:p w14:paraId="7EA046DC" w14:textId="73EF67A2" w:rsidR="00E676DD" w:rsidRDefault="00E676DD" w:rsidP="00841D35">
      <w:pPr>
        <w:pStyle w:val="Titre3"/>
        <w:jc w:val="both"/>
      </w:pPr>
      <w:r>
        <w:t>L</w:t>
      </w:r>
      <w:r w:rsidR="0086694E">
        <w:t xml:space="preserve">a situation avant l’introduction du régime des </w:t>
      </w:r>
      <w:r w:rsidR="008F1E70">
        <w:t>services assurant le bien-être de la population</w:t>
      </w:r>
    </w:p>
    <w:p w14:paraId="62FA9DA0" w14:textId="657D5AB9" w:rsidR="00E676DD" w:rsidRDefault="00E676DD" w:rsidP="00E676DD">
      <w:pPr>
        <w:pStyle w:val="corpsdedcision"/>
        <w:rPr>
          <w:lang w:eastAsia="fr-FR"/>
        </w:rPr>
      </w:pPr>
      <w:r>
        <w:rPr>
          <w:lang w:eastAsia="fr-FR"/>
        </w:rPr>
        <w:t>La preuve démontre qu’avant l’introduction des dispositions relatives au maintien de SBEP, les négociations dans le secteur des CPE se déroulent généralement bien et entrainent des arrêts de travail limités.</w:t>
      </w:r>
    </w:p>
    <w:p w14:paraId="437DF132" w14:textId="038D1958" w:rsidR="00E676DD" w:rsidRDefault="00E676DD" w:rsidP="00834BF3">
      <w:pPr>
        <w:pStyle w:val="corpsdedcision"/>
        <w:spacing w:after="240"/>
        <w:rPr>
          <w:lang w:eastAsia="fr-FR"/>
        </w:rPr>
      </w:pPr>
      <w:r>
        <w:rPr>
          <w:lang w:eastAsia="fr-FR"/>
        </w:rPr>
        <w:t>Les experts Laroche et Jalette font le constat qu’au cours des 25 dernières années la situation dans le secteur des services de garde éducatifs est meilleure à bien des égards que celle d’autres secteurs (scolaire, manufacturier et construction) relativement aux conflits de travail</w:t>
      </w:r>
      <w:r w:rsidR="00BA73AB">
        <w:rPr>
          <w:lang w:eastAsia="fr-FR"/>
        </w:rPr>
        <w:t xml:space="preserve"> et</w:t>
      </w:r>
      <w:r w:rsidR="001E60BF">
        <w:rPr>
          <w:lang w:eastAsia="fr-FR"/>
        </w:rPr>
        <w:t>,</w:t>
      </w:r>
      <w:r w:rsidR="00BA73AB">
        <w:rPr>
          <w:lang w:eastAsia="fr-FR"/>
        </w:rPr>
        <w:t xml:space="preserve"> en particulier</w:t>
      </w:r>
      <w:r w:rsidR="001E60BF">
        <w:rPr>
          <w:lang w:eastAsia="fr-FR"/>
        </w:rPr>
        <w:t>,</w:t>
      </w:r>
      <w:r w:rsidR="00BA73AB">
        <w:rPr>
          <w:lang w:eastAsia="fr-FR"/>
        </w:rPr>
        <w:t xml:space="preserve"> à leur durée</w:t>
      </w:r>
      <w:r>
        <w:rPr>
          <w:lang w:eastAsia="fr-FR"/>
        </w:rPr>
        <w:t>.</w:t>
      </w:r>
    </w:p>
    <w:p w14:paraId="155A581A" w14:textId="05A57EBE" w:rsidR="002F0F90" w:rsidRDefault="002F0F90" w:rsidP="00834BF3">
      <w:pPr>
        <w:pStyle w:val="corpsdedcision"/>
        <w:spacing w:after="240"/>
        <w:rPr>
          <w:lang w:eastAsia="fr-FR"/>
        </w:rPr>
      </w:pPr>
      <w:r>
        <w:rPr>
          <w:lang w:eastAsia="fr-FR"/>
        </w:rPr>
        <w:t xml:space="preserve">La grève ou la simple menace de grève se révèle un outil efficace. Alors que la durée moyenne générale des arrêts de travail </w:t>
      </w:r>
      <w:r w:rsidR="008D6F79">
        <w:rPr>
          <w:lang w:eastAsia="fr-FR"/>
        </w:rPr>
        <w:t xml:space="preserve">au Québec </w:t>
      </w:r>
      <w:r>
        <w:rPr>
          <w:lang w:eastAsia="fr-FR"/>
        </w:rPr>
        <w:t xml:space="preserve">se situe à 90,8 jours, celle dans le secteur de CPE </w:t>
      </w:r>
      <w:r w:rsidR="00D22C68">
        <w:rPr>
          <w:lang w:eastAsia="fr-FR"/>
        </w:rPr>
        <w:t>n’</w:t>
      </w:r>
      <w:r>
        <w:rPr>
          <w:lang w:eastAsia="fr-FR"/>
        </w:rPr>
        <w:t>est</w:t>
      </w:r>
      <w:r w:rsidR="00D22C68">
        <w:rPr>
          <w:lang w:eastAsia="fr-FR"/>
        </w:rPr>
        <w:t xml:space="preserve"> que</w:t>
      </w:r>
      <w:r>
        <w:rPr>
          <w:lang w:eastAsia="fr-FR"/>
        </w:rPr>
        <w:t xml:space="preserve"> de 17,5 jours</w:t>
      </w:r>
      <w:r w:rsidR="00BA73AB">
        <w:rPr>
          <w:rStyle w:val="Appelnotedebasdep"/>
          <w:lang w:eastAsia="fr-FR"/>
        </w:rPr>
        <w:footnoteReference w:id="96"/>
      </w:r>
      <w:r>
        <w:rPr>
          <w:lang w:eastAsia="fr-FR"/>
        </w:rPr>
        <w:t>.</w:t>
      </w:r>
    </w:p>
    <w:p w14:paraId="45F29D22" w14:textId="057DAD87" w:rsidR="002F0F90" w:rsidRDefault="002F0F90" w:rsidP="002F0F90">
      <w:pPr>
        <w:pStyle w:val="corpsdedcision"/>
        <w:rPr>
          <w:lang w:eastAsia="fr-FR"/>
        </w:rPr>
      </w:pPr>
      <w:r w:rsidRPr="00766DBF">
        <w:rPr>
          <w:lang w:eastAsia="fr-FR"/>
        </w:rPr>
        <w:t>Selon les experts</w:t>
      </w:r>
      <w:r>
        <w:rPr>
          <w:lang w:eastAsia="fr-FR"/>
        </w:rPr>
        <w:t xml:space="preserve"> Laroche et Jalette</w:t>
      </w:r>
      <w:r w:rsidRPr="00766DBF">
        <w:rPr>
          <w:lang w:eastAsia="fr-FR"/>
        </w:rPr>
        <w:t xml:space="preserve">, le règlement rapide des conflits </w:t>
      </w:r>
      <w:r w:rsidR="00774DF3">
        <w:rPr>
          <w:lang w:eastAsia="fr-FR"/>
        </w:rPr>
        <w:t>reflète</w:t>
      </w:r>
      <w:r w:rsidRPr="00766DBF">
        <w:rPr>
          <w:lang w:eastAsia="fr-FR"/>
        </w:rPr>
        <w:t xml:space="preserve"> que le système de relations industrielles fonctionne bien.</w:t>
      </w:r>
      <w:r>
        <w:rPr>
          <w:lang w:eastAsia="fr-FR"/>
        </w:rPr>
        <w:t xml:space="preserve"> </w:t>
      </w:r>
      <w:r w:rsidRPr="00443F51">
        <w:rPr>
          <w:lang w:eastAsia="fr-FR"/>
        </w:rPr>
        <w:t>De fait, ce système «</w:t>
      </w:r>
      <w:r w:rsidR="002745A2">
        <w:rPr>
          <w:lang w:eastAsia="fr-FR"/>
        </w:rPr>
        <w:t> </w:t>
      </w:r>
      <w:r w:rsidRPr="00C55361">
        <w:rPr>
          <w:rStyle w:val="Citationintgre"/>
        </w:rPr>
        <w:t>repose sur un équilibre entre autonomie des parties, conflictualité encadrée et intervention étatique limitée</w:t>
      </w:r>
      <w:r w:rsidR="008D044D">
        <w:rPr>
          <w:lang w:eastAsia="fr-FR"/>
        </w:rPr>
        <w:t> </w:t>
      </w:r>
      <w:r w:rsidRPr="00443F51">
        <w:rPr>
          <w:lang w:eastAsia="fr-FR"/>
        </w:rPr>
        <w:t>»</w:t>
      </w:r>
      <w:r>
        <w:rPr>
          <w:rStyle w:val="Appelnotedebasdep"/>
          <w:lang w:eastAsia="fr-FR"/>
        </w:rPr>
        <w:footnoteReference w:id="97"/>
      </w:r>
      <w:r w:rsidRPr="00443F51">
        <w:rPr>
          <w:lang w:eastAsia="fr-FR"/>
        </w:rPr>
        <w:t xml:space="preserve">. Il existe une interdépendance entre ces éléments qui participent à cet équilibre. </w:t>
      </w:r>
      <w:r w:rsidR="00D22C68">
        <w:rPr>
          <w:lang w:eastAsia="fr-FR"/>
        </w:rPr>
        <w:t>Les</w:t>
      </w:r>
      <w:r w:rsidR="002745A2">
        <w:rPr>
          <w:lang w:eastAsia="fr-FR"/>
        </w:rPr>
        <w:t> </w:t>
      </w:r>
      <w:r w:rsidR="00D22C68">
        <w:rPr>
          <w:lang w:eastAsia="fr-FR"/>
        </w:rPr>
        <w:t>experts</w:t>
      </w:r>
      <w:r w:rsidR="00D22C68" w:rsidRPr="00443F51">
        <w:rPr>
          <w:lang w:eastAsia="fr-FR"/>
        </w:rPr>
        <w:t xml:space="preserve"> </w:t>
      </w:r>
      <w:r w:rsidRPr="00443F51">
        <w:rPr>
          <w:lang w:eastAsia="fr-FR"/>
        </w:rPr>
        <w:t>poursuivent en mettant l’accent sur le compromis qui résulte d’un rapport de force encadré plutôt que d’une intervention de l’État. En ce sens, les «</w:t>
      </w:r>
      <w:r w:rsidR="008D044D">
        <w:rPr>
          <w:lang w:eastAsia="fr-FR"/>
        </w:rPr>
        <w:t> </w:t>
      </w:r>
      <w:r w:rsidRPr="00C55361">
        <w:rPr>
          <w:rStyle w:val="Citationintgre"/>
        </w:rPr>
        <w:t>moyens de pression y jouent un rôle central</w:t>
      </w:r>
      <w:r w:rsidR="00874784">
        <w:rPr>
          <w:rStyle w:val="Citationintgre"/>
        </w:rPr>
        <w:t> </w:t>
      </w:r>
      <w:r w:rsidRPr="00C55361">
        <w:rPr>
          <w:rStyle w:val="Citationintgre"/>
        </w:rPr>
        <w:t>: ils rendent visibles les enjeux de la négociation et incitent à la conclusion d’ententes, tout en étant strictement encadré</w:t>
      </w:r>
      <w:r>
        <w:rPr>
          <w:rStyle w:val="Citationintgre"/>
        </w:rPr>
        <w:t>s</w:t>
      </w:r>
      <w:r w:rsidRPr="00C55361">
        <w:rPr>
          <w:rStyle w:val="Citationintgre"/>
        </w:rPr>
        <w:t xml:space="preserve"> afin de préserver la stabilité et la prévisibilité du système</w:t>
      </w:r>
      <w:r w:rsidR="00874784">
        <w:rPr>
          <w:lang w:eastAsia="fr-FR"/>
        </w:rPr>
        <w:t> </w:t>
      </w:r>
      <w:r w:rsidRPr="00443F51">
        <w:rPr>
          <w:lang w:eastAsia="fr-FR"/>
        </w:rPr>
        <w:t>»</w:t>
      </w:r>
      <w:r>
        <w:rPr>
          <w:rStyle w:val="Appelnotedebasdep"/>
          <w:lang w:eastAsia="fr-FR"/>
        </w:rPr>
        <w:footnoteReference w:id="98"/>
      </w:r>
      <w:r w:rsidRPr="00443F51">
        <w:rPr>
          <w:lang w:eastAsia="fr-FR"/>
        </w:rPr>
        <w:t>.</w:t>
      </w:r>
    </w:p>
    <w:p w14:paraId="07830A54" w14:textId="28FE8F27" w:rsidR="002F0F90" w:rsidRDefault="002F0F90" w:rsidP="00834BF3">
      <w:pPr>
        <w:pStyle w:val="corpsdedcision"/>
        <w:spacing w:after="0"/>
        <w:rPr>
          <w:lang w:eastAsia="fr-FR"/>
        </w:rPr>
      </w:pPr>
      <w:r>
        <w:rPr>
          <w:lang w:eastAsia="fr-FR"/>
        </w:rPr>
        <w:t>François Demers, le porte-parole syndical des trois dernières rondes de négociations au palier national menées par</w:t>
      </w:r>
      <w:r w:rsidRPr="003F4E3B">
        <w:rPr>
          <w:lang w:eastAsia="fr-FR"/>
        </w:rPr>
        <w:t xml:space="preserve"> </w:t>
      </w:r>
      <w:r>
        <w:rPr>
          <w:lang w:eastAsia="fr-FR"/>
        </w:rPr>
        <w:t>la FSSS-CSN, rapporte que la simple menace de grève suffit à faire bouger les choses. Maître Josée Gervais, la porte-parole du ministère de la Famille et du Bureau de négociation gouvernemental</w:t>
      </w:r>
      <w:r>
        <w:rPr>
          <w:rStyle w:val="Appelnotedebasdep"/>
          <w:lang w:eastAsia="fr-FR"/>
        </w:rPr>
        <w:footnoteReference w:id="99"/>
      </w:r>
      <w:r>
        <w:rPr>
          <w:lang w:eastAsia="fr-FR"/>
        </w:rPr>
        <w:t xml:space="preserve">, témoigne </w:t>
      </w:r>
      <w:r w:rsidR="00182763">
        <w:rPr>
          <w:lang w:eastAsia="fr-FR"/>
        </w:rPr>
        <w:t>du soutien d</w:t>
      </w:r>
      <w:r>
        <w:rPr>
          <w:lang w:eastAsia="fr-FR"/>
        </w:rPr>
        <w:t xml:space="preserve">es parents </w:t>
      </w:r>
      <w:r w:rsidR="00182763">
        <w:rPr>
          <w:lang w:eastAsia="fr-FR"/>
        </w:rPr>
        <w:t xml:space="preserve">envers </w:t>
      </w:r>
      <w:r>
        <w:rPr>
          <w:lang w:eastAsia="fr-FR"/>
        </w:rPr>
        <w:t xml:space="preserve">les éducatrices et </w:t>
      </w:r>
      <w:r w:rsidR="00182763">
        <w:rPr>
          <w:lang w:eastAsia="fr-FR"/>
        </w:rPr>
        <w:t>de la forte pression exercée sur</w:t>
      </w:r>
      <w:r>
        <w:rPr>
          <w:lang w:eastAsia="fr-FR"/>
        </w:rPr>
        <w:t xml:space="preserve"> le gouvernement afin de trouver une solution </w:t>
      </w:r>
      <w:r w:rsidR="00182763">
        <w:rPr>
          <w:lang w:eastAsia="fr-FR"/>
        </w:rPr>
        <w:t>mettant</w:t>
      </w:r>
      <w:r>
        <w:rPr>
          <w:lang w:eastAsia="fr-FR"/>
        </w:rPr>
        <w:t xml:space="preserve"> un terme aux conflits de travail.</w:t>
      </w:r>
    </w:p>
    <w:p w14:paraId="492FFE59" w14:textId="714FF162" w:rsidR="002F0F90" w:rsidRDefault="002F0F90" w:rsidP="00834BF3">
      <w:pPr>
        <w:pStyle w:val="corpsdedcision"/>
        <w:spacing w:before="360"/>
        <w:rPr>
          <w:lang w:eastAsia="fr-FR"/>
        </w:rPr>
      </w:pPr>
      <w:r>
        <w:rPr>
          <w:lang w:eastAsia="fr-FR"/>
        </w:rPr>
        <w:t xml:space="preserve">Selon monsieur Demers, la grève serait même le seul moyen d’atteindre le </w:t>
      </w:r>
      <w:r w:rsidR="008F1E70">
        <w:rPr>
          <w:lang w:eastAsia="fr-FR"/>
        </w:rPr>
        <w:t>niveau</w:t>
      </w:r>
      <w:r>
        <w:rPr>
          <w:lang w:eastAsia="fr-FR"/>
        </w:rPr>
        <w:t xml:space="preserve"> politique. Comme mentionné précédemment, l’État joue un rôle particulier dans les négociations de ce secteur, à titre de principal bailleur de fonds </w:t>
      </w:r>
      <w:r w:rsidR="00515AFA">
        <w:rPr>
          <w:lang w:eastAsia="fr-FR"/>
        </w:rPr>
        <w:t xml:space="preserve">et </w:t>
      </w:r>
      <w:r w:rsidR="003F722E">
        <w:rPr>
          <w:lang w:eastAsia="fr-FR"/>
        </w:rPr>
        <w:t>en raison du cadre normatif</w:t>
      </w:r>
      <w:r>
        <w:rPr>
          <w:lang w:eastAsia="fr-FR"/>
        </w:rPr>
        <w:t xml:space="preserve"> qu’il impose aux services de garde.</w:t>
      </w:r>
    </w:p>
    <w:p w14:paraId="513D8142" w14:textId="0DC81C43" w:rsidR="002F0F90" w:rsidRDefault="002F0F90" w:rsidP="002F0F90">
      <w:pPr>
        <w:pStyle w:val="corpsdedcision"/>
        <w:rPr>
          <w:lang w:eastAsia="fr-FR"/>
        </w:rPr>
      </w:pPr>
      <w:r>
        <w:rPr>
          <w:lang w:eastAsia="fr-FR"/>
        </w:rPr>
        <w:t>Maître Gervais et monsieur Demers ont tous deux confirmé l’importance de la grève dans l’avancement des négociations.</w:t>
      </w:r>
    </w:p>
    <w:p w14:paraId="3F94B484" w14:textId="14D9F707" w:rsidR="002F0F90" w:rsidRDefault="002F0F90" w:rsidP="002F0F90">
      <w:pPr>
        <w:pStyle w:val="corpsdedcision"/>
        <w:rPr>
          <w:lang w:eastAsia="fr-FR"/>
        </w:rPr>
      </w:pPr>
      <w:r>
        <w:rPr>
          <w:lang w:eastAsia="fr-FR"/>
        </w:rPr>
        <w:t>Lors de la ronde de négociations nationales pour le renouvellement de la convention collective 2020-2023, une dizaine de journées de grève ont été tenues avant le déclenchement</w:t>
      </w:r>
      <w:r w:rsidRPr="007662C0">
        <w:rPr>
          <w:lang w:eastAsia="fr-FR"/>
        </w:rPr>
        <w:t xml:space="preserve"> </w:t>
      </w:r>
      <w:r>
        <w:rPr>
          <w:lang w:eastAsia="fr-FR"/>
        </w:rPr>
        <w:t>de la grève générale illimitée. Chaque période de grève a amené un déblocage à la table des négociations. Le gouvernement voulait éviter, autant que possible, une grève générale illimitée. Celle-ci a été déclenchée le 1</w:t>
      </w:r>
      <w:r w:rsidRPr="00C76BD8">
        <w:rPr>
          <w:vertAlign w:val="superscript"/>
          <w:lang w:eastAsia="fr-FR"/>
        </w:rPr>
        <w:t>er</w:t>
      </w:r>
      <w:r>
        <w:rPr>
          <w:lang w:eastAsia="fr-FR"/>
        </w:rPr>
        <w:t xml:space="preserve"> décembre 2021 et a entrainé une négociation nuit et jour. Une entente de principe a été conclue le</w:t>
      </w:r>
      <w:r w:rsidR="009F3197">
        <w:rPr>
          <w:lang w:eastAsia="fr-FR"/>
        </w:rPr>
        <w:t> </w:t>
      </w:r>
      <w:r>
        <w:rPr>
          <w:lang w:eastAsia="fr-FR"/>
        </w:rPr>
        <w:t>8</w:t>
      </w:r>
      <w:r w:rsidR="009F3197">
        <w:rPr>
          <w:lang w:eastAsia="fr-FR"/>
        </w:rPr>
        <w:t> </w:t>
      </w:r>
      <w:r>
        <w:rPr>
          <w:lang w:eastAsia="fr-FR"/>
        </w:rPr>
        <w:t>décembre 2021 et la grève a été levée le 12 décembre</w:t>
      </w:r>
      <w:r w:rsidR="009F3197">
        <w:rPr>
          <w:lang w:eastAsia="fr-FR"/>
        </w:rPr>
        <w:t xml:space="preserve"> suivant</w:t>
      </w:r>
      <w:r>
        <w:rPr>
          <w:lang w:eastAsia="fr-FR"/>
        </w:rPr>
        <w:t>. Au total, 18 jours de grève ont été tenus, ce qui constitue un record.</w:t>
      </w:r>
    </w:p>
    <w:p w14:paraId="46DE093D" w14:textId="3CC242E9" w:rsidR="002F0F90" w:rsidRDefault="002F0F90" w:rsidP="002F0F90">
      <w:pPr>
        <w:pStyle w:val="corpsdedcision"/>
        <w:rPr>
          <w:lang w:eastAsia="fr-FR"/>
        </w:rPr>
      </w:pPr>
      <w:r>
        <w:rPr>
          <w:lang w:eastAsia="fr-FR"/>
        </w:rPr>
        <w:t>Lors des dernières négociations nationales couvrant la période 2023-2028, maître</w:t>
      </w:r>
      <w:r w:rsidR="00350DEB">
        <w:rPr>
          <w:lang w:eastAsia="fr-FR"/>
        </w:rPr>
        <w:t> </w:t>
      </w:r>
      <w:r>
        <w:rPr>
          <w:lang w:eastAsia="fr-FR"/>
        </w:rPr>
        <w:t>Gervais reçoit comme instruction de son mandant de négocier sans relâche afin de parvenir à une entente pour éviter la grève générale illimitée, comme lors de la précédente ronde de négociations. Les parties concluent une entente de principe le</w:t>
      </w:r>
      <w:r w:rsidR="009F3197">
        <w:rPr>
          <w:lang w:eastAsia="fr-FR"/>
        </w:rPr>
        <w:t> </w:t>
      </w:r>
      <w:r>
        <w:rPr>
          <w:lang w:eastAsia="fr-FR"/>
        </w:rPr>
        <w:t>5</w:t>
      </w:r>
      <w:r w:rsidR="009F3197">
        <w:rPr>
          <w:lang w:eastAsia="fr-FR"/>
        </w:rPr>
        <w:t> </w:t>
      </w:r>
      <w:r>
        <w:rPr>
          <w:lang w:eastAsia="fr-FR"/>
        </w:rPr>
        <w:t>mai</w:t>
      </w:r>
      <w:r w:rsidR="009F3197">
        <w:rPr>
          <w:lang w:eastAsia="fr-FR"/>
        </w:rPr>
        <w:t> </w:t>
      </w:r>
      <w:r>
        <w:rPr>
          <w:lang w:eastAsia="fr-FR"/>
        </w:rPr>
        <w:t>2025, avant que celle-ci ne soit déclenchée.</w:t>
      </w:r>
    </w:p>
    <w:p w14:paraId="4F154878" w14:textId="6DF0C72A" w:rsidR="002F0F90" w:rsidRDefault="002F0F90" w:rsidP="002F0F90">
      <w:pPr>
        <w:pStyle w:val="corpsdedcision"/>
        <w:rPr>
          <w:lang w:eastAsia="fr-FR"/>
        </w:rPr>
      </w:pPr>
      <w:r>
        <w:rPr>
          <w:lang w:eastAsia="fr-FR"/>
        </w:rPr>
        <w:t>De façon générale, les négociations aux niveaux régional et local se déroulent rondement. Les enjeux clés se situent au niveau national et les éléments qui demeurent à régler au</w:t>
      </w:r>
      <w:r w:rsidR="000328A3">
        <w:rPr>
          <w:lang w:eastAsia="fr-FR"/>
        </w:rPr>
        <w:t>x</w:t>
      </w:r>
      <w:r>
        <w:rPr>
          <w:lang w:eastAsia="fr-FR"/>
        </w:rPr>
        <w:t xml:space="preserve"> niveau</w:t>
      </w:r>
      <w:r w:rsidR="000328A3">
        <w:rPr>
          <w:lang w:eastAsia="fr-FR"/>
        </w:rPr>
        <w:t>x</w:t>
      </w:r>
      <w:r>
        <w:rPr>
          <w:lang w:eastAsia="fr-FR"/>
        </w:rPr>
        <w:t xml:space="preserve"> local ou régional font rapidement l’objet d’une entente</w:t>
      </w:r>
      <w:r w:rsidRPr="00597183">
        <w:rPr>
          <w:lang w:eastAsia="fr-FR"/>
        </w:rPr>
        <w:t>.</w:t>
      </w:r>
      <w:r>
        <w:rPr>
          <w:lang w:eastAsia="fr-FR"/>
        </w:rPr>
        <w:t xml:space="preserve"> L</w:t>
      </w:r>
      <w:r w:rsidRPr="00720CC9">
        <w:rPr>
          <w:lang w:eastAsia="fr-FR"/>
        </w:rPr>
        <w:t xml:space="preserve">es arrêts de travail sont </w:t>
      </w:r>
      <w:r>
        <w:rPr>
          <w:lang w:eastAsia="fr-FR"/>
        </w:rPr>
        <w:t xml:space="preserve">rares et, le cas échéant, </w:t>
      </w:r>
      <w:r w:rsidRPr="00720CC9">
        <w:rPr>
          <w:lang w:eastAsia="fr-FR"/>
        </w:rPr>
        <w:t>courts.</w:t>
      </w:r>
    </w:p>
    <w:p w14:paraId="7E89FF3A" w14:textId="6B7AB9C6" w:rsidR="002F0F90" w:rsidRDefault="002F0F90" w:rsidP="002F0F90">
      <w:pPr>
        <w:pStyle w:val="corpsdedcision"/>
        <w:rPr>
          <w:lang w:eastAsia="fr-FR"/>
        </w:rPr>
      </w:pPr>
      <w:r>
        <w:rPr>
          <w:lang w:eastAsia="fr-FR"/>
        </w:rPr>
        <w:t>En particulier, dans la région du Saguenay–Lac-Saint-Jean qui regroupe 28</w:t>
      </w:r>
      <w:r w:rsidR="00721DE4">
        <w:rPr>
          <w:lang w:eastAsia="fr-FR"/>
        </w:rPr>
        <w:t> </w:t>
      </w:r>
      <w:r>
        <w:rPr>
          <w:lang w:eastAsia="fr-FR"/>
        </w:rPr>
        <w:t>accréditations, aucune grève au niveau local n’a eu lieu au cours des trois dernières rondes de négociations.</w:t>
      </w:r>
    </w:p>
    <w:p w14:paraId="26C908A6" w14:textId="3E740263" w:rsidR="002F0F90" w:rsidRDefault="002F0F90" w:rsidP="002F0F90">
      <w:pPr>
        <w:pStyle w:val="corpsdedcision"/>
        <w:rPr>
          <w:lang w:eastAsia="fr-FR"/>
        </w:rPr>
      </w:pPr>
      <w:r>
        <w:rPr>
          <w:lang w:eastAsia="fr-FR"/>
        </w:rPr>
        <w:t>La preuve établit que la préparation de la négociation collective du côté syndical s’effectue environ un an avant l’expiration de la convention collective.</w:t>
      </w:r>
    </w:p>
    <w:p w14:paraId="095D8AD8" w14:textId="29351EE6" w:rsidR="002F0F90" w:rsidRDefault="002F0F90" w:rsidP="002F0F90">
      <w:pPr>
        <w:pStyle w:val="corpsdedcision"/>
        <w:rPr>
          <w:lang w:eastAsia="fr-FR"/>
        </w:rPr>
      </w:pPr>
      <w:r>
        <w:rPr>
          <w:lang w:eastAsia="fr-FR"/>
        </w:rPr>
        <w:t>Au niveau national, la FSSS-CSN doit obtenir un mandat unifié des 400</w:t>
      </w:r>
      <w:r w:rsidR="00721DE4">
        <w:rPr>
          <w:lang w:eastAsia="fr-FR"/>
        </w:rPr>
        <w:t> </w:t>
      </w:r>
      <w:r>
        <w:rPr>
          <w:lang w:eastAsia="fr-FR"/>
        </w:rPr>
        <w:t>accréditations qu’elle représente. Elle reçoit les demandes des syndicats, établit un cahier de demandes, forme un comité de négociation et de mobilisation. Des va-et-vient ont lieu entre le Conseil fédéral sectoriel des CPE, l’instance décisionnelle, et les associations</w:t>
      </w:r>
      <w:r w:rsidRPr="00170A4B">
        <w:rPr>
          <w:lang w:eastAsia="fr-FR"/>
        </w:rPr>
        <w:t xml:space="preserve"> </w:t>
      </w:r>
      <w:r>
        <w:rPr>
          <w:lang w:eastAsia="fr-FR"/>
        </w:rPr>
        <w:t>accréditées afin d’établir le mandat de négociation. Celui-ci prend en compte les objectifs souhaités par les syndicats, le contexte économique, les négociations dans le secteur public, etc.</w:t>
      </w:r>
    </w:p>
    <w:p w14:paraId="64A43F55" w14:textId="785F9C1D" w:rsidR="002F0F90" w:rsidRDefault="002F0F90" w:rsidP="002F0F90">
      <w:pPr>
        <w:pStyle w:val="corpsdedcision"/>
        <w:rPr>
          <w:lang w:eastAsia="fr-FR"/>
        </w:rPr>
      </w:pPr>
      <w:r>
        <w:rPr>
          <w:lang w:eastAsia="fr-FR"/>
        </w:rPr>
        <w:t>En parallèle, le Service à la mobilisation et à la vie régionale de la CSN, le SAMVR, agit en appui à la négociation collective. Il procède à l’analyse du rapport de force l’année qui précède le début de la négociation collective.</w:t>
      </w:r>
    </w:p>
    <w:p w14:paraId="0C1E88EF" w14:textId="4C57AE5F" w:rsidR="002F0F90" w:rsidRDefault="002F0F90" w:rsidP="002F0F90">
      <w:pPr>
        <w:pStyle w:val="corpsdedcision"/>
        <w:rPr>
          <w:lang w:eastAsia="fr-FR"/>
        </w:rPr>
      </w:pPr>
      <w:r>
        <w:rPr>
          <w:lang w:eastAsia="fr-FR"/>
        </w:rPr>
        <w:t>À cette fin, la situation du côté syndical est examinée: l’état des adhésions, sa composition</w:t>
      </w:r>
      <w:r w:rsidR="001E36AD">
        <w:rPr>
          <w:lang w:eastAsia="fr-FR"/>
        </w:rPr>
        <w:t xml:space="preserve"> et</w:t>
      </w:r>
      <w:r>
        <w:rPr>
          <w:lang w:eastAsia="fr-FR"/>
        </w:rPr>
        <w:t xml:space="preserve"> le niveau de mobilisation. Le portrait général de l’employeur l’est également : dans quel secteur d’activités il œuvre, dans quelle région, le cadre législatif applicable, sa situation financière</w:t>
      </w:r>
      <w:r w:rsidR="001E36AD">
        <w:rPr>
          <w:lang w:eastAsia="fr-FR"/>
        </w:rPr>
        <w:t xml:space="preserve"> et</w:t>
      </w:r>
      <w:r>
        <w:rPr>
          <w:lang w:eastAsia="fr-FR"/>
        </w:rPr>
        <w:t xml:space="preserve"> ses relations avec le syndicat. Un travail est fait auprès des membres afin qu’ils comprennent les demandes</w:t>
      </w:r>
      <w:r w:rsidR="00D93B7B">
        <w:rPr>
          <w:lang w:eastAsia="fr-FR"/>
        </w:rPr>
        <w:t xml:space="preserve"> syndicales</w:t>
      </w:r>
      <w:r w:rsidR="00A474C3">
        <w:rPr>
          <w:lang w:eastAsia="fr-FR"/>
        </w:rPr>
        <w:t xml:space="preserve"> </w:t>
      </w:r>
      <w:r>
        <w:rPr>
          <w:lang w:eastAsia="fr-FR"/>
        </w:rPr>
        <w:t>et celles de l’employeur. Une gradation des moyens de pression est établie, allant jusqu’à la grève générale illimitée.</w:t>
      </w:r>
    </w:p>
    <w:p w14:paraId="526B9E1E" w14:textId="701AC228" w:rsidR="002F0F90" w:rsidRDefault="002F0F90" w:rsidP="002F0F90">
      <w:pPr>
        <w:pStyle w:val="corpsdedcision"/>
        <w:rPr>
          <w:lang w:eastAsia="fr-FR"/>
        </w:rPr>
      </w:pPr>
      <w:r>
        <w:rPr>
          <w:lang w:eastAsia="fr-FR"/>
        </w:rPr>
        <w:t>Comme ce moyen de pression est lourd de conséquences pour les salariés, il n’est utilisé qu’en dernier recours. C’est l’arme « </w:t>
      </w:r>
      <w:r w:rsidRPr="0015117F">
        <w:rPr>
          <w:rStyle w:val="Citationintgre"/>
          <w:lang w:eastAsia="fr-FR"/>
        </w:rPr>
        <w:t>ultime de l’ultime</w:t>
      </w:r>
      <w:r>
        <w:rPr>
          <w:lang w:eastAsia="fr-FR"/>
        </w:rPr>
        <w:t> », selon les termes d’Émilie</w:t>
      </w:r>
      <w:r w:rsidR="003472BF">
        <w:rPr>
          <w:lang w:eastAsia="fr-FR"/>
        </w:rPr>
        <w:t> </w:t>
      </w:r>
      <w:r>
        <w:rPr>
          <w:lang w:eastAsia="fr-FR"/>
        </w:rPr>
        <w:t>Jean, conseillère au SAMVR et impliquée auprès du syndicat et de ses membres à partir de janvier 2026. Elle n’est utilisée qu’en cas d’impasse à la table des négociations et en l’absence d’autres avenues.</w:t>
      </w:r>
    </w:p>
    <w:p w14:paraId="30E064DC" w14:textId="48790504" w:rsidR="002F0F90" w:rsidRPr="002767E3" w:rsidRDefault="002F0F90" w:rsidP="002F0F90">
      <w:pPr>
        <w:pStyle w:val="corpsdedcision"/>
        <w:rPr>
          <w:lang w:eastAsia="fr-FR"/>
        </w:rPr>
      </w:pPr>
      <w:r w:rsidRPr="002767E3">
        <w:rPr>
          <w:lang w:eastAsia="fr-FR"/>
        </w:rPr>
        <w:t xml:space="preserve">C’est donc sur cette toile de fond </w:t>
      </w:r>
      <w:r w:rsidRPr="00F57637">
        <w:rPr>
          <w:lang w:eastAsia="fr-FR"/>
        </w:rPr>
        <w:t>que s’inscrit la première application du régime des SBEP.</w:t>
      </w:r>
    </w:p>
    <w:p w14:paraId="5A7BE176" w14:textId="7770D76D" w:rsidR="002858E6" w:rsidRDefault="002858E6" w:rsidP="00ED7646">
      <w:pPr>
        <w:pStyle w:val="Titre3"/>
        <w:jc w:val="both"/>
      </w:pPr>
      <w:r>
        <w:t>Les effets du régime des services assurant le bien-être de la population sur un processus véritable de négociation collective</w:t>
      </w:r>
    </w:p>
    <w:p w14:paraId="25979171" w14:textId="6C39961A" w:rsidR="00347A7F" w:rsidRDefault="002858E6" w:rsidP="005048A5">
      <w:pPr>
        <w:pStyle w:val="corpsdedcision"/>
        <w:rPr>
          <w:lang w:eastAsia="fr-FR"/>
        </w:rPr>
      </w:pPr>
      <w:r>
        <w:rPr>
          <w:lang w:eastAsia="fr-FR"/>
        </w:rPr>
        <w:t>Le PGQ plaide qu’il est « </w:t>
      </w:r>
      <w:r w:rsidRPr="00B23DA1">
        <w:rPr>
          <w:rStyle w:val="Citationintgre"/>
          <w:lang w:eastAsia="fr-FR"/>
        </w:rPr>
        <w:t>manifeste</w:t>
      </w:r>
      <w:r>
        <w:rPr>
          <w:lang w:eastAsia="fr-FR"/>
        </w:rPr>
        <w:t> » qu’il n’y a pas d’entrave au processus de négociation collective et au droit de grève</w:t>
      </w:r>
      <w:r>
        <w:rPr>
          <w:rStyle w:val="Appelnotedebasdep"/>
          <w:lang w:eastAsia="fr-FR"/>
        </w:rPr>
        <w:footnoteReference w:id="100"/>
      </w:r>
      <w:r>
        <w:rPr>
          <w:lang w:eastAsia="fr-FR"/>
        </w:rPr>
        <w:t>, et donc encore moins d’entrave qui soit substantielle. Il est d’avis que les salariées n’ont pas été empêchées de poursuivre collectivement leurs objectifs communs</w:t>
      </w:r>
      <w:r>
        <w:rPr>
          <w:rStyle w:val="Appelnotedebasdep"/>
          <w:lang w:eastAsia="fr-FR"/>
        </w:rPr>
        <w:footnoteReference w:id="101"/>
      </w:r>
      <w:r>
        <w:rPr>
          <w:lang w:eastAsia="fr-FR"/>
        </w:rPr>
        <w:t xml:space="preserve">. </w:t>
      </w:r>
      <w:r w:rsidRPr="00CE59A4">
        <w:rPr>
          <w:lang w:eastAsia="fr-FR"/>
        </w:rPr>
        <w:t>Il souligne que le syndicat a pu négocier et exercer son droit de grève avant et après l’assujettissement au maintien de SBEP.</w:t>
      </w:r>
      <w:r>
        <w:rPr>
          <w:lang w:eastAsia="fr-FR"/>
        </w:rPr>
        <w:t xml:space="preserve"> Enfin,</w:t>
      </w:r>
      <w:r w:rsidR="00350DEB">
        <w:rPr>
          <w:lang w:eastAsia="fr-FR"/>
        </w:rPr>
        <w:t> </w:t>
      </w:r>
      <w:r>
        <w:rPr>
          <w:lang w:eastAsia="fr-FR"/>
        </w:rPr>
        <w:t>dans la mesure où le droit n’est pas retiré par le régime, il est d’avis que la menace de la grève conserve son efficacité comme moyen de pression.</w:t>
      </w:r>
    </w:p>
    <w:p w14:paraId="46AD4316" w14:textId="1842EBE8" w:rsidR="00CE082E" w:rsidRDefault="00F57637" w:rsidP="00C51A0F">
      <w:pPr>
        <w:pStyle w:val="corpsdedcision"/>
        <w:spacing w:after="0"/>
        <w:rPr>
          <w:lang w:eastAsia="fr-FR"/>
        </w:rPr>
      </w:pPr>
      <w:r>
        <w:rPr>
          <w:lang w:eastAsia="fr-FR"/>
        </w:rPr>
        <w:t>L</w:t>
      </w:r>
      <w:r w:rsidR="00CD2C01">
        <w:rPr>
          <w:lang w:eastAsia="fr-FR"/>
        </w:rPr>
        <w:t>e Tribunal</w:t>
      </w:r>
      <w:r>
        <w:rPr>
          <w:lang w:eastAsia="fr-FR"/>
        </w:rPr>
        <w:t xml:space="preserve"> juge </w:t>
      </w:r>
      <w:r w:rsidR="00CD2C01">
        <w:rPr>
          <w:lang w:eastAsia="fr-FR"/>
        </w:rPr>
        <w:t>c</w:t>
      </w:r>
      <w:r w:rsidR="00347A7F">
        <w:rPr>
          <w:lang w:eastAsia="fr-FR"/>
        </w:rPr>
        <w:t>ette approche</w:t>
      </w:r>
      <w:r w:rsidR="00471FF4">
        <w:rPr>
          <w:lang w:eastAsia="fr-FR"/>
        </w:rPr>
        <w:t xml:space="preserve"> </w:t>
      </w:r>
      <w:r w:rsidR="00347A7F">
        <w:rPr>
          <w:lang w:eastAsia="fr-FR"/>
        </w:rPr>
        <w:t xml:space="preserve">trop restrictive, car </w:t>
      </w:r>
      <w:r w:rsidR="008F2C63">
        <w:rPr>
          <w:lang w:eastAsia="fr-FR"/>
        </w:rPr>
        <w:t xml:space="preserve">le critère applicable n’est pas </w:t>
      </w:r>
      <w:r w:rsidR="00347A7F">
        <w:rPr>
          <w:lang w:eastAsia="fr-FR"/>
        </w:rPr>
        <w:t xml:space="preserve">une négation complète </w:t>
      </w:r>
      <w:r w:rsidR="008F2C63">
        <w:rPr>
          <w:lang w:eastAsia="fr-FR"/>
        </w:rPr>
        <w:t>du droit de grève ou de la négociation collective</w:t>
      </w:r>
      <w:r w:rsidR="003C3CED">
        <w:rPr>
          <w:lang w:eastAsia="fr-FR"/>
        </w:rPr>
        <w:t xml:space="preserve">. </w:t>
      </w:r>
      <w:r w:rsidR="003C3CED" w:rsidRPr="00391C67">
        <w:rPr>
          <w:lang w:eastAsia="fr-FR"/>
        </w:rPr>
        <w:t>Il n’est pas requis de démontrer que le régime des SBEP entraine une « </w:t>
      </w:r>
      <w:r w:rsidR="003C3CED" w:rsidRPr="00391C67">
        <w:rPr>
          <w:rStyle w:val="Citationintgre"/>
          <w:lang w:eastAsia="fr-FR"/>
        </w:rPr>
        <w:t>impossibilité</w:t>
      </w:r>
      <w:r w:rsidR="003C3CED" w:rsidRPr="00391C67">
        <w:rPr>
          <w:lang w:eastAsia="fr-FR"/>
        </w:rPr>
        <w:t> » effective de réaliser les objectifs relatifs au travail, mais bien une « </w:t>
      </w:r>
      <w:r w:rsidR="003C3CED" w:rsidRPr="00391C67">
        <w:rPr>
          <w:rStyle w:val="Citationintgre"/>
          <w:lang w:eastAsia="fr-FR"/>
        </w:rPr>
        <w:t>entrave substantielle</w:t>
      </w:r>
      <w:r w:rsidR="003C3CED" w:rsidRPr="00391C67">
        <w:rPr>
          <w:lang w:eastAsia="fr-FR"/>
        </w:rPr>
        <w:t> »</w:t>
      </w:r>
      <w:r w:rsidR="00391C67" w:rsidRPr="00391C67">
        <w:rPr>
          <w:rStyle w:val="Appelnotedebasdep"/>
          <w:lang w:eastAsia="fr-FR"/>
        </w:rPr>
        <w:footnoteReference w:id="102"/>
      </w:r>
      <w:r w:rsidR="008F2C63" w:rsidRPr="00391C67">
        <w:rPr>
          <w:lang w:eastAsia="fr-FR"/>
        </w:rPr>
        <w:t>.</w:t>
      </w:r>
      <w:r w:rsidR="008F2C63">
        <w:rPr>
          <w:lang w:eastAsia="fr-FR"/>
        </w:rPr>
        <w:t xml:space="preserve"> Or celle-ci peut s’établir en considérant l</w:t>
      </w:r>
      <w:r w:rsidR="005048A5">
        <w:rPr>
          <w:lang w:eastAsia="fr-FR"/>
        </w:rPr>
        <w:t xml:space="preserve">es effets du régime sur le rapport </w:t>
      </w:r>
      <w:r w:rsidR="004662AD">
        <w:rPr>
          <w:lang w:eastAsia="fr-FR"/>
        </w:rPr>
        <w:t xml:space="preserve">de </w:t>
      </w:r>
      <w:r w:rsidR="005048A5">
        <w:rPr>
          <w:lang w:eastAsia="fr-FR"/>
        </w:rPr>
        <w:t>force.</w:t>
      </w:r>
    </w:p>
    <w:p w14:paraId="15A571AA" w14:textId="70EF6267" w:rsidR="00C3069D" w:rsidRDefault="008F2C63" w:rsidP="00C51A0F">
      <w:pPr>
        <w:pStyle w:val="corpsdedcision"/>
        <w:spacing w:before="360"/>
        <w:rPr>
          <w:lang w:eastAsia="fr-FR"/>
        </w:rPr>
      </w:pPr>
      <w:r>
        <w:rPr>
          <w:lang w:eastAsia="fr-FR"/>
        </w:rPr>
        <w:t xml:space="preserve">Pour les motifs qui suivent, le Tribunal considère que la preuve démontre que le régime des SBEP interfère dans les négociations collectives et qu’il limite de manière importante le droit de grève. </w:t>
      </w:r>
      <w:r w:rsidR="00426370">
        <w:rPr>
          <w:lang w:eastAsia="fr-FR"/>
        </w:rPr>
        <w:t xml:space="preserve">Ses </w:t>
      </w:r>
      <w:r>
        <w:rPr>
          <w:lang w:eastAsia="fr-FR"/>
        </w:rPr>
        <w:t xml:space="preserve">effets </w:t>
      </w:r>
      <w:r w:rsidR="00E62547">
        <w:rPr>
          <w:lang w:eastAsia="fr-FR"/>
        </w:rPr>
        <w:t>entrave</w:t>
      </w:r>
      <w:r w:rsidR="004662AD">
        <w:rPr>
          <w:lang w:eastAsia="fr-FR"/>
        </w:rPr>
        <w:t>nt</w:t>
      </w:r>
      <w:r w:rsidR="00E62547">
        <w:rPr>
          <w:lang w:eastAsia="fr-FR"/>
        </w:rPr>
        <w:t xml:space="preserve"> substantiellement </w:t>
      </w:r>
      <w:r>
        <w:rPr>
          <w:lang w:eastAsia="fr-FR"/>
        </w:rPr>
        <w:t>un processus véritable de négociation collective.</w:t>
      </w:r>
    </w:p>
    <w:p w14:paraId="691106D5" w14:textId="03F992F2" w:rsidR="00C3069D" w:rsidRDefault="00D35060" w:rsidP="00841D35">
      <w:pPr>
        <w:pStyle w:val="Titre4"/>
        <w:jc w:val="both"/>
      </w:pPr>
      <w:r>
        <w:t xml:space="preserve">L’interférence du régime des </w:t>
      </w:r>
      <w:r w:rsidR="008F1E70">
        <w:t>services assurant le bien-être de la population</w:t>
      </w:r>
      <w:r>
        <w:t xml:space="preserve"> dans les négociations collectives</w:t>
      </w:r>
    </w:p>
    <w:p w14:paraId="1B8AF2AE" w14:textId="5B82108C" w:rsidR="00CE082E" w:rsidRDefault="00CE082E" w:rsidP="00CE082E">
      <w:pPr>
        <w:pStyle w:val="corpsdedcision"/>
        <w:rPr>
          <w:lang w:eastAsia="fr-FR"/>
        </w:rPr>
      </w:pPr>
      <w:r>
        <w:rPr>
          <w:lang w:eastAsia="fr-FR"/>
        </w:rPr>
        <w:t xml:space="preserve">Les parties ont administré une preuve détaillée sur l’objet et le déroulement des négociations. Le syndicat tente ainsi de démontrer que l’employeur s’est campé sur ses positions parce qu’il voulait obtenir le maintien de SBEP et ainsi </w:t>
      </w:r>
      <w:r w:rsidR="000328A3">
        <w:rPr>
          <w:lang w:eastAsia="fr-FR"/>
        </w:rPr>
        <w:t xml:space="preserve">le </w:t>
      </w:r>
      <w:r>
        <w:rPr>
          <w:lang w:eastAsia="fr-FR"/>
        </w:rPr>
        <w:t>faire plier. Le</w:t>
      </w:r>
      <w:r w:rsidR="00530A3C">
        <w:rPr>
          <w:lang w:eastAsia="fr-FR"/>
        </w:rPr>
        <w:t> </w:t>
      </w:r>
      <w:r>
        <w:rPr>
          <w:lang w:eastAsia="fr-FR"/>
        </w:rPr>
        <w:t>PGQ veut</w:t>
      </w:r>
      <w:r w:rsidR="001E60BF">
        <w:rPr>
          <w:lang w:eastAsia="fr-FR"/>
        </w:rPr>
        <w:t>,</w:t>
      </w:r>
      <w:r>
        <w:rPr>
          <w:lang w:eastAsia="fr-FR"/>
        </w:rPr>
        <w:t xml:space="preserve"> au contraire</w:t>
      </w:r>
      <w:r w:rsidR="001E60BF">
        <w:rPr>
          <w:lang w:eastAsia="fr-FR"/>
        </w:rPr>
        <w:t>,</w:t>
      </w:r>
      <w:r>
        <w:rPr>
          <w:lang w:eastAsia="fr-FR"/>
        </w:rPr>
        <w:t xml:space="preserve"> établir que l’impasse dans les négociations est due à l’attitude fermée du syndicat et non aux effets du régime.</w:t>
      </w:r>
    </w:p>
    <w:p w14:paraId="3C8CB39C" w14:textId="566E7685" w:rsidR="00CE082E" w:rsidRDefault="00CE082E" w:rsidP="00CE082E">
      <w:pPr>
        <w:pStyle w:val="corpsdedcision"/>
        <w:rPr>
          <w:lang w:eastAsia="fr-FR"/>
        </w:rPr>
      </w:pPr>
      <w:r>
        <w:rPr>
          <w:lang w:eastAsia="fr-FR"/>
        </w:rPr>
        <w:t>Bien qu’au stade de l’assujettissement, le Tribunal n’avait pas à se pencher sur la nature des conditions de travail en litige ni sur le cheminement des négociations collectives, cette preuve devient pertinente au niveau du débat constitutionnel</w:t>
      </w:r>
      <w:r w:rsidRPr="0094483E">
        <w:rPr>
          <w:lang w:eastAsia="fr-FR"/>
        </w:rPr>
        <w:t xml:space="preserve"> </w:t>
      </w:r>
      <w:r>
        <w:rPr>
          <w:lang w:eastAsia="fr-FR"/>
        </w:rPr>
        <w:t xml:space="preserve">afin de </w:t>
      </w:r>
      <w:r w:rsidR="001E60BF">
        <w:rPr>
          <w:lang w:eastAsia="fr-FR"/>
        </w:rPr>
        <w:t>déterminer</w:t>
      </w:r>
      <w:r>
        <w:rPr>
          <w:lang w:eastAsia="fr-FR"/>
        </w:rPr>
        <w:t xml:space="preserve"> si les mesures législatives ont interféré dans la négociation collective et </w:t>
      </w:r>
      <w:r w:rsidR="00CD2C01">
        <w:rPr>
          <w:lang w:eastAsia="fr-FR"/>
        </w:rPr>
        <w:t>d’établir</w:t>
      </w:r>
      <w:r w:rsidR="00331301">
        <w:rPr>
          <w:lang w:eastAsia="fr-FR"/>
        </w:rPr>
        <w:t xml:space="preserve">, </w:t>
      </w:r>
      <w:r>
        <w:rPr>
          <w:lang w:eastAsia="fr-FR"/>
        </w:rPr>
        <w:t>le cas éch</w:t>
      </w:r>
      <w:r w:rsidR="00841D35">
        <w:rPr>
          <w:lang w:eastAsia="fr-FR"/>
        </w:rPr>
        <w:t>é</w:t>
      </w:r>
      <w:r>
        <w:rPr>
          <w:lang w:eastAsia="fr-FR"/>
        </w:rPr>
        <w:t>ant</w:t>
      </w:r>
      <w:r w:rsidR="00331301">
        <w:rPr>
          <w:lang w:eastAsia="fr-FR"/>
        </w:rPr>
        <w:t>,</w:t>
      </w:r>
      <w:r>
        <w:rPr>
          <w:lang w:eastAsia="fr-FR"/>
        </w:rPr>
        <w:t xml:space="preserve"> le caractère substantiel de l’entrave à un processus véritable de négociation collective.</w:t>
      </w:r>
    </w:p>
    <w:p w14:paraId="7CD33C90" w14:textId="3F802B05" w:rsidR="00CE082E" w:rsidRDefault="00CE082E" w:rsidP="00CE082E">
      <w:pPr>
        <w:pStyle w:val="corpsdedcision"/>
        <w:rPr>
          <w:lang w:eastAsia="fr-FR"/>
        </w:rPr>
      </w:pPr>
      <w:r>
        <w:rPr>
          <w:lang w:eastAsia="fr-FR"/>
        </w:rPr>
        <w:t>Comme expliqué précédemment, dès la mi-janvier 2025, le syndicat et l’employeur s’entendent sur l’ensemble des matières discutées, à l’exception de deux demandes patronales qui portent sur une réduction du nombre d’heures de travail hebdomadaire à la cuisine et la suppression de la rémunération de la pause repas de 30 minutes. L’employeur allègue des difficultés financières.</w:t>
      </w:r>
    </w:p>
    <w:p w14:paraId="4EC758CC" w14:textId="66F38295" w:rsidR="00CE082E" w:rsidRDefault="00CE082E" w:rsidP="00CE082E">
      <w:pPr>
        <w:pStyle w:val="corpsdedcision"/>
        <w:rPr>
          <w:lang w:eastAsia="fr-FR"/>
        </w:rPr>
      </w:pPr>
      <w:r>
        <w:rPr>
          <w:lang w:eastAsia="fr-FR"/>
        </w:rPr>
        <w:t>Le syndicat concède la réduction des heures de travail à la cuisine, mais veut conserver la rémunération de la pause repas. Selon lui, le portrait financier de l’employeur ne justifie pas de renoncer à cet avantage.</w:t>
      </w:r>
    </w:p>
    <w:p w14:paraId="07FF6F4D" w14:textId="2DBFB688" w:rsidR="00A02153" w:rsidRDefault="00CE082E" w:rsidP="00A02153">
      <w:pPr>
        <w:pStyle w:val="corpsdedcision"/>
        <w:rPr>
          <w:lang w:eastAsia="fr-FR"/>
        </w:rPr>
      </w:pPr>
      <w:r>
        <w:rPr>
          <w:lang w:eastAsia="fr-FR"/>
        </w:rPr>
        <w:t>La question de la rémunération et du remplacement des éducatrices pendant les pauses est un enjeu délicat dans le secteur des CPE, qui a déjà fait l’objet de négociations et mené à des grèves. Au Saguenay-Lac-Saint-Jean, cette pause n’est pas, en général, rémunérée. Toutefois, elle l’est ailleurs. Toute une gamme de dispositions existent à travers la province : pause non rémunérée, pause rémunérée non remplacée, remplacée ou hybride.</w:t>
      </w:r>
    </w:p>
    <w:p w14:paraId="50A666F2" w14:textId="4B4E68A2" w:rsidR="00CE082E" w:rsidRDefault="00A02153" w:rsidP="00A02153">
      <w:pPr>
        <w:pStyle w:val="corpsdedcision"/>
        <w:rPr>
          <w:lang w:eastAsia="fr-FR"/>
        </w:rPr>
      </w:pPr>
      <w:r>
        <w:rPr>
          <w:lang w:eastAsia="fr-FR"/>
        </w:rPr>
        <w:t>De plus, la preuve démontre qu’une condition de travail négociée localement peut entrainer des répercussions sur d’autres CPE. La question des pauses en est un exemple.</w:t>
      </w:r>
    </w:p>
    <w:p w14:paraId="1AC82DC7" w14:textId="6B9EA15A" w:rsidR="00CE082E" w:rsidRDefault="00CE082E" w:rsidP="00CE082E">
      <w:pPr>
        <w:pStyle w:val="corpsdedcision"/>
        <w:rPr>
          <w:lang w:eastAsia="fr-FR"/>
        </w:rPr>
      </w:pPr>
      <w:r>
        <w:rPr>
          <w:lang w:eastAsia="fr-FR"/>
        </w:rPr>
        <w:t xml:space="preserve">Ici, les salariées bénéficient d’une pause repas rémunérée, et ce, depuis 40 ans. C’est une condition de travail qui est déterminante pour les éducatrices dans leur choix de travailler pour l’employeur. </w:t>
      </w:r>
      <w:r w:rsidR="00A474C3">
        <w:rPr>
          <w:lang w:eastAsia="fr-FR"/>
        </w:rPr>
        <w:t>Accepter l</w:t>
      </w:r>
      <w:r>
        <w:rPr>
          <w:lang w:eastAsia="fr-FR"/>
        </w:rPr>
        <w:t>a demande patronale a</w:t>
      </w:r>
      <w:r w:rsidR="000328A3">
        <w:rPr>
          <w:lang w:eastAsia="fr-FR"/>
        </w:rPr>
        <w:t>urait</w:t>
      </w:r>
      <w:r>
        <w:rPr>
          <w:lang w:eastAsia="fr-FR"/>
        </w:rPr>
        <w:t xml:space="preserve"> pour effet d’augmenter leur prestation de travail de deux heures par semaine pour maintenir la même rémunération ou de conserver le même nombre d’heures de travail hebdomadaire, mais de subir une diminution de salaire de deux heures, ce qui représente une baisse de</w:t>
      </w:r>
      <w:r w:rsidR="00350DEB">
        <w:rPr>
          <w:lang w:eastAsia="fr-FR"/>
        </w:rPr>
        <w:t> </w:t>
      </w:r>
      <w:r>
        <w:rPr>
          <w:lang w:eastAsia="fr-FR"/>
        </w:rPr>
        <w:t>7</w:t>
      </w:r>
      <w:r w:rsidR="009B0491">
        <w:rPr>
          <w:lang w:eastAsia="fr-FR"/>
        </w:rPr>
        <w:t> </w:t>
      </w:r>
      <w:r>
        <w:rPr>
          <w:lang w:eastAsia="fr-FR"/>
        </w:rPr>
        <w:t>%. L’employeur n’offre aucune contrepartie pour la perte de cette condition de travail.</w:t>
      </w:r>
    </w:p>
    <w:p w14:paraId="0C90F94C" w14:textId="6C40AAE6" w:rsidR="00CE082E" w:rsidRDefault="00CE082E" w:rsidP="00CC64B4">
      <w:pPr>
        <w:pStyle w:val="corpsdedcision"/>
        <w:rPr>
          <w:lang w:eastAsia="fr-FR"/>
        </w:rPr>
      </w:pPr>
      <w:r>
        <w:rPr>
          <w:lang w:eastAsia="fr-FR"/>
        </w:rPr>
        <w:t xml:space="preserve">L’absence d’entente à ce sujet prive les salariées </w:t>
      </w:r>
      <w:r w:rsidR="00A474C3" w:rsidRPr="00A474C3">
        <w:rPr>
          <w:lang w:eastAsia="fr-FR"/>
        </w:rPr>
        <w:t>de tous les avantages négociés dans le cadre du renouvellement de la convention collective</w:t>
      </w:r>
      <w:r w:rsidR="00A474C3">
        <w:rPr>
          <w:lang w:eastAsia="fr-FR"/>
        </w:rPr>
        <w:t xml:space="preserve">. </w:t>
      </w:r>
      <w:r>
        <w:rPr>
          <w:lang w:eastAsia="fr-FR"/>
        </w:rPr>
        <w:t xml:space="preserve">Elles ne peuvent donc </w:t>
      </w:r>
      <w:r w:rsidR="000328A3">
        <w:rPr>
          <w:lang w:eastAsia="fr-FR"/>
        </w:rPr>
        <w:t>obtenir</w:t>
      </w:r>
      <w:r>
        <w:rPr>
          <w:lang w:eastAsia="fr-FR"/>
        </w:rPr>
        <w:t xml:space="preserve"> les bonifications découlant du règlement </w:t>
      </w:r>
      <w:r w:rsidR="00A30CAB">
        <w:rPr>
          <w:lang w:eastAsia="fr-FR"/>
        </w:rPr>
        <w:t xml:space="preserve">intervenu </w:t>
      </w:r>
      <w:r>
        <w:rPr>
          <w:lang w:eastAsia="fr-FR"/>
        </w:rPr>
        <w:t>aux niveaux national et régional.</w:t>
      </w:r>
    </w:p>
    <w:p w14:paraId="7658CADE" w14:textId="79E80733" w:rsidR="00BB163D" w:rsidRPr="00F57637" w:rsidRDefault="00CE082E" w:rsidP="00CC64B4">
      <w:pPr>
        <w:pStyle w:val="corpsdedcision"/>
        <w:rPr>
          <w:lang w:eastAsia="fr-FR"/>
        </w:rPr>
      </w:pPr>
      <w:r>
        <w:rPr>
          <w:lang w:eastAsia="fr-FR"/>
        </w:rPr>
        <w:t xml:space="preserve">Ainsi, l’enjeu des négociations collectives porte </w:t>
      </w:r>
      <w:r w:rsidR="001E60BF">
        <w:rPr>
          <w:lang w:eastAsia="fr-FR"/>
        </w:rPr>
        <w:t xml:space="preserve">sur </w:t>
      </w:r>
      <w:r>
        <w:rPr>
          <w:lang w:eastAsia="fr-FR"/>
        </w:rPr>
        <w:t>une condition de travail d’importance qui affecte la rémunération des salariées</w:t>
      </w:r>
      <w:r w:rsidR="00BB163D">
        <w:rPr>
          <w:lang w:eastAsia="fr-FR"/>
        </w:rPr>
        <w:t>.</w:t>
      </w:r>
    </w:p>
    <w:p w14:paraId="2AF1653B" w14:textId="0E522FA2" w:rsidR="00CE082E" w:rsidRPr="00F57637" w:rsidRDefault="00BB163D" w:rsidP="00BB163D">
      <w:pPr>
        <w:pStyle w:val="corpsdedcision"/>
        <w:rPr>
          <w:lang w:eastAsia="fr-FR"/>
        </w:rPr>
      </w:pPr>
      <w:r w:rsidRPr="006D1910">
        <w:rPr>
          <w:lang w:eastAsia="fr-FR"/>
        </w:rPr>
        <w:t xml:space="preserve">La preuve </w:t>
      </w:r>
      <w:r w:rsidR="006D1910">
        <w:rPr>
          <w:lang w:eastAsia="fr-FR"/>
        </w:rPr>
        <w:t>quant au déroulement des négociations entre les parties</w:t>
      </w:r>
      <w:r w:rsidRPr="006D1910">
        <w:rPr>
          <w:lang w:eastAsia="fr-FR"/>
        </w:rPr>
        <w:t xml:space="preserve"> est </w:t>
      </w:r>
      <w:r w:rsidR="00774DF3" w:rsidRPr="006D1910">
        <w:rPr>
          <w:lang w:eastAsia="fr-FR"/>
        </w:rPr>
        <w:t>parfois</w:t>
      </w:r>
      <w:r w:rsidRPr="006D1910">
        <w:rPr>
          <w:lang w:eastAsia="fr-FR"/>
        </w:rPr>
        <w:t xml:space="preserve"> contradictoire. </w:t>
      </w:r>
      <w:r w:rsidR="00774DF3" w:rsidRPr="006D1910">
        <w:rPr>
          <w:lang w:eastAsia="fr-FR"/>
        </w:rPr>
        <w:t>C</w:t>
      </w:r>
      <w:r w:rsidRPr="006D1910">
        <w:rPr>
          <w:lang w:eastAsia="fr-FR"/>
        </w:rPr>
        <w:t>elle</w:t>
      </w:r>
      <w:r w:rsidR="00CE082E" w:rsidRPr="006D1910">
        <w:rPr>
          <w:lang w:eastAsia="fr-FR"/>
        </w:rPr>
        <w:t xml:space="preserve"> </w:t>
      </w:r>
      <w:r w:rsidRPr="006D1910">
        <w:rPr>
          <w:lang w:eastAsia="fr-FR"/>
        </w:rPr>
        <w:t>du</w:t>
      </w:r>
      <w:r w:rsidR="00CE082E" w:rsidRPr="006D1910">
        <w:rPr>
          <w:lang w:eastAsia="fr-FR"/>
        </w:rPr>
        <w:t xml:space="preserve"> syndicat </w:t>
      </w:r>
      <w:r w:rsidR="00C424D7" w:rsidRPr="006D1910">
        <w:rPr>
          <w:lang w:eastAsia="fr-FR"/>
        </w:rPr>
        <w:t xml:space="preserve">apparait </w:t>
      </w:r>
      <w:r w:rsidR="00CE082E" w:rsidRPr="006D1910">
        <w:rPr>
          <w:lang w:eastAsia="fr-FR"/>
        </w:rPr>
        <w:t>plus probante</w:t>
      </w:r>
      <w:r w:rsidR="00C424D7" w:rsidRPr="006D1910">
        <w:rPr>
          <w:lang w:eastAsia="fr-FR"/>
        </w:rPr>
        <w:t xml:space="preserve"> et convaincante</w:t>
      </w:r>
      <w:r w:rsidR="00CE082E" w:rsidRPr="006D1910">
        <w:rPr>
          <w:lang w:eastAsia="fr-FR"/>
        </w:rPr>
        <w:t xml:space="preserve">. </w:t>
      </w:r>
      <w:r w:rsidR="00F57637">
        <w:rPr>
          <w:lang w:eastAsia="fr-FR"/>
        </w:rPr>
        <w:t>L</w:t>
      </w:r>
      <w:r w:rsidR="004015DB">
        <w:rPr>
          <w:lang w:eastAsia="fr-FR"/>
        </w:rPr>
        <w:t xml:space="preserve">a version des </w:t>
      </w:r>
      <w:r w:rsidR="00F57637">
        <w:rPr>
          <w:lang w:eastAsia="fr-FR"/>
        </w:rPr>
        <w:t>témoins qu’il a fait entendre</w:t>
      </w:r>
      <w:r w:rsidR="00CE082E" w:rsidRPr="006D1910">
        <w:rPr>
          <w:lang w:eastAsia="fr-FR"/>
        </w:rPr>
        <w:t xml:space="preserve"> </w:t>
      </w:r>
      <w:r w:rsidR="004015DB">
        <w:rPr>
          <w:lang w:eastAsia="fr-FR"/>
        </w:rPr>
        <w:t>est</w:t>
      </w:r>
      <w:r w:rsidR="00CE082E" w:rsidRPr="006D1910">
        <w:rPr>
          <w:lang w:eastAsia="fr-FR"/>
        </w:rPr>
        <w:t xml:space="preserve"> davantage précis</w:t>
      </w:r>
      <w:r w:rsidR="004015DB">
        <w:rPr>
          <w:lang w:eastAsia="fr-FR"/>
        </w:rPr>
        <w:t>e</w:t>
      </w:r>
      <w:r w:rsidRPr="006D1910">
        <w:rPr>
          <w:lang w:eastAsia="fr-FR"/>
        </w:rPr>
        <w:t xml:space="preserve"> et</w:t>
      </w:r>
      <w:r w:rsidR="00CE082E" w:rsidRPr="006D1910">
        <w:rPr>
          <w:lang w:eastAsia="fr-FR"/>
        </w:rPr>
        <w:t xml:space="preserve"> cohérent</w:t>
      </w:r>
      <w:r w:rsidR="004015DB">
        <w:rPr>
          <w:lang w:eastAsia="fr-FR"/>
        </w:rPr>
        <w:t>e</w:t>
      </w:r>
      <w:r w:rsidR="00946D3F">
        <w:rPr>
          <w:lang w:eastAsia="fr-FR"/>
        </w:rPr>
        <w:t>, en plus d’être corroboré</w:t>
      </w:r>
      <w:r w:rsidR="004015DB">
        <w:rPr>
          <w:lang w:eastAsia="fr-FR"/>
        </w:rPr>
        <w:t>e</w:t>
      </w:r>
      <w:r w:rsidR="00946D3F">
        <w:rPr>
          <w:lang w:eastAsia="fr-FR"/>
        </w:rPr>
        <w:t xml:space="preserve"> par des notes contemporaines</w:t>
      </w:r>
      <w:r w:rsidR="00CE082E" w:rsidRPr="006D1910">
        <w:rPr>
          <w:lang w:eastAsia="fr-FR"/>
        </w:rPr>
        <w:t>.</w:t>
      </w:r>
      <w:r w:rsidRPr="006D1910">
        <w:rPr>
          <w:lang w:eastAsia="fr-FR"/>
        </w:rPr>
        <w:t xml:space="preserve"> </w:t>
      </w:r>
      <w:r w:rsidRPr="00F57637">
        <w:rPr>
          <w:lang w:eastAsia="fr-FR"/>
        </w:rPr>
        <w:t xml:space="preserve">Voici donc ce que </w:t>
      </w:r>
      <w:r w:rsidR="00C424D7" w:rsidRPr="00F57637">
        <w:rPr>
          <w:lang w:eastAsia="fr-FR"/>
        </w:rPr>
        <w:t>le Tribunal retient</w:t>
      </w:r>
      <w:r w:rsidRPr="00F57637">
        <w:rPr>
          <w:lang w:eastAsia="fr-FR"/>
        </w:rPr>
        <w:t>.</w:t>
      </w:r>
    </w:p>
    <w:p w14:paraId="09C54128" w14:textId="049B1498" w:rsidR="00CE082E" w:rsidRDefault="00CE082E" w:rsidP="00CE082E">
      <w:pPr>
        <w:pStyle w:val="corpsdedcision"/>
        <w:rPr>
          <w:lang w:eastAsia="fr-FR"/>
        </w:rPr>
      </w:pPr>
      <w:r>
        <w:rPr>
          <w:lang w:eastAsia="fr-FR"/>
        </w:rPr>
        <w:t>Depuis 2020, le syndicat n’a pas reçu les états financiers de l’employeur. C’est au début des négociations, lorsque l’employeur lui fait part de ses demandes, que les difficultés financières sont évoquées pour la première fois.</w:t>
      </w:r>
    </w:p>
    <w:p w14:paraId="6F616243" w14:textId="1BDA2F76" w:rsidR="00CE082E" w:rsidRDefault="00CE082E" w:rsidP="00CC64B4">
      <w:pPr>
        <w:pStyle w:val="corpsdedcision"/>
        <w:rPr>
          <w:lang w:eastAsia="fr-FR"/>
        </w:rPr>
      </w:pPr>
      <w:r>
        <w:rPr>
          <w:lang w:eastAsia="fr-FR"/>
        </w:rPr>
        <w:t xml:space="preserve">Le 27 mars 2025, les parties s’entendent pour soumettre </w:t>
      </w:r>
      <w:r w:rsidR="00A73C2A">
        <w:rPr>
          <w:lang w:eastAsia="fr-FR"/>
        </w:rPr>
        <w:t xml:space="preserve">les états financiers </w:t>
      </w:r>
      <w:r w:rsidR="004372A7">
        <w:rPr>
          <w:lang w:eastAsia="fr-FR"/>
        </w:rPr>
        <w:t>des années</w:t>
      </w:r>
      <w:r>
        <w:rPr>
          <w:lang w:eastAsia="fr-FR"/>
        </w:rPr>
        <w:t xml:space="preserve"> 2020 à 2024 à une firme externe choisie par le syndicat. Les résultats sont dévoilés en mai 2025. Ils confirment que la situation de l’employeur est précaire, mais qu’elle s’améliore depuis 2024. Un surplus est même dégagé. Le déficit antérieur serait dû à une entente à l’amiable dans un litige de relations du travail.</w:t>
      </w:r>
    </w:p>
    <w:p w14:paraId="0603902A" w14:textId="5D89893D" w:rsidR="00CE082E" w:rsidRDefault="00CE082E" w:rsidP="00CC64B4">
      <w:pPr>
        <w:pStyle w:val="corpsdedcision"/>
        <w:rPr>
          <w:lang w:eastAsia="fr-FR"/>
        </w:rPr>
      </w:pPr>
      <w:r>
        <w:rPr>
          <w:lang w:eastAsia="fr-FR"/>
        </w:rPr>
        <w:t>Pour le syndicat, la situation financière est donc davantage conjoncturelle que structurelle et n’exige pas le retrait pur et simple de la pause repas rémunérée.</w:t>
      </w:r>
    </w:p>
    <w:p w14:paraId="51BE5D6B" w14:textId="59DCCAA7" w:rsidR="00CE082E" w:rsidRDefault="00CE082E" w:rsidP="00834BF3">
      <w:pPr>
        <w:pStyle w:val="corpsdedcision"/>
        <w:spacing w:after="0"/>
        <w:rPr>
          <w:lang w:eastAsia="fr-FR"/>
        </w:rPr>
      </w:pPr>
      <w:r>
        <w:rPr>
          <w:lang w:eastAsia="fr-FR"/>
        </w:rPr>
        <w:t>À l’audience, l’employeur peine à établir le montant des économies qui seraient générées par sa demande.</w:t>
      </w:r>
      <w:r w:rsidRPr="00D82B7E">
        <w:rPr>
          <w:lang w:eastAsia="fr-FR"/>
        </w:rPr>
        <w:t xml:space="preserve"> </w:t>
      </w:r>
      <w:r>
        <w:rPr>
          <w:lang w:eastAsia="fr-FR"/>
        </w:rPr>
        <w:t>En effet, la présidente de l’association patronale à laquelle appartient l’employeur affirme que l’économie atteindrait 100</w:t>
      </w:r>
      <w:r w:rsidR="00530A3C">
        <w:rPr>
          <w:lang w:eastAsia="fr-FR"/>
        </w:rPr>
        <w:t> </w:t>
      </w:r>
      <w:r>
        <w:rPr>
          <w:lang w:eastAsia="fr-FR"/>
        </w:rPr>
        <w:t>000</w:t>
      </w:r>
      <w:r w:rsidR="00530A3C">
        <w:rPr>
          <w:lang w:eastAsia="fr-FR"/>
        </w:rPr>
        <w:t> </w:t>
      </w:r>
      <w:r>
        <w:rPr>
          <w:lang w:eastAsia="fr-FR"/>
        </w:rPr>
        <w:t xml:space="preserve">$ par an, mais elle ne parvient pas à expliquer comment elle arrive à ce résultat. Le Tribunal comprend du témoignage de la directrice générale que la coupure de la pause repas rémunérée ne pourrait générer cette somme, puisque les éducatrices </w:t>
      </w:r>
      <w:r w:rsidR="004372A7">
        <w:rPr>
          <w:lang w:eastAsia="fr-FR"/>
        </w:rPr>
        <w:t xml:space="preserve">pourraient </w:t>
      </w:r>
      <w:r>
        <w:rPr>
          <w:lang w:eastAsia="fr-FR"/>
        </w:rPr>
        <w:t>choisir de travailler deux heures de plus par semaine pour maintenir la même rémunération. Une économie annuelle de 5</w:t>
      </w:r>
      <w:r w:rsidR="00530A3C">
        <w:rPr>
          <w:lang w:eastAsia="fr-FR"/>
        </w:rPr>
        <w:t> </w:t>
      </w:r>
      <w:r>
        <w:rPr>
          <w:lang w:eastAsia="fr-FR"/>
        </w:rPr>
        <w:t>000 à 7</w:t>
      </w:r>
      <w:r w:rsidR="00530A3C">
        <w:rPr>
          <w:lang w:eastAsia="fr-FR"/>
        </w:rPr>
        <w:t> </w:t>
      </w:r>
      <w:r>
        <w:rPr>
          <w:lang w:eastAsia="fr-FR"/>
        </w:rPr>
        <w:t>000</w:t>
      </w:r>
      <w:r w:rsidR="00530A3C">
        <w:rPr>
          <w:lang w:eastAsia="fr-FR"/>
        </w:rPr>
        <w:t> </w:t>
      </w:r>
      <w:r>
        <w:rPr>
          <w:lang w:eastAsia="fr-FR"/>
        </w:rPr>
        <w:t xml:space="preserve">$ pourrait être réalisée </w:t>
      </w:r>
      <w:r w:rsidR="000328A3">
        <w:rPr>
          <w:lang w:eastAsia="fr-FR"/>
        </w:rPr>
        <w:t>grâce à</w:t>
      </w:r>
      <w:r>
        <w:rPr>
          <w:lang w:eastAsia="fr-FR"/>
        </w:rPr>
        <w:t xml:space="preserve"> </w:t>
      </w:r>
      <w:r w:rsidR="000328A3">
        <w:rPr>
          <w:lang w:eastAsia="fr-FR"/>
        </w:rPr>
        <w:t>une</w:t>
      </w:r>
      <w:r>
        <w:rPr>
          <w:lang w:eastAsia="fr-FR"/>
        </w:rPr>
        <w:t xml:space="preserve"> diminution </w:t>
      </w:r>
      <w:r w:rsidR="000328A3">
        <w:rPr>
          <w:lang w:eastAsia="fr-FR"/>
        </w:rPr>
        <w:t xml:space="preserve">des </w:t>
      </w:r>
      <w:r>
        <w:rPr>
          <w:lang w:eastAsia="fr-FR"/>
        </w:rPr>
        <w:t>heures supplémentaires</w:t>
      </w:r>
      <w:r w:rsidR="000328A3">
        <w:rPr>
          <w:lang w:eastAsia="fr-FR"/>
        </w:rPr>
        <w:t xml:space="preserve"> effectuées</w:t>
      </w:r>
      <w:r>
        <w:rPr>
          <w:lang w:eastAsia="fr-FR"/>
        </w:rPr>
        <w:t>. Possiblement, d’autres économies pourraient être réalisées par du travail effectué à taux régulier, mais, dans tous les cas, elles ne dépasseraient pas 50</w:t>
      </w:r>
      <w:r w:rsidR="00530A3C">
        <w:rPr>
          <w:lang w:eastAsia="fr-FR"/>
        </w:rPr>
        <w:t> </w:t>
      </w:r>
      <w:r>
        <w:rPr>
          <w:lang w:eastAsia="fr-FR"/>
        </w:rPr>
        <w:t>000</w:t>
      </w:r>
      <w:r w:rsidR="00530A3C">
        <w:rPr>
          <w:lang w:eastAsia="fr-FR"/>
        </w:rPr>
        <w:t> </w:t>
      </w:r>
      <w:r>
        <w:rPr>
          <w:lang w:eastAsia="fr-FR"/>
        </w:rPr>
        <w:t>$ par année en totalité.</w:t>
      </w:r>
    </w:p>
    <w:p w14:paraId="0F12BAA0" w14:textId="6BB7A0CE" w:rsidR="00CE082E" w:rsidRDefault="00CE082E" w:rsidP="00834BF3">
      <w:pPr>
        <w:pStyle w:val="corpsdedcision"/>
        <w:spacing w:before="360"/>
        <w:rPr>
          <w:lang w:eastAsia="fr-FR"/>
        </w:rPr>
      </w:pPr>
      <w:r>
        <w:rPr>
          <w:lang w:eastAsia="fr-FR"/>
        </w:rPr>
        <w:t xml:space="preserve">La preuve à cet égard est donc loin d’être claire, ce qui surprend lorsque l’on sait que l’employeur </w:t>
      </w:r>
      <w:r w:rsidR="00774DF3">
        <w:rPr>
          <w:lang w:eastAsia="fr-FR"/>
        </w:rPr>
        <w:t xml:space="preserve">est demeuré sur sa position de manière inébranlable, </w:t>
      </w:r>
      <w:r>
        <w:rPr>
          <w:lang w:eastAsia="fr-FR"/>
        </w:rPr>
        <w:t>et ce, malgré la grève qui sera entreprise par la suite.</w:t>
      </w:r>
    </w:p>
    <w:p w14:paraId="5C8E3D0D" w14:textId="3A331FE0" w:rsidR="00CE082E" w:rsidRDefault="00CE082E" w:rsidP="001E59AF">
      <w:pPr>
        <w:pStyle w:val="corpsdedcision"/>
        <w:rPr>
          <w:lang w:eastAsia="fr-FR"/>
        </w:rPr>
      </w:pPr>
      <w:r>
        <w:rPr>
          <w:lang w:eastAsia="fr-FR"/>
        </w:rPr>
        <w:t>Le 27 mai 2025, peu après le dévoilement du rapport par la firme externe, le</w:t>
      </w:r>
      <w:r w:rsidR="00350DEB">
        <w:rPr>
          <w:lang w:eastAsia="fr-FR"/>
        </w:rPr>
        <w:t> </w:t>
      </w:r>
      <w:r>
        <w:rPr>
          <w:lang w:eastAsia="fr-FR"/>
        </w:rPr>
        <w:t xml:space="preserve">syndicat consent à l’autre demande de l’employeur, </w:t>
      </w:r>
      <w:r w:rsidR="004372A7">
        <w:rPr>
          <w:lang w:eastAsia="fr-FR"/>
        </w:rPr>
        <w:t xml:space="preserve">soit </w:t>
      </w:r>
      <w:r>
        <w:rPr>
          <w:lang w:eastAsia="fr-FR"/>
        </w:rPr>
        <w:t>la réduction des heures d</w:t>
      </w:r>
      <w:r w:rsidR="00A30CAB">
        <w:rPr>
          <w:lang w:eastAsia="fr-FR"/>
        </w:rPr>
        <w:t>’</w:t>
      </w:r>
      <w:r>
        <w:rPr>
          <w:lang w:eastAsia="fr-FR"/>
        </w:rPr>
        <w:t>u</w:t>
      </w:r>
      <w:r w:rsidR="00A30CAB">
        <w:rPr>
          <w:lang w:eastAsia="fr-FR"/>
        </w:rPr>
        <w:t>ne</w:t>
      </w:r>
      <w:r>
        <w:rPr>
          <w:lang w:eastAsia="fr-FR"/>
        </w:rPr>
        <w:t xml:space="preserve"> responsable de la cuisine, mais dans la mesure où la pause repas rémunérée n’est pas retirée.</w:t>
      </w:r>
      <w:r w:rsidR="001E59AF" w:rsidRPr="001E59AF">
        <w:rPr>
          <w:lang w:eastAsia="fr-FR"/>
        </w:rPr>
        <w:t xml:space="preserve"> </w:t>
      </w:r>
      <w:r w:rsidR="00426370">
        <w:rPr>
          <w:lang w:eastAsia="fr-FR"/>
        </w:rPr>
        <w:t>Il propose également que l’employeur applique plus strictement une disposition de la convention collective</w:t>
      </w:r>
      <w:r w:rsidR="004E44AA">
        <w:rPr>
          <w:lang w:eastAsia="fr-FR"/>
        </w:rPr>
        <w:t>,</w:t>
      </w:r>
      <w:r w:rsidR="00426370">
        <w:rPr>
          <w:lang w:eastAsia="fr-FR"/>
        </w:rPr>
        <w:t xml:space="preserve"> qui permet de réduire le nombre d’éducatrices</w:t>
      </w:r>
      <w:r w:rsidR="004E44AA">
        <w:rPr>
          <w:lang w:eastAsia="fr-FR"/>
        </w:rPr>
        <w:t xml:space="preserve"> en fin de journée</w:t>
      </w:r>
      <w:r w:rsidR="00426370">
        <w:rPr>
          <w:lang w:eastAsia="fr-FR"/>
        </w:rPr>
        <w:t xml:space="preserve"> </w:t>
      </w:r>
      <w:r w:rsidR="004E44AA">
        <w:rPr>
          <w:lang w:eastAsia="fr-FR"/>
        </w:rPr>
        <w:t xml:space="preserve">lorsque </w:t>
      </w:r>
      <w:r w:rsidR="00426370">
        <w:rPr>
          <w:lang w:eastAsia="fr-FR"/>
        </w:rPr>
        <w:t>le ratio</w:t>
      </w:r>
      <w:r w:rsidR="004E44AA">
        <w:rPr>
          <w:lang w:eastAsia="fr-FR"/>
        </w:rPr>
        <w:t xml:space="preserve"> </w:t>
      </w:r>
      <w:r w:rsidR="00530A3C">
        <w:rPr>
          <w:lang w:eastAsia="fr-FR"/>
        </w:rPr>
        <w:t xml:space="preserve">le </w:t>
      </w:r>
      <w:r w:rsidR="004E44AA">
        <w:rPr>
          <w:lang w:eastAsia="fr-FR"/>
        </w:rPr>
        <w:t xml:space="preserve">permet, afin de </w:t>
      </w:r>
      <w:r w:rsidR="004E44AA" w:rsidRPr="00F41902">
        <w:rPr>
          <w:lang w:eastAsia="fr-FR"/>
        </w:rPr>
        <w:t>diminuer</w:t>
      </w:r>
      <w:r w:rsidR="004E44AA">
        <w:rPr>
          <w:lang w:eastAsia="fr-FR"/>
        </w:rPr>
        <w:t xml:space="preserve"> les coûts journaliers de la main</w:t>
      </w:r>
      <w:r w:rsidR="00623761">
        <w:rPr>
          <w:lang w:eastAsia="fr-FR"/>
        </w:rPr>
        <w:noBreakHyphen/>
      </w:r>
      <w:r w:rsidR="004E44AA">
        <w:rPr>
          <w:lang w:eastAsia="fr-FR"/>
        </w:rPr>
        <w:t xml:space="preserve">d’œuvre. Il demande </w:t>
      </w:r>
      <w:r w:rsidR="00891C00">
        <w:rPr>
          <w:lang w:eastAsia="fr-FR"/>
        </w:rPr>
        <w:t xml:space="preserve">aussi </w:t>
      </w:r>
      <w:r w:rsidR="004E44AA">
        <w:rPr>
          <w:lang w:eastAsia="fr-FR"/>
        </w:rPr>
        <w:t>que soi</w:t>
      </w:r>
      <w:r w:rsidR="00053E4A">
        <w:rPr>
          <w:lang w:eastAsia="fr-FR"/>
        </w:rPr>
        <w:t>en</w:t>
      </w:r>
      <w:r w:rsidR="004E44AA">
        <w:rPr>
          <w:lang w:eastAsia="fr-FR"/>
        </w:rPr>
        <w:t>t explorée</w:t>
      </w:r>
      <w:r w:rsidR="00053E4A">
        <w:rPr>
          <w:lang w:eastAsia="fr-FR"/>
        </w:rPr>
        <w:t>s</w:t>
      </w:r>
      <w:r w:rsidR="004E44AA">
        <w:rPr>
          <w:lang w:eastAsia="fr-FR"/>
        </w:rPr>
        <w:t xml:space="preserve"> les avenues pour </w:t>
      </w:r>
      <w:r w:rsidR="007E726E">
        <w:rPr>
          <w:lang w:eastAsia="fr-FR"/>
        </w:rPr>
        <w:t xml:space="preserve">abaisser </w:t>
      </w:r>
      <w:r w:rsidR="004E44AA">
        <w:rPr>
          <w:lang w:eastAsia="fr-FR"/>
        </w:rPr>
        <w:t>les coûts au niveau administrati</w:t>
      </w:r>
      <w:r w:rsidR="006B42AB">
        <w:rPr>
          <w:lang w:eastAsia="fr-FR"/>
        </w:rPr>
        <w:t>f</w:t>
      </w:r>
      <w:r w:rsidR="007E726E">
        <w:rPr>
          <w:lang w:eastAsia="fr-FR"/>
        </w:rPr>
        <w:t xml:space="preserve">, car il lui semble normal que les </w:t>
      </w:r>
      <w:r w:rsidR="006B42AB">
        <w:rPr>
          <w:lang w:eastAsia="fr-FR"/>
        </w:rPr>
        <w:t>salariées</w:t>
      </w:r>
      <w:r w:rsidR="007E726E">
        <w:rPr>
          <w:lang w:eastAsia="fr-FR"/>
        </w:rPr>
        <w:t xml:space="preserve"> ne soient </w:t>
      </w:r>
      <w:r w:rsidR="006B42AB">
        <w:rPr>
          <w:lang w:eastAsia="fr-FR"/>
        </w:rPr>
        <w:t>pas</w:t>
      </w:r>
      <w:r w:rsidR="007E726E">
        <w:rPr>
          <w:lang w:eastAsia="fr-FR"/>
        </w:rPr>
        <w:t xml:space="preserve"> les seules</w:t>
      </w:r>
      <w:r w:rsidR="006B42AB">
        <w:rPr>
          <w:lang w:eastAsia="fr-FR"/>
        </w:rPr>
        <w:t xml:space="preserve"> à contribuer au redressement de la situation financière de l’employeur</w:t>
      </w:r>
      <w:r w:rsidR="004E44AA">
        <w:rPr>
          <w:lang w:eastAsia="fr-FR"/>
        </w:rPr>
        <w:t>.</w:t>
      </w:r>
    </w:p>
    <w:p w14:paraId="57C90D03" w14:textId="408BFD11" w:rsidR="00CE082E" w:rsidRPr="008578DA" w:rsidRDefault="00CE082E" w:rsidP="00CE082E">
      <w:pPr>
        <w:pStyle w:val="corpsdedcision"/>
        <w:rPr>
          <w:lang w:eastAsia="fr-FR"/>
        </w:rPr>
      </w:pPr>
      <w:r>
        <w:rPr>
          <w:lang w:eastAsia="fr-FR"/>
        </w:rPr>
        <w:t xml:space="preserve">Malgré </w:t>
      </w:r>
      <w:r w:rsidR="00053E4A">
        <w:rPr>
          <w:lang w:eastAsia="fr-FR"/>
        </w:rPr>
        <w:t xml:space="preserve">la </w:t>
      </w:r>
      <w:r>
        <w:rPr>
          <w:lang w:eastAsia="fr-FR"/>
        </w:rPr>
        <w:t>concession du syndicat</w:t>
      </w:r>
      <w:r w:rsidR="00053E4A">
        <w:rPr>
          <w:lang w:eastAsia="fr-FR"/>
        </w:rPr>
        <w:t xml:space="preserve"> sur la réduction des heures d’une des responsables de la cuisine</w:t>
      </w:r>
      <w:r>
        <w:rPr>
          <w:lang w:eastAsia="fr-FR"/>
        </w:rPr>
        <w:t xml:space="preserve">, l’employeur est déterminé à faire disparaître </w:t>
      </w:r>
      <w:r w:rsidR="00053E4A">
        <w:rPr>
          <w:lang w:eastAsia="fr-FR"/>
        </w:rPr>
        <w:t>l’</w:t>
      </w:r>
      <w:r>
        <w:rPr>
          <w:lang w:eastAsia="fr-FR"/>
        </w:rPr>
        <w:t>avantage local</w:t>
      </w:r>
      <w:r w:rsidR="00053E4A">
        <w:rPr>
          <w:lang w:eastAsia="fr-FR"/>
        </w:rPr>
        <w:t xml:space="preserve"> de la pause repas rémunérée. Il rejette les mesures</w:t>
      </w:r>
      <w:r w:rsidR="00A02153">
        <w:rPr>
          <w:lang w:eastAsia="fr-FR"/>
        </w:rPr>
        <w:t xml:space="preserve"> suggérées par le syndicat, qui, selon lui, ne permettront pas de réaliser les économies recherchées</w:t>
      </w:r>
      <w:r>
        <w:rPr>
          <w:lang w:eastAsia="fr-FR"/>
        </w:rPr>
        <w:t xml:space="preserve">. Toutes les propositions qu’il formule par la suite ne sont que des modalités d’application de </w:t>
      </w:r>
      <w:r w:rsidR="00A02153">
        <w:rPr>
          <w:lang w:eastAsia="fr-FR"/>
        </w:rPr>
        <w:t>sa demande</w:t>
      </w:r>
      <w:r>
        <w:rPr>
          <w:lang w:eastAsia="fr-FR"/>
        </w:rPr>
        <w:t>.</w:t>
      </w:r>
    </w:p>
    <w:p w14:paraId="09C1D8E7" w14:textId="299FE2E1" w:rsidR="004015DB" w:rsidRDefault="00CE082E" w:rsidP="00053E4A">
      <w:pPr>
        <w:pStyle w:val="corpsdedcision"/>
        <w:rPr>
          <w:lang w:eastAsia="fr-FR"/>
        </w:rPr>
      </w:pPr>
      <w:r>
        <w:rPr>
          <w:lang w:eastAsia="fr-FR"/>
        </w:rPr>
        <w:t xml:space="preserve">Les salariées exercent des journées de grève à partir du 23 septembre 2025. Comme le Tribunal l'a déjà souligné, la grève au niveau local est rare et porte </w:t>
      </w:r>
      <w:r w:rsidR="004372A7">
        <w:rPr>
          <w:lang w:eastAsia="fr-FR"/>
        </w:rPr>
        <w:t xml:space="preserve">normalement </w:t>
      </w:r>
      <w:r>
        <w:rPr>
          <w:lang w:eastAsia="fr-FR"/>
        </w:rPr>
        <w:t>ses fruits assez rapidement. Or, cette fois-ci, le syndicat constate que ce moyen de pression semble sans effet sur l’employeur.</w:t>
      </w:r>
    </w:p>
    <w:p w14:paraId="79FC7488" w14:textId="4910CC5B" w:rsidR="00053E4A" w:rsidRDefault="00053E4A" w:rsidP="00053E4A">
      <w:pPr>
        <w:pStyle w:val="corpsdedcision"/>
        <w:rPr>
          <w:lang w:eastAsia="fr-FR"/>
        </w:rPr>
      </w:pPr>
      <w:r w:rsidRPr="00363B93">
        <w:rPr>
          <w:lang w:eastAsia="fr-FR"/>
        </w:rPr>
        <w:t xml:space="preserve">Le 21 octobre 2025, l’association dont fait partie l’employeur met en demeure le syndicat </w:t>
      </w:r>
      <w:r w:rsidR="00A02153" w:rsidRPr="00363B93">
        <w:rPr>
          <w:lang w:eastAsia="fr-FR"/>
        </w:rPr>
        <w:t>d</w:t>
      </w:r>
      <w:r w:rsidRPr="00363B93">
        <w:rPr>
          <w:lang w:eastAsia="fr-FR"/>
        </w:rPr>
        <w:t xml:space="preserve">e renoncer à </w:t>
      </w:r>
      <w:r w:rsidR="00363B93" w:rsidRPr="00363B93">
        <w:rPr>
          <w:lang w:eastAsia="fr-FR"/>
        </w:rPr>
        <w:t>son intention de</w:t>
      </w:r>
      <w:r w:rsidR="00363B93">
        <w:rPr>
          <w:lang w:eastAsia="fr-FR"/>
        </w:rPr>
        <w:t xml:space="preserve"> </w:t>
      </w:r>
      <w:r w:rsidRPr="00363B93">
        <w:rPr>
          <w:lang w:eastAsia="fr-FR"/>
        </w:rPr>
        <w:t>rencontrer</w:t>
      </w:r>
      <w:r>
        <w:rPr>
          <w:lang w:eastAsia="fr-FR"/>
        </w:rPr>
        <w:t xml:space="preserve"> les parents</w:t>
      </w:r>
      <w:r w:rsidR="00A02153">
        <w:rPr>
          <w:lang w:eastAsia="fr-FR"/>
        </w:rPr>
        <w:t xml:space="preserve"> afin de les informer </w:t>
      </w:r>
      <w:r w:rsidR="00F2462E">
        <w:rPr>
          <w:lang w:eastAsia="fr-FR"/>
        </w:rPr>
        <w:t>d</w:t>
      </w:r>
      <w:r w:rsidR="00A02153">
        <w:rPr>
          <w:lang w:eastAsia="fr-FR"/>
        </w:rPr>
        <w:t>es enjeux de la négociation</w:t>
      </w:r>
      <w:r>
        <w:rPr>
          <w:lang w:eastAsia="fr-FR"/>
        </w:rPr>
        <w:t xml:space="preserve">. </w:t>
      </w:r>
      <w:r w:rsidR="004015DB">
        <w:rPr>
          <w:lang w:eastAsia="fr-FR"/>
        </w:rPr>
        <w:t>Elle</w:t>
      </w:r>
      <w:r>
        <w:rPr>
          <w:lang w:eastAsia="fr-FR"/>
        </w:rPr>
        <w:t xml:space="preserve"> allègue qu’il s’agirait d’ingérence dans </w:t>
      </w:r>
      <w:r w:rsidR="004015DB">
        <w:rPr>
          <w:lang w:eastAsia="fr-FR"/>
        </w:rPr>
        <w:t>l</w:t>
      </w:r>
      <w:r>
        <w:rPr>
          <w:lang w:eastAsia="fr-FR"/>
        </w:rPr>
        <w:t>es affaires</w:t>
      </w:r>
      <w:r w:rsidR="004015DB">
        <w:rPr>
          <w:lang w:eastAsia="fr-FR"/>
        </w:rPr>
        <w:t xml:space="preserve"> de l’employeur</w:t>
      </w:r>
      <w:r>
        <w:rPr>
          <w:lang w:eastAsia="fr-FR"/>
        </w:rPr>
        <w:t>, contrairement à l’article 12 du Code, considérant le rôle que joue</w:t>
      </w:r>
      <w:r w:rsidR="00841D35">
        <w:rPr>
          <w:lang w:eastAsia="fr-FR"/>
        </w:rPr>
        <w:t>nt</w:t>
      </w:r>
      <w:r>
        <w:rPr>
          <w:lang w:eastAsia="fr-FR"/>
        </w:rPr>
        <w:t xml:space="preserve"> les parents dans l’administration du CPE. Le syndicat annule la rencontre.</w:t>
      </w:r>
    </w:p>
    <w:p w14:paraId="7A7022B6" w14:textId="0900AED1" w:rsidR="00CE082E" w:rsidRDefault="00053E4A" w:rsidP="00CE082E">
      <w:pPr>
        <w:pStyle w:val="corpsdedcision"/>
        <w:rPr>
          <w:lang w:eastAsia="fr-FR"/>
        </w:rPr>
      </w:pPr>
      <w:r>
        <w:rPr>
          <w:lang w:eastAsia="fr-FR"/>
        </w:rPr>
        <w:t xml:space="preserve">Le lendemain, 22 octobre 2025, après </w:t>
      </w:r>
      <w:r w:rsidR="00CE082E">
        <w:rPr>
          <w:lang w:eastAsia="fr-FR"/>
        </w:rPr>
        <w:t>l’exercice de sept premières journées de grève, la grève générale illimitée est déclenchée. Elle ne provoque « </w:t>
      </w:r>
      <w:r w:rsidR="00CE082E" w:rsidRPr="004E74A8">
        <w:rPr>
          <w:rStyle w:val="Citationintgre"/>
          <w:lang w:eastAsia="fr-FR"/>
        </w:rPr>
        <w:t>aucun mouvement</w:t>
      </w:r>
      <w:r w:rsidR="00CE082E">
        <w:rPr>
          <w:rStyle w:val="Citationintgre"/>
          <w:lang w:eastAsia="fr-FR"/>
        </w:rPr>
        <w:t xml:space="preserve"> à la table de négociation</w:t>
      </w:r>
      <w:r w:rsidR="00CE082E">
        <w:rPr>
          <w:lang w:eastAsia="fr-FR"/>
        </w:rPr>
        <w:t xml:space="preserve"> », ce qui est </w:t>
      </w:r>
      <w:r w:rsidR="00B246BA">
        <w:rPr>
          <w:lang w:eastAsia="fr-FR"/>
        </w:rPr>
        <w:t>in</w:t>
      </w:r>
      <w:r w:rsidR="00CE082E">
        <w:rPr>
          <w:lang w:eastAsia="fr-FR"/>
        </w:rPr>
        <w:t>habituel.</w:t>
      </w:r>
    </w:p>
    <w:p w14:paraId="3AF096E1" w14:textId="55098777" w:rsidR="00CE082E" w:rsidRPr="00C91556" w:rsidRDefault="00CE082E" w:rsidP="00CE082E">
      <w:pPr>
        <w:pStyle w:val="corpsdedcision"/>
        <w:rPr>
          <w:lang w:eastAsia="fr-FR"/>
        </w:rPr>
      </w:pPr>
      <w:r>
        <w:rPr>
          <w:lang w:eastAsia="fr-FR"/>
        </w:rPr>
        <w:t xml:space="preserve">La preuve démontre également que le syndicat a tenté des mesures hors du commun afin de faire débloquer les négociations. Le 6 novembre 2025, lors d’une séance de conciliation, il permet </w:t>
      </w:r>
      <w:r w:rsidRPr="00C91556">
        <w:rPr>
          <w:lang w:eastAsia="fr-FR"/>
        </w:rPr>
        <w:t xml:space="preserve">à l’employeur de s’adresser directement aux salariées, </w:t>
      </w:r>
      <w:r w:rsidR="00A30CAB">
        <w:rPr>
          <w:lang w:eastAsia="fr-FR"/>
        </w:rPr>
        <w:t>ce</w:t>
      </w:r>
      <w:r w:rsidR="0048429A">
        <w:rPr>
          <w:lang w:eastAsia="fr-FR"/>
        </w:rPr>
        <w:t> </w:t>
      </w:r>
      <w:r w:rsidR="00A30CAB">
        <w:rPr>
          <w:lang w:eastAsia="fr-FR"/>
        </w:rPr>
        <w:t>dernier</w:t>
      </w:r>
      <w:r w:rsidRPr="00C91556">
        <w:rPr>
          <w:lang w:eastAsia="fr-FR"/>
        </w:rPr>
        <w:t xml:space="preserve"> </w:t>
      </w:r>
      <w:r>
        <w:rPr>
          <w:lang w:eastAsia="fr-FR"/>
        </w:rPr>
        <w:t xml:space="preserve">ayant </w:t>
      </w:r>
      <w:r w:rsidRPr="00C91556">
        <w:rPr>
          <w:lang w:eastAsia="fr-FR"/>
        </w:rPr>
        <w:t>l’impression que l’information qu’il transmet au comité de négociation syndical ne se rend pas jusqu’à ce</w:t>
      </w:r>
      <w:r w:rsidR="00A30CAB">
        <w:rPr>
          <w:lang w:eastAsia="fr-FR"/>
        </w:rPr>
        <w:t>lles-ci</w:t>
      </w:r>
      <w:r>
        <w:rPr>
          <w:lang w:eastAsia="fr-FR"/>
        </w:rPr>
        <w:t xml:space="preserve">. </w:t>
      </w:r>
      <w:r w:rsidR="004015DB">
        <w:rPr>
          <w:lang w:eastAsia="fr-FR"/>
        </w:rPr>
        <w:t xml:space="preserve">Le syndicat </w:t>
      </w:r>
      <w:r w:rsidR="00EE4F55">
        <w:rPr>
          <w:lang w:eastAsia="fr-FR"/>
        </w:rPr>
        <w:t xml:space="preserve">propose </w:t>
      </w:r>
      <w:r w:rsidR="009F7E2A">
        <w:rPr>
          <w:lang w:eastAsia="fr-FR"/>
        </w:rPr>
        <w:t xml:space="preserve">également </w:t>
      </w:r>
      <w:r w:rsidR="00F41902">
        <w:rPr>
          <w:lang w:eastAsia="fr-FR"/>
        </w:rPr>
        <w:t>deux nouvelles solutions</w:t>
      </w:r>
      <w:r w:rsidR="009F7E2A">
        <w:rPr>
          <w:lang w:eastAsia="fr-FR"/>
        </w:rPr>
        <w:t>,</w:t>
      </w:r>
      <w:r w:rsidR="00F41902">
        <w:rPr>
          <w:lang w:eastAsia="fr-FR"/>
        </w:rPr>
        <w:t xml:space="preserve"> soit </w:t>
      </w:r>
      <w:r w:rsidR="004015DB">
        <w:rPr>
          <w:lang w:eastAsia="fr-FR"/>
        </w:rPr>
        <w:t>d’instaurer une clause « </w:t>
      </w:r>
      <w:r w:rsidR="004015DB" w:rsidRPr="00A02153">
        <w:rPr>
          <w:rStyle w:val="Citationintgre"/>
          <w:lang w:eastAsia="fr-FR"/>
        </w:rPr>
        <w:t>grand-père</w:t>
      </w:r>
      <w:r w:rsidR="004015DB">
        <w:rPr>
          <w:lang w:eastAsia="fr-FR"/>
        </w:rPr>
        <w:t> »</w:t>
      </w:r>
      <w:r w:rsidR="00F41902">
        <w:rPr>
          <w:lang w:eastAsia="fr-FR"/>
        </w:rPr>
        <w:t xml:space="preserve"> et d’abolir le poste de directrice adjointe pour créer un poste répondant mieux aux besoins des enfants.</w:t>
      </w:r>
      <w:r w:rsidR="004015DB">
        <w:rPr>
          <w:lang w:eastAsia="fr-FR"/>
        </w:rPr>
        <w:t xml:space="preserve"> </w:t>
      </w:r>
      <w:r w:rsidR="00F41902">
        <w:rPr>
          <w:lang w:eastAsia="fr-FR"/>
        </w:rPr>
        <w:t xml:space="preserve">Le ratio de deux cadres pour 80 enfants </w:t>
      </w:r>
      <w:r w:rsidR="00ED5677">
        <w:rPr>
          <w:lang w:eastAsia="fr-FR"/>
        </w:rPr>
        <w:t>dépasse la norme dans le secteur</w:t>
      </w:r>
      <w:r w:rsidR="009F7E2A">
        <w:rPr>
          <w:lang w:eastAsia="fr-FR"/>
        </w:rPr>
        <w:t>,</w:t>
      </w:r>
      <w:r w:rsidR="00ED5677">
        <w:rPr>
          <w:lang w:eastAsia="fr-FR"/>
        </w:rPr>
        <w:t xml:space="preserve"> selon lui. </w:t>
      </w:r>
      <w:r>
        <w:rPr>
          <w:lang w:eastAsia="fr-FR"/>
        </w:rPr>
        <w:t xml:space="preserve">Encore une fois, l’employeur </w:t>
      </w:r>
      <w:r w:rsidR="004015DB">
        <w:rPr>
          <w:lang w:eastAsia="fr-FR"/>
        </w:rPr>
        <w:t xml:space="preserve">refuse et </w:t>
      </w:r>
      <w:r>
        <w:rPr>
          <w:lang w:eastAsia="fr-FR"/>
        </w:rPr>
        <w:t>se limite à proposer de nouvelles modalités entourant l’abolition de la pause</w:t>
      </w:r>
      <w:r w:rsidR="00A73C2A">
        <w:rPr>
          <w:lang w:eastAsia="fr-FR"/>
        </w:rPr>
        <w:t xml:space="preserve"> </w:t>
      </w:r>
      <w:r>
        <w:rPr>
          <w:lang w:eastAsia="fr-FR"/>
        </w:rPr>
        <w:t xml:space="preserve">repas rémunérée. </w:t>
      </w:r>
      <w:r w:rsidR="00EE4F55" w:rsidRPr="00EE4F55">
        <w:rPr>
          <w:lang w:eastAsia="fr-FR"/>
        </w:rPr>
        <w:t>Il évoque notamment la possibilité que le retrait de la pause repas s’échelonne sur deux ans, confirme qu’il n’y aura pas de coupures d’heures de travail, sauf pour celles qui ne voudraient pas allonger leurs journées et ajoute que les éducatrices pourraient diner en présence des enfants, afin de conserver leur pause repas rémunérée.</w:t>
      </w:r>
      <w:r w:rsidR="00EE4F55">
        <w:rPr>
          <w:lang w:eastAsia="fr-FR"/>
        </w:rPr>
        <w:t xml:space="preserve"> </w:t>
      </w:r>
      <w:r>
        <w:rPr>
          <w:lang w:eastAsia="fr-FR"/>
        </w:rPr>
        <w:t>Aucune avancée ne ressort de cette rencontre</w:t>
      </w:r>
      <w:r w:rsidRPr="00C91556">
        <w:rPr>
          <w:rStyle w:val="Appelnotedebasdep"/>
          <w:lang w:eastAsia="fr-FR"/>
        </w:rPr>
        <w:footnoteReference w:id="103"/>
      </w:r>
      <w:r w:rsidRPr="00C91556">
        <w:rPr>
          <w:lang w:eastAsia="fr-FR"/>
        </w:rPr>
        <w:t>.</w:t>
      </w:r>
    </w:p>
    <w:p w14:paraId="24FA0511" w14:textId="06397535" w:rsidR="00EE4F55" w:rsidRPr="001674E5" w:rsidRDefault="00CE082E" w:rsidP="00EE4F55">
      <w:pPr>
        <w:pStyle w:val="corpsdedcision"/>
      </w:pPr>
      <w:r>
        <w:rPr>
          <w:lang w:eastAsia="fr-FR"/>
        </w:rPr>
        <w:t>Le 1</w:t>
      </w:r>
      <w:r w:rsidRPr="000C4A89">
        <w:rPr>
          <w:vertAlign w:val="superscript"/>
          <w:lang w:eastAsia="fr-FR"/>
        </w:rPr>
        <w:t>er</w:t>
      </w:r>
      <w:r>
        <w:rPr>
          <w:lang w:eastAsia="fr-FR"/>
        </w:rPr>
        <w:t xml:space="preserve"> décembre 2025, soit le lendemain de l’entrée en vigueur de la Loi 14, l’employeur formule une première demande</w:t>
      </w:r>
      <w:r w:rsidR="001E60BF">
        <w:rPr>
          <w:lang w:eastAsia="fr-FR"/>
        </w:rPr>
        <w:t xml:space="preserve"> </w:t>
      </w:r>
      <w:r>
        <w:rPr>
          <w:lang w:eastAsia="fr-FR"/>
        </w:rPr>
        <w:t>au ministre du Travail</w:t>
      </w:r>
      <w:r w:rsidR="007B50AA">
        <w:rPr>
          <w:lang w:eastAsia="fr-FR"/>
        </w:rPr>
        <w:t xml:space="preserve"> </w:t>
      </w:r>
      <w:r w:rsidR="007B50AA" w:rsidRPr="007B50AA">
        <w:rPr>
          <w:lang w:eastAsia="fr-FR"/>
        </w:rPr>
        <w:t>afin qu’il recommande au gouvernement la prise d’un décret lui permettant de saisir le Tribunal d’une demande d’assujettissement au maintien de SBEP</w:t>
      </w:r>
      <w:r>
        <w:rPr>
          <w:lang w:eastAsia="fr-FR"/>
        </w:rPr>
        <w:t xml:space="preserve">. </w:t>
      </w:r>
      <w:r w:rsidR="00EE4F55">
        <w:rPr>
          <w:lang w:eastAsia="fr-FR"/>
        </w:rPr>
        <w:t xml:space="preserve">Cette </w:t>
      </w:r>
      <w:r w:rsidR="00ED5677">
        <w:rPr>
          <w:lang w:eastAsia="fr-FR"/>
        </w:rPr>
        <w:t>démarche</w:t>
      </w:r>
      <w:r w:rsidR="00EE4F55">
        <w:rPr>
          <w:lang w:eastAsia="fr-FR"/>
        </w:rPr>
        <w:t xml:space="preserve"> déçoit le syndicat et ses membres et mine leur espoir d’en arriver à une solution négociée.</w:t>
      </w:r>
    </w:p>
    <w:p w14:paraId="4A496AD9" w14:textId="06386FF2" w:rsidR="00130BE9" w:rsidRDefault="00ED5677" w:rsidP="00834BF3">
      <w:pPr>
        <w:pStyle w:val="corpsdedcision"/>
        <w:spacing w:after="240"/>
        <w:rPr>
          <w:lang w:eastAsia="fr-FR"/>
        </w:rPr>
      </w:pPr>
      <w:r>
        <w:rPr>
          <w:lang w:eastAsia="fr-FR"/>
        </w:rPr>
        <w:t>Le 17 décembre 2025, l</w:t>
      </w:r>
      <w:r w:rsidR="00EE4F55">
        <w:rPr>
          <w:lang w:eastAsia="fr-FR"/>
        </w:rPr>
        <w:t xml:space="preserve">’employeur essuie </w:t>
      </w:r>
      <w:r w:rsidR="00CE082E">
        <w:rPr>
          <w:lang w:eastAsia="fr-FR"/>
        </w:rPr>
        <w:t>un refus</w:t>
      </w:r>
      <w:r>
        <w:rPr>
          <w:lang w:eastAsia="fr-FR"/>
        </w:rPr>
        <w:t>, ce qui</w:t>
      </w:r>
      <w:r w:rsidR="00EE4F55">
        <w:rPr>
          <w:lang w:eastAsia="fr-FR"/>
        </w:rPr>
        <w:t xml:space="preserve"> redonne espoir au syndicat et aux salariées. Elles se disent que l’employeur va revenir à la table de négociation avec une réelle volonté de négocier une solution acceptable pour les deux parties. Cependant, celui-ci réitère sa demande </w:t>
      </w:r>
      <w:r>
        <w:rPr>
          <w:lang w:eastAsia="fr-FR"/>
        </w:rPr>
        <w:t xml:space="preserve">de décret au ministre </w:t>
      </w:r>
      <w:r w:rsidR="00EE4F55">
        <w:rPr>
          <w:lang w:eastAsia="fr-FR"/>
        </w:rPr>
        <w:t>quelques jours plus tard, le 22 décembre.</w:t>
      </w:r>
    </w:p>
    <w:p w14:paraId="52B5A114" w14:textId="31714A48" w:rsidR="00130BE9" w:rsidRDefault="00130BE9" w:rsidP="00834BF3">
      <w:pPr>
        <w:pStyle w:val="corpsdedcision"/>
        <w:spacing w:after="240"/>
        <w:rPr>
          <w:lang w:eastAsia="fr-FR"/>
        </w:rPr>
      </w:pPr>
      <w:r w:rsidRPr="001F42D3">
        <w:rPr>
          <w:lang w:eastAsia="fr-FR"/>
        </w:rPr>
        <w:t>L’employeur ne fait aucune tentative de négociation entre le 7 novembre et le 22</w:t>
      </w:r>
      <w:r w:rsidR="00B246BA">
        <w:rPr>
          <w:lang w:eastAsia="fr-FR"/>
        </w:rPr>
        <w:t> </w:t>
      </w:r>
      <w:r w:rsidRPr="001F42D3">
        <w:rPr>
          <w:lang w:eastAsia="fr-FR"/>
        </w:rPr>
        <w:t>décembre</w:t>
      </w:r>
      <w:r w:rsidR="00962201">
        <w:rPr>
          <w:lang w:eastAsia="fr-FR"/>
        </w:rPr>
        <w:t xml:space="preserve"> </w:t>
      </w:r>
      <w:r w:rsidR="00B246BA">
        <w:rPr>
          <w:lang w:eastAsia="fr-FR"/>
        </w:rPr>
        <w:t>2025</w:t>
      </w:r>
      <w:r w:rsidRPr="001F42D3">
        <w:rPr>
          <w:lang w:eastAsia="fr-FR"/>
        </w:rPr>
        <w:t>.</w:t>
      </w:r>
    </w:p>
    <w:p w14:paraId="6B48E3A8" w14:textId="32D8DF16" w:rsidR="001E59AF" w:rsidRDefault="00CE082E" w:rsidP="00CE082E">
      <w:pPr>
        <w:pStyle w:val="corpsdedcision"/>
        <w:rPr>
          <w:lang w:eastAsia="fr-FR"/>
        </w:rPr>
      </w:pPr>
      <w:r>
        <w:rPr>
          <w:lang w:eastAsia="fr-FR"/>
        </w:rPr>
        <w:t>Le 28 janvier 2026, lors d’une séance exploratoire de conciliation avec le comité syndical, celui-ci avance une nouvelle solution pour répondre aux préoccupations de l’employeur, soit de lier la rémunération de la pause repas aux résultats de l’année financière précédente</w:t>
      </w:r>
      <w:r>
        <w:rPr>
          <w:rStyle w:val="Appelnotedebasdep"/>
          <w:lang w:eastAsia="fr-FR"/>
        </w:rPr>
        <w:footnoteReference w:id="104"/>
      </w:r>
      <w:r>
        <w:rPr>
          <w:lang w:eastAsia="fr-FR"/>
        </w:rPr>
        <w:t>. Cette clause existe déjà dans un autre CPE</w:t>
      </w:r>
      <w:r w:rsidR="00A30CAB">
        <w:rPr>
          <w:lang w:eastAsia="fr-FR"/>
        </w:rPr>
        <w:t xml:space="preserve"> de la région</w:t>
      </w:r>
      <w:r>
        <w:rPr>
          <w:lang w:eastAsia="fr-FR"/>
        </w:rPr>
        <w:t>.</w:t>
      </w:r>
    </w:p>
    <w:p w14:paraId="07D00D73" w14:textId="5A52FE12" w:rsidR="001E59AF" w:rsidRDefault="001E59AF" w:rsidP="00834BF3">
      <w:pPr>
        <w:pStyle w:val="corpsdedcision"/>
        <w:spacing w:after="240"/>
        <w:rPr>
          <w:lang w:eastAsia="fr-FR"/>
        </w:rPr>
      </w:pPr>
      <w:r w:rsidRPr="008578DA">
        <w:rPr>
          <w:lang w:eastAsia="fr-FR"/>
        </w:rPr>
        <w:t>Comme le souligne le syndicat, il ne faut pas perdre de vue que toute solution qu’il propose constitue un recul pour les salariées</w:t>
      </w:r>
      <w:r>
        <w:rPr>
          <w:lang w:eastAsia="fr-FR"/>
        </w:rPr>
        <w:t xml:space="preserve"> sur une condition de travail importante pour elles</w:t>
      </w:r>
      <w:r w:rsidRPr="008578DA">
        <w:rPr>
          <w:lang w:eastAsia="fr-FR"/>
        </w:rPr>
        <w:t>,</w:t>
      </w:r>
      <w:r>
        <w:rPr>
          <w:lang w:eastAsia="fr-FR"/>
        </w:rPr>
        <w:t xml:space="preserve"> et ce,</w:t>
      </w:r>
      <w:r w:rsidRPr="008578DA">
        <w:rPr>
          <w:lang w:eastAsia="fr-FR"/>
        </w:rPr>
        <w:t xml:space="preserve"> en l’absence de toute contrepartie. </w:t>
      </w:r>
      <w:r w:rsidR="008E2C70">
        <w:rPr>
          <w:lang w:eastAsia="fr-FR"/>
        </w:rPr>
        <w:t>Il a déjà accepté une des deux demandes patronales visant la réduction des heures de la responsable à la cuisine.</w:t>
      </w:r>
    </w:p>
    <w:p w14:paraId="32AA7F5B" w14:textId="243CA3BB" w:rsidR="00CE082E" w:rsidRDefault="00CE082E" w:rsidP="00834BF3">
      <w:pPr>
        <w:pStyle w:val="corpsdedcision"/>
        <w:spacing w:after="240"/>
        <w:rPr>
          <w:lang w:eastAsia="fr-FR"/>
        </w:rPr>
      </w:pPr>
      <w:r>
        <w:rPr>
          <w:lang w:eastAsia="fr-FR"/>
        </w:rPr>
        <w:t>La conciliatrice doit présenter cette avenue au comité de négociation patronal le</w:t>
      </w:r>
      <w:r w:rsidR="00350DEB">
        <w:rPr>
          <w:lang w:eastAsia="fr-FR"/>
        </w:rPr>
        <w:t> </w:t>
      </w:r>
      <w:r>
        <w:rPr>
          <w:lang w:eastAsia="fr-FR"/>
        </w:rPr>
        <w:t>2</w:t>
      </w:r>
      <w:r w:rsidR="00B246BA">
        <w:rPr>
          <w:lang w:eastAsia="fr-FR"/>
        </w:rPr>
        <w:t> </w:t>
      </w:r>
      <w:r>
        <w:rPr>
          <w:lang w:eastAsia="fr-FR"/>
        </w:rPr>
        <w:t>février suivant.</w:t>
      </w:r>
    </w:p>
    <w:p w14:paraId="51E48213" w14:textId="77777777" w:rsidR="00CE082E" w:rsidRDefault="00CE082E" w:rsidP="00880FC7">
      <w:pPr>
        <w:pStyle w:val="corpsdedcision"/>
        <w:keepNext/>
        <w:keepLines/>
        <w:spacing w:before="360"/>
        <w:rPr>
          <w:lang w:eastAsia="fr-FR"/>
        </w:rPr>
      </w:pPr>
      <w:r>
        <w:rPr>
          <w:lang w:eastAsia="fr-FR"/>
        </w:rPr>
        <w:t>Le 6 février, les parties se rencontrent à nouveau en conciliation. Elles viennent de recevoir le décret leur permettant de saisir le Tribunal de la question de leur assujettissement au maintien de SBEP. Le syndicat ne s’y attend pas, puisque l’employeur a essuyé un premier refus et qu’il attend une réponse sur sa proposition de lier la rémunération de la pause repas aux résultats de l’année financière précédente.</w:t>
      </w:r>
    </w:p>
    <w:p w14:paraId="458445FA" w14:textId="67FB1CF2" w:rsidR="00CE082E" w:rsidRDefault="00CE082E" w:rsidP="00880FC7">
      <w:pPr>
        <w:pStyle w:val="corpsdedcision"/>
        <w:spacing w:before="360"/>
        <w:rPr>
          <w:lang w:eastAsia="fr-FR"/>
        </w:rPr>
      </w:pPr>
      <w:r>
        <w:rPr>
          <w:lang w:eastAsia="fr-FR"/>
        </w:rPr>
        <w:t xml:space="preserve">Pour sa part, l’employeur nie avoir reçu cette dernière proposition, mais cette version n’est pas crédible. La grève illimitée est en cours. Les parties travaillent avec le Service de conciliation du ministère du Travail. Il est </w:t>
      </w:r>
      <w:r w:rsidR="004015DB">
        <w:rPr>
          <w:lang w:eastAsia="fr-FR"/>
        </w:rPr>
        <w:t>in</w:t>
      </w:r>
      <w:r>
        <w:rPr>
          <w:lang w:eastAsia="fr-FR"/>
        </w:rPr>
        <w:t>vraisemblable que la proposition du syndicat n’ait pas été transmise le 2 ou le 6 février.</w:t>
      </w:r>
    </w:p>
    <w:p w14:paraId="3EA33B1A" w14:textId="77777777" w:rsidR="008E2C70" w:rsidRDefault="008E2C70" w:rsidP="00880FC7">
      <w:pPr>
        <w:pStyle w:val="corpsdedcision"/>
        <w:spacing w:before="360"/>
        <w:rPr>
          <w:lang w:eastAsia="fr-FR"/>
        </w:rPr>
      </w:pPr>
      <w:r>
        <w:rPr>
          <w:lang w:eastAsia="fr-FR"/>
        </w:rPr>
        <w:t>La séance de conciliation du 6 février tourne court.</w:t>
      </w:r>
    </w:p>
    <w:p w14:paraId="067B289C" w14:textId="40F4CB56" w:rsidR="008E2C70" w:rsidRPr="001F42D3" w:rsidRDefault="008E2C70" w:rsidP="00880FC7">
      <w:pPr>
        <w:pStyle w:val="corpsdedcision"/>
        <w:spacing w:before="360"/>
        <w:rPr>
          <w:lang w:eastAsia="fr-FR"/>
        </w:rPr>
      </w:pPr>
      <w:r>
        <w:rPr>
          <w:lang w:eastAsia="fr-FR"/>
        </w:rPr>
        <w:t>Le même jour, l’employeur transmet un communiqué aux parents, où il leur annonce avoir reçu une réponse positive du ministre à s</w:t>
      </w:r>
      <w:r w:rsidR="00034FAD">
        <w:rPr>
          <w:lang w:eastAsia="fr-FR"/>
        </w:rPr>
        <w:t>a</w:t>
      </w:r>
      <w:r>
        <w:rPr>
          <w:lang w:eastAsia="fr-FR"/>
        </w:rPr>
        <w:t xml:space="preserve"> demande. Il </w:t>
      </w:r>
      <w:r w:rsidR="00034FAD">
        <w:rPr>
          <w:lang w:eastAsia="fr-FR"/>
        </w:rPr>
        <w:t>mentionne</w:t>
      </w:r>
      <w:r>
        <w:rPr>
          <w:lang w:eastAsia="fr-FR"/>
        </w:rPr>
        <w:t xml:space="preserve"> </w:t>
      </w:r>
      <w:r w:rsidR="00034FAD" w:rsidRPr="00034FAD">
        <w:rPr>
          <w:lang w:eastAsia="fr-FR"/>
        </w:rPr>
        <w:t xml:space="preserve">que sa procédure en assujettissement </w:t>
      </w:r>
      <w:r w:rsidR="00034FAD">
        <w:rPr>
          <w:lang w:eastAsia="fr-FR"/>
        </w:rPr>
        <w:t>était</w:t>
      </w:r>
      <w:r w:rsidR="00034FAD" w:rsidRPr="00034FAD">
        <w:rPr>
          <w:lang w:eastAsia="fr-FR"/>
        </w:rPr>
        <w:t xml:space="preserve"> déjà prête, puisqu’il y travaillait depuis </w:t>
      </w:r>
      <w:r w:rsidR="00034FAD">
        <w:rPr>
          <w:lang w:eastAsia="fr-FR"/>
        </w:rPr>
        <w:t>l’envoi de sa</w:t>
      </w:r>
      <w:r w:rsidR="00034FAD" w:rsidRPr="00034FAD">
        <w:rPr>
          <w:lang w:eastAsia="fr-FR"/>
        </w:rPr>
        <w:t xml:space="preserve"> demande de décret au ministre.</w:t>
      </w:r>
      <w:r w:rsidR="00034FAD">
        <w:rPr>
          <w:lang w:eastAsia="fr-FR"/>
        </w:rPr>
        <w:t xml:space="preserve"> Il précise que</w:t>
      </w:r>
      <w:r>
        <w:rPr>
          <w:lang w:eastAsia="fr-FR"/>
        </w:rPr>
        <w:t xml:space="preserve"> </w:t>
      </w:r>
      <w:r w:rsidR="00D929BD">
        <w:rPr>
          <w:lang w:eastAsia="fr-FR"/>
        </w:rPr>
        <w:t>c</w:t>
      </w:r>
      <w:r>
        <w:rPr>
          <w:lang w:eastAsia="fr-FR"/>
        </w:rPr>
        <w:t>e « </w:t>
      </w:r>
      <w:r w:rsidRPr="008E2C70">
        <w:rPr>
          <w:rStyle w:val="Citationintgre"/>
          <w:lang w:eastAsia="fr-FR"/>
        </w:rPr>
        <w:t>processus est actuellement la façon la plus rapide de permettre la reprise des services, même partiels, à court terme</w:t>
      </w:r>
      <w:r>
        <w:rPr>
          <w:lang w:eastAsia="fr-FR"/>
        </w:rPr>
        <w:t> »</w:t>
      </w:r>
      <w:r>
        <w:rPr>
          <w:rStyle w:val="Appelnotedebasdep"/>
          <w:lang w:eastAsia="fr-FR"/>
        </w:rPr>
        <w:footnoteReference w:id="105"/>
      </w:r>
      <w:r w:rsidR="006D1910">
        <w:rPr>
          <w:lang w:eastAsia="fr-FR"/>
        </w:rPr>
        <w:t>.</w:t>
      </w:r>
    </w:p>
    <w:p w14:paraId="3DD19E65" w14:textId="07A3257D" w:rsidR="008E2C70" w:rsidRDefault="008E2C70" w:rsidP="00880FC7">
      <w:pPr>
        <w:pStyle w:val="corpsdedcision"/>
        <w:spacing w:before="360"/>
        <w:rPr>
          <w:lang w:eastAsia="fr-FR"/>
        </w:rPr>
      </w:pPr>
      <w:r>
        <w:rPr>
          <w:lang w:eastAsia="fr-FR"/>
        </w:rPr>
        <w:t>À l'évidence, l’employeur se préparait à demander l’intervention du ministre</w:t>
      </w:r>
      <w:r w:rsidR="00B246BA">
        <w:rPr>
          <w:lang w:eastAsia="fr-FR"/>
        </w:rPr>
        <w:t> </w:t>
      </w:r>
      <w:r>
        <w:rPr>
          <w:lang w:eastAsia="fr-FR"/>
        </w:rPr>
        <w:t>du</w:t>
      </w:r>
      <w:r w:rsidR="00B246BA">
        <w:rPr>
          <w:lang w:eastAsia="fr-FR"/>
        </w:rPr>
        <w:t> </w:t>
      </w:r>
      <w:r>
        <w:rPr>
          <w:lang w:eastAsia="fr-FR"/>
        </w:rPr>
        <w:t>Travail pour l’adoption d’un décret dès l’entrée en vigueur de la Loi 14</w:t>
      </w:r>
      <w:r w:rsidRPr="000761A2">
        <w:rPr>
          <w:lang w:eastAsia="fr-FR"/>
        </w:rPr>
        <w:t>, le</w:t>
      </w:r>
      <w:r w:rsidR="00B246BA">
        <w:rPr>
          <w:lang w:eastAsia="fr-FR"/>
        </w:rPr>
        <w:t> </w:t>
      </w:r>
      <w:r w:rsidRPr="000761A2">
        <w:rPr>
          <w:lang w:eastAsia="fr-FR"/>
        </w:rPr>
        <w:t>30</w:t>
      </w:r>
      <w:r w:rsidR="00B246BA">
        <w:rPr>
          <w:lang w:eastAsia="fr-FR"/>
        </w:rPr>
        <w:t> </w:t>
      </w:r>
      <w:r w:rsidRPr="000761A2">
        <w:rPr>
          <w:lang w:eastAsia="fr-FR"/>
        </w:rPr>
        <w:t>novembre</w:t>
      </w:r>
      <w:r w:rsidR="00B246BA">
        <w:rPr>
          <w:lang w:eastAsia="fr-FR"/>
        </w:rPr>
        <w:t> </w:t>
      </w:r>
      <w:r w:rsidRPr="000761A2">
        <w:rPr>
          <w:lang w:eastAsia="fr-FR"/>
        </w:rPr>
        <w:t>2025</w:t>
      </w:r>
      <w:r>
        <w:rPr>
          <w:lang w:eastAsia="fr-FR"/>
        </w:rPr>
        <w:t xml:space="preserve">. Il fait sa demande le premier jour suivant celle-ci. Puis, il persiste dans cette voie bien qu’il ait reçu une première réponse négative. Ses efforts </w:t>
      </w:r>
      <w:r w:rsidR="007E726E">
        <w:rPr>
          <w:lang w:eastAsia="fr-FR"/>
        </w:rPr>
        <w:t>portent</w:t>
      </w:r>
      <w:r>
        <w:rPr>
          <w:lang w:eastAsia="fr-FR"/>
        </w:rPr>
        <w:t xml:space="preserve"> sur le processus permettant le maintien de SBEP et non sur la négociation collective.</w:t>
      </w:r>
    </w:p>
    <w:p w14:paraId="0ECD3C9D" w14:textId="4B50700C" w:rsidR="001E59AF" w:rsidRDefault="00CE082E" w:rsidP="00880FC7">
      <w:pPr>
        <w:pStyle w:val="corpsdedcision"/>
        <w:spacing w:before="360"/>
        <w:rPr>
          <w:lang w:eastAsia="fr-FR"/>
        </w:rPr>
      </w:pPr>
      <w:r>
        <w:rPr>
          <w:lang w:eastAsia="fr-FR"/>
        </w:rPr>
        <w:t xml:space="preserve">La grève qui </w:t>
      </w:r>
      <w:r w:rsidR="00AA6679">
        <w:rPr>
          <w:lang w:eastAsia="fr-FR"/>
        </w:rPr>
        <w:t>a opposé</w:t>
      </w:r>
      <w:r>
        <w:rPr>
          <w:lang w:eastAsia="fr-FR"/>
        </w:rPr>
        <w:t xml:space="preserve"> les parties est la plus longue jamais enregistrée dans le secteur des CPE</w:t>
      </w:r>
      <w:r w:rsidR="00E05924">
        <w:rPr>
          <w:lang w:eastAsia="fr-FR"/>
        </w:rPr>
        <w:t>, soit près de huit mois</w:t>
      </w:r>
      <w:r>
        <w:rPr>
          <w:lang w:eastAsia="fr-FR"/>
        </w:rPr>
        <w:t>. Le règlement de la convention collective n’est survenu que le 13 juillet 2026.</w:t>
      </w:r>
    </w:p>
    <w:p w14:paraId="43F642F7" w14:textId="02BF34D8" w:rsidR="002952F8" w:rsidRPr="002952F8" w:rsidRDefault="001E59AF" w:rsidP="00880FC7">
      <w:pPr>
        <w:pStyle w:val="corpsdedcision"/>
        <w:spacing w:before="360"/>
        <w:rPr>
          <w:lang w:eastAsia="fr-FR"/>
        </w:rPr>
      </w:pPr>
      <w:r>
        <w:rPr>
          <w:lang w:eastAsia="fr-FR"/>
        </w:rPr>
        <w:t>Il ressort de l’ensemble de la preuve que la grève n’a pas produit ses effets habituels</w:t>
      </w:r>
      <w:r w:rsidR="008F0ED4">
        <w:rPr>
          <w:lang w:eastAsia="fr-FR"/>
        </w:rPr>
        <w:t>, puisqu’elle n’a créé aucun mouvement</w:t>
      </w:r>
      <w:r>
        <w:rPr>
          <w:lang w:eastAsia="fr-FR"/>
        </w:rPr>
        <w:t xml:space="preserve"> </w:t>
      </w:r>
      <w:r w:rsidR="006D1910">
        <w:rPr>
          <w:lang w:eastAsia="fr-FR"/>
        </w:rPr>
        <w:t>à</w:t>
      </w:r>
      <w:r>
        <w:rPr>
          <w:lang w:eastAsia="fr-FR"/>
        </w:rPr>
        <w:t xml:space="preserve"> la table des négociations. </w:t>
      </w:r>
      <w:r w:rsidR="005B491C">
        <w:rPr>
          <w:lang w:eastAsia="fr-FR"/>
        </w:rPr>
        <w:t>Évidemment, la Charte</w:t>
      </w:r>
      <w:r w:rsidR="004015DB">
        <w:rPr>
          <w:lang w:eastAsia="fr-FR"/>
        </w:rPr>
        <w:t xml:space="preserve"> canadienne</w:t>
      </w:r>
      <w:r w:rsidR="005B491C">
        <w:rPr>
          <w:lang w:eastAsia="fr-FR"/>
        </w:rPr>
        <w:t xml:space="preserve"> ne garantit pas </w:t>
      </w:r>
      <w:r w:rsidR="002952F8">
        <w:rPr>
          <w:lang w:eastAsia="fr-FR"/>
        </w:rPr>
        <w:t>l’atteinte des objectifs poursuivis par le syndicat</w:t>
      </w:r>
      <w:r w:rsidR="005B491C">
        <w:rPr>
          <w:lang w:eastAsia="fr-FR"/>
        </w:rPr>
        <w:t xml:space="preserve">. </w:t>
      </w:r>
      <w:r w:rsidR="002952F8">
        <w:rPr>
          <w:lang w:eastAsia="fr-FR"/>
        </w:rPr>
        <w:t>Cependant, le régime des SBEP a altéré</w:t>
      </w:r>
      <w:r w:rsidR="00F950D8">
        <w:rPr>
          <w:lang w:eastAsia="fr-FR"/>
        </w:rPr>
        <w:t xml:space="preserve"> le processus de négociation</w:t>
      </w:r>
      <w:r w:rsidR="002952F8">
        <w:rPr>
          <w:lang w:eastAsia="fr-FR"/>
        </w:rPr>
        <w:t>. F</w:t>
      </w:r>
      <w:r w:rsidR="002952F8" w:rsidRPr="002952F8">
        <w:rPr>
          <w:lang w:eastAsia="fr-FR"/>
        </w:rPr>
        <w:t>orce</w:t>
      </w:r>
      <w:r w:rsidR="0048429A">
        <w:rPr>
          <w:lang w:eastAsia="fr-FR"/>
        </w:rPr>
        <w:t> </w:t>
      </w:r>
      <w:r w:rsidR="002952F8" w:rsidRPr="002952F8">
        <w:rPr>
          <w:lang w:eastAsia="fr-FR"/>
        </w:rPr>
        <w:t xml:space="preserve">est de constater que l’employeur est demeuré sur ses positions plutôt que de chercher une </w:t>
      </w:r>
      <w:r w:rsidR="008F0ED4">
        <w:rPr>
          <w:lang w:eastAsia="fr-FR"/>
        </w:rPr>
        <w:t xml:space="preserve">véritable </w:t>
      </w:r>
      <w:r w:rsidR="002952F8" w:rsidRPr="002952F8">
        <w:rPr>
          <w:lang w:eastAsia="fr-FR"/>
        </w:rPr>
        <w:t xml:space="preserve">solution négociée </w:t>
      </w:r>
      <w:r w:rsidR="00891C00">
        <w:rPr>
          <w:lang w:eastAsia="fr-FR"/>
        </w:rPr>
        <w:t>et que le</w:t>
      </w:r>
      <w:r w:rsidR="002952F8" w:rsidRPr="002952F8">
        <w:rPr>
          <w:lang w:eastAsia="fr-FR"/>
        </w:rPr>
        <w:t xml:space="preserve"> régime des SBEP</w:t>
      </w:r>
      <w:r w:rsidR="004542CF">
        <w:rPr>
          <w:lang w:eastAsia="fr-FR"/>
        </w:rPr>
        <w:t>,</w:t>
      </w:r>
      <w:r w:rsidR="00891C00">
        <w:rPr>
          <w:lang w:eastAsia="fr-FR"/>
        </w:rPr>
        <w:t xml:space="preserve"> </w:t>
      </w:r>
      <w:r w:rsidR="004542CF">
        <w:rPr>
          <w:lang w:eastAsia="fr-FR"/>
        </w:rPr>
        <w:t xml:space="preserve">selon toute vraisemblance, a </w:t>
      </w:r>
      <w:r w:rsidR="008C0F13">
        <w:rPr>
          <w:lang w:eastAsia="fr-FR"/>
        </w:rPr>
        <w:t xml:space="preserve">influencé </w:t>
      </w:r>
      <w:r w:rsidR="00891C00">
        <w:rPr>
          <w:lang w:eastAsia="fr-FR"/>
        </w:rPr>
        <w:t>son attitude</w:t>
      </w:r>
      <w:r w:rsidR="002952F8" w:rsidRPr="002952F8">
        <w:rPr>
          <w:lang w:eastAsia="fr-FR"/>
        </w:rPr>
        <w:t>.</w:t>
      </w:r>
    </w:p>
    <w:p w14:paraId="6F529EE7" w14:textId="45620803" w:rsidR="008F341F" w:rsidRDefault="00B11F82" w:rsidP="00D93B7B">
      <w:pPr>
        <w:pStyle w:val="corpsdedcision"/>
        <w:keepNext/>
        <w:keepLines/>
        <w:spacing w:after="240"/>
        <w:rPr>
          <w:lang w:eastAsia="fr-FR"/>
        </w:rPr>
      </w:pPr>
      <w:r>
        <w:rPr>
          <w:lang w:eastAsia="fr-FR"/>
        </w:rPr>
        <w:t xml:space="preserve">Le Tribunal s’attardera sur trois </w:t>
      </w:r>
      <w:r w:rsidR="00B14943">
        <w:rPr>
          <w:lang w:eastAsia="fr-FR"/>
        </w:rPr>
        <w:t xml:space="preserve">effets </w:t>
      </w:r>
      <w:r w:rsidR="00875F70">
        <w:rPr>
          <w:lang w:eastAsia="fr-FR"/>
        </w:rPr>
        <w:t>du</w:t>
      </w:r>
      <w:r w:rsidR="00B14943">
        <w:rPr>
          <w:lang w:eastAsia="fr-FR"/>
        </w:rPr>
        <w:t xml:space="preserve"> régime des SBEP </w:t>
      </w:r>
      <w:r>
        <w:rPr>
          <w:lang w:eastAsia="fr-FR"/>
        </w:rPr>
        <w:t xml:space="preserve">qui </w:t>
      </w:r>
      <w:r w:rsidR="002952F8">
        <w:rPr>
          <w:lang w:eastAsia="fr-FR"/>
        </w:rPr>
        <w:t>perturbent l’équilibre du rapport de force et affectent</w:t>
      </w:r>
      <w:r w:rsidR="00B14943">
        <w:rPr>
          <w:lang w:eastAsia="fr-FR"/>
        </w:rPr>
        <w:t xml:space="preserve"> le processus de négociation collective</w:t>
      </w:r>
      <w:r w:rsidR="00350DEB">
        <w:rPr>
          <w:lang w:eastAsia="fr-FR"/>
        </w:rPr>
        <w:t> </w:t>
      </w:r>
      <w:r w:rsidR="005E2B48">
        <w:rPr>
          <w:lang w:eastAsia="fr-FR"/>
        </w:rPr>
        <w:t>:</w:t>
      </w:r>
    </w:p>
    <w:p w14:paraId="12F7AD16" w14:textId="6D71F22F" w:rsidR="008F341F" w:rsidRDefault="005E2B48" w:rsidP="00D93B7B">
      <w:pPr>
        <w:pStyle w:val="corpsdedcision"/>
        <w:keepNext/>
        <w:keepLines/>
        <w:numPr>
          <w:ilvl w:val="0"/>
          <w:numId w:val="17"/>
        </w:numPr>
        <w:spacing w:after="240"/>
        <w:ind w:left="1276" w:hanging="567"/>
        <w:rPr>
          <w:lang w:eastAsia="fr-FR"/>
        </w:rPr>
      </w:pPr>
      <w:r>
        <w:rPr>
          <w:lang w:eastAsia="fr-FR"/>
        </w:rPr>
        <w:t>la mise en branle du régime des SBEP dépend de l’employeur et de la discrétion politique, ce qui vient perturber le rapport de force;</w:t>
      </w:r>
    </w:p>
    <w:p w14:paraId="7CFE560D" w14:textId="225AF1AB" w:rsidR="008F341F" w:rsidRDefault="005E2B48" w:rsidP="00D93B7B">
      <w:pPr>
        <w:pStyle w:val="corpsdedcision"/>
        <w:keepNext/>
        <w:keepLines/>
        <w:numPr>
          <w:ilvl w:val="0"/>
          <w:numId w:val="17"/>
        </w:numPr>
        <w:spacing w:after="240"/>
        <w:ind w:left="1276" w:hanging="567"/>
        <w:rPr>
          <w:lang w:eastAsia="fr-FR"/>
        </w:rPr>
      </w:pPr>
      <w:r>
        <w:rPr>
          <w:lang w:eastAsia="fr-FR"/>
        </w:rPr>
        <w:t xml:space="preserve">le régime procure un mécanisme à </w:t>
      </w:r>
      <w:r w:rsidR="008204E2">
        <w:rPr>
          <w:lang w:eastAsia="fr-FR"/>
        </w:rPr>
        <w:t xml:space="preserve">l’avantage de </w:t>
      </w:r>
      <w:r>
        <w:rPr>
          <w:lang w:eastAsia="fr-FR"/>
        </w:rPr>
        <w:t>l’employeur</w:t>
      </w:r>
      <w:r w:rsidR="00892C00">
        <w:rPr>
          <w:lang w:eastAsia="fr-FR"/>
        </w:rPr>
        <w:t>,</w:t>
      </w:r>
      <w:r w:rsidR="00B14943">
        <w:rPr>
          <w:lang w:eastAsia="fr-FR"/>
        </w:rPr>
        <w:t xml:space="preserve"> </w:t>
      </w:r>
      <w:r>
        <w:rPr>
          <w:lang w:eastAsia="fr-FR"/>
        </w:rPr>
        <w:t xml:space="preserve">ce </w:t>
      </w:r>
      <w:r w:rsidR="00BD5D3F">
        <w:rPr>
          <w:lang w:eastAsia="fr-FR"/>
        </w:rPr>
        <w:t xml:space="preserve">qui </w:t>
      </w:r>
      <w:r>
        <w:rPr>
          <w:lang w:eastAsia="fr-FR"/>
        </w:rPr>
        <w:t>favorise une position attentiste de sa part</w:t>
      </w:r>
      <w:r w:rsidR="000773FA">
        <w:rPr>
          <w:lang w:eastAsia="fr-FR"/>
        </w:rPr>
        <w:t>;</w:t>
      </w:r>
    </w:p>
    <w:p w14:paraId="2562C290" w14:textId="3B520A6D" w:rsidR="00F950D8" w:rsidRDefault="005E2B48" w:rsidP="00834BF3">
      <w:pPr>
        <w:pStyle w:val="corpsdedcision"/>
        <w:widowControl w:val="0"/>
        <w:numPr>
          <w:ilvl w:val="0"/>
          <w:numId w:val="17"/>
        </w:numPr>
        <w:ind w:left="1276" w:hanging="567"/>
        <w:rPr>
          <w:lang w:eastAsia="fr-FR"/>
        </w:rPr>
      </w:pPr>
      <w:r>
        <w:rPr>
          <w:lang w:eastAsia="fr-FR"/>
        </w:rPr>
        <w:t xml:space="preserve">l’imprévisibilité qui entoure les critères d’application du régime des SBEP </w:t>
      </w:r>
      <w:r w:rsidR="008749AA">
        <w:rPr>
          <w:lang w:eastAsia="fr-FR"/>
        </w:rPr>
        <w:t xml:space="preserve">déséquilibre significativement </w:t>
      </w:r>
      <w:r>
        <w:rPr>
          <w:lang w:eastAsia="fr-FR"/>
        </w:rPr>
        <w:t>le rapport de force</w:t>
      </w:r>
      <w:r w:rsidR="00892C00">
        <w:rPr>
          <w:lang w:eastAsia="fr-FR"/>
        </w:rPr>
        <w:t xml:space="preserve"> au détriment du syndicat</w:t>
      </w:r>
      <w:r>
        <w:rPr>
          <w:lang w:eastAsia="fr-FR"/>
        </w:rPr>
        <w:t>.</w:t>
      </w:r>
    </w:p>
    <w:p w14:paraId="5B499F16" w14:textId="798E5368" w:rsidR="005E2B48" w:rsidRDefault="005E2B48" w:rsidP="00834BF3">
      <w:pPr>
        <w:pStyle w:val="corpsdedcision"/>
        <w:widowControl w:val="0"/>
        <w:tabs>
          <w:tab w:val="clear" w:pos="360"/>
          <w:tab w:val="num" w:pos="720"/>
        </w:tabs>
        <w:rPr>
          <w:lang w:eastAsia="fr-FR"/>
        </w:rPr>
      </w:pPr>
      <w:r>
        <w:rPr>
          <w:lang w:eastAsia="fr-FR"/>
        </w:rPr>
        <w:t>Étant donné les conclusions auxquel</w:t>
      </w:r>
      <w:r w:rsidR="008204E2">
        <w:rPr>
          <w:lang w:eastAsia="fr-FR"/>
        </w:rPr>
        <w:t>le</w:t>
      </w:r>
      <w:r>
        <w:rPr>
          <w:lang w:eastAsia="fr-FR"/>
        </w:rPr>
        <w:t xml:space="preserve">s le </w:t>
      </w:r>
      <w:r w:rsidR="00397C14">
        <w:rPr>
          <w:lang w:eastAsia="fr-FR"/>
        </w:rPr>
        <w:t>T</w:t>
      </w:r>
      <w:r>
        <w:rPr>
          <w:lang w:eastAsia="fr-FR"/>
        </w:rPr>
        <w:t>ribunal parvient en examinant ces trois aspects, il n’est pas nécessaire de se prononcer sur les autres arguments soulevés par le syndicat et les parties intervenantes de deuxième part.</w:t>
      </w:r>
    </w:p>
    <w:p w14:paraId="636DC090" w14:textId="047B6828" w:rsidR="005E2B48" w:rsidRPr="0042713B" w:rsidRDefault="005E2B48" w:rsidP="000773FA">
      <w:pPr>
        <w:pStyle w:val="corpsdedcision"/>
        <w:numPr>
          <w:ilvl w:val="0"/>
          <w:numId w:val="0"/>
        </w:numPr>
        <w:spacing w:after="240"/>
        <w:rPr>
          <w:i/>
          <w:iCs/>
          <w:lang w:eastAsia="fr-FR"/>
        </w:rPr>
      </w:pPr>
      <w:r w:rsidRPr="0042713B">
        <w:rPr>
          <w:i/>
          <w:iCs/>
          <w:lang w:eastAsia="fr-FR"/>
        </w:rPr>
        <w:t xml:space="preserve">1- </w:t>
      </w:r>
      <w:r w:rsidR="006A2577" w:rsidRPr="00D93B7B">
        <w:rPr>
          <w:i/>
          <w:iCs/>
          <w:lang w:eastAsia="fr-FR"/>
        </w:rPr>
        <w:t>L</w:t>
      </w:r>
      <w:r w:rsidRPr="00D93B7B">
        <w:rPr>
          <w:i/>
          <w:iCs/>
          <w:lang w:eastAsia="fr-FR"/>
        </w:rPr>
        <w:t>a mise en branle</w:t>
      </w:r>
      <w:r w:rsidRPr="0042713B">
        <w:rPr>
          <w:i/>
          <w:iCs/>
          <w:lang w:eastAsia="fr-FR"/>
        </w:rPr>
        <w:t xml:space="preserve"> du régime des SBEP dépend de l’employeur et de la discrétion politique, ce qui vient perturber le rapport de force</w:t>
      </w:r>
    </w:p>
    <w:p w14:paraId="09B6C63F" w14:textId="786E2D28" w:rsidR="005B491C" w:rsidRDefault="005B491C" w:rsidP="005B491C">
      <w:pPr>
        <w:pStyle w:val="corpsdedcision"/>
        <w:rPr>
          <w:lang w:eastAsia="fr-FR"/>
        </w:rPr>
      </w:pPr>
      <w:r>
        <w:rPr>
          <w:lang w:eastAsia="fr-FR"/>
        </w:rPr>
        <w:t xml:space="preserve">Bien que le régime des SBEP vise les deux parties et </w:t>
      </w:r>
      <w:r w:rsidR="00D929BD">
        <w:rPr>
          <w:lang w:eastAsia="fr-FR"/>
        </w:rPr>
        <w:t>peut</w:t>
      </w:r>
      <w:r w:rsidR="002E4185">
        <w:rPr>
          <w:lang w:eastAsia="fr-FR"/>
        </w:rPr>
        <w:t xml:space="preserve"> </w:t>
      </w:r>
      <w:r>
        <w:rPr>
          <w:lang w:eastAsia="fr-FR"/>
        </w:rPr>
        <w:t>donc, en théorie, s’appliquer en cas de lock-out, il représente, dans les faits, un mécanisme qui limite avant tout le droit de grève.</w:t>
      </w:r>
    </w:p>
    <w:p w14:paraId="43E003D4" w14:textId="0BCFF33E" w:rsidR="005B491C" w:rsidRDefault="005B491C" w:rsidP="005B491C">
      <w:pPr>
        <w:pStyle w:val="corpsdedcision"/>
        <w:tabs>
          <w:tab w:val="clear" w:pos="360"/>
          <w:tab w:val="num" w:pos="720"/>
        </w:tabs>
        <w:rPr>
          <w:lang w:eastAsia="fr-FR"/>
        </w:rPr>
      </w:pPr>
      <w:r>
        <w:rPr>
          <w:lang w:eastAsia="fr-FR"/>
        </w:rPr>
        <w:t xml:space="preserve">Il est de connaissance d’office pour le Tribunal, une instance spécialisée en droit du travail, que la très vaste majorité des conflits de travail au Québec découle d’une grève et non d’un lock-out. Dans sa décision d’assujettissement, le Tribunal </w:t>
      </w:r>
      <w:r w:rsidR="00ED5677">
        <w:rPr>
          <w:lang w:eastAsia="fr-FR"/>
        </w:rPr>
        <w:t>a</w:t>
      </w:r>
      <w:r>
        <w:rPr>
          <w:lang w:eastAsia="fr-FR"/>
        </w:rPr>
        <w:t xml:space="preserve"> noté que le régime des SBEP était destiné à s’appliquer essentiellement lors de grèves</w:t>
      </w:r>
      <w:r>
        <w:rPr>
          <w:rStyle w:val="Appelnotedebasdep"/>
          <w:lang w:eastAsia="fr-FR"/>
        </w:rPr>
        <w:footnoteReference w:id="106"/>
      </w:r>
      <w:r>
        <w:rPr>
          <w:lang w:eastAsia="fr-FR"/>
        </w:rPr>
        <w:t xml:space="preserve">. </w:t>
      </w:r>
      <w:r w:rsidR="00CF55CC">
        <w:rPr>
          <w:lang w:eastAsia="fr-FR"/>
        </w:rPr>
        <w:t>Au cours</w:t>
      </w:r>
      <w:r w:rsidR="00D07774">
        <w:rPr>
          <w:lang w:eastAsia="fr-FR"/>
        </w:rPr>
        <w:t xml:space="preserve"> de</w:t>
      </w:r>
      <w:r w:rsidRPr="0098790D">
        <w:rPr>
          <w:lang w:eastAsia="fr-FR"/>
        </w:rPr>
        <w:t xml:space="preserve"> l’étude détaillée du projet de loi </w:t>
      </w:r>
      <w:r w:rsidRPr="00F23069">
        <w:rPr>
          <w:lang w:eastAsia="fr-FR"/>
        </w:rPr>
        <w:t>n°</w:t>
      </w:r>
      <w:r w:rsidRPr="0098790D">
        <w:rPr>
          <w:lang w:eastAsia="fr-FR"/>
        </w:rPr>
        <w:t xml:space="preserve">89, </w:t>
      </w:r>
      <w:r>
        <w:rPr>
          <w:lang w:eastAsia="fr-FR"/>
        </w:rPr>
        <w:t xml:space="preserve">il a </w:t>
      </w:r>
      <w:r w:rsidR="00ED5677">
        <w:rPr>
          <w:lang w:eastAsia="fr-FR"/>
        </w:rPr>
        <w:t>aussi</w:t>
      </w:r>
      <w:r>
        <w:rPr>
          <w:lang w:eastAsia="fr-FR"/>
        </w:rPr>
        <w:t xml:space="preserve"> été souligné </w:t>
      </w:r>
      <w:r w:rsidRPr="0098790D">
        <w:rPr>
          <w:lang w:eastAsia="fr-FR"/>
        </w:rPr>
        <w:t>qu’il était peu probable que des syndicats fassent appel au</w:t>
      </w:r>
      <w:r>
        <w:rPr>
          <w:lang w:eastAsia="fr-FR"/>
        </w:rPr>
        <w:t xml:space="preserve"> régime</w:t>
      </w:r>
      <w:r w:rsidRPr="0098790D">
        <w:rPr>
          <w:lang w:eastAsia="fr-FR"/>
        </w:rPr>
        <w:t xml:space="preserve"> introduit par le projet de loi dans le cas d’un lock</w:t>
      </w:r>
      <w:r w:rsidR="00D07774">
        <w:rPr>
          <w:lang w:eastAsia="fr-FR"/>
        </w:rPr>
        <w:noBreakHyphen/>
      </w:r>
      <w:r w:rsidRPr="0098790D">
        <w:rPr>
          <w:lang w:eastAsia="fr-FR"/>
        </w:rPr>
        <w:t>out, car cela aurait pour effet de restreindre leur droit de grève</w:t>
      </w:r>
      <w:r w:rsidRPr="0098790D">
        <w:rPr>
          <w:vertAlign w:val="superscript"/>
          <w:lang w:eastAsia="fr-FR"/>
        </w:rPr>
        <w:footnoteReference w:id="107"/>
      </w:r>
      <w:r w:rsidRPr="0098790D">
        <w:rPr>
          <w:lang w:eastAsia="fr-FR"/>
        </w:rPr>
        <w:t>.</w:t>
      </w:r>
    </w:p>
    <w:p w14:paraId="37E594D1" w14:textId="4405AD74" w:rsidR="00372828" w:rsidRPr="00034FAD" w:rsidRDefault="005B491C" w:rsidP="007E3F51">
      <w:pPr>
        <w:pStyle w:val="corpsdedcision"/>
        <w:tabs>
          <w:tab w:val="clear" w:pos="360"/>
          <w:tab w:val="num" w:pos="720"/>
        </w:tabs>
        <w:rPr>
          <w:lang w:eastAsia="fr-FR"/>
        </w:rPr>
      </w:pPr>
      <w:r>
        <w:rPr>
          <w:lang w:eastAsia="fr-FR"/>
        </w:rPr>
        <w:t>C’est donc l’employeur qui prendra l’initiative de demander au gouvernement l</w:t>
      </w:r>
      <w:r w:rsidR="00662E54">
        <w:rPr>
          <w:lang w:eastAsia="fr-FR"/>
        </w:rPr>
        <w:t>a</w:t>
      </w:r>
      <w:r>
        <w:rPr>
          <w:lang w:eastAsia="fr-FR"/>
        </w:rPr>
        <w:t xml:space="preserve"> prise d’un décret pour lui permettre de saisir le Tribunal d’une demande d’assujettissement. Il peut ainsi choisir le moment </w:t>
      </w:r>
      <w:r w:rsidRPr="0042713B">
        <w:rPr>
          <w:lang w:eastAsia="fr-FR"/>
        </w:rPr>
        <w:t>qui lui convient</w:t>
      </w:r>
      <w:r>
        <w:rPr>
          <w:lang w:eastAsia="fr-FR"/>
        </w:rPr>
        <w:t xml:space="preserve"> le mieux et se préparer </w:t>
      </w:r>
      <w:r w:rsidRPr="00034FAD">
        <w:rPr>
          <w:lang w:eastAsia="fr-FR"/>
        </w:rPr>
        <w:t>en conséquence.</w:t>
      </w:r>
      <w:r w:rsidR="001C6B6A" w:rsidRPr="00034FAD">
        <w:rPr>
          <w:lang w:eastAsia="fr-FR"/>
        </w:rPr>
        <w:t xml:space="preserve"> Ici, </w:t>
      </w:r>
      <w:r w:rsidR="007E726E">
        <w:rPr>
          <w:lang w:eastAsia="fr-FR"/>
        </w:rPr>
        <w:t>le CPE Le Jardin de Robi</w:t>
      </w:r>
      <w:r w:rsidR="007E726E" w:rsidRPr="00034FAD">
        <w:rPr>
          <w:lang w:eastAsia="fr-FR"/>
        </w:rPr>
        <w:t xml:space="preserve"> </w:t>
      </w:r>
      <w:r w:rsidR="001C6B6A" w:rsidRPr="00034FAD">
        <w:rPr>
          <w:lang w:eastAsia="fr-FR"/>
        </w:rPr>
        <w:t>a formulé sa demande de décret le lendemain de l’entrée en vigueur de la Loi 14, alors que la grève générale illimité</w:t>
      </w:r>
      <w:r w:rsidR="006A2577" w:rsidRPr="00034FAD">
        <w:rPr>
          <w:lang w:eastAsia="fr-FR"/>
        </w:rPr>
        <w:t>e</w:t>
      </w:r>
      <w:r w:rsidR="001C6B6A" w:rsidRPr="00034FAD">
        <w:rPr>
          <w:lang w:eastAsia="fr-FR"/>
        </w:rPr>
        <w:t xml:space="preserve"> était en cours.</w:t>
      </w:r>
    </w:p>
    <w:p w14:paraId="0158621C" w14:textId="55620DD8" w:rsidR="005B491C" w:rsidRPr="00034FAD" w:rsidRDefault="005B491C" w:rsidP="005B491C">
      <w:pPr>
        <w:pStyle w:val="corpsdedcision"/>
        <w:tabs>
          <w:tab w:val="clear" w:pos="360"/>
          <w:tab w:val="num" w:pos="720"/>
        </w:tabs>
        <w:rPr>
          <w:lang w:eastAsia="fr-FR"/>
        </w:rPr>
      </w:pPr>
      <w:r w:rsidRPr="00034FAD">
        <w:rPr>
          <w:lang w:eastAsia="fr-FR"/>
        </w:rPr>
        <w:t>Par la suite, si un décret est adopté, aucun délai n’est fixé pour que l’employeur saisisse le Tribunal de sa demande, pourvu qu’elle soit faite à partir du moment où le droit à la grève est acquis</w:t>
      </w:r>
      <w:r w:rsidRPr="00034FAD">
        <w:rPr>
          <w:rStyle w:val="Appelnotedebasdep"/>
          <w:lang w:eastAsia="fr-FR"/>
        </w:rPr>
        <w:footnoteReference w:id="108"/>
      </w:r>
      <w:r w:rsidRPr="00034FAD">
        <w:rPr>
          <w:lang w:eastAsia="fr-FR"/>
        </w:rPr>
        <w:t>. Là encore, l’employeur bénéficie d’un avantage stratégique certain. Il peut décider de faire sa demande lorsque le droit de grève est exercé. Le</w:t>
      </w:r>
      <w:r w:rsidR="00D07774">
        <w:rPr>
          <w:lang w:eastAsia="fr-FR"/>
        </w:rPr>
        <w:t> </w:t>
      </w:r>
      <w:r w:rsidRPr="00034FAD">
        <w:rPr>
          <w:lang w:eastAsia="fr-FR"/>
        </w:rPr>
        <w:t xml:space="preserve">régime lui procure un moyen de changer le rapport de force au moment </w:t>
      </w:r>
      <w:r w:rsidR="00892C00" w:rsidRPr="00034FAD">
        <w:rPr>
          <w:lang w:eastAsia="fr-FR"/>
        </w:rPr>
        <w:t>voulu</w:t>
      </w:r>
      <w:r w:rsidRPr="00034FAD">
        <w:rPr>
          <w:lang w:eastAsia="fr-FR"/>
        </w:rPr>
        <w:t>.</w:t>
      </w:r>
    </w:p>
    <w:p w14:paraId="3A0DFA8B" w14:textId="3893A157" w:rsidR="001C6B6A" w:rsidRDefault="001C6B6A" w:rsidP="005B491C">
      <w:pPr>
        <w:pStyle w:val="corpsdedcision"/>
        <w:tabs>
          <w:tab w:val="clear" w:pos="360"/>
          <w:tab w:val="num" w:pos="720"/>
        </w:tabs>
        <w:rPr>
          <w:lang w:eastAsia="fr-FR"/>
        </w:rPr>
      </w:pPr>
      <w:r w:rsidRPr="00034FAD">
        <w:rPr>
          <w:lang w:eastAsia="fr-FR"/>
        </w:rPr>
        <w:t xml:space="preserve">Dans la présente affaire, </w:t>
      </w:r>
      <w:r w:rsidR="007E726E" w:rsidRPr="00034FAD">
        <w:rPr>
          <w:lang w:eastAsia="fr-FR"/>
        </w:rPr>
        <w:t>l</w:t>
      </w:r>
      <w:r w:rsidR="007E726E">
        <w:rPr>
          <w:lang w:eastAsia="fr-FR"/>
        </w:rPr>
        <w:t>e CPE Le Jardin de Robi</w:t>
      </w:r>
      <w:r w:rsidR="007E726E" w:rsidRPr="00034FAD">
        <w:rPr>
          <w:lang w:eastAsia="fr-FR"/>
        </w:rPr>
        <w:t xml:space="preserve"> </w:t>
      </w:r>
      <w:r w:rsidRPr="00034FAD">
        <w:rPr>
          <w:lang w:eastAsia="fr-FR"/>
        </w:rPr>
        <w:t>a saisi le Tribunal le jour même de la notification du décret. Il mentionne d’ailleurs aux parents dans un communiqué que s</w:t>
      </w:r>
      <w:r w:rsidR="00034FAD" w:rsidRPr="00034FAD">
        <w:rPr>
          <w:lang w:eastAsia="fr-FR"/>
        </w:rPr>
        <w:t>a procédure en assujettissement</w:t>
      </w:r>
      <w:r w:rsidRPr="00034FAD">
        <w:rPr>
          <w:lang w:eastAsia="fr-FR"/>
        </w:rPr>
        <w:t xml:space="preserve"> </w:t>
      </w:r>
      <w:r w:rsidR="006A2577" w:rsidRPr="00034FAD">
        <w:rPr>
          <w:lang w:eastAsia="fr-FR"/>
        </w:rPr>
        <w:t xml:space="preserve">était déjà prête, puisqu’il y travaillait depuis </w:t>
      </w:r>
      <w:r w:rsidR="00A30CAB">
        <w:rPr>
          <w:lang w:eastAsia="fr-FR"/>
        </w:rPr>
        <w:t xml:space="preserve">l’envoi de </w:t>
      </w:r>
      <w:r w:rsidR="006A2577" w:rsidRPr="00034FAD">
        <w:rPr>
          <w:lang w:eastAsia="fr-FR"/>
        </w:rPr>
        <w:t>sa demande de décret au ministre.</w:t>
      </w:r>
    </w:p>
    <w:p w14:paraId="1E7860FD" w14:textId="4CDD49B0" w:rsidR="005E2B48" w:rsidRPr="0042713B" w:rsidRDefault="005E2B48" w:rsidP="000773FA">
      <w:pPr>
        <w:pStyle w:val="corpsdedcision"/>
        <w:numPr>
          <w:ilvl w:val="0"/>
          <w:numId w:val="0"/>
        </w:numPr>
        <w:tabs>
          <w:tab w:val="clear" w:pos="720"/>
          <w:tab w:val="num" w:pos="709"/>
        </w:tabs>
        <w:spacing w:after="240"/>
        <w:rPr>
          <w:i/>
          <w:iCs/>
          <w:lang w:eastAsia="fr-FR"/>
        </w:rPr>
      </w:pPr>
      <w:r w:rsidRPr="0042713B">
        <w:rPr>
          <w:i/>
          <w:iCs/>
          <w:lang w:eastAsia="fr-FR"/>
        </w:rPr>
        <w:t xml:space="preserve">2- </w:t>
      </w:r>
      <w:r w:rsidR="006A2577">
        <w:rPr>
          <w:i/>
          <w:iCs/>
          <w:lang w:eastAsia="fr-FR"/>
        </w:rPr>
        <w:t>L</w:t>
      </w:r>
      <w:r w:rsidR="00961F7B" w:rsidRPr="0042713B">
        <w:rPr>
          <w:i/>
          <w:iCs/>
          <w:lang w:eastAsia="fr-FR"/>
        </w:rPr>
        <w:t xml:space="preserve">e régime procure un mécanisme à </w:t>
      </w:r>
      <w:r w:rsidR="008204E2" w:rsidRPr="0042713B">
        <w:rPr>
          <w:i/>
          <w:iCs/>
          <w:lang w:eastAsia="fr-FR"/>
        </w:rPr>
        <w:t xml:space="preserve">l’avantage de </w:t>
      </w:r>
      <w:r w:rsidR="00961F7B" w:rsidRPr="0042713B">
        <w:rPr>
          <w:i/>
          <w:iCs/>
          <w:lang w:eastAsia="fr-FR"/>
        </w:rPr>
        <w:t>l’employeur</w:t>
      </w:r>
      <w:r w:rsidR="00892C00" w:rsidRPr="0042713B">
        <w:rPr>
          <w:i/>
          <w:iCs/>
          <w:lang w:eastAsia="fr-FR"/>
        </w:rPr>
        <w:t>,</w:t>
      </w:r>
      <w:r w:rsidR="00961F7B" w:rsidRPr="0042713B">
        <w:rPr>
          <w:i/>
          <w:iCs/>
          <w:lang w:eastAsia="fr-FR"/>
        </w:rPr>
        <w:t xml:space="preserve"> ce </w:t>
      </w:r>
      <w:r w:rsidR="00BD5D3F" w:rsidRPr="0042713B">
        <w:rPr>
          <w:i/>
          <w:iCs/>
          <w:lang w:eastAsia="fr-FR"/>
        </w:rPr>
        <w:t xml:space="preserve">qui </w:t>
      </w:r>
      <w:r w:rsidR="00961F7B" w:rsidRPr="0042713B">
        <w:rPr>
          <w:i/>
          <w:iCs/>
          <w:lang w:eastAsia="fr-FR"/>
        </w:rPr>
        <w:t>favorise une position attentiste de sa part</w:t>
      </w:r>
    </w:p>
    <w:p w14:paraId="36B87815" w14:textId="4076EC69" w:rsidR="005B491C" w:rsidRPr="005E2B48" w:rsidRDefault="005B491C" w:rsidP="005B491C">
      <w:pPr>
        <w:pStyle w:val="corpsdedcision"/>
        <w:rPr>
          <w:lang w:eastAsia="fr-FR"/>
        </w:rPr>
      </w:pPr>
      <w:r w:rsidRPr="005E2B48">
        <w:rPr>
          <w:lang w:eastAsia="fr-FR"/>
        </w:rPr>
        <w:t>La simple possibilité que les parties soient assujetties au maintien de SBEP peut produire des effets en amont, puisque moins la grève est susceptible de produire d</w:t>
      </w:r>
      <w:r w:rsidR="00D929BD">
        <w:rPr>
          <w:lang w:eastAsia="fr-FR"/>
        </w:rPr>
        <w:t>’</w:t>
      </w:r>
      <w:r w:rsidRPr="005E2B48">
        <w:rPr>
          <w:lang w:eastAsia="fr-FR"/>
        </w:rPr>
        <w:t>effets, moins la menace d’y recourir portera ses fruits.</w:t>
      </w:r>
      <w:r w:rsidR="005E2B48" w:rsidRPr="005E2B48">
        <w:rPr>
          <w:lang w:eastAsia="fr-FR"/>
        </w:rPr>
        <w:t xml:space="preserve"> Nous reviendrons sur ce dernier élément au troisième point.</w:t>
      </w:r>
      <w:r w:rsidRPr="005E2B48">
        <w:rPr>
          <w:lang w:eastAsia="fr-FR"/>
        </w:rPr>
        <w:t xml:space="preserve"> </w:t>
      </w:r>
      <w:r w:rsidR="00172F2F" w:rsidRPr="005E2B48">
        <w:rPr>
          <w:lang w:eastAsia="fr-FR"/>
        </w:rPr>
        <w:t>Évidemment</w:t>
      </w:r>
      <w:r w:rsidR="001E60BF">
        <w:rPr>
          <w:lang w:eastAsia="fr-FR"/>
        </w:rPr>
        <w:t>,</w:t>
      </w:r>
      <w:r w:rsidR="00172F2F" w:rsidRPr="005E2B48">
        <w:rPr>
          <w:lang w:eastAsia="fr-FR"/>
        </w:rPr>
        <w:t xml:space="preserve"> si les parties sont assujetties au maintien de SBEP, le</w:t>
      </w:r>
      <w:r w:rsidR="0048429A">
        <w:rPr>
          <w:lang w:eastAsia="fr-FR"/>
        </w:rPr>
        <w:t> </w:t>
      </w:r>
      <w:r w:rsidR="00172F2F" w:rsidRPr="005E2B48">
        <w:rPr>
          <w:lang w:eastAsia="fr-FR"/>
        </w:rPr>
        <w:t>rapport de force se trouvera d’autant affecté.</w:t>
      </w:r>
    </w:p>
    <w:p w14:paraId="3AF5841D" w14:textId="3E454FE9" w:rsidR="001E59AF" w:rsidRDefault="001E59AF" w:rsidP="001E59AF">
      <w:pPr>
        <w:pStyle w:val="corpsdedcision"/>
        <w:rPr>
          <w:lang w:eastAsia="fr-FR"/>
        </w:rPr>
      </w:pPr>
      <w:r>
        <w:rPr>
          <w:lang w:eastAsia="fr-FR"/>
        </w:rPr>
        <w:t>Selon les experts Laroche et Jalette, le régime des SBEP reconfigure les incitations stratégiques qui structurent la négociation collective. La perspective d’une intervention étatique peut amener un employeur à maintenir une position rigide et à adopter une position attentiste. Les études démontrent que dans les régimes où le droit de grève est restreint, les conflits tendent à s’allonger parce que les parties vont demeurer sur leur position : « </w:t>
      </w:r>
      <w:r w:rsidR="00920E93" w:rsidRPr="00920E93">
        <w:rPr>
          <w:rStyle w:val="Citationintgre"/>
          <w:rFonts w:cs="Arial"/>
          <w:i w:val="0"/>
          <w:iCs/>
          <w:sz w:val="24"/>
          <w:szCs w:val="22"/>
          <w:lang w:eastAsia="fr-FR"/>
        </w:rPr>
        <w:t>[…]</w:t>
      </w:r>
      <w:r w:rsidR="00920E93">
        <w:rPr>
          <w:rStyle w:val="Citationintgre"/>
          <w:rFonts w:cs="Arial"/>
          <w:i w:val="0"/>
          <w:iCs/>
          <w:sz w:val="24"/>
          <w:szCs w:val="22"/>
          <w:lang w:eastAsia="fr-FR"/>
        </w:rPr>
        <w:t xml:space="preserve"> </w:t>
      </w:r>
      <w:r w:rsidRPr="004F7E8F">
        <w:rPr>
          <w:rStyle w:val="Citationintgre"/>
          <w:lang w:eastAsia="fr-FR"/>
        </w:rPr>
        <w:t>l’anticipation d’une intervention étatique modifie les stratégie</w:t>
      </w:r>
      <w:r>
        <w:rPr>
          <w:rStyle w:val="Citationintgre"/>
          <w:lang w:eastAsia="fr-FR"/>
        </w:rPr>
        <w:t>s</w:t>
      </w:r>
      <w:r w:rsidRPr="004F7E8F">
        <w:rPr>
          <w:rStyle w:val="Citationintgre"/>
          <w:lang w:eastAsia="fr-FR"/>
        </w:rPr>
        <w:t xml:space="preserve"> en amont, notamment celle de l’employeur qui est désincité à négocier en attendant que l’État dénoue l’impasse sans qu’il ait </w:t>
      </w:r>
      <w:r w:rsidR="00384C4F">
        <w:rPr>
          <w:rStyle w:val="Citationintgre"/>
          <w:lang w:eastAsia="fr-FR"/>
        </w:rPr>
        <w:t>à faire</w:t>
      </w:r>
      <w:r w:rsidRPr="004F7E8F">
        <w:rPr>
          <w:rStyle w:val="Citationintgre"/>
          <w:lang w:eastAsia="fr-FR"/>
        </w:rPr>
        <w:t xml:space="preserve"> de concessions hâtives</w:t>
      </w:r>
      <w:r>
        <w:rPr>
          <w:lang w:eastAsia="fr-FR"/>
        </w:rPr>
        <w:t>.</w:t>
      </w:r>
      <w:r>
        <w:rPr>
          <w:rStyle w:val="Appelnotedebasdep"/>
          <w:lang w:eastAsia="fr-FR"/>
        </w:rPr>
        <w:footnoteReference w:id="109"/>
      </w:r>
      <w:r>
        <w:rPr>
          <w:lang w:eastAsia="fr-FR"/>
        </w:rPr>
        <w:t> » Ce phénomène est aussi désigné comme le « </w:t>
      </w:r>
      <w:r w:rsidRPr="003E7500">
        <w:rPr>
          <w:rStyle w:val="Citationintgre"/>
          <w:sz w:val="24"/>
          <w:szCs w:val="24"/>
          <w:lang w:eastAsia="fr-FR"/>
        </w:rPr>
        <w:t>chilling effect</w:t>
      </w:r>
      <w:r>
        <w:rPr>
          <w:lang w:eastAsia="fr-FR"/>
        </w:rPr>
        <w:t> ».</w:t>
      </w:r>
    </w:p>
    <w:p w14:paraId="408C96B6" w14:textId="0F5E5C34" w:rsidR="002858E6" w:rsidRDefault="00CE082E" w:rsidP="001117B4">
      <w:pPr>
        <w:pStyle w:val="corpsdedcision"/>
        <w:tabs>
          <w:tab w:val="clear" w:pos="360"/>
          <w:tab w:val="num" w:pos="720"/>
        </w:tabs>
        <w:rPr>
          <w:lang w:eastAsia="fr-FR"/>
        </w:rPr>
      </w:pPr>
      <w:r>
        <w:rPr>
          <w:lang w:eastAsia="fr-FR"/>
        </w:rPr>
        <w:t>C</w:t>
      </w:r>
      <w:r w:rsidR="002858E6">
        <w:rPr>
          <w:lang w:eastAsia="fr-FR"/>
        </w:rPr>
        <w:t>omme l’a souligné la Cour suprême à maintes reprises, la relation employeur</w:t>
      </w:r>
      <w:r w:rsidR="00FD4460">
        <w:rPr>
          <w:lang w:eastAsia="fr-FR"/>
        </w:rPr>
        <w:noBreakHyphen/>
      </w:r>
      <w:r w:rsidR="002858E6">
        <w:rPr>
          <w:lang w:eastAsia="fr-FR"/>
        </w:rPr>
        <w:t xml:space="preserve">employés est marquée par un déséquilibre du rapport de force en faveur du premier. Le droit de grève constitue </w:t>
      </w:r>
      <w:r w:rsidR="00920E93">
        <w:rPr>
          <w:lang w:eastAsia="fr-FR"/>
        </w:rPr>
        <w:t xml:space="preserve">le </w:t>
      </w:r>
      <w:r w:rsidR="002858E6">
        <w:rPr>
          <w:lang w:eastAsia="fr-FR"/>
        </w:rPr>
        <w:t>« </w:t>
      </w:r>
      <w:r w:rsidR="002858E6" w:rsidRPr="000A6E18">
        <w:rPr>
          <w:rStyle w:val="Citationintgre"/>
          <w:lang w:eastAsia="fr-FR"/>
        </w:rPr>
        <w:t>seul moyen de pression efficace dont disposent en dernier ressort les salariés afin de résoudre – ou du moins tenter de résoudre</w:t>
      </w:r>
      <w:r w:rsidR="00920E93">
        <w:rPr>
          <w:rStyle w:val="Citationintgre"/>
          <w:lang w:eastAsia="fr-FR"/>
        </w:rPr>
        <w:t xml:space="preserve"> –</w:t>
      </w:r>
      <w:r w:rsidR="002858E6" w:rsidRPr="000A6E18">
        <w:rPr>
          <w:rStyle w:val="Citationintgre"/>
          <w:lang w:eastAsia="fr-FR"/>
        </w:rPr>
        <w:t xml:space="preserve"> l’impasse dans la négociation avec l’employeur et de continuer </w:t>
      </w:r>
      <w:r w:rsidR="002858E6" w:rsidRPr="00576A31">
        <w:rPr>
          <w:rStyle w:val="Citationintgre"/>
          <w:i w:val="0"/>
          <w:iCs/>
          <w:sz w:val="24"/>
          <w:szCs w:val="24"/>
          <w:lang w:eastAsia="fr-FR"/>
        </w:rPr>
        <w:t>«</w:t>
      </w:r>
      <w:r w:rsidR="002858E6" w:rsidRPr="000A6E18">
        <w:rPr>
          <w:rStyle w:val="Citationintgre"/>
          <w:lang w:eastAsia="fr-FR"/>
        </w:rPr>
        <w:t> d’exercer une influence véritable sur leurs conditions de travail dans le cadre d’un processus de négociation collective</w:t>
      </w:r>
      <w:r w:rsidR="00EE146C">
        <w:rPr>
          <w:rStyle w:val="Appelnotedebasdep"/>
          <w:lang w:eastAsia="fr-FR"/>
        </w:rPr>
        <w:footnoteReference w:id="110"/>
      </w:r>
      <w:r w:rsidR="00EE146C">
        <w:rPr>
          <w:lang w:eastAsia="fr-FR"/>
        </w:rPr>
        <w:t> </w:t>
      </w:r>
      <w:r w:rsidR="002858E6">
        <w:rPr>
          <w:lang w:eastAsia="fr-FR"/>
        </w:rPr>
        <w:t>».</w:t>
      </w:r>
    </w:p>
    <w:p w14:paraId="6C7E883A" w14:textId="43C9D33F" w:rsidR="002858E6" w:rsidRDefault="002858E6" w:rsidP="002858E6">
      <w:pPr>
        <w:pStyle w:val="corpsdedcision"/>
        <w:rPr>
          <w:lang w:eastAsia="fr-FR"/>
        </w:rPr>
      </w:pPr>
      <w:r>
        <w:rPr>
          <w:lang w:eastAsia="fr-FR"/>
        </w:rPr>
        <w:t>La grève s’inscrit directement dans la nécessité de permettre un rééquilibrage du rapport de force. Elle constitue « </w:t>
      </w:r>
      <w:r w:rsidRPr="006C4DBE">
        <w:rPr>
          <w:rStyle w:val="Citationintgre"/>
          <w:lang w:eastAsia="fr-FR"/>
        </w:rPr>
        <w:t xml:space="preserve">le </w:t>
      </w:r>
      <w:r w:rsidR="00906D82" w:rsidRPr="002F28F0">
        <w:rPr>
          <w:iCs/>
          <w:szCs w:val="24"/>
          <w:lang w:eastAsia="fr-FR"/>
        </w:rPr>
        <w:t>«</w:t>
      </w:r>
      <w:r w:rsidR="00906D82">
        <w:rPr>
          <w:i/>
          <w:sz w:val="22"/>
          <w:lang w:eastAsia="fr-FR"/>
        </w:rPr>
        <w:t> </w:t>
      </w:r>
      <w:r w:rsidRPr="006C4DBE">
        <w:rPr>
          <w:rStyle w:val="Citationintgre"/>
          <w:lang w:eastAsia="fr-FR"/>
        </w:rPr>
        <w:t>moteur</w:t>
      </w:r>
      <w:r w:rsidR="00906D82">
        <w:rPr>
          <w:rStyle w:val="Citationintgre"/>
          <w:lang w:eastAsia="fr-FR"/>
        </w:rPr>
        <w:t> </w:t>
      </w:r>
      <w:r w:rsidR="00906D82" w:rsidRPr="002F28F0">
        <w:rPr>
          <w:rStyle w:val="Citationintgre"/>
          <w:i w:val="0"/>
          <w:iCs/>
          <w:sz w:val="24"/>
          <w:szCs w:val="24"/>
          <w:lang w:eastAsia="fr-FR"/>
        </w:rPr>
        <w:t>»</w:t>
      </w:r>
      <w:r w:rsidRPr="006C4DBE">
        <w:rPr>
          <w:rStyle w:val="Citationintgre"/>
          <w:lang w:eastAsia="fr-FR"/>
        </w:rPr>
        <w:t xml:space="preserve"> de la négociation collective</w:t>
      </w:r>
      <w:r>
        <w:rPr>
          <w:lang w:eastAsia="fr-FR"/>
        </w:rPr>
        <w:t> </w:t>
      </w:r>
      <w:r>
        <w:rPr>
          <w:rStyle w:val="Appelnotedebasdep"/>
          <w:lang w:eastAsia="fr-FR"/>
        </w:rPr>
        <w:footnoteReference w:id="111"/>
      </w:r>
      <w:r>
        <w:rPr>
          <w:lang w:eastAsia="fr-FR"/>
        </w:rPr>
        <w:t>», « </w:t>
      </w:r>
      <w:r w:rsidRPr="00CE2464">
        <w:rPr>
          <w:rStyle w:val="Citationintgre"/>
          <w:lang w:eastAsia="fr-FR"/>
        </w:rPr>
        <w:t>le</w:t>
      </w:r>
      <w:r w:rsidR="005714AB">
        <w:rPr>
          <w:rStyle w:val="Citationintgre"/>
          <w:lang w:eastAsia="fr-FR"/>
        </w:rPr>
        <w:t> </w:t>
      </w:r>
      <w:r w:rsidR="00906D82" w:rsidRPr="002F28F0">
        <w:rPr>
          <w:iCs/>
          <w:szCs w:val="24"/>
          <w:lang w:eastAsia="fr-FR"/>
        </w:rPr>
        <w:t>«</w:t>
      </w:r>
      <w:r w:rsidR="00906D82">
        <w:rPr>
          <w:i/>
          <w:sz w:val="22"/>
          <w:lang w:eastAsia="fr-FR"/>
        </w:rPr>
        <w:t> </w:t>
      </w:r>
      <w:r w:rsidRPr="00CE2464">
        <w:rPr>
          <w:rStyle w:val="Citationintgre"/>
          <w:lang w:eastAsia="fr-FR"/>
        </w:rPr>
        <w:t>minimum irréductible</w:t>
      </w:r>
      <w:r w:rsidR="00906D82">
        <w:rPr>
          <w:rStyle w:val="Citationintgre"/>
          <w:lang w:eastAsia="fr-FR"/>
        </w:rPr>
        <w:t> </w:t>
      </w:r>
      <w:r w:rsidR="00906D82" w:rsidRPr="002F28F0">
        <w:rPr>
          <w:rStyle w:val="Citationintgre"/>
          <w:i w:val="0"/>
          <w:iCs/>
          <w:sz w:val="24"/>
          <w:szCs w:val="24"/>
          <w:lang w:eastAsia="fr-FR"/>
        </w:rPr>
        <w:t>»</w:t>
      </w:r>
      <w:r w:rsidRPr="00CE2464">
        <w:rPr>
          <w:rStyle w:val="Citationintgre"/>
          <w:lang w:eastAsia="fr-FR"/>
        </w:rPr>
        <w:t xml:space="preserve"> de la liberté d’association dans les relations d</w:t>
      </w:r>
      <w:r>
        <w:rPr>
          <w:rStyle w:val="Citationintgre"/>
          <w:lang w:eastAsia="fr-FR"/>
        </w:rPr>
        <w:t>e</w:t>
      </w:r>
      <w:r w:rsidRPr="00CE2464">
        <w:rPr>
          <w:rStyle w:val="Citationintgre"/>
          <w:lang w:eastAsia="fr-FR"/>
        </w:rPr>
        <w:t xml:space="preserve"> travail au Canada</w:t>
      </w:r>
      <w:r>
        <w:rPr>
          <w:rStyle w:val="Appelnotedebasdep"/>
          <w:lang w:eastAsia="fr-FR"/>
        </w:rPr>
        <w:footnoteReference w:id="112"/>
      </w:r>
      <w:r>
        <w:rPr>
          <w:lang w:eastAsia="fr-FR"/>
        </w:rPr>
        <w:t xml:space="preserve"> ». </w:t>
      </w:r>
      <w:r w:rsidR="0042713B" w:rsidRPr="0042713B">
        <w:rPr>
          <w:lang w:eastAsia="fr-FR"/>
        </w:rPr>
        <w:t>Ainsi, en limitant le droit de grève, le régime des SBEP affecte également la négociation collective.</w:t>
      </w:r>
    </w:p>
    <w:p w14:paraId="5089DE95" w14:textId="77777777" w:rsidR="002858E6" w:rsidRDefault="002858E6" w:rsidP="000773FA">
      <w:pPr>
        <w:pStyle w:val="corpsdedcision"/>
        <w:spacing w:after="240"/>
        <w:rPr>
          <w:lang w:eastAsia="fr-FR"/>
        </w:rPr>
      </w:pPr>
      <w:r>
        <w:rPr>
          <w:lang w:eastAsia="fr-FR"/>
        </w:rPr>
        <w:t>C’est également la conclusion que tirent les experts Laroche et Jalette sur les effets de la Loi 14</w:t>
      </w:r>
      <w:r>
        <w:rPr>
          <w:rStyle w:val="Appelnotedebasdep"/>
          <w:lang w:eastAsia="fr-FR"/>
        </w:rPr>
        <w:footnoteReference w:id="113"/>
      </w:r>
      <w:r>
        <w:rPr>
          <w:lang w:eastAsia="fr-FR"/>
        </w:rPr>
        <w:t> :</w:t>
      </w:r>
    </w:p>
    <w:p w14:paraId="584251F4" w14:textId="4F0D9674" w:rsidR="002858E6" w:rsidRDefault="002858E6" w:rsidP="002858E6">
      <w:pPr>
        <w:pStyle w:val="citation"/>
        <w:rPr>
          <w:lang w:eastAsia="fr-FR"/>
        </w:rPr>
      </w:pPr>
      <w:r w:rsidRPr="00B712FF">
        <w:rPr>
          <w:rFonts w:cs="Arial"/>
          <w:sz w:val="22"/>
          <w:szCs w:val="22"/>
          <w:lang w:eastAsia="fr-FR"/>
        </w:rPr>
        <w:t>[…]</w:t>
      </w:r>
      <w:r>
        <w:rPr>
          <w:rFonts w:cs="Arial"/>
          <w:lang w:eastAsia="fr-FR"/>
        </w:rPr>
        <w:t xml:space="preserve"> </w:t>
      </w:r>
      <w:r>
        <w:rPr>
          <w:lang w:eastAsia="fr-FR"/>
        </w:rPr>
        <w:t xml:space="preserve">En réduisant la capacité des travailleurs à exercer une pression crédible et réelle, elle </w:t>
      </w:r>
      <w:r w:rsidRPr="003B7401">
        <w:rPr>
          <w:u w:val="single"/>
          <w:lang w:eastAsia="fr-FR"/>
        </w:rPr>
        <w:t xml:space="preserve">affaiblit la dynamique de concessions réciproques qui sous-tend la négociation de bonne foi </w:t>
      </w:r>
      <w:r>
        <w:rPr>
          <w:lang w:eastAsia="fr-FR"/>
        </w:rPr>
        <w:t>et la conclusion d’ententes durables</w:t>
      </w:r>
      <w:r w:rsidRPr="00823FC2">
        <w:rPr>
          <w:sz w:val="22"/>
          <w:szCs w:val="22"/>
          <w:lang w:eastAsia="fr-FR"/>
        </w:rPr>
        <w:t>. […]</w:t>
      </w:r>
      <w:r>
        <w:rPr>
          <w:lang w:eastAsia="fr-FR"/>
        </w:rPr>
        <w:t xml:space="preserve"> En limitant l’exercice du droit de grève ou en le retirant en cours de route, l’État modifie la distribution de ces ressources au détriment des travailleurs.</w:t>
      </w:r>
    </w:p>
    <w:p w14:paraId="1BDD0A2C" w14:textId="5DF13F8B" w:rsidR="00A45804" w:rsidRDefault="002858E6" w:rsidP="000773FA">
      <w:pPr>
        <w:pStyle w:val="citation"/>
        <w:spacing w:before="240" w:after="360"/>
        <w:rPr>
          <w:sz w:val="24"/>
          <w:szCs w:val="24"/>
          <w:lang w:eastAsia="fr-FR"/>
        </w:rPr>
      </w:pPr>
      <w:r w:rsidRPr="003B7401">
        <w:rPr>
          <w:sz w:val="24"/>
          <w:szCs w:val="24"/>
          <w:lang w:eastAsia="fr-FR"/>
        </w:rPr>
        <w:t>[Notre soulignement]</w:t>
      </w:r>
    </w:p>
    <w:p w14:paraId="6527FADA" w14:textId="2D0EC995" w:rsidR="006A7B98" w:rsidRDefault="006A7B98" w:rsidP="006A7B98">
      <w:pPr>
        <w:pStyle w:val="corpsdedcision"/>
        <w:tabs>
          <w:tab w:val="clear" w:pos="360"/>
        </w:tabs>
        <w:rPr>
          <w:lang w:eastAsia="fr-FR"/>
        </w:rPr>
      </w:pPr>
      <w:r w:rsidRPr="006A7B98">
        <w:rPr>
          <w:lang w:eastAsia="fr-FR"/>
        </w:rPr>
        <w:t xml:space="preserve">Ici, le régime des SBEP a </w:t>
      </w:r>
      <w:r>
        <w:rPr>
          <w:lang w:eastAsia="fr-FR"/>
        </w:rPr>
        <w:t>contribué à l’adoption par l’employeur d’</w:t>
      </w:r>
      <w:r w:rsidRPr="006A7B98">
        <w:rPr>
          <w:lang w:eastAsia="fr-FR"/>
        </w:rPr>
        <w:t>une position attentiste</w:t>
      </w:r>
      <w:r>
        <w:rPr>
          <w:lang w:eastAsia="fr-FR"/>
        </w:rPr>
        <w:t>,</w:t>
      </w:r>
      <w:r w:rsidRPr="006A7B98">
        <w:rPr>
          <w:lang w:eastAsia="fr-FR"/>
        </w:rPr>
        <w:t xml:space="preserve"> ce qui </w:t>
      </w:r>
      <w:r>
        <w:rPr>
          <w:lang w:eastAsia="fr-FR"/>
        </w:rPr>
        <w:t xml:space="preserve">a </w:t>
      </w:r>
      <w:r w:rsidRPr="006A7B98">
        <w:rPr>
          <w:lang w:eastAsia="fr-FR"/>
        </w:rPr>
        <w:t>interf</w:t>
      </w:r>
      <w:r>
        <w:rPr>
          <w:lang w:eastAsia="fr-FR"/>
        </w:rPr>
        <w:t>éré</w:t>
      </w:r>
      <w:r w:rsidRPr="006A7B98">
        <w:rPr>
          <w:lang w:eastAsia="fr-FR"/>
        </w:rPr>
        <w:t xml:space="preserve"> dans la négociation collective. </w:t>
      </w:r>
      <w:r w:rsidR="00D70C23">
        <w:rPr>
          <w:lang w:eastAsia="fr-FR"/>
        </w:rPr>
        <w:t xml:space="preserve">Selon le PGQ, l’impasse dans les </w:t>
      </w:r>
      <w:r w:rsidR="00014E48">
        <w:rPr>
          <w:lang w:eastAsia="fr-FR"/>
        </w:rPr>
        <w:t>négociations</w:t>
      </w:r>
      <w:r w:rsidR="00D70C23">
        <w:rPr>
          <w:lang w:eastAsia="fr-FR"/>
        </w:rPr>
        <w:t xml:space="preserve"> résulte du syndicat et non du régime</w:t>
      </w:r>
      <w:r w:rsidR="00014E48">
        <w:rPr>
          <w:lang w:eastAsia="fr-FR"/>
        </w:rPr>
        <w:t xml:space="preserve">, mais ce n’est pas ce qui </w:t>
      </w:r>
      <w:r w:rsidRPr="006A7B98">
        <w:rPr>
          <w:lang w:eastAsia="fr-FR"/>
        </w:rPr>
        <w:t>ressort de la preuve</w:t>
      </w:r>
      <w:r w:rsidR="00014E48">
        <w:rPr>
          <w:lang w:eastAsia="fr-FR"/>
        </w:rPr>
        <w:t xml:space="preserve">. Celle-ci démontre </w:t>
      </w:r>
      <w:r w:rsidR="008F341F">
        <w:rPr>
          <w:lang w:eastAsia="fr-FR"/>
        </w:rPr>
        <w:t xml:space="preserve">plutôt </w:t>
      </w:r>
      <w:r w:rsidR="00014E48">
        <w:rPr>
          <w:lang w:eastAsia="fr-FR"/>
        </w:rPr>
        <w:t>que</w:t>
      </w:r>
      <w:r w:rsidR="00014E48" w:rsidRPr="006A7B98">
        <w:rPr>
          <w:lang w:eastAsia="fr-FR"/>
        </w:rPr>
        <w:t xml:space="preserve"> </w:t>
      </w:r>
      <w:r w:rsidR="00014E48">
        <w:rPr>
          <w:lang w:eastAsia="fr-FR"/>
        </w:rPr>
        <w:t>l’employeur</w:t>
      </w:r>
      <w:r w:rsidRPr="006A7B98">
        <w:rPr>
          <w:lang w:eastAsia="fr-FR"/>
        </w:rPr>
        <w:t xml:space="preserve"> attendait l’entrée en vigueur de la Loi 14. </w:t>
      </w:r>
      <w:r>
        <w:rPr>
          <w:lang w:eastAsia="fr-FR"/>
        </w:rPr>
        <w:t>Il est demeuré</w:t>
      </w:r>
      <w:r w:rsidRPr="006A7B98">
        <w:rPr>
          <w:lang w:eastAsia="fr-FR"/>
        </w:rPr>
        <w:t xml:space="preserve"> inflexible quant </w:t>
      </w:r>
      <w:r>
        <w:rPr>
          <w:lang w:eastAsia="fr-FR"/>
        </w:rPr>
        <w:t>à sa demande de</w:t>
      </w:r>
      <w:r w:rsidRPr="006A7B98">
        <w:rPr>
          <w:lang w:eastAsia="fr-FR"/>
        </w:rPr>
        <w:t xml:space="preserve"> retrait complet de la pause repas rémunérée</w:t>
      </w:r>
      <w:r>
        <w:rPr>
          <w:lang w:eastAsia="fr-FR"/>
        </w:rPr>
        <w:t xml:space="preserve"> </w:t>
      </w:r>
      <w:r w:rsidRPr="006A7B98">
        <w:rPr>
          <w:lang w:eastAsia="fr-FR"/>
        </w:rPr>
        <w:t>et s’est limité à discuter des modalités entourant ce retrait</w:t>
      </w:r>
      <w:r>
        <w:rPr>
          <w:lang w:eastAsia="fr-FR"/>
        </w:rPr>
        <w:t xml:space="preserve">. </w:t>
      </w:r>
      <w:r w:rsidRPr="006A7B98">
        <w:rPr>
          <w:lang w:eastAsia="fr-FR"/>
        </w:rPr>
        <w:t>Il a préféré recourir à la procédure d’assujettissement plutôt que de tenter de négocier afin d’en arriver à un compromis acceptable.</w:t>
      </w:r>
    </w:p>
    <w:p w14:paraId="28B31D43" w14:textId="5BD5196A" w:rsidR="006A7B98" w:rsidRDefault="007B250D" w:rsidP="002A48E0">
      <w:pPr>
        <w:pStyle w:val="corpsdedcision"/>
        <w:tabs>
          <w:tab w:val="clear" w:pos="360"/>
        </w:tabs>
        <w:rPr>
          <w:lang w:eastAsia="fr-FR"/>
        </w:rPr>
      </w:pPr>
      <w:r>
        <w:rPr>
          <w:lang w:eastAsia="fr-FR"/>
        </w:rPr>
        <w:t>Aussi, l</w:t>
      </w:r>
      <w:r w:rsidR="00F0530F">
        <w:rPr>
          <w:lang w:eastAsia="fr-FR"/>
        </w:rPr>
        <w:t>’assujettissement au maintien des SBEP</w:t>
      </w:r>
      <w:r>
        <w:rPr>
          <w:lang w:eastAsia="fr-FR"/>
        </w:rPr>
        <w:t xml:space="preserve"> a pour effet de fournir un outil </w:t>
      </w:r>
      <w:r w:rsidR="002A48E0">
        <w:rPr>
          <w:lang w:eastAsia="fr-FR"/>
        </w:rPr>
        <w:t>à</w:t>
      </w:r>
      <w:r>
        <w:rPr>
          <w:lang w:eastAsia="fr-FR"/>
        </w:rPr>
        <w:t xml:space="preserve"> </w:t>
      </w:r>
      <w:r w:rsidR="002A48E0">
        <w:rPr>
          <w:lang w:eastAsia="fr-FR"/>
        </w:rPr>
        <w:t>l’</w:t>
      </w:r>
      <w:r>
        <w:rPr>
          <w:lang w:eastAsia="fr-FR"/>
        </w:rPr>
        <w:t>employeur qui l</w:t>
      </w:r>
      <w:r w:rsidR="002A48E0">
        <w:rPr>
          <w:lang w:eastAsia="fr-FR"/>
        </w:rPr>
        <w:t>ui</w:t>
      </w:r>
      <w:r>
        <w:rPr>
          <w:lang w:eastAsia="fr-FR"/>
        </w:rPr>
        <w:t xml:space="preserve"> permet de réduire les impacts de la grève</w:t>
      </w:r>
      <w:r w:rsidR="00F0530F">
        <w:rPr>
          <w:lang w:eastAsia="fr-FR"/>
        </w:rPr>
        <w:t>,</w:t>
      </w:r>
      <w:r w:rsidR="00F0530F" w:rsidRPr="00F0530F">
        <w:rPr>
          <w:lang w:eastAsia="fr-FR"/>
        </w:rPr>
        <w:t xml:space="preserve"> </w:t>
      </w:r>
      <w:r w:rsidR="00F0530F">
        <w:rPr>
          <w:lang w:eastAsia="fr-FR"/>
        </w:rPr>
        <w:t xml:space="preserve">ce qui mine la </w:t>
      </w:r>
      <w:r w:rsidR="00F0530F" w:rsidRPr="00F0530F">
        <w:rPr>
          <w:lang w:eastAsia="fr-FR"/>
        </w:rPr>
        <w:t>capacité des salariés à exercer une pression crédible et réelle</w:t>
      </w:r>
      <w:r w:rsidR="00F0530F">
        <w:rPr>
          <w:lang w:eastAsia="fr-FR"/>
        </w:rPr>
        <w:t xml:space="preserve"> et</w:t>
      </w:r>
      <w:r w:rsidR="006A7B98">
        <w:rPr>
          <w:lang w:eastAsia="fr-FR"/>
        </w:rPr>
        <w:t xml:space="preserve"> met à mal le processus de négociation</w:t>
      </w:r>
      <w:r w:rsidR="00372828">
        <w:rPr>
          <w:lang w:eastAsia="fr-FR"/>
        </w:rPr>
        <w:t xml:space="preserve"> collective</w:t>
      </w:r>
      <w:r w:rsidR="006A7B98">
        <w:rPr>
          <w:lang w:eastAsia="fr-FR"/>
        </w:rPr>
        <w:t xml:space="preserve">. </w:t>
      </w:r>
      <w:r w:rsidR="002A48E0">
        <w:rPr>
          <w:lang w:eastAsia="fr-FR"/>
        </w:rPr>
        <w:t xml:space="preserve">Pour paraphraser la Cour suprême dans l’arrêt </w:t>
      </w:r>
      <w:r w:rsidR="002A48E0" w:rsidRPr="0085237D">
        <w:rPr>
          <w:i/>
          <w:iCs/>
          <w:lang w:eastAsia="fr-FR"/>
        </w:rPr>
        <w:t>APMO</w:t>
      </w:r>
      <w:r w:rsidR="002A48E0">
        <w:rPr>
          <w:lang w:eastAsia="fr-FR"/>
        </w:rPr>
        <w:t>, le régime porte atteinte au « </w:t>
      </w:r>
      <w:r w:rsidR="002A48E0">
        <w:rPr>
          <w:rStyle w:val="Citationintgre"/>
          <w:lang w:eastAsia="fr-FR"/>
        </w:rPr>
        <w:t>droit</w:t>
      </w:r>
      <w:r w:rsidR="002A48E0" w:rsidRPr="00BD4757">
        <w:rPr>
          <w:rStyle w:val="Citationintgre"/>
          <w:lang w:eastAsia="fr-FR"/>
        </w:rPr>
        <w:t xml:space="preserve"> de s’unir </w:t>
      </w:r>
      <w:r w:rsidR="002A48E0">
        <w:rPr>
          <w:rStyle w:val="Citationintgre"/>
          <w:lang w:eastAsia="fr-FR"/>
        </w:rPr>
        <w:t xml:space="preserve">à d’autres </w:t>
      </w:r>
      <w:r w:rsidR="002A48E0" w:rsidRPr="00BD4757">
        <w:rPr>
          <w:rStyle w:val="Citationintgre"/>
          <w:lang w:eastAsia="fr-FR"/>
        </w:rPr>
        <w:t>pour faire face, à armes plus égales, à la puissance et à la force</w:t>
      </w:r>
      <w:r w:rsidR="002A48E0">
        <w:rPr>
          <w:rStyle w:val="Appelnotedebasdep"/>
          <w:lang w:eastAsia="fr-FR"/>
        </w:rPr>
        <w:footnoteReference w:id="114"/>
      </w:r>
      <w:r w:rsidR="002A48E0">
        <w:rPr>
          <w:lang w:eastAsia="fr-FR"/>
        </w:rPr>
        <w:t> » de l’employeur et de l’État.</w:t>
      </w:r>
    </w:p>
    <w:p w14:paraId="445C2F1F" w14:textId="27669A5B" w:rsidR="00114685" w:rsidRPr="00167B75" w:rsidRDefault="00114685" w:rsidP="00167B75">
      <w:pPr>
        <w:pStyle w:val="corpsdedcision"/>
        <w:keepNext/>
        <w:keepLines/>
        <w:numPr>
          <w:ilvl w:val="0"/>
          <w:numId w:val="0"/>
        </w:numPr>
        <w:spacing w:after="240"/>
        <w:rPr>
          <w:i/>
          <w:iCs/>
          <w:lang w:eastAsia="fr-FR"/>
        </w:rPr>
      </w:pPr>
      <w:r w:rsidRPr="002A48E0">
        <w:rPr>
          <w:i/>
          <w:iCs/>
          <w:lang w:eastAsia="fr-FR"/>
        </w:rPr>
        <w:t xml:space="preserve">3- </w:t>
      </w:r>
      <w:r w:rsidR="006A2577" w:rsidRPr="00167B75">
        <w:rPr>
          <w:i/>
          <w:iCs/>
          <w:lang w:eastAsia="fr-FR"/>
        </w:rPr>
        <w:t>L</w:t>
      </w:r>
      <w:r w:rsidRPr="00167B75">
        <w:rPr>
          <w:i/>
          <w:iCs/>
          <w:lang w:eastAsia="fr-FR"/>
        </w:rPr>
        <w:t>’imprévisibilité qui entoure les critères d’application du régime des SBEP modifie le rapport de force</w:t>
      </w:r>
      <w:r w:rsidR="00957F37" w:rsidRPr="00167B75">
        <w:rPr>
          <w:i/>
          <w:iCs/>
          <w:lang w:eastAsia="fr-FR"/>
        </w:rPr>
        <w:t xml:space="preserve"> au détriment du syndicat</w:t>
      </w:r>
    </w:p>
    <w:p w14:paraId="1339C168" w14:textId="0CFC05B9" w:rsidR="00C424D7" w:rsidRDefault="002858E6" w:rsidP="00167B75">
      <w:pPr>
        <w:pStyle w:val="corpsdedcision"/>
        <w:keepNext/>
        <w:keepLines/>
        <w:rPr>
          <w:lang w:eastAsia="fr-FR"/>
        </w:rPr>
      </w:pPr>
      <w:r w:rsidRPr="00167B75">
        <w:rPr>
          <w:lang w:eastAsia="fr-FR"/>
        </w:rPr>
        <w:t xml:space="preserve">De surcroit, </w:t>
      </w:r>
      <w:r w:rsidR="007762D0" w:rsidRPr="00167B75">
        <w:rPr>
          <w:lang w:eastAsia="fr-FR"/>
        </w:rPr>
        <w:t>l’imprévisibilité qui</w:t>
      </w:r>
      <w:r w:rsidR="007762D0">
        <w:rPr>
          <w:lang w:eastAsia="fr-FR"/>
        </w:rPr>
        <w:t xml:space="preserve"> entoure les critères d’application du régime des SBEP </w:t>
      </w:r>
      <w:r w:rsidR="00C424D7">
        <w:rPr>
          <w:lang w:eastAsia="fr-FR"/>
        </w:rPr>
        <w:t>affecte</w:t>
      </w:r>
      <w:r w:rsidR="007762D0">
        <w:rPr>
          <w:lang w:eastAsia="fr-FR"/>
        </w:rPr>
        <w:t xml:space="preserve"> le rapport de force</w:t>
      </w:r>
      <w:r>
        <w:rPr>
          <w:lang w:eastAsia="fr-FR"/>
        </w:rPr>
        <w:t>.</w:t>
      </w:r>
    </w:p>
    <w:p w14:paraId="72E7B464" w14:textId="72F3B1E1" w:rsidR="009F72A7" w:rsidRDefault="009F72A7" w:rsidP="00167B75">
      <w:pPr>
        <w:pStyle w:val="corpsdedcision"/>
        <w:keepNext/>
        <w:keepLines/>
        <w:rPr>
          <w:lang w:eastAsia="fr-FR"/>
        </w:rPr>
      </w:pPr>
      <w:r>
        <w:rPr>
          <w:lang w:eastAsia="fr-FR"/>
        </w:rPr>
        <w:t>Avant l’introduction du régime des SBEP, les parties connaissaient à l’avance les règles applicables afin de pouvoir soupeser les enjeux, évaluer leur rapport de force en fonction de leurs objectifs et de leurs ressources et élaborer leur stratégie.</w:t>
      </w:r>
      <w:r w:rsidRPr="00B51E77">
        <w:rPr>
          <w:lang w:eastAsia="fr-FR"/>
        </w:rPr>
        <w:t xml:space="preserve"> </w:t>
      </w:r>
      <w:r>
        <w:rPr>
          <w:lang w:eastAsia="fr-FR"/>
        </w:rPr>
        <w:t>Les règles étaient connues d’avance et stables</w:t>
      </w:r>
      <w:r>
        <w:rPr>
          <w:rStyle w:val="Appelnotedebasdep"/>
          <w:lang w:eastAsia="fr-FR"/>
        </w:rPr>
        <w:footnoteReference w:id="115"/>
      </w:r>
      <w:r>
        <w:rPr>
          <w:lang w:eastAsia="fr-FR"/>
        </w:rPr>
        <w:t>.</w:t>
      </w:r>
    </w:p>
    <w:p w14:paraId="25197FB4" w14:textId="509723AC" w:rsidR="009F72A7" w:rsidRDefault="00AA722B" w:rsidP="00AA722B">
      <w:pPr>
        <w:pStyle w:val="corpsdedcision"/>
        <w:rPr>
          <w:lang w:eastAsia="fr-FR"/>
        </w:rPr>
      </w:pPr>
      <w:r>
        <w:rPr>
          <w:lang w:eastAsia="fr-FR"/>
        </w:rPr>
        <w:t xml:space="preserve">Comme mentionné précédemment, </w:t>
      </w:r>
      <w:r w:rsidR="009F72A7">
        <w:rPr>
          <w:lang w:eastAsia="fr-FR"/>
        </w:rPr>
        <w:t xml:space="preserve">la préparation de la négociation collective </w:t>
      </w:r>
      <w:r>
        <w:rPr>
          <w:lang w:eastAsia="fr-FR"/>
        </w:rPr>
        <w:t xml:space="preserve">et des stratégies de mobilisation </w:t>
      </w:r>
      <w:r w:rsidR="009F72A7">
        <w:rPr>
          <w:lang w:eastAsia="fr-FR"/>
        </w:rPr>
        <w:t xml:space="preserve">du côté syndical s’effectue environ un an avant l’expiration de la convention collective. </w:t>
      </w:r>
      <w:r>
        <w:rPr>
          <w:lang w:eastAsia="fr-FR"/>
        </w:rPr>
        <w:t>Une gradation des moyens de pression est établie, allant jusqu’à la grève générale illimitée.</w:t>
      </w:r>
    </w:p>
    <w:p w14:paraId="0DC96AEB" w14:textId="22A5A17B" w:rsidR="009F72A7" w:rsidRDefault="009F72A7" w:rsidP="009F72A7">
      <w:pPr>
        <w:pStyle w:val="corpsdedcision"/>
        <w:tabs>
          <w:tab w:val="clear" w:pos="360"/>
          <w:tab w:val="num" w:pos="720"/>
        </w:tabs>
        <w:rPr>
          <w:lang w:eastAsia="fr-FR"/>
        </w:rPr>
      </w:pPr>
      <w:r>
        <w:rPr>
          <w:lang w:eastAsia="fr-FR"/>
        </w:rPr>
        <w:t>Or, le régime des SBEP est susceptible de changer les règles pendant les négociations, voire quand la grève est en cours</w:t>
      </w:r>
      <w:r w:rsidR="007E726E">
        <w:rPr>
          <w:lang w:eastAsia="fr-FR"/>
        </w:rPr>
        <w:t>, comme ici</w:t>
      </w:r>
      <w:r>
        <w:rPr>
          <w:lang w:eastAsia="fr-FR"/>
        </w:rPr>
        <w:t>.</w:t>
      </w:r>
    </w:p>
    <w:p w14:paraId="7F1701EC" w14:textId="166639A8" w:rsidR="009F72A7" w:rsidRDefault="009F72A7" w:rsidP="009F72A7">
      <w:pPr>
        <w:pStyle w:val="corpsdedcision"/>
        <w:rPr>
          <w:lang w:eastAsia="fr-FR"/>
        </w:rPr>
      </w:pPr>
      <w:r>
        <w:rPr>
          <w:lang w:eastAsia="fr-FR"/>
        </w:rPr>
        <w:t xml:space="preserve">Dès son adoption, le projet de loi </w:t>
      </w:r>
      <w:r w:rsidRPr="00F23069">
        <w:rPr>
          <w:lang w:eastAsia="fr-FR"/>
        </w:rPr>
        <w:t>n°</w:t>
      </w:r>
      <w:r>
        <w:rPr>
          <w:lang w:eastAsia="fr-FR"/>
        </w:rPr>
        <w:t>89, ayant mené à la Loi 14, crée des remous au sein des rangs syndicaux. Dans le secteur des CPE, la FSSS-CSN est en négociation et la convention collective nationale n’est pas encore réglée.</w:t>
      </w:r>
    </w:p>
    <w:p w14:paraId="3C7A3E06" w14:textId="5C450699" w:rsidR="009F72A7" w:rsidRDefault="009F72A7" w:rsidP="009F72A7">
      <w:pPr>
        <w:pStyle w:val="corpsdedcision"/>
        <w:rPr>
          <w:lang w:eastAsia="fr-FR"/>
        </w:rPr>
      </w:pPr>
      <w:r>
        <w:rPr>
          <w:lang w:eastAsia="fr-FR"/>
        </w:rPr>
        <w:t>L’incertitude règne quant à la possibilité d’exercer la grève. Des discussions ont lieu au sein des instances de la FSSS-CSN.</w:t>
      </w:r>
      <w:r w:rsidRPr="00F77BA5">
        <w:rPr>
          <w:lang w:eastAsia="fr-FR"/>
        </w:rPr>
        <w:t xml:space="preserve"> </w:t>
      </w:r>
      <w:r>
        <w:rPr>
          <w:lang w:eastAsia="fr-FR"/>
        </w:rPr>
        <w:t>La stratégie d’avoir rapidement recours à la grève générale illimitée est alors remise en question.</w:t>
      </w:r>
    </w:p>
    <w:p w14:paraId="38AA52D5" w14:textId="59FC03AF" w:rsidR="009F72A7" w:rsidRDefault="009F72A7" w:rsidP="009F72A7">
      <w:pPr>
        <w:pStyle w:val="corpsdedcision"/>
        <w:rPr>
          <w:lang w:eastAsia="fr-FR"/>
        </w:rPr>
      </w:pPr>
      <w:r>
        <w:rPr>
          <w:lang w:eastAsia="fr-FR"/>
        </w:rPr>
        <w:t xml:space="preserve">Le 22 avril 2025, lors de l’étude détaillée du projet de loi n°89, les membres de </w:t>
      </w:r>
      <w:r w:rsidR="00C001F0">
        <w:rPr>
          <w:lang w:eastAsia="fr-FR"/>
        </w:rPr>
        <w:t xml:space="preserve">la </w:t>
      </w:r>
      <w:r>
        <w:rPr>
          <w:lang w:eastAsia="fr-FR"/>
        </w:rPr>
        <w:t>Commission de l’économie et du travail abordent les effets que pourrait entrainer le régime des SBEP sur la négociation en cours des CPE avec la FSSSS-CSN. Un amendement pour exclure les CPE du champ d’application est proposé, mais rejeté</w:t>
      </w:r>
      <w:r>
        <w:rPr>
          <w:rStyle w:val="Appelnotedebasdep"/>
          <w:lang w:eastAsia="fr-FR"/>
        </w:rPr>
        <w:footnoteReference w:id="116"/>
      </w:r>
      <w:r>
        <w:rPr>
          <w:lang w:eastAsia="fr-FR"/>
        </w:rPr>
        <w:t>. Cependant, le 23 avril 2025, le ministre du Travail annonce qu’afin de répondre aux préoccupations soulevées par l’opposition, il retardera l’entrée en vigueur de la Loi d’un an</w:t>
      </w:r>
      <w:r>
        <w:rPr>
          <w:rStyle w:val="Appelnotedebasdep"/>
          <w:lang w:eastAsia="fr-FR"/>
        </w:rPr>
        <w:footnoteReference w:id="117"/>
      </w:r>
      <w:r>
        <w:rPr>
          <w:lang w:eastAsia="fr-FR"/>
        </w:rPr>
        <w:t xml:space="preserve">. </w:t>
      </w:r>
      <w:r w:rsidRPr="002A2D3A">
        <w:rPr>
          <w:lang w:eastAsia="fr-FR"/>
        </w:rPr>
        <w:t>Entre</w:t>
      </w:r>
      <w:r>
        <w:rPr>
          <w:lang w:eastAsia="fr-FR"/>
        </w:rPr>
        <w:t>-</w:t>
      </w:r>
      <w:r w:rsidRPr="002A2D3A">
        <w:rPr>
          <w:lang w:eastAsia="fr-FR"/>
        </w:rPr>
        <w:t xml:space="preserve">temps, une entente de principe </w:t>
      </w:r>
      <w:r>
        <w:rPr>
          <w:lang w:eastAsia="fr-FR"/>
        </w:rPr>
        <w:t>intervient</w:t>
      </w:r>
      <w:r w:rsidRPr="002A2D3A">
        <w:rPr>
          <w:lang w:eastAsia="fr-FR"/>
        </w:rPr>
        <w:t xml:space="preserve"> au niveau national. Le ministre</w:t>
      </w:r>
      <w:r>
        <w:rPr>
          <w:lang w:eastAsia="fr-FR"/>
        </w:rPr>
        <w:t xml:space="preserve"> déposera plus tard un amendement pour que l’entrée en vigueur ait lieu six mois après l’adoption du projet de loi </w:t>
      </w:r>
      <w:r w:rsidRPr="00F23069">
        <w:rPr>
          <w:lang w:eastAsia="fr-FR"/>
        </w:rPr>
        <w:t>n°</w:t>
      </w:r>
      <w:r>
        <w:rPr>
          <w:lang w:eastAsia="fr-FR"/>
        </w:rPr>
        <w:t>89</w:t>
      </w:r>
      <w:r w:rsidR="004421A0">
        <w:rPr>
          <w:lang w:eastAsia="fr-FR"/>
        </w:rPr>
        <w:t>, soit le 30 novembre 2025</w:t>
      </w:r>
      <w:r>
        <w:rPr>
          <w:rStyle w:val="Appelnotedebasdep"/>
          <w:lang w:eastAsia="fr-FR"/>
        </w:rPr>
        <w:footnoteReference w:id="118"/>
      </w:r>
      <w:r>
        <w:rPr>
          <w:lang w:eastAsia="fr-FR"/>
        </w:rPr>
        <w:t>.</w:t>
      </w:r>
    </w:p>
    <w:p w14:paraId="41E2FE6F" w14:textId="3664281A" w:rsidR="009F72A7" w:rsidRDefault="009F72A7" w:rsidP="00350DEB">
      <w:pPr>
        <w:pStyle w:val="corpsdedcision"/>
        <w:rPr>
          <w:lang w:eastAsia="fr-FR"/>
        </w:rPr>
      </w:pPr>
      <w:r>
        <w:rPr>
          <w:lang w:eastAsia="fr-FR"/>
        </w:rPr>
        <w:t xml:space="preserve">Au niveau local, face à l’impasse des négociations collectives, le syndicat a eu recours à la grève générale illimitée comme arme ultime. Le changement des règles </w:t>
      </w:r>
      <w:r w:rsidR="007E3F51">
        <w:rPr>
          <w:lang w:eastAsia="fr-FR"/>
        </w:rPr>
        <w:t>initié par l’employeur</w:t>
      </w:r>
      <w:r>
        <w:rPr>
          <w:lang w:eastAsia="fr-FR"/>
        </w:rPr>
        <w:t xml:space="preserve"> </w:t>
      </w:r>
      <w:r w:rsidR="007E3F51">
        <w:rPr>
          <w:lang w:eastAsia="fr-FR"/>
        </w:rPr>
        <w:t>a eu lieu à ce moment crucial de l’instauration d</w:t>
      </w:r>
      <w:r w:rsidR="00F0530F">
        <w:rPr>
          <w:lang w:eastAsia="fr-FR"/>
        </w:rPr>
        <w:t>e son</w:t>
      </w:r>
      <w:r w:rsidR="007E3F51">
        <w:rPr>
          <w:lang w:eastAsia="fr-FR"/>
        </w:rPr>
        <w:t xml:space="preserve"> rapport de force</w:t>
      </w:r>
      <w:r>
        <w:rPr>
          <w:lang w:eastAsia="fr-FR"/>
        </w:rPr>
        <w:t xml:space="preserve">. L’intervention </w:t>
      </w:r>
      <w:r w:rsidRPr="00CA18F6">
        <w:rPr>
          <w:lang w:eastAsia="fr-FR"/>
        </w:rPr>
        <w:t>étatique est venue apporter un soutien considérable à l’employeur</w:t>
      </w:r>
      <w:r w:rsidR="00FA1189">
        <w:rPr>
          <w:lang w:eastAsia="fr-FR"/>
        </w:rPr>
        <w:t xml:space="preserve"> en réduisant les effets de la grève</w:t>
      </w:r>
      <w:r>
        <w:rPr>
          <w:lang w:eastAsia="fr-FR"/>
        </w:rPr>
        <w:t>.</w:t>
      </w:r>
      <w:r w:rsidR="007E3F51">
        <w:rPr>
          <w:lang w:eastAsia="fr-FR"/>
        </w:rPr>
        <w:t xml:space="preserve"> </w:t>
      </w:r>
      <w:r w:rsidR="007E3F51" w:rsidRPr="007E3F51">
        <w:rPr>
          <w:lang w:eastAsia="fr-FR"/>
        </w:rPr>
        <w:t>L’assujettissement des parties a bouleversé la stratégie de négociation collective, comme on le verra dans la prochaine section.</w:t>
      </w:r>
    </w:p>
    <w:p w14:paraId="7F7704C4" w14:textId="67D6A63F" w:rsidR="002858E6" w:rsidRDefault="00C424D7" w:rsidP="00350DEB">
      <w:pPr>
        <w:pStyle w:val="corpsdedcision"/>
        <w:rPr>
          <w:lang w:eastAsia="fr-FR"/>
        </w:rPr>
      </w:pPr>
      <w:r>
        <w:rPr>
          <w:lang w:eastAsia="fr-FR"/>
        </w:rPr>
        <w:t>Les experts Laroche et Jalette soulignent que l’incertitude qui entoure les critères d’application du régime des SBEP et le fait qu’ils permettent de changer les règles en pleine négociation modifie le rapport de force et la dynamique de négociation à l’avantage de l’employeur.</w:t>
      </w:r>
    </w:p>
    <w:p w14:paraId="2F382E9A" w14:textId="5F5416E8" w:rsidR="002858E6" w:rsidRDefault="002858E6" w:rsidP="00350DEB">
      <w:pPr>
        <w:pStyle w:val="corpsdedcision"/>
        <w:rPr>
          <w:lang w:eastAsia="fr-FR"/>
        </w:rPr>
      </w:pPr>
      <w:r>
        <w:rPr>
          <w:lang w:eastAsia="fr-FR"/>
        </w:rPr>
        <w:t xml:space="preserve">Le PGQ plaide que la liberté d’association </w:t>
      </w:r>
      <w:r w:rsidRPr="00822C49">
        <w:rPr>
          <w:lang w:eastAsia="fr-FR"/>
        </w:rPr>
        <w:t xml:space="preserve">ne garantit pas un régime </w:t>
      </w:r>
      <w:r w:rsidR="00822C49" w:rsidRPr="00822C49">
        <w:rPr>
          <w:lang w:eastAsia="fr-FR"/>
        </w:rPr>
        <w:t xml:space="preserve">particulier </w:t>
      </w:r>
      <w:r w:rsidRPr="00822C49">
        <w:rPr>
          <w:lang w:eastAsia="fr-FR"/>
        </w:rPr>
        <w:t xml:space="preserve">ni que les règles applicables </w:t>
      </w:r>
      <w:r w:rsidR="00822C49" w:rsidRPr="00822C49">
        <w:rPr>
          <w:lang w:eastAsia="fr-FR"/>
        </w:rPr>
        <w:t>restent</w:t>
      </w:r>
      <w:r w:rsidRPr="00822C49">
        <w:rPr>
          <w:lang w:eastAsia="fr-FR"/>
        </w:rPr>
        <w:t xml:space="preserve"> immuables</w:t>
      </w:r>
      <w:r>
        <w:rPr>
          <w:lang w:eastAsia="fr-FR"/>
        </w:rPr>
        <w:t>.</w:t>
      </w:r>
    </w:p>
    <w:p w14:paraId="19609C85" w14:textId="667BA1E7" w:rsidR="002858E6" w:rsidRPr="00802A20" w:rsidRDefault="002858E6" w:rsidP="00350DEB">
      <w:pPr>
        <w:pStyle w:val="corpsdedcision"/>
        <w:rPr>
          <w:szCs w:val="24"/>
          <w:lang w:eastAsia="fr-FR"/>
        </w:rPr>
      </w:pPr>
      <w:r>
        <w:rPr>
          <w:lang w:eastAsia="fr-FR"/>
        </w:rPr>
        <w:t xml:space="preserve">Or, ce </w:t>
      </w:r>
      <w:r w:rsidR="00006A75">
        <w:rPr>
          <w:lang w:eastAsia="fr-FR"/>
        </w:rPr>
        <w:t xml:space="preserve">qui est en cause ici </w:t>
      </w:r>
      <w:r>
        <w:rPr>
          <w:lang w:eastAsia="fr-FR"/>
        </w:rPr>
        <w:t xml:space="preserve">n’est pas la modification </w:t>
      </w:r>
      <w:r w:rsidR="00006A75">
        <w:rPr>
          <w:lang w:eastAsia="fr-FR"/>
        </w:rPr>
        <w:t xml:space="preserve">en soi </w:t>
      </w:r>
      <w:r>
        <w:rPr>
          <w:lang w:eastAsia="fr-FR"/>
        </w:rPr>
        <w:t>des règles, mais plutôt l</w:t>
      </w:r>
      <w:r w:rsidR="00006A75">
        <w:rPr>
          <w:lang w:eastAsia="fr-FR"/>
        </w:rPr>
        <w:t>eur</w:t>
      </w:r>
      <w:r>
        <w:rPr>
          <w:lang w:eastAsia="fr-FR"/>
        </w:rPr>
        <w:t xml:space="preserve"> mise en œuvre imprévisible. Il est très difficile pour les parties de savoir si elles pourraient être visées par un décret, </w:t>
      </w:r>
      <w:r w:rsidR="00DE740B">
        <w:rPr>
          <w:lang w:eastAsia="fr-FR"/>
        </w:rPr>
        <w:t xml:space="preserve">quand celui-ci serait adopté, </w:t>
      </w:r>
      <w:r>
        <w:rPr>
          <w:lang w:eastAsia="fr-FR"/>
        </w:rPr>
        <w:t>le cas échéant, et à quel moment le Tribunal serait ultimement saisi, comme l’illustre le présent dossier. Les</w:t>
      </w:r>
      <w:r w:rsidR="006F7DA2">
        <w:rPr>
          <w:lang w:eastAsia="fr-FR"/>
        </w:rPr>
        <w:t> </w:t>
      </w:r>
      <w:r>
        <w:rPr>
          <w:lang w:eastAsia="fr-FR"/>
        </w:rPr>
        <w:t>critères pouvant conduire à un assujettissement sont larges, non définis, voire flous. Ils peuvent varier selon une multitude de contextes.</w:t>
      </w:r>
    </w:p>
    <w:p w14:paraId="2A61543D" w14:textId="5B601515" w:rsidR="002858E6" w:rsidRDefault="002858E6" w:rsidP="00350DEB">
      <w:pPr>
        <w:pStyle w:val="corpsdedcision"/>
        <w:rPr>
          <w:lang w:eastAsia="fr-FR"/>
        </w:rPr>
      </w:pPr>
      <w:r>
        <w:rPr>
          <w:lang w:eastAsia="fr-FR"/>
        </w:rPr>
        <w:t xml:space="preserve">Dans la mesure où le régime favorise le rapport de force de l’employeur, la partie syndicale se trouve à ne </w:t>
      </w:r>
      <w:r w:rsidR="00717BD7">
        <w:rPr>
          <w:lang w:eastAsia="fr-FR"/>
        </w:rPr>
        <w:t xml:space="preserve">plus </w:t>
      </w:r>
      <w:r>
        <w:rPr>
          <w:lang w:eastAsia="fr-FR"/>
        </w:rPr>
        <w:t>pouvoir planifier adéquatement sa stratégie de négociations et de mobilisation</w:t>
      </w:r>
      <w:r w:rsidRPr="00367959">
        <w:rPr>
          <w:lang w:eastAsia="fr-FR"/>
        </w:rPr>
        <w:t xml:space="preserve">. </w:t>
      </w:r>
      <w:r>
        <w:rPr>
          <w:lang w:eastAsia="fr-FR"/>
        </w:rPr>
        <w:t>La seule possibilité qu’un décret puisse être adopté peut amener les syndicats à s’autoréguler et</w:t>
      </w:r>
      <w:r w:rsidR="008F341F">
        <w:rPr>
          <w:lang w:eastAsia="fr-FR"/>
        </w:rPr>
        <w:t xml:space="preserve"> </w:t>
      </w:r>
      <w:r w:rsidR="00794011">
        <w:rPr>
          <w:lang w:eastAsia="fr-FR"/>
        </w:rPr>
        <w:t>à</w:t>
      </w:r>
      <w:r>
        <w:rPr>
          <w:lang w:eastAsia="fr-FR"/>
        </w:rPr>
        <w:t xml:space="preserve"> s’abstenir de déclencher la grève générale illimitée, </w:t>
      </w:r>
      <w:r w:rsidR="00717BD7">
        <w:rPr>
          <w:lang w:eastAsia="fr-FR"/>
        </w:rPr>
        <w:t>afin d</w:t>
      </w:r>
      <w:r w:rsidR="00EB3DE2">
        <w:rPr>
          <w:lang w:eastAsia="fr-FR"/>
        </w:rPr>
        <w:t>’éviter</w:t>
      </w:r>
      <w:r w:rsidR="00006A75">
        <w:rPr>
          <w:lang w:eastAsia="fr-FR"/>
        </w:rPr>
        <w:t xml:space="preserve"> </w:t>
      </w:r>
      <w:r w:rsidR="00EB3DE2">
        <w:rPr>
          <w:lang w:eastAsia="fr-FR"/>
        </w:rPr>
        <w:t>d’</w:t>
      </w:r>
      <w:r>
        <w:rPr>
          <w:lang w:eastAsia="fr-FR"/>
        </w:rPr>
        <w:t>être assujettis aux SBEP.</w:t>
      </w:r>
    </w:p>
    <w:p w14:paraId="225CCD07" w14:textId="45011F33" w:rsidR="007762D0" w:rsidRDefault="007762D0" w:rsidP="00350DEB">
      <w:pPr>
        <w:pStyle w:val="corpsdedcision"/>
        <w:spacing w:after="240"/>
        <w:rPr>
          <w:lang w:eastAsia="fr-FR"/>
        </w:rPr>
      </w:pPr>
      <w:r>
        <w:rPr>
          <w:lang w:eastAsia="fr-FR"/>
        </w:rPr>
        <w:t>Selon la preuve d’expert</w:t>
      </w:r>
      <w:r w:rsidR="00D929BD" w:rsidRPr="00662E54">
        <w:rPr>
          <w:lang w:eastAsia="fr-FR"/>
        </w:rPr>
        <w:t>s</w:t>
      </w:r>
      <w:r>
        <w:rPr>
          <w:lang w:eastAsia="fr-FR"/>
        </w:rPr>
        <w:t>, de tels effets sont effectivement constatés lorsqu’une intervention étatique vient limiter le droit de grève</w:t>
      </w:r>
      <w:r>
        <w:rPr>
          <w:rStyle w:val="Appelnotedebasdep"/>
          <w:lang w:eastAsia="fr-FR"/>
        </w:rPr>
        <w:footnoteReference w:id="119"/>
      </w:r>
      <w:r>
        <w:rPr>
          <w:lang w:eastAsia="fr-FR"/>
        </w:rPr>
        <w:t> :</w:t>
      </w:r>
    </w:p>
    <w:p w14:paraId="6B99DCC9" w14:textId="25F5F3AB" w:rsidR="007762D0" w:rsidRDefault="007762D0" w:rsidP="00350DEB">
      <w:pPr>
        <w:pStyle w:val="citation"/>
        <w:spacing w:after="240"/>
        <w:rPr>
          <w:lang w:eastAsia="fr-FR"/>
        </w:rPr>
      </w:pPr>
      <w:r w:rsidRPr="00B712FF">
        <w:rPr>
          <w:rFonts w:cs="Arial"/>
          <w:sz w:val="22"/>
          <w:szCs w:val="22"/>
          <w:lang w:eastAsia="fr-FR"/>
        </w:rPr>
        <w:t>[…]</w:t>
      </w:r>
      <w:r>
        <w:rPr>
          <w:rFonts w:cs="Arial"/>
          <w:lang w:eastAsia="fr-FR"/>
        </w:rPr>
        <w:t xml:space="preserve"> </w:t>
      </w:r>
      <w:r>
        <w:rPr>
          <w:lang w:eastAsia="fr-FR"/>
        </w:rPr>
        <w:t xml:space="preserve">D’abord, si les travailleurs savent qu’une grève peut être neutralisée par une intervention gouvernementale dans le cadre du régime des SBEP, ils peuvent se sentir être moins en mesure d’exercer un droit légitime ou à investir les ressources nécessaires à son déploiement. </w:t>
      </w:r>
      <w:r w:rsidRPr="002B6598">
        <w:rPr>
          <w:u w:val="single"/>
          <w:lang w:eastAsia="fr-FR"/>
        </w:rPr>
        <w:t>La perspective, pour les travailleurs, d’engager une grève et d’en supporter les coûts, pour ensuite en voir les effets neutralisés par un mécanisme discrétionnaire du pouvoir exécutif, est susceptible d’éroder les ressources narratives du syndicat (</w:t>
      </w:r>
      <w:r w:rsidRPr="00167B75">
        <w:rPr>
          <w:u w:val="single"/>
          <w:lang w:eastAsia="fr-FR"/>
        </w:rPr>
        <w:t>Lévesque et Murray, 2010) et, par ricochet, de contraindre sa capacité organisationnelle à mobiliser et à exercer, dès l’amont, le droit de grève</w:t>
      </w:r>
      <w:r w:rsidRPr="00167B75">
        <w:rPr>
          <w:lang w:eastAsia="fr-FR"/>
        </w:rPr>
        <w:t xml:space="preserve"> (Wilson et Laroche, 2025; Weil, 2005).</w:t>
      </w:r>
      <w:r w:rsidR="00350DEB" w:rsidRPr="00167B75">
        <w:rPr>
          <w:lang w:eastAsia="fr-FR"/>
        </w:rPr>
        <w:t xml:space="preserve"> </w:t>
      </w:r>
      <w:r w:rsidRPr="00167B75">
        <w:rPr>
          <w:lang w:eastAsia="fr-FR"/>
        </w:rPr>
        <w:t xml:space="preserve">D’autres études (Peticler et Robert, 2018; Daignault, 2019) étudiant l’intervention étatique, par des lois spéciales, en arrivent à ces conclusions similaires quant à </w:t>
      </w:r>
      <w:r w:rsidRPr="00167B75">
        <w:rPr>
          <w:u w:val="single"/>
          <w:lang w:eastAsia="fr-FR"/>
        </w:rPr>
        <w:t>son effet désincitatif sur le recours à la grève et à son effet démobilisant sur les syndicats et les travailleurs. Par exemple, les syndicats pourraient être incitées à éviter les conflits prolongés ou à accepter des concessions prématurées</w:t>
      </w:r>
      <w:r w:rsidRPr="0095373C">
        <w:rPr>
          <w:u w:val="single"/>
          <w:lang w:eastAsia="fr-FR"/>
        </w:rPr>
        <w:t xml:space="preserve"> par crainte d’une intervention ultérieure</w:t>
      </w:r>
      <w:r>
        <w:rPr>
          <w:lang w:eastAsia="fr-FR"/>
        </w:rPr>
        <w:t>.</w:t>
      </w:r>
    </w:p>
    <w:p w14:paraId="165C5F8F" w14:textId="7AE20003" w:rsidR="007762D0" w:rsidRPr="007762D0" w:rsidRDefault="007762D0" w:rsidP="00350DEB">
      <w:pPr>
        <w:pStyle w:val="citation"/>
        <w:spacing w:after="360"/>
        <w:rPr>
          <w:sz w:val="24"/>
          <w:szCs w:val="24"/>
          <w:lang w:eastAsia="fr-FR"/>
        </w:rPr>
      </w:pPr>
      <w:r w:rsidRPr="00D2264A">
        <w:rPr>
          <w:sz w:val="24"/>
          <w:szCs w:val="24"/>
          <w:lang w:eastAsia="fr-FR"/>
        </w:rPr>
        <w:t>[Notre soulignement]</w:t>
      </w:r>
    </w:p>
    <w:p w14:paraId="508BF83A" w14:textId="18FEE057" w:rsidR="007762D0" w:rsidRPr="007762D0" w:rsidRDefault="007762D0" w:rsidP="007762D0">
      <w:pPr>
        <w:pStyle w:val="corpsdedcision"/>
        <w:rPr>
          <w:rFonts w:cs="Arial"/>
          <w:lang w:eastAsia="fr-FR"/>
        </w:rPr>
      </w:pPr>
      <w:r>
        <w:rPr>
          <w:lang w:eastAsia="fr-FR"/>
        </w:rPr>
        <w:t xml:space="preserve">Dans le </w:t>
      </w:r>
      <w:r w:rsidR="009F5A01">
        <w:rPr>
          <w:lang w:eastAsia="fr-FR"/>
        </w:rPr>
        <w:t>cas présent</w:t>
      </w:r>
      <w:r w:rsidR="00794011">
        <w:rPr>
          <w:lang w:eastAsia="fr-FR"/>
        </w:rPr>
        <w:t>,</w:t>
      </w:r>
      <w:r>
        <w:rPr>
          <w:lang w:eastAsia="fr-FR"/>
        </w:rPr>
        <w:t xml:space="preserve"> cet effet </w:t>
      </w:r>
      <w:r w:rsidR="008204E2">
        <w:rPr>
          <w:lang w:eastAsia="fr-FR"/>
        </w:rPr>
        <w:t>s</w:t>
      </w:r>
      <w:r>
        <w:rPr>
          <w:lang w:eastAsia="fr-FR"/>
        </w:rPr>
        <w:t>’est fait sentir au niveau national, alors que la</w:t>
      </w:r>
      <w:r w:rsidR="00E32074">
        <w:rPr>
          <w:lang w:eastAsia="fr-FR"/>
        </w:rPr>
        <w:t> </w:t>
      </w:r>
      <w:r>
        <w:rPr>
          <w:lang w:eastAsia="fr-FR"/>
        </w:rPr>
        <w:t>FSSS</w:t>
      </w:r>
      <w:r w:rsidR="009C7040">
        <w:rPr>
          <w:lang w:eastAsia="fr-FR"/>
        </w:rPr>
        <w:noBreakHyphen/>
      </w:r>
      <w:r>
        <w:rPr>
          <w:lang w:eastAsia="fr-FR"/>
        </w:rPr>
        <w:t>CSN</w:t>
      </w:r>
      <w:r w:rsidRPr="007762D0">
        <w:rPr>
          <w:lang w:eastAsia="fr-FR"/>
        </w:rPr>
        <w:t xml:space="preserve"> </w:t>
      </w:r>
      <w:r>
        <w:rPr>
          <w:lang w:eastAsia="fr-FR"/>
        </w:rPr>
        <w:t xml:space="preserve">a remis en question sa stratégie de recourir plus rapidement à la grève générale illimitée après le dépôt du projet de loi </w:t>
      </w:r>
      <w:r w:rsidR="00EB3DE2" w:rsidRPr="00EB3DE2">
        <w:rPr>
          <w:lang w:eastAsia="fr-FR"/>
        </w:rPr>
        <w:t>n°</w:t>
      </w:r>
      <w:r>
        <w:rPr>
          <w:lang w:eastAsia="fr-FR"/>
        </w:rPr>
        <w:t>89.</w:t>
      </w:r>
    </w:p>
    <w:p w14:paraId="649D1358" w14:textId="2373BD34" w:rsidR="00E57B96" w:rsidRDefault="000E2D41" w:rsidP="00834BF3">
      <w:pPr>
        <w:pStyle w:val="corpsdedcision"/>
        <w:spacing w:after="0"/>
        <w:rPr>
          <w:lang w:eastAsia="fr-FR"/>
        </w:rPr>
      </w:pPr>
      <w:r>
        <w:rPr>
          <w:lang w:eastAsia="fr-FR"/>
        </w:rPr>
        <w:t>Le</w:t>
      </w:r>
      <w:r w:rsidR="002858E6">
        <w:rPr>
          <w:lang w:eastAsia="fr-FR"/>
        </w:rPr>
        <w:t xml:space="preserve"> caractère imprévisible </w:t>
      </w:r>
      <w:r>
        <w:rPr>
          <w:lang w:eastAsia="fr-FR"/>
        </w:rPr>
        <w:t xml:space="preserve">des critères d’application </w:t>
      </w:r>
      <w:r w:rsidR="000E6440">
        <w:rPr>
          <w:lang w:eastAsia="fr-FR"/>
        </w:rPr>
        <w:t xml:space="preserve">du régime des SBEP </w:t>
      </w:r>
      <w:r>
        <w:rPr>
          <w:lang w:eastAsia="fr-FR"/>
        </w:rPr>
        <w:t xml:space="preserve">interfère </w:t>
      </w:r>
      <w:r w:rsidR="003B4EFC">
        <w:rPr>
          <w:lang w:eastAsia="fr-FR"/>
        </w:rPr>
        <w:t>donc dans</w:t>
      </w:r>
      <w:r>
        <w:rPr>
          <w:lang w:eastAsia="fr-FR"/>
        </w:rPr>
        <w:t xml:space="preserve"> le processus de négociation collective. </w:t>
      </w:r>
      <w:r w:rsidR="002858E6">
        <w:rPr>
          <w:lang w:eastAsia="fr-FR"/>
        </w:rPr>
        <w:t>Il « </w:t>
      </w:r>
      <w:r w:rsidR="002858E6" w:rsidRPr="0004183C">
        <w:rPr>
          <w:rStyle w:val="Citationintgre"/>
        </w:rPr>
        <w:t xml:space="preserve">produit </w:t>
      </w:r>
      <w:r w:rsidR="002858E6">
        <w:rPr>
          <w:rStyle w:val="Citationintgre"/>
        </w:rPr>
        <w:t xml:space="preserve">en outre </w:t>
      </w:r>
      <w:r w:rsidR="002858E6" w:rsidRPr="0004183C">
        <w:rPr>
          <w:rStyle w:val="Citationintgre"/>
        </w:rPr>
        <w:t>un effet dissuasif, une forme d’</w:t>
      </w:r>
      <w:r w:rsidR="00794011" w:rsidRPr="00794011">
        <w:rPr>
          <w:i/>
          <w:sz w:val="22"/>
        </w:rPr>
        <w:t>"</w:t>
      </w:r>
      <w:r w:rsidR="002858E6" w:rsidRPr="0004183C">
        <w:rPr>
          <w:rStyle w:val="Citationintgre"/>
        </w:rPr>
        <w:t> épée de Damoclès </w:t>
      </w:r>
      <w:r w:rsidR="00794011" w:rsidRPr="00794011">
        <w:rPr>
          <w:i/>
          <w:sz w:val="22"/>
        </w:rPr>
        <w:t>"</w:t>
      </w:r>
      <w:r w:rsidR="002858E6" w:rsidRPr="0004183C">
        <w:rPr>
          <w:rStyle w:val="Citationintgre"/>
        </w:rPr>
        <w:t xml:space="preserve"> susceptible d’influencer les décisions syndicales en amont, indépendamment même de son application effective</w:t>
      </w:r>
      <w:r w:rsidR="002858E6">
        <w:rPr>
          <w:rStyle w:val="Appelnotedebasdep"/>
          <w:lang w:eastAsia="fr-FR"/>
        </w:rPr>
        <w:footnoteReference w:id="120"/>
      </w:r>
      <w:r w:rsidR="002858E6">
        <w:rPr>
          <w:lang w:eastAsia="fr-FR"/>
        </w:rPr>
        <w:t> ».</w:t>
      </w:r>
    </w:p>
    <w:p w14:paraId="58C9FD6A" w14:textId="7C189690" w:rsidR="002858E6" w:rsidRDefault="00E57B96" w:rsidP="00834BF3">
      <w:pPr>
        <w:pStyle w:val="corpsdedcision"/>
        <w:spacing w:before="360" w:after="240"/>
        <w:rPr>
          <w:lang w:eastAsia="fr-FR"/>
        </w:rPr>
      </w:pPr>
      <w:r>
        <w:rPr>
          <w:lang w:eastAsia="fr-FR"/>
        </w:rPr>
        <w:t xml:space="preserve">En conclusion, </w:t>
      </w:r>
      <w:r w:rsidR="00391E1D">
        <w:rPr>
          <w:lang w:eastAsia="fr-FR"/>
        </w:rPr>
        <w:t xml:space="preserve">par l’effet qu’il a </w:t>
      </w:r>
      <w:r w:rsidR="00033263">
        <w:rPr>
          <w:lang w:eastAsia="fr-FR"/>
        </w:rPr>
        <w:t xml:space="preserve">ou peut avoir </w:t>
      </w:r>
      <w:r w:rsidR="00391E1D">
        <w:rPr>
          <w:lang w:eastAsia="fr-FR"/>
        </w:rPr>
        <w:t xml:space="preserve">sur le droit de grève, </w:t>
      </w:r>
      <w:r>
        <w:rPr>
          <w:lang w:eastAsia="fr-FR"/>
        </w:rPr>
        <w:t>le régime des</w:t>
      </w:r>
      <w:r w:rsidR="00E32074">
        <w:rPr>
          <w:lang w:eastAsia="fr-FR"/>
        </w:rPr>
        <w:t> </w:t>
      </w:r>
      <w:r>
        <w:rPr>
          <w:lang w:eastAsia="fr-FR"/>
        </w:rPr>
        <w:t>SBEP</w:t>
      </w:r>
      <w:r w:rsidR="00BF0843">
        <w:rPr>
          <w:lang w:eastAsia="fr-FR"/>
        </w:rPr>
        <w:t xml:space="preserve"> </w:t>
      </w:r>
      <w:r w:rsidRPr="009F5A01">
        <w:rPr>
          <w:lang w:eastAsia="fr-FR"/>
        </w:rPr>
        <w:t>interf</w:t>
      </w:r>
      <w:r w:rsidR="009F5A01">
        <w:rPr>
          <w:lang w:eastAsia="fr-FR"/>
        </w:rPr>
        <w:t>ère</w:t>
      </w:r>
      <w:r>
        <w:rPr>
          <w:lang w:eastAsia="fr-FR"/>
        </w:rPr>
        <w:t xml:space="preserve"> </w:t>
      </w:r>
      <w:r w:rsidR="00BF0843">
        <w:rPr>
          <w:lang w:eastAsia="fr-FR"/>
        </w:rPr>
        <w:t>dans la négociation collective en déséquilibrant le rapport de force</w:t>
      </w:r>
      <w:r w:rsidR="00033263">
        <w:rPr>
          <w:lang w:eastAsia="fr-FR"/>
        </w:rPr>
        <w:t xml:space="preserve"> au détriment du syndicat</w:t>
      </w:r>
      <w:r w:rsidR="00BF0843">
        <w:rPr>
          <w:lang w:eastAsia="fr-FR"/>
        </w:rPr>
        <w:t>.</w:t>
      </w:r>
    </w:p>
    <w:p w14:paraId="4B1B2BAB" w14:textId="6994DB88" w:rsidR="00391E1D" w:rsidRDefault="00391E1D" w:rsidP="004A5BD5">
      <w:pPr>
        <w:pStyle w:val="corpsdedcision"/>
        <w:rPr>
          <w:lang w:eastAsia="fr-FR"/>
        </w:rPr>
      </w:pPr>
      <w:r>
        <w:rPr>
          <w:lang w:eastAsia="fr-FR"/>
        </w:rPr>
        <w:t>Le Tribunal analysera maintenant les effets que le régime a produit sur le droit de grève dans l</w:t>
      </w:r>
      <w:r w:rsidR="00D26CCA">
        <w:rPr>
          <w:lang w:eastAsia="fr-FR"/>
        </w:rPr>
        <w:t>a présente affaire</w:t>
      </w:r>
      <w:r>
        <w:rPr>
          <w:lang w:eastAsia="fr-FR"/>
        </w:rPr>
        <w:t>.</w:t>
      </w:r>
    </w:p>
    <w:p w14:paraId="462A826D" w14:textId="5F6E701E" w:rsidR="007F31A1" w:rsidRDefault="00D35060" w:rsidP="007F31A1">
      <w:pPr>
        <w:pStyle w:val="Titre4"/>
      </w:pPr>
      <w:r>
        <w:t>La limitation au droit de grève</w:t>
      </w:r>
      <w:r w:rsidR="005641D4">
        <w:t xml:space="preserve"> </w:t>
      </w:r>
    </w:p>
    <w:p w14:paraId="35C87068" w14:textId="0FF0D4E6" w:rsidR="00B51BBE" w:rsidRDefault="006A3AD8" w:rsidP="00B51BBE">
      <w:pPr>
        <w:pStyle w:val="corpsdedcision"/>
        <w:tabs>
          <w:tab w:val="clear" w:pos="360"/>
          <w:tab w:val="num" w:pos="720"/>
        </w:tabs>
        <w:rPr>
          <w:lang w:eastAsia="fr-FR"/>
        </w:rPr>
      </w:pPr>
      <w:r>
        <w:rPr>
          <w:lang w:eastAsia="fr-FR"/>
        </w:rPr>
        <w:t xml:space="preserve">Rappelons que </w:t>
      </w:r>
      <w:r w:rsidR="000A4BD4">
        <w:rPr>
          <w:lang w:eastAsia="fr-FR"/>
        </w:rPr>
        <w:t xml:space="preserve">pour la grève en cours au moment des audiences, </w:t>
      </w:r>
      <w:r>
        <w:rPr>
          <w:lang w:eastAsia="fr-FR"/>
        </w:rPr>
        <w:t>les</w:t>
      </w:r>
      <w:r w:rsidR="000A4BD4">
        <w:rPr>
          <w:lang w:eastAsia="fr-FR"/>
        </w:rPr>
        <w:t xml:space="preserve"> </w:t>
      </w:r>
      <w:r w:rsidR="00A30CAB">
        <w:rPr>
          <w:lang w:eastAsia="fr-FR"/>
        </w:rPr>
        <w:t>services de garde éducatifs doivent être offerts</w:t>
      </w:r>
      <w:r w:rsidR="000A4BD4">
        <w:rPr>
          <w:lang w:eastAsia="fr-FR"/>
        </w:rPr>
        <w:t xml:space="preserve"> trois jours par semaine, du mercredi au vendredi, de</w:t>
      </w:r>
      <w:r w:rsidR="006539B7">
        <w:rPr>
          <w:lang w:eastAsia="fr-FR"/>
        </w:rPr>
        <w:t> </w:t>
      </w:r>
      <w:r w:rsidR="000A4BD4">
        <w:rPr>
          <w:lang w:eastAsia="fr-FR"/>
        </w:rPr>
        <w:t>8</w:t>
      </w:r>
      <w:r w:rsidR="009C7040">
        <w:rPr>
          <w:lang w:eastAsia="fr-FR"/>
        </w:rPr>
        <w:t> </w:t>
      </w:r>
      <w:r w:rsidR="000A4BD4">
        <w:rPr>
          <w:lang w:eastAsia="fr-FR"/>
        </w:rPr>
        <w:t>h</w:t>
      </w:r>
      <w:r w:rsidR="009C7040">
        <w:rPr>
          <w:lang w:eastAsia="fr-FR"/>
        </w:rPr>
        <w:t> </w:t>
      </w:r>
      <w:r w:rsidR="000A4BD4">
        <w:rPr>
          <w:lang w:eastAsia="fr-FR"/>
        </w:rPr>
        <w:t>30 à 15</w:t>
      </w:r>
      <w:r w:rsidR="009C7040">
        <w:rPr>
          <w:lang w:eastAsia="fr-FR"/>
        </w:rPr>
        <w:t> </w:t>
      </w:r>
      <w:r w:rsidR="000A4BD4">
        <w:rPr>
          <w:lang w:eastAsia="fr-FR"/>
        </w:rPr>
        <w:t>h</w:t>
      </w:r>
      <w:r w:rsidR="009C7040">
        <w:rPr>
          <w:lang w:eastAsia="fr-FR"/>
        </w:rPr>
        <w:t> </w:t>
      </w:r>
      <w:r w:rsidR="000A4BD4">
        <w:rPr>
          <w:lang w:eastAsia="fr-FR"/>
        </w:rPr>
        <w:t xml:space="preserve">45. </w:t>
      </w:r>
      <w:r w:rsidR="0065094C">
        <w:rPr>
          <w:lang w:eastAsia="fr-FR"/>
        </w:rPr>
        <w:t xml:space="preserve">Les mêmes services </w:t>
      </w:r>
      <w:r w:rsidR="00C775B2">
        <w:rPr>
          <w:lang w:eastAsia="fr-FR"/>
        </w:rPr>
        <w:t>devraient</w:t>
      </w:r>
      <w:r w:rsidR="0065094C">
        <w:rPr>
          <w:lang w:eastAsia="fr-FR"/>
        </w:rPr>
        <w:t xml:space="preserve"> être maintenus si une nouvelle grève avait lieu un mercredi, jeudi ou vendredi, et ce, pour toute la phase des négociations.</w:t>
      </w:r>
    </w:p>
    <w:p w14:paraId="67DAA1B4" w14:textId="3E654F31" w:rsidR="00B51BBE" w:rsidRDefault="00B51BBE" w:rsidP="00B51BBE">
      <w:pPr>
        <w:pStyle w:val="corpsdedcision"/>
        <w:tabs>
          <w:tab w:val="clear" w:pos="360"/>
          <w:tab w:val="num" w:pos="720"/>
        </w:tabs>
        <w:rPr>
          <w:lang w:eastAsia="fr-FR"/>
        </w:rPr>
      </w:pPr>
      <w:r>
        <w:rPr>
          <w:lang w:eastAsia="fr-FR"/>
        </w:rPr>
        <w:t>Selon la preuve, à partir du 1</w:t>
      </w:r>
      <w:r w:rsidRPr="00E94723">
        <w:rPr>
          <w:vertAlign w:val="superscript"/>
          <w:lang w:eastAsia="fr-FR"/>
        </w:rPr>
        <w:t>er</w:t>
      </w:r>
      <w:r>
        <w:rPr>
          <w:lang w:eastAsia="fr-FR"/>
        </w:rPr>
        <w:t xml:space="preserve"> avril 2026 et jusqu’à la fin de la grève survenue pendant le délibéré, la quasi-totalité des salariées doivent travailler </w:t>
      </w:r>
      <w:r w:rsidR="00A30CAB">
        <w:rPr>
          <w:lang w:eastAsia="fr-FR"/>
        </w:rPr>
        <w:t xml:space="preserve">trois jours par semaine </w:t>
      </w:r>
      <w:r>
        <w:rPr>
          <w:lang w:eastAsia="fr-FR"/>
        </w:rPr>
        <w:t>afin de fournir les SBEP</w:t>
      </w:r>
      <w:r w:rsidR="006B2135">
        <w:rPr>
          <w:lang w:eastAsia="fr-FR"/>
        </w:rPr>
        <w:t xml:space="preserve"> </w:t>
      </w:r>
      <w:r w:rsidR="00C775B2">
        <w:rPr>
          <w:lang w:eastAsia="fr-FR"/>
        </w:rPr>
        <w:t>pour</w:t>
      </w:r>
      <w:r w:rsidR="006B2135">
        <w:rPr>
          <w:lang w:eastAsia="fr-FR"/>
        </w:rPr>
        <w:t xml:space="preserve"> respecter les ratios requis de présence </w:t>
      </w:r>
      <w:r w:rsidR="007022F3">
        <w:rPr>
          <w:lang w:eastAsia="fr-FR"/>
        </w:rPr>
        <w:t>éducatrices/enfants</w:t>
      </w:r>
      <w:r>
        <w:rPr>
          <w:lang w:eastAsia="fr-FR"/>
        </w:rPr>
        <w:t>.</w:t>
      </w:r>
      <w:r w:rsidRPr="002942BB">
        <w:rPr>
          <w:lang w:eastAsia="fr-FR"/>
        </w:rPr>
        <w:t xml:space="preserve"> </w:t>
      </w:r>
      <w:r>
        <w:rPr>
          <w:lang w:eastAsia="fr-FR"/>
        </w:rPr>
        <w:t>L’assujettissement au maintien des SBEP et la décision suivante qui les détermine ont « </w:t>
      </w:r>
      <w:r w:rsidRPr="0085237D">
        <w:rPr>
          <w:rStyle w:val="Citationintgre"/>
          <w:szCs w:val="22"/>
          <w:lang w:eastAsia="fr-FR"/>
        </w:rPr>
        <w:t>cassé la grève</w:t>
      </w:r>
      <w:r>
        <w:rPr>
          <w:lang w:eastAsia="fr-FR"/>
        </w:rPr>
        <w:t> ».</w:t>
      </w:r>
    </w:p>
    <w:p w14:paraId="497A69A2" w14:textId="154B5C8E" w:rsidR="00B51BBE" w:rsidRDefault="00B51BBE" w:rsidP="00167B75">
      <w:pPr>
        <w:pStyle w:val="corpsdedcision"/>
        <w:keepNext/>
        <w:keepLines/>
        <w:tabs>
          <w:tab w:val="clear" w:pos="360"/>
          <w:tab w:val="num" w:pos="720"/>
        </w:tabs>
        <w:spacing w:after="240"/>
        <w:rPr>
          <w:lang w:eastAsia="fr-FR"/>
        </w:rPr>
      </w:pPr>
      <w:r>
        <w:rPr>
          <w:lang w:eastAsia="fr-FR"/>
        </w:rPr>
        <w:t xml:space="preserve">Aussi, considérant que l’horaire normal de travail des salariées est de quatre jours par semaine, le piquetage est </w:t>
      </w:r>
      <w:r w:rsidRPr="007E76D3">
        <w:rPr>
          <w:lang w:eastAsia="fr-FR"/>
        </w:rPr>
        <w:t>dorénavant</w:t>
      </w:r>
      <w:r>
        <w:rPr>
          <w:lang w:eastAsia="fr-FR"/>
        </w:rPr>
        <w:t xml:space="preserve"> réduit à une seule journée par semaine. Les</w:t>
      </w:r>
      <w:r w:rsidR="00E43839">
        <w:rPr>
          <w:lang w:eastAsia="fr-FR"/>
        </w:rPr>
        <w:t> </w:t>
      </w:r>
      <w:r>
        <w:rPr>
          <w:lang w:eastAsia="fr-FR"/>
        </w:rPr>
        <w:t>rencontres de mobilisation qui se tenaient chaque semaine portent maintenant sur l’application de l’entente et les irritants au travail.</w:t>
      </w:r>
    </w:p>
    <w:p w14:paraId="63156E98" w14:textId="56AF91C8" w:rsidR="007F31A1" w:rsidRDefault="00B51BBE" w:rsidP="0048429A">
      <w:pPr>
        <w:pStyle w:val="corpsdedcision"/>
        <w:tabs>
          <w:tab w:val="clear" w:pos="360"/>
          <w:tab w:val="num" w:pos="720"/>
        </w:tabs>
        <w:rPr>
          <w:lang w:eastAsia="fr-FR"/>
        </w:rPr>
      </w:pPr>
      <w:r>
        <w:rPr>
          <w:lang w:eastAsia="fr-FR"/>
        </w:rPr>
        <w:t xml:space="preserve">Des parents, qui ont saisi le Tribunal d’une demande de redressement, constatent que la grève a perdu tout impact et </w:t>
      </w:r>
      <w:r w:rsidR="00D929BD">
        <w:rPr>
          <w:lang w:eastAsia="fr-FR"/>
        </w:rPr>
        <w:t xml:space="preserve">toute </w:t>
      </w:r>
      <w:r>
        <w:rPr>
          <w:lang w:eastAsia="fr-FR"/>
        </w:rPr>
        <w:t>visibilité</w:t>
      </w:r>
      <w:r w:rsidR="00EA21AB">
        <w:rPr>
          <w:rStyle w:val="Appelnotedebasdep"/>
          <w:lang w:eastAsia="fr-FR"/>
        </w:rPr>
        <w:footnoteReference w:id="121"/>
      </w:r>
      <w:r>
        <w:rPr>
          <w:lang w:eastAsia="fr-FR"/>
        </w:rPr>
        <w:t>.</w:t>
      </w:r>
    </w:p>
    <w:p w14:paraId="38049BA7" w14:textId="7F7FA6A7" w:rsidR="007F31A1" w:rsidRPr="008F341F" w:rsidRDefault="007F31A1" w:rsidP="00B51BBE">
      <w:pPr>
        <w:pStyle w:val="corpsdedcision"/>
        <w:tabs>
          <w:tab w:val="clear" w:pos="360"/>
          <w:tab w:val="num" w:pos="720"/>
        </w:tabs>
        <w:rPr>
          <w:lang w:eastAsia="fr-FR"/>
        </w:rPr>
      </w:pPr>
      <w:r w:rsidRPr="008F341F">
        <w:rPr>
          <w:lang w:eastAsia="fr-FR"/>
        </w:rPr>
        <w:t>Émilie Jean, conseillère au SAMVR, résume ainsi la situation lors de son témoignage : « </w:t>
      </w:r>
      <w:r w:rsidRPr="008F341F">
        <w:rPr>
          <w:rStyle w:val="Citationintgre"/>
          <w:lang w:eastAsia="fr-FR"/>
        </w:rPr>
        <w:t>Depuis le 1</w:t>
      </w:r>
      <w:r w:rsidRPr="0085237D">
        <w:rPr>
          <w:rStyle w:val="Citationintgre"/>
          <w:vertAlign w:val="superscript"/>
          <w:lang w:eastAsia="fr-FR"/>
        </w:rPr>
        <w:t>er</w:t>
      </w:r>
      <w:r w:rsidRPr="008F341F">
        <w:rPr>
          <w:rStyle w:val="Citationintgre"/>
          <w:lang w:eastAsia="fr-FR"/>
        </w:rPr>
        <w:t xml:space="preserve"> avril, j’ai des travailleuses qui grèvent de temps en temps. Avant, j’avais des grévistes</w:t>
      </w:r>
      <w:r w:rsidRPr="008F341F">
        <w:rPr>
          <w:lang w:eastAsia="fr-FR"/>
        </w:rPr>
        <w:t> ». Le rapport de force est complètement déséquilibré. L’arme ultime qu’est la grève générale illimitée n’a plus d’impact avec le maintien des SBEP</w:t>
      </w:r>
      <w:r w:rsidR="00C775B2" w:rsidRPr="008F341F">
        <w:rPr>
          <w:lang w:eastAsia="fr-FR"/>
        </w:rPr>
        <w:t>, d</w:t>
      </w:r>
      <w:r w:rsidR="00A30CAB" w:rsidRPr="008F341F">
        <w:rPr>
          <w:lang w:eastAsia="fr-FR"/>
        </w:rPr>
        <w:t>it</w:t>
      </w:r>
      <w:r w:rsidR="00C775B2" w:rsidRPr="008F341F">
        <w:rPr>
          <w:lang w:eastAsia="fr-FR"/>
        </w:rPr>
        <w:t>-elle</w:t>
      </w:r>
      <w:r w:rsidRPr="008F341F">
        <w:rPr>
          <w:lang w:eastAsia="fr-FR"/>
        </w:rPr>
        <w:t>.</w:t>
      </w:r>
    </w:p>
    <w:p w14:paraId="2E1CE8E7" w14:textId="7FF28DB1" w:rsidR="00587EB0" w:rsidRDefault="007F31A1" w:rsidP="00834BF3">
      <w:pPr>
        <w:pStyle w:val="corpsdedcision"/>
        <w:rPr>
          <w:lang w:eastAsia="fr-FR"/>
        </w:rPr>
      </w:pPr>
      <w:r>
        <w:rPr>
          <w:lang w:eastAsia="fr-FR"/>
        </w:rPr>
        <w:t xml:space="preserve">Madame Jean </w:t>
      </w:r>
      <w:r w:rsidRPr="008F341F">
        <w:rPr>
          <w:lang w:eastAsia="fr-FR"/>
        </w:rPr>
        <w:t>déplore</w:t>
      </w:r>
      <w:r>
        <w:rPr>
          <w:lang w:eastAsia="fr-FR"/>
        </w:rPr>
        <w:t xml:space="preserve"> aussi que pour toute future grève, les services doivent être maintenus les mercredis, jeudis et vendredis. Alors qu</w:t>
      </w:r>
      <w:r w:rsidR="00A635A2">
        <w:rPr>
          <w:lang w:eastAsia="fr-FR"/>
        </w:rPr>
        <w:t>e la grève</w:t>
      </w:r>
      <w:r>
        <w:rPr>
          <w:lang w:eastAsia="fr-FR"/>
        </w:rPr>
        <w:t xml:space="preserve"> p</w:t>
      </w:r>
      <w:r w:rsidR="00A635A2">
        <w:rPr>
          <w:lang w:eastAsia="fr-FR"/>
        </w:rPr>
        <w:t>eut</w:t>
      </w:r>
      <w:r>
        <w:rPr>
          <w:lang w:eastAsia="fr-FR"/>
        </w:rPr>
        <w:t xml:space="preserve"> être déclenchée sans avis </w:t>
      </w:r>
      <w:r w:rsidR="00EA21AB">
        <w:rPr>
          <w:lang w:eastAsia="fr-FR"/>
        </w:rPr>
        <w:t>préalable, les salariées se voient privées de</w:t>
      </w:r>
      <w:r>
        <w:rPr>
          <w:lang w:eastAsia="fr-FR"/>
        </w:rPr>
        <w:t xml:space="preserve"> </w:t>
      </w:r>
      <w:r w:rsidR="00A635A2">
        <w:rPr>
          <w:lang w:eastAsia="fr-FR"/>
        </w:rPr>
        <w:t xml:space="preserve">son </w:t>
      </w:r>
      <w:r>
        <w:rPr>
          <w:lang w:eastAsia="fr-FR"/>
        </w:rPr>
        <w:t>effet de surprise, qui est un élément du rapport de force qu’elle instaure.</w:t>
      </w:r>
    </w:p>
    <w:p w14:paraId="6F9311EE" w14:textId="6AA17E24" w:rsidR="00D07C01" w:rsidRDefault="00D07C01" w:rsidP="00834BF3">
      <w:pPr>
        <w:pStyle w:val="corpsdedcision"/>
        <w:spacing w:after="0"/>
        <w:rPr>
          <w:lang w:eastAsia="fr-FR"/>
        </w:rPr>
      </w:pPr>
      <w:r>
        <w:rPr>
          <w:lang w:eastAsia="fr-FR"/>
        </w:rPr>
        <w:t>L</w:t>
      </w:r>
      <w:r w:rsidR="00CF4E28">
        <w:rPr>
          <w:lang w:eastAsia="fr-FR"/>
        </w:rPr>
        <w:t xml:space="preserve">e </w:t>
      </w:r>
      <w:r>
        <w:rPr>
          <w:lang w:eastAsia="fr-FR"/>
        </w:rPr>
        <w:t xml:space="preserve">PGQ </w:t>
      </w:r>
      <w:r w:rsidR="00CF4E28">
        <w:rPr>
          <w:lang w:eastAsia="fr-FR"/>
        </w:rPr>
        <w:t xml:space="preserve">souligne </w:t>
      </w:r>
      <w:r>
        <w:rPr>
          <w:lang w:eastAsia="fr-FR"/>
        </w:rPr>
        <w:t>que</w:t>
      </w:r>
      <w:r w:rsidR="00CF4E28">
        <w:rPr>
          <w:lang w:eastAsia="fr-FR"/>
        </w:rPr>
        <w:t xml:space="preserve"> le droit de grève n’est pas absolu</w:t>
      </w:r>
      <w:r>
        <w:rPr>
          <w:lang w:eastAsia="fr-FR"/>
        </w:rPr>
        <w:t xml:space="preserve"> et que l</w:t>
      </w:r>
      <w:r w:rsidR="00CF4E28">
        <w:rPr>
          <w:lang w:eastAsia="fr-FR"/>
        </w:rPr>
        <w:t>e régime des SBEP n’y met pas fin ou ne l’interdit pas</w:t>
      </w:r>
      <w:r>
        <w:rPr>
          <w:lang w:eastAsia="fr-FR"/>
        </w:rPr>
        <w:t xml:space="preserve">. Il avance que le syndicat </w:t>
      </w:r>
      <w:r w:rsidRPr="00FC5073">
        <w:rPr>
          <w:lang w:eastAsia="fr-FR"/>
        </w:rPr>
        <w:t xml:space="preserve">a pu </w:t>
      </w:r>
      <w:r>
        <w:rPr>
          <w:lang w:eastAsia="fr-FR"/>
        </w:rPr>
        <w:t>recourir à la grève</w:t>
      </w:r>
      <w:r w:rsidR="00D858BC">
        <w:rPr>
          <w:lang w:eastAsia="fr-FR"/>
        </w:rPr>
        <w:t xml:space="preserve"> durant près de cinq mois avant d’être assujetti au maintien de SBEP</w:t>
      </w:r>
      <w:r>
        <w:rPr>
          <w:lang w:eastAsia="fr-FR"/>
        </w:rPr>
        <w:t xml:space="preserve"> et </w:t>
      </w:r>
      <w:r w:rsidR="00C73ED8">
        <w:rPr>
          <w:lang w:eastAsia="fr-FR"/>
        </w:rPr>
        <w:t>qu’</w:t>
      </w:r>
      <w:r w:rsidR="001D7867">
        <w:rPr>
          <w:lang w:eastAsia="fr-FR"/>
        </w:rPr>
        <w:t xml:space="preserve">il a </w:t>
      </w:r>
      <w:r>
        <w:rPr>
          <w:lang w:eastAsia="fr-FR"/>
        </w:rPr>
        <w:t>continu</w:t>
      </w:r>
      <w:r w:rsidR="001D7867">
        <w:rPr>
          <w:lang w:eastAsia="fr-FR"/>
        </w:rPr>
        <w:t>é</w:t>
      </w:r>
      <w:r>
        <w:rPr>
          <w:lang w:eastAsia="fr-FR"/>
        </w:rPr>
        <w:t xml:space="preserve"> à le faire</w:t>
      </w:r>
      <w:r w:rsidR="001D7867">
        <w:rPr>
          <w:lang w:eastAsia="fr-FR"/>
        </w:rPr>
        <w:t xml:space="preserve"> après l’assujettissement des parties</w:t>
      </w:r>
      <w:r>
        <w:rPr>
          <w:lang w:eastAsia="fr-FR"/>
        </w:rPr>
        <w:t>.</w:t>
      </w:r>
    </w:p>
    <w:p w14:paraId="76223126" w14:textId="5C936F97" w:rsidR="00CF4E28" w:rsidRPr="006540A6" w:rsidRDefault="00D07C01" w:rsidP="0048429A">
      <w:pPr>
        <w:pStyle w:val="corpsdedcision"/>
        <w:spacing w:before="360"/>
        <w:rPr>
          <w:lang w:eastAsia="fr-FR"/>
        </w:rPr>
      </w:pPr>
      <w:r>
        <w:rPr>
          <w:lang w:eastAsia="fr-FR"/>
        </w:rPr>
        <w:t>C</w:t>
      </w:r>
      <w:r w:rsidR="000A5B0B">
        <w:rPr>
          <w:lang w:eastAsia="fr-FR"/>
        </w:rPr>
        <w:t xml:space="preserve">ela </w:t>
      </w:r>
      <w:r>
        <w:rPr>
          <w:lang w:eastAsia="fr-FR"/>
        </w:rPr>
        <w:t>est exact,</w:t>
      </w:r>
      <w:r w:rsidR="00CF4E28">
        <w:rPr>
          <w:lang w:eastAsia="fr-FR"/>
        </w:rPr>
        <w:t xml:space="preserve"> bien qu’il faille nuancer cette affirmation.</w:t>
      </w:r>
    </w:p>
    <w:p w14:paraId="18C47CD6" w14:textId="19DE2B09" w:rsidR="00CF4E28" w:rsidRDefault="00CF4E28" w:rsidP="00CF4E28">
      <w:pPr>
        <w:pStyle w:val="corpsdedcision"/>
        <w:rPr>
          <w:lang w:eastAsia="fr-FR"/>
        </w:rPr>
      </w:pPr>
      <w:r>
        <w:rPr>
          <w:lang w:eastAsia="fr-FR"/>
        </w:rPr>
        <w:t xml:space="preserve">En effet, l’article 111.22.11 du Code </w:t>
      </w:r>
      <w:r w:rsidR="00D140CD">
        <w:rPr>
          <w:lang w:eastAsia="fr-FR"/>
        </w:rPr>
        <w:t xml:space="preserve">octroie </w:t>
      </w:r>
      <w:r>
        <w:rPr>
          <w:lang w:eastAsia="fr-FR"/>
        </w:rPr>
        <w:t xml:space="preserve">au Tribunal, s’il juge que des circonstances exceptionnelles le justifient, </w:t>
      </w:r>
      <w:r w:rsidR="00D140CD">
        <w:rPr>
          <w:lang w:eastAsia="fr-FR"/>
        </w:rPr>
        <w:t xml:space="preserve">le pouvoir </w:t>
      </w:r>
      <w:r>
        <w:rPr>
          <w:lang w:eastAsia="fr-FR"/>
        </w:rPr>
        <w:t>de suspendre le droit de grève (et</w:t>
      </w:r>
      <w:r w:rsidR="001305BB">
        <w:rPr>
          <w:lang w:eastAsia="fr-FR"/>
        </w:rPr>
        <w:t> </w:t>
      </w:r>
      <w:r>
        <w:rPr>
          <w:lang w:eastAsia="fr-FR"/>
        </w:rPr>
        <w:t>de</w:t>
      </w:r>
      <w:r w:rsidR="001305BB">
        <w:rPr>
          <w:lang w:eastAsia="fr-FR"/>
        </w:rPr>
        <w:t> </w:t>
      </w:r>
      <w:r>
        <w:rPr>
          <w:lang w:eastAsia="fr-FR"/>
        </w:rPr>
        <w:t>lock-out) de façon interlocutoire après avoir assujetti les parties</w:t>
      </w:r>
      <w:r w:rsidR="00277D4F">
        <w:rPr>
          <w:lang w:eastAsia="fr-FR"/>
        </w:rPr>
        <w:t xml:space="preserve"> au maintien de SBEP</w:t>
      </w:r>
      <w:r>
        <w:rPr>
          <w:lang w:eastAsia="fr-FR"/>
        </w:rPr>
        <w:t>, jusqu’à ce qu’il rende une décision sur les services minimaux à maintenir.</w:t>
      </w:r>
      <w:r w:rsidRPr="00A7639B">
        <w:rPr>
          <w:lang w:eastAsia="fr-FR"/>
        </w:rPr>
        <w:t xml:space="preserve"> </w:t>
      </w:r>
      <w:r>
        <w:rPr>
          <w:lang w:eastAsia="fr-FR"/>
        </w:rPr>
        <w:t xml:space="preserve">Le régime </w:t>
      </w:r>
      <w:r w:rsidRPr="00ED5677">
        <w:rPr>
          <w:lang w:eastAsia="fr-FR"/>
        </w:rPr>
        <w:t>permet</w:t>
      </w:r>
      <w:r>
        <w:rPr>
          <w:lang w:eastAsia="fr-FR"/>
        </w:rPr>
        <w:t xml:space="preserve"> donc la suspension complète du droit de grève pendant cet intervalle. Dans </w:t>
      </w:r>
      <w:r w:rsidR="00A635A2">
        <w:rPr>
          <w:lang w:eastAsia="fr-FR"/>
        </w:rPr>
        <w:t>notre cas</w:t>
      </w:r>
      <w:r>
        <w:rPr>
          <w:lang w:eastAsia="fr-FR"/>
        </w:rPr>
        <w:t xml:space="preserve">, l’employeur a </w:t>
      </w:r>
      <w:r w:rsidR="00C73ED8">
        <w:rPr>
          <w:lang w:eastAsia="fr-FR"/>
        </w:rPr>
        <w:t xml:space="preserve">d’ailleurs </w:t>
      </w:r>
      <w:r>
        <w:rPr>
          <w:lang w:eastAsia="fr-FR"/>
        </w:rPr>
        <w:t>requis une telle ordonnance, mais s’en est désisté.</w:t>
      </w:r>
    </w:p>
    <w:p w14:paraId="2508D41F" w14:textId="27BB6698" w:rsidR="0042218F" w:rsidRPr="00CE59A4" w:rsidRDefault="004A7BFF" w:rsidP="00167B75">
      <w:pPr>
        <w:pStyle w:val="corpsdedcision"/>
        <w:spacing w:after="0"/>
        <w:rPr>
          <w:lang w:eastAsia="fr-FR"/>
        </w:rPr>
      </w:pPr>
      <w:r>
        <w:rPr>
          <w:lang w:eastAsia="fr-FR"/>
        </w:rPr>
        <w:t>Par ailleurs</w:t>
      </w:r>
      <w:r w:rsidR="00441E81">
        <w:rPr>
          <w:lang w:eastAsia="fr-FR"/>
        </w:rPr>
        <w:t xml:space="preserve">, </w:t>
      </w:r>
      <w:r w:rsidR="00EE3312">
        <w:rPr>
          <w:lang w:eastAsia="fr-FR"/>
        </w:rPr>
        <w:t>l</w:t>
      </w:r>
      <w:r w:rsidR="0042218F" w:rsidRPr="00CE59A4">
        <w:rPr>
          <w:lang w:eastAsia="fr-FR"/>
        </w:rPr>
        <w:t>e droit de grève n’a pas de limitation temporelle</w:t>
      </w:r>
      <w:r w:rsidR="00BC1146">
        <w:rPr>
          <w:lang w:eastAsia="fr-FR"/>
        </w:rPr>
        <w:t xml:space="preserve"> en période de négociation</w:t>
      </w:r>
      <w:r w:rsidR="0042218F">
        <w:rPr>
          <w:lang w:eastAsia="fr-FR"/>
        </w:rPr>
        <w:t>, ainsi que l'a rappelé la Cour supérieure, confirmée par la Cour d’appel</w:t>
      </w:r>
      <w:r w:rsidR="00794011">
        <w:rPr>
          <w:lang w:eastAsia="fr-FR"/>
        </w:rPr>
        <w:t>,</w:t>
      </w:r>
      <w:r w:rsidR="0042218F">
        <w:rPr>
          <w:lang w:eastAsia="fr-FR"/>
        </w:rPr>
        <w:t xml:space="preserve"> dans </w:t>
      </w:r>
      <w:r w:rsidR="007965D8">
        <w:rPr>
          <w:lang w:eastAsia="fr-FR"/>
        </w:rPr>
        <w:t>l’arrêt</w:t>
      </w:r>
      <w:r w:rsidR="0042218F">
        <w:rPr>
          <w:lang w:eastAsia="fr-FR"/>
        </w:rPr>
        <w:t xml:space="preserve"> </w:t>
      </w:r>
      <w:r w:rsidR="0042218F" w:rsidRPr="00170BF4">
        <w:rPr>
          <w:i/>
          <w:iCs/>
          <w:lang w:eastAsia="fr-FR"/>
        </w:rPr>
        <w:t>LANEQ</w:t>
      </w:r>
      <w:r w:rsidR="0042218F">
        <w:rPr>
          <w:rStyle w:val="Appelnotedebasdep"/>
          <w:lang w:eastAsia="fr-FR"/>
        </w:rPr>
        <w:footnoteReference w:id="122"/>
      </w:r>
      <w:r w:rsidR="0042218F" w:rsidRPr="00CE59A4">
        <w:rPr>
          <w:lang w:eastAsia="fr-FR"/>
        </w:rPr>
        <w:t xml:space="preserve">. </w:t>
      </w:r>
      <w:r w:rsidR="00D0431B">
        <w:rPr>
          <w:lang w:eastAsia="fr-FR"/>
        </w:rPr>
        <w:t xml:space="preserve">De plus, </w:t>
      </w:r>
      <w:r w:rsidR="00D0431B" w:rsidRPr="00D106D6">
        <w:rPr>
          <w:lang w:eastAsia="fr-FR"/>
        </w:rPr>
        <w:t xml:space="preserve">comme </w:t>
      </w:r>
      <w:r w:rsidR="00D106D6">
        <w:rPr>
          <w:lang w:eastAsia="fr-FR"/>
        </w:rPr>
        <w:t>il a été établi précédemment,</w:t>
      </w:r>
      <w:r w:rsidR="00D0431B">
        <w:rPr>
          <w:lang w:eastAsia="fr-FR"/>
        </w:rPr>
        <w:t xml:space="preserve"> </w:t>
      </w:r>
      <w:r w:rsidR="00DC1F2F">
        <w:rPr>
          <w:lang w:eastAsia="fr-FR"/>
        </w:rPr>
        <w:t>l’impact de la grève s</w:t>
      </w:r>
      <w:r w:rsidR="00D106D6">
        <w:rPr>
          <w:lang w:eastAsia="fr-FR"/>
        </w:rPr>
        <w:t xml:space="preserve">e </w:t>
      </w:r>
      <w:r w:rsidR="00DC1F2F">
        <w:rPr>
          <w:lang w:eastAsia="fr-FR"/>
        </w:rPr>
        <w:t>trouv</w:t>
      </w:r>
      <w:r w:rsidR="00D106D6">
        <w:rPr>
          <w:lang w:eastAsia="fr-FR"/>
        </w:rPr>
        <w:t>e</w:t>
      </w:r>
      <w:r w:rsidR="00DC1F2F">
        <w:rPr>
          <w:lang w:eastAsia="fr-FR"/>
        </w:rPr>
        <w:t xml:space="preserve"> altéré </w:t>
      </w:r>
      <w:r w:rsidR="00D22A52">
        <w:rPr>
          <w:lang w:eastAsia="fr-FR"/>
        </w:rPr>
        <w:t>par la seule existence du régime des SB</w:t>
      </w:r>
      <w:r w:rsidR="00625C80">
        <w:rPr>
          <w:lang w:eastAsia="fr-FR"/>
        </w:rPr>
        <w:t>E</w:t>
      </w:r>
      <w:r w:rsidR="00D22A52">
        <w:rPr>
          <w:lang w:eastAsia="fr-FR"/>
        </w:rPr>
        <w:t xml:space="preserve">P, bien </w:t>
      </w:r>
      <w:r w:rsidR="00DC1F2F">
        <w:rPr>
          <w:lang w:eastAsia="fr-FR"/>
        </w:rPr>
        <w:t>avant les décisions du Tribunal</w:t>
      </w:r>
      <w:r w:rsidR="006E2096">
        <w:rPr>
          <w:lang w:eastAsia="fr-FR"/>
        </w:rPr>
        <w:t>.</w:t>
      </w:r>
    </w:p>
    <w:p w14:paraId="5EBE82B9" w14:textId="62CA7F64" w:rsidR="0042218F" w:rsidRDefault="00441E81" w:rsidP="00167B75">
      <w:pPr>
        <w:pStyle w:val="corpsdedcision"/>
        <w:keepNext/>
        <w:keepLines/>
        <w:spacing w:before="360"/>
        <w:rPr>
          <w:lang w:eastAsia="fr-FR"/>
        </w:rPr>
      </w:pPr>
      <w:r>
        <w:rPr>
          <w:lang w:eastAsia="fr-FR"/>
        </w:rPr>
        <w:t>En</w:t>
      </w:r>
      <w:r w:rsidR="004A7BFF">
        <w:rPr>
          <w:lang w:eastAsia="fr-FR"/>
        </w:rPr>
        <w:t>fin</w:t>
      </w:r>
      <w:r w:rsidR="00F639FB">
        <w:rPr>
          <w:lang w:eastAsia="fr-FR"/>
        </w:rPr>
        <w:t xml:space="preserve">, </w:t>
      </w:r>
      <w:r w:rsidR="00F234E3">
        <w:rPr>
          <w:lang w:eastAsia="fr-FR"/>
        </w:rPr>
        <w:t xml:space="preserve">que le droit de grève puisse être exercé </w:t>
      </w:r>
      <w:r w:rsidR="0042218F" w:rsidRPr="0020528D">
        <w:rPr>
          <w:lang w:eastAsia="fr-FR"/>
        </w:rPr>
        <w:t xml:space="preserve">en dehors des périodes </w:t>
      </w:r>
      <w:r w:rsidR="00EC0E7F">
        <w:rPr>
          <w:lang w:eastAsia="fr-FR"/>
        </w:rPr>
        <w:t>de</w:t>
      </w:r>
      <w:r w:rsidR="0042218F" w:rsidRPr="0020528D">
        <w:rPr>
          <w:lang w:eastAsia="fr-FR"/>
        </w:rPr>
        <w:t xml:space="preserve"> maintien de SBEP et </w:t>
      </w:r>
      <w:r w:rsidR="00B34FF2">
        <w:rPr>
          <w:lang w:eastAsia="fr-FR"/>
        </w:rPr>
        <w:t xml:space="preserve">que </w:t>
      </w:r>
      <w:r w:rsidR="00F234E3">
        <w:rPr>
          <w:lang w:eastAsia="fr-FR"/>
        </w:rPr>
        <w:t xml:space="preserve">le syndicat </w:t>
      </w:r>
      <w:r w:rsidR="00700848">
        <w:rPr>
          <w:lang w:eastAsia="fr-FR"/>
        </w:rPr>
        <w:t>continue</w:t>
      </w:r>
      <w:r w:rsidR="0042218F" w:rsidRPr="0020528D">
        <w:rPr>
          <w:lang w:eastAsia="fr-FR"/>
        </w:rPr>
        <w:t xml:space="preserve"> à négocier ne suffit pas. Il </w:t>
      </w:r>
      <w:r w:rsidR="00EE3312">
        <w:rPr>
          <w:lang w:eastAsia="fr-FR"/>
        </w:rPr>
        <w:t xml:space="preserve">faut examiner </w:t>
      </w:r>
      <w:r w:rsidR="00DE09F1">
        <w:rPr>
          <w:lang w:eastAsia="fr-FR"/>
        </w:rPr>
        <w:t>si</w:t>
      </w:r>
      <w:r w:rsidR="00EE3312">
        <w:rPr>
          <w:lang w:eastAsia="fr-FR"/>
        </w:rPr>
        <w:t xml:space="preserve"> les « </w:t>
      </w:r>
      <w:r w:rsidR="00EE3312" w:rsidRPr="00EE3312">
        <w:rPr>
          <w:rStyle w:val="Citationintgre"/>
          <w:lang w:eastAsia="fr-FR"/>
        </w:rPr>
        <w:t xml:space="preserve">mesures </w:t>
      </w:r>
      <w:r w:rsidR="00EE3312" w:rsidRPr="00EE3312">
        <w:rPr>
          <w:rStyle w:val="Citationintgre"/>
        </w:rPr>
        <w:t>en question perturbent l’équilibre des rapports de force entre les employés et l’employeur que l’al. 2d</w:t>
      </w:r>
      <w:r w:rsidR="00EE3312" w:rsidRPr="0085237D">
        <w:rPr>
          <w:rStyle w:val="Citationintgre"/>
          <w:i w:val="0"/>
          <w:iCs/>
        </w:rPr>
        <w:t>)</w:t>
      </w:r>
      <w:r w:rsidR="00EE3312" w:rsidRPr="00EE3312">
        <w:rPr>
          <w:rStyle w:val="Citationintgre"/>
        </w:rPr>
        <w:t xml:space="preserve"> vise à établir, de telle sorte qu’elles interfèrent de façon substantielle avec un processus véritable de négociation collective</w:t>
      </w:r>
      <w:r w:rsidR="00EE3312">
        <w:t xml:space="preserve"> », soit le test établi dans l’arrêt </w:t>
      </w:r>
      <w:r w:rsidR="00EE3312" w:rsidRPr="0085237D">
        <w:rPr>
          <w:i/>
          <w:iCs/>
        </w:rPr>
        <w:t>APMO</w:t>
      </w:r>
      <w:r w:rsidR="00EE3312">
        <w:t xml:space="preserve"> et repris dans l’arrêt </w:t>
      </w:r>
      <w:r w:rsidR="00EE3312" w:rsidRPr="00EE3312">
        <w:rPr>
          <w:i/>
          <w:iCs/>
        </w:rPr>
        <w:t>Saskatchewan</w:t>
      </w:r>
      <w:r w:rsidR="00EE3312" w:rsidRPr="00A635A2">
        <w:rPr>
          <w:rStyle w:val="Appelnotedebasdep"/>
        </w:rPr>
        <w:footnoteReference w:id="123"/>
      </w:r>
      <w:r w:rsidR="00EE3312">
        <w:t>.</w:t>
      </w:r>
    </w:p>
    <w:p w14:paraId="4C234421" w14:textId="76AABFA2" w:rsidR="004A7BFF" w:rsidRDefault="00ED5677" w:rsidP="004A7BFF">
      <w:pPr>
        <w:pStyle w:val="corpsdedcision"/>
        <w:rPr>
          <w:lang w:eastAsia="fr-FR"/>
        </w:rPr>
      </w:pPr>
      <w:r>
        <w:rPr>
          <w:lang w:eastAsia="fr-FR"/>
        </w:rPr>
        <w:t>Ainsi</w:t>
      </w:r>
      <w:r w:rsidR="004A7BFF">
        <w:rPr>
          <w:lang w:eastAsia="fr-FR"/>
        </w:rPr>
        <w:t xml:space="preserve">, </w:t>
      </w:r>
      <w:r>
        <w:rPr>
          <w:lang w:eastAsia="fr-FR"/>
        </w:rPr>
        <w:t>l</w:t>
      </w:r>
      <w:r w:rsidR="004A7BFF">
        <w:rPr>
          <w:lang w:eastAsia="fr-FR"/>
        </w:rPr>
        <w:t xml:space="preserve">e test ne se définit pas selon qu’il y ait retrait complet ou non du droit de grève, mais bien au regard de l’entrave substantielle au processus </w:t>
      </w:r>
      <w:r w:rsidR="0063671A">
        <w:rPr>
          <w:lang w:eastAsia="fr-FR"/>
        </w:rPr>
        <w:t xml:space="preserve">véritable </w:t>
      </w:r>
      <w:r w:rsidR="004A7BFF">
        <w:rPr>
          <w:lang w:eastAsia="fr-FR"/>
        </w:rPr>
        <w:t>de négociation collective.</w:t>
      </w:r>
    </w:p>
    <w:p w14:paraId="60340F9A" w14:textId="05EC8EEF" w:rsidR="00235DF0" w:rsidRPr="00445DCE" w:rsidRDefault="00235DF0" w:rsidP="00235DF0">
      <w:pPr>
        <w:pStyle w:val="corpsdedcision"/>
        <w:rPr>
          <w:lang w:eastAsia="fr-FR"/>
        </w:rPr>
      </w:pPr>
      <w:r w:rsidRPr="00445DCE">
        <w:rPr>
          <w:lang w:eastAsia="fr-FR"/>
        </w:rPr>
        <w:t xml:space="preserve">Le PGQ </w:t>
      </w:r>
      <w:r>
        <w:rPr>
          <w:lang w:eastAsia="fr-FR"/>
        </w:rPr>
        <w:t>plaide</w:t>
      </w:r>
      <w:r w:rsidRPr="00445DCE">
        <w:rPr>
          <w:lang w:eastAsia="fr-FR"/>
        </w:rPr>
        <w:t xml:space="preserve"> que </w:t>
      </w:r>
      <w:r w:rsidRPr="00F768BC">
        <w:rPr>
          <w:lang w:eastAsia="fr-FR"/>
        </w:rPr>
        <w:t>les dispositions contestées</w:t>
      </w:r>
      <w:r w:rsidRPr="00445DCE">
        <w:rPr>
          <w:i/>
          <w:iCs/>
          <w:lang w:eastAsia="fr-FR"/>
        </w:rPr>
        <w:t xml:space="preserve"> </w:t>
      </w:r>
      <w:r w:rsidRPr="00823FC2">
        <w:rPr>
          <w:lang w:eastAsia="fr-FR"/>
        </w:rPr>
        <w:t>«</w:t>
      </w:r>
      <w:r>
        <w:rPr>
          <w:i/>
          <w:iCs/>
          <w:lang w:eastAsia="fr-FR"/>
        </w:rPr>
        <w:t> </w:t>
      </w:r>
      <w:r w:rsidRPr="00F768BC">
        <w:rPr>
          <w:i/>
          <w:iCs/>
          <w:sz w:val="22"/>
          <w:szCs w:val="18"/>
          <w:lang w:eastAsia="fr-FR"/>
        </w:rPr>
        <w:t xml:space="preserve">ne font que permettre </w:t>
      </w:r>
      <w:r w:rsidRPr="00900F61">
        <w:rPr>
          <w:i/>
          <w:iCs/>
          <w:sz w:val="22"/>
          <w:szCs w:val="18"/>
          <w:u w:val="single"/>
          <w:lang w:eastAsia="fr-FR"/>
        </w:rPr>
        <w:t>dans certains cas précis et circonscrits</w:t>
      </w:r>
      <w:r w:rsidRPr="00F768BC">
        <w:rPr>
          <w:i/>
          <w:iCs/>
          <w:sz w:val="22"/>
          <w:szCs w:val="18"/>
          <w:lang w:eastAsia="fr-FR"/>
        </w:rPr>
        <w:t>, à l’employeur ou à une association, de déposer une demande au TAT afin qu’il détermine si les conséquences sur les personnes privées de services en raison de la grève outrepassent de façon disproportionnée les inconvénients normaux auxquels l’on doit s’attendre de l’exercice du droit de grève</w:t>
      </w:r>
      <w:r w:rsidRPr="00F768BC">
        <w:rPr>
          <w:sz w:val="22"/>
          <w:szCs w:val="18"/>
          <w:lang w:eastAsia="fr-FR"/>
        </w:rPr>
        <w:t> </w:t>
      </w:r>
      <w:r w:rsidRPr="00445DCE">
        <w:rPr>
          <w:lang w:eastAsia="fr-FR"/>
        </w:rPr>
        <w:t>»</w:t>
      </w:r>
      <w:r w:rsidRPr="00DB62C9">
        <w:rPr>
          <w:rStyle w:val="Appelnotedebasdep"/>
          <w:lang w:eastAsia="fr-FR"/>
        </w:rPr>
        <w:footnoteReference w:id="124"/>
      </w:r>
      <w:r w:rsidRPr="00DB62C9">
        <w:rPr>
          <w:lang w:eastAsia="fr-FR"/>
        </w:rPr>
        <w:t>.</w:t>
      </w:r>
    </w:p>
    <w:p w14:paraId="1D0A750A" w14:textId="4F717F49" w:rsidR="002E5F78" w:rsidRPr="005B4257" w:rsidRDefault="00D07C01" w:rsidP="00A90471">
      <w:pPr>
        <w:pStyle w:val="corpsdedcision"/>
        <w:rPr>
          <w:lang w:eastAsia="fr-FR"/>
        </w:rPr>
      </w:pPr>
      <w:r>
        <w:rPr>
          <w:lang w:eastAsia="fr-FR"/>
        </w:rPr>
        <w:t>Force est de constater que l</w:t>
      </w:r>
      <w:r w:rsidR="00FC5073" w:rsidRPr="00445DCE">
        <w:rPr>
          <w:lang w:eastAsia="fr-FR"/>
        </w:rPr>
        <w:t>es considérations évoquées par le PGQ quant au rôle d</w:t>
      </w:r>
      <w:r w:rsidR="00FC5073">
        <w:rPr>
          <w:lang w:eastAsia="fr-FR"/>
        </w:rPr>
        <w:t>u</w:t>
      </w:r>
      <w:r w:rsidR="00FC5073" w:rsidRPr="00445DCE">
        <w:rPr>
          <w:lang w:eastAsia="fr-FR"/>
        </w:rPr>
        <w:t xml:space="preserve"> </w:t>
      </w:r>
      <w:r w:rsidR="00FC5073">
        <w:rPr>
          <w:lang w:eastAsia="fr-FR"/>
        </w:rPr>
        <w:t>T</w:t>
      </w:r>
      <w:r w:rsidR="00FC5073" w:rsidRPr="00445DCE">
        <w:rPr>
          <w:lang w:eastAsia="fr-FR"/>
        </w:rPr>
        <w:t xml:space="preserve">ribunal </w:t>
      </w:r>
      <w:r w:rsidR="00FC5073">
        <w:rPr>
          <w:lang w:eastAsia="fr-FR"/>
        </w:rPr>
        <w:t>et sur l</w:t>
      </w:r>
      <w:r w:rsidR="00FC5073" w:rsidRPr="00445DCE">
        <w:rPr>
          <w:lang w:eastAsia="fr-FR"/>
        </w:rPr>
        <w:t xml:space="preserve">es critères du régime des SBEP </w:t>
      </w:r>
      <w:r w:rsidR="00A90471">
        <w:rPr>
          <w:lang w:eastAsia="fr-FR"/>
        </w:rPr>
        <w:t xml:space="preserve">relèvent de l’analyse de la justification </w:t>
      </w:r>
      <w:r w:rsidR="00DB62C9">
        <w:rPr>
          <w:lang w:eastAsia="fr-FR"/>
        </w:rPr>
        <w:t xml:space="preserve">en </w:t>
      </w:r>
      <w:r w:rsidR="00A90471" w:rsidRPr="00445DCE">
        <w:rPr>
          <w:lang w:eastAsia="fr-FR"/>
        </w:rPr>
        <w:t xml:space="preserve">vertu de l’article </w:t>
      </w:r>
      <w:r w:rsidR="00A90471" w:rsidRPr="004A3D79">
        <w:rPr>
          <w:lang w:eastAsia="fr-FR"/>
        </w:rPr>
        <w:t>1</w:t>
      </w:r>
      <w:r w:rsidR="00A90471" w:rsidRPr="00445DCE">
        <w:rPr>
          <w:lang w:eastAsia="fr-FR"/>
        </w:rPr>
        <w:t xml:space="preserve"> de la Charte canadienne</w:t>
      </w:r>
      <w:r w:rsidR="00A90471">
        <w:rPr>
          <w:lang w:eastAsia="fr-FR"/>
        </w:rPr>
        <w:t xml:space="preserve"> et non de l’entrave substantielle</w:t>
      </w:r>
      <w:r w:rsidR="00A90471">
        <w:rPr>
          <w:rStyle w:val="Appelnotedebasdep"/>
          <w:lang w:eastAsia="fr-FR"/>
        </w:rPr>
        <w:footnoteReference w:id="125"/>
      </w:r>
      <w:r w:rsidR="00A90471" w:rsidRPr="00445DCE">
        <w:rPr>
          <w:lang w:eastAsia="fr-FR"/>
        </w:rPr>
        <w:t>.</w:t>
      </w:r>
      <w:r w:rsidR="00A90471">
        <w:rPr>
          <w:lang w:eastAsia="fr-FR"/>
        </w:rPr>
        <w:t xml:space="preserve"> Au</w:t>
      </w:r>
      <w:r w:rsidR="00DB62C9">
        <w:rPr>
          <w:lang w:eastAsia="fr-FR"/>
        </w:rPr>
        <w:t> </w:t>
      </w:r>
      <w:r w:rsidR="00A90471">
        <w:rPr>
          <w:lang w:eastAsia="fr-FR"/>
        </w:rPr>
        <w:t xml:space="preserve">stade de l’atteinte, le Tribunal doit examiner la limitation du droit de grève et les conséquences de cette restriction sur un processus véritable de négociation collective, comme l’a établi la Cour suprême dans l’arrêt </w:t>
      </w:r>
      <w:r w:rsidR="00A90471" w:rsidRPr="00A90471">
        <w:rPr>
          <w:i/>
          <w:iCs/>
          <w:lang w:eastAsia="fr-FR"/>
        </w:rPr>
        <w:t>Saskatchewan</w:t>
      </w:r>
      <w:r w:rsidR="00A90471" w:rsidRPr="00A635A2">
        <w:rPr>
          <w:rStyle w:val="Appelnotedebasdep"/>
          <w:lang w:eastAsia="fr-FR"/>
        </w:rPr>
        <w:footnoteReference w:id="126"/>
      </w:r>
      <w:r w:rsidR="00A90471">
        <w:rPr>
          <w:lang w:eastAsia="fr-FR"/>
        </w:rPr>
        <w:t>.</w:t>
      </w:r>
    </w:p>
    <w:p w14:paraId="7879B35C" w14:textId="08D5C75A" w:rsidR="003774DE" w:rsidRPr="00445DCE" w:rsidRDefault="000766FB" w:rsidP="00FC5073">
      <w:pPr>
        <w:pStyle w:val="corpsdedcision"/>
        <w:tabs>
          <w:tab w:val="clear" w:pos="360"/>
          <w:tab w:val="num" w:pos="720"/>
        </w:tabs>
        <w:rPr>
          <w:lang w:eastAsia="fr-FR"/>
        </w:rPr>
      </w:pPr>
      <w:r>
        <w:rPr>
          <w:lang w:eastAsia="fr-FR"/>
        </w:rPr>
        <w:t>D’ailleurs</w:t>
      </w:r>
      <w:r w:rsidR="002E5F78">
        <w:rPr>
          <w:lang w:eastAsia="fr-FR"/>
        </w:rPr>
        <w:t xml:space="preserve">, le PGQ </w:t>
      </w:r>
      <w:r w:rsidR="003774DE" w:rsidRPr="00445DCE">
        <w:rPr>
          <w:lang w:eastAsia="fr-FR"/>
        </w:rPr>
        <w:t xml:space="preserve">s’appuie sur le paragraphe 31 des motifs du juge en chef Dickson </w:t>
      </w:r>
      <w:r w:rsidR="009F73EE">
        <w:rPr>
          <w:lang w:eastAsia="fr-FR"/>
        </w:rPr>
        <w:t>d</w:t>
      </w:r>
      <w:r w:rsidR="00BF7775">
        <w:rPr>
          <w:lang w:eastAsia="fr-FR"/>
        </w:rPr>
        <w:t>ans</w:t>
      </w:r>
      <w:r w:rsidR="009F73EE">
        <w:rPr>
          <w:lang w:eastAsia="fr-FR"/>
        </w:rPr>
        <w:t xml:space="preserve"> l’arrêt </w:t>
      </w:r>
      <w:r w:rsidR="009F73EE" w:rsidRPr="009F73EE">
        <w:rPr>
          <w:lang w:eastAsia="fr-FR"/>
        </w:rPr>
        <w:t>des</w:t>
      </w:r>
      <w:r w:rsidR="003774DE" w:rsidRPr="007E76D3">
        <w:rPr>
          <w:i/>
          <w:iCs/>
          <w:lang w:eastAsia="fr-FR"/>
        </w:rPr>
        <w:t xml:space="preserve"> </w:t>
      </w:r>
      <w:r w:rsidR="009F73EE">
        <w:rPr>
          <w:i/>
          <w:iCs/>
          <w:lang w:eastAsia="fr-FR"/>
        </w:rPr>
        <w:t>P</w:t>
      </w:r>
      <w:r w:rsidR="003774DE" w:rsidRPr="007E76D3">
        <w:rPr>
          <w:i/>
          <w:iCs/>
          <w:lang w:eastAsia="fr-FR"/>
        </w:rPr>
        <w:t>roducteurs laitiers</w:t>
      </w:r>
      <w:r w:rsidR="003774DE" w:rsidRPr="00445DCE">
        <w:rPr>
          <w:rStyle w:val="Appelnotedebasdep"/>
          <w:lang w:eastAsia="fr-FR"/>
        </w:rPr>
        <w:footnoteReference w:id="127"/>
      </w:r>
      <w:r w:rsidR="003774DE" w:rsidRPr="00445DCE">
        <w:rPr>
          <w:lang w:eastAsia="fr-FR"/>
        </w:rPr>
        <w:t xml:space="preserve">, lequel porte sur la justification de la loi en cause </w:t>
      </w:r>
      <w:r w:rsidR="003774DE" w:rsidRPr="008F341F">
        <w:rPr>
          <w:lang w:eastAsia="fr-FR"/>
        </w:rPr>
        <w:t>au regard</w:t>
      </w:r>
      <w:r w:rsidR="003774DE" w:rsidRPr="00445DCE">
        <w:rPr>
          <w:lang w:eastAsia="fr-FR"/>
        </w:rPr>
        <w:t xml:space="preserve"> de </w:t>
      </w:r>
      <w:r w:rsidR="003774DE" w:rsidRPr="004A3D79">
        <w:rPr>
          <w:lang w:eastAsia="fr-FR"/>
        </w:rPr>
        <w:t xml:space="preserve">l’article </w:t>
      </w:r>
      <w:r w:rsidR="00250102">
        <w:rPr>
          <w:lang w:eastAsia="fr-FR"/>
        </w:rPr>
        <w:t>1 de la Charte canadienne</w:t>
      </w:r>
      <w:r w:rsidR="003774DE" w:rsidRPr="00445DCE">
        <w:rPr>
          <w:lang w:eastAsia="fr-FR"/>
        </w:rPr>
        <w:t xml:space="preserve"> et non sur l’atteinte à la liberté d’association.</w:t>
      </w:r>
    </w:p>
    <w:p w14:paraId="7493BEA1" w14:textId="142B10EF" w:rsidR="00EA21AB" w:rsidRDefault="003774DE" w:rsidP="005F64CF">
      <w:pPr>
        <w:pStyle w:val="corpsdedcision"/>
        <w:rPr>
          <w:lang w:eastAsia="fr-FR"/>
        </w:rPr>
      </w:pPr>
      <w:r w:rsidRPr="00445DCE">
        <w:rPr>
          <w:lang w:eastAsia="fr-FR"/>
        </w:rPr>
        <w:t xml:space="preserve">Il réfère aussi aux paragraphes 87 à 93 de la Cour suprême dans l’arrêt </w:t>
      </w:r>
      <w:r w:rsidRPr="00445DCE">
        <w:rPr>
          <w:i/>
          <w:iCs/>
          <w:lang w:eastAsia="fr-FR"/>
        </w:rPr>
        <w:t>Saskatchewan</w:t>
      </w:r>
      <w:r w:rsidRPr="00445DCE">
        <w:rPr>
          <w:rStyle w:val="Appelnotedebasdep"/>
          <w:lang w:eastAsia="fr-FR"/>
        </w:rPr>
        <w:footnoteReference w:id="128"/>
      </w:r>
      <w:r w:rsidRPr="00445DCE">
        <w:rPr>
          <w:lang w:eastAsia="fr-FR"/>
        </w:rPr>
        <w:t>,</w:t>
      </w:r>
      <w:r w:rsidRPr="00445DCE">
        <w:rPr>
          <w:i/>
          <w:iCs/>
          <w:lang w:eastAsia="fr-FR"/>
        </w:rPr>
        <w:t xml:space="preserve"> </w:t>
      </w:r>
      <w:r w:rsidRPr="00445DCE">
        <w:rPr>
          <w:lang w:eastAsia="fr-FR"/>
        </w:rPr>
        <w:t>qui traitent du</w:t>
      </w:r>
      <w:r w:rsidRPr="00445DCE">
        <w:rPr>
          <w:i/>
          <w:iCs/>
          <w:lang w:eastAsia="fr-FR"/>
        </w:rPr>
        <w:t xml:space="preserve"> </w:t>
      </w:r>
      <w:r w:rsidRPr="00445DCE">
        <w:rPr>
          <w:lang w:eastAsia="fr-FR"/>
        </w:rPr>
        <w:t xml:space="preserve">mécanisme de révision permettant de contester la désignation des services essentiels et de l’absence d’un processus pour régler le différend. Or, ces passages relèvent </w:t>
      </w:r>
      <w:r w:rsidR="00BF7775">
        <w:rPr>
          <w:lang w:eastAsia="fr-FR"/>
        </w:rPr>
        <w:t xml:space="preserve">également </w:t>
      </w:r>
      <w:r w:rsidRPr="00445DCE">
        <w:rPr>
          <w:lang w:eastAsia="fr-FR"/>
        </w:rPr>
        <w:t xml:space="preserve">de l’analyse sur la justification </w:t>
      </w:r>
      <w:r w:rsidR="00F325D9" w:rsidRPr="008F341F">
        <w:rPr>
          <w:lang w:eastAsia="fr-FR"/>
        </w:rPr>
        <w:t>en vertu</w:t>
      </w:r>
      <w:r w:rsidRPr="00445DCE">
        <w:rPr>
          <w:lang w:eastAsia="fr-FR"/>
        </w:rPr>
        <w:t xml:space="preserve"> de </w:t>
      </w:r>
      <w:r w:rsidRPr="004A3D79">
        <w:rPr>
          <w:lang w:eastAsia="fr-FR"/>
        </w:rPr>
        <w:t>l’article premier</w:t>
      </w:r>
      <w:r w:rsidRPr="00445DCE">
        <w:rPr>
          <w:lang w:eastAsia="fr-FR"/>
        </w:rPr>
        <w:t xml:space="preserve"> de la Charte canadienne</w:t>
      </w:r>
      <w:r w:rsidR="00F35D2D">
        <w:rPr>
          <w:lang w:eastAsia="fr-FR"/>
        </w:rPr>
        <w:t>.</w:t>
      </w:r>
    </w:p>
    <w:p w14:paraId="0B9AF236" w14:textId="59E7C8FB" w:rsidR="00D3129A" w:rsidRDefault="00EA21AB" w:rsidP="00F14B5B">
      <w:pPr>
        <w:pStyle w:val="corpsdedcision"/>
        <w:spacing w:after="240"/>
        <w:rPr>
          <w:lang w:eastAsia="fr-FR"/>
        </w:rPr>
      </w:pPr>
      <w:r>
        <w:rPr>
          <w:lang w:eastAsia="fr-FR"/>
        </w:rPr>
        <w:t>En effet, d</w:t>
      </w:r>
      <w:r w:rsidR="00F35D2D" w:rsidRPr="00445DCE">
        <w:rPr>
          <w:lang w:eastAsia="fr-FR"/>
        </w:rPr>
        <w:t>ès le paragraphe 78 de sa décision,</w:t>
      </w:r>
      <w:r w:rsidR="003774DE" w:rsidRPr="00445DCE">
        <w:rPr>
          <w:lang w:eastAsia="fr-FR"/>
        </w:rPr>
        <w:t xml:space="preserve"> la Cour conclu</w:t>
      </w:r>
      <w:r>
        <w:rPr>
          <w:lang w:eastAsia="fr-FR"/>
        </w:rPr>
        <w:t>t</w:t>
      </w:r>
      <w:r w:rsidR="003774DE" w:rsidRPr="00445DCE">
        <w:rPr>
          <w:lang w:eastAsia="fr-FR"/>
        </w:rPr>
        <w:t>, de façon assez lapidaire de surcroit</w:t>
      </w:r>
      <w:r w:rsidR="00F35D2D">
        <w:rPr>
          <w:rStyle w:val="Appelnotedebasdep"/>
          <w:lang w:eastAsia="fr-FR"/>
        </w:rPr>
        <w:footnoteReference w:id="129"/>
      </w:r>
      <w:r w:rsidR="003774DE" w:rsidRPr="00445DCE">
        <w:rPr>
          <w:lang w:eastAsia="fr-FR"/>
        </w:rPr>
        <w:t>, que le régime de la Saskatchewan entrav</w:t>
      </w:r>
      <w:r>
        <w:rPr>
          <w:lang w:eastAsia="fr-FR"/>
        </w:rPr>
        <w:t>e</w:t>
      </w:r>
      <w:r w:rsidR="003774DE" w:rsidRPr="00445DCE">
        <w:rPr>
          <w:lang w:eastAsia="fr-FR"/>
        </w:rPr>
        <w:t xml:space="preserve"> substantiellement le droit à la négociation collective. </w:t>
      </w:r>
      <w:r w:rsidR="00D3129A">
        <w:rPr>
          <w:lang w:eastAsia="fr-FR"/>
        </w:rPr>
        <w:t>Le Tribunal reproduit à nouveau aux fins de commodité ce passage :</w:t>
      </w:r>
    </w:p>
    <w:p w14:paraId="580573C1" w14:textId="5328A251" w:rsidR="00D07C01" w:rsidRDefault="00D3129A" w:rsidP="00F14B5B">
      <w:pPr>
        <w:pStyle w:val="citation"/>
        <w:spacing w:after="360"/>
        <w:rPr>
          <w:lang w:eastAsia="fr-FR"/>
        </w:rPr>
      </w:pPr>
      <w:r>
        <w:rPr>
          <w:lang w:eastAsia="fr-FR"/>
        </w:rPr>
        <w:t xml:space="preserve">[78] </w:t>
      </w:r>
      <w:r>
        <w:rPr>
          <w:lang w:eastAsia="fr-FR"/>
        </w:rPr>
        <w:tab/>
        <w:t xml:space="preserve">Le test consiste alors à déterminer si, dans un cas donné, l’entrave législative au droit de grève équivaut ou non à une entrave substantielle à la négociation collective. Il appert que la </w:t>
      </w:r>
      <w:r w:rsidRPr="00C82D43">
        <w:rPr>
          <w:i/>
          <w:iCs/>
          <w:lang w:eastAsia="fr-FR"/>
        </w:rPr>
        <w:t>PSESA</w:t>
      </w:r>
      <w:r>
        <w:rPr>
          <w:lang w:eastAsia="fr-FR"/>
        </w:rPr>
        <w:t xml:space="preserve"> satisfait à cette condition en ce qu’elle empêche les salariés désignés de se livrer à </w:t>
      </w:r>
      <w:r w:rsidRPr="00C82D43">
        <w:rPr>
          <w:i/>
          <w:iCs/>
          <w:lang w:eastAsia="fr-FR"/>
        </w:rPr>
        <w:t>tout</w:t>
      </w:r>
      <w:r>
        <w:rPr>
          <w:lang w:eastAsia="fr-FR"/>
        </w:rPr>
        <w:t xml:space="preserve"> arrêt de travail dans le cadre du processus de négociation. Sa justification doit donc être démontrée au regard de l’article premier de la </w:t>
      </w:r>
      <w:r w:rsidRPr="00C82D43">
        <w:rPr>
          <w:i/>
          <w:iCs/>
          <w:lang w:eastAsia="fr-FR"/>
        </w:rPr>
        <w:t>Charte</w:t>
      </w:r>
      <w:r>
        <w:rPr>
          <w:lang w:eastAsia="fr-FR"/>
        </w:rPr>
        <w:t>.</w:t>
      </w:r>
    </w:p>
    <w:p w14:paraId="4E935E2A" w14:textId="525EF844" w:rsidR="00893F40" w:rsidRDefault="00FB5D89" w:rsidP="00D3129A">
      <w:pPr>
        <w:pStyle w:val="corpsdedcision"/>
        <w:rPr>
          <w:lang w:eastAsia="fr-FR"/>
        </w:rPr>
      </w:pPr>
      <w:r>
        <w:rPr>
          <w:lang w:eastAsia="fr-FR"/>
        </w:rPr>
        <w:t>Par ailleurs, l</w:t>
      </w:r>
      <w:r w:rsidR="00D3129A">
        <w:rPr>
          <w:lang w:eastAsia="fr-FR"/>
        </w:rPr>
        <w:t xml:space="preserve">e PGQ </w:t>
      </w:r>
      <w:r w:rsidR="00D07C01">
        <w:rPr>
          <w:lang w:eastAsia="fr-FR"/>
        </w:rPr>
        <w:t>déduit</w:t>
      </w:r>
      <w:r w:rsidR="00D3129A">
        <w:rPr>
          <w:lang w:eastAsia="fr-FR"/>
        </w:rPr>
        <w:t xml:space="preserve"> </w:t>
      </w:r>
      <w:r w:rsidR="00D07C01">
        <w:rPr>
          <w:lang w:eastAsia="fr-FR"/>
        </w:rPr>
        <w:t>d</w:t>
      </w:r>
      <w:r w:rsidR="00BF7775">
        <w:rPr>
          <w:lang w:eastAsia="fr-FR"/>
        </w:rPr>
        <w:t>e ce</w:t>
      </w:r>
      <w:r w:rsidR="00D3129A">
        <w:rPr>
          <w:lang w:eastAsia="fr-FR"/>
        </w:rPr>
        <w:t xml:space="preserve"> paragraphe que la Cour se serait prononcée </w:t>
      </w:r>
      <w:r w:rsidR="00D3129A" w:rsidRPr="008F341F">
        <w:rPr>
          <w:lang w:eastAsia="fr-FR"/>
        </w:rPr>
        <w:t xml:space="preserve">au </w:t>
      </w:r>
      <w:r w:rsidR="00F325D9" w:rsidRPr="008F341F">
        <w:rPr>
          <w:lang w:eastAsia="fr-FR"/>
        </w:rPr>
        <w:t>sujet</w:t>
      </w:r>
      <w:r w:rsidR="00D3129A">
        <w:rPr>
          <w:lang w:eastAsia="fr-FR"/>
        </w:rPr>
        <w:t xml:space="preserve"> d’un retrait complet du droit de grève </w:t>
      </w:r>
      <w:r w:rsidR="00D07C01">
        <w:rPr>
          <w:lang w:eastAsia="fr-FR"/>
        </w:rPr>
        <w:t>en raison des termes « </w:t>
      </w:r>
      <w:r w:rsidR="00D07C01" w:rsidRPr="00D3129A">
        <w:rPr>
          <w:rStyle w:val="Citationintgre"/>
          <w:lang w:eastAsia="fr-FR"/>
        </w:rPr>
        <w:t>tout arrêt de travail</w:t>
      </w:r>
      <w:r w:rsidR="00D07C01">
        <w:rPr>
          <w:lang w:eastAsia="fr-FR"/>
        </w:rPr>
        <w:t> »</w:t>
      </w:r>
      <w:r w:rsidR="00A531DC">
        <w:rPr>
          <w:lang w:eastAsia="fr-FR"/>
        </w:rPr>
        <w:t xml:space="preserve">, ce qui </w:t>
      </w:r>
      <w:r w:rsidR="00B80F56">
        <w:rPr>
          <w:lang w:eastAsia="fr-FR"/>
        </w:rPr>
        <w:t>se distinguerait</w:t>
      </w:r>
      <w:r w:rsidR="00A531DC">
        <w:rPr>
          <w:lang w:eastAsia="fr-FR"/>
        </w:rPr>
        <w:t xml:space="preserve"> fondamentalement </w:t>
      </w:r>
      <w:r w:rsidR="00B80F56">
        <w:rPr>
          <w:lang w:eastAsia="fr-FR"/>
        </w:rPr>
        <w:t>du régime des SBEP</w:t>
      </w:r>
      <w:r w:rsidR="00D3129A">
        <w:rPr>
          <w:lang w:eastAsia="fr-FR"/>
        </w:rPr>
        <w:t>.</w:t>
      </w:r>
    </w:p>
    <w:p w14:paraId="5E5EDE52" w14:textId="40EC3158" w:rsidR="00D3129A" w:rsidRDefault="00BF7775" w:rsidP="00893F40">
      <w:pPr>
        <w:pStyle w:val="corpsdedcision"/>
        <w:rPr>
          <w:lang w:eastAsia="fr-FR"/>
        </w:rPr>
      </w:pPr>
      <w:r>
        <w:rPr>
          <w:lang w:eastAsia="fr-FR"/>
        </w:rPr>
        <w:t>U</w:t>
      </w:r>
      <w:r w:rsidR="00D3129A">
        <w:rPr>
          <w:lang w:eastAsia="fr-FR"/>
        </w:rPr>
        <w:t xml:space="preserve">ne lecture attentive de cet arrêt permet de constater que </w:t>
      </w:r>
      <w:r w:rsidR="00F325D9">
        <w:rPr>
          <w:lang w:eastAsia="fr-FR"/>
        </w:rPr>
        <w:t xml:space="preserve">ce </w:t>
      </w:r>
      <w:r>
        <w:rPr>
          <w:lang w:eastAsia="fr-FR"/>
        </w:rPr>
        <w:t>n’est cependant pas le cas. L</w:t>
      </w:r>
      <w:r w:rsidR="00D3129A">
        <w:rPr>
          <w:lang w:eastAsia="fr-FR"/>
        </w:rPr>
        <w:t xml:space="preserve">a loi de la Saskatchewan retirait le droit de grève seulement aux salariés désignés pour maintenir des services essentiels et n’affectait pas le droit de grève de l’ensemble des salariés de l’unité de négociation. </w:t>
      </w:r>
      <w:r w:rsidR="005F64CF">
        <w:rPr>
          <w:lang w:eastAsia="fr-FR"/>
        </w:rPr>
        <w:t>Aussi, il convient de souligner que la Cour se prononce sur l’inconstitutionnalité de la PSESA à la suite de son adoption, sans que celle-ci ait encore été utilisée.</w:t>
      </w:r>
    </w:p>
    <w:p w14:paraId="7883DBAF" w14:textId="04E13467" w:rsidR="00D3129A" w:rsidRDefault="00D3129A" w:rsidP="00F14B5B">
      <w:pPr>
        <w:pStyle w:val="corpsdedcision"/>
        <w:spacing w:after="240"/>
        <w:rPr>
          <w:lang w:eastAsia="fr-FR"/>
        </w:rPr>
      </w:pPr>
      <w:r>
        <w:rPr>
          <w:lang w:eastAsia="fr-FR"/>
        </w:rPr>
        <w:t xml:space="preserve">La Cour d’appel, dans </w:t>
      </w:r>
      <w:r w:rsidR="006D3647">
        <w:rPr>
          <w:lang w:eastAsia="fr-FR"/>
        </w:rPr>
        <w:t>l’arrêt</w:t>
      </w:r>
      <w:r>
        <w:rPr>
          <w:lang w:eastAsia="fr-FR"/>
        </w:rPr>
        <w:t xml:space="preserve"> </w:t>
      </w:r>
      <w:r w:rsidRPr="00170BF4">
        <w:rPr>
          <w:i/>
          <w:iCs/>
          <w:lang w:eastAsia="fr-FR"/>
        </w:rPr>
        <w:t>LANEQ</w:t>
      </w:r>
      <w:r w:rsidRPr="009C30BF">
        <w:rPr>
          <w:rStyle w:val="Appelnotedebasdep"/>
          <w:lang w:eastAsia="fr-FR"/>
        </w:rPr>
        <w:footnoteReference w:id="130"/>
      </w:r>
      <w:r>
        <w:rPr>
          <w:lang w:eastAsia="fr-FR"/>
        </w:rPr>
        <w:t>, situe clairement le contexte factuel dans lequel il faut comprendre les propos de la juge Abella :</w:t>
      </w:r>
    </w:p>
    <w:p w14:paraId="758FB7FD" w14:textId="77777777" w:rsidR="00D3129A" w:rsidRPr="00C73C8C" w:rsidRDefault="00D3129A" w:rsidP="00C73C8C">
      <w:pPr>
        <w:pStyle w:val="citation"/>
        <w:spacing w:after="120"/>
        <w:rPr>
          <w:lang w:eastAsia="fr-FR"/>
        </w:rPr>
      </w:pPr>
      <w:r w:rsidRPr="00C73C8C">
        <w:rPr>
          <w:lang w:eastAsia="fr-FR"/>
        </w:rPr>
        <w:t>[76] […]</w:t>
      </w:r>
    </w:p>
    <w:p w14:paraId="7CD3548E" w14:textId="16A5C6EC" w:rsidR="00D3129A" w:rsidRDefault="00D3129A" w:rsidP="00D3129A">
      <w:pPr>
        <w:pStyle w:val="citation"/>
        <w:rPr>
          <w:u w:val="single"/>
          <w:lang w:eastAsia="fr-FR"/>
        </w:rPr>
      </w:pPr>
      <w:r w:rsidRPr="00C73C8C">
        <w:rPr>
          <w:lang w:eastAsia="fr-FR"/>
        </w:rPr>
        <w:t>Je rappelle</w:t>
      </w:r>
      <w:r w:rsidRPr="00B71DD6">
        <w:rPr>
          <w:lang w:eastAsia="fr-FR"/>
        </w:rPr>
        <w:t xml:space="preserve"> </w:t>
      </w:r>
      <w:r>
        <w:rPr>
          <w:lang w:eastAsia="fr-FR"/>
        </w:rPr>
        <w:t xml:space="preserve">que la </w:t>
      </w:r>
      <w:r w:rsidRPr="00D2264A">
        <w:rPr>
          <w:i/>
          <w:iCs/>
          <w:lang w:eastAsia="fr-FR"/>
        </w:rPr>
        <w:t>PSE</w:t>
      </w:r>
      <w:r>
        <w:rPr>
          <w:i/>
          <w:iCs/>
          <w:lang w:eastAsia="fr-FR"/>
        </w:rPr>
        <w:t>S</w:t>
      </w:r>
      <w:r w:rsidRPr="00D2264A">
        <w:rPr>
          <w:i/>
          <w:iCs/>
          <w:lang w:eastAsia="fr-FR"/>
        </w:rPr>
        <w:t>A</w:t>
      </w:r>
      <w:r>
        <w:rPr>
          <w:lang w:eastAsia="fr-FR"/>
        </w:rPr>
        <w:t xml:space="preserve"> </w:t>
      </w:r>
      <w:r w:rsidRPr="0085639B">
        <w:rPr>
          <w:sz w:val="22"/>
          <w:szCs w:val="22"/>
          <w:lang w:eastAsia="fr-FR"/>
        </w:rPr>
        <w:t>[la loi de la Saskatchewan en cause]</w:t>
      </w:r>
      <w:r>
        <w:rPr>
          <w:lang w:eastAsia="fr-FR"/>
        </w:rPr>
        <w:t xml:space="preserve"> n’interdisait la grève qu’à certains salariés, ceux que l’employeur avait désignés comme prestataires de services essentiels (ou à l’égard desquels il y avait eu entente entre l’employeur et le syndicat, mais on peut se demander à quelles conditions, dans un régime de ce genre, un employeur accepterait de renoncer à </w:t>
      </w:r>
      <w:r w:rsidR="00906D82">
        <w:rPr>
          <w:lang w:eastAsia="fr-FR"/>
        </w:rPr>
        <w:t>s</w:t>
      </w:r>
      <w:r>
        <w:rPr>
          <w:lang w:eastAsia="fr-FR"/>
        </w:rPr>
        <w:t xml:space="preserve">a faculté d’effectuer unilatéralement de telles désignations). </w:t>
      </w:r>
      <w:r w:rsidRPr="00DB14B8">
        <w:rPr>
          <w:u w:val="single"/>
          <w:lang w:eastAsia="fr-FR"/>
        </w:rPr>
        <w:t xml:space="preserve">On était donc en présence ici d’une restriction en quelque sorte sélective ou démographique </w:t>
      </w:r>
      <w:r>
        <w:rPr>
          <w:u w:val="single"/>
          <w:lang w:eastAsia="fr-FR"/>
        </w:rPr>
        <w:t>d</w:t>
      </w:r>
      <w:r w:rsidRPr="00DB14B8">
        <w:rPr>
          <w:u w:val="single"/>
          <w:lang w:eastAsia="fr-FR"/>
        </w:rPr>
        <w:t>u droit de grève : la mesure n’atteignait pas tous les salariés</w:t>
      </w:r>
      <w:r w:rsidRPr="00906D82">
        <w:rPr>
          <w:lang w:eastAsia="fr-FR"/>
        </w:rPr>
        <w:t xml:space="preserve">. </w:t>
      </w:r>
      <w:r w:rsidRPr="004D624D">
        <w:rPr>
          <w:rFonts w:cs="Arial"/>
          <w:sz w:val="24"/>
          <w:szCs w:val="24"/>
          <w:lang w:eastAsia="fr-FR"/>
        </w:rPr>
        <w:t>[…]</w:t>
      </w:r>
    </w:p>
    <w:p w14:paraId="3DB591C0" w14:textId="5F5BF56B" w:rsidR="00D3129A" w:rsidRPr="00DB14B8" w:rsidRDefault="00D3129A" w:rsidP="00F14B5B">
      <w:pPr>
        <w:pStyle w:val="citation"/>
        <w:spacing w:before="240" w:after="360"/>
        <w:rPr>
          <w:sz w:val="24"/>
          <w:szCs w:val="24"/>
          <w:lang w:eastAsia="fr-FR"/>
        </w:rPr>
      </w:pPr>
      <w:r w:rsidRPr="00DB14B8">
        <w:rPr>
          <w:sz w:val="24"/>
          <w:szCs w:val="24"/>
          <w:lang w:eastAsia="fr-FR"/>
        </w:rPr>
        <w:t>[Notre soulignement]</w:t>
      </w:r>
    </w:p>
    <w:p w14:paraId="10C2103A" w14:textId="242F6D43" w:rsidR="00841D35" w:rsidRDefault="00B95F15" w:rsidP="00841D35">
      <w:pPr>
        <w:pStyle w:val="corpsdedcision"/>
        <w:tabs>
          <w:tab w:val="clear" w:pos="360"/>
          <w:tab w:val="num" w:pos="720"/>
        </w:tabs>
        <w:rPr>
          <w:lang w:eastAsia="fr-FR"/>
        </w:rPr>
      </w:pPr>
      <w:r>
        <w:rPr>
          <w:lang w:eastAsia="fr-FR"/>
        </w:rPr>
        <w:t>L</w:t>
      </w:r>
      <w:r w:rsidR="00841D35">
        <w:rPr>
          <w:lang w:eastAsia="fr-FR"/>
        </w:rPr>
        <w:t xml:space="preserve">e </w:t>
      </w:r>
      <w:r w:rsidR="00841D35" w:rsidRPr="007502D1">
        <w:rPr>
          <w:lang w:eastAsia="fr-FR"/>
        </w:rPr>
        <w:t xml:space="preserve">régime des SBEP n’est pas sans rappeler celui de la </w:t>
      </w:r>
      <w:r w:rsidR="00841D35" w:rsidRPr="008564BE">
        <w:rPr>
          <w:lang w:eastAsia="fr-FR"/>
        </w:rPr>
        <w:t>Saskatchewan</w:t>
      </w:r>
      <w:r w:rsidR="00841D35" w:rsidRPr="007502D1">
        <w:rPr>
          <w:lang w:eastAsia="fr-FR"/>
        </w:rPr>
        <w:t>, qui a été invalidé par la Cour suprême</w:t>
      </w:r>
      <w:r w:rsidR="00841D35">
        <w:rPr>
          <w:lang w:eastAsia="fr-FR"/>
        </w:rPr>
        <w:t xml:space="preserve"> au niveau de ses effets sur le droit de grève et le processus de négociation collective. L</w:t>
      </w:r>
      <w:r w:rsidR="00841D35" w:rsidRPr="007502D1">
        <w:rPr>
          <w:lang w:eastAsia="fr-FR"/>
        </w:rPr>
        <w:t xml:space="preserve">es différences </w:t>
      </w:r>
      <w:r w:rsidR="00841D35">
        <w:rPr>
          <w:lang w:eastAsia="fr-FR"/>
        </w:rPr>
        <w:t xml:space="preserve">qu’il présente </w:t>
      </w:r>
      <w:r w:rsidR="00841D35" w:rsidRPr="007502D1">
        <w:rPr>
          <w:lang w:eastAsia="fr-FR"/>
        </w:rPr>
        <w:t xml:space="preserve">avec celui de la PSESA </w:t>
      </w:r>
      <w:r w:rsidR="00841D35">
        <w:rPr>
          <w:lang w:eastAsia="fr-FR"/>
        </w:rPr>
        <w:t>relèvent des moyens choisis par le législateur pour définir les services à maintenir et seront examinés au stade de la justification.</w:t>
      </w:r>
    </w:p>
    <w:p w14:paraId="7FF5361E" w14:textId="759A8FF1" w:rsidR="00841D35" w:rsidRDefault="00841D35" w:rsidP="00841D35">
      <w:pPr>
        <w:pStyle w:val="corpsdedcision"/>
        <w:tabs>
          <w:tab w:val="clear" w:pos="360"/>
          <w:tab w:val="num" w:pos="720"/>
        </w:tabs>
        <w:spacing w:after="240"/>
        <w:rPr>
          <w:lang w:eastAsia="fr-FR"/>
        </w:rPr>
      </w:pPr>
      <w:r>
        <w:rPr>
          <w:lang w:eastAsia="fr-FR"/>
        </w:rPr>
        <w:t xml:space="preserve">En 2017, dans l’affaire </w:t>
      </w:r>
      <w:r w:rsidRPr="00BE018D">
        <w:rPr>
          <w:i/>
          <w:iCs/>
          <w:lang w:eastAsia="fr-FR"/>
        </w:rPr>
        <w:t>Syndicat des travailleuses et travailleurs du CIUSSS du Centre-Ouest-de-l'Île-de-Montréal — CSN</w:t>
      </w:r>
      <w:r w:rsidRPr="00964A29">
        <w:rPr>
          <w:lang w:eastAsia="fr-FR"/>
        </w:rPr>
        <w:t xml:space="preserve"> </w:t>
      </w:r>
      <w:r>
        <w:rPr>
          <w:lang w:eastAsia="fr-FR"/>
        </w:rPr>
        <w:t>c.</w:t>
      </w:r>
      <w:r w:rsidRPr="00964A29">
        <w:rPr>
          <w:lang w:eastAsia="fr-FR"/>
        </w:rPr>
        <w:t xml:space="preserve"> </w:t>
      </w:r>
      <w:r w:rsidRPr="00BE018D">
        <w:rPr>
          <w:i/>
          <w:iCs/>
          <w:lang w:eastAsia="fr-FR"/>
        </w:rPr>
        <w:t>Centre intégré universitaire de santé et de services sociaux du Centre-Ouest-de-l'Île-de-Montréal</w:t>
      </w:r>
      <w:r>
        <w:rPr>
          <w:rStyle w:val="Appelnotedebasdep"/>
          <w:lang w:eastAsia="fr-FR"/>
        </w:rPr>
        <w:footnoteReference w:id="131"/>
      </w:r>
      <w:r>
        <w:rPr>
          <w:lang w:eastAsia="fr-FR"/>
        </w:rPr>
        <w:t xml:space="preserve">, le Tribunal, prenant appui sur l’arrêt </w:t>
      </w:r>
      <w:r w:rsidRPr="00E572C1">
        <w:rPr>
          <w:i/>
          <w:iCs/>
          <w:lang w:eastAsia="fr-FR"/>
        </w:rPr>
        <w:t>Saskatchewan</w:t>
      </w:r>
      <w:r>
        <w:rPr>
          <w:lang w:eastAsia="fr-FR"/>
        </w:rPr>
        <w:t>, arrive rapidement à la conclusion que les dispositions du Code qui prévoyaient un pourcentage d’effectifs à maintenir en cas de grève dans le réseau de la santé et des services sociaux entrave</w:t>
      </w:r>
      <w:r w:rsidR="0063671A">
        <w:rPr>
          <w:lang w:eastAsia="fr-FR"/>
        </w:rPr>
        <w:t>nt</w:t>
      </w:r>
      <w:r>
        <w:rPr>
          <w:lang w:eastAsia="fr-FR"/>
        </w:rPr>
        <w:t xml:space="preserve"> substantiellement le droit de grève :</w:t>
      </w:r>
    </w:p>
    <w:p w14:paraId="7D2A0DD0" w14:textId="77777777" w:rsidR="00841D35" w:rsidRDefault="00841D35" w:rsidP="00841D35">
      <w:pPr>
        <w:pStyle w:val="citation"/>
        <w:spacing w:after="120"/>
        <w:rPr>
          <w:lang w:eastAsia="fr-FR"/>
        </w:rPr>
      </w:pPr>
      <w:r>
        <w:rPr>
          <w:lang w:eastAsia="fr-FR"/>
        </w:rPr>
        <w:t>[226]</w:t>
      </w:r>
      <w:r>
        <w:rPr>
          <w:lang w:eastAsia="fr-FR"/>
        </w:rPr>
        <w:tab/>
        <w:t xml:space="preserve">Cela étant, il convient en premier lieu de noter que l’article 111.10 du Code n’interdit pas totalement le recours à la grève. Il le limite cependant en obligeant le maintien en poste d’un pourcentage de salariés qui varie en fonction de la vocation de l’établissement qui les emploie. Il permet donc, </w:t>
      </w:r>
      <w:r w:rsidRPr="00C82D43">
        <w:rPr>
          <w:i/>
          <w:iCs/>
          <w:lang w:eastAsia="fr-FR"/>
        </w:rPr>
        <w:t>a contrario</w:t>
      </w:r>
      <w:r>
        <w:rPr>
          <w:lang w:eastAsia="fr-FR"/>
        </w:rPr>
        <w:t>, un certain ralentissement des services qui sont rendus à la population.</w:t>
      </w:r>
    </w:p>
    <w:p w14:paraId="5160DA93" w14:textId="77777777" w:rsidR="00841D35" w:rsidRDefault="00841D35" w:rsidP="00880FC7">
      <w:pPr>
        <w:pStyle w:val="citation"/>
        <w:keepNext/>
        <w:keepLines/>
        <w:spacing w:after="240"/>
        <w:rPr>
          <w:lang w:eastAsia="fr-FR"/>
        </w:rPr>
      </w:pPr>
      <w:r>
        <w:rPr>
          <w:lang w:eastAsia="fr-FR"/>
        </w:rPr>
        <w:t>[227]</w:t>
      </w:r>
      <w:r>
        <w:rPr>
          <w:lang w:eastAsia="fr-FR"/>
        </w:rPr>
        <w:tab/>
      </w:r>
      <w:r w:rsidRPr="008420DE">
        <w:rPr>
          <w:u w:val="single"/>
          <w:lang w:eastAsia="fr-FR"/>
        </w:rPr>
        <w:t xml:space="preserve">Le Tribunal est d’avis que cette situation n’est cependant pas très différente de celle étudiée dans l’arrêt </w:t>
      </w:r>
      <w:r w:rsidRPr="00C82D43">
        <w:rPr>
          <w:i/>
          <w:iCs/>
          <w:u w:val="single"/>
          <w:lang w:eastAsia="fr-FR"/>
        </w:rPr>
        <w:t>Saskatchewan</w:t>
      </w:r>
      <w:r w:rsidRPr="008420DE">
        <w:rPr>
          <w:u w:val="single"/>
          <w:lang w:eastAsia="fr-FR"/>
        </w:rPr>
        <w:t xml:space="preserve"> où la loi prévoyait la possibilité d’interdire totalement le droit de grève à certains employés «</w:t>
      </w:r>
      <w:r>
        <w:rPr>
          <w:u w:val="single"/>
          <w:lang w:eastAsia="fr-FR"/>
        </w:rPr>
        <w:t> </w:t>
      </w:r>
      <w:r w:rsidRPr="007C217B">
        <w:rPr>
          <w:i/>
          <w:iCs/>
          <w:sz w:val="18"/>
          <w:szCs w:val="18"/>
          <w:u w:val="single"/>
          <w:lang w:eastAsia="fr-FR"/>
        </w:rPr>
        <w:t>désignés</w:t>
      </w:r>
      <w:r>
        <w:rPr>
          <w:u w:val="single"/>
          <w:lang w:eastAsia="fr-FR"/>
        </w:rPr>
        <w:t> </w:t>
      </w:r>
      <w:r w:rsidRPr="008420DE">
        <w:rPr>
          <w:u w:val="single"/>
          <w:lang w:eastAsia="fr-FR"/>
        </w:rPr>
        <w:t>», sans pour autant empêcher les autres salariés de faire la grève</w:t>
      </w:r>
      <w:r>
        <w:rPr>
          <w:lang w:eastAsia="fr-FR"/>
        </w:rPr>
        <w:t>.</w:t>
      </w:r>
    </w:p>
    <w:p w14:paraId="0BAE168B" w14:textId="77777777" w:rsidR="00841D35" w:rsidRPr="00F14B5B" w:rsidRDefault="00841D35" w:rsidP="00841D35">
      <w:pPr>
        <w:pStyle w:val="citation"/>
        <w:keepNext/>
        <w:keepLines/>
        <w:spacing w:before="240" w:after="360"/>
        <w:rPr>
          <w:sz w:val="24"/>
          <w:szCs w:val="24"/>
          <w:lang w:eastAsia="fr-FR"/>
        </w:rPr>
      </w:pPr>
      <w:r w:rsidRPr="008420DE">
        <w:rPr>
          <w:sz w:val="24"/>
          <w:szCs w:val="24"/>
          <w:lang w:eastAsia="fr-FR"/>
        </w:rPr>
        <w:t>[Notre soulignement]</w:t>
      </w:r>
    </w:p>
    <w:p w14:paraId="24EE618E" w14:textId="7186D1C8" w:rsidR="00EE3312" w:rsidRDefault="00D07C01" w:rsidP="00B95F15">
      <w:pPr>
        <w:pStyle w:val="corpsdedcision"/>
        <w:rPr>
          <w:lang w:eastAsia="fr-FR"/>
        </w:rPr>
      </w:pPr>
      <w:r>
        <w:t>Dans le présent dossier, il</w:t>
      </w:r>
      <w:r w:rsidR="00EA21AB">
        <w:t xml:space="preserve"> </w:t>
      </w:r>
      <w:r w:rsidR="00EE3312" w:rsidRPr="0020528D">
        <w:rPr>
          <w:lang w:eastAsia="fr-FR"/>
        </w:rPr>
        <w:t>est indéniable que l’exercice du droit de grève des salariées se trouve significativement amputé et le restera jusqu’au renouvellement de la convention collective.</w:t>
      </w:r>
      <w:r w:rsidR="00B95F15" w:rsidRPr="00B95F15">
        <w:rPr>
          <w:lang w:eastAsia="fr-FR"/>
        </w:rPr>
        <w:t xml:space="preserve"> </w:t>
      </w:r>
      <w:r w:rsidR="00B95F15">
        <w:rPr>
          <w:lang w:eastAsia="fr-FR"/>
        </w:rPr>
        <w:t>La quasi-totalité des salariées représentées par le syndicat doivent fournir une prestation de travail de trois jours par semaine et maintenir ainsi des services qui ne sont pas essentiels au sens strict du terme, c’est à dire qui ne visent pas seulement à éviter de mettre en danger la santé ou la sécurité publique.</w:t>
      </w:r>
    </w:p>
    <w:p w14:paraId="23191D6E" w14:textId="377338AE" w:rsidR="00A635A2" w:rsidRPr="00A635A2" w:rsidRDefault="009B40E5" w:rsidP="00A635A2">
      <w:pPr>
        <w:pStyle w:val="corpsdedcision"/>
        <w:rPr>
          <w:lang w:eastAsia="fr-FR"/>
        </w:rPr>
      </w:pPr>
      <w:r>
        <w:rPr>
          <w:lang w:eastAsia="fr-FR"/>
        </w:rPr>
        <w:t>Comme l</w:t>
      </w:r>
      <w:r w:rsidR="00805D86">
        <w:rPr>
          <w:lang w:eastAsia="fr-FR"/>
        </w:rPr>
        <w:t xml:space="preserve">e régime des SBEP </w:t>
      </w:r>
      <w:r w:rsidR="00526818">
        <w:rPr>
          <w:lang w:eastAsia="fr-FR"/>
        </w:rPr>
        <w:t xml:space="preserve">veut </w:t>
      </w:r>
      <w:r w:rsidR="0055660F">
        <w:rPr>
          <w:lang w:eastAsia="fr-FR"/>
        </w:rPr>
        <w:t>notamment</w:t>
      </w:r>
      <w:r w:rsidR="00526818">
        <w:rPr>
          <w:lang w:eastAsia="fr-FR"/>
        </w:rPr>
        <w:t xml:space="preserve"> mieux protéger la « </w:t>
      </w:r>
      <w:r w:rsidR="00526818" w:rsidRPr="00805D86">
        <w:rPr>
          <w:rStyle w:val="Citationintgre"/>
          <w:lang w:eastAsia="fr-FR"/>
        </w:rPr>
        <w:t>sécurité économique</w:t>
      </w:r>
      <w:r w:rsidR="00526818">
        <w:rPr>
          <w:lang w:eastAsia="fr-FR"/>
        </w:rPr>
        <w:t> » lors de certains conflits</w:t>
      </w:r>
      <w:r>
        <w:rPr>
          <w:lang w:eastAsia="fr-FR"/>
        </w:rPr>
        <w:t>,</w:t>
      </w:r>
      <w:r w:rsidR="00526818">
        <w:rPr>
          <w:lang w:eastAsia="fr-FR"/>
        </w:rPr>
        <w:t xml:space="preserve"> il </w:t>
      </w:r>
      <w:r w:rsidR="00805D86">
        <w:rPr>
          <w:lang w:eastAsia="fr-FR"/>
        </w:rPr>
        <w:t>limite également considérablement les effets de la grève. Or</w:t>
      </w:r>
      <w:r w:rsidR="00D9534A">
        <w:rPr>
          <w:lang w:eastAsia="fr-FR"/>
        </w:rPr>
        <w:t xml:space="preserve">, </w:t>
      </w:r>
      <w:r w:rsidR="000E40E9">
        <w:rPr>
          <w:lang w:eastAsia="fr-FR"/>
        </w:rPr>
        <w:t>il est de l’essence de la grève de produire des inconvénients, même « </w:t>
      </w:r>
      <w:r w:rsidR="000E40E9" w:rsidRPr="000E40E9">
        <w:rPr>
          <w:rStyle w:val="Citationintgre"/>
          <w:lang w:eastAsia="fr-FR"/>
        </w:rPr>
        <w:t>redoutables</w:t>
      </w:r>
      <w:r w:rsidR="000E40E9">
        <w:rPr>
          <w:lang w:eastAsia="fr-FR"/>
        </w:rPr>
        <w:t xml:space="preserve"> », non seulement sur l’employeur, mais également sur des tiers, comme l’a souligné la Cour suprême dans les arrêts </w:t>
      </w:r>
      <w:r w:rsidR="000E40E9" w:rsidRPr="000766FB">
        <w:rPr>
          <w:i/>
          <w:iCs/>
          <w:lang w:eastAsia="fr-FR"/>
        </w:rPr>
        <w:t>Pepsi-Cola</w:t>
      </w:r>
      <w:r w:rsidR="000E40E9">
        <w:rPr>
          <w:lang w:eastAsia="fr-FR"/>
        </w:rPr>
        <w:t xml:space="preserve"> et </w:t>
      </w:r>
      <w:r w:rsidR="000E40E9" w:rsidRPr="000766FB">
        <w:rPr>
          <w:i/>
          <w:iCs/>
          <w:lang w:eastAsia="fr-FR"/>
        </w:rPr>
        <w:t>Saskatchewan</w:t>
      </w:r>
      <w:r w:rsidR="000E40E9" w:rsidRPr="00A635A2">
        <w:rPr>
          <w:rStyle w:val="Appelnotedebasdep"/>
          <w:lang w:eastAsia="fr-FR"/>
        </w:rPr>
        <w:footnoteReference w:id="132"/>
      </w:r>
      <w:r w:rsidR="000E40E9">
        <w:rPr>
          <w:lang w:eastAsia="fr-FR"/>
        </w:rPr>
        <w:t>.</w:t>
      </w:r>
      <w:r w:rsidR="000E40E9" w:rsidRPr="00821284">
        <w:rPr>
          <w:lang w:eastAsia="fr-FR"/>
        </w:rPr>
        <w:t xml:space="preserve"> </w:t>
      </w:r>
      <w:r w:rsidR="00A635A2" w:rsidRPr="00A635A2">
        <w:rPr>
          <w:lang w:eastAsia="fr-FR"/>
        </w:rPr>
        <w:t xml:space="preserve">Le régime des SBEP vient limiter ce moyen de pression économique </w:t>
      </w:r>
      <w:r w:rsidR="00A635A2">
        <w:rPr>
          <w:lang w:eastAsia="fr-FR"/>
        </w:rPr>
        <w:t xml:space="preserve">pouvant être exercé </w:t>
      </w:r>
      <w:r w:rsidR="00A635A2" w:rsidRPr="00A635A2">
        <w:rPr>
          <w:lang w:eastAsia="fr-FR"/>
        </w:rPr>
        <w:t>sur l’employeur et les tiers.</w:t>
      </w:r>
    </w:p>
    <w:p w14:paraId="1ADBEDC5" w14:textId="736C13F3" w:rsidR="000E40E9" w:rsidRDefault="00515275" w:rsidP="000E40E9">
      <w:pPr>
        <w:pStyle w:val="corpsdedcision"/>
        <w:rPr>
          <w:lang w:eastAsia="fr-FR"/>
        </w:rPr>
      </w:pPr>
      <w:r>
        <w:rPr>
          <w:lang w:eastAsia="fr-FR"/>
        </w:rPr>
        <w:t xml:space="preserve">Cette limitation au droit de grève </w:t>
      </w:r>
      <w:r w:rsidR="00A635A2">
        <w:rPr>
          <w:lang w:eastAsia="fr-FR"/>
        </w:rPr>
        <w:t>a un effet plus important</w:t>
      </w:r>
      <w:r w:rsidR="00D3129A">
        <w:rPr>
          <w:lang w:eastAsia="fr-FR"/>
        </w:rPr>
        <w:t xml:space="preserve"> dans le présent contexte où l’employeur est un CPE</w:t>
      </w:r>
      <w:r w:rsidR="00A635A2">
        <w:rPr>
          <w:lang w:eastAsia="fr-FR"/>
        </w:rPr>
        <w:t>, un</w:t>
      </w:r>
      <w:r w:rsidR="00D3129A">
        <w:rPr>
          <w:lang w:eastAsia="fr-FR"/>
        </w:rPr>
        <w:t xml:space="preserve"> secteur</w:t>
      </w:r>
      <w:r w:rsidR="00A635A2">
        <w:rPr>
          <w:lang w:eastAsia="fr-FR"/>
        </w:rPr>
        <w:t xml:space="preserve"> qui</w:t>
      </w:r>
      <w:r w:rsidR="00D3129A">
        <w:rPr>
          <w:lang w:eastAsia="fr-FR"/>
        </w:rPr>
        <w:t xml:space="preserve"> présente certaines </w:t>
      </w:r>
      <w:r w:rsidR="00D3129A" w:rsidRPr="00A635A2">
        <w:rPr>
          <w:lang w:eastAsia="fr-FR"/>
        </w:rPr>
        <w:t>particularités.</w:t>
      </w:r>
    </w:p>
    <w:p w14:paraId="09751426" w14:textId="61E61379" w:rsidR="000E40E9" w:rsidRDefault="000E40E9" w:rsidP="000E40E9">
      <w:pPr>
        <w:pStyle w:val="corpsdedcision"/>
        <w:rPr>
          <w:lang w:eastAsia="fr-FR"/>
        </w:rPr>
      </w:pPr>
      <w:r w:rsidRPr="000766FB">
        <w:rPr>
          <w:lang w:eastAsia="fr-FR"/>
        </w:rPr>
        <w:t xml:space="preserve">D’une part, les longues listes d’attente pour accéder aux services de garde en CPE et l’absence d’alternative, qui </w:t>
      </w:r>
      <w:r w:rsidR="00C73ED8">
        <w:rPr>
          <w:lang w:eastAsia="fr-FR"/>
        </w:rPr>
        <w:t>ont</w:t>
      </w:r>
      <w:r w:rsidR="00C73ED8" w:rsidRPr="000766FB">
        <w:rPr>
          <w:lang w:eastAsia="fr-FR"/>
        </w:rPr>
        <w:t xml:space="preserve"> </w:t>
      </w:r>
      <w:r w:rsidRPr="000766FB">
        <w:rPr>
          <w:lang w:eastAsia="fr-FR"/>
        </w:rPr>
        <w:t>d’ailleurs été soulignée</w:t>
      </w:r>
      <w:r w:rsidR="00C73ED8">
        <w:rPr>
          <w:lang w:eastAsia="fr-FR"/>
        </w:rPr>
        <w:t>s</w:t>
      </w:r>
      <w:r w:rsidRPr="000766FB">
        <w:rPr>
          <w:lang w:eastAsia="fr-FR"/>
        </w:rPr>
        <w:t xml:space="preserve"> dans le présent dossier, prémunissent les CPE </w:t>
      </w:r>
      <w:r w:rsidR="00036D48">
        <w:rPr>
          <w:lang w:eastAsia="fr-FR"/>
        </w:rPr>
        <w:t>contre</w:t>
      </w:r>
      <w:r w:rsidRPr="000766FB">
        <w:rPr>
          <w:lang w:eastAsia="fr-FR"/>
        </w:rPr>
        <w:t xml:space="preserve"> la perte de clientèle</w:t>
      </w:r>
      <w:r w:rsidRPr="000766FB">
        <w:rPr>
          <w:rStyle w:val="Appelnotedebasdep"/>
          <w:lang w:eastAsia="fr-FR"/>
        </w:rPr>
        <w:footnoteReference w:id="133"/>
      </w:r>
      <w:r w:rsidRPr="000766FB">
        <w:rPr>
          <w:lang w:eastAsia="fr-FR"/>
        </w:rPr>
        <w:t>.</w:t>
      </w:r>
    </w:p>
    <w:p w14:paraId="6B92B006" w14:textId="2C575391" w:rsidR="000E40E9" w:rsidRPr="000766FB" w:rsidRDefault="000E40E9" w:rsidP="000E40E9">
      <w:pPr>
        <w:pStyle w:val="corpsdedcision"/>
        <w:rPr>
          <w:lang w:eastAsia="fr-FR"/>
        </w:rPr>
      </w:pPr>
      <w:r w:rsidRPr="000766FB">
        <w:rPr>
          <w:lang w:eastAsia="fr-FR"/>
        </w:rPr>
        <w:t xml:space="preserve">D’autre part, les CPE reçoivent des subventions pour assurer leur fonctionnement. Si certaines ne sont pas versées pendant la grève, l’employeur continue de percevoir celle </w:t>
      </w:r>
      <w:r w:rsidR="00250102">
        <w:rPr>
          <w:lang w:eastAsia="fr-FR"/>
        </w:rPr>
        <w:t xml:space="preserve">destinée aux </w:t>
      </w:r>
      <w:r w:rsidRPr="000766FB">
        <w:rPr>
          <w:lang w:eastAsia="fr-FR"/>
        </w:rPr>
        <w:t>services administratifs, qui couvre le salaire de la directrice générale et de son adjointe. Les membres de la direction ne subissent donc pas de préjudice financier, contrairement aux salariées en grève, et ce, même si l’établissement est fermé.</w:t>
      </w:r>
    </w:p>
    <w:p w14:paraId="29F712BE" w14:textId="14CEF371" w:rsidR="000E40E9" w:rsidRPr="004643D7" w:rsidRDefault="000E40E9" w:rsidP="00D3129A">
      <w:pPr>
        <w:pStyle w:val="corpsdedcision"/>
        <w:tabs>
          <w:tab w:val="clear" w:pos="360"/>
          <w:tab w:val="num" w:pos="720"/>
        </w:tabs>
        <w:rPr>
          <w:lang w:eastAsia="fr-FR"/>
        </w:rPr>
      </w:pPr>
      <w:r>
        <w:rPr>
          <w:lang w:eastAsia="fr-FR"/>
        </w:rPr>
        <w:t>Pour être efficace, la grève doit donc nécessairement atteindre le public</w:t>
      </w:r>
      <w:r w:rsidR="00D3129A">
        <w:rPr>
          <w:lang w:eastAsia="fr-FR"/>
        </w:rPr>
        <w:t xml:space="preserve"> </w:t>
      </w:r>
      <w:r w:rsidR="00D3129A" w:rsidRPr="004643D7">
        <w:rPr>
          <w:lang w:eastAsia="fr-FR"/>
        </w:rPr>
        <w:t xml:space="preserve">et </w:t>
      </w:r>
      <w:r w:rsidR="00F32325" w:rsidRPr="004643D7">
        <w:rPr>
          <w:lang w:eastAsia="fr-FR"/>
        </w:rPr>
        <w:t xml:space="preserve">c’est précisément </w:t>
      </w:r>
      <w:r w:rsidR="00D3129A" w:rsidRPr="004643D7">
        <w:rPr>
          <w:lang w:eastAsia="fr-FR"/>
        </w:rPr>
        <w:t>ce que restreint le nouveau régime.</w:t>
      </w:r>
    </w:p>
    <w:p w14:paraId="5C6AD524" w14:textId="3E0F8DDB" w:rsidR="003C6237" w:rsidRDefault="00E20421" w:rsidP="00F14B5B">
      <w:pPr>
        <w:pStyle w:val="corpsdedcision"/>
        <w:tabs>
          <w:tab w:val="clear" w:pos="360"/>
          <w:tab w:val="num" w:pos="720"/>
        </w:tabs>
        <w:spacing w:after="240"/>
        <w:rPr>
          <w:lang w:eastAsia="fr-FR"/>
        </w:rPr>
      </w:pPr>
      <w:r>
        <w:rPr>
          <w:lang w:eastAsia="fr-FR"/>
        </w:rPr>
        <w:t>Enfin</w:t>
      </w:r>
      <w:r w:rsidR="008775E6">
        <w:rPr>
          <w:lang w:eastAsia="fr-FR"/>
        </w:rPr>
        <w:t>, la population</w:t>
      </w:r>
      <w:r w:rsidR="00723AF4">
        <w:rPr>
          <w:lang w:eastAsia="fr-FR"/>
        </w:rPr>
        <w:t xml:space="preserve"> qui se voit affectée par le conflit n’est pas un tiers</w:t>
      </w:r>
      <w:r w:rsidR="009C192D">
        <w:rPr>
          <w:lang w:eastAsia="fr-FR"/>
        </w:rPr>
        <w:t xml:space="preserve"> sans lien avec les parties. </w:t>
      </w:r>
      <w:r w:rsidR="00DB041D">
        <w:t xml:space="preserve">L’employeur est </w:t>
      </w:r>
      <w:r w:rsidR="00823F7F">
        <w:t xml:space="preserve">un </w:t>
      </w:r>
      <w:r w:rsidR="00DB041D">
        <w:t>CPE</w:t>
      </w:r>
      <w:r w:rsidR="00DC6015">
        <w:t>, donc</w:t>
      </w:r>
      <w:r w:rsidR="00DB041D" w:rsidRPr="001674E5">
        <w:t xml:space="preserve"> un organisme sans but lucratif, dirigé par un conseil d’administration, </w:t>
      </w:r>
      <w:r w:rsidR="00250102">
        <w:t>qui est composé d’au moins deux tiers de parents</w:t>
      </w:r>
      <w:r w:rsidR="00DB041D" w:rsidRPr="001674E5">
        <w:rPr>
          <w:rStyle w:val="Appelnotedebasdep"/>
        </w:rPr>
        <w:footnoteReference w:id="134"/>
      </w:r>
      <w:r w:rsidR="00DB041D" w:rsidRPr="001674E5">
        <w:t>.</w:t>
      </w:r>
      <w:r w:rsidR="00DB041D">
        <w:t xml:space="preserve"> </w:t>
      </w:r>
      <w:r w:rsidR="007C72E3">
        <w:rPr>
          <w:lang w:eastAsia="fr-FR"/>
        </w:rPr>
        <w:t>Un</w:t>
      </w:r>
      <w:r w:rsidR="00E70C0D">
        <w:rPr>
          <w:lang w:eastAsia="fr-FR"/>
        </w:rPr>
        <w:t> </w:t>
      </w:r>
      <w:r w:rsidR="007C72E3">
        <w:rPr>
          <w:lang w:eastAsia="fr-FR"/>
        </w:rPr>
        <w:t xml:space="preserve">nombre significatif de parents et </w:t>
      </w:r>
      <w:r w:rsidR="00823F7F">
        <w:rPr>
          <w:lang w:eastAsia="fr-FR"/>
        </w:rPr>
        <w:t xml:space="preserve">de </w:t>
      </w:r>
      <w:r w:rsidR="007C72E3">
        <w:rPr>
          <w:lang w:eastAsia="fr-FR"/>
        </w:rPr>
        <w:t>membres du conseil d’</w:t>
      </w:r>
      <w:r w:rsidR="009212D0">
        <w:rPr>
          <w:lang w:eastAsia="fr-FR"/>
        </w:rPr>
        <w:t>administration</w:t>
      </w:r>
      <w:r w:rsidR="007C72E3">
        <w:rPr>
          <w:lang w:eastAsia="fr-FR"/>
        </w:rPr>
        <w:t xml:space="preserve"> sont </w:t>
      </w:r>
      <w:r w:rsidR="00823F7F">
        <w:rPr>
          <w:lang w:eastAsia="fr-FR"/>
        </w:rPr>
        <w:t xml:space="preserve">d’ailleurs </w:t>
      </w:r>
      <w:r w:rsidR="009212D0">
        <w:rPr>
          <w:lang w:eastAsia="fr-FR"/>
        </w:rPr>
        <w:t>intervenus</w:t>
      </w:r>
      <w:r w:rsidR="007C72E3">
        <w:rPr>
          <w:lang w:eastAsia="fr-FR"/>
        </w:rPr>
        <w:t xml:space="preserve"> </w:t>
      </w:r>
      <w:r w:rsidR="0097548E">
        <w:rPr>
          <w:lang w:eastAsia="fr-FR"/>
        </w:rPr>
        <w:t xml:space="preserve">pour appuyer la demande de l’employeur </w:t>
      </w:r>
      <w:r w:rsidR="007C72E3">
        <w:rPr>
          <w:lang w:eastAsia="fr-FR"/>
        </w:rPr>
        <w:t xml:space="preserve">au stade de l’assujettissement en signant des </w:t>
      </w:r>
      <w:r w:rsidR="0097548E">
        <w:rPr>
          <w:lang w:eastAsia="fr-FR"/>
        </w:rPr>
        <w:t xml:space="preserve">déclarations </w:t>
      </w:r>
      <w:r w:rsidR="00D836AD">
        <w:rPr>
          <w:lang w:eastAsia="fr-FR"/>
        </w:rPr>
        <w:t xml:space="preserve">sous serment </w:t>
      </w:r>
      <w:r w:rsidR="0097548E">
        <w:rPr>
          <w:lang w:eastAsia="fr-FR"/>
        </w:rPr>
        <w:t>faisant état des préjudices subis.</w:t>
      </w:r>
      <w:r w:rsidR="004643D7">
        <w:rPr>
          <w:lang w:eastAsia="fr-FR"/>
        </w:rPr>
        <w:t xml:space="preserve"> </w:t>
      </w:r>
      <w:r w:rsidR="003C6237">
        <w:rPr>
          <w:lang w:eastAsia="fr-FR"/>
        </w:rPr>
        <w:t>Comme il a été rapporté précédemment, le 21</w:t>
      </w:r>
      <w:r w:rsidR="00E70C0D">
        <w:rPr>
          <w:lang w:eastAsia="fr-FR"/>
        </w:rPr>
        <w:t> </w:t>
      </w:r>
      <w:r w:rsidR="003C6237">
        <w:rPr>
          <w:lang w:eastAsia="fr-FR"/>
        </w:rPr>
        <w:t>octobre</w:t>
      </w:r>
      <w:r w:rsidR="00E70C0D">
        <w:rPr>
          <w:lang w:eastAsia="fr-FR"/>
        </w:rPr>
        <w:t> </w:t>
      </w:r>
      <w:r w:rsidR="003C6237">
        <w:rPr>
          <w:lang w:eastAsia="fr-FR"/>
        </w:rPr>
        <w:t xml:space="preserve">2025, l’association patronale dont fait partie l’employeur a mis en demeure le syndicat d’annuler une rencontre avec les parents pour leur communiquer leur position. </w:t>
      </w:r>
      <w:r w:rsidR="008F341F">
        <w:rPr>
          <w:lang w:eastAsia="fr-FR"/>
        </w:rPr>
        <w:t>Elle lui</w:t>
      </w:r>
      <w:r w:rsidR="003C6237">
        <w:rPr>
          <w:lang w:eastAsia="fr-FR"/>
        </w:rPr>
        <w:t xml:space="preserve"> écrit :</w:t>
      </w:r>
    </w:p>
    <w:p w14:paraId="34A2D13A" w14:textId="43BBF497" w:rsidR="00C001F0" w:rsidRDefault="00900F61" w:rsidP="00C001F0">
      <w:pPr>
        <w:pStyle w:val="citation"/>
        <w:rPr>
          <w:lang w:eastAsia="fr-FR"/>
        </w:rPr>
      </w:pPr>
      <w:r w:rsidRPr="00900F61">
        <w:rPr>
          <w:rFonts w:cs="Arial"/>
          <w:lang w:eastAsia="fr-FR"/>
        </w:rPr>
        <w:t xml:space="preserve">[…] </w:t>
      </w:r>
      <w:r w:rsidR="003C6237" w:rsidRPr="00C001F0">
        <w:rPr>
          <w:u w:val="single"/>
          <w:lang w:eastAsia="fr-FR"/>
        </w:rPr>
        <w:t>Vous n’êtes pas sans savoir que les parents membres du CPE participent à la gouvernance de l’organisation</w:t>
      </w:r>
      <w:r w:rsidR="003C6237" w:rsidRPr="003C6237">
        <w:rPr>
          <w:lang w:eastAsia="fr-FR"/>
        </w:rPr>
        <w:t xml:space="preserve">, ayant notamment le pouvoir de décider en assemblée générale des orientations du CPE, de ratifier des règlements de l’organisation et d’élire les administrateurs, Ainsi, en vous adressant directement aux parents </w:t>
      </w:r>
      <w:r w:rsidR="003C6237">
        <w:rPr>
          <w:lang w:eastAsia="fr-FR"/>
        </w:rPr>
        <w:t>mem</w:t>
      </w:r>
      <w:r w:rsidR="003C6237" w:rsidRPr="003C6237">
        <w:rPr>
          <w:lang w:eastAsia="fr-FR"/>
        </w:rPr>
        <w:t xml:space="preserve">bres du CPE Le Jardin de Robi, dont certains sont administrateurs, </w:t>
      </w:r>
      <w:r w:rsidR="008F341F">
        <w:rPr>
          <w:lang w:eastAsia="fr-FR"/>
        </w:rPr>
        <w:t>v</w:t>
      </w:r>
      <w:r w:rsidR="003C6237" w:rsidRPr="003C6237">
        <w:rPr>
          <w:lang w:eastAsia="fr-FR"/>
        </w:rPr>
        <w:t xml:space="preserve">ous </w:t>
      </w:r>
      <w:r w:rsidR="008F341F">
        <w:rPr>
          <w:lang w:eastAsia="fr-FR"/>
        </w:rPr>
        <w:t>v</w:t>
      </w:r>
      <w:r w:rsidR="003C6237" w:rsidRPr="003C6237">
        <w:rPr>
          <w:lang w:eastAsia="fr-FR"/>
        </w:rPr>
        <w:t>ou</w:t>
      </w:r>
      <w:r w:rsidR="008F341F">
        <w:rPr>
          <w:lang w:eastAsia="fr-FR"/>
        </w:rPr>
        <w:t>s</w:t>
      </w:r>
      <w:r w:rsidR="003C6237" w:rsidRPr="003C6237">
        <w:rPr>
          <w:lang w:eastAsia="fr-FR"/>
        </w:rPr>
        <w:t xml:space="preserve"> ingérez dans les activités de l’employeur membre de l’</w:t>
      </w:r>
      <w:r w:rsidR="003C6237">
        <w:rPr>
          <w:lang w:eastAsia="fr-FR"/>
        </w:rPr>
        <w:t>a</w:t>
      </w:r>
      <w:r w:rsidR="003C6237" w:rsidRPr="003C6237">
        <w:rPr>
          <w:lang w:eastAsia="fr-FR"/>
        </w:rPr>
        <w:t>ssociation d’employeurs qu’est notre cliente.</w:t>
      </w:r>
    </w:p>
    <w:p w14:paraId="2F426CCE" w14:textId="527D1BBC" w:rsidR="003C6237" w:rsidRPr="00F14B5B" w:rsidRDefault="00C001F0" w:rsidP="00F14B5B">
      <w:pPr>
        <w:pStyle w:val="citation"/>
        <w:spacing w:before="240" w:after="360"/>
        <w:rPr>
          <w:sz w:val="24"/>
          <w:szCs w:val="24"/>
          <w:lang w:eastAsia="fr-FR"/>
        </w:rPr>
      </w:pPr>
      <w:r w:rsidRPr="00C001F0">
        <w:rPr>
          <w:sz w:val="24"/>
          <w:szCs w:val="24"/>
          <w:lang w:eastAsia="fr-FR"/>
        </w:rPr>
        <w:t>[Notre soulignement]</w:t>
      </w:r>
    </w:p>
    <w:p w14:paraId="5B92BC12" w14:textId="737FCD6E" w:rsidR="00F32325" w:rsidRDefault="004B13D7" w:rsidP="00D07C01">
      <w:pPr>
        <w:pStyle w:val="corpsdedcision"/>
        <w:rPr>
          <w:lang w:eastAsia="fr-FR"/>
        </w:rPr>
      </w:pPr>
      <w:r>
        <w:rPr>
          <w:lang w:eastAsia="fr-FR"/>
        </w:rPr>
        <w:t xml:space="preserve">La grève ne présente </w:t>
      </w:r>
      <w:r w:rsidR="00B242B0">
        <w:rPr>
          <w:lang w:eastAsia="fr-FR"/>
        </w:rPr>
        <w:t>pa</w:t>
      </w:r>
      <w:r>
        <w:rPr>
          <w:lang w:eastAsia="fr-FR"/>
        </w:rPr>
        <w:t xml:space="preserve">s que des inconvénients pour </w:t>
      </w:r>
      <w:r w:rsidR="00B242B0">
        <w:rPr>
          <w:lang w:eastAsia="fr-FR"/>
        </w:rPr>
        <w:t>l’employeur</w:t>
      </w:r>
      <w:r>
        <w:rPr>
          <w:lang w:eastAsia="fr-FR"/>
        </w:rPr>
        <w:t xml:space="preserve"> et les tiers. Les grévistes sont les premières à en su</w:t>
      </w:r>
      <w:r w:rsidR="00250102">
        <w:rPr>
          <w:lang w:eastAsia="fr-FR"/>
        </w:rPr>
        <w:t>bir</w:t>
      </w:r>
      <w:r>
        <w:rPr>
          <w:lang w:eastAsia="fr-FR"/>
        </w:rPr>
        <w:t xml:space="preserve"> les </w:t>
      </w:r>
      <w:r w:rsidR="00035240">
        <w:rPr>
          <w:lang w:eastAsia="fr-FR"/>
        </w:rPr>
        <w:t>répercu</w:t>
      </w:r>
      <w:r w:rsidR="00662E54">
        <w:rPr>
          <w:lang w:eastAsia="fr-FR"/>
        </w:rPr>
        <w:t>ss</w:t>
      </w:r>
      <w:r w:rsidR="00035240">
        <w:rPr>
          <w:lang w:eastAsia="fr-FR"/>
        </w:rPr>
        <w:t>ions</w:t>
      </w:r>
      <w:r>
        <w:rPr>
          <w:lang w:eastAsia="fr-FR"/>
        </w:rPr>
        <w:t xml:space="preserve">. </w:t>
      </w:r>
      <w:r w:rsidR="00B242B0">
        <w:rPr>
          <w:lang w:eastAsia="fr-FR"/>
        </w:rPr>
        <w:t xml:space="preserve">Le 22 octobre </w:t>
      </w:r>
      <w:r w:rsidR="00C60CAD">
        <w:rPr>
          <w:lang w:eastAsia="fr-FR"/>
        </w:rPr>
        <w:t>2025, les</w:t>
      </w:r>
      <w:r w:rsidR="003D0853">
        <w:rPr>
          <w:lang w:eastAsia="fr-FR"/>
        </w:rPr>
        <w:t xml:space="preserve"> </w:t>
      </w:r>
      <w:r w:rsidR="00B242B0">
        <w:rPr>
          <w:lang w:eastAsia="fr-FR"/>
        </w:rPr>
        <w:t>salariées</w:t>
      </w:r>
      <w:r w:rsidR="003D0853">
        <w:rPr>
          <w:lang w:eastAsia="fr-FR"/>
        </w:rPr>
        <w:t xml:space="preserve"> on</w:t>
      </w:r>
      <w:r w:rsidR="00B242B0">
        <w:rPr>
          <w:lang w:eastAsia="fr-FR"/>
        </w:rPr>
        <w:t>t</w:t>
      </w:r>
      <w:r w:rsidR="003D0853">
        <w:rPr>
          <w:lang w:eastAsia="fr-FR"/>
        </w:rPr>
        <w:t xml:space="preserve"> entrepris un grève générale illimitée. Elle</w:t>
      </w:r>
      <w:r w:rsidR="00B242B0">
        <w:rPr>
          <w:lang w:eastAsia="fr-FR"/>
        </w:rPr>
        <w:t>s</w:t>
      </w:r>
      <w:r w:rsidR="003D0853">
        <w:rPr>
          <w:lang w:eastAsia="fr-FR"/>
        </w:rPr>
        <w:t xml:space="preserve"> </w:t>
      </w:r>
      <w:r w:rsidR="004643D7">
        <w:rPr>
          <w:lang w:eastAsia="fr-FR"/>
        </w:rPr>
        <w:t xml:space="preserve">assuraient collectivement </w:t>
      </w:r>
      <w:r w:rsidR="003D0853">
        <w:rPr>
          <w:lang w:eastAsia="fr-FR"/>
        </w:rPr>
        <w:t xml:space="preserve">du piquetage </w:t>
      </w:r>
      <w:r w:rsidR="004643D7">
        <w:rPr>
          <w:lang w:eastAsia="fr-FR"/>
        </w:rPr>
        <w:t>4</w:t>
      </w:r>
      <w:r w:rsidR="004643D7" w:rsidRPr="004643D7">
        <w:rPr>
          <w:lang w:eastAsia="fr-FR"/>
        </w:rPr>
        <w:t>0</w:t>
      </w:r>
      <w:r w:rsidR="003D0853" w:rsidRPr="004643D7">
        <w:rPr>
          <w:lang w:eastAsia="fr-FR"/>
        </w:rPr>
        <w:t xml:space="preserve"> heures</w:t>
      </w:r>
      <w:r w:rsidR="003D0853">
        <w:rPr>
          <w:lang w:eastAsia="fr-FR"/>
        </w:rPr>
        <w:t xml:space="preserve"> par </w:t>
      </w:r>
      <w:r w:rsidR="00B242B0">
        <w:rPr>
          <w:lang w:eastAsia="fr-FR"/>
        </w:rPr>
        <w:t>semaines jusqu’au dé</w:t>
      </w:r>
      <w:r w:rsidR="00C60CAD">
        <w:rPr>
          <w:lang w:eastAsia="fr-FR"/>
        </w:rPr>
        <w:t>cret</w:t>
      </w:r>
      <w:r w:rsidR="003D0853">
        <w:rPr>
          <w:lang w:eastAsia="fr-FR"/>
        </w:rPr>
        <w:t>. Après</w:t>
      </w:r>
      <w:r w:rsidR="004C7D22">
        <w:rPr>
          <w:lang w:eastAsia="fr-FR"/>
        </w:rPr>
        <w:t xml:space="preserve"> </w:t>
      </w:r>
      <w:r w:rsidR="004643D7">
        <w:rPr>
          <w:lang w:eastAsia="fr-FR"/>
        </w:rPr>
        <w:t>cinq</w:t>
      </w:r>
      <w:r w:rsidR="004C7D22">
        <w:rPr>
          <w:lang w:eastAsia="fr-FR"/>
        </w:rPr>
        <w:t xml:space="preserve"> mois </w:t>
      </w:r>
      <w:r w:rsidR="004643D7">
        <w:rPr>
          <w:lang w:eastAsia="fr-FR"/>
        </w:rPr>
        <w:t>de grève</w:t>
      </w:r>
      <w:r w:rsidR="004C7D22">
        <w:rPr>
          <w:lang w:eastAsia="fr-FR"/>
        </w:rPr>
        <w:t xml:space="preserve"> et de privation</w:t>
      </w:r>
      <w:r w:rsidR="004643D7">
        <w:rPr>
          <w:lang w:eastAsia="fr-FR"/>
        </w:rPr>
        <w:t>s</w:t>
      </w:r>
      <w:r w:rsidR="004C7D22">
        <w:rPr>
          <w:lang w:eastAsia="fr-FR"/>
        </w:rPr>
        <w:t xml:space="preserve">, elles voient leurs </w:t>
      </w:r>
      <w:r w:rsidR="004C7D22" w:rsidRPr="004643D7">
        <w:rPr>
          <w:lang w:eastAsia="fr-FR"/>
        </w:rPr>
        <w:t>efforts</w:t>
      </w:r>
      <w:r w:rsidR="004C7D22">
        <w:rPr>
          <w:lang w:eastAsia="fr-FR"/>
        </w:rPr>
        <w:t xml:space="preserve"> </w:t>
      </w:r>
      <w:r w:rsidR="00B242B0">
        <w:rPr>
          <w:lang w:eastAsia="fr-FR"/>
        </w:rPr>
        <w:t>pratiquement anéantis</w:t>
      </w:r>
      <w:r w:rsidR="00C60CAD">
        <w:rPr>
          <w:lang w:eastAsia="fr-FR"/>
        </w:rPr>
        <w:t xml:space="preserve"> par l’obligation de maintenir des SB</w:t>
      </w:r>
      <w:r w:rsidR="00794011">
        <w:rPr>
          <w:lang w:eastAsia="fr-FR"/>
        </w:rPr>
        <w:t>EP</w:t>
      </w:r>
      <w:r w:rsidR="00B242B0">
        <w:rPr>
          <w:lang w:eastAsia="fr-FR"/>
        </w:rPr>
        <w:t>.</w:t>
      </w:r>
    </w:p>
    <w:p w14:paraId="754EF955" w14:textId="55266BA8" w:rsidR="00DD33D4" w:rsidRDefault="000B0B36" w:rsidP="000B0B36">
      <w:pPr>
        <w:pStyle w:val="corpsdedcision"/>
        <w:rPr>
          <w:lang w:eastAsia="fr-FR"/>
        </w:rPr>
      </w:pPr>
      <w:r>
        <w:rPr>
          <w:lang w:eastAsia="fr-FR"/>
        </w:rPr>
        <w:t>C</w:t>
      </w:r>
      <w:r w:rsidRPr="00063838">
        <w:rPr>
          <w:lang w:eastAsia="fr-FR"/>
        </w:rPr>
        <w:t xml:space="preserve">omme l’écrit la Cour suprême dans l’arrêt </w:t>
      </w:r>
      <w:r w:rsidRPr="00735377">
        <w:rPr>
          <w:i/>
          <w:iCs/>
          <w:lang w:eastAsia="fr-FR"/>
        </w:rPr>
        <w:t>Saskatchewan</w:t>
      </w:r>
      <w:r w:rsidR="0087738D">
        <w:rPr>
          <w:rStyle w:val="Appelnotedebasdep"/>
          <w:lang w:eastAsia="fr-FR"/>
        </w:rPr>
        <w:footnoteReference w:id="135"/>
      </w:r>
      <w:r w:rsidRPr="00063838">
        <w:rPr>
          <w:lang w:eastAsia="fr-FR"/>
        </w:rPr>
        <w:t>, « </w:t>
      </w:r>
      <w:r w:rsidRPr="00DA1B4A">
        <w:rPr>
          <w:rStyle w:val="Citationintgre"/>
          <w:i w:val="0"/>
          <w:iCs/>
          <w:sz w:val="24"/>
          <w:szCs w:val="22"/>
          <w:lang w:eastAsia="fr-FR"/>
        </w:rPr>
        <w:t>[f]</w:t>
      </w:r>
      <w:r w:rsidRPr="00063838">
        <w:rPr>
          <w:rStyle w:val="Citationintgre"/>
          <w:lang w:eastAsia="fr-FR"/>
        </w:rPr>
        <w:t>aire la grève ne garantit pas en soi qu’un conflit de travail sera réglé d’une certaine manière, ni même du tout</w:t>
      </w:r>
      <w:r w:rsidRPr="00063838">
        <w:rPr>
          <w:lang w:eastAsia="fr-FR"/>
        </w:rPr>
        <w:t xml:space="preserve">. […] </w:t>
      </w:r>
      <w:r w:rsidRPr="00063838">
        <w:rPr>
          <w:rStyle w:val="Citationintgre"/>
          <w:lang w:eastAsia="fr-FR"/>
        </w:rPr>
        <w:t>Elle permet toutefois aux salariés de négocier davantage sur un pied d’égalité avec l’employeur</w:t>
      </w:r>
      <w:r w:rsidRPr="00063838">
        <w:rPr>
          <w:lang w:eastAsia="fr-FR"/>
        </w:rPr>
        <w:t> »</w:t>
      </w:r>
      <w:r>
        <w:rPr>
          <w:lang w:eastAsia="fr-FR"/>
        </w:rPr>
        <w:t>.</w:t>
      </w:r>
      <w:r w:rsidRPr="000B0B36">
        <w:rPr>
          <w:lang w:eastAsia="fr-FR"/>
        </w:rPr>
        <w:t xml:space="preserve"> </w:t>
      </w:r>
      <w:r>
        <w:rPr>
          <w:lang w:eastAsia="fr-FR"/>
        </w:rPr>
        <w:t xml:space="preserve">L’application du régime des SBEP a limité </w:t>
      </w:r>
      <w:r w:rsidR="007F0A00">
        <w:rPr>
          <w:lang w:eastAsia="fr-FR"/>
        </w:rPr>
        <w:t xml:space="preserve">de façon importante </w:t>
      </w:r>
      <w:r>
        <w:rPr>
          <w:lang w:eastAsia="fr-FR"/>
        </w:rPr>
        <w:t>la grève</w:t>
      </w:r>
      <w:r w:rsidR="00794011">
        <w:rPr>
          <w:lang w:eastAsia="fr-FR"/>
        </w:rPr>
        <w:t>,</w:t>
      </w:r>
      <w:r>
        <w:rPr>
          <w:lang w:eastAsia="fr-FR"/>
        </w:rPr>
        <w:t xml:space="preserve"> </w:t>
      </w:r>
      <w:r w:rsidR="00AA4648">
        <w:rPr>
          <w:lang w:eastAsia="fr-FR"/>
        </w:rPr>
        <w:t xml:space="preserve">ce qui a aggravé </w:t>
      </w:r>
      <w:r w:rsidR="00AA4648" w:rsidRPr="008F341F">
        <w:rPr>
          <w:lang w:eastAsia="fr-FR"/>
        </w:rPr>
        <w:t>significativement</w:t>
      </w:r>
      <w:r w:rsidRPr="008F341F">
        <w:rPr>
          <w:lang w:eastAsia="fr-FR"/>
        </w:rPr>
        <w:t xml:space="preserve"> l</w:t>
      </w:r>
      <w:r>
        <w:rPr>
          <w:lang w:eastAsia="fr-FR"/>
        </w:rPr>
        <w:t>e déséquilibre d</w:t>
      </w:r>
      <w:r w:rsidR="00AA4648">
        <w:rPr>
          <w:lang w:eastAsia="fr-FR"/>
        </w:rPr>
        <w:t>u rapport de</w:t>
      </w:r>
      <w:r>
        <w:rPr>
          <w:lang w:eastAsia="fr-FR"/>
        </w:rPr>
        <w:t xml:space="preserve"> force</w:t>
      </w:r>
      <w:r w:rsidR="00AA4648">
        <w:rPr>
          <w:lang w:eastAsia="fr-FR"/>
        </w:rPr>
        <w:t>.</w:t>
      </w:r>
    </w:p>
    <w:p w14:paraId="44E6C2A6" w14:textId="22667DEB" w:rsidR="00802A20" w:rsidRDefault="006D2DB1" w:rsidP="00802A20">
      <w:pPr>
        <w:pStyle w:val="Titre4"/>
      </w:pPr>
      <w:r>
        <w:t xml:space="preserve">Conclusion sur </w:t>
      </w:r>
      <w:r w:rsidR="00A75D5A">
        <w:t>l’entrave substantielle</w:t>
      </w:r>
    </w:p>
    <w:p w14:paraId="7881FB5B" w14:textId="0962E8A1" w:rsidR="0075395C" w:rsidRDefault="00CC189C" w:rsidP="0075395C">
      <w:pPr>
        <w:pStyle w:val="corpsdedcision"/>
        <w:rPr>
          <w:lang w:eastAsia="fr-FR"/>
        </w:rPr>
      </w:pPr>
      <w:r>
        <w:rPr>
          <w:lang w:eastAsia="fr-FR"/>
        </w:rPr>
        <w:t xml:space="preserve">Le Tribunal </w:t>
      </w:r>
      <w:r w:rsidR="004113DD">
        <w:rPr>
          <w:lang w:eastAsia="fr-FR"/>
        </w:rPr>
        <w:t>arrive</w:t>
      </w:r>
      <w:r>
        <w:rPr>
          <w:lang w:eastAsia="fr-FR"/>
        </w:rPr>
        <w:t xml:space="preserve"> donc à la conclusion </w:t>
      </w:r>
      <w:r w:rsidR="004113DD">
        <w:rPr>
          <w:lang w:eastAsia="fr-FR"/>
        </w:rPr>
        <w:t>que</w:t>
      </w:r>
      <w:r w:rsidR="0005787F">
        <w:rPr>
          <w:lang w:eastAsia="fr-FR"/>
        </w:rPr>
        <w:t xml:space="preserve"> le régime des SBEP</w:t>
      </w:r>
      <w:r w:rsidR="00C001F0">
        <w:rPr>
          <w:lang w:eastAsia="fr-FR"/>
        </w:rPr>
        <w:t xml:space="preserve"> </w:t>
      </w:r>
      <w:r w:rsidR="004C431D">
        <w:rPr>
          <w:lang w:eastAsia="fr-FR"/>
        </w:rPr>
        <w:t xml:space="preserve">accentue </w:t>
      </w:r>
      <w:r w:rsidR="009C30BF">
        <w:rPr>
          <w:lang w:eastAsia="fr-FR"/>
        </w:rPr>
        <w:t>le</w:t>
      </w:r>
      <w:r w:rsidR="004C431D">
        <w:rPr>
          <w:lang w:eastAsia="fr-FR"/>
        </w:rPr>
        <w:t xml:space="preserve"> déséquilibre des forces au point de porter atteinte à un processus véritable de négociation collective.</w:t>
      </w:r>
    </w:p>
    <w:p w14:paraId="2974C6A7" w14:textId="7943BA61" w:rsidR="009B567B" w:rsidRDefault="00B61D91" w:rsidP="00F73C77">
      <w:pPr>
        <w:pStyle w:val="corpsdedcision"/>
        <w:rPr>
          <w:lang w:eastAsia="fr-FR"/>
        </w:rPr>
      </w:pPr>
      <w:r>
        <w:rPr>
          <w:lang w:eastAsia="fr-FR"/>
        </w:rPr>
        <w:t>Le régime des SBEP</w:t>
      </w:r>
      <w:r w:rsidR="004548D2">
        <w:rPr>
          <w:lang w:eastAsia="fr-FR"/>
        </w:rPr>
        <w:t xml:space="preserve"> a </w:t>
      </w:r>
      <w:r w:rsidR="009B567B">
        <w:rPr>
          <w:lang w:eastAsia="fr-FR"/>
        </w:rPr>
        <w:t>interféré</w:t>
      </w:r>
      <w:r w:rsidR="00D65FD7">
        <w:rPr>
          <w:lang w:eastAsia="fr-FR"/>
        </w:rPr>
        <w:t xml:space="preserve"> dans</w:t>
      </w:r>
      <w:r w:rsidR="004548D2">
        <w:rPr>
          <w:lang w:eastAsia="fr-FR"/>
        </w:rPr>
        <w:t xml:space="preserve"> le droit des salariées de négocier </w:t>
      </w:r>
      <w:r w:rsidR="00643D1F">
        <w:rPr>
          <w:lang w:eastAsia="fr-FR"/>
        </w:rPr>
        <w:t xml:space="preserve">collectivement </w:t>
      </w:r>
      <w:r w:rsidR="004548D2">
        <w:rPr>
          <w:lang w:eastAsia="fr-FR"/>
        </w:rPr>
        <w:t xml:space="preserve">une condition de travail importante dont elles bénéficiaient depuis 40 ans et qui concerne leur rémunération, en accordant à l’employeur un outil qui l’a placé dans une position </w:t>
      </w:r>
      <w:r w:rsidR="004E603F">
        <w:rPr>
          <w:lang w:eastAsia="fr-FR"/>
        </w:rPr>
        <w:t xml:space="preserve">avantageuse et </w:t>
      </w:r>
      <w:r w:rsidR="00AA4648">
        <w:rPr>
          <w:lang w:eastAsia="fr-FR"/>
        </w:rPr>
        <w:t xml:space="preserve">a contribué à l’adoption d’une attitude </w:t>
      </w:r>
      <w:r w:rsidR="004548D2">
        <w:rPr>
          <w:lang w:eastAsia="fr-FR"/>
        </w:rPr>
        <w:t>attentiste</w:t>
      </w:r>
      <w:r w:rsidR="00AA4648">
        <w:rPr>
          <w:lang w:eastAsia="fr-FR"/>
        </w:rPr>
        <w:t xml:space="preserve"> et inflexible</w:t>
      </w:r>
      <w:r w:rsidR="004548D2">
        <w:rPr>
          <w:lang w:eastAsia="fr-FR"/>
        </w:rPr>
        <w:t xml:space="preserve">. Il a bouleversé les règles alors que les négociations étaient en cours et que les salariées exerçaient leur droit de grève. </w:t>
      </w:r>
      <w:r w:rsidR="009B567B">
        <w:rPr>
          <w:lang w:eastAsia="fr-FR"/>
        </w:rPr>
        <w:t xml:space="preserve">Il a ainsi </w:t>
      </w:r>
      <w:r w:rsidR="006A496C">
        <w:rPr>
          <w:lang w:eastAsia="fr-FR"/>
        </w:rPr>
        <w:t xml:space="preserve">compromis la capacité des </w:t>
      </w:r>
      <w:r w:rsidR="00D951ED">
        <w:rPr>
          <w:lang w:eastAsia="fr-FR"/>
        </w:rPr>
        <w:t>salariées</w:t>
      </w:r>
      <w:r w:rsidR="006A496C">
        <w:rPr>
          <w:lang w:eastAsia="fr-FR"/>
        </w:rPr>
        <w:t xml:space="preserve"> </w:t>
      </w:r>
      <w:r w:rsidR="00AF7C26">
        <w:rPr>
          <w:lang w:eastAsia="fr-FR"/>
        </w:rPr>
        <w:t xml:space="preserve">d’agir d’une seule voix afin </w:t>
      </w:r>
      <w:r w:rsidR="00C001F0">
        <w:rPr>
          <w:lang w:eastAsia="fr-FR"/>
        </w:rPr>
        <w:t xml:space="preserve">de </w:t>
      </w:r>
      <w:r w:rsidR="00AF7C26">
        <w:rPr>
          <w:lang w:eastAsia="fr-FR"/>
        </w:rPr>
        <w:t>réaliser un objectif commun</w:t>
      </w:r>
      <w:r w:rsidR="004E589A">
        <w:rPr>
          <w:lang w:eastAsia="fr-FR"/>
        </w:rPr>
        <w:t>.</w:t>
      </w:r>
    </w:p>
    <w:p w14:paraId="11726F46" w14:textId="60232F25" w:rsidR="00F70BFA" w:rsidRDefault="000A2407" w:rsidP="00C16821">
      <w:pPr>
        <w:pStyle w:val="corpsdedcision"/>
        <w:keepNext/>
        <w:keepLines/>
        <w:rPr>
          <w:lang w:eastAsia="fr-FR"/>
        </w:rPr>
      </w:pPr>
      <w:r>
        <w:rPr>
          <w:lang w:eastAsia="fr-FR"/>
        </w:rPr>
        <w:t>Le régime des SBEP</w:t>
      </w:r>
      <w:r w:rsidR="004548D2">
        <w:rPr>
          <w:lang w:eastAsia="fr-FR"/>
        </w:rPr>
        <w:t xml:space="preserve"> a </w:t>
      </w:r>
      <w:r>
        <w:rPr>
          <w:lang w:eastAsia="fr-FR"/>
        </w:rPr>
        <w:t xml:space="preserve">également conduit à </w:t>
      </w:r>
      <w:r w:rsidR="004548D2">
        <w:rPr>
          <w:lang w:eastAsia="fr-FR"/>
        </w:rPr>
        <w:t>restrein</w:t>
      </w:r>
      <w:r>
        <w:rPr>
          <w:lang w:eastAsia="fr-FR"/>
        </w:rPr>
        <w:t>dre</w:t>
      </w:r>
      <w:r w:rsidR="004548D2">
        <w:rPr>
          <w:lang w:eastAsia="fr-FR"/>
        </w:rPr>
        <w:t xml:space="preserve"> de façon importante </w:t>
      </w:r>
      <w:r w:rsidR="00BC01DA">
        <w:rPr>
          <w:lang w:eastAsia="fr-FR"/>
        </w:rPr>
        <w:t xml:space="preserve">la </w:t>
      </w:r>
      <w:r w:rsidR="004548D2">
        <w:rPr>
          <w:lang w:eastAsia="fr-FR"/>
        </w:rPr>
        <w:t xml:space="preserve">grève générale illimitée en cours depuis plusieurs mois, au point de priver les salariées du levier que représente </w:t>
      </w:r>
      <w:r w:rsidR="00E85140">
        <w:rPr>
          <w:lang w:eastAsia="fr-FR"/>
        </w:rPr>
        <w:t>normalement ce moyen</w:t>
      </w:r>
      <w:r w:rsidR="004548D2">
        <w:rPr>
          <w:lang w:eastAsia="fr-FR"/>
        </w:rPr>
        <w:t xml:space="preserve"> pour rétablir le rapport de force</w:t>
      </w:r>
      <w:r w:rsidR="001C2B4A">
        <w:rPr>
          <w:lang w:eastAsia="fr-FR"/>
        </w:rPr>
        <w:t>. Il a réduit</w:t>
      </w:r>
      <w:r w:rsidR="004548D2">
        <w:rPr>
          <w:lang w:eastAsia="fr-FR"/>
        </w:rPr>
        <w:t xml:space="preserve"> presque à néant leurs actions de mobilisation.</w:t>
      </w:r>
    </w:p>
    <w:p w14:paraId="636B6E3F" w14:textId="278FF1A9" w:rsidR="00F70BFA" w:rsidRDefault="00F70BFA" w:rsidP="00F73C77">
      <w:pPr>
        <w:pStyle w:val="corpsdedcision"/>
        <w:rPr>
          <w:lang w:eastAsia="fr-FR"/>
        </w:rPr>
      </w:pPr>
      <w:r>
        <w:rPr>
          <w:lang w:eastAsia="fr-FR"/>
        </w:rPr>
        <w:t xml:space="preserve">Ainsi, </w:t>
      </w:r>
      <w:r w:rsidR="00EB4693">
        <w:rPr>
          <w:lang w:eastAsia="fr-FR"/>
        </w:rPr>
        <w:t xml:space="preserve">les effets du régime des SBEP </w:t>
      </w:r>
      <w:r w:rsidR="00A75D5A">
        <w:rPr>
          <w:lang w:eastAsia="fr-FR"/>
        </w:rPr>
        <w:t xml:space="preserve">entravent </w:t>
      </w:r>
      <w:r w:rsidR="00EB4693">
        <w:rPr>
          <w:lang w:eastAsia="fr-FR"/>
        </w:rPr>
        <w:t>de façon substantielle un processus véritable de négociation collective.</w:t>
      </w:r>
      <w:r>
        <w:rPr>
          <w:lang w:eastAsia="fr-FR"/>
        </w:rPr>
        <w:t xml:space="preserve"> </w:t>
      </w:r>
      <w:r w:rsidR="00A75D5A">
        <w:rPr>
          <w:lang w:eastAsia="fr-FR"/>
        </w:rPr>
        <w:t>Le régime des SBEP porte atteinte à la liberté d’association.</w:t>
      </w:r>
    </w:p>
    <w:p w14:paraId="0FC71155" w14:textId="44689FA6" w:rsidR="00F71C91" w:rsidRDefault="00BA0A89" w:rsidP="00F73C77">
      <w:pPr>
        <w:pStyle w:val="corpsdedcision"/>
        <w:rPr>
          <w:lang w:eastAsia="fr-FR"/>
        </w:rPr>
      </w:pPr>
      <w:r>
        <w:rPr>
          <w:lang w:eastAsia="fr-FR"/>
        </w:rPr>
        <w:t xml:space="preserve">Sa </w:t>
      </w:r>
      <w:r w:rsidR="000F7019">
        <w:rPr>
          <w:lang w:eastAsia="fr-FR"/>
        </w:rPr>
        <w:t>justification</w:t>
      </w:r>
      <w:r>
        <w:rPr>
          <w:lang w:eastAsia="fr-FR"/>
        </w:rPr>
        <w:t xml:space="preserve"> doit alors être démontr</w:t>
      </w:r>
      <w:r w:rsidR="000C4E44">
        <w:rPr>
          <w:lang w:eastAsia="fr-FR"/>
        </w:rPr>
        <w:t>ée par l’État</w:t>
      </w:r>
      <w:r w:rsidR="006807DA">
        <w:rPr>
          <w:lang w:eastAsia="fr-FR"/>
        </w:rPr>
        <w:t xml:space="preserve"> au regard des articles 1 de la Charte canadienne et 9.1 de la Charte québécoise</w:t>
      </w:r>
      <w:r w:rsidR="004548D2">
        <w:rPr>
          <w:lang w:eastAsia="fr-FR"/>
        </w:rPr>
        <w:t>.</w:t>
      </w:r>
    </w:p>
    <w:p w14:paraId="191FE698" w14:textId="40BB1C8E" w:rsidR="00BA4175" w:rsidRDefault="00A8236A" w:rsidP="00E470B6">
      <w:pPr>
        <w:pStyle w:val="Titre1"/>
        <w:jc w:val="both"/>
      </w:pPr>
      <w:r>
        <w:t xml:space="preserve">cette atteinte est-elle justifiée par l’article </w:t>
      </w:r>
      <w:r w:rsidRPr="001C2E09">
        <w:t>1</w:t>
      </w:r>
      <w:r>
        <w:t xml:space="preserve"> de la Charte canadienne et l’article 9.1 de la Charte québécoise</w:t>
      </w:r>
      <w:r w:rsidR="00E470B6">
        <w:t>?</w:t>
      </w:r>
    </w:p>
    <w:p w14:paraId="070AC747" w14:textId="76C8D604" w:rsidR="00510F9E" w:rsidRDefault="00510F9E" w:rsidP="00510F9E">
      <w:pPr>
        <w:pStyle w:val="Titre2"/>
      </w:pPr>
      <w:r>
        <w:t>la grille d’Analyse</w:t>
      </w:r>
    </w:p>
    <w:p w14:paraId="26429808" w14:textId="3F4A9A29" w:rsidR="005728CE" w:rsidRDefault="009C7187" w:rsidP="00905DB3">
      <w:pPr>
        <w:pStyle w:val="corpsdedcision"/>
        <w:rPr>
          <w:lang w:eastAsia="fr-FR"/>
        </w:rPr>
      </w:pPr>
      <w:r>
        <w:rPr>
          <w:lang w:eastAsia="fr-FR"/>
        </w:rPr>
        <w:t>L’article</w:t>
      </w:r>
      <w:r w:rsidR="005728CE">
        <w:rPr>
          <w:lang w:eastAsia="fr-FR"/>
        </w:rPr>
        <w:t xml:space="preserve"> 1 de la </w:t>
      </w:r>
      <w:r>
        <w:rPr>
          <w:lang w:eastAsia="fr-FR"/>
        </w:rPr>
        <w:t>C</w:t>
      </w:r>
      <w:r w:rsidR="005728CE">
        <w:rPr>
          <w:lang w:eastAsia="fr-FR"/>
        </w:rPr>
        <w:t>harte canadienne g</w:t>
      </w:r>
      <w:r>
        <w:rPr>
          <w:lang w:eastAsia="fr-FR"/>
        </w:rPr>
        <w:t>a</w:t>
      </w:r>
      <w:r w:rsidR="005728CE">
        <w:rPr>
          <w:lang w:eastAsia="fr-FR"/>
        </w:rPr>
        <w:t xml:space="preserve">rantit </w:t>
      </w:r>
      <w:r w:rsidR="008C65A9">
        <w:rPr>
          <w:lang w:eastAsia="fr-FR"/>
        </w:rPr>
        <w:t>les droit</w:t>
      </w:r>
      <w:r w:rsidR="00F20F69">
        <w:rPr>
          <w:lang w:eastAsia="fr-FR"/>
        </w:rPr>
        <w:t>s</w:t>
      </w:r>
      <w:r w:rsidR="008C65A9">
        <w:rPr>
          <w:lang w:eastAsia="fr-FR"/>
        </w:rPr>
        <w:t xml:space="preserve"> et libertés qui y sont énoncés</w:t>
      </w:r>
      <w:r>
        <w:rPr>
          <w:lang w:eastAsia="fr-FR"/>
        </w:rPr>
        <w:t xml:space="preserve"> et prévoit</w:t>
      </w:r>
      <w:r w:rsidR="008C65A9">
        <w:rPr>
          <w:lang w:eastAsia="fr-FR"/>
        </w:rPr>
        <w:t xml:space="preserve"> </w:t>
      </w:r>
      <w:r w:rsidR="00941010">
        <w:rPr>
          <w:lang w:eastAsia="fr-FR"/>
        </w:rPr>
        <w:t>« </w:t>
      </w:r>
      <w:r>
        <w:rPr>
          <w:lang w:eastAsia="fr-FR"/>
        </w:rPr>
        <w:t>[qu’]</w:t>
      </w:r>
      <w:r w:rsidR="00941010" w:rsidRPr="009C7187">
        <w:rPr>
          <w:rStyle w:val="Citationintgre"/>
          <w:lang w:eastAsia="fr-FR"/>
        </w:rPr>
        <w:t>ils ne peuvent être restreints que par une règle de droit, dans les limites</w:t>
      </w:r>
      <w:r w:rsidR="00581708" w:rsidRPr="009C7187">
        <w:rPr>
          <w:rStyle w:val="Citationintgre"/>
          <w:lang w:eastAsia="fr-FR"/>
        </w:rPr>
        <w:t xml:space="preserve"> qui </w:t>
      </w:r>
      <w:r w:rsidRPr="009C7187">
        <w:rPr>
          <w:rStyle w:val="Citationintgre"/>
          <w:lang w:eastAsia="fr-FR"/>
        </w:rPr>
        <w:t>soient</w:t>
      </w:r>
      <w:r w:rsidR="00581708" w:rsidRPr="009C7187">
        <w:rPr>
          <w:rStyle w:val="Citationintgre"/>
          <w:lang w:eastAsia="fr-FR"/>
        </w:rPr>
        <w:t xml:space="preserve"> raisonnables et dont la justification puisse se </w:t>
      </w:r>
      <w:r w:rsidRPr="009C7187">
        <w:rPr>
          <w:rStyle w:val="Citationintgre"/>
          <w:lang w:eastAsia="fr-FR"/>
        </w:rPr>
        <w:t>démontrer</w:t>
      </w:r>
      <w:r w:rsidR="00581708" w:rsidRPr="009C7187">
        <w:rPr>
          <w:rStyle w:val="Citationintgre"/>
          <w:lang w:eastAsia="fr-FR"/>
        </w:rPr>
        <w:t xml:space="preserve"> dans le cadre d’une société libre et démocratique</w:t>
      </w:r>
      <w:r w:rsidR="00581708">
        <w:rPr>
          <w:lang w:eastAsia="fr-FR"/>
        </w:rPr>
        <w:t> »</w:t>
      </w:r>
      <w:r>
        <w:rPr>
          <w:lang w:eastAsia="fr-FR"/>
        </w:rPr>
        <w:t>.</w:t>
      </w:r>
    </w:p>
    <w:p w14:paraId="143740C8" w14:textId="03DA44C1" w:rsidR="001933D8" w:rsidRDefault="001933D8" w:rsidP="00905DB3">
      <w:pPr>
        <w:pStyle w:val="corpsdedcision"/>
        <w:rPr>
          <w:lang w:eastAsia="fr-FR"/>
        </w:rPr>
      </w:pPr>
      <w:r>
        <w:rPr>
          <w:lang w:eastAsia="fr-FR"/>
        </w:rPr>
        <w:t>L’</w:t>
      </w:r>
      <w:r w:rsidR="00B93FBA">
        <w:rPr>
          <w:lang w:eastAsia="fr-FR"/>
        </w:rPr>
        <w:t>article</w:t>
      </w:r>
      <w:r>
        <w:rPr>
          <w:lang w:eastAsia="fr-FR"/>
        </w:rPr>
        <w:t xml:space="preserve"> 9.1 de la </w:t>
      </w:r>
      <w:r w:rsidR="00F35D2D">
        <w:rPr>
          <w:lang w:eastAsia="fr-FR"/>
        </w:rPr>
        <w:t>C</w:t>
      </w:r>
      <w:r>
        <w:rPr>
          <w:lang w:eastAsia="fr-FR"/>
        </w:rPr>
        <w:t>harte québécoise</w:t>
      </w:r>
      <w:r w:rsidR="00B93FBA">
        <w:rPr>
          <w:lang w:eastAsia="fr-FR"/>
        </w:rPr>
        <w:t xml:space="preserve"> </w:t>
      </w:r>
      <w:r w:rsidR="00C36B0B">
        <w:rPr>
          <w:lang w:eastAsia="fr-FR"/>
        </w:rPr>
        <w:t xml:space="preserve">correspond à l’article </w:t>
      </w:r>
      <w:r w:rsidR="00C36B0B" w:rsidRPr="004A3D79">
        <w:rPr>
          <w:lang w:eastAsia="fr-FR"/>
        </w:rPr>
        <w:t>1</w:t>
      </w:r>
      <w:r w:rsidR="00C36B0B">
        <w:rPr>
          <w:lang w:eastAsia="fr-FR"/>
        </w:rPr>
        <w:t xml:space="preserve"> de la Charte canadienne et </w:t>
      </w:r>
      <w:r w:rsidR="00993E7B">
        <w:rPr>
          <w:lang w:eastAsia="fr-FR"/>
        </w:rPr>
        <w:t>entraine l’application des mêmes critères</w:t>
      </w:r>
      <w:r w:rsidR="00B93FBA">
        <w:rPr>
          <w:rStyle w:val="Appelnotedebasdep"/>
          <w:lang w:eastAsia="fr-FR"/>
        </w:rPr>
        <w:footnoteReference w:id="136"/>
      </w:r>
      <w:r w:rsidR="00993E7B">
        <w:rPr>
          <w:lang w:eastAsia="fr-FR"/>
        </w:rPr>
        <w:t>.</w:t>
      </w:r>
    </w:p>
    <w:p w14:paraId="63887907" w14:textId="21D90843" w:rsidR="00A95725" w:rsidRPr="00A95725" w:rsidRDefault="00D8459C" w:rsidP="008A1388">
      <w:pPr>
        <w:pStyle w:val="corpsdedcision"/>
        <w:rPr>
          <w:lang w:eastAsia="fr-FR"/>
        </w:rPr>
      </w:pPr>
      <w:r>
        <w:rPr>
          <w:lang w:eastAsia="fr-FR"/>
        </w:rPr>
        <w:t xml:space="preserve">Dans l’arrêt </w:t>
      </w:r>
      <w:r w:rsidRPr="00257C80">
        <w:rPr>
          <w:i/>
          <w:iCs/>
          <w:lang w:eastAsia="fr-FR"/>
        </w:rPr>
        <w:t>R</w:t>
      </w:r>
      <w:r>
        <w:rPr>
          <w:lang w:eastAsia="fr-FR"/>
        </w:rPr>
        <w:t xml:space="preserve">. c. </w:t>
      </w:r>
      <w:r w:rsidRPr="00257C80">
        <w:rPr>
          <w:i/>
          <w:iCs/>
          <w:lang w:eastAsia="fr-FR"/>
        </w:rPr>
        <w:t>Oakes</w:t>
      </w:r>
      <w:r w:rsidRPr="008957E8">
        <w:rPr>
          <w:rStyle w:val="Appelnotedebasdep"/>
          <w:lang w:eastAsia="fr-FR"/>
        </w:rPr>
        <w:footnoteReference w:id="137"/>
      </w:r>
      <w:r>
        <w:rPr>
          <w:i/>
          <w:iCs/>
          <w:lang w:eastAsia="fr-FR"/>
        </w:rPr>
        <w:t>,</w:t>
      </w:r>
      <w:r w:rsidRPr="00CA29EF">
        <w:rPr>
          <w:lang w:eastAsia="fr-FR"/>
        </w:rPr>
        <w:t xml:space="preserve"> </w:t>
      </w:r>
      <w:r>
        <w:rPr>
          <w:lang w:eastAsia="fr-FR"/>
        </w:rPr>
        <w:t>l</w:t>
      </w:r>
      <w:r w:rsidR="00CA29EF">
        <w:rPr>
          <w:lang w:eastAsia="fr-FR"/>
        </w:rPr>
        <w:t xml:space="preserve">a Cour suprême </w:t>
      </w:r>
      <w:r>
        <w:rPr>
          <w:lang w:eastAsia="fr-FR"/>
        </w:rPr>
        <w:t>dresse</w:t>
      </w:r>
      <w:r w:rsidR="00CA29EF">
        <w:rPr>
          <w:lang w:eastAsia="fr-FR"/>
        </w:rPr>
        <w:t xml:space="preserve"> l</w:t>
      </w:r>
      <w:r w:rsidR="00235F51">
        <w:rPr>
          <w:lang w:eastAsia="fr-FR"/>
        </w:rPr>
        <w:t>e cadre</w:t>
      </w:r>
      <w:r w:rsidR="004F4753">
        <w:rPr>
          <w:lang w:eastAsia="fr-FR"/>
        </w:rPr>
        <w:t xml:space="preserve"> </w:t>
      </w:r>
      <w:r w:rsidR="009B6083">
        <w:rPr>
          <w:lang w:eastAsia="fr-FR"/>
        </w:rPr>
        <w:t>d’analyse qui</w:t>
      </w:r>
      <w:r w:rsidR="00A12E19">
        <w:rPr>
          <w:lang w:eastAsia="fr-FR"/>
        </w:rPr>
        <w:t xml:space="preserve"> </w:t>
      </w:r>
      <w:r w:rsidR="00C11024">
        <w:rPr>
          <w:lang w:eastAsia="fr-FR"/>
        </w:rPr>
        <w:t>permet</w:t>
      </w:r>
      <w:r w:rsidR="00A12E19">
        <w:rPr>
          <w:lang w:eastAsia="fr-FR"/>
        </w:rPr>
        <w:t xml:space="preserve"> d’établir si une </w:t>
      </w:r>
      <w:r w:rsidR="009B6674">
        <w:rPr>
          <w:lang w:eastAsia="fr-FR"/>
        </w:rPr>
        <w:t>règle de droit</w:t>
      </w:r>
      <w:r w:rsidR="004F4753">
        <w:rPr>
          <w:lang w:eastAsia="fr-FR"/>
        </w:rPr>
        <w:t xml:space="preserve"> contraire à la Charte</w:t>
      </w:r>
      <w:r w:rsidR="00284E84">
        <w:rPr>
          <w:lang w:eastAsia="fr-FR"/>
        </w:rPr>
        <w:t xml:space="preserve"> canadienne</w:t>
      </w:r>
      <w:r w:rsidR="004F4753">
        <w:rPr>
          <w:lang w:eastAsia="fr-FR"/>
        </w:rPr>
        <w:t xml:space="preserve"> </w:t>
      </w:r>
      <w:r w:rsidR="006F5AB6">
        <w:rPr>
          <w:lang w:eastAsia="fr-FR"/>
        </w:rPr>
        <w:t xml:space="preserve">peut se justifier comme </w:t>
      </w:r>
      <w:r w:rsidR="005544FD">
        <w:rPr>
          <w:lang w:eastAsia="fr-FR"/>
        </w:rPr>
        <w:t xml:space="preserve">une </w:t>
      </w:r>
      <w:r w:rsidR="006F5AB6">
        <w:rPr>
          <w:lang w:eastAsia="fr-FR"/>
        </w:rPr>
        <w:t>limite raisonnable en vertu de l’</w:t>
      </w:r>
      <w:r w:rsidR="00235F51">
        <w:rPr>
          <w:lang w:eastAsia="fr-FR"/>
        </w:rPr>
        <w:t>a</w:t>
      </w:r>
      <w:r w:rsidR="006F5AB6">
        <w:rPr>
          <w:lang w:eastAsia="fr-FR"/>
        </w:rPr>
        <w:t xml:space="preserve">rticle </w:t>
      </w:r>
      <w:r w:rsidR="00F35D2D">
        <w:rPr>
          <w:lang w:eastAsia="fr-FR"/>
        </w:rPr>
        <w:t>premier</w:t>
      </w:r>
      <w:r w:rsidR="00E52CC6">
        <w:rPr>
          <w:i/>
          <w:iCs/>
          <w:lang w:eastAsia="fr-FR"/>
        </w:rPr>
        <w:t>.</w:t>
      </w:r>
    </w:p>
    <w:p w14:paraId="3EC2B09F" w14:textId="7C4052C2" w:rsidR="001D2504" w:rsidRDefault="00E52CC6" w:rsidP="008A1388">
      <w:pPr>
        <w:pStyle w:val="corpsdedcision"/>
        <w:rPr>
          <w:lang w:eastAsia="fr-FR"/>
        </w:rPr>
      </w:pPr>
      <w:r>
        <w:rPr>
          <w:lang w:eastAsia="fr-FR"/>
        </w:rPr>
        <w:t>Le test comporte deux étapes</w:t>
      </w:r>
      <w:r w:rsidR="008665CE">
        <w:rPr>
          <w:lang w:eastAsia="fr-FR"/>
        </w:rPr>
        <w:t>.</w:t>
      </w:r>
      <w:r w:rsidR="00D8459C">
        <w:rPr>
          <w:lang w:eastAsia="fr-FR"/>
        </w:rPr>
        <w:t xml:space="preserve"> </w:t>
      </w:r>
      <w:r w:rsidR="008665CE">
        <w:rPr>
          <w:lang w:eastAsia="fr-FR"/>
        </w:rPr>
        <w:t xml:space="preserve">Tout d’abord, </w:t>
      </w:r>
      <w:r>
        <w:rPr>
          <w:lang w:eastAsia="fr-FR"/>
        </w:rPr>
        <w:t>l</w:t>
      </w:r>
      <w:r w:rsidR="005A7822">
        <w:rPr>
          <w:lang w:eastAsia="fr-FR"/>
        </w:rPr>
        <w:t>’obje</w:t>
      </w:r>
      <w:r w:rsidR="00F642F8">
        <w:rPr>
          <w:lang w:eastAsia="fr-FR"/>
        </w:rPr>
        <w:t>ctif</w:t>
      </w:r>
      <w:r w:rsidR="005A7822">
        <w:rPr>
          <w:lang w:eastAsia="fr-FR"/>
        </w:rPr>
        <w:t xml:space="preserve"> </w:t>
      </w:r>
      <w:r w:rsidR="00041948">
        <w:rPr>
          <w:lang w:eastAsia="fr-FR"/>
        </w:rPr>
        <w:t>de la mesure doit être</w:t>
      </w:r>
      <w:r w:rsidR="008665CE">
        <w:rPr>
          <w:lang w:eastAsia="fr-FR"/>
        </w:rPr>
        <w:t xml:space="preserve"> </w:t>
      </w:r>
      <w:r w:rsidR="005A7822">
        <w:rPr>
          <w:lang w:eastAsia="fr-FR"/>
        </w:rPr>
        <w:t xml:space="preserve">réel et urgent </w:t>
      </w:r>
      <w:r w:rsidR="00B80E70">
        <w:rPr>
          <w:lang w:eastAsia="fr-FR"/>
        </w:rPr>
        <w:t>pour justifier une restriction à un droit garanti par la Charte</w:t>
      </w:r>
      <w:r w:rsidR="00284E84">
        <w:rPr>
          <w:lang w:eastAsia="fr-FR"/>
        </w:rPr>
        <w:t xml:space="preserve"> canadienne</w:t>
      </w:r>
      <w:r w:rsidR="00F20F69">
        <w:rPr>
          <w:lang w:eastAsia="fr-FR"/>
        </w:rPr>
        <w:t>.</w:t>
      </w:r>
      <w:r w:rsidR="00B80E70">
        <w:rPr>
          <w:lang w:eastAsia="fr-FR"/>
        </w:rPr>
        <w:t xml:space="preserve"> </w:t>
      </w:r>
      <w:r w:rsidR="00041948">
        <w:rPr>
          <w:lang w:eastAsia="fr-FR"/>
        </w:rPr>
        <w:t>Puis</w:t>
      </w:r>
      <w:r w:rsidR="002D40BC">
        <w:rPr>
          <w:lang w:eastAsia="fr-FR"/>
        </w:rPr>
        <w:t>,</w:t>
      </w:r>
      <w:r w:rsidR="00035240">
        <w:rPr>
          <w:lang w:eastAsia="fr-FR"/>
        </w:rPr>
        <w:t> </w:t>
      </w:r>
      <w:r w:rsidR="00712707">
        <w:rPr>
          <w:lang w:eastAsia="fr-FR"/>
        </w:rPr>
        <w:t>les</w:t>
      </w:r>
      <w:r w:rsidR="00035240">
        <w:rPr>
          <w:lang w:eastAsia="fr-FR"/>
        </w:rPr>
        <w:t> </w:t>
      </w:r>
      <w:r w:rsidR="00712707">
        <w:rPr>
          <w:lang w:eastAsia="fr-FR"/>
        </w:rPr>
        <w:t xml:space="preserve">moyens choisis </w:t>
      </w:r>
      <w:r w:rsidR="0057379E">
        <w:rPr>
          <w:lang w:eastAsia="fr-FR"/>
        </w:rPr>
        <w:t xml:space="preserve">pour atteindre l’objectif </w:t>
      </w:r>
      <w:r w:rsidR="00712707">
        <w:rPr>
          <w:lang w:eastAsia="fr-FR"/>
        </w:rPr>
        <w:t>doivent être proportionn</w:t>
      </w:r>
      <w:r w:rsidR="0006559C">
        <w:rPr>
          <w:lang w:eastAsia="fr-FR"/>
        </w:rPr>
        <w:t>és</w:t>
      </w:r>
      <w:r w:rsidR="005A7822">
        <w:rPr>
          <w:lang w:eastAsia="fr-FR"/>
        </w:rPr>
        <w:t>.</w:t>
      </w:r>
      <w:r w:rsidR="00A95725">
        <w:rPr>
          <w:lang w:eastAsia="fr-FR"/>
        </w:rPr>
        <w:t xml:space="preserve"> </w:t>
      </w:r>
      <w:r w:rsidR="0057379E">
        <w:rPr>
          <w:lang w:eastAsia="fr-FR"/>
        </w:rPr>
        <w:t xml:space="preserve">L’analyse de la proportionnalité </w:t>
      </w:r>
      <w:r w:rsidR="00D8459C">
        <w:rPr>
          <w:lang w:eastAsia="fr-FR"/>
        </w:rPr>
        <w:t>se décline</w:t>
      </w:r>
      <w:r w:rsidR="002620D0">
        <w:rPr>
          <w:lang w:eastAsia="fr-FR"/>
        </w:rPr>
        <w:t xml:space="preserve"> en trois</w:t>
      </w:r>
      <w:r w:rsidR="00257C80" w:rsidRPr="00A95725">
        <w:rPr>
          <w:i/>
          <w:iCs/>
          <w:lang w:eastAsia="fr-FR"/>
        </w:rPr>
        <w:t xml:space="preserve"> </w:t>
      </w:r>
      <w:r w:rsidR="007B70E3">
        <w:rPr>
          <w:lang w:eastAsia="fr-FR"/>
        </w:rPr>
        <w:t>critère</w:t>
      </w:r>
      <w:r w:rsidR="0057379E">
        <w:rPr>
          <w:lang w:eastAsia="fr-FR"/>
        </w:rPr>
        <w:t>s</w:t>
      </w:r>
      <w:r w:rsidR="002620D0" w:rsidRPr="00A95725">
        <w:rPr>
          <w:i/>
          <w:iCs/>
          <w:lang w:eastAsia="fr-FR"/>
        </w:rPr>
        <w:t> </w:t>
      </w:r>
      <w:r w:rsidR="002620D0" w:rsidRPr="00EB1FA0">
        <w:rPr>
          <w:lang w:eastAsia="fr-FR"/>
        </w:rPr>
        <w:t xml:space="preserve">: </w:t>
      </w:r>
      <w:r w:rsidR="00CE2154">
        <w:rPr>
          <w:lang w:eastAsia="fr-FR"/>
        </w:rPr>
        <w:t>le</w:t>
      </w:r>
      <w:r w:rsidR="00EB1FA0">
        <w:rPr>
          <w:lang w:eastAsia="fr-FR"/>
        </w:rPr>
        <w:t xml:space="preserve"> </w:t>
      </w:r>
      <w:r w:rsidR="002620D0" w:rsidRPr="00914255">
        <w:rPr>
          <w:lang w:eastAsia="fr-FR"/>
        </w:rPr>
        <w:t>lien rationnel</w:t>
      </w:r>
      <w:r w:rsidR="002B6EC7">
        <w:rPr>
          <w:lang w:eastAsia="fr-FR"/>
        </w:rPr>
        <w:t xml:space="preserve"> avec l’objectif</w:t>
      </w:r>
      <w:r w:rsidR="00CE2154">
        <w:rPr>
          <w:lang w:eastAsia="fr-FR"/>
        </w:rPr>
        <w:t>, l’</w:t>
      </w:r>
      <w:r w:rsidR="008B6592" w:rsidRPr="00914255">
        <w:rPr>
          <w:lang w:eastAsia="fr-FR"/>
        </w:rPr>
        <w:t>atteinte</w:t>
      </w:r>
      <w:r w:rsidR="00723ED6" w:rsidRPr="00914255">
        <w:rPr>
          <w:lang w:eastAsia="fr-FR"/>
        </w:rPr>
        <w:t xml:space="preserve"> </w:t>
      </w:r>
      <w:r w:rsidR="00CE2154">
        <w:rPr>
          <w:lang w:eastAsia="fr-FR"/>
        </w:rPr>
        <w:t>minimal</w:t>
      </w:r>
      <w:r w:rsidR="00712707">
        <w:rPr>
          <w:lang w:eastAsia="fr-FR"/>
        </w:rPr>
        <w:t>e</w:t>
      </w:r>
      <w:r w:rsidR="00CE2154">
        <w:rPr>
          <w:lang w:eastAsia="fr-FR"/>
        </w:rPr>
        <w:t xml:space="preserve"> </w:t>
      </w:r>
      <w:r w:rsidR="002B6EC7">
        <w:rPr>
          <w:lang w:eastAsia="fr-FR"/>
        </w:rPr>
        <w:t xml:space="preserve">au droit </w:t>
      </w:r>
      <w:r w:rsidR="00CE2154">
        <w:rPr>
          <w:lang w:eastAsia="fr-FR"/>
        </w:rPr>
        <w:t xml:space="preserve">et </w:t>
      </w:r>
      <w:r w:rsidR="007F3EF5">
        <w:rPr>
          <w:lang w:eastAsia="fr-FR"/>
        </w:rPr>
        <w:t xml:space="preserve">la proportionnalité </w:t>
      </w:r>
      <w:r w:rsidR="00744FF7">
        <w:rPr>
          <w:lang w:eastAsia="fr-FR"/>
        </w:rPr>
        <w:t xml:space="preserve">entre </w:t>
      </w:r>
      <w:r w:rsidR="0010178E">
        <w:rPr>
          <w:lang w:eastAsia="fr-FR"/>
        </w:rPr>
        <w:t>les effets de la mesure</w:t>
      </w:r>
      <w:r w:rsidR="001D6F01">
        <w:rPr>
          <w:lang w:eastAsia="fr-FR"/>
        </w:rPr>
        <w:t xml:space="preserve"> </w:t>
      </w:r>
      <w:r w:rsidR="00166E59">
        <w:rPr>
          <w:lang w:eastAsia="fr-FR"/>
        </w:rPr>
        <w:t xml:space="preserve">et </w:t>
      </w:r>
      <w:r w:rsidR="001D6F01">
        <w:rPr>
          <w:lang w:eastAsia="fr-FR"/>
        </w:rPr>
        <w:t>l’objectif recherché par le législateur</w:t>
      </w:r>
      <w:r w:rsidR="00166E59">
        <w:rPr>
          <w:lang w:eastAsia="fr-FR"/>
        </w:rPr>
        <w:t xml:space="preserve"> (y compris la mise en balance des effets bénéfiques et </w:t>
      </w:r>
      <w:r w:rsidR="008168F3">
        <w:rPr>
          <w:lang w:eastAsia="fr-FR"/>
        </w:rPr>
        <w:t>préjudiciables de la mesure)</w:t>
      </w:r>
      <w:r w:rsidR="00311629">
        <w:rPr>
          <w:rStyle w:val="Appelnotedebasdep"/>
          <w:lang w:eastAsia="fr-FR"/>
        </w:rPr>
        <w:footnoteReference w:id="138"/>
      </w:r>
      <w:r w:rsidR="001D6F01">
        <w:rPr>
          <w:lang w:eastAsia="fr-FR"/>
        </w:rPr>
        <w:t>.</w:t>
      </w:r>
    </w:p>
    <w:p w14:paraId="07C19F06" w14:textId="1859A4F8" w:rsidR="0021001C" w:rsidRDefault="00E81D4D" w:rsidP="008A1388">
      <w:pPr>
        <w:pStyle w:val="corpsdedcision"/>
        <w:tabs>
          <w:tab w:val="clear" w:pos="360"/>
          <w:tab w:val="num" w:pos="720"/>
        </w:tabs>
        <w:rPr>
          <w:lang w:eastAsia="fr-FR"/>
        </w:rPr>
      </w:pPr>
      <w:r w:rsidRPr="00E81D4D">
        <w:t>Le PGQ</w:t>
      </w:r>
      <w:r w:rsidR="001204DC" w:rsidRPr="00E81D4D">
        <w:t xml:space="preserve"> a le fardeau d’établir chacun des éléments que prévoit l’arrêt </w:t>
      </w:r>
      <w:r w:rsidR="00AE7668" w:rsidRPr="00E81D4D">
        <w:rPr>
          <w:i/>
          <w:iCs/>
        </w:rPr>
        <w:t>Oakes</w:t>
      </w:r>
      <w:r w:rsidRPr="00737818">
        <w:rPr>
          <w:rStyle w:val="Appelnotedebasdep"/>
        </w:rPr>
        <w:footnoteReference w:id="139"/>
      </w:r>
      <w:r w:rsidR="00AE7668" w:rsidRPr="00E81D4D">
        <w:t xml:space="preserve"> pour</w:t>
      </w:r>
      <w:r w:rsidR="001204DC" w:rsidRPr="00E81D4D">
        <w:t xml:space="preserve"> réussir à démontrer qu’une règle de droit constitue, selon la prépondérance</w:t>
      </w:r>
      <w:r w:rsidR="00AE7668" w:rsidRPr="00E81D4D">
        <w:t xml:space="preserve"> </w:t>
      </w:r>
      <w:r w:rsidR="001204DC" w:rsidRPr="00E81D4D">
        <w:t>des probabilités</w:t>
      </w:r>
      <w:r w:rsidR="00B52A31">
        <w:rPr>
          <w:rStyle w:val="Appelnotedebasdep"/>
          <w:rFonts w:cs="Arial"/>
        </w:rPr>
        <w:footnoteReference w:id="140"/>
      </w:r>
      <w:r w:rsidR="001204DC" w:rsidRPr="00E81D4D">
        <w:t>, une restriction raisonnable des droits garantis par la Charte</w:t>
      </w:r>
      <w:r w:rsidR="00284E84">
        <w:t xml:space="preserve"> canadienne</w:t>
      </w:r>
      <w:r>
        <w:rPr>
          <w:lang w:val="fr-FR" w:eastAsia="fr-FR"/>
        </w:rPr>
        <w:t>.</w:t>
      </w:r>
    </w:p>
    <w:p w14:paraId="6C855A90" w14:textId="792533ED" w:rsidR="00DB52BC" w:rsidRDefault="00DB52BC" w:rsidP="008A1388">
      <w:pPr>
        <w:pStyle w:val="corpsdedcision"/>
        <w:rPr>
          <w:lang w:eastAsia="fr-FR"/>
        </w:rPr>
      </w:pPr>
      <w:r>
        <w:rPr>
          <w:lang w:eastAsia="fr-FR"/>
        </w:rPr>
        <w:t xml:space="preserve">Les parties n’ont pas remis en question l’existence d’une règle de droit. </w:t>
      </w:r>
      <w:r w:rsidR="00A95725">
        <w:rPr>
          <w:lang w:eastAsia="fr-FR"/>
        </w:rPr>
        <w:t>L’atteinte</w:t>
      </w:r>
      <w:r>
        <w:rPr>
          <w:lang w:eastAsia="fr-FR"/>
        </w:rPr>
        <w:t xml:space="preserve"> </w:t>
      </w:r>
      <w:r w:rsidR="00A95725">
        <w:rPr>
          <w:lang w:eastAsia="fr-FR"/>
        </w:rPr>
        <w:t xml:space="preserve">à la liberté d’association </w:t>
      </w:r>
      <w:r>
        <w:rPr>
          <w:lang w:eastAsia="fr-FR"/>
        </w:rPr>
        <w:t>découle du chapitre V.1.1 du Code.</w:t>
      </w:r>
    </w:p>
    <w:p w14:paraId="3E5CC7FC" w14:textId="6B71CC81" w:rsidR="009B46A0" w:rsidRDefault="00DB52BC" w:rsidP="008A1388">
      <w:pPr>
        <w:pStyle w:val="corpsdedcision"/>
        <w:rPr>
          <w:lang w:eastAsia="fr-FR"/>
        </w:rPr>
      </w:pPr>
      <w:r>
        <w:rPr>
          <w:lang w:eastAsia="fr-FR"/>
        </w:rPr>
        <w:t>Par ailleurs, m</w:t>
      </w:r>
      <w:r w:rsidR="009B46A0">
        <w:rPr>
          <w:lang w:eastAsia="fr-FR"/>
        </w:rPr>
        <w:t>ême</w:t>
      </w:r>
      <w:r w:rsidR="001371D8">
        <w:rPr>
          <w:lang w:eastAsia="fr-FR"/>
        </w:rPr>
        <w:t xml:space="preserve"> si </w:t>
      </w:r>
      <w:r w:rsidR="00642967">
        <w:rPr>
          <w:lang w:eastAsia="fr-FR"/>
        </w:rPr>
        <w:t xml:space="preserve">la </w:t>
      </w:r>
      <w:r w:rsidR="009056D6">
        <w:rPr>
          <w:lang w:eastAsia="fr-FR"/>
        </w:rPr>
        <w:t>grille</w:t>
      </w:r>
      <w:r w:rsidR="001371D8">
        <w:rPr>
          <w:lang w:eastAsia="fr-FR"/>
        </w:rPr>
        <w:t xml:space="preserve"> </w:t>
      </w:r>
      <w:r w:rsidR="00740A16">
        <w:rPr>
          <w:lang w:eastAsia="fr-FR"/>
        </w:rPr>
        <w:t xml:space="preserve">d’analyse </w:t>
      </w:r>
      <w:r w:rsidR="001371D8">
        <w:rPr>
          <w:lang w:eastAsia="fr-FR"/>
        </w:rPr>
        <w:t>est bien connu</w:t>
      </w:r>
      <w:r w:rsidR="009056D6">
        <w:rPr>
          <w:lang w:eastAsia="fr-FR"/>
        </w:rPr>
        <w:t>e</w:t>
      </w:r>
      <w:r w:rsidR="001371D8">
        <w:rPr>
          <w:lang w:eastAsia="fr-FR"/>
        </w:rPr>
        <w:t xml:space="preserve">, </w:t>
      </w:r>
      <w:r w:rsidR="00087B68">
        <w:rPr>
          <w:lang w:eastAsia="fr-FR"/>
        </w:rPr>
        <w:t xml:space="preserve">les parties </w:t>
      </w:r>
      <w:r w:rsidR="00B322FA">
        <w:rPr>
          <w:lang w:eastAsia="fr-FR"/>
        </w:rPr>
        <w:t xml:space="preserve">divergent </w:t>
      </w:r>
      <w:r w:rsidR="00087B68">
        <w:rPr>
          <w:lang w:eastAsia="fr-FR"/>
        </w:rPr>
        <w:t xml:space="preserve">d’opinion quant </w:t>
      </w:r>
      <w:r w:rsidR="00740A16">
        <w:rPr>
          <w:lang w:eastAsia="fr-FR"/>
        </w:rPr>
        <w:t xml:space="preserve">à </w:t>
      </w:r>
      <w:r w:rsidR="009B46A0">
        <w:rPr>
          <w:lang w:eastAsia="fr-FR"/>
        </w:rPr>
        <w:t>son application.</w:t>
      </w:r>
    </w:p>
    <w:p w14:paraId="07258106" w14:textId="734CDCBC" w:rsidR="009056D6" w:rsidRDefault="0021001C" w:rsidP="008A1388">
      <w:pPr>
        <w:pStyle w:val="corpsdedcision"/>
        <w:rPr>
          <w:lang w:eastAsia="fr-FR"/>
        </w:rPr>
      </w:pPr>
      <w:r>
        <w:rPr>
          <w:lang w:eastAsia="fr-FR"/>
        </w:rPr>
        <w:t xml:space="preserve">Le PGQ plaide </w:t>
      </w:r>
      <w:r w:rsidRPr="000B0B50">
        <w:rPr>
          <w:lang w:eastAsia="fr-FR"/>
        </w:rPr>
        <w:t xml:space="preserve">pour une application souple du test de l’arrêt </w:t>
      </w:r>
      <w:r w:rsidRPr="0021001C">
        <w:rPr>
          <w:i/>
          <w:iCs/>
          <w:lang w:eastAsia="fr-FR"/>
        </w:rPr>
        <w:t>Oakes</w:t>
      </w:r>
      <w:r w:rsidR="00A95725">
        <w:rPr>
          <w:i/>
          <w:iCs/>
          <w:lang w:eastAsia="fr-FR"/>
        </w:rPr>
        <w:t xml:space="preserve">, </w:t>
      </w:r>
      <w:r w:rsidR="00A95725" w:rsidRPr="00A95725">
        <w:rPr>
          <w:lang w:eastAsia="fr-FR"/>
        </w:rPr>
        <w:t xml:space="preserve">qui </w:t>
      </w:r>
      <w:r w:rsidR="00A95725">
        <w:rPr>
          <w:lang w:eastAsia="fr-FR"/>
        </w:rPr>
        <w:t xml:space="preserve">doit conduire le Tribunal </w:t>
      </w:r>
      <w:r w:rsidR="00BA66E5">
        <w:rPr>
          <w:lang w:eastAsia="fr-FR"/>
        </w:rPr>
        <w:t xml:space="preserve">à </w:t>
      </w:r>
      <w:r w:rsidR="00A95725">
        <w:rPr>
          <w:lang w:eastAsia="fr-FR"/>
        </w:rPr>
        <w:t xml:space="preserve">faire preuve d’une plus grande déférence à l’égard du législateur à </w:t>
      </w:r>
      <w:r w:rsidR="00A95725" w:rsidRPr="000B0B50">
        <w:rPr>
          <w:lang w:eastAsia="fr-FR"/>
        </w:rPr>
        <w:t>toutes les étapes requises par l’analyse de la justification</w:t>
      </w:r>
      <w:r w:rsidR="00A95725">
        <w:rPr>
          <w:lang w:eastAsia="fr-FR"/>
        </w:rPr>
        <w:t xml:space="preserve"> lorsqu’il </w:t>
      </w:r>
      <w:r w:rsidR="003235F2">
        <w:rPr>
          <w:lang w:eastAsia="fr-FR"/>
        </w:rPr>
        <w:t xml:space="preserve">est </w:t>
      </w:r>
      <w:r w:rsidR="00A95725">
        <w:rPr>
          <w:lang w:eastAsia="fr-FR"/>
        </w:rPr>
        <w:t>question de politiques sociales relevant du domaine socioéconomique</w:t>
      </w:r>
      <w:r w:rsidR="00045E8D">
        <w:rPr>
          <w:rStyle w:val="Appelnotedebasdep"/>
          <w:lang w:eastAsia="fr-FR"/>
        </w:rPr>
        <w:footnoteReference w:id="141"/>
      </w:r>
      <w:r w:rsidR="00045E8D">
        <w:rPr>
          <w:lang w:eastAsia="fr-FR"/>
        </w:rPr>
        <w:t xml:space="preserve">. </w:t>
      </w:r>
      <w:r w:rsidR="003A60AC">
        <w:rPr>
          <w:lang w:eastAsia="fr-FR"/>
        </w:rPr>
        <w:t>Il est d’</w:t>
      </w:r>
      <w:r w:rsidR="00C4463B">
        <w:rPr>
          <w:lang w:eastAsia="fr-FR"/>
        </w:rPr>
        <w:t>a</w:t>
      </w:r>
      <w:r w:rsidR="003A60AC">
        <w:rPr>
          <w:lang w:eastAsia="fr-FR"/>
        </w:rPr>
        <w:t>vis que le régime des SBEP se justifie au regard de l’article premier</w:t>
      </w:r>
      <w:r w:rsidR="00761077">
        <w:rPr>
          <w:lang w:eastAsia="fr-FR"/>
        </w:rPr>
        <w:t xml:space="preserve"> de la Charte canadienne</w:t>
      </w:r>
      <w:r w:rsidR="003A60AC">
        <w:rPr>
          <w:lang w:eastAsia="fr-FR"/>
        </w:rPr>
        <w:t>.</w:t>
      </w:r>
    </w:p>
    <w:p w14:paraId="74865BDD" w14:textId="696439C5" w:rsidR="00F442BC" w:rsidRDefault="009B46A0" w:rsidP="008A1388">
      <w:pPr>
        <w:pStyle w:val="corpsdedcision"/>
        <w:keepNext/>
        <w:keepLines/>
        <w:widowControl w:val="0"/>
        <w:tabs>
          <w:tab w:val="clear" w:pos="360"/>
          <w:tab w:val="num" w:pos="720"/>
        </w:tabs>
        <w:rPr>
          <w:lang w:eastAsia="fr-FR"/>
        </w:rPr>
      </w:pPr>
      <w:r>
        <w:rPr>
          <w:lang w:eastAsia="fr-FR"/>
        </w:rPr>
        <w:t>Le syndicat</w:t>
      </w:r>
      <w:r w:rsidR="003A78FC">
        <w:rPr>
          <w:lang w:eastAsia="fr-FR"/>
        </w:rPr>
        <w:t>, appuyé par les parties intervenantes</w:t>
      </w:r>
      <w:r>
        <w:rPr>
          <w:lang w:eastAsia="fr-FR"/>
        </w:rPr>
        <w:t xml:space="preserve"> </w:t>
      </w:r>
      <w:r w:rsidR="003A78FC">
        <w:rPr>
          <w:lang w:eastAsia="fr-FR"/>
        </w:rPr>
        <w:t>de deuxième part</w:t>
      </w:r>
      <w:r w:rsidR="00A57539">
        <w:rPr>
          <w:lang w:eastAsia="fr-FR"/>
        </w:rPr>
        <w:t>,</w:t>
      </w:r>
      <w:r w:rsidR="003A78FC">
        <w:rPr>
          <w:lang w:eastAsia="fr-FR"/>
        </w:rPr>
        <w:t xml:space="preserve"> </w:t>
      </w:r>
      <w:r w:rsidR="005C6EE9">
        <w:rPr>
          <w:lang w:eastAsia="fr-FR"/>
        </w:rPr>
        <w:t xml:space="preserve">insiste plutôt sur le fait que le fardeau de preuve </w:t>
      </w:r>
      <w:r w:rsidR="00E217FB">
        <w:rPr>
          <w:lang w:eastAsia="fr-FR"/>
        </w:rPr>
        <w:t>repose sur</w:t>
      </w:r>
      <w:r w:rsidR="00D84B27">
        <w:rPr>
          <w:lang w:eastAsia="fr-FR"/>
        </w:rPr>
        <w:t xml:space="preserve"> l’</w:t>
      </w:r>
      <w:r w:rsidR="004C46CB">
        <w:rPr>
          <w:lang w:eastAsia="fr-FR"/>
        </w:rPr>
        <w:t>É</w:t>
      </w:r>
      <w:r w:rsidR="00D84B27">
        <w:rPr>
          <w:lang w:eastAsia="fr-FR"/>
        </w:rPr>
        <w:t xml:space="preserve">tat et qu’il </w:t>
      </w:r>
      <w:r w:rsidR="00B63E5D">
        <w:rPr>
          <w:lang w:eastAsia="fr-FR"/>
        </w:rPr>
        <w:t>s’agit d’un test exigeant</w:t>
      </w:r>
      <w:r w:rsidR="00B63E5D">
        <w:rPr>
          <w:rStyle w:val="Appelnotedebasdep"/>
          <w:lang w:eastAsia="fr-FR"/>
        </w:rPr>
        <w:footnoteReference w:id="142"/>
      </w:r>
      <w:r w:rsidR="00053434">
        <w:rPr>
          <w:lang w:eastAsia="fr-FR"/>
        </w:rPr>
        <w:t>.</w:t>
      </w:r>
      <w:r w:rsidR="002C798F">
        <w:rPr>
          <w:lang w:eastAsia="fr-FR"/>
        </w:rPr>
        <w:t xml:space="preserve"> </w:t>
      </w:r>
      <w:r w:rsidR="00737818">
        <w:rPr>
          <w:lang w:eastAsia="fr-FR"/>
        </w:rPr>
        <w:t>Celui-ci</w:t>
      </w:r>
      <w:r w:rsidR="00C4463B">
        <w:rPr>
          <w:lang w:eastAsia="fr-FR"/>
        </w:rPr>
        <w:t xml:space="preserve"> a échoué à établir la justification du régime des SBEP au regard de</w:t>
      </w:r>
      <w:r w:rsidR="008A1388">
        <w:rPr>
          <w:lang w:eastAsia="fr-FR"/>
        </w:rPr>
        <w:t xml:space="preserve"> </w:t>
      </w:r>
      <w:r w:rsidR="00C4463B">
        <w:rPr>
          <w:lang w:eastAsia="fr-FR"/>
        </w:rPr>
        <w:t>chaque</w:t>
      </w:r>
      <w:r w:rsidR="008A1388">
        <w:rPr>
          <w:lang w:eastAsia="fr-FR"/>
        </w:rPr>
        <w:t xml:space="preserve"> </w:t>
      </w:r>
      <w:r w:rsidR="00C4463B">
        <w:rPr>
          <w:lang w:eastAsia="fr-FR"/>
        </w:rPr>
        <w:t>critère.</w:t>
      </w:r>
    </w:p>
    <w:p w14:paraId="1F07EFD3" w14:textId="1763FCA7" w:rsidR="00126970" w:rsidRDefault="00F03FD1" w:rsidP="008A1388">
      <w:pPr>
        <w:pStyle w:val="corpsdedcision"/>
        <w:widowControl w:val="0"/>
        <w:tabs>
          <w:tab w:val="clear" w:pos="360"/>
          <w:tab w:val="num" w:pos="720"/>
        </w:tabs>
        <w:spacing w:before="360" w:after="240"/>
        <w:rPr>
          <w:rFonts w:cs="Arial"/>
        </w:rPr>
      </w:pPr>
      <w:r>
        <w:rPr>
          <w:rFonts w:cs="Arial"/>
        </w:rPr>
        <w:t>Il ressort de la jurisprudence que le test établi dans l’</w:t>
      </w:r>
      <w:r w:rsidR="00772319">
        <w:rPr>
          <w:rFonts w:cs="Arial"/>
        </w:rPr>
        <w:t>a</w:t>
      </w:r>
      <w:r>
        <w:rPr>
          <w:rFonts w:cs="Arial"/>
        </w:rPr>
        <w:t xml:space="preserve">rrêt </w:t>
      </w:r>
      <w:r w:rsidRPr="00772319">
        <w:rPr>
          <w:rFonts w:cs="Arial"/>
          <w:i/>
          <w:iCs/>
        </w:rPr>
        <w:t>Oakes</w:t>
      </w:r>
      <w:r>
        <w:rPr>
          <w:rFonts w:cs="Arial"/>
        </w:rPr>
        <w:t xml:space="preserve"> est toujours d’</w:t>
      </w:r>
      <w:r w:rsidR="00C436B5">
        <w:rPr>
          <w:rFonts w:cs="Arial"/>
        </w:rPr>
        <w:t>a</w:t>
      </w:r>
      <w:r>
        <w:rPr>
          <w:rFonts w:cs="Arial"/>
        </w:rPr>
        <w:t>c</w:t>
      </w:r>
      <w:r w:rsidR="00C436B5">
        <w:rPr>
          <w:rFonts w:cs="Arial"/>
        </w:rPr>
        <w:t>t</w:t>
      </w:r>
      <w:r>
        <w:rPr>
          <w:rFonts w:cs="Arial"/>
        </w:rPr>
        <w:t xml:space="preserve">ualité et </w:t>
      </w:r>
      <w:r w:rsidR="00EE532E">
        <w:rPr>
          <w:rFonts w:cs="Arial"/>
        </w:rPr>
        <w:t>utilis</w:t>
      </w:r>
      <w:r>
        <w:rPr>
          <w:rFonts w:cs="Arial"/>
        </w:rPr>
        <w:t>é par la Cour supr</w:t>
      </w:r>
      <w:r w:rsidR="00C436B5">
        <w:rPr>
          <w:rFonts w:cs="Arial"/>
        </w:rPr>
        <w:t xml:space="preserve">ême. </w:t>
      </w:r>
      <w:r w:rsidR="00E217FB">
        <w:rPr>
          <w:rFonts w:cs="Arial"/>
        </w:rPr>
        <w:t>Cependant, la jurisprudence précise qu’i</w:t>
      </w:r>
      <w:r w:rsidR="00223363">
        <w:rPr>
          <w:rFonts w:cs="Arial"/>
        </w:rPr>
        <w:t>l faut l’appliquer avec souplesse</w:t>
      </w:r>
      <w:r w:rsidR="00126970">
        <w:rPr>
          <w:rFonts w:cs="Arial"/>
        </w:rPr>
        <w:t>,</w:t>
      </w:r>
      <w:r w:rsidR="00223363">
        <w:rPr>
          <w:rFonts w:cs="Arial"/>
        </w:rPr>
        <w:t xml:space="preserve"> en fonction du contexte factuel et social de chaque cas</w:t>
      </w:r>
      <w:r w:rsidR="00126970">
        <w:rPr>
          <w:rFonts w:cs="Arial"/>
        </w:rPr>
        <w:t>, sans toutefois exagérer son importance. C’est ainsi que s’exprime la Cour suprême dans l’arrêt</w:t>
      </w:r>
      <w:r w:rsidR="00E70C0D">
        <w:rPr>
          <w:rFonts w:cs="Arial"/>
        </w:rPr>
        <w:t> </w:t>
      </w:r>
      <w:r w:rsidR="00126970" w:rsidRPr="00126970">
        <w:rPr>
          <w:rFonts w:cs="Arial"/>
          <w:i/>
          <w:iCs/>
          <w:szCs w:val="24"/>
        </w:rPr>
        <w:t>RJR</w:t>
      </w:r>
      <w:r w:rsidR="00126970" w:rsidRPr="00126970">
        <w:rPr>
          <w:rFonts w:cs="Arial"/>
          <w:szCs w:val="24"/>
        </w:rPr>
        <w:t>-</w:t>
      </w:r>
      <w:r w:rsidR="00330B5C" w:rsidRPr="00126970">
        <w:rPr>
          <w:rFonts w:cs="Arial"/>
          <w:i/>
          <w:iCs/>
          <w:szCs w:val="24"/>
        </w:rPr>
        <w:t>Mac</w:t>
      </w:r>
      <w:r w:rsidR="00330B5C">
        <w:rPr>
          <w:rFonts w:cs="Arial"/>
          <w:i/>
          <w:iCs/>
          <w:szCs w:val="24"/>
        </w:rPr>
        <w:t>D</w:t>
      </w:r>
      <w:r w:rsidR="00330B5C" w:rsidRPr="00126970">
        <w:rPr>
          <w:rFonts w:cs="Arial"/>
          <w:i/>
          <w:iCs/>
          <w:szCs w:val="24"/>
        </w:rPr>
        <w:t xml:space="preserve">onald </w:t>
      </w:r>
      <w:r w:rsidR="00126970" w:rsidRPr="00126970">
        <w:rPr>
          <w:rFonts w:cs="Arial"/>
          <w:i/>
          <w:iCs/>
          <w:szCs w:val="24"/>
        </w:rPr>
        <w:t>Inc</w:t>
      </w:r>
      <w:r w:rsidR="00126970" w:rsidRPr="00126970">
        <w:rPr>
          <w:rFonts w:cs="Arial"/>
          <w:szCs w:val="24"/>
        </w:rPr>
        <w:t xml:space="preserve">. c. </w:t>
      </w:r>
      <w:r w:rsidR="00126970" w:rsidRPr="00126970">
        <w:rPr>
          <w:rFonts w:cs="Arial"/>
          <w:i/>
          <w:iCs/>
          <w:szCs w:val="24"/>
        </w:rPr>
        <w:t>Canada (Procureur général)</w:t>
      </w:r>
      <w:r w:rsidR="00E613E4">
        <w:rPr>
          <w:rStyle w:val="Appelnotedebasdep"/>
          <w:rFonts w:cs="Arial"/>
        </w:rPr>
        <w:footnoteReference w:id="143"/>
      </w:r>
      <w:r w:rsidR="00126970">
        <w:rPr>
          <w:rFonts w:cs="Arial"/>
          <w:sz w:val="20"/>
        </w:rPr>
        <w:t> </w:t>
      </w:r>
      <w:r w:rsidR="00126970">
        <w:rPr>
          <w:rFonts w:cs="Arial"/>
        </w:rPr>
        <w:t>:</w:t>
      </w:r>
    </w:p>
    <w:p w14:paraId="20B2AFBB" w14:textId="19032904" w:rsidR="00CC530F" w:rsidRDefault="0039100A" w:rsidP="00126970">
      <w:pPr>
        <w:pStyle w:val="citation"/>
      </w:pPr>
      <w:r w:rsidRPr="00735377">
        <w:t>134</w:t>
      </w:r>
      <w:r w:rsidRPr="00735377">
        <w:tab/>
      </w:r>
      <w:r w:rsidR="00126970" w:rsidRPr="00CC530F">
        <w:rPr>
          <w:u w:val="single"/>
        </w:rPr>
        <w:t>Cependant, bien que la loi contestée doive être examinée dans son contexte social et économique, la jurisprudence n’indique aucunement que l’analyse contextuelle diminue l’</w:t>
      </w:r>
      <w:r w:rsidR="00CC530F" w:rsidRPr="00CC530F">
        <w:rPr>
          <w:u w:val="single"/>
        </w:rPr>
        <w:t>obligation</w:t>
      </w:r>
      <w:r w:rsidR="00126970" w:rsidRPr="00CC530F">
        <w:rPr>
          <w:u w:val="single"/>
        </w:rPr>
        <w:t xml:space="preserve"> qu’</w:t>
      </w:r>
      <w:r w:rsidR="00CC530F" w:rsidRPr="00CC530F">
        <w:rPr>
          <w:u w:val="single"/>
        </w:rPr>
        <w:t>a l’État de démontrer que la restriction des droits et raisonnable et justifiée.</w:t>
      </w:r>
      <w:r w:rsidR="00CC530F">
        <w:t xml:space="preserve"> Le contexte est essentiel dans la détermination de l’objectif législatif et de la proportionnalité, mais on ne peut pousser son importance à l’extrême et considérer ainsi la loi contestée comme un phénomène socio-économique unique dont le Parlement est réputé le meilleur juge. On se trouverait ainsi à atténuer l’obligation imposée au Parlement de justifier les restrictions qu’il apporte aux droit garantis par la </w:t>
      </w:r>
      <w:r w:rsidR="00CC530F" w:rsidRPr="002238CA">
        <w:rPr>
          <w:i/>
          <w:iCs/>
        </w:rPr>
        <w:t>Charte</w:t>
      </w:r>
      <w:r w:rsidR="00CC530F">
        <w:t xml:space="preserve">, et à remplacer la démonstration raisonnée envisagée par la </w:t>
      </w:r>
      <w:r w:rsidR="00CC530F" w:rsidRPr="002238CA">
        <w:rPr>
          <w:i/>
          <w:iCs/>
        </w:rPr>
        <w:t>Charte</w:t>
      </w:r>
      <w:r w:rsidR="00CC530F">
        <w:t xml:space="preserve"> par l’exercice du pouvoir discrétionnaire ad hoc d’un tribunal.</w:t>
      </w:r>
    </w:p>
    <w:p w14:paraId="7BA0C4C1" w14:textId="36F623B0" w:rsidR="00CC530F" w:rsidRPr="00CC530F" w:rsidRDefault="00CC530F" w:rsidP="00F14B5B">
      <w:pPr>
        <w:pStyle w:val="citation"/>
        <w:spacing w:before="240" w:after="360"/>
        <w:rPr>
          <w:sz w:val="24"/>
          <w:szCs w:val="24"/>
        </w:rPr>
      </w:pPr>
      <w:r w:rsidRPr="00CC530F">
        <w:rPr>
          <w:sz w:val="24"/>
          <w:szCs w:val="24"/>
        </w:rPr>
        <w:t>[</w:t>
      </w:r>
      <w:r w:rsidR="004B391F">
        <w:rPr>
          <w:sz w:val="24"/>
          <w:szCs w:val="24"/>
        </w:rPr>
        <w:t>N</w:t>
      </w:r>
      <w:r w:rsidRPr="00CC530F">
        <w:rPr>
          <w:sz w:val="24"/>
          <w:szCs w:val="24"/>
        </w:rPr>
        <w:t>otre soulig</w:t>
      </w:r>
      <w:r>
        <w:rPr>
          <w:sz w:val="24"/>
          <w:szCs w:val="24"/>
        </w:rPr>
        <w:t>n</w:t>
      </w:r>
      <w:r w:rsidRPr="00CC530F">
        <w:rPr>
          <w:sz w:val="24"/>
          <w:szCs w:val="24"/>
        </w:rPr>
        <w:t>ement]</w:t>
      </w:r>
    </w:p>
    <w:p w14:paraId="795265CA" w14:textId="535FD162" w:rsidR="00E613E4" w:rsidRDefault="00EE532E" w:rsidP="00F14B5B">
      <w:pPr>
        <w:pStyle w:val="corpsdedcision"/>
        <w:tabs>
          <w:tab w:val="clear" w:pos="360"/>
          <w:tab w:val="num" w:pos="720"/>
        </w:tabs>
        <w:spacing w:after="240"/>
        <w:rPr>
          <w:rFonts w:cs="Arial"/>
        </w:rPr>
      </w:pPr>
      <w:r>
        <w:rPr>
          <w:rFonts w:cs="Arial"/>
        </w:rPr>
        <w:t>Les tribunaux doivent également faire preuve d’une certaine déférence à l’égard de</w:t>
      </w:r>
      <w:r w:rsidR="009C30BF">
        <w:rPr>
          <w:rFonts w:cs="Arial"/>
        </w:rPr>
        <w:t>s</w:t>
      </w:r>
      <w:r>
        <w:rPr>
          <w:rFonts w:cs="Arial"/>
        </w:rPr>
        <w:t xml:space="preserve"> choix du législateur, </w:t>
      </w:r>
      <w:r w:rsidR="004B391F">
        <w:rPr>
          <w:rFonts w:cs="Arial"/>
        </w:rPr>
        <w:t>surtout l</w:t>
      </w:r>
      <w:r w:rsidR="004A5334">
        <w:rPr>
          <w:rFonts w:cs="Arial"/>
        </w:rPr>
        <w:t xml:space="preserve">orsqu’une loi </w:t>
      </w:r>
      <w:r w:rsidR="00F73C77" w:rsidRPr="00F73C77">
        <w:rPr>
          <w:rStyle w:val="cf01"/>
          <w:rFonts w:ascii="Arial" w:hAnsi="Arial" w:cs="Arial"/>
          <w:sz w:val="24"/>
          <w:szCs w:val="24"/>
        </w:rPr>
        <w:t xml:space="preserve">concilie </w:t>
      </w:r>
      <w:r w:rsidR="00F73C77" w:rsidRPr="006F441F">
        <w:rPr>
          <w:rStyle w:val="cf01"/>
          <w:rFonts w:ascii="Arial" w:hAnsi="Arial" w:cs="Arial"/>
          <w:sz w:val="24"/>
          <w:szCs w:val="24"/>
        </w:rPr>
        <w:t>des droits et intérêts collectifs et sociaux de la population</w:t>
      </w:r>
      <w:r w:rsidR="006F441F" w:rsidRPr="006F441F">
        <w:rPr>
          <w:rStyle w:val="cf01"/>
          <w:rFonts w:ascii="Arial" w:hAnsi="Arial" w:cs="Arial"/>
          <w:sz w:val="24"/>
          <w:szCs w:val="24"/>
        </w:rPr>
        <w:t xml:space="preserve"> qui peuvent diverger</w:t>
      </w:r>
      <w:r w:rsidR="004A5334">
        <w:rPr>
          <w:rStyle w:val="Appelnotedebasdep"/>
          <w:rFonts w:cs="Arial"/>
        </w:rPr>
        <w:footnoteReference w:id="144"/>
      </w:r>
      <w:r w:rsidR="004A5334">
        <w:rPr>
          <w:rFonts w:cs="Arial"/>
        </w:rPr>
        <w:t>.</w:t>
      </w:r>
      <w:r w:rsidR="00E613E4">
        <w:rPr>
          <w:rFonts w:cs="Arial"/>
        </w:rPr>
        <w:t xml:space="preserve"> </w:t>
      </w:r>
      <w:r w:rsidR="002738CE">
        <w:rPr>
          <w:rFonts w:cs="Arial"/>
        </w:rPr>
        <w:t>Toutefois</w:t>
      </w:r>
      <w:r w:rsidR="00385BC7">
        <w:rPr>
          <w:rFonts w:cs="Arial"/>
        </w:rPr>
        <w:t xml:space="preserve">, l’obligation </w:t>
      </w:r>
      <w:r w:rsidR="002738CE">
        <w:rPr>
          <w:rFonts w:cs="Arial"/>
        </w:rPr>
        <w:t xml:space="preserve">pour </w:t>
      </w:r>
      <w:r w:rsidR="00284E84">
        <w:rPr>
          <w:rFonts w:cs="Arial"/>
        </w:rPr>
        <w:t>l’État</w:t>
      </w:r>
      <w:r w:rsidR="002738CE">
        <w:rPr>
          <w:rFonts w:cs="Arial"/>
        </w:rPr>
        <w:t xml:space="preserve"> </w:t>
      </w:r>
      <w:r w:rsidR="00385BC7">
        <w:rPr>
          <w:rFonts w:cs="Arial"/>
        </w:rPr>
        <w:t xml:space="preserve">de </w:t>
      </w:r>
      <w:r w:rsidR="007065D6">
        <w:rPr>
          <w:rFonts w:cs="Arial"/>
        </w:rPr>
        <w:t>démontrer</w:t>
      </w:r>
      <w:r w:rsidR="00385BC7">
        <w:rPr>
          <w:rFonts w:cs="Arial"/>
        </w:rPr>
        <w:t xml:space="preserve"> la </w:t>
      </w:r>
      <w:r w:rsidR="007065D6">
        <w:rPr>
          <w:rFonts w:cs="Arial"/>
        </w:rPr>
        <w:t>justification</w:t>
      </w:r>
      <w:r w:rsidR="00385BC7">
        <w:rPr>
          <w:rFonts w:cs="Arial"/>
        </w:rPr>
        <w:t xml:space="preserve"> demeure</w:t>
      </w:r>
      <w:r w:rsidR="004B391F" w:rsidRPr="004B391F">
        <w:rPr>
          <w:rFonts w:cs="Arial"/>
        </w:rPr>
        <w:t xml:space="preserve"> </w:t>
      </w:r>
      <w:r w:rsidR="004B391F">
        <w:rPr>
          <w:rFonts w:cs="Arial"/>
        </w:rPr>
        <w:t>et les tribunaux ne doivent pas abdiquer leur rôle de gardien de la constitution</w:t>
      </w:r>
      <w:r w:rsidR="0039100A">
        <w:rPr>
          <w:rFonts w:cs="Arial"/>
        </w:rPr>
        <w:t xml:space="preserve">, comme le souligne la Cour suprême dans l’arrêt </w:t>
      </w:r>
      <w:r w:rsidR="0039100A" w:rsidRPr="0039100A">
        <w:rPr>
          <w:rFonts w:cs="Arial"/>
          <w:i/>
          <w:iCs/>
        </w:rPr>
        <w:t>RJR</w:t>
      </w:r>
      <w:r w:rsidR="00B45DBC">
        <w:rPr>
          <w:rFonts w:cs="Arial"/>
          <w:i/>
          <w:iCs/>
        </w:rPr>
        <w:noBreakHyphen/>
      </w:r>
      <w:r w:rsidR="00B11F82" w:rsidRPr="0039100A">
        <w:rPr>
          <w:rFonts w:cs="Arial"/>
          <w:i/>
          <w:iCs/>
        </w:rPr>
        <w:t>Mac</w:t>
      </w:r>
      <w:r w:rsidR="00B11F82">
        <w:rPr>
          <w:rFonts w:cs="Arial"/>
          <w:i/>
          <w:iCs/>
        </w:rPr>
        <w:t>D</w:t>
      </w:r>
      <w:r w:rsidR="00B11F82" w:rsidRPr="0039100A">
        <w:rPr>
          <w:rFonts w:cs="Arial"/>
          <w:i/>
          <w:iCs/>
        </w:rPr>
        <w:t>onald</w:t>
      </w:r>
      <w:r w:rsidR="006D27D6">
        <w:rPr>
          <w:rStyle w:val="Appelnotedebasdep"/>
          <w:rFonts w:cs="Arial"/>
        </w:rPr>
        <w:footnoteReference w:id="145"/>
      </w:r>
      <w:r w:rsidR="00385BC7">
        <w:rPr>
          <w:rFonts w:cs="Arial"/>
        </w:rPr>
        <w:t> :</w:t>
      </w:r>
    </w:p>
    <w:p w14:paraId="4A11C87A" w14:textId="71DE64FF" w:rsidR="007065D6" w:rsidRDefault="00F768BC" w:rsidP="00385BC7">
      <w:pPr>
        <w:pStyle w:val="citation"/>
      </w:pPr>
      <w:r w:rsidRPr="00F768BC">
        <w:t>136</w:t>
      </w:r>
      <w:r w:rsidRPr="00F768BC">
        <w:tab/>
      </w:r>
      <w:r w:rsidR="005C0100" w:rsidRPr="00BB72BF">
        <w:rPr>
          <w:u w:val="single"/>
        </w:rPr>
        <w:t xml:space="preserve">Cependant, comme pour le contexte, il faut prendre soin de ne pas pousser trop loin la notion </w:t>
      </w:r>
      <w:r>
        <w:rPr>
          <w:u w:val="single"/>
        </w:rPr>
        <w:t>du</w:t>
      </w:r>
      <w:r w:rsidR="005C0100" w:rsidRPr="00BB72BF">
        <w:rPr>
          <w:u w:val="single"/>
        </w:rPr>
        <w:t xml:space="preserve"> respect. Le respect porté ne doit pas aller </w:t>
      </w:r>
      <w:r w:rsidR="007065D6" w:rsidRPr="00BB72BF">
        <w:rPr>
          <w:u w:val="single"/>
        </w:rPr>
        <w:t>jusqu’au</w:t>
      </w:r>
      <w:r w:rsidR="005C0100" w:rsidRPr="00BB72BF">
        <w:rPr>
          <w:u w:val="single"/>
        </w:rPr>
        <w:t xml:space="preserve"> point de libérer le gouvernement de l’</w:t>
      </w:r>
      <w:r w:rsidR="007065D6" w:rsidRPr="00BB72BF">
        <w:rPr>
          <w:u w:val="single"/>
        </w:rPr>
        <w:t>obligation</w:t>
      </w:r>
      <w:r w:rsidR="005C0100" w:rsidRPr="00BB72BF">
        <w:rPr>
          <w:u w:val="single"/>
        </w:rPr>
        <w:t xml:space="preserve"> que la </w:t>
      </w:r>
      <w:r w:rsidR="005C0100" w:rsidRPr="00C82D43">
        <w:rPr>
          <w:i/>
          <w:iCs/>
          <w:u w:val="single"/>
        </w:rPr>
        <w:t>Charte</w:t>
      </w:r>
      <w:r w:rsidR="005C0100" w:rsidRPr="00BB72BF">
        <w:rPr>
          <w:u w:val="single"/>
        </w:rPr>
        <w:t xml:space="preserve"> lui impose de démontrer que les restrictions qu’il </w:t>
      </w:r>
      <w:r w:rsidR="007065D6" w:rsidRPr="00BB72BF">
        <w:rPr>
          <w:u w:val="single"/>
        </w:rPr>
        <w:t>apporte</w:t>
      </w:r>
      <w:r w:rsidR="005C0100" w:rsidRPr="00BB72BF">
        <w:rPr>
          <w:u w:val="single"/>
        </w:rPr>
        <w:t xml:space="preserve"> aux droits garantis sont raisonnables et </w:t>
      </w:r>
      <w:r w:rsidR="007065D6" w:rsidRPr="00BB72BF">
        <w:rPr>
          <w:u w:val="single"/>
        </w:rPr>
        <w:t>justifiables</w:t>
      </w:r>
      <w:r w:rsidR="005C0100" w:rsidRPr="00E94652">
        <w:t xml:space="preserve">. </w:t>
      </w:r>
      <w:r w:rsidR="005C0100">
        <w:t>Le Parlement a son rôle : choisir la réponse qui convient aux problèmes sociaux dans les limites prévues par la Constitution</w:t>
      </w:r>
      <w:r w:rsidR="007065D6">
        <w:t xml:space="preserve">. Cependant, les tribunaux ont aussi un rôle : déterminer de façon objective et impartiale si le choix du Parlement s’inscrit dans les limites </w:t>
      </w:r>
      <w:r w:rsidR="002238CA">
        <w:t>prévues</w:t>
      </w:r>
      <w:r w:rsidR="007065D6">
        <w:t xml:space="preserve"> par la Constitution. Les tribunaux n’ont pas plus </w:t>
      </w:r>
      <w:r w:rsidR="002238CA">
        <w:t xml:space="preserve">le droit que </w:t>
      </w:r>
      <w:r w:rsidR="007065D6">
        <w:t xml:space="preserve">le Parlement d’abdiquer leur responsabilité. </w:t>
      </w:r>
      <w:r w:rsidR="007065D6" w:rsidRPr="00F35D2D">
        <w:rPr>
          <w:u w:val="single"/>
        </w:rPr>
        <w:t>Les tribunaux se trouveraient à diminuer leur rôle à l’intérieur du processus constitutionnel et à affaiblir la structure des droits sur lesquels notre constitution et notre nation sont fondées,</w:t>
      </w:r>
      <w:r w:rsidR="007065D6">
        <w:t xml:space="preserve"> </w:t>
      </w:r>
      <w:r w:rsidR="007065D6" w:rsidRPr="00BB72BF">
        <w:rPr>
          <w:u w:val="single"/>
        </w:rPr>
        <w:t>s’ils portaient le respect jusqu’au point d’accepter le point de vue du Parlement simplement pour le motif que le problème est sérieux et la solution difficile</w:t>
      </w:r>
      <w:r w:rsidR="007065D6">
        <w:t>.</w:t>
      </w:r>
    </w:p>
    <w:p w14:paraId="6120C19E" w14:textId="5A43BE63" w:rsidR="00BB72BF" w:rsidRPr="00BB72BF" w:rsidRDefault="00BB72BF" w:rsidP="00F14B5B">
      <w:pPr>
        <w:pStyle w:val="citation"/>
        <w:spacing w:before="240" w:after="360"/>
        <w:rPr>
          <w:sz w:val="24"/>
          <w:szCs w:val="24"/>
        </w:rPr>
      </w:pPr>
      <w:r w:rsidRPr="00BB72BF">
        <w:rPr>
          <w:sz w:val="24"/>
          <w:szCs w:val="24"/>
        </w:rPr>
        <w:t>[Notre soulignement]</w:t>
      </w:r>
    </w:p>
    <w:p w14:paraId="3F7D3938" w14:textId="0B5A0AB1" w:rsidR="00E613E4" w:rsidRPr="00034048" w:rsidRDefault="0039100A" w:rsidP="00034048">
      <w:pPr>
        <w:pStyle w:val="corpsdedcision"/>
        <w:tabs>
          <w:tab w:val="clear" w:pos="360"/>
          <w:tab w:val="num" w:pos="720"/>
        </w:tabs>
        <w:rPr>
          <w:rFonts w:cs="Arial"/>
        </w:rPr>
      </w:pPr>
      <w:r>
        <w:rPr>
          <w:rFonts w:cs="Arial"/>
        </w:rPr>
        <w:t>La</w:t>
      </w:r>
      <w:r w:rsidR="00E613E4">
        <w:rPr>
          <w:rFonts w:cs="Arial"/>
        </w:rPr>
        <w:t xml:space="preserve"> preuve </w:t>
      </w:r>
      <w:r>
        <w:rPr>
          <w:rFonts w:cs="Arial"/>
        </w:rPr>
        <w:t>n’a pas à satisfaire à la norme requise en matière scientifique</w:t>
      </w:r>
      <w:r>
        <w:rPr>
          <w:rStyle w:val="Appelnotedebasdep"/>
          <w:rFonts w:cs="Arial"/>
        </w:rPr>
        <w:footnoteReference w:id="146"/>
      </w:r>
      <w:r w:rsidR="00E613E4">
        <w:rPr>
          <w:rFonts w:cs="Arial"/>
        </w:rPr>
        <w:t xml:space="preserve">. </w:t>
      </w:r>
      <w:r w:rsidR="00034048">
        <w:rPr>
          <w:rFonts w:cs="Arial"/>
        </w:rPr>
        <w:t>Une</w:t>
      </w:r>
      <w:r w:rsidR="00DC3DA4">
        <w:rPr>
          <w:rFonts w:cs="Arial"/>
        </w:rPr>
        <w:t> </w:t>
      </w:r>
      <w:r w:rsidR="00034048">
        <w:rPr>
          <w:rFonts w:cs="Arial"/>
        </w:rPr>
        <w:t xml:space="preserve">inférence à partir de la preuve ou des faits établis est possible. </w:t>
      </w:r>
      <w:r w:rsidR="00385BC7" w:rsidRPr="001A79F6">
        <w:rPr>
          <w:rFonts w:cs="Arial"/>
        </w:rPr>
        <w:t>Cependant</w:t>
      </w:r>
      <w:r w:rsidR="00E613E4" w:rsidRPr="001A79F6">
        <w:rPr>
          <w:rFonts w:cs="Arial"/>
        </w:rPr>
        <w:t>,</w:t>
      </w:r>
      <w:r w:rsidR="00E613E4">
        <w:rPr>
          <w:rFonts w:cs="Arial"/>
        </w:rPr>
        <w:t xml:space="preserve"> </w:t>
      </w:r>
      <w:r w:rsidR="00252B0E">
        <w:rPr>
          <w:rFonts w:cs="Arial"/>
        </w:rPr>
        <w:t xml:space="preserve">en cas de preuve indirecte, </w:t>
      </w:r>
      <w:r w:rsidR="00E613E4">
        <w:rPr>
          <w:rFonts w:cs="Arial"/>
        </w:rPr>
        <w:t xml:space="preserve">la </w:t>
      </w:r>
      <w:r w:rsidR="00385BC7">
        <w:rPr>
          <w:rFonts w:cs="Arial"/>
        </w:rPr>
        <w:t>démonstration</w:t>
      </w:r>
      <w:r w:rsidR="00E613E4">
        <w:rPr>
          <w:rFonts w:cs="Arial"/>
        </w:rPr>
        <w:t xml:space="preserve"> doit </w:t>
      </w:r>
      <w:r w:rsidR="00252B0E">
        <w:rPr>
          <w:rFonts w:cs="Arial"/>
        </w:rPr>
        <w:t xml:space="preserve">pouvoir </w:t>
      </w:r>
      <w:r w:rsidR="00385BC7">
        <w:rPr>
          <w:rFonts w:cs="Arial"/>
        </w:rPr>
        <w:t>être</w:t>
      </w:r>
      <w:r w:rsidR="00E613E4">
        <w:rPr>
          <w:rFonts w:cs="Arial"/>
        </w:rPr>
        <w:t xml:space="preserve"> </w:t>
      </w:r>
      <w:r w:rsidR="00252B0E">
        <w:rPr>
          <w:rFonts w:cs="Arial"/>
        </w:rPr>
        <w:t xml:space="preserve">faite de façon </w:t>
      </w:r>
      <w:r w:rsidR="00E613E4" w:rsidRPr="003D4257">
        <w:rPr>
          <w:rFonts w:cs="Arial"/>
        </w:rPr>
        <w:t xml:space="preserve">rationnelle </w:t>
      </w:r>
      <w:r w:rsidR="00252B0E" w:rsidRPr="003D4257">
        <w:rPr>
          <w:rFonts w:cs="Arial"/>
        </w:rPr>
        <w:t>ou logique</w:t>
      </w:r>
      <w:r w:rsidR="003D4257">
        <w:rPr>
          <w:rStyle w:val="Appelnotedebasdep"/>
          <w:rFonts w:cs="Arial"/>
        </w:rPr>
        <w:footnoteReference w:id="147"/>
      </w:r>
      <w:r w:rsidR="00034048" w:rsidRPr="00252B0E">
        <w:rPr>
          <w:rFonts w:cs="Arial"/>
          <w:i/>
          <w:iCs/>
        </w:rPr>
        <w:t>.</w:t>
      </w:r>
    </w:p>
    <w:p w14:paraId="2BA9AC52" w14:textId="2CDA1B0F" w:rsidR="00162642" w:rsidRPr="00DF6975" w:rsidRDefault="00334F56" w:rsidP="00DF6975">
      <w:pPr>
        <w:pStyle w:val="corpsdedcision"/>
        <w:tabs>
          <w:tab w:val="clear" w:pos="360"/>
          <w:tab w:val="num" w:pos="720"/>
        </w:tabs>
        <w:rPr>
          <w:rFonts w:cs="Arial"/>
        </w:rPr>
      </w:pPr>
      <w:r>
        <w:rPr>
          <w:lang w:eastAsia="fr-FR"/>
        </w:rPr>
        <w:t xml:space="preserve">Pour les motifs qui </w:t>
      </w:r>
      <w:r w:rsidR="00D317D5">
        <w:rPr>
          <w:lang w:eastAsia="fr-FR"/>
        </w:rPr>
        <w:t>suivent</w:t>
      </w:r>
      <w:r>
        <w:rPr>
          <w:lang w:eastAsia="fr-FR"/>
        </w:rPr>
        <w:t>, le Tribunal est d’</w:t>
      </w:r>
      <w:r w:rsidR="00D317D5">
        <w:rPr>
          <w:lang w:eastAsia="fr-FR"/>
        </w:rPr>
        <w:t>a</w:t>
      </w:r>
      <w:r>
        <w:rPr>
          <w:lang w:eastAsia="fr-FR"/>
        </w:rPr>
        <w:t xml:space="preserve">vis que </w:t>
      </w:r>
      <w:r w:rsidR="00F279FD">
        <w:rPr>
          <w:lang w:eastAsia="fr-FR"/>
        </w:rPr>
        <w:t>l’</w:t>
      </w:r>
      <w:r w:rsidR="00940C2A">
        <w:rPr>
          <w:lang w:eastAsia="fr-FR"/>
        </w:rPr>
        <w:t xml:space="preserve">objectif </w:t>
      </w:r>
      <w:r w:rsidR="00F279FD">
        <w:rPr>
          <w:lang w:eastAsia="fr-FR"/>
        </w:rPr>
        <w:t xml:space="preserve">du régime des SBEP est </w:t>
      </w:r>
      <w:r w:rsidR="00940C2A">
        <w:rPr>
          <w:lang w:eastAsia="fr-FR"/>
        </w:rPr>
        <w:t>réel et urgent</w:t>
      </w:r>
      <w:r w:rsidR="00794011" w:rsidRPr="00794011">
        <w:rPr>
          <w:lang w:eastAsia="fr-FR"/>
        </w:rPr>
        <w:t xml:space="preserve"> et qu’il y a un lien rationnel entre celui-ci et la Loi 14. </w:t>
      </w:r>
      <w:r w:rsidR="002738CE" w:rsidRPr="006841BB">
        <w:rPr>
          <w:lang w:eastAsia="fr-FR"/>
        </w:rPr>
        <w:t>Cependant</w:t>
      </w:r>
      <w:r w:rsidR="00940C2A" w:rsidRPr="006841BB">
        <w:rPr>
          <w:lang w:eastAsia="fr-FR"/>
        </w:rPr>
        <w:t>,</w:t>
      </w:r>
      <w:r w:rsidR="00940C2A">
        <w:rPr>
          <w:lang w:eastAsia="fr-FR"/>
        </w:rPr>
        <w:t xml:space="preserve"> </w:t>
      </w:r>
      <w:r w:rsidR="00F279FD">
        <w:rPr>
          <w:lang w:eastAsia="fr-FR"/>
        </w:rPr>
        <w:t>le PGQ</w:t>
      </w:r>
      <w:r w:rsidR="008C4D86">
        <w:rPr>
          <w:lang w:eastAsia="fr-FR"/>
        </w:rPr>
        <w:t xml:space="preserve"> échoue </w:t>
      </w:r>
      <w:r w:rsidR="00D317D5">
        <w:rPr>
          <w:lang w:eastAsia="fr-FR"/>
        </w:rPr>
        <w:t>à</w:t>
      </w:r>
      <w:r w:rsidR="008C4D86">
        <w:rPr>
          <w:lang w:eastAsia="fr-FR"/>
        </w:rPr>
        <w:t xml:space="preserve"> d</w:t>
      </w:r>
      <w:r w:rsidR="00D317D5">
        <w:rPr>
          <w:lang w:eastAsia="fr-FR"/>
        </w:rPr>
        <w:t>é</w:t>
      </w:r>
      <w:r w:rsidR="008C4D86">
        <w:rPr>
          <w:lang w:eastAsia="fr-FR"/>
        </w:rPr>
        <w:t xml:space="preserve">montrer le caractère </w:t>
      </w:r>
      <w:r w:rsidR="00385BC7">
        <w:rPr>
          <w:lang w:eastAsia="fr-FR"/>
        </w:rPr>
        <w:t xml:space="preserve">proportionnel </w:t>
      </w:r>
      <w:r w:rsidR="00F279FD">
        <w:rPr>
          <w:lang w:eastAsia="fr-FR"/>
        </w:rPr>
        <w:t>des moyens choisis pour atteindre l’objectif</w:t>
      </w:r>
      <w:r w:rsidR="004B6B83">
        <w:rPr>
          <w:lang w:eastAsia="fr-FR"/>
        </w:rPr>
        <w:t>, en particulier au chapitre de l’atteinte minimale</w:t>
      </w:r>
      <w:r w:rsidR="00F279FD">
        <w:rPr>
          <w:lang w:eastAsia="fr-FR"/>
        </w:rPr>
        <w:t>.</w:t>
      </w:r>
    </w:p>
    <w:p w14:paraId="68AEBD1E" w14:textId="2F791922" w:rsidR="00694B6F" w:rsidRDefault="009660C6" w:rsidP="00C16821">
      <w:pPr>
        <w:pStyle w:val="Titre2"/>
        <w:keepLines/>
        <w:widowControl w:val="0"/>
      </w:pPr>
      <w:r>
        <w:t>L</w:t>
      </w:r>
      <w:r w:rsidR="00573FE1">
        <w:t>e critère de l</w:t>
      </w:r>
      <w:r>
        <w:t>’objectif réel et urgent</w:t>
      </w:r>
      <w:r w:rsidR="00573FE1">
        <w:t xml:space="preserve"> est-il satisfait?</w:t>
      </w:r>
    </w:p>
    <w:p w14:paraId="7B0084B1" w14:textId="0D2BB2E0" w:rsidR="009C0D31" w:rsidRDefault="00A95725" w:rsidP="00C16821">
      <w:pPr>
        <w:pStyle w:val="corpsdedcision"/>
        <w:keepNext/>
        <w:keepLines/>
        <w:widowControl w:val="0"/>
        <w:rPr>
          <w:lang w:eastAsia="fr-FR"/>
        </w:rPr>
      </w:pPr>
      <w:r>
        <w:rPr>
          <w:lang w:eastAsia="fr-FR"/>
        </w:rPr>
        <w:t>Sur la question de l’objectif, l</w:t>
      </w:r>
      <w:r w:rsidR="00FC1283">
        <w:rPr>
          <w:lang w:eastAsia="fr-FR"/>
        </w:rPr>
        <w:t xml:space="preserve">e PGQ </w:t>
      </w:r>
      <w:r w:rsidR="00762839">
        <w:rPr>
          <w:lang w:eastAsia="fr-FR"/>
        </w:rPr>
        <w:t xml:space="preserve">se </w:t>
      </w:r>
      <w:r w:rsidR="00FC1283">
        <w:rPr>
          <w:lang w:eastAsia="fr-FR"/>
        </w:rPr>
        <w:t xml:space="preserve">réfère à la définition des </w:t>
      </w:r>
      <w:r w:rsidR="00EE40B1">
        <w:rPr>
          <w:lang w:eastAsia="fr-FR"/>
        </w:rPr>
        <w:t>SBEP</w:t>
      </w:r>
      <w:r w:rsidR="00343A5F">
        <w:rPr>
          <w:lang w:eastAsia="fr-FR"/>
        </w:rPr>
        <w:t> :</w:t>
      </w:r>
      <w:r w:rsidR="00FC1283">
        <w:rPr>
          <w:lang w:eastAsia="fr-FR"/>
        </w:rPr>
        <w:t xml:space="preserve"> </w:t>
      </w:r>
      <w:r w:rsidR="00192AC6">
        <w:rPr>
          <w:lang w:eastAsia="fr-FR"/>
        </w:rPr>
        <w:t>i</w:t>
      </w:r>
      <w:r w:rsidR="00343A5F">
        <w:rPr>
          <w:lang w:eastAsia="fr-FR"/>
        </w:rPr>
        <w:t>ls</w:t>
      </w:r>
      <w:r w:rsidR="00FC1283">
        <w:rPr>
          <w:lang w:eastAsia="fr-FR"/>
        </w:rPr>
        <w:t xml:space="preserve"> </w:t>
      </w:r>
      <w:r w:rsidR="00FC1283">
        <w:t xml:space="preserve">visent à protéger la population, dont les personnes en situation de vulnérabilité, qui subirait des conséquences disproportionnées à </w:t>
      </w:r>
      <w:r w:rsidR="003F6450">
        <w:t>sa</w:t>
      </w:r>
      <w:r w:rsidR="00FC1283">
        <w:t xml:space="preserve"> sécurité sociale, économique ou environnementale en raison de la grève. Il </w:t>
      </w:r>
      <w:r w:rsidR="00FC1283">
        <w:rPr>
          <w:lang w:eastAsia="fr-FR"/>
        </w:rPr>
        <w:t>réfute</w:t>
      </w:r>
      <w:r w:rsidR="00FC1283" w:rsidRPr="002058A0">
        <w:t xml:space="preserve"> </w:t>
      </w:r>
      <w:r w:rsidR="00FC1283">
        <w:t xml:space="preserve">la proposition selon laquelle seuls des services essentiels au sens strict </w:t>
      </w:r>
      <w:r w:rsidR="0000474C">
        <w:t xml:space="preserve">peuvent </w:t>
      </w:r>
      <w:r w:rsidR="00FC1283">
        <w:t>permettre de justifier constitutionnellement une restriction au droit de grève</w:t>
      </w:r>
      <w:r w:rsidR="00FC1283">
        <w:rPr>
          <w:i/>
          <w:iCs/>
        </w:rPr>
        <w:t xml:space="preserve">, </w:t>
      </w:r>
      <w:r w:rsidR="00AF7264">
        <w:rPr>
          <w:iCs/>
        </w:rPr>
        <w:t>en s’appuyant sur</w:t>
      </w:r>
      <w:r w:rsidR="00FC1283">
        <w:rPr>
          <w:iCs/>
        </w:rPr>
        <w:t xml:space="preserve"> les commentaires du juge en chef Dickson dans l</w:t>
      </w:r>
      <w:r w:rsidR="009F73EE">
        <w:rPr>
          <w:iCs/>
        </w:rPr>
        <w:t xml:space="preserve">’arrêt </w:t>
      </w:r>
      <w:r w:rsidR="009F73EE" w:rsidRPr="009F73EE">
        <w:rPr>
          <w:iCs/>
        </w:rPr>
        <w:t>d</w:t>
      </w:r>
      <w:r w:rsidR="006841BB" w:rsidRPr="009F73EE">
        <w:rPr>
          <w:iCs/>
        </w:rPr>
        <w:t>es</w:t>
      </w:r>
      <w:r w:rsidR="006841BB">
        <w:rPr>
          <w:i/>
        </w:rPr>
        <w:t xml:space="preserve"> Producteurs laitiers</w:t>
      </w:r>
      <w:r w:rsidR="00FC1283">
        <w:rPr>
          <w:rStyle w:val="Appelnotedebasdep"/>
          <w:rFonts w:cs="Arial"/>
          <w:iCs/>
        </w:rPr>
        <w:footnoteReference w:id="148"/>
      </w:r>
      <w:r w:rsidR="00FC1283">
        <w:t>.</w:t>
      </w:r>
      <w:r w:rsidR="003358DF">
        <w:t xml:space="preserve"> Il souligne que le législateur a créé un régime</w:t>
      </w:r>
      <w:r w:rsidR="009C0D31">
        <w:t>,</w:t>
      </w:r>
      <w:r w:rsidR="003358DF">
        <w:t xml:space="preserve"> </w:t>
      </w:r>
      <w:r w:rsidR="009C0D31">
        <w:t>qui</w:t>
      </w:r>
      <w:r w:rsidR="00794011">
        <w:t>,</w:t>
      </w:r>
      <w:r w:rsidR="009C0D31">
        <w:t xml:space="preserve"> par essence</w:t>
      </w:r>
      <w:r w:rsidR="00794011">
        <w:t>,</w:t>
      </w:r>
      <w:r w:rsidR="009C0D31">
        <w:t xml:space="preserve"> est destiné à s’appliquer à des situations exceptionnelles</w:t>
      </w:r>
      <w:r w:rsidR="009C0D31">
        <w:rPr>
          <w:rStyle w:val="Appelnotedebasdep"/>
        </w:rPr>
        <w:footnoteReference w:id="149"/>
      </w:r>
      <w:r w:rsidR="009C0D31">
        <w:t>.</w:t>
      </w:r>
    </w:p>
    <w:p w14:paraId="433163D0" w14:textId="16E7ECA5" w:rsidR="00FC1283" w:rsidRPr="005864AE" w:rsidRDefault="00192AC6" w:rsidP="005864AE">
      <w:pPr>
        <w:pStyle w:val="corpsdedcision"/>
        <w:rPr>
          <w:rFonts w:cs="Arial"/>
        </w:rPr>
      </w:pPr>
      <w:r>
        <w:rPr>
          <w:lang w:eastAsia="fr-FR"/>
        </w:rPr>
        <w:t>Comm</w:t>
      </w:r>
      <w:r w:rsidR="00F52E1B">
        <w:rPr>
          <w:lang w:eastAsia="fr-FR"/>
        </w:rPr>
        <w:t xml:space="preserve">e </w:t>
      </w:r>
      <w:r w:rsidR="00AF7264">
        <w:rPr>
          <w:lang w:eastAsia="fr-FR"/>
        </w:rPr>
        <w:t>mentionné</w:t>
      </w:r>
      <w:r w:rsidR="00F52E1B">
        <w:rPr>
          <w:lang w:eastAsia="fr-FR"/>
        </w:rPr>
        <w:t xml:space="preserve"> dans le cadre de l’analyse de l’entrave substantielle</w:t>
      </w:r>
      <w:r w:rsidR="00F52E1B">
        <w:rPr>
          <w:rStyle w:val="Appelnotedebasdep"/>
          <w:lang w:eastAsia="fr-FR"/>
        </w:rPr>
        <w:footnoteReference w:id="150"/>
      </w:r>
      <w:r w:rsidR="00F52E1B">
        <w:rPr>
          <w:lang w:eastAsia="fr-FR"/>
        </w:rPr>
        <w:t>, le</w:t>
      </w:r>
      <w:r w:rsidR="003E0BF4">
        <w:rPr>
          <w:lang w:eastAsia="fr-FR"/>
        </w:rPr>
        <w:t> </w:t>
      </w:r>
      <w:r w:rsidR="00F52E1B">
        <w:rPr>
          <w:lang w:eastAsia="fr-FR"/>
        </w:rPr>
        <w:t>syndicat est d’avis que le véritable objectif du régime des SBEP n’est pas de protéger le bien-être de la population, mais de limiter le droit de grève et le contre-pouvoir d</w:t>
      </w:r>
      <w:r w:rsidR="005C65BD">
        <w:rPr>
          <w:lang w:eastAsia="fr-FR"/>
        </w:rPr>
        <w:t>es</w:t>
      </w:r>
      <w:r w:rsidR="00F52E1B">
        <w:rPr>
          <w:lang w:eastAsia="fr-FR"/>
        </w:rPr>
        <w:t xml:space="preserve"> syndicat</w:t>
      </w:r>
      <w:r w:rsidR="005C65BD">
        <w:rPr>
          <w:lang w:eastAsia="fr-FR"/>
        </w:rPr>
        <w:t>s</w:t>
      </w:r>
      <w:r w:rsidR="00F52E1B">
        <w:rPr>
          <w:lang w:eastAsia="fr-FR"/>
        </w:rPr>
        <w:t xml:space="preserve">. </w:t>
      </w:r>
      <w:r w:rsidR="008964CF">
        <w:rPr>
          <w:lang w:eastAsia="fr-FR"/>
        </w:rPr>
        <w:t xml:space="preserve">Il ne s’agit donc pas d’un objectif légitime. </w:t>
      </w:r>
      <w:r w:rsidR="00F52E1B">
        <w:rPr>
          <w:lang w:eastAsia="fr-FR"/>
        </w:rPr>
        <w:t>Quoi</w:t>
      </w:r>
      <w:r w:rsidR="00F20F69">
        <w:rPr>
          <w:lang w:eastAsia="fr-FR"/>
        </w:rPr>
        <w:t xml:space="preserve"> </w:t>
      </w:r>
      <w:r w:rsidR="00F52E1B">
        <w:rPr>
          <w:lang w:eastAsia="fr-FR"/>
        </w:rPr>
        <w:t xml:space="preserve">qu’il en soit, </w:t>
      </w:r>
      <w:r w:rsidR="00F52E1B">
        <w:rPr>
          <w:rFonts w:cs="Arial"/>
        </w:rPr>
        <w:t>il estime que le législateur doit agir à partir de constats sociaux, économiques et environnementaux scientifiquement documentés, ce qui n’est pas le cas en l’espèce.</w:t>
      </w:r>
    </w:p>
    <w:p w14:paraId="4DCF7B09" w14:textId="730B7C2B" w:rsidR="009660C6" w:rsidRDefault="00F63230" w:rsidP="00E352D2">
      <w:pPr>
        <w:pStyle w:val="corpsdedcision"/>
        <w:keepNext/>
        <w:keepLines/>
        <w:tabs>
          <w:tab w:val="clear" w:pos="360"/>
          <w:tab w:val="num" w:pos="720"/>
        </w:tabs>
        <w:rPr>
          <w:lang w:eastAsia="fr-FR"/>
        </w:rPr>
      </w:pPr>
      <w:r>
        <w:rPr>
          <w:lang w:eastAsia="fr-FR"/>
        </w:rPr>
        <w:t xml:space="preserve">Le Tribunal a déjà traité </w:t>
      </w:r>
      <w:r w:rsidR="003F6B28">
        <w:rPr>
          <w:lang w:eastAsia="fr-FR"/>
        </w:rPr>
        <w:t xml:space="preserve">d’une partie des arguments du syndicat et des </w:t>
      </w:r>
      <w:r w:rsidR="009B1056">
        <w:rPr>
          <w:lang w:eastAsia="fr-FR"/>
        </w:rPr>
        <w:t>parties</w:t>
      </w:r>
      <w:r w:rsidR="003F6B28">
        <w:rPr>
          <w:lang w:eastAsia="fr-FR"/>
        </w:rPr>
        <w:t xml:space="preserve"> intervenantes sur </w:t>
      </w:r>
      <w:r w:rsidR="00F166BA">
        <w:rPr>
          <w:lang w:eastAsia="fr-FR"/>
        </w:rPr>
        <w:t>l</w:t>
      </w:r>
      <w:r w:rsidR="004B78ED">
        <w:rPr>
          <w:lang w:eastAsia="fr-FR"/>
        </w:rPr>
        <w:t xml:space="preserve">e véritable </w:t>
      </w:r>
      <w:r w:rsidR="009B1056">
        <w:rPr>
          <w:lang w:eastAsia="fr-FR"/>
        </w:rPr>
        <w:t xml:space="preserve">objectif recherché par le législateur. </w:t>
      </w:r>
      <w:r w:rsidR="00F166BA">
        <w:rPr>
          <w:lang w:eastAsia="fr-FR"/>
        </w:rPr>
        <w:t>I</w:t>
      </w:r>
      <w:r w:rsidR="00F20F69">
        <w:rPr>
          <w:lang w:eastAsia="fr-FR"/>
        </w:rPr>
        <w:t>l</w:t>
      </w:r>
      <w:r w:rsidR="009B1056">
        <w:rPr>
          <w:lang w:eastAsia="fr-FR"/>
        </w:rPr>
        <w:t xml:space="preserve"> considère que le PGQ a démontré qu</w:t>
      </w:r>
      <w:r w:rsidR="004B78ED">
        <w:rPr>
          <w:lang w:eastAsia="fr-FR"/>
        </w:rPr>
        <w:t xml:space="preserve">’il </w:t>
      </w:r>
      <w:r w:rsidR="00470B63">
        <w:rPr>
          <w:lang w:eastAsia="fr-FR"/>
        </w:rPr>
        <w:t xml:space="preserve">ne vise pas </w:t>
      </w:r>
      <w:r w:rsidR="007518DF" w:rsidRPr="00737818">
        <w:rPr>
          <w:lang w:eastAsia="fr-FR"/>
        </w:rPr>
        <w:t>à nuire aux syndicats</w:t>
      </w:r>
      <w:r w:rsidR="00DA74D0">
        <w:rPr>
          <w:lang w:eastAsia="fr-FR"/>
        </w:rPr>
        <w:t xml:space="preserve">, </w:t>
      </w:r>
      <w:r w:rsidR="002A515D">
        <w:rPr>
          <w:lang w:eastAsia="fr-FR"/>
        </w:rPr>
        <w:t xml:space="preserve">même si c’est l’effet qui peut en découler, </w:t>
      </w:r>
      <w:r w:rsidR="007518DF">
        <w:rPr>
          <w:lang w:eastAsia="fr-FR"/>
        </w:rPr>
        <w:t xml:space="preserve">mais </w:t>
      </w:r>
      <w:r w:rsidR="000C4FC6">
        <w:rPr>
          <w:lang w:eastAsia="fr-FR"/>
        </w:rPr>
        <w:t xml:space="preserve">qu’il est </w:t>
      </w:r>
      <w:r w:rsidR="00437FDC">
        <w:rPr>
          <w:lang w:eastAsia="fr-FR"/>
        </w:rPr>
        <w:t xml:space="preserve">plutôt </w:t>
      </w:r>
      <w:r w:rsidR="000C4FC6">
        <w:rPr>
          <w:lang w:eastAsia="fr-FR"/>
        </w:rPr>
        <w:t>axé sur</w:t>
      </w:r>
      <w:r w:rsidR="009B1056">
        <w:rPr>
          <w:lang w:eastAsia="fr-FR"/>
        </w:rPr>
        <w:t xml:space="preserve"> le bien-être de la population</w:t>
      </w:r>
      <w:r w:rsidR="00E73B4D">
        <w:rPr>
          <w:lang w:eastAsia="fr-FR"/>
        </w:rPr>
        <w:t xml:space="preserve"> par l’</w:t>
      </w:r>
      <w:r w:rsidR="00F166BA">
        <w:rPr>
          <w:lang w:eastAsia="fr-FR"/>
        </w:rPr>
        <w:t>instauration</w:t>
      </w:r>
      <w:r w:rsidR="00E73B4D">
        <w:rPr>
          <w:lang w:eastAsia="fr-FR"/>
        </w:rPr>
        <w:t xml:space="preserve"> </w:t>
      </w:r>
      <w:r w:rsidR="00F166BA">
        <w:rPr>
          <w:lang w:eastAsia="fr-FR"/>
        </w:rPr>
        <w:t>d</w:t>
      </w:r>
      <w:r w:rsidR="00E73B4D">
        <w:rPr>
          <w:lang w:eastAsia="fr-FR"/>
        </w:rPr>
        <w:t>e services min</w:t>
      </w:r>
      <w:r w:rsidR="00F166BA">
        <w:rPr>
          <w:lang w:eastAsia="fr-FR"/>
        </w:rPr>
        <w:t>i</w:t>
      </w:r>
      <w:r w:rsidR="00E73B4D">
        <w:rPr>
          <w:lang w:eastAsia="fr-FR"/>
        </w:rPr>
        <w:t xml:space="preserve">maux en cas de grève, dans certaines </w:t>
      </w:r>
      <w:r w:rsidR="00F166BA">
        <w:rPr>
          <w:lang w:eastAsia="fr-FR"/>
        </w:rPr>
        <w:t>circonstances</w:t>
      </w:r>
      <w:r w:rsidR="00C3211F">
        <w:rPr>
          <w:lang w:eastAsia="fr-FR"/>
        </w:rPr>
        <w:t>, selon les critères énoncés à l’article 111.22.3 du Code.</w:t>
      </w:r>
    </w:p>
    <w:p w14:paraId="03BFEB44" w14:textId="7E325C89" w:rsidR="00972FEA" w:rsidRDefault="00254386" w:rsidP="00AD0AA7">
      <w:pPr>
        <w:pStyle w:val="corpsdedcision"/>
        <w:tabs>
          <w:tab w:val="clear" w:pos="360"/>
          <w:tab w:val="num" w:pos="720"/>
        </w:tabs>
        <w:rPr>
          <w:lang w:eastAsia="fr-FR"/>
        </w:rPr>
      </w:pPr>
      <w:r>
        <w:rPr>
          <w:lang w:eastAsia="fr-FR"/>
        </w:rPr>
        <w:t>Cela ne dispose cependant pas de l</w:t>
      </w:r>
      <w:r w:rsidR="005219B6">
        <w:rPr>
          <w:lang w:eastAsia="fr-FR"/>
        </w:rPr>
        <w:t xml:space="preserve">’ensemble de la question. </w:t>
      </w:r>
      <w:r w:rsidR="00DB7988">
        <w:rPr>
          <w:lang w:eastAsia="fr-FR"/>
        </w:rPr>
        <w:t xml:space="preserve">Le Tribunal doit </w:t>
      </w:r>
      <w:r w:rsidR="00823756">
        <w:rPr>
          <w:lang w:eastAsia="fr-FR"/>
        </w:rPr>
        <w:t>également</w:t>
      </w:r>
      <w:r w:rsidR="00DB7988">
        <w:rPr>
          <w:lang w:eastAsia="fr-FR"/>
        </w:rPr>
        <w:t xml:space="preserve"> examiner si l’objectif invoqué par le PGQ est réel et urgent.</w:t>
      </w:r>
    </w:p>
    <w:p w14:paraId="7CA27149" w14:textId="66CABC80" w:rsidR="00981558" w:rsidRDefault="003358DF" w:rsidP="00AD0AA7">
      <w:pPr>
        <w:pStyle w:val="corpsdedcision"/>
        <w:tabs>
          <w:tab w:val="clear" w:pos="360"/>
          <w:tab w:val="num" w:pos="720"/>
        </w:tabs>
        <w:rPr>
          <w:lang w:eastAsia="fr-FR"/>
        </w:rPr>
      </w:pPr>
      <w:r>
        <w:rPr>
          <w:lang w:eastAsia="fr-FR"/>
        </w:rPr>
        <w:t xml:space="preserve">Ce premier </w:t>
      </w:r>
      <w:r w:rsidRPr="00C001F0">
        <w:rPr>
          <w:lang w:eastAsia="fr-FR"/>
        </w:rPr>
        <w:t>critère</w:t>
      </w:r>
      <w:r>
        <w:rPr>
          <w:lang w:eastAsia="fr-FR"/>
        </w:rPr>
        <w:t xml:space="preserve"> est une condition préalable </w:t>
      </w:r>
      <w:r w:rsidR="00C001F0">
        <w:rPr>
          <w:lang w:eastAsia="fr-FR"/>
        </w:rPr>
        <w:t xml:space="preserve">au reste de l’analyse </w:t>
      </w:r>
      <w:r>
        <w:rPr>
          <w:lang w:eastAsia="fr-FR"/>
        </w:rPr>
        <w:t xml:space="preserve">et son </w:t>
      </w:r>
      <w:r w:rsidR="00C001F0">
        <w:rPr>
          <w:lang w:eastAsia="fr-FR"/>
        </w:rPr>
        <w:t>examen</w:t>
      </w:r>
      <w:r>
        <w:rPr>
          <w:lang w:eastAsia="fr-FR"/>
        </w:rPr>
        <w:t xml:space="preserve"> doit s’effectuer « </w:t>
      </w:r>
      <w:r w:rsidRPr="00B20E42">
        <w:rPr>
          <w:rStyle w:val="Citationintgre"/>
          <w:lang w:eastAsia="fr-FR"/>
        </w:rPr>
        <w:t>sans tenir compte de la portée de l’atteinte, du moyen retenu ou des effets de la mesure</w:t>
      </w:r>
      <w:r>
        <w:rPr>
          <w:lang w:eastAsia="fr-FR"/>
        </w:rPr>
        <w:t> »</w:t>
      </w:r>
      <w:r>
        <w:rPr>
          <w:rStyle w:val="Appelnotedebasdep"/>
          <w:lang w:eastAsia="fr-FR"/>
        </w:rPr>
        <w:footnoteReference w:id="151"/>
      </w:r>
      <w:r>
        <w:rPr>
          <w:lang w:eastAsia="fr-FR"/>
        </w:rPr>
        <w:t>.</w:t>
      </w:r>
      <w:r w:rsidR="00A95725">
        <w:rPr>
          <w:lang w:eastAsia="fr-FR"/>
        </w:rPr>
        <w:t xml:space="preserve"> </w:t>
      </w:r>
      <w:r w:rsidR="00E67F57">
        <w:rPr>
          <w:lang w:eastAsia="fr-FR"/>
        </w:rPr>
        <w:t xml:space="preserve">Aussi, à cette </w:t>
      </w:r>
      <w:r w:rsidR="00E67F57" w:rsidRPr="00595CC0">
        <w:rPr>
          <w:lang w:eastAsia="fr-FR"/>
        </w:rPr>
        <w:t>étape</w:t>
      </w:r>
      <w:r w:rsidR="00E67F57">
        <w:rPr>
          <w:lang w:eastAsia="fr-FR"/>
        </w:rPr>
        <w:t xml:space="preserve">, il </w:t>
      </w:r>
      <w:r w:rsidR="008064D8">
        <w:rPr>
          <w:lang w:eastAsia="fr-FR"/>
        </w:rPr>
        <w:t>faut se garder</w:t>
      </w:r>
      <w:r w:rsidR="00E67F57">
        <w:rPr>
          <w:lang w:eastAsia="fr-FR"/>
        </w:rPr>
        <w:t xml:space="preserve"> </w:t>
      </w:r>
      <w:r w:rsidR="007D0E6A">
        <w:rPr>
          <w:lang w:eastAsia="fr-FR"/>
        </w:rPr>
        <w:t>d’examiner</w:t>
      </w:r>
      <w:r w:rsidR="00E67F57">
        <w:rPr>
          <w:lang w:eastAsia="fr-FR"/>
        </w:rPr>
        <w:t xml:space="preserve"> </w:t>
      </w:r>
      <w:r w:rsidR="00E67F57" w:rsidRPr="00C001F0">
        <w:rPr>
          <w:lang w:eastAsia="fr-FR"/>
        </w:rPr>
        <w:t xml:space="preserve">les </w:t>
      </w:r>
      <w:r w:rsidR="002A515D" w:rsidRPr="00C001F0">
        <w:rPr>
          <w:lang w:eastAsia="fr-FR"/>
        </w:rPr>
        <w:t>moyens</w:t>
      </w:r>
      <w:r w:rsidR="00E67F57">
        <w:rPr>
          <w:lang w:eastAsia="fr-FR"/>
        </w:rPr>
        <w:t xml:space="preserve"> choisis </w:t>
      </w:r>
      <w:r w:rsidR="00AE59B2">
        <w:rPr>
          <w:lang w:eastAsia="fr-FR"/>
        </w:rPr>
        <w:t>par le législateur, notamment au regard de la définition des services essentiels</w:t>
      </w:r>
      <w:r w:rsidR="00FB6E82">
        <w:rPr>
          <w:lang w:eastAsia="fr-FR"/>
        </w:rPr>
        <w:t xml:space="preserve"> ou du rôle du Tribunal</w:t>
      </w:r>
      <w:r w:rsidR="00AE59B2">
        <w:rPr>
          <w:lang w:eastAsia="fr-FR"/>
        </w:rPr>
        <w:t xml:space="preserve">. Cette </w:t>
      </w:r>
      <w:r w:rsidR="00C001F0">
        <w:rPr>
          <w:lang w:eastAsia="fr-FR"/>
        </w:rPr>
        <w:t>évaluation</w:t>
      </w:r>
      <w:r w:rsidR="00FF4E64">
        <w:rPr>
          <w:lang w:eastAsia="fr-FR"/>
        </w:rPr>
        <w:t xml:space="preserve"> </w:t>
      </w:r>
      <w:r w:rsidR="00014E48">
        <w:rPr>
          <w:lang w:eastAsia="fr-FR"/>
        </w:rPr>
        <w:t xml:space="preserve">est pertinente </w:t>
      </w:r>
      <w:r w:rsidR="00C41159">
        <w:rPr>
          <w:lang w:eastAsia="fr-FR"/>
        </w:rPr>
        <w:t>au niveau</w:t>
      </w:r>
      <w:r w:rsidR="00014E48">
        <w:rPr>
          <w:lang w:eastAsia="fr-FR"/>
        </w:rPr>
        <w:t xml:space="preserve"> </w:t>
      </w:r>
      <w:r w:rsidR="00FF4E64">
        <w:rPr>
          <w:lang w:eastAsia="fr-FR"/>
        </w:rPr>
        <w:t>de la proportionnalité</w:t>
      </w:r>
      <w:r w:rsidR="00FF4E64">
        <w:rPr>
          <w:rStyle w:val="Appelnotedebasdep"/>
          <w:lang w:eastAsia="fr-FR"/>
        </w:rPr>
        <w:footnoteReference w:id="152"/>
      </w:r>
      <w:r w:rsidR="00FF4E64">
        <w:rPr>
          <w:lang w:eastAsia="fr-FR"/>
        </w:rPr>
        <w:t>.</w:t>
      </w:r>
    </w:p>
    <w:p w14:paraId="63A913DA" w14:textId="4204CDEF" w:rsidR="00584C44" w:rsidRDefault="003358DF" w:rsidP="00E352D2">
      <w:pPr>
        <w:pStyle w:val="corpsdedcision"/>
        <w:tabs>
          <w:tab w:val="clear" w:pos="360"/>
          <w:tab w:val="num" w:pos="720"/>
        </w:tabs>
        <w:spacing w:after="280"/>
        <w:rPr>
          <w:lang w:eastAsia="fr-FR"/>
        </w:rPr>
      </w:pPr>
      <w:r>
        <w:rPr>
          <w:lang w:eastAsia="fr-FR"/>
        </w:rPr>
        <w:t>Il n’existe pas de règle particulière pour définir l’objectif de la loi. Il faut se référer aux règles usuelles d’interprétation. Les tribunaux font en général preuve de déférence dans leur appréciation, considérant qu’il revient aux élus de déterminer le besoin d’intervenir pour corriger des problèmes sociaux. Dans la vaste majorité des cas, le</w:t>
      </w:r>
      <w:r w:rsidR="007132E9">
        <w:rPr>
          <w:lang w:eastAsia="fr-FR"/>
        </w:rPr>
        <w:t> </w:t>
      </w:r>
      <w:r>
        <w:rPr>
          <w:lang w:eastAsia="fr-FR"/>
        </w:rPr>
        <w:t xml:space="preserve">caractère urgent et réel de l’objectif a été reconnu, en se fondant sur ce que </w:t>
      </w:r>
      <w:r w:rsidR="00284E84">
        <w:rPr>
          <w:lang w:eastAsia="fr-FR"/>
        </w:rPr>
        <w:t>l’État</w:t>
      </w:r>
      <w:r>
        <w:rPr>
          <w:lang w:eastAsia="fr-FR"/>
        </w:rPr>
        <w:t xml:space="preserve"> invoque comme étant un objectif réel et urgent</w:t>
      </w:r>
      <w:r>
        <w:rPr>
          <w:rStyle w:val="Appelnotedebasdep"/>
          <w:lang w:eastAsia="fr-FR"/>
        </w:rPr>
        <w:footnoteReference w:id="153"/>
      </w:r>
      <w:r>
        <w:rPr>
          <w:lang w:eastAsia="fr-FR"/>
        </w:rPr>
        <w:t>.</w:t>
      </w:r>
    </w:p>
    <w:p w14:paraId="5AF5AF35" w14:textId="7E534B09" w:rsidR="00584C44" w:rsidRDefault="00694B6F" w:rsidP="00E352D2">
      <w:pPr>
        <w:pStyle w:val="corpsdedcision"/>
        <w:tabs>
          <w:tab w:val="clear" w:pos="360"/>
          <w:tab w:val="num" w:pos="720"/>
        </w:tabs>
        <w:spacing w:after="280"/>
        <w:rPr>
          <w:lang w:eastAsia="fr-FR"/>
        </w:rPr>
      </w:pPr>
      <w:r>
        <w:rPr>
          <w:lang w:eastAsia="fr-FR"/>
        </w:rPr>
        <w:t xml:space="preserve">Dans l’arrêt </w:t>
      </w:r>
      <w:r w:rsidRPr="00DB7B0D">
        <w:rPr>
          <w:i/>
          <w:iCs/>
          <w:lang w:eastAsia="fr-FR"/>
        </w:rPr>
        <w:t>Harper</w:t>
      </w:r>
      <w:r>
        <w:rPr>
          <w:lang w:eastAsia="fr-FR"/>
        </w:rPr>
        <w:t xml:space="preserve"> c. </w:t>
      </w:r>
      <w:r w:rsidRPr="00DB7B0D">
        <w:rPr>
          <w:i/>
          <w:iCs/>
          <w:lang w:eastAsia="fr-FR"/>
        </w:rPr>
        <w:t>Canada (</w:t>
      </w:r>
      <w:r w:rsidR="00900F61">
        <w:rPr>
          <w:i/>
          <w:iCs/>
          <w:lang w:eastAsia="fr-FR"/>
        </w:rPr>
        <w:t>P</w:t>
      </w:r>
      <w:r w:rsidR="00900F61" w:rsidRPr="007C2682">
        <w:rPr>
          <w:i/>
          <w:iCs/>
          <w:lang w:eastAsia="fr-FR"/>
        </w:rPr>
        <w:t>rocureur</w:t>
      </w:r>
      <w:r w:rsidR="00900F61" w:rsidRPr="00DB7B0D">
        <w:rPr>
          <w:i/>
          <w:iCs/>
          <w:lang w:eastAsia="fr-FR"/>
        </w:rPr>
        <w:t xml:space="preserve"> </w:t>
      </w:r>
      <w:r w:rsidRPr="00DB7B0D">
        <w:rPr>
          <w:i/>
          <w:iCs/>
          <w:lang w:eastAsia="fr-FR"/>
        </w:rPr>
        <w:t>général)</w:t>
      </w:r>
      <w:r w:rsidRPr="00737818">
        <w:rPr>
          <w:rStyle w:val="Appelnotedebasdep"/>
          <w:lang w:eastAsia="fr-FR"/>
        </w:rPr>
        <w:footnoteReference w:id="154"/>
      </w:r>
      <w:r>
        <w:rPr>
          <w:lang w:eastAsia="fr-FR"/>
        </w:rPr>
        <w:t xml:space="preserve">, la Cour suprême indique </w:t>
      </w:r>
      <w:r w:rsidR="006E54DF">
        <w:rPr>
          <w:lang w:eastAsia="fr-FR"/>
        </w:rPr>
        <w:t>qu’il</w:t>
      </w:r>
      <w:r>
        <w:rPr>
          <w:lang w:eastAsia="fr-FR"/>
        </w:rPr>
        <w:t xml:space="preserve"> n’est pas nécessaire que la preuve démontre l’existence d’une raison réelle et urgente</w:t>
      </w:r>
      <w:r w:rsidR="00A95725">
        <w:rPr>
          <w:lang w:eastAsia="fr-FR"/>
        </w:rPr>
        <w:t>,</w:t>
      </w:r>
      <w:r>
        <w:rPr>
          <w:lang w:eastAsia="fr-FR"/>
        </w:rPr>
        <w:t xml:space="preserve"> mais </w:t>
      </w:r>
      <w:r w:rsidR="006E54DF">
        <w:rPr>
          <w:lang w:eastAsia="fr-FR"/>
        </w:rPr>
        <w:t xml:space="preserve">qu’il faut </w:t>
      </w:r>
      <w:r>
        <w:rPr>
          <w:lang w:eastAsia="fr-FR"/>
        </w:rPr>
        <w:t xml:space="preserve">plutôt </w:t>
      </w:r>
      <w:r w:rsidR="006E54DF">
        <w:rPr>
          <w:lang w:eastAsia="fr-FR"/>
        </w:rPr>
        <w:t xml:space="preserve">déterminer </w:t>
      </w:r>
      <w:r>
        <w:rPr>
          <w:lang w:eastAsia="fr-FR"/>
        </w:rPr>
        <w:t>si l’objectif invoqué</w:t>
      </w:r>
      <w:r w:rsidR="007C2682">
        <w:rPr>
          <w:lang w:eastAsia="fr-FR"/>
        </w:rPr>
        <w:t xml:space="preserve"> p</w:t>
      </w:r>
      <w:r>
        <w:rPr>
          <w:lang w:eastAsia="fr-FR"/>
        </w:rPr>
        <w:t xml:space="preserve">ar </w:t>
      </w:r>
      <w:r w:rsidR="00284E84">
        <w:rPr>
          <w:lang w:eastAsia="fr-FR"/>
        </w:rPr>
        <w:t>l’État</w:t>
      </w:r>
      <w:r>
        <w:rPr>
          <w:lang w:eastAsia="fr-FR"/>
        </w:rPr>
        <w:t xml:space="preserve"> peut se définir en ces termes.</w:t>
      </w:r>
    </w:p>
    <w:p w14:paraId="039FE4CB" w14:textId="571EB28E" w:rsidR="005219B6" w:rsidRDefault="005219B6" w:rsidP="00E352D2">
      <w:pPr>
        <w:pStyle w:val="corpsdedcision"/>
        <w:tabs>
          <w:tab w:val="clear" w:pos="360"/>
          <w:tab w:val="num" w:pos="720"/>
        </w:tabs>
        <w:spacing w:after="120"/>
        <w:rPr>
          <w:lang w:eastAsia="fr-FR"/>
        </w:rPr>
      </w:pPr>
      <w:r>
        <w:rPr>
          <w:lang w:eastAsia="fr-FR"/>
        </w:rPr>
        <w:t xml:space="preserve">La définition de l’objectif </w:t>
      </w:r>
      <w:r w:rsidR="00C962F1">
        <w:rPr>
          <w:lang w:eastAsia="fr-FR"/>
        </w:rPr>
        <w:t>va nécessairement influer sur l’</w:t>
      </w:r>
      <w:r w:rsidR="00CC5318">
        <w:rPr>
          <w:lang w:eastAsia="fr-FR"/>
        </w:rPr>
        <w:t>appréciation</w:t>
      </w:r>
      <w:r w:rsidR="00C962F1">
        <w:rPr>
          <w:lang w:eastAsia="fr-FR"/>
        </w:rPr>
        <w:t xml:space="preserve"> de la proportionnalité. C’est pourquoi il importe de le définir correctement</w:t>
      </w:r>
      <w:r w:rsidR="00E46849">
        <w:rPr>
          <w:lang w:eastAsia="fr-FR"/>
        </w:rPr>
        <w:t>, ce qui n’est pas un exercice nécessairement aisé</w:t>
      </w:r>
      <w:r w:rsidR="00E46849">
        <w:rPr>
          <w:rStyle w:val="Appelnotedebasdep"/>
          <w:lang w:eastAsia="fr-FR"/>
        </w:rPr>
        <w:footnoteReference w:id="155"/>
      </w:r>
      <w:r w:rsidR="00C962F1">
        <w:rPr>
          <w:lang w:eastAsia="fr-FR"/>
        </w:rPr>
        <w:t>.</w:t>
      </w:r>
      <w:r w:rsidR="00825F96">
        <w:rPr>
          <w:lang w:eastAsia="fr-FR"/>
        </w:rPr>
        <w:t xml:space="preserve"> Si l’objectif est défini de façon trop la</w:t>
      </w:r>
      <w:r w:rsidR="002F391D">
        <w:rPr>
          <w:lang w:eastAsia="fr-FR"/>
        </w:rPr>
        <w:t>rge</w:t>
      </w:r>
      <w:r w:rsidR="00EE6447">
        <w:rPr>
          <w:lang w:eastAsia="fr-FR"/>
        </w:rPr>
        <w:t xml:space="preserve">, </w:t>
      </w:r>
      <w:r w:rsidR="00CC5318">
        <w:rPr>
          <w:lang w:eastAsia="fr-FR"/>
        </w:rPr>
        <w:t>l’analyse d</w:t>
      </w:r>
      <w:r w:rsidR="00276677">
        <w:rPr>
          <w:lang w:eastAsia="fr-FR"/>
        </w:rPr>
        <w:t>es critères du</w:t>
      </w:r>
      <w:r w:rsidR="00CC5318">
        <w:rPr>
          <w:lang w:eastAsia="fr-FR"/>
        </w:rPr>
        <w:t xml:space="preserve"> lien rationnel</w:t>
      </w:r>
      <w:r w:rsidR="00276677">
        <w:rPr>
          <w:lang w:eastAsia="fr-FR"/>
        </w:rPr>
        <w:t>, de l’atteinte minimale et des effets proportionnels</w:t>
      </w:r>
      <w:r w:rsidR="00CC5318">
        <w:rPr>
          <w:lang w:eastAsia="fr-FR"/>
        </w:rPr>
        <w:t xml:space="preserve"> </w:t>
      </w:r>
      <w:r w:rsidR="00276677">
        <w:rPr>
          <w:lang w:eastAsia="fr-FR"/>
        </w:rPr>
        <w:t>risquent de perdre leur « </w:t>
      </w:r>
      <w:r w:rsidR="00276677" w:rsidRPr="00276677">
        <w:rPr>
          <w:rStyle w:val="Citationintgre"/>
          <w:lang w:eastAsia="fr-FR"/>
        </w:rPr>
        <w:t>raison d’être</w:t>
      </w:r>
      <w:r w:rsidR="00276677">
        <w:rPr>
          <w:lang w:eastAsia="fr-FR"/>
        </w:rPr>
        <w:t> »</w:t>
      </w:r>
      <w:r w:rsidR="003F7E8E" w:rsidRPr="00C208A0">
        <w:rPr>
          <w:rStyle w:val="Appelnotedebasdep"/>
          <w:iCs/>
          <w:szCs w:val="24"/>
          <w:lang w:eastAsia="fr-FR"/>
        </w:rPr>
        <w:footnoteReference w:id="156"/>
      </w:r>
      <w:r w:rsidR="00276677">
        <w:rPr>
          <w:lang w:eastAsia="fr-FR"/>
        </w:rPr>
        <w:t>.</w:t>
      </w:r>
    </w:p>
    <w:p w14:paraId="2FE3D061" w14:textId="3370C99B" w:rsidR="007C2682" w:rsidRDefault="00584C44" w:rsidP="00E352D2">
      <w:pPr>
        <w:pStyle w:val="corpsdedcision"/>
        <w:tabs>
          <w:tab w:val="clear" w:pos="360"/>
          <w:tab w:val="num" w:pos="720"/>
        </w:tabs>
        <w:spacing w:before="360" w:after="280"/>
        <w:rPr>
          <w:lang w:eastAsia="fr-FR"/>
        </w:rPr>
      </w:pPr>
      <w:r>
        <w:rPr>
          <w:lang w:eastAsia="fr-FR"/>
        </w:rPr>
        <w:t xml:space="preserve">La preuve </w:t>
      </w:r>
      <w:r w:rsidR="007C2682">
        <w:rPr>
          <w:lang w:eastAsia="fr-FR"/>
        </w:rPr>
        <w:t xml:space="preserve">démontre </w:t>
      </w:r>
      <w:r>
        <w:rPr>
          <w:lang w:eastAsia="fr-FR"/>
        </w:rPr>
        <w:t>que le système des relations industrielles, axé sur l’autonomie des parties, fonctionne bien. Les experts Laroche et Jalette, en s’appuyant sur les données du ministère du Travail, rapportent que 92,6</w:t>
      </w:r>
      <w:r w:rsidR="00880FC7">
        <w:rPr>
          <w:lang w:eastAsia="fr-FR"/>
        </w:rPr>
        <w:t> </w:t>
      </w:r>
      <w:r>
        <w:rPr>
          <w:lang w:eastAsia="fr-FR"/>
        </w:rPr>
        <w:t xml:space="preserve">% des négociations collectives </w:t>
      </w:r>
      <w:r w:rsidR="00284E84">
        <w:rPr>
          <w:lang w:eastAsia="fr-FR"/>
        </w:rPr>
        <w:t xml:space="preserve">au Québec </w:t>
      </w:r>
      <w:r>
        <w:rPr>
          <w:lang w:eastAsia="fr-FR"/>
        </w:rPr>
        <w:t>se concluent sans arrêt de travail, ce qui témoigne de la bonne performance du système de négociation collective et du caractère exceptionnel de l’arrêt de travail</w:t>
      </w:r>
      <w:r>
        <w:rPr>
          <w:rStyle w:val="Appelnotedebasdep"/>
          <w:lang w:eastAsia="fr-FR"/>
        </w:rPr>
        <w:footnoteReference w:id="157"/>
      </w:r>
      <w:r>
        <w:rPr>
          <w:lang w:eastAsia="fr-FR"/>
        </w:rPr>
        <w:t>. Le</w:t>
      </w:r>
      <w:r w:rsidR="007132E9">
        <w:rPr>
          <w:lang w:eastAsia="fr-FR"/>
        </w:rPr>
        <w:t> </w:t>
      </w:r>
      <w:r>
        <w:rPr>
          <w:lang w:eastAsia="fr-FR"/>
        </w:rPr>
        <w:t xml:space="preserve">Tribunal a déjà référé au rapport d’expertise qui établit que les arrêts de travail dans le secteur des CPE sont </w:t>
      </w:r>
      <w:r w:rsidR="00437FDC">
        <w:rPr>
          <w:lang w:eastAsia="fr-FR"/>
        </w:rPr>
        <w:t xml:space="preserve">moins fréquents </w:t>
      </w:r>
      <w:r>
        <w:rPr>
          <w:lang w:eastAsia="fr-FR"/>
        </w:rPr>
        <w:t>qu</w:t>
      </w:r>
      <w:r w:rsidR="005F2492">
        <w:rPr>
          <w:lang w:eastAsia="fr-FR"/>
        </w:rPr>
        <w:t xml:space="preserve">’ailleurs </w:t>
      </w:r>
      <w:r>
        <w:rPr>
          <w:lang w:eastAsia="fr-FR"/>
        </w:rPr>
        <w:t>et de plus courte durée</w:t>
      </w:r>
      <w:r>
        <w:rPr>
          <w:rStyle w:val="Appelnotedebasdep"/>
          <w:lang w:eastAsia="fr-FR"/>
        </w:rPr>
        <w:footnoteReference w:id="158"/>
      </w:r>
      <w:r w:rsidR="007C2682">
        <w:rPr>
          <w:lang w:eastAsia="fr-FR"/>
        </w:rPr>
        <w:t>.</w:t>
      </w:r>
    </w:p>
    <w:p w14:paraId="12E4F5AF" w14:textId="37B24289" w:rsidR="00DC2E33" w:rsidRDefault="00DC2E33" w:rsidP="00F14B5B">
      <w:pPr>
        <w:pStyle w:val="corpsdedcision"/>
        <w:spacing w:after="240"/>
        <w:rPr>
          <w:lang w:eastAsia="fr-FR"/>
        </w:rPr>
      </w:pPr>
      <w:r>
        <w:rPr>
          <w:lang w:eastAsia="fr-FR"/>
        </w:rPr>
        <w:t xml:space="preserve">L’objectif du chapitre V.1.1 du Code doit se définir en tenant compte qu’il ne peut </w:t>
      </w:r>
      <w:r w:rsidR="00C41159">
        <w:rPr>
          <w:lang w:eastAsia="fr-FR"/>
        </w:rPr>
        <w:t xml:space="preserve">chercher </w:t>
      </w:r>
      <w:r>
        <w:rPr>
          <w:lang w:eastAsia="fr-FR"/>
        </w:rPr>
        <w:t>à limiter les inconvénients d’un conflit de travail dans n’importe quel secteur d’activité sur les tiers, car il s’agit d’une conséquence inévitable du droit de grève. Comme</w:t>
      </w:r>
      <w:r w:rsidR="00B45DBC">
        <w:rPr>
          <w:lang w:eastAsia="fr-FR"/>
        </w:rPr>
        <w:t> </w:t>
      </w:r>
      <w:r>
        <w:rPr>
          <w:lang w:eastAsia="fr-FR"/>
        </w:rPr>
        <w:t xml:space="preserve">l’écrit la </w:t>
      </w:r>
      <w:r w:rsidR="00346D4B">
        <w:rPr>
          <w:lang w:eastAsia="fr-FR"/>
        </w:rPr>
        <w:t xml:space="preserve">Cour d’appel </w:t>
      </w:r>
      <w:r>
        <w:rPr>
          <w:lang w:eastAsia="fr-FR"/>
        </w:rPr>
        <w:t xml:space="preserve">de </w:t>
      </w:r>
      <w:r w:rsidR="00845292">
        <w:rPr>
          <w:lang w:eastAsia="fr-FR"/>
        </w:rPr>
        <w:t>l’Ontario</w:t>
      </w:r>
      <w:r w:rsidR="00C208A0">
        <w:rPr>
          <w:rStyle w:val="Appelnotedebasdep"/>
          <w:lang w:eastAsia="fr-FR"/>
        </w:rPr>
        <w:footnoteReference w:id="159"/>
      </w:r>
      <w:r>
        <w:rPr>
          <w:lang w:eastAsia="fr-FR"/>
        </w:rPr>
        <w:t> :</w:t>
      </w:r>
    </w:p>
    <w:p w14:paraId="1095B6E4" w14:textId="1EDD84BD" w:rsidR="00616D9C" w:rsidRPr="00DC2E33" w:rsidRDefault="00DC2E33" w:rsidP="00C16821">
      <w:pPr>
        <w:pStyle w:val="citation"/>
        <w:rPr>
          <w:lang w:val="en-CA" w:eastAsia="fr-FR"/>
        </w:rPr>
      </w:pPr>
      <w:r w:rsidRPr="00DC2E33">
        <w:rPr>
          <w:lang w:val="en-CA" w:eastAsia="fr-FR"/>
        </w:rPr>
        <w:t xml:space="preserve">[70] </w:t>
      </w:r>
      <w:r w:rsidR="002238CA">
        <w:rPr>
          <w:lang w:val="en-CA" w:eastAsia="fr-FR"/>
        </w:rPr>
        <w:tab/>
      </w:r>
      <w:r w:rsidRPr="00DC2E33">
        <w:rPr>
          <w:lang w:val="en-CA" w:eastAsia="fr-FR"/>
        </w:rPr>
        <w:t xml:space="preserve">Strikes are disruptive by nature. I agree with the respondents that if the objective of the </w:t>
      </w:r>
      <w:r w:rsidRPr="0037371B">
        <w:rPr>
          <w:i/>
          <w:iCs/>
          <w:lang w:val="en-CA" w:eastAsia="fr-FR"/>
        </w:rPr>
        <w:t>TTC Act</w:t>
      </w:r>
      <w:r w:rsidRPr="00DC2E33">
        <w:rPr>
          <w:lang w:val="en-CA" w:eastAsia="fr-FR"/>
        </w:rPr>
        <w:t xml:space="preserve"> were framed merely banning strikes to </w:t>
      </w:r>
      <w:r w:rsidR="00616D9C">
        <w:rPr>
          <w:lang w:val="en-CA" w:eastAsia="fr-FR"/>
        </w:rPr>
        <w:t>“</w:t>
      </w:r>
      <w:r w:rsidRPr="00DC2E33">
        <w:rPr>
          <w:lang w:val="en-CA" w:eastAsia="fr-FR"/>
        </w:rPr>
        <w:t>prevent disruptions to TTC services” this would</w:t>
      </w:r>
      <w:r w:rsidR="002E4D62">
        <w:rPr>
          <w:lang w:val="en-CA" w:eastAsia="fr-FR"/>
        </w:rPr>
        <w:t xml:space="preserve"> essentially amount to saying that the purpose of banning strikes at TTC was to ban strikes. To adopt </w:t>
      </w:r>
      <w:r w:rsidR="000A6270">
        <w:rPr>
          <w:lang w:val="en-CA" w:eastAsia="fr-FR"/>
        </w:rPr>
        <w:t xml:space="preserve">what Karakatsanis J. said in </w:t>
      </w:r>
      <w:r w:rsidR="000A6270" w:rsidRPr="0037371B">
        <w:rPr>
          <w:i/>
          <w:iCs/>
          <w:lang w:val="en-CA" w:eastAsia="fr-FR"/>
        </w:rPr>
        <w:t>R</w:t>
      </w:r>
      <w:r w:rsidR="000A6270">
        <w:rPr>
          <w:lang w:val="en-CA" w:eastAsia="fr-FR"/>
        </w:rPr>
        <w:t xml:space="preserve">. c. </w:t>
      </w:r>
      <w:r w:rsidR="000A6270" w:rsidRPr="0037371B">
        <w:rPr>
          <w:i/>
          <w:iCs/>
          <w:lang w:val="en-CA" w:eastAsia="fr-FR"/>
        </w:rPr>
        <w:t>K</w:t>
      </w:r>
      <w:r w:rsidR="0037371B" w:rsidRPr="0037371B">
        <w:rPr>
          <w:i/>
          <w:iCs/>
          <w:lang w:val="en-CA" w:eastAsia="fr-FR"/>
        </w:rPr>
        <w:t>.</w:t>
      </w:r>
      <w:r w:rsidR="000A6270" w:rsidRPr="0037371B">
        <w:rPr>
          <w:i/>
          <w:iCs/>
          <w:lang w:val="en-CA" w:eastAsia="fr-FR"/>
        </w:rPr>
        <w:t>R</w:t>
      </w:r>
      <w:r w:rsidR="0037371B" w:rsidRPr="0037371B">
        <w:rPr>
          <w:i/>
          <w:iCs/>
          <w:lang w:val="en-CA" w:eastAsia="fr-FR"/>
        </w:rPr>
        <w:t>.</w:t>
      </w:r>
      <w:r w:rsidR="000A6270" w:rsidRPr="0037371B">
        <w:rPr>
          <w:i/>
          <w:iCs/>
          <w:lang w:val="en-CA" w:eastAsia="fr-FR"/>
        </w:rPr>
        <w:t>J</w:t>
      </w:r>
      <w:r w:rsidR="0037371B">
        <w:rPr>
          <w:lang w:val="en-CA" w:eastAsia="fr-FR"/>
        </w:rPr>
        <w:t>.</w:t>
      </w:r>
      <w:r w:rsidR="000A6270">
        <w:rPr>
          <w:lang w:val="en-CA" w:eastAsia="fr-FR"/>
        </w:rPr>
        <w:t>, [2016] 1 S.</w:t>
      </w:r>
      <w:r w:rsidR="00D522E3">
        <w:rPr>
          <w:lang w:val="en-CA" w:eastAsia="fr-FR"/>
        </w:rPr>
        <w:t>C.R. 906, at para.63. “this articulation of the law’s purpose is not su</w:t>
      </w:r>
      <w:r w:rsidR="000047B7">
        <w:rPr>
          <w:lang w:val="en-CA" w:eastAsia="fr-FR"/>
        </w:rPr>
        <w:t>fficiently precise and is essentially a descri</w:t>
      </w:r>
      <w:r w:rsidR="00616D9C">
        <w:rPr>
          <w:lang w:val="en-CA" w:eastAsia="fr-FR"/>
        </w:rPr>
        <w:t>p</w:t>
      </w:r>
      <w:r w:rsidR="000047B7">
        <w:rPr>
          <w:lang w:val="en-CA" w:eastAsia="fr-FR"/>
        </w:rPr>
        <w:t>tion of the means the legislature has chosen to achieve this purpose”.</w:t>
      </w:r>
    </w:p>
    <w:p w14:paraId="2651553B" w14:textId="00AD1C2A" w:rsidR="0050281B" w:rsidRDefault="00584C44" w:rsidP="00E352D2">
      <w:pPr>
        <w:pStyle w:val="corpsdedcision"/>
        <w:tabs>
          <w:tab w:val="clear" w:pos="360"/>
          <w:tab w:val="num" w:pos="720"/>
        </w:tabs>
        <w:spacing w:before="360" w:after="280"/>
        <w:rPr>
          <w:lang w:eastAsia="fr-FR"/>
        </w:rPr>
      </w:pPr>
      <w:r>
        <w:rPr>
          <w:lang w:eastAsia="fr-FR"/>
        </w:rPr>
        <w:t xml:space="preserve">C’est pourquoi le PGQ invoque un objectif législatif </w:t>
      </w:r>
      <w:r w:rsidR="007C2682">
        <w:rPr>
          <w:lang w:eastAsia="fr-FR"/>
        </w:rPr>
        <w:t xml:space="preserve">qui </w:t>
      </w:r>
      <w:r w:rsidRPr="00595CC0">
        <w:rPr>
          <w:lang w:eastAsia="fr-FR"/>
        </w:rPr>
        <w:t>vis</w:t>
      </w:r>
      <w:r w:rsidR="007C2682" w:rsidRPr="00595CC0">
        <w:rPr>
          <w:lang w:eastAsia="fr-FR"/>
        </w:rPr>
        <w:t>e</w:t>
      </w:r>
      <w:r w:rsidR="00F67442">
        <w:rPr>
          <w:lang w:eastAsia="fr-FR"/>
        </w:rPr>
        <w:t xml:space="preserve"> </w:t>
      </w:r>
      <w:r>
        <w:rPr>
          <w:lang w:eastAsia="fr-FR"/>
        </w:rPr>
        <w:t>des cas particuliers, exceptionnels</w:t>
      </w:r>
      <w:r w:rsidR="006E54DF">
        <w:rPr>
          <w:lang w:eastAsia="fr-FR"/>
        </w:rPr>
        <w:t xml:space="preserve"> et bien ciblés</w:t>
      </w:r>
      <w:r>
        <w:rPr>
          <w:lang w:eastAsia="fr-FR"/>
        </w:rPr>
        <w:t>.</w:t>
      </w:r>
      <w:r w:rsidRPr="00584C44">
        <w:rPr>
          <w:lang w:eastAsia="fr-FR"/>
        </w:rPr>
        <w:t xml:space="preserve"> </w:t>
      </w:r>
      <w:r w:rsidR="0050281B">
        <w:rPr>
          <w:lang w:eastAsia="fr-FR"/>
        </w:rPr>
        <w:t>Il souligne que la mise en place des mesures « </w:t>
      </w:r>
      <w:r w:rsidR="0050281B" w:rsidRPr="00516D20">
        <w:rPr>
          <w:rStyle w:val="Citationintgre"/>
          <w:lang w:eastAsia="fr-FR"/>
        </w:rPr>
        <w:t>se situent dans un contexte global où les effets de certaines grèves dans certains secteurs d’activités ont pu dépasser les inconvénients normaux auxquels la population peut s’attendre</w:t>
      </w:r>
      <w:r w:rsidR="0050281B">
        <w:rPr>
          <w:rStyle w:val="Citationintgre"/>
          <w:lang w:eastAsia="fr-FR"/>
        </w:rPr>
        <w:t xml:space="preserve"> et doit accepter</w:t>
      </w:r>
      <w:r w:rsidR="0050281B">
        <w:rPr>
          <w:rStyle w:val="Appelnotedebasdep"/>
          <w:lang w:eastAsia="fr-FR"/>
        </w:rPr>
        <w:footnoteReference w:id="160"/>
      </w:r>
      <w:r w:rsidR="0050281B">
        <w:rPr>
          <w:lang w:eastAsia="fr-FR"/>
        </w:rPr>
        <w:t> »</w:t>
      </w:r>
      <w:r w:rsidR="005373A7">
        <w:rPr>
          <w:lang w:eastAsia="fr-FR"/>
        </w:rPr>
        <w:t>.</w:t>
      </w:r>
    </w:p>
    <w:p w14:paraId="193F7AD3" w14:textId="147796B5" w:rsidR="0050281B" w:rsidRDefault="0050281B" w:rsidP="00E352D2">
      <w:pPr>
        <w:pStyle w:val="corpsdedcision"/>
        <w:tabs>
          <w:tab w:val="clear" w:pos="360"/>
          <w:tab w:val="num" w:pos="720"/>
        </w:tabs>
        <w:spacing w:after="0"/>
        <w:rPr>
          <w:lang w:eastAsia="fr-FR"/>
        </w:rPr>
      </w:pPr>
      <w:r w:rsidRPr="007C2682">
        <w:rPr>
          <w:rFonts w:cs="Arial"/>
          <w:szCs w:val="24"/>
          <w:lang w:eastAsia="fr-FR"/>
        </w:rPr>
        <w:t xml:space="preserve">Le PGQ n’administre cependant aucune preuve pour établir </w:t>
      </w:r>
      <w:r w:rsidR="00BA1EA2">
        <w:rPr>
          <w:rFonts w:cs="Arial"/>
          <w:szCs w:val="24"/>
          <w:lang w:eastAsia="fr-FR"/>
        </w:rPr>
        <w:t xml:space="preserve">notamment </w:t>
      </w:r>
      <w:r>
        <w:rPr>
          <w:rFonts w:cs="Arial"/>
          <w:szCs w:val="24"/>
          <w:lang w:eastAsia="fr-FR"/>
        </w:rPr>
        <w:t>le</w:t>
      </w:r>
      <w:r w:rsidRPr="007C2682">
        <w:rPr>
          <w:rFonts w:cs="Arial"/>
          <w:szCs w:val="24"/>
          <w:lang w:eastAsia="fr-FR"/>
        </w:rPr>
        <w:t>s impacts de certaines grèves sur la population</w:t>
      </w:r>
      <w:r w:rsidR="00CE17CF">
        <w:rPr>
          <w:rFonts w:cs="Arial"/>
          <w:szCs w:val="24"/>
          <w:lang w:eastAsia="fr-FR"/>
        </w:rPr>
        <w:t xml:space="preserve">. </w:t>
      </w:r>
      <w:r>
        <w:rPr>
          <w:lang w:eastAsia="fr-FR"/>
        </w:rPr>
        <w:t xml:space="preserve">Les pièces </w:t>
      </w:r>
      <w:r w:rsidR="00986EFB">
        <w:rPr>
          <w:lang w:eastAsia="fr-FR"/>
        </w:rPr>
        <w:t xml:space="preserve">qu’il </w:t>
      </w:r>
      <w:r>
        <w:rPr>
          <w:lang w:eastAsia="fr-FR"/>
        </w:rPr>
        <w:t>dépos</w:t>
      </w:r>
      <w:r w:rsidR="00986EFB">
        <w:rPr>
          <w:lang w:eastAsia="fr-FR"/>
        </w:rPr>
        <w:t>e</w:t>
      </w:r>
      <w:r>
        <w:rPr>
          <w:lang w:eastAsia="fr-FR"/>
        </w:rPr>
        <w:t xml:space="preserve"> à l’audience</w:t>
      </w:r>
      <w:r w:rsidR="00E46048">
        <w:rPr>
          <w:lang w:eastAsia="fr-FR"/>
        </w:rPr>
        <w:t>,</w:t>
      </w:r>
      <w:r>
        <w:rPr>
          <w:lang w:eastAsia="fr-FR"/>
        </w:rPr>
        <w:t xml:space="preserve"> </w:t>
      </w:r>
      <w:r w:rsidR="00346D4B">
        <w:rPr>
          <w:lang w:eastAsia="fr-FR"/>
        </w:rPr>
        <w:t xml:space="preserve">en l’occurrence </w:t>
      </w:r>
      <w:r>
        <w:rPr>
          <w:lang w:eastAsia="fr-FR"/>
        </w:rPr>
        <w:t>des documents produits par des organisations internationales</w:t>
      </w:r>
      <w:r>
        <w:rPr>
          <w:rStyle w:val="Appelnotedebasdep"/>
          <w:lang w:eastAsia="fr-FR"/>
        </w:rPr>
        <w:footnoteReference w:id="161"/>
      </w:r>
      <w:r>
        <w:rPr>
          <w:lang w:eastAsia="fr-FR"/>
        </w:rPr>
        <w:t>, dont certain</w:t>
      </w:r>
      <w:r w:rsidR="00BA1EA2">
        <w:rPr>
          <w:lang w:eastAsia="fr-FR"/>
        </w:rPr>
        <w:t>e</w:t>
      </w:r>
      <w:r>
        <w:rPr>
          <w:lang w:eastAsia="fr-FR"/>
        </w:rPr>
        <w:t>s ont été pris</w:t>
      </w:r>
      <w:r w:rsidR="00737818">
        <w:rPr>
          <w:lang w:eastAsia="fr-FR"/>
        </w:rPr>
        <w:t>es</w:t>
      </w:r>
      <w:r>
        <w:rPr>
          <w:lang w:eastAsia="fr-FR"/>
        </w:rPr>
        <w:t xml:space="preserve"> sous réserve, ne sont d’aucune utilité pour démontrer l’objectif urgent et réel du régime des SBEP. En effet, il n’a pas été établi que le législateur s’en est inspiré. Au contraire, les</w:t>
      </w:r>
      <w:r w:rsidR="006A5D09">
        <w:rPr>
          <w:lang w:eastAsia="fr-FR"/>
        </w:rPr>
        <w:t xml:space="preserve"> situations visées</w:t>
      </w:r>
      <w:r>
        <w:rPr>
          <w:lang w:eastAsia="fr-FR"/>
        </w:rPr>
        <w:t xml:space="preserve"> par le législateur diffèrent des définitions </w:t>
      </w:r>
      <w:r w:rsidR="006A5D09">
        <w:rPr>
          <w:lang w:eastAsia="fr-FR"/>
        </w:rPr>
        <w:t xml:space="preserve">des notions de sécurité </w:t>
      </w:r>
      <w:r>
        <w:rPr>
          <w:lang w:eastAsia="fr-FR"/>
        </w:rPr>
        <w:t>généralement contenues dans les documents internationaux</w:t>
      </w:r>
      <w:r>
        <w:rPr>
          <w:rStyle w:val="Appelnotedebasdep"/>
          <w:lang w:eastAsia="fr-FR"/>
        </w:rPr>
        <w:footnoteReference w:id="162"/>
      </w:r>
      <w:r>
        <w:rPr>
          <w:lang w:eastAsia="fr-FR"/>
        </w:rPr>
        <w:t>.</w:t>
      </w:r>
    </w:p>
    <w:p w14:paraId="3357A195" w14:textId="0C51E8B0" w:rsidR="0050281B" w:rsidRPr="00A814C6" w:rsidRDefault="0050281B" w:rsidP="00E352D2">
      <w:pPr>
        <w:pStyle w:val="corpsdedcision"/>
        <w:tabs>
          <w:tab w:val="clear" w:pos="360"/>
          <w:tab w:val="num" w:pos="720"/>
        </w:tabs>
        <w:spacing w:before="360"/>
        <w:rPr>
          <w:rFonts w:cs="Arial"/>
          <w:szCs w:val="24"/>
          <w:lang w:eastAsia="fr-FR"/>
        </w:rPr>
      </w:pPr>
      <w:r>
        <w:rPr>
          <w:lang w:eastAsia="fr-FR"/>
        </w:rPr>
        <w:t>C’est donc essentiellement dans les travaux parlementaires que l’objectif de la loi se trouve plus amplement discuté.</w:t>
      </w:r>
    </w:p>
    <w:p w14:paraId="037BFE58" w14:textId="10724869" w:rsidR="00584C44" w:rsidRDefault="00A814C6" w:rsidP="00B274AE">
      <w:pPr>
        <w:pStyle w:val="corpsdedcision"/>
        <w:tabs>
          <w:tab w:val="clear" w:pos="360"/>
          <w:tab w:val="num" w:pos="720"/>
        </w:tabs>
        <w:rPr>
          <w:lang w:eastAsia="fr-FR"/>
        </w:rPr>
      </w:pPr>
      <w:r>
        <w:rPr>
          <w:lang w:eastAsia="fr-FR"/>
        </w:rPr>
        <w:t xml:space="preserve">Le 19 février 2025, </w:t>
      </w:r>
      <w:r w:rsidR="007F36A0">
        <w:rPr>
          <w:lang w:eastAsia="fr-FR"/>
        </w:rPr>
        <w:t>à l’occasion</w:t>
      </w:r>
      <w:r>
        <w:rPr>
          <w:lang w:eastAsia="fr-FR"/>
        </w:rPr>
        <w:t xml:space="preserve"> de la présentation du projet de loi</w:t>
      </w:r>
      <w:r w:rsidR="00794011" w:rsidRPr="00794011">
        <w:rPr>
          <w:lang w:eastAsia="fr-FR"/>
        </w:rPr>
        <w:t xml:space="preserve"> n°</w:t>
      </w:r>
      <w:r>
        <w:rPr>
          <w:lang w:eastAsia="fr-FR"/>
        </w:rPr>
        <w:t>89</w:t>
      </w:r>
      <w:r w:rsidR="00B274AE">
        <w:rPr>
          <w:rStyle w:val="Appelnotedebasdep"/>
          <w:rFonts w:cs="Arial"/>
          <w:lang w:eastAsia="fr-FR"/>
        </w:rPr>
        <w:footnoteReference w:id="163"/>
      </w:r>
      <w:r>
        <w:rPr>
          <w:lang w:eastAsia="fr-FR"/>
        </w:rPr>
        <w:t>, le</w:t>
      </w:r>
      <w:r w:rsidR="005F2492">
        <w:rPr>
          <w:lang w:eastAsia="fr-FR"/>
        </w:rPr>
        <w:t> </w:t>
      </w:r>
      <w:r>
        <w:rPr>
          <w:lang w:eastAsia="fr-FR"/>
        </w:rPr>
        <w:t xml:space="preserve">ministre </w:t>
      </w:r>
      <w:r w:rsidR="005F1214">
        <w:rPr>
          <w:lang w:eastAsia="fr-FR"/>
        </w:rPr>
        <w:t xml:space="preserve">du Travail </w:t>
      </w:r>
      <w:r w:rsidR="00584C44">
        <w:rPr>
          <w:lang w:eastAsia="fr-FR"/>
        </w:rPr>
        <w:t xml:space="preserve">explique </w:t>
      </w:r>
      <w:r>
        <w:rPr>
          <w:lang w:eastAsia="fr-FR"/>
        </w:rPr>
        <w:t xml:space="preserve">que l’objectif législatif </w:t>
      </w:r>
      <w:r w:rsidR="003F03E5">
        <w:rPr>
          <w:lang w:eastAsia="fr-FR"/>
        </w:rPr>
        <w:t xml:space="preserve">est de corriger ou de couvrir des situations autrement qu’avec </w:t>
      </w:r>
      <w:r w:rsidR="00346D4B">
        <w:rPr>
          <w:lang w:eastAsia="fr-FR"/>
        </w:rPr>
        <w:t>le régime d</w:t>
      </w:r>
      <w:r w:rsidR="003F03E5">
        <w:rPr>
          <w:lang w:eastAsia="fr-FR"/>
        </w:rPr>
        <w:t xml:space="preserve">es services essentiels. Le régime des SBEP </w:t>
      </w:r>
      <w:r>
        <w:rPr>
          <w:lang w:eastAsia="fr-FR"/>
        </w:rPr>
        <w:t xml:space="preserve">est </w:t>
      </w:r>
      <w:r w:rsidR="003F03E5">
        <w:rPr>
          <w:lang w:eastAsia="fr-FR"/>
        </w:rPr>
        <w:t xml:space="preserve">créé afin </w:t>
      </w:r>
      <w:r>
        <w:rPr>
          <w:lang w:eastAsia="fr-FR"/>
        </w:rPr>
        <w:t>d’</w:t>
      </w:r>
      <w:r w:rsidR="004D7208">
        <w:rPr>
          <w:lang w:eastAsia="fr-FR"/>
        </w:rPr>
        <w:t>éviter que ne se reproduisent des situations passées, où</w:t>
      </w:r>
      <w:r w:rsidR="00694B6F">
        <w:rPr>
          <w:lang w:eastAsia="fr-FR"/>
        </w:rPr>
        <w:t xml:space="preserve"> la population a</w:t>
      </w:r>
      <w:r w:rsidR="004D7208">
        <w:rPr>
          <w:lang w:eastAsia="fr-FR"/>
        </w:rPr>
        <w:t>urait</w:t>
      </w:r>
      <w:r w:rsidR="00694B6F">
        <w:rPr>
          <w:lang w:eastAsia="fr-FR"/>
        </w:rPr>
        <w:t xml:space="preserve"> été « </w:t>
      </w:r>
      <w:r w:rsidR="00694B6F" w:rsidRPr="004D7208">
        <w:rPr>
          <w:rStyle w:val="Citationintgre"/>
        </w:rPr>
        <w:t>prise en otage</w:t>
      </w:r>
      <w:r w:rsidR="00694B6F">
        <w:rPr>
          <w:lang w:eastAsia="fr-FR"/>
        </w:rPr>
        <w:t> »</w:t>
      </w:r>
      <w:r w:rsidR="004D7208">
        <w:rPr>
          <w:lang w:eastAsia="fr-FR"/>
        </w:rPr>
        <w:t xml:space="preserve"> lors de </w:t>
      </w:r>
      <w:r w:rsidR="004D7208" w:rsidRPr="00F67442">
        <w:rPr>
          <w:lang w:eastAsia="fr-FR"/>
        </w:rPr>
        <w:t>grève</w:t>
      </w:r>
      <w:r w:rsidR="00AA0A2E">
        <w:rPr>
          <w:lang w:eastAsia="fr-FR"/>
        </w:rPr>
        <w:t>s</w:t>
      </w:r>
      <w:r w:rsidR="00F67442">
        <w:rPr>
          <w:lang w:eastAsia="fr-FR"/>
        </w:rPr>
        <w:t xml:space="preserve"> dans </w:t>
      </w:r>
      <w:r w:rsidR="005F2492">
        <w:rPr>
          <w:lang w:eastAsia="fr-FR"/>
        </w:rPr>
        <w:t xml:space="preserve">divers </w:t>
      </w:r>
      <w:r w:rsidR="00F67442">
        <w:rPr>
          <w:lang w:eastAsia="fr-FR"/>
        </w:rPr>
        <w:t>secteurs</w:t>
      </w:r>
      <w:r w:rsidR="00AA0A2E">
        <w:rPr>
          <w:lang w:eastAsia="fr-FR"/>
        </w:rPr>
        <w:t>. L</w:t>
      </w:r>
      <w:r w:rsidR="00F67442">
        <w:rPr>
          <w:lang w:eastAsia="fr-FR"/>
        </w:rPr>
        <w:t>e transport scolaire, le transport en commun, la transformation alimentaire, les services funéraires</w:t>
      </w:r>
      <w:r w:rsidR="00D55AA8">
        <w:rPr>
          <w:lang w:eastAsia="fr-FR"/>
        </w:rPr>
        <w:t>, les traversiers</w:t>
      </w:r>
      <w:r w:rsidR="00F67442">
        <w:rPr>
          <w:lang w:eastAsia="fr-FR"/>
        </w:rPr>
        <w:t xml:space="preserve"> </w:t>
      </w:r>
      <w:r w:rsidR="00BA1EA2">
        <w:rPr>
          <w:lang w:eastAsia="fr-FR"/>
        </w:rPr>
        <w:t>et</w:t>
      </w:r>
      <w:r w:rsidR="00F67442">
        <w:rPr>
          <w:lang w:eastAsia="fr-FR"/>
        </w:rPr>
        <w:t xml:space="preserve"> l’éducation</w:t>
      </w:r>
      <w:r w:rsidR="00AA0A2E">
        <w:rPr>
          <w:lang w:eastAsia="fr-FR"/>
        </w:rPr>
        <w:t xml:space="preserve"> sont cités comme exemple</w:t>
      </w:r>
      <w:r w:rsidR="00DD6517">
        <w:rPr>
          <w:lang w:eastAsia="fr-FR"/>
        </w:rPr>
        <w:t>s</w:t>
      </w:r>
      <w:r w:rsidR="00F67442">
        <w:rPr>
          <w:lang w:eastAsia="fr-FR"/>
        </w:rPr>
        <w:t>.</w:t>
      </w:r>
    </w:p>
    <w:p w14:paraId="0808334B" w14:textId="07CAE8E3" w:rsidR="0030468D" w:rsidRDefault="002E7EC6" w:rsidP="00E352D2">
      <w:pPr>
        <w:pStyle w:val="corpsdedcision"/>
        <w:tabs>
          <w:tab w:val="clear" w:pos="360"/>
          <w:tab w:val="num" w:pos="720"/>
        </w:tabs>
        <w:spacing w:after="240"/>
        <w:rPr>
          <w:lang w:eastAsia="fr-FR"/>
        </w:rPr>
      </w:pPr>
      <w:r>
        <w:rPr>
          <w:lang w:eastAsia="fr-FR"/>
        </w:rPr>
        <w:t xml:space="preserve">Lors </w:t>
      </w:r>
      <w:r w:rsidR="00BC5002">
        <w:rPr>
          <w:lang w:eastAsia="fr-FR"/>
        </w:rPr>
        <w:t>de l’étude détaillée du projet de loi par la</w:t>
      </w:r>
      <w:r>
        <w:rPr>
          <w:lang w:eastAsia="fr-FR"/>
        </w:rPr>
        <w:t xml:space="preserve"> Commission de l’économie et du travail</w:t>
      </w:r>
      <w:r w:rsidR="0005643E">
        <w:rPr>
          <w:lang w:eastAsia="fr-FR"/>
        </w:rPr>
        <w:t xml:space="preserve">, </w:t>
      </w:r>
      <w:r w:rsidR="00C35529">
        <w:rPr>
          <w:lang w:eastAsia="fr-FR"/>
        </w:rPr>
        <w:t>le</w:t>
      </w:r>
      <w:r w:rsidR="0005643E">
        <w:rPr>
          <w:lang w:eastAsia="fr-FR"/>
        </w:rPr>
        <w:t xml:space="preserve"> ministre </w:t>
      </w:r>
      <w:r w:rsidR="005D5B5F">
        <w:rPr>
          <w:lang w:eastAsia="fr-FR"/>
        </w:rPr>
        <w:t>du Travail</w:t>
      </w:r>
      <w:r w:rsidR="0005643E">
        <w:rPr>
          <w:lang w:eastAsia="fr-FR"/>
        </w:rPr>
        <w:t xml:space="preserve"> </w:t>
      </w:r>
      <w:r w:rsidR="00762839">
        <w:rPr>
          <w:lang w:eastAsia="fr-FR"/>
        </w:rPr>
        <w:t>fait</w:t>
      </w:r>
      <w:r w:rsidR="00C2646A">
        <w:rPr>
          <w:lang w:eastAsia="fr-FR"/>
        </w:rPr>
        <w:t xml:space="preserve"> </w:t>
      </w:r>
      <w:r w:rsidR="00AA0A2E">
        <w:rPr>
          <w:lang w:eastAsia="fr-FR"/>
        </w:rPr>
        <w:t xml:space="preserve">à nouveau </w:t>
      </w:r>
      <w:r w:rsidR="00762839">
        <w:rPr>
          <w:lang w:eastAsia="fr-FR"/>
        </w:rPr>
        <w:t xml:space="preserve">référence </w:t>
      </w:r>
      <w:r w:rsidR="00AA0A2E">
        <w:rPr>
          <w:lang w:eastAsia="fr-FR"/>
        </w:rPr>
        <w:t xml:space="preserve">et </w:t>
      </w:r>
      <w:r w:rsidR="00C2646A">
        <w:rPr>
          <w:lang w:eastAsia="fr-FR"/>
        </w:rPr>
        <w:t xml:space="preserve">à plusieurs reprises </w:t>
      </w:r>
      <w:r w:rsidR="00DB1F6D">
        <w:rPr>
          <w:lang w:eastAsia="fr-FR"/>
        </w:rPr>
        <w:t>à des conflits de travail qui auraient produit des impacts maj</w:t>
      </w:r>
      <w:r w:rsidR="00AA4416">
        <w:rPr>
          <w:lang w:eastAsia="fr-FR"/>
        </w:rPr>
        <w:t>eu</w:t>
      </w:r>
      <w:r w:rsidR="00DB1F6D">
        <w:rPr>
          <w:lang w:eastAsia="fr-FR"/>
        </w:rPr>
        <w:t>rs</w:t>
      </w:r>
      <w:r w:rsidR="00AA4416">
        <w:rPr>
          <w:lang w:eastAsia="fr-FR"/>
        </w:rPr>
        <w:t xml:space="preserve"> sur</w:t>
      </w:r>
      <w:r w:rsidR="00AA0A2E">
        <w:rPr>
          <w:lang w:eastAsia="fr-FR"/>
        </w:rPr>
        <w:t xml:space="preserve"> </w:t>
      </w:r>
      <w:r w:rsidR="00C2646A">
        <w:rPr>
          <w:lang w:eastAsia="fr-FR"/>
        </w:rPr>
        <w:t xml:space="preserve">la </w:t>
      </w:r>
      <w:r w:rsidR="00130256">
        <w:rPr>
          <w:lang w:eastAsia="fr-FR"/>
        </w:rPr>
        <w:t>population</w:t>
      </w:r>
      <w:r w:rsidR="00AA4416">
        <w:rPr>
          <w:lang w:eastAsia="fr-FR"/>
        </w:rPr>
        <w:t xml:space="preserve">, en particulier </w:t>
      </w:r>
      <w:r w:rsidR="00762839">
        <w:rPr>
          <w:lang w:eastAsia="fr-FR"/>
        </w:rPr>
        <w:t>sur les personnes vulnérables</w:t>
      </w:r>
      <w:r w:rsidR="00AA0A2E">
        <w:rPr>
          <w:lang w:eastAsia="fr-FR"/>
        </w:rPr>
        <w:t>.</w:t>
      </w:r>
      <w:r w:rsidR="00C2646A">
        <w:rPr>
          <w:lang w:eastAsia="fr-FR"/>
        </w:rPr>
        <w:t xml:space="preserve"> </w:t>
      </w:r>
      <w:r w:rsidR="00AA0A2E">
        <w:rPr>
          <w:lang w:eastAsia="fr-FR"/>
        </w:rPr>
        <w:t>Il assure également que</w:t>
      </w:r>
      <w:r w:rsidR="007B705B">
        <w:rPr>
          <w:lang w:eastAsia="fr-FR"/>
        </w:rPr>
        <w:t xml:space="preserve"> le régime ne s’appliquera que de manière exceptionnelle</w:t>
      </w:r>
      <w:r w:rsidR="00C2646A">
        <w:rPr>
          <w:lang w:eastAsia="fr-FR"/>
        </w:rPr>
        <w:t>. Ses paroles</w:t>
      </w:r>
      <w:r w:rsidR="00AA0A2E">
        <w:rPr>
          <w:lang w:eastAsia="fr-FR"/>
        </w:rPr>
        <w:t>,</w:t>
      </w:r>
      <w:r w:rsidR="00C2646A">
        <w:rPr>
          <w:lang w:eastAsia="fr-FR"/>
        </w:rPr>
        <w:t xml:space="preserve"> prononcées le 21 mai 2025</w:t>
      </w:r>
      <w:r w:rsidR="00AA0A2E">
        <w:rPr>
          <w:lang w:eastAsia="fr-FR"/>
        </w:rPr>
        <w:t>,</w:t>
      </w:r>
      <w:r w:rsidR="00C2646A">
        <w:rPr>
          <w:lang w:eastAsia="fr-FR"/>
        </w:rPr>
        <w:t xml:space="preserve"> résument bien les propos </w:t>
      </w:r>
      <w:r w:rsidR="00AA0A2E">
        <w:rPr>
          <w:lang w:eastAsia="fr-FR"/>
        </w:rPr>
        <w:t xml:space="preserve">qu’il a </w:t>
      </w:r>
      <w:r w:rsidR="00C2646A">
        <w:rPr>
          <w:lang w:eastAsia="fr-FR"/>
        </w:rPr>
        <w:t>tenus à diverses occasions</w:t>
      </w:r>
      <w:r w:rsidR="007B705B" w:rsidRPr="00457F0E">
        <w:rPr>
          <w:rStyle w:val="Appelnotedebasdep"/>
          <w:iCs/>
          <w:szCs w:val="24"/>
          <w:lang w:eastAsia="fr-FR"/>
        </w:rPr>
        <w:footnoteReference w:id="164"/>
      </w:r>
      <w:r w:rsidR="007B705B" w:rsidRPr="00457F0E">
        <w:rPr>
          <w:szCs w:val="24"/>
          <w:lang w:eastAsia="fr-FR"/>
        </w:rPr>
        <w:t> </w:t>
      </w:r>
      <w:r w:rsidR="007B705B">
        <w:rPr>
          <w:lang w:eastAsia="fr-FR"/>
        </w:rPr>
        <w:t>:</w:t>
      </w:r>
    </w:p>
    <w:p w14:paraId="4A0F6337" w14:textId="55585936" w:rsidR="007B705B" w:rsidRDefault="007B705B" w:rsidP="00E352D2">
      <w:pPr>
        <w:pStyle w:val="citation"/>
        <w:spacing w:after="240"/>
        <w:rPr>
          <w:lang w:eastAsia="fr-FR"/>
        </w:rPr>
      </w:pPr>
      <w:r w:rsidRPr="007B705B">
        <w:rPr>
          <w:b/>
          <w:bCs/>
          <w:lang w:eastAsia="fr-FR"/>
        </w:rPr>
        <w:t>M. Boulet</w:t>
      </w:r>
      <w:r>
        <w:rPr>
          <w:lang w:eastAsia="fr-FR"/>
        </w:rPr>
        <w:t xml:space="preserve"> : </w:t>
      </w:r>
      <w:r w:rsidR="0030468D">
        <w:rPr>
          <w:lang w:eastAsia="fr-FR"/>
        </w:rPr>
        <w:t xml:space="preserve">Ce qu’on vient de faire avec ce projet de loi là, c’est de limiter l’impact trop préjudiciable sur la </w:t>
      </w:r>
      <w:r>
        <w:rPr>
          <w:lang w:eastAsia="fr-FR"/>
        </w:rPr>
        <w:t>population</w:t>
      </w:r>
      <w:r w:rsidR="0030468D" w:rsidRPr="00DF58E4">
        <w:rPr>
          <w:lang w:eastAsia="fr-FR"/>
        </w:rPr>
        <w:t xml:space="preserve">. </w:t>
      </w:r>
      <w:r w:rsidR="0030468D" w:rsidRPr="00AA0A2E">
        <w:rPr>
          <w:u w:val="single"/>
          <w:lang w:eastAsia="fr-FR"/>
        </w:rPr>
        <w:t xml:space="preserve">C’est simplement ce </w:t>
      </w:r>
      <w:r w:rsidRPr="00AA0A2E">
        <w:rPr>
          <w:u w:val="single"/>
          <w:lang w:eastAsia="fr-FR"/>
        </w:rPr>
        <w:t>q</w:t>
      </w:r>
      <w:r w:rsidR="0030468D" w:rsidRPr="00AA0A2E">
        <w:rPr>
          <w:u w:val="single"/>
          <w:lang w:eastAsia="fr-FR"/>
        </w:rPr>
        <w:t xml:space="preserve">u’on </w:t>
      </w:r>
      <w:r w:rsidR="00900F61">
        <w:rPr>
          <w:u w:val="single"/>
          <w:lang w:eastAsia="fr-FR"/>
        </w:rPr>
        <w:t>vient</w:t>
      </w:r>
      <w:r w:rsidR="00900F61" w:rsidRPr="00AA0A2E">
        <w:rPr>
          <w:u w:val="single"/>
          <w:lang w:eastAsia="fr-FR"/>
        </w:rPr>
        <w:t xml:space="preserve"> </w:t>
      </w:r>
      <w:r w:rsidR="0030468D" w:rsidRPr="00AA0A2E">
        <w:rPr>
          <w:u w:val="single"/>
          <w:lang w:eastAsia="fr-FR"/>
        </w:rPr>
        <w:t>faire, éviter que la population soit malheureusement prise en otage</w:t>
      </w:r>
      <w:r w:rsidR="0030468D">
        <w:rPr>
          <w:lang w:eastAsia="fr-FR"/>
        </w:rPr>
        <w:t>. Il y</w:t>
      </w:r>
      <w:r>
        <w:rPr>
          <w:lang w:eastAsia="fr-FR"/>
        </w:rPr>
        <w:t xml:space="preserve"> </w:t>
      </w:r>
      <w:r w:rsidR="0030468D">
        <w:rPr>
          <w:lang w:eastAsia="fr-FR"/>
        </w:rPr>
        <w:t>a des</w:t>
      </w:r>
      <w:r>
        <w:rPr>
          <w:lang w:eastAsia="fr-FR"/>
        </w:rPr>
        <w:t xml:space="preserve"> personnes qui sont impuissantes, il y</w:t>
      </w:r>
      <w:r w:rsidR="00C2646A">
        <w:rPr>
          <w:lang w:eastAsia="fr-FR"/>
        </w:rPr>
        <w:t xml:space="preserve"> </w:t>
      </w:r>
      <w:r>
        <w:rPr>
          <w:lang w:eastAsia="fr-FR"/>
        </w:rPr>
        <w:t xml:space="preserve">a des personnes </w:t>
      </w:r>
      <w:r w:rsidR="00C2646A">
        <w:rPr>
          <w:lang w:eastAsia="fr-FR"/>
        </w:rPr>
        <w:t>marginalisées</w:t>
      </w:r>
      <w:r>
        <w:rPr>
          <w:lang w:eastAsia="fr-FR"/>
        </w:rPr>
        <w:t xml:space="preserve"> dans notre société. Il y</w:t>
      </w:r>
      <w:r w:rsidR="00C2646A">
        <w:rPr>
          <w:lang w:eastAsia="fr-FR"/>
        </w:rPr>
        <w:t xml:space="preserve"> </w:t>
      </w:r>
      <w:r>
        <w:rPr>
          <w:lang w:eastAsia="fr-FR"/>
        </w:rPr>
        <w:t xml:space="preserve">a des personnes qui n’ont pas les </w:t>
      </w:r>
      <w:r w:rsidR="00C2646A">
        <w:rPr>
          <w:lang w:eastAsia="fr-FR"/>
        </w:rPr>
        <w:t>mêmes</w:t>
      </w:r>
      <w:r>
        <w:rPr>
          <w:lang w:eastAsia="fr-FR"/>
        </w:rPr>
        <w:t xml:space="preserve"> moyens, qui vivent </w:t>
      </w:r>
      <w:r w:rsidR="00900F61">
        <w:rPr>
          <w:lang w:eastAsia="fr-FR"/>
        </w:rPr>
        <w:t>l</w:t>
      </w:r>
      <w:r>
        <w:rPr>
          <w:lang w:eastAsia="fr-FR"/>
        </w:rPr>
        <w:t xml:space="preserve">es conséquences, parfois </w:t>
      </w:r>
      <w:r w:rsidR="00900F61">
        <w:rPr>
          <w:lang w:eastAsia="fr-FR"/>
        </w:rPr>
        <w:t>au</w:t>
      </w:r>
      <w:r>
        <w:rPr>
          <w:lang w:eastAsia="fr-FR"/>
        </w:rPr>
        <w:t xml:space="preserve"> plan humain, désastreuses des conflits de travail. Il y a deux mécanismes dans le projet de loi puis il ne faut pas les diaboliser, il faut apprendre à les apprivoiser. C’est du droit nouveau. On est audacieux au </w:t>
      </w:r>
      <w:r w:rsidR="00C2646A">
        <w:rPr>
          <w:lang w:eastAsia="fr-FR"/>
        </w:rPr>
        <w:t>Québec</w:t>
      </w:r>
      <w:r>
        <w:rPr>
          <w:lang w:eastAsia="fr-FR"/>
        </w:rPr>
        <w:t>, puis j’aime croire qu’on est un précurseur.</w:t>
      </w:r>
    </w:p>
    <w:p w14:paraId="0BA42E14" w14:textId="4E666F69" w:rsidR="00AA0A2E" w:rsidRDefault="007B705B" w:rsidP="007B705B">
      <w:pPr>
        <w:pStyle w:val="citation"/>
        <w:rPr>
          <w:iCs/>
        </w:rPr>
      </w:pPr>
      <w:r>
        <w:rPr>
          <w:lang w:eastAsia="fr-FR"/>
        </w:rPr>
        <w:t xml:space="preserve">Le premier mécanisme, </w:t>
      </w:r>
      <w:r w:rsidR="00C2646A">
        <w:rPr>
          <w:lang w:eastAsia="fr-FR"/>
        </w:rPr>
        <w:t>c’est</w:t>
      </w:r>
      <w:r>
        <w:rPr>
          <w:lang w:eastAsia="fr-FR"/>
        </w:rPr>
        <w:t xml:space="preserve"> simplement qu’il y ait un niveau de services minimum à maintenir pour </w:t>
      </w:r>
      <w:r w:rsidR="00C2646A">
        <w:rPr>
          <w:lang w:eastAsia="fr-FR"/>
        </w:rPr>
        <w:t>éviter</w:t>
      </w:r>
      <w:r>
        <w:rPr>
          <w:lang w:eastAsia="fr-FR"/>
        </w:rPr>
        <w:t xml:space="preserve"> que la population soit trop affectée. Ce n’est pas elle qui a décidé du conflit, ce n’est pas elle qui a accepté de vivre les affres </w:t>
      </w:r>
      <w:r w:rsidR="00C2646A">
        <w:rPr>
          <w:lang w:eastAsia="fr-FR"/>
        </w:rPr>
        <w:t>parfois</w:t>
      </w:r>
      <w:r>
        <w:rPr>
          <w:lang w:eastAsia="fr-FR"/>
        </w:rPr>
        <w:t xml:space="preserve"> d’un conflit de travail. C’est simple comme mécanisme. </w:t>
      </w:r>
      <w:r w:rsidRPr="00AA0A2E">
        <w:rPr>
          <w:u w:val="single"/>
          <w:lang w:eastAsia="fr-FR"/>
        </w:rPr>
        <w:t>Il y</w:t>
      </w:r>
      <w:r w:rsidR="00C2646A" w:rsidRPr="00AA0A2E">
        <w:rPr>
          <w:u w:val="single"/>
          <w:lang w:eastAsia="fr-FR"/>
        </w:rPr>
        <w:t xml:space="preserve"> </w:t>
      </w:r>
      <w:r w:rsidRPr="00AA0A2E">
        <w:rPr>
          <w:u w:val="single"/>
          <w:lang w:eastAsia="fr-FR"/>
        </w:rPr>
        <w:t>a une procédure qu’</w:t>
      </w:r>
      <w:r w:rsidR="00AA0A2E" w:rsidRPr="00AA0A2E">
        <w:rPr>
          <w:u w:val="single"/>
          <w:lang w:eastAsia="fr-FR"/>
        </w:rPr>
        <w:t>o</w:t>
      </w:r>
      <w:r w:rsidRPr="00AA0A2E">
        <w:rPr>
          <w:u w:val="single"/>
          <w:lang w:eastAsia="fr-FR"/>
        </w:rPr>
        <w:t xml:space="preserve">n a voulu aussi la plus facile à apprivoiser, </w:t>
      </w:r>
      <w:r w:rsidR="00B9624C" w:rsidRPr="00AA0A2E">
        <w:rPr>
          <w:rStyle w:val="Citationintgre"/>
          <w:i w:val="0"/>
          <w:sz w:val="20"/>
          <w:u w:val="single"/>
        </w:rPr>
        <w:t>qui va s’appliquer d’une manière exceptionnelle, à utiliser de manière parcimonieuse</w:t>
      </w:r>
      <w:r w:rsidR="00B9624C" w:rsidRPr="00900F61">
        <w:rPr>
          <w:rStyle w:val="Citationintgre"/>
          <w:i w:val="0"/>
          <w:sz w:val="20"/>
        </w:rPr>
        <w:t xml:space="preserve">, </w:t>
      </w:r>
      <w:r w:rsidR="00B9624C" w:rsidRPr="00D106D6">
        <w:rPr>
          <w:rStyle w:val="Citationintgre"/>
          <w:i w:val="0"/>
          <w:sz w:val="20"/>
        </w:rPr>
        <w:t xml:space="preserve">qui va être </w:t>
      </w:r>
      <w:r w:rsidR="00B9624C" w:rsidRPr="00880FC7">
        <w:rPr>
          <w:rStyle w:val="Citationintgre"/>
          <w:i w:val="0"/>
          <w:sz w:val="20"/>
        </w:rPr>
        <w:t>décidée en matière d’assujettissement par un tribunal impartial et indépendant</w:t>
      </w:r>
      <w:r w:rsidRPr="00880FC7">
        <w:rPr>
          <w:iCs/>
        </w:rPr>
        <w:t xml:space="preserve">. C’est ça, le premier mécanisme. Le titre du projet de loi, il est tellement </w:t>
      </w:r>
      <w:r w:rsidR="00C2646A" w:rsidRPr="00880FC7">
        <w:rPr>
          <w:iCs/>
        </w:rPr>
        <w:t>révélateur</w:t>
      </w:r>
      <w:r w:rsidR="00900F61" w:rsidRPr="00880FC7">
        <w:rPr>
          <w:iCs/>
        </w:rPr>
        <w:t>.</w:t>
      </w:r>
      <w:r w:rsidRPr="00880FC7">
        <w:rPr>
          <w:iCs/>
        </w:rPr>
        <w:t xml:space="preserve"> On </w:t>
      </w:r>
      <w:r w:rsidR="00900F61" w:rsidRPr="00880FC7">
        <w:rPr>
          <w:iCs/>
        </w:rPr>
        <w:t>v</w:t>
      </w:r>
      <w:r w:rsidRPr="00880FC7">
        <w:rPr>
          <w:iCs/>
        </w:rPr>
        <w:t>eut considérer davantage les</w:t>
      </w:r>
      <w:r>
        <w:rPr>
          <w:iCs/>
        </w:rPr>
        <w:t xml:space="preserve"> besoins de la population. Puis c’est pas une décision politique, </w:t>
      </w:r>
      <w:r w:rsidR="00C2646A">
        <w:rPr>
          <w:iCs/>
        </w:rPr>
        <w:t>c’est</w:t>
      </w:r>
      <w:r>
        <w:rPr>
          <w:iCs/>
        </w:rPr>
        <w:t xml:space="preserve"> une décision par un tiers neutre et indépendant.</w:t>
      </w:r>
    </w:p>
    <w:p w14:paraId="746FF147" w14:textId="7E97ABC7" w:rsidR="00042F34" w:rsidRPr="00042F34" w:rsidRDefault="00AA0A2E" w:rsidP="00F14B5B">
      <w:pPr>
        <w:pStyle w:val="citation"/>
        <w:spacing w:before="240" w:after="360"/>
        <w:rPr>
          <w:iCs/>
          <w:sz w:val="24"/>
          <w:szCs w:val="24"/>
        </w:rPr>
      </w:pPr>
      <w:r w:rsidRPr="00AA0A2E">
        <w:rPr>
          <w:iCs/>
          <w:sz w:val="24"/>
          <w:szCs w:val="24"/>
        </w:rPr>
        <w:t>[</w:t>
      </w:r>
      <w:r w:rsidR="00DF58E4">
        <w:rPr>
          <w:iCs/>
          <w:sz w:val="24"/>
          <w:szCs w:val="24"/>
        </w:rPr>
        <w:t>N</w:t>
      </w:r>
      <w:r w:rsidRPr="00AA0A2E">
        <w:rPr>
          <w:iCs/>
          <w:sz w:val="24"/>
          <w:szCs w:val="24"/>
        </w:rPr>
        <w:t>otre soulignement]</w:t>
      </w:r>
    </w:p>
    <w:p w14:paraId="5C91970A" w14:textId="0917260D" w:rsidR="00D438FA" w:rsidRDefault="00C6002F" w:rsidP="003F03E5">
      <w:pPr>
        <w:pStyle w:val="corpsdedcision"/>
        <w:tabs>
          <w:tab w:val="clear" w:pos="360"/>
          <w:tab w:val="num" w:pos="720"/>
        </w:tabs>
        <w:rPr>
          <w:lang w:eastAsia="fr-FR"/>
        </w:rPr>
      </w:pPr>
      <w:r>
        <w:rPr>
          <w:lang w:eastAsia="fr-FR"/>
        </w:rPr>
        <w:t>L’objectif du régime des SBE</w:t>
      </w:r>
      <w:r w:rsidR="009159D3">
        <w:rPr>
          <w:lang w:eastAsia="fr-FR"/>
        </w:rPr>
        <w:t>P</w:t>
      </w:r>
      <w:r w:rsidR="00D16AAD">
        <w:rPr>
          <w:lang w:eastAsia="fr-FR"/>
        </w:rPr>
        <w:t xml:space="preserve"> </w:t>
      </w:r>
      <w:r w:rsidR="00E729FC">
        <w:rPr>
          <w:lang w:eastAsia="fr-FR"/>
        </w:rPr>
        <w:t>est de</w:t>
      </w:r>
      <w:r w:rsidR="00BA158E">
        <w:rPr>
          <w:lang w:eastAsia="fr-FR"/>
        </w:rPr>
        <w:t xml:space="preserve"> prémunir </w:t>
      </w:r>
      <w:r w:rsidR="00AE6839">
        <w:rPr>
          <w:lang w:eastAsia="fr-FR"/>
        </w:rPr>
        <w:t xml:space="preserve">la population, mais </w:t>
      </w:r>
      <w:r w:rsidR="003365AD">
        <w:rPr>
          <w:lang w:eastAsia="fr-FR"/>
        </w:rPr>
        <w:t xml:space="preserve">particulièrement </w:t>
      </w:r>
      <w:r w:rsidR="0043255D">
        <w:rPr>
          <w:lang w:eastAsia="fr-FR"/>
        </w:rPr>
        <w:t>les personnes</w:t>
      </w:r>
      <w:r w:rsidR="003365AD">
        <w:rPr>
          <w:lang w:eastAsia="fr-FR"/>
        </w:rPr>
        <w:t xml:space="preserve"> vulnérable</w:t>
      </w:r>
      <w:r w:rsidR="0043255D">
        <w:rPr>
          <w:lang w:eastAsia="fr-FR"/>
        </w:rPr>
        <w:t>s</w:t>
      </w:r>
      <w:r w:rsidR="003365AD">
        <w:rPr>
          <w:lang w:eastAsia="fr-FR"/>
        </w:rPr>
        <w:t xml:space="preserve">, </w:t>
      </w:r>
      <w:r w:rsidR="0035163A">
        <w:rPr>
          <w:lang w:eastAsia="fr-FR"/>
        </w:rPr>
        <w:t xml:space="preserve">dans des cas </w:t>
      </w:r>
      <w:r w:rsidR="003365AD">
        <w:rPr>
          <w:lang w:eastAsia="fr-FR"/>
        </w:rPr>
        <w:t>ciblés</w:t>
      </w:r>
      <w:r w:rsidR="006A5D09">
        <w:rPr>
          <w:lang w:eastAsia="fr-FR"/>
        </w:rPr>
        <w:t xml:space="preserve"> et exceptionnels</w:t>
      </w:r>
      <w:r w:rsidR="003365AD">
        <w:rPr>
          <w:lang w:eastAsia="fr-FR"/>
        </w:rPr>
        <w:t>,</w:t>
      </w:r>
      <w:r w:rsidR="0035163A">
        <w:rPr>
          <w:lang w:eastAsia="fr-FR"/>
        </w:rPr>
        <w:t xml:space="preserve"> </w:t>
      </w:r>
      <w:r w:rsidR="0043255D">
        <w:rPr>
          <w:lang w:eastAsia="fr-FR"/>
        </w:rPr>
        <w:t>contre l</w:t>
      </w:r>
      <w:r w:rsidR="00AE6839">
        <w:rPr>
          <w:lang w:eastAsia="fr-FR"/>
        </w:rPr>
        <w:t xml:space="preserve">es </w:t>
      </w:r>
      <w:r w:rsidR="003365AD">
        <w:rPr>
          <w:lang w:eastAsia="fr-FR"/>
        </w:rPr>
        <w:t>inconvénients</w:t>
      </w:r>
      <w:r w:rsidR="00BA158E">
        <w:rPr>
          <w:lang w:eastAsia="fr-FR"/>
        </w:rPr>
        <w:t xml:space="preserve"> </w:t>
      </w:r>
      <w:r w:rsidR="00DB066A">
        <w:rPr>
          <w:lang w:eastAsia="fr-FR"/>
        </w:rPr>
        <w:t>disproportionnés</w:t>
      </w:r>
      <w:r w:rsidR="00627091">
        <w:rPr>
          <w:lang w:eastAsia="fr-FR"/>
        </w:rPr>
        <w:t xml:space="preserve"> d’un arrêt de travail</w:t>
      </w:r>
      <w:r w:rsidR="003365AD">
        <w:rPr>
          <w:lang w:eastAsia="fr-FR"/>
        </w:rPr>
        <w:t>.</w:t>
      </w:r>
    </w:p>
    <w:p w14:paraId="278180BC" w14:textId="6E3B463E" w:rsidR="00806A72" w:rsidRDefault="003F03E5" w:rsidP="003F03E5">
      <w:pPr>
        <w:pStyle w:val="corpsdedcision"/>
        <w:tabs>
          <w:tab w:val="clear" w:pos="360"/>
          <w:tab w:val="num" w:pos="720"/>
        </w:tabs>
        <w:rPr>
          <w:lang w:eastAsia="fr-FR"/>
        </w:rPr>
      </w:pPr>
      <w:r>
        <w:rPr>
          <w:lang w:eastAsia="fr-FR"/>
        </w:rPr>
        <w:t xml:space="preserve">Considérant </w:t>
      </w:r>
      <w:r w:rsidR="00AA0A2E" w:rsidRPr="00DB066A">
        <w:rPr>
          <w:lang w:eastAsia="fr-FR"/>
        </w:rPr>
        <w:t>l’objectif invoqué par le PGQ</w:t>
      </w:r>
      <w:r w:rsidR="00AA0A2E">
        <w:rPr>
          <w:lang w:eastAsia="fr-FR"/>
        </w:rPr>
        <w:t xml:space="preserve">, lequel est appuyé par les </w:t>
      </w:r>
      <w:r w:rsidR="006142D7">
        <w:rPr>
          <w:lang w:eastAsia="fr-FR"/>
        </w:rPr>
        <w:t>travaux parlementaires,</w:t>
      </w:r>
      <w:r w:rsidR="00AA0A2E">
        <w:rPr>
          <w:lang w:eastAsia="fr-FR"/>
        </w:rPr>
        <w:t xml:space="preserve"> </w:t>
      </w:r>
      <w:r>
        <w:rPr>
          <w:lang w:eastAsia="fr-FR"/>
        </w:rPr>
        <w:t xml:space="preserve">et le niveau peu élevé de preuve requis en matière de législation sociale, </w:t>
      </w:r>
      <w:r w:rsidR="00346D4B">
        <w:rPr>
          <w:lang w:eastAsia="fr-FR"/>
        </w:rPr>
        <w:t xml:space="preserve">le critère de l’objectif urgent et réel est ici </w:t>
      </w:r>
      <w:r w:rsidR="00794011">
        <w:rPr>
          <w:lang w:eastAsia="fr-FR"/>
        </w:rPr>
        <w:t>satisfait</w:t>
      </w:r>
      <w:r w:rsidR="00346D4B">
        <w:rPr>
          <w:lang w:eastAsia="fr-FR"/>
        </w:rPr>
        <w:t>.</w:t>
      </w:r>
    </w:p>
    <w:p w14:paraId="1833FECF" w14:textId="53174567" w:rsidR="009660C6" w:rsidRDefault="00D545B5" w:rsidP="004F7E7D">
      <w:pPr>
        <w:pStyle w:val="Titre2"/>
        <w:jc w:val="both"/>
      </w:pPr>
      <w:r>
        <w:t>l</w:t>
      </w:r>
      <w:r w:rsidR="00180E85">
        <w:t xml:space="preserve">a restriction </w:t>
      </w:r>
      <w:r w:rsidR="0081025E" w:rsidRPr="0081025E">
        <w:t xml:space="preserve">à la liberté d’Association </w:t>
      </w:r>
      <w:r w:rsidR="004F7E7D">
        <w:t>qu’entraine le régime des S</w:t>
      </w:r>
      <w:r w:rsidR="0081025E">
        <w:t>ervices assurant le bien-être de la population</w:t>
      </w:r>
      <w:r w:rsidR="004F7E7D">
        <w:t xml:space="preserve"> respecte</w:t>
      </w:r>
      <w:r w:rsidR="00180E85">
        <w:t>-</w:t>
      </w:r>
      <w:r w:rsidR="00116DAC">
        <w:t>T-</w:t>
      </w:r>
      <w:r w:rsidR="00180E85">
        <w:t xml:space="preserve">elle </w:t>
      </w:r>
      <w:r w:rsidR="004F7E7D">
        <w:t>le critère de proportionnalité</w:t>
      </w:r>
      <w:r w:rsidR="00180E85">
        <w:t>?</w:t>
      </w:r>
    </w:p>
    <w:p w14:paraId="626FF5ED" w14:textId="77777777" w:rsidR="00C86327" w:rsidRDefault="00180E85" w:rsidP="00B67692">
      <w:pPr>
        <w:pStyle w:val="Titre3"/>
        <w:jc w:val="both"/>
      </w:pPr>
      <w:r>
        <w:t xml:space="preserve">Existe-t-il un </w:t>
      </w:r>
      <w:r w:rsidR="00CB5EC0">
        <w:t xml:space="preserve">lien rationnel entre </w:t>
      </w:r>
      <w:r>
        <w:t xml:space="preserve">l’objectif </w:t>
      </w:r>
      <w:r w:rsidR="00C86327">
        <w:t>du législateur et les dispositions législatives?</w:t>
      </w:r>
    </w:p>
    <w:p w14:paraId="5158C6C9" w14:textId="3D26C4F7" w:rsidR="00B2518C" w:rsidRDefault="00A543CE" w:rsidP="00B2518C">
      <w:pPr>
        <w:pStyle w:val="corpsdedcision"/>
        <w:rPr>
          <w:lang w:eastAsia="fr-FR"/>
        </w:rPr>
      </w:pPr>
      <w:r>
        <w:rPr>
          <w:lang w:eastAsia="fr-FR"/>
        </w:rPr>
        <w:t>Relativement au</w:t>
      </w:r>
      <w:r w:rsidR="00B2518C">
        <w:rPr>
          <w:lang w:eastAsia="fr-FR"/>
        </w:rPr>
        <w:t xml:space="preserve"> lien rationnel, le PGQ souligne qu’il </w:t>
      </w:r>
      <w:r w:rsidR="00B2518C">
        <w:rPr>
          <w:rFonts w:cs="Arial"/>
        </w:rPr>
        <w:t>suffit d’établir qu’il est raisonnable que la restriction puisse contribuer à la réalisation</w:t>
      </w:r>
      <w:r w:rsidR="00B2518C">
        <w:rPr>
          <w:lang w:eastAsia="fr-FR"/>
        </w:rPr>
        <w:t xml:space="preserve"> de l’objectif du législateur. C’est le cas ici</w:t>
      </w:r>
      <w:r w:rsidR="00116DAC">
        <w:rPr>
          <w:lang w:eastAsia="fr-FR"/>
        </w:rPr>
        <w:t>,</w:t>
      </w:r>
      <w:r w:rsidR="00CA1F58">
        <w:rPr>
          <w:lang w:eastAsia="fr-FR"/>
        </w:rPr>
        <w:t xml:space="preserve"> selon lui</w:t>
      </w:r>
      <w:r w:rsidR="00B2518C">
        <w:rPr>
          <w:lang w:eastAsia="fr-FR"/>
        </w:rPr>
        <w:t>.</w:t>
      </w:r>
    </w:p>
    <w:p w14:paraId="401610E7" w14:textId="206E1CFC" w:rsidR="00A3477D" w:rsidRDefault="00A3477D" w:rsidP="00E15A52">
      <w:pPr>
        <w:pStyle w:val="corpsdedcision"/>
      </w:pPr>
      <w:r>
        <w:rPr>
          <w:lang w:eastAsia="fr-FR"/>
        </w:rPr>
        <w:t xml:space="preserve">Pour le syndicat et les intervenants, le lien rationnel ne peut être établi, l’objectif n’étant pas clair et les critères du régime </w:t>
      </w:r>
      <w:r w:rsidR="00794011">
        <w:rPr>
          <w:lang w:eastAsia="fr-FR"/>
        </w:rPr>
        <w:t xml:space="preserve">étant </w:t>
      </w:r>
      <w:r>
        <w:rPr>
          <w:lang w:eastAsia="fr-FR"/>
        </w:rPr>
        <w:t>flou</w:t>
      </w:r>
      <w:r w:rsidR="00116DAC">
        <w:rPr>
          <w:lang w:eastAsia="fr-FR"/>
        </w:rPr>
        <w:t>s</w:t>
      </w:r>
      <w:r>
        <w:rPr>
          <w:lang w:eastAsia="fr-FR"/>
        </w:rPr>
        <w:t>.</w:t>
      </w:r>
      <w:r w:rsidRPr="009066A6">
        <w:t xml:space="preserve"> </w:t>
      </w:r>
      <w:r>
        <w:t xml:space="preserve">Les intervenantes </w:t>
      </w:r>
      <w:r w:rsidRPr="00E45153">
        <w:t>CSD et APTS</w:t>
      </w:r>
      <w:r>
        <w:t xml:space="preserve"> ajoutent que le régime des SBEP repose sur une prémisse arbitraire et irrationnelle voulant que les intérêts de la population soient toujours en opposition avec ceux des personnes exerçant leur droit de grève. </w:t>
      </w:r>
      <w:r w:rsidR="00F75A53">
        <w:t>Selon la</w:t>
      </w:r>
      <w:r>
        <w:t xml:space="preserve"> CSQ et la FIPEQ</w:t>
      </w:r>
      <w:r w:rsidR="00F75A53">
        <w:t>,</w:t>
      </w:r>
      <w:r>
        <w:t xml:space="preserve"> ces </w:t>
      </w:r>
      <w:r w:rsidR="004037C1">
        <w:t xml:space="preserve">nouvelles </w:t>
      </w:r>
      <w:r>
        <w:t>mesures se révèlent efficaces pour légitimer et consolider la perte du rapport de force des salariés qui se résignent à la grève en cas d’impasse des négociations, en plus de réduire la pression sur l’État dans des secteurs qui dépendent de son financement.</w:t>
      </w:r>
    </w:p>
    <w:p w14:paraId="4C2275B7" w14:textId="0258B88D" w:rsidR="00E96014" w:rsidRDefault="00E96014" w:rsidP="00E15A52">
      <w:pPr>
        <w:pStyle w:val="corpsdedcision"/>
      </w:pPr>
      <w:r>
        <w:t>Qu’en est-il?</w:t>
      </w:r>
    </w:p>
    <w:p w14:paraId="02365309" w14:textId="61912649" w:rsidR="00852B1F" w:rsidRDefault="00852B1F" w:rsidP="00F14B5B">
      <w:pPr>
        <w:pStyle w:val="corpsdedcision"/>
        <w:spacing w:after="240"/>
        <w:rPr>
          <w:lang w:eastAsia="fr-FR"/>
        </w:rPr>
      </w:pPr>
      <w:r>
        <w:rPr>
          <w:lang w:eastAsia="fr-FR"/>
        </w:rPr>
        <w:t xml:space="preserve">Le critère est ainsi résumé dans l’arrêt </w:t>
      </w:r>
      <w:r w:rsidRPr="00BB0227">
        <w:rPr>
          <w:i/>
          <w:iCs/>
          <w:lang w:eastAsia="fr-FR"/>
        </w:rPr>
        <w:t>Frank</w:t>
      </w:r>
      <w:r>
        <w:rPr>
          <w:rStyle w:val="Appelnotedebasdep"/>
          <w:lang w:eastAsia="fr-FR"/>
        </w:rPr>
        <w:footnoteReference w:id="165"/>
      </w:r>
      <w:r>
        <w:rPr>
          <w:lang w:eastAsia="fr-FR"/>
        </w:rPr>
        <w:t> :</w:t>
      </w:r>
    </w:p>
    <w:p w14:paraId="020ABFAC" w14:textId="0C7069EC" w:rsidR="00852B1F" w:rsidRDefault="00852B1F" w:rsidP="00F14B5B">
      <w:pPr>
        <w:pStyle w:val="citation"/>
        <w:spacing w:after="360"/>
        <w:rPr>
          <w:lang w:eastAsia="fr-FR"/>
        </w:rPr>
      </w:pPr>
      <w:r>
        <w:rPr>
          <w:lang w:eastAsia="fr-FR"/>
        </w:rPr>
        <w:t>[59]</w:t>
      </w:r>
      <w:r>
        <w:rPr>
          <w:lang w:eastAsia="fr-FR"/>
        </w:rPr>
        <w:tab/>
        <w:t>La question à la première étape de l’examen de la proportionnalité est de savoir si la mesure qui a été adoptée a un lien rationnel avec l’objectif qu’elle vise à atteindre. L’étape relative au lien rationnel exige que la mesure ne soit «ni arbitrair[e], ni inéquitabl[e], ni fondé[e] sur des considérations irrationnelles » (</w:t>
      </w:r>
      <w:r w:rsidRPr="00BB0227">
        <w:rPr>
          <w:i/>
          <w:iCs/>
          <w:lang w:eastAsia="fr-FR"/>
        </w:rPr>
        <w:t>Oakes</w:t>
      </w:r>
      <w:r>
        <w:rPr>
          <w:lang w:eastAsia="fr-FR"/>
        </w:rPr>
        <w:t>, p. 139). Essentiellement, le gouvernement doit établir que la restriction a un lien de causalité avec l’objectif recherché (</w:t>
      </w:r>
      <w:r w:rsidRPr="00BB0227">
        <w:rPr>
          <w:i/>
          <w:iCs/>
          <w:lang w:eastAsia="fr-FR"/>
        </w:rPr>
        <w:t>RJR-MacDonald</w:t>
      </w:r>
      <w:r>
        <w:rPr>
          <w:lang w:eastAsia="fr-FR"/>
        </w:rPr>
        <w:t>, par. 153). Dans les cas où un tel lien n’est pas scientifiquement mesurable, son existence peut être établie sur le fondement de la raison ou de la logique, plutôt que sur une preuve tangible (</w:t>
      </w:r>
      <w:r w:rsidRPr="00BB0227">
        <w:rPr>
          <w:i/>
          <w:iCs/>
          <w:lang w:eastAsia="fr-FR"/>
        </w:rPr>
        <w:t>RJR-MacDonald</w:t>
      </w:r>
      <w:r>
        <w:rPr>
          <w:lang w:eastAsia="fr-FR"/>
        </w:rPr>
        <w:t xml:space="preserve">, par. 154; </w:t>
      </w:r>
      <w:r w:rsidRPr="00BB0227">
        <w:rPr>
          <w:i/>
          <w:iCs/>
          <w:lang w:eastAsia="fr-FR"/>
        </w:rPr>
        <w:t>Toronto Star</w:t>
      </w:r>
      <w:r>
        <w:rPr>
          <w:lang w:eastAsia="fr-FR"/>
        </w:rPr>
        <w:t>, par. 25).</w:t>
      </w:r>
    </w:p>
    <w:p w14:paraId="6BF23996" w14:textId="73035378" w:rsidR="0048320D" w:rsidRPr="006142D7" w:rsidRDefault="00BB0227" w:rsidP="00F14B5B">
      <w:pPr>
        <w:pStyle w:val="corpsdedcision"/>
        <w:rPr>
          <w:lang w:eastAsia="fr-FR"/>
        </w:rPr>
      </w:pPr>
      <w:r w:rsidRPr="006142D7">
        <w:rPr>
          <w:lang w:eastAsia="fr-FR"/>
        </w:rPr>
        <w:t xml:space="preserve">Dans l’arrêt </w:t>
      </w:r>
      <w:r w:rsidRPr="00F05145">
        <w:rPr>
          <w:i/>
          <w:iCs/>
          <w:lang w:eastAsia="fr-FR"/>
        </w:rPr>
        <w:t>APMO</w:t>
      </w:r>
      <w:r w:rsidR="00DF6779">
        <w:rPr>
          <w:rStyle w:val="Appelnotedebasdep"/>
          <w:lang w:eastAsia="fr-FR"/>
        </w:rPr>
        <w:footnoteReference w:id="166"/>
      </w:r>
      <w:r w:rsidRPr="006142D7">
        <w:rPr>
          <w:lang w:eastAsia="fr-FR"/>
        </w:rPr>
        <w:t xml:space="preserve">, la Cour suprême </w:t>
      </w:r>
      <w:r w:rsidR="00852B1F" w:rsidRPr="006142D7">
        <w:rPr>
          <w:lang w:eastAsia="fr-FR"/>
        </w:rPr>
        <w:t>précise</w:t>
      </w:r>
      <w:r w:rsidRPr="006142D7">
        <w:rPr>
          <w:lang w:eastAsia="fr-FR"/>
        </w:rPr>
        <w:t xml:space="preserve"> que ce critère n’est pas particulièrement exigeant.</w:t>
      </w:r>
    </w:p>
    <w:p w14:paraId="54401218" w14:textId="1B7FF44B" w:rsidR="006142D7" w:rsidRDefault="0003479D" w:rsidP="00080F9A">
      <w:pPr>
        <w:pStyle w:val="corpsdedcision"/>
        <w:rPr>
          <w:lang w:eastAsia="fr-FR"/>
        </w:rPr>
      </w:pPr>
      <w:r>
        <w:rPr>
          <w:lang w:eastAsia="fr-FR"/>
        </w:rPr>
        <w:t xml:space="preserve">Dans le présent cas, le PGQ n’a produit aucune preuve visant à établir le lien rationnel entre la restriction du droit de grève et l’objectif recherché par le régime. </w:t>
      </w:r>
      <w:r w:rsidR="00F12E13">
        <w:rPr>
          <w:lang w:eastAsia="fr-FR"/>
        </w:rPr>
        <w:t>Il en appelle plutôt à la logique.</w:t>
      </w:r>
    </w:p>
    <w:p w14:paraId="1724143C" w14:textId="0781F900" w:rsidR="0003479D" w:rsidRDefault="006142D7" w:rsidP="00080F9A">
      <w:pPr>
        <w:pStyle w:val="corpsdedcision"/>
        <w:rPr>
          <w:lang w:eastAsia="fr-FR"/>
        </w:rPr>
      </w:pPr>
      <w:r>
        <w:rPr>
          <w:lang w:eastAsia="fr-FR"/>
        </w:rPr>
        <w:t xml:space="preserve">Même si la prémisse selon laquelle </w:t>
      </w:r>
      <w:r w:rsidRPr="006142D7">
        <w:t>les intérêts de la population sont toujours en opposition avec ceux des personnes exerçant leur droit de grève</w:t>
      </w:r>
      <w:r>
        <w:t xml:space="preserve"> n’est pas exacte, il semble néanmoins logique de penser </w:t>
      </w:r>
      <w:r w:rsidRPr="00715296">
        <w:rPr>
          <w:lang w:eastAsia="fr-FR"/>
        </w:rPr>
        <w:t>qu’il y a un lien causal entre le maintien de services pendant une grève</w:t>
      </w:r>
      <w:r>
        <w:rPr>
          <w:lang w:eastAsia="fr-FR"/>
        </w:rPr>
        <w:t xml:space="preserve"> </w:t>
      </w:r>
      <w:r w:rsidRPr="00715296">
        <w:rPr>
          <w:lang w:eastAsia="fr-FR"/>
        </w:rPr>
        <w:t>et la diminution de ses impacts sur la population</w:t>
      </w:r>
      <w:r>
        <w:rPr>
          <w:lang w:eastAsia="fr-FR"/>
        </w:rPr>
        <w:t xml:space="preserve">, du moins à court terme. En ce sens, </w:t>
      </w:r>
      <w:r w:rsidR="003C3CED" w:rsidRPr="003C3CED">
        <w:rPr>
          <w:lang w:eastAsia="fr-FR"/>
        </w:rPr>
        <w:t xml:space="preserve">même si ses critères sont larges, </w:t>
      </w:r>
      <w:r>
        <w:rPr>
          <w:lang w:eastAsia="fr-FR"/>
        </w:rPr>
        <w:t>le régime n’est ni arbitraire ni fondé sur des considérations irrationnelles.</w:t>
      </w:r>
    </w:p>
    <w:p w14:paraId="79B9E571" w14:textId="03FEF366" w:rsidR="002F5699" w:rsidRDefault="0003479D" w:rsidP="00F12E13">
      <w:pPr>
        <w:pStyle w:val="corpsdedcision"/>
        <w:rPr>
          <w:lang w:eastAsia="fr-FR"/>
        </w:rPr>
      </w:pPr>
      <w:r>
        <w:rPr>
          <w:lang w:eastAsia="fr-FR"/>
        </w:rPr>
        <w:t>Le critère du lien rationnel est donc satisfait.</w:t>
      </w:r>
    </w:p>
    <w:p w14:paraId="16BCFD91" w14:textId="74BDA201" w:rsidR="00312474" w:rsidRDefault="00312474" w:rsidP="00F14B5B">
      <w:pPr>
        <w:pStyle w:val="Titre3"/>
        <w:jc w:val="both"/>
      </w:pPr>
      <w:r>
        <w:t xml:space="preserve">Le régime des services assurant le bien-être de la population porte-t-il le moins possible </w:t>
      </w:r>
      <w:r w:rsidR="00361EA2">
        <w:t xml:space="preserve">atteinte </w:t>
      </w:r>
      <w:r>
        <w:t>à la liberté d’association?</w:t>
      </w:r>
    </w:p>
    <w:p w14:paraId="6B5852BA" w14:textId="55E16F7F" w:rsidR="00312474" w:rsidRDefault="00312474" w:rsidP="00312474">
      <w:pPr>
        <w:pStyle w:val="corpsdedcision"/>
      </w:pPr>
      <w:r>
        <w:rPr>
          <w:lang w:eastAsia="fr-FR"/>
        </w:rPr>
        <w:t xml:space="preserve">Au regard de l’atteinte minimale, </w:t>
      </w:r>
      <w:r>
        <w:t xml:space="preserve">le PGQ plaide que le régime des SBEP fait partie d’une gamme de solutions possibles, raisonnablement adaptées aux objectifs </w:t>
      </w:r>
      <w:r w:rsidR="000A53ED">
        <w:t xml:space="preserve">poursuivis par </w:t>
      </w:r>
      <w:r>
        <w:t>le législateur. De façon plus spécifique, les mesures introduites par le régime doivent s’appliquer de façon ciblée, en fonction de circonstances particulières, lorsque l’équilibre est rompu entre le droit de grève et le bien-être de la population à l’occasion de certains conflits de travail. Le tout est déterminé par un tribunal neutre et indépendant.</w:t>
      </w:r>
    </w:p>
    <w:p w14:paraId="366AAC79" w14:textId="37D4F74D" w:rsidR="00312474" w:rsidRDefault="00312474" w:rsidP="00312474">
      <w:pPr>
        <w:pStyle w:val="corpsdedcision"/>
        <w:tabs>
          <w:tab w:val="clear" w:pos="360"/>
          <w:tab w:val="num" w:pos="720"/>
        </w:tabs>
        <w:rPr>
          <w:lang w:eastAsia="fr-FR"/>
        </w:rPr>
      </w:pPr>
      <w:r>
        <w:rPr>
          <w:lang w:eastAsia="fr-FR"/>
        </w:rPr>
        <w:t xml:space="preserve">Le syndicat et les parties intervenantes de deuxième part insistent surtout sur le critère de l’atteinte minimale, parce que le régime des SBEP </w:t>
      </w:r>
      <w:r w:rsidR="000A53ED">
        <w:rPr>
          <w:lang w:eastAsia="fr-FR"/>
        </w:rPr>
        <w:t xml:space="preserve">impose </w:t>
      </w:r>
      <w:r>
        <w:rPr>
          <w:lang w:eastAsia="fr-FR"/>
        </w:rPr>
        <w:t xml:space="preserve">le maintien de services plus larges que les services essentiels au sens strict et qui ne correspondent à aucune limite permise par </w:t>
      </w:r>
      <w:r w:rsidR="00794011">
        <w:rPr>
          <w:lang w:eastAsia="fr-FR"/>
        </w:rPr>
        <w:t xml:space="preserve">le </w:t>
      </w:r>
      <w:r>
        <w:rPr>
          <w:lang w:eastAsia="fr-FR"/>
        </w:rPr>
        <w:t xml:space="preserve">droit international. Ils ajoutent que les critères sont larges et imprévisibles. Enfin, </w:t>
      </w:r>
      <w:r>
        <w:rPr>
          <w:rFonts w:cs="Arial"/>
        </w:rPr>
        <w:t>le régime ne comporte aucun</w:t>
      </w:r>
      <w:r w:rsidRPr="000643C0">
        <w:rPr>
          <w:rFonts w:cs="Arial"/>
        </w:rPr>
        <w:t xml:space="preserve"> mécanisme véritable de sortie de l’enlisement </w:t>
      </w:r>
      <w:r>
        <w:rPr>
          <w:rFonts w:cs="Arial"/>
        </w:rPr>
        <w:t>du conflit</w:t>
      </w:r>
      <w:r w:rsidRPr="000643C0">
        <w:rPr>
          <w:rFonts w:cs="Arial"/>
        </w:rPr>
        <w:t>.</w:t>
      </w:r>
    </w:p>
    <w:p w14:paraId="35675E06" w14:textId="77777777" w:rsidR="00312474" w:rsidRDefault="00312474" w:rsidP="00C002AB">
      <w:pPr>
        <w:pStyle w:val="corpsdedcision"/>
        <w:keepNext/>
        <w:keepLines/>
        <w:widowControl w:val="0"/>
        <w:spacing w:after="240"/>
        <w:rPr>
          <w:lang w:eastAsia="fr-FR"/>
        </w:rPr>
      </w:pPr>
      <w:r>
        <w:rPr>
          <w:lang w:eastAsia="fr-FR"/>
        </w:rPr>
        <w:t xml:space="preserve">Le critère de l’atteinte minimale est résumé ainsi par le juge en chef de la Cour suprême dans l’arrêt </w:t>
      </w:r>
      <w:r w:rsidRPr="006B3552">
        <w:rPr>
          <w:i/>
          <w:iCs/>
          <w:lang w:eastAsia="fr-FR"/>
        </w:rPr>
        <w:t>Frank</w:t>
      </w:r>
      <w:r>
        <w:rPr>
          <w:rStyle w:val="Appelnotedebasdep"/>
          <w:lang w:eastAsia="fr-FR"/>
        </w:rPr>
        <w:footnoteReference w:id="167"/>
      </w:r>
      <w:r>
        <w:rPr>
          <w:lang w:eastAsia="fr-FR"/>
        </w:rPr>
        <w:t> :</w:t>
      </w:r>
    </w:p>
    <w:p w14:paraId="5618EDA8" w14:textId="76F1AD63" w:rsidR="00312474" w:rsidRDefault="00312474" w:rsidP="00880FC7">
      <w:pPr>
        <w:pStyle w:val="citation"/>
        <w:keepNext/>
        <w:keepLines/>
        <w:widowControl w:val="0"/>
        <w:spacing w:after="240"/>
        <w:rPr>
          <w:lang w:eastAsia="fr-FR"/>
        </w:rPr>
      </w:pPr>
      <w:r>
        <w:rPr>
          <w:rFonts w:cs="Arial"/>
          <w:lang w:eastAsia="fr-FR"/>
        </w:rPr>
        <w:t>[66]</w:t>
      </w:r>
      <w:r>
        <w:rPr>
          <w:rFonts w:cs="Arial"/>
          <w:lang w:eastAsia="fr-FR"/>
        </w:rPr>
        <w:tab/>
      </w:r>
      <w:r>
        <w:rPr>
          <w:lang w:eastAsia="fr-FR"/>
        </w:rPr>
        <w:t xml:space="preserve">Au regard du deuxième élément du critère de la proportionnalité, le législateur doit établir que la mesure en cause restreint le droit aussi peu que cela est raisonnablement possible aux fins de la réalisation de l’objectif législatif </w:t>
      </w:r>
      <w:r w:rsidRPr="00F732EA">
        <w:rPr>
          <w:lang w:eastAsia="fr-FR"/>
        </w:rPr>
        <w:t>(</w:t>
      </w:r>
      <w:r w:rsidRPr="00F732EA">
        <w:rPr>
          <w:i/>
          <w:iCs/>
          <w:lang w:eastAsia="fr-FR"/>
        </w:rPr>
        <w:t>RJR-MacDonald</w:t>
      </w:r>
      <w:r w:rsidRPr="00F732EA">
        <w:rPr>
          <w:lang w:eastAsia="fr-FR"/>
        </w:rPr>
        <w:t xml:space="preserve">, par. 160; </w:t>
      </w:r>
      <w:r w:rsidRPr="00F732EA">
        <w:rPr>
          <w:i/>
          <w:iCs/>
          <w:lang w:eastAsia="fr-FR"/>
        </w:rPr>
        <w:t>Oakes</w:t>
      </w:r>
      <w:r w:rsidRPr="00F732EA">
        <w:rPr>
          <w:lang w:eastAsia="fr-FR"/>
        </w:rPr>
        <w:t>, p. 139</w:t>
      </w:r>
      <w:r w:rsidRPr="00DF58E4">
        <w:rPr>
          <w:lang w:eastAsia="fr-FR"/>
        </w:rPr>
        <w:t xml:space="preserve">). </w:t>
      </w:r>
      <w:r w:rsidRPr="00560998">
        <w:rPr>
          <w:u w:val="single"/>
          <w:lang w:eastAsia="fr-FR"/>
        </w:rPr>
        <w:t>Autrement dit, la mesure doit être « soigneusement adaptée</w:t>
      </w:r>
      <w:r w:rsidRPr="00FF3D90">
        <w:rPr>
          <w:lang w:eastAsia="fr-FR"/>
        </w:rPr>
        <w:t xml:space="preserve"> »</w:t>
      </w:r>
      <w:r>
        <w:rPr>
          <w:lang w:eastAsia="fr-FR"/>
        </w:rPr>
        <w:t xml:space="preserve"> pour faire en sorte que l’atteinte aux droits ne dépasse pas ce qui est raisonnablement nécessaire (</w:t>
      </w:r>
      <w:r w:rsidRPr="00F732EA">
        <w:rPr>
          <w:i/>
          <w:iCs/>
          <w:lang w:eastAsia="fr-FR"/>
        </w:rPr>
        <w:t>RJR-MacDonald</w:t>
      </w:r>
      <w:r>
        <w:rPr>
          <w:lang w:eastAsia="fr-FR"/>
        </w:rPr>
        <w:t xml:space="preserve">, par. 160; </w:t>
      </w:r>
      <w:r w:rsidRPr="00F732EA">
        <w:rPr>
          <w:i/>
          <w:iCs/>
          <w:lang w:eastAsia="fr-FR"/>
        </w:rPr>
        <w:t>Association de la police montée</w:t>
      </w:r>
      <w:r>
        <w:rPr>
          <w:lang w:eastAsia="fr-FR"/>
        </w:rPr>
        <w:t xml:space="preserve">, par. 149). Toutefois, les tribunaux doivent faire preuve de déférence à l’égard du législateur en lui accordant une certaine latitude : « </w:t>
      </w:r>
      <w:r w:rsidRPr="00560998">
        <w:rPr>
          <w:u w:val="single"/>
          <w:lang w:eastAsia="fr-FR"/>
        </w:rPr>
        <w:t>Si la loi se situe à</w:t>
      </w:r>
      <w:r w:rsidRPr="00560998">
        <w:rPr>
          <w:u w:val="single"/>
        </w:rPr>
        <w:t xml:space="preserve"> </w:t>
      </w:r>
      <w:r w:rsidRPr="00560998">
        <w:rPr>
          <w:u w:val="single"/>
          <w:lang w:eastAsia="fr-FR"/>
        </w:rPr>
        <w:t>l’intérieur d’une gamme de mesures raisonnables</w:t>
      </w:r>
      <w:r w:rsidRPr="00DF58E4">
        <w:rPr>
          <w:u w:val="single"/>
          <w:lang w:eastAsia="fr-FR"/>
        </w:rPr>
        <w:t xml:space="preserve">, </w:t>
      </w:r>
      <w:r w:rsidRPr="00560998">
        <w:rPr>
          <w:u w:val="single"/>
          <w:lang w:eastAsia="fr-FR"/>
        </w:rPr>
        <w:t>les tribunaux ne concluront pas qu’elle a une portée trop générale simplement parce qu’ils peuvent envisager une solution de rechange qui pourrait être mieux adaptée à l’objectif et à la violation</w:t>
      </w:r>
      <w:r>
        <w:rPr>
          <w:lang w:eastAsia="fr-FR"/>
        </w:rPr>
        <w:t xml:space="preserve"> » (</w:t>
      </w:r>
      <w:r w:rsidRPr="00F732EA">
        <w:rPr>
          <w:i/>
          <w:iCs/>
          <w:lang w:eastAsia="fr-FR"/>
        </w:rPr>
        <w:t>RJR-MacDonald</w:t>
      </w:r>
      <w:r>
        <w:rPr>
          <w:lang w:eastAsia="fr-FR"/>
        </w:rPr>
        <w:t>, par. 160).</w:t>
      </w:r>
    </w:p>
    <w:p w14:paraId="725EC94F" w14:textId="4D8CDAF6" w:rsidR="00312474" w:rsidRPr="004341CA" w:rsidRDefault="00312474" w:rsidP="00F14B5B">
      <w:pPr>
        <w:pStyle w:val="citation"/>
        <w:spacing w:before="240" w:after="360"/>
        <w:rPr>
          <w:sz w:val="24"/>
          <w:szCs w:val="24"/>
          <w:lang w:eastAsia="fr-FR"/>
        </w:rPr>
      </w:pPr>
      <w:r w:rsidRPr="004341CA">
        <w:rPr>
          <w:sz w:val="24"/>
          <w:szCs w:val="24"/>
          <w:lang w:eastAsia="fr-FR"/>
        </w:rPr>
        <w:t>[Notre soulignement]</w:t>
      </w:r>
    </w:p>
    <w:p w14:paraId="395DC50D" w14:textId="77777777" w:rsidR="00312474" w:rsidRDefault="00312474" w:rsidP="00880FC7">
      <w:pPr>
        <w:pStyle w:val="corpsdedcision"/>
        <w:rPr>
          <w:lang w:eastAsia="fr-FR"/>
        </w:rPr>
      </w:pPr>
      <w:r>
        <w:rPr>
          <w:lang w:eastAsia="fr-FR"/>
        </w:rPr>
        <w:t>Le Tribunal doit donc évaluer les moyens choisis par le législateur au regard de son objectif. Il ne doit pas déterminer si la mesure porte le moins possible atteinte au droit constitutionnel, mais plutôt si l’atteinte dépasse ce qui est raisonnablement nécessaire. Le législateur bénéficie donc d’une marge de manœuvre dans les moyens choisis.</w:t>
      </w:r>
    </w:p>
    <w:p w14:paraId="5D5D462F" w14:textId="7725BB38" w:rsidR="00312474" w:rsidRDefault="00312474" w:rsidP="00F14B5B">
      <w:pPr>
        <w:pStyle w:val="corpsdedcision"/>
        <w:spacing w:after="240"/>
        <w:rPr>
          <w:lang w:eastAsia="fr-FR"/>
        </w:rPr>
      </w:pPr>
      <w:r>
        <w:rPr>
          <w:lang w:eastAsia="fr-FR"/>
        </w:rPr>
        <w:t>Il est intéressant de noter que</w:t>
      </w:r>
      <w:r w:rsidRPr="00082788">
        <w:rPr>
          <w:lang w:eastAsia="fr-FR"/>
        </w:rPr>
        <w:t xml:space="preserve"> </w:t>
      </w:r>
      <w:r>
        <w:rPr>
          <w:lang w:eastAsia="fr-FR"/>
        </w:rPr>
        <w:t>la Cour suprême indique toutefois</w:t>
      </w:r>
      <w:r w:rsidR="00794011">
        <w:rPr>
          <w:lang w:eastAsia="fr-FR"/>
        </w:rPr>
        <w:t>,</w:t>
      </w:r>
      <w:r>
        <w:rPr>
          <w:lang w:eastAsia="fr-FR"/>
        </w:rPr>
        <w:t xml:space="preserve"> d</w:t>
      </w:r>
      <w:r w:rsidRPr="00082788">
        <w:rPr>
          <w:lang w:eastAsia="fr-FR"/>
        </w:rPr>
        <w:t xml:space="preserve">ans l’arrêt </w:t>
      </w:r>
      <w:r w:rsidRPr="00082788">
        <w:rPr>
          <w:i/>
          <w:iCs/>
          <w:lang w:eastAsia="fr-FR"/>
        </w:rPr>
        <w:t>Health Services</w:t>
      </w:r>
      <w:r w:rsidRPr="005070BA">
        <w:rPr>
          <w:rStyle w:val="Appelnotedebasdep"/>
          <w:lang w:eastAsia="fr-FR"/>
        </w:rPr>
        <w:footnoteReference w:id="168"/>
      </w:r>
      <w:r w:rsidR="00794011">
        <w:rPr>
          <w:i/>
          <w:iCs/>
          <w:lang w:eastAsia="fr-FR"/>
        </w:rPr>
        <w:t>,</w:t>
      </w:r>
      <w:r>
        <w:rPr>
          <w:lang w:eastAsia="fr-FR"/>
        </w:rPr>
        <w:t xml:space="preserve"> qu’une restriction imposée à la liberté d’association pourrait être justifiée en vertu de l’</w:t>
      </w:r>
      <w:r w:rsidRPr="007D0E6A">
        <w:rPr>
          <w:lang w:eastAsia="fr-FR"/>
        </w:rPr>
        <w:t>article 1</w:t>
      </w:r>
      <w:r>
        <w:rPr>
          <w:lang w:eastAsia="fr-FR"/>
        </w:rPr>
        <w:t xml:space="preserve"> de la Charte canadienne, mais « </w:t>
      </w:r>
      <w:r w:rsidRPr="00082788">
        <w:rPr>
          <w:rStyle w:val="Citationintgre"/>
          <w:lang w:eastAsia="fr-FR"/>
        </w:rPr>
        <w:t>exceptionnellement et généralement de façon temporaire</w:t>
      </w:r>
      <w:r>
        <w:rPr>
          <w:lang w:eastAsia="fr-FR"/>
        </w:rPr>
        <w:t> », en citant des limites qui sont reprises en droit international, comme il sera développé après :</w:t>
      </w:r>
    </w:p>
    <w:p w14:paraId="4AD5450D" w14:textId="3994B73B" w:rsidR="00312474" w:rsidRDefault="00312474" w:rsidP="00880FC7">
      <w:pPr>
        <w:pStyle w:val="citation"/>
        <w:spacing w:after="240"/>
        <w:rPr>
          <w:lang w:eastAsia="fr-FR"/>
        </w:rPr>
      </w:pPr>
      <w:r>
        <w:rPr>
          <w:lang w:eastAsia="fr-FR"/>
        </w:rPr>
        <w:t>[108]</w:t>
      </w:r>
      <w:r>
        <w:rPr>
          <w:lang w:eastAsia="fr-FR"/>
        </w:rPr>
        <w:tab/>
        <w:t>Même lorsqu’une atteinte à l’al. 2</w:t>
      </w:r>
      <w:r w:rsidRPr="00082788">
        <w:rPr>
          <w:i/>
          <w:iCs/>
          <w:lang w:eastAsia="fr-FR"/>
        </w:rPr>
        <w:t>d</w:t>
      </w:r>
      <w:r w:rsidRPr="00B30200">
        <w:rPr>
          <w:lang w:eastAsia="fr-FR"/>
        </w:rPr>
        <w:t>)</w:t>
      </w:r>
      <w:r>
        <w:rPr>
          <w:lang w:eastAsia="fr-FR"/>
        </w:rPr>
        <w:t xml:space="preserve"> est établie, l’examen de la question ne s’arrête pas là: il demeure possible que les restrictions imposées au droit garanti par l’al. 2</w:t>
      </w:r>
      <w:r w:rsidRPr="00082788">
        <w:rPr>
          <w:i/>
          <w:iCs/>
          <w:lang w:eastAsia="fr-FR"/>
        </w:rPr>
        <w:t>d</w:t>
      </w:r>
      <w:r w:rsidRPr="00B30200">
        <w:rPr>
          <w:lang w:eastAsia="fr-FR"/>
        </w:rPr>
        <w:t>)</w:t>
      </w:r>
      <w:r w:rsidRPr="000558FD">
        <w:rPr>
          <w:lang w:eastAsia="fr-FR"/>
        </w:rPr>
        <w:t xml:space="preserve"> </w:t>
      </w:r>
      <w:r>
        <w:rPr>
          <w:lang w:eastAsia="fr-FR"/>
        </w:rPr>
        <w:t xml:space="preserve">constituent, en vertu de l’article premier de la </w:t>
      </w:r>
      <w:r w:rsidRPr="00C71686">
        <w:rPr>
          <w:i/>
          <w:iCs/>
          <w:lang w:eastAsia="fr-FR"/>
        </w:rPr>
        <w:t>Charte</w:t>
      </w:r>
      <w:r>
        <w:rPr>
          <w:lang w:eastAsia="fr-FR"/>
        </w:rPr>
        <w:t xml:space="preserve">, des limites raisonnables dont la justification peut se démontrer dans le cadre d’une société libre et démocratique. </w:t>
      </w:r>
      <w:r w:rsidRPr="00E26536">
        <w:rPr>
          <w:u w:val="single"/>
          <w:lang w:eastAsia="fr-FR"/>
        </w:rPr>
        <w:t>Exceptionnellement et généralement de façon temporaire, une interférence dans le processus de négociation collective reste donc permise, par exemple dans des situations mettant en cause des services essentiels ou des aspects vitaux de l’administration des affaires de l’État, ou dans le cas d’une impasse manifeste ou d’une crise nationale</w:t>
      </w:r>
      <w:r>
        <w:rPr>
          <w:lang w:eastAsia="fr-FR"/>
        </w:rPr>
        <w:t>.</w:t>
      </w:r>
    </w:p>
    <w:p w14:paraId="502C2622" w14:textId="5C3485DD" w:rsidR="00312474" w:rsidRPr="00F14B5B" w:rsidRDefault="00312474" w:rsidP="00C16821">
      <w:pPr>
        <w:pStyle w:val="citation"/>
        <w:spacing w:before="160" w:after="360"/>
        <w:rPr>
          <w:sz w:val="24"/>
          <w:szCs w:val="24"/>
          <w:lang w:eastAsia="fr-FR"/>
        </w:rPr>
      </w:pPr>
      <w:r w:rsidRPr="00E26536">
        <w:rPr>
          <w:sz w:val="24"/>
          <w:szCs w:val="24"/>
          <w:lang w:eastAsia="fr-FR"/>
        </w:rPr>
        <w:t>[Notre soulignement]</w:t>
      </w:r>
    </w:p>
    <w:p w14:paraId="48BFC895" w14:textId="6482DF89" w:rsidR="00312474" w:rsidRDefault="00312474" w:rsidP="00F14B5B">
      <w:pPr>
        <w:pStyle w:val="corpsdedcision"/>
        <w:spacing w:after="240"/>
        <w:rPr>
          <w:lang w:eastAsia="fr-FR"/>
        </w:rPr>
      </w:pPr>
      <w:r>
        <w:rPr>
          <w:lang w:eastAsia="fr-FR"/>
        </w:rPr>
        <w:t xml:space="preserve">Dans cette affaire, la Cour retient que le critère de l’atteinte minimale n’est pas satisfait, parce qu’aucune preuve n’a été présenté à l’appui de la conclusion </w:t>
      </w:r>
      <w:r w:rsidR="00762839">
        <w:rPr>
          <w:lang w:eastAsia="fr-FR"/>
        </w:rPr>
        <w:t xml:space="preserve">selon laquelle </w:t>
      </w:r>
      <w:r>
        <w:rPr>
          <w:lang w:eastAsia="fr-FR"/>
        </w:rPr>
        <w:t>l’atteinte était minimale :</w:t>
      </w:r>
    </w:p>
    <w:p w14:paraId="1DA3F41A" w14:textId="3FA3ECE3" w:rsidR="00312474" w:rsidRPr="00FC35A7" w:rsidRDefault="00312474" w:rsidP="00F14B5B">
      <w:pPr>
        <w:pStyle w:val="citation"/>
        <w:spacing w:after="120"/>
        <w:rPr>
          <w:lang w:eastAsia="fr-FR"/>
        </w:rPr>
      </w:pPr>
      <w:r w:rsidRPr="00FC35A7">
        <w:rPr>
          <w:lang w:eastAsia="fr-FR"/>
        </w:rPr>
        <w:t>[151]</w:t>
      </w:r>
      <w:r w:rsidRPr="00FC35A7">
        <w:rPr>
          <w:lang w:eastAsia="fr-FR"/>
        </w:rPr>
        <w:tab/>
      </w:r>
      <w:r w:rsidRPr="00B30200">
        <w:rPr>
          <w:sz w:val="22"/>
          <w:szCs w:val="22"/>
          <w:lang w:eastAsia="fr-FR"/>
        </w:rPr>
        <w:t>[…]</w:t>
      </w:r>
      <w:r w:rsidRPr="00FC35A7">
        <w:rPr>
          <w:lang w:eastAsia="fr-FR"/>
        </w:rPr>
        <w:t xml:space="preserve"> </w:t>
      </w:r>
      <w:r w:rsidRPr="00C2432A">
        <w:rPr>
          <w:rStyle w:val="Citationintgre"/>
          <w:i w:val="0"/>
          <w:iCs/>
          <w:sz w:val="20"/>
          <w:u w:val="single"/>
          <w:lang w:eastAsia="fr-FR"/>
        </w:rPr>
        <w:t>Faute de preuve nécessaire, nous ne pouvons conclure qu’il a été satisfait à l’exigence de l’atteinte minimale en l’espèce</w:t>
      </w:r>
      <w:r w:rsidRPr="00C71686">
        <w:rPr>
          <w:rStyle w:val="Citationintgre"/>
          <w:i w:val="0"/>
          <w:iCs/>
          <w:sz w:val="20"/>
          <w:lang w:eastAsia="fr-FR"/>
        </w:rPr>
        <w:t>.</w:t>
      </w:r>
    </w:p>
    <w:p w14:paraId="48323288" w14:textId="29338688" w:rsidR="00312474" w:rsidRPr="00F14B5B" w:rsidRDefault="00312474" w:rsidP="00F14B5B">
      <w:pPr>
        <w:pStyle w:val="citation"/>
        <w:spacing w:after="120"/>
        <w:rPr>
          <w:i/>
          <w:u w:val="single"/>
          <w:lang w:eastAsia="fr-FR"/>
        </w:rPr>
      </w:pPr>
      <w:r w:rsidRPr="00FC35A7">
        <w:rPr>
          <w:lang w:eastAsia="fr-FR"/>
        </w:rPr>
        <w:t>[152]</w:t>
      </w:r>
      <w:r w:rsidRPr="00FC35A7">
        <w:rPr>
          <w:lang w:eastAsia="fr-FR"/>
        </w:rPr>
        <w:tab/>
      </w:r>
      <w:r w:rsidRPr="00C2432A">
        <w:rPr>
          <w:rStyle w:val="Citationintgre"/>
          <w:i w:val="0"/>
          <w:iCs/>
          <w:sz w:val="20"/>
          <w:u w:val="single"/>
          <w:lang w:eastAsia="fr-FR"/>
        </w:rPr>
        <w:t>La teneur des dispositions en cause ne laisse pas facilement croire qu’on ait cherché la solution la moins attentatoire possible au problème que le gouvernement voulait régler</w:t>
      </w:r>
      <w:r w:rsidRPr="00C71686">
        <w:rPr>
          <w:i/>
          <w:lang w:eastAsia="fr-FR"/>
        </w:rPr>
        <w:t>.</w:t>
      </w:r>
    </w:p>
    <w:p w14:paraId="68D89227" w14:textId="467E3F21" w:rsidR="004A619A" w:rsidRDefault="00312474" w:rsidP="00BD68C9">
      <w:pPr>
        <w:pStyle w:val="citation"/>
        <w:spacing w:after="120"/>
        <w:rPr>
          <w:lang w:eastAsia="fr-FR"/>
        </w:rPr>
      </w:pPr>
      <w:r w:rsidRPr="00BD68C9">
        <w:rPr>
          <w:sz w:val="22"/>
          <w:szCs w:val="22"/>
          <w:lang w:eastAsia="fr-FR"/>
        </w:rPr>
        <w:t>[…]</w:t>
      </w:r>
    </w:p>
    <w:p w14:paraId="37BB03E2" w14:textId="05FDC087" w:rsidR="00312474" w:rsidRPr="00C2432A" w:rsidRDefault="00312474" w:rsidP="00BD68C9">
      <w:pPr>
        <w:pStyle w:val="citation"/>
        <w:spacing w:after="120"/>
        <w:rPr>
          <w:u w:val="single"/>
          <w:lang w:eastAsia="fr-FR"/>
        </w:rPr>
      </w:pPr>
      <w:r>
        <w:rPr>
          <w:lang w:eastAsia="fr-FR"/>
        </w:rPr>
        <w:t>[157]</w:t>
      </w:r>
      <w:r>
        <w:rPr>
          <w:lang w:eastAsia="fr-FR"/>
        </w:rPr>
        <w:tab/>
      </w:r>
      <w:r w:rsidRPr="00BD68C9">
        <w:rPr>
          <w:sz w:val="22"/>
          <w:szCs w:val="22"/>
          <w:lang w:eastAsia="fr-FR"/>
        </w:rPr>
        <w:t>[…]</w:t>
      </w:r>
      <w:r w:rsidRPr="00C71686">
        <w:rPr>
          <w:lang w:eastAsia="fr-FR"/>
        </w:rPr>
        <w:t xml:space="preserve"> </w:t>
      </w:r>
      <w:r w:rsidRPr="00C2432A">
        <w:rPr>
          <w:u w:val="single"/>
          <w:lang w:eastAsia="fr-FR"/>
        </w:rPr>
        <w:t>Par contre, il peut être utile de se demander, dans le cadre de l’analyse de la justification fondée sur l’article premier, si le gouvernement a envisagé d’autres solutions</w:t>
      </w:r>
      <w:r>
        <w:rPr>
          <w:lang w:eastAsia="fr-FR"/>
        </w:rPr>
        <w:t xml:space="preserve"> </w:t>
      </w:r>
      <w:r w:rsidRPr="008138CB">
        <w:rPr>
          <w:lang w:eastAsia="fr-FR"/>
        </w:rPr>
        <w:t>ou consulté les parties visées</w:t>
      </w:r>
      <w:r>
        <w:rPr>
          <w:lang w:eastAsia="fr-FR"/>
        </w:rPr>
        <w:t xml:space="preserve">, en choisissant d’adopter la méthode qu’il privilégiait. Par le passé, la Cour a déjà examiné ce genre de facteurs prélégislatifs dans le contexte de l’étude de l’atteinte minimale. </w:t>
      </w:r>
      <w:r w:rsidRPr="00C2432A">
        <w:rPr>
          <w:u w:val="single"/>
          <w:lang w:eastAsia="fr-FR"/>
        </w:rPr>
        <w:t>Ce type de preuve permet tout simplement d’étudier quelles options à l’intérieur d’une gamme de choix possibles ont été prises en considération</w:t>
      </w:r>
      <w:r w:rsidRPr="00C71686">
        <w:rPr>
          <w:lang w:eastAsia="fr-FR"/>
        </w:rPr>
        <w:t>.</w:t>
      </w:r>
    </w:p>
    <w:p w14:paraId="7A8243AB" w14:textId="19E8E4B6" w:rsidR="00312474" w:rsidRDefault="00312474" w:rsidP="00C16821">
      <w:pPr>
        <w:pStyle w:val="citation"/>
        <w:spacing w:after="160"/>
        <w:rPr>
          <w:u w:val="single"/>
          <w:lang w:eastAsia="fr-FR"/>
        </w:rPr>
      </w:pPr>
      <w:r>
        <w:rPr>
          <w:lang w:eastAsia="fr-FR"/>
        </w:rPr>
        <w:t>[158]</w:t>
      </w:r>
      <w:r>
        <w:rPr>
          <w:lang w:eastAsia="fr-FR"/>
        </w:rPr>
        <w:tab/>
        <w:t xml:space="preserve">En l’espèce, les seuls éléments de preuve présentés par le gouvernement, y compris ceux qu’on retrouve dans la preuve produite sous scellés, confirmaient qu’une gamme de solutions ont été présentées. L’une d’entre elles a été choisie. </w:t>
      </w:r>
      <w:r w:rsidRPr="00C2432A">
        <w:rPr>
          <w:u w:val="single"/>
          <w:lang w:eastAsia="fr-FR"/>
        </w:rPr>
        <w:t>Le gouvernement n’a offert aucune preuve expliquant pourquoi il a retenu la solution particulière en discussion dans ce dossier ni pourquoi il n’a pas consulté les syndicats au sujet de la gamme de solutions qui s’offraient à lui</w:t>
      </w:r>
      <w:r w:rsidRPr="00C71686">
        <w:rPr>
          <w:lang w:eastAsia="fr-FR"/>
        </w:rPr>
        <w:t>.</w:t>
      </w:r>
    </w:p>
    <w:p w14:paraId="0AE450D2" w14:textId="03C346C1" w:rsidR="00312474" w:rsidRPr="00F14B5B" w:rsidRDefault="00312474" w:rsidP="00C16821">
      <w:pPr>
        <w:pStyle w:val="citation"/>
        <w:rPr>
          <w:sz w:val="24"/>
          <w:szCs w:val="24"/>
          <w:lang w:eastAsia="fr-FR"/>
        </w:rPr>
      </w:pPr>
      <w:r w:rsidRPr="00C2432A">
        <w:rPr>
          <w:sz w:val="24"/>
          <w:szCs w:val="24"/>
          <w:lang w:eastAsia="fr-FR"/>
        </w:rPr>
        <w:t>[No</w:t>
      </w:r>
      <w:r w:rsidR="004A619A">
        <w:rPr>
          <w:sz w:val="24"/>
          <w:szCs w:val="24"/>
          <w:lang w:eastAsia="fr-FR"/>
        </w:rPr>
        <w:t>s</w:t>
      </w:r>
      <w:r w:rsidRPr="00C2432A">
        <w:rPr>
          <w:sz w:val="24"/>
          <w:szCs w:val="24"/>
          <w:lang w:eastAsia="fr-FR"/>
        </w:rPr>
        <w:t xml:space="preserve"> soulignement</w:t>
      </w:r>
      <w:r w:rsidR="004A619A">
        <w:rPr>
          <w:sz w:val="24"/>
          <w:szCs w:val="24"/>
          <w:lang w:eastAsia="fr-FR"/>
        </w:rPr>
        <w:t>s</w:t>
      </w:r>
      <w:r w:rsidRPr="00C2432A">
        <w:rPr>
          <w:sz w:val="24"/>
          <w:szCs w:val="24"/>
          <w:lang w:eastAsia="fr-FR"/>
        </w:rPr>
        <w:t>]</w:t>
      </w:r>
    </w:p>
    <w:p w14:paraId="73FD30D3" w14:textId="49D5C3FA" w:rsidR="00312474" w:rsidRDefault="00312474" w:rsidP="00C16821">
      <w:pPr>
        <w:pStyle w:val="corpsdedcision"/>
        <w:spacing w:before="360"/>
        <w:rPr>
          <w:lang w:eastAsia="fr-FR"/>
        </w:rPr>
      </w:pPr>
      <w:r>
        <w:rPr>
          <w:lang w:eastAsia="fr-FR"/>
        </w:rPr>
        <w:t xml:space="preserve">Ces propos pourraient être repris ici. En effet, le PGQ n’a présenté aucune preuve à ce sujet. Il a particulièrement insisté sur la déférence dont les tribunaux doivent faire preuve à l’égard des moyens retenus afin d’atteindre l’objectif recherché et s’est </w:t>
      </w:r>
      <w:r w:rsidR="008138CB">
        <w:rPr>
          <w:lang w:eastAsia="fr-FR"/>
        </w:rPr>
        <w:t>limité à</w:t>
      </w:r>
      <w:r>
        <w:rPr>
          <w:lang w:eastAsia="fr-FR"/>
        </w:rPr>
        <w:t xml:space="preserve"> invoquer que le régime des SBEP se situait dans une gamme de solutions possibles afin de porter minimalement atteinte à la liberté d’association</w:t>
      </w:r>
      <w:r>
        <w:rPr>
          <w:rStyle w:val="Appelnotedebasdep"/>
          <w:lang w:eastAsia="fr-FR"/>
        </w:rPr>
        <w:footnoteReference w:id="169"/>
      </w:r>
      <w:r>
        <w:rPr>
          <w:lang w:eastAsia="fr-FR"/>
        </w:rPr>
        <w:t xml:space="preserve">. </w:t>
      </w:r>
      <w:r w:rsidR="00484661">
        <w:rPr>
          <w:lang w:eastAsia="fr-FR"/>
        </w:rPr>
        <w:t>Il ajoute qu’e</w:t>
      </w:r>
      <w:r>
        <w:rPr>
          <w:lang w:eastAsia="fr-FR"/>
        </w:rPr>
        <w:t>n confiant au Tribunal la compétence d’assujettir les parties, le législateur s’assure d’un exercice de pondération dans un cas précis.</w:t>
      </w:r>
    </w:p>
    <w:p w14:paraId="5346F2C1" w14:textId="77777777" w:rsidR="00312474" w:rsidRDefault="00312474" w:rsidP="00F14B5B">
      <w:pPr>
        <w:pStyle w:val="corpsdedcision"/>
        <w:spacing w:after="240"/>
        <w:rPr>
          <w:lang w:eastAsia="fr-FR"/>
        </w:rPr>
      </w:pPr>
      <w:r>
        <w:rPr>
          <w:lang w:eastAsia="fr-FR"/>
        </w:rPr>
        <w:t>Aux fins de commodité, le Tribunal reproduit à nouveau la définition des SBEP qui se trouve à l’article 111.22.3 du Code :</w:t>
      </w:r>
    </w:p>
    <w:p w14:paraId="63DBC9BA" w14:textId="77777777" w:rsidR="00312474" w:rsidRDefault="00312474" w:rsidP="000B1929">
      <w:pPr>
        <w:pStyle w:val="citation"/>
        <w:tabs>
          <w:tab w:val="left" w:pos="1843"/>
        </w:tabs>
        <w:spacing w:after="240"/>
      </w:pPr>
      <w:r w:rsidRPr="00C214A2">
        <w:rPr>
          <w:b/>
          <w:bCs/>
        </w:rPr>
        <w:t>111.22.3.</w:t>
      </w:r>
      <w:r>
        <w:tab/>
      </w:r>
      <w:r w:rsidRPr="00C214A2">
        <w:t xml:space="preserve">Dans le présent chapitre, on entend par «services assurant le bien-être de la population» les </w:t>
      </w:r>
      <w:r w:rsidRPr="00282520">
        <w:rPr>
          <w:u w:val="single"/>
        </w:rPr>
        <w:t xml:space="preserve">services </w:t>
      </w:r>
      <w:r w:rsidRPr="00521CB5">
        <w:rPr>
          <w:u w:val="single"/>
        </w:rPr>
        <w:t>minimalement requis</w:t>
      </w:r>
      <w:r w:rsidRPr="00C214A2">
        <w:t xml:space="preserve"> pour éviter que ne soit affectée de </w:t>
      </w:r>
      <w:r w:rsidRPr="00521CB5">
        <w:rPr>
          <w:u w:val="single"/>
        </w:rPr>
        <w:t>manière disproportionnée</w:t>
      </w:r>
      <w:r w:rsidRPr="00C214A2">
        <w:t xml:space="preserve"> la </w:t>
      </w:r>
      <w:r w:rsidRPr="00521CB5">
        <w:rPr>
          <w:u w:val="single"/>
        </w:rPr>
        <w:t>sécurité sociale, économique ou environnementale</w:t>
      </w:r>
      <w:r w:rsidRPr="00C214A2">
        <w:t xml:space="preserve"> de la population, notamment celles des personnes en situation de vulnérabilité.</w:t>
      </w:r>
    </w:p>
    <w:p w14:paraId="01D6C8D4" w14:textId="77777777" w:rsidR="00312474" w:rsidRDefault="00312474" w:rsidP="00F14B5B">
      <w:pPr>
        <w:pStyle w:val="citation"/>
        <w:spacing w:after="360"/>
      </w:pPr>
      <w:r w:rsidRPr="005B1482">
        <w:rPr>
          <w:sz w:val="24"/>
          <w:szCs w:val="24"/>
        </w:rPr>
        <w:t>[</w:t>
      </w:r>
      <w:r>
        <w:rPr>
          <w:sz w:val="24"/>
          <w:szCs w:val="24"/>
        </w:rPr>
        <w:t>Notre</w:t>
      </w:r>
      <w:r w:rsidRPr="005B1482">
        <w:rPr>
          <w:sz w:val="24"/>
          <w:szCs w:val="24"/>
        </w:rPr>
        <w:t xml:space="preserve"> soulignement]</w:t>
      </w:r>
    </w:p>
    <w:p w14:paraId="27E321D8" w14:textId="28CC239D" w:rsidR="00312474" w:rsidRDefault="00312474" w:rsidP="00E352D2">
      <w:pPr>
        <w:pStyle w:val="corpsdedcision"/>
        <w:spacing w:after="0"/>
        <w:rPr>
          <w:lang w:eastAsia="fr-FR"/>
        </w:rPr>
      </w:pPr>
      <w:r>
        <w:rPr>
          <w:lang w:eastAsia="fr-FR"/>
        </w:rPr>
        <w:t>Rappelons que le régime s’applique à tous les secteurs</w:t>
      </w:r>
      <w:r w:rsidR="00962A7D">
        <w:rPr>
          <w:lang w:eastAsia="fr-FR"/>
        </w:rPr>
        <w:t>,</w:t>
      </w:r>
      <w:r>
        <w:rPr>
          <w:lang w:eastAsia="fr-FR"/>
        </w:rPr>
        <w:t xml:space="preserve"> sauf celui de la fonction publique et du réseau de la santé et des services sociaux.</w:t>
      </w:r>
      <w:r w:rsidR="0062762F">
        <w:rPr>
          <w:lang w:eastAsia="fr-FR"/>
        </w:rPr>
        <w:t xml:space="preserve"> </w:t>
      </w:r>
      <w:r>
        <w:rPr>
          <w:lang w:eastAsia="fr-FR"/>
        </w:rPr>
        <w:t>L</w:t>
      </w:r>
      <w:r w:rsidR="0062762F">
        <w:rPr>
          <w:lang w:eastAsia="fr-FR"/>
        </w:rPr>
        <w:t>’</w:t>
      </w:r>
      <w:r w:rsidR="0062762F" w:rsidRPr="00DD6517">
        <w:rPr>
          <w:lang w:eastAsia="fr-FR"/>
        </w:rPr>
        <w:t>adoption</w:t>
      </w:r>
      <w:r w:rsidR="0062762F">
        <w:rPr>
          <w:lang w:eastAsia="fr-FR"/>
        </w:rPr>
        <w:t xml:space="preserve"> du</w:t>
      </w:r>
      <w:r>
        <w:rPr>
          <w:lang w:eastAsia="fr-FR"/>
        </w:rPr>
        <w:t xml:space="preserve"> décret </w:t>
      </w:r>
      <w:r w:rsidR="00484661">
        <w:rPr>
          <w:lang w:eastAsia="fr-FR"/>
        </w:rPr>
        <w:t>par le</w:t>
      </w:r>
      <w:r>
        <w:rPr>
          <w:lang w:eastAsia="fr-FR"/>
        </w:rPr>
        <w:t xml:space="preserve"> gouvernement n’est encadré</w:t>
      </w:r>
      <w:r w:rsidR="0062762F">
        <w:rPr>
          <w:lang w:eastAsia="fr-FR"/>
        </w:rPr>
        <w:t>e</w:t>
      </w:r>
      <w:r>
        <w:rPr>
          <w:lang w:eastAsia="fr-FR"/>
        </w:rPr>
        <w:t xml:space="preserve"> par aucun critère</w:t>
      </w:r>
      <w:r w:rsidR="0062762F">
        <w:rPr>
          <w:lang w:eastAsia="fr-FR"/>
        </w:rPr>
        <w:t xml:space="preserve">. </w:t>
      </w:r>
      <w:r w:rsidR="0062762F" w:rsidRPr="0062762F">
        <w:rPr>
          <w:lang w:eastAsia="fr-FR"/>
        </w:rPr>
        <w:t xml:space="preserve">Il ne faut pas négliger </w:t>
      </w:r>
      <w:r w:rsidR="0062762F">
        <w:rPr>
          <w:lang w:eastAsia="fr-FR"/>
        </w:rPr>
        <w:t>le fait qu’il</w:t>
      </w:r>
      <w:r w:rsidR="0062762F" w:rsidRPr="0062762F">
        <w:rPr>
          <w:lang w:eastAsia="fr-FR"/>
        </w:rPr>
        <w:t xml:space="preserve"> p</w:t>
      </w:r>
      <w:r w:rsidR="00962A7D">
        <w:rPr>
          <w:lang w:eastAsia="fr-FR"/>
        </w:rPr>
        <w:t>uisse</w:t>
      </w:r>
      <w:r w:rsidR="0062762F" w:rsidRPr="0062762F">
        <w:rPr>
          <w:lang w:eastAsia="fr-FR"/>
        </w:rPr>
        <w:t xml:space="preserve"> être </w:t>
      </w:r>
      <w:r w:rsidR="004B6D1C">
        <w:rPr>
          <w:lang w:eastAsia="fr-FR"/>
        </w:rPr>
        <w:t>pris</w:t>
      </w:r>
      <w:r w:rsidR="00DD6517">
        <w:rPr>
          <w:lang w:eastAsia="fr-FR"/>
        </w:rPr>
        <w:t xml:space="preserve"> </w:t>
      </w:r>
      <w:r w:rsidR="0062762F" w:rsidRPr="0062762F">
        <w:rPr>
          <w:lang w:eastAsia="fr-FR"/>
        </w:rPr>
        <w:t>en tout temps</w:t>
      </w:r>
      <w:r w:rsidR="0062762F">
        <w:rPr>
          <w:lang w:eastAsia="fr-FR"/>
        </w:rPr>
        <w:t xml:space="preserve"> et </w:t>
      </w:r>
      <w:r w:rsidR="0062762F" w:rsidRPr="0062762F">
        <w:rPr>
          <w:lang w:eastAsia="fr-FR"/>
        </w:rPr>
        <w:t>demeur</w:t>
      </w:r>
      <w:r w:rsidR="0062762F">
        <w:rPr>
          <w:lang w:eastAsia="fr-FR"/>
        </w:rPr>
        <w:t>e</w:t>
      </w:r>
      <w:r w:rsidR="0062762F" w:rsidRPr="0062762F">
        <w:rPr>
          <w:lang w:eastAsia="fr-FR"/>
        </w:rPr>
        <w:t xml:space="preserve"> en vigueur pendant toute la phase des négociations. </w:t>
      </w:r>
      <w:r>
        <w:rPr>
          <w:lang w:eastAsia="fr-FR"/>
        </w:rPr>
        <w:t xml:space="preserve">Le Tribunal, quant à lui, peut être saisi dès que le droit de grève ou de lock-out est acquis pour déterminer s’il y a lieu d’assujettir les parties au maintien de SBEP et, le cas échéant, pour déterminer </w:t>
      </w:r>
      <w:r w:rsidR="004651E9">
        <w:rPr>
          <w:lang w:eastAsia="fr-FR"/>
        </w:rPr>
        <w:t>les services à maintenir</w:t>
      </w:r>
      <w:r>
        <w:rPr>
          <w:lang w:eastAsia="fr-FR"/>
        </w:rPr>
        <w:t xml:space="preserve"> pour toute la phase des négociations et non en regard d’une grève particulière.</w:t>
      </w:r>
    </w:p>
    <w:p w14:paraId="4F96111E" w14:textId="4E61CAA4" w:rsidR="00312474" w:rsidRDefault="00312474" w:rsidP="000B1929">
      <w:pPr>
        <w:pStyle w:val="corpsdedcision"/>
        <w:spacing w:before="360"/>
        <w:rPr>
          <w:lang w:eastAsia="fr-FR"/>
        </w:rPr>
      </w:pPr>
      <w:r>
        <w:rPr>
          <w:lang w:eastAsia="fr-FR"/>
        </w:rPr>
        <w:t xml:space="preserve">Le régime des SBEP ne pose aucune limite quant aux secteurs d’activités qui pourraient être visés, </w:t>
      </w:r>
      <w:r w:rsidR="00D87C6C">
        <w:rPr>
          <w:lang w:eastAsia="fr-FR"/>
        </w:rPr>
        <w:t xml:space="preserve">à </w:t>
      </w:r>
      <w:r>
        <w:rPr>
          <w:lang w:eastAsia="fr-FR"/>
        </w:rPr>
        <w:t>la nature des services fournis</w:t>
      </w:r>
      <w:r w:rsidR="00AA6679">
        <w:rPr>
          <w:lang w:eastAsia="fr-FR"/>
        </w:rPr>
        <w:t>,</w:t>
      </w:r>
      <w:r>
        <w:rPr>
          <w:lang w:eastAsia="fr-FR"/>
        </w:rPr>
        <w:t xml:space="preserve"> </w:t>
      </w:r>
      <w:r w:rsidR="00D87C6C">
        <w:rPr>
          <w:lang w:eastAsia="fr-FR"/>
        </w:rPr>
        <w:t xml:space="preserve">à </w:t>
      </w:r>
      <w:r>
        <w:rPr>
          <w:lang w:eastAsia="fr-FR"/>
        </w:rPr>
        <w:t>la durée de la grève et vise la population en général. Sur ce dernier point, on peut constater que l’emploi du mot « </w:t>
      </w:r>
      <w:r w:rsidRPr="00B930A5">
        <w:rPr>
          <w:i/>
          <w:iCs/>
          <w:sz w:val="22"/>
          <w:szCs w:val="22"/>
          <w:lang w:eastAsia="fr-FR"/>
        </w:rPr>
        <w:t>notamment</w:t>
      </w:r>
      <w:r>
        <w:rPr>
          <w:lang w:eastAsia="fr-FR"/>
        </w:rPr>
        <w:t> » pour inclure la population vulnérable ne limite pas le public visé.</w:t>
      </w:r>
    </w:p>
    <w:p w14:paraId="4B1B9ED7" w14:textId="3B88641D" w:rsidR="00312474" w:rsidRDefault="00312474" w:rsidP="000B1929">
      <w:pPr>
        <w:pStyle w:val="corpsdedcision"/>
        <w:spacing w:before="360"/>
        <w:rPr>
          <w:lang w:eastAsia="fr-FR"/>
        </w:rPr>
      </w:pPr>
      <w:r>
        <w:rPr>
          <w:lang w:eastAsia="fr-FR"/>
        </w:rPr>
        <w:t>Comme souligné précédemment, les notions de sécurité sociale, économique et environnementale sont larges, non définies et inconnues en droit québécois. Lors de l’instance sur l’assujettissement, le PGQ n’a pas été</w:t>
      </w:r>
      <w:r w:rsidR="004B6D1C">
        <w:rPr>
          <w:lang w:eastAsia="fr-FR"/>
        </w:rPr>
        <w:t>,</w:t>
      </w:r>
      <w:r>
        <w:rPr>
          <w:lang w:eastAsia="fr-FR"/>
        </w:rPr>
        <w:t xml:space="preserve"> </w:t>
      </w:r>
      <w:r w:rsidR="004B6D1C">
        <w:rPr>
          <w:lang w:eastAsia="fr-FR"/>
        </w:rPr>
        <w:t xml:space="preserve">de surcroît, </w:t>
      </w:r>
      <w:r>
        <w:rPr>
          <w:lang w:eastAsia="fr-FR"/>
        </w:rPr>
        <w:t>en mesure de proposer une définition de ces concepts qui aurait permis de mieux c</w:t>
      </w:r>
      <w:r w:rsidR="00962A7D">
        <w:rPr>
          <w:lang w:eastAsia="fr-FR"/>
        </w:rPr>
        <w:t>irconscrire</w:t>
      </w:r>
      <w:r>
        <w:rPr>
          <w:lang w:eastAsia="fr-FR"/>
        </w:rPr>
        <w:t xml:space="preserve"> l’intention du législateur.</w:t>
      </w:r>
    </w:p>
    <w:p w14:paraId="7DA96A01" w14:textId="0D503396" w:rsidR="00312474" w:rsidRDefault="00312474" w:rsidP="000B1929">
      <w:pPr>
        <w:pStyle w:val="corpsdedcision"/>
        <w:spacing w:before="360"/>
        <w:rPr>
          <w:lang w:eastAsia="fr-FR"/>
        </w:rPr>
      </w:pPr>
      <w:r>
        <w:rPr>
          <w:lang w:eastAsia="fr-FR"/>
        </w:rPr>
        <w:t>Aucune preuve n’a été présentée sur le choix fait par le législateur de définir le régime de cette façon.</w:t>
      </w:r>
    </w:p>
    <w:p w14:paraId="6754A8A3" w14:textId="1E944B78" w:rsidR="00312474" w:rsidRDefault="00312474" w:rsidP="000B1929">
      <w:pPr>
        <w:pStyle w:val="corpsdedcision"/>
        <w:spacing w:before="360"/>
        <w:rPr>
          <w:lang w:eastAsia="fr-FR"/>
        </w:rPr>
      </w:pPr>
      <w:r>
        <w:rPr>
          <w:lang w:eastAsia="fr-FR"/>
        </w:rPr>
        <w:t xml:space="preserve">Aussi, le Tribunal constate qu’il existe un écart entre la portée du régime des SBEP et l’objectif du législateur. Les dispositions </w:t>
      </w:r>
      <w:r w:rsidR="00DC2F69">
        <w:rPr>
          <w:lang w:eastAsia="fr-FR"/>
        </w:rPr>
        <w:t>ont une portée très</w:t>
      </w:r>
      <w:r>
        <w:rPr>
          <w:lang w:eastAsia="fr-FR"/>
        </w:rPr>
        <w:t xml:space="preserve"> large et ne fixent pas de critères précis alors que le régime est destiné, </w:t>
      </w:r>
      <w:r w:rsidR="004B6D1C">
        <w:rPr>
          <w:lang w:eastAsia="fr-FR"/>
        </w:rPr>
        <w:t xml:space="preserve">selon </w:t>
      </w:r>
      <w:r>
        <w:rPr>
          <w:lang w:eastAsia="fr-FR"/>
        </w:rPr>
        <w:t>le PGQ, à s’appliquer à des situations exceptionnelles lors desquelles la grève produit des inconvénients qui dépassent ceux encourus normalement. Or, comme on le sait</w:t>
      </w:r>
      <w:r w:rsidR="00962A7D">
        <w:rPr>
          <w:lang w:eastAsia="fr-FR"/>
        </w:rPr>
        <w:t>,</w:t>
      </w:r>
      <w:r>
        <w:rPr>
          <w:lang w:eastAsia="fr-FR"/>
        </w:rPr>
        <w:t xml:space="preserve"> la barre à cet égard est haute</w:t>
      </w:r>
      <w:r w:rsidR="0062762F">
        <w:rPr>
          <w:rStyle w:val="Appelnotedebasdep"/>
          <w:lang w:eastAsia="fr-FR"/>
        </w:rPr>
        <w:footnoteReference w:id="170"/>
      </w:r>
      <w:r>
        <w:rPr>
          <w:lang w:eastAsia="fr-FR"/>
        </w:rPr>
        <w:t>.</w:t>
      </w:r>
    </w:p>
    <w:p w14:paraId="35D67438" w14:textId="6F596BD9" w:rsidR="00312474" w:rsidRDefault="00312474" w:rsidP="000B1929">
      <w:pPr>
        <w:pStyle w:val="corpsdedcision"/>
        <w:spacing w:before="360"/>
        <w:rPr>
          <w:lang w:eastAsia="fr-FR"/>
        </w:rPr>
      </w:pPr>
      <w:r>
        <w:rPr>
          <w:lang w:eastAsia="fr-FR"/>
        </w:rPr>
        <w:t>Le PGQ a tenté de restreindre la portée de la loi en plaidant qu’il était hautement hypothétique qu’un décret soit adopté sans qu’une grève ait été déclenchée et qu’elle soit en cours depuis un certain temps. Il a souligné que si ce n’était pas le cas, le Tribunal pourrait toujours refuser d’assujettir les parties et modifier par la suite sa décision comme le lui permet l’article 111.22.10 du Code.</w:t>
      </w:r>
    </w:p>
    <w:p w14:paraId="7F355D9C" w14:textId="32A0860E" w:rsidR="00312474" w:rsidRDefault="00312474" w:rsidP="000B1929">
      <w:pPr>
        <w:pStyle w:val="corpsdedcision"/>
        <w:spacing w:before="360"/>
        <w:rPr>
          <w:lang w:eastAsia="fr-FR"/>
        </w:rPr>
      </w:pPr>
      <w:r>
        <w:rPr>
          <w:lang w:eastAsia="fr-FR"/>
        </w:rPr>
        <w:t xml:space="preserve">Force est de constater que le législateur n’a pas choisi la durée de la grève comme un critère d’assujettissement, mais qu’il a plutôt prévu un mécanisme qui peut s’appliquer très tôt </w:t>
      </w:r>
      <w:r w:rsidR="00FB1BC0">
        <w:rPr>
          <w:lang w:eastAsia="fr-FR"/>
        </w:rPr>
        <w:t xml:space="preserve">au cours de </w:t>
      </w:r>
      <w:r>
        <w:rPr>
          <w:lang w:eastAsia="fr-FR"/>
        </w:rPr>
        <w:t>la phase de négociations et qui s’étend jusqu’à la conclusion de la convention collective.</w:t>
      </w:r>
    </w:p>
    <w:p w14:paraId="3D551EA3" w14:textId="0B6237A0" w:rsidR="00312474" w:rsidRDefault="00312474" w:rsidP="00F5191C">
      <w:pPr>
        <w:pStyle w:val="corpsdedcision"/>
        <w:spacing w:before="360" w:after="240"/>
        <w:rPr>
          <w:lang w:eastAsia="fr-FR"/>
        </w:rPr>
      </w:pPr>
      <w:r>
        <w:rPr>
          <w:lang w:eastAsia="fr-FR"/>
        </w:rPr>
        <w:t>Lors des travaux de la Commission de l’économie et du travail, l’intention du législateur quant à l</w:t>
      </w:r>
      <w:r w:rsidR="0062762F">
        <w:rPr>
          <w:lang w:eastAsia="fr-FR"/>
        </w:rPr>
        <w:t>’influence de la</w:t>
      </w:r>
      <w:r>
        <w:rPr>
          <w:lang w:eastAsia="fr-FR"/>
        </w:rPr>
        <w:t xml:space="preserve"> durée </w:t>
      </w:r>
      <w:r w:rsidR="0062762F">
        <w:rPr>
          <w:lang w:eastAsia="fr-FR"/>
        </w:rPr>
        <w:t xml:space="preserve">du conflit sur la prise d’un décret </w:t>
      </w:r>
      <w:r>
        <w:rPr>
          <w:lang w:eastAsia="fr-FR"/>
        </w:rPr>
        <w:t>a été questionné</w:t>
      </w:r>
      <w:r w:rsidR="0062762F">
        <w:rPr>
          <w:lang w:eastAsia="fr-FR"/>
        </w:rPr>
        <w:t>e</w:t>
      </w:r>
      <w:r>
        <w:rPr>
          <w:lang w:eastAsia="fr-FR"/>
        </w:rPr>
        <w:t xml:space="preserve">. Or, le ministre du Travail, après y avoir </w:t>
      </w:r>
      <w:r w:rsidR="00085115">
        <w:rPr>
          <w:lang w:eastAsia="fr-FR"/>
        </w:rPr>
        <w:t>fait référence</w:t>
      </w:r>
      <w:r>
        <w:rPr>
          <w:lang w:eastAsia="fr-FR"/>
        </w:rPr>
        <w:t xml:space="preserve"> comme un facteur, a</w:t>
      </w:r>
      <w:r w:rsidR="006E2843">
        <w:rPr>
          <w:lang w:eastAsia="fr-FR"/>
        </w:rPr>
        <w:t> </w:t>
      </w:r>
      <w:r>
        <w:rPr>
          <w:lang w:eastAsia="fr-FR"/>
        </w:rPr>
        <w:t>refusé de confirmer que le régime ne s’appliquer</w:t>
      </w:r>
      <w:r w:rsidR="00595CC0">
        <w:rPr>
          <w:lang w:eastAsia="fr-FR"/>
        </w:rPr>
        <w:t>ait pas</w:t>
      </w:r>
      <w:r>
        <w:rPr>
          <w:lang w:eastAsia="fr-FR"/>
        </w:rPr>
        <w:t xml:space="preserve"> dans le cas de grèves ponctuelles</w:t>
      </w:r>
      <w:r>
        <w:rPr>
          <w:rStyle w:val="Appelnotedebasdep"/>
          <w:lang w:eastAsia="fr-FR"/>
        </w:rPr>
        <w:footnoteReference w:id="171"/>
      </w:r>
      <w:r>
        <w:rPr>
          <w:lang w:eastAsia="fr-FR"/>
        </w:rPr>
        <w:t>.</w:t>
      </w:r>
    </w:p>
    <w:p w14:paraId="05851B86" w14:textId="4EC6E5A0" w:rsidR="00312474" w:rsidRDefault="00312474" w:rsidP="000B1929">
      <w:pPr>
        <w:pStyle w:val="corpsdedcision"/>
        <w:spacing w:before="360"/>
        <w:rPr>
          <w:lang w:eastAsia="fr-FR"/>
        </w:rPr>
      </w:pPr>
      <w:r>
        <w:rPr>
          <w:lang w:eastAsia="fr-FR"/>
        </w:rPr>
        <w:t>Le PG</w:t>
      </w:r>
      <w:r w:rsidR="00DD6517">
        <w:rPr>
          <w:lang w:eastAsia="fr-FR"/>
        </w:rPr>
        <w:t>Q</w:t>
      </w:r>
      <w:r>
        <w:rPr>
          <w:lang w:eastAsia="fr-FR"/>
        </w:rPr>
        <w:t xml:space="preserve"> a surtout insisté sur le rôle du Tribunal et l’exercice de pondération auquel il doit se livrer dans un cas particulier, pour établir que le régime des SBEP se situe dans une gamme de solutions possibles afin de porter minimalement atteinte à la liberté d’association. Il a référé à la décision </w:t>
      </w:r>
      <w:r w:rsidR="00DA6D8C">
        <w:rPr>
          <w:lang w:eastAsia="fr-FR"/>
        </w:rPr>
        <w:t>d’</w:t>
      </w:r>
      <w:r>
        <w:rPr>
          <w:lang w:eastAsia="fr-FR"/>
        </w:rPr>
        <w:t xml:space="preserve">assujettissement rendue dans le présent dossier où le Tribunal a considéré la durée et l’intensité de la grève comme facteurs déterminants et </w:t>
      </w:r>
      <w:r w:rsidRPr="0062762F">
        <w:rPr>
          <w:lang w:eastAsia="fr-FR"/>
        </w:rPr>
        <w:t>retenu</w:t>
      </w:r>
      <w:r>
        <w:rPr>
          <w:lang w:eastAsia="fr-FR"/>
        </w:rPr>
        <w:t xml:space="preserve"> le critère de « </w:t>
      </w:r>
      <w:r w:rsidRPr="00B930A5">
        <w:rPr>
          <w:i/>
          <w:iCs/>
          <w:sz w:val="22"/>
          <w:szCs w:val="22"/>
          <w:lang w:eastAsia="fr-FR"/>
        </w:rPr>
        <w:t>préjudice indu</w:t>
      </w:r>
      <w:r>
        <w:rPr>
          <w:lang w:eastAsia="fr-FR"/>
        </w:rPr>
        <w:t xml:space="preserve"> » pour </w:t>
      </w:r>
      <w:r w:rsidR="00DD6517">
        <w:rPr>
          <w:lang w:eastAsia="fr-FR"/>
        </w:rPr>
        <w:t xml:space="preserve">faire une </w:t>
      </w:r>
      <w:r>
        <w:rPr>
          <w:lang w:eastAsia="fr-FR"/>
        </w:rPr>
        <w:t>distin</w:t>
      </w:r>
      <w:r w:rsidR="00DD6517">
        <w:rPr>
          <w:lang w:eastAsia="fr-FR"/>
        </w:rPr>
        <w:t>ction avec</w:t>
      </w:r>
      <w:r>
        <w:rPr>
          <w:lang w:eastAsia="fr-FR"/>
        </w:rPr>
        <w:t xml:space="preserve"> </w:t>
      </w:r>
      <w:r w:rsidR="00DD6517">
        <w:rPr>
          <w:lang w:eastAsia="fr-FR"/>
        </w:rPr>
        <w:t>l</w:t>
      </w:r>
      <w:r>
        <w:rPr>
          <w:lang w:eastAsia="fr-FR"/>
        </w:rPr>
        <w:t>es inconvénients « </w:t>
      </w:r>
      <w:r w:rsidRPr="00B930A5">
        <w:rPr>
          <w:i/>
          <w:iCs/>
          <w:sz w:val="22"/>
          <w:szCs w:val="22"/>
          <w:lang w:eastAsia="fr-FR"/>
        </w:rPr>
        <w:t>normaux</w:t>
      </w:r>
      <w:r>
        <w:rPr>
          <w:lang w:eastAsia="fr-FR"/>
        </w:rPr>
        <w:t> » de la grève.</w:t>
      </w:r>
    </w:p>
    <w:p w14:paraId="5E7DA205" w14:textId="5C5E96FE" w:rsidR="00312474" w:rsidRDefault="00312474" w:rsidP="000B1929">
      <w:pPr>
        <w:pStyle w:val="corpsdedcision"/>
        <w:spacing w:before="360"/>
        <w:rPr>
          <w:lang w:eastAsia="fr-FR"/>
        </w:rPr>
      </w:pPr>
      <w:r>
        <w:rPr>
          <w:lang w:eastAsia="fr-FR"/>
        </w:rPr>
        <w:t>Il est vrai qu’en accordant compétence au Tribunal sur une partie du mécanisme, le législateur permet une appréciation de la situation par un tiers neutre et indépendant qui, ultimement, pourra déterminer les services à maintenir. En cela, le régime des SBEP se distingue de celui de la PSESA, qui a été évalué par la Cour suprême dans l’arrêt</w:t>
      </w:r>
      <w:r w:rsidR="00603AAB">
        <w:rPr>
          <w:lang w:eastAsia="fr-FR"/>
        </w:rPr>
        <w:t> </w:t>
      </w:r>
      <w:r w:rsidRPr="00AC5505">
        <w:rPr>
          <w:i/>
          <w:iCs/>
          <w:lang w:eastAsia="fr-FR"/>
        </w:rPr>
        <w:t>Saskatchewan</w:t>
      </w:r>
      <w:r>
        <w:rPr>
          <w:lang w:eastAsia="fr-FR"/>
        </w:rPr>
        <w:t xml:space="preserve">. Le rôle limité du tribunal administratif de la Saskatchewan a été un facteur amenant </w:t>
      </w:r>
      <w:r w:rsidR="00962A7D">
        <w:rPr>
          <w:lang w:eastAsia="fr-FR"/>
        </w:rPr>
        <w:t>la Cour</w:t>
      </w:r>
      <w:r>
        <w:rPr>
          <w:lang w:eastAsia="fr-FR"/>
        </w:rPr>
        <w:t xml:space="preserve"> </w:t>
      </w:r>
      <w:r w:rsidR="00962A7D">
        <w:rPr>
          <w:lang w:eastAsia="fr-FR"/>
        </w:rPr>
        <w:t>à</w:t>
      </w:r>
      <w:r>
        <w:rPr>
          <w:lang w:eastAsia="fr-FR"/>
        </w:rPr>
        <w:t xml:space="preserve"> conclure que le régime ne portait pas atteinte le moins possible à la liberté d’association.</w:t>
      </w:r>
    </w:p>
    <w:p w14:paraId="14BD7874" w14:textId="7F95A036" w:rsidR="00312474" w:rsidRDefault="00312474" w:rsidP="000B1929">
      <w:pPr>
        <w:pStyle w:val="corpsdedcision"/>
        <w:spacing w:before="360"/>
        <w:rPr>
          <w:lang w:eastAsia="fr-FR"/>
        </w:rPr>
      </w:pPr>
      <w:r>
        <w:rPr>
          <w:lang w:eastAsia="fr-FR"/>
        </w:rPr>
        <w:t>Cependant, celui dévolu au Tribunal ne répond pas à toutes les préoccupations que le régime soulève.</w:t>
      </w:r>
    </w:p>
    <w:p w14:paraId="43C2BD6D" w14:textId="77777777" w:rsidR="00312474" w:rsidRDefault="00312474" w:rsidP="000B1929">
      <w:pPr>
        <w:pStyle w:val="corpsdedcision"/>
        <w:spacing w:before="360"/>
        <w:rPr>
          <w:lang w:eastAsia="fr-FR"/>
        </w:rPr>
      </w:pPr>
      <w:r>
        <w:rPr>
          <w:lang w:eastAsia="fr-FR"/>
        </w:rPr>
        <w:t>En premier lieu, aucun mécanisme pour mettre fin à l’impasse des négociations n’est prévu. Or, la Cour suprême a indiqué à plusieurs reprises la nécessité d’un processus de règlement des différends impartial et efficace lorsque les mesures législatives entravent substantiellement le processus véritable de négociation</w:t>
      </w:r>
      <w:r>
        <w:rPr>
          <w:rStyle w:val="Appelnotedebasdep"/>
          <w:lang w:eastAsia="fr-FR"/>
        </w:rPr>
        <w:footnoteReference w:id="172"/>
      </w:r>
      <w:r>
        <w:rPr>
          <w:lang w:eastAsia="fr-FR"/>
        </w:rPr>
        <w:t>.</w:t>
      </w:r>
    </w:p>
    <w:p w14:paraId="20E9DCC9" w14:textId="77777777" w:rsidR="00312474" w:rsidRDefault="00312474" w:rsidP="000B1929">
      <w:pPr>
        <w:pStyle w:val="corpsdedcision"/>
        <w:spacing w:before="360"/>
        <w:rPr>
          <w:lang w:eastAsia="fr-FR"/>
        </w:rPr>
      </w:pPr>
      <w:r>
        <w:rPr>
          <w:lang w:eastAsia="fr-FR"/>
        </w:rPr>
        <w:t>En deuxième lieu, le régime produit des effets en amont de l’intervention du Tribunal, comme il a été détaillé précédemment.</w:t>
      </w:r>
    </w:p>
    <w:p w14:paraId="46C7CADC" w14:textId="3F259B1D" w:rsidR="00312474" w:rsidRDefault="00312474" w:rsidP="000B1929">
      <w:pPr>
        <w:pStyle w:val="corpsdedcision"/>
        <w:spacing w:before="360"/>
        <w:rPr>
          <w:lang w:eastAsia="fr-FR"/>
        </w:rPr>
      </w:pPr>
      <w:r>
        <w:rPr>
          <w:lang w:eastAsia="fr-FR"/>
        </w:rPr>
        <w:t>Enfin, le Tribunal doit appliquer la loi en respectant la volonté du législateur. Même</w:t>
      </w:r>
      <w:r w:rsidR="00B8735C">
        <w:rPr>
          <w:lang w:eastAsia="fr-FR"/>
        </w:rPr>
        <w:t> </w:t>
      </w:r>
      <w:r>
        <w:rPr>
          <w:lang w:eastAsia="fr-FR"/>
        </w:rPr>
        <w:t>s’il s’efforce de le faire dans le respect des chartes, cela n’emporte pas nécessairement que le régime satisfait au critère de l’atteinte minimale.</w:t>
      </w:r>
    </w:p>
    <w:p w14:paraId="79BE2A77" w14:textId="6651C4B9" w:rsidR="00312474" w:rsidRDefault="00312474" w:rsidP="000B1929">
      <w:pPr>
        <w:pStyle w:val="corpsdedcision"/>
        <w:spacing w:before="360"/>
        <w:rPr>
          <w:lang w:eastAsia="fr-FR"/>
        </w:rPr>
      </w:pPr>
      <w:r>
        <w:rPr>
          <w:lang w:eastAsia="fr-FR"/>
        </w:rPr>
        <w:t>Deux éléments de la définition du régime des SBEP présentent en particulier de sérieux défis d’application, soit celui relatif aux effets disproportionnés et celui des services minimalement requis.</w:t>
      </w:r>
    </w:p>
    <w:p w14:paraId="0F70218D" w14:textId="35AF6B40" w:rsidR="00312474" w:rsidRPr="00562CB1" w:rsidRDefault="00312474" w:rsidP="00DC2F69">
      <w:pPr>
        <w:pStyle w:val="corpsdedcision"/>
        <w:keepNext/>
        <w:keepLines/>
        <w:numPr>
          <w:ilvl w:val="0"/>
          <w:numId w:val="0"/>
        </w:numPr>
        <w:spacing w:after="240"/>
        <w:rPr>
          <w:i/>
          <w:iCs/>
          <w:lang w:eastAsia="fr-FR"/>
        </w:rPr>
      </w:pPr>
      <w:r w:rsidRPr="00C16821">
        <w:rPr>
          <w:i/>
          <w:iCs/>
          <w:lang w:eastAsia="fr-FR"/>
        </w:rPr>
        <w:t>1.-Les limites de l’exercice de pondération</w:t>
      </w:r>
    </w:p>
    <w:p w14:paraId="5BC3DDB0" w14:textId="1575FC6C" w:rsidR="00312474" w:rsidRDefault="00312474" w:rsidP="000B1929">
      <w:pPr>
        <w:pStyle w:val="corpsdedcision"/>
        <w:keepNext/>
        <w:keepLines/>
        <w:rPr>
          <w:lang w:eastAsia="fr-FR"/>
        </w:rPr>
      </w:pPr>
      <w:r>
        <w:rPr>
          <w:lang w:eastAsia="fr-FR"/>
        </w:rPr>
        <w:t>L’exercice de pondération auquel le Tribunal doit se livrer demeure limité et imparfait.</w:t>
      </w:r>
    </w:p>
    <w:p w14:paraId="041C7D03" w14:textId="43CE6681" w:rsidR="00312474" w:rsidRDefault="00312474" w:rsidP="000B1929">
      <w:pPr>
        <w:pStyle w:val="corpsdedcision"/>
        <w:rPr>
          <w:lang w:eastAsia="fr-FR"/>
        </w:rPr>
      </w:pPr>
      <w:r>
        <w:rPr>
          <w:lang w:eastAsia="fr-FR"/>
        </w:rPr>
        <w:t>Le régime n’identifie pas les deux éléments à soupeser.</w:t>
      </w:r>
    </w:p>
    <w:p w14:paraId="53F487EC" w14:textId="593DC521" w:rsidR="00312474" w:rsidRDefault="00312474" w:rsidP="000B1929">
      <w:pPr>
        <w:pStyle w:val="corpsdedcision"/>
        <w:rPr>
          <w:lang w:eastAsia="fr-FR"/>
        </w:rPr>
      </w:pPr>
      <w:r>
        <w:rPr>
          <w:lang w:eastAsia="fr-FR"/>
        </w:rPr>
        <w:t>Le Tribunal ne peut prendre en considération les enjeux de la grève et le déroulement des négociations collectives. Comme on l’a vu dans le présent dossier, le</w:t>
      </w:r>
      <w:r w:rsidR="00B8735C">
        <w:rPr>
          <w:lang w:eastAsia="fr-FR"/>
        </w:rPr>
        <w:t> </w:t>
      </w:r>
      <w:r>
        <w:rPr>
          <w:lang w:eastAsia="fr-FR"/>
        </w:rPr>
        <w:t>conflit de travail, spécialement la grève générale illimitée, s’explique par un désaccord entre le syndicat et l’employeur qui cherche à retirer, sans contrepartie, une condition de travail importante dont les salariées bénéfici</w:t>
      </w:r>
      <w:r w:rsidR="00962A7D">
        <w:rPr>
          <w:lang w:eastAsia="fr-FR"/>
        </w:rPr>
        <w:t>ent</w:t>
      </w:r>
      <w:r>
        <w:rPr>
          <w:lang w:eastAsia="fr-FR"/>
        </w:rPr>
        <w:t xml:space="preserve"> depuis plus de 40 ans. Non seulement le retrait d’une telle condition de travail peut représenter </w:t>
      </w:r>
      <w:r w:rsidR="00085115">
        <w:rPr>
          <w:lang w:eastAsia="fr-FR"/>
        </w:rPr>
        <w:t>la perte d’</w:t>
      </w:r>
      <w:r>
        <w:rPr>
          <w:lang w:eastAsia="fr-FR"/>
        </w:rPr>
        <w:t>un pourcentage non négligeable de la rémunération globale des salariées, mais la preuve qu’a administrée l’employeur pour étayer le bien-fondé d’une telle demande de recul s’est révélée très peu convaincante.</w:t>
      </w:r>
    </w:p>
    <w:p w14:paraId="670F4C89" w14:textId="38B18AB9" w:rsidR="00312474" w:rsidRDefault="00312474" w:rsidP="000B1929">
      <w:pPr>
        <w:pStyle w:val="corpsdedcision"/>
        <w:rPr>
          <w:lang w:eastAsia="fr-FR"/>
        </w:rPr>
      </w:pPr>
      <w:r>
        <w:rPr>
          <w:lang w:eastAsia="fr-FR"/>
        </w:rPr>
        <w:t>Dans l’exercice des pouvoirs qui lui sont dévolus, le Tribunal doit nécessairement se limiter aux impacts subis par les usagers du service en grève, ici les parents des 80</w:t>
      </w:r>
      <w:r w:rsidR="000B40CE">
        <w:rPr>
          <w:lang w:eastAsia="fr-FR"/>
        </w:rPr>
        <w:t> </w:t>
      </w:r>
      <w:r>
        <w:rPr>
          <w:lang w:eastAsia="fr-FR"/>
        </w:rPr>
        <w:t xml:space="preserve">enfants, sans pouvoir considérer le portrait plus global de la population en général et </w:t>
      </w:r>
      <w:r w:rsidR="00962A7D">
        <w:rPr>
          <w:lang w:eastAsia="fr-FR"/>
        </w:rPr>
        <w:t xml:space="preserve">les </w:t>
      </w:r>
      <w:r>
        <w:rPr>
          <w:lang w:eastAsia="fr-FR"/>
        </w:rPr>
        <w:t>effets bénéfiques que la grève peut apporter.</w:t>
      </w:r>
    </w:p>
    <w:p w14:paraId="50F821E0" w14:textId="457740A4" w:rsidR="00312474" w:rsidRDefault="00036D48" w:rsidP="000B1929">
      <w:pPr>
        <w:pStyle w:val="corpsdedcision"/>
        <w:spacing w:before="360"/>
        <w:rPr>
          <w:lang w:eastAsia="fr-FR"/>
        </w:rPr>
      </w:pPr>
      <w:r>
        <w:rPr>
          <w:lang w:eastAsia="fr-FR"/>
        </w:rPr>
        <w:t>En effet, l</w:t>
      </w:r>
      <w:r w:rsidR="00312474">
        <w:rPr>
          <w:lang w:eastAsia="fr-FR"/>
        </w:rPr>
        <w:t>e Tribunal ne peut tenir compte des effets bénéfiques de la grève ni évaluer les effets qu’elle va entrainer</w:t>
      </w:r>
      <w:r w:rsidR="00085115">
        <w:rPr>
          <w:lang w:eastAsia="fr-FR"/>
        </w:rPr>
        <w:t xml:space="preserve"> à long terme</w:t>
      </w:r>
      <w:r w:rsidR="00312474">
        <w:rPr>
          <w:lang w:eastAsia="fr-FR"/>
        </w:rPr>
        <w:t>. En fait, le régime évacue « </w:t>
      </w:r>
      <w:r w:rsidR="00312474" w:rsidRPr="00847D30">
        <w:rPr>
          <w:rStyle w:val="Citationintgre"/>
          <w:lang w:eastAsia="fr-FR"/>
        </w:rPr>
        <w:t>la</w:t>
      </w:r>
      <w:r w:rsidR="00B8735C">
        <w:rPr>
          <w:rStyle w:val="Citationintgre"/>
          <w:lang w:eastAsia="fr-FR"/>
        </w:rPr>
        <w:t> </w:t>
      </w:r>
      <w:r w:rsidR="00312474" w:rsidRPr="00847D30">
        <w:rPr>
          <w:rStyle w:val="Citationintgre"/>
          <w:lang w:eastAsia="fr-FR"/>
        </w:rPr>
        <w:t>composante cruciale de la promotion industrielle et partant socio-économique de la grève</w:t>
      </w:r>
      <w:r w:rsidR="00312474">
        <w:rPr>
          <w:lang w:eastAsia="fr-FR"/>
        </w:rPr>
        <w:t> », pour reprendre les termes de la Cour suprême</w:t>
      </w:r>
      <w:r w:rsidR="00312474">
        <w:rPr>
          <w:rStyle w:val="Appelnotedebasdep"/>
          <w:lang w:eastAsia="fr-FR"/>
        </w:rPr>
        <w:footnoteReference w:id="173"/>
      </w:r>
      <w:r w:rsidR="00312474">
        <w:rPr>
          <w:lang w:eastAsia="fr-FR"/>
        </w:rPr>
        <w:t>.</w:t>
      </w:r>
    </w:p>
    <w:p w14:paraId="5A385CC0" w14:textId="508AB586" w:rsidR="00312474" w:rsidRPr="000409BE" w:rsidRDefault="00312474" w:rsidP="000B1929">
      <w:pPr>
        <w:pStyle w:val="corpsdedcision"/>
        <w:rPr>
          <w:lang w:eastAsia="fr-FR"/>
        </w:rPr>
      </w:pPr>
      <w:r w:rsidRPr="000409BE">
        <w:rPr>
          <w:lang w:eastAsia="fr-FR"/>
        </w:rPr>
        <w:t>Dans certains secteurs, en particulier dans les services publics, mais aussi dans le secteur de l’éducation ou de la petite enfance, les salariés peuvent revendiquer, au</w:t>
      </w:r>
      <w:r w:rsidR="008138DE">
        <w:rPr>
          <w:lang w:eastAsia="fr-FR"/>
        </w:rPr>
        <w:t> </w:t>
      </w:r>
      <w:r w:rsidRPr="000409BE">
        <w:rPr>
          <w:lang w:eastAsia="fr-FR"/>
        </w:rPr>
        <w:t>moyen de la négociation de leurs conditions de travail, une augmentation de services au bénéfice de la population. Les effets de la grève peuvent donc être bénéfiques à long terme pour cette dernière.</w:t>
      </w:r>
    </w:p>
    <w:p w14:paraId="3F4B0B71" w14:textId="77777777" w:rsidR="00312474" w:rsidRPr="000409BE" w:rsidRDefault="00312474" w:rsidP="00F14B5B">
      <w:pPr>
        <w:pStyle w:val="corpsdedcision"/>
        <w:spacing w:after="240"/>
        <w:rPr>
          <w:lang w:eastAsia="fr-FR"/>
        </w:rPr>
      </w:pPr>
      <w:r w:rsidRPr="000409BE">
        <w:rPr>
          <w:lang w:eastAsia="fr-FR"/>
        </w:rPr>
        <w:t>Les experts Laroche et Jalette en font mention dans leur rapport</w:t>
      </w:r>
      <w:r w:rsidRPr="000409BE">
        <w:rPr>
          <w:rStyle w:val="Appelnotedebasdep"/>
          <w:lang w:eastAsia="fr-FR"/>
        </w:rPr>
        <w:footnoteReference w:id="174"/>
      </w:r>
      <w:r w:rsidRPr="000409BE">
        <w:rPr>
          <w:lang w:eastAsia="fr-FR"/>
        </w:rPr>
        <w:t> :</w:t>
      </w:r>
    </w:p>
    <w:p w14:paraId="2B6B4DA7" w14:textId="622ED150" w:rsidR="00312474" w:rsidRPr="000409BE" w:rsidRDefault="00312474" w:rsidP="00312474">
      <w:pPr>
        <w:pStyle w:val="citation"/>
        <w:rPr>
          <w:lang w:eastAsia="fr-FR"/>
        </w:rPr>
      </w:pPr>
      <w:r w:rsidRPr="00D701CD">
        <w:rPr>
          <w:rFonts w:cs="Arial"/>
          <w:sz w:val="22"/>
          <w:szCs w:val="22"/>
          <w:lang w:eastAsia="fr-FR"/>
        </w:rPr>
        <w:t>[…]</w:t>
      </w:r>
      <w:r w:rsidRPr="000409BE">
        <w:rPr>
          <w:rFonts w:cs="Arial"/>
          <w:lang w:eastAsia="fr-FR"/>
        </w:rPr>
        <w:tab/>
      </w:r>
      <w:r w:rsidRPr="000409BE">
        <w:rPr>
          <w:lang w:eastAsia="fr-FR"/>
        </w:rPr>
        <w:t xml:space="preserve">Dans de nombreux cas, notamment dans les services publics, les revendications portent souvent sur l’amélioration ou la préservation de la qualité des services offerts à la population. De même, dans le secteur privé, certains conflits visent à contrer des décisions susceptibles d’avoir des effets structurants sur l’emploi local ou sur l’ancrage territorial des activités économiques.  Une évaluation rigoureuse de la proportionnalité devrait donc intégrer non seulement les coûts immédiats du conflit, mais aussi ses bénéfices potentiels à moyen et long terme, </w:t>
      </w:r>
      <w:r w:rsidRPr="000409BE">
        <w:rPr>
          <w:u w:val="single"/>
          <w:lang w:eastAsia="fr-FR"/>
        </w:rPr>
        <w:t>ce qui pose un problème de mesure considérable</w:t>
      </w:r>
      <w:r w:rsidRPr="000409BE">
        <w:rPr>
          <w:lang w:eastAsia="fr-FR"/>
        </w:rPr>
        <w:t>. L’histoire du syndicalisme québécois est ponctuée de conflits et luttes qui se sont soldés par des avancées importantes pour la société québécoise dans son ensemble, : santé et au travail, équité salariale, durée de la semaine de travail, etc. (Rouillard, 20024).</w:t>
      </w:r>
    </w:p>
    <w:p w14:paraId="5760D73C" w14:textId="10EAA25B" w:rsidR="00312474" w:rsidRPr="00F14B5B" w:rsidRDefault="00312474" w:rsidP="00A97F44">
      <w:pPr>
        <w:pStyle w:val="citation"/>
        <w:spacing w:before="160" w:after="360"/>
        <w:rPr>
          <w:sz w:val="24"/>
          <w:szCs w:val="24"/>
          <w:lang w:eastAsia="fr-FR"/>
        </w:rPr>
      </w:pPr>
      <w:r w:rsidRPr="000409BE">
        <w:rPr>
          <w:sz w:val="24"/>
          <w:szCs w:val="24"/>
          <w:lang w:eastAsia="fr-FR"/>
        </w:rPr>
        <w:t>[Notre soulignement]</w:t>
      </w:r>
    </w:p>
    <w:p w14:paraId="392E0DFC" w14:textId="77777777" w:rsidR="00312474" w:rsidRPr="000409BE" w:rsidRDefault="00312474" w:rsidP="00F14B5B">
      <w:pPr>
        <w:pStyle w:val="corpsdedcision"/>
        <w:spacing w:after="240"/>
        <w:rPr>
          <w:lang w:eastAsia="fr-FR"/>
        </w:rPr>
      </w:pPr>
      <w:r w:rsidRPr="000409BE">
        <w:rPr>
          <w:lang w:eastAsia="fr-FR"/>
        </w:rPr>
        <w:t>Par ailleurs, Sylvana M. Côté, professeure à l’École de santé publique de l’Université de Montréal, dont le rapport d’expertise a été déposé à l’étape de l’assujettissement, rapporte que de meilleures conditions de travail des éducatrices améliorent la qualité des services et le bien-être des enfants</w:t>
      </w:r>
      <w:r w:rsidRPr="000409BE">
        <w:rPr>
          <w:rStyle w:val="Appelnotedebasdep"/>
          <w:lang w:eastAsia="fr-FR"/>
        </w:rPr>
        <w:footnoteReference w:id="175"/>
      </w:r>
      <w:r w:rsidRPr="000409BE">
        <w:rPr>
          <w:lang w:eastAsia="fr-FR"/>
        </w:rPr>
        <w:t> :</w:t>
      </w:r>
    </w:p>
    <w:p w14:paraId="180C5FF3" w14:textId="1622B7E7" w:rsidR="00312474" w:rsidRPr="00654AB3" w:rsidRDefault="00312474" w:rsidP="00A97F44">
      <w:pPr>
        <w:pStyle w:val="citation"/>
        <w:spacing w:after="120"/>
        <w:rPr>
          <w:lang w:eastAsia="fr-FR"/>
        </w:rPr>
      </w:pPr>
      <w:r w:rsidRPr="00D701CD">
        <w:rPr>
          <w:sz w:val="22"/>
          <w:szCs w:val="22"/>
          <w:lang w:eastAsia="fr-FR"/>
        </w:rPr>
        <w:t xml:space="preserve">[…] </w:t>
      </w:r>
      <w:r w:rsidRPr="00654AB3">
        <w:rPr>
          <w:lang w:eastAsia="fr-FR"/>
        </w:rPr>
        <w:t xml:space="preserve">Les études portant sur le bien-être professionnel des éducatrices en services de garde montrent que </w:t>
      </w:r>
      <w:r w:rsidRPr="00D701CD">
        <w:rPr>
          <w:sz w:val="22"/>
          <w:szCs w:val="22"/>
          <w:lang w:eastAsia="fr-FR"/>
        </w:rPr>
        <w:t xml:space="preserve">[…] </w:t>
      </w:r>
      <w:r w:rsidRPr="00654AB3">
        <w:rPr>
          <w:lang w:eastAsia="fr-FR"/>
        </w:rPr>
        <w:t>des environnements de travail offrant stabilité, support administratif, temps de planification, ratios adéquats et reconnaissance professionnelle sont associés à une meilleure qualité interactionnelle et à une plus grande continuité relationnelle.</w:t>
      </w:r>
    </w:p>
    <w:p w14:paraId="2CAA0C75" w14:textId="726463B5" w:rsidR="00312474" w:rsidRPr="00F14B5B" w:rsidRDefault="00312474" w:rsidP="00C16821">
      <w:pPr>
        <w:pStyle w:val="citation"/>
        <w:spacing w:after="120"/>
        <w:rPr>
          <w:lang w:eastAsia="fr-FR"/>
        </w:rPr>
      </w:pPr>
      <w:r w:rsidRPr="00654AB3">
        <w:rPr>
          <w:lang w:eastAsia="fr-FR"/>
        </w:rPr>
        <w:t>Ces résultats suggèrent que les conditions de travail constituent un déterminant de la qualité éducative, qui est elle-même associé au bien-être des enfants à court et moyen terme. Il est important de préciser que ces associations demeurent probabilistes et non causales. Toutefois, le lien entre bien-être professionnel des éducatrices et qualité des interactions est appuyé par un corpus empirique cohérent.</w:t>
      </w:r>
    </w:p>
    <w:p w14:paraId="12ACAEC3" w14:textId="230E6DEF" w:rsidR="00312474" w:rsidRPr="000409BE" w:rsidRDefault="00312474" w:rsidP="00A97F44">
      <w:pPr>
        <w:pStyle w:val="corpsdedcision"/>
        <w:spacing w:before="360" w:after="320"/>
        <w:rPr>
          <w:lang w:eastAsia="fr-FR"/>
        </w:rPr>
      </w:pPr>
      <w:r w:rsidRPr="000409BE">
        <w:rPr>
          <w:lang w:eastAsia="fr-FR"/>
        </w:rPr>
        <w:t>La porte-parole du ministère de la Famille et du Bureau de la négociation gouvernementale lors des négociations nationales du secteur des CPE a confirmé que des conditions plus avantageuses négociées avec la FSSS-CSN bénéficieront à tout le secteur, même aux CPE non syndiqués. Or, la grève est le levier par excellence qui permet de négocier de meilleures conditions de travail.</w:t>
      </w:r>
    </w:p>
    <w:p w14:paraId="05B9228B" w14:textId="7219F15E" w:rsidR="00312474" w:rsidRDefault="00312474" w:rsidP="00A97F44">
      <w:pPr>
        <w:pStyle w:val="corpsdedcision"/>
        <w:spacing w:after="320"/>
        <w:rPr>
          <w:lang w:eastAsia="fr-FR"/>
        </w:rPr>
      </w:pPr>
      <w:r>
        <w:rPr>
          <w:lang w:eastAsia="fr-FR"/>
        </w:rPr>
        <w:t>Comme l’écrit</w:t>
      </w:r>
      <w:r w:rsidRPr="000409BE">
        <w:rPr>
          <w:lang w:eastAsia="fr-FR"/>
        </w:rPr>
        <w:t xml:space="preserve"> la Cour suprême dans l’arrêt </w:t>
      </w:r>
      <w:r w:rsidRPr="00911D00">
        <w:rPr>
          <w:i/>
          <w:iCs/>
          <w:lang w:eastAsia="fr-FR"/>
        </w:rPr>
        <w:t>APMO</w:t>
      </w:r>
      <w:r w:rsidRPr="000409BE">
        <w:rPr>
          <w:lang w:eastAsia="fr-FR"/>
        </w:rPr>
        <w:t xml:space="preserve">, </w:t>
      </w:r>
      <w:r w:rsidRPr="00911D00">
        <w:rPr>
          <w:rStyle w:val="Citationintgre"/>
          <w:i w:val="0"/>
          <w:iCs/>
          <w:sz w:val="24"/>
          <w:szCs w:val="22"/>
          <w:lang w:eastAsia="fr-FR"/>
        </w:rPr>
        <w:t>«</w:t>
      </w:r>
      <w:r w:rsidRPr="00911D00">
        <w:rPr>
          <w:rStyle w:val="Citationintgre"/>
          <w:sz w:val="24"/>
          <w:szCs w:val="22"/>
          <w:lang w:eastAsia="fr-FR"/>
        </w:rPr>
        <w:t> </w:t>
      </w:r>
      <w:r w:rsidRPr="00911D00">
        <w:rPr>
          <w:rStyle w:val="Citationintgre"/>
          <w:i w:val="0"/>
          <w:iCs/>
          <w:sz w:val="24"/>
          <w:szCs w:val="22"/>
          <w:lang w:eastAsia="fr-FR"/>
        </w:rPr>
        <w:t xml:space="preserve">[…] </w:t>
      </w:r>
      <w:r w:rsidRPr="00E15A52">
        <w:rPr>
          <w:rStyle w:val="Citationintgre"/>
          <w:lang w:eastAsia="fr-FR"/>
        </w:rPr>
        <w:t>selon la preuve, le respect de la liberté d’association peut même assurer plutôt que de compromettre l’existence de bonnes relations d</w:t>
      </w:r>
      <w:r w:rsidR="007D0C6F">
        <w:rPr>
          <w:rStyle w:val="Citationintgre"/>
          <w:lang w:eastAsia="fr-FR"/>
        </w:rPr>
        <w:t>e</w:t>
      </w:r>
      <w:r w:rsidRPr="00E15A52">
        <w:rPr>
          <w:rStyle w:val="Citationintgre"/>
          <w:lang w:eastAsia="fr-FR"/>
        </w:rPr>
        <w:t xml:space="preserve"> travail et ainsi </w:t>
      </w:r>
      <w:r w:rsidR="00654AB3">
        <w:rPr>
          <w:rStyle w:val="Citationintgre"/>
          <w:lang w:eastAsia="fr-FR"/>
        </w:rPr>
        <w:t xml:space="preserve">en </w:t>
      </w:r>
      <w:r w:rsidRPr="00E15A52">
        <w:rPr>
          <w:rStyle w:val="Citationintgre"/>
          <w:lang w:eastAsia="fr-FR"/>
        </w:rPr>
        <w:t>renforcer la stabilité </w:t>
      </w:r>
      <w:r>
        <w:rPr>
          <w:lang w:eastAsia="fr-FR"/>
        </w:rPr>
        <w:t>»</w:t>
      </w:r>
      <w:r w:rsidR="00F4744D" w:rsidRPr="00F4744D">
        <w:rPr>
          <w:iCs/>
          <w:sz w:val="22"/>
          <w:vertAlign w:val="superscript"/>
          <w:lang w:eastAsia="fr-FR"/>
        </w:rPr>
        <w:t xml:space="preserve"> </w:t>
      </w:r>
      <w:r w:rsidR="00F4744D" w:rsidRPr="00F4744D">
        <w:rPr>
          <w:iCs/>
          <w:vertAlign w:val="superscript"/>
          <w:lang w:eastAsia="fr-FR"/>
        </w:rPr>
        <w:footnoteReference w:id="176"/>
      </w:r>
      <w:r>
        <w:rPr>
          <w:lang w:eastAsia="fr-FR"/>
        </w:rPr>
        <w:t>.</w:t>
      </w:r>
    </w:p>
    <w:p w14:paraId="2A6EEEB6" w14:textId="4D6126D1" w:rsidR="00312474" w:rsidRPr="00562CB1" w:rsidRDefault="00312474" w:rsidP="00A97F44">
      <w:pPr>
        <w:pStyle w:val="corpsdedcision"/>
        <w:numPr>
          <w:ilvl w:val="0"/>
          <w:numId w:val="0"/>
        </w:numPr>
        <w:spacing w:after="240"/>
        <w:rPr>
          <w:i/>
          <w:iCs/>
          <w:lang w:eastAsia="fr-FR"/>
        </w:rPr>
      </w:pPr>
      <w:r w:rsidRPr="00562CB1">
        <w:rPr>
          <w:i/>
          <w:iCs/>
          <w:lang w:eastAsia="fr-FR"/>
        </w:rPr>
        <w:t xml:space="preserve">2- </w:t>
      </w:r>
      <w:r w:rsidR="00962A7D">
        <w:rPr>
          <w:i/>
          <w:iCs/>
          <w:lang w:eastAsia="fr-FR"/>
        </w:rPr>
        <w:t>L</w:t>
      </w:r>
      <w:r w:rsidRPr="00562CB1">
        <w:rPr>
          <w:i/>
          <w:iCs/>
          <w:lang w:eastAsia="fr-FR"/>
        </w:rPr>
        <w:t>a définition large des services minimalement requis</w:t>
      </w:r>
    </w:p>
    <w:p w14:paraId="7CC88924" w14:textId="635C4F03" w:rsidR="00312474" w:rsidRDefault="00312474" w:rsidP="00A97F44">
      <w:pPr>
        <w:pStyle w:val="corpsdedcision"/>
        <w:spacing w:after="0"/>
        <w:rPr>
          <w:lang w:eastAsia="fr-FR"/>
        </w:rPr>
      </w:pPr>
      <w:r>
        <w:rPr>
          <w:lang w:eastAsia="fr-FR"/>
        </w:rPr>
        <w:t xml:space="preserve">Dans la décision </w:t>
      </w:r>
      <w:r w:rsidR="00DA6D8C">
        <w:rPr>
          <w:lang w:eastAsia="fr-FR"/>
        </w:rPr>
        <w:t>d’</w:t>
      </w:r>
      <w:r>
        <w:rPr>
          <w:lang w:eastAsia="fr-FR"/>
        </w:rPr>
        <w:t xml:space="preserve">assujettissement, le Tribunal a retenu la position du PGQ selon laquelle </w:t>
      </w:r>
      <w:r w:rsidRPr="00E377AB">
        <w:rPr>
          <w:lang w:eastAsia="fr-FR"/>
        </w:rPr>
        <w:t xml:space="preserve">le régime des SBEP ne peut s’interpréter </w:t>
      </w:r>
      <w:r>
        <w:rPr>
          <w:lang w:eastAsia="fr-FR"/>
        </w:rPr>
        <w:t>au</w:t>
      </w:r>
      <w:r w:rsidRPr="00E377AB">
        <w:rPr>
          <w:lang w:eastAsia="fr-FR"/>
        </w:rPr>
        <w:t xml:space="preserve"> regard de celui des services essentiels. Le législateur n’a pas choisi d’intégrer ce nouveau concept à celui-ci, mais d’instaurer un </w:t>
      </w:r>
      <w:r w:rsidR="00562CB1">
        <w:rPr>
          <w:lang w:eastAsia="fr-FR"/>
        </w:rPr>
        <w:t xml:space="preserve">autre </w:t>
      </w:r>
      <w:r w:rsidRPr="00E377AB">
        <w:rPr>
          <w:lang w:eastAsia="fr-FR"/>
        </w:rPr>
        <w:t xml:space="preserve">régime </w:t>
      </w:r>
      <w:r w:rsidR="00562CB1">
        <w:rPr>
          <w:lang w:eastAsia="fr-FR"/>
        </w:rPr>
        <w:t>pour couvrir les situations</w:t>
      </w:r>
      <w:r w:rsidRPr="00E377AB">
        <w:rPr>
          <w:lang w:eastAsia="fr-FR"/>
        </w:rPr>
        <w:t xml:space="preserve"> </w:t>
      </w:r>
      <w:r w:rsidR="00B83FEE" w:rsidRPr="00B83FEE">
        <w:rPr>
          <w:lang w:eastAsia="fr-FR"/>
        </w:rPr>
        <w:t>intermédiaire</w:t>
      </w:r>
      <w:r w:rsidR="00B83FEE">
        <w:rPr>
          <w:lang w:eastAsia="fr-FR"/>
        </w:rPr>
        <w:t>s</w:t>
      </w:r>
      <w:r w:rsidR="00B83FEE" w:rsidRPr="00B83FEE">
        <w:rPr>
          <w:lang w:eastAsia="fr-FR"/>
        </w:rPr>
        <w:t xml:space="preserve"> </w:t>
      </w:r>
      <w:r w:rsidRPr="00E377AB">
        <w:rPr>
          <w:lang w:eastAsia="fr-FR"/>
        </w:rPr>
        <w:t>entre le</w:t>
      </w:r>
      <w:r>
        <w:rPr>
          <w:lang w:eastAsia="fr-FR"/>
        </w:rPr>
        <w:t xml:space="preserve">s </w:t>
      </w:r>
      <w:r w:rsidRPr="00E377AB">
        <w:rPr>
          <w:lang w:eastAsia="fr-FR"/>
        </w:rPr>
        <w:t>inconvénient</w:t>
      </w:r>
      <w:r>
        <w:rPr>
          <w:lang w:eastAsia="fr-FR"/>
        </w:rPr>
        <w:t>s</w:t>
      </w:r>
      <w:r w:rsidRPr="00E377AB">
        <w:rPr>
          <w:lang w:eastAsia="fr-FR"/>
        </w:rPr>
        <w:t xml:space="preserve"> </w:t>
      </w:r>
      <w:r>
        <w:rPr>
          <w:lang w:eastAsia="fr-FR"/>
        </w:rPr>
        <w:t>« </w:t>
      </w:r>
      <w:r w:rsidRPr="001B52D4">
        <w:rPr>
          <w:i/>
          <w:iCs/>
          <w:sz w:val="22"/>
          <w:szCs w:val="22"/>
          <w:lang w:eastAsia="fr-FR"/>
        </w:rPr>
        <w:t>normaux</w:t>
      </w:r>
      <w:r w:rsidR="00562CB1" w:rsidRPr="001B52D4">
        <w:rPr>
          <w:i/>
          <w:iCs/>
          <w:sz w:val="22"/>
          <w:szCs w:val="22"/>
          <w:lang w:eastAsia="fr-FR"/>
        </w:rPr>
        <w:t> </w:t>
      </w:r>
      <w:r w:rsidRPr="00E377AB">
        <w:rPr>
          <w:lang w:eastAsia="fr-FR"/>
        </w:rPr>
        <w:t>» subi</w:t>
      </w:r>
      <w:r>
        <w:rPr>
          <w:lang w:eastAsia="fr-FR"/>
        </w:rPr>
        <w:t>s</w:t>
      </w:r>
      <w:r w:rsidRPr="00E377AB">
        <w:rPr>
          <w:lang w:eastAsia="fr-FR"/>
        </w:rPr>
        <w:t xml:space="preserve"> </w:t>
      </w:r>
      <w:r>
        <w:rPr>
          <w:lang w:eastAsia="fr-FR"/>
        </w:rPr>
        <w:t xml:space="preserve">par la population </w:t>
      </w:r>
      <w:r w:rsidRPr="00E377AB">
        <w:rPr>
          <w:lang w:eastAsia="fr-FR"/>
        </w:rPr>
        <w:t>et le danger pour la santé ou la sécurité publique.</w:t>
      </w:r>
      <w:r>
        <w:rPr>
          <w:lang w:eastAsia="fr-FR"/>
        </w:rPr>
        <w:t xml:space="preserve"> Le Tribunal s’est inspiré d’une expression employée par le juge </w:t>
      </w:r>
      <w:r w:rsidR="00B83FEE">
        <w:rPr>
          <w:lang w:eastAsia="fr-FR"/>
        </w:rPr>
        <w:t xml:space="preserve">en chef </w:t>
      </w:r>
      <w:r>
        <w:rPr>
          <w:lang w:eastAsia="fr-FR"/>
        </w:rPr>
        <w:t xml:space="preserve">Dickson dans l’arrêt des </w:t>
      </w:r>
      <w:r w:rsidRPr="00B83FEE">
        <w:rPr>
          <w:i/>
          <w:iCs/>
          <w:lang w:eastAsia="fr-FR"/>
        </w:rPr>
        <w:t>Producteurs laitiers</w:t>
      </w:r>
      <w:r>
        <w:rPr>
          <w:rStyle w:val="Appelnotedebasdep"/>
          <w:lang w:eastAsia="fr-FR"/>
        </w:rPr>
        <w:footnoteReference w:id="177"/>
      </w:r>
      <w:r>
        <w:rPr>
          <w:lang w:eastAsia="fr-FR"/>
        </w:rPr>
        <w:t xml:space="preserve"> pour établir le seuil, soit le préjudice indu.</w:t>
      </w:r>
    </w:p>
    <w:p w14:paraId="34421FCB" w14:textId="231B02FC" w:rsidR="00312474" w:rsidRPr="00E377AB" w:rsidRDefault="00312474" w:rsidP="00A97F44">
      <w:pPr>
        <w:pStyle w:val="corpsdedcision"/>
        <w:spacing w:before="360"/>
        <w:rPr>
          <w:lang w:eastAsia="fr-FR"/>
        </w:rPr>
      </w:pPr>
      <w:r>
        <w:rPr>
          <w:lang w:eastAsia="fr-FR"/>
        </w:rPr>
        <w:t>Comme il l’a alors expliqué, le Tribunal a mis en balance les objectifs de la loi, soit une protection accrue à la population lors de certains conflits de travail, et les valeurs constitutionnelle</w:t>
      </w:r>
      <w:r w:rsidR="00962A7D">
        <w:rPr>
          <w:lang w:eastAsia="fr-FR"/>
        </w:rPr>
        <w:t>s</w:t>
      </w:r>
      <w:r>
        <w:rPr>
          <w:lang w:eastAsia="fr-FR"/>
        </w:rPr>
        <w:t xml:space="preserve"> en jeu, notamment le droit de grève. Il a rappelé qu’il ne traitait pas de la question constitutionnelle.</w:t>
      </w:r>
    </w:p>
    <w:p w14:paraId="67CA7002" w14:textId="77777777" w:rsidR="00312474" w:rsidRDefault="00312474" w:rsidP="00312474">
      <w:pPr>
        <w:pStyle w:val="corpsdedcision"/>
        <w:rPr>
          <w:lang w:eastAsia="fr-FR"/>
        </w:rPr>
      </w:pPr>
      <w:r>
        <w:rPr>
          <w:lang w:eastAsia="fr-FR"/>
        </w:rPr>
        <w:t>L’expression du préjudice indu a été employée par le juge en chef Dickson dans un tout autre contexte. La totalité de la production de lait de la province de la Saskatchewan était susceptible d’être perdue en raison d’un conflit de travail des distributeurs. Il s’agissait alors d’un préjudice strictement économique.</w:t>
      </w:r>
    </w:p>
    <w:p w14:paraId="5C37DE95" w14:textId="7E96C9AE" w:rsidR="00312474" w:rsidRDefault="00312474" w:rsidP="00312474">
      <w:pPr>
        <w:pStyle w:val="corpsdedcision"/>
        <w:rPr>
          <w:lang w:eastAsia="fr-FR"/>
        </w:rPr>
      </w:pPr>
      <w:r>
        <w:rPr>
          <w:lang w:eastAsia="fr-FR"/>
        </w:rPr>
        <w:t>Or, le régime des SBEP entraine le maintien de services dans des cas de grève qui ne s’apparentent pas à une telle situation, qu’on pourrait qualifier de crise nationale aig</w:t>
      </w:r>
      <w:r w:rsidR="00F90A34">
        <w:rPr>
          <w:lang w:eastAsia="fr-FR"/>
        </w:rPr>
        <w:t>ü</w:t>
      </w:r>
      <w:r>
        <w:rPr>
          <w:lang w:eastAsia="fr-FR"/>
        </w:rPr>
        <w:t>e. Dans le présent dossier, la population visée est extrêmement limitée et le préjudice subi n’est pas de même nature.</w:t>
      </w:r>
    </w:p>
    <w:p w14:paraId="6662DC82" w14:textId="7BF6C3CE" w:rsidR="00312474" w:rsidRDefault="00312474" w:rsidP="00312474">
      <w:pPr>
        <w:pStyle w:val="corpsdedcision"/>
        <w:rPr>
          <w:lang w:eastAsia="fr-FR"/>
        </w:rPr>
      </w:pPr>
      <w:r>
        <w:rPr>
          <w:lang w:eastAsia="fr-FR"/>
        </w:rPr>
        <w:t>Lorsque le préjudice n’est pas de nature économique, la jurisprudence retient plutôt le critère des services essentiels, qui nécessite que la santé ou la sécurité publique soit mise en danger.</w:t>
      </w:r>
    </w:p>
    <w:p w14:paraId="79B25405" w14:textId="77777777" w:rsidR="00312474" w:rsidRDefault="00312474" w:rsidP="00312474">
      <w:pPr>
        <w:pStyle w:val="corpsdedcision"/>
        <w:rPr>
          <w:lang w:eastAsia="fr-FR"/>
        </w:rPr>
      </w:pPr>
      <w:r>
        <w:rPr>
          <w:lang w:eastAsia="fr-FR"/>
        </w:rPr>
        <w:t>Le fait que ce régime soit adopté en parallèle de celui des services essentiels a fait beaucoup réagir. De nombreuses voix se sont élevées lors de la commission parlementaire pour souligner les difficultés du futur régime des SBEP, non seulement des organisations syndicales, mais aussi des professeurs en droit du travail et en droit constitutionnel.</w:t>
      </w:r>
    </w:p>
    <w:p w14:paraId="494E3A21" w14:textId="56F19C01" w:rsidR="00312474" w:rsidRDefault="00595CC0" w:rsidP="00312474">
      <w:pPr>
        <w:pStyle w:val="corpsdedcision"/>
        <w:rPr>
          <w:lang w:eastAsia="fr-FR"/>
        </w:rPr>
      </w:pPr>
      <w:r>
        <w:rPr>
          <w:lang w:eastAsia="fr-FR"/>
        </w:rPr>
        <w:t>L</w:t>
      </w:r>
      <w:r w:rsidR="00312474">
        <w:rPr>
          <w:lang w:eastAsia="fr-FR"/>
        </w:rPr>
        <w:t>a juxtaposition possible des deux régimes n’est pas sans soulever des problèmes. Les parties d’un service public pourraient devoir maintenir des services essentiels et des SBEP.</w:t>
      </w:r>
    </w:p>
    <w:p w14:paraId="5918D6A2" w14:textId="12740E1C" w:rsidR="00312474" w:rsidRDefault="00312474" w:rsidP="00F14B5B">
      <w:pPr>
        <w:pStyle w:val="corpsdedcision"/>
        <w:spacing w:after="240"/>
        <w:rPr>
          <w:lang w:eastAsia="fr-FR"/>
        </w:rPr>
      </w:pPr>
      <w:r>
        <w:rPr>
          <w:lang w:eastAsia="fr-FR"/>
        </w:rPr>
        <w:t>Quoi</w:t>
      </w:r>
      <w:r w:rsidR="00036D48">
        <w:rPr>
          <w:lang w:eastAsia="fr-FR"/>
        </w:rPr>
        <w:t xml:space="preserve"> </w:t>
      </w:r>
      <w:r>
        <w:rPr>
          <w:lang w:eastAsia="fr-FR"/>
        </w:rPr>
        <w:t xml:space="preserve">qu’il en soit, qu’un service public soit en cause ou non, les SBEP peuvent être non essentiels. Or, dans l’arrêt </w:t>
      </w:r>
      <w:r w:rsidRPr="00DE0516">
        <w:rPr>
          <w:i/>
          <w:iCs/>
          <w:lang w:eastAsia="fr-FR"/>
        </w:rPr>
        <w:t>Saskatchewan</w:t>
      </w:r>
      <w:r w:rsidR="00F4744D" w:rsidRPr="00911D00">
        <w:rPr>
          <w:rStyle w:val="Appelnotedebasdep"/>
          <w:lang w:eastAsia="fr-FR"/>
        </w:rPr>
        <w:footnoteReference w:id="178"/>
      </w:r>
      <w:r>
        <w:rPr>
          <w:lang w:eastAsia="fr-FR"/>
        </w:rPr>
        <w:t xml:space="preserve">, la Cour suprême a rappelé l’importance de définir strictement les services essentiels en citant avec approbation les propos du juge en chef Dickson, dans le </w:t>
      </w:r>
      <w:r w:rsidRPr="00B11A06">
        <w:rPr>
          <w:i/>
          <w:iCs/>
          <w:lang w:eastAsia="fr-FR"/>
        </w:rPr>
        <w:t xml:space="preserve">Renvoi </w:t>
      </w:r>
      <w:r w:rsidR="00BE37A3">
        <w:rPr>
          <w:i/>
          <w:iCs/>
          <w:lang w:eastAsia="fr-FR"/>
        </w:rPr>
        <w:t>relatif à</w:t>
      </w:r>
      <w:r w:rsidRPr="00B11A06">
        <w:rPr>
          <w:i/>
          <w:iCs/>
          <w:lang w:eastAsia="fr-FR"/>
        </w:rPr>
        <w:t xml:space="preserve"> l’Alberta</w:t>
      </w:r>
      <w:r>
        <w:rPr>
          <w:lang w:eastAsia="fr-FR"/>
        </w:rPr>
        <w:t> :</w:t>
      </w:r>
    </w:p>
    <w:p w14:paraId="1007EB41" w14:textId="03D82F3F" w:rsidR="00312474" w:rsidRDefault="00312474" w:rsidP="007D621E">
      <w:pPr>
        <w:pStyle w:val="citation"/>
        <w:spacing w:after="240"/>
        <w:rPr>
          <w:lang w:eastAsia="fr-FR"/>
        </w:rPr>
      </w:pPr>
      <w:r>
        <w:rPr>
          <w:lang w:eastAsia="fr-FR"/>
        </w:rPr>
        <w:t>[84]</w:t>
      </w:r>
      <w:r>
        <w:rPr>
          <w:lang w:eastAsia="fr-FR"/>
        </w:rPr>
        <w:tab/>
        <w:t>Il importe cependant de se rappeler la mise en garde du juge en chef</w:t>
      </w:r>
      <w:r w:rsidR="002A06DC">
        <w:rPr>
          <w:lang w:eastAsia="fr-FR"/>
        </w:rPr>
        <w:t xml:space="preserve"> </w:t>
      </w:r>
      <w:r>
        <w:rPr>
          <w:lang w:eastAsia="fr-FR"/>
        </w:rPr>
        <w:t>Dickson</w:t>
      </w:r>
      <w:r w:rsidR="002A06DC">
        <w:rPr>
          <w:lang w:eastAsia="fr-FR"/>
        </w:rPr>
        <w:t xml:space="preserve"> </w:t>
      </w:r>
      <w:r>
        <w:rPr>
          <w:lang w:eastAsia="fr-FR"/>
        </w:rPr>
        <w:t xml:space="preserve">dans le </w:t>
      </w:r>
      <w:r w:rsidRPr="00C23B5F">
        <w:rPr>
          <w:i/>
          <w:iCs/>
          <w:lang w:eastAsia="fr-FR"/>
        </w:rPr>
        <w:t>Renvoi relatif à l’Alberta</w:t>
      </w:r>
      <w:r>
        <w:rPr>
          <w:lang w:eastAsia="fr-FR"/>
        </w:rPr>
        <w:t>, à savoir qu’il faut bien définir les «services essentiels»</w:t>
      </w:r>
      <w:r w:rsidR="00781392">
        <w:rPr>
          <w:lang w:eastAsia="fr-FR"/>
        </w:rPr>
        <w:t> </w:t>
      </w:r>
      <w:r>
        <w:rPr>
          <w:lang w:eastAsia="fr-FR"/>
        </w:rPr>
        <w:t>:</w:t>
      </w:r>
    </w:p>
    <w:p w14:paraId="0D8DF32F" w14:textId="1EEAC7AA" w:rsidR="00312474" w:rsidRDefault="00312474" w:rsidP="000B1929">
      <w:pPr>
        <w:pStyle w:val="Citationendoubleretrait"/>
        <w:spacing w:after="120"/>
      </w:pPr>
      <w:r w:rsidRPr="002E4185">
        <w:rPr>
          <w:u w:val="single"/>
        </w:rPr>
        <w:t xml:space="preserve">Il est [. . .] nécessaire de définir les « services essentiels » d’une manière qui soit conforme aux </w:t>
      </w:r>
      <w:r w:rsidRPr="005C190C">
        <w:rPr>
          <w:u w:val="single"/>
        </w:rPr>
        <w:t>normes justificatrices énoncées à l’article premier.</w:t>
      </w:r>
      <w:r w:rsidRPr="005C190C">
        <w:t xml:space="preserve"> </w:t>
      </w:r>
      <w:r w:rsidRPr="005C190C">
        <w:rPr>
          <w:u w:val="single"/>
        </w:rPr>
        <w:t>La logique de l’article premier, dans les présentes circonstances, exige qu’un service essentiel soit un service dont l’interruption menacerait de causer un préjudice grave au public en général ou à une</w:t>
      </w:r>
      <w:r w:rsidRPr="002E4185">
        <w:rPr>
          <w:u w:val="single"/>
        </w:rPr>
        <w:t xml:space="preserve"> partie de la population. Dans le contexte d’un argument relatif à un préjudice non économique</w:t>
      </w:r>
      <w:r w:rsidRPr="002E4185">
        <w:t>, je conclus que les décisions du Comité de la liberté syndicale du B.I.T. [Bureau international du Travail] sont utiles et convaincantes. Ces décisions ont toujours défini un service essentiel comme un service « dont l’interruption pourrait mettre en péril la vie, la sécurité ou la santé de la personne dans une partie ou dans la totalité de la population » (</w:t>
      </w:r>
      <w:r w:rsidRPr="002E4185">
        <w:rPr>
          <w:i/>
          <w:iCs/>
        </w:rPr>
        <w:t>La liberté syndicale : Recueil de décisions et de principes</w:t>
      </w:r>
      <w:r w:rsidRPr="00C23B5F">
        <w:rPr>
          <w:i/>
          <w:iCs/>
        </w:rPr>
        <w:t xml:space="preserve"> du Comité de la liberté syndicale du Conseil d’administration du B.I.T</w:t>
      </w:r>
      <w:r>
        <w:t xml:space="preserve">., précité). À mon avis, et sans tenter d’en donner une liste exhaustive, les personnes essentielles au maintien et à l’application de la primauté du droit et à la sécurité nationale seraient aussi incluses dans le champ des services essentiels. </w:t>
      </w:r>
      <w:r w:rsidRPr="00C23B5F">
        <w:rPr>
          <w:i/>
          <w:iCs/>
        </w:rPr>
        <w:t xml:space="preserve">Le simple inconvénient subi par des membres du public ne constitue pas un motif du ressort de services essentiels justifiant l’abrogation du droit de grève. </w:t>
      </w:r>
      <w:r>
        <w:t>[Italiques ajoutés; p. 374-375.]</w:t>
      </w:r>
    </w:p>
    <w:p w14:paraId="1BA7D78E" w14:textId="428294D8" w:rsidR="00312474" w:rsidRPr="00F14B5B" w:rsidRDefault="00312474" w:rsidP="00A97F44">
      <w:pPr>
        <w:pStyle w:val="Citationendoubleretrait"/>
        <w:spacing w:before="160" w:after="360"/>
        <w:rPr>
          <w:sz w:val="24"/>
          <w:szCs w:val="24"/>
        </w:rPr>
      </w:pPr>
      <w:r w:rsidRPr="00B11A06">
        <w:rPr>
          <w:sz w:val="24"/>
          <w:szCs w:val="24"/>
        </w:rPr>
        <w:t>[Notre soulignement]</w:t>
      </w:r>
    </w:p>
    <w:p w14:paraId="11052234" w14:textId="17C32CAD" w:rsidR="00312474" w:rsidRDefault="00312474" w:rsidP="00DC7753">
      <w:pPr>
        <w:pStyle w:val="corpsdedcision"/>
        <w:spacing w:after="240"/>
        <w:rPr>
          <w:lang w:eastAsia="fr-FR"/>
        </w:rPr>
      </w:pPr>
      <w:r>
        <w:rPr>
          <w:lang w:eastAsia="fr-FR"/>
        </w:rPr>
        <w:t xml:space="preserve">La Cour suprême a jugé que le fait que la PSESA obligeait les salariés désignés à maintenir des services tant essentiels que non essentiels les empêchaient de participer à un processus </w:t>
      </w:r>
      <w:r w:rsidR="00036D48">
        <w:rPr>
          <w:lang w:eastAsia="fr-FR"/>
        </w:rPr>
        <w:t xml:space="preserve">véritable </w:t>
      </w:r>
      <w:r>
        <w:rPr>
          <w:lang w:eastAsia="fr-FR"/>
        </w:rPr>
        <w:t>de négociation collective :</w:t>
      </w:r>
    </w:p>
    <w:p w14:paraId="029BB1BA" w14:textId="73329AFD" w:rsidR="00312474" w:rsidRDefault="00312474" w:rsidP="000B1929">
      <w:pPr>
        <w:pStyle w:val="citation"/>
        <w:spacing w:after="120"/>
        <w:rPr>
          <w:lang w:eastAsia="fr-FR"/>
        </w:rPr>
      </w:pPr>
      <w:r w:rsidRPr="002E4185">
        <w:rPr>
          <w:lang w:eastAsia="fr-FR"/>
        </w:rPr>
        <w:t>[91]</w:t>
      </w:r>
      <w:r w:rsidRPr="002E4185">
        <w:rPr>
          <w:lang w:eastAsia="fr-FR"/>
        </w:rPr>
        <w:tab/>
        <w:t xml:space="preserve">Même lorsqu’il est interdit à un salarié de prendre part à une grève, </w:t>
      </w:r>
      <w:r w:rsidRPr="002E4185">
        <w:rPr>
          <w:u w:val="single"/>
          <w:lang w:eastAsia="fr-FR"/>
        </w:rPr>
        <w:t xml:space="preserve">les dispositions de la </w:t>
      </w:r>
      <w:r w:rsidRPr="002E4185">
        <w:rPr>
          <w:i/>
          <w:iCs/>
          <w:u w:val="single"/>
          <w:lang w:eastAsia="fr-FR"/>
        </w:rPr>
        <w:t>PSESA</w:t>
      </w:r>
      <w:r w:rsidRPr="002E4185">
        <w:rPr>
          <w:u w:val="single"/>
          <w:lang w:eastAsia="fr-FR"/>
        </w:rPr>
        <w:t xml:space="preserve"> ne limitent pas ses fonctions à la seule prestation des services essentiels</w:t>
      </w:r>
      <w:r w:rsidRPr="002E4185">
        <w:rPr>
          <w:lang w:eastAsia="fr-FR"/>
        </w:rPr>
        <w:t>. L’alinéa 18(1)(a) dispose que, en cas d’arrêt de travail, tous les salariés qui assurent des services essentiels continuent d’accomplir [</w:t>
      </w:r>
      <w:r w:rsidRPr="002E4185">
        <w:rPr>
          <w:smallCaps/>
          <w:lang w:eastAsia="fr-FR"/>
        </w:rPr>
        <w:t>TRADUCTION</w:t>
      </w:r>
      <w:r w:rsidRPr="002E4185">
        <w:rPr>
          <w:lang w:eastAsia="fr-FR"/>
        </w:rPr>
        <w:t xml:space="preserve">] « [leurs] fonctions conformément aux conditions établies dans la convention collective la plus récente » et qu’ils ne peuvent s’en abstenir « sans une excuse légitime » (par.18(2)). </w:t>
      </w:r>
      <w:r w:rsidRPr="002E4185">
        <w:rPr>
          <w:u w:val="single"/>
          <w:lang w:eastAsia="fr-FR"/>
        </w:rPr>
        <w:t xml:space="preserve">Exiger de ces salariés la prestation de services </w:t>
      </w:r>
      <w:r w:rsidRPr="002E4185">
        <w:rPr>
          <w:i/>
          <w:iCs/>
          <w:u w:val="single"/>
          <w:lang w:eastAsia="fr-FR"/>
        </w:rPr>
        <w:t>tant</w:t>
      </w:r>
      <w:r w:rsidRPr="002E4185">
        <w:rPr>
          <w:u w:val="single"/>
          <w:lang w:eastAsia="fr-FR"/>
        </w:rPr>
        <w:t xml:space="preserve"> essentiels </w:t>
      </w:r>
      <w:r w:rsidRPr="002E4185">
        <w:rPr>
          <w:i/>
          <w:iCs/>
          <w:u w:val="single"/>
          <w:lang w:eastAsia="fr-FR"/>
        </w:rPr>
        <w:t>que</w:t>
      </w:r>
      <w:r w:rsidRPr="002E4185">
        <w:rPr>
          <w:u w:val="single"/>
          <w:lang w:eastAsia="fr-FR"/>
        </w:rPr>
        <w:t xml:space="preserve"> non essentiels durant</w:t>
      </w:r>
      <w:r w:rsidRPr="004C4D98">
        <w:rPr>
          <w:u w:val="single"/>
          <w:lang w:eastAsia="fr-FR"/>
        </w:rPr>
        <w:t xml:space="preserve"> une grève les empêche de participer véritablement à la poursuite d’objectifs liés au travail et de contribuer à définir les modalités de ce processus.</w:t>
      </w:r>
    </w:p>
    <w:p w14:paraId="0D240B8B" w14:textId="72502B33" w:rsidR="00312474" w:rsidRPr="00DC7753" w:rsidRDefault="00312474" w:rsidP="00A97F44">
      <w:pPr>
        <w:pStyle w:val="citation"/>
        <w:spacing w:before="160" w:after="360"/>
        <w:rPr>
          <w:sz w:val="24"/>
          <w:szCs w:val="24"/>
          <w:lang w:eastAsia="fr-FR"/>
        </w:rPr>
      </w:pPr>
      <w:r w:rsidRPr="00DE0516">
        <w:rPr>
          <w:sz w:val="24"/>
          <w:szCs w:val="24"/>
          <w:lang w:eastAsia="fr-FR"/>
        </w:rPr>
        <w:t>[Notre soulignement]</w:t>
      </w:r>
    </w:p>
    <w:p w14:paraId="3ADB8FAA" w14:textId="77777777" w:rsidR="00312474" w:rsidRDefault="00312474" w:rsidP="00A97F44">
      <w:pPr>
        <w:pStyle w:val="corpsdedcision"/>
        <w:spacing w:after="280"/>
        <w:rPr>
          <w:lang w:eastAsia="fr-FR"/>
        </w:rPr>
      </w:pPr>
      <w:r>
        <w:rPr>
          <w:lang w:eastAsia="fr-FR"/>
        </w:rPr>
        <w:t>Certes, la Cour en vient à la conclusion que la PSESA ne respecte pas le critère de l’atteinte minimale en tenant compte d’autres éléments, comme le fait que l’employeur peut désigner unilatéralement les personnes devant assurer les services essentiels à l’exclusion de tout contrôle indépendant et l’absence d’un mécanisme adéquat, indépendant et efficace permettant de mettre fin à l’impasse dans la négociation collective</w:t>
      </w:r>
      <w:r>
        <w:rPr>
          <w:rStyle w:val="Appelnotedebasdep"/>
          <w:lang w:eastAsia="fr-FR"/>
        </w:rPr>
        <w:footnoteReference w:id="179"/>
      </w:r>
      <w:r>
        <w:rPr>
          <w:lang w:eastAsia="fr-FR"/>
        </w:rPr>
        <w:t>. La nécessité de définir strictement les services essentiels demeure néanmoins un élément déterminant de son raisonnement.</w:t>
      </w:r>
    </w:p>
    <w:p w14:paraId="14234121" w14:textId="3BA099B1" w:rsidR="00312474" w:rsidRDefault="008064D8" w:rsidP="00A97F44">
      <w:pPr>
        <w:pStyle w:val="corpsdedcision"/>
        <w:tabs>
          <w:tab w:val="clear" w:pos="360"/>
          <w:tab w:val="num" w:pos="720"/>
        </w:tabs>
        <w:spacing w:after="0"/>
        <w:rPr>
          <w:rFonts w:eastAsiaTheme="minorHAnsi"/>
          <w:lang w:eastAsia="en-US"/>
        </w:rPr>
      </w:pPr>
      <w:r>
        <w:rPr>
          <w:lang w:eastAsia="fr-FR"/>
        </w:rPr>
        <w:t>La Co</w:t>
      </w:r>
      <w:r w:rsidR="00EF154A">
        <w:rPr>
          <w:lang w:eastAsia="fr-FR"/>
        </w:rPr>
        <w:t>u</w:t>
      </w:r>
      <w:r>
        <w:rPr>
          <w:lang w:eastAsia="fr-FR"/>
        </w:rPr>
        <w:t xml:space="preserve">r suprême </w:t>
      </w:r>
      <w:r w:rsidR="00EF154A">
        <w:rPr>
          <w:lang w:eastAsia="fr-FR"/>
        </w:rPr>
        <w:t>s’appuie également fortement sur</w:t>
      </w:r>
      <w:r>
        <w:rPr>
          <w:lang w:eastAsia="fr-FR"/>
        </w:rPr>
        <w:t xml:space="preserve"> </w:t>
      </w:r>
      <w:r w:rsidR="007D2529">
        <w:rPr>
          <w:lang w:eastAsia="fr-FR"/>
        </w:rPr>
        <w:t xml:space="preserve">le </w:t>
      </w:r>
      <w:r>
        <w:rPr>
          <w:lang w:eastAsia="fr-FR"/>
        </w:rPr>
        <w:t>droit international</w:t>
      </w:r>
      <w:r w:rsidR="00EF154A">
        <w:rPr>
          <w:lang w:eastAsia="fr-FR"/>
        </w:rPr>
        <w:t>,</w:t>
      </w:r>
      <w:r>
        <w:rPr>
          <w:lang w:eastAsia="fr-FR"/>
        </w:rPr>
        <w:t xml:space="preserve"> </w:t>
      </w:r>
      <w:r w:rsidR="00EF154A">
        <w:rPr>
          <w:lang w:eastAsia="fr-FR"/>
        </w:rPr>
        <w:t xml:space="preserve">puisque la Charte canadienne doit s’interpréter en présumant qu’elle accorde une protection au moins aussi grande que les instruments internationaux ratifiés par le Canada en matière de droits de la personne. Or, </w:t>
      </w:r>
      <w:r w:rsidR="007D2529">
        <w:rPr>
          <w:lang w:eastAsia="fr-FR"/>
        </w:rPr>
        <w:t>l</w:t>
      </w:r>
      <w:r w:rsidR="00EF154A">
        <w:rPr>
          <w:lang w:eastAsia="fr-FR"/>
        </w:rPr>
        <w:t>e</w:t>
      </w:r>
      <w:r w:rsidR="00312474">
        <w:rPr>
          <w:lang w:eastAsia="fr-FR"/>
        </w:rPr>
        <w:t xml:space="preserve"> régime des SBEP est susceptible de s’appliquer dans des situations </w:t>
      </w:r>
      <w:r w:rsidR="00312474" w:rsidRPr="004C3F5B">
        <w:rPr>
          <w:rFonts w:eastAsiaTheme="minorHAnsi"/>
          <w:lang w:eastAsia="en-US"/>
        </w:rPr>
        <w:t xml:space="preserve">où le droit de grève </w:t>
      </w:r>
      <w:r w:rsidR="00312474">
        <w:rPr>
          <w:rFonts w:eastAsiaTheme="minorHAnsi"/>
          <w:lang w:eastAsia="en-US"/>
        </w:rPr>
        <w:t xml:space="preserve">ne </w:t>
      </w:r>
      <w:r w:rsidR="00312474" w:rsidRPr="004C3F5B">
        <w:rPr>
          <w:rFonts w:eastAsiaTheme="minorHAnsi"/>
          <w:lang w:eastAsia="en-US"/>
        </w:rPr>
        <w:t>peut être supprimé ou limité en droit international. Le</w:t>
      </w:r>
      <w:r w:rsidR="00F90A34">
        <w:rPr>
          <w:rFonts w:eastAsiaTheme="minorHAnsi"/>
          <w:lang w:eastAsia="en-US"/>
        </w:rPr>
        <w:t> </w:t>
      </w:r>
      <w:r w:rsidR="00312474" w:rsidRPr="004C3F5B">
        <w:rPr>
          <w:rFonts w:eastAsiaTheme="minorHAnsi"/>
          <w:lang w:eastAsia="en-US"/>
        </w:rPr>
        <w:t>ministre du Travail a d’ailleurs reconnu en commission parlementaire, lors de l’étude détaillée du projet de loi n°89, s’être inspiré du concept des services minimaux, tout en convenant qu’il n’avait pas utilisé les mêmes critères que ceux développés par le Comité de la liberté syndicale</w:t>
      </w:r>
      <w:r w:rsidR="00312474" w:rsidRPr="00C2112D">
        <w:rPr>
          <w:rFonts w:eastAsiaTheme="minorHAnsi"/>
          <w:vertAlign w:val="superscript"/>
          <w:lang w:eastAsia="en-US"/>
        </w:rPr>
        <w:footnoteReference w:id="180"/>
      </w:r>
      <w:r w:rsidR="00312474" w:rsidRPr="004C3F5B">
        <w:rPr>
          <w:rFonts w:eastAsiaTheme="minorHAnsi"/>
          <w:lang w:eastAsia="en-US"/>
        </w:rPr>
        <w:t>.</w:t>
      </w:r>
    </w:p>
    <w:p w14:paraId="278656B2" w14:textId="0F1724BF" w:rsidR="00312474" w:rsidRPr="00986C01" w:rsidRDefault="00312474" w:rsidP="000B1929">
      <w:pPr>
        <w:pStyle w:val="corpsdedcision"/>
        <w:tabs>
          <w:tab w:val="clear" w:pos="360"/>
          <w:tab w:val="num" w:pos="720"/>
        </w:tabs>
        <w:spacing w:before="360" w:after="240"/>
        <w:rPr>
          <w:rFonts w:eastAsiaTheme="minorHAnsi"/>
          <w:lang w:eastAsia="en-US"/>
        </w:rPr>
      </w:pPr>
      <w:r w:rsidRPr="00986C01">
        <w:rPr>
          <w:rFonts w:eastAsiaTheme="minorHAnsi"/>
          <w:lang w:eastAsia="en-US"/>
        </w:rPr>
        <w:t xml:space="preserve">Selon </w:t>
      </w:r>
      <w:r>
        <w:rPr>
          <w:rFonts w:eastAsiaTheme="minorHAnsi"/>
          <w:lang w:eastAsia="en-US"/>
        </w:rPr>
        <w:t>ce</w:t>
      </w:r>
      <w:r w:rsidR="00C4571F">
        <w:rPr>
          <w:rFonts w:eastAsiaTheme="minorHAnsi"/>
          <w:lang w:eastAsia="en-US"/>
        </w:rPr>
        <w:t xml:space="preserve"> dernier</w:t>
      </w:r>
      <w:r w:rsidRPr="00986C01">
        <w:rPr>
          <w:rFonts w:eastAsiaTheme="minorHAnsi"/>
          <w:lang w:eastAsia="en-US"/>
        </w:rPr>
        <w:t xml:space="preserve">, </w:t>
      </w:r>
      <w:r>
        <w:rPr>
          <w:rFonts w:eastAsiaTheme="minorHAnsi"/>
          <w:lang w:eastAsia="en-US"/>
        </w:rPr>
        <w:t xml:space="preserve">que </w:t>
      </w:r>
      <w:r w:rsidRPr="00986C01">
        <w:rPr>
          <w:rFonts w:eastAsiaTheme="minorHAnsi"/>
          <w:lang w:eastAsia="en-US"/>
        </w:rPr>
        <w:t>la Cour suprême</w:t>
      </w:r>
      <w:r w:rsidRPr="004C3F5B">
        <w:rPr>
          <w:rFonts w:eastAsiaTheme="minorHAnsi"/>
          <w:lang w:eastAsia="en-US"/>
        </w:rPr>
        <w:t xml:space="preserve"> </w:t>
      </w:r>
      <w:r w:rsidRPr="00986C01">
        <w:rPr>
          <w:rFonts w:eastAsiaTheme="minorHAnsi"/>
          <w:lang w:eastAsia="en-US"/>
        </w:rPr>
        <w:t>cit</w:t>
      </w:r>
      <w:r>
        <w:rPr>
          <w:rFonts w:eastAsiaTheme="minorHAnsi"/>
          <w:lang w:eastAsia="en-US"/>
        </w:rPr>
        <w:t>e</w:t>
      </w:r>
      <w:r w:rsidRPr="00986C01">
        <w:rPr>
          <w:rFonts w:eastAsiaTheme="minorHAnsi"/>
          <w:lang w:eastAsia="en-US"/>
        </w:rPr>
        <w:t xml:space="preserve"> avec approbation</w:t>
      </w:r>
      <w:r w:rsidRPr="00C2112D">
        <w:rPr>
          <w:rFonts w:eastAsiaTheme="minorHAnsi"/>
          <w:vertAlign w:val="superscript"/>
          <w:lang w:eastAsia="en-US"/>
        </w:rPr>
        <w:footnoteReference w:id="181"/>
      </w:r>
      <w:r w:rsidRPr="00986C01">
        <w:rPr>
          <w:rFonts w:eastAsiaTheme="minorHAnsi"/>
          <w:lang w:eastAsia="en-US"/>
        </w:rPr>
        <w:t>, la grève peut faire l’objet de restrictions ou d’interdictions dans les cas suivants :</w:t>
      </w:r>
    </w:p>
    <w:p w14:paraId="67B8BDFB" w14:textId="77777777" w:rsidR="00312474" w:rsidRPr="00C2112D" w:rsidRDefault="00312474" w:rsidP="008A1388">
      <w:pPr>
        <w:numPr>
          <w:ilvl w:val="0"/>
          <w:numId w:val="10"/>
        </w:numPr>
        <w:spacing w:after="160" w:line="278" w:lineRule="auto"/>
        <w:ind w:left="1077" w:hanging="357"/>
        <w:rPr>
          <w:rFonts w:eastAsiaTheme="minorHAnsi" w:cs="Arial"/>
          <w:kern w:val="2"/>
          <w:szCs w:val="24"/>
          <w:lang w:eastAsia="en-US"/>
          <w14:ligatures w14:val="standardContextual"/>
        </w:rPr>
      </w:pPr>
      <w:r w:rsidRPr="00C2112D">
        <w:rPr>
          <w:rFonts w:eastAsiaTheme="minorHAnsi" w:cs="Arial"/>
          <w:kern w:val="2"/>
          <w:szCs w:val="24"/>
          <w:lang w:eastAsia="en-US"/>
          <w14:ligatures w14:val="standardContextual"/>
        </w:rPr>
        <w:t xml:space="preserve">Une crise nationale </w:t>
      </w:r>
      <w:r>
        <w:rPr>
          <w:rFonts w:eastAsiaTheme="minorHAnsi" w:cs="Arial"/>
          <w:kern w:val="2"/>
          <w:szCs w:val="24"/>
          <w:lang w:eastAsia="en-US"/>
          <w14:ligatures w14:val="standardContextual"/>
        </w:rPr>
        <w:t>aigüe</w:t>
      </w:r>
      <w:r w:rsidRPr="00C2112D">
        <w:rPr>
          <w:rFonts w:eastAsiaTheme="minorHAnsi" w:cs="Arial"/>
          <w:kern w:val="2"/>
          <w:szCs w:val="24"/>
          <w:lang w:eastAsia="en-US"/>
          <w14:ligatures w14:val="standardContextual"/>
        </w:rPr>
        <w:t>;</w:t>
      </w:r>
    </w:p>
    <w:p w14:paraId="355D45CA" w14:textId="77777777" w:rsidR="00312474" w:rsidRPr="00C2112D" w:rsidRDefault="00312474" w:rsidP="008A1388">
      <w:pPr>
        <w:numPr>
          <w:ilvl w:val="0"/>
          <w:numId w:val="10"/>
        </w:numPr>
        <w:spacing w:after="160" w:line="278" w:lineRule="auto"/>
        <w:ind w:left="1077" w:hanging="357"/>
        <w:rPr>
          <w:rFonts w:eastAsiaTheme="minorHAnsi" w:cs="Arial"/>
          <w:kern w:val="2"/>
          <w:szCs w:val="24"/>
          <w:lang w:eastAsia="en-US"/>
          <w14:ligatures w14:val="standardContextual"/>
        </w:rPr>
      </w:pPr>
      <w:r w:rsidRPr="00C2112D">
        <w:rPr>
          <w:rFonts w:eastAsiaTheme="minorHAnsi" w:cs="Arial"/>
          <w:kern w:val="2"/>
          <w:szCs w:val="24"/>
          <w:lang w:eastAsia="en-US"/>
          <w14:ligatures w14:val="standardContextual"/>
        </w:rPr>
        <w:t>Les fonctionnaires qui exercent des fonctions d’autorité;</w:t>
      </w:r>
    </w:p>
    <w:p w14:paraId="564B16AC" w14:textId="77777777" w:rsidR="00312474" w:rsidRPr="00FB6EEF" w:rsidRDefault="00312474" w:rsidP="00036D48">
      <w:pPr>
        <w:numPr>
          <w:ilvl w:val="0"/>
          <w:numId w:val="10"/>
        </w:numPr>
        <w:spacing w:after="360"/>
        <w:ind w:left="1077" w:hanging="357"/>
        <w:jc w:val="both"/>
        <w:rPr>
          <w:rFonts w:eastAsiaTheme="minorHAnsi" w:cs="Arial"/>
          <w:kern w:val="2"/>
          <w:szCs w:val="24"/>
          <w:lang w:eastAsia="en-US"/>
          <w14:ligatures w14:val="standardContextual"/>
        </w:rPr>
      </w:pPr>
      <w:r w:rsidRPr="00C2112D">
        <w:rPr>
          <w:rFonts w:eastAsiaTheme="minorHAnsi" w:cs="Arial"/>
          <w:kern w:val="2"/>
          <w:szCs w:val="24"/>
          <w:lang w:eastAsia="en-US"/>
          <w14:ligatures w14:val="standardContextual"/>
        </w:rPr>
        <w:t>Les services essentiels au sens strict, soient ceux dont l’interruption constitue une menace évidente et imminente pour la vie, la sécurité ou la santé de la personne dans une partie ou dans l’ensemble de la population.</w:t>
      </w:r>
    </w:p>
    <w:p w14:paraId="19B1987B" w14:textId="77777777" w:rsidR="00312474" w:rsidRPr="00344A78" w:rsidRDefault="00312474" w:rsidP="007D621E">
      <w:pPr>
        <w:pStyle w:val="corpsdedcision"/>
        <w:keepNext/>
        <w:keepLines/>
        <w:tabs>
          <w:tab w:val="clear" w:pos="360"/>
          <w:tab w:val="num" w:pos="720"/>
        </w:tabs>
        <w:rPr>
          <w:rFonts w:eastAsiaTheme="minorHAnsi"/>
          <w:lang w:eastAsia="en-US"/>
        </w:rPr>
      </w:pPr>
      <w:r w:rsidRPr="00C2112D">
        <w:rPr>
          <w:rFonts w:eastAsiaTheme="minorHAnsi"/>
          <w:lang w:eastAsia="en-US"/>
        </w:rPr>
        <w:t xml:space="preserve">Le régime des SBEP </w:t>
      </w:r>
      <w:r>
        <w:rPr>
          <w:rFonts w:eastAsiaTheme="minorHAnsi"/>
          <w:lang w:eastAsia="en-US"/>
        </w:rPr>
        <w:t>est</w:t>
      </w:r>
      <w:r w:rsidRPr="00C2112D">
        <w:rPr>
          <w:rFonts w:eastAsiaTheme="minorHAnsi"/>
          <w:lang w:eastAsia="en-US"/>
        </w:rPr>
        <w:t xml:space="preserve"> manifestement </w:t>
      </w:r>
      <w:r>
        <w:rPr>
          <w:rFonts w:eastAsiaTheme="minorHAnsi"/>
          <w:lang w:eastAsia="en-US"/>
        </w:rPr>
        <w:t>étranger à</w:t>
      </w:r>
      <w:r w:rsidRPr="00C2112D">
        <w:rPr>
          <w:rFonts w:eastAsiaTheme="minorHAnsi"/>
          <w:lang w:eastAsia="en-US"/>
        </w:rPr>
        <w:t xml:space="preserve"> ces situations</w:t>
      </w:r>
      <w:r>
        <w:rPr>
          <w:rFonts w:eastAsiaTheme="minorHAnsi"/>
          <w:lang w:eastAsia="en-US"/>
        </w:rPr>
        <w:t xml:space="preserve">. Les deux dernières sont </w:t>
      </w:r>
      <w:r w:rsidRPr="00C2112D">
        <w:rPr>
          <w:rFonts w:eastAsiaTheme="minorHAnsi"/>
          <w:lang w:eastAsia="en-US"/>
        </w:rPr>
        <w:t>déjà couvertes par le régime des services essentiels ou par des interdictions de faire la grève</w:t>
      </w:r>
      <w:r>
        <w:rPr>
          <w:rFonts w:eastAsiaTheme="minorHAnsi"/>
          <w:lang w:eastAsia="en-US"/>
        </w:rPr>
        <w:t>,</w:t>
      </w:r>
      <w:r w:rsidRPr="00C2112D">
        <w:rPr>
          <w:rFonts w:eastAsiaTheme="minorHAnsi"/>
          <w:lang w:eastAsia="en-US"/>
        </w:rPr>
        <w:t xml:space="preserve"> applicables à certains corps d’emploi, tels les pompiers et les policiers. </w:t>
      </w:r>
      <w:r>
        <w:rPr>
          <w:rFonts w:eastAsiaTheme="minorHAnsi"/>
          <w:lang w:eastAsia="en-US"/>
        </w:rPr>
        <w:t>Quant à la crise nationale aigüe, la définition des SBEP ne se limite visiblement pas à ce genre d’état de fait. Le présent dossier en est la preuve.</w:t>
      </w:r>
    </w:p>
    <w:p w14:paraId="4D3371E9" w14:textId="448CBA90" w:rsidR="00312474" w:rsidRPr="00F05E67" w:rsidRDefault="00312474" w:rsidP="00312474">
      <w:pPr>
        <w:pStyle w:val="corpsdedcision"/>
        <w:tabs>
          <w:tab w:val="clear" w:pos="360"/>
          <w:tab w:val="num" w:pos="720"/>
        </w:tabs>
        <w:rPr>
          <w:rFonts w:eastAsiaTheme="minorHAnsi" w:cs="Arial"/>
          <w:kern w:val="2"/>
          <w:szCs w:val="24"/>
          <w:lang w:eastAsia="en-US"/>
          <w14:ligatures w14:val="standardContextual"/>
        </w:rPr>
      </w:pPr>
      <w:r>
        <w:rPr>
          <w:rFonts w:eastAsiaTheme="minorHAnsi"/>
          <w:lang w:eastAsia="en-US"/>
        </w:rPr>
        <w:t>L</w:t>
      </w:r>
      <w:r w:rsidRPr="00C2112D">
        <w:rPr>
          <w:rFonts w:eastAsiaTheme="minorHAnsi"/>
          <w:lang w:eastAsia="en-US"/>
        </w:rPr>
        <w:t xml:space="preserve">e </w:t>
      </w:r>
      <w:r>
        <w:rPr>
          <w:rFonts w:eastAsiaTheme="minorHAnsi"/>
          <w:lang w:eastAsia="en-US"/>
        </w:rPr>
        <w:t>Comité de la liberté syndicale</w:t>
      </w:r>
      <w:r w:rsidRPr="00C2112D">
        <w:rPr>
          <w:rFonts w:eastAsiaTheme="minorHAnsi"/>
          <w:lang w:eastAsia="en-US"/>
        </w:rPr>
        <w:t xml:space="preserve"> prévoit également la possibilité qu’un service minimum puisse être établi </w:t>
      </w:r>
      <w:r w:rsidRPr="00DD6246">
        <w:rPr>
          <w:rFonts w:eastAsiaTheme="minorHAnsi"/>
          <w:lang w:eastAsia="en-US"/>
        </w:rPr>
        <w:t xml:space="preserve">dans les </w:t>
      </w:r>
      <w:r>
        <w:rPr>
          <w:rFonts w:eastAsiaTheme="minorHAnsi"/>
          <w:lang w:eastAsia="en-US"/>
        </w:rPr>
        <w:t>« </w:t>
      </w:r>
      <w:r w:rsidRPr="008F2492">
        <w:rPr>
          <w:rStyle w:val="Citationintgre"/>
          <w:lang w:eastAsia="en-US"/>
        </w:rPr>
        <w:t>services publics d’importance primordiale</w:t>
      </w:r>
      <w:r>
        <w:rPr>
          <w:rFonts w:eastAsiaTheme="minorHAnsi"/>
          <w:lang w:eastAsia="en-US"/>
        </w:rPr>
        <w:t> »</w:t>
      </w:r>
      <w:r w:rsidRPr="00C2112D">
        <w:rPr>
          <w:rFonts w:eastAsiaTheme="minorHAnsi"/>
          <w:vertAlign w:val="superscript"/>
          <w:lang w:eastAsia="en-US"/>
        </w:rPr>
        <w:footnoteReference w:id="182"/>
      </w:r>
      <w:r>
        <w:rPr>
          <w:rFonts w:eastAsiaTheme="minorHAnsi"/>
          <w:lang w:eastAsia="en-US"/>
        </w:rPr>
        <w:t xml:space="preserve">, </w:t>
      </w:r>
      <w:r w:rsidRPr="00C2112D">
        <w:rPr>
          <w:rFonts w:eastAsiaTheme="minorHAnsi"/>
          <w:lang w:eastAsia="en-US"/>
        </w:rPr>
        <w:t>comme</w:t>
      </w:r>
      <w:r w:rsidR="00282E4F">
        <w:rPr>
          <w:rFonts w:eastAsiaTheme="minorHAnsi"/>
          <w:lang w:eastAsia="en-US"/>
        </w:rPr>
        <w:t> </w:t>
      </w:r>
      <w:r w:rsidRPr="00C2112D">
        <w:rPr>
          <w:rFonts w:eastAsiaTheme="minorHAnsi"/>
          <w:lang w:eastAsia="en-US"/>
        </w:rPr>
        <w:t>solution de rechange dans les situations où une limitation importante ou une interdiction totale de la grève n’</w:t>
      </w:r>
      <w:r>
        <w:rPr>
          <w:rFonts w:eastAsiaTheme="minorHAnsi"/>
          <w:lang w:eastAsia="en-US"/>
        </w:rPr>
        <w:t>apparait</w:t>
      </w:r>
      <w:r w:rsidRPr="00C2112D">
        <w:rPr>
          <w:rFonts w:eastAsiaTheme="minorHAnsi"/>
          <w:lang w:eastAsia="en-US"/>
        </w:rPr>
        <w:t xml:space="preserve"> pas justifiée</w:t>
      </w:r>
      <w:r>
        <w:rPr>
          <w:rFonts w:eastAsiaTheme="minorHAnsi"/>
          <w:lang w:eastAsia="en-US"/>
        </w:rPr>
        <w:t>, afin d’assurer les besoins de base des usagers ou la sécurité ou le fonctionnement des installations</w:t>
      </w:r>
      <w:r w:rsidRPr="00C2112D">
        <w:rPr>
          <w:rFonts w:eastAsiaTheme="minorHAnsi"/>
          <w:vertAlign w:val="superscript"/>
          <w:lang w:eastAsia="en-US"/>
        </w:rPr>
        <w:footnoteReference w:id="183"/>
      </w:r>
      <w:r>
        <w:rPr>
          <w:rFonts w:eastAsiaTheme="minorHAnsi"/>
          <w:lang w:eastAsia="en-US"/>
        </w:rPr>
        <w:t xml:space="preserve">. </w:t>
      </w:r>
      <w:r w:rsidRPr="00F05E67">
        <w:rPr>
          <w:rFonts w:eastAsiaTheme="minorHAnsi"/>
          <w:lang w:eastAsia="en-US"/>
        </w:rPr>
        <w:t xml:space="preserve">Dans </w:t>
      </w:r>
      <w:r w:rsidR="00B83FEE">
        <w:rPr>
          <w:rFonts w:eastAsiaTheme="minorHAnsi"/>
          <w:lang w:eastAsia="en-US"/>
        </w:rPr>
        <w:t>c</w:t>
      </w:r>
      <w:r w:rsidRPr="00F05E67">
        <w:rPr>
          <w:rFonts w:eastAsiaTheme="minorHAnsi"/>
          <w:lang w:eastAsia="en-US"/>
        </w:rPr>
        <w:t xml:space="preserve">es cas, les services </w:t>
      </w:r>
      <w:r>
        <w:rPr>
          <w:rFonts w:eastAsiaTheme="minorHAnsi"/>
          <w:lang w:eastAsia="en-US"/>
        </w:rPr>
        <w:t>minimums</w:t>
      </w:r>
      <w:r w:rsidRPr="00F05E67">
        <w:rPr>
          <w:rFonts w:eastAsiaTheme="minorHAnsi"/>
          <w:lang w:eastAsia="en-US"/>
        </w:rPr>
        <w:t xml:space="preserve"> </w:t>
      </w:r>
      <w:r>
        <w:rPr>
          <w:rFonts w:eastAsiaTheme="minorHAnsi"/>
          <w:lang w:eastAsia="en-US"/>
        </w:rPr>
        <w:t xml:space="preserve">ne doivent pas </w:t>
      </w:r>
      <w:r w:rsidR="00B11F82">
        <w:rPr>
          <w:rFonts w:eastAsiaTheme="minorHAnsi"/>
          <w:lang w:eastAsia="en-US"/>
        </w:rPr>
        <w:t xml:space="preserve">remettre en cause le droit de grève de la plus grande partie des travailleurs ni </w:t>
      </w:r>
      <w:r>
        <w:rPr>
          <w:rFonts w:eastAsiaTheme="minorHAnsi"/>
          <w:lang w:eastAsia="en-US"/>
        </w:rPr>
        <w:t>rendre la grève inefficace.</w:t>
      </w:r>
    </w:p>
    <w:p w14:paraId="49A5DF92" w14:textId="7BFE60A2" w:rsidR="00312474" w:rsidRPr="00F05E67" w:rsidRDefault="007D2529" w:rsidP="00312474">
      <w:pPr>
        <w:pStyle w:val="corpsdedcision"/>
        <w:tabs>
          <w:tab w:val="clear" w:pos="360"/>
          <w:tab w:val="num" w:pos="720"/>
        </w:tabs>
        <w:rPr>
          <w:rFonts w:eastAsiaTheme="minorHAnsi" w:cs="Arial"/>
          <w:kern w:val="2"/>
          <w:szCs w:val="24"/>
          <w:lang w:eastAsia="en-US"/>
          <w14:ligatures w14:val="standardContextual"/>
        </w:rPr>
      </w:pPr>
      <w:r>
        <w:rPr>
          <w:rFonts w:eastAsiaTheme="minorHAnsi"/>
          <w:lang w:eastAsia="en-US"/>
        </w:rPr>
        <w:t>L</w:t>
      </w:r>
      <w:r w:rsidR="00312474">
        <w:rPr>
          <w:rFonts w:eastAsiaTheme="minorHAnsi"/>
          <w:lang w:eastAsia="en-US"/>
        </w:rPr>
        <w:t xml:space="preserve">es faits du présent dossier ne donnent pas ouverture à cette notion de </w:t>
      </w:r>
      <w:r w:rsidR="00DA6D8C">
        <w:rPr>
          <w:rFonts w:eastAsiaTheme="minorHAnsi"/>
          <w:lang w:eastAsia="en-US"/>
        </w:rPr>
        <w:t>services publics d’importance primordiale</w:t>
      </w:r>
      <w:r w:rsidR="00312474">
        <w:rPr>
          <w:rFonts w:eastAsiaTheme="minorHAnsi"/>
          <w:lang w:eastAsia="en-US"/>
        </w:rPr>
        <w:t xml:space="preserve"> et le régime des SBEP a eu pour effet de rendre la grève</w:t>
      </w:r>
      <w:r w:rsidR="00282E4F">
        <w:rPr>
          <w:rFonts w:eastAsiaTheme="minorHAnsi"/>
          <w:lang w:eastAsia="en-US"/>
        </w:rPr>
        <w:t> </w:t>
      </w:r>
      <w:r w:rsidR="00312474">
        <w:rPr>
          <w:rFonts w:eastAsiaTheme="minorHAnsi"/>
          <w:lang w:eastAsia="en-US"/>
        </w:rPr>
        <w:t>inefficace.</w:t>
      </w:r>
    </w:p>
    <w:p w14:paraId="7B7EBB67" w14:textId="54357C5C" w:rsidR="00312474" w:rsidRPr="00C2112D" w:rsidRDefault="00312474" w:rsidP="00312474">
      <w:pPr>
        <w:pStyle w:val="corpsdedcision"/>
        <w:tabs>
          <w:tab w:val="clear" w:pos="360"/>
          <w:tab w:val="num" w:pos="720"/>
        </w:tabs>
        <w:rPr>
          <w:rFonts w:eastAsiaTheme="minorHAnsi"/>
          <w:lang w:eastAsia="en-US"/>
        </w:rPr>
      </w:pPr>
      <w:r>
        <w:rPr>
          <w:rFonts w:eastAsiaTheme="minorHAnsi"/>
          <w:lang w:eastAsia="en-US"/>
        </w:rPr>
        <w:t xml:space="preserve">Le PGQ souligne que le </w:t>
      </w:r>
      <w:r w:rsidRPr="00C2112D">
        <w:rPr>
          <w:rFonts w:eastAsiaTheme="minorHAnsi"/>
          <w:lang w:eastAsia="en-US"/>
        </w:rPr>
        <w:t>C</w:t>
      </w:r>
      <w:r>
        <w:rPr>
          <w:rFonts w:eastAsiaTheme="minorHAnsi"/>
          <w:lang w:eastAsia="en-US"/>
        </w:rPr>
        <w:t xml:space="preserve">omité de la liberté syndicale a jugé que, </w:t>
      </w:r>
      <w:r w:rsidRPr="00C2112D">
        <w:rPr>
          <w:rFonts w:eastAsiaTheme="minorHAnsi"/>
          <w:lang w:eastAsia="en-US"/>
        </w:rPr>
        <w:t>dans le secteur de l’éducation</w:t>
      </w:r>
      <w:r>
        <w:rPr>
          <w:rFonts w:eastAsiaTheme="minorHAnsi"/>
          <w:lang w:eastAsia="en-US"/>
        </w:rPr>
        <w:t>,</w:t>
      </w:r>
      <w:r w:rsidRPr="00C2112D">
        <w:rPr>
          <w:rFonts w:eastAsiaTheme="minorHAnsi"/>
          <w:lang w:eastAsia="en-US"/>
        </w:rPr>
        <w:t xml:space="preserve"> les circonstances</w:t>
      </w:r>
      <w:r>
        <w:rPr>
          <w:rFonts w:eastAsiaTheme="minorHAnsi"/>
          <w:lang w:eastAsia="en-US"/>
        </w:rPr>
        <w:t xml:space="preserve"> </w:t>
      </w:r>
      <w:r w:rsidRPr="00C2112D">
        <w:rPr>
          <w:rFonts w:eastAsiaTheme="minorHAnsi"/>
          <w:lang w:eastAsia="en-US"/>
        </w:rPr>
        <w:t>étaient réunies pour imposer un service minimum de fonctionnement</w:t>
      </w:r>
      <w:r>
        <w:rPr>
          <w:rFonts w:eastAsiaTheme="minorHAnsi"/>
          <w:lang w:eastAsia="en-US"/>
        </w:rPr>
        <w:t>,</w:t>
      </w:r>
      <w:r w:rsidRPr="00EB38F1">
        <w:rPr>
          <w:rFonts w:eastAsiaTheme="minorHAnsi"/>
          <w:lang w:eastAsia="en-US"/>
        </w:rPr>
        <w:t xml:space="preserve"> </w:t>
      </w:r>
      <w:r>
        <w:rPr>
          <w:rFonts w:eastAsiaTheme="minorHAnsi"/>
          <w:lang w:eastAsia="en-US"/>
        </w:rPr>
        <w:t>notamment en raison d’une</w:t>
      </w:r>
      <w:r w:rsidRPr="00606F29">
        <w:rPr>
          <w:rFonts w:eastAsiaTheme="minorHAnsi"/>
          <w:lang w:eastAsia="en-US"/>
        </w:rPr>
        <w:t xml:space="preserve"> grève prolongée</w:t>
      </w:r>
      <w:r w:rsidR="00DA6D8C">
        <w:rPr>
          <w:rStyle w:val="Appelnotedebasdep"/>
          <w:rFonts w:eastAsiaTheme="minorHAnsi"/>
          <w:lang w:eastAsia="en-US"/>
        </w:rPr>
        <w:footnoteReference w:id="184"/>
      </w:r>
      <w:r>
        <w:rPr>
          <w:rFonts w:eastAsiaTheme="minorHAnsi"/>
          <w:lang w:eastAsia="en-US"/>
        </w:rPr>
        <w:t>. Il en tire comme argument que</w:t>
      </w:r>
      <w:r w:rsidRPr="00C2112D">
        <w:rPr>
          <w:rFonts w:eastAsiaTheme="minorHAnsi"/>
          <w:lang w:eastAsia="en-US"/>
        </w:rPr>
        <w:t xml:space="preserve"> le droit international permet l’imposition des services minimum</w:t>
      </w:r>
      <w:r>
        <w:rPr>
          <w:rFonts w:eastAsiaTheme="minorHAnsi"/>
          <w:lang w:eastAsia="en-US"/>
        </w:rPr>
        <w:t>s,</w:t>
      </w:r>
      <w:r w:rsidRPr="00C2112D">
        <w:rPr>
          <w:rFonts w:eastAsiaTheme="minorHAnsi"/>
          <w:lang w:eastAsia="en-US"/>
        </w:rPr>
        <w:t xml:space="preserve"> comme le fait le régime de SBEP, </w:t>
      </w:r>
      <w:r>
        <w:rPr>
          <w:rFonts w:eastAsiaTheme="minorHAnsi"/>
          <w:lang w:eastAsia="en-US"/>
        </w:rPr>
        <w:t>en particulier</w:t>
      </w:r>
      <w:r w:rsidRPr="00C2112D">
        <w:rPr>
          <w:rFonts w:eastAsiaTheme="minorHAnsi"/>
          <w:lang w:eastAsia="en-US"/>
        </w:rPr>
        <w:t xml:space="preserve"> dans le cas d’une grève de longue durée comme celle </w:t>
      </w:r>
      <w:r>
        <w:rPr>
          <w:rFonts w:eastAsiaTheme="minorHAnsi"/>
          <w:lang w:eastAsia="en-US"/>
        </w:rPr>
        <w:t>qui a eu lieu dans le présent dossier</w:t>
      </w:r>
      <w:r w:rsidRPr="00C2112D">
        <w:rPr>
          <w:rFonts w:eastAsiaTheme="minorHAnsi"/>
          <w:lang w:eastAsia="en-US"/>
        </w:rPr>
        <w:t>.</w:t>
      </w:r>
    </w:p>
    <w:p w14:paraId="47E856AD" w14:textId="12F72D98" w:rsidR="00312474" w:rsidRDefault="00312474" w:rsidP="00312474">
      <w:pPr>
        <w:pStyle w:val="corpsdedcision"/>
        <w:tabs>
          <w:tab w:val="clear" w:pos="360"/>
          <w:tab w:val="num" w:pos="720"/>
        </w:tabs>
        <w:rPr>
          <w:rFonts w:eastAsiaTheme="minorHAnsi"/>
          <w:lang w:eastAsia="en-US"/>
        </w:rPr>
      </w:pPr>
      <w:r>
        <w:rPr>
          <w:rFonts w:eastAsiaTheme="minorHAnsi"/>
          <w:lang w:eastAsia="en-US"/>
        </w:rPr>
        <w:t xml:space="preserve">Le Tribunal n’est pas saisi </w:t>
      </w:r>
      <w:r w:rsidR="00734638">
        <w:rPr>
          <w:rFonts w:eastAsiaTheme="minorHAnsi"/>
          <w:lang w:eastAsia="en-US"/>
        </w:rPr>
        <w:t xml:space="preserve">d’un dossier </w:t>
      </w:r>
      <w:r w:rsidR="00C002AB">
        <w:rPr>
          <w:rFonts w:eastAsiaTheme="minorHAnsi"/>
          <w:lang w:eastAsia="en-US"/>
        </w:rPr>
        <w:t xml:space="preserve">impliquant </w:t>
      </w:r>
      <w:r>
        <w:rPr>
          <w:rFonts w:eastAsiaTheme="minorHAnsi"/>
          <w:lang w:eastAsia="en-US"/>
        </w:rPr>
        <w:t xml:space="preserve">une grève dans le secteur de l’éducation. Les services de garde éducatifs en CPE ne sont ni obligatoires ni universels. Les longues listes d’attente dont il a été </w:t>
      </w:r>
      <w:r w:rsidR="00962A7D">
        <w:rPr>
          <w:rFonts w:eastAsiaTheme="minorHAnsi"/>
          <w:lang w:eastAsia="en-US"/>
        </w:rPr>
        <w:t>question</w:t>
      </w:r>
      <w:r>
        <w:rPr>
          <w:rFonts w:eastAsiaTheme="minorHAnsi"/>
          <w:lang w:eastAsia="en-US"/>
        </w:rPr>
        <w:t xml:space="preserve"> dans </w:t>
      </w:r>
      <w:r w:rsidR="00036D48">
        <w:rPr>
          <w:rFonts w:eastAsiaTheme="minorHAnsi"/>
          <w:lang w:eastAsia="en-US"/>
        </w:rPr>
        <w:t>le cadre de l’instance en assujettissement</w:t>
      </w:r>
      <w:r>
        <w:rPr>
          <w:rFonts w:eastAsiaTheme="minorHAnsi"/>
          <w:lang w:eastAsia="en-US"/>
        </w:rPr>
        <w:t xml:space="preserve"> en attestent. La grève en cause </w:t>
      </w:r>
      <w:r w:rsidR="009A758B">
        <w:rPr>
          <w:rFonts w:eastAsiaTheme="minorHAnsi"/>
          <w:lang w:eastAsia="en-US"/>
        </w:rPr>
        <w:t>ici</w:t>
      </w:r>
      <w:r>
        <w:rPr>
          <w:rFonts w:eastAsiaTheme="minorHAnsi"/>
          <w:lang w:eastAsia="en-US"/>
        </w:rPr>
        <w:t xml:space="preserve"> est menée par d’une vingtaine de salariées dans un CPE dispensant des services de garde à 80 enfants.</w:t>
      </w:r>
    </w:p>
    <w:p w14:paraId="37521938" w14:textId="77777777" w:rsidR="00312474" w:rsidRDefault="00312474" w:rsidP="00312474">
      <w:pPr>
        <w:pStyle w:val="corpsdedcision"/>
        <w:tabs>
          <w:tab w:val="clear" w:pos="360"/>
          <w:tab w:val="num" w:pos="720"/>
        </w:tabs>
        <w:rPr>
          <w:rFonts w:eastAsiaTheme="minorHAnsi"/>
          <w:lang w:eastAsia="en-US"/>
        </w:rPr>
      </w:pPr>
      <w:r>
        <w:rPr>
          <w:rFonts w:eastAsiaTheme="minorHAnsi"/>
          <w:lang w:eastAsia="en-US"/>
        </w:rPr>
        <w:t xml:space="preserve">L’application du régime des SBEP dans le présent dossier ne s’inscrit donc pas dans les balises </w:t>
      </w:r>
      <w:r w:rsidRPr="00C2112D">
        <w:rPr>
          <w:rFonts w:eastAsiaTheme="minorHAnsi"/>
          <w:lang w:eastAsia="en-US"/>
        </w:rPr>
        <w:t>établies par le droit international</w:t>
      </w:r>
      <w:r>
        <w:rPr>
          <w:rFonts w:eastAsiaTheme="minorHAnsi"/>
          <w:lang w:eastAsia="en-US"/>
        </w:rPr>
        <w:t>.</w:t>
      </w:r>
    </w:p>
    <w:p w14:paraId="639E422C" w14:textId="77777777" w:rsidR="00312474" w:rsidRDefault="00312474" w:rsidP="007D621E">
      <w:pPr>
        <w:pStyle w:val="corpsdedcision"/>
        <w:keepNext/>
        <w:keepLines/>
        <w:rPr>
          <w:lang w:eastAsia="fr-FR"/>
        </w:rPr>
      </w:pPr>
      <w:r>
        <w:rPr>
          <w:lang w:eastAsia="fr-FR"/>
        </w:rPr>
        <w:t>À cela s’ajoute l’obligation de prévoir les SBEP à maintenir pendant toute la phase des négociations</w:t>
      </w:r>
      <w:r>
        <w:rPr>
          <w:rStyle w:val="Appelnotedebasdep"/>
          <w:lang w:eastAsia="fr-FR"/>
        </w:rPr>
        <w:footnoteReference w:id="185"/>
      </w:r>
      <w:r>
        <w:rPr>
          <w:lang w:eastAsia="fr-FR"/>
        </w:rPr>
        <w:t>. Contrairement aux services publics où les services essentiels à maintenir sont définis au regard d’une grève en particulier, le régime des SBEP impose de prévoir les services minimaux pour tout arrêt de travail jusqu’à la fin de la phase des négociations. Un nombre infini de situations peut survenir durant cette période.</w:t>
      </w:r>
    </w:p>
    <w:p w14:paraId="495D811A" w14:textId="62D18862" w:rsidR="00312474" w:rsidRDefault="00312474" w:rsidP="00312474">
      <w:pPr>
        <w:pStyle w:val="corpsdedcision"/>
        <w:rPr>
          <w:lang w:eastAsia="fr-FR"/>
        </w:rPr>
      </w:pPr>
      <w:r>
        <w:rPr>
          <w:lang w:eastAsia="fr-FR"/>
        </w:rPr>
        <w:t xml:space="preserve">Pour preuve, dans </w:t>
      </w:r>
      <w:r w:rsidR="00734638">
        <w:rPr>
          <w:lang w:eastAsia="fr-FR"/>
        </w:rPr>
        <w:t>la présente affaire</w:t>
      </w:r>
      <w:r>
        <w:rPr>
          <w:lang w:eastAsia="fr-FR"/>
        </w:rPr>
        <w:t xml:space="preserve">, les parties n’ont pas été capables de les définir au-delà d’un arrêt de plus de deux jours. Elles se sont entendues pour </w:t>
      </w:r>
      <w:r w:rsidRPr="000B1929">
        <w:rPr>
          <w:lang w:eastAsia="fr-FR"/>
        </w:rPr>
        <w:t>ressaisir</w:t>
      </w:r>
      <w:r>
        <w:rPr>
          <w:lang w:eastAsia="fr-FR"/>
        </w:rPr>
        <w:t xml:space="preserve"> le Tribunal</w:t>
      </w:r>
      <w:r w:rsidR="00962A7D">
        <w:rPr>
          <w:lang w:eastAsia="fr-FR"/>
        </w:rPr>
        <w:t>,</w:t>
      </w:r>
      <w:r>
        <w:rPr>
          <w:lang w:eastAsia="fr-FR"/>
        </w:rPr>
        <w:t xml:space="preserve"> le cas échéant.</w:t>
      </w:r>
    </w:p>
    <w:p w14:paraId="232EAA99" w14:textId="29E6CD8A" w:rsidR="00312474" w:rsidRDefault="00312474" w:rsidP="00312474">
      <w:pPr>
        <w:pStyle w:val="corpsdedcision"/>
        <w:rPr>
          <w:lang w:eastAsia="fr-FR"/>
        </w:rPr>
      </w:pPr>
      <w:r>
        <w:rPr>
          <w:lang w:eastAsia="fr-FR"/>
        </w:rPr>
        <w:t>Le Tribunal a lui aussi constaté la grande difficulté à envisager tous les scénarios possibles pour déterminer les « </w:t>
      </w:r>
      <w:r w:rsidRPr="000C0FC5">
        <w:rPr>
          <w:rStyle w:val="Citationintgre"/>
          <w:lang w:eastAsia="fr-FR"/>
        </w:rPr>
        <w:t>service</w:t>
      </w:r>
      <w:r>
        <w:rPr>
          <w:rStyle w:val="Citationintgre"/>
          <w:lang w:eastAsia="fr-FR"/>
        </w:rPr>
        <w:t>s</w:t>
      </w:r>
      <w:r w:rsidRPr="000C0FC5">
        <w:rPr>
          <w:rStyle w:val="Citationintgre"/>
          <w:lang w:eastAsia="fr-FR"/>
        </w:rPr>
        <w:t xml:space="preserve"> minimalement requis</w:t>
      </w:r>
      <w:r>
        <w:rPr>
          <w:lang w:eastAsia="fr-FR"/>
        </w:rPr>
        <w:t> » dans chaque cas.</w:t>
      </w:r>
    </w:p>
    <w:p w14:paraId="5053757D" w14:textId="36901952" w:rsidR="00312474" w:rsidRDefault="00312474" w:rsidP="00312474">
      <w:pPr>
        <w:pStyle w:val="corpsdedcision"/>
        <w:rPr>
          <w:lang w:eastAsia="fr-FR"/>
        </w:rPr>
      </w:pPr>
      <w:r>
        <w:rPr>
          <w:lang w:eastAsia="fr-FR"/>
        </w:rPr>
        <w:t xml:space="preserve">Considérant qu’aucun avis de grève préalable n’est requis dans le secteur des CPE, il a jugé qu’il ne pouvait attendre le déclenchement d’un nouvel arrêt de travail pour être saisi à nouveau afin de pouvoir définir les SBEP à maintenir </w:t>
      </w:r>
      <w:r w:rsidR="001E0160">
        <w:rPr>
          <w:lang w:eastAsia="fr-FR"/>
        </w:rPr>
        <w:t>dans un court délai</w:t>
      </w:r>
      <w:r>
        <w:rPr>
          <w:lang w:eastAsia="fr-FR"/>
        </w:rPr>
        <w:t>. Il a donc dû user de prudence et les a déterminés. Ainsi, ils sont susceptibles de porter atteinte au droit de grève plus que nécessaire pour satisfaire à l’objectif, puisque le Tribunal doit se prononcer en amont, dans une situation désincarnée et abstraite.</w:t>
      </w:r>
    </w:p>
    <w:p w14:paraId="2CCF284F" w14:textId="7C98D3DD" w:rsidR="00312474" w:rsidRDefault="00312474" w:rsidP="00312474">
      <w:pPr>
        <w:pStyle w:val="corpsdedcision"/>
        <w:tabs>
          <w:tab w:val="clear" w:pos="360"/>
          <w:tab w:val="num" w:pos="720"/>
        </w:tabs>
        <w:rPr>
          <w:rFonts w:eastAsiaTheme="minorHAnsi"/>
          <w:lang w:eastAsia="en-US"/>
        </w:rPr>
      </w:pPr>
      <w:r>
        <w:rPr>
          <w:rFonts w:eastAsiaTheme="minorHAnsi"/>
          <w:lang w:eastAsia="en-US"/>
        </w:rPr>
        <w:t xml:space="preserve">D’aucuns pourraient invoquer que le régime des SBEP est similaire sur ce point à celui des services essentiels dans le réseau de la santé et des services sociaux. Toutefois, le contexte dans lequel s’inscrit ce dernier est fort différent. Dans le réseau de la santé et des services sociaux, les parties sont parfaitement au fait qu’elles doivent maintenir des services essentiels et </w:t>
      </w:r>
      <w:r>
        <w:rPr>
          <w:lang w:eastAsia="fr-FR"/>
        </w:rPr>
        <w:t xml:space="preserve">connaissent d’avance </w:t>
      </w:r>
      <w:r>
        <w:rPr>
          <w:rFonts w:eastAsiaTheme="minorHAnsi"/>
          <w:lang w:eastAsia="en-US"/>
        </w:rPr>
        <w:t xml:space="preserve">le moment où elles </w:t>
      </w:r>
      <w:r w:rsidR="001E0160">
        <w:rPr>
          <w:rFonts w:eastAsiaTheme="minorHAnsi"/>
          <w:lang w:eastAsia="en-US"/>
        </w:rPr>
        <w:t>vont</w:t>
      </w:r>
      <w:r>
        <w:rPr>
          <w:rFonts w:eastAsiaTheme="minorHAnsi"/>
          <w:lang w:eastAsia="en-US"/>
        </w:rPr>
        <w:t xml:space="preserve"> les négocier. Elles ne sont pas limitées dans le temps pour le faire. </w:t>
      </w:r>
      <w:r w:rsidR="001E0160">
        <w:rPr>
          <w:rFonts w:eastAsiaTheme="minorHAnsi"/>
          <w:lang w:eastAsia="en-US"/>
        </w:rPr>
        <w:t>De plus, l</w:t>
      </w:r>
      <w:r>
        <w:rPr>
          <w:rFonts w:eastAsiaTheme="minorHAnsi"/>
          <w:lang w:eastAsia="en-US"/>
        </w:rPr>
        <w:t xml:space="preserve">e critère </w:t>
      </w:r>
      <w:r w:rsidR="007D2529">
        <w:rPr>
          <w:rFonts w:eastAsiaTheme="minorHAnsi"/>
          <w:lang w:eastAsia="en-US"/>
        </w:rPr>
        <w:t xml:space="preserve">de détermination </w:t>
      </w:r>
      <w:r>
        <w:rPr>
          <w:rFonts w:eastAsiaTheme="minorHAnsi"/>
          <w:lang w:eastAsia="en-US"/>
        </w:rPr>
        <w:t xml:space="preserve">des services à maintenir est bien connu, soit celui du danger pour la santé </w:t>
      </w:r>
      <w:r w:rsidR="00036D48">
        <w:rPr>
          <w:rFonts w:eastAsiaTheme="minorHAnsi"/>
          <w:lang w:eastAsia="en-US"/>
        </w:rPr>
        <w:t>ou</w:t>
      </w:r>
      <w:r>
        <w:rPr>
          <w:rFonts w:eastAsiaTheme="minorHAnsi"/>
          <w:lang w:eastAsia="en-US"/>
        </w:rPr>
        <w:t xml:space="preserve"> la sécurité publique.</w:t>
      </w:r>
    </w:p>
    <w:p w14:paraId="11E3F4C7" w14:textId="77777777" w:rsidR="00312474" w:rsidRDefault="00312474" w:rsidP="00312474">
      <w:pPr>
        <w:pStyle w:val="corpsdedcision"/>
        <w:rPr>
          <w:lang w:eastAsia="fr-FR"/>
        </w:rPr>
      </w:pPr>
      <w:r>
        <w:rPr>
          <w:lang w:eastAsia="fr-FR"/>
        </w:rPr>
        <w:t>Le PGQ n’a donc pas fait la preuve que les dispositions législatives contestées sont « </w:t>
      </w:r>
      <w:r w:rsidRPr="004A04BB">
        <w:rPr>
          <w:rStyle w:val="Citationintgre"/>
          <w:lang w:eastAsia="fr-FR"/>
        </w:rPr>
        <w:t>soigneusement adaptée</w:t>
      </w:r>
      <w:r w:rsidRPr="00441B09">
        <w:rPr>
          <w:rStyle w:val="Citationintgre"/>
          <w:rFonts w:cs="Arial"/>
          <w:i w:val="0"/>
          <w:iCs/>
          <w:sz w:val="24"/>
          <w:szCs w:val="22"/>
          <w:lang w:eastAsia="fr-FR"/>
        </w:rPr>
        <w:t>[s]</w:t>
      </w:r>
      <w:r w:rsidRPr="004A04BB">
        <w:rPr>
          <w:rStyle w:val="Citationintgre"/>
          <w:lang w:eastAsia="fr-FR"/>
        </w:rPr>
        <w:t xml:space="preserve"> de façon à ce que l’atteinte aux droits ne dépasse pas ce qui est nécessaire</w:t>
      </w:r>
      <w:r w:rsidRPr="00C041C0">
        <w:rPr>
          <w:i/>
          <w:sz w:val="22"/>
          <w:lang w:eastAsia="fr-FR"/>
        </w:rPr>
        <w:t> </w:t>
      </w:r>
      <w:r w:rsidRPr="00C041C0">
        <w:rPr>
          <w:iCs/>
          <w:sz w:val="22"/>
          <w:lang w:eastAsia="fr-FR"/>
        </w:rPr>
        <w:t>»</w:t>
      </w:r>
      <w:r>
        <w:rPr>
          <w:rStyle w:val="Appelnotedebasdep"/>
          <w:lang w:eastAsia="fr-FR"/>
        </w:rPr>
        <w:footnoteReference w:id="186"/>
      </w:r>
      <w:r>
        <w:rPr>
          <w:lang w:eastAsia="fr-FR"/>
        </w:rPr>
        <w:t>.</w:t>
      </w:r>
    </w:p>
    <w:p w14:paraId="71322BB7" w14:textId="35A5EC59" w:rsidR="00312474" w:rsidRDefault="00312474" w:rsidP="00312474">
      <w:pPr>
        <w:pStyle w:val="Titre3"/>
        <w:jc w:val="both"/>
      </w:pPr>
      <w:r>
        <w:t>Les effets bénéfiques du régime des services assurant le bien-être de la population l’emportent-ils sur ses effets préjudiciables?</w:t>
      </w:r>
    </w:p>
    <w:p w14:paraId="2CC3F8E1" w14:textId="1B6A0AB2" w:rsidR="00312474" w:rsidRDefault="00312474" w:rsidP="00312474">
      <w:pPr>
        <w:pStyle w:val="corpsdedcision"/>
      </w:pPr>
      <w:r>
        <w:rPr>
          <w:lang w:eastAsia="fr-FR"/>
        </w:rPr>
        <w:t>Quant au critère de proportionnalité</w:t>
      </w:r>
      <w:r>
        <w:t xml:space="preserve">, le PGQ fait valoir que les avantages des SBEP pour la population l’emportent sur les inconvénients pour le syndicat. Il met </w:t>
      </w:r>
      <w:r w:rsidR="00734638">
        <w:t xml:space="preserve">à nouveau </w:t>
      </w:r>
      <w:r>
        <w:t>de l’avant que l’évaluation se fait par un tribunal neutre et impartial, au cas par cas, et se limite aux situations où la grève affecte de manière disproportionnée la population.</w:t>
      </w:r>
    </w:p>
    <w:p w14:paraId="752F8AB4" w14:textId="01762A58" w:rsidR="00312474" w:rsidRDefault="00312474" w:rsidP="00312474">
      <w:pPr>
        <w:pStyle w:val="corpsdedcision"/>
      </w:pPr>
      <w:r>
        <w:t>Sur ce dernier critère</w:t>
      </w:r>
      <w:r>
        <w:rPr>
          <w:lang w:eastAsia="fr-FR"/>
        </w:rPr>
        <w:t>, le syndicat et les parties intervenantes arguent</w:t>
      </w:r>
      <w:r w:rsidRPr="00DF6975">
        <w:t xml:space="preserve"> </w:t>
      </w:r>
      <w:r>
        <w:t>que non seulement le Tribunal n’est pas en mesure de pondérer les effets de la grève à long terme, mais que le mécanisme des SBEP occulte le fait que les grèves exercées par des salariés syndiqués ont historiquement contribué à rehausser le bien-être de la population</w:t>
      </w:r>
      <w:r>
        <w:rPr>
          <w:rStyle w:val="Appelnotedebasdep"/>
        </w:rPr>
        <w:footnoteReference w:id="187"/>
      </w:r>
      <w:r>
        <w:t xml:space="preserve">. En plus, ce régime des SBEP se trouve à </w:t>
      </w:r>
      <w:r w:rsidR="00D70C23">
        <w:t xml:space="preserve">contrecarrer </w:t>
      </w:r>
      <w:r>
        <w:t xml:space="preserve">l’efficacité de toute la grève, affectant d’autant le droit à un processus </w:t>
      </w:r>
      <w:r w:rsidR="00036D48">
        <w:t xml:space="preserve">véritable </w:t>
      </w:r>
      <w:r>
        <w:t>de négociation collective. En</w:t>
      </w:r>
      <w:r w:rsidR="00F90A34">
        <w:t> </w:t>
      </w:r>
      <w:r>
        <w:t>somme, le syndicat souligne que les effets préjudiciables des SBEP surpassent les effets bénéfiques d’un assujettissement ponctuel.</w:t>
      </w:r>
    </w:p>
    <w:p w14:paraId="3BE919B8" w14:textId="77777777" w:rsidR="00312474" w:rsidRDefault="00312474" w:rsidP="00DC7753">
      <w:pPr>
        <w:pStyle w:val="corpsdedcision"/>
        <w:spacing w:after="240"/>
        <w:rPr>
          <w:lang w:eastAsia="fr-FR"/>
        </w:rPr>
      </w:pPr>
      <w:r>
        <w:rPr>
          <w:lang w:eastAsia="fr-FR"/>
        </w:rPr>
        <w:t xml:space="preserve">L’arrêt </w:t>
      </w:r>
      <w:r w:rsidRPr="00E7491E">
        <w:rPr>
          <w:i/>
          <w:iCs/>
          <w:lang w:eastAsia="fr-FR"/>
        </w:rPr>
        <w:t>Oakes</w:t>
      </w:r>
      <w:r>
        <w:rPr>
          <w:lang w:eastAsia="fr-FR"/>
        </w:rPr>
        <w:t xml:space="preserve"> expose ainsi cette dernière étape de l’analyse de la justification</w:t>
      </w:r>
      <w:r>
        <w:rPr>
          <w:rStyle w:val="Appelnotedebasdep"/>
          <w:lang w:eastAsia="fr-FR"/>
        </w:rPr>
        <w:footnoteReference w:id="188"/>
      </w:r>
      <w:r>
        <w:rPr>
          <w:lang w:eastAsia="fr-FR"/>
        </w:rPr>
        <w:t> :</w:t>
      </w:r>
    </w:p>
    <w:p w14:paraId="42C7D7B1" w14:textId="1435C054" w:rsidR="00312474" w:rsidRPr="00C002AB" w:rsidRDefault="00312474" w:rsidP="00312474">
      <w:pPr>
        <w:pStyle w:val="citation"/>
        <w:rPr>
          <w:rFonts w:eastAsia="Arial" w:cs="Arial"/>
          <w:color w:val="000000"/>
          <w:u w:val="single"/>
          <w:lang w:val="fr-FR" w:bidi="fr-FR"/>
        </w:rPr>
      </w:pPr>
      <w:r w:rsidRPr="00C002AB">
        <w:rPr>
          <w:rFonts w:eastAsia="Arial" w:cs="Arial"/>
          <w:color w:val="000000"/>
          <w:lang w:val="fr-FR" w:bidi="fr-FR"/>
        </w:rPr>
        <w:t xml:space="preserve">Quant au troisième élément, il est évident que toute mesure attaquée en vertu de l’article premier aura pour effet général de porter atteinte à un droit ou à une liberté garantis par la </w:t>
      </w:r>
      <w:r w:rsidRPr="00C002AB">
        <w:rPr>
          <w:rFonts w:eastAsia="Arial" w:cs="Arial"/>
          <w:i/>
          <w:iCs/>
          <w:color w:val="000000"/>
          <w:lang w:val="fr-FR" w:bidi="fr-FR"/>
        </w:rPr>
        <w:t>Charte</w:t>
      </w:r>
      <w:r w:rsidRPr="00C002AB">
        <w:rPr>
          <w:rFonts w:eastAsia="Arial" w:cs="Arial"/>
          <w:color w:val="000000"/>
          <w:lang w:val="fr-FR" w:bidi="fr-FR"/>
        </w:rPr>
        <w:t xml:space="preserve"> ; d’où la nécessité du recours à l’article premier. L’analyse des effets ne doit toutefois pas s’arrêter là. La </w:t>
      </w:r>
      <w:r w:rsidRPr="00C002AB">
        <w:rPr>
          <w:rFonts w:eastAsia="Arial" w:cs="Arial"/>
          <w:i/>
          <w:iCs/>
          <w:color w:val="000000"/>
          <w:lang w:val="fr-FR" w:bidi="fr-FR"/>
        </w:rPr>
        <w:t>Charte</w:t>
      </w:r>
      <w:r w:rsidRPr="00C002AB">
        <w:rPr>
          <w:rFonts w:eastAsia="Arial" w:cs="Arial"/>
          <w:color w:val="000000"/>
          <w:lang w:val="fr-FR" w:bidi="fr-FR"/>
        </w:rPr>
        <w:t xml:space="preserve"> garantit toute une gamme de droits et de libertés à l’égard desquels un nombre presque infini de situations peuvent se présenter. La</w:t>
      </w:r>
      <w:r w:rsidRPr="00C002AB">
        <w:rPr>
          <w:rFonts w:eastAsia="Arial" w:cs="Arial"/>
          <w:color w:val="000000"/>
          <w:spacing w:val="41"/>
          <w:lang w:val="fr-FR" w:bidi="fr-FR"/>
        </w:rPr>
        <w:t xml:space="preserve"> </w:t>
      </w:r>
      <w:r w:rsidRPr="00C002AB">
        <w:rPr>
          <w:rFonts w:eastAsia="Arial" w:cs="Arial"/>
          <w:color w:val="000000"/>
          <w:lang w:val="fr-FR" w:bidi="fr-FR"/>
        </w:rPr>
        <w:t>gravité</w:t>
      </w:r>
      <w:r w:rsidRPr="00C002AB">
        <w:rPr>
          <w:rFonts w:eastAsia="Arial" w:cs="Arial"/>
          <w:color w:val="000000"/>
          <w:spacing w:val="41"/>
          <w:lang w:val="fr-FR" w:bidi="fr-FR"/>
        </w:rPr>
        <w:t xml:space="preserve"> </w:t>
      </w:r>
      <w:r w:rsidRPr="00C002AB">
        <w:rPr>
          <w:rFonts w:eastAsia="Arial" w:cs="Arial"/>
          <w:color w:val="000000"/>
          <w:lang w:val="fr-FR" w:bidi="fr-FR"/>
        </w:rPr>
        <w:t>des</w:t>
      </w:r>
      <w:r w:rsidRPr="00C002AB">
        <w:rPr>
          <w:rFonts w:eastAsia="Arial" w:cs="Arial"/>
          <w:color w:val="000000"/>
          <w:spacing w:val="39"/>
          <w:lang w:val="fr-FR" w:bidi="fr-FR"/>
        </w:rPr>
        <w:t xml:space="preserve"> </w:t>
      </w:r>
      <w:r w:rsidRPr="00C002AB">
        <w:rPr>
          <w:rFonts w:eastAsia="Arial" w:cs="Arial"/>
          <w:color w:val="000000"/>
          <w:lang w:val="fr-FR" w:bidi="fr-FR"/>
        </w:rPr>
        <w:t>restrictions</w:t>
      </w:r>
      <w:r w:rsidRPr="00C002AB">
        <w:rPr>
          <w:rFonts w:eastAsia="Arial" w:cs="Arial"/>
          <w:color w:val="000000"/>
          <w:spacing w:val="41"/>
          <w:lang w:val="fr-FR" w:bidi="fr-FR"/>
        </w:rPr>
        <w:t xml:space="preserve"> </w:t>
      </w:r>
      <w:r w:rsidRPr="00C002AB">
        <w:rPr>
          <w:rFonts w:eastAsia="Arial" w:cs="Arial"/>
          <w:color w:val="000000"/>
          <w:lang w:val="fr-FR" w:bidi="fr-FR"/>
        </w:rPr>
        <w:t>apportées</w:t>
      </w:r>
      <w:r w:rsidRPr="00C002AB">
        <w:rPr>
          <w:rFonts w:eastAsia="Arial" w:cs="Arial"/>
          <w:color w:val="000000"/>
          <w:spacing w:val="41"/>
          <w:lang w:val="fr-FR" w:bidi="fr-FR"/>
        </w:rPr>
        <w:t xml:space="preserve"> </w:t>
      </w:r>
      <w:r w:rsidRPr="00C002AB">
        <w:rPr>
          <w:rFonts w:eastAsia="Arial" w:cs="Arial"/>
          <w:color w:val="000000"/>
          <w:lang w:val="fr-FR" w:bidi="fr-FR"/>
        </w:rPr>
        <w:t>aux</w:t>
      </w:r>
      <w:r w:rsidRPr="00C002AB">
        <w:rPr>
          <w:rFonts w:eastAsia="Arial" w:cs="Arial"/>
          <w:color w:val="000000"/>
          <w:spacing w:val="41"/>
          <w:lang w:val="fr-FR" w:bidi="fr-FR"/>
        </w:rPr>
        <w:t xml:space="preserve"> </w:t>
      </w:r>
      <w:r w:rsidRPr="00C002AB">
        <w:rPr>
          <w:rFonts w:eastAsia="Arial" w:cs="Arial"/>
          <w:color w:val="000000"/>
          <w:spacing w:val="-1"/>
          <w:lang w:val="fr-FR" w:bidi="fr-FR"/>
        </w:rPr>
        <w:t>droits</w:t>
      </w:r>
      <w:r w:rsidRPr="00C002AB">
        <w:rPr>
          <w:rFonts w:eastAsia="Arial" w:cs="Arial"/>
          <w:color w:val="000000"/>
          <w:spacing w:val="41"/>
          <w:lang w:val="fr-FR" w:bidi="fr-FR"/>
        </w:rPr>
        <w:t xml:space="preserve"> </w:t>
      </w:r>
      <w:r w:rsidRPr="00C002AB">
        <w:rPr>
          <w:rFonts w:eastAsia="Arial" w:cs="Arial"/>
          <w:color w:val="000000"/>
          <w:lang w:val="fr-FR" w:bidi="fr-FR"/>
        </w:rPr>
        <w:t>et</w:t>
      </w:r>
      <w:r w:rsidRPr="00C002AB">
        <w:rPr>
          <w:rFonts w:eastAsia="Arial" w:cs="Arial"/>
          <w:color w:val="000000"/>
          <w:spacing w:val="41"/>
          <w:lang w:val="fr-FR" w:bidi="fr-FR"/>
        </w:rPr>
        <w:t xml:space="preserve"> </w:t>
      </w:r>
      <w:r w:rsidRPr="00C002AB">
        <w:rPr>
          <w:rFonts w:eastAsia="Arial" w:cs="Arial"/>
          <w:color w:val="000000"/>
          <w:lang w:val="fr-FR" w:bidi="fr-FR"/>
        </w:rPr>
        <w:t>libertés</w:t>
      </w:r>
      <w:r w:rsidRPr="00C002AB">
        <w:rPr>
          <w:rFonts w:eastAsia="Arial" w:cs="Arial"/>
          <w:color w:val="000000"/>
          <w:spacing w:val="41"/>
          <w:lang w:val="fr-FR" w:bidi="fr-FR"/>
        </w:rPr>
        <w:t xml:space="preserve"> </w:t>
      </w:r>
      <w:r w:rsidRPr="00C002AB">
        <w:rPr>
          <w:rFonts w:eastAsia="Arial" w:cs="Arial"/>
          <w:color w:val="000000"/>
          <w:spacing w:val="-1"/>
          <w:lang w:val="fr-FR" w:bidi="fr-FR"/>
        </w:rPr>
        <w:t>garantis</w:t>
      </w:r>
      <w:r w:rsidRPr="00C002AB">
        <w:rPr>
          <w:rFonts w:eastAsia="Arial" w:cs="Arial"/>
          <w:color w:val="000000"/>
          <w:spacing w:val="41"/>
          <w:lang w:val="fr-FR" w:bidi="fr-FR"/>
        </w:rPr>
        <w:t xml:space="preserve"> </w:t>
      </w:r>
      <w:r w:rsidRPr="00C002AB">
        <w:rPr>
          <w:rFonts w:eastAsia="Arial" w:cs="Arial"/>
          <w:color w:val="000000"/>
          <w:lang w:val="fr-FR" w:bidi="fr-FR"/>
        </w:rPr>
        <w:t>par</w:t>
      </w:r>
      <w:r w:rsidRPr="00C002AB">
        <w:rPr>
          <w:rFonts w:eastAsia="Arial" w:cs="Arial"/>
          <w:color w:val="000000"/>
          <w:spacing w:val="41"/>
          <w:lang w:val="fr-FR" w:bidi="fr-FR"/>
        </w:rPr>
        <w:t xml:space="preserve"> </w:t>
      </w:r>
      <w:r w:rsidRPr="00C002AB">
        <w:rPr>
          <w:rFonts w:eastAsia="Arial" w:cs="Arial"/>
          <w:color w:val="000000"/>
          <w:spacing w:val="-9"/>
          <w:lang w:val="fr-FR" w:bidi="fr-FR"/>
        </w:rPr>
        <w:t>la</w:t>
      </w:r>
      <w:r w:rsidRPr="00C002AB">
        <w:rPr>
          <w:rFonts w:ascii="Times New Roman" w:hAnsi="Times New Roman"/>
        </w:rPr>
        <w:t xml:space="preserve"> </w:t>
      </w:r>
      <w:r w:rsidRPr="00C002AB">
        <w:rPr>
          <w:rFonts w:eastAsia="Arial" w:cs="Arial"/>
          <w:i/>
          <w:iCs/>
          <w:color w:val="000000"/>
          <w:lang w:val="fr-FR" w:bidi="fr-FR"/>
        </w:rPr>
        <w:t>Charte</w:t>
      </w:r>
      <w:r w:rsidRPr="00C002AB">
        <w:rPr>
          <w:rFonts w:eastAsia="Arial" w:cs="Arial"/>
          <w:color w:val="000000"/>
          <w:spacing w:val="5"/>
          <w:lang w:val="fr-FR" w:bidi="fr-FR"/>
        </w:rPr>
        <w:t xml:space="preserve"> </w:t>
      </w:r>
      <w:r w:rsidRPr="00C002AB">
        <w:rPr>
          <w:rFonts w:eastAsia="Arial" w:cs="Arial"/>
          <w:color w:val="000000"/>
          <w:lang w:val="fr-FR" w:bidi="fr-FR"/>
        </w:rPr>
        <w:t>variera</w:t>
      </w:r>
      <w:r w:rsidRPr="00C002AB">
        <w:rPr>
          <w:rFonts w:eastAsia="Arial" w:cs="Arial"/>
          <w:color w:val="000000"/>
          <w:spacing w:val="5"/>
          <w:lang w:val="fr-FR" w:bidi="fr-FR"/>
        </w:rPr>
        <w:t xml:space="preserve"> </w:t>
      </w:r>
      <w:r w:rsidRPr="00C002AB">
        <w:rPr>
          <w:rFonts w:eastAsia="Arial" w:cs="Arial"/>
          <w:color w:val="000000"/>
          <w:spacing w:val="-2"/>
          <w:lang w:val="fr-FR" w:bidi="fr-FR"/>
        </w:rPr>
        <w:t>en</w:t>
      </w:r>
      <w:r w:rsidRPr="00C002AB">
        <w:rPr>
          <w:rFonts w:eastAsia="Arial" w:cs="Arial"/>
          <w:color w:val="000000"/>
          <w:spacing w:val="5"/>
          <w:lang w:val="fr-FR" w:bidi="fr-FR"/>
        </w:rPr>
        <w:t xml:space="preserve"> </w:t>
      </w:r>
      <w:r w:rsidRPr="00C002AB">
        <w:rPr>
          <w:rFonts w:eastAsia="Arial" w:cs="Arial"/>
          <w:color w:val="000000"/>
          <w:lang w:val="fr-FR" w:bidi="fr-FR"/>
        </w:rPr>
        <w:t>fonction</w:t>
      </w:r>
      <w:r w:rsidRPr="00C002AB">
        <w:rPr>
          <w:rFonts w:eastAsia="Arial" w:cs="Arial"/>
          <w:color w:val="000000"/>
          <w:spacing w:val="5"/>
          <w:lang w:val="fr-FR" w:bidi="fr-FR"/>
        </w:rPr>
        <w:t xml:space="preserve"> </w:t>
      </w:r>
      <w:r w:rsidRPr="00C002AB">
        <w:rPr>
          <w:rFonts w:eastAsia="Arial" w:cs="Arial"/>
          <w:color w:val="000000"/>
          <w:lang w:val="fr-FR" w:bidi="fr-FR"/>
        </w:rPr>
        <w:t>de</w:t>
      </w:r>
      <w:r w:rsidRPr="00C002AB">
        <w:rPr>
          <w:rFonts w:eastAsia="Arial" w:cs="Arial"/>
          <w:color w:val="000000"/>
          <w:spacing w:val="5"/>
          <w:lang w:val="fr-FR" w:bidi="fr-FR"/>
        </w:rPr>
        <w:t xml:space="preserve"> </w:t>
      </w:r>
      <w:r w:rsidRPr="00C002AB">
        <w:rPr>
          <w:rFonts w:eastAsia="Arial" w:cs="Arial"/>
          <w:color w:val="000000"/>
          <w:lang w:val="fr-FR" w:bidi="fr-FR"/>
        </w:rPr>
        <w:t>la</w:t>
      </w:r>
      <w:r w:rsidRPr="00C002AB">
        <w:rPr>
          <w:rFonts w:eastAsia="Arial" w:cs="Arial"/>
          <w:color w:val="000000"/>
          <w:spacing w:val="5"/>
          <w:lang w:val="fr-FR" w:bidi="fr-FR"/>
        </w:rPr>
        <w:t xml:space="preserve"> </w:t>
      </w:r>
      <w:r w:rsidRPr="00C002AB">
        <w:rPr>
          <w:rFonts w:eastAsia="Arial" w:cs="Arial"/>
          <w:color w:val="000000"/>
          <w:lang w:val="fr-FR" w:bidi="fr-FR"/>
        </w:rPr>
        <w:t>nature</w:t>
      </w:r>
      <w:r w:rsidRPr="00C002AB">
        <w:rPr>
          <w:rFonts w:eastAsia="Arial" w:cs="Arial"/>
          <w:color w:val="000000"/>
          <w:spacing w:val="5"/>
          <w:lang w:val="fr-FR" w:bidi="fr-FR"/>
        </w:rPr>
        <w:t xml:space="preserve"> </w:t>
      </w:r>
      <w:r w:rsidRPr="00C002AB">
        <w:rPr>
          <w:rFonts w:eastAsia="Arial" w:cs="Arial"/>
          <w:color w:val="000000"/>
          <w:lang w:val="fr-FR" w:bidi="fr-FR"/>
        </w:rPr>
        <w:t>du</w:t>
      </w:r>
      <w:r w:rsidRPr="00C002AB">
        <w:rPr>
          <w:rFonts w:eastAsia="Arial" w:cs="Arial"/>
          <w:color w:val="000000"/>
          <w:spacing w:val="5"/>
          <w:lang w:val="fr-FR" w:bidi="fr-FR"/>
        </w:rPr>
        <w:t xml:space="preserve"> </w:t>
      </w:r>
      <w:r w:rsidRPr="00C002AB">
        <w:rPr>
          <w:rFonts w:eastAsia="Arial" w:cs="Arial"/>
          <w:color w:val="000000"/>
          <w:lang w:val="fr-FR" w:bidi="fr-FR"/>
        </w:rPr>
        <w:t>droit</w:t>
      </w:r>
      <w:r w:rsidRPr="00C002AB">
        <w:rPr>
          <w:rFonts w:eastAsia="Arial" w:cs="Arial"/>
          <w:color w:val="000000"/>
          <w:spacing w:val="5"/>
          <w:lang w:val="fr-FR" w:bidi="fr-FR"/>
        </w:rPr>
        <w:t xml:space="preserve"> </w:t>
      </w:r>
      <w:r w:rsidRPr="00C002AB">
        <w:rPr>
          <w:rFonts w:eastAsia="Arial" w:cs="Arial"/>
          <w:color w:val="000000"/>
          <w:lang w:val="fr-FR" w:bidi="fr-FR"/>
        </w:rPr>
        <w:t>ou</w:t>
      </w:r>
      <w:r w:rsidRPr="00C002AB">
        <w:rPr>
          <w:rFonts w:eastAsia="Arial" w:cs="Arial"/>
          <w:color w:val="000000"/>
          <w:spacing w:val="5"/>
          <w:lang w:val="fr-FR" w:bidi="fr-FR"/>
        </w:rPr>
        <w:t xml:space="preserve"> </w:t>
      </w:r>
      <w:r w:rsidRPr="00C002AB">
        <w:rPr>
          <w:rFonts w:eastAsia="Arial" w:cs="Arial"/>
          <w:color w:val="000000"/>
          <w:lang w:val="fr-FR" w:bidi="fr-FR"/>
        </w:rPr>
        <w:t>de</w:t>
      </w:r>
      <w:r w:rsidRPr="00C002AB">
        <w:rPr>
          <w:rFonts w:eastAsia="Arial" w:cs="Arial"/>
          <w:color w:val="000000"/>
          <w:spacing w:val="5"/>
          <w:lang w:val="fr-FR" w:bidi="fr-FR"/>
        </w:rPr>
        <w:t xml:space="preserve"> </w:t>
      </w:r>
      <w:r w:rsidRPr="00C002AB">
        <w:rPr>
          <w:rFonts w:eastAsia="Arial" w:cs="Arial"/>
          <w:color w:val="000000"/>
          <w:lang w:val="fr-FR" w:bidi="fr-FR"/>
        </w:rPr>
        <w:t>la</w:t>
      </w:r>
      <w:r w:rsidRPr="00C002AB">
        <w:rPr>
          <w:rFonts w:eastAsia="Arial" w:cs="Arial"/>
          <w:color w:val="000000"/>
          <w:spacing w:val="5"/>
          <w:lang w:val="fr-FR" w:bidi="fr-FR"/>
        </w:rPr>
        <w:t xml:space="preserve"> </w:t>
      </w:r>
      <w:r w:rsidRPr="00C002AB">
        <w:rPr>
          <w:rFonts w:eastAsia="Arial" w:cs="Arial"/>
          <w:color w:val="000000"/>
          <w:lang w:val="fr-FR" w:bidi="fr-FR"/>
        </w:rPr>
        <w:t>liberté</w:t>
      </w:r>
      <w:r w:rsidRPr="00C002AB">
        <w:rPr>
          <w:rFonts w:eastAsia="Arial" w:cs="Arial"/>
          <w:color w:val="000000"/>
          <w:spacing w:val="2"/>
          <w:lang w:val="fr-FR" w:bidi="fr-FR"/>
        </w:rPr>
        <w:t xml:space="preserve"> </w:t>
      </w:r>
      <w:r w:rsidRPr="00C002AB">
        <w:rPr>
          <w:rFonts w:eastAsia="Arial" w:cs="Arial"/>
          <w:color w:val="000000"/>
          <w:lang w:val="fr-FR" w:bidi="fr-FR"/>
        </w:rPr>
        <w:t>faisant</w:t>
      </w:r>
      <w:r w:rsidRPr="00C002AB">
        <w:rPr>
          <w:rFonts w:eastAsia="Arial" w:cs="Arial"/>
          <w:color w:val="000000"/>
          <w:spacing w:val="5"/>
          <w:lang w:val="fr-FR" w:bidi="fr-FR"/>
        </w:rPr>
        <w:t xml:space="preserve"> </w:t>
      </w:r>
      <w:r w:rsidRPr="00C002AB">
        <w:rPr>
          <w:rFonts w:eastAsia="Arial" w:cs="Arial"/>
          <w:color w:val="000000"/>
          <w:spacing w:val="-3"/>
          <w:lang w:val="fr-FR" w:bidi="fr-FR"/>
        </w:rPr>
        <w:t>l’objet</w:t>
      </w:r>
      <w:r w:rsidRPr="00C002AB">
        <w:rPr>
          <w:rFonts w:ascii="Times New Roman" w:hAnsi="Times New Roman"/>
        </w:rPr>
        <w:t xml:space="preserve"> </w:t>
      </w:r>
      <w:r w:rsidRPr="00C002AB">
        <w:rPr>
          <w:rFonts w:eastAsia="Arial" w:cs="Arial"/>
          <w:color w:val="000000"/>
          <w:lang w:val="fr-FR" w:bidi="fr-FR"/>
        </w:rPr>
        <w:t>d’une</w:t>
      </w:r>
      <w:r w:rsidRPr="00C002AB">
        <w:rPr>
          <w:rFonts w:eastAsia="Arial" w:cs="Arial"/>
          <w:color w:val="000000"/>
          <w:spacing w:val="43"/>
          <w:lang w:val="fr-FR" w:bidi="fr-FR"/>
        </w:rPr>
        <w:t xml:space="preserve"> </w:t>
      </w:r>
      <w:r w:rsidRPr="00C002AB">
        <w:rPr>
          <w:rFonts w:eastAsia="Arial" w:cs="Arial"/>
          <w:color w:val="000000"/>
          <w:lang w:val="fr-FR" w:bidi="fr-FR"/>
        </w:rPr>
        <w:t>at</w:t>
      </w:r>
      <w:r w:rsidRPr="00C002AB">
        <w:rPr>
          <w:rFonts w:eastAsia="Arial" w:cs="Arial"/>
          <w:color w:val="000000"/>
          <w:spacing w:val="1"/>
          <w:lang w:val="fr-FR" w:bidi="fr-FR"/>
        </w:rPr>
        <w:t>t</w:t>
      </w:r>
      <w:r w:rsidRPr="00C002AB">
        <w:rPr>
          <w:rFonts w:eastAsia="Arial" w:cs="Arial"/>
          <w:color w:val="000000"/>
          <w:spacing w:val="-1"/>
          <w:lang w:val="fr-FR" w:bidi="fr-FR"/>
        </w:rPr>
        <w:t>einte,</w:t>
      </w:r>
      <w:r w:rsidRPr="00C002AB">
        <w:rPr>
          <w:rFonts w:eastAsia="Arial" w:cs="Arial"/>
          <w:color w:val="000000"/>
          <w:spacing w:val="43"/>
          <w:lang w:val="fr-FR" w:bidi="fr-FR"/>
        </w:rPr>
        <w:t xml:space="preserve"> </w:t>
      </w:r>
      <w:r w:rsidRPr="00C002AB">
        <w:rPr>
          <w:rFonts w:eastAsia="Arial" w:cs="Arial"/>
          <w:color w:val="000000"/>
          <w:lang w:val="fr-FR" w:bidi="fr-FR"/>
        </w:rPr>
        <w:t>de</w:t>
      </w:r>
      <w:r w:rsidRPr="00C002AB">
        <w:rPr>
          <w:rFonts w:eastAsia="Arial" w:cs="Arial"/>
          <w:color w:val="000000"/>
          <w:spacing w:val="43"/>
          <w:lang w:val="fr-FR" w:bidi="fr-FR"/>
        </w:rPr>
        <w:t xml:space="preserve"> </w:t>
      </w:r>
      <w:r w:rsidRPr="00C002AB">
        <w:rPr>
          <w:rFonts w:eastAsia="Arial" w:cs="Arial"/>
          <w:color w:val="000000"/>
          <w:spacing w:val="-1"/>
          <w:lang w:val="fr-FR" w:bidi="fr-FR"/>
        </w:rPr>
        <w:t>l’ampleur</w:t>
      </w:r>
      <w:r w:rsidRPr="00C002AB">
        <w:rPr>
          <w:rFonts w:eastAsia="Arial" w:cs="Arial"/>
          <w:color w:val="000000"/>
          <w:spacing w:val="43"/>
          <w:lang w:val="fr-FR" w:bidi="fr-FR"/>
        </w:rPr>
        <w:t xml:space="preserve"> </w:t>
      </w:r>
      <w:r w:rsidRPr="00C002AB">
        <w:rPr>
          <w:rFonts w:eastAsia="Arial" w:cs="Arial"/>
          <w:color w:val="000000"/>
          <w:spacing w:val="-2"/>
          <w:lang w:val="fr-FR" w:bidi="fr-FR"/>
        </w:rPr>
        <w:t>de</w:t>
      </w:r>
      <w:r w:rsidRPr="00C002AB">
        <w:rPr>
          <w:rFonts w:eastAsia="Arial" w:cs="Arial"/>
          <w:color w:val="000000"/>
          <w:spacing w:val="43"/>
          <w:lang w:val="fr-FR" w:bidi="fr-FR"/>
        </w:rPr>
        <w:t xml:space="preserve"> </w:t>
      </w:r>
      <w:r w:rsidRPr="00C002AB">
        <w:rPr>
          <w:rFonts w:eastAsia="Arial" w:cs="Arial"/>
          <w:color w:val="000000"/>
          <w:lang w:val="fr-FR" w:bidi="fr-FR"/>
        </w:rPr>
        <w:t>l’at</w:t>
      </w:r>
      <w:r w:rsidRPr="00C002AB">
        <w:rPr>
          <w:rFonts w:eastAsia="Arial" w:cs="Arial"/>
          <w:color w:val="000000"/>
          <w:spacing w:val="1"/>
          <w:lang w:val="fr-FR" w:bidi="fr-FR"/>
        </w:rPr>
        <w:t>t</w:t>
      </w:r>
      <w:r w:rsidRPr="00C002AB">
        <w:rPr>
          <w:rFonts w:eastAsia="Arial" w:cs="Arial"/>
          <w:color w:val="000000"/>
          <w:spacing w:val="-1"/>
          <w:lang w:val="fr-FR" w:bidi="fr-FR"/>
        </w:rPr>
        <w:t>einte</w:t>
      </w:r>
      <w:r w:rsidRPr="00C002AB">
        <w:rPr>
          <w:rFonts w:eastAsia="Arial" w:cs="Arial"/>
          <w:color w:val="000000"/>
          <w:spacing w:val="43"/>
          <w:lang w:val="fr-FR" w:bidi="fr-FR"/>
        </w:rPr>
        <w:t xml:space="preserve"> </w:t>
      </w:r>
      <w:r w:rsidRPr="00C002AB">
        <w:rPr>
          <w:rFonts w:eastAsia="Arial" w:cs="Arial"/>
          <w:color w:val="000000"/>
          <w:lang w:val="fr-FR" w:bidi="fr-FR"/>
        </w:rPr>
        <w:t>et</w:t>
      </w:r>
      <w:r w:rsidRPr="00C002AB">
        <w:rPr>
          <w:rFonts w:eastAsia="Arial" w:cs="Arial"/>
          <w:color w:val="000000"/>
          <w:spacing w:val="43"/>
          <w:lang w:val="fr-FR" w:bidi="fr-FR"/>
        </w:rPr>
        <w:t xml:space="preserve"> </w:t>
      </w:r>
      <w:r w:rsidRPr="00C002AB">
        <w:rPr>
          <w:rFonts w:eastAsia="Arial" w:cs="Arial"/>
          <w:color w:val="000000"/>
          <w:spacing w:val="-2"/>
          <w:lang w:val="fr-FR" w:bidi="fr-FR"/>
        </w:rPr>
        <w:t>du</w:t>
      </w:r>
      <w:r w:rsidRPr="00C002AB">
        <w:rPr>
          <w:rFonts w:eastAsia="Arial" w:cs="Arial"/>
          <w:color w:val="000000"/>
          <w:spacing w:val="43"/>
          <w:lang w:val="fr-FR" w:bidi="fr-FR"/>
        </w:rPr>
        <w:t xml:space="preserve"> </w:t>
      </w:r>
      <w:r w:rsidRPr="00C002AB">
        <w:rPr>
          <w:rFonts w:eastAsia="Arial" w:cs="Arial"/>
          <w:color w:val="000000"/>
          <w:lang w:val="fr-FR" w:bidi="fr-FR"/>
        </w:rPr>
        <w:t>degré</w:t>
      </w:r>
      <w:r w:rsidRPr="00C002AB">
        <w:rPr>
          <w:rFonts w:eastAsia="Arial" w:cs="Arial"/>
          <w:color w:val="000000"/>
          <w:spacing w:val="43"/>
          <w:lang w:val="fr-FR" w:bidi="fr-FR"/>
        </w:rPr>
        <w:t xml:space="preserve"> </w:t>
      </w:r>
      <w:r w:rsidRPr="00C002AB">
        <w:rPr>
          <w:rFonts w:eastAsia="Arial" w:cs="Arial"/>
          <w:color w:val="000000"/>
          <w:spacing w:val="-1"/>
          <w:lang w:val="fr-FR" w:bidi="fr-FR"/>
        </w:rPr>
        <w:t>d’incompatibilité</w:t>
      </w:r>
      <w:r w:rsidRPr="00C002AB">
        <w:rPr>
          <w:rFonts w:eastAsia="Arial" w:cs="Arial"/>
          <w:color w:val="000000"/>
          <w:spacing w:val="43"/>
          <w:lang w:val="fr-FR" w:bidi="fr-FR"/>
        </w:rPr>
        <w:t xml:space="preserve"> </w:t>
      </w:r>
      <w:r w:rsidRPr="00C002AB">
        <w:rPr>
          <w:rFonts w:eastAsia="Arial" w:cs="Arial"/>
          <w:color w:val="000000"/>
          <w:spacing w:val="-5"/>
          <w:lang w:val="fr-FR" w:bidi="fr-FR"/>
        </w:rPr>
        <w:t>des</w:t>
      </w:r>
      <w:r w:rsidRPr="00C002AB">
        <w:rPr>
          <w:rFonts w:ascii="Times New Roman" w:hAnsi="Times New Roman"/>
        </w:rPr>
        <w:t xml:space="preserve"> </w:t>
      </w:r>
      <w:r w:rsidRPr="00C002AB">
        <w:rPr>
          <w:rFonts w:eastAsia="Arial" w:cs="Arial"/>
          <w:color w:val="000000"/>
          <w:lang w:val="fr-FR" w:bidi="fr-FR"/>
        </w:rPr>
        <w:t xml:space="preserve">mesures </w:t>
      </w:r>
      <w:r w:rsidRPr="00C002AB">
        <w:rPr>
          <w:rFonts w:eastAsia="Arial" w:cs="Arial"/>
          <w:color w:val="000000"/>
          <w:spacing w:val="4"/>
          <w:lang w:val="fr-FR" w:bidi="fr-FR"/>
        </w:rPr>
        <w:t xml:space="preserve">restrictives </w:t>
      </w:r>
      <w:r w:rsidRPr="00C002AB">
        <w:rPr>
          <w:rFonts w:eastAsia="Arial" w:cs="Arial"/>
          <w:color w:val="000000"/>
          <w:lang w:val="fr-FR" w:bidi="fr-FR"/>
        </w:rPr>
        <w:t>avec</w:t>
      </w:r>
      <w:r w:rsidRPr="00C002AB">
        <w:rPr>
          <w:rFonts w:eastAsia="Arial" w:cs="Arial"/>
          <w:color w:val="000000"/>
          <w:spacing w:val="4"/>
          <w:lang w:val="fr-FR" w:bidi="fr-FR"/>
        </w:rPr>
        <w:t xml:space="preserve"> </w:t>
      </w:r>
      <w:r w:rsidRPr="00C002AB">
        <w:rPr>
          <w:rFonts w:eastAsia="Arial" w:cs="Arial"/>
          <w:color w:val="000000"/>
          <w:lang w:val="fr-FR" w:bidi="fr-FR"/>
        </w:rPr>
        <w:t>les</w:t>
      </w:r>
      <w:r w:rsidRPr="00C002AB">
        <w:rPr>
          <w:rFonts w:eastAsia="Arial" w:cs="Arial"/>
          <w:color w:val="000000"/>
          <w:spacing w:val="4"/>
          <w:lang w:val="fr-FR" w:bidi="fr-FR"/>
        </w:rPr>
        <w:t xml:space="preserve"> </w:t>
      </w:r>
      <w:r w:rsidRPr="00C002AB">
        <w:rPr>
          <w:rFonts w:eastAsia="Arial" w:cs="Arial"/>
          <w:color w:val="000000"/>
          <w:lang w:val="fr-FR" w:bidi="fr-FR"/>
        </w:rPr>
        <w:t>principes</w:t>
      </w:r>
      <w:r w:rsidRPr="00C002AB">
        <w:rPr>
          <w:rFonts w:eastAsia="Arial" w:cs="Arial"/>
          <w:color w:val="000000"/>
          <w:spacing w:val="4"/>
          <w:lang w:val="fr-FR" w:bidi="fr-FR"/>
        </w:rPr>
        <w:t xml:space="preserve"> </w:t>
      </w:r>
      <w:r w:rsidRPr="00C002AB">
        <w:rPr>
          <w:rFonts w:eastAsia="Arial" w:cs="Arial"/>
          <w:color w:val="000000"/>
          <w:spacing w:val="-1"/>
          <w:lang w:val="fr-FR" w:bidi="fr-FR"/>
        </w:rPr>
        <w:t>inhérents</w:t>
      </w:r>
      <w:r w:rsidRPr="00C002AB">
        <w:rPr>
          <w:rFonts w:eastAsia="Arial" w:cs="Arial"/>
          <w:color w:val="000000"/>
          <w:spacing w:val="5"/>
          <w:lang w:val="fr-FR" w:bidi="fr-FR"/>
        </w:rPr>
        <w:t xml:space="preserve"> </w:t>
      </w:r>
      <w:r w:rsidRPr="00C002AB">
        <w:rPr>
          <w:rFonts w:eastAsia="Arial" w:cs="Arial"/>
          <w:color w:val="000000"/>
          <w:lang w:val="fr-FR" w:bidi="fr-FR"/>
        </w:rPr>
        <w:t>à</w:t>
      </w:r>
      <w:r w:rsidRPr="00C002AB">
        <w:rPr>
          <w:rFonts w:eastAsia="Arial" w:cs="Arial"/>
          <w:color w:val="000000"/>
          <w:spacing w:val="4"/>
          <w:lang w:val="fr-FR" w:bidi="fr-FR"/>
        </w:rPr>
        <w:t xml:space="preserve"> </w:t>
      </w:r>
      <w:r w:rsidRPr="00C002AB">
        <w:rPr>
          <w:rFonts w:eastAsia="Arial" w:cs="Arial"/>
          <w:color w:val="000000"/>
          <w:lang w:val="fr-FR" w:bidi="fr-FR"/>
        </w:rPr>
        <w:t>une société</w:t>
      </w:r>
      <w:r w:rsidRPr="00C002AB">
        <w:rPr>
          <w:rFonts w:eastAsia="Arial" w:cs="Arial"/>
          <w:color w:val="000000"/>
          <w:spacing w:val="4"/>
          <w:lang w:val="fr-FR" w:bidi="fr-FR"/>
        </w:rPr>
        <w:t xml:space="preserve"> </w:t>
      </w:r>
      <w:r w:rsidRPr="00C002AB">
        <w:rPr>
          <w:rFonts w:eastAsia="Arial" w:cs="Arial"/>
          <w:color w:val="000000"/>
          <w:spacing w:val="-1"/>
          <w:lang w:val="fr-FR" w:bidi="fr-FR"/>
        </w:rPr>
        <w:t>libre</w:t>
      </w:r>
      <w:r w:rsidRPr="00C002AB">
        <w:rPr>
          <w:rFonts w:eastAsia="Arial" w:cs="Arial"/>
          <w:color w:val="000000"/>
          <w:spacing w:val="4"/>
          <w:lang w:val="fr-FR" w:bidi="fr-FR"/>
        </w:rPr>
        <w:t xml:space="preserve"> </w:t>
      </w:r>
      <w:r w:rsidRPr="00C002AB">
        <w:rPr>
          <w:rFonts w:eastAsia="Arial" w:cs="Arial"/>
          <w:color w:val="000000"/>
          <w:spacing w:val="-7"/>
          <w:lang w:val="fr-FR" w:bidi="fr-FR"/>
        </w:rPr>
        <w:t>et</w:t>
      </w:r>
      <w:r w:rsidRPr="00C002AB">
        <w:rPr>
          <w:rFonts w:ascii="Times New Roman" w:hAnsi="Times New Roman"/>
        </w:rPr>
        <w:t xml:space="preserve"> </w:t>
      </w:r>
      <w:r w:rsidRPr="00C002AB">
        <w:rPr>
          <w:rFonts w:eastAsia="Arial" w:cs="Arial"/>
          <w:color w:val="000000"/>
          <w:lang w:val="fr-FR" w:bidi="fr-FR"/>
        </w:rPr>
        <w:t>démocratique.</w:t>
      </w:r>
      <w:r w:rsidRPr="00C002AB">
        <w:rPr>
          <w:rFonts w:eastAsia="Arial" w:cs="Arial"/>
          <w:color w:val="000000"/>
          <w:spacing w:val="47"/>
          <w:lang w:val="fr-FR" w:bidi="fr-FR"/>
        </w:rPr>
        <w:t xml:space="preserve"> </w:t>
      </w:r>
      <w:r w:rsidRPr="00C002AB">
        <w:rPr>
          <w:rFonts w:eastAsia="Arial" w:cs="Arial"/>
          <w:color w:val="000000"/>
          <w:spacing w:val="-2"/>
          <w:lang w:val="fr-FR" w:bidi="fr-FR"/>
        </w:rPr>
        <w:t>Même si un ob</w:t>
      </w:r>
      <w:r w:rsidRPr="00C002AB">
        <w:rPr>
          <w:rFonts w:eastAsia="Arial" w:cs="Arial"/>
          <w:color w:val="000000"/>
          <w:spacing w:val="1"/>
          <w:lang w:val="fr-FR" w:bidi="fr-FR"/>
        </w:rPr>
        <w:t>j</w:t>
      </w:r>
      <w:r w:rsidRPr="00C002AB">
        <w:rPr>
          <w:rFonts w:eastAsia="Arial" w:cs="Arial"/>
          <w:color w:val="000000"/>
          <w:spacing w:val="-2"/>
          <w:lang w:val="fr-FR" w:bidi="fr-FR"/>
        </w:rPr>
        <w:t>ectif est suffisamment important et même si on</w:t>
      </w:r>
      <w:r w:rsidRPr="00C002AB">
        <w:rPr>
          <w:rFonts w:ascii="Times New Roman" w:hAnsi="Times New Roman"/>
        </w:rPr>
        <w:t xml:space="preserve"> </w:t>
      </w:r>
      <w:r w:rsidRPr="00C002AB">
        <w:rPr>
          <w:rFonts w:eastAsia="Arial" w:cs="Arial"/>
          <w:color w:val="000000"/>
          <w:spacing w:val="-3"/>
          <w:lang w:val="fr-FR" w:bidi="fr-FR"/>
        </w:rPr>
        <w:t>a satisfait aux deux premiers éléments du critère de proportionnalité, il se peut</w:t>
      </w:r>
      <w:r w:rsidRPr="00C002AB">
        <w:rPr>
          <w:rFonts w:ascii="Times New Roman" w:hAnsi="Times New Roman"/>
        </w:rPr>
        <w:t xml:space="preserve"> </w:t>
      </w:r>
      <w:r w:rsidRPr="00C002AB">
        <w:rPr>
          <w:rFonts w:eastAsia="Arial" w:cs="Arial"/>
          <w:color w:val="000000"/>
          <w:lang w:val="fr-FR" w:bidi="fr-FR"/>
        </w:rPr>
        <w:t>encore</w:t>
      </w:r>
      <w:r w:rsidRPr="00C002AB">
        <w:rPr>
          <w:rFonts w:eastAsia="Arial" w:cs="Arial"/>
          <w:color w:val="000000"/>
          <w:spacing w:val="11"/>
          <w:lang w:val="fr-FR" w:bidi="fr-FR"/>
        </w:rPr>
        <w:t xml:space="preserve"> </w:t>
      </w:r>
      <w:r w:rsidRPr="00C002AB">
        <w:rPr>
          <w:rFonts w:eastAsia="Arial" w:cs="Arial"/>
          <w:color w:val="000000"/>
          <w:lang w:val="fr-FR" w:bidi="fr-FR"/>
        </w:rPr>
        <w:t>qu’en</w:t>
      </w:r>
      <w:r w:rsidRPr="00C002AB">
        <w:rPr>
          <w:rFonts w:eastAsia="Arial" w:cs="Arial"/>
          <w:color w:val="000000"/>
          <w:spacing w:val="11"/>
          <w:lang w:val="fr-FR" w:bidi="fr-FR"/>
        </w:rPr>
        <w:t xml:space="preserve"> </w:t>
      </w:r>
      <w:r w:rsidRPr="00C002AB">
        <w:rPr>
          <w:rFonts w:eastAsia="Arial" w:cs="Arial"/>
          <w:color w:val="000000"/>
          <w:lang w:val="fr-FR" w:bidi="fr-FR"/>
        </w:rPr>
        <w:t>raison</w:t>
      </w:r>
      <w:r w:rsidRPr="00C002AB">
        <w:rPr>
          <w:rFonts w:eastAsia="Arial" w:cs="Arial"/>
          <w:color w:val="000000"/>
          <w:spacing w:val="11"/>
          <w:lang w:val="fr-FR" w:bidi="fr-FR"/>
        </w:rPr>
        <w:t xml:space="preserve"> </w:t>
      </w:r>
      <w:r w:rsidRPr="00C002AB">
        <w:rPr>
          <w:rFonts w:eastAsia="Arial" w:cs="Arial"/>
          <w:color w:val="000000"/>
          <w:spacing w:val="-1"/>
          <w:lang w:val="fr-FR" w:bidi="fr-FR"/>
        </w:rPr>
        <w:t>de</w:t>
      </w:r>
      <w:r w:rsidRPr="00C002AB">
        <w:rPr>
          <w:rFonts w:eastAsia="Arial" w:cs="Arial"/>
          <w:color w:val="000000"/>
          <w:spacing w:val="11"/>
          <w:lang w:val="fr-FR" w:bidi="fr-FR"/>
        </w:rPr>
        <w:t xml:space="preserve"> </w:t>
      </w:r>
      <w:r w:rsidRPr="00C002AB">
        <w:rPr>
          <w:rFonts w:eastAsia="Arial" w:cs="Arial"/>
          <w:color w:val="000000"/>
          <w:lang w:val="fr-FR" w:bidi="fr-FR"/>
        </w:rPr>
        <w:t xml:space="preserve">la </w:t>
      </w:r>
      <w:r w:rsidRPr="00C002AB">
        <w:rPr>
          <w:rFonts w:eastAsia="Arial" w:cs="Arial"/>
          <w:color w:val="000000"/>
          <w:spacing w:val="-1"/>
          <w:lang w:val="fr-FR" w:bidi="fr-FR"/>
        </w:rPr>
        <w:t>gravité</w:t>
      </w:r>
      <w:r w:rsidRPr="00C002AB">
        <w:rPr>
          <w:rFonts w:eastAsia="Arial" w:cs="Arial"/>
          <w:color w:val="000000"/>
          <w:spacing w:val="11"/>
          <w:lang w:val="fr-FR" w:bidi="fr-FR"/>
        </w:rPr>
        <w:t xml:space="preserve"> </w:t>
      </w:r>
      <w:r w:rsidRPr="00C002AB">
        <w:rPr>
          <w:rFonts w:eastAsia="Arial" w:cs="Arial"/>
          <w:color w:val="000000"/>
          <w:spacing w:val="-1"/>
          <w:lang w:val="fr-FR" w:bidi="fr-FR"/>
        </w:rPr>
        <w:t xml:space="preserve">de </w:t>
      </w:r>
      <w:r w:rsidRPr="00C002AB">
        <w:rPr>
          <w:rFonts w:eastAsia="Arial" w:cs="Arial"/>
          <w:color w:val="000000"/>
          <w:lang w:val="fr-FR" w:bidi="fr-FR"/>
        </w:rPr>
        <w:t>ses effets</w:t>
      </w:r>
      <w:r w:rsidRPr="00C002AB">
        <w:rPr>
          <w:rFonts w:eastAsia="Arial" w:cs="Arial"/>
          <w:color w:val="000000"/>
          <w:spacing w:val="11"/>
          <w:lang w:val="fr-FR" w:bidi="fr-FR"/>
        </w:rPr>
        <w:t xml:space="preserve"> </w:t>
      </w:r>
      <w:r w:rsidRPr="00C002AB">
        <w:rPr>
          <w:rFonts w:eastAsia="Arial" w:cs="Arial"/>
          <w:color w:val="000000"/>
          <w:lang w:val="fr-FR" w:bidi="fr-FR"/>
        </w:rPr>
        <w:t>pré</w:t>
      </w:r>
      <w:r w:rsidRPr="00C002AB">
        <w:rPr>
          <w:rFonts w:eastAsia="Arial" w:cs="Arial"/>
          <w:color w:val="000000"/>
          <w:spacing w:val="1"/>
          <w:lang w:val="fr-FR" w:bidi="fr-FR"/>
        </w:rPr>
        <w:t>j</w:t>
      </w:r>
      <w:r w:rsidRPr="00C002AB">
        <w:rPr>
          <w:rFonts w:eastAsia="Arial" w:cs="Arial"/>
          <w:color w:val="000000"/>
          <w:lang w:val="fr-FR" w:bidi="fr-FR"/>
        </w:rPr>
        <w:t>udiciables</w:t>
      </w:r>
      <w:r w:rsidRPr="00C002AB">
        <w:rPr>
          <w:rFonts w:eastAsia="Arial" w:cs="Arial"/>
          <w:color w:val="000000"/>
          <w:spacing w:val="11"/>
          <w:lang w:val="fr-FR" w:bidi="fr-FR"/>
        </w:rPr>
        <w:t xml:space="preserve"> </w:t>
      </w:r>
      <w:r w:rsidRPr="00C002AB">
        <w:rPr>
          <w:rFonts w:eastAsia="Arial" w:cs="Arial"/>
          <w:color w:val="000000"/>
          <w:lang w:val="fr-FR" w:bidi="fr-FR"/>
        </w:rPr>
        <w:t xml:space="preserve">sur </w:t>
      </w:r>
      <w:r w:rsidRPr="00C002AB">
        <w:rPr>
          <w:rFonts w:eastAsia="Arial" w:cs="Arial"/>
          <w:color w:val="000000"/>
          <w:spacing w:val="-5"/>
          <w:lang w:val="fr-FR" w:bidi="fr-FR"/>
        </w:rPr>
        <w:t>des</w:t>
      </w:r>
      <w:r w:rsidRPr="00C002AB">
        <w:rPr>
          <w:rFonts w:ascii="Times New Roman" w:hAnsi="Times New Roman"/>
        </w:rPr>
        <w:t xml:space="preserve"> </w:t>
      </w:r>
      <w:r w:rsidRPr="00C002AB">
        <w:rPr>
          <w:rFonts w:eastAsia="Arial" w:cs="Arial"/>
          <w:color w:val="000000"/>
          <w:spacing w:val="-3"/>
          <w:lang w:val="fr-FR" w:bidi="fr-FR"/>
        </w:rPr>
        <w:t xml:space="preserve">particuliers ou sur des groupes, la mesure ne soit pas </w:t>
      </w:r>
      <w:r w:rsidRPr="00C002AB">
        <w:rPr>
          <w:rFonts w:eastAsia="Arial" w:cs="Arial"/>
          <w:color w:val="000000"/>
          <w:spacing w:val="1"/>
          <w:lang w:val="fr-FR" w:bidi="fr-FR"/>
        </w:rPr>
        <w:t>j</w:t>
      </w:r>
      <w:r w:rsidRPr="00C002AB">
        <w:rPr>
          <w:rFonts w:eastAsia="Arial" w:cs="Arial"/>
          <w:color w:val="000000"/>
          <w:spacing w:val="-2"/>
          <w:lang w:val="fr-FR" w:bidi="fr-FR"/>
        </w:rPr>
        <w:t>ustifiée par les ob</w:t>
      </w:r>
      <w:r w:rsidRPr="00C002AB">
        <w:rPr>
          <w:rFonts w:eastAsia="Arial" w:cs="Arial"/>
          <w:color w:val="000000"/>
          <w:spacing w:val="1"/>
          <w:lang w:val="fr-FR" w:bidi="fr-FR"/>
        </w:rPr>
        <w:t>j</w:t>
      </w:r>
      <w:r w:rsidRPr="00C002AB">
        <w:rPr>
          <w:rFonts w:eastAsia="Arial" w:cs="Arial"/>
          <w:color w:val="000000"/>
          <w:spacing w:val="-3"/>
          <w:lang w:val="fr-FR" w:bidi="fr-FR"/>
        </w:rPr>
        <w:t>ectifs</w:t>
      </w:r>
      <w:r w:rsidRPr="00C002AB">
        <w:rPr>
          <w:rFonts w:ascii="Times New Roman" w:hAnsi="Times New Roman"/>
        </w:rPr>
        <w:t xml:space="preserve"> </w:t>
      </w:r>
      <w:r w:rsidRPr="00C002AB">
        <w:rPr>
          <w:rFonts w:eastAsia="Arial" w:cs="Arial"/>
          <w:color w:val="000000"/>
          <w:spacing w:val="-1"/>
          <w:lang w:val="fr-FR" w:bidi="fr-FR"/>
        </w:rPr>
        <w:t>qu’elle est destinée à servir.</w:t>
      </w:r>
      <w:r w:rsidRPr="00C002AB">
        <w:rPr>
          <w:rFonts w:eastAsia="Arial" w:cs="Arial"/>
          <w:color w:val="000000"/>
          <w:spacing w:val="59"/>
          <w:lang w:val="fr-FR" w:bidi="fr-FR"/>
        </w:rPr>
        <w:t xml:space="preserve"> </w:t>
      </w:r>
      <w:r w:rsidRPr="00C002AB">
        <w:rPr>
          <w:rFonts w:eastAsia="Arial" w:cs="Arial"/>
          <w:color w:val="000000"/>
          <w:spacing w:val="-1"/>
          <w:u w:val="single"/>
          <w:lang w:val="fr-FR" w:bidi="fr-FR"/>
        </w:rPr>
        <w:t>Plus les effets pré</w:t>
      </w:r>
      <w:r w:rsidRPr="00C002AB">
        <w:rPr>
          <w:rFonts w:eastAsia="Arial" w:cs="Arial"/>
          <w:color w:val="000000"/>
          <w:spacing w:val="1"/>
          <w:u w:val="single"/>
          <w:lang w:val="fr-FR" w:bidi="fr-FR"/>
        </w:rPr>
        <w:t>j</w:t>
      </w:r>
      <w:r w:rsidRPr="00C002AB">
        <w:rPr>
          <w:rFonts w:eastAsia="Arial" w:cs="Arial"/>
          <w:color w:val="000000"/>
          <w:spacing w:val="-1"/>
          <w:u w:val="single"/>
          <w:lang w:val="fr-FR" w:bidi="fr-FR"/>
        </w:rPr>
        <w:t>udiciables d’une mesure sont</w:t>
      </w:r>
      <w:r w:rsidRPr="00C002AB">
        <w:rPr>
          <w:rFonts w:ascii="Times New Roman" w:hAnsi="Times New Roman"/>
          <w:u w:val="single"/>
        </w:rPr>
        <w:t xml:space="preserve"> </w:t>
      </w:r>
      <w:r w:rsidRPr="00C002AB">
        <w:rPr>
          <w:rFonts w:eastAsia="Arial" w:cs="Arial"/>
          <w:color w:val="000000"/>
          <w:u w:val="single"/>
          <w:lang w:val="fr-FR" w:bidi="fr-FR"/>
        </w:rPr>
        <w:t>graves,</w:t>
      </w:r>
      <w:r w:rsidRPr="00C002AB">
        <w:rPr>
          <w:rFonts w:eastAsia="Arial" w:cs="Arial"/>
          <w:color w:val="000000"/>
          <w:spacing w:val="3"/>
          <w:u w:val="single"/>
          <w:lang w:val="fr-FR" w:bidi="fr-FR"/>
        </w:rPr>
        <w:t xml:space="preserve"> </w:t>
      </w:r>
      <w:r w:rsidRPr="00C002AB">
        <w:rPr>
          <w:rFonts w:eastAsia="Arial" w:cs="Arial"/>
          <w:color w:val="000000"/>
          <w:u w:val="single"/>
          <w:lang w:val="fr-FR" w:bidi="fr-FR"/>
        </w:rPr>
        <w:t>plus</w:t>
      </w:r>
      <w:r w:rsidRPr="00C002AB">
        <w:rPr>
          <w:rFonts w:eastAsia="Arial" w:cs="Arial"/>
          <w:color w:val="000000"/>
          <w:spacing w:val="2"/>
          <w:u w:val="single"/>
          <w:lang w:val="fr-FR" w:bidi="fr-FR"/>
        </w:rPr>
        <w:t xml:space="preserve"> </w:t>
      </w:r>
      <w:r w:rsidRPr="00C002AB">
        <w:rPr>
          <w:rFonts w:eastAsia="Arial" w:cs="Arial"/>
          <w:color w:val="000000"/>
          <w:u w:val="single"/>
          <w:lang w:val="fr-FR" w:bidi="fr-FR"/>
        </w:rPr>
        <w:t>l’ob</w:t>
      </w:r>
      <w:r w:rsidRPr="00C002AB">
        <w:rPr>
          <w:rFonts w:eastAsia="Arial" w:cs="Arial"/>
          <w:color w:val="000000"/>
          <w:spacing w:val="1"/>
          <w:u w:val="single"/>
          <w:lang w:val="fr-FR" w:bidi="fr-FR"/>
        </w:rPr>
        <w:t>j</w:t>
      </w:r>
      <w:r w:rsidRPr="00C002AB">
        <w:rPr>
          <w:rFonts w:eastAsia="Arial" w:cs="Arial"/>
          <w:color w:val="000000"/>
          <w:u w:val="single"/>
          <w:lang w:val="fr-FR" w:bidi="fr-FR"/>
        </w:rPr>
        <w:t>ectif</w:t>
      </w:r>
      <w:r w:rsidRPr="00C002AB">
        <w:rPr>
          <w:rFonts w:eastAsia="Arial" w:cs="Arial"/>
          <w:color w:val="000000"/>
          <w:spacing w:val="3"/>
          <w:u w:val="single"/>
          <w:lang w:val="fr-FR" w:bidi="fr-FR"/>
        </w:rPr>
        <w:t xml:space="preserve"> </w:t>
      </w:r>
      <w:r w:rsidRPr="00C002AB">
        <w:rPr>
          <w:rFonts w:eastAsia="Arial" w:cs="Arial"/>
          <w:color w:val="000000"/>
          <w:u w:val="single"/>
          <w:lang w:val="fr-FR" w:bidi="fr-FR"/>
        </w:rPr>
        <w:t>doit</w:t>
      </w:r>
      <w:r w:rsidRPr="00C002AB">
        <w:rPr>
          <w:rFonts w:eastAsia="Arial" w:cs="Arial"/>
          <w:color w:val="000000"/>
          <w:spacing w:val="3"/>
          <w:u w:val="single"/>
          <w:lang w:val="fr-FR" w:bidi="fr-FR"/>
        </w:rPr>
        <w:t xml:space="preserve"> </w:t>
      </w:r>
      <w:r w:rsidRPr="00C002AB">
        <w:rPr>
          <w:rFonts w:eastAsia="Arial" w:cs="Arial"/>
          <w:color w:val="000000"/>
          <w:u w:val="single"/>
          <w:lang w:val="fr-FR" w:bidi="fr-FR"/>
        </w:rPr>
        <w:t>être</w:t>
      </w:r>
      <w:r w:rsidRPr="00C002AB">
        <w:rPr>
          <w:rFonts w:eastAsia="Arial" w:cs="Arial"/>
          <w:color w:val="000000"/>
          <w:spacing w:val="2"/>
          <w:u w:val="single"/>
          <w:lang w:val="fr-FR" w:bidi="fr-FR"/>
        </w:rPr>
        <w:t xml:space="preserve"> </w:t>
      </w:r>
      <w:r w:rsidRPr="00C002AB">
        <w:rPr>
          <w:rFonts w:eastAsia="Arial" w:cs="Arial"/>
          <w:color w:val="000000"/>
          <w:u w:val="single"/>
          <w:lang w:val="fr-FR" w:bidi="fr-FR"/>
        </w:rPr>
        <w:t>important</w:t>
      </w:r>
      <w:r w:rsidRPr="00C002AB">
        <w:rPr>
          <w:rFonts w:eastAsia="Arial" w:cs="Arial"/>
          <w:color w:val="000000"/>
          <w:spacing w:val="3"/>
          <w:u w:val="single"/>
          <w:lang w:val="fr-FR" w:bidi="fr-FR"/>
        </w:rPr>
        <w:t xml:space="preserve"> </w:t>
      </w:r>
      <w:r w:rsidRPr="00C002AB">
        <w:rPr>
          <w:rFonts w:eastAsia="Arial" w:cs="Arial"/>
          <w:color w:val="000000"/>
          <w:u w:val="single"/>
          <w:lang w:val="fr-FR" w:bidi="fr-FR"/>
        </w:rPr>
        <w:t>pour</w:t>
      </w:r>
      <w:r w:rsidRPr="00C002AB">
        <w:rPr>
          <w:rFonts w:eastAsia="Arial" w:cs="Arial"/>
          <w:color w:val="000000"/>
          <w:spacing w:val="3"/>
          <w:u w:val="single"/>
          <w:lang w:val="fr-FR" w:bidi="fr-FR"/>
        </w:rPr>
        <w:t xml:space="preserve"> </w:t>
      </w:r>
      <w:r w:rsidRPr="00C002AB">
        <w:rPr>
          <w:rFonts w:eastAsia="Arial" w:cs="Arial"/>
          <w:color w:val="000000"/>
          <w:spacing w:val="-1"/>
          <w:u w:val="single"/>
          <w:lang w:val="fr-FR" w:bidi="fr-FR"/>
        </w:rPr>
        <w:t>que</w:t>
      </w:r>
      <w:r w:rsidRPr="00C002AB">
        <w:rPr>
          <w:rFonts w:eastAsia="Arial" w:cs="Arial"/>
          <w:color w:val="000000"/>
          <w:spacing w:val="3"/>
          <w:u w:val="single"/>
          <w:lang w:val="fr-FR" w:bidi="fr-FR"/>
        </w:rPr>
        <w:t xml:space="preserve"> </w:t>
      </w:r>
      <w:r w:rsidRPr="00C002AB">
        <w:rPr>
          <w:rFonts w:eastAsia="Arial" w:cs="Arial"/>
          <w:color w:val="000000"/>
          <w:u w:val="single"/>
          <w:lang w:val="fr-FR" w:bidi="fr-FR"/>
        </w:rPr>
        <w:t>la</w:t>
      </w:r>
      <w:r w:rsidRPr="00C002AB">
        <w:rPr>
          <w:rFonts w:eastAsia="Arial" w:cs="Arial"/>
          <w:color w:val="000000"/>
          <w:spacing w:val="2"/>
          <w:u w:val="single"/>
          <w:lang w:val="fr-FR" w:bidi="fr-FR"/>
        </w:rPr>
        <w:t xml:space="preserve"> </w:t>
      </w:r>
      <w:r w:rsidRPr="00C002AB">
        <w:rPr>
          <w:rFonts w:eastAsia="Arial" w:cs="Arial"/>
          <w:color w:val="000000"/>
          <w:u w:val="single"/>
          <w:lang w:val="fr-FR" w:bidi="fr-FR"/>
        </w:rPr>
        <w:t>mesure</w:t>
      </w:r>
      <w:r w:rsidRPr="00C002AB">
        <w:rPr>
          <w:rFonts w:eastAsia="Arial" w:cs="Arial"/>
          <w:color w:val="000000"/>
          <w:spacing w:val="2"/>
          <w:u w:val="single"/>
          <w:lang w:val="fr-FR" w:bidi="fr-FR"/>
        </w:rPr>
        <w:t xml:space="preserve"> </w:t>
      </w:r>
      <w:r w:rsidRPr="00C002AB">
        <w:rPr>
          <w:rFonts w:eastAsia="Arial" w:cs="Arial"/>
          <w:color w:val="000000"/>
          <w:u w:val="single"/>
          <w:lang w:val="fr-FR" w:bidi="fr-FR"/>
        </w:rPr>
        <w:t>so</w:t>
      </w:r>
      <w:r w:rsidRPr="00C002AB">
        <w:rPr>
          <w:rFonts w:eastAsia="Arial" w:cs="Arial"/>
          <w:color w:val="000000"/>
          <w:spacing w:val="4"/>
          <w:u w:val="single"/>
          <w:lang w:val="fr-FR" w:bidi="fr-FR"/>
        </w:rPr>
        <w:t>i</w:t>
      </w:r>
      <w:r w:rsidRPr="00C002AB">
        <w:rPr>
          <w:rFonts w:eastAsia="Arial" w:cs="Arial"/>
          <w:color w:val="000000"/>
          <w:u w:val="single"/>
          <w:lang w:val="fr-FR" w:bidi="fr-FR"/>
        </w:rPr>
        <w:t>t</w:t>
      </w:r>
      <w:r w:rsidRPr="00C002AB">
        <w:rPr>
          <w:rFonts w:eastAsia="Arial" w:cs="Arial"/>
          <w:color w:val="000000"/>
          <w:spacing w:val="3"/>
          <w:u w:val="single"/>
          <w:lang w:val="fr-FR" w:bidi="fr-FR"/>
        </w:rPr>
        <w:t xml:space="preserve"> </w:t>
      </w:r>
      <w:r w:rsidRPr="00C002AB">
        <w:rPr>
          <w:rFonts w:eastAsia="Arial" w:cs="Arial"/>
          <w:color w:val="000000"/>
          <w:spacing w:val="-2"/>
          <w:u w:val="single"/>
          <w:lang w:val="fr-FR" w:bidi="fr-FR"/>
        </w:rPr>
        <w:t>raisonnable</w:t>
      </w:r>
      <w:r w:rsidRPr="00C002AB">
        <w:rPr>
          <w:rFonts w:ascii="Times New Roman" w:hAnsi="Times New Roman"/>
          <w:u w:val="single"/>
        </w:rPr>
        <w:t xml:space="preserve"> </w:t>
      </w:r>
      <w:r w:rsidRPr="00C002AB">
        <w:rPr>
          <w:rFonts w:eastAsia="Arial" w:cs="Arial"/>
          <w:color w:val="000000"/>
          <w:u w:val="single"/>
          <w:lang w:val="fr-FR" w:bidi="fr-FR"/>
        </w:rPr>
        <w:t>et</w:t>
      </w:r>
      <w:r w:rsidRPr="00C002AB">
        <w:rPr>
          <w:rFonts w:eastAsia="Arial" w:cs="Arial"/>
          <w:color w:val="000000"/>
          <w:spacing w:val="13"/>
          <w:u w:val="single"/>
          <w:lang w:val="fr-FR" w:bidi="fr-FR"/>
        </w:rPr>
        <w:t xml:space="preserve"> </w:t>
      </w:r>
      <w:r w:rsidRPr="00C002AB">
        <w:rPr>
          <w:rFonts w:eastAsia="Arial" w:cs="Arial"/>
          <w:color w:val="000000"/>
          <w:u w:val="single"/>
          <w:lang w:val="fr-FR" w:bidi="fr-FR"/>
        </w:rPr>
        <w:t>que</w:t>
      </w:r>
      <w:r w:rsidRPr="00C002AB">
        <w:rPr>
          <w:rFonts w:eastAsia="Arial" w:cs="Arial"/>
          <w:color w:val="000000"/>
          <w:spacing w:val="12"/>
          <w:u w:val="single"/>
          <w:lang w:val="fr-FR" w:bidi="fr-FR"/>
        </w:rPr>
        <w:t xml:space="preserve"> </w:t>
      </w:r>
      <w:r w:rsidRPr="00C002AB">
        <w:rPr>
          <w:rFonts w:eastAsia="Arial" w:cs="Arial"/>
          <w:color w:val="000000"/>
          <w:u w:val="single"/>
          <w:lang w:val="fr-FR" w:bidi="fr-FR"/>
        </w:rPr>
        <w:t>sa</w:t>
      </w:r>
      <w:r w:rsidRPr="00C002AB">
        <w:rPr>
          <w:rFonts w:eastAsia="Arial" w:cs="Arial"/>
          <w:color w:val="000000"/>
          <w:spacing w:val="9"/>
          <w:u w:val="single"/>
          <w:lang w:val="fr-FR" w:bidi="fr-FR"/>
        </w:rPr>
        <w:t xml:space="preserve"> </w:t>
      </w:r>
      <w:r w:rsidRPr="00C002AB">
        <w:rPr>
          <w:rFonts w:eastAsia="Arial" w:cs="Arial"/>
          <w:color w:val="000000"/>
          <w:spacing w:val="1"/>
          <w:u w:val="single"/>
          <w:lang w:val="fr-FR" w:bidi="fr-FR"/>
        </w:rPr>
        <w:t>j</w:t>
      </w:r>
      <w:r w:rsidRPr="00C002AB">
        <w:rPr>
          <w:rFonts w:eastAsia="Arial" w:cs="Arial"/>
          <w:color w:val="000000"/>
          <w:u w:val="single"/>
          <w:lang w:val="fr-FR" w:bidi="fr-FR"/>
        </w:rPr>
        <w:t>ustification</w:t>
      </w:r>
      <w:r w:rsidRPr="00C002AB">
        <w:rPr>
          <w:rFonts w:eastAsia="Arial" w:cs="Arial"/>
          <w:color w:val="000000"/>
          <w:spacing w:val="12"/>
          <w:u w:val="single"/>
          <w:lang w:val="fr-FR" w:bidi="fr-FR"/>
        </w:rPr>
        <w:t xml:space="preserve"> </w:t>
      </w:r>
      <w:r w:rsidRPr="00C002AB">
        <w:rPr>
          <w:rFonts w:eastAsia="Arial" w:cs="Arial"/>
          <w:color w:val="000000"/>
          <w:spacing w:val="-1"/>
          <w:u w:val="single"/>
          <w:lang w:val="fr-FR" w:bidi="fr-FR"/>
        </w:rPr>
        <w:t>puisse</w:t>
      </w:r>
      <w:r w:rsidRPr="00C002AB">
        <w:rPr>
          <w:rFonts w:eastAsia="Arial" w:cs="Arial"/>
          <w:color w:val="000000"/>
          <w:spacing w:val="12"/>
          <w:u w:val="single"/>
          <w:lang w:val="fr-FR" w:bidi="fr-FR"/>
        </w:rPr>
        <w:t xml:space="preserve"> </w:t>
      </w:r>
      <w:r w:rsidRPr="00C002AB">
        <w:rPr>
          <w:rFonts w:eastAsia="Arial" w:cs="Arial"/>
          <w:color w:val="000000"/>
          <w:u w:val="single"/>
          <w:lang w:val="fr-FR" w:bidi="fr-FR"/>
        </w:rPr>
        <w:t>se</w:t>
      </w:r>
      <w:r w:rsidRPr="00C002AB">
        <w:rPr>
          <w:rFonts w:eastAsia="Arial" w:cs="Arial"/>
          <w:color w:val="000000"/>
          <w:spacing w:val="12"/>
          <w:u w:val="single"/>
          <w:lang w:val="fr-FR" w:bidi="fr-FR"/>
        </w:rPr>
        <w:t xml:space="preserve"> </w:t>
      </w:r>
      <w:r w:rsidRPr="00C002AB">
        <w:rPr>
          <w:rFonts w:eastAsia="Arial" w:cs="Arial"/>
          <w:color w:val="000000"/>
          <w:u w:val="single"/>
          <w:lang w:val="fr-FR" w:bidi="fr-FR"/>
        </w:rPr>
        <w:t>démontrer</w:t>
      </w:r>
      <w:r w:rsidRPr="00C002AB">
        <w:rPr>
          <w:rFonts w:eastAsia="Arial" w:cs="Arial"/>
          <w:color w:val="000000"/>
          <w:spacing w:val="13"/>
          <w:u w:val="single"/>
          <w:lang w:val="fr-FR" w:bidi="fr-FR"/>
        </w:rPr>
        <w:t xml:space="preserve"> </w:t>
      </w:r>
      <w:r w:rsidRPr="00C002AB">
        <w:rPr>
          <w:rFonts w:eastAsia="Arial" w:cs="Arial"/>
          <w:color w:val="000000"/>
          <w:spacing w:val="-1"/>
          <w:u w:val="single"/>
          <w:lang w:val="fr-FR" w:bidi="fr-FR"/>
        </w:rPr>
        <w:t>dans</w:t>
      </w:r>
      <w:r w:rsidRPr="00C002AB">
        <w:rPr>
          <w:rFonts w:eastAsia="Arial" w:cs="Arial"/>
          <w:color w:val="000000"/>
          <w:spacing w:val="12"/>
          <w:u w:val="single"/>
          <w:lang w:val="fr-FR" w:bidi="fr-FR"/>
        </w:rPr>
        <w:t xml:space="preserve"> </w:t>
      </w:r>
      <w:r w:rsidRPr="00C002AB">
        <w:rPr>
          <w:rFonts w:eastAsia="Arial" w:cs="Arial"/>
          <w:color w:val="000000"/>
          <w:u w:val="single"/>
          <w:lang w:val="fr-FR" w:bidi="fr-FR"/>
        </w:rPr>
        <w:t>le</w:t>
      </w:r>
      <w:r w:rsidRPr="00C002AB">
        <w:rPr>
          <w:rFonts w:eastAsia="Arial" w:cs="Arial"/>
          <w:color w:val="000000"/>
          <w:spacing w:val="12"/>
          <w:u w:val="single"/>
          <w:lang w:val="fr-FR" w:bidi="fr-FR"/>
        </w:rPr>
        <w:t xml:space="preserve"> </w:t>
      </w:r>
      <w:r w:rsidRPr="00C002AB">
        <w:rPr>
          <w:rFonts w:eastAsia="Arial" w:cs="Arial"/>
          <w:color w:val="000000"/>
          <w:u w:val="single"/>
          <w:lang w:val="fr-FR" w:bidi="fr-FR"/>
        </w:rPr>
        <w:t>cadre</w:t>
      </w:r>
      <w:r w:rsidRPr="00C002AB">
        <w:rPr>
          <w:rFonts w:eastAsia="Arial" w:cs="Arial"/>
          <w:color w:val="000000"/>
          <w:spacing w:val="12"/>
          <w:u w:val="single"/>
          <w:lang w:val="fr-FR" w:bidi="fr-FR"/>
        </w:rPr>
        <w:t xml:space="preserve"> </w:t>
      </w:r>
      <w:r w:rsidRPr="00C002AB">
        <w:rPr>
          <w:rFonts w:eastAsia="Arial" w:cs="Arial"/>
          <w:color w:val="000000"/>
          <w:u w:val="single"/>
          <w:lang w:val="fr-FR" w:bidi="fr-FR"/>
        </w:rPr>
        <w:t>d’une</w:t>
      </w:r>
      <w:r w:rsidRPr="00C002AB">
        <w:rPr>
          <w:rFonts w:eastAsia="Arial" w:cs="Arial"/>
          <w:color w:val="000000"/>
          <w:spacing w:val="9"/>
          <w:u w:val="single"/>
          <w:lang w:val="fr-FR" w:bidi="fr-FR"/>
        </w:rPr>
        <w:t xml:space="preserve"> </w:t>
      </w:r>
      <w:r w:rsidRPr="00C002AB">
        <w:rPr>
          <w:rFonts w:eastAsia="Arial" w:cs="Arial"/>
          <w:color w:val="000000"/>
          <w:u w:val="single"/>
          <w:lang w:val="fr-FR" w:bidi="fr-FR"/>
        </w:rPr>
        <w:t>société</w:t>
      </w:r>
      <w:r w:rsidRPr="00C002AB">
        <w:rPr>
          <w:rFonts w:eastAsia="Arial" w:cs="Arial"/>
          <w:color w:val="000000"/>
          <w:spacing w:val="13"/>
          <w:u w:val="single"/>
          <w:lang w:val="fr-FR" w:bidi="fr-FR"/>
        </w:rPr>
        <w:t xml:space="preserve"> </w:t>
      </w:r>
      <w:r w:rsidRPr="00C002AB">
        <w:rPr>
          <w:rFonts w:eastAsia="Arial" w:cs="Arial"/>
          <w:color w:val="000000"/>
          <w:spacing w:val="-4"/>
          <w:u w:val="single"/>
          <w:lang w:val="fr-FR" w:bidi="fr-FR"/>
        </w:rPr>
        <w:t>libre</w:t>
      </w:r>
      <w:r w:rsidRPr="00C002AB">
        <w:rPr>
          <w:rFonts w:ascii="Times New Roman" w:hAnsi="Times New Roman"/>
          <w:u w:val="single"/>
        </w:rPr>
        <w:t xml:space="preserve"> </w:t>
      </w:r>
      <w:r w:rsidRPr="00C002AB">
        <w:rPr>
          <w:rFonts w:eastAsia="Arial" w:cs="Arial"/>
          <w:color w:val="000000"/>
          <w:u w:val="single"/>
          <w:lang w:val="fr-FR" w:bidi="fr-FR"/>
        </w:rPr>
        <w:t>et</w:t>
      </w:r>
      <w:r w:rsidRPr="00C002AB">
        <w:rPr>
          <w:rFonts w:eastAsia="Arial" w:cs="Arial"/>
          <w:color w:val="000000"/>
          <w:spacing w:val="1"/>
          <w:u w:val="single"/>
          <w:lang w:val="fr-FR" w:bidi="fr-FR"/>
        </w:rPr>
        <w:t xml:space="preserve"> </w:t>
      </w:r>
      <w:r w:rsidRPr="00C002AB">
        <w:rPr>
          <w:rFonts w:eastAsia="Arial" w:cs="Arial"/>
          <w:color w:val="000000"/>
          <w:u w:val="single"/>
          <w:lang w:val="fr-FR" w:bidi="fr-FR"/>
        </w:rPr>
        <w:t>démocratique</w:t>
      </w:r>
      <w:r w:rsidRPr="00C002AB">
        <w:rPr>
          <w:rFonts w:eastAsia="Arial" w:cs="Arial"/>
          <w:color w:val="000000"/>
          <w:lang w:val="fr-FR" w:bidi="fr-FR"/>
        </w:rPr>
        <w:t>.</w:t>
      </w:r>
    </w:p>
    <w:p w14:paraId="33A755B7" w14:textId="0C7C3B3F" w:rsidR="00312474" w:rsidRPr="00DC7753" w:rsidRDefault="00312474" w:rsidP="00DC7753">
      <w:pPr>
        <w:pStyle w:val="citation"/>
        <w:spacing w:before="240" w:after="360"/>
        <w:rPr>
          <w:rFonts w:eastAsia="Arial" w:cs="Arial"/>
          <w:color w:val="000000"/>
          <w:sz w:val="24"/>
          <w:szCs w:val="24"/>
          <w:lang w:val="fr-FR" w:bidi="fr-FR"/>
        </w:rPr>
      </w:pPr>
      <w:r w:rsidRPr="00F5600E">
        <w:rPr>
          <w:rFonts w:eastAsia="Arial" w:cs="Arial"/>
          <w:color w:val="000000"/>
          <w:sz w:val="24"/>
          <w:szCs w:val="24"/>
          <w:lang w:val="fr-FR" w:bidi="fr-FR"/>
        </w:rPr>
        <w:t>[Notre soulignement]</w:t>
      </w:r>
    </w:p>
    <w:p w14:paraId="35901A95" w14:textId="2563DF32" w:rsidR="00312474" w:rsidRDefault="00312474" w:rsidP="007D621E">
      <w:pPr>
        <w:pStyle w:val="corpsdedcision"/>
        <w:keepNext/>
        <w:keepLines/>
        <w:spacing w:after="240"/>
        <w:rPr>
          <w:lang w:eastAsia="fr-FR"/>
        </w:rPr>
      </w:pPr>
      <w:r>
        <w:rPr>
          <w:lang w:eastAsia="fr-FR"/>
        </w:rPr>
        <w:t xml:space="preserve">L’arrêt </w:t>
      </w:r>
      <w:r w:rsidRPr="00F5600E">
        <w:rPr>
          <w:i/>
          <w:iCs/>
          <w:lang w:eastAsia="fr-FR"/>
        </w:rPr>
        <w:t>Hutterian Breth</w:t>
      </w:r>
      <w:r>
        <w:rPr>
          <w:i/>
          <w:iCs/>
          <w:lang w:eastAsia="fr-FR"/>
        </w:rPr>
        <w:t>r</w:t>
      </w:r>
      <w:r w:rsidRPr="00F5600E">
        <w:rPr>
          <w:i/>
          <w:iCs/>
          <w:lang w:eastAsia="fr-FR"/>
        </w:rPr>
        <w:t>en</w:t>
      </w:r>
      <w:r>
        <w:rPr>
          <w:rStyle w:val="Appelnotedebasdep"/>
          <w:lang w:eastAsia="fr-FR"/>
        </w:rPr>
        <w:footnoteReference w:id="189"/>
      </w:r>
      <w:r>
        <w:rPr>
          <w:lang w:eastAsia="fr-FR"/>
        </w:rPr>
        <w:t>, aborde ce critère de manière détaillée. Cette étape de l’analyse permet de s’attarder aux effets de la mesure sur les droits en cause alors que les précédentes portent sur l’objectif</w:t>
      </w:r>
      <w:r w:rsidR="00A378E2">
        <w:rPr>
          <w:lang w:eastAsia="fr-FR"/>
        </w:rPr>
        <w:t> </w:t>
      </w:r>
      <w:r>
        <w:rPr>
          <w:lang w:eastAsia="fr-FR"/>
        </w:rPr>
        <w:t>:</w:t>
      </w:r>
    </w:p>
    <w:p w14:paraId="0676A4D9" w14:textId="2343CBC6" w:rsidR="00312474" w:rsidRPr="00DC7753" w:rsidRDefault="00312474" w:rsidP="007D621E">
      <w:pPr>
        <w:pStyle w:val="citation"/>
        <w:keepNext/>
        <w:keepLines/>
        <w:spacing w:after="360"/>
        <w:rPr>
          <w:rFonts w:eastAsia="Arial" w:cs="Arial"/>
          <w:color w:val="000000"/>
          <w:spacing w:val="-1"/>
          <w:sz w:val="22"/>
          <w:szCs w:val="22"/>
          <w:lang w:val="fr-FR" w:bidi="fr-FR"/>
        </w:rPr>
      </w:pPr>
      <w:r w:rsidRPr="00C9535E">
        <w:rPr>
          <w:lang w:eastAsia="fr-FR"/>
        </w:rPr>
        <w:t>[76]</w:t>
      </w:r>
      <w:r w:rsidRPr="00C9535E">
        <w:rPr>
          <w:lang w:eastAsia="fr-FR"/>
        </w:rPr>
        <w:tab/>
      </w:r>
      <w:r w:rsidRPr="00C002AB">
        <w:rPr>
          <w:rFonts w:eastAsia="Arial" w:cs="Arial"/>
          <w:color w:val="000000"/>
          <w:spacing w:val="-2"/>
          <w:lang w:val="fr-FR" w:bidi="fr-FR"/>
        </w:rPr>
        <w:t>On peut se demander de quelle façon une mesure législative qui a résisté</w:t>
      </w:r>
      <w:r w:rsidRPr="00C002AB">
        <w:rPr>
          <w:rFonts w:ascii="Times New Roman" w:hAnsi="Times New Roman"/>
        </w:rPr>
        <w:t xml:space="preserve"> </w:t>
      </w:r>
      <w:r w:rsidRPr="00C002AB">
        <w:rPr>
          <w:rFonts w:eastAsia="Arial" w:cs="Arial"/>
          <w:color w:val="000000"/>
          <w:lang w:val="fr-FR" w:bidi="fr-FR"/>
        </w:rPr>
        <w:t>aux</w:t>
      </w:r>
      <w:r w:rsidRPr="00C002AB">
        <w:rPr>
          <w:rFonts w:eastAsia="Arial" w:cs="Arial"/>
          <w:color w:val="000000"/>
          <w:spacing w:val="29"/>
          <w:lang w:val="fr-FR" w:bidi="fr-FR"/>
        </w:rPr>
        <w:t xml:space="preserve"> </w:t>
      </w:r>
      <w:r w:rsidRPr="00C002AB">
        <w:rPr>
          <w:rFonts w:eastAsia="Arial" w:cs="Arial"/>
          <w:color w:val="000000"/>
          <w:lang w:val="fr-FR" w:bidi="fr-FR"/>
        </w:rPr>
        <w:t>trois</w:t>
      </w:r>
      <w:r w:rsidRPr="00C002AB">
        <w:rPr>
          <w:rFonts w:eastAsia="Arial" w:cs="Arial"/>
          <w:color w:val="000000"/>
          <w:spacing w:val="32"/>
          <w:lang w:val="fr-FR" w:bidi="fr-FR"/>
        </w:rPr>
        <w:t xml:space="preserve"> </w:t>
      </w:r>
      <w:r w:rsidRPr="00C002AB">
        <w:rPr>
          <w:rFonts w:eastAsia="Arial" w:cs="Arial"/>
          <w:color w:val="000000"/>
          <w:lang w:val="fr-FR" w:bidi="fr-FR"/>
        </w:rPr>
        <w:t>premières</w:t>
      </w:r>
      <w:r w:rsidRPr="00C002AB">
        <w:rPr>
          <w:rFonts w:eastAsia="Arial" w:cs="Arial"/>
          <w:color w:val="000000"/>
          <w:spacing w:val="32"/>
          <w:lang w:val="fr-FR" w:bidi="fr-FR"/>
        </w:rPr>
        <w:t xml:space="preserve"> </w:t>
      </w:r>
      <w:r w:rsidRPr="00C002AB">
        <w:rPr>
          <w:rFonts w:eastAsia="Arial" w:cs="Arial"/>
          <w:color w:val="000000"/>
          <w:spacing w:val="-1"/>
          <w:lang w:val="fr-FR" w:bidi="fr-FR"/>
        </w:rPr>
        <w:t>étapes</w:t>
      </w:r>
      <w:r w:rsidRPr="00C002AB">
        <w:rPr>
          <w:rFonts w:eastAsia="Arial" w:cs="Arial"/>
          <w:color w:val="000000"/>
          <w:spacing w:val="31"/>
          <w:lang w:val="fr-FR" w:bidi="fr-FR"/>
        </w:rPr>
        <w:t xml:space="preserve"> </w:t>
      </w:r>
      <w:r w:rsidRPr="00C002AB">
        <w:rPr>
          <w:rFonts w:eastAsia="Arial" w:cs="Arial"/>
          <w:color w:val="000000"/>
          <w:spacing w:val="-2"/>
          <w:lang w:val="fr-FR" w:bidi="fr-FR"/>
        </w:rPr>
        <w:t>de</w:t>
      </w:r>
      <w:r w:rsidRPr="00C002AB">
        <w:rPr>
          <w:rFonts w:eastAsia="Arial" w:cs="Arial"/>
          <w:color w:val="000000"/>
          <w:spacing w:val="32"/>
          <w:lang w:val="fr-FR" w:bidi="fr-FR"/>
        </w:rPr>
        <w:t xml:space="preserve"> </w:t>
      </w:r>
      <w:r w:rsidRPr="00C002AB">
        <w:rPr>
          <w:rFonts w:eastAsia="Arial" w:cs="Arial"/>
          <w:color w:val="000000"/>
          <w:lang w:val="fr-FR" w:bidi="fr-FR"/>
        </w:rPr>
        <w:t>l’analyse</w:t>
      </w:r>
      <w:r w:rsidRPr="00C002AB">
        <w:rPr>
          <w:rFonts w:eastAsia="Arial" w:cs="Arial"/>
          <w:color w:val="000000"/>
          <w:spacing w:val="31"/>
          <w:lang w:val="fr-FR" w:bidi="fr-FR"/>
        </w:rPr>
        <w:t xml:space="preserve"> </w:t>
      </w:r>
      <w:r w:rsidRPr="00C002AB">
        <w:rPr>
          <w:rFonts w:eastAsia="Arial" w:cs="Arial"/>
          <w:color w:val="000000"/>
          <w:spacing w:val="-2"/>
          <w:lang w:val="fr-FR" w:bidi="fr-FR"/>
        </w:rPr>
        <w:t>de</w:t>
      </w:r>
      <w:r w:rsidRPr="00C002AB">
        <w:rPr>
          <w:rFonts w:eastAsia="Arial" w:cs="Arial"/>
          <w:color w:val="000000"/>
          <w:spacing w:val="32"/>
          <w:lang w:val="fr-FR" w:bidi="fr-FR"/>
        </w:rPr>
        <w:t xml:space="preserve"> </w:t>
      </w:r>
      <w:r w:rsidRPr="00C002AB">
        <w:rPr>
          <w:rFonts w:eastAsia="Arial" w:cs="Arial"/>
          <w:color w:val="000000"/>
          <w:spacing w:val="-2"/>
          <w:lang w:val="fr-FR" w:bidi="fr-FR"/>
        </w:rPr>
        <w:t>la</w:t>
      </w:r>
      <w:r w:rsidRPr="00C002AB">
        <w:rPr>
          <w:rFonts w:eastAsia="Arial" w:cs="Arial"/>
          <w:color w:val="000000"/>
          <w:spacing w:val="32"/>
          <w:lang w:val="fr-FR" w:bidi="fr-FR"/>
        </w:rPr>
        <w:t xml:space="preserve"> </w:t>
      </w:r>
      <w:r w:rsidRPr="00C002AB">
        <w:rPr>
          <w:rFonts w:eastAsia="Arial" w:cs="Arial"/>
          <w:color w:val="000000"/>
          <w:lang w:val="fr-FR" w:bidi="fr-FR"/>
        </w:rPr>
        <w:t>propor</w:t>
      </w:r>
      <w:r w:rsidRPr="00C002AB">
        <w:rPr>
          <w:rFonts w:eastAsia="Arial" w:cs="Arial"/>
          <w:color w:val="000000"/>
          <w:spacing w:val="1"/>
          <w:lang w:val="fr-FR" w:bidi="fr-FR"/>
        </w:rPr>
        <w:t>t</w:t>
      </w:r>
      <w:r w:rsidRPr="00C002AB">
        <w:rPr>
          <w:rFonts w:eastAsia="Arial" w:cs="Arial"/>
          <w:color w:val="000000"/>
          <w:lang w:val="fr-FR" w:bidi="fr-FR"/>
        </w:rPr>
        <w:t>ionnalité</w:t>
      </w:r>
      <w:r w:rsidRPr="00C002AB">
        <w:rPr>
          <w:rFonts w:eastAsia="Arial" w:cs="Arial"/>
          <w:color w:val="000000"/>
          <w:spacing w:val="33"/>
          <w:lang w:val="fr-FR" w:bidi="fr-FR"/>
        </w:rPr>
        <w:t xml:space="preserve"> </w:t>
      </w:r>
      <w:r w:rsidRPr="00C002AB">
        <w:rPr>
          <w:rFonts w:eastAsia="Arial" w:cs="Arial"/>
          <w:color w:val="000000"/>
          <w:lang w:val="fr-FR" w:bidi="fr-FR"/>
        </w:rPr>
        <w:t>—</w:t>
      </w:r>
      <w:r w:rsidRPr="00C002AB">
        <w:rPr>
          <w:rFonts w:eastAsia="Arial" w:cs="Arial"/>
          <w:color w:val="000000"/>
          <w:spacing w:val="32"/>
          <w:lang w:val="fr-FR" w:bidi="fr-FR"/>
        </w:rPr>
        <w:t xml:space="preserve"> </w:t>
      </w:r>
      <w:r w:rsidRPr="00C002AB">
        <w:rPr>
          <w:rFonts w:eastAsia="Arial" w:cs="Arial"/>
          <w:color w:val="000000"/>
          <w:lang w:val="fr-FR" w:bidi="fr-FR"/>
        </w:rPr>
        <w:t>celles</w:t>
      </w:r>
      <w:r w:rsidRPr="00C002AB">
        <w:rPr>
          <w:rFonts w:eastAsia="Arial" w:cs="Arial"/>
          <w:color w:val="000000"/>
          <w:spacing w:val="29"/>
          <w:lang w:val="fr-FR" w:bidi="fr-FR"/>
        </w:rPr>
        <w:t xml:space="preserve"> </w:t>
      </w:r>
      <w:r w:rsidRPr="00C002AB">
        <w:rPr>
          <w:rFonts w:eastAsia="Arial" w:cs="Arial"/>
          <w:color w:val="000000"/>
          <w:spacing w:val="-11"/>
          <w:lang w:val="fr-FR" w:bidi="fr-FR"/>
        </w:rPr>
        <w:t>de</w:t>
      </w:r>
      <w:r w:rsidRPr="00C002AB">
        <w:rPr>
          <w:rFonts w:ascii="Times New Roman" w:hAnsi="Times New Roman"/>
        </w:rPr>
        <w:t xml:space="preserve"> </w:t>
      </w:r>
      <w:r w:rsidRPr="00C002AB">
        <w:rPr>
          <w:rFonts w:eastAsia="Arial" w:cs="Arial"/>
          <w:color w:val="000000"/>
          <w:lang w:val="fr-FR" w:bidi="fr-FR"/>
        </w:rPr>
        <w:t>l’ob</w:t>
      </w:r>
      <w:r w:rsidRPr="00C002AB">
        <w:rPr>
          <w:rFonts w:eastAsia="Arial" w:cs="Arial"/>
          <w:color w:val="000000"/>
          <w:spacing w:val="1"/>
          <w:lang w:val="fr-FR" w:bidi="fr-FR"/>
        </w:rPr>
        <w:t>j</w:t>
      </w:r>
      <w:r w:rsidRPr="00C002AB">
        <w:rPr>
          <w:rFonts w:eastAsia="Arial" w:cs="Arial"/>
          <w:color w:val="000000"/>
          <w:lang w:val="fr-FR" w:bidi="fr-FR"/>
        </w:rPr>
        <w:t>ectif</w:t>
      </w:r>
      <w:r w:rsidRPr="00C002AB">
        <w:rPr>
          <w:rFonts w:eastAsia="Arial" w:cs="Arial"/>
          <w:color w:val="000000"/>
          <w:spacing w:val="1"/>
          <w:lang w:val="fr-FR" w:bidi="fr-FR"/>
        </w:rPr>
        <w:t xml:space="preserve"> </w:t>
      </w:r>
      <w:r w:rsidRPr="00C002AB">
        <w:rPr>
          <w:rFonts w:eastAsia="Arial" w:cs="Arial"/>
          <w:color w:val="000000"/>
          <w:spacing w:val="-1"/>
          <w:lang w:val="fr-FR" w:bidi="fr-FR"/>
        </w:rPr>
        <w:t>urgent, du lien rationnel et</w:t>
      </w:r>
      <w:r w:rsidRPr="00C002AB">
        <w:rPr>
          <w:rFonts w:eastAsia="Arial" w:cs="Arial"/>
          <w:color w:val="000000"/>
          <w:spacing w:val="1"/>
          <w:lang w:val="fr-FR" w:bidi="fr-FR"/>
        </w:rPr>
        <w:t xml:space="preserve"> </w:t>
      </w:r>
      <w:r w:rsidRPr="00C002AB">
        <w:rPr>
          <w:rFonts w:eastAsia="Arial" w:cs="Arial"/>
          <w:color w:val="000000"/>
          <w:spacing w:val="-1"/>
          <w:lang w:val="fr-FR" w:bidi="fr-FR"/>
        </w:rPr>
        <w:t>de l’at</w:t>
      </w:r>
      <w:r w:rsidRPr="00C002AB">
        <w:rPr>
          <w:rFonts w:eastAsia="Arial" w:cs="Arial"/>
          <w:color w:val="000000"/>
          <w:spacing w:val="1"/>
          <w:lang w:val="fr-FR" w:bidi="fr-FR"/>
        </w:rPr>
        <w:t>t</w:t>
      </w:r>
      <w:r w:rsidRPr="00C002AB">
        <w:rPr>
          <w:rFonts w:eastAsia="Arial" w:cs="Arial"/>
          <w:color w:val="000000"/>
          <w:spacing w:val="-1"/>
          <w:lang w:val="fr-FR" w:bidi="fr-FR"/>
        </w:rPr>
        <w:t>einte minimale</w:t>
      </w:r>
      <w:r w:rsidRPr="00C002AB">
        <w:rPr>
          <w:rFonts w:eastAsia="Arial" w:cs="Arial"/>
          <w:color w:val="000000"/>
          <w:spacing w:val="3"/>
          <w:lang w:val="fr-FR" w:bidi="fr-FR"/>
        </w:rPr>
        <w:t xml:space="preserve"> </w:t>
      </w:r>
      <w:r w:rsidRPr="00C002AB">
        <w:rPr>
          <w:rFonts w:eastAsia="Arial" w:cs="Arial"/>
          <w:color w:val="000000"/>
          <w:lang w:val="fr-FR" w:bidi="fr-FR"/>
        </w:rPr>
        <w:t>—</w:t>
      </w:r>
      <w:r w:rsidRPr="00C002AB">
        <w:rPr>
          <w:rFonts w:eastAsia="Arial" w:cs="Arial"/>
          <w:color w:val="000000"/>
          <w:spacing w:val="1"/>
          <w:lang w:val="fr-FR" w:bidi="fr-FR"/>
        </w:rPr>
        <w:t xml:space="preserve"> </w:t>
      </w:r>
      <w:r w:rsidRPr="00C002AB">
        <w:rPr>
          <w:rFonts w:eastAsia="Arial" w:cs="Arial"/>
          <w:color w:val="000000"/>
          <w:spacing w:val="-2"/>
          <w:lang w:val="fr-FR" w:bidi="fr-FR"/>
        </w:rPr>
        <w:t>pourrait échouer</w:t>
      </w:r>
      <w:r w:rsidRPr="00C002AB">
        <w:rPr>
          <w:rFonts w:ascii="Times New Roman" w:hAnsi="Times New Roman"/>
        </w:rPr>
        <w:t xml:space="preserve"> </w:t>
      </w:r>
      <w:r w:rsidRPr="00C002AB">
        <w:rPr>
          <w:rFonts w:eastAsia="Arial" w:cs="Arial"/>
          <w:color w:val="000000"/>
          <w:lang w:val="fr-FR" w:bidi="fr-FR"/>
        </w:rPr>
        <w:t>à</w:t>
      </w:r>
      <w:r w:rsidRPr="00C002AB">
        <w:rPr>
          <w:rFonts w:eastAsia="Arial" w:cs="Arial"/>
          <w:color w:val="000000"/>
          <w:spacing w:val="17"/>
          <w:lang w:val="fr-FR" w:bidi="fr-FR"/>
        </w:rPr>
        <w:t xml:space="preserve"> </w:t>
      </w:r>
      <w:r w:rsidRPr="00C002AB">
        <w:rPr>
          <w:rFonts w:eastAsia="Arial" w:cs="Arial"/>
          <w:color w:val="000000"/>
          <w:spacing w:val="-1"/>
          <w:lang w:val="fr-FR" w:bidi="fr-FR"/>
        </w:rPr>
        <w:t>l’étape</w:t>
      </w:r>
      <w:r w:rsidRPr="00C002AB">
        <w:rPr>
          <w:rFonts w:eastAsia="Arial" w:cs="Arial"/>
          <w:color w:val="000000"/>
          <w:spacing w:val="17"/>
          <w:lang w:val="fr-FR" w:bidi="fr-FR"/>
        </w:rPr>
        <w:t xml:space="preserve"> </w:t>
      </w:r>
      <w:r w:rsidRPr="00C002AB">
        <w:rPr>
          <w:rFonts w:eastAsia="Arial" w:cs="Arial"/>
          <w:color w:val="000000"/>
          <w:lang w:val="fr-FR" w:bidi="fr-FR"/>
        </w:rPr>
        <w:t>finale</w:t>
      </w:r>
      <w:r w:rsidRPr="00C002AB">
        <w:rPr>
          <w:rFonts w:eastAsia="Arial" w:cs="Arial"/>
          <w:color w:val="000000"/>
          <w:spacing w:val="17"/>
          <w:lang w:val="fr-FR" w:bidi="fr-FR"/>
        </w:rPr>
        <w:t xml:space="preserve"> </w:t>
      </w:r>
      <w:r w:rsidRPr="00C002AB">
        <w:rPr>
          <w:rFonts w:eastAsia="Arial" w:cs="Arial"/>
          <w:color w:val="000000"/>
          <w:spacing w:val="-2"/>
          <w:lang w:val="fr-FR" w:bidi="fr-FR"/>
        </w:rPr>
        <w:t>de</w:t>
      </w:r>
      <w:r w:rsidRPr="00C002AB">
        <w:rPr>
          <w:rFonts w:eastAsia="Arial" w:cs="Arial"/>
          <w:color w:val="000000"/>
          <w:spacing w:val="17"/>
          <w:lang w:val="fr-FR" w:bidi="fr-FR"/>
        </w:rPr>
        <w:t xml:space="preserve"> </w:t>
      </w:r>
      <w:r w:rsidRPr="00C002AB">
        <w:rPr>
          <w:rFonts w:eastAsia="Arial" w:cs="Arial"/>
          <w:color w:val="000000"/>
          <w:lang w:val="fr-FR" w:bidi="fr-FR"/>
        </w:rPr>
        <w:t>la</w:t>
      </w:r>
      <w:r w:rsidRPr="00C002AB">
        <w:rPr>
          <w:rFonts w:eastAsia="Arial" w:cs="Arial"/>
          <w:color w:val="000000"/>
          <w:spacing w:val="17"/>
          <w:lang w:val="fr-FR" w:bidi="fr-FR"/>
        </w:rPr>
        <w:t xml:space="preserve"> </w:t>
      </w:r>
      <w:r w:rsidRPr="00C002AB">
        <w:rPr>
          <w:rFonts w:eastAsia="Arial" w:cs="Arial"/>
          <w:color w:val="000000"/>
          <w:lang w:val="fr-FR" w:bidi="fr-FR"/>
        </w:rPr>
        <w:t>proportionnalité</w:t>
      </w:r>
      <w:r w:rsidRPr="00C002AB">
        <w:rPr>
          <w:rFonts w:eastAsia="Arial" w:cs="Arial"/>
          <w:color w:val="000000"/>
          <w:spacing w:val="17"/>
          <w:lang w:val="fr-FR" w:bidi="fr-FR"/>
        </w:rPr>
        <w:t xml:space="preserve"> </w:t>
      </w:r>
      <w:r w:rsidRPr="00C002AB">
        <w:rPr>
          <w:rFonts w:eastAsia="Arial" w:cs="Arial"/>
          <w:color w:val="000000"/>
          <w:lang w:val="fr-FR" w:bidi="fr-FR"/>
        </w:rPr>
        <w:t>des</w:t>
      </w:r>
      <w:r w:rsidRPr="00C002AB">
        <w:rPr>
          <w:rFonts w:eastAsia="Arial" w:cs="Arial"/>
          <w:color w:val="000000"/>
          <w:spacing w:val="17"/>
          <w:lang w:val="fr-FR" w:bidi="fr-FR"/>
        </w:rPr>
        <w:t xml:space="preserve"> </w:t>
      </w:r>
      <w:r w:rsidRPr="00C002AB">
        <w:rPr>
          <w:rFonts w:eastAsia="Arial" w:cs="Arial"/>
          <w:color w:val="000000"/>
          <w:spacing w:val="-1"/>
          <w:lang w:val="fr-FR" w:bidi="fr-FR"/>
        </w:rPr>
        <w:t>effets.</w:t>
      </w:r>
      <w:r w:rsidRPr="00C002AB">
        <w:rPr>
          <w:rFonts w:eastAsia="Arial" w:cs="Arial"/>
          <w:color w:val="000000"/>
          <w:spacing w:val="16"/>
          <w:lang w:val="fr-FR" w:bidi="fr-FR"/>
        </w:rPr>
        <w:t xml:space="preserve"> </w:t>
      </w:r>
      <w:r w:rsidRPr="00C002AB">
        <w:rPr>
          <w:rFonts w:eastAsia="Arial" w:cs="Arial"/>
          <w:color w:val="000000"/>
          <w:spacing w:val="-2"/>
          <w:lang w:val="fr-FR" w:bidi="fr-FR"/>
        </w:rPr>
        <w:t>La</w:t>
      </w:r>
      <w:r w:rsidRPr="00C002AB">
        <w:rPr>
          <w:rFonts w:eastAsia="Arial" w:cs="Arial"/>
          <w:color w:val="000000"/>
          <w:spacing w:val="17"/>
          <w:lang w:val="fr-FR" w:bidi="fr-FR"/>
        </w:rPr>
        <w:t xml:space="preserve"> </w:t>
      </w:r>
      <w:r w:rsidRPr="00C002AB">
        <w:rPr>
          <w:rFonts w:eastAsia="Arial" w:cs="Arial"/>
          <w:color w:val="000000"/>
          <w:lang w:val="fr-FR" w:bidi="fr-FR"/>
        </w:rPr>
        <w:t>réponse</w:t>
      </w:r>
      <w:r w:rsidRPr="00C002AB">
        <w:rPr>
          <w:rFonts w:eastAsia="Arial" w:cs="Arial"/>
          <w:color w:val="000000"/>
          <w:spacing w:val="15"/>
          <w:lang w:val="fr-FR" w:bidi="fr-FR"/>
        </w:rPr>
        <w:t xml:space="preserve"> </w:t>
      </w:r>
      <w:r w:rsidRPr="00C002AB">
        <w:rPr>
          <w:rFonts w:eastAsia="Arial" w:cs="Arial"/>
          <w:color w:val="000000"/>
          <w:lang w:val="fr-FR" w:bidi="fr-FR"/>
        </w:rPr>
        <w:t>réside</w:t>
      </w:r>
      <w:r w:rsidRPr="00C002AB">
        <w:rPr>
          <w:rFonts w:eastAsia="Arial" w:cs="Arial"/>
          <w:color w:val="000000"/>
          <w:spacing w:val="17"/>
          <w:lang w:val="fr-FR" w:bidi="fr-FR"/>
        </w:rPr>
        <w:t xml:space="preserve"> </w:t>
      </w:r>
      <w:r w:rsidRPr="00C002AB">
        <w:rPr>
          <w:rFonts w:eastAsia="Arial" w:cs="Arial"/>
          <w:color w:val="000000"/>
          <w:spacing w:val="-2"/>
          <w:lang w:val="fr-FR" w:bidi="fr-FR"/>
        </w:rPr>
        <w:t>dans</w:t>
      </w:r>
      <w:r w:rsidRPr="00C002AB">
        <w:rPr>
          <w:rFonts w:eastAsia="Arial" w:cs="Arial"/>
          <w:color w:val="000000"/>
          <w:spacing w:val="17"/>
          <w:lang w:val="fr-FR" w:bidi="fr-FR"/>
        </w:rPr>
        <w:t xml:space="preserve"> </w:t>
      </w:r>
      <w:r w:rsidRPr="00C002AB">
        <w:rPr>
          <w:rFonts w:eastAsia="Arial" w:cs="Arial"/>
          <w:color w:val="000000"/>
          <w:spacing w:val="-8"/>
          <w:lang w:val="fr-FR" w:bidi="fr-FR"/>
        </w:rPr>
        <w:t>le</w:t>
      </w:r>
      <w:r w:rsidRPr="00C002AB">
        <w:rPr>
          <w:rFonts w:ascii="Times New Roman" w:hAnsi="Times New Roman"/>
        </w:rPr>
        <w:t xml:space="preserve"> </w:t>
      </w:r>
      <w:r w:rsidRPr="00C002AB">
        <w:rPr>
          <w:rFonts w:eastAsia="Arial" w:cs="Arial"/>
          <w:color w:val="000000"/>
          <w:lang w:val="fr-FR" w:bidi="fr-FR"/>
        </w:rPr>
        <w:t>fait</w:t>
      </w:r>
      <w:r w:rsidRPr="00C002AB">
        <w:rPr>
          <w:rFonts w:eastAsia="Arial" w:cs="Arial"/>
          <w:color w:val="000000"/>
          <w:spacing w:val="39"/>
          <w:lang w:val="fr-FR" w:bidi="fr-FR"/>
        </w:rPr>
        <w:t xml:space="preserve"> </w:t>
      </w:r>
      <w:r w:rsidRPr="00C002AB">
        <w:rPr>
          <w:rFonts w:eastAsia="Arial" w:cs="Arial"/>
          <w:color w:val="000000"/>
          <w:lang w:val="fr-FR" w:bidi="fr-FR"/>
        </w:rPr>
        <w:t>que</w:t>
      </w:r>
      <w:r w:rsidRPr="00C002AB">
        <w:rPr>
          <w:rFonts w:eastAsia="Arial" w:cs="Arial"/>
          <w:color w:val="000000"/>
          <w:spacing w:val="41"/>
          <w:lang w:val="fr-FR" w:bidi="fr-FR"/>
        </w:rPr>
        <w:t xml:space="preserve"> </w:t>
      </w:r>
      <w:r w:rsidRPr="00C002AB">
        <w:rPr>
          <w:rFonts w:eastAsia="Arial" w:cs="Arial"/>
          <w:color w:val="000000"/>
          <w:spacing w:val="-2"/>
          <w:lang w:val="fr-FR" w:bidi="fr-FR"/>
        </w:rPr>
        <w:t>les</w:t>
      </w:r>
      <w:r w:rsidRPr="00C002AB">
        <w:rPr>
          <w:rFonts w:eastAsia="Arial" w:cs="Arial"/>
          <w:color w:val="000000"/>
          <w:spacing w:val="41"/>
          <w:lang w:val="fr-FR" w:bidi="fr-FR"/>
        </w:rPr>
        <w:t xml:space="preserve"> </w:t>
      </w:r>
      <w:r w:rsidRPr="00C002AB">
        <w:rPr>
          <w:rFonts w:eastAsia="Arial" w:cs="Arial"/>
          <w:color w:val="000000"/>
          <w:lang w:val="fr-FR" w:bidi="fr-FR"/>
        </w:rPr>
        <w:t>trois</w:t>
      </w:r>
      <w:r w:rsidRPr="00C002AB">
        <w:rPr>
          <w:rFonts w:eastAsia="Arial" w:cs="Arial"/>
          <w:color w:val="000000"/>
          <w:spacing w:val="41"/>
          <w:lang w:val="fr-FR" w:bidi="fr-FR"/>
        </w:rPr>
        <w:t xml:space="preserve"> </w:t>
      </w:r>
      <w:r w:rsidRPr="00C002AB">
        <w:rPr>
          <w:rFonts w:eastAsia="Arial" w:cs="Arial"/>
          <w:color w:val="000000"/>
          <w:spacing w:val="-1"/>
          <w:lang w:val="fr-FR" w:bidi="fr-FR"/>
        </w:rPr>
        <w:t>premières</w:t>
      </w:r>
      <w:r w:rsidRPr="00C002AB">
        <w:rPr>
          <w:rFonts w:eastAsia="Arial" w:cs="Arial"/>
          <w:color w:val="000000"/>
          <w:spacing w:val="41"/>
          <w:lang w:val="fr-FR" w:bidi="fr-FR"/>
        </w:rPr>
        <w:t xml:space="preserve"> </w:t>
      </w:r>
      <w:r w:rsidRPr="00C002AB">
        <w:rPr>
          <w:rFonts w:eastAsia="Arial" w:cs="Arial"/>
          <w:color w:val="000000"/>
          <w:spacing w:val="-1"/>
          <w:lang w:val="fr-FR" w:bidi="fr-FR"/>
        </w:rPr>
        <w:t>étapes</w:t>
      </w:r>
      <w:r w:rsidRPr="00C002AB">
        <w:rPr>
          <w:rFonts w:eastAsia="Arial" w:cs="Arial"/>
          <w:color w:val="000000"/>
          <w:spacing w:val="41"/>
          <w:lang w:val="fr-FR" w:bidi="fr-FR"/>
        </w:rPr>
        <w:t xml:space="preserve"> </w:t>
      </w:r>
      <w:r w:rsidRPr="00C002AB">
        <w:rPr>
          <w:rFonts w:eastAsia="Arial" w:cs="Arial"/>
          <w:color w:val="000000"/>
          <w:spacing w:val="-2"/>
          <w:lang w:val="fr-FR" w:bidi="fr-FR"/>
        </w:rPr>
        <w:t>de</w:t>
      </w:r>
      <w:r w:rsidRPr="00C002AB">
        <w:rPr>
          <w:rFonts w:eastAsia="Arial" w:cs="Arial"/>
          <w:color w:val="000000"/>
          <w:spacing w:val="41"/>
          <w:lang w:val="fr-FR" w:bidi="fr-FR"/>
        </w:rPr>
        <w:t xml:space="preserve"> </w:t>
      </w:r>
      <w:r w:rsidRPr="00C002AB">
        <w:rPr>
          <w:rFonts w:eastAsia="Arial" w:cs="Arial"/>
          <w:color w:val="000000"/>
          <w:lang w:val="fr-FR" w:bidi="fr-FR"/>
        </w:rPr>
        <w:t>l’analyse</w:t>
      </w:r>
      <w:r w:rsidRPr="00C002AB">
        <w:rPr>
          <w:rFonts w:eastAsia="Arial" w:cs="Arial"/>
          <w:color w:val="000000"/>
          <w:spacing w:val="41"/>
          <w:lang w:val="fr-FR" w:bidi="fr-FR"/>
        </w:rPr>
        <w:t xml:space="preserve"> </w:t>
      </w:r>
      <w:r w:rsidRPr="00C002AB">
        <w:rPr>
          <w:rFonts w:eastAsia="Arial" w:cs="Arial"/>
          <w:color w:val="000000"/>
          <w:lang w:val="fr-FR" w:bidi="fr-FR"/>
        </w:rPr>
        <w:t>proposée</w:t>
      </w:r>
      <w:r w:rsidRPr="00C002AB">
        <w:rPr>
          <w:rFonts w:eastAsia="Arial" w:cs="Arial"/>
          <w:color w:val="000000"/>
          <w:spacing w:val="41"/>
          <w:lang w:val="fr-FR" w:bidi="fr-FR"/>
        </w:rPr>
        <w:t xml:space="preserve"> </w:t>
      </w:r>
      <w:r w:rsidRPr="00C002AB">
        <w:rPr>
          <w:rFonts w:eastAsia="Arial" w:cs="Arial"/>
          <w:color w:val="000000"/>
          <w:spacing w:val="-1"/>
          <w:lang w:val="fr-FR" w:bidi="fr-FR"/>
        </w:rPr>
        <w:t>dans</w:t>
      </w:r>
      <w:r w:rsidRPr="00C002AB">
        <w:rPr>
          <w:rFonts w:eastAsia="Arial" w:cs="Arial"/>
          <w:color w:val="000000"/>
          <w:spacing w:val="39"/>
          <w:lang w:val="fr-FR" w:bidi="fr-FR"/>
        </w:rPr>
        <w:t xml:space="preserve"> </w:t>
      </w:r>
      <w:r w:rsidRPr="00C002AB">
        <w:rPr>
          <w:rFonts w:eastAsia="Arial" w:cs="Arial"/>
          <w:i/>
          <w:iCs/>
          <w:color w:val="000000"/>
          <w:lang w:val="fr-FR" w:bidi="fr-FR"/>
        </w:rPr>
        <w:t>Oakes</w:t>
      </w:r>
      <w:r w:rsidRPr="00C002AB">
        <w:rPr>
          <w:rFonts w:eastAsia="Arial" w:cs="Arial"/>
          <w:color w:val="000000"/>
          <w:spacing w:val="39"/>
          <w:lang w:val="fr-FR" w:bidi="fr-FR"/>
        </w:rPr>
        <w:t xml:space="preserve"> </w:t>
      </w:r>
      <w:r w:rsidRPr="00C002AB">
        <w:rPr>
          <w:rFonts w:eastAsia="Arial" w:cs="Arial"/>
          <w:color w:val="000000"/>
          <w:spacing w:val="-8"/>
          <w:lang w:val="fr-FR" w:bidi="fr-FR"/>
        </w:rPr>
        <w:t>se</w:t>
      </w:r>
      <w:r w:rsidRPr="00C002AB">
        <w:rPr>
          <w:rFonts w:ascii="Times New Roman" w:hAnsi="Times New Roman"/>
        </w:rPr>
        <w:t xml:space="preserve"> </w:t>
      </w:r>
      <w:r w:rsidRPr="00C002AB">
        <w:rPr>
          <w:rFonts w:eastAsia="Arial" w:cs="Arial"/>
          <w:color w:val="000000"/>
          <w:lang w:val="fr-FR" w:bidi="fr-FR"/>
        </w:rPr>
        <w:t>rattachent</w:t>
      </w:r>
      <w:r w:rsidRPr="00C002AB">
        <w:rPr>
          <w:rFonts w:eastAsia="Arial" w:cs="Arial"/>
          <w:color w:val="000000"/>
          <w:spacing w:val="10"/>
          <w:lang w:val="fr-FR" w:bidi="fr-FR"/>
        </w:rPr>
        <w:t xml:space="preserve"> </w:t>
      </w:r>
      <w:r w:rsidRPr="00C002AB">
        <w:rPr>
          <w:rFonts w:eastAsia="Arial" w:cs="Arial"/>
          <w:color w:val="000000"/>
          <w:lang w:val="fr-FR" w:bidi="fr-FR"/>
        </w:rPr>
        <w:t>à</w:t>
      </w:r>
      <w:r w:rsidRPr="00C002AB">
        <w:rPr>
          <w:rFonts w:eastAsia="Arial" w:cs="Arial"/>
          <w:color w:val="000000"/>
          <w:spacing w:val="9"/>
          <w:lang w:val="fr-FR" w:bidi="fr-FR"/>
        </w:rPr>
        <w:t xml:space="preserve"> </w:t>
      </w:r>
      <w:r w:rsidRPr="00C002AB">
        <w:rPr>
          <w:rFonts w:eastAsia="Arial" w:cs="Arial"/>
          <w:color w:val="000000"/>
          <w:lang w:val="fr-FR" w:bidi="fr-FR"/>
        </w:rPr>
        <w:t>une</w:t>
      </w:r>
      <w:r w:rsidRPr="00C002AB">
        <w:rPr>
          <w:rFonts w:eastAsia="Arial" w:cs="Arial"/>
          <w:color w:val="000000"/>
          <w:spacing w:val="9"/>
          <w:lang w:val="fr-FR" w:bidi="fr-FR"/>
        </w:rPr>
        <w:t xml:space="preserve"> </w:t>
      </w:r>
      <w:r w:rsidRPr="00C002AB">
        <w:rPr>
          <w:rFonts w:eastAsia="Arial" w:cs="Arial"/>
          <w:color w:val="000000"/>
          <w:lang w:val="fr-FR" w:bidi="fr-FR"/>
        </w:rPr>
        <w:t>appréciation</w:t>
      </w:r>
      <w:r w:rsidRPr="00C002AB">
        <w:rPr>
          <w:rFonts w:eastAsia="Arial" w:cs="Arial"/>
          <w:color w:val="000000"/>
          <w:spacing w:val="9"/>
          <w:lang w:val="fr-FR" w:bidi="fr-FR"/>
        </w:rPr>
        <w:t xml:space="preserve"> </w:t>
      </w:r>
      <w:r w:rsidRPr="00C002AB">
        <w:rPr>
          <w:rFonts w:eastAsia="Arial" w:cs="Arial"/>
          <w:color w:val="000000"/>
          <w:lang w:val="fr-FR" w:bidi="fr-FR"/>
        </w:rPr>
        <w:t>de</w:t>
      </w:r>
      <w:r w:rsidRPr="00C002AB">
        <w:rPr>
          <w:rFonts w:eastAsia="Arial" w:cs="Arial"/>
          <w:color w:val="000000"/>
          <w:spacing w:val="10"/>
          <w:lang w:val="fr-FR" w:bidi="fr-FR"/>
        </w:rPr>
        <w:t xml:space="preserve"> </w:t>
      </w:r>
      <w:r w:rsidRPr="00C002AB">
        <w:rPr>
          <w:rFonts w:eastAsia="Arial" w:cs="Arial"/>
          <w:color w:val="000000"/>
          <w:lang w:val="fr-FR" w:bidi="fr-FR"/>
        </w:rPr>
        <w:t>l’ob</w:t>
      </w:r>
      <w:r w:rsidRPr="00C002AB">
        <w:rPr>
          <w:rFonts w:eastAsia="Arial" w:cs="Arial"/>
          <w:color w:val="000000"/>
          <w:spacing w:val="1"/>
          <w:lang w:val="fr-FR" w:bidi="fr-FR"/>
        </w:rPr>
        <w:t>j</w:t>
      </w:r>
      <w:r w:rsidRPr="00C002AB">
        <w:rPr>
          <w:rFonts w:eastAsia="Arial" w:cs="Arial"/>
          <w:color w:val="000000"/>
          <w:lang w:val="fr-FR" w:bidi="fr-FR"/>
        </w:rPr>
        <w:t>ectif</w:t>
      </w:r>
      <w:r w:rsidRPr="00C002AB">
        <w:rPr>
          <w:rFonts w:eastAsia="Arial" w:cs="Arial"/>
          <w:color w:val="000000"/>
          <w:spacing w:val="10"/>
          <w:lang w:val="fr-FR" w:bidi="fr-FR"/>
        </w:rPr>
        <w:t xml:space="preserve"> </w:t>
      </w:r>
      <w:r w:rsidRPr="00C002AB">
        <w:rPr>
          <w:rFonts w:eastAsia="Arial" w:cs="Arial"/>
          <w:color w:val="000000"/>
          <w:lang w:val="fr-FR" w:bidi="fr-FR"/>
        </w:rPr>
        <w:t>de</w:t>
      </w:r>
      <w:r w:rsidRPr="00C002AB">
        <w:rPr>
          <w:rFonts w:eastAsia="Arial" w:cs="Arial"/>
          <w:color w:val="000000"/>
          <w:spacing w:val="10"/>
          <w:lang w:val="fr-FR" w:bidi="fr-FR"/>
        </w:rPr>
        <w:t xml:space="preserve"> </w:t>
      </w:r>
      <w:r w:rsidRPr="00C002AB">
        <w:rPr>
          <w:rFonts w:eastAsia="Arial" w:cs="Arial"/>
          <w:color w:val="000000"/>
          <w:lang w:val="fr-FR" w:bidi="fr-FR"/>
        </w:rPr>
        <w:t>la</w:t>
      </w:r>
      <w:r w:rsidRPr="00C002AB">
        <w:rPr>
          <w:rFonts w:eastAsia="Arial" w:cs="Arial"/>
          <w:color w:val="000000"/>
          <w:spacing w:val="7"/>
          <w:lang w:val="fr-FR" w:bidi="fr-FR"/>
        </w:rPr>
        <w:t xml:space="preserve"> </w:t>
      </w:r>
      <w:r w:rsidRPr="00C002AB">
        <w:rPr>
          <w:rFonts w:eastAsia="Arial" w:cs="Arial"/>
          <w:color w:val="000000"/>
          <w:lang w:val="fr-FR" w:bidi="fr-FR"/>
        </w:rPr>
        <w:t>mesure</w:t>
      </w:r>
      <w:r w:rsidRPr="00C002AB">
        <w:rPr>
          <w:rFonts w:eastAsia="Arial" w:cs="Arial"/>
          <w:color w:val="000000"/>
          <w:spacing w:val="10"/>
          <w:lang w:val="fr-FR" w:bidi="fr-FR"/>
        </w:rPr>
        <w:t xml:space="preserve"> </w:t>
      </w:r>
      <w:r w:rsidRPr="00C002AB">
        <w:rPr>
          <w:rFonts w:eastAsia="Arial" w:cs="Arial"/>
          <w:color w:val="000000"/>
          <w:lang w:val="fr-FR" w:bidi="fr-FR"/>
        </w:rPr>
        <w:t>législative.</w:t>
      </w:r>
      <w:r w:rsidRPr="00C002AB">
        <w:rPr>
          <w:rFonts w:eastAsia="Arial" w:cs="Arial"/>
          <w:color w:val="000000"/>
          <w:spacing w:val="10"/>
          <w:lang w:val="fr-FR" w:bidi="fr-FR"/>
        </w:rPr>
        <w:t xml:space="preserve"> </w:t>
      </w:r>
      <w:r w:rsidRPr="00C002AB">
        <w:rPr>
          <w:rFonts w:eastAsia="Arial" w:cs="Arial"/>
          <w:color w:val="000000"/>
          <w:lang w:val="fr-FR" w:bidi="fr-FR"/>
        </w:rPr>
        <w:t>Seule</w:t>
      </w:r>
      <w:r w:rsidRPr="00C002AB">
        <w:rPr>
          <w:rFonts w:eastAsia="Arial" w:cs="Arial"/>
          <w:color w:val="000000"/>
          <w:spacing w:val="9"/>
          <w:lang w:val="fr-FR" w:bidi="fr-FR"/>
        </w:rPr>
        <w:t xml:space="preserve"> </w:t>
      </w:r>
      <w:r w:rsidRPr="00C002AB">
        <w:rPr>
          <w:rFonts w:eastAsia="Arial" w:cs="Arial"/>
          <w:color w:val="000000"/>
          <w:spacing w:val="-9"/>
          <w:lang w:val="fr-FR" w:bidi="fr-FR"/>
        </w:rPr>
        <w:t>la</w:t>
      </w:r>
      <w:r w:rsidRPr="00C002AB">
        <w:rPr>
          <w:rFonts w:ascii="Times New Roman" w:hAnsi="Times New Roman"/>
        </w:rPr>
        <w:t xml:space="preserve"> </w:t>
      </w:r>
      <w:r w:rsidRPr="00C002AB">
        <w:rPr>
          <w:rFonts w:eastAsia="Arial" w:cs="Arial"/>
          <w:color w:val="000000"/>
          <w:lang w:val="fr-FR" w:bidi="fr-FR"/>
        </w:rPr>
        <w:t>quat</w:t>
      </w:r>
      <w:r w:rsidRPr="00C002AB">
        <w:rPr>
          <w:rFonts w:eastAsia="Arial" w:cs="Arial"/>
          <w:color w:val="000000"/>
          <w:spacing w:val="1"/>
          <w:lang w:val="fr-FR" w:bidi="fr-FR"/>
        </w:rPr>
        <w:t>r</w:t>
      </w:r>
      <w:r w:rsidRPr="00C002AB">
        <w:rPr>
          <w:rFonts w:eastAsia="Arial" w:cs="Arial"/>
          <w:color w:val="000000"/>
          <w:lang w:val="fr-FR" w:bidi="fr-FR"/>
        </w:rPr>
        <w:t>ième</w:t>
      </w:r>
      <w:r w:rsidRPr="00C002AB">
        <w:rPr>
          <w:rFonts w:eastAsia="Arial" w:cs="Arial"/>
          <w:color w:val="000000"/>
          <w:spacing w:val="6"/>
          <w:lang w:val="fr-FR" w:bidi="fr-FR"/>
        </w:rPr>
        <w:t xml:space="preserve"> </w:t>
      </w:r>
      <w:r w:rsidRPr="00C002AB">
        <w:rPr>
          <w:rFonts w:eastAsia="Arial" w:cs="Arial"/>
          <w:color w:val="000000"/>
          <w:lang w:val="fr-FR" w:bidi="fr-FR"/>
        </w:rPr>
        <w:t>étape tient pleinement</w:t>
      </w:r>
      <w:r w:rsidRPr="00C002AB">
        <w:rPr>
          <w:rFonts w:eastAsia="Arial" w:cs="Arial"/>
          <w:color w:val="000000"/>
          <w:spacing w:val="6"/>
          <w:lang w:val="fr-FR" w:bidi="fr-FR"/>
        </w:rPr>
        <w:t xml:space="preserve"> </w:t>
      </w:r>
      <w:r w:rsidRPr="00C002AB">
        <w:rPr>
          <w:rFonts w:eastAsia="Arial" w:cs="Arial"/>
          <w:color w:val="000000"/>
          <w:lang w:val="fr-FR" w:bidi="fr-FR"/>
        </w:rPr>
        <w:t xml:space="preserve">compte </w:t>
      </w:r>
      <w:r w:rsidRPr="00C002AB">
        <w:rPr>
          <w:rFonts w:eastAsia="Arial" w:cs="Arial"/>
          <w:color w:val="000000"/>
          <w:spacing w:val="-1"/>
          <w:lang w:val="fr-FR" w:bidi="fr-FR"/>
        </w:rPr>
        <w:t xml:space="preserve">de </w:t>
      </w:r>
      <w:r w:rsidRPr="00C002AB">
        <w:rPr>
          <w:rFonts w:eastAsia="Arial" w:cs="Arial"/>
          <w:color w:val="000000"/>
          <w:lang w:val="fr-FR" w:bidi="fr-FR"/>
        </w:rPr>
        <w:t>«</w:t>
      </w:r>
      <w:r w:rsidRPr="00C002AB">
        <w:rPr>
          <w:rFonts w:eastAsia="Arial" w:cs="Arial"/>
          <w:color w:val="000000"/>
          <w:spacing w:val="6"/>
          <w:lang w:val="fr-FR" w:bidi="fr-FR"/>
        </w:rPr>
        <w:t xml:space="preserve"> </w:t>
      </w:r>
      <w:r w:rsidRPr="00C002AB">
        <w:rPr>
          <w:rFonts w:eastAsia="Arial" w:cs="Arial"/>
          <w:color w:val="000000"/>
          <w:spacing w:val="3"/>
          <w:lang w:val="fr-FR" w:bidi="fr-FR"/>
        </w:rPr>
        <w:t>l</w:t>
      </w:r>
      <w:r w:rsidRPr="00C002AB">
        <w:rPr>
          <w:rFonts w:eastAsia="Arial" w:cs="Arial"/>
          <w:color w:val="000000"/>
          <w:lang w:val="fr-FR" w:bidi="fr-FR"/>
        </w:rPr>
        <w:t>a gravité</w:t>
      </w:r>
      <w:r w:rsidRPr="00C002AB">
        <w:rPr>
          <w:rFonts w:eastAsia="Arial" w:cs="Arial"/>
          <w:color w:val="000000"/>
          <w:spacing w:val="4"/>
          <w:lang w:val="fr-FR" w:bidi="fr-FR"/>
        </w:rPr>
        <w:t xml:space="preserve"> </w:t>
      </w:r>
      <w:r w:rsidRPr="00C002AB">
        <w:rPr>
          <w:rFonts w:eastAsia="Arial" w:cs="Arial"/>
          <w:color w:val="000000"/>
          <w:lang w:val="fr-FR" w:bidi="fr-FR"/>
        </w:rPr>
        <w:t>de</w:t>
      </w:r>
      <w:r w:rsidRPr="00C002AB">
        <w:rPr>
          <w:rFonts w:eastAsia="Arial" w:cs="Arial"/>
          <w:color w:val="000000"/>
          <w:spacing w:val="6"/>
          <w:lang w:val="fr-FR" w:bidi="fr-FR"/>
        </w:rPr>
        <w:t xml:space="preserve"> </w:t>
      </w:r>
      <w:r w:rsidRPr="00C002AB">
        <w:rPr>
          <w:rFonts w:eastAsia="Arial" w:cs="Arial"/>
          <w:color w:val="000000"/>
          <w:lang w:val="fr-FR" w:bidi="fr-FR"/>
        </w:rPr>
        <w:t>ses</w:t>
      </w:r>
      <w:r w:rsidRPr="00C002AB">
        <w:rPr>
          <w:rFonts w:eastAsia="Arial" w:cs="Arial"/>
          <w:color w:val="000000"/>
          <w:spacing w:val="6"/>
          <w:lang w:val="fr-FR" w:bidi="fr-FR"/>
        </w:rPr>
        <w:t xml:space="preserve"> </w:t>
      </w:r>
      <w:r w:rsidRPr="00C002AB">
        <w:rPr>
          <w:rFonts w:eastAsia="Arial" w:cs="Arial"/>
          <w:color w:val="000000"/>
          <w:spacing w:val="-4"/>
          <w:lang w:val="fr-FR" w:bidi="fr-FR"/>
        </w:rPr>
        <w:t>effets</w:t>
      </w:r>
      <w:r w:rsidRPr="00C002AB">
        <w:rPr>
          <w:rFonts w:ascii="Times New Roman" w:hAnsi="Times New Roman"/>
        </w:rPr>
        <w:t xml:space="preserve"> </w:t>
      </w:r>
      <w:r w:rsidRPr="00C002AB">
        <w:rPr>
          <w:rFonts w:eastAsia="Arial" w:cs="Arial"/>
          <w:color w:val="000000"/>
          <w:lang w:val="fr-FR" w:bidi="fr-FR"/>
        </w:rPr>
        <w:t>pré</w:t>
      </w:r>
      <w:r w:rsidRPr="00C002AB">
        <w:rPr>
          <w:rFonts w:eastAsia="Arial" w:cs="Arial"/>
          <w:color w:val="000000"/>
          <w:spacing w:val="1"/>
          <w:lang w:val="fr-FR" w:bidi="fr-FR"/>
        </w:rPr>
        <w:t>j</w:t>
      </w:r>
      <w:r w:rsidRPr="00C002AB">
        <w:rPr>
          <w:rFonts w:eastAsia="Arial" w:cs="Arial"/>
          <w:color w:val="000000"/>
          <w:spacing w:val="-1"/>
          <w:lang w:val="fr-FR" w:bidi="fr-FR"/>
        </w:rPr>
        <w:t>udiciables sur des particuliers ou sur des groupes »</w:t>
      </w:r>
      <w:r>
        <w:rPr>
          <w:rFonts w:eastAsia="Arial" w:cs="Arial"/>
          <w:color w:val="000000"/>
          <w:spacing w:val="-1"/>
          <w:sz w:val="22"/>
          <w:szCs w:val="22"/>
          <w:lang w:val="fr-FR" w:bidi="fr-FR"/>
        </w:rPr>
        <w:t>.</w:t>
      </w:r>
      <w:r w:rsidR="00610473">
        <w:rPr>
          <w:rFonts w:eastAsia="Arial" w:cs="Arial"/>
          <w:color w:val="000000"/>
          <w:spacing w:val="-1"/>
          <w:sz w:val="22"/>
          <w:szCs w:val="22"/>
          <w:lang w:val="fr-FR" w:bidi="fr-FR"/>
        </w:rPr>
        <w:t xml:space="preserve"> </w:t>
      </w:r>
      <w:r w:rsidR="00610473" w:rsidRPr="00C002AB">
        <w:rPr>
          <w:rFonts w:eastAsia="Arial" w:cs="Arial"/>
          <w:color w:val="000000"/>
          <w:spacing w:val="-1"/>
          <w:sz w:val="22"/>
          <w:szCs w:val="22"/>
          <w:lang w:val="fr-FR" w:bidi="fr-FR"/>
        </w:rPr>
        <w:t>[…]</w:t>
      </w:r>
    </w:p>
    <w:p w14:paraId="109ECDCF" w14:textId="7AC79C69" w:rsidR="00312474" w:rsidRDefault="006E0503" w:rsidP="00312474">
      <w:pPr>
        <w:pStyle w:val="corpsdedcision"/>
        <w:rPr>
          <w:lang w:eastAsia="fr-FR"/>
        </w:rPr>
      </w:pPr>
      <w:r>
        <w:rPr>
          <w:lang w:eastAsia="fr-FR"/>
        </w:rPr>
        <w:t xml:space="preserve">Il faut se demander s’il y </w:t>
      </w:r>
      <w:r w:rsidR="00782021">
        <w:rPr>
          <w:lang w:eastAsia="fr-FR"/>
        </w:rPr>
        <w:t xml:space="preserve">a </w:t>
      </w:r>
      <w:r>
        <w:rPr>
          <w:lang w:eastAsia="fr-FR"/>
        </w:rPr>
        <w:t>proportionnalité entre les effets de la mesure q</w:t>
      </w:r>
      <w:r w:rsidR="00782021">
        <w:rPr>
          <w:lang w:eastAsia="fr-FR"/>
        </w:rPr>
        <w:t>u</w:t>
      </w:r>
      <w:r>
        <w:rPr>
          <w:lang w:eastAsia="fr-FR"/>
        </w:rPr>
        <w:t>i porte atteinte à la Charte canadienne et l’objectif législatif</w:t>
      </w:r>
      <w:r w:rsidR="00782021">
        <w:rPr>
          <w:rStyle w:val="Appelnotedebasdep"/>
          <w:lang w:eastAsia="fr-FR"/>
        </w:rPr>
        <w:footnoteReference w:id="190"/>
      </w:r>
      <w:r>
        <w:rPr>
          <w:lang w:eastAsia="fr-FR"/>
        </w:rPr>
        <w:t xml:space="preserve">. </w:t>
      </w:r>
      <w:r w:rsidR="00782021">
        <w:rPr>
          <w:lang w:eastAsia="fr-FR"/>
        </w:rPr>
        <w:t>À cette fin, le Tribunal e</w:t>
      </w:r>
      <w:r>
        <w:rPr>
          <w:lang w:eastAsia="fr-FR"/>
        </w:rPr>
        <w:t>xaminer</w:t>
      </w:r>
      <w:r w:rsidR="00782021">
        <w:rPr>
          <w:lang w:eastAsia="fr-FR"/>
        </w:rPr>
        <w:t>a</w:t>
      </w:r>
      <w:r>
        <w:rPr>
          <w:lang w:eastAsia="fr-FR"/>
        </w:rPr>
        <w:t xml:space="preserve"> </w:t>
      </w:r>
      <w:r w:rsidR="00312474">
        <w:rPr>
          <w:lang w:eastAsia="fr-FR"/>
        </w:rPr>
        <w:t xml:space="preserve">les effets bénéfiques </w:t>
      </w:r>
      <w:r w:rsidR="00782021">
        <w:rPr>
          <w:lang w:eastAsia="fr-FR"/>
        </w:rPr>
        <w:t>découlant de l’objectif législatif</w:t>
      </w:r>
      <w:r w:rsidR="00312474">
        <w:rPr>
          <w:lang w:eastAsia="fr-FR"/>
        </w:rPr>
        <w:t xml:space="preserve">, puis les effets préjudiciables </w:t>
      </w:r>
      <w:r w:rsidR="00782021">
        <w:rPr>
          <w:lang w:eastAsia="fr-FR"/>
        </w:rPr>
        <w:t xml:space="preserve">sur les salariés et le syndicat </w:t>
      </w:r>
      <w:r w:rsidR="00312474">
        <w:rPr>
          <w:lang w:eastAsia="fr-FR"/>
        </w:rPr>
        <w:t>et enfin procéder</w:t>
      </w:r>
      <w:r w:rsidR="00782021">
        <w:rPr>
          <w:lang w:eastAsia="fr-FR"/>
        </w:rPr>
        <w:t>a</w:t>
      </w:r>
      <w:r w:rsidR="00312474">
        <w:rPr>
          <w:lang w:eastAsia="fr-FR"/>
        </w:rPr>
        <w:t xml:space="preserve"> à une pondération.</w:t>
      </w:r>
    </w:p>
    <w:p w14:paraId="1AF0D9A0" w14:textId="592A442A" w:rsidR="00161CFA" w:rsidRDefault="00312474" w:rsidP="00312474">
      <w:pPr>
        <w:pStyle w:val="corpsdedcision"/>
        <w:rPr>
          <w:lang w:eastAsia="fr-FR"/>
        </w:rPr>
      </w:pPr>
      <w:r>
        <w:rPr>
          <w:lang w:eastAsia="fr-FR"/>
        </w:rPr>
        <w:t xml:space="preserve">Aucune preuve n’a été administrée </w:t>
      </w:r>
      <w:r w:rsidR="007E726E">
        <w:rPr>
          <w:lang w:eastAsia="fr-FR"/>
        </w:rPr>
        <w:t xml:space="preserve">par le PGQ </w:t>
      </w:r>
      <w:r>
        <w:rPr>
          <w:lang w:eastAsia="fr-FR"/>
        </w:rPr>
        <w:t xml:space="preserve">sur les effets bénéfiques du régime, que ce soit de façon générale ou dans le présent dossier à la suite de l’assujettissement des parties. </w:t>
      </w:r>
      <w:r w:rsidR="00161CFA">
        <w:rPr>
          <w:lang w:eastAsia="fr-FR"/>
        </w:rPr>
        <w:t xml:space="preserve">Dans l’arrêt </w:t>
      </w:r>
      <w:r w:rsidR="00161CFA" w:rsidRPr="00F90A34">
        <w:rPr>
          <w:i/>
          <w:iCs/>
          <w:lang w:eastAsia="fr-FR"/>
        </w:rPr>
        <w:t>Hutterian</w:t>
      </w:r>
      <w:r w:rsidR="000C58F6">
        <w:rPr>
          <w:i/>
          <w:iCs/>
          <w:lang w:eastAsia="fr-FR"/>
        </w:rPr>
        <w:t xml:space="preserve"> Brethren</w:t>
      </w:r>
      <w:r w:rsidR="000C58F6" w:rsidRPr="00C002AB">
        <w:rPr>
          <w:rStyle w:val="Appelnotedebasdep"/>
          <w:lang w:eastAsia="fr-FR"/>
        </w:rPr>
        <w:footnoteReference w:id="191"/>
      </w:r>
      <w:r w:rsidR="00161CFA">
        <w:rPr>
          <w:lang w:eastAsia="fr-FR"/>
        </w:rPr>
        <w:t xml:space="preserve">, la Cour suprême juge que l’État n’est pas tenu de démontrer que les mesures législatives auront effectivement les effets bénéfiques escomptés, mais que logiquement et selon la preuve, elles pourraient s’avérer bénéfiques. Dans </w:t>
      </w:r>
      <w:r w:rsidR="00685AC3">
        <w:rPr>
          <w:lang w:eastAsia="fr-FR"/>
        </w:rPr>
        <w:t xml:space="preserve">l’arrêt </w:t>
      </w:r>
      <w:r w:rsidR="00161CFA" w:rsidRPr="00161CFA">
        <w:rPr>
          <w:i/>
          <w:iCs/>
          <w:lang w:eastAsia="fr-FR"/>
        </w:rPr>
        <w:t>Frank</w:t>
      </w:r>
      <w:r w:rsidR="00685AC3" w:rsidRPr="00C002AB">
        <w:rPr>
          <w:rStyle w:val="Appelnotedebasdep"/>
          <w:lang w:eastAsia="fr-FR"/>
        </w:rPr>
        <w:footnoteReference w:id="192"/>
      </w:r>
      <w:r w:rsidR="00161CFA" w:rsidRPr="00734638">
        <w:rPr>
          <w:lang w:eastAsia="fr-FR"/>
        </w:rPr>
        <w:t>,</w:t>
      </w:r>
      <w:r w:rsidR="00161CFA">
        <w:rPr>
          <w:lang w:eastAsia="fr-FR"/>
        </w:rPr>
        <w:t xml:space="preserve"> la Cour a considéré illusoires les effets bénéfiques recherchés par la loi considérant le peu d’éléments de preuve concret</w:t>
      </w:r>
      <w:r w:rsidR="002C60D3">
        <w:rPr>
          <w:lang w:eastAsia="fr-FR"/>
        </w:rPr>
        <w:t>s</w:t>
      </w:r>
      <w:r w:rsidR="00161CFA">
        <w:rPr>
          <w:lang w:eastAsia="fr-FR"/>
        </w:rPr>
        <w:t xml:space="preserve"> ou d’argument</w:t>
      </w:r>
      <w:r w:rsidR="002C60D3">
        <w:rPr>
          <w:lang w:eastAsia="fr-FR"/>
        </w:rPr>
        <w:t>s</w:t>
      </w:r>
      <w:r w:rsidR="00161CFA">
        <w:rPr>
          <w:lang w:eastAsia="fr-FR"/>
        </w:rPr>
        <w:t xml:space="preserve"> logiques démontrant les effets bénéfiques réels découlant des restrictions au droit de vote.</w:t>
      </w:r>
    </w:p>
    <w:p w14:paraId="463A1DED" w14:textId="1D552393" w:rsidR="00161CFA" w:rsidRDefault="00312474" w:rsidP="00312474">
      <w:pPr>
        <w:pStyle w:val="corpsdedcision"/>
        <w:rPr>
          <w:lang w:eastAsia="fr-FR"/>
        </w:rPr>
      </w:pPr>
      <w:r>
        <w:rPr>
          <w:lang w:eastAsia="fr-FR"/>
        </w:rPr>
        <w:t xml:space="preserve">Évidemment, </w:t>
      </w:r>
      <w:r w:rsidR="00161CFA">
        <w:rPr>
          <w:lang w:eastAsia="fr-FR"/>
        </w:rPr>
        <w:t xml:space="preserve">on peut penser que la fourniture de services pendant une grève va diminuer ses impacts sur la </w:t>
      </w:r>
      <w:r w:rsidR="00782021">
        <w:rPr>
          <w:lang w:eastAsia="fr-FR"/>
        </w:rPr>
        <w:t>population</w:t>
      </w:r>
      <w:r w:rsidR="00161CFA">
        <w:rPr>
          <w:lang w:eastAsia="fr-FR"/>
        </w:rPr>
        <w:t>.</w:t>
      </w:r>
      <w:r w:rsidR="00782021">
        <w:rPr>
          <w:lang w:eastAsia="fr-FR"/>
        </w:rPr>
        <w:t xml:space="preserve"> D’ailleurs, le syndicat et les parties intervenantes ont plaidé précédemment qu’en limitant les inconvénients sur les tiers, le régime des SBEP entrave l’essence même de la grève.</w:t>
      </w:r>
    </w:p>
    <w:p w14:paraId="33451196" w14:textId="4E290224" w:rsidR="00782021" w:rsidRDefault="002C60D3" w:rsidP="00312474">
      <w:pPr>
        <w:pStyle w:val="corpsdedcision"/>
        <w:rPr>
          <w:lang w:eastAsia="fr-FR"/>
        </w:rPr>
      </w:pPr>
      <w:r>
        <w:rPr>
          <w:lang w:eastAsia="fr-FR"/>
        </w:rPr>
        <w:t>Dans le cas présent, i</w:t>
      </w:r>
      <w:r w:rsidR="00782021">
        <w:rPr>
          <w:lang w:eastAsia="fr-FR"/>
        </w:rPr>
        <w:t>l</w:t>
      </w:r>
      <w:r w:rsidR="00B83FEE">
        <w:rPr>
          <w:lang w:eastAsia="fr-FR"/>
        </w:rPr>
        <w:t xml:space="preserve"> est probable </w:t>
      </w:r>
      <w:r w:rsidR="00312474">
        <w:rPr>
          <w:lang w:eastAsia="fr-FR"/>
        </w:rPr>
        <w:t>que la reprise partielle des services de garde a</w:t>
      </w:r>
      <w:r w:rsidR="00962A7D">
        <w:rPr>
          <w:lang w:eastAsia="fr-FR"/>
        </w:rPr>
        <w:t>it</w:t>
      </w:r>
      <w:r w:rsidR="00312474">
        <w:rPr>
          <w:lang w:eastAsia="fr-FR"/>
        </w:rPr>
        <w:t xml:space="preserve"> permis de pallier certains préjudices, en particulier pour les parents vulnérables et les enfants faisant l’objet d’un suivi par </w:t>
      </w:r>
      <w:r w:rsidR="00312474" w:rsidRPr="00A0323F">
        <w:rPr>
          <w:lang w:eastAsia="fr-FR"/>
        </w:rPr>
        <w:t>l</w:t>
      </w:r>
      <w:r w:rsidR="00A0323F" w:rsidRPr="00A0323F">
        <w:rPr>
          <w:lang w:eastAsia="fr-FR"/>
        </w:rPr>
        <w:t xml:space="preserve">a </w:t>
      </w:r>
      <w:r w:rsidR="00A0323F">
        <w:rPr>
          <w:lang w:eastAsia="fr-FR"/>
        </w:rPr>
        <w:t>D</w:t>
      </w:r>
      <w:r w:rsidR="00A0323F" w:rsidRPr="00A0323F">
        <w:rPr>
          <w:lang w:eastAsia="fr-FR"/>
        </w:rPr>
        <w:t xml:space="preserve">irection de la protection de la jeunesse, </w:t>
      </w:r>
      <w:r w:rsidR="00A0323F">
        <w:rPr>
          <w:lang w:eastAsia="fr-FR"/>
        </w:rPr>
        <w:t>bénéficiant de mesures d’intégration pour des besoins particuliers ou ayant été référé</w:t>
      </w:r>
      <w:r w:rsidR="007D2529">
        <w:rPr>
          <w:lang w:eastAsia="fr-FR"/>
        </w:rPr>
        <w:t>s</w:t>
      </w:r>
      <w:r w:rsidR="00A0323F">
        <w:rPr>
          <w:lang w:eastAsia="fr-FR"/>
        </w:rPr>
        <w:t xml:space="preserve"> par une intervenante du Centre local de services communautaires</w:t>
      </w:r>
      <w:r w:rsidR="00312474">
        <w:rPr>
          <w:lang w:eastAsia="fr-FR"/>
        </w:rPr>
        <w:t>.</w:t>
      </w:r>
    </w:p>
    <w:p w14:paraId="287B477D" w14:textId="77777777" w:rsidR="00782021" w:rsidRDefault="00312474" w:rsidP="000B1929">
      <w:pPr>
        <w:pStyle w:val="corpsdedcision"/>
        <w:spacing w:before="360"/>
        <w:rPr>
          <w:lang w:eastAsia="fr-FR"/>
        </w:rPr>
      </w:pPr>
      <w:r>
        <w:rPr>
          <w:lang w:eastAsia="fr-FR"/>
        </w:rPr>
        <w:t xml:space="preserve">Cependant, </w:t>
      </w:r>
      <w:r w:rsidR="00782021">
        <w:rPr>
          <w:lang w:eastAsia="fr-FR"/>
        </w:rPr>
        <w:t>la preuve a aussi démontré des effets négatifs sur la population découlant du régime des SBEP.</w:t>
      </w:r>
    </w:p>
    <w:p w14:paraId="6B71D32F" w14:textId="63000D25" w:rsidR="006363ED" w:rsidRPr="00AE62E7" w:rsidRDefault="006363ED" w:rsidP="000B1929">
      <w:pPr>
        <w:pStyle w:val="corpsdedcision"/>
        <w:spacing w:before="360"/>
        <w:rPr>
          <w:lang w:eastAsia="fr-FR"/>
        </w:rPr>
      </w:pPr>
      <w:r w:rsidRPr="00AE62E7">
        <w:rPr>
          <w:lang w:eastAsia="fr-FR"/>
        </w:rPr>
        <w:t xml:space="preserve">Comme le régime des SBEP accentue le déséquilibre des forces, </w:t>
      </w:r>
      <w:r>
        <w:rPr>
          <w:lang w:eastAsia="fr-FR"/>
        </w:rPr>
        <w:t>cela</w:t>
      </w:r>
      <w:r w:rsidRPr="00AE62E7">
        <w:rPr>
          <w:lang w:eastAsia="fr-FR"/>
        </w:rPr>
        <w:t xml:space="preserve"> favorise l’allongement du conflit de travail</w:t>
      </w:r>
      <w:r>
        <w:rPr>
          <w:lang w:eastAsia="fr-FR"/>
        </w:rPr>
        <w:t xml:space="preserve"> et son enlisement</w:t>
      </w:r>
      <w:r w:rsidRPr="00AE62E7">
        <w:rPr>
          <w:lang w:eastAsia="fr-FR"/>
        </w:rPr>
        <w:t xml:space="preserve">. La population subira donc les effets de la grève pendant plus longtemps. Même si les parties sont ultimement assujetties au maintien de SBEP, dans la mesure où le droit de grève n’est pas complètement retiré, </w:t>
      </w:r>
      <w:r w:rsidRPr="00282E4F">
        <w:rPr>
          <w:lang w:eastAsia="fr-FR"/>
        </w:rPr>
        <w:t>la</w:t>
      </w:r>
      <w:r w:rsidR="00282E4F">
        <w:t> </w:t>
      </w:r>
      <w:r w:rsidRPr="00282E4F">
        <w:rPr>
          <w:lang w:eastAsia="fr-FR"/>
        </w:rPr>
        <w:t>population</w:t>
      </w:r>
      <w:r w:rsidRPr="00AE62E7">
        <w:rPr>
          <w:lang w:eastAsia="fr-FR"/>
        </w:rPr>
        <w:t xml:space="preserve"> continue de subir des inconvénients, qui peuvent perdurer davantage justement en raison de l’érosion de l’impact de la grève.</w:t>
      </w:r>
    </w:p>
    <w:p w14:paraId="08BF9582" w14:textId="7D097A9B" w:rsidR="006363ED" w:rsidRPr="00AE62E7" w:rsidRDefault="006363ED" w:rsidP="000B1929">
      <w:pPr>
        <w:pStyle w:val="corpsdedcision"/>
        <w:spacing w:before="360"/>
        <w:rPr>
          <w:lang w:eastAsia="fr-FR"/>
        </w:rPr>
      </w:pPr>
      <w:r w:rsidRPr="00AE62E7">
        <w:rPr>
          <w:lang w:eastAsia="fr-FR"/>
        </w:rPr>
        <w:t>Cet effet du régime est lié à la stratégie attentiste qu’il entraine et au concept du « </w:t>
      </w:r>
      <w:r w:rsidRPr="00AE62E7">
        <w:rPr>
          <w:rStyle w:val="Citationintgre"/>
          <w:lang w:eastAsia="fr-FR"/>
        </w:rPr>
        <w:t>chilling effect</w:t>
      </w:r>
      <w:r w:rsidRPr="00AE62E7">
        <w:rPr>
          <w:lang w:eastAsia="fr-FR"/>
        </w:rPr>
        <w:t> », qui ont été abordés précédemment. Les experts Laroche et Jalette remarquent que les négociations ont tendance à s’allonger davantage lorsque l’État peut intervenir pour limiter le droit de grève</w:t>
      </w:r>
      <w:r w:rsidRPr="00AE62E7">
        <w:rPr>
          <w:rStyle w:val="Appelnotedebasdep"/>
          <w:lang w:eastAsia="fr-FR"/>
        </w:rPr>
        <w:footnoteReference w:id="193"/>
      </w:r>
      <w:r w:rsidRPr="00AE62E7">
        <w:rPr>
          <w:lang w:eastAsia="fr-FR"/>
        </w:rPr>
        <w:t>.</w:t>
      </w:r>
    </w:p>
    <w:p w14:paraId="29C73581" w14:textId="48F7DE96" w:rsidR="00782021" w:rsidRDefault="006363ED" w:rsidP="000B1929">
      <w:pPr>
        <w:pStyle w:val="corpsdedcision"/>
        <w:spacing w:before="360"/>
        <w:rPr>
          <w:lang w:eastAsia="fr-FR"/>
        </w:rPr>
      </w:pPr>
      <w:r w:rsidRPr="00AE62E7">
        <w:rPr>
          <w:lang w:eastAsia="fr-FR"/>
        </w:rPr>
        <w:t xml:space="preserve">Dans le présent dossier, près de cinq mois se sont écoulés avant que les parents et les enfants n’obtiennent des services minimaux de garde. Malgré le maintien de tels services, </w:t>
      </w:r>
      <w:r w:rsidRPr="00734638">
        <w:rPr>
          <w:lang w:eastAsia="fr-FR"/>
        </w:rPr>
        <w:t xml:space="preserve">l’établissement de l’employeur </w:t>
      </w:r>
      <w:r w:rsidR="00E06723">
        <w:rPr>
          <w:lang w:eastAsia="fr-FR"/>
        </w:rPr>
        <w:t>demeure</w:t>
      </w:r>
      <w:r w:rsidR="00E06723" w:rsidRPr="00734638">
        <w:rPr>
          <w:lang w:eastAsia="fr-FR"/>
        </w:rPr>
        <w:t xml:space="preserve"> </w:t>
      </w:r>
      <w:r w:rsidRPr="00734638">
        <w:rPr>
          <w:lang w:eastAsia="fr-FR"/>
        </w:rPr>
        <w:t>toujours fermé les lundis et mardis</w:t>
      </w:r>
      <w:r w:rsidR="00E06723">
        <w:rPr>
          <w:lang w:eastAsia="fr-FR"/>
        </w:rPr>
        <w:t>, avec des</w:t>
      </w:r>
      <w:r w:rsidRPr="00734638">
        <w:rPr>
          <w:lang w:eastAsia="fr-FR"/>
        </w:rPr>
        <w:t xml:space="preserve"> heures d’ouverture </w:t>
      </w:r>
      <w:r w:rsidR="00E06723">
        <w:rPr>
          <w:lang w:eastAsia="fr-FR"/>
        </w:rPr>
        <w:t>réduites l</w:t>
      </w:r>
      <w:r w:rsidR="00E06723" w:rsidRPr="00734638">
        <w:rPr>
          <w:lang w:eastAsia="fr-FR"/>
        </w:rPr>
        <w:t xml:space="preserve">es </w:t>
      </w:r>
      <w:r w:rsidRPr="00734638">
        <w:rPr>
          <w:lang w:eastAsia="fr-FR"/>
        </w:rPr>
        <w:t>mercredis, jeudis et vendredis</w:t>
      </w:r>
      <w:r w:rsidRPr="00AE62E7">
        <w:rPr>
          <w:lang w:eastAsia="fr-FR"/>
        </w:rPr>
        <w:t xml:space="preserve">. Aussi, les parents et enfants continuent à subir </w:t>
      </w:r>
      <w:r w:rsidR="00F27B68">
        <w:rPr>
          <w:lang w:eastAsia="fr-FR"/>
        </w:rPr>
        <w:t>l</w:t>
      </w:r>
      <w:r w:rsidRPr="00AE62E7">
        <w:rPr>
          <w:lang w:eastAsia="fr-FR"/>
        </w:rPr>
        <w:t>es inconvénients du conflit.</w:t>
      </w:r>
    </w:p>
    <w:p w14:paraId="4EDCC65B" w14:textId="176E283F" w:rsidR="006363ED" w:rsidRDefault="006363ED" w:rsidP="000B1929">
      <w:pPr>
        <w:pStyle w:val="corpsdedcision"/>
        <w:spacing w:before="360"/>
        <w:rPr>
          <w:lang w:eastAsia="fr-FR"/>
        </w:rPr>
      </w:pPr>
      <w:r>
        <w:rPr>
          <w:lang w:eastAsia="fr-FR"/>
        </w:rPr>
        <w:t>Les</w:t>
      </w:r>
      <w:r w:rsidR="00312474">
        <w:rPr>
          <w:lang w:eastAsia="fr-FR"/>
        </w:rPr>
        <w:t xml:space="preserve"> demandes de redressement déposées par des parents démontrent que certains considèrent toujours que les services rétablis sont insuffisants.</w:t>
      </w:r>
    </w:p>
    <w:p w14:paraId="374A41C9" w14:textId="2F89C070" w:rsidR="00312474" w:rsidRDefault="007E726E" w:rsidP="000B1929">
      <w:pPr>
        <w:pStyle w:val="corpsdedcision"/>
        <w:spacing w:before="360"/>
        <w:rPr>
          <w:lang w:eastAsia="fr-FR"/>
        </w:rPr>
      </w:pPr>
      <w:r>
        <w:rPr>
          <w:lang w:eastAsia="fr-FR"/>
        </w:rPr>
        <w:t>La preuve a aussi établi que d</w:t>
      </w:r>
      <w:r w:rsidR="00B330D6">
        <w:rPr>
          <w:lang w:eastAsia="fr-FR"/>
        </w:rPr>
        <w:t xml:space="preserve">es éducatrices ont préféré démissionner </w:t>
      </w:r>
      <w:r w:rsidR="00F27B68">
        <w:rPr>
          <w:lang w:eastAsia="fr-FR"/>
        </w:rPr>
        <w:t xml:space="preserve">plutôt </w:t>
      </w:r>
      <w:r w:rsidR="00B330D6">
        <w:rPr>
          <w:lang w:eastAsia="fr-FR"/>
        </w:rPr>
        <w:t xml:space="preserve">que reprendre le travail dans ces conditions. Des tensions entachent malheureusement les relations </w:t>
      </w:r>
      <w:r w:rsidR="007D2529">
        <w:rPr>
          <w:lang w:eastAsia="fr-FR"/>
        </w:rPr>
        <w:t xml:space="preserve">entre </w:t>
      </w:r>
      <w:r w:rsidR="00B330D6">
        <w:rPr>
          <w:lang w:eastAsia="fr-FR"/>
        </w:rPr>
        <w:t xml:space="preserve">parents et éducatrices. C’est d’ailleurs la directrice générale ou son adjointe qui </w:t>
      </w:r>
      <w:r w:rsidR="00F313AA">
        <w:rPr>
          <w:lang w:eastAsia="fr-FR"/>
        </w:rPr>
        <w:t>est</w:t>
      </w:r>
      <w:r w:rsidR="00B330D6">
        <w:rPr>
          <w:lang w:eastAsia="fr-FR"/>
        </w:rPr>
        <w:t xml:space="preserve"> présente à l’arrivée et au départ des enfants plutôt qu’une éducatrice comme d’habitude, afin de réduire les contacts directs.</w:t>
      </w:r>
    </w:p>
    <w:p w14:paraId="73185844" w14:textId="61EA391D" w:rsidR="00312474" w:rsidRDefault="00312474" w:rsidP="000B1929">
      <w:pPr>
        <w:pStyle w:val="corpsdedcision"/>
        <w:spacing w:before="360"/>
        <w:rPr>
          <w:lang w:eastAsia="fr-FR"/>
        </w:rPr>
      </w:pPr>
      <w:r>
        <w:rPr>
          <w:lang w:eastAsia="fr-FR"/>
        </w:rPr>
        <w:t xml:space="preserve">Quant aux effets positifs de la grève qui ne sont pas pris en compte par le régime des SBEP, le Tribunal en a traité </w:t>
      </w:r>
      <w:r w:rsidR="00D70C23">
        <w:rPr>
          <w:lang w:eastAsia="fr-FR"/>
        </w:rPr>
        <w:t xml:space="preserve">aux paragraphes </w:t>
      </w:r>
      <w:r w:rsidR="00D70C23" w:rsidRPr="00432784">
        <w:rPr>
          <w:lang w:eastAsia="fr-FR"/>
        </w:rPr>
        <w:t>3</w:t>
      </w:r>
      <w:r w:rsidR="00432784" w:rsidRPr="00432784">
        <w:rPr>
          <w:lang w:eastAsia="fr-FR"/>
        </w:rPr>
        <w:t>30</w:t>
      </w:r>
      <w:r w:rsidR="00D70C23" w:rsidRPr="00432784">
        <w:rPr>
          <w:lang w:eastAsia="fr-FR"/>
        </w:rPr>
        <w:t xml:space="preserve"> à 33</w:t>
      </w:r>
      <w:r w:rsidR="00432784" w:rsidRPr="00432784">
        <w:rPr>
          <w:lang w:eastAsia="fr-FR"/>
        </w:rPr>
        <w:t>4</w:t>
      </w:r>
      <w:r w:rsidR="00D70C23">
        <w:rPr>
          <w:lang w:eastAsia="fr-FR"/>
        </w:rPr>
        <w:t xml:space="preserve"> </w:t>
      </w:r>
      <w:r>
        <w:rPr>
          <w:lang w:eastAsia="fr-FR"/>
        </w:rPr>
        <w:t>et ne les reprendra pas ici, mais ils sont également pertinents dans l’évaluation des effets du régime et de l’atteinte au droit protégé.</w:t>
      </w:r>
    </w:p>
    <w:p w14:paraId="07FF2F0E" w14:textId="793D75CC" w:rsidR="00312474" w:rsidRDefault="00312474" w:rsidP="000B1929">
      <w:pPr>
        <w:pStyle w:val="corpsdedcision"/>
        <w:spacing w:before="360"/>
        <w:rPr>
          <w:lang w:eastAsia="fr-FR"/>
        </w:rPr>
      </w:pPr>
      <w:r>
        <w:rPr>
          <w:lang w:eastAsia="fr-FR"/>
        </w:rPr>
        <w:t>Passons maintenant à l’examen des effets préjudiciables du régime des SBEP</w:t>
      </w:r>
      <w:r w:rsidR="00962A7D">
        <w:rPr>
          <w:lang w:eastAsia="fr-FR"/>
        </w:rPr>
        <w:t>,</w:t>
      </w:r>
      <w:r>
        <w:rPr>
          <w:lang w:eastAsia="fr-FR"/>
        </w:rPr>
        <w:t xml:space="preserve"> nécessaire afin d’apprécier la gravité de l’atteinte.</w:t>
      </w:r>
    </w:p>
    <w:p w14:paraId="63BCD36C" w14:textId="2CBCB4EC" w:rsidR="00312474" w:rsidRPr="009D7430" w:rsidRDefault="00312474" w:rsidP="000B1929">
      <w:pPr>
        <w:pStyle w:val="corpsdedcision"/>
        <w:keepNext/>
        <w:keepLines/>
        <w:spacing w:before="360"/>
        <w:rPr>
          <w:rStyle w:val="Citationintgre"/>
          <w:i w:val="0"/>
          <w:sz w:val="24"/>
          <w:lang w:eastAsia="fr-FR"/>
        </w:rPr>
      </w:pPr>
      <w:r>
        <w:rPr>
          <w:lang w:eastAsia="fr-FR"/>
        </w:rPr>
        <w:t xml:space="preserve">Dans </w:t>
      </w:r>
      <w:r w:rsidRPr="00F5600E">
        <w:rPr>
          <w:i/>
          <w:iCs/>
          <w:lang w:eastAsia="fr-FR"/>
        </w:rPr>
        <w:t>Hutterian Breth</w:t>
      </w:r>
      <w:r>
        <w:rPr>
          <w:i/>
          <w:iCs/>
          <w:lang w:eastAsia="fr-FR"/>
        </w:rPr>
        <w:t>r</w:t>
      </w:r>
      <w:r w:rsidRPr="00F5600E">
        <w:rPr>
          <w:i/>
          <w:iCs/>
          <w:lang w:eastAsia="fr-FR"/>
        </w:rPr>
        <w:t>en</w:t>
      </w:r>
      <w:r>
        <w:rPr>
          <w:rStyle w:val="Appelnotedebasdep"/>
          <w:lang w:eastAsia="fr-FR"/>
        </w:rPr>
        <w:footnoteReference w:id="194"/>
      </w:r>
      <w:r w:rsidRPr="00E11366">
        <w:rPr>
          <w:lang w:eastAsia="fr-FR"/>
        </w:rPr>
        <w:t xml:space="preserve">, </w:t>
      </w:r>
      <w:r>
        <w:rPr>
          <w:lang w:eastAsia="fr-FR"/>
        </w:rPr>
        <w:t xml:space="preserve">la Cour suprême précise que </w:t>
      </w:r>
      <w:r w:rsidRPr="00911D00">
        <w:rPr>
          <w:rStyle w:val="Citationintgre"/>
          <w:i w:val="0"/>
          <w:iCs/>
          <w:sz w:val="24"/>
          <w:szCs w:val="24"/>
          <w:lang w:eastAsia="fr-FR"/>
        </w:rPr>
        <w:t>«</w:t>
      </w:r>
      <w:r w:rsidRPr="00911D00">
        <w:rPr>
          <w:rStyle w:val="Citationintgre"/>
          <w:sz w:val="24"/>
          <w:szCs w:val="24"/>
          <w:lang w:eastAsia="fr-FR"/>
        </w:rPr>
        <w:t> </w:t>
      </w:r>
      <w:r w:rsidRPr="00911D00">
        <w:rPr>
          <w:rStyle w:val="Citationintgre"/>
          <w:i w:val="0"/>
          <w:iCs/>
          <w:sz w:val="24"/>
          <w:szCs w:val="24"/>
          <w:lang w:eastAsia="fr-FR"/>
        </w:rPr>
        <w:t>[l]</w:t>
      </w:r>
      <w:r w:rsidRPr="009D7430">
        <w:rPr>
          <w:rStyle w:val="Citationintgre"/>
          <w:lang w:eastAsia="fr-FR"/>
        </w:rPr>
        <w:t xml:space="preserve">es effets préjudiciables d’une restriction à la liberté de religion doivent être mesurés au regard des valeurs consacrées par la </w:t>
      </w:r>
      <w:r w:rsidRPr="000A2107">
        <w:rPr>
          <w:rStyle w:val="Citationintgre"/>
          <w:i w:val="0"/>
          <w:iCs/>
          <w:lang w:eastAsia="fr-FR"/>
        </w:rPr>
        <w:t>Charte</w:t>
      </w:r>
      <w:r w:rsidRPr="009D7430">
        <w:rPr>
          <w:rStyle w:val="Citationintgre"/>
          <w:lang w:eastAsia="fr-FR"/>
        </w:rPr>
        <w:t>, telles que la liberté, la dignité humaine, l’égalité, l’autonomie et la promotion de la démocratie</w:t>
      </w:r>
      <w:r w:rsidRPr="00A378E2">
        <w:rPr>
          <w:rStyle w:val="Citationintgre"/>
          <w:i w:val="0"/>
          <w:iCs/>
          <w:sz w:val="24"/>
          <w:szCs w:val="24"/>
          <w:lang w:eastAsia="fr-FR"/>
        </w:rPr>
        <w:t> ».</w:t>
      </w:r>
    </w:p>
    <w:p w14:paraId="5E07BDEF" w14:textId="370643A3" w:rsidR="00312474" w:rsidRDefault="00312474" w:rsidP="000B1929">
      <w:pPr>
        <w:pStyle w:val="corpsdedcision"/>
        <w:spacing w:before="360"/>
        <w:rPr>
          <w:lang w:eastAsia="fr-FR"/>
        </w:rPr>
      </w:pPr>
      <w:r>
        <w:rPr>
          <w:lang w:eastAsia="fr-FR"/>
        </w:rPr>
        <w:t>En limitant le droit de grève de façon substantielle, ainsi que le processus véritable de négociation collective, la restriction touche à des valeurs fondamentales protégées par la Charte canadienne.</w:t>
      </w:r>
    </w:p>
    <w:p w14:paraId="6A0E62A6" w14:textId="770D0980" w:rsidR="00312474" w:rsidRDefault="00312474" w:rsidP="000B1929">
      <w:pPr>
        <w:pStyle w:val="corpsdedcision"/>
        <w:spacing w:before="360"/>
        <w:rPr>
          <w:lang w:eastAsia="fr-FR"/>
        </w:rPr>
      </w:pPr>
      <w:r>
        <w:rPr>
          <w:lang w:eastAsia="fr-FR"/>
        </w:rPr>
        <w:t>Le juge en chef Dickson, pour sa part, soulignait que les conditions dans lesquelles une personne travaille touchent à sa dignité et au respect d’elle-même. La négociation collective accroit l’autonomie des travailleurs en leur permettant de participer aux décisions qui touchent à leur vie quotidienne</w:t>
      </w:r>
      <w:r>
        <w:rPr>
          <w:rStyle w:val="Appelnotedebasdep"/>
          <w:lang w:eastAsia="fr-FR"/>
        </w:rPr>
        <w:footnoteReference w:id="195"/>
      </w:r>
      <w:r>
        <w:rPr>
          <w:lang w:eastAsia="fr-FR"/>
        </w:rPr>
        <w:t>.</w:t>
      </w:r>
    </w:p>
    <w:p w14:paraId="44EB5891" w14:textId="5D02920B" w:rsidR="00312474" w:rsidRPr="00E11366" w:rsidRDefault="00312474" w:rsidP="000B1929">
      <w:pPr>
        <w:pStyle w:val="corpsdedcision"/>
        <w:spacing w:before="360"/>
        <w:rPr>
          <w:lang w:eastAsia="fr-FR"/>
        </w:rPr>
      </w:pPr>
      <w:r>
        <w:rPr>
          <w:lang w:eastAsia="fr-FR"/>
        </w:rPr>
        <w:t xml:space="preserve">Dans les arrêts </w:t>
      </w:r>
      <w:r w:rsidRPr="002D0416">
        <w:rPr>
          <w:i/>
          <w:iCs/>
          <w:lang w:eastAsia="fr-FR"/>
        </w:rPr>
        <w:t>Health Services</w:t>
      </w:r>
      <w:r>
        <w:rPr>
          <w:lang w:eastAsia="fr-FR"/>
        </w:rPr>
        <w:t xml:space="preserve">, </w:t>
      </w:r>
      <w:r w:rsidRPr="00911D00">
        <w:rPr>
          <w:i/>
          <w:iCs/>
          <w:lang w:eastAsia="fr-FR"/>
        </w:rPr>
        <w:t>APMO</w:t>
      </w:r>
      <w:r w:rsidRPr="00841032">
        <w:rPr>
          <w:lang w:eastAsia="fr-FR"/>
        </w:rPr>
        <w:t xml:space="preserve"> </w:t>
      </w:r>
      <w:r>
        <w:rPr>
          <w:lang w:eastAsia="fr-FR"/>
        </w:rPr>
        <w:t xml:space="preserve">et </w:t>
      </w:r>
      <w:r w:rsidRPr="002D0416">
        <w:rPr>
          <w:i/>
          <w:iCs/>
          <w:lang w:eastAsia="fr-FR"/>
        </w:rPr>
        <w:t>Saskatchewan</w:t>
      </w:r>
      <w:r>
        <w:rPr>
          <w:lang w:eastAsia="fr-FR"/>
        </w:rPr>
        <w:t>, la Cour suprême réitère que ces valeurs inhérentes à la Charte canadienne sous-tendent la protection du droit à un processus véritable de négociation collective.</w:t>
      </w:r>
    </w:p>
    <w:p w14:paraId="13B1797C" w14:textId="6D4C90E1" w:rsidR="00312474" w:rsidRDefault="00312474" w:rsidP="000B1929">
      <w:pPr>
        <w:pStyle w:val="corpsdedcision"/>
        <w:spacing w:before="360"/>
        <w:rPr>
          <w:lang w:eastAsia="fr-FR"/>
        </w:rPr>
      </w:pPr>
      <w:r>
        <w:rPr>
          <w:lang w:eastAsia="fr-FR"/>
        </w:rPr>
        <w:t>La restriction au droit de grève est un effet direct et souhaité du régime des SBEP. Elle prive le syndicat du rapport de force nécessaire à un processus véritable de négociation collective.</w:t>
      </w:r>
      <w:r w:rsidRPr="00F658CC">
        <w:rPr>
          <w:lang w:eastAsia="fr-FR"/>
        </w:rPr>
        <w:t xml:space="preserve"> </w:t>
      </w:r>
      <w:r>
        <w:rPr>
          <w:lang w:eastAsia="fr-FR"/>
        </w:rPr>
        <w:t xml:space="preserve">Le Tribunal a déjà détaillé dans son analyse sur l’entrave substantielle les effets du régime des SBEP sur le rapport de force et ne les reprendra pas ici. Ils </w:t>
      </w:r>
      <w:r w:rsidR="007E726E">
        <w:rPr>
          <w:lang w:eastAsia="fr-FR"/>
        </w:rPr>
        <w:t xml:space="preserve">sont importants et </w:t>
      </w:r>
      <w:r>
        <w:rPr>
          <w:lang w:eastAsia="fr-FR"/>
        </w:rPr>
        <w:t>démontrent sans aucun doute que l’atteinte au droit constitutionnel est grave.</w:t>
      </w:r>
    </w:p>
    <w:p w14:paraId="1A8E567A" w14:textId="7A52952F" w:rsidR="00312474" w:rsidRDefault="00312474" w:rsidP="000B1929">
      <w:pPr>
        <w:pStyle w:val="corpsdedcision"/>
        <w:spacing w:before="360"/>
        <w:rPr>
          <w:lang w:eastAsia="fr-FR"/>
        </w:rPr>
      </w:pPr>
      <w:r>
        <w:rPr>
          <w:lang w:eastAsia="fr-FR"/>
        </w:rPr>
        <w:t xml:space="preserve">La mise en balance des effets bénéfiques du régime des SBEP et des effets préjudiciables sur le droit constitutionnellement protégé met en relief qu’en assujettissant les parties au maintien de SBEP, on a d’un côté </w:t>
      </w:r>
      <w:r w:rsidR="00036D48">
        <w:rPr>
          <w:lang w:eastAsia="fr-FR"/>
        </w:rPr>
        <w:t>un bassin</w:t>
      </w:r>
      <w:r>
        <w:rPr>
          <w:lang w:eastAsia="fr-FR"/>
        </w:rPr>
        <w:t xml:space="preserve"> limité de la population qui </w:t>
      </w:r>
      <w:r w:rsidRPr="00846DAA">
        <w:rPr>
          <w:lang w:eastAsia="fr-FR"/>
        </w:rPr>
        <w:t xml:space="preserve">se voit soulagé d’une partie des inconvénients de la grève, et, de l’autre, l’ensemble du secteur des CPE qui sera affecté dans ses </w:t>
      </w:r>
      <w:r w:rsidR="00B825AE" w:rsidRPr="00846DAA">
        <w:rPr>
          <w:lang w:eastAsia="fr-FR"/>
        </w:rPr>
        <w:t xml:space="preserve">futures </w:t>
      </w:r>
      <w:r w:rsidRPr="00846DAA">
        <w:rPr>
          <w:lang w:eastAsia="fr-FR"/>
        </w:rPr>
        <w:t>négociations collectives</w:t>
      </w:r>
      <w:r>
        <w:rPr>
          <w:lang w:eastAsia="fr-FR"/>
        </w:rPr>
        <w:t>.</w:t>
      </w:r>
    </w:p>
    <w:p w14:paraId="3B39F926" w14:textId="0B72755C" w:rsidR="006363ED" w:rsidRDefault="006363ED" w:rsidP="000B1929">
      <w:pPr>
        <w:pStyle w:val="corpsdedcision"/>
        <w:spacing w:before="360"/>
        <w:rPr>
          <w:lang w:eastAsia="fr-FR"/>
        </w:rPr>
      </w:pPr>
      <w:r>
        <w:rPr>
          <w:lang w:eastAsia="fr-FR"/>
        </w:rPr>
        <w:t xml:space="preserve">Le Tribunal conclut donc que </w:t>
      </w:r>
      <w:r>
        <w:rPr>
          <w:rFonts w:cs="Arial"/>
        </w:rPr>
        <w:t xml:space="preserve">les effets préjudiciables </w:t>
      </w:r>
      <w:r w:rsidR="00717A73">
        <w:rPr>
          <w:rFonts w:cs="Arial"/>
        </w:rPr>
        <w:t xml:space="preserve">du régime des SBEP </w:t>
      </w:r>
      <w:r>
        <w:rPr>
          <w:rFonts w:cs="Arial"/>
        </w:rPr>
        <w:t xml:space="preserve">sur la liberté d’association sont plus importants que </w:t>
      </w:r>
      <w:r w:rsidR="00717A73">
        <w:rPr>
          <w:rFonts w:cs="Arial"/>
        </w:rPr>
        <w:t>s</w:t>
      </w:r>
      <w:r>
        <w:rPr>
          <w:rFonts w:cs="Arial"/>
        </w:rPr>
        <w:t>es effets bénéfiques</w:t>
      </w:r>
      <w:r w:rsidR="009D3E90">
        <w:rPr>
          <w:rFonts w:cs="Arial"/>
        </w:rPr>
        <w:t>.</w:t>
      </w:r>
    </w:p>
    <w:p w14:paraId="298086AD" w14:textId="77777777" w:rsidR="00312474" w:rsidRDefault="00312474" w:rsidP="000B1929">
      <w:pPr>
        <w:pStyle w:val="corpsdedcision"/>
        <w:spacing w:before="360"/>
        <w:rPr>
          <w:lang w:eastAsia="fr-FR"/>
        </w:rPr>
      </w:pPr>
      <w:r>
        <w:rPr>
          <w:lang w:eastAsia="fr-FR"/>
        </w:rPr>
        <w:t>Le PGQ n’a donc pas réussi à démontrer que l’atteinte à la liberté d’association par le régime des SBEP peut se justifier dans une société libre et démocratique.</w:t>
      </w:r>
    </w:p>
    <w:p w14:paraId="42BB72BD" w14:textId="20839341" w:rsidR="00312474" w:rsidRDefault="00312474" w:rsidP="00312474">
      <w:pPr>
        <w:pStyle w:val="Titre1"/>
      </w:pPr>
      <w:r>
        <w:t>conclusion</w:t>
      </w:r>
    </w:p>
    <w:p w14:paraId="3CBC0E00" w14:textId="68972A6E" w:rsidR="006363ED" w:rsidRDefault="006363ED" w:rsidP="006363ED">
      <w:pPr>
        <w:pStyle w:val="corpsdedcision"/>
      </w:pPr>
      <w:r>
        <w:t xml:space="preserve">En conclusion, </w:t>
      </w:r>
      <w:r w:rsidRPr="001C466C">
        <w:t>par son impact sur l’équilibre du rapport de force,</w:t>
      </w:r>
      <w:r>
        <w:t xml:space="preserve"> le régime des SBEP porte atteinte à deux activités faisant partie de la liberté d’association, la</w:t>
      </w:r>
      <w:r w:rsidR="00282E4F">
        <w:t> </w:t>
      </w:r>
      <w:r>
        <w:t>négociation collective et le droit de grève.</w:t>
      </w:r>
    </w:p>
    <w:p w14:paraId="1571EDF8" w14:textId="269B33E8" w:rsidR="006363ED" w:rsidRDefault="006363ED" w:rsidP="000B1929">
      <w:pPr>
        <w:pStyle w:val="corpsdedcision"/>
        <w:spacing w:before="360"/>
      </w:pPr>
      <w:r>
        <w:t>Pour les motifs détaillés précédemment, il interfère avec la négociation collective en procurant à l’employeur un mécanisme qui est susceptible de limiter le droit de grève, ce qui, en soi, produit des effets avant même l’intervention du Tribunal. Dans le présent dossier, le déroulement de la négociation collective a été influencé par l’existence du régime. Même si les parties sont finalement parvenues à régler la convention collective, après presque huit mois de conflit, le processus de négociation collective s’est néanmoins trouvé significativement altéré par ces nouvelles dispositions.</w:t>
      </w:r>
    </w:p>
    <w:p w14:paraId="4EC30003" w14:textId="52A853FD" w:rsidR="006363ED" w:rsidRDefault="006363ED" w:rsidP="000B1929">
      <w:pPr>
        <w:pStyle w:val="corpsdedcision"/>
        <w:spacing w:before="360"/>
      </w:pPr>
      <w:r>
        <w:t xml:space="preserve">De plus, lorsque les parties sont assujetties au maintien de SBEP, comme l’illustre la situation en cause ici, cela a pour effet de limiter le droit de grève et, à toute fin pratique, de ne plus permettre au syndicat de recourir à la grève générale illimitée comme levier visant à rétablir </w:t>
      </w:r>
      <w:r w:rsidR="00E06723">
        <w:t xml:space="preserve">son </w:t>
      </w:r>
      <w:r>
        <w:t>rapport de force. Les efforts de mobilisation mis en place perdent toute leur efficacité.</w:t>
      </w:r>
    </w:p>
    <w:p w14:paraId="29E4406B" w14:textId="35CE392D" w:rsidR="006363ED" w:rsidRDefault="006363ED" w:rsidP="000B1929">
      <w:pPr>
        <w:pStyle w:val="corpsdedcision"/>
        <w:spacing w:before="360"/>
      </w:pPr>
      <w:r>
        <w:t xml:space="preserve">En </w:t>
      </w:r>
      <w:r w:rsidRPr="00C23941">
        <w:t>restreignant</w:t>
      </w:r>
      <w:r>
        <w:t xml:space="preserve"> ainsi une « </w:t>
      </w:r>
      <w:r w:rsidRPr="00893B3E">
        <w:rPr>
          <w:i/>
          <w:iCs/>
          <w:sz w:val="22"/>
          <w:szCs w:val="22"/>
        </w:rPr>
        <w:t>composante indispensable</w:t>
      </w:r>
      <w:r w:rsidRPr="00846DAA">
        <w:rPr>
          <w:rStyle w:val="Appelnotedebasdep"/>
          <w:szCs w:val="24"/>
          <w:lang w:eastAsia="fr-FR"/>
        </w:rPr>
        <w:footnoteReference w:id="196"/>
      </w:r>
      <w:r>
        <w:t xml:space="preserve"> » d’un processus </w:t>
      </w:r>
      <w:r w:rsidR="00036D48">
        <w:t xml:space="preserve">véritable </w:t>
      </w:r>
      <w:r>
        <w:t>de négociation collective, le régime des SBEP perturbe l’équilibre des forces entre l’employeur et le syndicat nécessaire au droit des salariées « </w:t>
      </w:r>
      <w:r w:rsidRPr="00531523">
        <w:rPr>
          <w:i/>
          <w:iCs/>
          <w:sz w:val="22"/>
          <w:szCs w:val="22"/>
        </w:rPr>
        <w:t>de s’unir à d’autres pour faire pour faire face, à armes plus égales, à la puissance et à la force d’autres groupes ou entités</w:t>
      </w:r>
      <w:r>
        <w:rPr>
          <w:rStyle w:val="Appelnotedebasdep"/>
        </w:rPr>
        <w:footnoteReference w:id="197"/>
      </w:r>
      <w:r>
        <w:t> »</w:t>
      </w:r>
      <w:r w:rsidR="00AF5AB0">
        <w:t>.</w:t>
      </w:r>
    </w:p>
    <w:p w14:paraId="34880DBB" w14:textId="34F760D3" w:rsidR="006363ED" w:rsidRDefault="006363ED" w:rsidP="000B1929">
      <w:pPr>
        <w:pStyle w:val="corpsdedcision"/>
        <w:spacing w:before="360"/>
        <w:rPr>
          <w:rFonts w:cs="Arial"/>
        </w:rPr>
      </w:pPr>
      <w:r w:rsidRPr="00A111E9">
        <w:t>Ainsi, les effets du régime des SBEP entravent de façon substantielle un processus véritable de négociation collective.</w:t>
      </w:r>
    </w:p>
    <w:p w14:paraId="62839600" w14:textId="4810BCA7" w:rsidR="006363ED" w:rsidRDefault="006363ED" w:rsidP="000B1929">
      <w:pPr>
        <w:pStyle w:val="corpsdedcision"/>
        <w:spacing w:before="360"/>
      </w:pPr>
      <w:r w:rsidRPr="007901B7">
        <w:t>Cette restriction à la liberté d’association n’est pas justifiée au regard des articles</w:t>
      </w:r>
      <w:r w:rsidR="00AF5AB0">
        <w:t> </w:t>
      </w:r>
      <w:r w:rsidRPr="007901B7">
        <w:t xml:space="preserve">1 de la Charte canadienne ou 9.1 de la Charte québécoise. Même si l’objectif législatif peut être considéré comme réel et urgent et </w:t>
      </w:r>
      <w:r>
        <w:t>qu’un</w:t>
      </w:r>
      <w:r w:rsidRPr="007901B7">
        <w:t xml:space="preserve"> lien rationnel </w:t>
      </w:r>
      <w:r>
        <w:t xml:space="preserve">entre celui-ci et les mesures législatives a été </w:t>
      </w:r>
      <w:r w:rsidRPr="007901B7">
        <w:t xml:space="preserve">établi, l’État n’a pas démontré que </w:t>
      </w:r>
      <w:r>
        <w:t xml:space="preserve">le régime des SBEP est </w:t>
      </w:r>
      <w:r w:rsidRPr="00261F08">
        <w:t>soigneusement adapté</w:t>
      </w:r>
      <w:r>
        <w:t xml:space="preserve"> pour</w:t>
      </w:r>
      <w:r w:rsidRPr="00261F08">
        <w:t xml:space="preserve"> que l’atteinte aux droits ne dépasse pas ce qui est nécessaire</w:t>
      </w:r>
      <w:r>
        <w:t xml:space="preserve">. Notamment, le rôle confié au Tribunal par le législateur ne suffit pas à satisfaire </w:t>
      </w:r>
      <w:r w:rsidR="00717A73">
        <w:t xml:space="preserve">à </w:t>
      </w:r>
      <w:r>
        <w:t xml:space="preserve">ce critère et à justifier une violation à un droit fondamental. De plus, les effets préjudiciables </w:t>
      </w:r>
      <w:r w:rsidR="00717A73">
        <w:t xml:space="preserve">du régime des SBEP </w:t>
      </w:r>
      <w:r>
        <w:t xml:space="preserve">sur la liberté d’association sont plus importants que </w:t>
      </w:r>
      <w:r w:rsidR="00717A73">
        <w:t>s</w:t>
      </w:r>
      <w:r>
        <w:t>es effets bénéfiques.</w:t>
      </w:r>
    </w:p>
    <w:p w14:paraId="79671E14" w14:textId="16F490C3" w:rsidR="006363ED" w:rsidRPr="006363ED" w:rsidRDefault="006363ED" w:rsidP="006363ED">
      <w:pPr>
        <w:pStyle w:val="corpsdedcision"/>
      </w:pPr>
      <w:r w:rsidRPr="007901B7">
        <w:t>Par conséquent, le Tribunal déclare l’article 111.22.3, qui définit le régime des SBEP, et les dispositions qui suivent du chapitre V.1.1 du Code, constitutionnellement inopérants à l’égard des parties.</w:t>
      </w:r>
    </w:p>
    <w:p w14:paraId="6C5259E7" w14:textId="77777777" w:rsidR="00312474" w:rsidRPr="001674E5" w:rsidRDefault="00312474" w:rsidP="00FC27FF">
      <w:pPr>
        <w:pStyle w:val="Dispositif"/>
        <w:spacing w:before="480"/>
      </w:pPr>
      <w:r w:rsidRPr="001674E5">
        <w:rPr>
          <w:b/>
        </w:rPr>
        <w:t>PAR CES MOTIFS, LE TRIBUNAL ADMINISTRATIF DU TRAVAIL :</w:t>
      </w:r>
    </w:p>
    <w:p w14:paraId="2E4FDDC4" w14:textId="77777777" w:rsidR="00312474" w:rsidRDefault="00312474" w:rsidP="00312474">
      <w:pPr>
        <w:pStyle w:val="Dispositif"/>
        <w:ind w:left="2832" w:hanging="2832"/>
        <w:rPr>
          <w:b/>
        </w:rPr>
      </w:pPr>
      <w:r>
        <w:rPr>
          <w:b/>
        </w:rPr>
        <w:t>ACCUEILLE</w:t>
      </w:r>
      <w:r>
        <w:rPr>
          <w:b/>
        </w:rPr>
        <w:tab/>
      </w:r>
      <w:r>
        <w:rPr>
          <w:b/>
        </w:rPr>
        <w:tab/>
      </w:r>
      <w:r w:rsidRPr="0098395B">
        <w:rPr>
          <w:bCs/>
        </w:rPr>
        <w:t>la contestation constitutionnelle</w:t>
      </w:r>
      <w:r>
        <w:rPr>
          <w:bCs/>
        </w:rPr>
        <w:t xml:space="preserve"> du </w:t>
      </w:r>
      <w:r w:rsidRPr="0098395B">
        <w:rPr>
          <w:b/>
          <w:bCs/>
        </w:rPr>
        <w:t>Syndicat des travailleuses des centres de la petite enfance et des bureaux coordonnateurs du Saguenay – Lac-Saint-Jean - FSSS-CSN</w:t>
      </w:r>
      <w:r w:rsidRPr="00846DAA">
        <w:t>;</w:t>
      </w:r>
    </w:p>
    <w:p w14:paraId="48FB82F1" w14:textId="463D91E5" w:rsidR="00312474" w:rsidRDefault="00312474" w:rsidP="00312474">
      <w:pPr>
        <w:pStyle w:val="Dispositif"/>
        <w:ind w:left="2836" w:hanging="2836"/>
      </w:pPr>
      <w:r w:rsidRPr="007C37F9">
        <w:rPr>
          <w:b/>
        </w:rPr>
        <w:t>DÉCLARE</w:t>
      </w:r>
      <w:r>
        <w:tab/>
        <w:t>que l</w:t>
      </w:r>
      <w:r w:rsidR="008F4264">
        <w:t xml:space="preserve">es </w:t>
      </w:r>
      <w:r>
        <w:t>article</w:t>
      </w:r>
      <w:r w:rsidR="008F4264">
        <w:t>s</w:t>
      </w:r>
      <w:r>
        <w:t xml:space="preserve"> 111.22.3 à 111.22.16 du </w:t>
      </w:r>
      <w:r w:rsidRPr="007C37F9">
        <w:rPr>
          <w:i/>
        </w:rPr>
        <w:t>Code du travail</w:t>
      </w:r>
      <w:r>
        <w:t xml:space="preserve"> portent atteinte à la liberté d’association garantie à l’alinéa 2</w:t>
      </w:r>
      <w:r w:rsidRPr="00702409">
        <w:rPr>
          <w:i/>
        </w:rPr>
        <w:t>d</w:t>
      </w:r>
      <w:r>
        <w:t xml:space="preserve">) de la </w:t>
      </w:r>
      <w:r w:rsidRPr="007C37F9">
        <w:rPr>
          <w:i/>
        </w:rPr>
        <w:t>Charte canadienne des droits et libertés</w:t>
      </w:r>
      <w:r>
        <w:t xml:space="preserve"> et à l’article 3 de la </w:t>
      </w:r>
      <w:r w:rsidRPr="007C37F9">
        <w:rPr>
          <w:i/>
        </w:rPr>
        <w:t>Charte des droits</w:t>
      </w:r>
      <w:r>
        <w:rPr>
          <w:i/>
        </w:rPr>
        <w:t xml:space="preserve"> et li</w:t>
      </w:r>
      <w:r w:rsidRPr="007C37F9">
        <w:rPr>
          <w:i/>
        </w:rPr>
        <w:t>bertés de la personne</w:t>
      </w:r>
      <w:r>
        <w:t>,</w:t>
      </w:r>
      <w:r>
        <w:rPr>
          <w:i/>
        </w:rPr>
        <w:t xml:space="preserve"> </w:t>
      </w:r>
      <w:r w:rsidRPr="001D46BC">
        <w:t xml:space="preserve">des personnes visées par </w:t>
      </w:r>
      <w:r>
        <w:t xml:space="preserve">l’unité de négociation représentée par le </w:t>
      </w:r>
      <w:r w:rsidRPr="0098395B">
        <w:rPr>
          <w:b/>
          <w:bCs/>
        </w:rPr>
        <w:t>Syndicat des travailleuses des centres de la petite enfance et des bureaux coordonnateurs du Saguenay – Lac-Saint-Jean - FSSS-CSN</w:t>
      </w:r>
      <w:r>
        <w:rPr>
          <w:b/>
          <w:bCs/>
        </w:rPr>
        <w:t xml:space="preserve">, </w:t>
      </w:r>
      <w:r w:rsidRPr="00A27CC3">
        <w:t>sans que cette</w:t>
      </w:r>
      <w:r>
        <w:rPr>
          <w:b/>
          <w:bCs/>
        </w:rPr>
        <w:t xml:space="preserve"> </w:t>
      </w:r>
      <w:r>
        <w:t xml:space="preserve">atteinte soit justifiée au regard de l’article </w:t>
      </w:r>
      <w:r w:rsidRPr="00667C98">
        <w:t>1</w:t>
      </w:r>
      <w:r>
        <w:t xml:space="preserve"> de la </w:t>
      </w:r>
      <w:r w:rsidRPr="007C37F9">
        <w:rPr>
          <w:i/>
        </w:rPr>
        <w:t>Charte canadienne des droits et libertés</w:t>
      </w:r>
      <w:r>
        <w:t xml:space="preserve"> et </w:t>
      </w:r>
      <w:r w:rsidR="008F4264">
        <w:t>de</w:t>
      </w:r>
      <w:r>
        <w:t xml:space="preserve"> l’article 9.1 de la </w:t>
      </w:r>
      <w:r w:rsidRPr="007C37F9">
        <w:rPr>
          <w:i/>
        </w:rPr>
        <w:t>Charte des droits</w:t>
      </w:r>
      <w:r>
        <w:rPr>
          <w:i/>
        </w:rPr>
        <w:t xml:space="preserve"> et li</w:t>
      </w:r>
      <w:r w:rsidRPr="007C37F9">
        <w:rPr>
          <w:i/>
        </w:rPr>
        <w:t>bertés de la personne</w:t>
      </w:r>
      <w:r>
        <w:t>;</w:t>
      </w:r>
    </w:p>
    <w:p w14:paraId="73DB301D" w14:textId="77777777" w:rsidR="00312474" w:rsidRDefault="00312474" w:rsidP="00312474">
      <w:pPr>
        <w:pStyle w:val="Dispositif"/>
        <w:ind w:left="2832" w:hanging="2832"/>
      </w:pPr>
      <w:r w:rsidRPr="00B51803">
        <w:rPr>
          <w:b/>
        </w:rPr>
        <w:t>RÉVOQUE</w:t>
      </w:r>
      <w:r w:rsidRPr="00B51803">
        <w:tab/>
        <w:t>les décisions interlocutoires rendues dans le présent dossier (2026 QCTAT 1063 et 2026 QCTAT 1250).</w:t>
      </w:r>
    </w:p>
    <w:p w14:paraId="18A7CEAB" w14:textId="05DDF595" w:rsidR="00C74B6F" w:rsidRDefault="00C74B6F">
      <w:pPr>
        <w:pStyle w:val="Dispositif"/>
      </w:pPr>
    </w:p>
    <w:p w14:paraId="295EC019" w14:textId="77777777" w:rsidR="00952429" w:rsidRPr="001674E5" w:rsidRDefault="00952429">
      <w:pPr>
        <w:pStyle w:val="Dispositif"/>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C74B6F" w:rsidRPr="001674E5" w14:paraId="3E202FBA" w14:textId="77777777">
        <w:tc>
          <w:tcPr>
            <w:tcW w:w="4795" w:type="dxa"/>
          </w:tcPr>
          <w:p w14:paraId="78B041DF" w14:textId="77777777" w:rsidR="00C74B6F" w:rsidRPr="001674E5" w:rsidRDefault="00C74B6F"/>
        </w:tc>
        <w:tc>
          <w:tcPr>
            <w:tcW w:w="4795" w:type="dxa"/>
          </w:tcPr>
          <w:p w14:paraId="1CDBFA5B" w14:textId="56B9C93A" w:rsidR="00C74B6F" w:rsidRPr="001674E5" w:rsidRDefault="00C74B6F">
            <w:bookmarkStart w:id="11" w:name="signature"/>
            <w:bookmarkEnd w:id="11"/>
            <w:r w:rsidRPr="001674E5">
              <w:t>_________________________________</w:t>
            </w:r>
          </w:p>
        </w:tc>
      </w:tr>
      <w:tr w:rsidR="00C74B6F" w:rsidRPr="001674E5" w14:paraId="3E0221D1" w14:textId="77777777">
        <w:tc>
          <w:tcPr>
            <w:tcW w:w="4795" w:type="dxa"/>
          </w:tcPr>
          <w:p w14:paraId="73D3D506" w14:textId="77777777" w:rsidR="00C74B6F" w:rsidRPr="001674E5" w:rsidRDefault="00C74B6F"/>
        </w:tc>
        <w:tc>
          <w:tcPr>
            <w:tcW w:w="4795" w:type="dxa"/>
          </w:tcPr>
          <w:p w14:paraId="20A03AF2" w14:textId="79DD805B" w:rsidR="00C74B6F" w:rsidRPr="001674E5" w:rsidRDefault="00742B82">
            <w:r w:rsidRPr="001674E5">
              <w:t>Irène Zaïkoff, présidente de la formation</w:t>
            </w:r>
          </w:p>
        </w:tc>
      </w:tr>
      <w:tr w:rsidR="00AF22BF" w:rsidRPr="001674E5" w14:paraId="6AB8744E" w14:textId="77777777">
        <w:tc>
          <w:tcPr>
            <w:tcW w:w="4795" w:type="dxa"/>
          </w:tcPr>
          <w:p w14:paraId="7CAFA032" w14:textId="77777777" w:rsidR="00AF22BF" w:rsidRPr="001674E5" w:rsidRDefault="00AF22BF"/>
        </w:tc>
        <w:tc>
          <w:tcPr>
            <w:tcW w:w="4795" w:type="dxa"/>
          </w:tcPr>
          <w:p w14:paraId="78A19AB1" w14:textId="460509F7" w:rsidR="00AF22BF" w:rsidRPr="001674E5" w:rsidRDefault="00AF22BF"/>
        </w:tc>
      </w:tr>
      <w:tr w:rsidR="00AF22BF" w:rsidRPr="001674E5" w14:paraId="2D5A7437" w14:textId="77777777">
        <w:tc>
          <w:tcPr>
            <w:tcW w:w="4795" w:type="dxa"/>
          </w:tcPr>
          <w:p w14:paraId="52723242" w14:textId="77777777" w:rsidR="00AF22BF" w:rsidRPr="001674E5" w:rsidRDefault="00AF22BF"/>
        </w:tc>
        <w:tc>
          <w:tcPr>
            <w:tcW w:w="4795" w:type="dxa"/>
          </w:tcPr>
          <w:p w14:paraId="01FEF71B" w14:textId="5CE96B7B" w:rsidR="00AF22BF" w:rsidRPr="001674E5" w:rsidRDefault="00AF22BF"/>
        </w:tc>
      </w:tr>
      <w:tr w:rsidR="00AF22BF" w:rsidRPr="001674E5" w14:paraId="12948D73" w14:textId="77777777">
        <w:tc>
          <w:tcPr>
            <w:tcW w:w="4795" w:type="dxa"/>
          </w:tcPr>
          <w:p w14:paraId="104465FB" w14:textId="77777777" w:rsidR="00AF22BF" w:rsidRPr="001674E5" w:rsidRDefault="00AF22BF"/>
        </w:tc>
        <w:tc>
          <w:tcPr>
            <w:tcW w:w="4795" w:type="dxa"/>
          </w:tcPr>
          <w:p w14:paraId="2B08FB11" w14:textId="0E3DD0F1" w:rsidR="00AF22BF" w:rsidRPr="001674E5" w:rsidRDefault="000079E2">
            <w:r>
              <w:rPr>
                <w:noProof/>
              </w:rPr>
              <mc:AlternateContent>
                <mc:Choice Requires="wps">
                  <w:drawing>
                    <wp:anchor distT="0" distB="0" distL="114300" distR="114300" simplePos="0" relativeHeight="251658240" behindDoc="0" locked="0" layoutInCell="1" allowOverlap="1" wp14:anchorId="74C7ADF0" wp14:editId="3B4D4899">
                      <wp:simplePos x="0" y="0"/>
                      <wp:positionH relativeFrom="column">
                        <wp:posOffset>8890</wp:posOffset>
                      </wp:positionH>
                      <wp:positionV relativeFrom="paragraph">
                        <wp:posOffset>175260</wp:posOffset>
                      </wp:positionV>
                      <wp:extent cx="2864485" cy="0"/>
                      <wp:effectExtent l="5715" t="10160" r="6350" b="8890"/>
                      <wp:wrapNone/>
                      <wp:docPr id="54907298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4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335854" id="_x0000_t32" coordsize="21600,21600" o:spt="32" o:oned="t" path="m,l21600,21600e" filled="f">
                      <v:path arrowok="t" fillok="f" o:connecttype="none"/>
                      <o:lock v:ext="edit" shapetype="t"/>
                    </v:shapetype>
                    <v:shape id="AutoShape 3" o:spid="_x0000_s1026" type="#_x0000_t32" style="position:absolute;margin-left:.7pt;margin-top:13.8pt;width:225.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"/>
                  </w:pict>
                </mc:Fallback>
              </mc:AlternateContent>
            </w:r>
          </w:p>
        </w:tc>
      </w:tr>
      <w:tr w:rsidR="00AF22BF" w:rsidRPr="001674E5" w14:paraId="34634750" w14:textId="77777777">
        <w:tc>
          <w:tcPr>
            <w:tcW w:w="4795" w:type="dxa"/>
          </w:tcPr>
          <w:p w14:paraId="6B35E67C" w14:textId="77777777" w:rsidR="00AF22BF" w:rsidRPr="001674E5" w:rsidRDefault="00AF22BF"/>
        </w:tc>
        <w:tc>
          <w:tcPr>
            <w:tcW w:w="4795" w:type="dxa"/>
          </w:tcPr>
          <w:p w14:paraId="0DD80C79" w14:textId="1227C9CB" w:rsidR="00AF22BF" w:rsidRPr="001674E5" w:rsidRDefault="00AF22BF">
            <w:r w:rsidRPr="001674E5">
              <w:t>Véronique Girard</w:t>
            </w:r>
          </w:p>
        </w:tc>
      </w:tr>
      <w:tr w:rsidR="00AF22BF" w:rsidRPr="001674E5" w14:paraId="6282BD30" w14:textId="77777777">
        <w:tc>
          <w:tcPr>
            <w:tcW w:w="4795" w:type="dxa"/>
          </w:tcPr>
          <w:p w14:paraId="7828FF4A" w14:textId="77777777" w:rsidR="00AF22BF" w:rsidRPr="001674E5" w:rsidRDefault="00AF22BF"/>
        </w:tc>
        <w:tc>
          <w:tcPr>
            <w:tcW w:w="4795" w:type="dxa"/>
          </w:tcPr>
          <w:p w14:paraId="57D6B24B" w14:textId="77777777" w:rsidR="00AF22BF" w:rsidRPr="001674E5" w:rsidRDefault="00AF22BF"/>
        </w:tc>
      </w:tr>
      <w:tr w:rsidR="00B35B11" w:rsidRPr="001674E5" w14:paraId="63119AEC" w14:textId="77777777">
        <w:tc>
          <w:tcPr>
            <w:tcW w:w="4795" w:type="dxa"/>
          </w:tcPr>
          <w:p w14:paraId="62851FEB" w14:textId="77777777" w:rsidR="00B35B11" w:rsidRPr="001674E5" w:rsidRDefault="00B35B11"/>
        </w:tc>
        <w:tc>
          <w:tcPr>
            <w:tcW w:w="4795" w:type="dxa"/>
          </w:tcPr>
          <w:p w14:paraId="28265EDA" w14:textId="0AC5C92D" w:rsidR="00B35B11" w:rsidRPr="001674E5" w:rsidRDefault="00B35B11"/>
        </w:tc>
      </w:tr>
      <w:tr w:rsidR="00AF22BF" w:rsidRPr="001674E5" w14:paraId="16830307" w14:textId="77777777">
        <w:tc>
          <w:tcPr>
            <w:tcW w:w="4795" w:type="dxa"/>
          </w:tcPr>
          <w:p w14:paraId="311F54DA" w14:textId="77777777" w:rsidR="00AF22BF" w:rsidRPr="001674E5" w:rsidRDefault="00AF22BF"/>
        </w:tc>
        <w:tc>
          <w:tcPr>
            <w:tcW w:w="4795" w:type="dxa"/>
          </w:tcPr>
          <w:p w14:paraId="1A06EB71" w14:textId="114B5CBE" w:rsidR="00AF22BF" w:rsidRPr="001674E5" w:rsidRDefault="000079E2">
            <w:r>
              <w:rPr>
                <w:noProof/>
              </w:rPr>
              <mc:AlternateContent>
                <mc:Choice Requires="wps">
                  <w:drawing>
                    <wp:anchor distT="0" distB="0" distL="114300" distR="114300" simplePos="0" relativeHeight="251659264" behindDoc="0" locked="0" layoutInCell="1" allowOverlap="1" wp14:anchorId="0D5C6958" wp14:editId="1A5EC000">
                      <wp:simplePos x="0" y="0"/>
                      <wp:positionH relativeFrom="column">
                        <wp:posOffset>8890</wp:posOffset>
                      </wp:positionH>
                      <wp:positionV relativeFrom="paragraph">
                        <wp:posOffset>170815</wp:posOffset>
                      </wp:positionV>
                      <wp:extent cx="2864485" cy="0"/>
                      <wp:effectExtent l="5715" t="11430" r="6350" b="7620"/>
                      <wp:wrapNone/>
                      <wp:docPr id="199681254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4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C2955B" id="AutoShape 4" o:spid="_x0000_s1026" type="#_x0000_t32" style="position:absolute;margin-left:.7pt;margin-top:13.45pt;width:22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"/>
                  </w:pict>
                </mc:Fallback>
              </mc:AlternateContent>
            </w:r>
          </w:p>
        </w:tc>
      </w:tr>
      <w:tr w:rsidR="00AF22BF" w:rsidRPr="001674E5" w14:paraId="44E6A12F" w14:textId="77777777">
        <w:tc>
          <w:tcPr>
            <w:tcW w:w="4795" w:type="dxa"/>
          </w:tcPr>
          <w:p w14:paraId="54E68DC2" w14:textId="77777777" w:rsidR="00AF22BF" w:rsidRPr="001674E5" w:rsidRDefault="00AF22BF"/>
        </w:tc>
        <w:tc>
          <w:tcPr>
            <w:tcW w:w="4795" w:type="dxa"/>
          </w:tcPr>
          <w:p w14:paraId="2BD9282A" w14:textId="1C377251" w:rsidR="00AF22BF" w:rsidRPr="001674E5" w:rsidRDefault="00AF22BF">
            <w:r w:rsidRPr="001674E5">
              <w:t>Pierre-Étienne Morand</w:t>
            </w:r>
          </w:p>
        </w:tc>
      </w:tr>
      <w:tr w:rsidR="00AF22BF" w:rsidRPr="001674E5" w14:paraId="45AE71E6" w14:textId="77777777">
        <w:tc>
          <w:tcPr>
            <w:tcW w:w="4795" w:type="dxa"/>
          </w:tcPr>
          <w:p w14:paraId="5CD6588B" w14:textId="77777777" w:rsidR="00AF22BF" w:rsidRPr="001674E5" w:rsidRDefault="00AF22BF"/>
        </w:tc>
        <w:tc>
          <w:tcPr>
            <w:tcW w:w="4795" w:type="dxa"/>
          </w:tcPr>
          <w:p w14:paraId="260FC2BC" w14:textId="77777777" w:rsidR="00AF22BF" w:rsidRPr="001674E5" w:rsidRDefault="00AF22BF"/>
        </w:tc>
      </w:tr>
      <w:tr w:rsidR="00952429" w:rsidRPr="001674E5" w14:paraId="528000E0" w14:textId="77777777">
        <w:tc>
          <w:tcPr>
            <w:tcW w:w="4795" w:type="dxa"/>
          </w:tcPr>
          <w:p w14:paraId="3BDBDB65" w14:textId="77777777" w:rsidR="00952429" w:rsidRPr="001674E5" w:rsidRDefault="00952429"/>
        </w:tc>
        <w:tc>
          <w:tcPr>
            <w:tcW w:w="4795" w:type="dxa"/>
          </w:tcPr>
          <w:p w14:paraId="7C7C957E" w14:textId="77777777" w:rsidR="00952429" w:rsidRPr="001674E5" w:rsidRDefault="00952429"/>
        </w:tc>
      </w:tr>
      <w:tr w:rsidR="00952429" w:rsidRPr="001674E5" w14:paraId="0D4F9D72" w14:textId="77777777">
        <w:tc>
          <w:tcPr>
            <w:tcW w:w="4795" w:type="dxa"/>
          </w:tcPr>
          <w:p w14:paraId="14A99106" w14:textId="77777777" w:rsidR="00952429" w:rsidRPr="001674E5" w:rsidRDefault="00952429"/>
        </w:tc>
        <w:tc>
          <w:tcPr>
            <w:tcW w:w="4795" w:type="dxa"/>
          </w:tcPr>
          <w:p w14:paraId="482D4F7F" w14:textId="77777777" w:rsidR="00952429" w:rsidRPr="001674E5" w:rsidRDefault="00952429"/>
        </w:tc>
      </w:tr>
      <w:tr w:rsidR="00861F8B" w:rsidRPr="001674E5" w14:paraId="53B5F150" w14:textId="77777777">
        <w:trPr>
          <w:cantSplit/>
        </w:trPr>
        <w:tc>
          <w:tcPr>
            <w:tcW w:w="9590" w:type="dxa"/>
            <w:gridSpan w:val="2"/>
          </w:tcPr>
          <w:p w14:paraId="6397DAE8" w14:textId="5C5E800B" w:rsidR="00596AB2" w:rsidRPr="001674E5" w:rsidRDefault="00AF22BF" w:rsidP="00596AB2">
            <w:r w:rsidRPr="001674E5">
              <w:t>M</w:t>
            </w:r>
            <w:r w:rsidRPr="001674E5">
              <w:rPr>
                <w:vertAlign w:val="superscript"/>
              </w:rPr>
              <w:t>es</w:t>
            </w:r>
            <w:r w:rsidRPr="001674E5">
              <w:t xml:space="preserve"> </w:t>
            </w:r>
            <w:r w:rsidR="00C874CE" w:rsidRPr="001674E5">
              <w:t>Véronique Bédard-Tremblay</w:t>
            </w:r>
            <w:r w:rsidR="00DC7753">
              <w:t xml:space="preserve">, </w:t>
            </w:r>
            <w:r w:rsidR="00DC7753" w:rsidRPr="00545AF5">
              <w:t xml:space="preserve">Sylvain Bouchard et </w:t>
            </w:r>
            <w:r w:rsidR="00DC2F69" w:rsidRPr="00DC2F69">
              <w:t>Vict</w:t>
            </w:r>
            <w:r w:rsidR="00DC2F69">
              <w:t>oria Tremblay</w:t>
            </w:r>
            <w:r w:rsidR="00B77C67">
              <w:t xml:space="preserve"> </w:t>
            </w:r>
          </w:p>
        </w:tc>
      </w:tr>
      <w:tr w:rsidR="00861F8B" w:rsidRPr="001674E5" w14:paraId="003615C8" w14:textId="77777777">
        <w:trPr>
          <w:cantSplit/>
        </w:trPr>
        <w:tc>
          <w:tcPr>
            <w:tcW w:w="9590" w:type="dxa"/>
            <w:gridSpan w:val="2"/>
          </w:tcPr>
          <w:p w14:paraId="05F76DA5" w14:textId="17FDCCCE" w:rsidR="00861F8B" w:rsidRPr="001674E5" w:rsidRDefault="00E25DCB">
            <w:r w:rsidRPr="001674E5">
              <w:fldChar w:fldCharType="begin"/>
            </w:r>
            <w:r w:rsidRPr="001674E5">
              <w:instrText xml:space="preserve"> MACROBUTTON  AbaisserNiveauListe </w:instrText>
            </w:r>
            <w:r w:rsidRPr="001674E5">
              <w:fldChar w:fldCharType="end"/>
            </w:r>
            <w:r w:rsidR="00AF22BF" w:rsidRPr="001674E5">
              <w:t>GAUTHIER BÉDARD AVOCATS INC.</w:t>
            </w:r>
          </w:p>
        </w:tc>
      </w:tr>
      <w:tr w:rsidR="00C74B6F" w:rsidRPr="001674E5" w14:paraId="1234617A" w14:textId="77777777">
        <w:trPr>
          <w:cantSplit/>
        </w:trPr>
        <w:tc>
          <w:tcPr>
            <w:tcW w:w="9590" w:type="dxa"/>
            <w:gridSpan w:val="2"/>
          </w:tcPr>
          <w:p w14:paraId="35EE4E08" w14:textId="5D09136C" w:rsidR="00C74B6F" w:rsidRPr="001674E5" w:rsidRDefault="00AF22BF">
            <w:r w:rsidRPr="001674E5">
              <w:t>Pour la partie demanderesse</w:t>
            </w:r>
          </w:p>
        </w:tc>
      </w:tr>
      <w:tr w:rsidR="00AF22BF" w:rsidRPr="001674E5" w14:paraId="255C7F35" w14:textId="77777777">
        <w:trPr>
          <w:cantSplit/>
        </w:trPr>
        <w:tc>
          <w:tcPr>
            <w:tcW w:w="9590" w:type="dxa"/>
            <w:gridSpan w:val="2"/>
          </w:tcPr>
          <w:p w14:paraId="25AAD28F" w14:textId="77777777" w:rsidR="00AF22BF" w:rsidRPr="001674E5" w:rsidRDefault="00AF22BF"/>
        </w:tc>
      </w:tr>
      <w:tr w:rsidR="00C74B6F" w:rsidRPr="001674E5" w14:paraId="1A18B092" w14:textId="77777777">
        <w:trPr>
          <w:cantSplit/>
        </w:trPr>
        <w:tc>
          <w:tcPr>
            <w:tcW w:w="9590" w:type="dxa"/>
            <w:gridSpan w:val="2"/>
          </w:tcPr>
          <w:p w14:paraId="4EAB3B8F" w14:textId="349B36D9" w:rsidR="00C74B6F" w:rsidRPr="001674E5" w:rsidRDefault="00B35B11">
            <w:pPr>
              <w:pStyle w:val="zSoquijdatNomProcureurDef"/>
            </w:pPr>
            <w:r w:rsidRPr="001674E5">
              <w:t>M</w:t>
            </w:r>
            <w:r w:rsidRPr="001674E5">
              <w:rPr>
                <w:vertAlign w:val="superscript"/>
              </w:rPr>
              <w:t>es</w:t>
            </w:r>
            <w:r w:rsidRPr="001674E5">
              <w:t xml:space="preserve"> Karim Lebnan</w:t>
            </w:r>
            <w:r w:rsidR="00C874CE" w:rsidRPr="001674E5">
              <w:t>,</w:t>
            </w:r>
            <w:r w:rsidRPr="001674E5">
              <w:t xml:space="preserve"> Mathieu Labbé</w:t>
            </w:r>
            <w:r w:rsidR="00C874CE" w:rsidRPr="001674E5">
              <w:t xml:space="preserve"> et Vanessa Clermont-Isabelle</w:t>
            </w:r>
          </w:p>
        </w:tc>
      </w:tr>
      <w:tr w:rsidR="00C74B6F" w:rsidRPr="001674E5" w14:paraId="2410DE8D" w14:textId="77777777">
        <w:trPr>
          <w:cantSplit/>
        </w:trPr>
        <w:tc>
          <w:tcPr>
            <w:tcW w:w="9590" w:type="dxa"/>
            <w:gridSpan w:val="2"/>
          </w:tcPr>
          <w:p w14:paraId="403A9FCA" w14:textId="7C432460" w:rsidR="00C74B6F" w:rsidRPr="001674E5" w:rsidRDefault="00B35B11">
            <w:pPr>
              <w:pStyle w:val="zSoquijdatCabinetProcureurDef"/>
            </w:pPr>
            <w:r w:rsidRPr="001674E5">
              <w:t>LAROCHE MARTIN (SERVICE JURIDIQUE DE LA CSN)</w:t>
            </w:r>
          </w:p>
        </w:tc>
      </w:tr>
      <w:tr w:rsidR="00C74B6F" w:rsidRPr="001674E5" w14:paraId="6826FBFC" w14:textId="77777777">
        <w:trPr>
          <w:cantSplit/>
        </w:trPr>
        <w:tc>
          <w:tcPr>
            <w:tcW w:w="9590" w:type="dxa"/>
            <w:gridSpan w:val="2"/>
          </w:tcPr>
          <w:p w14:paraId="36369CB7" w14:textId="71A587B8" w:rsidR="00C74B6F" w:rsidRPr="001674E5" w:rsidRDefault="00CB05A7">
            <w:pPr>
              <w:pStyle w:val="zSoquijlblProcureurDef"/>
            </w:pPr>
            <w:r w:rsidRPr="001674E5">
              <w:t xml:space="preserve">Pour la partie </w:t>
            </w:r>
            <w:r w:rsidR="00B35B11" w:rsidRPr="001674E5">
              <w:t>défenderesse</w:t>
            </w:r>
          </w:p>
        </w:tc>
      </w:tr>
      <w:tr w:rsidR="007569DE" w:rsidRPr="001674E5" w14:paraId="53F8B527" w14:textId="77777777">
        <w:trPr>
          <w:cantSplit/>
        </w:trPr>
        <w:tc>
          <w:tcPr>
            <w:tcW w:w="9590" w:type="dxa"/>
            <w:gridSpan w:val="2"/>
          </w:tcPr>
          <w:p w14:paraId="3A9DD4C7" w14:textId="77777777" w:rsidR="007569DE" w:rsidRPr="001674E5" w:rsidRDefault="007569DE"/>
        </w:tc>
      </w:tr>
      <w:tr w:rsidR="00C74B6F" w:rsidRPr="001674E5" w14:paraId="4DEBA83E" w14:textId="77777777">
        <w:trPr>
          <w:cantSplit/>
        </w:trPr>
        <w:tc>
          <w:tcPr>
            <w:tcW w:w="9590" w:type="dxa"/>
            <w:gridSpan w:val="2"/>
          </w:tcPr>
          <w:p w14:paraId="074A715D" w14:textId="51AF4CBB" w:rsidR="00C74B6F" w:rsidRPr="001674E5" w:rsidRDefault="00B35B11">
            <w:pPr>
              <w:pStyle w:val="zSoquijdatNomProcureurInt"/>
            </w:pPr>
            <w:r w:rsidRPr="001674E5">
              <w:t>M</w:t>
            </w:r>
            <w:r w:rsidRPr="001674E5">
              <w:rPr>
                <w:vertAlign w:val="superscript"/>
              </w:rPr>
              <w:t>es</w:t>
            </w:r>
            <w:r w:rsidRPr="001674E5">
              <w:t xml:space="preserve"> Marie Couture-Clouâtre, Michel Déom et Alexandre Ouellet</w:t>
            </w:r>
          </w:p>
        </w:tc>
      </w:tr>
      <w:tr w:rsidR="00C74B6F" w:rsidRPr="001674E5" w14:paraId="3E92262E" w14:textId="77777777">
        <w:trPr>
          <w:cantSplit/>
        </w:trPr>
        <w:tc>
          <w:tcPr>
            <w:tcW w:w="9590" w:type="dxa"/>
            <w:gridSpan w:val="2"/>
          </w:tcPr>
          <w:p w14:paraId="64A239D9" w14:textId="620E49D0" w:rsidR="00C74B6F" w:rsidRPr="001674E5" w:rsidRDefault="00B35B11">
            <w:pPr>
              <w:pStyle w:val="zSoquijdatCabinetProcureurInt"/>
            </w:pPr>
            <w:r w:rsidRPr="001674E5">
              <w:t>BERNARD, ROY (JUSTICE-QUÉBEC)</w:t>
            </w:r>
          </w:p>
        </w:tc>
      </w:tr>
      <w:tr w:rsidR="00C74B6F" w:rsidRPr="001674E5" w14:paraId="3E5025EA" w14:textId="77777777">
        <w:trPr>
          <w:cantSplit/>
        </w:trPr>
        <w:tc>
          <w:tcPr>
            <w:tcW w:w="9590" w:type="dxa"/>
            <w:gridSpan w:val="2"/>
          </w:tcPr>
          <w:p w14:paraId="07CF7F37" w14:textId="63B5C29E" w:rsidR="00C74B6F" w:rsidRPr="001674E5" w:rsidRDefault="007569DE">
            <w:pPr>
              <w:pStyle w:val="zSoquijlblProcureurInt"/>
            </w:pPr>
            <w:r w:rsidRPr="001674E5">
              <w:t xml:space="preserve">Pour la partie </w:t>
            </w:r>
            <w:r w:rsidR="00B35B11" w:rsidRPr="001674E5">
              <w:t>intervenante Procureur général du Québec</w:t>
            </w:r>
          </w:p>
        </w:tc>
      </w:tr>
      <w:tr w:rsidR="00B35B11" w:rsidRPr="001674E5" w14:paraId="19CD7A79" w14:textId="77777777">
        <w:trPr>
          <w:cantSplit/>
        </w:trPr>
        <w:tc>
          <w:tcPr>
            <w:tcW w:w="9590" w:type="dxa"/>
            <w:gridSpan w:val="2"/>
          </w:tcPr>
          <w:p w14:paraId="044658E8" w14:textId="77777777" w:rsidR="00B35B11" w:rsidRPr="001674E5" w:rsidRDefault="00B35B11">
            <w:pPr>
              <w:pStyle w:val="zSoquijlblProcureurInt"/>
            </w:pPr>
          </w:p>
        </w:tc>
      </w:tr>
      <w:tr w:rsidR="00B35B11" w:rsidRPr="001674E5" w14:paraId="69788EF1" w14:textId="77777777">
        <w:trPr>
          <w:cantSplit/>
        </w:trPr>
        <w:tc>
          <w:tcPr>
            <w:tcW w:w="9590" w:type="dxa"/>
            <w:gridSpan w:val="2"/>
          </w:tcPr>
          <w:p w14:paraId="13FCEF64" w14:textId="4193F3C1" w:rsidR="00B35B11" w:rsidRPr="001674E5" w:rsidRDefault="00C874CE">
            <w:pPr>
              <w:pStyle w:val="zSoquijlblProcureurInt"/>
            </w:pPr>
            <w:r w:rsidRPr="001674E5">
              <w:t>M</w:t>
            </w:r>
            <w:r w:rsidRPr="001674E5">
              <w:rPr>
                <w:vertAlign w:val="superscript"/>
              </w:rPr>
              <w:t>es</w:t>
            </w:r>
            <w:r w:rsidRPr="001674E5">
              <w:t xml:space="preserve"> </w:t>
            </w:r>
            <w:r w:rsidRPr="00DC2F69">
              <w:t>Camille Goulet,</w:t>
            </w:r>
            <w:r w:rsidRPr="001674E5">
              <w:t xml:space="preserve"> Charles-David Brulotte et </w:t>
            </w:r>
            <w:r w:rsidRPr="00DC2F69">
              <w:t>Hugo Collin-Desrosiers</w:t>
            </w:r>
          </w:p>
        </w:tc>
      </w:tr>
      <w:tr w:rsidR="00B35B11" w:rsidRPr="001674E5" w14:paraId="257B7F54" w14:textId="77777777">
        <w:trPr>
          <w:cantSplit/>
        </w:trPr>
        <w:tc>
          <w:tcPr>
            <w:tcW w:w="9590" w:type="dxa"/>
            <w:gridSpan w:val="2"/>
          </w:tcPr>
          <w:p w14:paraId="6F68E08D" w14:textId="2279F291" w:rsidR="00B35B11" w:rsidRPr="001674E5" w:rsidRDefault="00C874CE">
            <w:pPr>
              <w:pStyle w:val="zSoquijlblProcureurInt"/>
            </w:pPr>
            <w:r w:rsidRPr="001674E5">
              <w:t>LES SERVICES JURIDIQUES DE LA CSQ</w:t>
            </w:r>
          </w:p>
        </w:tc>
      </w:tr>
      <w:tr w:rsidR="00B35B11" w:rsidRPr="001674E5" w14:paraId="2F4F22E6" w14:textId="77777777">
        <w:trPr>
          <w:cantSplit/>
        </w:trPr>
        <w:tc>
          <w:tcPr>
            <w:tcW w:w="9590" w:type="dxa"/>
            <w:gridSpan w:val="2"/>
          </w:tcPr>
          <w:p w14:paraId="25D674E4" w14:textId="3B340ECC" w:rsidR="00B35B11" w:rsidRPr="001674E5" w:rsidRDefault="00C874CE">
            <w:pPr>
              <w:pStyle w:val="zSoquijlblProcureurInt"/>
            </w:pPr>
            <w:r w:rsidRPr="001674E5">
              <w:t>Pour les parties intervenantes Centrale des syndicats du Québec (CSQ) et Fédération des intervenantes en petite enfance du Québec (CSQ)</w:t>
            </w:r>
          </w:p>
        </w:tc>
      </w:tr>
      <w:tr w:rsidR="00B35B11" w:rsidRPr="001674E5" w14:paraId="2D8773EB" w14:textId="77777777">
        <w:trPr>
          <w:cantSplit/>
        </w:trPr>
        <w:tc>
          <w:tcPr>
            <w:tcW w:w="9590" w:type="dxa"/>
            <w:gridSpan w:val="2"/>
          </w:tcPr>
          <w:p w14:paraId="1869CA6D" w14:textId="77777777" w:rsidR="00B35B11" w:rsidRPr="001674E5" w:rsidRDefault="00B35B11">
            <w:pPr>
              <w:pStyle w:val="zSoquijlblProcureurInt"/>
            </w:pPr>
          </w:p>
        </w:tc>
      </w:tr>
      <w:tr w:rsidR="00B35B11" w:rsidRPr="001674E5" w14:paraId="23A90243" w14:textId="77777777">
        <w:trPr>
          <w:cantSplit/>
        </w:trPr>
        <w:tc>
          <w:tcPr>
            <w:tcW w:w="9590" w:type="dxa"/>
            <w:gridSpan w:val="2"/>
          </w:tcPr>
          <w:p w14:paraId="29CC74C9" w14:textId="42DBA2CB" w:rsidR="00B35B11" w:rsidRPr="001674E5" w:rsidRDefault="00C874CE">
            <w:pPr>
              <w:pStyle w:val="zSoquijlblProcureurInt"/>
            </w:pPr>
            <w:r w:rsidRPr="001674E5">
              <w:t>M</w:t>
            </w:r>
            <w:r w:rsidRPr="001674E5">
              <w:rPr>
                <w:vertAlign w:val="superscript"/>
              </w:rPr>
              <w:t>es</w:t>
            </w:r>
            <w:r w:rsidRPr="001674E5">
              <w:t xml:space="preserve"> </w:t>
            </w:r>
            <w:r w:rsidRPr="00DC2F69">
              <w:t>Joël Gagnon</w:t>
            </w:r>
            <w:r w:rsidRPr="001674E5">
              <w:t xml:space="preserve"> et Philippe Dufort</w:t>
            </w:r>
          </w:p>
        </w:tc>
      </w:tr>
      <w:tr w:rsidR="00B35B11" w:rsidRPr="001674E5" w14:paraId="58DAE4C1" w14:textId="77777777">
        <w:trPr>
          <w:cantSplit/>
        </w:trPr>
        <w:tc>
          <w:tcPr>
            <w:tcW w:w="9590" w:type="dxa"/>
            <w:gridSpan w:val="2"/>
          </w:tcPr>
          <w:p w14:paraId="20E052F2" w14:textId="30DB7F93" w:rsidR="00B35B11" w:rsidRPr="001674E5" w:rsidRDefault="00C874CE">
            <w:pPr>
              <w:pStyle w:val="zSoquijlblProcureurInt"/>
            </w:pPr>
            <w:r w:rsidRPr="001674E5">
              <w:t>S</w:t>
            </w:r>
            <w:r w:rsidR="00B703E8" w:rsidRPr="001674E5">
              <w:t>yndicat</w:t>
            </w:r>
            <w:r w:rsidRPr="001674E5">
              <w:t xml:space="preserve"> </w:t>
            </w:r>
            <w:r w:rsidR="00B703E8" w:rsidRPr="001674E5">
              <w:t>canadien de la fonction publique</w:t>
            </w:r>
          </w:p>
        </w:tc>
      </w:tr>
      <w:tr w:rsidR="00C15A3F" w:rsidRPr="001674E5" w14:paraId="4C305E43" w14:textId="77777777">
        <w:trPr>
          <w:cantSplit/>
        </w:trPr>
        <w:tc>
          <w:tcPr>
            <w:tcW w:w="9590" w:type="dxa"/>
            <w:gridSpan w:val="2"/>
          </w:tcPr>
          <w:p w14:paraId="23CB600B" w14:textId="6B14D524" w:rsidR="00C15A3F" w:rsidRPr="001674E5" w:rsidRDefault="00C874CE">
            <w:pPr>
              <w:pStyle w:val="zSoquijlblProcureurInt"/>
            </w:pPr>
            <w:r w:rsidRPr="001674E5">
              <w:t>Pour la partie intervenante Fédération des travailleurs et travailleuses du Québec</w:t>
            </w:r>
          </w:p>
        </w:tc>
      </w:tr>
      <w:tr w:rsidR="00C874CE" w:rsidRPr="001674E5" w14:paraId="6D050032" w14:textId="77777777">
        <w:trPr>
          <w:cantSplit/>
        </w:trPr>
        <w:tc>
          <w:tcPr>
            <w:tcW w:w="9590" w:type="dxa"/>
            <w:gridSpan w:val="2"/>
          </w:tcPr>
          <w:p w14:paraId="34EC6C56" w14:textId="77777777" w:rsidR="00C874CE" w:rsidRPr="001674E5" w:rsidRDefault="00C874CE">
            <w:pPr>
              <w:pStyle w:val="zSoquijlblProcureurInt"/>
            </w:pPr>
          </w:p>
        </w:tc>
      </w:tr>
      <w:tr w:rsidR="00C874CE" w:rsidRPr="001674E5" w14:paraId="6B29AA5E" w14:textId="77777777">
        <w:trPr>
          <w:cantSplit/>
        </w:trPr>
        <w:tc>
          <w:tcPr>
            <w:tcW w:w="9590" w:type="dxa"/>
            <w:gridSpan w:val="2"/>
          </w:tcPr>
          <w:p w14:paraId="359D35E7" w14:textId="34FEC2CB" w:rsidR="00C874CE" w:rsidRPr="001674E5" w:rsidRDefault="00C874CE">
            <w:pPr>
              <w:pStyle w:val="zSoquijlblProcureurInt"/>
            </w:pPr>
            <w:r w:rsidRPr="001674E5">
              <w:t>M</w:t>
            </w:r>
            <w:r w:rsidRPr="001674E5">
              <w:rPr>
                <w:vertAlign w:val="superscript"/>
              </w:rPr>
              <w:t>es</w:t>
            </w:r>
            <w:r w:rsidRPr="001674E5">
              <w:t xml:space="preserve"> Sophie Brochu et </w:t>
            </w:r>
            <w:r w:rsidRPr="00DC2F69">
              <w:t>Rébecca Lambert</w:t>
            </w:r>
          </w:p>
        </w:tc>
      </w:tr>
      <w:tr w:rsidR="00C874CE" w:rsidRPr="001674E5" w14:paraId="2635CB4C" w14:textId="77777777">
        <w:trPr>
          <w:cantSplit/>
        </w:trPr>
        <w:tc>
          <w:tcPr>
            <w:tcW w:w="9590" w:type="dxa"/>
            <w:gridSpan w:val="2"/>
          </w:tcPr>
          <w:p w14:paraId="6E469E5A" w14:textId="2C23FBCF" w:rsidR="00C874CE" w:rsidRPr="001674E5" w:rsidRDefault="00C874CE" w:rsidP="00C874CE">
            <w:pPr>
              <w:pStyle w:val="zSoquijlblProcureurInt"/>
            </w:pPr>
            <w:r w:rsidRPr="001674E5">
              <w:t xml:space="preserve">POUDRIER, </w:t>
            </w:r>
            <w:r w:rsidR="00322B68">
              <w:t>BRADET</w:t>
            </w:r>
            <w:r w:rsidR="00330780">
              <w:t xml:space="preserve"> </w:t>
            </w:r>
            <w:r w:rsidR="00B703E8" w:rsidRPr="001674E5">
              <w:t>SOCIÉTÉ D’AVOCATS</w:t>
            </w:r>
          </w:p>
        </w:tc>
      </w:tr>
      <w:tr w:rsidR="00C874CE" w:rsidRPr="001674E5" w14:paraId="5B4D3D3D" w14:textId="77777777">
        <w:trPr>
          <w:cantSplit/>
        </w:trPr>
        <w:tc>
          <w:tcPr>
            <w:tcW w:w="9590" w:type="dxa"/>
            <w:gridSpan w:val="2"/>
          </w:tcPr>
          <w:p w14:paraId="31CE883C" w14:textId="7762F350" w:rsidR="00C874CE" w:rsidRPr="001674E5" w:rsidRDefault="00C874CE">
            <w:pPr>
              <w:pStyle w:val="zSoquijlblProcureurInt"/>
            </w:pPr>
            <w:r w:rsidRPr="001674E5">
              <w:t>Pour les parties intervenantes Alliance du personnel professionnel et technique de la santé et des services sociaux (APTS) et Centrale des syndicats démocratiques</w:t>
            </w:r>
          </w:p>
        </w:tc>
      </w:tr>
      <w:tr w:rsidR="00C874CE" w:rsidRPr="001674E5" w14:paraId="17AA08D5" w14:textId="77777777">
        <w:trPr>
          <w:cantSplit/>
        </w:trPr>
        <w:tc>
          <w:tcPr>
            <w:tcW w:w="9590" w:type="dxa"/>
            <w:gridSpan w:val="2"/>
          </w:tcPr>
          <w:p w14:paraId="4B264ECE" w14:textId="77777777" w:rsidR="00C874CE" w:rsidRPr="001674E5" w:rsidRDefault="00C874CE">
            <w:pPr>
              <w:pStyle w:val="zSoquijlblProcureurInt"/>
            </w:pPr>
          </w:p>
        </w:tc>
      </w:tr>
      <w:tr w:rsidR="00C15A3F" w:rsidRPr="001674E5" w14:paraId="01741A33" w14:textId="77777777">
        <w:trPr>
          <w:cantSplit/>
        </w:trPr>
        <w:tc>
          <w:tcPr>
            <w:tcW w:w="9590" w:type="dxa"/>
            <w:gridSpan w:val="2"/>
          </w:tcPr>
          <w:p w14:paraId="769D0920" w14:textId="236378ED" w:rsidR="00C15A3F" w:rsidRPr="001674E5" w:rsidRDefault="00C15A3F" w:rsidP="000E56A6">
            <w:pPr>
              <w:pStyle w:val="zSoquijdatDateAudience"/>
            </w:pPr>
            <w:bookmarkStart w:id="12" w:name="Date_derniere_audience"/>
            <w:bookmarkEnd w:id="12"/>
            <w:r w:rsidRPr="001674E5">
              <w:t xml:space="preserve">Date de la </w:t>
            </w:r>
            <w:r w:rsidR="00CC6338" w:rsidRPr="001674E5">
              <w:t>mise en délibéré</w:t>
            </w:r>
            <w:r w:rsidRPr="001674E5">
              <w:t> :</w:t>
            </w:r>
            <w:r w:rsidR="00597016" w:rsidRPr="001674E5">
              <w:tab/>
            </w:r>
            <w:r w:rsidR="00C874CE" w:rsidRPr="00B70029">
              <w:t>5</w:t>
            </w:r>
            <w:r w:rsidR="00420D33" w:rsidRPr="00B70029">
              <w:t> </w:t>
            </w:r>
            <w:r w:rsidR="00C874CE" w:rsidRPr="00B70029">
              <w:t>juin 2026</w:t>
            </w:r>
          </w:p>
        </w:tc>
      </w:tr>
    </w:tbl>
    <w:p w14:paraId="5E1DB685" w14:textId="77777777" w:rsidR="00F76B4A" w:rsidRPr="001674E5" w:rsidRDefault="00F76B4A" w:rsidP="00F73D1C"/>
    <w:p w14:paraId="34EFFBA9" w14:textId="7D2DFD24" w:rsidR="002542E0" w:rsidRDefault="005013CB" w:rsidP="002542E0">
      <w:pPr>
        <w:pStyle w:val="corpsdedcision"/>
        <w:numPr>
          <w:ilvl w:val="0"/>
          <w:numId w:val="0"/>
        </w:numPr>
        <w:tabs>
          <w:tab w:val="clear" w:pos="720"/>
        </w:tabs>
      </w:pPr>
      <w:r>
        <w:t>IZ/VG/PEM</w:t>
      </w:r>
      <w:r w:rsidR="00C874CE" w:rsidRPr="001674E5">
        <w:t>/ep</w:t>
      </w:r>
      <w:r>
        <w:t>/mp</w:t>
      </w:r>
    </w:p>
    <w:sectPr w:rsidR="002542E0" w:rsidSect="00147A94">
      <w:headerReference w:type="default" r:id="rId8"/>
      <w:pgSz w:w="12240" w:h="15840" w:code="1"/>
      <w:pgMar w:top="1440" w:right="1440" w:bottom="1440"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BE552" w14:textId="77777777" w:rsidR="00D22C0F" w:rsidRPr="001674E5" w:rsidRDefault="00D22C0F">
      <w:r w:rsidRPr="001674E5">
        <w:separator/>
      </w:r>
    </w:p>
  </w:endnote>
  <w:endnote w:type="continuationSeparator" w:id="0">
    <w:p w14:paraId="421C6BDF" w14:textId="77777777" w:rsidR="00D22C0F" w:rsidRPr="001674E5" w:rsidRDefault="00D22C0F">
      <w:r w:rsidRPr="001674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422AF" w14:textId="77777777" w:rsidR="00D22C0F" w:rsidRPr="001674E5" w:rsidRDefault="00D22C0F">
      <w:r w:rsidRPr="001674E5">
        <w:separator/>
      </w:r>
    </w:p>
  </w:footnote>
  <w:footnote w:type="continuationSeparator" w:id="0">
    <w:p w14:paraId="1D463E80" w14:textId="77777777" w:rsidR="00D22C0F" w:rsidRPr="001674E5" w:rsidRDefault="00D22C0F">
      <w:r w:rsidRPr="001674E5">
        <w:continuationSeparator/>
      </w:r>
    </w:p>
  </w:footnote>
  <w:footnote w:id="1">
    <w:p w14:paraId="042258A3" w14:textId="17C6B9F1" w:rsidR="006B4494" w:rsidRPr="006B4494" w:rsidRDefault="006B4494" w:rsidP="006B449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9D424C">
        <w:rPr>
          <w:rFonts w:cs="Arial"/>
          <w:sz w:val="20"/>
        </w:rPr>
        <w:t>RLRQ, c. C -27</w:t>
      </w:r>
      <w:r>
        <w:rPr>
          <w:rFonts w:cs="Arial"/>
          <w:sz w:val="20"/>
        </w:rPr>
        <w:t>.</w:t>
      </w:r>
    </w:p>
  </w:footnote>
  <w:footnote w:id="2">
    <w:p w14:paraId="74F67E7E" w14:textId="61DF8048" w:rsidR="00C95F0D" w:rsidRPr="00C95F0D" w:rsidRDefault="00C95F0D" w:rsidP="00C95F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111.22.3 du Code.</w:t>
      </w:r>
    </w:p>
  </w:footnote>
  <w:footnote w:id="3">
    <w:p w14:paraId="6D21896D" w14:textId="5BFB0221" w:rsidR="00DE1C66" w:rsidRPr="00DE1C66" w:rsidRDefault="00DE1C66" w:rsidP="00DE1C6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Étant donné qu’il s’agit du premier dossier </w:t>
      </w:r>
      <w:r w:rsidR="007D7E9E">
        <w:rPr>
          <w:rFonts w:cs="Arial"/>
          <w:sz w:val="20"/>
        </w:rPr>
        <w:t>concernant une question d’importan</w:t>
      </w:r>
      <w:r w:rsidR="00EE40B1">
        <w:rPr>
          <w:rFonts w:cs="Arial"/>
          <w:sz w:val="20"/>
        </w:rPr>
        <w:t>ce</w:t>
      </w:r>
      <w:r w:rsidR="007D7E9E">
        <w:rPr>
          <w:rFonts w:cs="Arial"/>
          <w:sz w:val="20"/>
        </w:rPr>
        <w:t xml:space="preserve"> de droit nouveau</w:t>
      </w:r>
      <w:r>
        <w:rPr>
          <w:rFonts w:cs="Arial"/>
          <w:sz w:val="20"/>
        </w:rPr>
        <w:t xml:space="preserve">, la présidente du </w:t>
      </w:r>
      <w:r w:rsidR="00864904">
        <w:rPr>
          <w:rFonts w:cs="Arial"/>
          <w:sz w:val="20"/>
        </w:rPr>
        <w:t>T</w:t>
      </w:r>
      <w:r>
        <w:rPr>
          <w:rFonts w:cs="Arial"/>
          <w:sz w:val="20"/>
        </w:rPr>
        <w:t>ribunal a désigné une formation de trois juges administratifs</w:t>
      </w:r>
      <w:r w:rsidR="007D7E9E">
        <w:rPr>
          <w:rFonts w:cs="Arial"/>
          <w:sz w:val="20"/>
        </w:rPr>
        <w:t xml:space="preserve"> pour l’instruire</w:t>
      </w:r>
      <w:r>
        <w:rPr>
          <w:rFonts w:cs="Arial"/>
          <w:sz w:val="20"/>
        </w:rPr>
        <w:t>.</w:t>
      </w:r>
    </w:p>
  </w:footnote>
  <w:footnote w:id="4">
    <w:p w14:paraId="4AD5830A" w14:textId="2926A821" w:rsidR="004251EC" w:rsidRPr="005E1AC2" w:rsidRDefault="004251EC" w:rsidP="004251EC">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8205F2" w:rsidRPr="008205F2">
        <w:rPr>
          <w:rFonts w:cs="Arial"/>
          <w:i/>
          <w:iCs/>
          <w:sz w:val="20"/>
        </w:rPr>
        <w:t>Centre de la petite enfance Le Jardin de Robi inc.</w:t>
      </w:r>
      <w:r w:rsidR="008205F2" w:rsidRPr="008205F2">
        <w:rPr>
          <w:rFonts w:cs="Arial"/>
          <w:sz w:val="20"/>
        </w:rPr>
        <w:t xml:space="preserve"> et </w:t>
      </w:r>
      <w:r w:rsidR="008205F2" w:rsidRPr="008205F2">
        <w:rPr>
          <w:rFonts w:cs="Arial"/>
          <w:i/>
          <w:iCs/>
          <w:sz w:val="20"/>
        </w:rPr>
        <w:t>Syndicat des travailleuses des centres de la petite enfance et des bureaux coordonnateurs du Saguenay — Lac-Saint-Jean - FSSS-CSN</w:t>
      </w:r>
      <w:r w:rsidR="008205F2" w:rsidRPr="008205F2">
        <w:rPr>
          <w:rFonts w:cs="Arial"/>
          <w:sz w:val="20"/>
        </w:rPr>
        <w:t xml:space="preserve">, </w:t>
      </w:r>
      <w:r>
        <w:rPr>
          <w:rFonts w:cs="Arial"/>
          <w:sz w:val="20"/>
        </w:rPr>
        <w:t>2026</w:t>
      </w:r>
      <w:r w:rsidR="006D566E">
        <w:rPr>
          <w:rFonts w:cs="Arial"/>
          <w:sz w:val="20"/>
        </w:rPr>
        <w:t> </w:t>
      </w:r>
      <w:r>
        <w:rPr>
          <w:rFonts w:cs="Arial"/>
          <w:sz w:val="20"/>
        </w:rPr>
        <w:t>QCTAT</w:t>
      </w:r>
      <w:r w:rsidR="00384309">
        <w:rPr>
          <w:rFonts w:cs="Arial"/>
          <w:sz w:val="20"/>
        </w:rPr>
        <w:t xml:space="preserve"> </w:t>
      </w:r>
      <w:r>
        <w:rPr>
          <w:rFonts w:cs="Arial"/>
          <w:sz w:val="20"/>
        </w:rPr>
        <w:t>1063</w:t>
      </w:r>
      <w:r w:rsidR="00EE40B1">
        <w:rPr>
          <w:rFonts w:cs="Arial"/>
          <w:sz w:val="20"/>
        </w:rPr>
        <w:t>, la décision d’assujettissement.</w:t>
      </w:r>
    </w:p>
  </w:footnote>
  <w:footnote w:id="5">
    <w:p w14:paraId="7C10FC75" w14:textId="04BA5347" w:rsidR="004251EC" w:rsidRPr="005E1AC2" w:rsidRDefault="004251EC" w:rsidP="004251EC">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8205F2" w:rsidRPr="008205F2">
        <w:rPr>
          <w:rFonts w:cs="Arial"/>
          <w:i/>
          <w:iCs/>
          <w:sz w:val="20"/>
        </w:rPr>
        <w:t>Centre de la petite enfance Le Jardin de Robi inc.</w:t>
      </w:r>
      <w:r w:rsidR="008205F2" w:rsidRPr="008205F2">
        <w:rPr>
          <w:rFonts w:cs="Arial"/>
          <w:sz w:val="20"/>
        </w:rPr>
        <w:t xml:space="preserve"> et </w:t>
      </w:r>
      <w:r w:rsidR="008205F2" w:rsidRPr="008205F2">
        <w:rPr>
          <w:rFonts w:cs="Arial"/>
          <w:i/>
          <w:iCs/>
          <w:sz w:val="20"/>
        </w:rPr>
        <w:t>Syndicat des travailleuses des centres de la petite enfance et des bureaux coordonnateurs du Saguenay — Lac-Saint-Jean - FSSS-CSN</w:t>
      </w:r>
      <w:r w:rsidR="008205F2" w:rsidRPr="008205F2">
        <w:rPr>
          <w:rFonts w:cs="Arial"/>
          <w:sz w:val="20"/>
        </w:rPr>
        <w:t xml:space="preserve">, </w:t>
      </w:r>
      <w:r>
        <w:rPr>
          <w:rFonts w:cs="Arial"/>
          <w:sz w:val="20"/>
        </w:rPr>
        <w:t>2026</w:t>
      </w:r>
      <w:r w:rsidR="00D71241">
        <w:rPr>
          <w:rFonts w:cs="Arial"/>
          <w:sz w:val="20"/>
        </w:rPr>
        <w:t> </w:t>
      </w:r>
      <w:r>
        <w:rPr>
          <w:rFonts w:cs="Arial"/>
          <w:sz w:val="20"/>
        </w:rPr>
        <w:t>QCTAT 1250</w:t>
      </w:r>
      <w:r w:rsidR="004A62AB">
        <w:rPr>
          <w:rFonts w:cs="Arial"/>
          <w:sz w:val="20"/>
        </w:rPr>
        <w:t>, la décision déterminant les services à maintenir.</w:t>
      </w:r>
    </w:p>
  </w:footnote>
  <w:footnote w:id="6">
    <w:p w14:paraId="7F60A7E7" w14:textId="5DD9F043" w:rsidR="00BC6EDF" w:rsidRPr="00C319AA" w:rsidRDefault="007372C1" w:rsidP="00C319AA">
      <w:pPr>
        <w:pStyle w:val="Notedebasdepage"/>
        <w:tabs>
          <w:tab w:val="left" w:pos="720"/>
        </w:tabs>
        <w:ind w:left="720" w:hanging="720"/>
        <w:jc w:val="both"/>
        <w:rPr>
          <w:rFonts w:cs="Arial"/>
          <w:sz w:val="20"/>
        </w:rPr>
      </w:pPr>
      <w:r>
        <w:rPr>
          <w:rStyle w:val="Appelnotedebasdep"/>
        </w:rPr>
        <w:footnoteRef/>
      </w:r>
      <w:r>
        <w:t xml:space="preserve"> </w:t>
      </w:r>
      <w:r w:rsidRPr="007372C1">
        <w:rPr>
          <w:rFonts w:cs="Arial"/>
          <w:sz w:val="20"/>
        </w:rPr>
        <w:tab/>
      </w:r>
      <w:r w:rsidR="00F12A99" w:rsidRPr="00A02795">
        <w:rPr>
          <w:rFonts w:cs="Arial"/>
          <w:sz w:val="20"/>
        </w:rPr>
        <w:t xml:space="preserve">La grève a </w:t>
      </w:r>
      <w:r w:rsidR="00A02795" w:rsidRPr="00A02795">
        <w:rPr>
          <w:rFonts w:cs="Arial"/>
          <w:sz w:val="20"/>
        </w:rPr>
        <w:t>été suspendue</w:t>
      </w:r>
      <w:r w:rsidR="00F12A99" w:rsidRPr="00A02795">
        <w:rPr>
          <w:rFonts w:cs="Arial"/>
          <w:sz w:val="20"/>
        </w:rPr>
        <w:t xml:space="preserve"> alors que le dossier </w:t>
      </w:r>
      <w:r w:rsidR="007B62FE">
        <w:rPr>
          <w:rFonts w:cs="Arial"/>
          <w:sz w:val="20"/>
        </w:rPr>
        <w:t>était</w:t>
      </w:r>
      <w:r w:rsidR="00F12A99" w:rsidRPr="00A02795">
        <w:rPr>
          <w:rFonts w:cs="Arial"/>
          <w:sz w:val="20"/>
        </w:rPr>
        <w:t xml:space="preserve"> en délibéré </w:t>
      </w:r>
      <w:r w:rsidR="002F60BB" w:rsidRPr="00A02795">
        <w:rPr>
          <w:rFonts w:cs="Arial"/>
          <w:sz w:val="20"/>
        </w:rPr>
        <w:t>et</w:t>
      </w:r>
      <w:r w:rsidR="008308E9">
        <w:rPr>
          <w:rFonts w:cs="Arial"/>
          <w:sz w:val="20"/>
        </w:rPr>
        <w:t>,</w:t>
      </w:r>
      <w:r w:rsidR="00C017C8" w:rsidRPr="00A02795">
        <w:rPr>
          <w:rFonts w:cs="Arial"/>
          <w:sz w:val="20"/>
        </w:rPr>
        <w:t xml:space="preserve"> </w:t>
      </w:r>
      <w:r w:rsidR="00164530" w:rsidRPr="00A02795">
        <w:rPr>
          <w:rFonts w:cs="Arial"/>
          <w:sz w:val="20"/>
        </w:rPr>
        <w:t xml:space="preserve">le 13 juillet 2026, </w:t>
      </w:r>
      <w:r w:rsidR="00C017C8" w:rsidRPr="00A02795">
        <w:rPr>
          <w:rFonts w:cs="Arial"/>
          <w:sz w:val="20"/>
        </w:rPr>
        <w:t>les parties ont avisé</w:t>
      </w:r>
      <w:r w:rsidR="00164530" w:rsidRPr="00A02795">
        <w:rPr>
          <w:rFonts w:cs="Arial"/>
          <w:sz w:val="20"/>
        </w:rPr>
        <w:t xml:space="preserve"> le Tribunal de la signature de la nouvelle convention c</w:t>
      </w:r>
      <w:r w:rsidR="00A02795" w:rsidRPr="00A02795">
        <w:rPr>
          <w:rFonts w:cs="Arial"/>
          <w:sz w:val="20"/>
        </w:rPr>
        <w:t>ollective.</w:t>
      </w:r>
    </w:p>
  </w:footnote>
  <w:footnote w:id="7">
    <w:p w14:paraId="22F9CB93" w14:textId="4CC477A2" w:rsidR="00135DA2" w:rsidRPr="001674E5" w:rsidRDefault="00135DA2" w:rsidP="00135DA2">
      <w:pPr>
        <w:pStyle w:val="Notedebasdepage"/>
        <w:ind w:left="709" w:hanging="709"/>
        <w:jc w:val="both"/>
      </w:pPr>
      <w:r w:rsidRPr="001674E5">
        <w:rPr>
          <w:rStyle w:val="Appelnotedebasdep"/>
        </w:rPr>
        <w:footnoteRef/>
      </w:r>
      <w:r w:rsidRPr="001674E5">
        <w:t xml:space="preserve"> </w:t>
      </w:r>
      <w:r w:rsidRPr="001674E5">
        <w:tab/>
      </w:r>
      <w:r w:rsidRPr="001674E5">
        <w:rPr>
          <w:rFonts w:cs="Arial"/>
          <w:sz w:val="20"/>
        </w:rPr>
        <w:t xml:space="preserve">Partie I de la </w:t>
      </w:r>
      <w:r w:rsidRPr="00433900">
        <w:rPr>
          <w:rFonts w:cs="Arial"/>
          <w:i/>
          <w:iCs/>
          <w:sz w:val="20"/>
        </w:rPr>
        <w:t>Loi constitutionnelle de 1982</w:t>
      </w:r>
      <w:r w:rsidRPr="001674E5">
        <w:rPr>
          <w:rFonts w:cs="Arial"/>
          <w:sz w:val="20"/>
        </w:rPr>
        <w:t xml:space="preserve">, </w:t>
      </w:r>
      <w:r w:rsidR="002370FC">
        <w:rPr>
          <w:rFonts w:cs="Arial"/>
          <w:sz w:val="20"/>
        </w:rPr>
        <w:t>constituant l’a</w:t>
      </w:r>
      <w:r w:rsidRPr="001674E5">
        <w:rPr>
          <w:rFonts w:cs="Arial"/>
          <w:sz w:val="20"/>
        </w:rPr>
        <w:t>nnexe B de la Loi de 1982 sur le Canada (R-U), 1982, c. 11, la Charte canadienne.</w:t>
      </w:r>
    </w:p>
  </w:footnote>
  <w:footnote w:id="8">
    <w:p w14:paraId="64037F45" w14:textId="77777777" w:rsidR="00135DA2" w:rsidRPr="001674E5" w:rsidRDefault="00135DA2" w:rsidP="00135DA2">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RLRQ, c. C -12, la Charte québécoise.</w:t>
      </w:r>
    </w:p>
  </w:footnote>
  <w:footnote w:id="9">
    <w:p w14:paraId="287EB788" w14:textId="7C7690F5" w:rsidR="006220A0" w:rsidRPr="001674E5" w:rsidRDefault="006220A0" w:rsidP="006220A0">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Art</w:t>
      </w:r>
      <w:r w:rsidR="00964A8F">
        <w:rPr>
          <w:rFonts w:cs="Arial"/>
          <w:sz w:val="20"/>
        </w:rPr>
        <w:t>icles</w:t>
      </w:r>
      <w:r w:rsidRPr="001674E5">
        <w:rPr>
          <w:rFonts w:cs="Arial"/>
          <w:sz w:val="20"/>
        </w:rPr>
        <w:t> 1 de la Charte canadienne et 9.1 de la Charte québécoise.</w:t>
      </w:r>
    </w:p>
  </w:footnote>
  <w:footnote w:id="10">
    <w:p w14:paraId="7440A59B" w14:textId="371CA2AF" w:rsidR="00895EA6" w:rsidRPr="00895EA6" w:rsidRDefault="00895EA6" w:rsidP="00895EA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La CSQ.</w:t>
      </w:r>
    </w:p>
  </w:footnote>
  <w:footnote w:id="11">
    <w:p w14:paraId="06396579" w14:textId="03B49E44" w:rsidR="00895EA6" w:rsidRPr="00895EA6" w:rsidRDefault="00895EA6" w:rsidP="00895EA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La FIPEQ.</w:t>
      </w:r>
    </w:p>
  </w:footnote>
  <w:footnote w:id="12">
    <w:p w14:paraId="66E17AE2" w14:textId="5860C7B7" w:rsidR="00895EA6" w:rsidRPr="00895EA6" w:rsidRDefault="00895EA6" w:rsidP="00895EA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La FTQ.</w:t>
      </w:r>
    </w:p>
  </w:footnote>
  <w:footnote w:id="13">
    <w:p w14:paraId="7FFED74D" w14:textId="0F9128EB" w:rsidR="00895EA6" w:rsidRPr="00895EA6" w:rsidRDefault="00895EA6" w:rsidP="00895EA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L’APTS.</w:t>
      </w:r>
    </w:p>
  </w:footnote>
  <w:footnote w:id="14">
    <w:p w14:paraId="63FB9D65" w14:textId="1015E8E2" w:rsidR="00895EA6" w:rsidRPr="00895EA6" w:rsidRDefault="00895EA6" w:rsidP="00895EA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La CSD.</w:t>
      </w:r>
    </w:p>
  </w:footnote>
  <w:footnote w:id="15">
    <w:p w14:paraId="138CBCF8" w14:textId="1A35039A" w:rsidR="0086003B" w:rsidRPr="0086003B" w:rsidRDefault="0086003B" w:rsidP="0086003B">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86003B">
        <w:rPr>
          <w:rFonts w:cs="Arial"/>
          <w:sz w:val="20"/>
        </w:rPr>
        <w:t>Considérant que le présent dossier soulève une question de droit public importante dans le cadre d’un régime de droit nouveau et qu’il s’agit du premier dossier en la matière</w:t>
      </w:r>
      <w:r>
        <w:rPr>
          <w:rFonts w:cs="Arial"/>
          <w:sz w:val="20"/>
        </w:rPr>
        <w:t xml:space="preserve">, les parties intervenantes de deuxième part </w:t>
      </w:r>
      <w:r w:rsidRPr="0086003B">
        <w:rPr>
          <w:rFonts w:cs="Arial"/>
          <w:sz w:val="20"/>
        </w:rPr>
        <w:t>ont été autorisées à intervenir, de façon limitée, afin de faire leurs représentations à l’audience sur la question constitutionnelle.</w:t>
      </w:r>
    </w:p>
  </w:footnote>
  <w:footnote w:id="16">
    <w:p w14:paraId="19356AB4" w14:textId="62F3DE82" w:rsidR="004632FD" w:rsidRPr="00DB30D7" w:rsidRDefault="004632FD" w:rsidP="004632FD">
      <w:pPr>
        <w:pStyle w:val="Notedebasdepage"/>
        <w:tabs>
          <w:tab w:val="left" w:pos="720"/>
        </w:tabs>
        <w:ind w:left="720" w:hanging="720"/>
        <w:jc w:val="both"/>
        <w:rPr>
          <w:rFonts w:cs="Arial"/>
          <w:sz w:val="20"/>
        </w:rPr>
      </w:pPr>
      <w:r>
        <w:rPr>
          <w:rStyle w:val="Appelnotedebasdep"/>
        </w:rPr>
        <w:footnoteRef/>
      </w:r>
      <w:r>
        <w:t xml:space="preserve"> </w:t>
      </w:r>
      <w:r w:rsidRPr="00DB30D7">
        <w:rPr>
          <w:rFonts w:cs="Arial"/>
          <w:sz w:val="20"/>
        </w:rPr>
        <w:tab/>
      </w:r>
      <w:r>
        <w:rPr>
          <w:rFonts w:cs="Arial"/>
          <w:sz w:val="20"/>
        </w:rPr>
        <w:t xml:space="preserve">Afin d’alléger le texte, le Tribunal </w:t>
      </w:r>
      <w:r w:rsidR="00D81A8F">
        <w:rPr>
          <w:rFonts w:cs="Arial"/>
          <w:sz w:val="20"/>
        </w:rPr>
        <w:t xml:space="preserve">ne </w:t>
      </w:r>
      <w:r w:rsidR="004D7C84">
        <w:rPr>
          <w:rFonts w:cs="Arial"/>
          <w:sz w:val="20"/>
        </w:rPr>
        <w:t>fera désormais référence</w:t>
      </w:r>
      <w:r>
        <w:rPr>
          <w:rFonts w:cs="Arial"/>
          <w:sz w:val="20"/>
        </w:rPr>
        <w:t xml:space="preserve"> </w:t>
      </w:r>
      <w:r w:rsidR="00D81A8F">
        <w:rPr>
          <w:rFonts w:cs="Arial"/>
          <w:sz w:val="20"/>
        </w:rPr>
        <w:t>qu’</w:t>
      </w:r>
      <w:r>
        <w:rPr>
          <w:rFonts w:cs="Arial"/>
          <w:sz w:val="20"/>
        </w:rPr>
        <w:t xml:space="preserve">à l’article </w:t>
      </w:r>
      <w:r w:rsidRPr="00E94360">
        <w:rPr>
          <w:rFonts w:cs="Arial"/>
          <w:sz w:val="20"/>
        </w:rPr>
        <w:t>1</w:t>
      </w:r>
      <w:r>
        <w:rPr>
          <w:rFonts w:cs="Arial"/>
          <w:sz w:val="20"/>
        </w:rPr>
        <w:t xml:space="preserve"> de l</w:t>
      </w:r>
      <w:r w:rsidR="002E767A">
        <w:rPr>
          <w:rFonts w:cs="Arial"/>
          <w:sz w:val="20"/>
        </w:rPr>
        <w:t>a</w:t>
      </w:r>
      <w:r>
        <w:rPr>
          <w:rFonts w:cs="Arial"/>
          <w:sz w:val="20"/>
        </w:rPr>
        <w:t xml:space="preserve"> Charte canadienne.</w:t>
      </w:r>
    </w:p>
  </w:footnote>
  <w:footnote w:id="17">
    <w:p w14:paraId="065B5096" w14:textId="2FF63463" w:rsidR="00FB76E7" w:rsidRPr="00FB76E7" w:rsidRDefault="00FB76E7" w:rsidP="00FB76E7">
      <w:pPr>
        <w:pStyle w:val="Notedebasdepage"/>
        <w:tabs>
          <w:tab w:val="left" w:pos="720"/>
        </w:tabs>
        <w:ind w:left="720" w:hanging="720"/>
        <w:jc w:val="both"/>
        <w:rPr>
          <w:rFonts w:cs="Arial"/>
          <w:sz w:val="20"/>
        </w:rPr>
      </w:pPr>
      <w:r>
        <w:rPr>
          <w:rStyle w:val="Appelnotedebasdep"/>
        </w:rPr>
        <w:footnoteRef/>
      </w:r>
      <w:r w:rsidRPr="002127AA">
        <w:t xml:space="preserve"> </w:t>
      </w:r>
      <w:r w:rsidRPr="002127AA">
        <w:rPr>
          <w:rFonts w:cs="Arial"/>
          <w:sz w:val="20"/>
        </w:rPr>
        <w:tab/>
        <w:t>Art</w:t>
      </w:r>
      <w:r w:rsidR="00964A8F">
        <w:rPr>
          <w:rFonts w:cs="Arial"/>
          <w:sz w:val="20"/>
        </w:rPr>
        <w:t>.</w:t>
      </w:r>
      <w:r w:rsidRPr="002127AA">
        <w:rPr>
          <w:rFonts w:cs="Arial"/>
          <w:sz w:val="20"/>
        </w:rPr>
        <w:t xml:space="preserve"> 107 du Code. </w:t>
      </w:r>
      <w:r w:rsidR="00831B5D" w:rsidRPr="00831B5D">
        <w:rPr>
          <w:rFonts w:cs="Arial"/>
          <w:sz w:val="20"/>
        </w:rPr>
        <w:t xml:space="preserve">D’autres </w:t>
      </w:r>
      <w:r w:rsidR="00A57DAE">
        <w:rPr>
          <w:rFonts w:cs="Arial"/>
          <w:sz w:val="20"/>
        </w:rPr>
        <w:t xml:space="preserve">salariés </w:t>
      </w:r>
      <w:r w:rsidR="00831B5D" w:rsidRPr="00831B5D">
        <w:rPr>
          <w:rFonts w:cs="Arial"/>
          <w:sz w:val="20"/>
        </w:rPr>
        <w:t>se voient régis par des régimes particuliers prévus dans diverses lois</w:t>
      </w:r>
      <w:r w:rsidR="00A57DAE">
        <w:rPr>
          <w:rFonts w:cs="Arial"/>
          <w:sz w:val="20"/>
        </w:rPr>
        <w:t>.</w:t>
      </w:r>
    </w:p>
  </w:footnote>
  <w:footnote w:id="18">
    <w:p w14:paraId="747CC1AE" w14:textId="3FC3C370" w:rsidR="000449A1" w:rsidRPr="00E66F21" w:rsidRDefault="000449A1"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 20.2 du Code.</w:t>
      </w:r>
    </w:p>
  </w:footnote>
  <w:footnote w:id="19">
    <w:p w14:paraId="7D2656F6" w14:textId="542D8810" w:rsidR="000449A1" w:rsidRPr="00E66F21" w:rsidRDefault="000449A1"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98192C">
        <w:rPr>
          <w:rFonts w:cs="Arial"/>
          <w:sz w:val="20"/>
        </w:rPr>
        <w:t xml:space="preserve">Art. </w:t>
      </w:r>
      <w:r>
        <w:rPr>
          <w:rFonts w:cs="Arial"/>
          <w:sz w:val="20"/>
        </w:rPr>
        <w:t>108 du Code.</w:t>
      </w:r>
    </w:p>
  </w:footnote>
  <w:footnote w:id="20">
    <w:p w14:paraId="295AB2D7" w14:textId="6E5E2BE7" w:rsidR="00FB76E7" w:rsidRPr="00FB76E7" w:rsidRDefault="00FB76E7" w:rsidP="00FB76E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105 du Code.</w:t>
      </w:r>
    </w:p>
  </w:footnote>
  <w:footnote w:id="21">
    <w:p w14:paraId="591D7F64" w14:textId="70F51080" w:rsidR="006D54B6" w:rsidRPr="00E66F21" w:rsidRDefault="006D54B6"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6D54B6">
        <w:rPr>
          <w:rFonts w:cs="Arial"/>
          <w:sz w:val="20"/>
        </w:rPr>
        <w:t>Les</w:t>
      </w:r>
      <w:r w:rsidR="00C84AFF">
        <w:rPr>
          <w:rFonts w:cs="Arial"/>
          <w:sz w:val="20"/>
        </w:rPr>
        <w:t xml:space="preserve"> </w:t>
      </w:r>
      <w:r w:rsidRPr="006D54B6">
        <w:rPr>
          <w:rFonts w:cs="Arial"/>
          <w:sz w:val="20"/>
        </w:rPr>
        <w:t>services publics sont énumérés à l’article 111.0.16 du Code, en fonction de leur nature et sans égard au statut privé ou public de l’employeur.</w:t>
      </w:r>
      <w:r w:rsidR="00C84AFF" w:rsidRPr="00C84AFF">
        <w:t xml:space="preserve"> </w:t>
      </w:r>
      <w:r w:rsidR="00C84AFF" w:rsidRPr="00C84AFF">
        <w:rPr>
          <w:rFonts w:cs="Arial"/>
          <w:sz w:val="20"/>
        </w:rPr>
        <w:t>À titre d’exemple, on y trouve les entreprises de transport public, d’enlèvement des déchets, de services ambulanciers, d’électricité ou de gaz.</w:t>
      </w:r>
      <w:r w:rsidR="00C84AFF" w:rsidRPr="00C84AFF">
        <w:t xml:space="preserve"> </w:t>
      </w:r>
      <w:r w:rsidR="00C84AFF" w:rsidRPr="00C84AFF">
        <w:rPr>
          <w:rFonts w:cs="Arial"/>
          <w:sz w:val="20"/>
        </w:rPr>
        <w:t>Une</w:t>
      </w:r>
      <w:r w:rsidR="005B55C7">
        <w:rPr>
          <w:rFonts w:cs="Arial"/>
          <w:sz w:val="20"/>
        </w:rPr>
        <w:t> </w:t>
      </w:r>
      <w:r w:rsidR="00C84AFF" w:rsidRPr="00C84AFF">
        <w:rPr>
          <w:rFonts w:cs="Arial"/>
          <w:sz w:val="20"/>
        </w:rPr>
        <w:t>entreprise assimilable à un tel service public peut également être assujettie. Par exemple, une résidence privée pour aînés en perte d’autonomie a été assimilée à un service public.</w:t>
      </w:r>
    </w:p>
  </w:footnote>
  <w:footnote w:id="22">
    <w:p w14:paraId="1C9F4624" w14:textId="5C6C14C0" w:rsidR="006D54B6" w:rsidRPr="00506A86" w:rsidRDefault="006D54B6" w:rsidP="006D54B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111.0.17 et 111.10 du Code.</w:t>
      </w:r>
    </w:p>
  </w:footnote>
  <w:footnote w:id="23">
    <w:p w14:paraId="342CAA36" w14:textId="6147DCFF" w:rsidR="00C84AFF" w:rsidRPr="004256D8" w:rsidRDefault="00C84AFF" w:rsidP="00C84AF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111.0.23 du Code dans un service public et 111.11 du Code dans les secteurs publics et parapublics.</w:t>
      </w:r>
    </w:p>
  </w:footnote>
  <w:footnote w:id="24">
    <w:p w14:paraId="6DE3BF9D" w14:textId="77777777" w:rsidR="005B1C01" w:rsidRPr="001674E5" w:rsidRDefault="005B1C01" w:rsidP="005B1C01">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L.Q. 2025, c. 14</w:t>
      </w:r>
      <w:r>
        <w:rPr>
          <w:rFonts w:cs="Arial"/>
          <w:sz w:val="20"/>
        </w:rPr>
        <w:t>.</w:t>
      </w:r>
    </w:p>
  </w:footnote>
  <w:footnote w:id="25">
    <w:p w14:paraId="6AC100A0" w14:textId="1FAA27E9" w:rsidR="00D1194F" w:rsidRPr="00D1194F" w:rsidRDefault="00D1194F" w:rsidP="000732A6">
      <w:pPr>
        <w:pStyle w:val="Notedebasdepage"/>
        <w:tabs>
          <w:tab w:val="left" w:pos="720"/>
        </w:tabs>
        <w:ind w:left="720" w:hanging="720"/>
        <w:jc w:val="both"/>
        <w:rPr>
          <w:rFonts w:cs="Arial"/>
          <w:sz w:val="20"/>
        </w:rPr>
      </w:pPr>
      <w:r>
        <w:rPr>
          <w:rStyle w:val="Appelnotedebasdep"/>
        </w:rPr>
        <w:footnoteRef/>
      </w:r>
      <w:r>
        <w:t xml:space="preserve"> </w:t>
      </w:r>
      <w:r w:rsidRPr="00D1194F">
        <w:rPr>
          <w:rFonts w:cs="Arial"/>
          <w:sz w:val="20"/>
        </w:rPr>
        <w:tab/>
      </w:r>
      <w:r w:rsidR="000732A6" w:rsidRPr="00AC1388">
        <w:rPr>
          <w:rFonts w:cs="Arial"/>
          <w:i/>
          <w:iCs/>
          <w:sz w:val="20"/>
        </w:rPr>
        <w:t>Association McGillienne des professeur(e)s de droit</w:t>
      </w:r>
      <w:r w:rsidR="000732A6" w:rsidRPr="00881884">
        <w:rPr>
          <w:rFonts w:cs="Arial"/>
          <w:sz w:val="20"/>
        </w:rPr>
        <w:t xml:space="preserve"> c. </w:t>
      </w:r>
      <w:r w:rsidR="000732A6" w:rsidRPr="00AC1388">
        <w:rPr>
          <w:rFonts w:cs="Arial"/>
          <w:i/>
          <w:iCs/>
          <w:sz w:val="20"/>
        </w:rPr>
        <w:t>Procureur général du Québec</w:t>
      </w:r>
      <w:r w:rsidR="000732A6" w:rsidRPr="00881884">
        <w:rPr>
          <w:rFonts w:cs="Arial"/>
          <w:sz w:val="20"/>
        </w:rPr>
        <w:t>, C.S. Montréal, 500-17-134996-258</w:t>
      </w:r>
      <w:r w:rsidR="000732A6">
        <w:rPr>
          <w:rFonts w:cs="Arial"/>
          <w:sz w:val="20"/>
        </w:rPr>
        <w:t xml:space="preserve">; </w:t>
      </w:r>
      <w:r w:rsidR="000732A6" w:rsidRPr="00AC1388">
        <w:rPr>
          <w:rFonts w:cs="Arial"/>
          <w:i/>
          <w:iCs/>
          <w:sz w:val="20"/>
        </w:rPr>
        <w:t>Fédération autonome de l’enseignement</w:t>
      </w:r>
      <w:r w:rsidR="000732A6" w:rsidRPr="00881884">
        <w:rPr>
          <w:rFonts w:cs="Arial"/>
          <w:sz w:val="20"/>
        </w:rPr>
        <w:t xml:space="preserve"> c. </w:t>
      </w:r>
      <w:r w:rsidR="000732A6" w:rsidRPr="00AC1388">
        <w:rPr>
          <w:rFonts w:cs="Arial"/>
          <w:i/>
          <w:iCs/>
          <w:sz w:val="20"/>
        </w:rPr>
        <w:t>Procureur général du Québec</w:t>
      </w:r>
      <w:r w:rsidR="000732A6" w:rsidRPr="00881884">
        <w:rPr>
          <w:rFonts w:cs="Arial"/>
          <w:sz w:val="20"/>
        </w:rPr>
        <w:t>, C.S. Montréal, 500-17-136445-25</w:t>
      </w:r>
      <w:r w:rsidR="000732A6">
        <w:rPr>
          <w:rFonts w:cs="Arial"/>
          <w:sz w:val="20"/>
        </w:rPr>
        <w:t xml:space="preserve">4; </w:t>
      </w:r>
      <w:r w:rsidR="000732A6" w:rsidRPr="00AC1388">
        <w:rPr>
          <w:rFonts w:cs="Arial"/>
          <w:i/>
          <w:iCs/>
          <w:sz w:val="20"/>
        </w:rPr>
        <w:t>Fédération des travailleurs et travailleuses du Québec</w:t>
      </w:r>
      <w:r w:rsidR="000732A6" w:rsidRPr="00881884">
        <w:rPr>
          <w:rFonts w:cs="Arial"/>
          <w:sz w:val="20"/>
        </w:rPr>
        <w:t xml:space="preserve"> c. </w:t>
      </w:r>
      <w:r w:rsidR="000732A6" w:rsidRPr="00AC1388">
        <w:rPr>
          <w:rFonts w:cs="Arial"/>
          <w:i/>
          <w:iCs/>
          <w:sz w:val="20"/>
        </w:rPr>
        <w:t>Procureur général du Québec</w:t>
      </w:r>
      <w:r w:rsidR="000732A6" w:rsidRPr="00881884">
        <w:rPr>
          <w:rFonts w:cs="Arial"/>
          <w:sz w:val="20"/>
        </w:rPr>
        <w:t>, C.S. Montréal, 500-17-136386-250</w:t>
      </w:r>
      <w:r w:rsidR="000732A6">
        <w:rPr>
          <w:rFonts w:cs="Arial"/>
          <w:sz w:val="20"/>
        </w:rPr>
        <w:t xml:space="preserve">; </w:t>
      </w:r>
      <w:r w:rsidR="000732A6" w:rsidRPr="00AC1388">
        <w:rPr>
          <w:rFonts w:cs="Arial"/>
          <w:i/>
          <w:iCs/>
          <w:sz w:val="20"/>
        </w:rPr>
        <w:t>Centrale des syndicats démocratiques</w:t>
      </w:r>
      <w:r w:rsidR="000732A6" w:rsidRPr="00881884">
        <w:rPr>
          <w:rFonts w:cs="Arial"/>
          <w:sz w:val="20"/>
        </w:rPr>
        <w:t xml:space="preserve"> c. </w:t>
      </w:r>
      <w:r w:rsidR="000732A6" w:rsidRPr="00AC1388">
        <w:rPr>
          <w:rFonts w:cs="Arial"/>
          <w:i/>
          <w:iCs/>
          <w:sz w:val="20"/>
        </w:rPr>
        <w:t>Procureur général du Québec</w:t>
      </w:r>
      <w:r w:rsidR="000732A6" w:rsidRPr="00881884">
        <w:rPr>
          <w:rFonts w:cs="Arial"/>
          <w:sz w:val="20"/>
        </w:rPr>
        <w:t>, C.S. Montréal, 500-17-136430-256</w:t>
      </w:r>
      <w:r w:rsidR="000732A6">
        <w:rPr>
          <w:rFonts w:cs="Arial"/>
          <w:sz w:val="20"/>
        </w:rPr>
        <w:t xml:space="preserve">; </w:t>
      </w:r>
      <w:r w:rsidR="000732A6" w:rsidRPr="00AC1388">
        <w:rPr>
          <w:rFonts w:cs="Arial"/>
          <w:i/>
          <w:iCs/>
          <w:sz w:val="20"/>
        </w:rPr>
        <w:t>Centrale des syndicats du Québec</w:t>
      </w:r>
      <w:r w:rsidR="000732A6" w:rsidRPr="00881884">
        <w:rPr>
          <w:rFonts w:cs="Arial"/>
          <w:sz w:val="20"/>
        </w:rPr>
        <w:t xml:space="preserve"> c. </w:t>
      </w:r>
      <w:r w:rsidR="000732A6" w:rsidRPr="00AC1388">
        <w:rPr>
          <w:rFonts w:cs="Arial"/>
          <w:i/>
          <w:iCs/>
          <w:sz w:val="20"/>
        </w:rPr>
        <w:t>Procureur général du Québec</w:t>
      </w:r>
      <w:r w:rsidR="000732A6" w:rsidRPr="00881884">
        <w:rPr>
          <w:rFonts w:cs="Arial"/>
          <w:sz w:val="20"/>
        </w:rPr>
        <w:t>, C.S. Montréal, 500</w:t>
      </w:r>
      <w:r w:rsidR="000732A6">
        <w:rPr>
          <w:rFonts w:cs="Arial"/>
          <w:sz w:val="20"/>
        </w:rPr>
        <w:noBreakHyphen/>
      </w:r>
      <w:r w:rsidR="000732A6" w:rsidRPr="00881884">
        <w:rPr>
          <w:rFonts w:cs="Arial"/>
          <w:sz w:val="20"/>
        </w:rPr>
        <w:t>17</w:t>
      </w:r>
      <w:r w:rsidR="000732A6">
        <w:rPr>
          <w:rFonts w:cs="Arial"/>
          <w:sz w:val="20"/>
        </w:rPr>
        <w:noBreakHyphen/>
      </w:r>
      <w:r w:rsidR="000732A6" w:rsidRPr="00881884">
        <w:rPr>
          <w:rFonts w:cs="Arial"/>
          <w:sz w:val="20"/>
        </w:rPr>
        <w:t>136375-253</w:t>
      </w:r>
      <w:r w:rsidR="000732A6">
        <w:rPr>
          <w:rFonts w:cs="Arial"/>
          <w:sz w:val="20"/>
        </w:rPr>
        <w:t xml:space="preserve">; </w:t>
      </w:r>
      <w:r w:rsidR="000732A6" w:rsidRPr="00AC1388">
        <w:rPr>
          <w:rFonts w:cs="Arial"/>
          <w:i/>
          <w:iCs/>
          <w:sz w:val="20"/>
        </w:rPr>
        <w:t>Confédération des syndicats nationaux</w:t>
      </w:r>
      <w:r w:rsidR="000732A6" w:rsidRPr="00881884">
        <w:rPr>
          <w:rFonts w:cs="Arial"/>
          <w:sz w:val="20"/>
        </w:rPr>
        <w:t xml:space="preserve"> c. </w:t>
      </w:r>
      <w:r w:rsidR="000732A6" w:rsidRPr="00AC1388">
        <w:rPr>
          <w:rFonts w:cs="Arial"/>
          <w:i/>
          <w:iCs/>
          <w:sz w:val="20"/>
        </w:rPr>
        <w:t>Procureur général du Québec</w:t>
      </w:r>
      <w:r w:rsidR="000732A6" w:rsidRPr="00881884">
        <w:rPr>
          <w:rFonts w:cs="Arial"/>
          <w:sz w:val="20"/>
        </w:rPr>
        <w:t>, C.S. Montréal, 500-17-136379-255</w:t>
      </w:r>
      <w:r w:rsidR="000732A6">
        <w:rPr>
          <w:rFonts w:cs="Arial"/>
          <w:sz w:val="20"/>
        </w:rPr>
        <w:t xml:space="preserve">; </w:t>
      </w:r>
      <w:r w:rsidR="000732A6" w:rsidRPr="00AC1388">
        <w:rPr>
          <w:rFonts w:cs="Arial"/>
          <w:i/>
          <w:iCs/>
          <w:sz w:val="20"/>
        </w:rPr>
        <w:t>Alliance du personnel professionnel et technique de la santé et des services sociaux</w:t>
      </w:r>
      <w:r w:rsidR="000732A6" w:rsidRPr="00881884">
        <w:rPr>
          <w:rFonts w:cs="Arial"/>
          <w:sz w:val="20"/>
        </w:rPr>
        <w:t xml:space="preserve"> c. </w:t>
      </w:r>
      <w:r w:rsidR="000732A6" w:rsidRPr="00AC1388">
        <w:rPr>
          <w:rFonts w:cs="Arial"/>
          <w:i/>
          <w:iCs/>
          <w:sz w:val="20"/>
        </w:rPr>
        <w:t>Procureur général du Québec</w:t>
      </w:r>
      <w:r w:rsidR="000732A6" w:rsidRPr="00881884">
        <w:rPr>
          <w:rFonts w:cs="Arial"/>
          <w:sz w:val="20"/>
        </w:rPr>
        <w:t>, C.S. Montréal, 500-17-136431-254</w:t>
      </w:r>
      <w:r w:rsidR="000732A6">
        <w:rPr>
          <w:rFonts w:cs="Arial"/>
          <w:sz w:val="20"/>
        </w:rPr>
        <w:t>.</w:t>
      </w:r>
    </w:p>
  </w:footnote>
  <w:footnote w:id="26">
    <w:p w14:paraId="05049F8D" w14:textId="4E64EED1" w:rsidR="0088466F" w:rsidRPr="0088466F" w:rsidRDefault="0088466F" w:rsidP="0088466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RLRQ</w:t>
      </w:r>
      <w:r w:rsidR="002370FC">
        <w:rPr>
          <w:rFonts w:cs="Arial"/>
          <w:sz w:val="20"/>
        </w:rPr>
        <w:t>,</w:t>
      </w:r>
      <w:r>
        <w:rPr>
          <w:rFonts w:cs="Arial"/>
          <w:sz w:val="20"/>
        </w:rPr>
        <w:t xml:space="preserve"> c. F</w:t>
      </w:r>
      <w:r w:rsidR="00DE60CD">
        <w:rPr>
          <w:rFonts w:cs="Arial"/>
          <w:sz w:val="20"/>
        </w:rPr>
        <w:t>-3.1.1</w:t>
      </w:r>
      <w:r w:rsidR="002370FC">
        <w:rPr>
          <w:rFonts w:cs="Arial"/>
          <w:sz w:val="20"/>
        </w:rPr>
        <w:t>.</w:t>
      </w:r>
    </w:p>
  </w:footnote>
  <w:footnote w:id="27">
    <w:p w14:paraId="7C618B66" w14:textId="71A02952" w:rsidR="00C50BC5" w:rsidRPr="00C50BC5" w:rsidRDefault="00C50BC5" w:rsidP="00C50BC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111.22.2 du Code.</w:t>
      </w:r>
    </w:p>
  </w:footnote>
  <w:footnote w:id="28">
    <w:p w14:paraId="56599676" w14:textId="1122EF67" w:rsidR="002F36C5" w:rsidRPr="00FB7020" w:rsidRDefault="002F36C5" w:rsidP="002F36C5">
      <w:pPr>
        <w:pStyle w:val="Notedebasdepage"/>
        <w:tabs>
          <w:tab w:val="left" w:pos="720"/>
        </w:tabs>
        <w:ind w:left="720" w:hanging="720"/>
        <w:jc w:val="both"/>
        <w:rPr>
          <w:rFonts w:cs="Arial"/>
          <w:sz w:val="20"/>
        </w:rPr>
      </w:pPr>
      <w:r>
        <w:rPr>
          <w:rStyle w:val="Appelnotedebasdep"/>
        </w:rPr>
        <w:footnoteRef/>
      </w:r>
      <w:r w:rsidRPr="00FB7020">
        <w:t xml:space="preserve"> </w:t>
      </w:r>
      <w:r w:rsidRPr="00FB7020">
        <w:rPr>
          <w:rFonts w:cs="Arial"/>
          <w:sz w:val="20"/>
        </w:rPr>
        <w:tab/>
        <w:t>Art</w:t>
      </w:r>
      <w:r w:rsidR="00964A8F">
        <w:rPr>
          <w:rFonts w:cs="Arial"/>
          <w:sz w:val="20"/>
        </w:rPr>
        <w:t>.</w:t>
      </w:r>
      <w:r w:rsidRPr="00FB7020">
        <w:rPr>
          <w:rFonts w:cs="Arial"/>
          <w:sz w:val="20"/>
        </w:rPr>
        <w:t xml:space="preserve"> 111.22.4 du Code.</w:t>
      </w:r>
    </w:p>
  </w:footnote>
  <w:footnote w:id="29">
    <w:p w14:paraId="449987F0" w14:textId="06B3B53D" w:rsidR="00D66345" w:rsidRPr="00D66345" w:rsidRDefault="00D66345" w:rsidP="00D6634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Avant 2019, le gouvernement adoptait un décret pour assujettir les parties d’un service public au maintien de services essentiels selon le </w:t>
      </w:r>
      <w:r w:rsidR="004720FA">
        <w:rPr>
          <w:rFonts w:cs="Arial"/>
          <w:sz w:val="20"/>
        </w:rPr>
        <w:t xml:space="preserve">même </w:t>
      </w:r>
      <w:r>
        <w:rPr>
          <w:rFonts w:cs="Arial"/>
          <w:sz w:val="20"/>
        </w:rPr>
        <w:t>critère de danger pour la santé ou la sécurité publique.</w:t>
      </w:r>
    </w:p>
  </w:footnote>
  <w:footnote w:id="30">
    <w:p w14:paraId="1447EB6E" w14:textId="7E3C6429" w:rsidR="00D66345" w:rsidRPr="00397EE9" w:rsidRDefault="00D66345" w:rsidP="00D66345">
      <w:pPr>
        <w:pStyle w:val="Notedebasdepage"/>
        <w:tabs>
          <w:tab w:val="left" w:pos="720"/>
        </w:tabs>
        <w:ind w:left="720" w:hanging="720"/>
        <w:jc w:val="both"/>
        <w:rPr>
          <w:rFonts w:cs="Arial"/>
          <w:sz w:val="20"/>
        </w:rPr>
      </w:pPr>
      <w:r>
        <w:rPr>
          <w:rStyle w:val="Appelnotedebasdep"/>
        </w:rPr>
        <w:footnoteRef/>
      </w:r>
      <w:r>
        <w:t xml:space="preserve"> </w:t>
      </w:r>
      <w:r w:rsidRPr="00397EE9">
        <w:rPr>
          <w:rFonts w:cs="Arial"/>
          <w:sz w:val="20"/>
        </w:rPr>
        <w:tab/>
      </w:r>
      <w:r>
        <w:rPr>
          <w:rFonts w:cs="Arial"/>
          <w:sz w:val="20"/>
        </w:rPr>
        <w:t>Art</w:t>
      </w:r>
      <w:r w:rsidR="00964A8F">
        <w:rPr>
          <w:rFonts w:cs="Arial"/>
          <w:sz w:val="20"/>
        </w:rPr>
        <w:t>.</w:t>
      </w:r>
      <w:r>
        <w:rPr>
          <w:rFonts w:cs="Arial"/>
          <w:sz w:val="20"/>
        </w:rPr>
        <w:t xml:space="preserve"> 111.0.17 du Code.</w:t>
      </w:r>
    </w:p>
  </w:footnote>
  <w:footnote w:id="31">
    <w:p w14:paraId="4F2AD5EF" w14:textId="76632FCC" w:rsidR="00AA3E98" w:rsidRPr="00AA3E98" w:rsidRDefault="00AA3E98" w:rsidP="00AA3E98">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111.0.17.1 du Code.</w:t>
      </w:r>
    </w:p>
  </w:footnote>
  <w:footnote w:id="32">
    <w:p w14:paraId="45EE0EF3" w14:textId="62656A7E" w:rsidR="002F36C5" w:rsidRPr="00191A87" w:rsidRDefault="002F36C5" w:rsidP="002F36C5">
      <w:pPr>
        <w:pStyle w:val="Notedebasdepage"/>
        <w:tabs>
          <w:tab w:val="left" w:pos="720"/>
        </w:tabs>
        <w:ind w:left="720" w:hanging="720"/>
        <w:jc w:val="both"/>
        <w:rPr>
          <w:rFonts w:cs="Arial"/>
          <w:sz w:val="20"/>
        </w:rPr>
      </w:pPr>
      <w:r>
        <w:rPr>
          <w:rStyle w:val="Appelnotedebasdep"/>
        </w:rPr>
        <w:footnoteRef/>
      </w:r>
      <w:r w:rsidRPr="00191A87">
        <w:t xml:space="preserve"> </w:t>
      </w:r>
      <w:r w:rsidRPr="00191A87">
        <w:rPr>
          <w:rFonts w:cs="Arial"/>
          <w:sz w:val="20"/>
        </w:rPr>
        <w:tab/>
        <w:t>Art</w:t>
      </w:r>
      <w:r w:rsidR="00A52BC3">
        <w:rPr>
          <w:rFonts w:cs="Arial"/>
          <w:sz w:val="20"/>
        </w:rPr>
        <w:t>.</w:t>
      </w:r>
      <w:r w:rsidRPr="00191A87">
        <w:rPr>
          <w:rFonts w:cs="Arial"/>
          <w:sz w:val="20"/>
        </w:rPr>
        <w:t xml:space="preserve"> 111.22.5 et 111.22.</w:t>
      </w:r>
      <w:r w:rsidRPr="00B906FE">
        <w:rPr>
          <w:rFonts w:cs="Arial"/>
          <w:sz w:val="20"/>
        </w:rPr>
        <w:t>15, qui renvoie à l’article 111.22 du Code. Voir</w:t>
      </w:r>
      <w:r>
        <w:rPr>
          <w:rFonts w:cs="Arial"/>
          <w:sz w:val="20"/>
        </w:rPr>
        <w:t xml:space="preserve"> par analogie l’article 111.0.17.2 du Code en matière d’assujettissement au maintien des services essentiels dans les services publics ou ceux assimilables à de tels services.</w:t>
      </w:r>
    </w:p>
  </w:footnote>
  <w:footnote w:id="33">
    <w:p w14:paraId="58C05133" w14:textId="43474818" w:rsidR="002F36C5" w:rsidRPr="00191A87" w:rsidRDefault="002F36C5" w:rsidP="002F36C5">
      <w:pPr>
        <w:pStyle w:val="Notedebasdepage"/>
        <w:tabs>
          <w:tab w:val="left" w:pos="720"/>
        </w:tabs>
        <w:ind w:left="720" w:hanging="720"/>
        <w:jc w:val="both"/>
        <w:rPr>
          <w:rFonts w:cs="Arial"/>
          <w:sz w:val="20"/>
        </w:rPr>
      </w:pPr>
      <w:r>
        <w:rPr>
          <w:rStyle w:val="Appelnotedebasdep"/>
        </w:rPr>
        <w:footnoteRef/>
      </w:r>
      <w:r>
        <w:t xml:space="preserve"> </w:t>
      </w:r>
      <w:r w:rsidRPr="00191A87">
        <w:rPr>
          <w:rFonts w:cs="Arial"/>
          <w:sz w:val="20"/>
        </w:rPr>
        <w:tab/>
      </w:r>
      <w:r>
        <w:rPr>
          <w:rFonts w:cs="Arial"/>
          <w:sz w:val="20"/>
        </w:rPr>
        <w:t>Art</w:t>
      </w:r>
      <w:r w:rsidR="00964A8F">
        <w:rPr>
          <w:rFonts w:cs="Arial"/>
          <w:sz w:val="20"/>
        </w:rPr>
        <w:t>.</w:t>
      </w:r>
      <w:r>
        <w:rPr>
          <w:rFonts w:cs="Arial"/>
          <w:sz w:val="20"/>
        </w:rPr>
        <w:t xml:space="preserve"> 111.22.6 du Code.</w:t>
      </w:r>
    </w:p>
  </w:footnote>
  <w:footnote w:id="34">
    <w:p w14:paraId="517EA062" w14:textId="5366DA90" w:rsidR="00B07BCB" w:rsidRPr="00F472D0" w:rsidRDefault="00B07BCB" w:rsidP="00F472D0">
      <w:pPr>
        <w:pStyle w:val="Notedebasdepage"/>
        <w:tabs>
          <w:tab w:val="left" w:pos="720"/>
        </w:tabs>
        <w:ind w:left="720" w:hanging="720"/>
        <w:jc w:val="both"/>
        <w:rPr>
          <w:rFonts w:cs="Arial"/>
          <w:sz w:val="20"/>
        </w:rPr>
      </w:pPr>
      <w:r>
        <w:rPr>
          <w:rStyle w:val="Appelnotedebasdep"/>
        </w:rPr>
        <w:footnoteRef/>
      </w:r>
      <w:r>
        <w:t xml:space="preserve"> </w:t>
      </w:r>
      <w:r w:rsidRPr="00F472D0">
        <w:rPr>
          <w:rFonts w:cs="Arial"/>
          <w:sz w:val="20"/>
        </w:rPr>
        <w:tab/>
      </w:r>
      <w:r w:rsidRPr="00B07BCB">
        <w:rPr>
          <w:rFonts w:cs="Arial"/>
          <w:sz w:val="20"/>
        </w:rPr>
        <w:t>Art</w:t>
      </w:r>
      <w:r w:rsidR="00964A8F">
        <w:rPr>
          <w:rFonts w:cs="Arial"/>
          <w:sz w:val="20"/>
        </w:rPr>
        <w:t>.</w:t>
      </w:r>
      <w:r w:rsidRPr="00B07BCB">
        <w:rPr>
          <w:rFonts w:cs="Arial"/>
          <w:sz w:val="20"/>
        </w:rPr>
        <w:t xml:space="preserve"> 111.22.11 du Code.</w:t>
      </w:r>
    </w:p>
  </w:footnote>
  <w:footnote w:id="35">
    <w:p w14:paraId="46EA4038" w14:textId="0290F573" w:rsidR="00FD060B" w:rsidRPr="004B7169" w:rsidRDefault="00FD060B" w:rsidP="007E2BD8">
      <w:pPr>
        <w:pStyle w:val="Notedebasdepage"/>
        <w:tabs>
          <w:tab w:val="left" w:pos="720"/>
        </w:tabs>
        <w:ind w:left="720" w:hanging="720"/>
        <w:jc w:val="both"/>
        <w:rPr>
          <w:rFonts w:cs="Arial"/>
          <w:sz w:val="20"/>
        </w:rPr>
      </w:pPr>
      <w:r>
        <w:rPr>
          <w:rStyle w:val="Appelnotedebasdep"/>
        </w:rPr>
        <w:footnoteRef/>
      </w:r>
      <w:r>
        <w:t xml:space="preserve"> </w:t>
      </w:r>
      <w:r w:rsidRPr="004B7169">
        <w:rPr>
          <w:rFonts w:cs="Arial"/>
          <w:sz w:val="20"/>
        </w:rPr>
        <w:tab/>
      </w:r>
      <w:r>
        <w:rPr>
          <w:rFonts w:cs="Arial"/>
          <w:sz w:val="20"/>
        </w:rPr>
        <w:t>Art</w:t>
      </w:r>
      <w:r w:rsidR="00964A8F">
        <w:rPr>
          <w:rFonts w:cs="Arial"/>
          <w:sz w:val="20"/>
        </w:rPr>
        <w:t>.</w:t>
      </w:r>
      <w:r>
        <w:rPr>
          <w:rFonts w:cs="Arial"/>
          <w:sz w:val="20"/>
        </w:rPr>
        <w:t xml:space="preserve"> 111.22.7 du Code.</w:t>
      </w:r>
    </w:p>
  </w:footnote>
  <w:footnote w:id="36">
    <w:p w14:paraId="170A3B71" w14:textId="0FEEA6CB" w:rsidR="002F36C5" w:rsidRPr="00176F76" w:rsidRDefault="002F36C5" w:rsidP="002F36C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111.22.15 qui renvoie à l’article 111.21.1 du Code en matière de services essentiels.</w:t>
      </w:r>
    </w:p>
  </w:footnote>
  <w:footnote w:id="37">
    <w:p w14:paraId="7E97260E" w14:textId="1ECA6DB8" w:rsidR="002F36C5" w:rsidRPr="0005673A" w:rsidRDefault="002F36C5" w:rsidP="002F36C5">
      <w:pPr>
        <w:pStyle w:val="Notedebasdepage"/>
        <w:tabs>
          <w:tab w:val="left" w:pos="720"/>
        </w:tabs>
        <w:ind w:left="720" w:hanging="720"/>
        <w:jc w:val="both"/>
        <w:rPr>
          <w:rFonts w:cs="Arial"/>
          <w:sz w:val="20"/>
        </w:rPr>
      </w:pPr>
      <w:r>
        <w:rPr>
          <w:rStyle w:val="Appelnotedebasdep"/>
        </w:rPr>
        <w:footnoteRef/>
      </w:r>
      <w:r w:rsidRPr="0005673A">
        <w:t xml:space="preserve"> </w:t>
      </w:r>
      <w:r w:rsidRPr="0005673A">
        <w:rPr>
          <w:rFonts w:cs="Arial"/>
          <w:sz w:val="20"/>
        </w:rPr>
        <w:tab/>
        <w:t>Art</w:t>
      </w:r>
      <w:r w:rsidR="00964A8F">
        <w:rPr>
          <w:rFonts w:cs="Arial"/>
          <w:sz w:val="20"/>
        </w:rPr>
        <w:t>.</w:t>
      </w:r>
      <w:r w:rsidRPr="0005673A">
        <w:rPr>
          <w:rFonts w:cs="Arial"/>
          <w:sz w:val="20"/>
        </w:rPr>
        <w:t xml:space="preserve"> 111.2</w:t>
      </w:r>
      <w:r>
        <w:rPr>
          <w:rFonts w:cs="Arial"/>
          <w:sz w:val="20"/>
        </w:rPr>
        <w:t>2</w:t>
      </w:r>
      <w:r w:rsidRPr="0005673A">
        <w:rPr>
          <w:rFonts w:cs="Arial"/>
          <w:sz w:val="20"/>
        </w:rPr>
        <w:t>.7 du Code.</w:t>
      </w:r>
    </w:p>
  </w:footnote>
  <w:footnote w:id="38">
    <w:p w14:paraId="079BD649" w14:textId="20B465F3" w:rsidR="002F36C5" w:rsidRPr="0005673A" w:rsidRDefault="002F36C5" w:rsidP="002F36C5">
      <w:pPr>
        <w:pStyle w:val="Notedebasdepage"/>
        <w:tabs>
          <w:tab w:val="left" w:pos="720"/>
        </w:tabs>
        <w:ind w:left="720" w:hanging="720"/>
        <w:jc w:val="both"/>
        <w:rPr>
          <w:rFonts w:cs="Arial"/>
          <w:sz w:val="20"/>
        </w:rPr>
      </w:pPr>
      <w:r>
        <w:rPr>
          <w:rStyle w:val="Appelnotedebasdep"/>
        </w:rPr>
        <w:footnoteRef/>
      </w:r>
      <w:r>
        <w:t xml:space="preserve"> </w:t>
      </w:r>
      <w:r w:rsidRPr="0005673A">
        <w:rPr>
          <w:rFonts w:cs="Arial"/>
          <w:sz w:val="20"/>
        </w:rPr>
        <w:tab/>
      </w:r>
      <w:r>
        <w:rPr>
          <w:rFonts w:cs="Arial"/>
          <w:sz w:val="20"/>
        </w:rPr>
        <w:t>Art</w:t>
      </w:r>
      <w:r w:rsidR="00964A8F">
        <w:rPr>
          <w:rFonts w:cs="Arial"/>
          <w:sz w:val="20"/>
        </w:rPr>
        <w:t>.</w:t>
      </w:r>
      <w:r>
        <w:rPr>
          <w:rFonts w:cs="Arial"/>
          <w:sz w:val="20"/>
        </w:rPr>
        <w:t xml:space="preserve"> 111.22.8 et </w:t>
      </w:r>
      <w:r w:rsidRPr="00A22289">
        <w:rPr>
          <w:rFonts w:cs="Arial"/>
          <w:sz w:val="20"/>
        </w:rPr>
        <w:t>111.22.9</w:t>
      </w:r>
      <w:r>
        <w:rPr>
          <w:rFonts w:cs="Arial"/>
          <w:sz w:val="20"/>
        </w:rPr>
        <w:t xml:space="preserve"> du Code.</w:t>
      </w:r>
    </w:p>
  </w:footnote>
  <w:footnote w:id="39">
    <w:p w14:paraId="007850EA" w14:textId="29C6EE5F" w:rsidR="002F36C5" w:rsidRPr="00A22289" w:rsidRDefault="002F36C5" w:rsidP="002F36C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Art</w:t>
      </w:r>
      <w:r w:rsidR="00964A8F">
        <w:rPr>
          <w:rFonts w:cs="Arial"/>
          <w:sz w:val="20"/>
        </w:rPr>
        <w:t>.</w:t>
      </w:r>
      <w:r>
        <w:rPr>
          <w:rFonts w:cs="Arial"/>
          <w:sz w:val="20"/>
        </w:rPr>
        <w:t xml:space="preserve"> 111.22.10 du Code.</w:t>
      </w:r>
    </w:p>
  </w:footnote>
  <w:footnote w:id="40">
    <w:p w14:paraId="22C4E2CC" w14:textId="7A27E9A4" w:rsidR="002F36C5" w:rsidRPr="00A22289" w:rsidRDefault="002F36C5" w:rsidP="002F36C5">
      <w:pPr>
        <w:pStyle w:val="Notedebasdepage"/>
        <w:tabs>
          <w:tab w:val="left" w:pos="720"/>
        </w:tabs>
        <w:ind w:left="720" w:hanging="720"/>
        <w:jc w:val="both"/>
        <w:rPr>
          <w:rFonts w:cs="Arial"/>
          <w:sz w:val="20"/>
        </w:rPr>
      </w:pPr>
      <w:r>
        <w:rPr>
          <w:rStyle w:val="Appelnotedebasdep"/>
        </w:rPr>
        <w:footnoteRef/>
      </w:r>
      <w:r w:rsidRPr="00A22289">
        <w:t xml:space="preserve"> </w:t>
      </w:r>
      <w:r w:rsidRPr="00A22289">
        <w:rPr>
          <w:rFonts w:cs="Arial"/>
          <w:sz w:val="20"/>
        </w:rPr>
        <w:tab/>
        <w:t>Art</w:t>
      </w:r>
      <w:r w:rsidR="00964A8F">
        <w:rPr>
          <w:rFonts w:cs="Arial"/>
          <w:sz w:val="20"/>
        </w:rPr>
        <w:t>.</w:t>
      </w:r>
      <w:r w:rsidRPr="00A22289">
        <w:rPr>
          <w:rFonts w:cs="Arial"/>
          <w:sz w:val="20"/>
        </w:rPr>
        <w:t xml:space="preserve"> 111.22.14 e</w:t>
      </w:r>
      <w:r>
        <w:rPr>
          <w:rFonts w:cs="Arial"/>
          <w:sz w:val="20"/>
        </w:rPr>
        <w:t xml:space="preserve">t </w:t>
      </w:r>
      <w:r w:rsidR="008316DA">
        <w:rPr>
          <w:rFonts w:cs="Arial"/>
          <w:sz w:val="20"/>
        </w:rPr>
        <w:t xml:space="preserve">art </w:t>
      </w:r>
      <w:r>
        <w:rPr>
          <w:rFonts w:cs="Arial"/>
          <w:sz w:val="20"/>
        </w:rPr>
        <w:t xml:space="preserve">111.22.15, </w:t>
      </w:r>
      <w:r w:rsidR="008316DA">
        <w:rPr>
          <w:rFonts w:cs="Arial"/>
          <w:sz w:val="20"/>
        </w:rPr>
        <w:t>lequel</w:t>
      </w:r>
      <w:r>
        <w:rPr>
          <w:rFonts w:cs="Arial"/>
          <w:sz w:val="20"/>
        </w:rPr>
        <w:t xml:space="preserve"> renvoie aux </w:t>
      </w:r>
      <w:r w:rsidRPr="00A8579A">
        <w:rPr>
          <w:rFonts w:cs="Arial"/>
          <w:sz w:val="20"/>
        </w:rPr>
        <w:t>articles</w:t>
      </w:r>
      <w:r>
        <w:rPr>
          <w:rFonts w:cs="Arial"/>
          <w:sz w:val="20"/>
        </w:rPr>
        <w:t xml:space="preserve"> 111.17 et 111.18 du Code.</w:t>
      </w:r>
    </w:p>
  </w:footnote>
  <w:footnote w:id="41">
    <w:p w14:paraId="0F713376" w14:textId="77777777" w:rsidR="00922640" w:rsidRPr="001674E5" w:rsidRDefault="00922640" w:rsidP="00922640">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 xml:space="preserve">RLRQ, c. S-4.1.1, la </w:t>
      </w:r>
      <w:r w:rsidRPr="00B33614">
        <w:rPr>
          <w:rFonts w:cs="Arial"/>
          <w:sz w:val="20"/>
        </w:rPr>
        <w:t>Loi sur les services de garde</w:t>
      </w:r>
      <w:r w:rsidRPr="001674E5">
        <w:rPr>
          <w:rFonts w:cs="Arial"/>
          <w:sz w:val="20"/>
        </w:rPr>
        <w:t>.</w:t>
      </w:r>
    </w:p>
  </w:footnote>
  <w:footnote w:id="42">
    <w:p w14:paraId="04CFDDA8" w14:textId="77777777" w:rsidR="00922640" w:rsidRPr="001674E5" w:rsidRDefault="00922640" w:rsidP="00922640">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Certains y étant à temps partiel, c’est en réalité 84 enfants qui fréquentent celui-ci.</w:t>
      </w:r>
    </w:p>
  </w:footnote>
  <w:footnote w:id="43">
    <w:p w14:paraId="35773AD1" w14:textId="6CEB2AF7" w:rsidR="00922640" w:rsidRPr="001674E5" w:rsidRDefault="00922640" w:rsidP="00922640">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Art</w:t>
      </w:r>
      <w:r w:rsidR="00964A8F">
        <w:rPr>
          <w:rFonts w:cs="Arial"/>
          <w:sz w:val="20"/>
        </w:rPr>
        <w:t>.</w:t>
      </w:r>
      <w:r w:rsidRPr="001674E5">
        <w:rPr>
          <w:rFonts w:cs="Arial"/>
          <w:sz w:val="20"/>
        </w:rPr>
        <w:t xml:space="preserve"> 7, al. 1 (2) de la </w:t>
      </w:r>
      <w:r w:rsidRPr="00B33614">
        <w:rPr>
          <w:rFonts w:cs="Arial"/>
          <w:sz w:val="20"/>
        </w:rPr>
        <w:t>Loi sur les services de garde</w:t>
      </w:r>
      <w:r w:rsidRPr="001674E5">
        <w:rPr>
          <w:rFonts w:cs="Arial"/>
          <w:sz w:val="20"/>
        </w:rPr>
        <w:t>.</w:t>
      </w:r>
    </w:p>
  </w:footnote>
  <w:footnote w:id="44">
    <w:p w14:paraId="17B92840" w14:textId="63174093" w:rsidR="00BB18CA" w:rsidRPr="001674E5" w:rsidRDefault="00BB18CA" w:rsidP="00BB18CA">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 xml:space="preserve">Voir </w:t>
      </w:r>
      <w:r w:rsidR="003C1AF4">
        <w:rPr>
          <w:rFonts w:cs="Arial"/>
          <w:sz w:val="20"/>
        </w:rPr>
        <w:t xml:space="preserve">les </w:t>
      </w:r>
      <w:r w:rsidRPr="001674E5">
        <w:rPr>
          <w:rFonts w:cs="Arial"/>
          <w:sz w:val="20"/>
        </w:rPr>
        <w:t xml:space="preserve">admissions communes des parties déposées le 30 avril 2026, les admissions. </w:t>
      </w:r>
      <w:r w:rsidR="00A2383C">
        <w:rPr>
          <w:rFonts w:cs="Arial"/>
          <w:sz w:val="20"/>
        </w:rPr>
        <w:t>Par ailleurs, d</w:t>
      </w:r>
      <w:r w:rsidR="008951D9">
        <w:rPr>
          <w:rFonts w:cs="Arial"/>
          <w:sz w:val="20"/>
        </w:rPr>
        <w:t>es</w:t>
      </w:r>
      <w:r w:rsidR="00A2383C">
        <w:rPr>
          <w:rFonts w:cs="Arial"/>
          <w:sz w:val="20"/>
        </w:rPr>
        <w:t xml:space="preserve"> tables nationales existe</w:t>
      </w:r>
      <w:r w:rsidR="00571031">
        <w:rPr>
          <w:rFonts w:cs="Arial"/>
          <w:sz w:val="20"/>
        </w:rPr>
        <w:t>nt</w:t>
      </w:r>
      <w:r w:rsidR="00A2383C">
        <w:rPr>
          <w:rFonts w:cs="Arial"/>
          <w:sz w:val="20"/>
        </w:rPr>
        <w:t xml:space="preserve"> avec d’</w:t>
      </w:r>
      <w:r w:rsidR="00571031">
        <w:rPr>
          <w:rFonts w:cs="Arial"/>
          <w:sz w:val="20"/>
        </w:rPr>
        <w:t>a</w:t>
      </w:r>
      <w:r w:rsidR="00A2383C">
        <w:rPr>
          <w:rFonts w:cs="Arial"/>
          <w:sz w:val="20"/>
        </w:rPr>
        <w:t>utres centrales syndicales</w:t>
      </w:r>
      <w:r w:rsidR="00571031">
        <w:rPr>
          <w:rFonts w:cs="Arial"/>
          <w:sz w:val="20"/>
        </w:rPr>
        <w:t>.</w:t>
      </w:r>
    </w:p>
  </w:footnote>
  <w:footnote w:id="45">
    <w:p w14:paraId="2F729243" w14:textId="2A87E740" w:rsidR="00BE29F9" w:rsidRPr="00BB18CA" w:rsidRDefault="00BE29F9" w:rsidP="00BE29F9">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BB18CA">
        <w:rPr>
          <w:rFonts w:cs="Arial"/>
          <w:sz w:val="20"/>
        </w:rPr>
        <w:t xml:space="preserve">Des ententes de principe ont </w:t>
      </w:r>
      <w:r>
        <w:rPr>
          <w:rFonts w:cs="Arial"/>
          <w:sz w:val="20"/>
        </w:rPr>
        <w:t xml:space="preserve">déjà été </w:t>
      </w:r>
      <w:r w:rsidRPr="00BB18CA">
        <w:rPr>
          <w:rFonts w:cs="Arial"/>
          <w:sz w:val="20"/>
        </w:rPr>
        <w:t>conclues avec les deux autres organisations syndicales qui représentent des personnes salariées œuvrant en CPE, la FIPEQ-CSQ et le SQEES-FTQ, respectivement les 19 et 23 décembre 2024.</w:t>
      </w:r>
    </w:p>
  </w:footnote>
  <w:footnote w:id="46">
    <w:p w14:paraId="6799FF10" w14:textId="27ADA8F1" w:rsidR="00BB18CA" w:rsidRPr="001674E5" w:rsidRDefault="00BB18CA" w:rsidP="00BB18CA">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 xml:space="preserve">Voir </w:t>
      </w:r>
      <w:r w:rsidR="002434C0">
        <w:rPr>
          <w:rFonts w:cs="Arial"/>
          <w:sz w:val="20"/>
        </w:rPr>
        <w:t xml:space="preserve">les </w:t>
      </w:r>
      <w:r w:rsidRPr="001674E5">
        <w:rPr>
          <w:rFonts w:cs="Arial"/>
          <w:sz w:val="20"/>
        </w:rPr>
        <w:t xml:space="preserve">admissions et </w:t>
      </w:r>
      <w:r w:rsidR="00551BFE">
        <w:rPr>
          <w:rFonts w:cs="Arial"/>
          <w:sz w:val="20"/>
        </w:rPr>
        <w:t xml:space="preserve">les </w:t>
      </w:r>
      <w:r w:rsidRPr="001674E5">
        <w:rPr>
          <w:rFonts w:cs="Arial"/>
          <w:sz w:val="20"/>
        </w:rPr>
        <w:t>déclarations sous</w:t>
      </w:r>
      <w:r w:rsidR="003C1AF4">
        <w:rPr>
          <w:rFonts w:cs="Arial"/>
          <w:sz w:val="20"/>
        </w:rPr>
        <w:t xml:space="preserve"> </w:t>
      </w:r>
      <w:r w:rsidRPr="001674E5">
        <w:rPr>
          <w:rFonts w:cs="Arial"/>
          <w:sz w:val="20"/>
        </w:rPr>
        <w:t>serment de Suzanne Julien et Natalie Duperré.</w:t>
      </w:r>
    </w:p>
  </w:footnote>
  <w:footnote w:id="47">
    <w:p w14:paraId="48379F03" w14:textId="7305EF88" w:rsidR="00A916C5" w:rsidRPr="001674E5" w:rsidRDefault="00A916C5" w:rsidP="00A916C5">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 xml:space="preserve">Voir </w:t>
      </w:r>
      <w:r w:rsidR="002434C0">
        <w:rPr>
          <w:rFonts w:cs="Arial"/>
          <w:sz w:val="20"/>
        </w:rPr>
        <w:t xml:space="preserve">les </w:t>
      </w:r>
      <w:r w:rsidRPr="001674E5">
        <w:rPr>
          <w:rFonts w:cs="Arial"/>
          <w:sz w:val="20"/>
        </w:rPr>
        <w:t>admissions.</w:t>
      </w:r>
    </w:p>
  </w:footnote>
  <w:footnote w:id="48">
    <w:p w14:paraId="18DC103B" w14:textId="63A442BD" w:rsidR="00A916C5" w:rsidRPr="001674E5" w:rsidRDefault="00A916C5" w:rsidP="00A916C5">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r>
      <w:r w:rsidR="004D49AE" w:rsidRPr="004D49AE">
        <w:rPr>
          <w:rFonts w:cs="Arial"/>
          <w:i/>
          <w:iCs/>
          <w:sz w:val="20"/>
        </w:rPr>
        <w:t>Id</w:t>
      </w:r>
      <w:r w:rsidRPr="00974906">
        <w:rPr>
          <w:rFonts w:cs="Arial"/>
          <w:sz w:val="20"/>
        </w:rPr>
        <w:t>.</w:t>
      </w:r>
    </w:p>
  </w:footnote>
  <w:footnote w:id="49">
    <w:p w14:paraId="2CE57132" w14:textId="77777777" w:rsidR="00A916C5" w:rsidRPr="00DD0BF0" w:rsidRDefault="00A916C5" w:rsidP="00A916C5">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Tenue le 20 octobre 2025.</w:t>
      </w:r>
    </w:p>
  </w:footnote>
  <w:footnote w:id="50">
    <w:p w14:paraId="7771C23D" w14:textId="6AAA7C81" w:rsidR="005972DC" w:rsidRPr="004B7169" w:rsidRDefault="005972DC" w:rsidP="0081025E">
      <w:pPr>
        <w:pStyle w:val="Notedebasdepage"/>
        <w:tabs>
          <w:tab w:val="left" w:pos="720"/>
        </w:tabs>
        <w:ind w:left="720" w:hanging="720"/>
        <w:jc w:val="both"/>
        <w:rPr>
          <w:rFonts w:cs="Arial"/>
          <w:sz w:val="20"/>
        </w:rPr>
      </w:pPr>
      <w:r>
        <w:rPr>
          <w:rStyle w:val="Appelnotedebasdep"/>
        </w:rPr>
        <w:footnoteRef/>
      </w:r>
      <w:r>
        <w:t xml:space="preserve"> </w:t>
      </w:r>
      <w:r w:rsidRPr="004B7169">
        <w:rPr>
          <w:rFonts w:cs="Arial"/>
          <w:sz w:val="20"/>
        </w:rPr>
        <w:tab/>
      </w:r>
      <w:r>
        <w:rPr>
          <w:rFonts w:cs="Arial"/>
          <w:sz w:val="20"/>
        </w:rPr>
        <w:t>Il</w:t>
      </w:r>
      <w:r w:rsidRPr="005972DC">
        <w:rPr>
          <w:rFonts w:cs="Arial"/>
          <w:sz w:val="20"/>
        </w:rPr>
        <w:t xml:space="preserve"> s’est finalement désisté de cette demande</w:t>
      </w:r>
      <w:r w:rsidR="00040A48">
        <w:rPr>
          <w:rFonts w:cs="Arial"/>
          <w:sz w:val="20"/>
        </w:rPr>
        <w:t xml:space="preserve"> le 19 février suivant.</w:t>
      </w:r>
    </w:p>
  </w:footnote>
  <w:footnote w:id="51">
    <w:p w14:paraId="3DAB97D6" w14:textId="128C1234" w:rsidR="002C7D43" w:rsidRPr="001674E5" w:rsidRDefault="002C7D43" w:rsidP="002C7D43">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RLRQ, c. C-25.01. L’article</w:t>
      </w:r>
      <w:r w:rsidR="00420D33" w:rsidRPr="001674E5">
        <w:rPr>
          <w:rFonts w:cs="Arial"/>
          <w:sz w:val="20"/>
        </w:rPr>
        <w:t> </w:t>
      </w:r>
      <w:r w:rsidRPr="001674E5">
        <w:rPr>
          <w:rFonts w:cs="Arial"/>
          <w:sz w:val="20"/>
        </w:rPr>
        <w:t xml:space="preserve">16 de la </w:t>
      </w:r>
      <w:r w:rsidRPr="001674E5">
        <w:rPr>
          <w:rFonts w:cs="Arial"/>
          <w:i/>
          <w:iCs/>
          <w:sz w:val="20"/>
        </w:rPr>
        <w:t>Loi instituant le Tribunal administratif du travail</w:t>
      </w:r>
      <w:r w:rsidRPr="001674E5">
        <w:rPr>
          <w:rFonts w:cs="Arial"/>
          <w:sz w:val="20"/>
        </w:rPr>
        <w:t>, RLRQ, c. T</w:t>
      </w:r>
      <w:r w:rsidR="00BB2144">
        <w:rPr>
          <w:rFonts w:cs="Arial"/>
          <w:sz w:val="20"/>
        </w:rPr>
        <w:noBreakHyphen/>
      </w:r>
      <w:r w:rsidRPr="001674E5">
        <w:rPr>
          <w:rFonts w:cs="Arial"/>
          <w:sz w:val="20"/>
        </w:rPr>
        <w:t>15.1,</w:t>
      </w:r>
      <w:r w:rsidR="00DD06C4">
        <w:rPr>
          <w:rFonts w:cs="Arial"/>
          <w:sz w:val="20"/>
        </w:rPr>
        <w:t xml:space="preserve"> </w:t>
      </w:r>
      <w:r w:rsidRPr="001674E5">
        <w:rPr>
          <w:rFonts w:cs="Arial"/>
          <w:sz w:val="20"/>
        </w:rPr>
        <w:t>rend applicable</w:t>
      </w:r>
      <w:r w:rsidR="003C1AF4">
        <w:rPr>
          <w:rFonts w:cs="Arial"/>
          <w:sz w:val="20"/>
        </w:rPr>
        <w:t>s</w:t>
      </w:r>
      <w:r w:rsidRPr="001674E5">
        <w:rPr>
          <w:rFonts w:cs="Arial"/>
          <w:sz w:val="20"/>
        </w:rPr>
        <w:t xml:space="preserve"> les </w:t>
      </w:r>
      <w:r w:rsidR="00C972FD">
        <w:rPr>
          <w:rFonts w:cs="Arial"/>
          <w:sz w:val="20"/>
        </w:rPr>
        <w:t>règles prévues aux articles 76 et 77</w:t>
      </w:r>
      <w:r w:rsidRPr="001674E5">
        <w:rPr>
          <w:rFonts w:cs="Arial"/>
          <w:sz w:val="20"/>
        </w:rPr>
        <w:t xml:space="preserve"> du </w:t>
      </w:r>
      <w:r w:rsidRPr="001674E5">
        <w:rPr>
          <w:rFonts w:cs="Arial"/>
          <w:i/>
          <w:iCs/>
          <w:sz w:val="20"/>
        </w:rPr>
        <w:t>Code de procédure civile</w:t>
      </w:r>
      <w:r w:rsidRPr="001674E5">
        <w:rPr>
          <w:rFonts w:cs="Arial"/>
          <w:sz w:val="20"/>
        </w:rPr>
        <w:t xml:space="preserve"> aux affaires portées devant le Tribunal.</w:t>
      </w:r>
    </w:p>
  </w:footnote>
  <w:footnote w:id="52">
    <w:p w14:paraId="2D06E080" w14:textId="00AEAD8C" w:rsidR="003A7A03" w:rsidRPr="001674E5" w:rsidRDefault="003A7A03" w:rsidP="003A7A03">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r>
      <w:r w:rsidR="001D0679">
        <w:rPr>
          <w:rFonts w:cs="Arial"/>
          <w:sz w:val="20"/>
        </w:rPr>
        <w:t>Décision d’assujettissement</w:t>
      </w:r>
      <w:r w:rsidRPr="001674E5">
        <w:rPr>
          <w:rFonts w:cs="Arial"/>
          <w:sz w:val="20"/>
        </w:rPr>
        <w:t xml:space="preserve">, </w:t>
      </w:r>
      <w:r w:rsidR="008205F2">
        <w:rPr>
          <w:rFonts w:cs="Arial"/>
          <w:sz w:val="20"/>
        </w:rPr>
        <w:t>précitée, note 4</w:t>
      </w:r>
      <w:r w:rsidRPr="001674E5">
        <w:rPr>
          <w:rFonts w:cs="Arial"/>
          <w:sz w:val="20"/>
        </w:rPr>
        <w:t>.</w:t>
      </w:r>
    </w:p>
  </w:footnote>
  <w:footnote w:id="53">
    <w:p w14:paraId="4839166A" w14:textId="6952F9C3" w:rsidR="003A7A03" w:rsidRPr="001674E5" w:rsidRDefault="003A7A03" w:rsidP="003A7A03">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r>
      <w:r w:rsidR="001D0679">
        <w:rPr>
          <w:rFonts w:cs="Arial"/>
          <w:sz w:val="20"/>
        </w:rPr>
        <w:t>Décision déterminant les services à maintenir</w:t>
      </w:r>
      <w:r w:rsidR="008205F2">
        <w:rPr>
          <w:rFonts w:cs="Arial"/>
          <w:sz w:val="20"/>
        </w:rPr>
        <w:t xml:space="preserve">, </w:t>
      </w:r>
      <w:r w:rsidR="00BB2144">
        <w:rPr>
          <w:rFonts w:cs="Arial"/>
          <w:sz w:val="20"/>
        </w:rPr>
        <w:t>précitée</w:t>
      </w:r>
      <w:r w:rsidR="00D82B57">
        <w:rPr>
          <w:rFonts w:cs="Arial"/>
          <w:sz w:val="20"/>
        </w:rPr>
        <w:t xml:space="preserve">, </w:t>
      </w:r>
      <w:r w:rsidR="008205F2">
        <w:rPr>
          <w:rFonts w:cs="Arial"/>
          <w:sz w:val="20"/>
        </w:rPr>
        <w:t>note 5</w:t>
      </w:r>
      <w:r w:rsidRPr="001674E5">
        <w:rPr>
          <w:rFonts w:cs="Arial"/>
          <w:sz w:val="20"/>
        </w:rPr>
        <w:t>.</w:t>
      </w:r>
    </w:p>
  </w:footnote>
  <w:footnote w:id="54">
    <w:p w14:paraId="09C52064" w14:textId="53EE3844" w:rsidR="006048DC" w:rsidRPr="00B5111C" w:rsidRDefault="006048DC" w:rsidP="006048DC">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54735F">
        <w:rPr>
          <w:rFonts w:cs="Arial"/>
          <w:sz w:val="20"/>
        </w:rPr>
        <w:t xml:space="preserve">Finn </w:t>
      </w:r>
      <w:r w:rsidRPr="00E1447C">
        <w:rPr>
          <w:rFonts w:cs="Arial"/>
          <w:sz w:val="20"/>
        </w:rPr>
        <w:t xml:space="preserve">MAKELA, </w:t>
      </w:r>
      <w:r w:rsidRPr="00E1447C">
        <w:rPr>
          <w:rFonts w:cs="Arial"/>
          <w:i/>
          <w:iCs/>
          <w:sz w:val="20"/>
        </w:rPr>
        <w:t>Mémoire sur le projet de loi n</w:t>
      </w:r>
      <w:r w:rsidRPr="00E1447C">
        <w:rPr>
          <w:rFonts w:cs="Arial"/>
          <w:i/>
          <w:iCs/>
          <w:sz w:val="20"/>
          <w:vertAlign w:val="superscript"/>
        </w:rPr>
        <w:t>o</w:t>
      </w:r>
      <w:r w:rsidRPr="00E1447C">
        <w:rPr>
          <w:rFonts w:cs="Arial"/>
          <w:i/>
          <w:iCs/>
          <w:sz w:val="20"/>
        </w:rPr>
        <w:t>89 – Loi visant à considérer davantage les besoins de la population en cas de grève ou de lock-out</w:t>
      </w:r>
      <w:r w:rsidRPr="00E1447C">
        <w:rPr>
          <w:rFonts w:cs="Arial"/>
          <w:sz w:val="20"/>
        </w:rPr>
        <w:t>, Québec, Commission de l’économie et du travail, 2025, p.</w:t>
      </w:r>
      <w:r w:rsidR="007348C8" w:rsidRPr="00E1447C">
        <w:rPr>
          <w:rFonts w:cs="Arial"/>
          <w:sz w:val="20"/>
        </w:rPr>
        <w:t xml:space="preserve"> </w:t>
      </w:r>
      <w:r w:rsidRPr="00E1447C">
        <w:rPr>
          <w:rFonts w:cs="Arial"/>
          <w:sz w:val="20"/>
        </w:rPr>
        <w:t xml:space="preserve">12; Julie </w:t>
      </w:r>
      <w:r w:rsidRPr="00E1447C">
        <w:rPr>
          <w:rFonts w:cs="Arial"/>
          <w:caps/>
          <w:sz w:val="20"/>
        </w:rPr>
        <w:t>Bourgault</w:t>
      </w:r>
      <w:r w:rsidRPr="00E1447C">
        <w:rPr>
          <w:rFonts w:cs="Arial"/>
          <w:sz w:val="20"/>
        </w:rPr>
        <w:t xml:space="preserve"> </w:t>
      </w:r>
      <w:r w:rsidRPr="00E1447C">
        <w:rPr>
          <w:rFonts w:cs="Arial"/>
          <w:i/>
          <w:iCs/>
          <w:sz w:val="20"/>
        </w:rPr>
        <w:t>et al.</w:t>
      </w:r>
      <w:r w:rsidRPr="00E1447C">
        <w:rPr>
          <w:rFonts w:cs="Arial"/>
          <w:sz w:val="20"/>
        </w:rPr>
        <w:t xml:space="preserve">, </w:t>
      </w:r>
      <w:r w:rsidRPr="00E1447C">
        <w:rPr>
          <w:rFonts w:cs="Arial"/>
          <w:i/>
          <w:iCs/>
          <w:sz w:val="20"/>
        </w:rPr>
        <w:t>Mémoire présenté à la Commission de l’économie et du travail : projet de loi 89, Loi visant à</w:t>
      </w:r>
      <w:r w:rsidRPr="0055256E">
        <w:rPr>
          <w:rFonts w:cs="Arial"/>
          <w:i/>
          <w:iCs/>
          <w:sz w:val="20"/>
        </w:rPr>
        <w:t xml:space="preserve"> considérer davantage les besoins de la population en cas de grève ou de lock-out</w:t>
      </w:r>
      <w:r w:rsidRPr="0055256E">
        <w:rPr>
          <w:rFonts w:cs="Arial"/>
          <w:sz w:val="20"/>
        </w:rPr>
        <w:t>,</w:t>
      </w:r>
      <w:r w:rsidRPr="006B206C">
        <w:rPr>
          <w:rFonts w:cs="Arial"/>
          <w:sz w:val="20"/>
        </w:rPr>
        <w:t xml:space="preserve"> Québec, Commission de l’économie et du travail, 2025</w:t>
      </w:r>
      <w:r>
        <w:rPr>
          <w:rFonts w:cs="Arial"/>
          <w:sz w:val="20"/>
        </w:rPr>
        <w:t>, p. 6 et 39</w:t>
      </w:r>
      <w:r w:rsidRPr="006B206C">
        <w:rPr>
          <w:rFonts w:cs="Arial"/>
          <w:sz w:val="20"/>
        </w:rPr>
        <w:t>.</w:t>
      </w:r>
    </w:p>
  </w:footnote>
  <w:footnote w:id="55">
    <w:p w14:paraId="6A78507A" w14:textId="77777777" w:rsidR="006048DC" w:rsidRPr="00C24575" w:rsidRDefault="006048DC" w:rsidP="006048DC">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Voir par. 97 de la décision d’assujettissement, précitée, note 4.</w:t>
      </w:r>
    </w:p>
  </w:footnote>
  <w:footnote w:id="56">
    <w:p w14:paraId="24B44259" w14:textId="1255F878" w:rsidR="006048DC" w:rsidRPr="00A067D5" w:rsidRDefault="006048DC" w:rsidP="006048DC">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4D49AE" w:rsidRPr="004D49AE">
        <w:rPr>
          <w:rFonts w:cs="Arial"/>
          <w:i/>
          <w:iCs/>
          <w:sz w:val="20"/>
        </w:rPr>
        <w:t>Id.</w:t>
      </w:r>
      <w:r w:rsidR="004D49AE" w:rsidRPr="004D49AE">
        <w:rPr>
          <w:rFonts w:cs="Arial"/>
          <w:sz w:val="20"/>
        </w:rPr>
        <w:t>,</w:t>
      </w:r>
      <w:r w:rsidR="004D49AE">
        <w:rPr>
          <w:rFonts w:cs="Arial"/>
          <w:sz w:val="20"/>
        </w:rPr>
        <w:t xml:space="preserve"> </w:t>
      </w:r>
      <w:r>
        <w:rPr>
          <w:rFonts w:cs="Arial"/>
          <w:sz w:val="20"/>
        </w:rPr>
        <w:t>par. 121.</w:t>
      </w:r>
    </w:p>
  </w:footnote>
  <w:footnote w:id="57">
    <w:p w14:paraId="44B422F5" w14:textId="63ECA109" w:rsidR="00551255" w:rsidRPr="00370222" w:rsidRDefault="00551255"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E11277" w:rsidRPr="00AE7EC6">
        <w:rPr>
          <w:sz w:val="20"/>
        </w:rPr>
        <w:t>2012 CSC 12</w:t>
      </w:r>
      <w:r w:rsidR="000A1C35">
        <w:rPr>
          <w:sz w:val="20"/>
        </w:rPr>
        <w:t>.</w:t>
      </w:r>
    </w:p>
  </w:footnote>
  <w:footnote w:id="58">
    <w:p w14:paraId="3848BF45" w14:textId="40161154" w:rsidR="00E11277" w:rsidRPr="005B4257" w:rsidRDefault="00E11277"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Voir paragraphes 209 à 212 de la décision </w:t>
      </w:r>
      <w:r w:rsidR="000A1C35">
        <w:rPr>
          <w:rFonts w:cs="Arial"/>
          <w:sz w:val="20"/>
        </w:rPr>
        <w:t>d’assujettissement, précitée, note 4.</w:t>
      </w:r>
    </w:p>
  </w:footnote>
  <w:footnote w:id="59">
    <w:p w14:paraId="1384CE2F" w14:textId="751B5749" w:rsidR="00A7485A" w:rsidRPr="00A7485A" w:rsidRDefault="00A7485A" w:rsidP="00A7485A">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Par. 55 à 59 de la décision</w:t>
      </w:r>
      <w:r w:rsidR="000A1C35">
        <w:rPr>
          <w:rFonts w:cs="Arial"/>
          <w:sz w:val="20"/>
        </w:rPr>
        <w:t xml:space="preserve"> déterminant les services à maintenir</w:t>
      </w:r>
      <w:r>
        <w:rPr>
          <w:rFonts w:cs="Arial"/>
          <w:sz w:val="20"/>
        </w:rPr>
        <w:t xml:space="preserve">, précitée, note </w:t>
      </w:r>
      <w:r w:rsidR="000A1C35">
        <w:rPr>
          <w:rFonts w:cs="Arial"/>
          <w:sz w:val="20"/>
        </w:rPr>
        <w:t>5</w:t>
      </w:r>
      <w:r>
        <w:rPr>
          <w:rFonts w:cs="Arial"/>
          <w:sz w:val="20"/>
        </w:rPr>
        <w:t>.</w:t>
      </w:r>
    </w:p>
  </w:footnote>
  <w:footnote w:id="60">
    <w:p w14:paraId="5F9CACDB" w14:textId="396BE13E" w:rsidR="00794A79" w:rsidRPr="00D4705F" w:rsidRDefault="00D4705F" w:rsidP="002D526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AA7FD6" w:rsidRPr="0081025E">
        <w:rPr>
          <w:rFonts w:cs="Arial"/>
          <w:i/>
          <w:iCs/>
          <w:sz w:val="20"/>
        </w:rPr>
        <w:t>Association de la police montée de l’Ontario</w:t>
      </w:r>
      <w:r w:rsidR="00AA7FD6" w:rsidRPr="00AA7FD6">
        <w:rPr>
          <w:rFonts w:cs="Arial"/>
          <w:sz w:val="20"/>
        </w:rPr>
        <w:t xml:space="preserve"> c. </w:t>
      </w:r>
      <w:r w:rsidR="00AA7FD6" w:rsidRPr="0081025E">
        <w:rPr>
          <w:rFonts w:cs="Arial"/>
          <w:i/>
          <w:iCs/>
          <w:sz w:val="20"/>
        </w:rPr>
        <w:t>Canada (Procureur général)</w:t>
      </w:r>
      <w:r w:rsidR="00AA7FD6" w:rsidRPr="00AA7FD6">
        <w:rPr>
          <w:rFonts w:cs="Arial"/>
          <w:sz w:val="20"/>
        </w:rPr>
        <w:t xml:space="preserve">, </w:t>
      </w:r>
      <w:r w:rsidR="001E60BF">
        <w:rPr>
          <w:rFonts w:cs="Arial"/>
          <w:sz w:val="20"/>
        </w:rPr>
        <w:t>2015 CSC 1</w:t>
      </w:r>
      <w:r w:rsidR="0083252C" w:rsidRPr="0083252C">
        <w:rPr>
          <w:rFonts w:cs="Arial"/>
          <w:sz w:val="20"/>
        </w:rPr>
        <w:t>,</w:t>
      </w:r>
      <w:r w:rsidR="00F777B9">
        <w:rPr>
          <w:rFonts w:cs="Arial"/>
          <w:sz w:val="20"/>
        </w:rPr>
        <w:t xml:space="preserve"> </w:t>
      </w:r>
      <w:r w:rsidR="00794A79">
        <w:rPr>
          <w:rFonts w:cs="Arial"/>
          <w:sz w:val="20"/>
        </w:rPr>
        <w:t>par. 47.</w:t>
      </w:r>
    </w:p>
  </w:footnote>
  <w:footnote w:id="61">
    <w:p w14:paraId="21B9F6F3" w14:textId="7430F258" w:rsidR="006F266A" w:rsidRPr="006F266A" w:rsidRDefault="006F266A" w:rsidP="006F266A">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6F266A">
        <w:rPr>
          <w:rFonts w:cs="Arial"/>
          <w:i/>
          <w:iCs/>
          <w:sz w:val="20"/>
        </w:rPr>
        <w:t>Renvoi relatif à la Public Service Employee Relations Act (Alb.)</w:t>
      </w:r>
      <w:r>
        <w:rPr>
          <w:rFonts w:cs="Arial"/>
          <w:sz w:val="20"/>
        </w:rPr>
        <w:t>,</w:t>
      </w:r>
      <w:r w:rsidRPr="006F266A">
        <w:t xml:space="preserve"> </w:t>
      </w:r>
      <w:r w:rsidRPr="006F266A">
        <w:rPr>
          <w:rFonts w:cs="Arial"/>
          <w:sz w:val="20"/>
        </w:rPr>
        <w:t>[1987] 1</w:t>
      </w:r>
      <w:r w:rsidR="00886CC2">
        <w:rPr>
          <w:rFonts w:cs="Arial"/>
          <w:sz w:val="20"/>
        </w:rPr>
        <w:t> </w:t>
      </w:r>
      <w:r w:rsidRPr="006F266A">
        <w:rPr>
          <w:rFonts w:cs="Arial"/>
          <w:sz w:val="20"/>
        </w:rPr>
        <w:t>RCS</w:t>
      </w:r>
      <w:r w:rsidR="00886CC2">
        <w:rPr>
          <w:rFonts w:cs="Arial"/>
          <w:sz w:val="20"/>
        </w:rPr>
        <w:t> </w:t>
      </w:r>
      <w:r w:rsidRPr="006F266A">
        <w:rPr>
          <w:rFonts w:cs="Arial"/>
          <w:sz w:val="20"/>
        </w:rPr>
        <w:t>313</w:t>
      </w:r>
      <w:r w:rsidR="00515AFA">
        <w:rPr>
          <w:rFonts w:cs="Arial"/>
          <w:sz w:val="20"/>
        </w:rPr>
        <w:t>,</w:t>
      </w:r>
      <w:r w:rsidRPr="006F266A">
        <w:rPr>
          <w:rFonts w:cs="Arial"/>
          <w:sz w:val="20"/>
        </w:rPr>
        <w:t xml:space="preserve"> le</w:t>
      </w:r>
      <w:r w:rsidR="00886CC2">
        <w:rPr>
          <w:rFonts w:cs="Arial"/>
          <w:sz w:val="20"/>
        </w:rPr>
        <w:t> </w:t>
      </w:r>
      <w:r w:rsidR="00B74663">
        <w:rPr>
          <w:rFonts w:cs="Arial"/>
          <w:i/>
          <w:iCs/>
          <w:sz w:val="20"/>
        </w:rPr>
        <w:t>R</w:t>
      </w:r>
      <w:r w:rsidRPr="009F73EE">
        <w:rPr>
          <w:rFonts w:cs="Arial"/>
          <w:i/>
          <w:iCs/>
          <w:sz w:val="20"/>
        </w:rPr>
        <w:t>envoi</w:t>
      </w:r>
      <w:r w:rsidR="00886CC2">
        <w:rPr>
          <w:rFonts w:cs="Arial"/>
          <w:i/>
          <w:iCs/>
          <w:sz w:val="20"/>
        </w:rPr>
        <w:t> </w:t>
      </w:r>
      <w:r w:rsidRPr="009F73EE">
        <w:rPr>
          <w:rFonts w:cs="Arial"/>
          <w:i/>
          <w:iCs/>
          <w:sz w:val="20"/>
        </w:rPr>
        <w:t>relatif</w:t>
      </w:r>
      <w:r w:rsidR="00886CC2">
        <w:rPr>
          <w:rFonts w:cs="Arial"/>
          <w:i/>
          <w:iCs/>
          <w:sz w:val="20"/>
        </w:rPr>
        <w:t> </w:t>
      </w:r>
      <w:r w:rsidRPr="009F73EE">
        <w:rPr>
          <w:rFonts w:cs="Arial"/>
          <w:i/>
          <w:iCs/>
          <w:sz w:val="20"/>
        </w:rPr>
        <w:t>à l’Alberta</w:t>
      </w:r>
      <w:r>
        <w:rPr>
          <w:rFonts w:cs="Arial"/>
          <w:sz w:val="20"/>
        </w:rPr>
        <w:t xml:space="preserve">; </w:t>
      </w:r>
      <w:r w:rsidRPr="006F266A">
        <w:rPr>
          <w:rFonts w:cs="Arial"/>
          <w:i/>
          <w:iCs/>
          <w:sz w:val="20"/>
        </w:rPr>
        <w:t>A</w:t>
      </w:r>
      <w:r w:rsidR="00CF7E20">
        <w:rPr>
          <w:rFonts w:cs="Arial"/>
          <w:i/>
          <w:iCs/>
          <w:sz w:val="20"/>
        </w:rPr>
        <w:t>.</w:t>
      </w:r>
      <w:r w:rsidRPr="006F266A">
        <w:rPr>
          <w:rFonts w:cs="Arial"/>
          <w:i/>
          <w:iCs/>
          <w:sz w:val="20"/>
        </w:rPr>
        <w:t>F</w:t>
      </w:r>
      <w:r w:rsidR="00CF7E20">
        <w:rPr>
          <w:rFonts w:cs="Arial"/>
          <w:i/>
          <w:iCs/>
          <w:sz w:val="20"/>
        </w:rPr>
        <w:t>.</w:t>
      </w:r>
      <w:r w:rsidRPr="006F266A">
        <w:rPr>
          <w:rFonts w:cs="Arial"/>
          <w:i/>
          <w:iCs/>
          <w:sz w:val="20"/>
        </w:rPr>
        <w:t>P</w:t>
      </w:r>
      <w:r w:rsidR="00CF7E20">
        <w:rPr>
          <w:rFonts w:cs="Arial"/>
          <w:i/>
          <w:iCs/>
          <w:sz w:val="20"/>
        </w:rPr>
        <w:t>.</w:t>
      </w:r>
      <w:r w:rsidRPr="006F266A">
        <w:rPr>
          <w:rFonts w:cs="Arial"/>
          <w:i/>
          <w:iCs/>
          <w:sz w:val="20"/>
        </w:rPr>
        <w:t>C</w:t>
      </w:r>
      <w:r w:rsidR="00CF7E20">
        <w:rPr>
          <w:rFonts w:cs="Arial"/>
          <w:i/>
          <w:iCs/>
          <w:sz w:val="20"/>
        </w:rPr>
        <w:t>.</w:t>
      </w:r>
      <w:r w:rsidRPr="006F266A">
        <w:rPr>
          <w:rFonts w:cs="Arial"/>
          <w:sz w:val="20"/>
        </w:rPr>
        <w:t xml:space="preserve"> c. </w:t>
      </w:r>
      <w:r w:rsidRPr="006F266A">
        <w:rPr>
          <w:rFonts w:cs="Arial"/>
          <w:i/>
          <w:iCs/>
          <w:sz w:val="20"/>
        </w:rPr>
        <w:t>Canada</w:t>
      </w:r>
      <w:r>
        <w:rPr>
          <w:rFonts w:cs="Arial"/>
          <w:sz w:val="20"/>
        </w:rPr>
        <w:t xml:space="preserve">, </w:t>
      </w:r>
      <w:r w:rsidRPr="006F266A">
        <w:rPr>
          <w:rFonts w:cs="Arial"/>
          <w:sz w:val="20"/>
        </w:rPr>
        <w:t>[1987] 1 RCS 424</w:t>
      </w:r>
      <w:r w:rsidR="00C71E12">
        <w:rPr>
          <w:rFonts w:cs="Arial"/>
          <w:sz w:val="20"/>
        </w:rPr>
        <w:t>;</w:t>
      </w:r>
      <w:r>
        <w:rPr>
          <w:rFonts w:cs="Arial"/>
          <w:sz w:val="20"/>
        </w:rPr>
        <w:t xml:space="preserve"> </w:t>
      </w:r>
      <w:r w:rsidRPr="006F266A">
        <w:rPr>
          <w:i/>
          <w:sz w:val="20"/>
          <w:lang w:eastAsia="fr-FR"/>
        </w:rPr>
        <w:t>S</w:t>
      </w:r>
      <w:r w:rsidR="00A62B92">
        <w:rPr>
          <w:i/>
          <w:sz w:val="20"/>
          <w:lang w:eastAsia="fr-FR"/>
        </w:rPr>
        <w:t>.</w:t>
      </w:r>
      <w:r w:rsidRPr="006F266A">
        <w:rPr>
          <w:i/>
          <w:sz w:val="20"/>
          <w:lang w:eastAsia="fr-FR"/>
        </w:rPr>
        <w:t>D</w:t>
      </w:r>
      <w:r w:rsidR="00A62B92">
        <w:rPr>
          <w:i/>
          <w:sz w:val="20"/>
          <w:lang w:eastAsia="fr-FR"/>
        </w:rPr>
        <w:t>.</w:t>
      </w:r>
      <w:r w:rsidRPr="006F266A">
        <w:rPr>
          <w:i/>
          <w:sz w:val="20"/>
          <w:lang w:eastAsia="fr-FR"/>
        </w:rPr>
        <w:t>G</w:t>
      </w:r>
      <w:r w:rsidR="00A62B92">
        <w:rPr>
          <w:i/>
          <w:sz w:val="20"/>
          <w:lang w:eastAsia="fr-FR"/>
        </w:rPr>
        <w:t>.</w:t>
      </w:r>
      <w:r w:rsidRPr="006F266A">
        <w:rPr>
          <w:i/>
          <w:sz w:val="20"/>
          <w:lang w:eastAsia="fr-FR"/>
        </w:rPr>
        <w:t>M</w:t>
      </w:r>
      <w:r w:rsidR="00A62B92">
        <w:rPr>
          <w:i/>
          <w:sz w:val="20"/>
          <w:lang w:eastAsia="fr-FR"/>
        </w:rPr>
        <w:t>.</w:t>
      </w:r>
      <w:r w:rsidRPr="006F266A">
        <w:rPr>
          <w:i/>
          <w:sz w:val="20"/>
          <w:lang w:eastAsia="fr-FR"/>
        </w:rPr>
        <w:t>R</w:t>
      </w:r>
      <w:r w:rsidR="00A62B92">
        <w:rPr>
          <w:i/>
          <w:sz w:val="20"/>
          <w:lang w:eastAsia="fr-FR"/>
        </w:rPr>
        <w:t>.</w:t>
      </w:r>
      <w:r w:rsidRPr="006F266A">
        <w:rPr>
          <w:i/>
          <w:sz w:val="20"/>
          <w:lang w:eastAsia="fr-FR"/>
        </w:rPr>
        <w:t xml:space="preserve"> </w:t>
      </w:r>
      <w:r w:rsidRPr="006F266A">
        <w:rPr>
          <w:sz w:val="20"/>
          <w:lang w:eastAsia="fr-FR"/>
        </w:rPr>
        <w:t xml:space="preserve">c. </w:t>
      </w:r>
      <w:r w:rsidRPr="006F266A">
        <w:rPr>
          <w:i/>
          <w:sz w:val="20"/>
          <w:lang w:eastAsia="fr-FR"/>
        </w:rPr>
        <w:t>Saskatchewan</w:t>
      </w:r>
      <w:r w:rsidRPr="00551BFE">
        <w:rPr>
          <w:iCs/>
          <w:sz w:val="20"/>
          <w:lang w:eastAsia="fr-FR"/>
        </w:rPr>
        <w:t>, [1987] 1</w:t>
      </w:r>
      <w:r w:rsidR="00A62B92">
        <w:rPr>
          <w:iCs/>
          <w:sz w:val="20"/>
          <w:lang w:eastAsia="fr-FR"/>
        </w:rPr>
        <w:t> </w:t>
      </w:r>
      <w:r w:rsidRPr="00551BFE">
        <w:rPr>
          <w:iCs/>
          <w:sz w:val="20"/>
          <w:lang w:eastAsia="fr-FR"/>
        </w:rPr>
        <w:t>RCS</w:t>
      </w:r>
      <w:r w:rsidR="00A62B92">
        <w:rPr>
          <w:iCs/>
          <w:sz w:val="20"/>
          <w:lang w:eastAsia="fr-FR"/>
        </w:rPr>
        <w:t> </w:t>
      </w:r>
      <w:r w:rsidRPr="00551BFE">
        <w:rPr>
          <w:iCs/>
          <w:sz w:val="20"/>
          <w:lang w:eastAsia="fr-FR"/>
        </w:rPr>
        <w:t>460,</w:t>
      </w:r>
      <w:r w:rsidRPr="006F266A">
        <w:rPr>
          <w:i/>
          <w:sz w:val="20"/>
          <w:lang w:eastAsia="fr-FR"/>
        </w:rPr>
        <w:t xml:space="preserve"> </w:t>
      </w:r>
      <w:r w:rsidRPr="0078507C">
        <w:rPr>
          <w:iCs/>
          <w:sz w:val="20"/>
          <w:lang w:eastAsia="fr-FR"/>
        </w:rPr>
        <w:t>l</w:t>
      </w:r>
      <w:r w:rsidR="009F73EE" w:rsidRPr="0078507C">
        <w:rPr>
          <w:iCs/>
          <w:sz w:val="20"/>
          <w:lang w:eastAsia="fr-FR"/>
        </w:rPr>
        <w:t xml:space="preserve">’arrêt </w:t>
      </w:r>
      <w:r w:rsidR="009F73EE" w:rsidRPr="00DC6B30">
        <w:rPr>
          <w:iCs/>
          <w:sz w:val="20"/>
          <w:lang w:eastAsia="fr-FR"/>
        </w:rPr>
        <w:t>d</w:t>
      </w:r>
      <w:r w:rsidRPr="00DC6B30">
        <w:rPr>
          <w:iCs/>
          <w:sz w:val="20"/>
          <w:lang w:eastAsia="fr-FR"/>
        </w:rPr>
        <w:t>es</w:t>
      </w:r>
      <w:r w:rsidRPr="00097536">
        <w:rPr>
          <w:i/>
          <w:sz w:val="20"/>
          <w:lang w:eastAsia="fr-FR"/>
        </w:rPr>
        <w:t xml:space="preserve"> </w:t>
      </w:r>
      <w:r w:rsidR="009F73EE" w:rsidRPr="00116212">
        <w:rPr>
          <w:i/>
          <w:sz w:val="20"/>
          <w:lang w:eastAsia="fr-FR"/>
        </w:rPr>
        <w:t>P</w:t>
      </w:r>
      <w:r w:rsidRPr="00116212">
        <w:rPr>
          <w:i/>
          <w:sz w:val="20"/>
          <w:lang w:eastAsia="fr-FR"/>
        </w:rPr>
        <w:t>roducteurs laitiers</w:t>
      </w:r>
      <w:r w:rsidRPr="0078507C">
        <w:rPr>
          <w:iCs/>
          <w:sz w:val="20"/>
          <w:lang w:eastAsia="fr-FR"/>
        </w:rPr>
        <w:t>.</w:t>
      </w:r>
    </w:p>
  </w:footnote>
  <w:footnote w:id="62">
    <w:p w14:paraId="27410998" w14:textId="4FD62D9A" w:rsidR="006F266A" w:rsidRPr="00863609" w:rsidRDefault="006F266A" w:rsidP="006F266A">
      <w:pPr>
        <w:pStyle w:val="Notedebasdepage"/>
        <w:tabs>
          <w:tab w:val="left" w:pos="720"/>
        </w:tabs>
        <w:ind w:left="720" w:hanging="720"/>
        <w:jc w:val="both"/>
        <w:rPr>
          <w:rFonts w:cs="Arial"/>
          <w:sz w:val="20"/>
        </w:rPr>
      </w:pPr>
      <w:r>
        <w:rPr>
          <w:rStyle w:val="Appelnotedebasdep"/>
        </w:rPr>
        <w:footnoteRef/>
      </w:r>
      <w:r w:rsidRPr="00863609">
        <w:t xml:space="preserve"> </w:t>
      </w:r>
      <w:r w:rsidRPr="00863609">
        <w:rPr>
          <w:rFonts w:cs="Arial"/>
          <w:sz w:val="20"/>
        </w:rPr>
        <w:tab/>
        <w:t xml:space="preserve">2001 </w:t>
      </w:r>
      <w:r w:rsidR="0053204D">
        <w:rPr>
          <w:rFonts w:cs="Arial"/>
          <w:sz w:val="20"/>
        </w:rPr>
        <w:t>CSC 94</w:t>
      </w:r>
      <w:r w:rsidR="00F15B41" w:rsidRPr="00863609">
        <w:rPr>
          <w:rFonts w:cs="Arial"/>
          <w:sz w:val="20"/>
        </w:rPr>
        <w:t xml:space="preserve">, l’arrêt </w:t>
      </w:r>
      <w:r w:rsidR="00F15B41" w:rsidRPr="00551BFE">
        <w:rPr>
          <w:rFonts w:cs="Arial"/>
          <w:i/>
          <w:iCs/>
          <w:sz w:val="20"/>
        </w:rPr>
        <w:t>Dunmore</w:t>
      </w:r>
      <w:r w:rsidR="00F15B41" w:rsidRPr="00863609">
        <w:rPr>
          <w:rFonts w:cs="Arial"/>
          <w:sz w:val="20"/>
        </w:rPr>
        <w:t>.</w:t>
      </w:r>
    </w:p>
  </w:footnote>
  <w:footnote w:id="63">
    <w:p w14:paraId="6D229AF8" w14:textId="02B12214" w:rsidR="000A0134" w:rsidRPr="00863609" w:rsidRDefault="000A0134" w:rsidP="000A0134">
      <w:pPr>
        <w:pStyle w:val="Notedebasdepage"/>
        <w:tabs>
          <w:tab w:val="left" w:pos="720"/>
        </w:tabs>
        <w:ind w:left="720" w:hanging="720"/>
        <w:jc w:val="both"/>
        <w:rPr>
          <w:rFonts w:cs="Arial"/>
          <w:sz w:val="20"/>
        </w:rPr>
      </w:pPr>
      <w:r>
        <w:rPr>
          <w:rStyle w:val="Appelnotedebasdep"/>
        </w:rPr>
        <w:footnoteRef/>
      </w:r>
      <w:r w:rsidRPr="00863609">
        <w:t xml:space="preserve"> </w:t>
      </w:r>
      <w:r w:rsidRPr="00863609">
        <w:rPr>
          <w:rFonts w:cs="Arial"/>
          <w:sz w:val="20"/>
        </w:rPr>
        <w:tab/>
        <w:t xml:space="preserve">2007 </w:t>
      </w:r>
      <w:r w:rsidR="0053204D">
        <w:rPr>
          <w:rFonts w:cs="Arial"/>
          <w:sz w:val="20"/>
        </w:rPr>
        <w:t>CSC</w:t>
      </w:r>
      <w:r w:rsidRPr="00863609">
        <w:rPr>
          <w:rFonts w:cs="Arial"/>
          <w:sz w:val="20"/>
        </w:rPr>
        <w:t xml:space="preserve"> </w:t>
      </w:r>
      <w:r w:rsidR="0053204D">
        <w:rPr>
          <w:rFonts w:cs="Arial"/>
          <w:sz w:val="20"/>
        </w:rPr>
        <w:t>27</w:t>
      </w:r>
      <w:r w:rsidR="00AA7FD6" w:rsidRPr="00863609">
        <w:rPr>
          <w:rFonts w:cs="Arial"/>
          <w:sz w:val="20"/>
        </w:rPr>
        <w:t xml:space="preserve">, l’arrêt </w:t>
      </w:r>
      <w:r w:rsidR="00AA7FD6" w:rsidRPr="00551BFE">
        <w:rPr>
          <w:rFonts w:cs="Arial"/>
          <w:i/>
          <w:iCs/>
          <w:sz w:val="20"/>
        </w:rPr>
        <w:t>Health Services</w:t>
      </w:r>
      <w:r w:rsidR="00571984">
        <w:rPr>
          <w:rFonts w:cs="Arial"/>
          <w:i/>
          <w:iCs/>
          <w:sz w:val="20"/>
        </w:rPr>
        <w:t xml:space="preserve">, </w:t>
      </w:r>
      <w:r w:rsidR="00571984" w:rsidRPr="00571984">
        <w:rPr>
          <w:rFonts w:cs="Arial"/>
          <w:sz w:val="20"/>
        </w:rPr>
        <w:t>par. 87</w:t>
      </w:r>
      <w:r w:rsidRPr="00863609">
        <w:rPr>
          <w:rFonts w:cs="Arial"/>
          <w:sz w:val="20"/>
        </w:rPr>
        <w:t>.</w:t>
      </w:r>
    </w:p>
  </w:footnote>
  <w:footnote w:id="64">
    <w:p w14:paraId="37D7A6F3" w14:textId="6C8B0ED6" w:rsidR="00CC1AAA" w:rsidRPr="00CC1AAA" w:rsidRDefault="00CC1AAA"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La Cour suprême a affirmé de nouveau que la Charte canadienne ne garanti</w:t>
      </w:r>
      <w:r w:rsidR="002127AA">
        <w:rPr>
          <w:rFonts w:cs="Arial"/>
          <w:sz w:val="20"/>
        </w:rPr>
        <w:t>t</w:t>
      </w:r>
      <w:r>
        <w:rPr>
          <w:rFonts w:cs="Arial"/>
          <w:sz w:val="20"/>
        </w:rPr>
        <w:t xml:space="preserve"> pas l’accès à un modèle particulier dans </w:t>
      </w:r>
      <w:r w:rsidRPr="00CC1AAA">
        <w:rPr>
          <w:rFonts w:cs="Arial"/>
          <w:i/>
          <w:iCs/>
          <w:sz w:val="20"/>
        </w:rPr>
        <w:t>Ontario (Procureur général)</w:t>
      </w:r>
      <w:r>
        <w:rPr>
          <w:rFonts w:cs="Arial"/>
          <w:sz w:val="20"/>
        </w:rPr>
        <w:t xml:space="preserve"> c. </w:t>
      </w:r>
      <w:r w:rsidRPr="00CC1AAA">
        <w:rPr>
          <w:rFonts w:cs="Arial"/>
          <w:i/>
          <w:iCs/>
          <w:sz w:val="20"/>
        </w:rPr>
        <w:t>Fraser</w:t>
      </w:r>
      <w:r>
        <w:rPr>
          <w:rFonts w:cs="Arial"/>
          <w:sz w:val="20"/>
        </w:rPr>
        <w:t>, 2011 CSC 20</w:t>
      </w:r>
      <w:r w:rsidR="00ED2129">
        <w:rPr>
          <w:rFonts w:cs="Arial"/>
          <w:sz w:val="20"/>
        </w:rPr>
        <w:t xml:space="preserve">, l’arrêt </w:t>
      </w:r>
      <w:r w:rsidR="00ED2129" w:rsidRPr="00ED2129">
        <w:rPr>
          <w:rFonts w:cs="Arial"/>
          <w:i/>
          <w:iCs/>
          <w:sz w:val="20"/>
        </w:rPr>
        <w:t>Fraser</w:t>
      </w:r>
      <w:r>
        <w:rPr>
          <w:rFonts w:cs="Arial"/>
          <w:sz w:val="20"/>
        </w:rPr>
        <w:t>.</w:t>
      </w:r>
    </w:p>
  </w:footnote>
  <w:footnote w:id="65">
    <w:p w14:paraId="6FFBAE97" w14:textId="28CA31C7" w:rsidR="000A0134" w:rsidRPr="000A0134" w:rsidRDefault="000A0134" w:rsidP="000A0134">
      <w:pPr>
        <w:pStyle w:val="Notedebasdepage"/>
        <w:tabs>
          <w:tab w:val="left" w:pos="720"/>
        </w:tabs>
        <w:ind w:left="720" w:hanging="720"/>
        <w:jc w:val="both"/>
        <w:rPr>
          <w:rFonts w:cs="Arial"/>
          <w:sz w:val="20"/>
        </w:rPr>
      </w:pPr>
      <w:r>
        <w:rPr>
          <w:rStyle w:val="Appelnotedebasdep"/>
        </w:rPr>
        <w:footnoteRef/>
      </w:r>
      <w:r w:rsidRPr="000A0134">
        <w:t xml:space="preserve"> </w:t>
      </w:r>
      <w:r w:rsidRPr="000A0134">
        <w:rPr>
          <w:rFonts w:cs="Arial"/>
          <w:sz w:val="20"/>
        </w:rPr>
        <w:tab/>
      </w:r>
      <w:r w:rsidR="00AA7FD6">
        <w:rPr>
          <w:rFonts w:cs="Arial"/>
          <w:sz w:val="20"/>
        </w:rPr>
        <w:t xml:space="preserve">Précité, note </w:t>
      </w:r>
      <w:r w:rsidR="00841032">
        <w:rPr>
          <w:rFonts w:cs="Arial"/>
          <w:sz w:val="20"/>
        </w:rPr>
        <w:t>60</w:t>
      </w:r>
      <w:r w:rsidR="004F10D1">
        <w:rPr>
          <w:rFonts w:cs="Arial"/>
          <w:sz w:val="20"/>
        </w:rPr>
        <w:t>.</w:t>
      </w:r>
    </w:p>
  </w:footnote>
  <w:footnote w:id="66">
    <w:p w14:paraId="2565D855" w14:textId="3D649A00" w:rsidR="000A0134" w:rsidRPr="004A5894" w:rsidRDefault="000A0134" w:rsidP="000A0134">
      <w:pPr>
        <w:pStyle w:val="Notedebasdepage"/>
        <w:tabs>
          <w:tab w:val="left" w:pos="720"/>
        </w:tabs>
        <w:ind w:left="720" w:hanging="720"/>
        <w:jc w:val="both"/>
        <w:rPr>
          <w:rFonts w:cs="Arial"/>
          <w:sz w:val="20"/>
        </w:rPr>
      </w:pPr>
      <w:r>
        <w:rPr>
          <w:rStyle w:val="Appelnotedebasdep"/>
        </w:rPr>
        <w:footnoteRef/>
      </w:r>
      <w:r w:rsidRPr="004A5894">
        <w:t xml:space="preserve"> </w:t>
      </w:r>
      <w:r w:rsidRPr="004A5894">
        <w:rPr>
          <w:rFonts w:cs="Arial"/>
          <w:sz w:val="20"/>
        </w:rPr>
        <w:tab/>
        <w:t xml:space="preserve">2015 </w:t>
      </w:r>
      <w:r w:rsidR="000610E9" w:rsidRPr="004A5894">
        <w:rPr>
          <w:rFonts w:cs="Arial"/>
          <w:sz w:val="20"/>
        </w:rPr>
        <w:t>CSC 2</w:t>
      </w:r>
      <w:r w:rsidR="003E7731">
        <w:rPr>
          <w:rFonts w:cs="Arial"/>
          <w:sz w:val="20"/>
        </w:rPr>
        <w:t>.</w:t>
      </w:r>
    </w:p>
  </w:footnote>
  <w:footnote w:id="67">
    <w:p w14:paraId="615C4857" w14:textId="3136B36C" w:rsidR="00571984" w:rsidRPr="004A5894" w:rsidRDefault="00571984" w:rsidP="00571984">
      <w:pPr>
        <w:pStyle w:val="Notedebasdepage"/>
        <w:tabs>
          <w:tab w:val="left" w:pos="720"/>
        </w:tabs>
        <w:ind w:left="720" w:hanging="720"/>
        <w:jc w:val="both"/>
        <w:rPr>
          <w:rFonts w:cs="Arial"/>
          <w:sz w:val="20"/>
        </w:rPr>
      </w:pPr>
      <w:r>
        <w:rPr>
          <w:rStyle w:val="Appelnotedebasdep"/>
        </w:rPr>
        <w:footnoteRef/>
      </w:r>
      <w:r w:rsidRPr="004A5894">
        <w:t xml:space="preserve"> </w:t>
      </w:r>
      <w:r w:rsidRPr="004A5894">
        <w:rPr>
          <w:rFonts w:cs="Arial"/>
          <w:sz w:val="20"/>
        </w:rPr>
        <w:tab/>
      </w:r>
      <w:r w:rsidR="002127AA" w:rsidRPr="004A5894">
        <w:rPr>
          <w:rFonts w:cs="Arial"/>
          <w:sz w:val="20"/>
        </w:rPr>
        <w:t>2015 CSC 4</w:t>
      </w:r>
      <w:r w:rsidRPr="004A5894">
        <w:rPr>
          <w:rFonts w:cs="Arial"/>
          <w:sz w:val="20"/>
        </w:rPr>
        <w:t>.</w:t>
      </w:r>
    </w:p>
  </w:footnote>
  <w:footnote w:id="68">
    <w:p w14:paraId="378A2D44" w14:textId="426152D0" w:rsidR="00CC1AAA" w:rsidRPr="000A0134" w:rsidRDefault="00CC1AAA" w:rsidP="00CC1AAA">
      <w:pPr>
        <w:pStyle w:val="Notedebasdepage"/>
        <w:tabs>
          <w:tab w:val="left" w:pos="720"/>
        </w:tabs>
        <w:ind w:left="720" w:hanging="720"/>
        <w:jc w:val="both"/>
        <w:rPr>
          <w:rFonts w:cs="Arial"/>
          <w:iCs/>
          <w:sz w:val="20"/>
        </w:rPr>
      </w:pPr>
      <w:r>
        <w:rPr>
          <w:rStyle w:val="Appelnotedebasdep"/>
        </w:rPr>
        <w:footnoteRef/>
      </w:r>
      <w:r>
        <w:t xml:space="preserve"> </w:t>
      </w:r>
      <w:r>
        <w:rPr>
          <w:rFonts w:cs="Arial"/>
          <w:sz w:val="20"/>
        </w:rPr>
        <w:tab/>
        <w:t xml:space="preserve">Voir notamment les par. 75 et suivants de l’arrêt </w:t>
      </w:r>
      <w:r w:rsidRPr="00097536">
        <w:rPr>
          <w:rFonts w:cs="Arial"/>
          <w:i/>
          <w:iCs/>
          <w:sz w:val="20"/>
        </w:rPr>
        <w:t>APMO</w:t>
      </w:r>
      <w:r>
        <w:rPr>
          <w:rFonts w:cs="Arial"/>
          <w:i/>
          <w:iCs/>
          <w:sz w:val="20"/>
        </w:rPr>
        <w:t>,</w:t>
      </w:r>
      <w:r w:rsidR="00901A6F">
        <w:rPr>
          <w:rFonts w:cs="Arial"/>
          <w:i/>
          <w:iCs/>
          <w:sz w:val="20"/>
        </w:rPr>
        <w:t xml:space="preserve"> </w:t>
      </w:r>
      <w:r w:rsidR="00901A6F" w:rsidRPr="00097536">
        <w:rPr>
          <w:rFonts w:cs="Arial"/>
          <w:sz w:val="20"/>
        </w:rPr>
        <w:t>précité, note 60</w:t>
      </w:r>
      <w:r w:rsidR="00901A6F">
        <w:rPr>
          <w:rFonts w:cs="Arial"/>
          <w:i/>
          <w:iCs/>
          <w:sz w:val="20"/>
        </w:rPr>
        <w:t>,</w:t>
      </w:r>
      <w:r>
        <w:rPr>
          <w:rFonts w:cs="Arial"/>
          <w:i/>
          <w:iCs/>
          <w:sz w:val="20"/>
        </w:rPr>
        <w:t xml:space="preserve"> </w:t>
      </w:r>
      <w:r>
        <w:rPr>
          <w:rFonts w:cs="Arial"/>
          <w:sz w:val="20"/>
        </w:rPr>
        <w:t xml:space="preserve">où </w:t>
      </w:r>
      <w:r>
        <w:rPr>
          <w:sz w:val="20"/>
          <w:lang w:eastAsia="fr-FR"/>
        </w:rPr>
        <w:t>l</w:t>
      </w:r>
      <w:r w:rsidRPr="000A0134">
        <w:rPr>
          <w:sz w:val="20"/>
          <w:lang w:eastAsia="fr-FR"/>
        </w:rPr>
        <w:t xml:space="preserve">a Cour suprême vient préciser des éléments de l’arrêt </w:t>
      </w:r>
      <w:r w:rsidRPr="000A0134">
        <w:rPr>
          <w:i/>
          <w:sz w:val="20"/>
          <w:lang w:eastAsia="fr-FR"/>
        </w:rPr>
        <w:t>Ontario (Procureur général)</w:t>
      </w:r>
      <w:r w:rsidRPr="000A0134">
        <w:rPr>
          <w:sz w:val="20"/>
          <w:lang w:eastAsia="fr-FR"/>
        </w:rPr>
        <w:t xml:space="preserve"> c. </w:t>
      </w:r>
      <w:r w:rsidRPr="000A0134">
        <w:rPr>
          <w:i/>
          <w:sz w:val="20"/>
          <w:lang w:eastAsia="fr-FR"/>
        </w:rPr>
        <w:t>Fraser</w:t>
      </w:r>
      <w:r>
        <w:rPr>
          <w:i/>
          <w:sz w:val="20"/>
          <w:lang w:eastAsia="fr-FR"/>
        </w:rPr>
        <w:t xml:space="preserve">, </w:t>
      </w:r>
      <w:r w:rsidR="00841032">
        <w:rPr>
          <w:iCs/>
          <w:sz w:val="20"/>
          <w:lang w:eastAsia="fr-FR"/>
        </w:rPr>
        <w:t>précité, note 64</w:t>
      </w:r>
      <w:r w:rsidRPr="000A0134">
        <w:rPr>
          <w:iCs/>
          <w:sz w:val="20"/>
          <w:lang w:eastAsia="fr-FR"/>
        </w:rPr>
        <w:t>.</w:t>
      </w:r>
    </w:p>
  </w:footnote>
  <w:footnote w:id="69">
    <w:p w14:paraId="587C05D7" w14:textId="0790FC86" w:rsidR="007579E1" w:rsidRPr="007579E1" w:rsidRDefault="007579E1" w:rsidP="007579E1">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097536">
        <w:rPr>
          <w:rFonts w:cs="Arial"/>
          <w:i/>
          <w:iCs/>
          <w:sz w:val="20"/>
        </w:rPr>
        <w:t>APMO</w:t>
      </w:r>
      <w:r>
        <w:rPr>
          <w:rFonts w:cs="Arial"/>
          <w:sz w:val="20"/>
        </w:rPr>
        <w:t xml:space="preserve">, précité, note </w:t>
      </w:r>
      <w:r w:rsidR="00841032">
        <w:rPr>
          <w:rFonts w:cs="Arial"/>
          <w:sz w:val="20"/>
        </w:rPr>
        <w:t>60</w:t>
      </w:r>
      <w:r>
        <w:rPr>
          <w:rFonts w:cs="Arial"/>
          <w:sz w:val="20"/>
        </w:rPr>
        <w:t>.</w:t>
      </w:r>
    </w:p>
  </w:footnote>
  <w:footnote w:id="70">
    <w:p w14:paraId="03EF8D02" w14:textId="77777777" w:rsidR="00895608" w:rsidRPr="005A7B4B" w:rsidRDefault="00895608" w:rsidP="00895608">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Une autre loi était aussi en cause dans cet arrêt, qui redéfinissait les critères pour qu’une association soit considérée représentative. Cette loi a été jugée constitutionnelle par la Cour.</w:t>
      </w:r>
    </w:p>
  </w:footnote>
  <w:footnote w:id="71">
    <w:p w14:paraId="45BB06C8" w14:textId="1F8FC7A8" w:rsidR="00413B8D" w:rsidRPr="00A01657" w:rsidRDefault="00413B8D" w:rsidP="00413B8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Par</w:t>
      </w:r>
      <w:r w:rsidR="00917466">
        <w:rPr>
          <w:rFonts w:cs="Arial"/>
          <w:sz w:val="20"/>
        </w:rPr>
        <w:t>.</w:t>
      </w:r>
      <w:r>
        <w:rPr>
          <w:rFonts w:cs="Arial"/>
          <w:sz w:val="20"/>
        </w:rPr>
        <w:t xml:space="preserve"> 47.</w:t>
      </w:r>
    </w:p>
  </w:footnote>
  <w:footnote w:id="72">
    <w:p w14:paraId="7C411361" w14:textId="77777777" w:rsidR="005C494B" w:rsidRPr="00132CE8" w:rsidRDefault="005C494B" w:rsidP="005C494B">
      <w:pPr>
        <w:pStyle w:val="Notedebasdepage"/>
        <w:tabs>
          <w:tab w:val="left" w:pos="720"/>
        </w:tabs>
        <w:ind w:left="720" w:hanging="720"/>
        <w:jc w:val="both"/>
        <w:rPr>
          <w:rFonts w:cs="Arial"/>
          <w:sz w:val="20"/>
        </w:rPr>
      </w:pPr>
      <w:r>
        <w:rPr>
          <w:rStyle w:val="Appelnotedebasdep"/>
        </w:rPr>
        <w:footnoteRef/>
      </w:r>
      <w:r>
        <w:t xml:space="preserve"> </w:t>
      </w:r>
      <w:r w:rsidRPr="00132CE8">
        <w:rPr>
          <w:rFonts w:cs="Arial"/>
          <w:sz w:val="20"/>
        </w:rPr>
        <w:tab/>
      </w:r>
      <w:r>
        <w:rPr>
          <w:rFonts w:cs="Arial"/>
          <w:sz w:val="20"/>
        </w:rPr>
        <w:t>Par. 46.</w:t>
      </w:r>
    </w:p>
  </w:footnote>
  <w:footnote w:id="73">
    <w:p w14:paraId="10B3B9D3" w14:textId="5C7DB752" w:rsidR="00C26EE6" w:rsidRPr="00C26EE6" w:rsidRDefault="00C26EE6" w:rsidP="00C26EE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1E60BF">
        <w:rPr>
          <w:rFonts w:cs="Arial"/>
          <w:color w:val="000000"/>
          <w:sz w:val="20"/>
        </w:rPr>
        <w:t>2002 CSC 8</w:t>
      </w:r>
      <w:r w:rsidR="00841032">
        <w:rPr>
          <w:rFonts w:cs="Arial"/>
          <w:color w:val="000000"/>
          <w:sz w:val="20"/>
        </w:rPr>
        <w:t xml:space="preserve">, l’arrêt </w:t>
      </w:r>
      <w:r w:rsidR="00841032" w:rsidRPr="00841032">
        <w:rPr>
          <w:rFonts w:cs="Arial"/>
          <w:i/>
          <w:iCs/>
          <w:color w:val="000000"/>
          <w:sz w:val="20"/>
        </w:rPr>
        <w:t>Pepsi-Cola</w:t>
      </w:r>
      <w:r w:rsidR="00841032">
        <w:rPr>
          <w:rFonts w:cs="Arial"/>
          <w:color w:val="000000"/>
          <w:sz w:val="20"/>
        </w:rPr>
        <w:t>.</w:t>
      </w:r>
    </w:p>
  </w:footnote>
  <w:footnote w:id="74">
    <w:p w14:paraId="21B1F3E3" w14:textId="5BC2AEF8" w:rsidR="00CC2A9F" w:rsidRPr="00CC2A9F" w:rsidRDefault="00CC2A9F" w:rsidP="00CC2A9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Voir par</w:t>
      </w:r>
      <w:r w:rsidR="00B20113">
        <w:rPr>
          <w:rFonts w:cs="Arial"/>
          <w:sz w:val="20"/>
        </w:rPr>
        <w:t>.</w:t>
      </w:r>
      <w:r>
        <w:rPr>
          <w:rFonts w:cs="Arial"/>
          <w:sz w:val="20"/>
        </w:rPr>
        <w:t xml:space="preserve"> 48 et 50 de l’arrêt </w:t>
      </w:r>
      <w:r w:rsidRPr="00B608D9">
        <w:rPr>
          <w:rFonts w:cs="Arial"/>
          <w:i/>
          <w:iCs/>
          <w:sz w:val="20"/>
        </w:rPr>
        <w:t>Saskatchewan</w:t>
      </w:r>
      <w:r w:rsidR="00B608D9">
        <w:rPr>
          <w:rFonts w:cs="Arial"/>
          <w:sz w:val="20"/>
        </w:rPr>
        <w:t xml:space="preserve">, précité, note 67. </w:t>
      </w:r>
    </w:p>
  </w:footnote>
  <w:footnote w:id="75">
    <w:p w14:paraId="5535190F" w14:textId="39E93B76" w:rsidR="000473FC" w:rsidRPr="000473FC" w:rsidRDefault="000473FC" w:rsidP="000473FC">
      <w:pPr>
        <w:pStyle w:val="Notedebasdepage"/>
        <w:tabs>
          <w:tab w:val="left" w:pos="720"/>
        </w:tabs>
        <w:ind w:left="720" w:hanging="720"/>
        <w:jc w:val="both"/>
        <w:rPr>
          <w:rFonts w:cs="Arial"/>
          <w:sz w:val="20"/>
        </w:rPr>
      </w:pPr>
      <w:r w:rsidRPr="007947B0">
        <w:rPr>
          <w:rStyle w:val="Appelnotedebasdep"/>
        </w:rPr>
        <w:footnoteRef/>
      </w:r>
      <w:r w:rsidRPr="007947B0">
        <w:t xml:space="preserve"> </w:t>
      </w:r>
      <w:r w:rsidRPr="007947B0">
        <w:rPr>
          <w:rFonts w:cs="Arial"/>
          <w:sz w:val="20"/>
        </w:rPr>
        <w:tab/>
        <w:t xml:space="preserve">Arrêt </w:t>
      </w:r>
      <w:r w:rsidRPr="007947B0">
        <w:rPr>
          <w:rFonts w:cs="Arial"/>
          <w:i/>
          <w:iCs/>
          <w:sz w:val="20"/>
        </w:rPr>
        <w:t>Saskatchewan</w:t>
      </w:r>
      <w:r w:rsidRPr="007947B0">
        <w:rPr>
          <w:rFonts w:cs="Arial"/>
          <w:sz w:val="20"/>
        </w:rPr>
        <w:t>, précité</w:t>
      </w:r>
      <w:r w:rsidR="004F10D1" w:rsidRPr="007947B0">
        <w:rPr>
          <w:rFonts w:cs="Arial"/>
          <w:sz w:val="20"/>
        </w:rPr>
        <w:t>,</w:t>
      </w:r>
      <w:r w:rsidRPr="007947B0">
        <w:rPr>
          <w:rFonts w:cs="Arial"/>
          <w:sz w:val="20"/>
        </w:rPr>
        <w:t xml:space="preserve"> note </w:t>
      </w:r>
      <w:r w:rsidR="00077276" w:rsidRPr="007947B0">
        <w:rPr>
          <w:rFonts w:cs="Arial"/>
          <w:sz w:val="20"/>
        </w:rPr>
        <w:t>6</w:t>
      </w:r>
      <w:r w:rsidR="00BA6203">
        <w:rPr>
          <w:rFonts w:cs="Arial"/>
          <w:sz w:val="20"/>
        </w:rPr>
        <w:t>7</w:t>
      </w:r>
      <w:r w:rsidRPr="007947B0">
        <w:rPr>
          <w:rFonts w:cs="Arial"/>
          <w:sz w:val="20"/>
        </w:rPr>
        <w:t>, par. 33.</w:t>
      </w:r>
    </w:p>
  </w:footnote>
  <w:footnote w:id="76">
    <w:p w14:paraId="74D4C070" w14:textId="77777777" w:rsidR="002155E7" w:rsidRPr="002C4B38" w:rsidRDefault="002155E7" w:rsidP="002155E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2C4B38">
        <w:rPr>
          <w:rFonts w:cs="Arial"/>
          <w:i/>
          <w:iCs/>
          <w:sz w:val="20"/>
        </w:rPr>
        <w:t>Saskatchewan</w:t>
      </w:r>
      <w:r>
        <w:rPr>
          <w:rFonts w:cs="Arial"/>
          <w:sz w:val="20"/>
        </w:rPr>
        <w:t xml:space="preserve">, précité, note 67, par. 64, citant </w:t>
      </w:r>
      <w:r w:rsidRPr="002C4B38">
        <w:rPr>
          <w:rFonts w:cs="Arial"/>
          <w:i/>
          <w:iCs/>
          <w:sz w:val="20"/>
        </w:rPr>
        <w:t>Divito</w:t>
      </w:r>
      <w:r>
        <w:rPr>
          <w:rFonts w:cs="Arial"/>
          <w:sz w:val="20"/>
        </w:rPr>
        <w:t xml:space="preserve"> c. </w:t>
      </w:r>
      <w:r w:rsidRPr="002C4B38">
        <w:rPr>
          <w:rFonts w:cs="Arial"/>
          <w:i/>
          <w:iCs/>
          <w:sz w:val="20"/>
        </w:rPr>
        <w:t>Canada (Sécurité publique et Protection civile)</w:t>
      </w:r>
      <w:r>
        <w:rPr>
          <w:rFonts w:cs="Arial"/>
          <w:sz w:val="20"/>
        </w:rPr>
        <w:t>, 2013 CSC 47.</w:t>
      </w:r>
    </w:p>
  </w:footnote>
  <w:footnote w:id="77">
    <w:p w14:paraId="09C8C5BF" w14:textId="3233421E" w:rsidR="00486FE2" w:rsidRPr="00A146E7" w:rsidRDefault="00486FE2" w:rsidP="00486FE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A146E7">
        <w:rPr>
          <w:rFonts w:cs="Arial"/>
          <w:i/>
          <w:iCs/>
          <w:sz w:val="20"/>
        </w:rPr>
        <w:t xml:space="preserve">Convention (n°87) </w:t>
      </w:r>
      <w:r w:rsidRPr="00097536">
        <w:rPr>
          <w:rFonts w:cs="Arial"/>
          <w:sz w:val="20"/>
        </w:rPr>
        <w:t>concernant</w:t>
      </w:r>
      <w:r w:rsidRPr="00A146E7">
        <w:rPr>
          <w:rFonts w:cs="Arial"/>
          <w:i/>
          <w:iCs/>
          <w:sz w:val="20"/>
        </w:rPr>
        <w:t xml:space="preserve"> la liberté syndicale et la protection du droit syndical</w:t>
      </w:r>
      <w:r>
        <w:rPr>
          <w:rFonts w:cs="Arial"/>
          <w:sz w:val="20"/>
        </w:rPr>
        <w:t xml:space="preserve">, 9 juillet 1948, 68 RTNU 17; </w:t>
      </w:r>
      <w:r w:rsidRPr="0063671A">
        <w:rPr>
          <w:rFonts w:cs="Arial"/>
          <w:i/>
          <w:iCs/>
          <w:sz w:val="20"/>
        </w:rPr>
        <w:t>Convention n°98 sur le droit d’organisation et de négociation collective</w:t>
      </w:r>
      <w:r>
        <w:rPr>
          <w:rFonts w:cs="Arial"/>
          <w:sz w:val="20"/>
        </w:rPr>
        <w:t>, 1</w:t>
      </w:r>
      <w:r w:rsidRPr="00A146E7">
        <w:rPr>
          <w:rFonts w:cs="Arial"/>
          <w:sz w:val="20"/>
          <w:vertAlign w:val="superscript"/>
        </w:rPr>
        <w:t>er</w:t>
      </w:r>
      <w:r w:rsidR="008D2A84">
        <w:rPr>
          <w:rFonts w:cs="Arial"/>
          <w:sz w:val="20"/>
        </w:rPr>
        <w:t> </w:t>
      </w:r>
      <w:r>
        <w:rPr>
          <w:rFonts w:cs="Arial"/>
          <w:sz w:val="20"/>
        </w:rPr>
        <w:t>juillet</w:t>
      </w:r>
      <w:r w:rsidR="008D2A84">
        <w:rPr>
          <w:rFonts w:cs="Arial"/>
          <w:sz w:val="20"/>
        </w:rPr>
        <w:t> </w:t>
      </w:r>
      <w:r>
        <w:rPr>
          <w:rFonts w:cs="Arial"/>
          <w:sz w:val="20"/>
        </w:rPr>
        <w:t xml:space="preserve">1949, 96 RTNU 257; </w:t>
      </w:r>
      <w:r w:rsidRPr="00C7761C">
        <w:rPr>
          <w:rFonts w:cs="Arial"/>
          <w:i/>
          <w:iCs/>
          <w:sz w:val="20"/>
        </w:rPr>
        <w:t>Convention de Vienne sur le droit des traités</w:t>
      </w:r>
      <w:r>
        <w:rPr>
          <w:rFonts w:cs="Arial"/>
          <w:sz w:val="20"/>
        </w:rPr>
        <w:t>, 23 mai 1969.</w:t>
      </w:r>
    </w:p>
  </w:footnote>
  <w:footnote w:id="78">
    <w:p w14:paraId="7656F83D" w14:textId="767D8D6F" w:rsidR="00486FE2" w:rsidRPr="00A146E7" w:rsidRDefault="00486FE2" w:rsidP="00486FE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2C4B38">
        <w:rPr>
          <w:rFonts w:cs="Arial"/>
          <w:i/>
          <w:iCs/>
          <w:sz w:val="20"/>
        </w:rPr>
        <w:t>Saskatchewan</w:t>
      </w:r>
      <w:r>
        <w:rPr>
          <w:rFonts w:cs="Arial"/>
          <w:sz w:val="20"/>
        </w:rPr>
        <w:t>, précité</w:t>
      </w:r>
      <w:r w:rsidR="001E60BF">
        <w:rPr>
          <w:rFonts w:cs="Arial"/>
          <w:sz w:val="20"/>
        </w:rPr>
        <w:t>,</w:t>
      </w:r>
      <w:r>
        <w:rPr>
          <w:rFonts w:cs="Arial"/>
          <w:sz w:val="20"/>
        </w:rPr>
        <w:t xml:space="preserve"> note </w:t>
      </w:r>
      <w:r w:rsidR="00077276">
        <w:rPr>
          <w:rFonts w:cs="Arial"/>
          <w:sz w:val="20"/>
        </w:rPr>
        <w:t>6</w:t>
      </w:r>
      <w:r w:rsidR="00841032">
        <w:rPr>
          <w:rFonts w:cs="Arial"/>
          <w:sz w:val="20"/>
        </w:rPr>
        <w:t>7</w:t>
      </w:r>
      <w:r>
        <w:rPr>
          <w:rFonts w:cs="Arial"/>
          <w:sz w:val="20"/>
        </w:rPr>
        <w:t>, par</w:t>
      </w:r>
      <w:r w:rsidR="00453DCA">
        <w:rPr>
          <w:rFonts w:cs="Arial"/>
          <w:sz w:val="20"/>
        </w:rPr>
        <w:t>.</w:t>
      </w:r>
      <w:r>
        <w:rPr>
          <w:rFonts w:cs="Arial"/>
          <w:sz w:val="20"/>
        </w:rPr>
        <w:t xml:space="preserve"> 62 à 71.</w:t>
      </w:r>
    </w:p>
  </w:footnote>
  <w:footnote w:id="79">
    <w:p w14:paraId="63FB20CD" w14:textId="403254D9" w:rsidR="00486FE2" w:rsidRPr="001B4B3B" w:rsidRDefault="00486FE2" w:rsidP="00486FE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2F6008" w:rsidRPr="002F6008">
        <w:rPr>
          <w:rFonts w:cs="Arial"/>
          <w:sz w:val="20"/>
        </w:rPr>
        <w:t xml:space="preserve">COUR INTERNATIONALE DE JUSTICE, </w:t>
      </w:r>
      <w:r w:rsidR="002F6008" w:rsidRPr="002F6008">
        <w:rPr>
          <w:rFonts w:cs="Arial"/>
          <w:i/>
          <w:iCs/>
          <w:sz w:val="20"/>
        </w:rPr>
        <w:t>Droit de grève au regard de la convention n° 87 de l’OIT,</w:t>
      </w:r>
      <w:r w:rsidR="002F6008" w:rsidRPr="002F6008">
        <w:rPr>
          <w:rFonts w:cs="Arial"/>
          <w:sz w:val="20"/>
        </w:rPr>
        <w:t xml:space="preserve"> Avis consultatif</w:t>
      </w:r>
      <w:r w:rsidR="002F6008" w:rsidRPr="002F6008">
        <w:rPr>
          <w:rFonts w:cs="Arial"/>
          <w:i/>
          <w:iCs/>
          <w:sz w:val="20"/>
        </w:rPr>
        <w:t xml:space="preserve">, </w:t>
      </w:r>
      <w:r>
        <w:rPr>
          <w:rFonts w:cs="Arial"/>
          <w:sz w:val="20"/>
        </w:rPr>
        <w:t>21 mai 2026.</w:t>
      </w:r>
    </w:p>
  </w:footnote>
  <w:footnote w:id="80">
    <w:p w14:paraId="34264DD0" w14:textId="439B02A5" w:rsidR="00486FE2" w:rsidRPr="001B4B3B" w:rsidRDefault="00486FE2" w:rsidP="00486FE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Voir par. 6</w:t>
      </w:r>
      <w:r w:rsidR="007947B0">
        <w:rPr>
          <w:rFonts w:cs="Arial"/>
          <w:sz w:val="20"/>
        </w:rPr>
        <w:t>7</w:t>
      </w:r>
      <w:r>
        <w:rPr>
          <w:rFonts w:cs="Arial"/>
          <w:sz w:val="20"/>
        </w:rPr>
        <w:t xml:space="preserve"> de l’arrêt </w:t>
      </w:r>
      <w:r w:rsidRPr="001C27B3">
        <w:rPr>
          <w:rFonts w:cs="Arial"/>
          <w:i/>
          <w:iCs/>
          <w:sz w:val="20"/>
        </w:rPr>
        <w:t>Saskatchewan</w:t>
      </w:r>
      <w:r w:rsidRPr="001B4B3B">
        <w:rPr>
          <w:rFonts w:cs="Arial"/>
          <w:sz w:val="20"/>
        </w:rPr>
        <w:t>, précité</w:t>
      </w:r>
      <w:r w:rsidR="00BA6203">
        <w:rPr>
          <w:rFonts w:cs="Arial"/>
          <w:sz w:val="20"/>
        </w:rPr>
        <w:t>,</w:t>
      </w:r>
      <w:r w:rsidRPr="001B4B3B">
        <w:rPr>
          <w:rFonts w:cs="Arial"/>
          <w:sz w:val="20"/>
        </w:rPr>
        <w:t xml:space="preserve"> note </w:t>
      </w:r>
      <w:r w:rsidR="00077276">
        <w:rPr>
          <w:rFonts w:cs="Arial"/>
          <w:sz w:val="20"/>
        </w:rPr>
        <w:t>6</w:t>
      </w:r>
      <w:r w:rsidR="00841032">
        <w:rPr>
          <w:rFonts w:cs="Arial"/>
          <w:sz w:val="20"/>
        </w:rPr>
        <w:t>7</w:t>
      </w:r>
      <w:r>
        <w:rPr>
          <w:rFonts w:cs="Arial"/>
          <w:sz w:val="20"/>
        </w:rPr>
        <w:t>.</w:t>
      </w:r>
    </w:p>
  </w:footnote>
  <w:footnote w:id="81">
    <w:p w14:paraId="11C95F6C" w14:textId="087F0B98" w:rsidR="006E2529" w:rsidRPr="00F47B68" w:rsidRDefault="006E2529" w:rsidP="006E2529">
      <w:pPr>
        <w:pStyle w:val="Notedebasdepage"/>
        <w:tabs>
          <w:tab w:val="left" w:pos="720"/>
        </w:tabs>
        <w:ind w:left="720" w:hanging="720"/>
        <w:jc w:val="both"/>
        <w:rPr>
          <w:rFonts w:cs="Arial"/>
          <w:sz w:val="20"/>
        </w:rPr>
      </w:pPr>
      <w:r>
        <w:rPr>
          <w:rStyle w:val="Appelnotedebasdep"/>
        </w:rPr>
        <w:footnoteRef/>
      </w:r>
      <w:r>
        <w:t xml:space="preserve"> </w:t>
      </w:r>
      <w:r w:rsidRPr="00F47B68">
        <w:rPr>
          <w:rFonts w:cs="Arial"/>
          <w:sz w:val="20"/>
        </w:rPr>
        <w:tab/>
        <w:t xml:space="preserve">Arrêt </w:t>
      </w:r>
      <w:r w:rsidRPr="00D475DC">
        <w:rPr>
          <w:rFonts w:cs="Arial"/>
          <w:i/>
          <w:iCs/>
          <w:sz w:val="20"/>
        </w:rPr>
        <w:t>Saskatchewan</w:t>
      </w:r>
      <w:r>
        <w:rPr>
          <w:rFonts w:cs="Arial"/>
          <w:sz w:val="20"/>
        </w:rPr>
        <w:t>, précité</w:t>
      </w:r>
      <w:r w:rsidR="001E60BF">
        <w:rPr>
          <w:rFonts w:cs="Arial"/>
          <w:sz w:val="20"/>
        </w:rPr>
        <w:t>,</w:t>
      </w:r>
      <w:r>
        <w:rPr>
          <w:rFonts w:cs="Arial"/>
          <w:sz w:val="20"/>
        </w:rPr>
        <w:t xml:space="preserve"> note </w:t>
      </w:r>
      <w:r w:rsidR="00077276">
        <w:rPr>
          <w:rFonts w:cs="Arial"/>
          <w:sz w:val="20"/>
        </w:rPr>
        <w:t>6</w:t>
      </w:r>
      <w:r w:rsidR="00841032">
        <w:rPr>
          <w:rFonts w:cs="Arial"/>
          <w:sz w:val="20"/>
        </w:rPr>
        <w:t>7</w:t>
      </w:r>
      <w:r>
        <w:rPr>
          <w:rFonts w:cs="Arial"/>
          <w:sz w:val="20"/>
        </w:rPr>
        <w:t>, par. 71.</w:t>
      </w:r>
    </w:p>
  </w:footnote>
  <w:footnote w:id="82">
    <w:p w14:paraId="0505C5C3" w14:textId="78355974" w:rsidR="00CC2A9F" w:rsidRPr="00087384" w:rsidRDefault="00CC2A9F" w:rsidP="00CC2A9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BC1136">
        <w:rPr>
          <w:rFonts w:cs="Arial"/>
          <w:i/>
          <w:iCs/>
          <w:sz w:val="20"/>
        </w:rPr>
        <w:t>Health Services</w:t>
      </w:r>
      <w:r w:rsidRPr="00BC1136">
        <w:rPr>
          <w:rFonts w:cs="Arial"/>
          <w:sz w:val="20"/>
        </w:rPr>
        <w:t>, précité,</w:t>
      </w:r>
      <w:r>
        <w:rPr>
          <w:rFonts w:cs="Arial"/>
          <w:sz w:val="20"/>
        </w:rPr>
        <w:t xml:space="preserve"> note 6</w:t>
      </w:r>
      <w:r w:rsidR="00841032">
        <w:rPr>
          <w:rFonts w:cs="Arial"/>
          <w:sz w:val="20"/>
        </w:rPr>
        <w:t>3</w:t>
      </w:r>
      <w:r>
        <w:rPr>
          <w:rFonts w:cs="Arial"/>
          <w:sz w:val="20"/>
        </w:rPr>
        <w:t>.</w:t>
      </w:r>
    </w:p>
  </w:footnote>
  <w:footnote w:id="83">
    <w:p w14:paraId="1753A58A" w14:textId="6A8D621E" w:rsidR="000B0B36" w:rsidRPr="000B0B36" w:rsidRDefault="000B0B36" w:rsidP="000B0B3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841032">
        <w:rPr>
          <w:rFonts w:cs="Arial"/>
          <w:i/>
          <w:iCs/>
          <w:sz w:val="20"/>
        </w:rPr>
        <w:t>Meredith</w:t>
      </w:r>
      <w:r>
        <w:rPr>
          <w:rFonts w:cs="Arial"/>
          <w:sz w:val="20"/>
        </w:rPr>
        <w:t xml:space="preserve">, précité, note </w:t>
      </w:r>
      <w:r w:rsidR="00841032">
        <w:rPr>
          <w:rFonts w:cs="Arial"/>
          <w:sz w:val="20"/>
        </w:rPr>
        <w:t>66</w:t>
      </w:r>
      <w:r>
        <w:rPr>
          <w:rFonts w:cs="Arial"/>
          <w:sz w:val="20"/>
        </w:rPr>
        <w:t>, par. 28.</w:t>
      </w:r>
    </w:p>
  </w:footnote>
  <w:footnote w:id="84">
    <w:p w14:paraId="498070BA" w14:textId="250CAD17" w:rsidR="00CC2A9F" w:rsidRPr="00E3086F" w:rsidRDefault="00CC2A9F" w:rsidP="00CC2A9F">
      <w:pPr>
        <w:pStyle w:val="Notedebasdepage"/>
        <w:tabs>
          <w:tab w:val="left" w:pos="720"/>
        </w:tabs>
        <w:ind w:left="720" w:hanging="720"/>
        <w:jc w:val="both"/>
        <w:rPr>
          <w:rFonts w:cs="Arial"/>
          <w:sz w:val="20"/>
        </w:rPr>
      </w:pPr>
      <w:r>
        <w:rPr>
          <w:rStyle w:val="Appelnotedebasdep"/>
        </w:rPr>
        <w:footnoteRef/>
      </w:r>
      <w:r>
        <w:t xml:space="preserve"> </w:t>
      </w:r>
      <w:r w:rsidRPr="00E3086F">
        <w:rPr>
          <w:rFonts w:cs="Arial"/>
          <w:sz w:val="20"/>
        </w:rPr>
        <w:tab/>
      </w:r>
      <w:r>
        <w:rPr>
          <w:rFonts w:cs="Arial"/>
          <w:sz w:val="20"/>
        </w:rPr>
        <w:t xml:space="preserve">Arrêt </w:t>
      </w:r>
      <w:r w:rsidRPr="000B2A4A">
        <w:rPr>
          <w:rFonts w:cs="Arial"/>
          <w:i/>
          <w:iCs/>
          <w:sz w:val="20"/>
        </w:rPr>
        <w:t>APMO</w:t>
      </w:r>
      <w:r w:rsidRPr="00E3086F">
        <w:rPr>
          <w:rFonts w:cs="Arial"/>
          <w:sz w:val="20"/>
        </w:rPr>
        <w:t xml:space="preserve">, </w:t>
      </w:r>
      <w:r>
        <w:rPr>
          <w:rFonts w:cs="Arial"/>
          <w:sz w:val="20"/>
        </w:rPr>
        <w:t>précité</w:t>
      </w:r>
      <w:r w:rsidR="001E60BF">
        <w:rPr>
          <w:rFonts w:cs="Arial"/>
          <w:sz w:val="20"/>
        </w:rPr>
        <w:t>,</w:t>
      </w:r>
      <w:r>
        <w:rPr>
          <w:rFonts w:cs="Arial"/>
          <w:sz w:val="20"/>
        </w:rPr>
        <w:t xml:space="preserve"> note </w:t>
      </w:r>
      <w:r w:rsidR="00057AAF">
        <w:rPr>
          <w:rFonts w:cs="Arial"/>
          <w:sz w:val="20"/>
        </w:rPr>
        <w:t>60</w:t>
      </w:r>
      <w:r>
        <w:rPr>
          <w:rFonts w:cs="Arial"/>
          <w:sz w:val="20"/>
        </w:rPr>
        <w:t xml:space="preserve">, </w:t>
      </w:r>
      <w:r w:rsidRPr="00E3086F">
        <w:rPr>
          <w:rFonts w:cs="Arial"/>
          <w:sz w:val="20"/>
        </w:rPr>
        <w:t>par. 55</w:t>
      </w:r>
      <w:r w:rsidR="00453DCA">
        <w:rPr>
          <w:rFonts w:cs="Arial"/>
          <w:sz w:val="20"/>
        </w:rPr>
        <w:t>.</w:t>
      </w:r>
    </w:p>
  </w:footnote>
  <w:footnote w:id="85">
    <w:p w14:paraId="7518123B" w14:textId="094ECA01" w:rsidR="005179CA" w:rsidRPr="005179CA" w:rsidRDefault="005179CA" w:rsidP="005179CA">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Précité, note </w:t>
      </w:r>
      <w:r w:rsidR="00057AAF">
        <w:rPr>
          <w:rFonts w:cs="Arial"/>
          <w:sz w:val="20"/>
        </w:rPr>
        <w:t>64</w:t>
      </w:r>
      <w:r>
        <w:rPr>
          <w:rFonts w:cs="Arial"/>
          <w:sz w:val="20"/>
        </w:rPr>
        <w:t>.</w:t>
      </w:r>
    </w:p>
  </w:footnote>
  <w:footnote w:id="86">
    <w:p w14:paraId="0F6EE2FB" w14:textId="2F344208" w:rsidR="005179CA" w:rsidRPr="005179CA" w:rsidRDefault="005179CA" w:rsidP="005179CA">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Par. 75.</w:t>
      </w:r>
    </w:p>
  </w:footnote>
  <w:footnote w:id="87">
    <w:p w14:paraId="5F7173D3" w14:textId="05CA8744" w:rsidR="00CC2A9F" w:rsidRPr="0081025E" w:rsidRDefault="00CC2A9F" w:rsidP="00CC2A9F">
      <w:pPr>
        <w:pStyle w:val="Notedebasdepage"/>
        <w:tabs>
          <w:tab w:val="left" w:pos="720"/>
        </w:tabs>
        <w:ind w:left="720" w:hanging="720"/>
        <w:jc w:val="both"/>
        <w:rPr>
          <w:rFonts w:cs="Arial"/>
          <w:sz w:val="20"/>
        </w:rPr>
      </w:pPr>
      <w:r>
        <w:rPr>
          <w:rStyle w:val="Appelnotedebasdep"/>
        </w:rPr>
        <w:footnoteRef/>
      </w:r>
      <w:r>
        <w:t xml:space="preserve"> </w:t>
      </w:r>
      <w:r w:rsidRPr="0081025E">
        <w:rPr>
          <w:rFonts w:cs="Arial"/>
          <w:sz w:val="20"/>
        </w:rPr>
        <w:tab/>
      </w:r>
      <w:r>
        <w:rPr>
          <w:rFonts w:cs="Arial"/>
          <w:sz w:val="20"/>
        </w:rPr>
        <w:t>Précité, note 6</w:t>
      </w:r>
      <w:r w:rsidR="00057AAF">
        <w:rPr>
          <w:rFonts w:cs="Arial"/>
          <w:sz w:val="20"/>
        </w:rPr>
        <w:t>7</w:t>
      </w:r>
      <w:r>
        <w:rPr>
          <w:rFonts w:cs="Arial"/>
          <w:sz w:val="20"/>
        </w:rPr>
        <w:t>.</w:t>
      </w:r>
    </w:p>
  </w:footnote>
  <w:footnote w:id="88">
    <w:p w14:paraId="1345541F" w14:textId="4D1856EB" w:rsidR="00CC2A9F" w:rsidRPr="00A60378" w:rsidRDefault="00CC2A9F" w:rsidP="00CC2A9F">
      <w:pPr>
        <w:pStyle w:val="Notedebasdepage"/>
        <w:tabs>
          <w:tab w:val="left" w:pos="720"/>
        </w:tabs>
        <w:ind w:left="720" w:hanging="720"/>
        <w:jc w:val="both"/>
        <w:rPr>
          <w:rFonts w:cs="Arial"/>
          <w:sz w:val="20"/>
        </w:rPr>
      </w:pPr>
      <w:r>
        <w:rPr>
          <w:rStyle w:val="Appelnotedebasdep"/>
        </w:rPr>
        <w:footnoteRef/>
      </w:r>
      <w:r w:rsidRPr="00A60378">
        <w:t xml:space="preserve"> </w:t>
      </w:r>
      <w:r w:rsidRPr="00A60378">
        <w:rPr>
          <w:rFonts w:cs="Arial"/>
          <w:sz w:val="20"/>
        </w:rPr>
        <w:tab/>
      </w:r>
      <w:r w:rsidRPr="00F15B41">
        <w:rPr>
          <w:rFonts w:cs="Arial"/>
          <w:sz w:val="20"/>
        </w:rPr>
        <w:t>2021 QCCA 559</w:t>
      </w:r>
      <w:r>
        <w:rPr>
          <w:rFonts w:cs="Arial"/>
          <w:sz w:val="20"/>
        </w:rPr>
        <w:t xml:space="preserve">, </w:t>
      </w:r>
      <w:r w:rsidR="006D3647">
        <w:rPr>
          <w:rFonts w:cs="Arial"/>
          <w:sz w:val="20"/>
        </w:rPr>
        <w:t>l’arrêt</w:t>
      </w:r>
      <w:r>
        <w:rPr>
          <w:rFonts w:cs="Arial"/>
          <w:sz w:val="20"/>
        </w:rPr>
        <w:t xml:space="preserve"> </w:t>
      </w:r>
      <w:r w:rsidRPr="00170BF4">
        <w:rPr>
          <w:rFonts w:cs="Arial"/>
          <w:i/>
          <w:iCs/>
          <w:sz w:val="20"/>
        </w:rPr>
        <w:t>LANEQ</w:t>
      </w:r>
      <w:r>
        <w:rPr>
          <w:rFonts w:cs="Arial"/>
          <w:sz w:val="20"/>
        </w:rPr>
        <w:t>.</w:t>
      </w:r>
    </w:p>
  </w:footnote>
  <w:footnote w:id="89">
    <w:p w14:paraId="76917D60" w14:textId="697EEC3C" w:rsidR="00E50A17" w:rsidRPr="000A0134" w:rsidRDefault="00E50A17" w:rsidP="00E50A1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2B3161">
        <w:rPr>
          <w:rFonts w:cs="Arial"/>
          <w:sz w:val="20"/>
        </w:rPr>
        <w:t xml:space="preserve">Arrêt </w:t>
      </w:r>
      <w:r w:rsidR="002B3161" w:rsidRPr="002B3161">
        <w:rPr>
          <w:rFonts w:cs="Arial"/>
          <w:i/>
          <w:iCs/>
          <w:sz w:val="20"/>
        </w:rPr>
        <w:t>Dunmore</w:t>
      </w:r>
      <w:r w:rsidR="002B3161">
        <w:rPr>
          <w:rFonts w:cs="Arial"/>
          <w:sz w:val="20"/>
        </w:rPr>
        <w:t>, précité</w:t>
      </w:r>
      <w:r w:rsidR="001E60BF">
        <w:rPr>
          <w:rFonts w:cs="Arial"/>
          <w:sz w:val="20"/>
        </w:rPr>
        <w:t>,</w:t>
      </w:r>
      <w:r w:rsidR="002B3161">
        <w:rPr>
          <w:rFonts w:cs="Arial"/>
          <w:sz w:val="20"/>
        </w:rPr>
        <w:t xml:space="preserve"> note </w:t>
      </w:r>
      <w:r w:rsidR="00077276">
        <w:rPr>
          <w:rFonts w:cs="Arial"/>
          <w:sz w:val="20"/>
        </w:rPr>
        <w:t>6</w:t>
      </w:r>
      <w:r w:rsidR="00057AAF">
        <w:rPr>
          <w:rFonts w:cs="Arial"/>
          <w:sz w:val="20"/>
        </w:rPr>
        <w:t>2</w:t>
      </w:r>
      <w:r w:rsidR="001E60BF">
        <w:rPr>
          <w:rFonts w:cs="Arial"/>
          <w:sz w:val="20"/>
        </w:rPr>
        <w:t>,</w:t>
      </w:r>
      <w:r w:rsidR="002B3161">
        <w:rPr>
          <w:rFonts w:cs="Arial"/>
          <w:sz w:val="20"/>
        </w:rPr>
        <w:t xml:space="preserve"> et</w:t>
      </w:r>
      <w:r>
        <w:rPr>
          <w:rFonts w:cs="Arial"/>
          <w:sz w:val="20"/>
        </w:rPr>
        <w:t xml:space="preserve"> repris dans l’arrêt </w:t>
      </w:r>
      <w:r w:rsidRPr="000A0134">
        <w:rPr>
          <w:i/>
          <w:iCs/>
          <w:sz w:val="20"/>
          <w:lang w:eastAsia="fr-FR"/>
        </w:rPr>
        <w:t xml:space="preserve">Société des casinos du Québec </w:t>
      </w:r>
      <w:r w:rsidRPr="000A0134">
        <w:rPr>
          <w:sz w:val="20"/>
          <w:lang w:eastAsia="fr-FR"/>
        </w:rPr>
        <w:t>c.</w:t>
      </w:r>
      <w:r w:rsidRPr="000A0134">
        <w:rPr>
          <w:i/>
          <w:iCs/>
          <w:sz w:val="20"/>
          <w:lang w:eastAsia="fr-FR"/>
        </w:rPr>
        <w:t xml:space="preserve"> Association des cadres de la Société des casinos du Québec</w:t>
      </w:r>
      <w:r>
        <w:rPr>
          <w:i/>
          <w:iCs/>
          <w:sz w:val="20"/>
          <w:lang w:eastAsia="fr-FR"/>
        </w:rPr>
        <w:t xml:space="preserve">, </w:t>
      </w:r>
      <w:r>
        <w:rPr>
          <w:rFonts w:cs="Arial"/>
          <w:sz w:val="20"/>
        </w:rPr>
        <w:t>2024 CSC 13.</w:t>
      </w:r>
    </w:p>
  </w:footnote>
  <w:footnote w:id="90">
    <w:p w14:paraId="05056C76" w14:textId="290BDAE3" w:rsidR="003F380D" w:rsidRPr="003F380D" w:rsidRDefault="003F380D" w:rsidP="00E94652">
      <w:pPr>
        <w:pStyle w:val="Notedebasdepage"/>
        <w:tabs>
          <w:tab w:val="left" w:pos="720"/>
        </w:tabs>
        <w:ind w:left="720" w:hanging="720"/>
        <w:jc w:val="both"/>
        <w:rPr>
          <w:rFonts w:cs="Arial"/>
          <w:sz w:val="20"/>
        </w:rPr>
      </w:pPr>
      <w:r>
        <w:rPr>
          <w:rStyle w:val="Appelnotedebasdep"/>
        </w:rPr>
        <w:footnoteRef/>
      </w:r>
      <w:r w:rsidRPr="003F380D">
        <w:t xml:space="preserve"> </w:t>
      </w:r>
      <w:r w:rsidRPr="003F380D">
        <w:rPr>
          <w:rFonts w:cs="Arial"/>
          <w:sz w:val="20"/>
        </w:rPr>
        <w:tab/>
        <w:t>Cet argument est développé en regard de la justification en vertu de l’article premier de la Charte</w:t>
      </w:r>
      <w:r w:rsidR="00761077">
        <w:rPr>
          <w:rFonts w:cs="Arial"/>
          <w:sz w:val="20"/>
        </w:rPr>
        <w:t xml:space="preserve"> canadienne</w:t>
      </w:r>
      <w:r w:rsidRPr="003F380D">
        <w:rPr>
          <w:rFonts w:cs="Arial"/>
          <w:sz w:val="20"/>
        </w:rPr>
        <w:t>, mais l’objet du régime législatif étant le même, il convient donc de l’aborder ici</w:t>
      </w:r>
      <w:r>
        <w:rPr>
          <w:rFonts w:cs="Arial"/>
          <w:sz w:val="20"/>
        </w:rPr>
        <w:t xml:space="preserve"> (</w:t>
      </w:r>
      <w:r w:rsidRPr="003F380D">
        <w:rPr>
          <w:rFonts w:cs="Arial"/>
          <w:i/>
          <w:iCs/>
          <w:sz w:val="20"/>
        </w:rPr>
        <w:t>R</w:t>
      </w:r>
      <w:r w:rsidRPr="003F380D">
        <w:rPr>
          <w:rFonts w:cs="Arial"/>
          <w:sz w:val="20"/>
        </w:rPr>
        <w:t xml:space="preserve">. c. </w:t>
      </w:r>
      <w:r w:rsidRPr="003F380D">
        <w:rPr>
          <w:rFonts w:cs="Arial"/>
          <w:i/>
          <w:iCs/>
          <w:sz w:val="20"/>
        </w:rPr>
        <w:t>Big M Drug Mart</w:t>
      </w:r>
      <w:r w:rsidRPr="003F380D">
        <w:rPr>
          <w:rFonts w:cs="Arial"/>
          <w:sz w:val="20"/>
        </w:rPr>
        <w:t>, [1985] 1 RCS 295, voir pp. 331-334</w:t>
      </w:r>
      <w:r w:rsidR="00400995">
        <w:rPr>
          <w:rFonts w:cs="Arial"/>
          <w:sz w:val="20"/>
        </w:rPr>
        <w:t xml:space="preserve">; </w:t>
      </w:r>
      <w:r w:rsidR="00AE4EFF">
        <w:rPr>
          <w:rFonts w:cs="Arial"/>
          <w:sz w:val="20"/>
        </w:rPr>
        <w:t xml:space="preserve">arrêt </w:t>
      </w:r>
      <w:r w:rsidR="00AE4EFF" w:rsidRPr="001074A7">
        <w:rPr>
          <w:rFonts w:cs="Arial"/>
          <w:i/>
          <w:iCs/>
          <w:sz w:val="20"/>
        </w:rPr>
        <w:t>Dunmore</w:t>
      </w:r>
      <w:r w:rsidR="00AE4EFF">
        <w:rPr>
          <w:rFonts w:cs="Arial"/>
          <w:sz w:val="20"/>
        </w:rPr>
        <w:t>, précité</w:t>
      </w:r>
      <w:r w:rsidR="00C7761C">
        <w:rPr>
          <w:rFonts w:cs="Arial"/>
          <w:sz w:val="20"/>
        </w:rPr>
        <w:t>,</w:t>
      </w:r>
      <w:r w:rsidR="00AE4EFF">
        <w:rPr>
          <w:rFonts w:cs="Arial"/>
          <w:sz w:val="20"/>
        </w:rPr>
        <w:t xml:space="preserve"> note </w:t>
      </w:r>
      <w:r w:rsidR="00572BA9">
        <w:rPr>
          <w:rFonts w:cs="Arial"/>
          <w:sz w:val="20"/>
        </w:rPr>
        <w:t>6</w:t>
      </w:r>
      <w:r w:rsidR="00057AAF">
        <w:rPr>
          <w:rFonts w:cs="Arial"/>
          <w:sz w:val="20"/>
        </w:rPr>
        <w:t>2</w:t>
      </w:r>
      <w:r w:rsidR="00AE4EFF">
        <w:rPr>
          <w:rFonts w:cs="Arial"/>
          <w:sz w:val="20"/>
        </w:rPr>
        <w:t xml:space="preserve">, par. </w:t>
      </w:r>
      <w:r w:rsidR="001074A7">
        <w:rPr>
          <w:rFonts w:cs="Arial"/>
          <w:sz w:val="20"/>
        </w:rPr>
        <w:t>13</w:t>
      </w:r>
      <w:r>
        <w:rPr>
          <w:rFonts w:cs="Arial"/>
          <w:sz w:val="20"/>
        </w:rPr>
        <w:t>)</w:t>
      </w:r>
      <w:r w:rsidR="00FE07E9">
        <w:rPr>
          <w:rFonts w:cs="Arial"/>
          <w:sz w:val="20"/>
        </w:rPr>
        <w:t>.</w:t>
      </w:r>
    </w:p>
  </w:footnote>
  <w:footnote w:id="91">
    <w:p w14:paraId="0D29E6E6" w14:textId="237D2931" w:rsidR="00572BA9" w:rsidRPr="004F10D1" w:rsidRDefault="00572BA9" w:rsidP="007E2BD8">
      <w:pPr>
        <w:pStyle w:val="Notedebasdepage"/>
        <w:tabs>
          <w:tab w:val="left" w:pos="720"/>
        </w:tabs>
        <w:ind w:left="720" w:hanging="720"/>
        <w:jc w:val="both"/>
        <w:rPr>
          <w:rFonts w:cs="Arial"/>
          <w:sz w:val="20"/>
        </w:rPr>
      </w:pPr>
      <w:r>
        <w:rPr>
          <w:rStyle w:val="Appelnotedebasdep"/>
        </w:rPr>
        <w:footnoteRef/>
      </w:r>
      <w:r>
        <w:t xml:space="preserve"> </w:t>
      </w:r>
      <w:r w:rsidRPr="007E2BD8">
        <w:rPr>
          <w:rFonts w:cs="Arial"/>
          <w:sz w:val="20"/>
        </w:rPr>
        <w:tab/>
      </w:r>
      <w:r>
        <w:rPr>
          <w:rFonts w:cs="Arial"/>
          <w:sz w:val="20"/>
        </w:rPr>
        <w:t>RLRQ, c. L-0.3.</w:t>
      </w:r>
    </w:p>
  </w:footnote>
  <w:footnote w:id="92">
    <w:p w14:paraId="1D19630B" w14:textId="0E98F604" w:rsidR="00572BA9" w:rsidRPr="004F10D1" w:rsidRDefault="00572BA9" w:rsidP="007E2BD8">
      <w:pPr>
        <w:pStyle w:val="Notedebasdepage"/>
        <w:tabs>
          <w:tab w:val="left" w:pos="720"/>
        </w:tabs>
        <w:ind w:left="720" w:hanging="720"/>
        <w:jc w:val="both"/>
        <w:rPr>
          <w:rFonts w:cs="Arial"/>
          <w:sz w:val="20"/>
        </w:rPr>
      </w:pPr>
      <w:r>
        <w:rPr>
          <w:rStyle w:val="Appelnotedebasdep"/>
        </w:rPr>
        <w:footnoteRef/>
      </w:r>
      <w:r>
        <w:t xml:space="preserve"> </w:t>
      </w:r>
      <w:r w:rsidRPr="004F10D1">
        <w:rPr>
          <w:rFonts w:cs="Arial"/>
          <w:sz w:val="20"/>
        </w:rPr>
        <w:tab/>
      </w:r>
      <w:r>
        <w:rPr>
          <w:rFonts w:cs="Arial"/>
          <w:sz w:val="20"/>
        </w:rPr>
        <w:t>L.Q. 2026, c. 4.</w:t>
      </w:r>
    </w:p>
  </w:footnote>
  <w:footnote w:id="93">
    <w:p w14:paraId="223F0525" w14:textId="32F40687" w:rsidR="00572BA9" w:rsidRPr="004F10D1" w:rsidRDefault="00572BA9" w:rsidP="007E2BD8">
      <w:pPr>
        <w:pStyle w:val="Notedebasdepage"/>
        <w:tabs>
          <w:tab w:val="left" w:pos="720"/>
        </w:tabs>
        <w:ind w:left="720" w:hanging="720"/>
        <w:jc w:val="both"/>
        <w:rPr>
          <w:sz w:val="20"/>
        </w:rPr>
      </w:pPr>
      <w:r>
        <w:rPr>
          <w:rStyle w:val="Appelnotedebasdep"/>
        </w:rPr>
        <w:footnoteRef/>
      </w:r>
      <w:r>
        <w:t xml:space="preserve"> </w:t>
      </w:r>
      <w:r w:rsidRPr="004F10D1">
        <w:rPr>
          <w:rFonts w:cs="Arial"/>
          <w:sz w:val="20"/>
        </w:rPr>
        <w:tab/>
      </w:r>
      <w:r w:rsidRPr="00572BA9">
        <w:rPr>
          <w:sz w:val="20"/>
        </w:rPr>
        <w:t xml:space="preserve">Projet de loi n° 1, </w:t>
      </w:r>
      <w:r w:rsidRPr="004F10D1">
        <w:rPr>
          <w:i/>
          <w:iCs/>
          <w:sz w:val="20"/>
        </w:rPr>
        <w:t>Loi constitutionnelle de 2025 sur le Québec</w:t>
      </w:r>
      <w:r>
        <w:rPr>
          <w:i/>
          <w:iCs/>
          <w:sz w:val="20"/>
        </w:rPr>
        <w:t>.</w:t>
      </w:r>
    </w:p>
  </w:footnote>
  <w:footnote w:id="94">
    <w:p w14:paraId="12BE3A64" w14:textId="1BD8C7A8" w:rsidR="00B34AAF" w:rsidRPr="004E1A4B" w:rsidRDefault="00B34AAF" w:rsidP="00B34AAF">
      <w:pPr>
        <w:pStyle w:val="Notedebasdepage"/>
        <w:tabs>
          <w:tab w:val="left" w:pos="720"/>
        </w:tabs>
        <w:ind w:left="720" w:hanging="720"/>
        <w:jc w:val="both"/>
        <w:rPr>
          <w:rFonts w:cs="Arial"/>
          <w:sz w:val="20"/>
        </w:rPr>
      </w:pPr>
      <w:r>
        <w:rPr>
          <w:rStyle w:val="Appelnotedebasdep"/>
        </w:rPr>
        <w:footnoteRef/>
      </w:r>
      <w:r>
        <w:t xml:space="preserve"> </w:t>
      </w:r>
      <w:r w:rsidRPr="004E1A4B">
        <w:rPr>
          <w:rFonts w:cs="Arial"/>
          <w:sz w:val="20"/>
        </w:rPr>
        <w:tab/>
        <w:t xml:space="preserve">Arrêt </w:t>
      </w:r>
      <w:r w:rsidRPr="004E1A4B">
        <w:rPr>
          <w:rFonts w:cs="Arial"/>
          <w:i/>
          <w:iCs/>
          <w:sz w:val="20"/>
        </w:rPr>
        <w:t>Dunmore</w:t>
      </w:r>
      <w:r w:rsidRPr="004E1A4B">
        <w:rPr>
          <w:rFonts w:cs="Arial"/>
          <w:sz w:val="20"/>
        </w:rPr>
        <w:t>, p</w:t>
      </w:r>
      <w:r>
        <w:rPr>
          <w:rFonts w:cs="Arial"/>
          <w:sz w:val="20"/>
        </w:rPr>
        <w:t xml:space="preserve">récité, note </w:t>
      </w:r>
      <w:r w:rsidR="008769E0">
        <w:rPr>
          <w:rFonts w:cs="Arial"/>
          <w:sz w:val="20"/>
        </w:rPr>
        <w:t>6</w:t>
      </w:r>
      <w:r w:rsidR="00057AAF">
        <w:rPr>
          <w:rFonts w:cs="Arial"/>
          <w:sz w:val="20"/>
        </w:rPr>
        <w:t>2</w:t>
      </w:r>
      <w:r>
        <w:rPr>
          <w:rFonts w:cs="Arial"/>
          <w:sz w:val="20"/>
        </w:rPr>
        <w:t>.</w:t>
      </w:r>
    </w:p>
  </w:footnote>
  <w:footnote w:id="95">
    <w:p w14:paraId="567E2410" w14:textId="7C1EBF68" w:rsidR="00125F4C" w:rsidRPr="003061E9" w:rsidRDefault="00125F4C" w:rsidP="00125F4C">
      <w:pPr>
        <w:pStyle w:val="Notedebasdepage"/>
        <w:tabs>
          <w:tab w:val="left" w:pos="720"/>
        </w:tabs>
        <w:ind w:left="720" w:hanging="720"/>
        <w:jc w:val="both"/>
        <w:rPr>
          <w:rFonts w:cs="Arial"/>
          <w:sz w:val="20"/>
        </w:rPr>
      </w:pPr>
      <w:r>
        <w:rPr>
          <w:rStyle w:val="Appelnotedebasdep"/>
        </w:rPr>
        <w:footnoteRef/>
      </w:r>
      <w:r>
        <w:t xml:space="preserve"> </w:t>
      </w:r>
      <w:r w:rsidRPr="003061E9">
        <w:rPr>
          <w:rFonts w:cs="Arial"/>
          <w:sz w:val="20"/>
        </w:rPr>
        <w:tab/>
      </w:r>
      <w:r w:rsidR="00F15B41" w:rsidRPr="00F15B41">
        <w:rPr>
          <w:sz w:val="20"/>
          <w:lang w:eastAsia="fr-FR"/>
        </w:rPr>
        <w:t>2019 QCCS 3897, par. 136</w:t>
      </w:r>
      <w:r w:rsidR="00845F56">
        <w:rPr>
          <w:sz w:val="20"/>
          <w:lang w:eastAsia="fr-FR"/>
        </w:rPr>
        <w:t>,</w:t>
      </w:r>
      <w:r w:rsidR="00F15B41" w:rsidRPr="00F15B41">
        <w:rPr>
          <w:sz w:val="20"/>
          <w:lang w:eastAsia="fr-FR"/>
        </w:rPr>
        <w:t xml:space="preserve"> confirmé par</w:t>
      </w:r>
      <w:r w:rsidR="00F15B41">
        <w:rPr>
          <w:sz w:val="20"/>
          <w:lang w:eastAsia="fr-FR"/>
        </w:rPr>
        <w:t xml:space="preserve"> l’arrêt de la Cour d’appel, précité, note 8</w:t>
      </w:r>
      <w:r w:rsidR="00057AAF">
        <w:rPr>
          <w:sz w:val="20"/>
          <w:lang w:eastAsia="fr-FR"/>
        </w:rPr>
        <w:t>8</w:t>
      </w:r>
      <w:r w:rsidR="00610009">
        <w:rPr>
          <w:sz w:val="20"/>
          <w:lang w:eastAsia="fr-FR"/>
        </w:rPr>
        <w:t>.</w:t>
      </w:r>
    </w:p>
  </w:footnote>
  <w:footnote w:id="96">
    <w:p w14:paraId="770E2A8D" w14:textId="7E0D48AD" w:rsidR="00BA73AB" w:rsidRPr="00BA73AB" w:rsidRDefault="00BA73AB" w:rsidP="00BA73AB">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 10.</w:t>
      </w:r>
    </w:p>
  </w:footnote>
  <w:footnote w:id="97">
    <w:p w14:paraId="27B2698E" w14:textId="77777777" w:rsidR="002F0F90" w:rsidRPr="00C55361" w:rsidRDefault="002F0F90" w:rsidP="002F0F9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 5.</w:t>
      </w:r>
    </w:p>
  </w:footnote>
  <w:footnote w:id="98">
    <w:p w14:paraId="02882B61" w14:textId="77777777" w:rsidR="002F0F90" w:rsidRPr="00C55361" w:rsidRDefault="002F0F90" w:rsidP="002F0F9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 7</w:t>
      </w:r>
      <w:r w:rsidRPr="00443F51">
        <w:rPr>
          <w:rFonts w:cs="Arial"/>
          <w:sz w:val="20"/>
        </w:rPr>
        <w:t>.</w:t>
      </w:r>
    </w:p>
  </w:footnote>
  <w:footnote w:id="99">
    <w:p w14:paraId="3CF4E3F5" w14:textId="77777777" w:rsidR="002F0F90" w:rsidRPr="00C04531" w:rsidRDefault="002F0F90" w:rsidP="002F0F9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Un organe du Secrétariat du Conseil du trésor.</w:t>
      </w:r>
    </w:p>
  </w:footnote>
  <w:footnote w:id="100">
    <w:p w14:paraId="2A9D588B" w14:textId="77777777" w:rsidR="002858E6" w:rsidRPr="004574CC" w:rsidRDefault="002858E6" w:rsidP="002858E6">
      <w:pPr>
        <w:pStyle w:val="Notedebasdepage"/>
        <w:tabs>
          <w:tab w:val="left" w:pos="720"/>
        </w:tabs>
        <w:ind w:left="720" w:hanging="720"/>
        <w:jc w:val="both"/>
        <w:rPr>
          <w:rFonts w:cs="Arial"/>
          <w:sz w:val="20"/>
        </w:rPr>
      </w:pPr>
      <w:r>
        <w:rPr>
          <w:rStyle w:val="Appelnotedebasdep"/>
        </w:rPr>
        <w:footnoteRef/>
      </w:r>
      <w:r>
        <w:t xml:space="preserve"> </w:t>
      </w:r>
      <w:r w:rsidRPr="004574CC">
        <w:rPr>
          <w:rFonts w:cs="Arial"/>
          <w:sz w:val="20"/>
        </w:rPr>
        <w:tab/>
      </w:r>
      <w:r>
        <w:rPr>
          <w:rFonts w:cs="Arial"/>
          <w:sz w:val="20"/>
        </w:rPr>
        <w:t>Argumentation du PGQ, par. 130.</w:t>
      </w:r>
    </w:p>
  </w:footnote>
  <w:footnote w:id="101">
    <w:p w14:paraId="715A8AE9" w14:textId="22360581" w:rsidR="002858E6" w:rsidRPr="00C36F6F" w:rsidRDefault="002858E6" w:rsidP="002858E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350DEB" w:rsidRPr="00350DEB">
        <w:rPr>
          <w:rFonts w:cs="Arial"/>
          <w:i/>
          <w:iCs/>
          <w:sz w:val="20"/>
        </w:rPr>
        <w:t>Id</w:t>
      </w:r>
      <w:r w:rsidR="00350DEB">
        <w:rPr>
          <w:rFonts w:cs="Arial"/>
          <w:sz w:val="20"/>
        </w:rPr>
        <w:t>.</w:t>
      </w:r>
      <w:r w:rsidR="00057AAF">
        <w:rPr>
          <w:rFonts w:cs="Arial"/>
          <w:sz w:val="20"/>
        </w:rPr>
        <w:t xml:space="preserve">, par. 114 </w:t>
      </w:r>
      <w:r w:rsidR="00BA6203">
        <w:rPr>
          <w:rFonts w:cs="Arial"/>
          <w:sz w:val="20"/>
        </w:rPr>
        <w:t>à</w:t>
      </w:r>
      <w:r w:rsidR="00057AAF">
        <w:rPr>
          <w:rFonts w:cs="Arial"/>
          <w:sz w:val="20"/>
        </w:rPr>
        <w:t xml:space="preserve"> 134</w:t>
      </w:r>
      <w:r>
        <w:rPr>
          <w:rFonts w:cs="Arial"/>
          <w:sz w:val="20"/>
        </w:rPr>
        <w:t>.</w:t>
      </w:r>
    </w:p>
  </w:footnote>
  <w:footnote w:id="102">
    <w:p w14:paraId="06A1D113" w14:textId="58449546" w:rsidR="00391C67" w:rsidRPr="00391C67" w:rsidRDefault="00391C67" w:rsidP="00391C6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057AAF">
        <w:rPr>
          <w:rFonts w:cs="Arial"/>
          <w:sz w:val="20"/>
        </w:rPr>
        <w:t xml:space="preserve">Arrêt </w:t>
      </w:r>
      <w:r w:rsidRPr="00CF05CE">
        <w:rPr>
          <w:rFonts w:cs="Arial"/>
          <w:i/>
          <w:iCs/>
          <w:sz w:val="20"/>
        </w:rPr>
        <w:t>APMO</w:t>
      </w:r>
      <w:r w:rsidR="00057AAF">
        <w:rPr>
          <w:rFonts w:cs="Arial"/>
          <w:sz w:val="20"/>
        </w:rPr>
        <w:t>, précité, note 60, cité</w:t>
      </w:r>
      <w:r>
        <w:rPr>
          <w:rFonts w:cs="Arial"/>
          <w:sz w:val="20"/>
        </w:rPr>
        <w:t xml:space="preserve"> au par. </w:t>
      </w:r>
      <w:r w:rsidR="00BA6203" w:rsidRPr="000643DD">
        <w:rPr>
          <w:rFonts w:cs="Arial"/>
          <w:sz w:val="20"/>
        </w:rPr>
        <w:t>12</w:t>
      </w:r>
      <w:r w:rsidR="00C7761C">
        <w:rPr>
          <w:rFonts w:cs="Arial"/>
          <w:sz w:val="20"/>
        </w:rPr>
        <w:t>7</w:t>
      </w:r>
      <w:r>
        <w:rPr>
          <w:rFonts w:cs="Arial"/>
          <w:sz w:val="20"/>
        </w:rPr>
        <w:t xml:space="preserve"> de la présente décision.</w:t>
      </w:r>
    </w:p>
  </w:footnote>
  <w:footnote w:id="103">
    <w:p w14:paraId="2A018E9D" w14:textId="02234186" w:rsidR="00CE082E" w:rsidRPr="00024ACF" w:rsidRDefault="00CE082E" w:rsidP="00CE082E">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Voir par. </w:t>
      </w:r>
      <w:r w:rsidR="00057AAF" w:rsidRPr="00D929BD">
        <w:rPr>
          <w:rFonts w:cs="Arial"/>
          <w:sz w:val="20"/>
        </w:rPr>
        <w:t>5</w:t>
      </w:r>
      <w:r w:rsidR="00BA6203" w:rsidRPr="00D929BD">
        <w:rPr>
          <w:rFonts w:cs="Arial"/>
          <w:sz w:val="20"/>
        </w:rPr>
        <w:t>5</w:t>
      </w:r>
      <w:r w:rsidRPr="00D929BD">
        <w:rPr>
          <w:rFonts w:cs="Arial"/>
          <w:sz w:val="20"/>
        </w:rPr>
        <w:t xml:space="preserve"> de la présente décision</w:t>
      </w:r>
      <w:r>
        <w:rPr>
          <w:rFonts w:cs="Arial"/>
          <w:sz w:val="20"/>
        </w:rPr>
        <w:t>.</w:t>
      </w:r>
    </w:p>
  </w:footnote>
  <w:footnote w:id="104">
    <w:p w14:paraId="18C8E040" w14:textId="77777777" w:rsidR="00CE082E" w:rsidRPr="00DF27D3" w:rsidRDefault="00CE082E" w:rsidP="00CE082E">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597183">
        <w:rPr>
          <w:rFonts w:cs="Arial"/>
          <w:sz w:val="20"/>
        </w:rPr>
        <w:t xml:space="preserve">Cette proposition n’est pas sans rappeler ce que les parties ont finalement convenu dans le </w:t>
      </w:r>
      <w:r w:rsidRPr="00825248">
        <w:rPr>
          <w:rFonts w:cs="Arial"/>
          <w:sz w:val="20"/>
        </w:rPr>
        <w:t>règlement de la convention collective</w:t>
      </w:r>
      <w:r>
        <w:rPr>
          <w:rFonts w:cs="Arial"/>
          <w:sz w:val="20"/>
        </w:rPr>
        <w:t>.</w:t>
      </w:r>
    </w:p>
  </w:footnote>
  <w:footnote w:id="105">
    <w:p w14:paraId="2DB66B99" w14:textId="24C07688" w:rsidR="008E2C70" w:rsidRPr="008E2C70" w:rsidRDefault="008E2C70" w:rsidP="008E2C7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825248">
        <w:rPr>
          <w:rFonts w:cs="Arial"/>
          <w:sz w:val="20"/>
        </w:rPr>
        <w:t>Déclaration sous serment de Natal</w:t>
      </w:r>
      <w:r w:rsidR="000A1C35" w:rsidRPr="00825248">
        <w:rPr>
          <w:rFonts w:cs="Arial"/>
          <w:sz w:val="20"/>
        </w:rPr>
        <w:t>ie</w:t>
      </w:r>
      <w:r w:rsidRPr="00825248">
        <w:rPr>
          <w:rFonts w:cs="Arial"/>
          <w:sz w:val="20"/>
        </w:rPr>
        <w:t xml:space="preserve"> Duperré</w:t>
      </w:r>
      <w:r>
        <w:rPr>
          <w:rFonts w:cs="Arial"/>
          <w:sz w:val="20"/>
        </w:rPr>
        <w:t>.</w:t>
      </w:r>
    </w:p>
  </w:footnote>
  <w:footnote w:id="106">
    <w:p w14:paraId="3DEF9194" w14:textId="77777777" w:rsidR="005B491C" w:rsidRPr="00BF4F1A" w:rsidRDefault="005B491C" w:rsidP="005B491C">
      <w:pPr>
        <w:pStyle w:val="Notedebasdepage"/>
        <w:tabs>
          <w:tab w:val="left" w:pos="720"/>
        </w:tabs>
        <w:ind w:left="720" w:hanging="720"/>
        <w:jc w:val="both"/>
        <w:rPr>
          <w:rFonts w:cs="Arial"/>
          <w:sz w:val="20"/>
        </w:rPr>
      </w:pPr>
      <w:r>
        <w:rPr>
          <w:rStyle w:val="Appelnotedebasdep"/>
        </w:rPr>
        <w:footnoteRef/>
      </w:r>
      <w:r>
        <w:t xml:space="preserve"> </w:t>
      </w:r>
      <w:r w:rsidRPr="00BF4F1A">
        <w:rPr>
          <w:rFonts w:cs="Arial"/>
          <w:sz w:val="20"/>
        </w:rPr>
        <w:tab/>
      </w:r>
      <w:r>
        <w:rPr>
          <w:rFonts w:cs="Arial"/>
          <w:sz w:val="20"/>
        </w:rPr>
        <w:t>Précitée, note 4, par 42.</w:t>
      </w:r>
    </w:p>
  </w:footnote>
  <w:footnote w:id="107">
    <w:p w14:paraId="2AB0A03A" w14:textId="5D6960CB" w:rsidR="005B491C" w:rsidRPr="00EA502F" w:rsidRDefault="005B491C" w:rsidP="00EA502F">
      <w:pPr>
        <w:pStyle w:val="Notedebasdepage"/>
        <w:tabs>
          <w:tab w:val="left" w:pos="720"/>
        </w:tabs>
        <w:ind w:left="720" w:hanging="720"/>
        <w:jc w:val="both"/>
        <w:rPr>
          <w:sz w:val="20"/>
        </w:rPr>
      </w:pPr>
      <w:r>
        <w:rPr>
          <w:rStyle w:val="Appelnotedebasdep"/>
        </w:rPr>
        <w:footnoteRef/>
      </w:r>
      <w:r>
        <w:t xml:space="preserve"> </w:t>
      </w:r>
      <w:r>
        <w:rPr>
          <w:rFonts w:cs="Arial"/>
          <w:sz w:val="20"/>
        </w:rPr>
        <w:tab/>
      </w:r>
      <w:r w:rsidRPr="006E6F3D">
        <w:rPr>
          <w:rFonts w:cs="Arial"/>
          <w:sz w:val="20"/>
        </w:rPr>
        <w:t>QUÉBEC, ASSE</w:t>
      </w:r>
      <w:r w:rsidRPr="00607A7D">
        <w:rPr>
          <w:rFonts w:cs="Arial"/>
          <w:sz w:val="20"/>
        </w:rPr>
        <w:t xml:space="preserve">MBLÉE NATIONALE, </w:t>
      </w:r>
      <w:r w:rsidRPr="00607A7D">
        <w:rPr>
          <w:rFonts w:cs="Arial"/>
          <w:i/>
          <w:iCs/>
          <w:sz w:val="20"/>
        </w:rPr>
        <w:t>Journal des débats de la Commission de l’économie et du travail</w:t>
      </w:r>
      <w:r w:rsidRPr="00607A7D">
        <w:rPr>
          <w:rFonts w:cs="Arial"/>
          <w:sz w:val="20"/>
        </w:rPr>
        <w:t>, 1</w:t>
      </w:r>
      <w:r w:rsidR="00542818">
        <w:rPr>
          <w:rFonts w:cs="Arial"/>
          <w:sz w:val="20"/>
          <w:vertAlign w:val="superscript"/>
        </w:rPr>
        <w:t>re</w:t>
      </w:r>
      <w:r w:rsidRPr="00607A7D">
        <w:rPr>
          <w:rFonts w:cs="Arial"/>
          <w:sz w:val="20"/>
        </w:rPr>
        <w:t xml:space="preserve"> session, 43</w:t>
      </w:r>
      <w:r w:rsidRPr="00607A7D">
        <w:rPr>
          <w:rFonts w:cs="Arial"/>
          <w:sz w:val="20"/>
          <w:vertAlign w:val="superscript"/>
        </w:rPr>
        <w:t>e</w:t>
      </w:r>
      <w:r w:rsidRPr="00607A7D">
        <w:rPr>
          <w:rFonts w:cs="Arial"/>
          <w:sz w:val="20"/>
        </w:rPr>
        <w:t xml:space="preserve"> législature, vol. 47, n° 107, 20 mai 2025, vers 11</w:t>
      </w:r>
      <w:r w:rsidR="00D56F37">
        <w:rPr>
          <w:rFonts w:cs="Arial"/>
          <w:sz w:val="20"/>
        </w:rPr>
        <w:t> </w:t>
      </w:r>
      <w:r w:rsidRPr="00607A7D">
        <w:rPr>
          <w:rFonts w:cs="Arial"/>
          <w:sz w:val="20"/>
        </w:rPr>
        <w:t>h</w:t>
      </w:r>
      <w:r w:rsidR="00D56F37">
        <w:rPr>
          <w:rFonts w:cs="Arial"/>
          <w:sz w:val="20"/>
        </w:rPr>
        <w:t> </w:t>
      </w:r>
      <w:r w:rsidRPr="00607A7D">
        <w:rPr>
          <w:rFonts w:cs="Arial"/>
          <w:sz w:val="20"/>
        </w:rPr>
        <w:t>30 « Étude détaillée du projet de loi n</w:t>
      </w:r>
      <w:r w:rsidR="006E6ABF" w:rsidRPr="00607A7D">
        <w:rPr>
          <w:rFonts w:cs="Arial"/>
          <w:sz w:val="20"/>
        </w:rPr>
        <w:t>°</w:t>
      </w:r>
      <w:r w:rsidRPr="00607A7D">
        <w:rPr>
          <w:rFonts w:cs="Arial"/>
          <w:sz w:val="20"/>
        </w:rPr>
        <w:t xml:space="preserve">89, </w:t>
      </w:r>
      <w:r w:rsidRPr="00C12BC0">
        <w:rPr>
          <w:rFonts w:cs="Arial"/>
          <w:iCs/>
          <w:sz w:val="20"/>
        </w:rPr>
        <w:t>Loi visant à considérer davantage les besoins de la population en cas de grève ou de lock</w:t>
      </w:r>
      <w:r w:rsidRPr="00C12BC0">
        <w:rPr>
          <w:rFonts w:cs="Arial"/>
          <w:iCs/>
          <w:sz w:val="20"/>
        </w:rPr>
        <w:noBreakHyphen/>
        <w:t>out</w:t>
      </w:r>
      <w:r w:rsidRPr="006E6F3D">
        <w:rPr>
          <w:rFonts w:cs="Arial"/>
          <w:i/>
          <w:sz w:val="20"/>
        </w:rPr>
        <w:t> </w:t>
      </w:r>
      <w:r w:rsidRPr="006E6F3D">
        <w:rPr>
          <w:rFonts w:cs="Arial"/>
          <w:iCs/>
          <w:sz w:val="20"/>
        </w:rPr>
        <w:t>».</w:t>
      </w:r>
    </w:p>
  </w:footnote>
  <w:footnote w:id="108">
    <w:p w14:paraId="54FF9328" w14:textId="50572BFD" w:rsidR="005B491C" w:rsidRPr="005941F7" w:rsidRDefault="005B491C" w:rsidP="005B491C">
      <w:pPr>
        <w:pStyle w:val="Notedebasdepage"/>
        <w:tabs>
          <w:tab w:val="left" w:pos="720"/>
        </w:tabs>
        <w:ind w:left="720" w:hanging="720"/>
        <w:jc w:val="both"/>
        <w:rPr>
          <w:rFonts w:cs="Arial"/>
          <w:sz w:val="20"/>
        </w:rPr>
      </w:pPr>
      <w:r>
        <w:rPr>
          <w:rStyle w:val="Appelnotedebasdep"/>
        </w:rPr>
        <w:footnoteRef/>
      </w:r>
      <w:r>
        <w:t xml:space="preserve"> </w:t>
      </w:r>
      <w:r w:rsidRPr="005941F7">
        <w:rPr>
          <w:rFonts w:cs="Arial"/>
          <w:sz w:val="20"/>
        </w:rPr>
        <w:tab/>
        <w:t>A</w:t>
      </w:r>
      <w:r>
        <w:rPr>
          <w:rFonts w:cs="Arial"/>
          <w:sz w:val="20"/>
        </w:rPr>
        <w:t>rt</w:t>
      </w:r>
      <w:r w:rsidR="00964A8F">
        <w:rPr>
          <w:rFonts w:cs="Arial"/>
          <w:sz w:val="20"/>
        </w:rPr>
        <w:t>.</w:t>
      </w:r>
      <w:r>
        <w:rPr>
          <w:rFonts w:cs="Arial"/>
          <w:sz w:val="20"/>
        </w:rPr>
        <w:t xml:space="preserve"> 111.22.5 du Code.</w:t>
      </w:r>
    </w:p>
  </w:footnote>
  <w:footnote w:id="109">
    <w:p w14:paraId="0416840C" w14:textId="77777777" w:rsidR="001E59AF" w:rsidRPr="004F7E8F" w:rsidRDefault="001E59AF" w:rsidP="001E59AF">
      <w:pPr>
        <w:pStyle w:val="Notedebasdepage"/>
        <w:tabs>
          <w:tab w:val="left" w:pos="720"/>
        </w:tabs>
        <w:ind w:left="720" w:hanging="720"/>
        <w:jc w:val="both"/>
        <w:rPr>
          <w:rFonts w:cs="Arial"/>
          <w:sz w:val="20"/>
        </w:rPr>
      </w:pPr>
      <w:r>
        <w:rPr>
          <w:rStyle w:val="Appelnotedebasdep"/>
        </w:rPr>
        <w:footnoteRef/>
      </w:r>
      <w:r>
        <w:t xml:space="preserve"> </w:t>
      </w:r>
      <w:r w:rsidRPr="004F7E8F">
        <w:rPr>
          <w:rFonts w:cs="Arial"/>
          <w:sz w:val="20"/>
        </w:rPr>
        <w:tab/>
      </w:r>
      <w:r w:rsidRPr="00607A7D">
        <w:rPr>
          <w:rFonts w:cs="Arial"/>
          <w:sz w:val="20"/>
        </w:rPr>
        <w:t>Rapport d’expertise</w:t>
      </w:r>
      <w:r>
        <w:rPr>
          <w:rFonts w:cs="Arial"/>
          <w:sz w:val="20"/>
        </w:rPr>
        <w:t>, p. 24.</w:t>
      </w:r>
    </w:p>
  </w:footnote>
  <w:footnote w:id="110">
    <w:p w14:paraId="11A8FFB5" w14:textId="20D018DD" w:rsidR="00EE146C" w:rsidRPr="0024776B" w:rsidRDefault="00EE146C" w:rsidP="00EE146C">
      <w:pPr>
        <w:pStyle w:val="Notedebasdepage"/>
        <w:tabs>
          <w:tab w:val="left" w:pos="720"/>
        </w:tabs>
        <w:ind w:left="720" w:hanging="720"/>
        <w:jc w:val="both"/>
        <w:rPr>
          <w:rFonts w:cs="Arial"/>
          <w:sz w:val="20"/>
        </w:rPr>
      </w:pPr>
      <w:r>
        <w:rPr>
          <w:rStyle w:val="Appelnotedebasdep"/>
        </w:rPr>
        <w:footnoteRef/>
      </w:r>
      <w:r>
        <w:t xml:space="preserve"> </w:t>
      </w:r>
      <w:r w:rsidRPr="0024776B">
        <w:rPr>
          <w:rFonts w:cs="Arial"/>
          <w:sz w:val="20"/>
        </w:rPr>
        <w:tab/>
      </w:r>
      <w:r w:rsidRPr="008E5218">
        <w:rPr>
          <w:rFonts w:cs="Arial"/>
          <w:i/>
          <w:iCs/>
          <w:sz w:val="20"/>
        </w:rPr>
        <w:t>Procureur général du Québec</w:t>
      </w:r>
      <w:r>
        <w:rPr>
          <w:rFonts w:cs="Arial"/>
          <w:sz w:val="20"/>
        </w:rPr>
        <w:t xml:space="preserve"> c. </w:t>
      </w:r>
      <w:r w:rsidRPr="008E5218">
        <w:rPr>
          <w:rFonts w:cs="Arial"/>
          <w:i/>
          <w:iCs/>
          <w:sz w:val="20"/>
        </w:rPr>
        <w:t>Centrale des syndicats démocratiques (CSD)</w:t>
      </w:r>
      <w:r>
        <w:rPr>
          <w:rFonts w:cs="Arial"/>
          <w:sz w:val="20"/>
        </w:rPr>
        <w:t>, 2025 QCCA 216, par.</w:t>
      </w:r>
      <w:r w:rsidR="00A372BE">
        <w:rPr>
          <w:rFonts w:cs="Arial"/>
          <w:sz w:val="20"/>
        </w:rPr>
        <w:t xml:space="preserve"> </w:t>
      </w:r>
      <w:r>
        <w:rPr>
          <w:rFonts w:cs="Arial"/>
          <w:sz w:val="20"/>
        </w:rPr>
        <w:t xml:space="preserve">99, où la juge Bich résume les principes de l’arrêt </w:t>
      </w:r>
      <w:r w:rsidRPr="00486867">
        <w:rPr>
          <w:rFonts w:cs="Arial"/>
          <w:i/>
          <w:iCs/>
          <w:sz w:val="20"/>
        </w:rPr>
        <w:t>Saskatchewan</w:t>
      </w:r>
      <w:r>
        <w:rPr>
          <w:rFonts w:cs="Arial"/>
          <w:sz w:val="20"/>
        </w:rPr>
        <w:t>.</w:t>
      </w:r>
    </w:p>
  </w:footnote>
  <w:footnote w:id="111">
    <w:p w14:paraId="624D406A" w14:textId="735F73D2" w:rsidR="002858E6" w:rsidRPr="00E010D4" w:rsidRDefault="002858E6" w:rsidP="002858E6">
      <w:pPr>
        <w:pStyle w:val="Notedebasdepage"/>
        <w:tabs>
          <w:tab w:val="left" w:pos="720"/>
        </w:tabs>
        <w:ind w:left="720" w:hanging="720"/>
        <w:jc w:val="both"/>
        <w:rPr>
          <w:rFonts w:cs="Arial"/>
          <w:sz w:val="20"/>
        </w:rPr>
      </w:pPr>
      <w:r>
        <w:rPr>
          <w:rStyle w:val="Appelnotedebasdep"/>
        </w:rPr>
        <w:footnoteRef/>
      </w:r>
      <w:r>
        <w:t xml:space="preserve"> </w:t>
      </w:r>
      <w:r w:rsidRPr="00E010D4">
        <w:rPr>
          <w:rFonts w:cs="Arial"/>
          <w:sz w:val="20"/>
        </w:rPr>
        <w:tab/>
      </w:r>
      <w:r>
        <w:rPr>
          <w:rFonts w:cs="Arial"/>
          <w:sz w:val="20"/>
        </w:rPr>
        <w:t xml:space="preserve">Arrêt </w:t>
      </w:r>
      <w:r w:rsidRPr="00E3086F">
        <w:rPr>
          <w:rFonts w:cs="Arial"/>
          <w:i/>
          <w:iCs/>
          <w:sz w:val="20"/>
        </w:rPr>
        <w:t>Saskatchewan</w:t>
      </w:r>
      <w:r>
        <w:rPr>
          <w:rFonts w:cs="Arial"/>
          <w:sz w:val="20"/>
        </w:rPr>
        <w:t>, précité, note 6</w:t>
      </w:r>
      <w:r w:rsidR="00057AAF">
        <w:rPr>
          <w:rFonts w:cs="Arial"/>
          <w:sz w:val="20"/>
        </w:rPr>
        <w:t>7</w:t>
      </w:r>
      <w:r>
        <w:rPr>
          <w:rFonts w:cs="Arial"/>
          <w:sz w:val="20"/>
        </w:rPr>
        <w:t>, par. 55.</w:t>
      </w:r>
    </w:p>
  </w:footnote>
  <w:footnote w:id="112">
    <w:p w14:paraId="48AD0111" w14:textId="6D90E64C" w:rsidR="002858E6" w:rsidRPr="00E3086F" w:rsidRDefault="002858E6" w:rsidP="002858E6">
      <w:pPr>
        <w:pStyle w:val="Notedebasdepage"/>
        <w:tabs>
          <w:tab w:val="left" w:pos="720"/>
        </w:tabs>
        <w:ind w:left="720" w:hanging="720"/>
        <w:jc w:val="both"/>
        <w:rPr>
          <w:rFonts w:cs="Arial"/>
          <w:sz w:val="20"/>
        </w:rPr>
      </w:pPr>
      <w:r>
        <w:rPr>
          <w:rStyle w:val="Appelnotedebasdep"/>
        </w:rPr>
        <w:footnoteRef/>
      </w:r>
      <w:r>
        <w:t xml:space="preserve"> </w:t>
      </w:r>
      <w:r w:rsidRPr="00E3086F">
        <w:rPr>
          <w:rFonts w:cs="Arial"/>
          <w:sz w:val="20"/>
        </w:rPr>
        <w:tab/>
      </w:r>
      <w:r>
        <w:rPr>
          <w:rFonts w:cs="Arial"/>
          <w:sz w:val="20"/>
        </w:rPr>
        <w:t xml:space="preserve">Arrêt </w:t>
      </w:r>
      <w:r w:rsidRPr="00E3086F">
        <w:rPr>
          <w:rFonts w:cs="Arial"/>
          <w:i/>
          <w:iCs/>
          <w:sz w:val="20"/>
        </w:rPr>
        <w:t>Saskatchewan</w:t>
      </w:r>
      <w:r>
        <w:rPr>
          <w:rFonts w:cs="Arial"/>
          <w:sz w:val="20"/>
        </w:rPr>
        <w:t>, précité, note 6</w:t>
      </w:r>
      <w:r w:rsidR="00057AAF">
        <w:rPr>
          <w:rFonts w:cs="Arial"/>
          <w:sz w:val="20"/>
        </w:rPr>
        <w:t>7</w:t>
      </w:r>
      <w:r>
        <w:rPr>
          <w:rFonts w:cs="Arial"/>
          <w:sz w:val="20"/>
        </w:rPr>
        <w:t>, par. 61.</w:t>
      </w:r>
    </w:p>
  </w:footnote>
  <w:footnote w:id="113">
    <w:p w14:paraId="42AF72DD" w14:textId="77777777" w:rsidR="002858E6" w:rsidRPr="003B7401" w:rsidRDefault="002858E6" w:rsidP="002858E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 26.</w:t>
      </w:r>
    </w:p>
  </w:footnote>
  <w:footnote w:id="114">
    <w:p w14:paraId="753D1656" w14:textId="26CF205B" w:rsidR="002A48E0" w:rsidRPr="0051513C" w:rsidRDefault="002A48E0" w:rsidP="002A48E0">
      <w:pPr>
        <w:pStyle w:val="Notedebasdepage"/>
        <w:tabs>
          <w:tab w:val="left" w:pos="720"/>
        </w:tabs>
        <w:ind w:left="720" w:hanging="720"/>
        <w:jc w:val="both"/>
        <w:rPr>
          <w:rFonts w:cs="Arial"/>
          <w:sz w:val="20"/>
        </w:rPr>
      </w:pPr>
      <w:r>
        <w:rPr>
          <w:rStyle w:val="Appelnotedebasdep"/>
        </w:rPr>
        <w:footnoteRef/>
      </w:r>
      <w:r>
        <w:t xml:space="preserve"> </w:t>
      </w:r>
      <w:r w:rsidRPr="0051513C">
        <w:rPr>
          <w:rFonts w:cs="Arial"/>
          <w:sz w:val="20"/>
        </w:rPr>
        <w:tab/>
      </w:r>
      <w:r w:rsidR="004A3EEB">
        <w:rPr>
          <w:rFonts w:cs="Arial"/>
          <w:sz w:val="20"/>
        </w:rPr>
        <w:t xml:space="preserve">Arrêt </w:t>
      </w:r>
      <w:r w:rsidR="004A3EEB" w:rsidRPr="0085237D">
        <w:rPr>
          <w:rFonts w:cs="Arial"/>
          <w:i/>
          <w:iCs/>
          <w:sz w:val="20"/>
        </w:rPr>
        <w:t>APMO</w:t>
      </w:r>
      <w:r w:rsidR="004A3EEB">
        <w:rPr>
          <w:rFonts w:cs="Arial"/>
          <w:sz w:val="20"/>
        </w:rPr>
        <w:t>, précité, note 60, p</w:t>
      </w:r>
      <w:r>
        <w:rPr>
          <w:rFonts w:cs="Arial"/>
          <w:sz w:val="20"/>
        </w:rPr>
        <w:t xml:space="preserve">ar. 66, reproduit au </w:t>
      </w:r>
      <w:r w:rsidRPr="00845F56">
        <w:rPr>
          <w:rFonts w:cs="Arial"/>
          <w:sz w:val="20"/>
        </w:rPr>
        <w:t>par</w:t>
      </w:r>
      <w:r>
        <w:rPr>
          <w:rFonts w:cs="Arial"/>
          <w:sz w:val="20"/>
        </w:rPr>
        <w:t>.</w:t>
      </w:r>
      <w:r w:rsidRPr="00845F56">
        <w:rPr>
          <w:rFonts w:cs="Arial"/>
          <w:sz w:val="20"/>
        </w:rPr>
        <w:t xml:space="preserve"> </w:t>
      </w:r>
      <w:r w:rsidR="007341BE">
        <w:rPr>
          <w:rFonts w:cs="Arial"/>
          <w:sz w:val="20"/>
        </w:rPr>
        <w:t>10</w:t>
      </w:r>
      <w:r w:rsidR="004A3EEB">
        <w:rPr>
          <w:rFonts w:cs="Arial"/>
          <w:sz w:val="20"/>
        </w:rPr>
        <w:t>7</w:t>
      </w:r>
      <w:r>
        <w:rPr>
          <w:rFonts w:cs="Arial"/>
          <w:sz w:val="20"/>
        </w:rPr>
        <w:t xml:space="preserve"> de la présente décision.</w:t>
      </w:r>
    </w:p>
  </w:footnote>
  <w:footnote w:id="115">
    <w:p w14:paraId="3C47C16A" w14:textId="4DE388A9" w:rsidR="009F72A7" w:rsidRPr="00491919" w:rsidRDefault="009F72A7" w:rsidP="009F72A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pp. 21 et 22.</w:t>
      </w:r>
    </w:p>
  </w:footnote>
  <w:footnote w:id="116">
    <w:p w14:paraId="08FAF31B" w14:textId="0394D024" w:rsidR="009F72A7" w:rsidRPr="006807DA" w:rsidRDefault="009F72A7" w:rsidP="009F72A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FA267E">
        <w:rPr>
          <w:rFonts w:cs="Arial"/>
          <w:sz w:val="20"/>
        </w:rPr>
        <w:t xml:space="preserve">QUÉBEC, ASSEMBLÉE NATIONALE, </w:t>
      </w:r>
      <w:r w:rsidRPr="00FA267E">
        <w:rPr>
          <w:rFonts w:cs="Arial"/>
          <w:i/>
          <w:iCs/>
          <w:sz w:val="20"/>
        </w:rPr>
        <w:t>Journal des débats de la Commission de l’économie et du travail</w:t>
      </w:r>
      <w:r w:rsidRPr="00FA267E">
        <w:rPr>
          <w:rFonts w:cs="Arial"/>
          <w:sz w:val="20"/>
        </w:rPr>
        <w:t>, 1</w:t>
      </w:r>
      <w:r w:rsidR="00542818">
        <w:rPr>
          <w:rFonts w:cs="Arial"/>
          <w:sz w:val="20"/>
          <w:vertAlign w:val="superscript"/>
        </w:rPr>
        <w:t>re</w:t>
      </w:r>
      <w:r w:rsidRPr="00FA267E">
        <w:rPr>
          <w:rFonts w:cs="Arial"/>
          <w:sz w:val="20"/>
        </w:rPr>
        <w:t xml:space="preserve"> session, 43</w:t>
      </w:r>
      <w:r w:rsidRPr="00FA267E">
        <w:rPr>
          <w:rFonts w:cs="Arial"/>
          <w:sz w:val="20"/>
          <w:vertAlign w:val="superscript"/>
        </w:rPr>
        <w:t>e</w:t>
      </w:r>
      <w:r w:rsidRPr="00FA267E">
        <w:rPr>
          <w:rFonts w:cs="Arial"/>
          <w:sz w:val="20"/>
        </w:rPr>
        <w:t xml:space="preserve"> législature, vol. 47, n° 9</w:t>
      </w:r>
      <w:r>
        <w:rPr>
          <w:rFonts w:cs="Arial"/>
          <w:sz w:val="20"/>
        </w:rPr>
        <w:t>7</w:t>
      </w:r>
      <w:r w:rsidRPr="00FA267E">
        <w:rPr>
          <w:rFonts w:cs="Arial"/>
          <w:sz w:val="20"/>
        </w:rPr>
        <w:t>, 2</w:t>
      </w:r>
      <w:r>
        <w:rPr>
          <w:rFonts w:cs="Arial"/>
          <w:sz w:val="20"/>
        </w:rPr>
        <w:t>2</w:t>
      </w:r>
      <w:r w:rsidRPr="00FA267E">
        <w:rPr>
          <w:rFonts w:cs="Arial"/>
          <w:sz w:val="20"/>
        </w:rPr>
        <w:t xml:space="preserve"> avril 2025 « Étude détaillée du projet de loi n</w:t>
      </w:r>
      <w:r w:rsidR="006E6ABF" w:rsidRPr="006E6ABF">
        <w:rPr>
          <w:rFonts w:cs="Arial"/>
          <w:sz w:val="20"/>
        </w:rPr>
        <w:t>°</w:t>
      </w:r>
      <w:r w:rsidRPr="00FA267E">
        <w:rPr>
          <w:rFonts w:cs="Arial"/>
          <w:sz w:val="20"/>
        </w:rPr>
        <w:t xml:space="preserve">89, </w:t>
      </w:r>
      <w:r w:rsidRPr="00823FC2">
        <w:rPr>
          <w:rFonts w:cs="Arial"/>
          <w:iCs/>
          <w:sz w:val="20"/>
        </w:rPr>
        <w:t>Loi visant à considérer davantage les besoins de la population en cas de grève ou de lock</w:t>
      </w:r>
      <w:r w:rsidRPr="00823FC2">
        <w:rPr>
          <w:rFonts w:cs="Arial"/>
          <w:iCs/>
          <w:sz w:val="20"/>
        </w:rPr>
        <w:noBreakHyphen/>
        <w:t>out</w:t>
      </w:r>
      <w:r w:rsidRPr="00FA267E">
        <w:rPr>
          <w:rFonts w:cs="Arial"/>
          <w:i/>
          <w:sz w:val="20"/>
        </w:rPr>
        <w:t> </w:t>
      </w:r>
      <w:r w:rsidRPr="00FA267E">
        <w:rPr>
          <w:rFonts w:cs="Arial"/>
          <w:iCs/>
          <w:sz w:val="20"/>
        </w:rPr>
        <w:t>».</w:t>
      </w:r>
    </w:p>
  </w:footnote>
  <w:footnote w:id="117">
    <w:p w14:paraId="1E4D1460" w14:textId="15C4BF2D" w:rsidR="009F72A7" w:rsidRPr="003E588A" w:rsidRDefault="009F72A7" w:rsidP="009F72A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01188C">
        <w:rPr>
          <w:rFonts w:cs="Arial"/>
          <w:sz w:val="20"/>
        </w:rPr>
        <w:t xml:space="preserve">QUÉBEC, ASSEMBLÉE NATIONALE, </w:t>
      </w:r>
      <w:r w:rsidRPr="0001188C">
        <w:rPr>
          <w:rFonts w:cs="Arial"/>
          <w:i/>
          <w:iCs/>
          <w:sz w:val="20"/>
        </w:rPr>
        <w:t>Journal des débats de la Commission de l’économie et du travail</w:t>
      </w:r>
      <w:r w:rsidRPr="0001188C">
        <w:rPr>
          <w:rFonts w:cs="Arial"/>
          <w:sz w:val="20"/>
        </w:rPr>
        <w:t>, 1</w:t>
      </w:r>
      <w:r w:rsidR="00542818">
        <w:rPr>
          <w:rFonts w:cs="Arial"/>
          <w:sz w:val="20"/>
          <w:vertAlign w:val="superscript"/>
        </w:rPr>
        <w:t>re</w:t>
      </w:r>
      <w:r w:rsidRPr="0001188C">
        <w:rPr>
          <w:rFonts w:cs="Arial"/>
          <w:sz w:val="20"/>
        </w:rPr>
        <w:t xml:space="preserve"> session, 43</w:t>
      </w:r>
      <w:r w:rsidRPr="0001188C">
        <w:rPr>
          <w:rFonts w:cs="Arial"/>
          <w:sz w:val="20"/>
          <w:vertAlign w:val="superscript"/>
        </w:rPr>
        <w:t>e</w:t>
      </w:r>
      <w:r w:rsidRPr="0001188C">
        <w:rPr>
          <w:rFonts w:cs="Arial"/>
          <w:sz w:val="20"/>
        </w:rPr>
        <w:t xml:space="preserve"> législature, vol. 47, n° </w:t>
      </w:r>
      <w:r>
        <w:rPr>
          <w:rFonts w:cs="Arial"/>
          <w:sz w:val="20"/>
        </w:rPr>
        <w:t>98</w:t>
      </w:r>
      <w:r w:rsidRPr="0001188C">
        <w:rPr>
          <w:rFonts w:cs="Arial"/>
          <w:sz w:val="20"/>
        </w:rPr>
        <w:t>, 2</w:t>
      </w:r>
      <w:r>
        <w:rPr>
          <w:rFonts w:cs="Arial"/>
          <w:sz w:val="20"/>
        </w:rPr>
        <w:t>3 avril</w:t>
      </w:r>
      <w:r w:rsidRPr="0001188C">
        <w:rPr>
          <w:rFonts w:cs="Arial"/>
          <w:sz w:val="20"/>
        </w:rPr>
        <w:t xml:space="preserve"> 2025, vers </w:t>
      </w:r>
      <w:r>
        <w:rPr>
          <w:rFonts w:cs="Arial"/>
          <w:sz w:val="20"/>
        </w:rPr>
        <w:t>12</w:t>
      </w:r>
      <w:r w:rsidR="00D56F37">
        <w:rPr>
          <w:rFonts w:cs="Arial"/>
          <w:sz w:val="20"/>
        </w:rPr>
        <w:t> </w:t>
      </w:r>
      <w:r>
        <w:rPr>
          <w:rFonts w:cs="Arial"/>
          <w:sz w:val="20"/>
        </w:rPr>
        <w:t>h</w:t>
      </w:r>
      <w:r w:rsidRPr="0001188C">
        <w:rPr>
          <w:rFonts w:cs="Arial"/>
          <w:sz w:val="20"/>
        </w:rPr>
        <w:t> « Étude détaillée du projet de loi n</w:t>
      </w:r>
      <w:r w:rsidR="006E6ABF" w:rsidRPr="006E6ABF">
        <w:rPr>
          <w:rFonts w:cs="Arial"/>
          <w:sz w:val="20"/>
        </w:rPr>
        <w:t>°</w:t>
      </w:r>
      <w:r w:rsidRPr="0001188C">
        <w:rPr>
          <w:rFonts w:cs="Arial"/>
          <w:sz w:val="20"/>
        </w:rPr>
        <w:t xml:space="preserve">89, </w:t>
      </w:r>
      <w:r w:rsidRPr="00823FC2">
        <w:rPr>
          <w:rFonts w:cs="Arial"/>
          <w:iCs/>
          <w:sz w:val="20"/>
        </w:rPr>
        <w:t>Loi visant à considérer davantage les besoins de la population en cas de grève ou de lock</w:t>
      </w:r>
      <w:r w:rsidRPr="00823FC2">
        <w:rPr>
          <w:rFonts w:cs="Arial"/>
          <w:iCs/>
          <w:sz w:val="20"/>
        </w:rPr>
        <w:noBreakHyphen/>
        <w:t>out</w:t>
      </w:r>
      <w:r w:rsidRPr="0001188C">
        <w:rPr>
          <w:rFonts w:cs="Arial"/>
          <w:i/>
          <w:sz w:val="20"/>
        </w:rPr>
        <w:t> </w:t>
      </w:r>
      <w:r w:rsidRPr="0001188C">
        <w:rPr>
          <w:rFonts w:cs="Arial"/>
          <w:iCs/>
          <w:sz w:val="20"/>
        </w:rPr>
        <w:t>».</w:t>
      </w:r>
    </w:p>
  </w:footnote>
  <w:footnote w:id="118">
    <w:p w14:paraId="0E1357E2" w14:textId="446B3372" w:rsidR="009F72A7" w:rsidRPr="003E588A" w:rsidRDefault="009F72A7" w:rsidP="009F72A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E0292B">
        <w:rPr>
          <w:rFonts w:cs="Arial"/>
          <w:sz w:val="20"/>
        </w:rPr>
        <w:t xml:space="preserve">QUÉBEC, ASSEMBLÉE NATIONALE, </w:t>
      </w:r>
      <w:r w:rsidRPr="00E0292B">
        <w:rPr>
          <w:rFonts w:cs="Arial"/>
          <w:i/>
          <w:iCs/>
          <w:sz w:val="20"/>
        </w:rPr>
        <w:t>Journal des débats de la Commission de l’économie et du travail</w:t>
      </w:r>
      <w:r w:rsidRPr="00E0292B">
        <w:rPr>
          <w:rFonts w:cs="Arial"/>
          <w:sz w:val="20"/>
        </w:rPr>
        <w:t>, 1</w:t>
      </w:r>
      <w:r w:rsidR="00542818">
        <w:rPr>
          <w:rFonts w:cs="Arial"/>
          <w:sz w:val="20"/>
          <w:vertAlign w:val="superscript"/>
        </w:rPr>
        <w:t>re</w:t>
      </w:r>
      <w:r w:rsidRPr="00E0292B">
        <w:rPr>
          <w:rFonts w:cs="Arial"/>
          <w:sz w:val="20"/>
        </w:rPr>
        <w:t xml:space="preserve"> session, 43</w:t>
      </w:r>
      <w:r w:rsidRPr="00E0292B">
        <w:rPr>
          <w:rFonts w:cs="Arial"/>
          <w:sz w:val="20"/>
          <w:vertAlign w:val="superscript"/>
        </w:rPr>
        <w:t>e</w:t>
      </w:r>
      <w:r w:rsidRPr="00E0292B">
        <w:rPr>
          <w:rFonts w:cs="Arial"/>
          <w:sz w:val="20"/>
        </w:rPr>
        <w:t xml:space="preserve"> législature, vol. 47, n° </w:t>
      </w:r>
      <w:r>
        <w:rPr>
          <w:rFonts w:cs="Arial"/>
          <w:sz w:val="20"/>
        </w:rPr>
        <w:t>107</w:t>
      </w:r>
      <w:r w:rsidRPr="00E0292B">
        <w:rPr>
          <w:rFonts w:cs="Arial"/>
          <w:sz w:val="20"/>
        </w:rPr>
        <w:t>, 2</w:t>
      </w:r>
      <w:r>
        <w:rPr>
          <w:rFonts w:cs="Arial"/>
          <w:sz w:val="20"/>
        </w:rPr>
        <w:t>0 mai</w:t>
      </w:r>
      <w:r w:rsidRPr="00E0292B">
        <w:rPr>
          <w:rFonts w:cs="Arial"/>
          <w:sz w:val="20"/>
        </w:rPr>
        <w:t xml:space="preserve"> 2025, vers </w:t>
      </w:r>
      <w:r>
        <w:rPr>
          <w:rFonts w:cs="Arial"/>
          <w:sz w:val="20"/>
        </w:rPr>
        <w:t>19</w:t>
      </w:r>
      <w:r w:rsidR="00D56F37">
        <w:rPr>
          <w:rFonts w:cs="Arial"/>
          <w:sz w:val="20"/>
        </w:rPr>
        <w:t> </w:t>
      </w:r>
      <w:r w:rsidRPr="00E0292B">
        <w:rPr>
          <w:rFonts w:cs="Arial"/>
          <w:sz w:val="20"/>
        </w:rPr>
        <w:t>h</w:t>
      </w:r>
      <w:r w:rsidR="00D56F37">
        <w:rPr>
          <w:rFonts w:cs="Arial"/>
          <w:sz w:val="20"/>
        </w:rPr>
        <w:t> </w:t>
      </w:r>
      <w:r>
        <w:rPr>
          <w:rFonts w:cs="Arial"/>
          <w:sz w:val="20"/>
        </w:rPr>
        <w:t>10</w:t>
      </w:r>
      <w:r w:rsidRPr="00E0292B">
        <w:rPr>
          <w:rFonts w:cs="Arial"/>
          <w:sz w:val="20"/>
        </w:rPr>
        <w:t> « Étude détaillée du</w:t>
      </w:r>
      <w:r>
        <w:rPr>
          <w:rFonts w:cs="Arial"/>
          <w:sz w:val="20"/>
        </w:rPr>
        <w:t xml:space="preserve"> </w:t>
      </w:r>
      <w:r w:rsidRPr="00E0292B">
        <w:rPr>
          <w:rFonts w:cs="Arial"/>
          <w:sz w:val="20"/>
        </w:rPr>
        <w:t>projet de loi n</w:t>
      </w:r>
      <w:r w:rsidR="006E6ABF" w:rsidRPr="006E6ABF">
        <w:rPr>
          <w:rFonts w:cs="Arial"/>
          <w:sz w:val="20"/>
        </w:rPr>
        <w:t>°</w:t>
      </w:r>
      <w:r w:rsidRPr="00E0292B">
        <w:rPr>
          <w:rFonts w:cs="Arial"/>
          <w:sz w:val="20"/>
        </w:rPr>
        <w:t xml:space="preserve">89, </w:t>
      </w:r>
      <w:r w:rsidRPr="00823FC2">
        <w:rPr>
          <w:rFonts w:cs="Arial"/>
          <w:iCs/>
          <w:sz w:val="20"/>
        </w:rPr>
        <w:t>Loi visant à considérer davantage les besoins de la population en cas de grève ou de lock</w:t>
      </w:r>
      <w:r w:rsidRPr="00823FC2">
        <w:rPr>
          <w:rFonts w:cs="Arial"/>
          <w:iCs/>
          <w:sz w:val="20"/>
        </w:rPr>
        <w:noBreakHyphen/>
        <w:t>out </w:t>
      </w:r>
      <w:r w:rsidRPr="00D56F37">
        <w:rPr>
          <w:rFonts w:cs="Arial"/>
          <w:iCs/>
          <w:sz w:val="20"/>
        </w:rPr>
        <w:t>».</w:t>
      </w:r>
    </w:p>
  </w:footnote>
  <w:footnote w:id="119">
    <w:p w14:paraId="4316049E" w14:textId="77777777" w:rsidR="007762D0" w:rsidRPr="00D2264A" w:rsidRDefault="007762D0" w:rsidP="007762D0">
      <w:pPr>
        <w:pStyle w:val="Notedebasdepage"/>
        <w:tabs>
          <w:tab w:val="left" w:pos="720"/>
        </w:tabs>
        <w:ind w:left="720" w:hanging="720"/>
        <w:jc w:val="both"/>
        <w:rPr>
          <w:rFonts w:cs="Arial"/>
          <w:sz w:val="20"/>
        </w:rPr>
      </w:pPr>
      <w:r>
        <w:rPr>
          <w:rStyle w:val="Appelnotedebasdep"/>
        </w:rPr>
        <w:footnoteRef/>
      </w:r>
      <w:r>
        <w:t xml:space="preserve"> </w:t>
      </w:r>
      <w:r w:rsidRPr="00D2264A">
        <w:rPr>
          <w:rFonts w:cs="Arial"/>
          <w:sz w:val="20"/>
        </w:rPr>
        <w:tab/>
      </w:r>
      <w:r w:rsidRPr="00C22DEB">
        <w:rPr>
          <w:rFonts w:cs="Arial"/>
          <w:sz w:val="20"/>
        </w:rPr>
        <w:t>Rapport d’expertise, p. 24.</w:t>
      </w:r>
    </w:p>
  </w:footnote>
  <w:footnote w:id="120">
    <w:p w14:paraId="13386400" w14:textId="57031467" w:rsidR="002858E6" w:rsidRPr="0004183C" w:rsidRDefault="002858E6" w:rsidP="002858E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pp.</w:t>
      </w:r>
      <w:r w:rsidR="000A4FC3">
        <w:rPr>
          <w:rFonts w:cs="Arial"/>
          <w:sz w:val="20"/>
        </w:rPr>
        <w:t xml:space="preserve"> </w:t>
      </w:r>
      <w:r>
        <w:rPr>
          <w:rFonts w:cs="Arial"/>
          <w:sz w:val="20"/>
        </w:rPr>
        <w:t>22</w:t>
      </w:r>
      <w:r w:rsidR="00D56F37">
        <w:rPr>
          <w:rFonts w:cs="Arial"/>
          <w:sz w:val="20"/>
        </w:rPr>
        <w:t xml:space="preserve"> et </w:t>
      </w:r>
      <w:r>
        <w:rPr>
          <w:rFonts w:cs="Arial"/>
          <w:sz w:val="20"/>
        </w:rPr>
        <w:t>23.</w:t>
      </w:r>
    </w:p>
  </w:footnote>
  <w:footnote w:id="121">
    <w:p w14:paraId="76FD42AA" w14:textId="782F7FBA" w:rsidR="00EA21AB" w:rsidRPr="00EA21AB" w:rsidRDefault="00EA21AB" w:rsidP="00EA21AB">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Voir par. </w:t>
      </w:r>
      <w:r w:rsidR="007341BE">
        <w:rPr>
          <w:rFonts w:cs="Arial"/>
          <w:sz w:val="20"/>
        </w:rPr>
        <w:t>6</w:t>
      </w:r>
      <w:r w:rsidR="00FC22F0">
        <w:rPr>
          <w:rFonts w:cs="Arial"/>
          <w:sz w:val="20"/>
        </w:rPr>
        <w:t>8</w:t>
      </w:r>
      <w:r>
        <w:rPr>
          <w:rFonts w:cs="Arial"/>
          <w:sz w:val="20"/>
        </w:rPr>
        <w:t xml:space="preserve"> de la présente décision.</w:t>
      </w:r>
    </w:p>
  </w:footnote>
  <w:footnote w:id="122">
    <w:p w14:paraId="3C428A18" w14:textId="77F2FBD5" w:rsidR="0042218F" w:rsidRPr="00C769B6" w:rsidRDefault="0042218F" w:rsidP="0042218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500C41">
        <w:rPr>
          <w:rFonts w:cs="Arial"/>
          <w:sz w:val="20"/>
        </w:rPr>
        <w:t>Précité, n</w:t>
      </w:r>
      <w:r>
        <w:rPr>
          <w:rFonts w:cs="Arial"/>
          <w:sz w:val="20"/>
        </w:rPr>
        <w:t xml:space="preserve">ote </w:t>
      </w:r>
      <w:r w:rsidR="00500C41">
        <w:rPr>
          <w:rFonts w:cs="Arial"/>
          <w:sz w:val="20"/>
        </w:rPr>
        <w:t>8</w:t>
      </w:r>
      <w:r w:rsidR="007341BE">
        <w:rPr>
          <w:rFonts w:cs="Arial"/>
          <w:sz w:val="20"/>
        </w:rPr>
        <w:t>8</w:t>
      </w:r>
      <w:r>
        <w:rPr>
          <w:rFonts w:cs="Arial"/>
          <w:sz w:val="20"/>
        </w:rPr>
        <w:t xml:space="preserve">. La Cour supérieure s’est inspirée sur ce point </w:t>
      </w:r>
      <w:r w:rsidR="00B34FF2">
        <w:rPr>
          <w:rFonts w:cs="Arial"/>
          <w:sz w:val="20"/>
        </w:rPr>
        <w:t>d’</w:t>
      </w:r>
      <w:r>
        <w:rPr>
          <w:rFonts w:cs="Arial"/>
          <w:sz w:val="20"/>
        </w:rPr>
        <w:t>une décision de la Cour supérieure</w:t>
      </w:r>
      <w:r w:rsidR="00D56F37">
        <w:rPr>
          <w:rFonts w:cs="Arial"/>
          <w:sz w:val="20"/>
        </w:rPr>
        <w:t xml:space="preserve"> de justice</w:t>
      </w:r>
      <w:r>
        <w:rPr>
          <w:rFonts w:cs="Arial"/>
          <w:sz w:val="20"/>
        </w:rPr>
        <w:t xml:space="preserve"> de l’Ontario</w:t>
      </w:r>
      <w:r w:rsidRPr="008C2F4E">
        <w:rPr>
          <w:rFonts w:cs="Arial"/>
          <w:i/>
          <w:iCs/>
          <w:sz w:val="20"/>
        </w:rPr>
        <w:t>, Canadian Union of Postal Workers</w:t>
      </w:r>
      <w:r>
        <w:rPr>
          <w:rFonts w:cs="Arial"/>
          <w:sz w:val="20"/>
        </w:rPr>
        <w:t xml:space="preserve"> v. </w:t>
      </w:r>
      <w:r w:rsidRPr="008C2F4E">
        <w:rPr>
          <w:rFonts w:cs="Arial"/>
          <w:i/>
          <w:iCs/>
          <w:sz w:val="20"/>
        </w:rPr>
        <w:t>Her Majesty in Right of Canada</w:t>
      </w:r>
      <w:r>
        <w:rPr>
          <w:rFonts w:cs="Arial"/>
          <w:sz w:val="20"/>
        </w:rPr>
        <w:t xml:space="preserve">, </w:t>
      </w:r>
      <w:r w:rsidRPr="00D56F37">
        <w:rPr>
          <w:rFonts w:cs="Arial"/>
          <w:sz w:val="20"/>
        </w:rPr>
        <w:t>2016</w:t>
      </w:r>
      <w:r w:rsidR="00D56F37" w:rsidRPr="00D56F37">
        <w:rPr>
          <w:rFonts w:cs="Arial"/>
          <w:sz w:val="20"/>
        </w:rPr>
        <w:t> </w:t>
      </w:r>
      <w:r w:rsidRPr="00D56F37">
        <w:rPr>
          <w:rFonts w:cs="Arial"/>
          <w:sz w:val="20"/>
        </w:rPr>
        <w:t>ONSC</w:t>
      </w:r>
      <w:r w:rsidR="00D56F37" w:rsidRPr="00D56F37">
        <w:rPr>
          <w:rFonts w:cs="Arial"/>
          <w:sz w:val="20"/>
        </w:rPr>
        <w:t> </w:t>
      </w:r>
      <w:r w:rsidRPr="00D56F37">
        <w:rPr>
          <w:rFonts w:cs="Arial"/>
          <w:sz w:val="20"/>
        </w:rPr>
        <w:t>418</w:t>
      </w:r>
      <w:r>
        <w:rPr>
          <w:rFonts w:cs="Arial"/>
          <w:sz w:val="20"/>
        </w:rPr>
        <w:t>.</w:t>
      </w:r>
      <w:r w:rsidR="00710D18">
        <w:rPr>
          <w:rFonts w:cs="Arial"/>
          <w:sz w:val="20"/>
        </w:rPr>
        <w:t xml:space="preserve"> Voir aussi</w:t>
      </w:r>
      <w:r w:rsidR="00040280">
        <w:rPr>
          <w:rFonts w:cs="Arial"/>
          <w:sz w:val="20"/>
        </w:rPr>
        <w:t> :</w:t>
      </w:r>
      <w:r w:rsidR="00710D18">
        <w:rPr>
          <w:rFonts w:cs="Arial"/>
          <w:sz w:val="20"/>
        </w:rPr>
        <w:t xml:space="preserve"> </w:t>
      </w:r>
      <w:r w:rsidR="00710D18" w:rsidRPr="00710D18">
        <w:rPr>
          <w:rFonts w:cs="Arial"/>
          <w:i/>
          <w:iCs/>
          <w:sz w:val="20"/>
        </w:rPr>
        <w:t>Fédération des travailleurs du Québec (FTQ-Construction)</w:t>
      </w:r>
      <w:r w:rsidR="00710D18">
        <w:rPr>
          <w:rFonts w:cs="Arial"/>
          <w:sz w:val="20"/>
        </w:rPr>
        <w:t xml:space="preserve"> c. </w:t>
      </w:r>
      <w:r w:rsidR="00710D18" w:rsidRPr="00710D18">
        <w:rPr>
          <w:rFonts w:cs="Arial"/>
          <w:i/>
          <w:iCs/>
          <w:sz w:val="20"/>
        </w:rPr>
        <w:t>Procureur général du Québec</w:t>
      </w:r>
      <w:r w:rsidR="00710D18">
        <w:rPr>
          <w:rFonts w:cs="Arial"/>
          <w:sz w:val="20"/>
        </w:rPr>
        <w:t>, 2022, QCCS 4607, par. 318.</w:t>
      </w:r>
    </w:p>
  </w:footnote>
  <w:footnote w:id="123">
    <w:p w14:paraId="0A2A9368" w14:textId="5A325825" w:rsidR="00EE3312" w:rsidRPr="00EE3312" w:rsidRDefault="00EE3312" w:rsidP="00EE331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Par</w:t>
      </w:r>
      <w:r w:rsidR="00040280">
        <w:rPr>
          <w:rFonts w:cs="Arial"/>
          <w:sz w:val="20"/>
        </w:rPr>
        <w:t>.</w:t>
      </w:r>
      <w:r>
        <w:rPr>
          <w:rFonts w:cs="Arial"/>
          <w:sz w:val="20"/>
        </w:rPr>
        <w:t xml:space="preserve"> 77 de </w:t>
      </w:r>
      <w:r w:rsidR="00515275">
        <w:rPr>
          <w:rFonts w:cs="Arial"/>
          <w:sz w:val="20"/>
        </w:rPr>
        <w:t>l’arrêt</w:t>
      </w:r>
      <w:r>
        <w:rPr>
          <w:rFonts w:cs="Arial"/>
          <w:sz w:val="20"/>
        </w:rPr>
        <w:t xml:space="preserve"> </w:t>
      </w:r>
      <w:r w:rsidRPr="00515275">
        <w:rPr>
          <w:rFonts w:cs="Arial"/>
          <w:i/>
          <w:iCs/>
          <w:sz w:val="20"/>
        </w:rPr>
        <w:t>Saskatchewan</w:t>
      </w:r>
      <w:r>
        <w:rPr>
          <w:rFonts w:cs="Arial"/>
          <w:sz w:val="20"/>
        </w:rPr>
        <w:t xml:space="preserve">, </w:t>
      </w:r>
      <w:r w:rsidR="004F2937">
        <w:rPr>
          <w:rFonts w:cs="Arial"/>
          <w:sz w:val="20"/>
        </w:rPr>
        <w:t xml:space="preserve">précité, note 67, </w:t>
      </w:r>
      <w:r>
        <w:rPr>
          <w:rFonts w:cs="Arial"/>
          <w:sz w:val="20"/>
        </w:rPr>
        <w:t xml:space="preserve">reproduit dans la présente décision au par. </w:t>
      </w:r>
      <w:r w:rsidRPr="007341BE">
        <w:rPr>
          <w:rFonts w:cs="Arial"/>
          <w:sz w:val="20"/>
        </w:rPr>
        <w:t>12</w:t>
      </w:r>
      <w:r w:rsidR="004F2937">
        <w:rPr>
          <w:rFonts w:cs="Arial"/>
          <w:sz w:val="20"/>
        </w:rPr>
        <w:t>7</w:t>
      </w:r>
      <w:r w:rsidRPr="007341BE">
        <w:rPr>
          <w:rFonts w:cs="Arial"/>
          <w:sz w:val="20"/>
        </w:rPr>
        <w:t>.</w:t>
      </w:r>
    </w:p>
  </w:footnote>
  <w:footnote w:id="124">
    <w:p w14:paraId="484768E0" w14:textId="77777777" w:rsidR="00235DF0" w:rsidRPr="00200B8F" w:rsidRDefault="00235DF0" w:rsidP="00235DF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Par. 105 de l’argumentation du PGQ. Voir aussi par. 113.</w:t>
      </w:r>
    </w:p>
  </w:footnote>
  <w:footnote w:id="125">
    <w:p w14:paraId="79F375FC" w14:textId="02A59A1B" w:rsidR="00A90471" w:rsidRPr="00EC6EAB" w:rsidRDefault="00A90471" w:rsidP="00A90471">
      <w:pPr>
        <w:pStyle w:val="Notedebasdepage"/>
        <w:tabs>
          <w:tab w:val="left" w:pos="720"/>
        </w:tabs>
        <w:ind w:left="720" w:hanging="720"/>
        <w:jc w:val="both"/>
        <w:rPr>
          <w:rFonts w:cs="Arial"/>
          <w:sz w:val="20"/>
        </w:rPr>
      </w:pPr>
      <w:r>
        <w:rPr>
          <w:rStyle w:val="Appelnotedebasdep"/>
        </w:rPr>
        <w:footnoteRef/>
      </w:r>
      <w:r>
        <w:t xml:space="preserve"> </w:t>
      </w:r>
      <w:r w:rsidRPr="00EC6EAB">
        <w:rPr>
          <w:rFonts w:cs="Arial"/>
          <w:sz w:val="20"/>
        </w:rPr>
        <w:tab/>
      </w:r>
      <w:r>
        <w:rPr>
          <w:rFonts w:cs="Arial"/>
          <w:sz w:val="20"/>
        </w:rPr>
        <w:t>Voir</w:t>
      </w:r>
      <w:r w:rsidR="00040280">
        <w:rPr>
          <w:rFonts w:cs="Arial"/>
          <w:sz w:val="20"/>
        </w:rPr>
        <w:t>,</w:t>
      </w:r>
      <w:r>
        <w:rPr>
          <w:rFonts w:cs="Arial"/>
          <w:sz w:val="20"/>
        </w:rPr>
        <w:t xml:space="preserve"> par analogie</w:t>
      </w:r>
      <w:r w:rsidR="00040280">
        <w:rPr>
          <w:rFonts w:cs="Arial"/>
          <w:sz w:val="20"/>
        </w:rPr>
        <w:t> :</w:t>
      </w:r>
      <w:r>
        <w:rPr>
          <w:rFonts w:cs="Arial"/>
          <w:sz w:val="20"/>
        </w:rPr>
        <w:t xml:space="preserve"> </w:t>
      </w:r>
      <w:r w:rsidRPr="0027416D">
        <w:rPr>
          <w:rFonts w:cs="Arial"/>
          <w:i/>
          <w:iCs/>
          <w:sz w:val="20"/>
        </w:rPr>
        <w:t>Alliance des professionnels et des professionnelles de la Ville de Québec</w:t>
      </w:r>
      <w:r>
        <w:rPr>
          <w:rFonts w:cs="Arial"/>
          <w:sz w:val="20"/>
        </w:rPr>
        <w:t xml:space="preserve"> c. </w:t>
      </w:r>
      <w:r w:rsidRPr="0027416D">
        <w:rPr>
          <w:rFonts w:cs="Arial"/>
          <w:i/>
          <w:iCs/>
          <w:sz w:val="20"/>
        </w:rPr>
        <w:t>Procureur général du Québec</w:t>
      </w:r>
      <w:r>
        <w:rPr>
          <w:rFonts w:cs="Arial"/>
          <w:sz w:val="20"/>
        </w:rPr>
        <w:t>, 2023 QCCA 626.</w:t>
      </w:r>
    </w:p>
  </w:footnote>
  <w:footnote w:id="126">
    <w:p w14:paraId="3A868AC7" w14:textId="0C32AF2B" w:rsidR="00A90471" w:rsidRPr="00A90471" w:rsidRDefault="00A90471" w:rsidP="00A90471">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Précité, note </w:t>
      </w:r>
      <w:r w:rsidRPr="007341BE">
        <w:rPr>
          <w:rFonts w:cs="Arial"/>
          <w:sz w:val="20"/>
        </w:rPr>
        <w:t>6</w:t>
      </w:r>
      <w:r w:rsidR="007341BE">
        <w:rPr>
          <w:rFonts w:cs="Arial"/>
          <w:sz w:val="20"/>
        </w:rPr>
        <w:t>7</w:t>
      </w:r>
      <w:r>
        <w:rPr>
          <w:rFonts w:cs="Arial"/>
          <w:sz w:val="20"/>
        </w:rPr>
        <w:t>, par. 77 et 78, reproduit</w:t>
      </w:r>
      <w:r w:rsidR="007341BE">
        <w:rPr>
          <w:rFonts w:cs="Arial"/>
          <w:sz w:val="20"/>
        </w:rPr>
        <w:t>s</w:t>
      </w:r>
      <w:r>
        <w:rPr>
          <w:rFonts w:cs="Arial"/>
          <w:sz w:val="20"/>
        </w:rPr>
        <w:t xml:space="preserve"> au par. </w:t>
      </w:r>
      <w:r w:rsidR="007341BE">
        <w:rPr>
          <w:rFonts w:cs="Arial"/>
          <w:sz w:val="20"/>
        </w:rPr>
        <w:t>12</w:t>
      </w:r>
      <w:r w:rsidR="004F2937">
        <w:rPr>
          <w:rFonts w:cs="Arial"/>
          <w:sz w:val="20"/>
        </w:rPr>
        <w:t>7</w:t>
      </w:r>
      <w:r w:rsidR="007341BE">
        <w:rPr>
          <w:rFonts w:cs="Arial"/>
          <w:sz w:val="20"/>
        </w:rPr>
        <w:t xml:space="preserve"> </w:t>
      </w:r>
      <w:r>
        <w:rPr>
          <w:rFonts w:cs="Arial"/>
          <w:sz w:val="20"/>
        </w:rPr>
        <w:t>de la présente décision.</w:t>
      </w:r>
    </w:p>
  </w:footnote>
  <w:footnote w:id="127">
    <w:p w14:paraId="700DF3C1" w14:textId="12F2A75E" w:rsidR="003774DE" w:rsidRPr="00850A7E" w:rsidRDefault="003774DE" w:rsidP="003774DE">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C22DEB">
        <w:rPr>
          <w:rFonts w:cs="Arial"/>
          <w:sz w:val="20"/>
        </w:rPr>
        <w:t>Précité, n</w:t>
      </w:r>
      <w:r>
        <w:rPr>
          <w:rFonts w:cs="Arial"/>
          <w:sz w:val="20"/>
        </w:rPr>
        <w:t xml:space="preserve">ote </w:t>
      </w:r>
      <w:r w:rsidR="00660769">
        <w:rPr>
          <w:rFonts w:cs="Arial"/>
          <w:sz w:val="20"/>
        </w:rPr>
        <w:t>6</w:t>
      </w:r>
      <w:r w:rsidR="007341BE">
        <w:rPr>
          <w:rFonts w:cs="Arial"/>
          <w:sz w:val="20"/>
        </w:rPr>
        <w:t>1</w:t>
      </w:r>
      <w:r>
        <w:rPr>
          <w:rFonts w:cs="Arial"/>
          <w:sz w:val="20"/>
        </w:rPr>
        <w:t>.</w:t>
      </w:r>
    </w:p>
  </w:footnote>
  <w:footnote w:id="128">
    <w:p w14:paraId="624D29CC" w14:textId="0DCDA10F" w:rsidR="003774DE" w:rsidRPr="0056315C" w:rsidRDefault="003774DE" w:rsidP="003774DE">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C22DEB">
        <w:rPr>
          <w:rFonts w:cs="Arial"/>
          <w:sz w:val="20"/>
        </w:rPr>
        <w:t>Précité, n</w:t>
      </w:r>
      <w:r>
        <w:rPr>
          <w:rFonts w:cs="Arial"/>
          <w:sz w:val="20"/>
        </w:rPr>
        <w:t xml:space="preserve">ote </w:t>
      </w:r>
      <w:r w:rsidR="00C22DEB">
        <w:rPr>
          <w:rFonts w:cs="Arial"/>
          <w:sz w:val="20"/>
        </w:rPr>
        <w:t>6</w:t>
      </w:r>
      <w:r w:rsidR="007341BE">
        <w:rPr>
          <w:rFonts w:cs="Arial"/>
          <w:sz w:val="20"/>
        </w:rPr>
        <w:t>7</w:t>
      </w:r>
      <w:r>
        <w:rPr>
          <w:rFonts w:cs="Arial"/>
          <w:sz w:val="20"/>
        </w:rPr>
        <w:t>.</w:t>
      </w:r>
    </w:p>
  </w:footnote>
  <w:footnote w:id="129">
    <w:p w14:paraId="7A35A1B8" w14:textId="2F288384" w:rsidR="00F35D2D" w:rsidRPr="00FB697A" w:rsidRDefault="00F35D2D" w:rsidP="00F35D2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170BF4">
        <w:rPr>
          <w:rFonts w:cs="Arial"/>
          <w:i/>
          <w:iCs/>
          <w:sz w:val="20"/>
        </w:rPr>
        <w:t>LANEQ</w:t>
      </w:r>
      <w:r>
        <w:rPr>
          <w:rFonts w:cs="Arial"/>
          <w:sz w:val="20"/>
        </w:rPr>
        <w:t xml:space="preserve">, précité, note </w:t>
      </w:r>
      <w:r w:rsidR="00C104A2">
        <w:rPr>
          <w:rFonts w:cs="Arial"/>
          <w:sz w:val="20"/>
        </w:rPr>
        <w:t>8</w:t>
      </w:r>
      <w:r w:rsidR="007341BE">
        <w:rPr>
          <w:rFonts w:cs="Arial"/>
          <w:sz w:val="20"/>
        </w:rPr>
        <w:t>8</w:t>
      </w:r>
      <w:r>
        <w:rPr>
          <w:rFonts w:cs="Arial"/>
          <w:sz w:val="20"/>
        </w:rPr>
        <w:t xml:space="preserve">, par. 98, où le juge Morissette est d’avis que la juge Abella a </w:t>
      </w:r>
      <w:r w:rsidR="006C6608">
        <w:rPr>
          <w:rFonts w:cs="Arial"/>
          <w:sz w:val="20"/>
        </w:rPr>
        <w:t>conclu</w:t>
      </w:r>
      <w:r>
        <w:rPr>
          <w:rFonts w:cs="Arial"/>
          <w:sz w:val="20"/>
        </w:rPr>
        <w:t xml:space="preserve"> à l’entrave substantielle d’un « </w:t>
      </w:r>
      <w:r w:rsidRPr="0086281C">
        <w:rPr>
          <w:rFonts w:cs="Arial"/>
          <w:i/>
          <w:iCs/>
          <w:sz w:val="20"/>
        </w:rPr>
        <w:t>ton assez abrupt</w:t>
      </w:r>
      <w:r w:rsidRPr="0086281C">
        <w:rPr>
          <w:rFonts w:cs="Arial"/>
          <w:sz w:val="20"/>
        </w:rPr>
        <w:t> </w:t>
      </w:r>
      <w:r>
        <w:rPr>
          <w:rFonts w:cs="Arial"/>
          <w:sz w:val="20"/>
        </w:rPr>
        <w:t>».</w:t>
      </w:r>
    </w:p>
  </w:footnote>
  <w:footnote w:id="130">
    <w:p w14:paraId="79A55581" w14:textId="0C5734E7" w:rsidR="00D3129A" w:rsidRPr="009C30BF" w:rsidRDefault="00D3129A" w:rsidP="00D3129A">
      <w:pPr>
        <w:pStyle w:val="Notedebasdepage"/>
        <w:tabs>
          <w:tab w:val="left" w:pos="720"/>
        </w:tabs>
        <w:ind w:left="720" w:hanging="720"/>
        <w:jc w:val="both"/>
        <w:rPr>
          <w:rFonts w:cs="Arial"/>
          <w:sz w:val="20"/>
        </w:rPr>
      </w:pPr>
      <w:r>
        <w:rPr>
          <w:rStyle w:val="Appelnotedebasdep"/>
        </w:rPr>
        <w:footnoteRef/>
      </w:r>
      <w:r>
        <w:t xml:space="preserve"> </w:t>
      </w:r>
      <w:r w:rsidRPr="009C30BF">
        <w:rPr>
          <w:rFonts w:cs="Arial"/>
          <w:sz w:val="20"/>
        </w:rPr>
        <w:tab/>
        <w:t>P</w:t>
      </w:r>
      <w:r>
        <w:rPr>
          <w:rFonts w:cs="Arial"/>
          <w:sz w:val="20"/>
        </w:rPr>
        <w:t>récité, note 8</w:t>
      </w:r>
      <w:r w:rsidR="007341BE">
        <w:rPr>
          <w:rFonts w:cs="Arial"/>
          <w:sz w:val="20"/>
        </w:rPr>
        <w:t>8</w:t>
      </w:r>
      <w:r>
        <w:rPr>
          <w:rFonts w:cs="Arial"/>
          <w:sz w:val="20"/>
        </w:rPr>
        <w:t>.</w:t>
      </w:r>
    </w:p>
  </w:footnote>
  <w:footnote w:id="131">
    <w:p w14:paraId="30A37D82" w14:textId="77777777" w:rsidR="00841D35" w:rsidRPr="003A62B8" w:rsidRDefault="00841D35" w:rsidP="00841D35">
      <w:pPr>
        <w:pStyle w:val="Notedebasdepage"/>
        <w:tabs>
          <w:tab w:val="left" w:pos="720"/>
        </w:tabs>
        <w:ind w:left="720" w:hanging="720"/>
        <w:jc w:val="both"/>
        <w:rPr>
          <w:rFonts w:cs="Arial"/>
          <w:sz w:val="20"/>
        </w:rPr>
      </w:pPr>
      <w:r>
        <w:rPr>
          <w:rStyle w:val="Appelnotedebasdep"/>
        </w:rPr>
        <w:footnoteRef/>
      </w:r>
      <w:r>
        <w:t xml:space="preserve"> </w:t>
      </w:r>
      <w:r w:rsidRPr="003A62B8">
        <w:rPr>
          <w:rFonts w:cs="Arial"/>
          <w:sz w:val="20"/>
        </w:rPr>
        <w:tab/>
        <w:t>2017 QCTAT 4004.</w:t>
      </w:r>
    </w:p>
  </w:footnote>
  <w:footnote w:id="132">
    <w:p w14:paraId="0FE0F4EE" w14:textId="4FC368C6" w:rsidR="000E40E9" w:rsidRPr="00821284" w:rsidRDefault="000E40E9" w:rsidP="000E40E9">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Précité</w:t>
      </w:r>
      <w:r w:rsidR="007341BE">
        <w:rPr>
          <w:rFonts w:cs="Arial"/>
          <w:sz w:val="20"/>
        </w:rPr>
        <w:t>s</w:t>
      </w:r>
      <w:r>
        <w:rPr>
          <w:rFonts w:cs="Arial"/>
          <w:sz w:val="20"/>
        </w:rPr>
        <w:t>, note</w:t>
      </w:r>
      <w:r w:rsidR="007341BE">
        <w:rPr>
          <w:rFonts w:cs="Arial"/>
          <w:sz w:val="20"/>
        </w:rPr>
        <w:t>s 73 et 67</w:t>
      </w:r>
      <w:r>
        <w:rPr>
          <w:rFonts w:cs="Arial"/>
          <w:sz w:val="20"/>
        </w:rPr>
        <w:t>.</w:t>
      </w:r>
    </w:p>
  </w:footnote>
  <w:footnote w:id="133">
    <w:p w14:paraId="4420F772" w14:textId="77777777" w:rsidR="000E40E9" w:rsidRPr="00476952" w:rsidRDefault="000E40E9" w:rsidP="000E40E9">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 25.</w:t>
      </w:r>
    </w:p>
  </w:footnote>
  <w:footnote w:id="134">
    <w:p w14:paraId="179F93C9" w14:textId="506B6F6B" w:rsidR="00DB041D" w:rsidRPr="001674E5" w:rsidRDefault="00DB041D" w:rsidP="00DB041D">
      <w:pPr>
        <w:pStyle w:val="Notedebasdepage"/>
        <w:tabs>
          <w:tab w:val="left" w:pos="720"/>
        </w:tabs>
        <w:ind w:left="720" w:hanging="720"/>
        <w:jc w:val="both"/>
        <w:rPr>
          <w:rFonts w:cs="Arial"/>
          <w:sz w:val="20"/>
        </w:rPr>
      </w:pPr>
      <w:r w:rsidRPr="001674E5">
        <w:rPr>
          <w:rStyle w:val="Appelnotedebasdep"/>
        </w:rPr>
        <w:footnoteRef/>
      </w:r>
      <w:r w:rsidRPr="001674E5">
        <w:t xml:space="preserve"> </w:t>
      </w:r>
      <w:r w:rsidRPr="001674E5">
        <w:rPr>
          <w:rFonts w:cs="Arial"/>
          <w:sz w:val="20"/>
        </w:rPr>
        <w:tab/>
        <w:t>Art</w:t>
      </w:r>
      <w:r w:rsidR="00964A8F">
        <w:rPr>
          <w:rFonts w:cs="Arial"/>
          <w:sz w:val="20"/>
        </w:rPr>
        <w:t>.</w:t>
      </w:r>
      <w:r w:rsidRPr="001674E5">
        <w:rPr>
          <w:rFonts w:cs="Arial"/>
          <w:sz w:val="20"/>
        </w:rPr>
        <w:t xml:space="preserve"> </w:t>
      </w:r>
      <w:r w:rsidRPr="00250102">
        <w:rPr>
          <w:rFonts w:cs="Arial"/>
          <w:sz w:val="20"/>
        </w:rPr>
        <w:t>7</w:t>
      </w:r>
      <w:r w:rsidRPr="001674E5">
        <w:rPr>
          <w:rFonts w:cs="Arial"/>
          <w:sz w:val="20"/>
        </w:rPr>
        <w:t xml:space="preserve">, al. 1 (2°) de la </w:t>
      </w:r>
      <w:r w:rsidRPr="00823FC2">
        <w:rPr>
          <w:rFonts w:cs="Arial"/>
          <w:sz w:val="20"/>
        </w:rPr>
        <w:t>Loi sur les services de garde</w:t>
      </w:r>
      <w:r w:rsidR="00823FC2">
        <w:rPr>
          <w:rFonts w:cs="Arial"/>
          <w:sz w:val="20"/>
        </w:rPr>
        <w:t>.</w:t>
      </w:r>
    </w:p>
  </w:footnote>
  <w:footnote w:id="135">
    <w:p w14:paraId="759A4B70" w14:textId="77777777" w:rsidR="0087738D" w:rsidRPr="00845F56" w:rsidRDefault="0087738D" w:rsidP="0087738D">
      <w:pPr>
        <w:pStyle w:val="Notedebasdepage"/>
        <w:tabs>
          <w:tab w:val="left" w:pos="720"/>
        </w:tabs>
        <w:ind w:left="720" w:hanging="720"/>
        <w:jc w:val="both"/>
        <w:rPr>
          <w:rFonts w:cs="Arial"/>
          <w:sz w:val="20"/>
        </w:rPr>
      </w:pPr>
      <w:r>
        <w:rPr>
          <w:rStyle w:val="Appelnotedebasdep"/>
        </w:rPr>
        <w:footnoteRef/>
      </w:r>
      <w:r>
        <w:t xml:space="preserve"> </w:t>
      </w:r>
      <w:r w:rsidRPr="00845F56">
        <w:rPr>
          <w:rFonts w:cs="Arial"/>
          <w:sz w:val="20"/>
        </w:rPr>
        <w:tab/>
      </w:r>
      <w:r>
        <w:rPr>
          <w:rFonts w:cs="Arial"/>
          <w:sz w:val="20"/>
        </w:rPr>
        <w:t>Précité, note 67, par. 57.</w:t>
      </w:r>
    </w:p>
  </w:footnote>
  <w:footnote w:id="136">
    <w:p w14:paraId="6B8CB659" w14:textId="5104086B" w:rsidR="00B93FBA" w:rsidRPr="00B93FBA" w:rsidRDefault="00B93FBA" w:rsidP="00B93FBA">
      <w:pPr>
        <w:pStyle w:val="Notedebasdepage"/>
        <w:tabs>
          <w:tab w:val="left" w:pos="720"/>
        </w:tabs>
        <w:ind w:left="720" w:hanging="720"/>
        <w:jc w:val="both"/>
        <w:rPr>
          <w:rFonts w:cs="Arial"/>
          <w:sz w:val="20"/>
        </w:rPr>
      </w:pPr>
      <w:r>
        <w:rPr>
          <w:rStyle w:val="Appelnotedebasdep"/>
        </w:rPr>
        <w:footnoteRef/>
      </w:r>
      <w:r w:rsidRPr="00B93FBA">
        <w:t xml:space="preserve"> </w:t>
      </w:r>
      <w:r w:rsidRPr="00B93FBA">
        <w:rPr>
          <w:rFonts w:cs="Arial"/>
          <w:sz w:val="20"/>
        </w:rPr>
        <w:tab/>
      </w:r>
      <w:r w:rsidRPr="00B93FBA">
        <w:rPr>
          <w:rFonts w:cs="Arial"/>
          <w:i/>
          <w:iCs/>
          <w:sz w:val="20"/>
        </w:rPr>
        <w:t xml:space="preserve">Ford </w:t>
      </w:r>
      <w:r w:rsidRPr="00B93FBA">
        <w:rPr>
          <w:rFonts w:cs="Arial"/>
          <w:sz w:val="20"/>
        </w:rPr>
        <w:t xml:space="preserve">c. </w:t>
      </w:r>
      <w:r w:rsidRPr="00B93FBA">
        <w:rPr>
          <w:rFonts w:cs="Arial"/>
          <w:i/>
          <w:iCs/>
          <w:sz w:val="20"/>
        </w:rPr>
        <w:t>Québec (Procureur général)</w:t>
      </w:r>
      <w:r>
        <w:rPr>
          <w:rFonts w:cs="Arial"/>
          <w:sz w:val="20"/>
        </w:rPr>
        <w:t>, [1988] 2 RCS 712.</w:t>
      </w:r>
    </w:p>
  </w:footnote>
  <w:footnote w:id="137">
    <w:p w14:paraId="487A76DE" w14:textId="0B7762E8" w:rsidR="00D8459C" w:rsidRPr="004F2937" w:rsidRDefault="00D8459C" w:rsidP="00D8459C">
      <w:pPr>
        <w:pStyle w:val="Notedebasdepage"/>
        <w:tabs>
          <w:tab w:val="left" w:pos="720"/>
        </w:tabs>
        <w:ind w:left="720" w:hanging="720"/>
        <w:jc w:val="both"/>
        <w:rPr>
          <w:rFonts w:cs="Arial"/>
          <w:i/>
          <w:iCs/>
          <w:sz w:val="20"/>
        </w:rPr>
      </w:pPr>
      <w:r>
        <w:rPr>
          <w:rStyle w:val="Appelnotedebasdep"/>
        </w:rPr>
        <w:footnoteRef/>
      </w:r>
      <w:r w:rsidRPr="00E470B6">
        <w:t xml:space="preserve"> </w:t>
      </w:r>
      <w:r w:rsidRPr="00E470B6">
        <w:rPr>
          <w:rFonts w:cs="Arial"/>
          <w:sz w:val="20"/>
        </w:rPr>
        <w:tab/>
        <w:t>[1986] 1 RCS 103</w:t>
      </w:r>
      <w:r w:rsidR="004F2937">
        <w:rPr>
          <w:rFonts w:cs="Arial"/>
          <w:sz w:val="20"/>
        </w:rPr>
        <w:t xml:space="preserve">, l’arrêt </w:t>
      </w:r>
      <w:r w:rsidR="004F2937">
        <w:rPr>
          <w:rFonts w:cs="Arial"/>
          <w:i/>
          <w:iCs/>
          <w:sz w:val="20"/>
        </w:rPr>
        <w:t xml:space="preserve">Oakes. </w:t>
      </w:r>
    </w:p>
  </w:footnote>
  <w:footnote w:id="138">
    <w:p w14:paraId="51F278AF" w14:textId="03DD9F87" w:rsidR="00311629" w:rsidRPr="00E81D4D" w:rsidRDefault="00311629" w:rsidP="00311629">
      <w:pPr>
        <w:pStyle w:val="Notedebasdepage"/>
        <w:tabs>
          <w:tab w:val="left" w:pos="720"/>
        </w:tabs>
        <w:ind w:left="720" w:hanging="720"/>
        <w:jc w:val="both"/>
        <w:rPr>
          <w:rFonts w:cs="Arial"/>
          <w:i/>
          <w:iCs/>
          <w:sz w:val="20"/>
        </w:rPr>
      </w:pPr>
      <w:r>
        <w:rPr>
          <w:rStyle w:val="Appelnotedebasdep"/>
        </w:rPr>
        <w:footnoteRef/>
      </w:r>
      <w:r w:rsidRPr="00311629">
        <w:t xml:space="preserve"> </w:t>
      </w:r>
      <w:r w:rsidRPr="00311629">
        <w:rPr>
          <w:rFonts w:cs="Arial"/>
          <w:sz w:val="20"/>
        </w:rPr>
        <w:tab/>
      </w:r>
      <w:r w:rsidR="007B70E3">
        <w:rPr>
          <w:rFonts w:cs="Arial"/>
          <w:sz w:val="20"/>
        </w:rPr>
        <w:t xml:space="preserve">Le test est </w:t>
      </w:r>
      <w:r w:rsidR="00E81D4D">
        <w:rPr>
          <w:rFonts w:cs="Arial"/>
          <w:sz w:val="20"/>
        </w:rPr>
        <w:t>résumé</w:t>
      </w:r>
      <w:r w:rsidR="007B70E3">
        <w:rPr>
          <w:rFonts w:cs="Arial"/>
          <w:sz w:val="20"/>
        </w:rPr>
        <w:t xml:space="preserve"> notamment au </w:t>
      </w:r>
      <w:r w:rsidR="00E81D4D" w:rsidRPr="0053491A">
        <w:rPr>
          <w:rFonts w:cs="Arial"/>
          <w:sz w:val="20"/>
        </w:rPr>
        <w:t>paragraphe</w:t>
      </w:r>
      <w:r w:rsidR="007B70E3">
        <w:rPr>
          <w:rFonts w:cs="Arial"/>
          <w:sz w:val="20"/>
        </w:rPr>
        <w:t xml:space="preserve"> 138 de l’</w:t>
      </w:r>
      <w:r w:rsidR="00E81D4D">
        <w:rPr>
          <w:rFonts w:cs="Arial"/>
          <w:sz w:val="20"/>
        </w:rPr>
        <w:t>arrêt</w:t>
      </w:r>
      <w:r w:rsidR="007B70E3">
        <w:rPr>
          <w:rFonts w:cs="Arial"/>
          <w:sz w:val="20"/>
        </w:rPr>
        <w:t xml:space="preserve"> </w:t>
      </w:r>
      <w:r w:rsidR="007B70E3" w:rsidRPr="00E81D4D">
        <w:rPr>
          <w:rFonts w:cs="Arial"/>
          <w:i/>
          <w:iCs/>
          <w:sz w:val="20"/>
        </w:rPr>
        <w:t>Health Services</w:t>
      </w:r>
      <w:r w:rsidR="00354E0E">
        <w:rPr>
          <w:rFonts w:cs="Arial"/>
          <w:i/>
          <w:iCs/>
          <w:sz w:val="20"/>
        </w:rPr>
        <w:t xml:space="preserve">, </w:t>
      </w:r>
      <w:r w:rsidR="00354E0E">
        <w:rPr>
          <w:rFonts w:cs="Arial"/>
          <w:sz w:val="20"/>
        </w:rPr>
        <w:t>précité, note 63,</w:t>
      </w:r>
      <w:r w:rsidR="00E81D4D">
        <w:rPr>
          <w:rFonts w:cs="Arial"/>
          <w:i/>
          <w:iCs/>
          <w:sz w:val="20"/>
        </w:rPr>
        <w:t xml:space="preserve"> </w:t>
      </w:r>
      <w:r w:rsidR="00E81D4D" w:rsidRPr="00E81D4D">
        <w:rPr>
          <w:rFonts w:cs="Arial"/>
          <w:sz w:val="20"/>
        </w:rPr>
        <w:t>et dans</w:t>
      </w:r>
      <w:r w:rsidR="007B70E3" w:rsidRPr="00E81D4D">
        <w:rPr>
          <w:rFonts w:cs="Arial"/>
          <w:i/>
          <w:iCs/>
          <w:sz w:val="20"/>
        </w:rPr>
        <w:t xml:space="preserve"> </w:t>
      </w:r>
      <w:r w:rsidRPr="00E81D4D">
        <w:rPr>
          <w:rFonts w:cs="Arial"/>
          <w:i/>
          <w:iCs/>
          <w:sz w:val="20"/>
        </w:rPr>
        <w:t>Frank c. Canada (</w:t>
      </w:r>
      <w:r w:rsidR="002A1189" w:rsidRPr="00E81D4D">
        <w:rPr>
          <w:rFonts w:cs="Arial"/>
          <w:i/>
          <w:iCs/>
          <w:sz w:val="20"/>
        </w:rPr>
        <w:t>Procureur</w:t>
      </w:r>
      <w:r w:rsidRPr="00E81D4D">
        <w:rPr>
          <w:rFonts w:cs="Arial"/>
          <w:i/>
          <w:iCs/>
          <w:sz w:val="20"/>
        </w:rPr>
        <w:t xml:space="preserve"> général), </w:t>
      </w:r>
      <w:r w:rsidRPr="007341BE">
        <w:rPr>
          <w:rFonts w:cs="Arial"/>
          <w:sz w:val="20"/>
        </w:rPr>
        <w:t xml:space="preserve">2019 </w:t>
      </w:r>
      <w:r w:rsidR="00115A77" w:rsidRPr="007341BE">
        <w:rPr>
          <w:rFonts w:cs="Arial"/>
          <w:sz w:val="20"/>
        </w:rPr>
        <w:t xml:space="preserve">CSC </w:t>
      </w:r>
      <w:r w:rsidR="00794011">
        <w:rPr>
          <w:rFonts w:cs="Arial"/>
          <w:sz w:val="20"/>
        </w:rPr>
        <w:t>1</w:t>
      </w:r>
      <w:r w:rsidR="00C208A0" w:rsidRPr="00C208A0">
        <w:rPr>
          <w:rFonts w:cs="Arial"/>
          <w:sz w:val="20"/>
        </w:rPr>
        <w:t>, l’arrêt</w:t>
      </w:r>
      <w:r w:rsidR="00C208A0">
        <w:rPr>
          <w:rFonts w:cs="Arial"/>
          <w:i/>
          <w:iCs/>
          <w:sz w:val="20"/>
        </w:rPr>
        <w:t xml:space="preserve"> Frank.</w:t>
      </w:r>
    </w:p>
  </w:footnote>
  <w:footnote w:id="139">
    <w:p w14:paraId="3FCD37E1" w14:textId="1CBE437D" w:rsidR="00E81D4D" w:rsidRPr="00E81D4D" w:rsidRDefault="00E81D4D" w:rsidP="00E81D4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Précité</w:t>
      </w:r>
      <w:r w:rsidR="00964A8F">
        <w:rPr>
          <w:rFonts w:cs="Arial"/>
          <w:sz w:val="20"/>
        </w:rPr>
        <w:t>,</w:t>
      </w:r>
      <w:r>
        <w:rPr>
          <w:rFonts w:cs="Arial"/>
          <w:sz w:val="20"/>
        </w:rPr>
        <w:t xml:space="preserve"> note 1</w:t>
      </w:r>
      <w:r w:rsidR="007341BE">
        <w:rPr>
          <w:rFonts w:cs="Arial"/>
          <w:sz w:val="20"/>
        </w:rPr>
        <w:t>37</w:t>
      </w:r>
      <w:r w:rsidR="00964A8F">
        <w:rPr>
          <w:rFonts w:cs="Arial"/>
          <w:sz w:val="20"/>
        </w:rPr>
        <w:t>, p</w:t>
      </w:r>
      <w:r>
        <w:rPr>
          <w:rFonts w:cs="Arial"/>
          <w:sz w:val="20"/>
        </w:rPr>
        <w:t>ar. 136 et 137.</w:t>
      </w:r>
    </w:p>
  </w:footnote>
  <w:footnote w:id="140">
    <w:p w14:paraId="421A8E58" w14:textId="77777777" w:rsidR="00B52A31" w:rsidRPr="0039100A" w:rsidRDefault="00B52A31" w:rsidP="00B52A31">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39100A">
        <w:rPr>
          <w:rFonts w:cs="Arial"/>
          <w:i/>
          <w:iCs/>
          <w:sz w:val="20"/>
        </w:rPr>
        <w:t>Frank</w:t>
      </w:r>
      <w:r>
        <w:rPr>
          <w:rFonts w:cs="Arial"/>
          <w:sz w:val="20"/>
        </w:rPr>
        <w:t>, précité, note 138, par. 39.</w:t>
      </w:r>
    </w:p>
  </w:footnote>
  <w:footnote w:id="141">
    <w:p w14:paraId="4C432161" w14:textId="28740B0C" w:rsidR="00045E8D" w:rsidRPr="00045E8D" w:rsidRDefault="00045E8D" w:rsidP="00045E8D">
      <w:pPr>
        <w:pStyle w:val="Notedebasdepage"/>
        <w:tabs>
          <w:tab w:val="left" w:pos="720"/>
        </w:tabs>
        <w:ind w:left="720" w:hanging="720"/>
        <w:jc w:val="both"/>
        <w:rPr>
          <w:rFonts w:cs="Arial"/>
          <w:sz w:val="20"/>
        </w:rPr>
      </w:pPr>
      <w:r>
        <w:rPr>
          <w:rStyle w:val="Appelnotedebasdep"/>
        </w:rPr>
        <w:footnoteRef/>
      </w:r>
      <w:r w:rsidRPr="00045E8D">
        <w:t xml:space="preserve"> </w:t>
      </w:r>
      <w:r w:rsidRPr="00045E8D">
        <w:rPr>
          <w:rFonts w:cs="Arial"/>
          <w:sz w:val="20"/>
        </w:rPr>
        <w:tab/>
        <w:t>I</w:t>
      </w:r>
      <w:r w:rsidR="00AD3ABC">
        <w:rPr>
          <w:rFonts w:cs="Arial"/>
          <w:sz w:val="20"/>
        </w:rPr>
        <w:t>l</w:t>
      </w:r>
      <w:r w:rsidRPr="00045E8D">
        <w:rPr>
          <w:rFonts w:cs="Arial"/>
          <w:sz w:val="20"/>
        </w:rPr>
        <w:t xml:space="preserve"> s’appuie sur les </w:t>
      </w:r>
      <w:r w:rsidR="00AD3ABC" w:rsidRPr="00045E8D">
        <w:rPr>
          <w:rFonts w:cs="Arial"/>
          <w:sz w:val="20"/>
        </w:rPr>
        <w:t>arrêt</w:t>
      </w:r>
      <w:r w:rsidR="00162642">
        <w:rPr>
          <w:rFonts w:cs="Arial"/>
          <w:sz w:val="20"/>
        </w:rPr>
        <w:t>s</w:t>
      </w:r>
      <w:r w:rsidRPr="00045E8D">
        <w:rPr>
          <w:rFonts w:cs="Arial"/>
          <w:sz w:val="20"/>
        </w:rPr>
        <w:t xml:space="preserve"> </w:t>
      </w:r>
      <w:r w:rsidRPr="00AD3ABC">
        <w:rPr>
          <w:rFonts w:cs="Arial"/>
          <w:i/>
          <w:iCs/>
          <w:sz w:val="20"/>
        </w:rPr>
        <w:t>Alberta</w:t>
      </w:r>
      <w:r w:rsidRPr="00045E8D">
        <w:rPr>
          <w:rFonts w:cs="Arial"/>
          <w:sz w:val="20"/>
        </w:rPr>
        <w:t xml:space="preserve"> c. </w:t>
      </w:r>
      <w:r w:rsidRPr="00AD3ABC">
        <w:rPr>
          <w:rFonts w:cs="Arial"/>
          <w:i/>
          <w:iCs/>
          <w:sz w:val="20"/>
        </w:rPr>
        <w:t>Hutterian Breth</w:t>
      </w:r>
      <w:r w:rsidR="00F9100C">
        <w:rPr>
          <w:rFonts w:cs="Arial"/>
          <w:i/>
          <w:iCs/>
          <w:sz w:val="20"/>
        </w:rPr>
        <w:t>r</w:t>
      </w:r>
      <w:r w:rsidRPr="00AD3ABC">
        <w:rPr>
          <w:rFonts w:cs="Arial"/>
          <w:i/>
          <w:iCs/>
          <w:sz w:val="20"/>
        </w:rPr>
        <w:t>en of Wilson Colony</w:t>
      </w:r>
      <w:r w:rsidRPr="00045E8D">
        <w:rPr>
          <w:rFonts w:cs="Arial"/>
          <w:sz w:val="20"/>
        </w:rPr>
        <w:t>, 2009 CSC 37</w:t>
      </w:r>
      <w:r>
        <w:rPr>
          <w:rFonts w:cs="Arial"/>
          <w:sz w:val="20"/>
        </w:rPr>
        <w:t>, par. 37,</w:t>
      </w:r>
      <w:r w:rsidRPr="00045E8D">
        <w:rPr>
          <w:rFonts w:cs="Arial"/>
          <w:sz w:val="20"/>
        </w:rPr>
        <w:t xml:space="preserve"> </w:t>
      </w:r>
      <w:r w:rsidR="009C30BF">
        <w:rPr>
          <w:rFonts w:cs="Arial"/>
          <w:sz w:val="20"/>
        </w:rPr>
        <w:t xml:space="preserve">l’arrêt </w:t>
      </w:r>
      <w:r w:rsidR="009C30BF" w:rsidRPr="009C30BF">
        <w:rPr>
          <w:rFonts w:cs="Arial"/>
          <w:i/>
          <w:iCs/>
          <w:sz w:val="20"/>
        </w:rPr>
        <w:t>Hutterian Breth</w:t>
      </w:r>
      <w:r w:rsidR="00F9100C">
        <w:rPr>
          <w:rFonts w:cs="Arial"/>
          <w:i/>
          <w:iCs/>
          <w:sz w:val="20"/>
        </w:rPr>
        <w:t>r</w:t>
      </w:r>
      <w:r w:rsidR="009C30BF" w:rsidRPr="009C30BF">
        <w:rPr>
          <w:rFonts w:cs="Arial"/>
          <w:i/>
          <w:iCs/>
          <w:sz w:val="20"/>
        </w:rPr>
        <w:t>en</w:t>
      </w:r>
      <w:r w:rsidR="006A0590">
        <w:rPr>
          <w:rFonts w:cs="Arial"/>
          <w:i/>
          <w:iCs/>
          <w:sz w:val="20"/>
        </w:rPr>
        <w:t>,</w:t>
      </w:r>
      <w:r w:rsidR="009C30BF" w:rsidRPr="009C30BF">
        <w:rPr>
          <w:rFonts w:cs="Arial"/>
          <w:i/>
          <w:iCs/>
          <w:sz w:val="20"/>
        </w:rPr>
        <w:t xml:space="preserve"> </w:t>
      </w:r>
      <w:r w:rsidRPr="00045E8D">
        <w:rPr>
          <w:rFonts w:cs="Arial"/>
          <w:sz w:val="20"/>
        </w:rPr>
        <w:t xml:space="preserve">et </w:t>
      </w:r>
      <w:r w:rsidR="00AD3ABC" w:rsidRPr="00AD3ABC">
        <w:rPr>
          <w:rFonts w:cs="Arial"/>
          <w:i/>
          <w:iCs/>
          <w:sz w:val="20"/>
        </w:rPr>
        <w:t>Tétreault</w:t>
      </w:r>
      <w:r w:rsidRPr="00AD3ABC">
        <w:rPr>
          <w:rFonts w:cs="Arial"/>
          <w:i/>
          <w:iCs/>
          <w:sz w:val="20"/>
        </w:rPr>
        <w:t>-Gadoury</w:t>
      </w:r>
      <w:r w:rsidRPr="00045E8D">
        <w:rPr>
          <w:rFonts w:cs="Arial"/>
          <w:sz w:val="20"/>
        </w:rPr>
        <w:t xml:space="preserve"> c. </w:t>
      </w:r>
      <w:r w:rsidRPr="00AD3ABC">
        <w:rPr>
          <w:rFonts w:cs="Arial"/>
          <w:i/>
          <w:iCs/>
          <w:sz w:val="20"/>
        </w:rPr>
        <w:t>Canada (</w:t>
      </w:r>
      <w:r w:rsidR="00AD3ABC" w:rsidRPr="00AD3ABC">
        <w:rPr>
          <w:rFonts w:cs="Arial"/>
          <w:i/>
          <w:iCs/>
          <w:sz w:val="20"/>
        </w:rPr>
        <w:t>Commission</w:t>
      </w:r>
      <w:r w:rsidRPr="00AD3ABC">
        <w:rPr>
          <w:rFonts w:cs="Arial"/>
          <w:i/>
          <w:iCs/>
          <w:sz w:val="20"/>
        </w:rPr>
        <w:t xml:space="preserve"> de l’emploi et de l’immigration)</w:t>
      </w:r>
      <w:r>
        <w:rPr>
          <w:rFonts w:cs="Arial"/>
          <w:sz w:val="20"/>
        </w:rPr>
        <w:t>, [1991] 2 RCS 22</w:t>
      </w:r>
      <w:r w:rsidR="00AD3ABC">
        <w:rPr>
          <w:rFonts w:cs="Arial"/>
          <w:sz w:val="20"/>
        </w:rPr>
        <w:t>, p</w:t>
      </w:r>
      <w:r w:rsidR="001E22C6">
        <w:rPr>
          <w:rFonts w:cs="Arial"/>
          <w:sz w:val="20"/>
        </w:rPr>
        <w:t>p.</w:t>
      </w:r>
      <w:r w:rsidR="00AD3ABC">
        <w:rPr>
          <w:rFonts w:cs="Arial"/>
          <w:sz w:val="20"/>
        </w:rPr>
        <w:t xml:space="preserve"> 43 et 44</w:t>
      </w:r>
      <w:r>
        <w:rPr>
          <w:rFonts w:cs="Arial"/>
          <w:sz w:val="20"/>
        </w:rPr>
        <w:t>.</w:t>
      </w:r>
    </w:p>
  </w:footnote>
  <w:footnote w:id="142">
    <w:p w14:paraId="1E724D22" w14:textId="11C893DD" w:rsidR="00B63E5D" w:rsidRPr="00B63E5D" w:rsidRDefault="00B63E5D" w:rsidP="00B63E5D">
      <w:pPr>
        <w:pStyle w:val="Notedebasdepage"/>
        <w:tabs>
          <w:tab w:val="left" w:pos="720"/>
        </w:tabs>
        <w:ind w:left="720" w:hanging="720"/>
        <w:jc w:val="both"/>
        <w:rPr>
          <w:rFonts w:cs="Arial"/>
          <w:sz w:val="20"/>
        </w:rPr>
      </w:pPr>
      <w:r>
        <w:rPr>
          <w:rStyle w:val="Appelnotedebasdep"/>
        </w:rPr>
        <w:footnoteRef/>
      </w:r>
      <w:r>
        <w:t xml:space="preserve"> </w:t>
      </w:r>
      <w:r w:rsidRPr="00B63E5D">
        <w:rPr>
          <w:rFonts w:cs="Arial"/>
          <w:sz w:val="20"/>
        </w:rPr>
        <w:tab/>
        <w:t>Le s</w:t>
      </w:r>
      <w:r>
        <w:rPr>
          <w:rFonts w:cs="Arial"/>
          <w:sz w:val="20"/>
        </w:rPr>
        <w:t>yndicat s’</w:t>
      </w:r>
      <w:r w:rsidR="00162642">
        <w:rPr>
          <w:rFonts w:cs="Arial"/>
          <w:sz w:val="20"/>
        </w:rPr>
        <w:t>a</w:t>
      </w:r>
      <w:r>
        <w:rPr>
          <w:rFonts w:cs="Arial"/>
          <w:sz w:val="20"/>
        </w:rPr>
        <w:t xml:space="preserve">ppuie en particulier sur les paragraphes </w:t>
      </w:r>
      <w:r w:rsidR="00620FA7">
        <w:rPr>
          <w:rFonts w:cs="Arial"/>
          <w:sz w:val="20"/>
        </w:rPr>
        <w:t>68 à 70 de l’</w:t>
      </w:r>
      <w:r w:rsidR="00162642">
        <w:rPr>
          <w:rFonts w:cs="Arial"/>
          <w:sz w:val="20"/>
        </w:rPr>
        <w:t>a</w:t>
      </w:r>
      <w:r w:rsidR="00620FA7">
        <w:rPr>
          <w:rFonts w:cs="Arial"/>
          <w:sz w:val="20"/>
        </w:rPr>
        <w:t xml:space="preserve">rrêt </w:t>
      </w:r>
      <w:r w:rsidR="00620FA7" w:rsidRPr="00162642">
        <w:rPr>
          <w:rFonts w:cs="Arial"/>
          <w:i/>
          <w:iCs/>
          <w:sz w:val="20"/>
        </w:rPr>
        <w:t>Oakes</w:t>
      </w:r>
      <w:r w:rsidR="001E5825">
        <w:rPr>
          <w:rFonts w:cs="Arial"/>
          <w:i/>
          <w:iCs/>
          <w:sz w:val="20"/>
        </w:rPr>
        <w:t xml:space="preserve">, </w:t>
      </w:r>
      <w:r w:rsidR="001E5825">
        <w:rPr>
          <w:rFonts w:cs="Arial"/>
          <w:sz w:val="20"/>
        </w:rPr>
        <w:t>précité, note 137</w:t>
      </w:r>
      <w:r w:rsidR="006A0590">
        <w:rPr>
          <w:rFonts w:cs="Arial"/>
          <w:sz w:val="20"/>
        </w:rPr>
        <w:t>,</w:t>
      </w:r>
      <w:r w:rsidR="00620FA7">
        <w:rPr>
          <w:rFonts w:cs="Arial"/>
          <w:sz w:val="20"/>
        </w:rPr>
        <w:t xml:space="preserve"> et sur la façon </w:t>
      </w:r>
      <w:r w:rsidR="001E22C6">
        <w:rPr>
          <w:rFonts w:cs="Arial"/>
          <w:sz w:val="20"/>
        </w:rPr>
        <w:t>dont</w:t>
      </w:r>
      <w:r w:rsidR="00620FA7">
        <w:rPr>
          <w:rFonts w:cs="Arial"/>
          <w:sz w:val="20"/>
        </w:rPr>
        <w:t xml:space="preserve"> la Cour </w:t>
      </w:r>
      <w:r w:rsidR="00162642">
        <w:rPr>
          <w:rFonts w:cs="Arial"/>
          <w:sz w:val="20"/>
        </w:rPr>
        <w:t>supérieure</w:t>
      </w:r>
      <w:r w:rsidR="00620FA7">
        <w:rPr>
          <w:rFonts w:cs="Arial"/>
          <w:sz w:val="20"/>
        </w:rPr>
        <w:t xml:space="preserve"> </w:t>
      </w:r>
      <w:r w:rsidR="00620FA7" w:rsidRPr="0053491A">
        <w:rPr>
          <w:rFonts w:cs="Arial"/>
          <w:sz w:val="20"/>
        </w:rPr>
        <w:t>l’a synthétisé</w:t>
      </w:r>
      <w:r w:rsidR="00620FA7">
        <w:rPr>
          <w:rFonts w:cs="Arial"/>
          <w:sz w:val="20"/>
        </w:rPr>
        <w:t xml:space="preserve"> dans </w:t>
      </w:r>
      <w:r w:rsidR="00B83384" w:rsidRPr="00162642">
        <w:rPr>
          <w:rFonts w:cs="Arial"/>
          <w:i/>
          <w:iCs/>
          <w:sz w:val="20"/>
        </w:rPr>
        <w:t xml:space="preserve">Fédération des policiers et policières municipaux du </w:t>
      </w:r>
      <w:r w:rsidR="00162642" w:rsidRPr="00162642">
        <w:rPr>
          <w:rFonts w:cs="Arial"/>
          <w:i/>
          <w:iCs/>
          <w:sz w:val="20"/>
        </w:rPr>
        <w:t>Québec</w:t>
      </w:r>
      <w:r w:rsidR="00B83384" w:rsidRPr="00162642">
        <w:rPr>
          <w:rFonts w:cs="Arial"/>
          <w:i/>
          <w:iCs/>
          <w:sz w:val="20"/>
        </w:rPr>
        <w:t xml:space="preserve"> </w:t>
      </w:r>
      <w:r w:rsidR="00B83384">
        <w:rPr>
          <w:rFonts w:cs="Arial"/>
          <w:sz w:val="20"/>
        </w:rPr>
        <w:t xml:space="preserve">c. </w:t>
      </w:r>
      <w:r w:rsidR="00B83384" w:rsidRPr="00162642">
        <w:rPr>
          <w:rFonts w:cs="Arial"/>
          <w:i/>
          <w:iCs/>
          <w:sz w:val="20"/>
        </w:rPr>
        <w:t>Procureur général du Québec</w:t>
      </w:r>
      <w:r w:rsidR="0033675D">
        <w:rPr>
          <w:rFonts w:cs="Arial"/>
          <w:sz w:val="20"/>
        </w:rPr>
        <w:t>, 2021 QCCS 4105, appel rejeté</w:t>
      </w:r>
      <w:r w:rsidR="00162642">
        <w:rPr>
          <w:rFonts w:cs="Arial"/>
          <w:sz w:val="20"/>
        </w:rPr>
        <w:t>, 2024</w:t>
      </w:r>
      <w:r w:rsidR="006A0590">
        <w:rPr>
          <w:rFonts w:cs="Arial"/>
          <w:sz w:val="20"/>
        </w:rPr>
        <w:t> </w:t>
      </w:r>
      <w:r w:rsidR="00162642">
        <w:rPr>
          <w:rFonts w:cs="Arial"/>
          <w:sz w:val="20"/>
        </w:rPr>
        <w:t>QCCA 1106.</w:t>
      </w:r>
    </w:p>
  </w:footnote>
  <w:footnote w:id="143">
    <w:p w14:paraId="21BED38E" w14:textId="493D7E2F" w:rsidR="00E613E4" w:rsidRPr="00E613E4" w:rsidRDefault="00E613E4" w:rsidP="00E613E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7A4298">
        <w:rPr>
          <w:rFonts w:cs="Arial"/>
          <w:i/>
          <w:iCs/>
          <w:sz w:val="20"/>
        </w:rPr>
        <w:t>RJR</w:t>
      </w:r>
      <w:r w:rsidRPr="007A4298">
        <w:rPr>
          <w:rFonts w:cs="Arial"/>
          <w:sz w:val="20"/>
        </w:rPr>
        <w:t>-</w:t>
      </w:r>
      <w:r w:rsidRPr="007A4298">
        <w:rPr>
          <w:rFonts w:cs="Arial"/>
          <w:i/>
          <w:iCs/>
          <w:sz w:val="20"/>
        </w:rPr>
        <w:t>Mac</w:t>
      </w:r>
      <w:r w:rsidR="008E1E92">
        <w:rPr>
          <w:rFonts w:cs="Arial"/>
          <w:i/>
          <w:iCs/>
          <w:sz w:val="20"/>
        </w:rPr>
        <w:t>D</w:t>
      </w:r>
      <w:r w:rsidRPr="007A4298">
        <w:rPr>
          <w:rFonts w:cs="Arial"/>
          <w:i/>
          <w:iCs/>
          <w:sz w:val="20"/>
        </w:rPr>
        <w:t>onald Inc</w:t>
      </w:r>
      <w:r w:rsidRPr="007A4298">
        <w:rPr>
          <w:rFonts w:cs="Arial"/>
          <w:sz w:val="20"/>
        </w:rPr>
        <w:t xml:space="preserve">. c. </w:t>
      </w:r>
      <w:r w:rsidRPr="007A4298">
        <w:rPr>
          <w:rFonts w:cs="Arial"/>
          <w:i/>
          <w:iCs/>
          <w:sz w:val="20"/>
        </w:rPr>
        <w:t>Canada (Procureur général)</w:t>
      </w:r>
      <w:r w:rsidRPr="007A4298">
        <w:rPr>
          <w:rFonts w:cs="Arial"/>
          <w:sz w:val="20"/>
        </w:rPr>
        <w:t>, [1995] 3 RCS 199</w:t>
      </w:r>
      <w:r>
        <w:rPr>
          <w:rFonts w:cs="Arial"/>
          <w:sz w:val="20"/>
        </w:rPr>
        <w:t xml:space="preserve">, par. </w:t>
      </w:r>
      <w:r w:rsidR="00126970">
        <w:rPr>
          <w:rFonts w:cs="Arial"/>
          <w:sz w:val="20"/>
        </w:rPr>
        <w:t>134</w:t>
      </w:r>
      <w:r w:rsidR="00ED2129">
        <w:rPr>
          <w:rFonts w:cs="Arial"/>
          <w:sz w:val="20"/>
        </w:rPr>
        <w:t>, l’arrêt</w:t>
      </w:r>
      <w:r w:rsidR="00ED2129" w:rsidRPr="00ED2129">
        <w:rPr>
          <w:rFonts w:cs="Arial"/>
          <w:i/>
          <w:iCs/>
          <w:sz w:val="20"/>
        </w:rPr>
        <w:t xml:space="preserve"> </w:t>
      </w:r>
      <w:r w:rsidR="00ED2129" w:rsidRPr="00880FC7">
        <w:rPr>
          <w:rFonts w:cs="Arial"/>
          <w:i/>
          <w:iCs/>
          <w:sz w:val="20"/>
        </w:rPr>
        <w:t>RJR</w:t>
      </w:r>
      <w:r w:rsidR="00880FC7">
        <w:rPr>
          <w:rFonts w:cs="Arial"/>
          <w:sz w:val="20"/>
        </w:rPr>
        <w:noBreakHyphen/>
      </w:r>
      <w:r w:rsidR="00ED2129" w:rsidRPr="00880FC7">
        <w:rPr>
          <w:rFonts w:cs="Arial"/>
          <w:i/>
          <w:iCs/>
          <w:sz w:val="20"/>
        </w:rPr>
        <w:t>Mac</w:t>
      </w:r>
      <w:r w:rsidR="008E1E92" w:rsidRPr="00880FC7">
        <w:rPr>
          <w:rFonts w:cs="Arial"/>
          <w:i/>
          <w:iCs/>
          <w:sz w:val="20"/>
        </w:rPr>
        <w:t>D</w:t>
      </w:r>
      <w:r w:rsidR="00ED2129" w:rsidRPr="00880FC7">
        <w:rPr>
          <w:rFonts w:cs="Arial"/>
          <w:i/>
          <w:iCs/>
          <w:sz w:val="20"/>
        </w:rPr>
        <w:t>onald</w:t>
      </w:r>
      <w:r w:rsidRPr="00880FC7">
        <w:rPr>
          <w:rFonts w:cs="Arial"/>
          <w:sz w:val="20"/>
        </w:rPr>
        <w:t>.</w:t>
      </w:r>
    </w:p>
  </w:footnote>
  <w:footnote w:id="144">
    <w:p w14:paraId="3495745B" w14:textId="31B735A1" w:rsidR="004A5334" w:rsidRPr="006D27D6" w:rsidRDefault="004A5334" w:rsidP="004A5334">
      <w:pPr>
        <w:pStyle w:val="Notedebasdepage"/>
        <w:tabs>
          <w:tab w:val="left" w:pos="720"/>
        </w:tabs>
        <w:ind w:left="720" w:hanging="720"/>
        <w:jc w:val="both"/>
        <w:rPr>
          <w:rFonts w:cs="Arial"/>
          <w:sz w:val="20"/>
        </w:rPr>
      </w:pPr>
      <w:r>
        <w:rPr>
          <w:rStyle w:val="Appelnotedebasdep"/>
        </w:rPr>
        <w:footnoteRef/>
      </w:r>
      <w:r w:rsidRPr="006D27D6">
        <w:t xml:space="preserve"> </w:t>
      </w:r>
      <w:r w:rsidRPr="006D27D6">
        <w:rPr>
          <w:rFonts w:cs="Arial"/>
          <w:sz w:val="20"/>
        </w:rPr>
        <w:tab/>
      </w:r>
      <w:r w:rsidR="006D27D6" w:rsidRPr="006D27D6">
        <w:rPr>
          <w:rFonts w:cs="Arial"/>
          <w:i/>
          <w:iCs/>
          <w:sz w:val="20"/>
        </w:rPr>
        <w:t>Id.</w:t>
      </w:r>
      <w:r w:rsidRPr="006D27D6">
        <w:rPr>
          <w:rFonts w:cs="Arial"/>
          <w:sz w:val="20"/>
        </w:rPr>
        <w:t>, par. 135.</w:t>
      </w:r>
    </w:p>
  </w:footnote>
  <w:footnote w:id="145">
    <w:p w14:paraId="5A71BB64" w14:textId="4521F18E" w:rsidR="006D27D6" w:rsidRPr="006D27D6" w:rsidRDefault="006D27D6" w:rsidP="006D27D6">
      <w:pPr>
        <w:pStyle w:val="Notedebasdepage"/>
        <w:tabs>
          <w:tab w:val="left" w:pos="720"/>
        </w:tabs>
        <w:ind w:left="720" w:hanging="720"/>
        <w:jc w:val="both"/>
        <w:rPr>
          <w:rFonts w:cs="Arial"/>
          <w:sz w:val="20"/>
        </w:rPr>
      </w:pPr>
      <w:r>
        <w:rPr>
          <w:rStyle w:val="Appelnotedebasdep"/>
        </w:rPr>
        <w:footnoteRef/>
      </w:r>
      <w:r>
        <w:t xml:space="preserve"> </w:t>
      </w:r>
      <w:r w:rsidRPr="006D27D6">
        <w:rPr>
          <w:rFonts w:cs="Arial"/>
          <w:sz w:val="20"/>
        </w:rPr>
        <w:tab/>
      </w:r>
      <w:r w:rsidRPr="006D27D6">
        <w:rPr>
          <w:rFonts w:cs="Arial"/>
          <w:i/>
          <w:iCs/>
          <w:sz w:val="20"/>
        </w:rPr>
        <w:t>Id.</w:t>
      </w:r>
      <w:r w:rsidRPr="006D27D6">
        <w:rPr>
          <w:rFonts w:cs="Arial"/>
          <w:sz w:val="20"/>
        </w:rPr>
        <w:t>, par. 136.</w:t>
      </w:r>
    </w:p>
  </w:footnote>
  <w:footnote w:id="146">
    <w:p w14:paraId="09E6A905" w14:textId="600CADD2" w:rsidR="0039100A" w:rsidRPr="0039100A" w:rsidRDefault="0039100A" w:rsidP="0039100A">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B52A31">
        <w:rPr>
          <w:rFonts w:cs="Arial"/>
          <w:i/>
          <w:iCs/>
          <w:sz w:val="20"/>
        </w:rPr>
        <w:t>Id</w:t>
      </w:r>
      <w:r w:rsidR="00B52A31">
        <w:rPr>
          <w:rFonts w:cs="Arial"/>
          <w:sz w:val="20"/>
        </w:rPr>
        <w:t>.</w:t>
      </w:r>
      <w:r>
        <w:rPr>
          <w:rFonts w:cs="Arial"/>
          <w:sz w:val="20"/>
        </w:rPr>
        <w:t>,</w:t>
      </w:r>
      <w:r w:rsidR="00B52A31">
        <w:rPr>
          <w:rFonts w:cs="Arial"/>
          <w:sz w:val="20"/>
        </w:rPr>
        <w:t xml:space="preserve"> </w:t>
      </w:r>
      <w:r>
        <w:rPr>
          <w:rFonts w:cs="Arial"/>
          <w:sz w:val="20"/>
        </w:rPr>
        <w:t>par. 137.</w:t>
      </w:r>
    </w:p>
  </w:footnote>
  <w:footnote w:id="147">
    <w:p w14:paraId="44F3D842" w14:textId="1AC016A6" w:rsidR="003D4257" w:rsidRPr="003D4257" w:rsidRDefault="003D4257" w:rsidP="003D4257">
      <w:pPr>
        <w:pStyle w:val="Notedebasdepage"/>
        <w:tabs>
          <w:tab w:val="left" w:pos="720"/>
        </w:tabs>
        <w:ind w:left="720" w:hanging="720"/>
        <w:jc w:val="both"/>
        <w:rPr>
          <w:rFonts w:cs="Arial"/>
          <w:sz w:val="20"/>
        </w:rPr>
      </w:pPr>
      <w:r>
        <w:rPr>
          <w:rStyle w:val="Appelnotedebasdep"/>
        </w:rPr>
        <w:footnoteRef/>
      </w:r>
      <w:r>
        <w:t xml:space="preserve"> </w:t>
      </w:r>
      <w:r w:rsidRPr="003D4257">
        <w:rPr>
          <w:rFonts w:cs="Arial"/>
          <w:sz w:val="20"/>
        </w:rPr>
        <w:tab/>
      </w:r>
      <w:r w:rsidRPr="003D4257">
        <w:rPr>
          <w:rFonts w:cs="Arial"/>
          <w:i/>
          <w:iCs/>
          <w:sz w:val="20"/>
        </w:rPr>
        <w:t>Id.</w:t>
      </w:r>
      <w:r>
        <w:rPr>
          <w:rFonts w:cs="Arial"/>
          <w:sz w:val="20"/>
        </w:rPr>
        <w:t xml:space="preserve">, par. 137, 156 et 157. </w:t>
      </w:r>
    </w:p>
  </w:footnote>
  <w:footnote w:id="148">
    <w:p w14:paraId="61A63A0E" w14:textId="0F3A74A6" w:rsidR="00FC1283" w:rsidRPr="003A62B8" w:rsidRDefault="00FC1283" w:rsidP="00FC1283">
      <w:pPr>
        <w:pStyle w:val="Notedebasdepage"/>
        <w:tabs>
          <w:tab w:val="left" w:pos="720"/>
        </w:tabs>
        <w:ind w:left="720" w:hanging="720"/>
        <w:jc w:val="both"/>
        <w:rPr>
          <w:rFonts w:cs="Arial"/>
          <w:sz w:val="20"/>
        </w:rPr>
      </w:pPr>
      <w:r>
        <w:rPr>
          <w:rStyle w:val="Appelnotedebasdep"/>
        </w:rPr>
        <w:footnoteRef/>
      </w:r>
      <w:r>
        <w:t xml:space="preserve"> </w:t>
      </w:r>
      <w:r w:rsidRPr="003A62B8">
        <w:rPr>
          <w:rFonts w:cs="Arial"/>
          <w:sz w:val="20"/>
        </w:rPr>
        <w:tab/>
      </w:r>
      <w:r w:rsidR="003A22DF">
        <w:rPr>
          <w:rFonts w:cs="Arial"/>
          <w:sz w:val="20"/>
        </w:rPr>
        <w:t xml:space="preserve">Précité, </w:t>
      </w:r>
      <w:r w:rsidRPr="003A62B8">
        <w:rPr>
          <w:rFonts w:cs="Arial"/>
          <w:sz w:val="20"/>
        </w:rPr>
        <w:t>note</w:t>
      </w:r>
      <w:r w:rsidR="003A22DF">
        <w:rPr>
          <w:rFonts w:cs="Arial"/>
          <w:sz w:val="20"/>
        </w:rPr>
        <w:t xml:space="preserve"> </w:t>
      </w:r>
      <w:r w:rsidR="006841BB">
        <w:rPr>
          <w:rFonts w:cs="Arial"/>
          <w:sz w:val="20"/>
        </w:rPr>
        <w:t>6</w:t>
      </w:r>
      <w:r w:rsidR="00C208A0">
        <w:rPr>
          <w:rFonts w:cs="Arial"/>
          <w:sz w:val="20"/>
        </w:rPr>
        <w:t>1</w:t>
      </w:r>
      <w:r w:rsidRPr="003A62B8">
        <w:rPr>
          <w:rFonts w:cs="Arial"/>
          <w:sz w:val="20"/>
        </w:rPr>
        <w:t>, par. 31</w:t>
      </w:r>
      <w:r w:rsidR="002420F1">
        <w:rPr>
          <w:rFonts w:cs="Arial"/>
          <w:sz w:val="20"/>
        </w:rPr>
        <w:t xml:space="preserve"> et</w:t>
      </w:r>
      <w:r w:rsidRPr="003A62B8">
        <w:rPr>
          <w:rFonts w:cs="Arial"/>
          <w:sz w:val="20"/>
        </w:rPr>
        <w:t xml:space="preserve"> 32.</w:t>
      </w:r>
    </w:p>
  </w:footnote>
  <w:footnote w:id="149">
    <w:p w14:paraId="4A1DFAA9" w14:textId="732864AE" w:rsidR="009C0D31" w:rsidRPr="00DB7B0D" w:rsidRDefault="009C0D31"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Par</w:t>
      </w:r>
      <w:r w:rsidR="001E5825">
        <w:rPr>
          <w:rFonts w:cs="Arial"/>
          <w:sz w:val="20"/>
        </w:rPr>
        <w:t>.</w:t>
      </w:r>
      <w:r>
        <w:rPr>
          <w:rFonts w:cs="Arial"/>
          <w:sz w:val="20"/>
        </w:rPr>
        <w:t xml:space="preserve"> 2 et 3 de </w:t>
      </w:r>
      <w:r w:rsidRPr="00762839">
        <w:rPr>
          <w:rFonts w:cs="Arial"/>
          <w:sz w:val="20"/>
        </w:rPr>
        <w:t>l’argumentation écrite</w:t>
      </w:r>
      <w:r>
        <w:rPr>
          <w:rFonts w:cs="Arial"/>
          <w:sz w:val="20"/>
        </w:rPr>
        <w:t xml:space="preserve"> du PGQ.</w:t>
      </w:r>
    </w:p>
  </w:footnote>
  <w:footnote w:id="150">
    <w:p w14:paraId="1D987219" w14:textId="6EAA780B" w:rsidR="00F52E1B" w:rsidRPr="007D139E" w:rsidRDefault="00F52E1B" w:rsidP="00F52E1B">
      <w:pPr>
        <w:pStyle w:val="Notedebasdepage"/>
        <w:tabs>
          <w:tab w:val="left" w:pos="720"/>
        </w:tabs>
        <w:ind w:left="720" w:hanging="720"/>
        <w:jc w:val="both"/>
        <w:rPr>
          <w:rFonts w:cs="Arial"/>
          <w:sz w:val="20"/>
        </w:rPr>
      </w:pPr>
      <w:r>
        <w:rPr>
          <w:rStyle w:val="Appelnotedebasdep"/>
        </w:rPr>
        <w:footnoteRef/>
      </w:r>
      <w:r>
        <w:t xml:space="preserve"> </w:t>
      </w:r>
      <w:r w:rsidRPr="007D139E">
        <w:rPr>
          <w:rFonts w:cs="Arial"/>
          <w:sz w:val="20"/>
        </w:rPr>
        <w:tab/>
        <w:t xml:space="preserve">Voir par. </w:t>
      </w:r>
      <w:r w:rsidR="006D5C69" w:rsidRPr="00C208A0">
        <w:rPr>
          <w:rFonts w:cs="Arial"/>
          <w:sz w:val="20"/>
        </w:rPr>
        <w:t>1</w:t>
      </w:r>
      <w:r w:rsidR="00C208A0" w:rsidRPr="00C208A0">
        <w:rPr>
          <w:rFonts w:cs="Arial"/>
          <w:sz w:val="20"/>
        </w:rPr>
        <w:t>3</w:t>
      </w:r>
      <w:r w:rsidR="001E5825">
        <w:rPr>
          <w:rFonts w:cs="Arial"/>
          <w:sz w:val="20"/>
        </w:rPr>
        <w:t>3</w:t>
      </w:r>
      <w:r w:rsidR="00C208A0" w:rsidRPr="00C208A0">
        <w:rPr>
          <w:rFonts w:cs="Arial"/>
          <w:sz w:val="20"/>
        </w:rPr>
        <w:t xml:space="preserve"> </w:t>
      </w:r>
      <w:r w:rsidR="00C208A0">
        <w:rPr>
          <w:rFonts w:cs="Arial"/>
          <w:sz w:val="20"/>
        </w:rPr>
        <w:t>à</w:t>
      </w:r>
      <w:r w:rsidR="00C208A0" w:rsidRPr="00C208A0">
        <w:rPr>
          <w:rFonts w:cs="Arial"/>
          <w:sz w:val="20"/>
        </w:rPr>
        <w:t xml:space="preserve"> 13</w:t>
      </w:r>
      <w:r w:rsidR="001E5825">
        <w:rPr>
          <w:rFonts w:cs="Arial"/>
          <w:sz w:val="20"/>
        </w:rPr>
        <w:t>5</w:t>
      </w:r>
      <w:r w:rsidRPr="007D139E">
        <w:rPr>
          <w:rFonts w:cs="Arial"/>
          <w:sz w:val="20"/>
        </w:rPr>
        <w:t xml:space="preserve"> de la p</w:t>
      </w:r>
      <w:r>
        <w:rPr>
          <w:rFonts w:cs="Arial"/>
          <w:sz w:val="20"/>
        </w:rPr>
        <w:t>résente décision.</w:t>
      </w:r>
    </w:p>
  </w:footnote>
  <w:footnote w:id="151">
    <w:p w14:paraId="357010DB" w14:textId="6AF6F1F5" w:rsidR="003358DF" w:rsidRPr="00B20E42" w:rsidRDefault="003358DF" w:rsidP="003358D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905910">
        <w:rPr>
          <w:rFonts w:cs="Arial"/>
          <w:i/>
          <w:iCs/>
          <w:sz w:val="20"/>
        </w:rPr>
        <w:t>Frank</w:t>
      </w:r>
      <w:r>
        <w:rPr>
          <w:rFonts w:cs="Arial"/>
          <w:sz w:val="20"/>
        </w:rPr>
        <w:t xml:space="preserve">, </w:t>
      </w:r>
      <w:r w:rsidR="00C208A0">
        <w:rPr>
          <w:rFonts w:cs="Arial"/>
          <w:sz w:val="20"/>
        </w:rPr>
        <w:t xml:space="preserve">précité, note 138, </w:t>
      </w:r>
      <w:r>
        <w:rPr>
          <w:rFonts w:cs="Arial"/>
          <w:sz w:val="20"/>
        </w:rPr>
        <w:t xml:space="preserve">par. 38, </w:t>
      </w:r>
      <w:r w:rsidR="002420F1">
        <w:rPr>
          <w:rFonts w:cs="Arial"/>
          <w:sz w:val="20"/>
        </w:rPr>
        <w:t xml:space="preserve">faisant référence </w:t>
      </w:r>
      <w:r>
        <w:rPr>
          <w:rFonts w:cs="Arial"/>
          <w:sz w:val="20"/>
        </w:rPr>
        <w:t xml:space="preserve">au par. 61 de </w:t>
      </w:r>
      <w:r w:rsidR="00C208A0">
        <w:rPr>
          <w:rFonts w:cs="Arial"/>
          <w:sz w:val="20"/>
        </w:rPr>
        <w:t>l’</w:t>
      </w:r>
      <w:r w:rsidR="00905910">
        <w:rPr>
          <w:rFonts w:cs="Arial"/>
          <w:sz w:val="20"/>
        </w:rPr>
        <w:t xml:space="preserve">arrêt </w:t>
      </w:r>
      <w:r w:rsidRPr="00905910">
        <w:rPr>
          <w:rFonts w:cs="Arial"/>
          <w:i/>
          <w:iCs/>
          <w:sz w:val="20"/>
        </w:rPr>
        <w:t>RJR-Macdonald</w:t>
      </w:r>
      <w:r>
        <w:rPr>
          <w:rFonts w:cs="Arial"/>
          <w:sz w:val="20"/>
        </w:rPr>
        <w:t xml:space="preserve">, précité, </w:t>
      </w:r>
      <w:r w:rsidR="003F3E9C">
        <w:rPr>
          <w:rFonts w:cs="Arial"/>
          <w:sz w:val="20"/>
        </w:rPr>
        <w:t xml:space="preserve">note </w:t>
      </w:r>
      <w:r w:rsidR="00C208A0">
        <w:rPr>
          <w:rFonts w:cs="Arial"/>
          <w:sz w:val="20"/>
        </w:rPr>
        <w:t>14</w:t>
      </w:r>
      <w:r w:rsidR="003F3E9C">
        <w:rPr>
          <w:rFonts w:cs="Arial"/>
          <w:sz w:val="20"/>
        </w:rPr>
        <w:t>3</w:t>
      </w:r>
      <w:r w:rsidR="00C208A0">
        <w:rPr>
          <w:rFonts w:cs="Arial"/>
          <w:sz w:val="20"/>
        </w:rPr>
        <w:t>.</w:t>
      </w:r>
    </w:p>
  </w:footnote>
  <w:footnote w:id="152">
    <w:p w14:paraId="4E3B4598" w14:textId="652BCD42" w:rsidR="00FF4E64" w:rsidRPr="003F3E9C" w:rsidRDefault="00FF4E64" w:rsidP="00FF4E64">
      <w:pPr>
        <w:pStyle w:val="Notedebasdepage"/>
        <w:tabs>
          <w:tab w:val="left" w:pos="720"/>
        </w:tabs>
        <w:ind w:left="720" w:hanging="720"/>
        <w:jc w:val="both"/>
        <w:rPr>
          <w:rFonts w:cs="Arial"/>
          <w:i/>
          <w:iCs/>
          <w:sz w:val="20"/>
          <w:lang w:val="en-CA"/>
        </w:rPr>
      </w:pPr>
      <w:r>
        <w:rPr>
          <w:rStyle w:val="Appelnotedebasdep"/>
        </w:rPr>
        <w:footnoteRef/>
      </w:r>
      <w:r w:rsidRPr="00D066B4">
        <w:rPr>
          <w:lang w:val="en-CA"/>
        </w:rPr>
        <w:t xml:space="preserve"> </w:t>
      </w:r>
      <w:r w:rsidRPr="00D066B4">
        <w:rPr>
          <w:rFonts w:cs="Arial"/>
          <w:sz w:val="20"/>
          <w:lang w:val="en-CA"/>
        </w:rPr>
        <w:tab/>
      </w:r>
      <w:r w:rsidR="00D066B4" w:rsidRPr="00B61D25">
        <w:rPr>
          <w:rFonts w:cs="Arial"/>
          <w:i/>
          <w:iCs/>
          <w:sz w:val="20"/>
          <w:lang w:val="en-CA"/>
        </w:rPr>
        <w:t xml:space="preserve">Amalgamated </w:t>
      </w:r>
      <w:r w:rsidR="003F3E9C">
        <w:rPr>
          <w:rFonts w:cs="Arial"/>
          <w:i/>
          <w:iCs/>
          <w:sz w:val="20"/>
          <w:lang w:val="en-CA"/>
        </w:rPr>
        <w:t>T</w:t>
      </w:r>
      <w:r w:rsidR="00D066B4" w:rsidRPr="00B61D25">
        <w:rPr>
          <w:rFonts w:cs="Arial"/>
          <w:i/>
          <w:iCs/>
          <w:sz w:val="20"/>
          <w:lang w:val="en-CA"/>
        </w:rPr>
        <w:t>ransit Union, Local 113</w:t>
      </w:r>
      <w:r w:rsidR="00D066B4" w:rsidRPr="00D066B4">
        <w:rPr>
          <w:rFonts w:cs="Arial"/>
          <w:sz w:val="20"/>
          <w:lang w:val="en-CA"/>
        </w:rPr>
        <w:t xml:space="preserve"> v. </w:t>
      </w:r>
      <w:r w:rsidR="00D066B4" w:rsidRPr="00B61D25">
        <w:rPr>
          <w:rFonts w:cs="Arial"/>
          <w:i/>
          <w:iCs/>
          <w:sz w:val="20"/>
          <w:lang w:val="en-CA"/>
        </w:rPr>
        <w:t>Ontario</w:t>
      </w:r>
      <w:r w:rsidR="00D066B4">
        <w:rPr>
          <w:rFonts w:cs="Arial"/>
          <w:sz w:val="20"/>
          <w:lang w:val="en-CA"/>
        </w:rPr>
        <w:t xml:space="preserve">, </w:t>
      </w:r>
      <w:r w:rsidR="00116E45" w:rsidRPr="00D066B4">
        <w:rPr>
          <w:rFonts w:cs="Arial"/>
          <w:sz w:val="20"/>
          <w:lang w:val="en-CA"/>
        </w:rPr>
        <w:t xml:space="preserve">2024 </w:t>
      </w:r>
      <w:r w:rsidR="003B1430" w:rsidRPr="00D066B4">
        <w:rPr>
          <w:rFonts w:cs="Arial"/>
          <w:sz w:val="20"/>
          <w:lang w:val="en-CA"/>
        </w:rPr>
        <w:t>O</w:t>
      </w:r>
      <w:r w:rsidR="00D066B4" w:rsidRPr="00D066B4">
        <w:rPr>
          <w:rFonts w:cs="Arial"/>
          <w:sz w:val="20"/>
          <w:lang w:val="en-CA"/>
        </w:rPr>
        <w:t>NCA</w:t>
      </w:r>
      <w:r w:rsidR="00116E45" w:rsidRPr="00D066B4">
        <w:rPr>
          <w:rFonts w:cs="Arial"/>
          <w:sz w:val="20"/>
          <w:lang w:val="en-CA"/>
        </w:rPr>
        <w:t xml:space="preserve"> 407, par. 70</w:t>
      </w:r>
      <w:r w:rsidR="003F3E9C">
        <w:rPr>
          <w:rFonts w:cs="Arial"/>
          <w:sz w:val="20"/>
          <w:lang w:val="en-CA"/>
        </w:rPr>
        <w:t xml:space="preserve">, l’arrêt </w:t>
      </w:r>
      <w:r w:rsidR="003F3E9C">
        <w:rPr>
          <w:rFonts w:cs="Arial"/>
          <w:i/>
          <w:iCs/>
          <w:sz w:val="20"/>
          <w:lang w:val="en-CA"/>
        </w:rPr>
        <w:t>Transit Union.</w:t>
      </w:r>
    </w:p>
  </w:footnote>
  <w:footnote w:id="153">
    <w:p w14:paraId="6D1456EA" w14:textId="3DEFCBF8" w:rsidR="003358DF" w:rsidRPr="007E3C57" w:rsidRDefault="003358DF" w:rsidP="003358D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794011">
        <w:rPr>
          <w:rFonts w:cs="Arial"/>
          <w:sz w:val="20"/>
        </w:rPr>
        <w:t>Alexandre MORIN, fasc. 5 :</w:t>
      </w:r>
      <w:r w:rsidR="00794011" w:rsidRPr="008748AF">
        <w:rPr>
          <w:rFonts w:cs="Arial"/>
          <w:sz w:val="20"/>
        </w:rPr>
        <w:t xml:space="preserve"> </w:t>
      </w:r>
      <w:r w:rsidR="00453DCA">
        <w:rPr>
          <w:rFonts w:cs="Arial"/>
          <w:sz w:val="20"/>
        </w:rPr>
        <w:t>« </w:t>
      </w:r>
      <w:r w:rsidR="00794011">
        <w:rPr>
          <w:rFonts w:cs="Arial"/>
          <w:sz w:val="20"/>
        </w:rPr>
        <w:t xml:space="preserve">Charte canadienne : application et structure d’une cause », dans Stéphane BEAULAC et Jean-François GAUDREAULT-DESBIENS (dir.), </w:t>
      </w:r>
      <w:r w:rsidR="00794011">
        <w:rPr>
          <w:rFonts w:cs="Arial"/>
          <w:i/>
          <w:iCs/>
          <w:sz w:val="20"/>
        </w:rPr>
        <w:t xml:space="preserve">Droit public – droit constitutionnel, </w:t>
      </w:r>
      <w:r w:rsidR="00794011">
        <w:rPr>
          <w:rFonts w:cs="Arial"/>
          <w:sz w:val="20"/>
        </w:rPr>
        <w:t>coll. « JurisClasseur Québec. Collection Droit public », Montréal, LexisNexis, 2011</w:t>
      </w:r>
      <w:r w:rsidR="00880FC7">
        <w:rPr>
          <w:rFonts w:cs="Arial"/>
          <w:sz w:val="20"/>
        </w:rPr>
        <w:t>,</w:t>
      </w:r>
      <w:r w:rsidR="00794011">
        <w:rPr>
          <w:rFonts w:cs="Arial"/>
          <w:sz w:val="20"/>
        </w:rPr>
        <w:t xml:space="preserve"> [à jour au 31 juillet 2025</w:t>
      </w:r>
      <w:r w:rsidR="00794011" w:rsidRPr="006F441F">
        <w:rPr>
          <w:rFonts w:cs="Arial"/>
          <w:sz w:val="20"/>
        </w:rPr>
        <w:t>]</w:t>
      </w:r>
      <w:r w:rsidRPr="006F441F">
        <w:rPr>
          <w:rFonts w:cs="Arial"/>
          <w:sz w:val="20"/>
        </w:rPr>
        <w:t>, p.</w:t>
      </w:r>
      <w:r w:rsidR="00451A3E" w:rsidRPr="006F441F">
        <w:rPr>
          <w:rFonts w:cs="Arial"/>
          <w:sz w:val="20"/>
        </w:rPr>
        <w:t xml:space="preserve"> </w:t>
      </w:r>
      <w:r w:rsidRPr="006F441F">
        <w:rPr>
          <w:rFonts w:cs="Arial"/>
          <w:sz w:val="20"/>
        </w:rPr>
        <w:t>8/15.</w:t>
      </w:r>
    </w:p>
  </w:footnote>
  <w:footnote w:id="154">
    <w:p w14:paraId="38E1EFF9" w14:textId="02A9BB9E" w:rsidR="00694B6F" w:rsidRPr="00DB7B0D" w:rsidRDefault="00694B6F" w:rsidP="00DB7B0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2004 CSC 33</w:t>
      </w:r>
      <w:r w:rsidR="00CA7735">
        <w:rPr>
          <w:rFonts w:cs="Arial"/>
          <w:sz w:val="20"/>
        </w:rPr>
        <w:t>,</w:t>
      </w:r>
      <w:r>
        <w:rPr>
          <w:rFonts w:cs="Arial"/>
          <w:sz w:val="20"/>
        </w:rPr>
        <w:t xml:space="preserve"> par. 25.</w:t>
      </w:r>
    </w:p>
  </w:footnote>
  <w:footnote w:id="155">
    <w:p w14:paraId="5F02A88A" w14:textId="1307D6E1" w:rsidR="00E46849" w:rsidRPr="001F5C0B" w:rsidRDefault="00E46849" w:rsidP="00E46849">
      <w:pPr>
        <w:pStyle w:val="Notedebasdepage"/>
        <w:tabs>
          <w:tab w:val="left" w:pos="720"/>
        </w:tabs>
        <w:ind w:left="720" w:hanging="720"/>
        <w:jc w:val="both"/>
        <w:rPr>
          <w:rFonts w:cs="Arial"/>
          <w:sz w:val="20"/>
        </w:rPr>
      </w:pPr>
      <w:r>
        <w:rPr>
          <w:rStyle w:val="Appelnotedebasdep"/>
        </w:rPr>
        <w:footnoteRef/>
      </w:r>
      <w:r>
        <w:t xml:space="preserve"> </w:t>
      </w:r>
      <w:r w:rsidRPr="001F5C0B">
        <w:rPr>
          <w:rFonts w:cs="Arial"/>
          <w:sz w:val="20"/>
        </w:rPr>
        <w:tab/>
      </w:r>
      <w:r w:rsidR="001F5C0B" w:rsidRPr="001F5C0B">
        <w:rPr>
          <w:rFonts w:cs="Arial"/>
          <w:sz w:val="20"/>
        </w:rPr>
        <w:t xml:space="preserve">Antoine </w:t>
      </w:r>
      <w:r w:rsidR="00ED2129">
        <w:rPr>
          <w:rFonts w:cs="Arial"/>
          <w:sz w:val="20"/>
        </w:rPr>
        <w:t>BIGENWALD</w:t>
      </w:r>
      <w:r w:rsidR="008C0F72">
        <w:rPr>
          <w:rFonts w:cs="Arial"/>
          <w:sz w:val="20"/>
        </w:rPr>
        <w:t>, « </w:t>
      </w:r>
      <w:r w:rsidR="008C0F72" w:rsidRPr="000F634C">
        <w:rPr>
          <w:rFonts w:cs="Arial"/>
          <w:sz w:val="20"/>
        </w:rPr>
        <w:t>L’évolution des objectifs législatifs en vertu de l’</w:t>
      </w:r>
      <w:r w:rsidR="006C5C87" w:rsidRPr="000F634C">
        <w:rPr>
          <w:rFonts w:cs="Arial"/>
          <w:sz w:val="20"/>
        </w:rPr>
        <w:t>a</w:t>
      </w:r>
      <w:r w:rsidR="008C0F72" w:rsidRPr="000F634C">
        <w:rPr>
          <w:rFonts w:cs="Arial"/>
          <w:sz w:val="20"/>
        </w:rPr>
        <w:t>rticle premier de la Charte canadi</w:t>
      </w:r>
      <w:r w:rsidR="006C5C87" w:rsidRPr="000F634C">
        <w:rPr>
          <w:rFonts w:cs="Arial"/>
          <w:sz w:val="20"/>
        </w:rPr>
        <w:t>e</w:t>
      </w:r>
      <w:r w:rsidR="008C0F72" w:rsidRPr="000F634C">
        <w:rPr>
          <w:rFonts w:cs="Arial"/>
          <w:sz w:val="20"/>
        </w:rPr>
        <w:t>nne des droits et libertés</w:t>
      </w:r>
      <w:r w:rsidR="008C0F72">
        <w:rPr>
          <w:rFonts w:cs="Arial"/>
          <w:sz w:val="20"/>
        </w:rPr>
        <w:t xml:space="preserve"> », </w:t>
      </w:r>
      <w:r w:rsidR="00794011" w:rsidRPr="00794011">
        <w:rPr>
          <w:rFonts w:cs="Arial"/>
          <w:sz w:val="20"/>
        </w:rPr>
        <w:t>(1994) 35 (4)</w:t>
      </w:r>
      <w:r w:rsidR="00794011">
        <w:rPr>
          <w:rFonts w:cs="Arial"/>
          <w:sz w:val="20"/>
        </w:rPr>
        <w:t xml:space="preserve"> </w:t>
      </w:r>
      <w:r w:rsidR="008C0F72" w:rsidRPr="00794011">
        <w:rPr>
          <w:rFonts w:cs="Arial"/>
          <w:i/>
          <w:iCs/>
          <w:sz w:val="20"/>
        </w:rPr>
        <w:t>Cahiers de droit</w:t>
      </w:r>
      <w:r w:rsidR="008C0F72">
        <w:rPr>
          <w:rFonts w:cs="Arial"/>
          <w:sz w:val="20"/>
        </w:rPr>
        <w:t>,</w:t>
      </w:r>
      <w:r w:rsidR="006C5C87">
        <w:rPr>
          <w:rFonts w:cs="Arial"/>
          <w:sz w:val="20"/>
        </w:rPr>
        <w:t xml:space="preserve"> </w:t>
      </w:r>
      <w:r w:rsidR="00794011">
        <w:rPr>
          <w:rFonts w:cs="Arial"/>
          <w:sz w:val="20"/>
        </w:rPr>
        <w:t>p</w:t>
      </w:r>
      <w:r w:rsidR="00004E18">
        <w:rPr>
          <w:rFonts w:cs="Arial"/>
          <w:sz w:val="20"/>
        </w:rPr>
        <w:t>p</w:t>
      </w:r>
      <w:r w:rsidR="00794011">
        <w:rPr>
          <w:rFonts w:cs="Arial"/>
          <w:sz w:val="20"/>
        </w:rPr>
        <w:t>.</w:t>
      </w:r>
      <w:r w:rsidR="0070492B">
        <w:rPr>
          <w:rFonts w:cs="Arial"/>
          <w:sz w:val="20"/>
        </w:rPr>
        <w:t>779</w:t>
      </w:r>
      <w:r w:rsidR="00F05145">
        <w:rPr>
          <w:rFonts w:cs="Arial"/>
          <w:sz w:val="20"/>
        </w:rPr>
        <w:t> </w:t>
      </w:r>
      <w:r w:rsidR="0070492B">
        <w:rPr>
          <w:rFonts w:cs="Arial"/>
          <w:sz w:val="20"/>
        </w:rPr>
        <w:t>-</w:t>
      </w:r>
      <w:r w:rsidR="00F05145">
        <w:rPr>
          <w:rFonts w:cs="Arial"/>
          <w:sz w:val="20"/>
        </w:rPr>
        <w:t> </w:t>
      </w:r>
      <w:r w:rsidR="0070492B">
        <w:rPr>
          <w:rFonts w:cs="Arial"/>
          <w:sz w:val="20"/>
        </w:rPr>
        <w:t>821</w:t>
      </w:r>
      <w:r w:rsidR="006C5C87">
        <w:rPr>
          <w:rFonts w:cs="Arial"/>
          <w:sz w:val="20"/>
        </w:rPr>
        <w:t>.</w:t>
      </w:r>
    </w:p>
  </w:footnote>
  <w:footnote w:id="156">
    <w:p w14:paraId="4D8117B3" w14:textId="2D6013B8" w:rsidR="003F7E8E" w:rsidRPr="00276677" w:rsidRDefault="003F7E8E" w:rsidP="003F7E8E">
      <w:pPr>
        <w:pStyle w:val="Notedebasdepage"/>
        <w:tabs>
          <w:tab w:val="left" w:pos="720"/>
        </w:tabs>
        <w:ind w:left="720" w:hanging="720"/>
        <w:jc w:val="both"/>
        <w:rPr>
          <w:rFonts w:cs="Arial"/>
          <w:sz w:val="20"/>
        </w:rPr>
      </w:pPr>
      <w:r>
        <w:rPr>
          <w:rStyle w:val="Appelnotedebasdep"/>
        </w:rPr>
        <w:footnoteRef/>
      </w:r>
      <w:r w:rsidRPr="00276677">
        <w:t xml:space="preserve"> </w:t>
      </w:r>
      <w:r w:rsidRPr="00276677">
        <w:rPr>
          <w:rFonts w:cs="Arial"/>
          <w:sz w:val="20"/>
        </w:rPr>
        <w:tab/>
      </w:r>
      <w:r w:rsidRPr="0053162F">
        <w:rPr>
          <w:rFonts w:cs="Arial"/>
          <w:i/>
          <w:iCs/>
          <w:sz w:val="20"/>
        </w:rPr>
        <w:t>R.</w:t>
      </w:r>
      <w:r w:rsidRPr="00276677">
        <w:rPr>
          <w:rFonts w:cs="Arial"/>
          <w:sz w:val="20"/>
        </w:rPr>
        <w:t xml:space="preserve"> c. </w:t>
      </w:r>
      <w:r w:rsidRPr="0053162F">
        <w:rPr>
          <w:rFonts w:cs="Arial"/>
          <w:i/>
          <w:iCs/>
          <w:sz w:val="20"/>
        </w:rPr>
        <w:t>Brown</w:t>
      </w:r>
      <w:r w:rsidRPr="00276677">
        <w:rPr>
          <w:rFonts w:cs="Arial"/>
          <w:sz w:val="20"/>
        </w:rPr>
        <w:t>, 2022 CSC 18, par</w:t>
      </w:r>
      <w:r>
        <w:rPr>
          <w:rFonts w:cs="Arial"/>
          <w:sz w:val="20"/>
        </w:rPr>
        <w:t>. 116</w:t>
      </w:r>
      <w:r w:rsidR="00C208A0">
        <w:rPr>
          <w:rFonts w:cs="Arial"/>
          <w:sz w:val="20"/>
        </w:rPr>
        <w:t>.</w:t>
      </w:r>
    </w:p>
  </w:footnote>
  <w:footnote w:id="157">
    <w:p w14:paraId="57FCA92A" w14:textId="77777777" w:rsidR="00584C44" w:rsidRPr="005D09C6" w:rsidRDefault="00584C44" w:rsidP="00584C44">
      <w:pPr>
        <w:pStyle w:val="Notedebasdepage"/>
        <w:tabs>
          <w:tab w:val="left" w:pos="720"/>
        </w:tabs>
        <w:ind w:left="720" w:hanging="720"/>
        <w:jc w:val="both"/>
        <w:rPr>
          <w:rFonts w:cs="Arial"/>
          <w:sz w:val="20"/>
        </w:rPr>
      </w:pPr>
      <w:r>
        <w:rPr>
          <w:rStyle w:val="Appelnotedebasdep"/>
        </w:rPr>
        <w:footnoteRef/>
      </w:r>
      <w:r>
        <w:t xml:space="preserve"> </w:t>
      </w:r>
      <w:r w:rsidRPr="005D09C6">
        <w:rPr>
          <w:rFonts w:cs="Arial"/>
          <w:sz w:val="20"/>
        </w:rPr>
        <w:tab/>
      </w:r>
      <w:r>
        <w:rPr>
          <w:rFonts w:cs="Arial"/>
          <w:sz w:val="20"/>
        </w:rPr>
        <w:t>Rapport d’expertise, p. 8.</w:t>
      </w:r>
    </w:p>
  </w:footnote>
  <w:footnote w:id="158">
    <w:p w14:paraId="47EA6CF1" w14:textId="403DF2A3" w:rsidR="00584C44" w:rsidRPr="005C44C8" w:rsidRDefault="00584C44" w:rsidP="00584C44">
      <w:pPr>
        <w:pStyle w:val="Notedebasdepage"/>
        <w:tabs>
          <w:tab w:val="left" w:pos="720"/>
        </w:tabs>
        <w:ind w:left="720" w:hanging="720"/>
        <w:jc w:val="both"/>
        <w:rPr>
          <w:rFonts w:cs="Arial"/>
          <w:sz w:val="20"/>
        </w:rPr>
      </w:pPr>
      <w:r>
        <w:rPr>
          <w:rStyle w:val="Appelnotedebasdep"/>
        </w:rPr>
        <w:footnoteRef/>
      </w:r>
      <w:r>
        <w:t xml:space="preserve"> </w:t>
      </w:r>
      <w:r w:rsidRPr="005C44C8">
        <w:rPr>
          <w:rFonts w:cs="Arial"/>
          <w:sz w:val="20"/>
        </w:rPr>
        <w:tab/>
        <w:t xml:space="preserve">Voir par. </w:t>
      </w:r>
      <w:r w:rsidR="00C208A0">
        <w:rPr>
          <w:rFonts w:cs="Arial"/>
          <w:sz w:val="20"/>
        </w:rPr>
        <w:t>14</w:t>
      </w:r>
      <w:r w:rsidR="00CA7735">
        <w:rPr>
          <w:rFonts w:cs="Arial"/>
          <w:sz w:val="20"/>
        </w:rPr>
        <w:t>4</w:t>
      </w:r>
      <w:r w:rsidR="00C208A0">
        <w:rPr>
          <w:rFonts w:cs="Arial"/>
          <w:sz w:val="20"/>
        </w:rPr>
        <w:t xml:space="preserve"> et 14</w:t>
      </w:r>
      <w:r w:rsidR="00CA7735">
        <w:rPr>
          <w:rFonts w:cs="Arial"/>
          <w:sz w:val="20"/>
        </w:rPr>
        <w:t>5</w:t>
      </w:r>
      <w:r>
        <w:rPr>
          <w:rFonts w:cs="Arial"/>
          <w:sz w:val="20"/>
        </w:rPr>
        <w:t xml:space="preserve"> d</w:t>
      </w:r>
      <w:r w:rsidRPr="005C44C8">
        <w:rPr>
          <w:rFonts w:cs="Arial"/>
          <w:sz w:val="20"/>
        </w:rPr>
        <w:t>e la présente d</w:t>
      </w:r>
      <w:r>
        <w:rPr>
          <w:rFonts w:cs="Arial"/>
          <w:sz w:val="20"/>
        </w:rPr>
        <w:t>écision.</w:t>
      </w:r>
    </w:p>
  </w:footnote>
  <w:footnote w:id="159">
    <w:p w14:paraId="7C78291B" w14:textId="436E02D1" w:rsidR="00C208A0" w:rsidRPr="00457F0E" w:rsidRDefault="00C208A0" w:rsidP="00C208A0">
      <w:pPr>
        <w:pStyle w:val="Notedebasdepage"/>
        <w:tabs>
          <w:tab w:val="left" w:pos="720"/>
        </w:tabs>
        <w:ind w:left="720" w:hanging="720"/>
        <w:jc w:val="both"/>
        <w:rPr>
          <w:rFonts w:cs="Arial"/>
          <w:sz w:val="20"/>
        </w:rPr>
      </w:pPr>
      <w:r>
        <w:rPr>
          <w:rStyle w:val="Appelnotedebasdep"/>
        </w:rPr>
        <w:footnoteRef/>
      </w:r>
      <w:r w:rsidRPr="00457F0E">
        <w:t xml:space="preserve"> </w:t>
      </w:r>
      <w:r w:rsidRPr="00457F0E">
        <w:rPr>
          <w:rFonts w:cs="Arial"/>
          <w:sz w:val="20"/>
        </w:rPr>
        <w:tab/>
      </w:r>
      <w:r w:rsidR="00B51655">
        <w:rPr>
          <w:rFonts w:cs="Arial"/>
          <w:sz w:val="20"/>
        </w:rPr>
        <w:t xml:space="preserve">Arrêt </w:t>
      </w:r>
      <w:r w:rsidR="002238CA">
        <w:rPr>
          <w:rFonts w:cs="Arial"/>
          <w:i/>
          <w:iCs/>
          <w:sz w:val="20"/>
        </w:rPr>
        <w:t>T</w:t>
      </w:r>
      <w:r w:rsidR="00457F0E" w:rsidRPr="00457F0E">
        <w:rPr>
          <w:rFonts w:cs="Arial"/>
          <w:i/>
          <w:iCs/>
          <w:sz w:val="20"/>
        </w:rPr>
        <w:t>ransit Union</w:t>
      </w:r>
      <w:r w:rsidR="00457F0E" w:rsidRPr="00457F0E">
        <w:rPr>
          <w:rFonts w:cs="Arial"/>
          <w:sz w:val="20"/>
        </w:rPr>
        <w:t>, précité, note 152.</w:t>
      </w:r>
    </w:p>
  </w:footnote>
  <w:footnote w:id="160">
    <w:p w14:paraId="322D915A" w14:textId="77777777" w:rsidR="0050281B" w:rsidRPr="00516D20" w:rsidRDefault="0050281B" w:rsidP="0050281B">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Par. 180 de l’argumentation du PGQ.</w:t>
      </w:r>
    </w:p>
  </w:footnote>
  <w:footnote w:id="161">
    <w:p w14:paraId="13E040BD" w14:textId="14AC233D" w:rsidR="0050281B" w:rsidRPr="009A4F36" w:rsidRDefault="0050281B" w:rsidP="0050281B">
      <w:pPr>
        <w:pStyle w:val="Notedebasdepage"/>
        <w:tabs>
          <w:tab w:val="left" w:pos="720"/>
        </w:tabs>
        <w:ind w:left="720" w:hanging="720"/>
        <w:jc w:val="both"/>
        <w:rPr>
          <w:rFonts w:cs="Arial"/>
          <w:sz w:val="20"/>
        </w:rPr>
      </w:pPr>
      <w:r>
        <w:rPr>
          <w:rStyle w:val="Appelnotedebasdep"/>
        </w:rPr>
        <w:footnoteRef/>
      </w:r>
      <w:r>
        <w:t xml:space="preserve"> </w:t>
      </w:r>
      <w:r w:rsidRPr="009A4F36">
        <w:rPr>
          <w:rFonts w:cs="Arial"/>
          <w:sz w:val="20"/>
        </w:rPr>
        <w:tab/>
      </w:r>
      <w:r w:rsidRPr="006F441F">
        <w:rPr>
          <w:rFonts w:cs="Arial"/>
          <w:sz w:val="20"/>
        </w:rPr>
        <w:t>OCDE (2024)</w:t>
      </w:r>
      <w:r w:rsidRPr="002E4185">
        <w:rPr>
          <w:rFonts w:cs="Arial"/>
          <w:sz w:val="20"/>
        </w:rPr>
        <w:t>, Comment la vie? 2024-(version abrégée) :</w:t>
      </w:r>
      <w:r>
        <w:rPr>
          <w:rFonts w:cs="Arial"/>
          <w:sz w:val="20"/>
        </w:rPr>
        <w:t xml:space="preserve"> b</w:t>
      </w:r>
      <w:r w:rsidRPr="009A4F36">
        <w:rPr>
          <w:rFonts w:cs="Arial"/>
          <w:sz w:val="20"/>
        </w:rPr>
        <w:t>ien-</w:t>
      </w:r>
      <w:r>
        <w:rPr>
          <w:rFonts w:cs="Arial"/>
          <w:sz w:val="20"/>
        </w:rPr>
        <w:t xml:space="preserve">être et résilience en temps de crise, Éditions OCDE, Paris, </w:t>
      </w:r>
      <w:hyperlink r:id="rId1" w:history="1">
        <w:r w:rsidRPr="00C16821">
          <w:rPr>
            <w:rStyle w:val="Hyperlien"/>
            <w:rFonts w:cs="Arial"/>
            <w:color w:val="auto"/>
            <w:sz w:val="20"/>
          </w:rPr>
          <w:t>https://doi.org/10.1787/bc0cfa41-fr</w:t>
        </w:r>
      </w:hyperlink>
      <w:r w:rsidRPr="00C16821">
        <w:rPr>
          <w:rFonts w:cs="Arial"/>
          <w:sz w:val="20"/>
        </w:rPr>
        <w:t xml:space="preserve">; </w:t>
      </w:r>
      <w:r>
        <w:rPr>
          <w:rFonts w:cs="Arial"/>
          <w:sz w:val="20"/>
        </w:rPr>
        <w:t xml:space="preserve">Recommandation (n°202) sur les socles de protection sociale de l’Organisation internationale du travail, 2012; </w:t>
      </w:r>
      <w:r w:rsidRPr="00DA2C0E">
        <w:rPr>
          <w:rFonts w:cs="Arial"/>
          <w:sz w:val="20"/>
        </w:rPr>
        <w:t xml:space="preserve">Résumé analytique du </w:t>
      </w:r>
      <w:r>
        <w:rPr>
          <w:rFonts w:cs="Arial"/>
          <w:sz w:val="20"/>
        </w:rPr>
        <w:t>R</w:t>
      </w:r>
      <w:r w:rsidRPr="00DA2C0E">
        <w:rPr>
          <w:rFonts w:cs="Arial"/>
          <w:sz w:val="20"/>
        </w:rPr>
        <w:t>apport mondial sur l</w:t>
      </w:r>
      <w:r>
        <w:rPr>
          <w:rFonts w:cs="Arial"/>
          <w:sz w:val="20"/>
        </w:rPr>
        <w:t>a</w:t>
      </w:r>
      <w:r w:rsidRPr="00DA2C0E">
        <w:rPr>
          <w:rFonts w:cs="Arial"/>
          <w:sz w:val="20"/>
        </w:rPr>
        <w:t xml:space="preserve"> protection sociale 2020-2022 de l’</w:t>
      </w:r>
      <w:r>
        <w:rPr>
          <w:rFonts w:cs="Arial"/>
          <w:sz w:val="20"/>
        </w:rPr>
        <w:t xml:space="preserve">Organisation internationale du travail; OCDE (2022), </w:t>
      </w:r>
      <w:r w:rsidRPr="003D4257">
        <w:rPr>
          <w:rFonts w:cs="Arial"/>
          <w:i/>
          <w:iCs/>
          <w:sz w:val="20"/>
        </w:rPr>
        <w:t>Recueil des pratiques des organisations internationales</w:t>
      </w:r>
      <w:r>
        <w:rPr>
          <w:rFonts w:cs="Arial"/>
          <w:sz w:val="20"/>
        </w:rPr>
        <w:t xml:space="preserve"> :  </w:t>
      </w:r>
      <w:r w:rsidRPr="003D4257">
        <w:rPr>
          <w:rFonts w:cs="Arial"/>
          <w:i/>
          <w:iCs/>
          <w:sz w:val="20"/>
        </w:rPr>
        <w:t>Œuvrer à l’élaboration d’instruments internationaux plus efficaces</w:t>
      </w:r>
      <w:r>
        <w:rPr>
          <w:rFonts w:cs="Arial"/>
          <w:sz w:val="20"/>
        </w:rPr>
        <w:t xml:space="preserve">, Éditions OCDE, Paris, </w:t>
      </w:r>
      <w:hyperlink r:id="rId2" w:history="1">
        <w:r w:rsidRPr="00C16821">
          <w:rPr>
            <w:rStyle w:val="Hyperlien"/>
            <w:rFonts w:cs="Arial"/>
            <w:color w:val="auto"/>
            <w:sz w:val="20"/>
          </w:rPr>
          <w:t>https://doi.org/10.1787/b700868a-fr</w:t>
        </w:r>
      </w:hyperlink>
      <w:r w:rsidRPr="00C16821">
        <w:rPr>
          <w:rFonts w:cs="Arial"/>
          <w:sz w:val="20"/>
        </w:rPr>
        <w:t xml:space="preserve">; </w:t>
      </w:r>
      <w:r>
        <w:rPr>
          <w:rFonts w:cs="Arial"/>
          <w:sz w:val="20"/>
        </w:rPr>
        <w:t xml:space="preserve">Convention internationale des droits de l’enfant - </w:t>
      </w:r>
      <w:r w:rsidRPr="005D2895">
        <w:rPr>
          <w:rFonts w:cs="Arial"/>
          <w:sz w:val="20"/>
        </w:rPr>
        <w:t>Unicef-</w:t>
      </w:r>
      <w:r>
        <w:rPr>
          <w:rFonts w:cs="Arial"/>
          <w:sz w:val="20"/>
        </w:rPr>
        <w:t xml:space="preserve">; Déclaration universelle des droit de l’homme - </w:t>
      </w:r>
      <w:r w:rsidRPr="005D2895">
        <w:rPr>
          <w:rFonts w:cs="Arial"/>
          <w:sz w:val="20"/>
        </w:rPr>
        <w:t>Nations Unies</w:t>
      </w:r>
      <w:r>
        <w:rPr>
          <w:rFonts w:cs="Arial"/>
          <w:sz w:val="20"/>
        </w:rPr>
        <w:t>.</w:t>
      </w:r>
    </w:p>
  </w:footnote>
  <w:footnote w:id="162">
    <w:p w14:paraId="1D205A38" w14:textId="1B2D852B" w:rsidR="0050281B" w:rsidRPr="0063587C" w:rsidRDefault="0050281B" w:rsidP="0050281B">
      <w:pPr>
        <w:pStyle w:val="Notedebasdepage"/>
        <w:tabs>
          <w:tab w:val="left" w:pos="720"/>
        </w:tabs>
        <w:ind w:left="720" w:hanging="720"/>
        <w:jc w:val="both"/>
        <w:rPr>
          <w:rFonts w:cs="Arial"/>
          <w:sz w:val="20"/>
        </w:rPr>
      </w:pPr>
      <w:r w:rsidRPr="0063587C">
        <w:rPr>
          <w:rStyle w:val="Appelnotedebasdep"/>
        </w:rPr>
        <w:footnoteRef/>
      </w:r>
      <w:r w:rsidRPr="0063587C">
        <w:t xml:space="preserve"> </w:t>
      </w:r>
      <w:r w:rsidRPr="0063587C">
        <w:rPr>
          <w:rFonts w:cs="Arial"/>
          <w:sz w:val="20"/>
        </w:rPr>
        <w:tab/>
        <w:t>Voir par</w:t>
      </w:r>
      <w:r w:rsidR="00794011" w:rsidRPr="0063587C">
        <w:rPr>
          <w:rFonts w:cs="Arial"/>
          <w:sz w:val="20"/>
        </w:rPr>
        <w:t>.</w:t>
      </w:r>
      <w:r w:rsidRPr="0063587C">
        <w:rPr>
          <w:rFonts w:cs="Arial"/>
          <w:sz w:val="20"/>
        </w:rPr>
        <w:t xml:space="preserve"> 57 et 65 et 121 et ss. de la décision d’assujettissement, précitée, note 4.</w:t>
      </w:r>
    </w:p>
  </w:footnote>
  <w:footnote w:id="163">
    <w:p w14:paraId="0339F00F" w14:textId="3840B94C" w:rsidR="00B274AE" w:rsidRPr="0063587C" w:rsidRDefault="00B274AE" w:rsidP="00E14206">
      <w:pPr>
        <w:pStyle w:val="Notedebasdepage"/>
        <w:tabs>
          <w:tab w:val="left" w:pos="720"/>
        </w:tabs>
        <w:ind w:left="720" w:hanging="720"/>
        <w:jc w:val="both"/>
        <w:rPr>
          <w:rFonts w:cs="Arial"/>
          <w:sz w:val="20"/>
        </w:rPr>
      </w:pPr>
      <w:r w:rsidRPr="0063587C">
        <w:rPr>
          <w:rStyle w:val="Appelnotedebasdep"/>
        </w:rPr>
        <w:footnoteRef/>
      </w:r>
      <w:r w:rsidRPr="0063587C">
        <w:t xml:space="preserve"> </w:t>
      </w:r>
      <w:r w:rsidRPr="0063587C">
        <w:rPr>
          <w:rFonts w:cs="Arial"/>
          <w:sz w:val="20"/>
        </w:rPr>
        <w:tab/>
      </w:r>
      <w:r w:rsidR="007A078E" w:rsidRPr="0063587C">
        <w:rPr>
          <w:rFonts w:cs="Arial"/>
          <w:sz w:val="20"/>
        </w:rPr>
        <w:t>Transcription de la conférence de presse de M. Jean Boulet, ministre du Travail, le mercredi 19</w:t>
      </w:r>
      <w:r w:rsidR="009C6EA2" w:rsidRPr="0063587C">
        <w:rPr>
          <w:rFonts w:cs="Arial"/>
          <w:sz w:val="20"/>
        </w:rPr>
        <w:t> </w:t>
      </w:r>
      <w:r w:rsidR="007A078E" w:rsidRPr="0063587C">
        <w:rPr>
          <w:rFonts w:cs="Arial"/>
          <w:sz w:val="20"/>
        </w:rPr>
        <w:t>février 2025,</w:t>
      </w:r>
      <w:r w:rsidR="009C6EA2" w:rsidRPr="0063587C">
        <w:rPr>
          <w:rFonts w:cs="Arial"/>
          <w:sz w:val="20"/>
        </w:rPr>
        <w:t xml:space="preserve"> à </w:t>
      </w:r>
      <w:r w:rsidR="007A078E" w:rsidRPr="0063587C">
        <w:rPr>
          <w:rFonts w:cs="Arial"/>
          <w:sz w:val="20"/>
        </w:rPr>
        <w:t>11</w:t>
      </w:r>
      <w:r w:rsidR="009C6EA2" w:rsidRPr="0063587C">
        <w:rPr>
          <w:rFonts w:cs="Arial"/>
          <w:sz w:val="20"/>
        </w:rPr>
        <w:t> </w:t>
      </w:r>
      <w:r w:rsidR="007A078E" w:rsidRPr="0063587C">
        <w:rPr>
          <w:rFonts w:cs="Arial"/>
          <w:sz w:val="20"/>
        </w:rPr>
        <w:t>h</w:t>
      </w:r>
      <w:r w:rsidR="009C6EA2" w:rsidRPr="0063587C">
        <w:rPr>
          <w:rFonts w:cs="Arial"/>
          <w:sz w:val="20"/>
        </w:rPr>
        <w:t> </w:t>
      </w:r>
      <w:r w:rsidR="007A078E" w:rsidRPr="0063587C">
        <w:rPr>
          <w:rFonts w:cs="Arial"/>
          <w:sz w:val="20"/>
        </w:rPr>
        <w:t>30</w:t>
      </w:r>
      <w:r w:rsidR="009C6EA2" w:rsidRPr="0063587C">
        <w:rPr>
          <w:rFonts w:cs="Arial"/>
          <w:sz w:val="20"/>
        </w:rPr>
        <w:t>,</w:t>
      </w:r>
      <w:r w:rsidR="007A078E" w:rsidRPr="0063587C">
        <w:rPr>
          <w:rFonts w:cs="Arial"/>
          <w:sz w:val="20"/>
        </w:rPr>
        <w:t xml:space="preserve"> tenue à l’occasion du dépôt du projet de loi n°89.</w:t>
      </w:r>
      <w:r w:rsidR="008006A3" w:rsidRPr="0063587C">
        <w:rPr>
          <w:rFonts w:cs="Arial"/>
          <w:sz w:val="20"/>
        </w:rPr>
        <w:t xml:space="preserve"> </w:t>
      </w:r>
      <w:r w:rsidR="00C8738E" w:rsidRPr="0063587C">
        <w:rPr>
          <w:rFonts w:cs="Arial"/>
          <w:sz w:val="20"/>
        </w:rPr>
        <w:t>Voir également</w:t>
      </w:r>
      <w:r w:rsidR="00E14206" w:rsidRPr="0063587C">
        <w:rPr>
          <w:rFonts w:cs="Arial"/>
          <w:sz w:val="20"/>
        </w:rPr>
        <w:t xml:space="preserve"> QUÉBEC, ASSEMBLÉE NATIONALE, </w:t>
      </w:r>
      <w:r w:rsidR="00E14206" w:rsidRPr="0063587C">
        <w:rPr>
          <w:rFonts w:cs="Arial"/>
          <w:i/>
          <w:iCs/>
          <w:sz w:val="20"/>
        </w:rPr>
        <w:t>Journal des débats de la Commission de l’économie et du travail</w:t>
      </w:r>
      <w:r w:rsidR="00E14206" w:rsidRPr="0063587C">
        <w:rPr>
          <w:rFonts w:cs="Arial"/>
          <w:sz w:val="20"/>
        </w:rPr>
        <w:t>, 1</w:t>
      </w:r>
      <w:r w:rsidR="0063587C" w:rsidRPr="0063587C">
        <w:rPr>
          <w:rFonts w:cs="Arial"/>
          <w:sz w:val="20"/>
          <w:vertAlign w:val="superscript"/>
        </w:rPr>
        <w:t>re</w:t>
      </w:r>
      <w:r w:rsidR="00E14206" w:rsidRPr="0063587C">
        <w:rPr>
          <w:rFonts w:cs="Arial"/>
          <w:sz w:val="20"/>
        </w:rPr>
        <w:t xml:space="preserve"> session, 43</w:t>
      </w:r>
      <w:r w:rsidR="00E14206" w:rsidRPr="0063587C">
        <w:rPr>
          <w:rFonts w:cs="Arial"/>
          <w:sz w:val="20"/>
          <w:vertAlign w:val="superscript"/>
        </w:rPr>
        <w:t>e</w:t>
      </w:r>
      <w:r w:rsidR="00E14206" w:rsidRPr="0063587C">
        <w:rPr>
          <w:rFonts w:cs="Arial"/>
          <w:sz w:val="20"/>
        </w:rPr>
        <w:t xml:space="preserve"> législature, vol. 47, n° 97, 22 avril 2025 « Étude détaillée du projet de loi n</w:t>
      </w:r>
      <w:r w:rsidR="006E6ABF" w:rsidRPr="0063587C">
        <w:rPr>
          <w:rFonts w:cs="Arial"/>
          <w:sz w:val="20"/>
        </w:rPr>
        <w:t>°</w:t>
      </w:r>
      <w:r w:rsidR="00E14206" w:rsidRPr="0063587C">
        <w:rPr>
          <w:rFonts w:cs="Arial"/>
          <w:sz w:val="20"/>
        </w:rPr>
        <w:t xml:space="preserve">89, </w:t>
      </w:r>
      <w:r w:rsidR="00E14206" w:rsidRPr="0063587C">
        <w:rPr>
          <w:rFonts w:cs="Arial"/>
          <w:iCs/>
          <w:sz w:val="20"/>
        </w:rPr>
        <w:t>Loi visant à considérer davantage les besoins de la population en cas de grève ou de lock</w:t>
      </w:r>
      <w:r w:rsidR="00E14206" w:rsidRPr="0063587C">
        <w:rPr>
          <w:rFonts w:cs="Arial"/>
          <w:iCs/>
          <w:sz w:val="20"/>
        </w:rPr>
        <w:noBreakHyphen/>
        <w:t>out</w:t>
      </w:r>
      <w:r w:rsidR="00E14206" w:rsidRPr="0063587C">
        <w:rPr>
          <w:rFonts w:cs="Arial"/>
          <w:i/>
          <w:sz w:val="20"/>
        </w:rPr>
        <w:t> </w:t>
      </w:r>
      <w:r w:rsidR="00E14206" w:rsidRPr="0063587C">
        <w:rPr>
          <w:rFonts w:cs="Arial"/>
          <w:iCs/>
          <w:sz w:val="20"/>
        </w:rPr>
        <w:t xml:space="preserve">»; QUÉBEC, ASSEMBLÉE NATIONALE, </w:t>
      </w:r>
      <w:r w:rsidR="00E14206" w:rsidRPr="0063587C">
        <w:rPr>
          <w:rFonts w:cs="Arial"/>
          <w:i/>
          <w:iCs/>
          <w:sz w:val="20"/>
        </w:rPr>
        <w:t>Journal des débats de l’</w:t>
      </w:r>
      <w:r w:rsidR="007D7C3C" w:rsidRPr="0063587C">
        <w:rPr>
          <w:rFonts w:cs="Arial"/>
          <w:i/>
          <w:iCs/>
          <w:sz w:val="20"/>
        </w:rPr>
        <w:t>A</w:t>
      </w:r>
      <w:r w:rsidR="00E14206" w:rsidRPr="0063587C">
        <w:rPr>
          <w:rFonts w:cs="Arial"/>
          <w:i/>
          <w:iCs/>
          <w:sz w:val="20"/>
        </w:rPr>
        <w:t xml:space="preserve">ssemblée nationale, </w:t>
      </w:r>
      <w:r w:rsidR="00E14206" w:rsidRPr="0063587C">
        <w:rPr>
          <w:rFonts w:cs="Arial"/>
          <w:sz w:val="20"/>
        </w:rPr>
        <w:t>1</w:t>
      </w:r>
      <w:r w:rsidR="00605A81" w:rsidRPr="00605A81">
        <w:rPr>
          <w:rFonts w:cs="Arial"/>
          <w:sz w:val="20"/>
          <w:vertAlign w:val="superscript"/>
        </w:rPr>
        <w:t>re</w:t>
      </w:r>
      <w:r w:rsidR="00E14206" w:rsidRPr="0063587C">
        <w:rPr>
          <w:rFonts w:cs="Arial"/>
          <w:sz w:val="20"/>
        </w:rPr>
        <w:t xml:space="preserve"> session, 43</w:t>
      </w:r>
      <w:r w:rsidR="00E14206" w:rsidRPr="0063587C">
        <w:rPr>
          <w:rFonts w:cs="Arial"/>
          <w:sz w:val="20"/>
          <w:vertAlign w:val="superscript"/>
        </w:rPr>
        <w:t>e</w:t>
      </w:r>
      <w:r w:rsidR="00E14206" w:rsidRPr="0063587C">
        <w:rPr>
          <w:rFonts w:cs="Arial"/>
          <w:sz w:val="20"/>
        </w:rPr>
        <w:t xml:space="preserve"> législature, vol. 47, N°214, 27 mai 2025, «</w:t>
      </w:r>
      <w:r w:rsidR="009C6EA2" w:rsidRPr="0063587C">
        <w:rPr>
          <w:rFonts w:cs="Arial"/>
          <w:sz w:val="20"/>
        </w:rPr>
        <w:t> </w:t>
      </w:r>
      <w:r w:rsidR="00E14206" w:rsidRPr="0063587C">
        <w:rPr>
          <w:rFonts w:cs="Arial"/>
          <w:sz w:val="20"/>
        </w:rPr>
        <w:t>Projet de loi n°89, prise en considération du rapport de la commission qui en a fait l’étude détaillée</w:t>
      </w:r>
      <w:r w:rsidR="009C6EA2" w:rsidRPr="0063587C">
        <w:rPr>
          <w:rFonts w:cs="Arial"/>
          <w:i/>
          <w:iCs/>
          <w:sz w:val="20"/>
        </w:rPr>
        <w:t> </w:t>
      </w:r>
      <w:r w:rsidR="00E14206" w:rsidRPr="0063587C">
        <w:rPr>
          <w:rFonts w:cs="Arial"/>
          <w:sz w:val="20"/>
        </w:rPr>
        <w:t xml:space="preserve">»; </w:t>
      </w:r>
      <w:r w:rsidR="00E14206" w:rsidRPr="0063587C">
        <w:rPr>
          <w:rFonts w:cs="Arial"/>
          <w:iCs/>
          <w:sz w:val="20"/>
        </w:rPr>
        <w:t xml:space="preserve">QUÉBEC, ASSEMBLÉE NATIONALE, </w:t>
      </w:r>
      <w:r w:rsidR="00E14206" w:rsidRPr="0063587C">
        <w:rPr>
          <w:rFonts w:cs="Arial"/>
          <w:i/>
          <w:iCs/>
          <w:sz w:val="20"/>
        </w:rPr>
        <w:t>Journal des débats de l’</w:t>
      </w:r>
      <w:r w:rsidR="007D7C3C" w:rsidRPr="0063587C">
        <w:rPr>
          <w:rFonts w:cs="Arial"/>
          <w:i/>
          <w:iCs/>
          <w:sz w:val="20"/>
        </w:rPr>
        <w:t>A</w:t>
      </w:r>
      <w:r w:rsidR="00E14206" w:rsidRPr="0063587C">
        <w:rPr>
          <w:rFonts w:cs="Arial"/>
          <w:i/>
          <w:iCs/>
          <w:sz w:val="20"/>
        </w:rPr>
        <w:t xml:space="preserve">ssemblée nationale, </w:t>
      </w:r>
      <w:r w:rsidR="00E14206" w:rsidRPr="0063587C">
        <w:rPr>
          <w:rFonts w:cs="Arial"/>
          <w:sz w:val="20"/>
        </w:rPr>
        <w:t>1</w:t>
      </w:r>
      <w:r w:rsidR="00FB703E" w:rsidRPr="003A4DF5">
        <w:rPr>
          <w:rFonts w:cs="Arial"/>
          <w:sz w:val="20"/>
          <w:vertAlign w:val="superscript"/>
        </w:rPr>
        <w:t>re</w:t>
      </w:r>
      <w:r w:rsidR="00E14206" w:rsidRPr="0063587C">
        <w:rPr>
          <w:rFonts w:cs="Arial"/>
          <w:sz w:val="20"/>
        </w:rPr>
        <w:t xml:space="preserve"> session, 43</w:t>
      </w:r>
      <w:r w:rsidR="00E14206" w:rsidRPr="0063587C">
        <w:rPr>
          <w:rFonts w:cs="Arial"/>
          <w:sz w:val="20"/>
          <w:vertAlign w:val="superscript"/>
        </w:rPr>
        <w:t>e</w:t>
      </w:r>
      <w:r w:rsidR="00E14206" w:rsidRPr="0063587C">
        <w:rPr>
          <w:rFonts w:cs="Arial"/>
          <w:sz w:val="20"/>
        </w:rPr>
        <w:t xml:space="preserve"> législature, vol. 47, N°215, 28 mai 2025</w:t>
      </w:r>
      <w:r w:rsidR="007D7C3C" w:rsidRPr="0063587C">
        <w:rPr>
          <w:rFonts w:cs="Arial"/>
          <w:sz w:val="20"/>
        </w:rPr>
        <w:t>.</w:t>
      </w:r>
    </w:p>
  </w:footnote>
  <w:footnote w:id="164">
    <w:p w14:paraId="08A8FF80" w14:textId="637F1029" w:rsidR="007B705B" w:rsidRPr="00B9624C" w:rsidRDefault="007B705B" w:rsidP="007B705B">
      <w:pPr>
        <w:pStyle w:val="Notedebasdepage"/>
        <w:tabs>
          <w:tab w:val="left" w:pos="720"/>
        </w:tabs>
        <w:ind w:left="720" w:hanging="720"/>
        <w:jc w:val="both"/>
        <w:rPr>
          <w:rFonts w:cs="Arial"/>
          <w:sz w:val="20"/>
        </w:rPr>
      </w:pPr>
      <w:r w:rsidRPr="0063587C">
        <w:rPr>
          <w:rStyle w:val="Appelnotedebasdep"/>
        </w:rPr>
        <w:footnoteRef/>
      </w:r>
      <w:r w:rsidRPr="0063587C">
        <w:t xml:space="preserve"> </w:t>
      </w:r>
      <w:r w:rsidRPr="0063587C">
        <w:rPr>
          <w:rFonts w:cs="Arial"/>
          <w:sz w:val="20"/>
        </w:rPr>
        <w:tab/>
        <w:t xml:space="preserve">QUÉBEC, ASSEMBLÉE NATIONALE, </w:t>
      </w:r>
      <w:r w:rsidRPr="0063587C">
        <w:rPr>
          <w:rFonts w:cs="Arial"/>
          <w:i/>
          <w:iCs/>
          <w:sz w:val="20"/>
        </w:rPr>
        <w:t>Journal de débats de la Commission de l’économie et du travail</w:t>
      </w:r>
      <w:r w:rsidRPr="0063587C">
        <w:rPr>
          <w:rFonts w:cs="Arial"/>
          <w:sz w:val="20"/>
        </w:rPr>
        <w:t>, 1</w:t>
      </w:r>
      <w:r w:rsidR="0063587C" w:rsidRPr="0063587C">
        <w:rPr>
          <w:rFonts w:cs="Arial"/>
          <w:sz w:val="20"/>
          <w:vertAlign w:val="superscript"/>
        </w:rPr>
        <w:t>re</w:t>
      </w:r>
      <w:r w:rsidRPr="0063587C">
        <w:rPr>
          <w:rFonts w:cs="Arial"/>
          <w:sz w:val="20"/>
        </w:rPr>
        <w:t xml:space="preserve"> session, 43</w:t>
      </w:r>
      <w:r w:rsidRPr="0063587C">
        <w:rPr>
          <w:rFonts w:cs="Arial"/>
          <w:sz w:val="20"/>
          <w:vertAlign w:val="superscript"/>
        </w:rPr>
        <w:t>e</w:t>
      </w:r>
      <w:r w:rsidRPr="0063587C">
        <w:rPr>
          <w:rFonts w:cs="Arial"/>
          <w:sz w:val="20"/>
        </w:rPr>
        <w:t xml:space="preserve"> législature, vol. 47, N°108, 21 mai 2025, vers 15</w:t>
      </w:r>
      <w:r w:rsidR="00FB703E" w:rsidRPr="0063587C">
        <w:rPr>
          <w:rFonts w:cs="Arial"/>
          <w:sz w:val="20"/>
        </w:rPr>
        <w:t> </w:t>
      </w:r>
      <w:r w:rsidRPr="0063587C">
        <w:rPr>
          <w:rFonts w:cs="Arial"/>
          <w:sz w:val="20"/>
        </w:rPr>
        <w:t>h</w:t>
      </w:r>
      <w:r w:rsidR="00FB703E" w:rsidRPr="0063587C">
        <w:rPr>
          <w:rFonts w:cs="Arial"/>
          <w:sz w:val="20"/>
        </w:rPr>
        <w:t> </w:t>
      </w:r>
      <w:r w:rsidRPr="0063587C">
        <w:rPr>
          <w:rFonts w:cs="Arial"/>
          <w:sz w:val="20"/>
        </w:rPr>
        <w:t>30, «</w:t>
      </w:r>
      <w:r w:rsidR="00FB703E" w:rsidRPr="0063587C">
        <w:rPr>
          <w:rFonts w:cs="Arial"/>
          <w:sz w:val="20"/>
        </w:rPr>
        <w:t> </w:t>
      </w:r>
      <w:r w:rsidRPr="0063587C">
        <w:rPr>
          <w:rFonts w:cs="Arial"/>
          <w:sz w:val="20"/>
        </w:rPr>
        <w:t>Étude détaillée du projet de loi n°89, Loi visant à considérer davantage les besoins de la population en cas de grève ou de lock-out</w:t>
      </w:r>
      <w:r w:rsidR="00FB703E" w:rsidRPr="0063587C">
        <w:rPr>
          <w:rFonts w:cs="Arial"/>
          <w:i/>
          <w:iCs/>
          <w:sz w:val="20"/>
        </w:rPr>
        <w:t> </w:t>
      </w:r>
      <w:r w:rsidRPr="003A4DF5">
        <w:rPr>
          <w:rFonts w:cs="Arial"/>
          <w:sz w:val="20"/>
        </w:rPr>
        <w:t>»</w:t>
      </w:r>
      <w:r w:rsidRPr="0063587C">
        <w:rPr>
          <w:rFonts w:cs="Arial"/>
          <w:sz w:val="20"/>
        </w:rPr>
        <w:t>.</w:t>
      </w:r>
    </w:p>
  </w:footnote>
  <w:footnote w:id="165">
    <w:p w14:paraId="4B6707A3" w14:textId="0352C736" w:rsidR="00852B1F" w:rsidRPr="008366CE" w:rsidRDefault="00852B1F" w:rsidP="00852B1F">
      <w:pPr>
        <w:pStyle w:val="Notedebasdepage"/>
        <w:tabs>
          <w:tab w:val="left" w:pos="720"/>
        </w:tabs>
        <w:ind w:left="720" w:hanging="720"/>
        <w:jc w:val="both"/>
        <w:rPr>
          <w:rFonts w:cs="Arial"/>
          <w:sz w:val="20"/>
        </w:rPr>
      </w:pPr>
      <w:r>
        <w:rPr>
          <w:rStyle w:val="Appelnotedebasdep"/>
        </w:rPr>
        <w:footnoteRef/>
      </w:r>
      <w:r>
        <w:t xml:space="preserve"> </w:t>
      </w:r>
      <w:r w:rsidRPr="008366CE">
        <w:rPr>
          <w:rFonts w:cs="Arial"/>
          <w:sz w:val="20"/>
        </w:rPr>
        <w:tab/>
      </w:r>
      <w:r w:rsidR="005A545C">
        <w:rPr>
          <w:rFonts w:cs="Arial"/>
          <w:sz w:val="20"/>
        </w:rPr>
        <w:t xml:space="preserve">Précité, </w:t>
      </w:r>
      <w:r>
        <w:rPr>
          <w:rFonts w:cs="Arial"/>
          <w:sz w:val="20"/>
        </w:rPr>
        <w:t xml:space="preserve">note </w:t>
      </w:r>
      <w:r w:rsidR="005A545C">
        <w:rPr>
          <w:rFonts w:cs="Arial"/>
          <w:sz w:val="20"/>
        </w:rPr>
        <w:t>13</w:t>
      </w:r>
      <w:r w:rsidR="00457F0E">
        <w:rPr>
          <w:rFonts w:cs="Arial"/>
          <w:sz w:val="20"/>
        </w:rPr>
        <w:t>8</w:t>
      </w:r>
      <w:r>
        <w:rPr>
          <w:rFonts w:cs="Arial"/>
          <w:sz w:val="20"/>
        </w:rPr>
        <w:t xml:space="preserve">. Voir aussi </w:t>
      </w:r>
      <w:r w:rsidR="00FC327B">
        <w:rPr>
          <w:rFonts w:cs="Arial"/>
          <w:sz w:val="20"/>
        </w:rPr>
        <w:t xml:space="preserve">l’arrêt </w:t>
      </w:r>
      <w:r w:rsidRPr="00890DAE">
        <w:rPr>
          <w:rFonts w:cs="Arial"/>
          <w:i/>
          <w:iCs/>
          <w:sz w:val="20"/>
        </w:rPr>
        <w:t>RJR- MacDonald</w:t>
      </w:r>
      <w:r w:rsidRPr="00890DAE">
        <w:rPr>
          <w:rFonts w:cs="Arial"/>
          <w:sz w:val="20"/>
        </w:rPr>
        <w:t xml:space="preserve">, précité, note </w:t>
      </w:r>
      <w:r w:rsidRPr="00715296">
        <w:rPr>
          <w:rFonts w:cs="Arial"/>
          <w:sz w:val="20"/>
        </w:rPr>
        <w:t>1</w:t>
      </w:r>
      <w:r w:rsidR="00457F0E">
        <w:rPr>
          <w:rFonts w:cs="Arial"/>
          <w:sz w:val="20"/>
        </w:rPr>
        <w:t>4</w:t>
      </w:r>
      <w:r w:rsidR="00ED2129">
        <w:rPr>
          <w:rFonts w:cs="Arial"/>
          <w:sz w:val="20"/>
        </w:rPr>
        <w:t>3</w:t>
      </w:r>
      <w:r w:rsidRPr="00890DAE">
        <w:rPr>
          <w:rFonts w:cs="Arial"/>
          <w:sz w:val="20"/>
        </w:rPr>
        <w:t>, par</w:t>
      </w:r>
      <w:r w:rsidR="00FC327B">
        <w:rPr>
          <w:rFonts w:cs="Arial"/>
          <w:sz w:val="20"/>
        </w:rPr>
        <w:t>.</w:t>
      </w:r>
      <w:r>
        <w:rPr>
          <w:rFonts w:cs="Arial"/>
          <w:sz w:val="20"/>
        </w:rPr>
        <w:t xml:space="preserve"> 153;</w:t>
      </w:r>
      <w:r w:rsidR="00BE1107">
        <w:rPr>
          <w:rFonts w:cs="Arial"/>
          <w:sz w:val="20"/>
        </w:rPr>
        <w:t xml:space="preserve"> </w:t>
      </w:r>
      <w:r w:rsidR="00FC327B">
        <w:rPr>
          <w:rFonts w:cs="Arial"/>
          <w:sz w:val="20"/>
        </w:rPr>
        <w:t xml:space="preserve">arrêt </w:t>
      </w:r>
      <w:r w:rsidRPr="005F3F30">
        <w:rPr>
          <w:rFonts w:cs="Arial"/>
          <w:i/>
          <w:iCs/>
          <w:sz w:val="20"/>
        </w:rPr>
        <w:t>Hutterian Breth</w:t>
      </w:r>
      <w:r w:rsidR="00F9100C">
        <w:rPr>
          <w:rFonts w:cs="Arial"/>
          <w:i/>
          <w:iCs/>
          <w:sz w:val="20"/>
        </w:rPr>
        <w:t>r</w:t>
      </w:r>
      <w:r w:rsidRPr="005F3F30">
        <w:rPr>
          <w:rFonts w:cs="Arial"/>
          <w:i/>
          <w:iCs/>
          <w:sz w:val="20"/>
        </w:rPr>
        <w:t>en</w:t>
      </w:r>
      <w:r w:rsidR="005A545C">
        <w:rPr>
          <w:rFonts w:cs="Arial"/>
          <w:sz w:val="20"/>
        </w:rPr>
        <w:t>, précité, note 1</w:t>
      </w:r>
      <w:r w:rsidR="00457F0E">
        <w:rPr>
          <w:rFonts w:cs="Arial"/>
          <w:sz w:val="20"/>
        </w:rPr>
        <w:t>4</w:t>
      </w:r>
      <w:r w:rsidR="00FC327B">
        <w:rPr>
          <w:rFonts w:cs="Arial"/>
          <w:sz w:val="20"/>
        </w:rPr>
        <w:t>1</w:t>
      </w:r>
      <w:r>
        <w:rPr>
          <w:rFonts w:cs="Arial"/>
          <w:sz w:val="20"/>
        </w:rPr>
        <w:t>, par. 48;</w:t>
      </w:r>
      <w:r w:rsidRPr="008366CE">
        <w:t xml:space="preserve"> </w:t>
      </w:r>
      <w:r w:rsidRPr="008366CE">
        <w:rPr>
          <w:rFonts w:cs="Arial"/>
          <w:i/>
          <w:iCs/>
          <w:sz w:val="20"/>
        </w:rPr>
        <w:t xml:space="preserve">Alliance des professionnels et des professionnels de la Ville de Québec </w:t>
      </w:r>
      <w:r w:rsidRPr="008366CE">
        <w:rPr>
          <w:rFonts w:cs="Arial"/>
          <w:sz w:val="20"/>
        </w:rPr>
        <w:t xml:space="preserve">c. </w:t>
      </w:r>
      <w:r w:rsidRPr="008366CE">
        <w:rPr>
          <w:rFonts w:cs="Arial"/>
          <w:i/>
          <w:iCs/>
          <w:sz w:val="20"/>
        </w:rPr>
        <w:t>Procureur général du Québec</w:t>
      </w:r>
      <w:r>
        <w:rPr>
          <w:rFonts w:cs="Arial"/>
          <w:i/>
          <w:iCs/>
          <w:sz w:val="20"/>
        </w:rPr>
        <w:t xml:space="preserve">, </w:t>
      </w:r>
      <w:r w:rsidR="005A545C">
        <w:rPr>
          <w:rFonts w:cs="Arial"/>
          <w:sz w:val="20"/>
        </w:rPr>
        <w:t>précité, note 12</w:t>
      </w:r>
      <w:r w:rsidR="00CD6CAA">
        <w:rPr>
          <w:rFonts w:cs="Arial"/>
          <w:sz w:val="20"/>
        </w:rPr>
        <w:t>5</w:t>
      </w:r>
      <w:r w:rsidR="005A545C">
        <w:rPr>
          <w:rFonts w:cs="Arial"/>
          <w:sz w:val="20"/>
        </w:rPr>
        <w:t>.</w:t>
      </w:r>
    </w:p>
  </w:footnote>
  <w:footnote w:id="166">
    <w:p w14:paraId="6701044A" w14:textId="22188A13" w:rsidR="00DF6779" w:rsidRDefault="00DF6779">
      <w:pPr>
        <w:pStyle w:val="Notedebasdepage"/>
      </w:pPr>
      <w:r>
        <w:rPr>
          <w:rStyle w:val="Appelnotedebasdep"/>
        </w:rPr>
        <w:footnoteRef/>
      </w:r>
      <w:r>
        <w:t xml:space="preserve"> </w:t>
      </w:r>
      <w:r>
        <w:tab/>
      </w:r>
      <w:r w:rsidRPr="00AA6679">
        <w:rPr>
          <w:sz w:val="20"/>
          <w:szCs w:val="16"/>
        </w:rPr>
        <w:t>Précité, note 60.</w:t>
      </w:r>
    </w:p>
  </w:footnote>
  <w:footnote w:id="167">
    <w:p w14:paraId="678A71FF" w14:textId="2B8D99EC" w:rsidR="00312474" w:rsidRPr="006B3552"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sidRPr="006B3552">
        <w:rPr>
          <w:rFonts w:cs="Arial"/>
          <w:sz w:val="20"/>
        </w:rPr>
        <w:tab/>
      </w:r>
      <w:r>
        <w:rPr>
          <w:rFonts w:cs="Arial"/>
          <w:sz w:val="20"/>
        </w:rPr>
        <w:t>Précité, note 13</w:t>
      </w:r>
      <w:r w:rsidR="00EB7C61">
        <w:rPr>
          <w:rFonts w:cs="Arial"/>
          <w:sz w:val="20"/>
        </w:rPr>
        <w:t>8</w:t>
      </w:r>
      <w:r>
        <w:rPr>
          <w:rFonts w:cs="Arial"/>
          <w:sz w:val="20"/>
        </w:rPr>
        <w:t>.</w:t>
      </w:r>
    </w:p>
  </w:footnote>
  <w:footnote w:id="168">
    <w:p w14:paraId="454443EA" w14:textId="2601BC2D" w:rsidR="00312474" w:rsidRPr="00082788"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Précité, note </w:t>
      </w:r>
      <w:r w:rsidR="00EB7C61">
        <w:rPr>
          <w:rFonts w:cs="Arial"/>
          <w:sz w:val="20"/>
        </w:rPr>
        <w:t>63</w:t>
      </w:r>
      <w:r>
        <w:rPr>
          <w:rFonts w:cs="Arial"/>
          <w:sz w:val="20"/>
        </w:rPr>
        <w:t>.</w:t>
      </w:r>
    </w:p>
  </w:footnote>
  <w:footnote w:id="169">
    <w:p w14:paraId="66EE40A5" w14:textId="176D3ACB" w:rsidR="00312474" w:rsidRPr="00FC35A7"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Voir notamment par. 163 à 165 de l’</w:t>
      </w:r>
      <w:r w:rsidR="003111D6">
        <w:rPr>
          <w:rFonts w:cs="Arial"/>
          <w:sz w:val="20"/>
        </w:rPr>
        <w:t>argumentation</w:t>
      </w:r>
      <w:r>
        <w:rPr>
          <w:rFonts w:cs="Arial"/>
          <w:sz w:val="20"/>
        </w:rPr>
        <w:t xml:space="preserve"> écrite du PGQ.</w:t>
      </w:r>
    </w:p>
  </w:footnote>
  <w:footnote w:id="170">
    <w:p w14:paraId="517D58ED" w14:textId="0183AB96" w:rsidR="0062762F" w:rsidRPr="00477726" w:rsidRDefault="0062762F" w:rsidP="0062762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00477726">
        <w:rPr>
          <w:rFonts w:cs="Arial"/>
          <w:sz w:val="20"/>
        </w:rPr>
        <w:t xml:space="preserve">Arrêt </w:t>
      </w:r>
      <w:r w:rsidRPr="00477726">
        <w:rPr>
          <w:rFonts w:cs="Arial"/>
          <w:i/>
          <w:iCs/>
          <w:sz w:val="20"/>
        </w:rPr>
        <w:t>Pepsi</w:t>
      </w:r>
      <w:r w:rsidR="00ED2129">
        <w:rPr>
          <w:rFonts w:cs="Arial"/>
          <w:i/>
          <w:iCs/>
          <w:sz w:val="20"/>
        </w:rPr>
        <w:t>-</w:t>
      </w:r>
      <w:r w:rsidRPr="00477726">
        <w:rPr>
          <w:rFonts w:cs="Arial"/>
          <w:i/>
          <w:iCs/>
          <w:sz w:val="20"/>
        </w:rPr>
        <w:t>Cola</w:t>
      </w:r>
      <w:r w:rsidR="00477726">
        <w:rPr>
          <w:rFonts w:cs="Arial"/>
          <w:sz w:val="20"/>
        </w:rPr>
        <w:t>, précité</w:t>
      </w:r>
      <w:r w:rsidR="00ED2129">
        <w:rPr>
          <w:rFonts w:cs="Arial"/>
          <w:sz w:val="20"/>
        </w:rPr>
        <w:t>,</w:t>
      </w:r>
      <w:r w:rsidR="00477726">
        <w:rPr>
          <w:rFonts w:cs="Arial"/>
          <w:sz w:val="20"/>
        </w:rPr>
        <w:t xml:space="preserve"> note 73.</w:t>
      </w:r>
    </w:p>
  </w:footnote>
  <w:footnote w:id="171">
    <w:p w14:paraId="0703D702" w14:textId="340B6BEC" w:rsidR="00312474" w:rsidRPr="00A26C1F" w:rsidRDefault="00312474" w:rsidP="00432784">
      <w:pPr>
        <w:pStyle w:val="Notedebasdepage"/>
        <w:tabs>
          <w:tab w:val="left" w:pos="720"/>
        </w:tabs>
        <w:ind w:left="720" w:hanging="720"/>
        <w:jc w:val="both"/>
        <w:rPr>
          <w:rFonts w:cs="Arial"/>
          <w:sz w:val="20"/>
        </w:rPr>
      </w:pPr>
      <w:r>
        <w:rPr>
          <w:rStyle w:val="Appelnotedebasdep"/>
        </w:rPr>
        <w:footnoteRef/>
      </w:r>
      <w:r>
        <w:t xml:space="preserve"> </w:t>
      </w:r>
      <w:r w:rsidRPr="00A26C1F">
        <w:rPr>
          <w:rFonts w:cs="Arial"/>
          <w:sz w:val="20"/>
        </w:rPr>
        <w:tab/>
      </w:r>
      <w:r w:rsidRPr="00E20AE4">
        <w:rPr>
          <w:rFonts w:cs="Arial"/>
          <w:sz w:val="20"/>
        </w:rPr>
        <w:t xml:space="preserve">QUÉBEC, ASSEMBLÉE NATIONALE, </w:t>
      </w:r>
      <w:r w:rsidRPr="00E20AE4">
        <w:rPr>
          <w:rFonts w:cs="Arial"/>
          <w:i/>
          <w:iCs/>
          <w:sz w:val="20"/>
        </w:rPr>
        <w:t>Journal de débats de la Commission de l’économie et du travail</w:t>
      </w:r>
      <w:r>
        <w:rPr>
          <w:rFonts w:cs="Arial"/>
          <w:sz w:val="20"/>
        </w:rPr>
        <w:t>, 1</w:t>
      </w:r>
      <w:r w:rsidRPr="00B930A5">
        <w:rPr>
          <w:rFonts w:cs="Arial"/>
          <w:sz w:val="20"/>
          <w:vertAlign w:val="superscript"/>
        </w:rPr>
        <w:t>re</w:t>
      </w:r>
      <w:r>
        <w:rPr>
          <w:rFonts w:cs="Arial"/>
          <w:sz w:val="20"/>
        </w:rPr>
        <w:t xml:space="preserve"> session, </w:t>
      </w:r>
      <w:r w:rsidRPr="00E20AE4">
        <w:rPr>
          <w:rFonts w:cs="Arial"/>
          <w:sz w:val="20"/>
        </w:rPr>
        <w:t>43</w:t>
      </w:r>
      <w:r w:rsidRPr="00E20AE4">
        <w:rPr>
          <w:rFonts w:cs="Arial"/>
          <w:sz w:val="20"/>
          <w:vertAlign w:val="superscript"/>
        </w:rPr>
        <w:t>e</w:t>
      </w:r>
      <w:r w:rsidRPr="00E20AE4">
        <w:rPr>
          <w:rFonts w:cs="Arial"/>
          <w:sz w:val="20"/>
        </w:rPr>
        <w:t xml:space="preserve"> législature, vol. 47, N°</w:t>
      </w:r>
      <w:r>
        <w:rPr>
          <w:rFonts w:cs="Arial"/>
          <w:sz w:val="20"/>
        </w:rPr>
        <w:t>97, 22 avril 2025</w:t>
      </w:r>
      <w:r w:rsidRPr="00D0432D">
        <w:rPr>
          <w:rFonts w:cs="Arial"/>
          <w:sz w:val="20"/>
        </w:rPr>
        <w:t>,</w:t>
      </w:r>
      <w:r>
        <w:rPr>
          <w:rFonts w:cs="Arial"/>
          <w:sz w:val="20"/>
        </w:rPr>
        <w:t xml:space="preserve"> vers 18</w:t>
      </w:r>
      <w:r w:rsidR="003111D6">
        <w:rPr>
          <w:rFonts w:cs="Arial"/>
          <w:sz w:val="20"/>
        </w:rPr>
        <w:t> </w:t>
      </w:r>
      <w:r>
        <w:rPr>
          <w:rFonts w:cs="Arial"/>
          <w:sz w:val="20"/>
        </w:rPr>
        <w:t>h</w:t>
      </w:r>
      <w:r w:rsidR="003111D6">
        <w:rPr>
          <w:rFonts w:cs="Arial"/>
          <w:sz w:val="20"/>
        </w:rPr>
        <w:t> </w:t>
      </w:r>
      <w:r>
        <w:rPr>
          <w:rFonts w:cs="Arial"/>
          <w:sz w:val="20"/>
        </w:rPr>
        <w:t>00, «</w:t>
      </w:r>
      <w:r w:rsidR="003111D6">
        <w:rPr>
          <w:rFonts w:cs="Arial"/>
          <w:sz w:val="20"/>
        </w:rPr>
        <w:t> </w:t>
      </w:r>
      <w:r>
        <w:rPr>
          <w:rFonts w:cs="Arial"/>
          <w:sz w:val="20"/>
        </w:rPr>
        <w:t xml:space="preserve">Étude détaillée du projet de loi n°89, </w:t>
      </w:r>
      <w:r w:rsidRPr="00B930A5">
        <w:rPr>
          <w:rFonts w:cs="Arial"/>
          <w:sz w:val="20"/>
        </w:rPr>
        <w:t>Loi visant à considérer davantage les besoins de la population en cas de grève ou de lock-out</w:t>
      </w:r>
      <w:r w:rsidR="003111D6">
        <w:rPr>
          <w:rFonts w:cs="Arial"/>
          <w:i/>
          <w:iCs/>
          <w:sz w:val="20"/>
        </w:rPr>
        <w:t> </w:t>
      </w:r>
      <w:r w:rsidRPr="00B930A5">
        <w:rPr>
          <w:rFonts w:cs="Arial"/>
          <w:sz w:val="20"/>
        </w:rPr>
        <w:t>»</w:t>
      </w:r>
      <w:r w:rsidRPr="003111D6">
        <w:rPr>
          <w:rFonts w:cs="Arial"/>
          <w:sz w:val="20"/>
        </w:rPr>
        <w:t>.</w:t>
      </w:r>
    </w:p>
  </w:footnote>
  <w:footnote w:id="172">
    <w:p w14:paraId="395C0998" w14:textId="5DB79FCA" w:rsidR="00312474" w:rsidRPr="00A85F7D"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sidRPr="00A85F7D">
        <w:rPr>
          <w:rFonts w:cs="Arial"/>
          <w:sz w:val="20"/>
        </w:rPr>
        <w:tab/>
      </w:r>
      <w:r w:rsidRPr="00B945AC">
        <w:rPr>
          <w:rFonts w:cs="Arial"/>
          <w:i/>
          <w:iCs/>
          <w:sz w:val="20"/>
        </w:rPr>
        <w:t xml:space="preserve">Renvoi </w:t>
      </w:r>
      <w:r w:rsidR="00ED2129">
        <w:rPr>
          <w:rFonts w:cs="Arial"/>
          <w:i/>
          <w:iCs/>
          <w:sz w:val="20"/>
        </w:rPr>
        <w:t>relatif à</w:t>
      </w:r>
      <w:r w:rsidRPr="00B945AC">
        <w:rPr>
          <w:rFonts w:cs="Arial"/>
          <w:i/>
          <w:iCs/>
          <w:sz w:val="20"/>
        </w:rPr>
        <w:t xml:space="preserve"> l’Alberta</w:t>
      </w:r>
      <w:r>
        <w:rPr>
          <w:rFonts w:cs="Arial"/>
          <w:sz w:val="20"/>
        </w:rPr>
        <w:t>, précité</w:t>
      </w:r>
      <w:r w:rsidR="00477726">
        <w:rPr>
          <w:rFonts w:cs="Arial"/>
          <w:sz w:val="20"/>
        </w:rPr>
        <w:t>,</w:t>
      </w:r>
      <w:r>
        <w:rPr>
          <w:rFonts w:cs="Arial"/>
          <w:sz w:val="20"/>
        </w:rPr>
        <w:t xml:space="preserve"> note </w:t>
      </w:r>
      <w:r w:rsidR="00477726">
        <w:rPr>
          <w:rFonts w:cs="Arial"/>
          <w:sz w:val="20"/>
        </w:rPr>
        <w:t>61</w:t>
      </w:r>
      <w:r>
        <w:rPr>
          <w:rFonts w:cs="Arial"/>
          <w:sz w:val="20"/>
        </w:rPr>
        <w:t xml:space="preserve">, p. 380; </w:t>
      </w:r>
      <w:r w:rsidR="00FC327B">
        <w:rPr>
          <w:rFonts w:cs="Arial"/>
          <w:sz w:val="20"/>
        </w:rPr>
        <w:t>a</w:t>
      </w:r>
      <w:r>
        <w:rPr>
          <w:rFonts w:cs="Arial"/>
          <w:sz w:val="20"/>
        </w:rPr>
        <w:t xml:space="preserve">rrêt </w:t>
      </w:r>
      <w:r w:rsidRPr="00B945AC">
        <w:rPr>
          <w:rFonts w:cs="Arial"/>
          <w:i/>
          <w:iCs/>
          <w:sz w:val="20"/>
        </w:rPr>
        <w:t>Saskatchewan</w:t>
      </w:r>
      <w:r>
        <w:rPr>
          <w:rFonts w:cs="Arial"/>
          <w:sz w:val="20"/>
        </w:rPr>
        <w:t>, précité</w:t>
      </w:r>
      <w:r w:rsidR="00477726">
        <w:rPr>
          <w:rFonts w:cs="Arial"/>
          <w:sz w:val="20"/>
        </w:rPr>
        <w:t>,</w:t>
      </w:r>
      <w:r>
        <w:rPr>
          <w:rFonts w:cs="Arial"/>
          <w:sz w:val="20"/>
        </w:rPr>
        <w:t xml:space="preserve"> note </w:t>
      </w:r>
      <w:r w:rsidR="00477726">
        <w:rPr>
          <w:rFonts w:cs="Arial"/>
          <w:sz w:val="20"/>
        </w:rPr>
        <w:t>67</w:t>
      </w:r>
      <w:r>
        <w:rPr>
          <w:rFonts w:cs="Arial"/>
          <w:sz w:val="20"/>
        </w:rPr>
        <w:t>, par. 4, 25, 81</w:t>
      </w:r>
      <w:r w:rsidR="003111D6">
        <w:rPr>
          <w:rFonts w:cs="Arial"/>
          <w:sz w:val="20"/>
        </w:rPr>
        <w:t xml:space="preserve"> et</w:t>
      </w:r>
      <w:r>
        <w:rPr>
          <w:rFonts w:cs="Arial"/>
          <w:sz w:val="20"/>
        </w:rPr>
        <w:t xml:space="preserve"> 92 à 96.</w:t>
      </w:r>
    </w:p>
  </w:footnote>
  <w:footnote w:id="173">
    <w:p w14:paraId="1AE8E9F5" w14:textId="425C2B5E" w:rsidR="00312474" w:rsidRPr="00C16821"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sidRPr="00F40C89">
        <w:rPr>
          <w:rFonts w:cs="Arial"/>
          <w:sz w:val="20"/>
        </w:rPr>
        <w:tab/>
      </w:r>
      <w:r>
        <w:rPr>
          <w:rFonts w:cs="Arial"/>
          <w:sz w:val="20"/>
        </w:rPr>
        <w:t xml:space="preserve">Arrêt </w:t>
      </w:r>
      <w:r w:rsidRPr="00F40C89">
        <w:rPr>
          <w:rFonts w:cs="Arial"/>
          <w:i/>
          <w:iCs/>
          <w:sz w:val="20"/>
        </w:rPr>
        <w:t>Saskatchewan</w:t>
      </w:r>
      <w:r>
        <w:rPr>
          <w:rFonts w:cs="Arial"/>
          <w:sz w:val="20"/>
        </w:rPr>
        <w:t>, préci</w:t>
      </w:r>
      <w:r w:rsidR="00477726">
        <w:rPr>
          <w:rFonts w:cs="Arial"/>
          <w:sz w:val="20"/>
        </w:rPr>
        <w:t>t</w:t>
      </w:r>
      <w:r>
        <w:rPr>
          <w:rFonts w:cs="Arial"/>
          <w:sz w:val="20"/>
        </w:rPr>
        <w:t xml:space="preserve">é, note </w:t>
      </w:r>
      <w:r w:rsidR="00477726">
        <w:rPr>
          <w:rFonts w:cs="Arial"/>
          <w:sz w:val="20"/>
        </w:rPr>
        <w:t>67,</w:t>
      </w:r>
      <w:r>
        <w:rPr>
          <w:rFonts w:cs="Arial"/>
          <w:sz w:val="20"/>
        </w:rPr>
        <w:t xml:space="preserve"> par 47.</w:t>
      </w:r>
    </w:p>
  </w:footnote>
  <w:footnote w:id="174">
    <w:p w14:paraId="74641865" w14:textId="40399E71" w:rsidR="00312474" w:rsidRPr="00EE4DE6"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Rapport d’expertise, p.</w:t>
      </w:r>
      <w:r w:rsidR="00432784">
        <w:rPr>
          <w:rFonts w:cs="Arial"/>
          <w:sz w:val="20"/>
        </w:rPr>
        <w:t xml:space="preserve"> </w:t>
      </w:r>
      <w:r>
        <w:rPr>
          <w:rFonts w:cs="Arial"/>
          <w:sz w:val="20"/>
        </w:rPr>
        <w:t>29.</w:t>
      </w:r>
    </w:p>
  </w:footnote>
  <w:footnote w:id="175">
    <w:p w14:paraId="3F08C3F7" w14:textId="2897C54B" w:rsidR="00312474" w:rsidRPr="000D449E"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Expertise - </w:t>
      </w:r>
      <w:r w:rsidRPr="00F9100C">
        <w:rPr>
          <w:rFonts w:cs="Arial"/>
          <w:i/>
          <w:iCs/>
          <w:sz w:val="20"/>
        </w:rPr>
        <w:t>Associations entre les interruptions de services d’éducation préscolaire et le développement des enfants et rôle et conditions de travail dans la qualité des services</w:t>
      </w:r>
      <w:r>
        <w:rPr>
          <w:rFonts w:cs="Arial"/>
          <w:sz w:val="20"/>
        </w:rPr>
        <w:t>, Sylvana</w:t>
      </w:r>
      <w:r w:rsidR="00282E4F">
        <w:rPr>
          <w:rFonts w:cs="Arial"/>
          <w:sz w:val="20"/>
        </w:rPr>
        <w:t> </w:t>
      </w:r>
      <w:r>
        <w:rPr>
          <w:rFonts w:cs="Arial"/>
          <w:sz w:val="20"/>
        </w:rPr>
        <w:t>M.</w:t>
      </w:r>
      <w:r w:rsidR="00282E4F">
        <w:rPr>
          <w:rFonts w:cs="Arial"/>
          <w:sz w:val="20"/>
        </w:rPr>
        <w:t> </w:t>
      </w:r>
      <w:r>
        <w:rPr>
          <w:rFonts w:cs="Arial"/>
          <w:sz w:val="20"/>
        </w:rPr>
        <w:t xml:space="preserve">Côté, </w:t>
      </w:r>
      <w:r w:rsidR="00282E4F" w:rsidRPr="000B1929">
        <w:rPr>
          <w:rFonts w:cs="Arial"/>
          <w:sz w:val="20"/>
        </w:rPr>
        <w:t>P</w:t>
      </w:r>
      <w:r>
        <w:rPr>
          <w:rFonts w:cs="Arial"/>
          <w:sz w:val="20"/>
        </w:rPr>
        <w:t xml:space="preserve">rofesseure, École de Santé publique de </w:t>
      </w:r>
      <w:r w:rsidR="004B4471">
        <w:rPr>
          <w:rFonts w:cs="Arial"/>
          <w:sz w:val="20"/>
        </w:rPr>
        <w:t xml:space="preserve">l’Université </w:t>
      </w:r>
      <w:r>
        <w:rPr>
          <w:rFonts w:cs="Arial"/>
          <w:sz w:val="20"/>
        </w:rPr>
        <w:t xml:space="preserve">de Montréal, </w:t>
      </w:r>
      <w:r w:rsidRPr="000B1929">
        <w:rPr>
          <w:rFonts w:cs="Arial"/>
          <w:sz w:val="20"/>
        </w:rPr>
        <w:t>C</w:t>
      </w:r>
      <w:r>
        <w:rPr>
          <w:rFonts w:cs="Arial"/>
          <w:sz w:val="20"/>
        </w:rPr>
        <w:t>hercheure, CHU Ste-Justine, 26 février 2026, p. 5.</w:t>
      </w:r>
    </w:p>
  </w:footnote>
  <w:footnote w:id="176">
    <w:p w14:paraId="29A68307" w14:textId="04BFCC3D" w:rsidR="00F4744D" w:rsidRPr="00E15A52" w:rsidRDefault="00F4744D" w:rsidP="00F4744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911D00">
        <w:rPr>
          <w:rFonts w:cs="Arial"/>
          <w:i/>
          <w:iCs/>
          <w:sz w:val="20"/>
        </w:rPr>
        <w:t>APMO</w:t>
      </w:r>
      <w:r>
        <w:rPr>
          <w:rFonts w:cs="Arial"/>
          <w:sz w:val="20"/>
        </w:rPr>
        <w:t>, précité, note 60, par. 147.</w:t>
      </w:r>
    </w:p>
  </w:footnote>
  <w:footnote w:id="177">
    <w:p w14:paraId="5716C900" w14:textId="429879BE" w:rsidR="00312474" w:rsidRPr="00F41160"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sidRPr="00F41160">
        <w:rPr>
          <w:rFonts w:cs="Arial"/>
          <w:sz w:val="20"/>
        </w:rPr>
        <w:tab/>
      </w:r>
      <w:r w:rsidR="00F4744D" w:rsidRPr="00F4744D">
        <w:rPr>
          <w:rFonts w:cs="Arial"/>
          <w:sz w:val="20"/>
        </w:rPr>
        <w:t>Précité, note 61</w:t>
      </w:r>
      <w:r w:rsidRPr="00F4744D">
        <w:rPr>
          <w:rFonts w:cs="Arial"/>
          <w:sz w:val="20"/>
        </w:rPr>
        <w:t>, p. 476.</w:t>
      </w:r>
    </w:p>
  </w:footnote>
  <w:footnote w:id="178">
    <w:p w14:paraId="3B9CCFA6" w14:textId="6ED28B02" w:rsidR="00F4744D" w:rsidRPr="00F4744D" w:rsidRDefault="00F4744D" w:rsidP="00F4744D">
      <w:pPr>
        <w:pStyle w:val="Notedebasdepage"/>
        <w:tabs>
          <w:tab w:val="left" w:pos="720"/>
        </w:tabs>
        <w:ind w:left="720" w:hanging="720"/>
        <w:jc w:val="both"/>
        <w:rPr>
          <w:rFonts w:cs="Arial"/>
          <w:sz w:val="20"/>
        </w:rPr>
      </w:pPr>
      <w:r>
        <w:rPr>
          <w:rStyle w:val="Appelnotedebasdep"/>
        </w:rPr>
        <w:footnoteRef/>
      </w:r>
      <w:r>
        <w:t xml:space="preserve"> </w:t>
      </w:r>
      <w:r w:rsidRPr="00F4744D">
        <w:rPr>
          <w:rFonts w:cs="Arial"/>
          <w:sz w:val="20"/>
        </w:rPr>
        <w:tab/>
      </w:r>
      <w:r>
        <w:rPr>
          <w:rFonts w:cs="Arial"/>
          <w:sz w:val="20"/>
        </w:rPr>
        <w:t>Précité, note 67.</w:t>
      </w:r>
    </w:p>
  </w:footnote>
  <w:footnote w:id="179">
    <w:p w14:paraId="2029F5EB" w14:textId="0E4DDE05" w:rsidR="00312474" w:rsidRPr="00C23B5F" w:rsidRDefault="00312474" w:rsidP="00FC327B">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Voir notamment </w:t>
      </w:r>
      <w:r w:rsidR="00FC327B">
        <w:rPr>
          <w:rFonts w:cs="Arial"/>
          <w:sz w:val="20"/>
        </w:rPr>
        <w:t>l’</w:t>
      </w:r>
      <w:r>
        <w:rPr>
          <w:rFonts w:cs="Arial"/>
          <w:sz w:val="20"/>
        </w:rPr>
        <w:t xml:space="preserve">arrêt </w:t>
      </w:r>
      <w:r w:rsidRPr="00C23B5F">
        <w:rPr>
          <w:rFonts w:cs="Arial"/>
          <w:i/>
          <w:iCs/>
          <w:sz w:val="20"/>
        </w:rPr>
        <w:t>Saskatchewan</w:t>
      </w:r>
      <w:r>
        <w:rPr>
          <w:rFonts w:cs="Arial"/>
          <w:sz w:val="20"/>
        </w:rPr>
        <w:t>, précité, note</w:t>
      </w:r>
      <w:r w:rsidR="00F4744D">
        <w:rPr>
          <w:rFonts w:cs="Arial"/>
          <w:sz w:val="20"/>
        </w:rPr>
        <w:t xml:space="preserve"> 67</w:t>
      </w:r>
      <w:r>
        <w:rPr>
          <w:rFonts w:cs="Arial"/>
          <w:sz w:val="20"/>
        </w:rPr>
        <w:t>, par. 96.</w:t>
      </w:r>
    </w:p>
  </w:footnote>
  <w:footnote w:id="180">
    <w:p w14:paraId="04CC07F3" w14:textId="0ABAEBD3" w:rsidR="00312474" w:rsidRPr="007A2ED3" w:rsidRDefault="00312474" w:rsidP="00FC327B">
      <w:pPr>
        <w:pStyle w:val="Notedebasdepage"/>
        <w:ind w:left="709" w:hanging="709"/>
        <w:jc w:val="both"/>
        <w:rPr>
          <w:sz w:val="20"/>
        </w:rPr>
      </w:pPr>
      <w:r w:rsidRPr="00F4744D">
        <w:rPr>
          <w:rStyle w:val="Appelnotedebasdep"/>
          <w:szCs w:val="24"/>
        </w:rPr>
        <w:footnoteRef/>
      </w:r>
      <w:r w:rsidRPr="00F4744D">
        <w:rPr>
          <w:szCs w:val="24"/>
          <w:vertAlign w:val="superscript"/>
        </w:rPr>
        <w:t xml:space="preserve"> </w:t>
      </w:r>
      <w:r w:rsidRPr="007A2ED3">
        <w:rPr>
          <w:sz w:val="20"/>
        </w:rPr>
        <w:tab/>
      </w:r>
      <w:bookmarkStart w:id="10" w:name="_Hlk216105221"/>
      <w:r w:rsidRPr="007A2ED3">
        <w:rPr>
          <w:rFonts w:cs="Arial"/>
          <w:sz w:val="20"/>
        </w:rPr>
        <w:t xml:space="preserve">QUÉBEC, ASSEMBLÉE NATIONALE, </w:t>
      </w:r>
      <w:r w:rsidRPr="007A2ED3">
        <w:rPr>
          <w:rFonts w:cs="Arial"/>
          <w:i/>
          <w:iCs/>
          <w:sz w:val="20"/>
        </w:rPr>
        <w:t>Journal des débats de la Commission de l’économie et du travail</w:t>
      </w:r>
      <w:r w:rsidRPr="007A2ED3">
        <w:rPr>
          <w:rFonts w:cs="Arial"/>
          <w:sz w:val="20"/>
        </w:rPr>
        <w:t>, 1</w:t>
      </w:r>
      <w:r w:rsidRPr="007A2ED3">
        <w:rPr>
          <w:rFonts w:cs="Arial"/>
          <w:sz w:val="20"/>
          <w:vertAlign w:val="superscript"/>
        </w:rPr>
        <w:t>re</w:t>
      </w:r>
      <w:r w:rsidRPr="007A2ED3">
        <w:rPr>
          <w:rFonts w:cs="Arial"/>
          <w:sz w:val="20"/>
        </w:rPr>
        <w:t xml:space="preserve"> session, 43</w:t>
      </w:r>
      <w:r w:rsidRPr="007A2ED3">
        <w:rPr>
          <w:rFonts w:cs="Arial"/>
          <w:sz w:val="20"/>
          <w:vertAlign w:val="superscript"/>
        </w:rPr>
        <w:t>e</w:t>
      </w:r>
      <w:r w:rsidRPr="007A2ED3">
        <w:rPr>
          <w:rFonts w:cs="Arial"/>
          <w:sz w:val="20"/>
        </w:rPr>
        <w:t xml:space="preserve"> législature, vol.47, n° 97, 22 avril 2025, </w:t>
      </w:r>
      <w:r w:rsidR="00432784" w:rsidRPr="00432784">
        <w:rPr>
          <w:rFonts w:cs="Arial"/>
          <w:sz w:val="20"/>
        </w:rPr>
        <w:t>vers 16</w:t>
      </w:r>
      <w:r w:rsidR="002536BB">
        <w:rPr>
          <w:rFonts w:cs="Arial"/>
          <w:sz w:val="20"/>
        </w:rPr>
        <w:t> </w:t>
      </w:r>
      <w:r w:rsidR="00432784" w:rsidRPr="00432784">
        <w:rPr>
          <w:rFonts w:cs="Arial"/>
          <w:sz w:val="20"/>
        </w:rPr>
        <w:t>h</w:t>
      </w:r>
      <w:r w:rsidR="002536BB">
        <w:rPr>
          <w:rFonts w:cs="Arial"/>
          <w:sz w:val="20"/>
        </w:rPr>
        <w:t> </w:t>
      </w:r>
      <w:r w:rsidR="00432784" w:rsidRPr="00432784">
        <w:rPr>
          <w:rFonts w:cs="Arial"/>
          <w:sz w:val="20"/>
        </w:rPr>
        <w:t xml:space="preserve">10 </w:t>
      </w:r>
      <w:r w:rsidRPr="007A2ED3">
        <w:rPr>
          <w:rFonts w:cs="Arial"/>
          <w:sz w:val="20"/>
        </w:rPr>
        <w:t>« Étude détaillée du projet de loi n</w:t>
      </w:r>
      <w:r w:rsidR="006E6ABF" w:rsidRPr="006E6ABF">
        <w:rPr>
          <w:rFonts w:cs="Arial"/>
          <w:sz w:val="20"/>
        </w:rPr>
        <w:t>°</w:t>
      </w:r>
      <w:r w:rsidRPr="007A2ED3">
        <w:rPr>
          <w:rFonts w:cs="Arial"/>
          <w:sz w:val="20"/>
        </w:rPr>
        <w:t>89</w:t>
      </w:r>
      <w:r w:rsidRPr="002536BB">
        <w:rPr>
          <w:rFonts w:cs="Arial"/>
          <w:sz w:val="20"/>
        </w:rPr>
        <w:t xml:space="preserve">, </w:t>
      </w:r>
      <w:r w:rsidRPr="002536BB">
        <w:rPr>
          <w:sz w:val="20"/>
        </w:rPr>
        <w:t>Loi visant à considérer davantage les besoins de la population en cas de grève ou de lock</w:t>
      </w:r>
      <w:r w:rsidRPr="002536BB">
        <w:rPr>
          <w:sz w:val="20"/>
        </w:rPr>
        <w:noBreakHyphen/>
        <w:t>out</w:t>
      </w:r>
      <w:r w:rsidRPr="007A2ED3">
        <w:rPr>
          <w:i/>
          <w:sz w:val="20"/>
        </w:rPr>
        <w:t> </w:t>
      </w:r>
      <w:r w:rsidRPr="007A2ED3">
        <w:rPr>
          <w:iCs/>
          <w:sz w:val="20"/>
        </w:rPr>
        <w:t>»</w:t>
      </w:r>
      <w:bookmarkEnd w:id="10"/>
      <w:r w:rsidRPr="007A2ED3">
        <w:rPr>
          <w:sz w:val="20"/>
        </w:rPr>
        <w:t>.</w:t>
      </w:r>
    </w:p>
  </w:footnote>
  <w:footnote w:id="181">
    <w:p w14:paraId="2259A502" w14:textId="05358AFE" w:rsidR="00312474" w:rsidRPr="007A2ED3" w:rsidRDefault="00312474" w:rsidP="00FC327B">
      <w:pPr>
        <w:pStyle w:val="Notedebasdepage"/>
        <w:ind w:left="709" w:hanging="709"/>
        <w:jc w:val="both"/>
        <w:rPr>
          <w:sz w:val="20"/>
        </w:rPr>
      </w:pPr>
      <w:r>
        <w:rPr>
          <w:rStyle w:val="Appelnotedebasdep"/>
        </w:rPr>
        <w:footnoteRef/>
      </w:r>
      <w:r>
        <w:t xml:space="preserve"> </w:t>
      </w:r>
      <w:r w:rsidRPr="00FC2911">
        <w:tab/>
      </w:r>
      <w:r w:rsidRPr="00C002AB">
        <w:rPr>
          <w:i/>
          <w:iCs/>
          <w:sz w:val="20"/>
        </w:rPr>
        <w:t>La liberté syndicale</w:t>
      </w:r>
      <w:r w:rsidRPr="00C002AB">
        <w:rPr>
          <w:sz w:val="20"/>
        </w:rPr>
        <w:t xml:space="preserve">. </w:t>
      </w:r>
      <w:r w:rsidRPr="00C002AB">
        <w:rPr>
          <w:i/>
          <w:iCs/>
          <w:sz w:val="20"/>
        </w:rPr>
        <w:t>Compilation des décisions du</w:t>
      </w:r>
      <w:r w:rsidRPr="007A2ED3">
        <w:rPr>
          <w:i/>
          <w:iCs/>
          <w:sz w:val="20"/>
        </w:rPr>
        <w:t xml:space="preserve"> Comité de la liberté syndicale</w:t>
      </w:r>
      <w:r w:rsidRPr="007A2ED3">
        <w:rPr>
          <w:sz w:val="20"/>
        </w:rPr>
        <w:t xml:space="preserve"> / Bureau International du Travail – Genève : BIT, 6</w:t>
      </w:r>
      <w:r w:rsidRPr="007A2ED3">
        <w:rPr>
          <w:sz w:val="20"/>
          <w:vertAlign w:val="superscript"/>
        </w:rPr>
        <w:t>e</w:t>
      </w:r>
      <w:r w:rsidRPr="007A2ED3">
        <w:rPr>
          <w:sz w:val="20"/>
        </w:rPr>
        <w:t xml:space="preserve"> édition, 2018, par. 824 et ss; repris par la Cour suprême dans l’arrêt </w:t>
      </w:r>
      <w:r w:rsidRPr="007A2ED3">
        <w:rPr>
          <w:i/>
          <w:iCs/>
          <w:sz w:val="20"/>
        </w:rPr>
        <w:t>Saskatchewan</w:t>
      </w:r>
      <w:r w:rsidRPr="007A2ED3">
        <w:rPr>
          <w:sz w:val="20"/>
        </w:rPr>
        <w:t xml:space="preserve">, précité, </w:t>
      </w:r>
      <w:r>
        <w:rPr>
          <w:sz w:val="20"/>
        </w:rPr>
        <w:t>note 6</w:t>
      </w:r>
      <w:r w:rsidR="00F4744D">
        <w:rPr>
          <w:sz w:val="20"/>
        </w:rPr>
        <w:t>7</w:t>
      </w:r>
      <w:r>
        <w:rPr>
          <w:sz w:val="20"/>
        </w:rPr>
        <w:t xml:space="preserve">, </w:t>
      </w:r>
      <w:r w:rsidRPr="007A2ED3">
        <w:rPr>
          <w:sz w:val="20"/>
        </w:rPr>
        <w:t xml:space="preserve">par. 86. </w:t>
      </w:r>
    </w:p>
  </w:footnote>
  <w:footnote w:id="182">
    <w:p w14:paraId="641C0C40" w14:textId="77777777" w:rsidR="00312474" w:rsidRPr="007A2ED3" w:rsidRDefault="00312474" w:rsidP="00FC327B">
      <w:pPr>
        <w:pStyle w:val="Notedebasdepage"/>
        <w:jc w:val="both"/>
        <w:rPr>
          <w:sz w:val="20"/>
        </w:rPr>
      </w:pPr>
      <w:r w:rsidRPr="00453DCA">
        <w:rPr>
          <w:rStyle w:val="Appelnotedebasdep"/>
          <w:szCs w:val="24"/>
        </w:rPr>
        <w:footnoteRef/>
      </w:r>
      <w:r w:rsidRPr="00453DCA">
        <w:rPr>
          <w:szCs w:val="24"/>
        </w:rPr>
        <w:t xml:space="preserve"> </w:t>
      </w:r>
      <w:r w:rsidRPr="007A2ED3">
        <w:rPr>
          <w:sz w:val="20"/>
        </w:rPr>
        <w:tab/>
      </w:r>
      <w:r w:rsidRPr="007E2BD8">
        <w:rPr>
          <w:i/>
          <w:iCs/>
          <w:sz w:val="20"/>
        </w:rPr>
        <w:t>Id</w:t>
      </w:r>
      <w:r w:rsidRPr="007A2ED3">
        <w:rPr>
          <w:sz w:val="20"/>
        </w:rPr>
        <w:t>., par. 866.</w:t>
      </w:r>
    </w:p>
  </w:footnote>
  <w:footnote w:id="183">
    <w:p w14:paraId="230EDAE1" w14:textId="77777777" w:rsidR="00312474" w:rsidRPr="007A2ED3" w:rsidRDefault="00312474" w:rsidP="00312474">
      <w:pPr>
        <w:pStyle w:val="Notedebasdepage"/>
        <w:rPr>
          <w:sz w:val="20"/>
        </w:rPr>
      </w:pPr>
      <w:r w:rsidRPr="00453DCA">
        <w:rPr>
          <w:rStyle w:val="Appelnotedebasdep"/>
          <w:szCs w:val="24"/>
        </w:rPr>
        <w:footnoteRef/>
      </w:r>
      <w:r w:rsidRPr="00453DCA">
        <w:rPr>
          <w:szCs w:val="24"/>
        </w:rPr>
        <w:t xml:space="preserve"> </w:t>
      </w:r>
      <w:r w:rsidRPr="007A2ED3">
        <w:rPr>
          <w:sz w:val="20"/>
        </w:rPr>
        <w:tab/>
      </w:r>
      <w:r w:rsidRPr="00B927A3">
        <w:rPr>
          <w:i/>
          <w:iCs/>
          <w:sz w:val="20"/>
        </w:rPr>
        <w:t>Id.</w:t>
      </w:r>
      <w:r w:rsidRPr="007A2ED3">
        <w:rPr>
          <w:sz w:val="20"/>
        </w:rPr>
        <w:t xml:space="preserve">, par. 867. </w:t>
      </w:r>
    </w:p>
  </w:footnote>
  <w:footnote w:id="184">
    <w:p w14:paraId="22F0BF13" w14:textId="332C65CB" w:rsidR="00DA6D8C" w:rsidRPr="007D2529" w:rsidRDefault="00DA6D8C" w:rsidP="009006A7">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7D2529">
        <w:rPr>
          <w:rFonts w:cs="Arial"/>
          <w:i/>
          <w:iCs/>
          <w:sz w:val="20"/>
        </w:rPr>
        <w:t>Id.</w:t>
      </w:r>
      <w:r>
        <w:rPr>
          <w:rFonts w:cs="Arial"/>
          <w:sz w:val="20"/>
        </w:rPr>
        <w:t xml:space="preserve">, par. </w:t>
      </w:r>
      <w:r w:rsidR="001E0160">
        <w:rPr>
          <w:rFonts w:cs="Arial"/>
          <w:sz w:val="20"/>
        </w:rPr>
        <w:t xml:space="preserve">898 et 899. </w:t>
      </w:r>
    </w:p>
  </w:footnote>
  <w:footnote w:id="185">
    <w:p w14:paraId="0BEFA53C" w14:textId="09B98B51" w:rsidR="00312474" w:rsidRPr="003F185F"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sidRPr="003F185F">
        <w:rPr>
          <w:rFonts w:cs="Arial"/>
          <w:sz w:val="20"/>
        </w:rPr>
        <w:tab/>
      </w:r>
      <w:r w:rsidR="00F4744D">
        <w:rPr>
          <w:rFonts w:cs="Arial"/>
          <w:sz w:val="20"/>
        </w:rPr>
        <w:t xml:space="preserve">Art. 111.22.6 du Code. </w:t>
      </w:r>
    </w:p>
  </w:footnote>
  <w:footnote w:id="186">
    <w:p w14:paraId="03A2AAD2" w14:textId="5B9F092B" w:rsidR="00312474" w:rsidRPr="004A04BB"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4A04BB">
        <w:rPr>
          <w:rFonts w:cs="Arial"/>
          <w:i/>
          <w:iCs/>
          <w:sz w:val="20"/>
        </w:rPr>
        <w:t>RJR-MacDonald</w:t>
      </w:r>
      <w:r>
        <w:rPr>
          <w:rFonts w:cs="Arial"/>
          <w:sz w:val="20"/>
        </w:rPr>
        <w:t>, précité, note 1</w:t>
      </w:r>
      <w:r w:rsidR="00F4744D">
        <w:rPr>
          <w:rFonts w:cs="Arial"/>
          <w:sz w:val="20"/>
        </w:rPr>
        <w:t>4</w:t>
      </w:r>
      <w:r w:rsidR="00ED2129">
        <w:rPr>
          <w:rFonts w:cs="Arial"/>
          <w:sz w:val="20"/>
        </w:rPr>
        <w:t>3</w:t>
      </w:r>
      <w:r>
        <w:rPr>
          <w:rFonts w:cs="Arial"/>
          <w:sz w:val="20"/>
        </w:rPr>
        <w:t>, par. 160.</w:t>
      </w:r>
    </w:p>
  </w:footnote>
  <w:footnote w:id="187">
    <w:p w14:paraId="127FDA5D" w14:textId="77777777" w:rsidR="00312474" w:rsidRPr="00F32C01"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Cet argument a été traité sous l’angle du lien rationnel.</w:t>
      </w:r>
    </w:p>
  </w:footnote>
  <w:footnote w:id="188">
    <w:p w14:paraId="4DE8CB5F" w14:textId="374F30C7" w:rsidR="00312474" w:rsidRPr="00F5600E"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Précité, note 1</w:t>
      </w:r>
      <w:r w:rsidR="00F4744D">
        <w:rPr>
          <w:rFonts w:cs="Arial"/>
          <w:sz w:val="20"/>
        </w:rPr>
        <w:t>37</w:t>
      </w:r>
      <w:r>
        <w:rPr>
          <w:rFonts w:cs="Arial"/>
          <w:sz w:val="20"/>
        </w:rPr>
        <w:t xml:space="preserve">, </w:t>
      </w:r>
      <w:r w:rsidRPr="00C002AB">
        <w:rPr>
          <w:rFonts w:cs="Arial"/>
          <w:sz w:val="20"/>
        </w:rPr>
        <w:t>pages 139</w:t>
      </w:r>
      <w:r w:rsidR="00911D00" w:rsidRPr="00C002AB">
        <w:rPr>
          <w:rFonts w:cs="Arial"/>
          <w:sz w:val="20"/>
        </w:rPr>
        <w:t> </w:t>
      </w:r>
      <w:r w:rsidRPr="00C002AB">
        <w:rPr>
          <w:rFonts w:cs="Arial"/>
          <w:sz w:val="20"/>
        </w:rPr>
        <w:t>-</w:t>
      </w:r>
      <w:r w:rsidR="00911D00" w:rsidRPr="00C002AB">
        <w:rPr>
          <w:rFonts w:cs="Arial"/>
          <w:sz w:val="20"/>
        </w:rPr>
        <w:t> </w:t>
      </w:r>
      <w:r w:rsidRPr="00C002AB">
        <w:rPr>
          <w:rFonts w:cs="Arial"/>
          <w:sz w:val="20"/>
        </w:rPr>
        <w:t>140</w:t>
      </w:r>
      <w:r>
        <w:rPr>
          <w:rFonts w:cs="Arial"/>
          <w:sz w:val="20"/>
        </w:rPr>
        <w:t>.</w:t>
      </w:r>
    </w:p>
  </w:footnote>
  <w:footnote w:id="189">
    <w:p w14:paraId="76CECE14" w14:textId="2E38B219" w:rsidR="00312474" w:rsidRPr="00F5600E"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Précité, note 1</w:t>
      </w:r>
      <w:r w:rsidR="00F4744D">
        <w:rPr>
          <w:rFonts w:cs="Arial"/>
          <w:sz w:val="20"/>
        </w:rPr>
        <w:t>4</w:t>
      </w:r>
      <w:r w:rsidR="00C37585">
        <w:rPr>
          <w:rFonts w:cs="Arial"/>
          <w:sz w:val="20"/>
        </w:rPr>
        <w:t>1</w:t>
      </w:r>
      <w:r>
        <w:rPr>
          <w:rFonts w:cs="Arial"/>
          <w:sz w:val="20"/>
        </w:rPr>
        <w:t>.</w:t>
      </w:r>
    </w:p>
  </w:footnote>
  <w:footnote w:id="190">
    <w:p w14:paraId="0879EFB5" w14:textId="3B3AF770" w:rsidR="00782021" w:rsidRPr="00782021" w:rsidRDefault="00782021" w:rsidP="00456F6F">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Arrêt </w:t>
      </w:r>
      <w:r w:rsidRPr="00FF3D90">
        <w:rPr>
          <w:rFonts w:cs="Arial"/>
          <w:i/>
          <w:iCs/>
          <w:sz w:val="20"/>
        </w:rPr>
        <w:t>Frank</w:t>
      </w:r>
      <w:r>
        <w:rPr>
          <w:rFonts w:cs="Arial"/>
          <w:sz w:val="20"/>
        </w:rPr>
        <w:t xml:space="preserve">, précité, note </w:t>
      </w:r>
      <w:r w:rsidR="002C60D3">
        <w:rPr>
          <w:rFonts w:cs="Arial"/>
          <w:sz w:val="20"/>
        </w:rPr>
        <w:t>138</w:t>
      </w:r>
      <w:r>
        <w:rPr>
          <w:rFonts w:cs="Arial"/>
          <w:sz w:val="20"/>
        </w:rPr>
        <w:t>, par. 76.</w:t>
      </w:r>
    </w:p>
  </w:footnote>
  <w:footnote w:id="191">
    <w:p w14:paraId="231A2DEB" w14:textId="77777777" w:rsidR="000C58F6" w:rsidRDefault="000C58F6" w:rsidP="000C58F6">
      <w:pPr>
        <w:pStyle w:val="Notedebasdepage"/>
      </w:pPr>
      <w:r>
        <w:rPr>
          <w:rStyle w:val="Appelnotedebasdep"/>
        </w:rPr>
        <w:footnoteRef/>
      </w:r>
      <w:r>
        <w:t xml:space="preserve"> </w:t>
      </w:r>
      <w:r>
        <w:tab/>
      </w:r>
      <w:r w:rsidRPr="00F96071">
        <w:rPr>
          <w:sz w:val="20"/>
        </w:rPr>
        <w:t>Précité, note 141.</w:t>
      </w:r>
    </w:p>
  </w:footnote>
  <w:footnote w:id="192">
    <w:p w14:paraId="55F59C0F" w14:textId="075E05BA" w:rsidR="00685AC3" w:rsidRDefault="00685AC3">
      <w:pPr>
        <w:pStyle w:val="Notedebasdepage"/>
      </w:pPr>
      <w:r>
        <w:rPr>
          <w:rStyle w:val="Appelnotedebasdep"/>
        </w:rPr>
        <w:footnoteRef/>
      </w:r>
      <w:r>
        <w:t xml:space="preserve"> </w:t>
      </w:r>
      <w:r>
        <w:tab/>
      </w:r>
      <w:r w:rsidRPr="00685AC3">
        <w:rPr>
          <w:sz w:val="20"/>
        </w:rPr>
        <w:t>Précité, note 138.</w:t>
      </w:r>
    </w:p>
  </w:footnote>
  <w:footnote w:id="193">
    <w:p w14:paraId="3752FB7A" w14:textId="77777777" w:rsidR="006363ED" w:rsidRPr="00130719" w:rsidRDefault="006363ED" w:rsidP="006363ED">
      <w:pPr>
        <w:pStyle w:val="Notedebasdepage"/>
        <w:tabs>
          <w:tab w:val="left" w:pos="720"/>
        </w:tabs>
        <w:ind w:left="720" w:hanging="720"/>
        <w:jc w:val="both"/>
        <w:rPr>
          <w:rFonts w:cs="Arial"/>
          <w:sz w:val="20"/>
        </w:rPr>
      </w:pPr>
      <w:r>
        <w:rPr>
          <w:rStyle w:val="Appelnotedebasdep"/>
        </w:rPr>
        <w:footnoteRef/>
      </w:r>
      <w:r>
        <w:t xml:space="preserve"> </w:t>
      </w:r>
      <w:r w:rsidRPr="00130719">
        <w:rPr>
          <w:rFonts w:cs="Arial"/>
          <w:sz w:val="20"/>
        </w:rPr>
        <w:tab/>
      </w:r>
      <w:r w:rsidRPr="00F9100C">
        <w:rPr>
          <w:rFonts w:cs="Arial"/>
          <w:sz w:val="20"/>
        </w:rPr>
        <w:t>Rapport d’expertise, p.23</w:t>
      </w:r>
      <w:r>
        <w:rPr>
          <w:rFonts w:cs="Arial"/>
          <w:sz w:val="20"/>
        </w:rPr>
        <w:t>.</w:t>
      </w:r>
    </w:p>
  </w:footnote>
  <w:footnote w:id="194">
    <w:p w14:paraId="79356337" w14:textId="6B4BAD0C" w:rsidR="00312474" w:rsidRPr="00E11366"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Précité, note 1</w:t>
      </w:r>
      <w:r w:rsidR="00F4744D">
        <w:rPr>
          <w:rFonts w:cs="Arial"/>
          <w:sz w:val="20"/>
        </w:rPr>
        <w:t>4</w:t>
      </w:r>
      <w:r w:rsidR="00C6615F">
        <w:rPr>
          <w:rFonts w:cs="Arial"/>
          <w:sz w:val="20"/>
        </w:rPr>
        <w:t>1</w:t>
      </w:r>
      <w:r>
        <w:rPr>
          <w:rFonts w:cs="Arial"/>
          <w:sz w:val="20"/>
        </w:rPr>
        <w:t>.</w:t>
      </w:r>
    </w:p>
  </w:footnote>
  <w:footnote w:id="195">
    <w:p w14:paraId="102C32A3" w14:textId="125D02ED" w:rsidR="00312474" w:rsidRPr="000D42A3" w:rsidRDefault="00312474" w:rsidP="0031247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F4744D">
        <w:rPr>
          <w:i/>
          <w:iCs/>
          <w:sz w:val="20"/>
          <w:lang w:eastAsia="fr-FR"/>
        </w:rPr>
        <w:t>Renvoi relatif à l’Alberta</w:t>
      </w:r>
      <w:r>
        <w:rPr>
          <w:rFonts w:cs="Arial"/>
          <w:sz w:val="20"/>
        </w:rPr>
        <w:t>, précité, note 6</w:t>
      </w:r>
      <w:r w:rsidR="00F4744D">
        <w:rPr>
          <w:rFonts w:cs="Arial"/>
          <w:sz w:val="20"/>
        </w:rPr>
        <w:t>1</w:t>
      </w:r>
      <w:r>
        <w:rPr>
          <w:rFonts w:cs="Arial"/>
          <w:sz w:val="20"/>
        </w:rPr>
        <w:t>, pp. 367 à 369.</w:t>
      </w:r>
    </w:p>
  </w:footnote>
  <w:footnote w:id="196">
    <w:p w14:paraId="407E6061" w14:textId="6E7834A5" w:rsidR="006363ED" w:rsidRPr="009E6164" w:rsidRDefault="006363ED" w:rsidP="006363ED">
      <w:pPr>
        <w:pStyle w:val="Notedebasdepage"/>
      </w:pPr>
      <w:r>
        <w:rPr>
          <w:rStyle w:val="Appelnotedebasdep"/>
        </w:rPr>
        <w:footnoteRef/>
      </w:r>
      <w:r>
        <w:t xml:space="preserve"> </w:t>
      </w:r>
      <w:r w:rsidR="00C6615F">
        <w:tab/>
      </w:r>
      <w:r w:rsidRPr="002C60D3">
        <w:rPr>
          <w:sz w:val="20"/>
          <w:lang w:eastAsia="fr-FR"/>
        </w:rPr>
        <w:t xml:space="preserve">Selon l’expression employée par la Cour suprême dans l’arrêt </w:t>
      </w:r>
      <w:r w:rsidRPr="002C60D3">
        <w:rPr>
          <w:i/>
          <w:iCs/>
          <w:sz w:val="20"/>
          <w:lang w:eastAsia="fr-FR"/>
        </w:rPr>
        <w:t>Saskatchewan</w:t>
      </w:r>
      <w:r w:rsidRPr="002C60D3">
        <w:rPr>
          <w:sz w:val="20"/>
          <w:lang w:eastAsia="fr-FR"/>
        </w:rPr>
        <w:t xml:space="preserve">, précité, note </w:t>
      </w:r>
      <w:r w:rsidR="002C60D3" w:rsidRPr="002C60D3">
        <w:rPr>
          <w:sz w:val="20"/>
          <w:lang w:eastAsia="fr-FR"/>
        </w:rPr>
        <w:t>67</w:t>
      </w:r>
      <w:r w:rsidRPr="002C60D3">
        <w:rPr>
          <w:sz w:val="20"/>
          <w:lang w:eastAsia="fr-FR"/>
        </w:rPr>
        <w:t>.</w:t>
      </w:r>
    </w:p>
  </w:footnote>
  <w:footnote w:id="197">
    <w:p w14:paraId="4B444FF7" w14:textId="2E8B7EF1" w:rsidR="006363ED" w:rsidRPr="002C60D3" w:rsidRDefault="006363ED" w:rsidP="006363ED">
      <w:pPr>
        <w:pStyle w:val="Notedebasdepage"/>
      </w:pPr>
      <w:r>
        <w:rPr>
          <w:rStyle w:val="Appelnotedebasdep"/>
        </w:rPr>
        <w:footnoteRef/>
      </w:r>
      <w:r>
        <w:t xml:space="preserve"> </w:t>
      </w:r>
      <w:r w:rsidR="00C6615F">
        <w:tab/>
      </w:r>
      <w:r w:rsidRPr="002C60D3">
        <w:rPr>
          <w:sz w:val="20"/>
        </w:rPr>
        <w:t xml:space="preserve">Arrêt </w:t>
      </w:r>
      <w:r w:rsidRPr="00846DAA">
        <w:rPr>
          <w:i/>
          <w:iCs/>
          <w:sz w:val="20"/>
        </w:rPr>
        <w:t>APMO</w:t>
      </w:r>
      <w:r w:rsidRPr="002C60D3">
        <w:rPr>
          <w:sz w:val="20"/>
        </w:rPr>
        <w:t xml:space="preserve">, </w:t>
      </w:r>
      <w:r w:rsidR="002C60D3" w:rsidRPr="002C60D3">
        <w:rPr>
          <w:sz w:val="20"/>
        </w:rPr>
        <w:t xml:space="preserve">précité, </w:t>
      </w:r>
      <w:r w:rsidRPr="002C60D3">
        <w:rPr>
          <w:sz w:val="20"/>
        </w:rPr>
        <w:t xml:space="preserve">note </w:t>
      </w:r>
      <w:r w:rsidR="002C60D3" w:rsidRPr="002C60D3">
        <w:rPr>
          <w:sz w:val="20"/>
        </w:rPr>
        <w:t>6</w:t>
      </w:r>
      <w:r w:rsidR="00C6615F">
        <w:rPr>
          <w:sz w:val="20"/>
        </w:rPr>
        <w:t>0</w:t>
      </w:r>
      <w:r w:rsidRPr="002C60D3">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D330B6" w:rsidRPr="001674E5" w14:paraId="2B243C2E" w14:textId="77777777" w:rsidTr="00742B82">
      <w:tc>
        <w:tcPr>
          <w:tcW w:w="8730" w:type="dxa"/>
        </w:tcPr>
        <w:p w14:paraId="24879D81" w14:textId="77777777" w:rsidR="00D330B6" w:rsidRPr="001674E5" w:rsidRDefault="00D330B6">
          <w:pPr>
            <w:pStyle w:val="En-tte"/>
            <w:ind w:left="-90"/>
          </w:pPr>
        </w:p>
      </w:tc>
      <w:tc>
        <w:tcPr>
          <w:tcW w:w="860" w:type="dxa"/>
        </w:tcPr>
        <w:p w14:paraId="01B22AE5" w14:textId="77777777" w:rsidR="00D330B6" w:rsidRPr="001674E5" w:rsidRDefault="00D330B6">
          <w:pPr>
            <w:pStyle w:val="En-tte"/>
            <w:ind w:left="-90"/>
          </w:pPr>
        </w:p>
      </w:tc>
    </w:tr>
    <w:tr w:rsidR="00742B82" w:rsidRPr="001674E5" w14:paraId="7DBFD0D9" w14:textId="77777777" w:rsidTr="00742B82">
      <w:tc>
        <w:tcPr>
          <w:tcW w:w="8730" w:type="dxa"/>
        </w:tcPr>
        <w:p w14:paraId="282571E7" w14:textId="0BA6EF92" w:rsidR="00742B82" w:rsidRPr="001674E5" w:rsidRDefault="00742B82" w:rsidP="00742B82">
          <w:r w:rsidRPr="001674E5">
            <w:t>1461070-71-2602</w:t>
          </w:r>
        </w:p>
      </w:tc>
      <w:tc>
        <w:tcPr>
          <w:tcW w:w="860" w:type="dxa"/>
        </w:tcPr>
        <w:p w14:paraId="3F8F7672" w14:textId="77777777" w:rsidR="00742B82" w:rsidRPr="001674E5" w:rsidRDefault="00742B82" w:rsidP="00742B82">
          <w:pPr>
            <w:pStyle w:val="En-tte"/>
            <w:ind w:left="-90"/>
            <w:jc w:val="right"/>
            <w:rPr>
              <w:rStyle w:val="Numrodepage"/>
            </w:rPr>
          </w:pPr>
          <w:r w:rsidRPr="001674E5">
            <w:rPr>
              <w:rStyle w:val="Numrodepage"/>
            </w:rPr>
            <w:fldChar w:fldCharType="begin"/>
          </w:r>
          <w:r w:rsidRPr="001674E5">
            <w:rPr>
              <w:rStyle w:val="Numrodepage"/>
            </w:rPr>
            <w:instrText xml:space="preserve"> PAGE </w:instrText>
          </w:r>
          <w:r w:rsidRPr="001674E5">
            <w:rPr>
              <w:rStyle w:val="Numrodepage"/>
            </w:rPr>
            <w:fldChar w:fldCharType="separate"/>
          </w:r>
          <w:r w:rsidRPr="00DB7B0D">
            <w:rPr>
              <w:rStyle w:val="Numrodepage"/>
            </w:rPr>
            <w:t>2</w:t>
          </w:r>
          <w:r w:rsidRPr="001674E5">
            <w:rPr>
              <w:rStyle w:val="Numrodepage"/>
            </w:rPr>
            <w:fldChar w:fldCharType="end"/>
          </w:r>
        </w:p>
      </w:tc>
    </w:tr>
    <w:tr w:rsidR="00AF2CEF" w:rsidRPr="001674E5" w14:paraId="3B381602" w14:textId="77777777" w:rsidTr="00742B82">
      <w:tc>
        <w:tcPr>
          <w:tcW w:w="8730" w:type="dxa"/>
        </w:tcPr>
        <w:p w14:paraId="6D2369E8" w14:textId="77777777" w:rsidR="00AF2CEF" w:rsidRPr="001674E5" w:rsidRDefault="00AF2CEF" w:rsidP="00742B82"/>
      </w:tc>
      <w:tc>
        <w:tcPr>
          <w:tcW w:w="860" w:type="dxa"/>
        </w:tcPr>
        <w:p w14:paraId="02A2D0FC" w14:textId="77777777" w:rsidR="00AF2CEF" w:rsidRPr="001674E5" w:rsidRDefault="00AF2CEF" w:rsidP="00742B82">
          <w:pPr>
            <w:pStyle w:val="En-tte"/>
            <w:ind w:left="-90"/>
            <w:jc w:val="right"/>
            <w:rPr>
              <w:rStyle w:val="Numrodepage"/>
            </w:rPr>
          </w:pPr>
        </w:p>
      </w:tc>
    </w:tr>
  </w:tbl>
  <w:p w14:paraId="70D53D41" w14:textId="77777777" w:rsidR="00D330B6" w:rsidRPr="001674E5" w:rsidRDefault="00D330B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14A"/>
    <w:multiLevelType w:val="hybridMultilevel"/>
    <w:tmpl w:val="471A2AD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4CD55DB"/>
    <w:multiLevelType w:val="hybridMultilevel"/>
    <w:tmpl w:val="0F463F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0280DBB"/>
    <w:multiLevelType w:val="hybridMultilevel"/>
    <w:tmpl w:val="DC6EE83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2DC2CBD"/>
    <w:multiLevelType w:val="hybridMultilevel"/>
    <w:tmpl w:val="080C24C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4397D29"/>
    <w:multiLevelType w:val="hybridMultilevel"/>
    <w:tmpl w:val="1AEE8968"/>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6043B39"/>
    <w:multiLevelType w:val="hybridMultilevel"/>
    <w:tmpl w:val="86FE21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B9E25AD"/>
    <w:multiLevelType w:val="hybridMultilevel"/>
    <w:tmpl w:val="0D5A917A"/>
    <w:lvl w:ilvl="0" w:tplc="7C543DAE">
      <w:start w:val="1"/>
      <w:numFmt w:val="bullet"/>
      <w:lvlText w:val=""/>
      <w:lvlJc w:val="left"/>
      <w:pPr>
        <w:ind w:left="720" w:hanging="360"/>
      </w:pPr>
      <w:rPr>
        <w:rFonts w:ascii="Symbol" w:hAnsi="Symbol"/>
      </w:rPr>
    </w:lvl>
    <w:lvl w:ilvl="1" w:tplc="9D08B912">
      <w:start w:val="1"/>
      <w:numFmt w:val="bullet"/>
      <w:lvlText w:val=""/>
      <w:lvlJc w:val="left"/>
      <w:pPr>
        <w:ind w:left="720" w:hanging="360"/>
      </w:pPr>
      <w:rPr>
        <w:rFonts w:ascii="Symbol" w:hAnsi="Symbol"/>
      </w:rPr>
    </w:lvl>
    <w:lvl w:ilvl="2" w:tplc="9BFA2B4A">
      <w:start w:val="1"/>
      <w:numFmt w:val="bullet"/>
      <w:lvlText w:val=""/>
      <w:lvlJc w:val="left"/>
      <w:pPr>
        <w:ind w:left="720" w:hanging="360"/>
      </w:pPr>
      <w:rPr>
        <w:rFonts w:ascii="Symbol" w:hAnsi="Symbol"/>
      </w:rPr>
    </w:lvl>
    <w:lvl w:ilvl="3" w:tplc="1A2C48D8">
      <w:start w:val="1"/>
      <w:numFmt w:val="bullet"/>
      <w:lvlText w:val=""/>
      <w:lvlJc w:val="left"/>
      <w:pPr>
        <w:ind w:left="720" w:hanging="360"/>
      </w:pPr>
      <w:rPr>
        <w:rFonts w:ascii="Symbol" w:hAnsi="Symbol"/>
      </w:rPr>
    </w:lvl>
    <w:lvl w:ilvl="4" w:tplc="19204BA8">
      <w:start w:val="1"/>
      <w:numFmt w:val="bullet"/>
      <w:lvlText w:val=""/>
      <w:lvlJc w:val="left"/>
      <w:pPr>
        <w:ind w:left="720" w:hanging="360"/>
      </w:pPr>
      <w:rPr>
        <w:rFonts w:ascii="Symbol" w:hAnsi="Symbol"/>
      </w:rPr>
    </w:lvl>
    <w:lvl w:ilvl="5" w:tplc="FCB2F1BC">
      <w:start w:val="1"/>
      <w:numFmt w:val="bullet"/>
      <w:lvlText w:val=""/>
      <w:lvlJc w:val="left"/>
      <w:pPr>
        <w:ind w:left="720" w:hanging="360"/>
      </w:pPr>
      <w:rPr>
        <w:rFonts w:ascii="Symbol" w:hAnsi="Symbol"/>
      </w:rPr>
    </w:lvl>
    <w:lvl w:ilvl="6" w:tplc="536CEE56">
      <w:start w:val="1"/>
      <w:numFmt w:val="bullet"/>
      <w:lvlText w:val=""/>
      <w:lvlJc w:val="left"/>
      <w:pPr>
        <w:ind w:left="720" w:hanging="360"/>
      </w:pPr>
      <w:rPr>
        <w:rFonts w:ascii="Symbol" w:hAnsi="Symbol"/>
      </w:rPr>
    </w:lvl>
    <w:lvl w:ilvl="7" w:tplc="01B02550">
      <w:start w:val="1"/>
      <w:numFmt w:val="bullet"/>
      <w:lvlText w:val=""/>
      <w:lvlJc w:val="left"/>
      <w:pPr>
        <w:ind w:left="720" w:hanging="360"/>
      </w:pPr>
      <w:rPr>
        <w:rFonts w:ascii="Symbol" w:hAnsi="Symbol"/>
      </w:rPr>
    </w:lvl>
    <w:lvl w:ilvl="8" w:tplc="EC46CC6A">
      <w:start w:val="1"/>
      <w:numFmt w:val="bullet"/>
      <w:lvlText w:val=""/>
      <w:lvlJc w:val="left"/>
      <w:pPr>
        <w:ind w:left="720" w:hanging="360"/>
      </w:pPr>
      <w:rPr>
        <w:rFonts w:ascii="Symbol" w:hAnsi="Symbol"/>
      </w:rPr>
    </w:lvl>
  </w:abstractNum>
  <w:abstractNum w:abstractNumId="7" w15:restartNumberingAfterBreak="0">
    <w:nsid w:val="60264DEF"/>
    <w:multiLevelType w:val="hybridMultilevel"/>
    <w:tmpl w:val="995E14A2"/>
    <w:lvl w:ilvl="0" w:tplc="D30056BE">
      <w:numFmt w:val="bullet"/>
      <w:lvlText w:val="·"/>
      <w:lvlJc w:val="left"/>
      <w:pPr>
        <w:ind w:left="0" w:hanging="363"/>
      </w:pPr>
      <w:rPr>
        <w:rFonts w:ascii="Symbol" w:eastAsia="Symbol" w:hAnsi="Symbol" w:cs="Symbol" w:hint="default"/>
        <w:w w:val="99"/>
        <w:sz w:val="24"/>
        <w:szCs w:val="24"/>
        <w:lang w:val="en-US" w:eastAsia="en-US" w:bidi="en-US"/>
      </w:rPr>
    </w:lvl>
    <w:lvl w:ilvl="1" w:tplc="23001F42">
      <w:numFmt w:val="bullet"/>
      <w:lvlText w:val="·"/>
      <w:lvlJc w:val="left"/>
      <w:pPr>
        <w:ind w:left="968" w:hanging="363"/>
      </w:pPr>
      <w:rPr>
        <w:rFonts w:ascii="Symbol" w:eastAsia="Symbol" w:hAnsi="Symbol" w:cs="Symbol" w:hint="default"/>
        <w:w w:val="99"/>
        <w:sz w:val="24"/>
        <w:szCs w:val="24"/>
        <w:lang w:val="en-US" w:eastAsia="en-US" w:bidi="en-US"/>
      </w:rPr>
    </w:lvl>
    <w:lvl w:ilvl="2" w:tplc="8E9EE1B6">
      <w:numFmt w:val="bullet"/>
      <w:lvlText w:val="·"/>
      <w:lvlJc w:val="left"/>
      <w:pPr>
        <w:ind w:left="1936" w:hanging="363"/>
      </w:pPr>
      <w:rPr>
        <w:rFonts w:ascii="Symbol" w:eastAsia="Symbol" w:hAnsi="Symbol" w:cs="Symbol" w:hint="default"/>
        <w:w w:val="99"/>
        <w:sz w:val="24"/>
        <w:szCs w:val="24"/>
        <w:lang w:val="en-US" w:eastAsia="en-US" w:bidi="en-US"/>
      </w:rPr>
    </w:lvl>
    <w:lvl w:ilvl="3" w:tplc="8E2822E6">
      <w:numFmt w:val="bullet"/>
      <w:lvlText w:val="·"/>
      <w:lvlJc w:val="left"/>
      <w:pPr>
        <w:ind w:left="2904" w:hanging="363"/>
      </w:pPr>
      <w:rPr>
        <w:rFonts w:ascii="Symbol" w:eastAsia="Symbol" w:hAnsi="Symbol" w:cs="Symbol" w:hint="default"/>
        <w:w w:val="99"/>
        <w:sz w:val="24"/>
        <w:szCs w:val="24"/>
        <w:lang w:val="en-US" w:eastAsia="en-US" w:bidi="en-US"/>
      </w:rPr>
    </w:lvl>
    <w:lvl w:ilvl="4" w:tplc="3FCAAF6A">
      <w:numFmt w:val="bullet"/>
      <w:lvlText w:val="·"/>
      <w:lvlJc w:val="left"/>
      <w:pPr>
        <w:ind w:left="3872" w:hanging="363"/>
      </w:pPr>
      <w:rPr>
        <w:rFonts w:ascii="Symbol" w:eastAsia="Symbol" w:hAnsi="Symbol" w:cs="Symbol" w:hint="default"/>
        <w:w w:val="99"/>
        <w:sz w:val="24"/>
        <w:szCs w:val="24"/>
        <w:lang w:val="en-US" w:eastAsia="en-US" w:bidi="en-US"/>
      </w:rPr>
    </w:lvl>
    <w:lvl w:ilvl="5" w:tplc="0322A378">
      <w:numFmt w:val="bullet"/>
      <w:lvlText w:val="·"/>
      <w:lvlJc w:val="left"/>
      <w:pPr>
        <w:ind w:left="4840" w:hanging="363"/>
      </w:pPr>
      <w:rPr>
        <w:rFonts w:ascii="Symbol" w:eastAsia="Symbol" w:hAnsi="Symbol" w:cs="Symbol" w:hint="default"/>
        <w:w w:val="99"/>
        <w:sz w:val="24"/>
        <w:szCs w:val="24"/>
        <w:lang w:val="en-US" w:eastAsia="en-US" w:bidi="en-US"/>
      </w:rPr>
    </w:lvl>
    <w:lvl w:ilvl="6" w:tplc="C9E84A32">
      <w:numFmt w:val="bullet"/>
      <w:lvlText w:val="·"/>
      <w:lvlJc w:val="left"/>
      <w:pPr>
        <w:ind w:left="5808" w:hanging="363"/>
      </w:pPr>
      <w:rPr>
        <w:rFonts w:ascii="Symbol" w:eastAsia="Symbol" w:hAnsi="Symbol" w:cs="Symbol" w:hint="default"/>
        <w:w w:val="99"/>
        <w:sz w:val="24"/>
        <w:szCs w:val="24"/>
        <w:lang w:val="en-US" w:eastAsia="en-US" w:bidi="en-US"/>
      </w:rPr>
    </w:lvl>
    <w:lvl w:ilvl="7" w:tplc="BFAE2CD0">
      <w:numFmt w:val="bullet"/>
      <w:lvlText w:val="·"/>
      <w:lvlJc w:val="left"/>
      <w:pPr>
        <w:ind w:left="6776" w:hanging="363"/>
      </w:pPr>
      <w:rPr>
        <w:rFonts w:ascii="Symbol" w:eastAsia="Symbol" w:hAnsi="Symbol" w:cs="Symbol" w:hint="default"/>
        <w:w w:val="99"/>
        <w:sz w:val="24"/>
        <w:szCs w:val="24"/>
        <w:lang w:val="en-US" w:eastAsia="en-US" w:bidi="en-US"/>
      </w:rPr>
    </w:lvl>
    <w:lvl w:ilvl="8" w:tplc="81CACBE0">
      <w:numFmt w:val="bullet"/>
      <w:lvlText w:val="·"/>
      <w:lvlJc w:val="left"/>
      <w:pPr>
        <w:ind w:left="7744" w:hanging="363"/>
      </w:pPr>
      <w:rPr>
        <w:rFonts w:ascii="Symbol" w:eastAsia="Symbol" w:hAnsi="Symbol" w:cs="Symbol" w:hint="default"/>
        <w:w w:val="99"/>
        <w:sz w:val="24"/>
        <w:szCs w:val="24"/>
        <w:lang w:val="en-US" w:eastAsia="en-US" w:bidi="en-US"/>
      </w:rPr>
    </w:lvl>
  </w:abstractNum>
  <w:abstractNum w:abstractNumId="8" w15:restartNumberingAfterBreak="0">
    <w:nsid w:val="6A4931F1"/>
    <w:multiLevelType w:val="hybridMultilevel"/>
    <w:tmpl w:val="52F4CF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D1E5C9E"/>
    <w:multiLevelType w:val="hybridMultilevel"/>
    <w:tmpl w:val="2B969BF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75917C39"/>
    <w:multiLevelType w:val="multilevel"/>
    <w:tmpl w:val="0042494C"/>
    <w:lvl w:ilvl="0">
      <w:start w:val="1"/>
      <w:numFmt w:val="decimal"/>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11" w15:restartNumberingAfterBreak="0">
    <w:nsid w:val="76556088"/>
    <w:multiLevelType w:val="multilevel"/>
    <w:tmpl w:val="74FA30DC"/>
    <w:lvl w:ilvl="0">
      <w:start w:val="1"/>
      <w:numFmt w:val="decimal"/>
      <w:pStyle w:val="corpsdedcision"/>
      <w:lvlText w:val="[%1]"/>
      <w:lvlJc w:val="left"/>
      <w:pPr>
        <w:tabs>
          <w:tab w:val="num" w:pos="360"/>
        </w:tabs>
        <w:ind w:left="0" w:firstLine="0"/>
      </w:pPr>
    </w:lvl>
    <w:lvl w:ilvl="1">
      <w:start w:val="1"/>
      <w:numFmt w:val="decimal"/>
      <w:lvlRestart w:val="0"/>
      <w:lvlText w:val="[%1.%2]"/>
      <w:lvlJc w:val="left"/>
      <w:pPr>
        <w:tabs>
          <w:tab w:val="num" w:pos="1080"/>
        </w:tabs>
        <w:ind w:left="360" w:firstLine="0"/>
      </w:pPr>
    </w:lvl>
    <w:lvl w:ilvl="2">
      <w:start w:val="1"/>
      <w:numFmt w:val="decimal"/>
      <w:lvlRestart w:val="0"/>
      <w:lvlText w:val="[%1.%2.%3]"/>
      <w:lvlJc w:val="left"/>
      <w:pPr>
        <w:tabs>
          <w:tab w:val="num" w:pos="1440"/>
        </w:tabs>
        <w:ind w:left="720" w:firstLine="0"/>
      </w:pPr>
    </w:lvl>
    <w:lvl w:ilvl="3">
      <w:start w:val="1"/>
      <w:numFmt w:val="decimal"/>
      <w:lvlRestart w:val="0"/>
      <w:lvlText w:val="[%1.%2.%3.%4]"/>
      <w:lvlJc w:val="left"/>
      <w:pPr>
        <w:tabs>
          <w:tab w:val="num" w:pos="2160"/>
        </w:tabs>
        <w:ind w:left="1080" w:firstLine="0"/>
      </w:pPr>
    </w:lvl>
    <w:lvl w:ilvl="4">
      <w:start w:val="1"/>
      <w:numFmt w:val="decimal"/>
      <w:lvlRestart w:val="0"/>
      <w:lvlText w:val="[%1.%2.%3.%4.%5]"/>
      <w:lvlJc w:val="left"/>
      <w:pPr>
        <w:tabs>
          <w:tab w:val="num" w:pos="2520"/>
        </w:tabs>
        <w:ind w:left="2232" w:hanging="792"/>
      </w:pPr>
    </w:lvl>
    <w:lvl w:ilvl="5">
      <w:start w:val="1"/>
      <w:numFmt w:val="decimal"/>
      <w:lvlRestart w:val="0"/>
      <w:lvlText w:val="[%1.%2.%3.%4.%5.%6]"/>
      <w:lvlJc w:val="left"/>
      <w:pPr>
        <w:tabs>
          <w:tab w:val="num" w:pos="3240"/>
        </w:tabs>
        <w:ind w:left="2736" w:hanging="936"/>
      </w:pPr>
    </w:lvl>
    <w:lvl w:ilvl="6">
      <w:start w:val="1"/>
      <w:numFmt w:val="decimal"/>
      <w:lvlRestart w:val="0"/>
      <w:lvlText w:val="[%1.%2.%3.%4.%5.%6.%7]"/>
      <w:lvlJc w:val="left"/>
      <w:pPr>
        <w:tabs>
          <w:tab w:val="num" w:pos="3600"/>
        </w:tabs>
        <w:ind w:left="3240" w:hanging="1080"/>
      </w:pPr>
    </w:lvl>
    <w:lvl w:ilvl="7">
      <w:start w:val="1"/>
      <w:numFmt w:val="decimal"/>
      <w:lvlRestart w:val="0"/>
      <w:lvlText w:val="[%1.%2.%3.%4.%5.%6.%7.%8]"/>
      <w:lvlJc w:val="left"/>
      <w:pPr>
        <w:tabs>
          <w:tab w:val="num" w:pos="4320"/>
        </w:tabs>
        <w:ind w:left="3744" w:hanging="1224"/>
      </w:pPr>
    </w:lvl>
    <w:lvl w:ilvl="8">
      <w:start w:val="1"/>
      <w:numFmt w:val="decimal"/>
      <w:lvlRestart w:val="0"/>
      <w:lvlText w:val="[%1.%2.%3.%4.%5.%6.%7.%8.%9]"/>
      <w:lvlJc w:val="left"/>
      <w:pPr>
        <w:tabs>
          <w:tab w:val="num" w:pos="4680"/>
        </w:tabs>
        <w:ind w:left="4320" w:hanging="1440"/>
      </w:pPr>
    </w:lvl>
  </w:abstractNum>
  <w:abstractNum w:abstractNumId="12" w15:restartNumberingAfterBreak="0">
    <w:nsid w:val="794762A7"/>
    <w:multiLevelType w:val="hybridMultilevel"/>
    <w:tmpl w:val="3BCA12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79FD37F9"/>
    <w:multiLevelType w:val="hybridMultilevel"/>
    <w:tmpl w:val="0C6AA6A0"/>
    <w:lvl w:ilvl="0" w:tplc="2B3C206A">
      <w:start w:val="1"/>
      <w:numFmt w:val="decimal"/>
      <w:lvlText w:val="(%1)"/>
      <w:lvlJc w:val="left"/>
      <w:pPr>
        <w:ind w:left="768" w:hanging="408"/>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7BB76507"/>
    <w:multiLevelType w:val="multilevel"/>
    <w:tmpl w:val="F20E889A"/>
    <w:lvl w:ilvl="0">
      <w:start w:val="1"/>
      <w:numFmt w:val="decimal"/>
      <w:pStyle w:val="Paragraphe"/>
      <w:lvlText w:val="[%1]"/>
      <w:lvlJc w:val="left"/>
      <w:pPr>
        <w:tabs>
          <w:tab w:val="num" w:pos="720"/>
        </w:tabs>
        <w:ind w:left="720" w:hanging="72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7EEF6E23"/>
    <w:multiLevelType w:val="hybridMultilevel"/>
    <w:tmpl w:val="FEF20F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151286959">
    <w:abstractNumId w:val="11"/>
  </w:num>
  <w:num w:numId="2" w16cid:durableId="550463071">
    <w:abstractNumId w:val="10"/>
  </w:num>
  <w:num w:numId="3" w16cid:durableId="1008405927">
    <w:abstractNumId w:val="14"/>
  </w:num>
  <w:num w:numId="4" w16cid:durableId="2002542114">
    <w:abstractNumId w:val="8"/>
  </w:num>
  <w:num w:numId="5" w16cid:durableId="1817142320">
    <w:abstractNumId w:val="2"/>
  </w:num>
  <w:num w:numId="6" w16cid:durableId="1314798076">
    <w:abstractNumId w:val="12"/>
  </w:num>
  <w:num w:numId="7" w16cid:durableId="1583879072">
    <w:abstractNumId w:val="9"/>
  </w:num>
  <w:num w:numId="8" w16cid:durableId="1277367">
    <w:abstractNumId w:val="3"/>
  </w:num>
  <w:num w:numId="9" w16cid:durableId="1675910728">
    <w:abstractNumId w:val="1"/>
  </w:num>
  <w:num w:numId="10" w16cid:durableId="1176111655">
    <w:abstractNumId w:val="0"/>
  </w:num>
  <w:num w:numId="11" w16cid:durableId="793254675">
    <w:abstractNumId w:val="6"/>
  </w:num>
  <w:num w:numId="12" w16cid:durableId="923027382">
    <w:abstractNumId w:val="15"/>
  </w:num>
  <w:num w:numId="13" w16cid:durableId="992874087">
    <w:abstractNumId w:val="7"/>
  </w:num>
  <w:num w:numId="14" w16cid:durableId="2026980131">
    <w:abstractNumId w:val="5"/>
  </w:num>
  <w:num w:numId="15" w16cid:durableId="1577938185">
    <w:abstractNumId w:val="4"/>
  </w:num>
  <w:num w:numId="16" w16cid:durableId="83037841">
    <w:abstractNumId w:val="11"/>
  </w:num>
  <w:num w:numId="17" w16cid:durableId="43918443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2D5122-8285-4FEF-A428-4E5787FB9F65}"/>
    <w:docVar w:name="dgnword-eventsink" w:val="2136379905872"/>
  </w:docVars>
  <w:rsids>
    <w:rsidRoot w:val="00742B82"/>
    <w:rsid w:val="00000169"/>
    <w:rsid w:val="000002C2"/>
    <w:rsid w:val="0000031B"/>
    <w:rsid w:val="000004C2"/>
    <w:rsid w:val="000007D5"/>
    <w:rsid w:val="00000C3D"/>
    <w:rsid w:val="0000118B"/>
    <w:rsid w:val="0000120B"/>
    <w:rsid w:val="00001212"/>
    <w:rsid w:val="00001754"/>
    <w:rsid w:val="0000179F"/>
    <w:rsid w:val="00001ECB"/>
    <w:rsid w:val="00001F75"/>
    <w:rsid w:val="00002B52"/>
    <w:rsid w:val="0000321E"/>
    <w:rsid w:val="000033B2"/>
    <w:rsid w:val="000034B0"/>
    <w:rsid w:val="000041A1"/>
    <w:rsid w:val="0000474C"/>
    <w:rsid w:val="000047B7"/>
    <w:rsid w:val="00004996"/>
    <w:rsid w:val="00004E18"/>
    <w:rsid w:val="00005EE8"/>
    <w:rsid w:val="00006A75"/>
    <w:rsid w:val="00006D65"/>
    <w:rsid w:val="00006DD2"/>
    <w:rsid w:val="000074DB"/>
    <w:rsid w:val="000079E2"/>
    <w:rsid w:val="00010683"/>
    <w:rsid w:val="00010F8A"/>
    <w:rsid w:val="000115AC"/>
    <w:rsid w:val="000115EC"/>
    <w:rsid w:val="00011E08"/>
    <w:rsid w:val="0001202F"/>
    <w:rsid w:val="00012137"/>
    <w:rsid w:val="00012335"/>
    <w:rsid w:val="00012BBD"/>
    <w:rsid w:val="0001305E"/>
    <w:rsid w:val="000131FB"/>
    <w:rsid w:val="000133D2"/>
    <w:rsid w:val="000136C4"/>
    <w:rsid w:val="00013885"/>
    <w:rsid w:val="000141BF"/>
    <w:rsid w:val="00014A1B"/>
    <w:rsid w:val="00014E48"/>
    <w:rsid w:val="00014E7F"/>
    <w:rsid w:val="000154E9"/>
    <w:rsid w:val="00015885"/>
    <w:rsid w:val="00015CE9"/>
    <w:rsid w:val="00016148"/>
    <w:rsid w:val="0001654A"/>
    <w:rsid w:val="00016D99"/>
    <w:rsid w:val="00016FA8"/>
    <w:rsid w:val="000171F5"/>
    <w:rsid w:val="000200CB"/>
    <w:rsid w:val="000210F5"/>
    <w:rsid w:val="00021B30"/>
    <w:rsid w:val="00021E4C"/>
    <w:rsid w:val="0002217F"/>
    <w:rsid w:val="000224D6"/>
    <w:rsid w:val="00022556"/>
    <w:rsid w:val="00022665"/>
    <w:rsid w:val="00023553"/>
    <w:rsid w:val="00023575"/>
    <w:rsid w:val="00023858"/>
    <w:rsid w:val="00024ACF"/>
    <w:rsid w:val="00024CC7"/>
    <w:rsid w:val="00025276"/>
    <w:rsid w:val="00025402"/>
    <w:rsid w:val="000259EF"/>
    <w:rsid w:val="00025AC6"/>
    <w:rsid w:val="0002677A"/>
    <w:rsid w:val="000274D9"/>
    <w:rsid w:val="00027AFE"/>
    <w:rsid w:val="00027B38"/>
    <w:rsid w:val="0003096A"/>
    <w:rsid w:val="00030E2D"/>
    <w:rsid w:val="0003187C"/>
    <w:rsid w:val="00031D6D"/>
    <w:rsid w:val="00031ECE"/>
    <w:rsid w:val="00031F46"/>
    <w:rsid w:val="000320E6"/>
    <w:rsid w:val="0003224A"/>
    <w:rsid w:val="000328A3"/>
    <w:rsid w:val="00032ABB"/>
    <w:rsid w:val="00033263"/>
    <w:rsid w:val="000338E4"/>
    <w:rsid w:val="00033AE5"/>
    <w:rsid w:val="00033B1B"/>
    <w:rsid w:val="00034048"/>
    <w:rsid w:val="000340FF"/>
    <w:rsid w:val="0003444A"/>
    <w:rsid w:val="0003479D"/>
    <w:rsid w:val="00034B3B"/>
    <w:rsid w:val="00034FAD"/>
    <w:rsid w:val="000350A5"/>
    <w:rsid w:val="00035240"/>
    <w:rsid w:val="000352CA"/>
    <w:rsid w:val="00035439"/>
    <w:rsid w:val="00035AF9"/>
    <w:rsid w:val="0003669A"/>
    <w:rsid w:val="000366EC"/>
    <w:rsid w:val="00036741"/>
    <w:rsid w:val="00036794"/>
    <w:rsid w:val="00036D48"/>
    <w:rsid w:val="00036D97"/>
    <w:rsid w:val="000376D8"/>
    <w:rsid w:val="00040280"/>
    <w:rsid w:val="000407F5"/>
    <w:rsid w:val="00040A48"/>
    <w:rsid w:val="00040BFE"/>
    <w:rsid w:val="00041152"/>
    <w:rsid w:val="0004183C"/>
    <w:rsid w:val="00041948"/>
    <w:rsid w:val="00042F34"/>
    <w:rsid w:val="000433EE"/>
    <w:rsid w:val="00043E4D"/>
    <w:rsid w:val="00044180"/>
    <w:rsid w:val="0004447A"/>
    <w:rsid w:val="000449A1"/>
    <w:rsid w:val="00044B49"/>
    <w:rsid w:val="000456ED"/>
    <w:rsid w:val="00045850"/>
    <w:rsid w:val="00045CEE"/>
    <w:rsid w:val="00045E40"/>
    <w:rsid w:val="00045E8D"/>
    <w:rsid w:val="000468D9"/>
    <w:rsid w:val="00046BC0"/>
    <w:rsid w:val="000473FC"/>
    <w:rsid w:val="000478EB"/>
    <w:rsid w:val="000504D5"/>
    <w:rsid w:val="00050778"/>
    <w:rsid w:val="00050947"/>
    <w:rsid w:val="00050949"/>
    <w:rsid w:val="00050C5E"/>
    <w:rsid w:val="00050E70"/>
    <w:rsid w:val="000510B4"/>
    <w:rsid w:val="000523F7"/>
    <w:rsid w:val="00052B6F"/>
    <w:rsid w:val="00052DAB"/>
    <w:rsid w:val="00052E98"/>
    <w:rsid w:val="0005325E"/>
    <w:rsid w:val="00053434"/>
    <w:rsid w:val="000536CC"/>
    <w:rsid w:val="00053A3E"/>
    <w:rsid w:val="00053B2D"/>
    <w:rsid w:val="00053E4A"/>
    <w:rsid w:val="00053F33"/>
    <w:rsid w:val="0005443C"/>
    <w:rsid w:val="000549BE"/>
    <w:rsid w:val="0005504A"/>
    <w:rsid w:val="000558FD"/>
    <w:rsid w:val="000559A8"/>
    <w:rsid w:val="00055A3E"/>
    <w:rsid w:val="00055BF6"/>
    <w:rsid w:val="00055F47"/>
    <w:rsid w:val="00056393"/>
    <w:rsid w:val="0005643E"/>
    <w:rsid w:val="00056D0C"/>
    <w:rsid w:val="00057036"/>
    <w:rsid w:val="000576FB"/>
    <w:rsid w:val="00057739"/>
    <w:rsid w:val="0005787F"/>
    <w:rsid w:val="00057AAF"/>
    <w:rsid w:val="00057AEC"/>
    <w:rsid w:val="00057DD1"/>
    <w:rsid w:val="0006097A"/>
    <w:rsid w:val="000610E9"/>
    <w:rsid w:val="00061E83"/>
    <w:rsid w:val="00063838"/>
    <w:rsid w:val="00063BBE"/>
    <w:rsid w:val="00063C30"/>
    <w:rsid w:val="00064201"/>
    <w:rsid w:val="000643C0"/>
    <w:rsid w:val="000643DD"/>
    <w:rsid w:val="00064937"/>
    <w:rsid w:val="00064BA7"/>
    <w:rsid w:val="0006504F"/>
    <w:rsid w:val="00065415"/>
    <w:rsid w:val="000654A2"/>
    <w:rsid w:val="0006559C"/>
    <w:rsid w:val="000658D6"/>
    <w:rsid w:val="00065906"/>
    <w:rsid w:val="00065CC6"/>
    <w:rsid w:val="00065E0A"/>
    <w:rsid w:val="00066038"/>
    <w:rsid w:val="000661D3"/>
    <w:rsid w:val="00066523"/>
    <w:rsid w:val="00066533"/>
    <w:rsid w:val="00066BA6"/>
    <w:rsid w:val="000676D3"/>
    <w:rsid w:val="00067DB2"/>
    <w:rsid w:val="00070000"/>
    <w:rsid w:val="000711B5"/>
    <w:rsid w:val="00071CDA"/>
    <w:rsid w:val="00072238"/>
    <w:rsid w:val="0007225E"/>
    <w:rsid w:val="00072568"/>
    <w:rsid w:val="00072A06"/>
    <w:rsid w:val="00072BAC"/>
    <w:rsid w:val="00072BEE"/>
    <w:rsid w:val="00072C97"/>
    <w:rsid w:val="000732A6"/>
    <w:rsid w:val="00073C53"/>
    <w:rsid w:val="000743E4"/>
    <w:rsid w:val="00074481"/>
    <w:rsid w:val="00074ABE"/>
    <w:rsid w:val="00074EAE"/>
    <w:rsid w:val="000756D0"/>
    <w:rsid w:val="00075FD6"/>
    <w:rsid w:val="000761A2"/>
    <w:rsid w:val="000766FB"/>
    <w:rsid w:val="000767EF"/>
    <w:rsid w:val="00076A55"/>
    <w:rsid w:val="00076D76"/>
    <w:rsid w:val="00076D81"/>
    <w:rsid w:val="000770D5"/>
    <w:rsid w:val="00077276"/>
    <w:rsid w:val="000773FA"/>
    <w:rsid w:val="0007758C"/>
    <w:rsid w:val="0007767F"/>
    <w:rsid w:val="00077786"/>
    <w:rsid w:val="000777A1"/>
    <w:rsid w:val="00080885"/>
    <w:rsid w:val="00080A9F"/>
    <w:rsid w:val="00080F9A"/>
    <w:rsid w:val="00082A97"/>
    <w:rsid w:val="00083719"/>
    <w:rsid w:val="0008378A"/>
    <w:rsid w:val="00083BFA"/>
    <w:rsid w:val="00083CB9"/>
    <w:rsid w:val="00084AB4"/>
    <w:rsid w:val="00084ABF"/>
    <w:rsid w:val="00085115"/>
    <w:rsid w:val="00085284"/>
    <w:rsid w:val="00085D00"/>
    <w:rsid w:val="00085ECA"/>
    <w:rsid w:val="00086085"/>
    <w:rsid w:val="0008628A"/>
    <w:rsid w:val="000864B7"/>
    <w:rsid w:val="0008655A"/>
    <w:rsid w:val="00087384"/>
    <w:rsid w:val="000877A6"/>
    <w:rsid w:val="0008784D"/>
    <w:rsid w:val="00087B68"/>
    <w:rsid w:val="00087BA9"/>
    <w:rsid w:val="00090018"/>
    <w:rsid w:val="00090306"/>
    <w:rsid w:val="00090A35"/>
    <w:rsid w:val="00090CC4"/>
    <w:rsid w:val="00090F69"/>
    <w:rsid w:val="00091294"/>
    <w:rsid w:val="0009139F"/>
    <w:rsid w:val="00091C1E"/>
    <w:rsid w:val="00091C93"/>
    <w:rsid w:val="00093ACD"/>
    <w:rsid w:val="00093C07"/>
    <w:rsid w:val="00094F6A"/>
    <w:rsid w:val="0009539A"/>
    <w:rsid w:val="00095814"/>
    <w:rsid w:val="00096794"/>
    <w:rsid w:val="00096E21"/>
    <w:rsid w:val="00097536"/>
    <w:rsid w:val="00097D81"/>
    <w:rsid w:val="00097FCE"/>
    <w:rsid w:val="000A0134"/>
    <w:rsid w:val="000A1AF3"/>
    <w:rsid w:val="000A1B68"/>
    <w:rsid w:val="000A1C35"/>
    <w:rsid w:val="000A1DAC"/>
    <w:rsid w:val="000A2107"/>
    <w:rsid w:val="000A23B5"/>
    <w:rsid w:val="000A2407"/>
    <w:rsid w:val="000A2BB7"/>
    <w:rsid w:val="000A2EA4"/>
    <w:rsid w:val="000A4227"/>
    <w:rsid w:val="000A4372"/>
    <w:rsid w:val="000A44F0"/>
    <w:rsid w:val="000A4AD0"/>
    <w:rsid w:val="000A4BD4"/>
    <w:rsid w:val="000A4FC3"/>
    <w:rsid w:val="000A53ED"/>
    <w:rsid w:val="000A5650"/>
    <w:rsid w:val="000A58A3"/>
    <w:rsid w:val="000A5AC9"/>
    <w:rsid w:val="000A5AD1"/>
    <w:rsid w:val="000A5B0B"/>
    <w:rsid w:val="000A5E72"/>
    <w:rsid w:val="000A6183"/>
    <w:rsid w:val="000A6270"/>
    <w:rsid w:val="000A63DF"/>
    <w:rsid w:val="000A6BD5"/>
    <w:rsid w:val="000A6E18"/>
    <w:rsid w:val="000A73F1"/>
    <w:rsid w:val="000A754B"/>
    <w:rsid w:val="000A77C5"/>
    <w:rsid w:val="000A77E5"/>
    <w:rsid w:val="000B0B36"/>
    <w:rsid w:val="000B0B50"/>
    <w:rsid w:val="000B0E2E"/>
    <w:rsid w:val="000B11BE"/>
    <w:rsid w:val="000B1203"/>
    <w:rsid w:val="000B1699"/>
    <w:rsid w:val="000B1929"/>
    <w:rsid w:val="000B1931"/>
    <w:rsid w:val="000B1A8A"/>
    <w:rsid w:val="000B1E9E"/>
    <w:rsid w:val="000B20EE"/>
    <w:rsid w:val="000B239B"/>
    <w:rsid w:val="000B2A4A"/>
    <w:rsid w:val="000B2E46"/>
    <w:rsid w:val="000B3825"/>
    <w:rsid w:val="000B39D1"/>
    <w:rsid w:val="000B3D22"/>
    <w:rsid w:val="000B40CE"/>
    <w:rsid w:val="000B4739"/>
    <w:rsid w:val="000B4751"/>
    <w:rsid w:val="000B4995"/>
    <w:rsid w:val="000B4B78"/>
    <w:rsid w:val="000B4BD1"/>
    <w:rsid w:val="000B5D32"/>
    <w:rsid w:val="000B61E0"/>
    <w:rsid w:val="000B6275"/>
    <w:rsid w:val="000B676E"/>
    <w:rsid w:val="000B6B26"/>
    <w:rsid w:val="000B74C7"/>
    <w:rsid w:val="000B7F1B"/>
    <w:rsid w:val="000C07DE"/>
    <w:rsid w:val="000C0AEE"/>
    <w:rsid w:val="000C0DA3"/>
    <w:rsid w:val="000C0FC5"/>
    <w:rsid w:val="000C1312"/>
    <w:rsid w:val="000C16EF"/>
    <w:rsid w:val="000C29EE"/>
    <w:rsid w:val="000C3D36"/>
    <w:rsid w:val="000C4A08"/>
    <w:rsid w:val="000C4A89"/>
    <w:rsid w:val="000C4D8E"/>
    <w:rsid w:val="000C4E44"/>
    <w:rsid w:val="000C4ECF"/>
    <w:rsid w:val="000C4FC6"/>
    <w:rsid w:val="000C51DD"/>
    <w:rsid w:val="000C5298"/>
    <w:rsid w:val="000C5749"/>
    <w:rsid w:val="000C58F6"/>
    <w:rsid w:val="000C5A0F"/>
    <w:rsid w:val="000C5B6B"/>
    <w:rsid w:val="000C5F2C"/>
    <w:rsid w:val="000C607F"/>
    <w:rsid w:val="000C67A9"/>
    <w:rsid w:val="000C687B"/>
    <w:rsid w:val="000C6C50"/>
    <w:rsid w:val="000C710F"/>
    <w:rsid w:val="000C7755"/>
    <w:rsid w:val="000D00E8"/>
    <w:rsid w:val="000D0779"/>
    <w:rsid w:val="000D1DA9"/>
    <w:rsid w:val="000D1F3E"/>
    <w:rsid w:val="000D1FE2"/>
    <w:rsid w:val="000D2911"/>
    <w:rsid w:val="000D34A8"/>
    <w:rsid w:val="000D3948"/>
    <w:rsid w:val="000D40EB"/>
    <w:rsid w:val="000D42A3"/>
    <w:rsid w:val="000D449E"/>
    <w:rsid w:val="000D4805"/>
    <w:rsid w:val="000D510A"/>
    <w:rsid w:val="000D5E17"/>
    <w:rsid w:val="000D5FBA"/>
    <w:rsid w:val="000D6B42"/>
    <w:rsid w:val="000E0487"/>
    <w:rsid w:val="000E0A18"/>
    <w:rsid w:val="000E0ABD"/>
    <w:rsid w:val="000E0B1D"/>
    <w:rsid w:val="000E0C28"/>
    <w:rsid w:val="000E0C3A"/>
    <w:rsid w:val="000E1320"/>
    <w:rsid w:val="000E152A"/>
    <w:rsid w:val="000E2874"/>
    <w:rsid w:val="000E289D"/>
    <w:rsid w:val="000E2D41"/>
    <w:rsid w:val="000E2D52"/>
    <w:rsid w:val="000E3207"/>
    <w:rsid w:val="000E399C"/>
    <w:rsid w:val="000E3ED5"/>
    <w:rsid w:val="000E3FF6"/>
    <w:rsid w:val="000E400C"/>
    <w:rsid w:val="000E40DC"/>
    <w:rsid w:val="000E40E9"/>
    <w:rsid w:val="000E4592"/>
    <w:rsid w:val="000E491A"/>
    <w:rsid w:val="000E4A42"/>
    <w:rsid w:val="000E56A6"/>
    <w:rsid w:val="000E6440"/>
    <w:rsid w:val="000E6718"/>
    <w:rsid w:val="000E69C2"/>
    <w:rsid w:val="000E6A91"/>
    <w:rsid w:val="000F1001"/>
    <w:rsid w:val="000F120C"/>
    <w:rsid w:val="000F128C"/>
    <w:rsid w:val="000F16FA"/>
    <w:rsid w:val="000F17B0"/>
    <w:rsid w:val="000F1BB9"/>
    <w:rsid w:val="000F1D4E"/>
    <w:rsid w:val="000F1E2B"/>
    <w:rsid w:val="000F20A5"/>
    <w:rsid w:val="000F226E"/>
    <w:rsid w:val="000F2738"/>
    <w:rsid w:val="000F28EF"/>
    <w:rsid w:val="000F29A8"/>
    <w:rsid w:val="000F301F"/>
    <w:rsid w:val="000F320E"/>
    <w:rsid w:val="000F3423"/>
    <w:rsid w:val="000F3B19"/>
    <w:rsid w:val="000F470B"/>
    <w:rsid w:val="000F4DD4"/>
    <w:rsid w:val="000F5714"/>
    <w:rsid w:val="000F5A93"/>
    <w:rsid w:val="000F5F81"/>
    <w:rsid w:val="000F634C"/>
    <w:rsid w:val="000F64B4"/>
    <w:rsid w:val="000F6932"/>
    <w:rsid w:val="000F7019"/>
    <w:rsid w:val="000F7EE9"/>
    <w:rsid w:val="00100AB8"/>
    <w:rsid w:val="00100C01"/>
    <w:rsid w:val="001010B2"/>
    <w:rsid w:val="0010178E"/>
    <w:rsid w:val="00102C36"/>
    <w:rsid w:val="0010377B"/>
    <w:rsid w:val="0010378A"/>
    <w:rsid w:val="00104550"/>
    <w:rsid w:val="001048E6"/>
    <w:rsid w:val="00104C3D"/>
    <w:rsid w:val="001050B4"/>
    <w:rsid w:val="00105300"/>
    <w:rsid w:val="0010677F"/>
    <w:rsid w:val="001067AC"/>
    <w:rsid w:val="0010734D"/>
    <w:rsid w:val="001074A7"/>
    <w:rsid w:val="00107B87"/>
    <w:rsid w:val="00107D1C"/>
    <w:rsid w:val="00107F1E"/>
    <w:rsid w:val="00110CE7"/>
    <w:rsid w:val="001110C2"/>
    <w:rsid w:val="0011118A"/>
    <w:rsid w:val="001117B4"/>
    <w:rsid w:val="001119E7"/>
    <w:rsid w:val="00111A58"/>
    <w:rsid w:val="00112537"/>
    <w:rsid w:val="001136DC"/>
    <w:rsid w:val="001144AB"/>
    <w:rsid w:val="00114684"/>
    <w:rsid w:val="00114685"/>
    <w:rsid w:val="00114B9C"/>
    <w:rsid w:val="00115690"/>
    <w:rsid w:val="00115A65"/>
    <w:rsid w:val="00115A77"/>
    <w:rsid w:val="00116212"/>
    <w:rsid w:val="001168E7"/>
    <w:rsid w:val="00116DAC"/>
    <w:rsid w:val="00116E45"/>
    <w:rsid w:val="001170AB"/>
    <w:rsid w:val="00117C06"/>
    <w:rsid w:val="0012037C"/>
    <w:rsid w:val="001204DC"/>
    <w:rsid w:val="001205FE"/>
    <w:rsid w:val="00120FD2"/>
    <w:rsid w:val="001218FA"/>
    <w:rsid w:val="0012224D"/>
    <w:rsid w:val="001225BC"/>
    <w:rsid w:val="0012279A"/>
    <w:rsid w:val="001227F6"/>
    <w:rsid w:val="00122A9E"/>
    <w:rsid w:val="00122F94"/>
    <w:rsid w:val="0012326A"/>
    <w:rsid w:val="00123FBF"/>
    <w:rsid w:val="00124164"/>
    <w:rsid w:val="00124C25"/>
    <w:rsid w:val="00124D89"/>
    <w:rsid w:val="00124E22"/>
    <w:rsid w:val="00124E7D"/>
    <w:rsid w:val="0012573E"/>
    <w:rsid w:val="00125EF8"/>
    <w:rsid w:val="00125F4C"/>
    <w:rsid w:val="00126970"/>
    <w:rsid w:val="00126D20"/>
    <w:rsid w:val="00126DA4"/>
    <w:rsid w:val="0012769D"/>
    <w:rsid w:val="001301D1"/>
    <w:rsid w:val="00130256"/>
    <w:rsid w:val="0013043C"/>
    <w:rsid w:val="001305BB"/>
    <w:rsid w:val="00130719"/>
    <w:rsid w:val="00130980"/>
    <w:rsid w:val="00130BA0"/>
    <w:rsid w:val="00130BE9"/>
    <w:rsid w:val="001310C8"/>
    <w:rsid w:val="0013132F"/>
    <w:rsid w:val="001314CF"/>
    <w:rsid w:val="001323DB"/>
    <w:rsid w:val="00132622"/>
    <w:rsid w:val="00132CE8"/>
    <w:rsid w:val="0013379E"/>
    <w:rsid w:val="00133A4E"/>
    <w:rsid w:val="001347E1"/>
    <w:rsid w:val="001358FE"/>
    <w:rsid w:val="00135D2E"/>
    <w:rsid w:val="00135DA2"/>
    <w:rsid w:val="00135E26"/>
    <w:rsid w:val="00136068"/>
    <w:rsid w:val="00136E7E"/>
    <w:rsid w:val="001371D8"/>
    <w:rsid w:val="001373D7"/>
    <w:rsid w:val="00137E7E"/>
    <w:rsid w:val="001407CE"/>
    <w:rsid w:val="001407FC"/>
    <w:rsid w:val="00142243"/>
    <w:rsid w:val="001423E5"/>
    <w:rsid w:val="001425B6"/>
    <w:rsid w:val="00143DA8"/>
    <w:rsid w:val="0014434F"/>
    <w:rsid w:val="0014436E"/>
    <w:rsid w:val="00144572"/>
    <w:rsid w:val="001446DC"/>
    <w:rsid w:val="001447DC"/>
    <w:rsid w:val="00144A63"/>
    <w:rsid w:val="00144AE1"/>
    <w:rsid w:val="00144EF7"/>
    <w:rsid w:val="00145810"/>
    <w:rsid w:val="00145F5E"/>
    <w:rsid w:val="00145F6C"/>
    <w:rsid w:val="00146116"/>
    <w:rsid w:val="001461D0"/>
    <w:rsid w:val="00146322"/>
    <w:rsid w:val="00146A65"/>
    <w:rsid w:val="00146B18"/>
    <w:rsid w:val="001476F2"/>
    <w:rsid w:val="001479FF"/>
    <w:rsid w:val="00147A49"/>
    <w:rsid w:val="00147A94"/>
    <w:rsid w:val="00147B8B"/>
    <w:rsid w:val="00147F02"/>
    <w:rsid w:val="0015007C"/>
    <w:rsid w:val="00150396"/>
    <w:rsid w:val="00150C7C"/>
    <w:rsid w:val="0015117F"/>
    <w:rsid w:val="001511F4"/>
    <w:rsid w:val="0015125A"/>
    <w:rsid w:val="00151847"/>
    <w:rsid w:val="00152464"/>
    <w:rsid w:val="0015258F"/>
    <w:rsid w:val="0015259E"/>
    <w:rsid w:val="00152D46"/>
    <w:rsid w:val="00153A68"/>
    <w:rsid w:val="00153ECE"/>
    <w:rsid w:val="00154474"/>
    <w:rsid w:val="00154732"/>
    <w:rsid w:val="00155042"/>
    <w:rsid w:val="00155355"/>
    <w:rsid w:val="0015539F"/>
    <w:rsid w:val="00155F59"/>
    <w:rsid w:val="0015611C"/>
    <w:rsid w:val="0015744B"/>
    <w:rsid w:val="00160597"/>
    <w:rsid w:val="00160C64"/>
    <w:rsid w:val="00160E95"/>
    <w:rsid w:val="001618F9"/>
    <w:rsid w:val="00161B79"/>
    <w:rsid w:val="00161CFA"/>
    <w:rsid w:val="00161E83"/>
    <w:rsid w:val="00162097"/>
    <w:rsid w:val="001625DC"/>
    <w:rsid w:val="00162642"/>
    <w:rsid w:val="001627AE"/>
    <w:rsid w:val="00162886"/>
    <w:rsid w:val="00162ECC"/>
    <w:rsid w:val="00162F04"/>
    <w:rsid w:val="00164251"/>
    <w:rsid w:val="00164530"/>
    <w:rsid w:val="00164959"/>
    <w:rsid w:val="001649C9"/>
    <w:rsid w:val="0016502E"/>
    <w:rsid w:val="00165186"/>
    <w:rsid w:val="00165262"/>
    <w:rsid w:val="001653E1"/>
    <w:rsid w:val="001664C8"/>
    <w:rsid w:val="00166E59"/>
    <w:rsid w:val="0016728E"/>
    <w:rsid w:val="001674E5"/>
    <w:rsid w:val="00167731"/>
    <w:rsid w:val="00167AD0"/>
    <w:rsid w:val="00167B75"/>
    <w:rsid w:val="00167DEF"/>
    <w:rsid w:val="00167E9D"/>
    <w:rsid w:val="00170586"/>
    <w:rsid w:val="00170A4B"/>
    <w:rsid w:val="00170BF4"/>
    <w:rsid w:val="00171316"/>
    <w:rsid w:val="00171846"/>
    <w:rsid w:val="00171A41"/>
    <w:rsid w:val="00171B3E"/>
    <w:rsid w:val="00171D34"/>
    <w:rsid w:val="00172261"/>
    <w:rsid w:val="001728DA"/>
    <w:rsid w:val="00172F2F"/>
    <w:rsid w:val="00173142"/>
    <w:rsid w:val="00173184"/>
    <w:rsid w:val="0017352A"/>
    <w:rsid w:val="001739F4"/>
    <w:rsid w:val="001740A0"/>
    <w:rsid w:val="0017422C"/>
    <w:rsid w:val="00174F63"/>
    <w:rsid w:val="00174FA2"/>
    <w:rsid w:val="00175079"/>
    <w:rsid w:val="001751F8"/>
    <w:rsid w:val="001754BC"/>
    <w:rsid w:val="001761B9"/>
    <w:rsid w:val="00176B60"/>
    <w:rsid w:val="00176D49"/>
    <w:rsid w:val="00180286"/>
    <w:rsid w:val="0018069A"/>
    <w:rsid w:val="001807F2"/>
    <w:rsid w:val="00180A75"/>
    <w:rsid w:val="00180E85"/>
    <w:rsid w:val="00180EF3"/>
    <w:rsid w:val="001810D1"/>
    <w:rsid w:val="00181719"/>
    <w:rsid w:val="00181BD2"/>
    <w:rsid w:val="00181D7D"/>
    <w:rsid w:val="0018210C"/>
    <w:rsid w:val="00182763"/>
    <w:rsid w:val="00183425"/>
    <w:rsid w:val="00183515"/>
    <w:rsid w:val="0018417B"/>
    <w:rsid w:val="0018423E"/>
    <w:rsid w:val="001846FC"/>
    <w:rsid w:val="001850D5"/>
    <w:rsid w:val="001857B8"/>
    <w:rsid w:val="001859D6"/>
    <w:rsid w:val="00185D39"/>
    <w:rsid w:val="00186372"/>
    <w:rsid w:val="00186C2C"/>
    <w:rsid w:val="0018748A"/>
    <w:rsid w:val="00187D2F"/>
    <w:rsid w:val="00190536"/>
    <w:rsid w:val="001905A3"/>
    <w:rsid w:val="001906BA"/>
    <w:rsid w:val="001906FD"/>
    <w:rsid w:val="00190B20"/>
    <w:rsid w:val="001912CB"/>
    <w:rsid w:val="00191564"/>
    <w:rsid w:val="001915C8"/>
    <w:rsid w:val="001916C0"/>
    <w:rsid w:val="00191E37"/>
    <w:rsid w:val="001921DB"/>
    <w:rsid w:val="001924FE"/>
    <w:rsid w:val="00192727"/>
    <w:rsid w:val="00192AC6"/>
    <w:rsid w:val="00192D8C"/>
    <w:rsid w:val="001933D8"/>
    <w:rsid w:val="00193611"/>
    <w:rsid w:val="00193C41"/>
    <w:rsid w:val="00193D4B"/>
    <w:rsid w:val="0019484A"/>
    <w:rsid w:val="00194B29"/>
    <w:rsid w:val="00194BA4"/>
    <w:rsid w:val="001953E2"/>
    <w:rsid w:val="00195AC5"/>
    <w:rsid w:val="0019658E"/>
    <w:rsid w:val="001965E1"/>
    <w:rsid w:val="00197F5A"/>
    <w:rsid w:val="001A03BE"/>
    <w:rsid w:val="001A03CB"/>
    <w:rsid w:val="001A067E"/>
    <w:rsid w:val="001A0A87"/>
    <w:rsid w:val="001A0E61"/>
    <w:rsid w:val="001A11C5"/>
    <w:rsid w:val="001A15E6"/>
    <w:rsid w:val="001A1933"/>
    <w:rsid w:val="001A195F"/>
    <w:rsid w:val="001A1E68"/>
    <w:rsid w:val="001A2900"/>
    <w:rsid w:val="001A299F"/>
    <w:rsid w:val="001A2DF0"/>
    <w:rsid w:val="001A32A5"/>
    <w:rsid w:val="001A35F5"/>
    <w:rsid w:val="001A3A07"/>
    <w:rsid w:val="001A3DC9"/>
    <w:rsid w:val="001A4081"/>
    <w:rsid w:val="001A43F2"/>
    <w:rsid w:val="001A5008"/>
    <w:rsid w:val="001A5325"/>
    <w:rsid w:val="001A6361"/>
    <w:rsid w:val="001A65F1"/>
    <w:rsid w:val="001A77FC"/>
    <w:rsid w:val="001A79C5"/>
    <w:rsid w:val="001A79F6"/>
    <w:rsid w:val="001B094D"/>
    <w:rsid w:val="001B113A"/>
    <w:rsid w:val="001B1166"/>
    <w:rsid w:val="001B1613"/>
    <w:rsid w:val="001B20CA"/>
    <w:rsid w:val="001B2572"/>
    <w:rsid w:val="001B2746"/>
    <w:rsid w:val="001B2B40"/>
    <w:rsid w:val="001B309F"/>
    <w:rsid w:val="001B39A8"/>
    <w:rsid w:val="001B3AB5"/>
    <w:rsid w:val="001B3E9D"/>
    <w:rsid w:val="001B49F2"/>
    <w:rsid w:val="001B4A40"/>
    <w:rsid w:val="001B4B3B"/>
    <w:rsid w:val="001B52D4"/>
    <w:rsid w:val="001B5524"/>
    <w:rsid w:val="001B5C41"/>
    <w:rsid w:val="001B6622"/>
    <w:rsid w:val="001B6D8A"/>
    <w:rsid w:val="001B79F6"/>
    <w:rsid w:val="001B7D20"/>
    <w:rsid w:val="001C095F"/>
    <w:rsid w:val="001C0D6C"/>
    <w:rsid w:val="001C17E6"/>
    <w:rsid w:val="001C19D4"/>
    <w:rsid w:val="001C2774"/>
    <w:rsid w:val="001C27B3"/>
    <w:rsid w:val="001C298C"/>
    <w:rsid w:val="001C2B0B"/>
    <w:rsid w:val="001C2B4A"/>
    <w:rsid w:val="001C2E09"/>
    <w:rsid w:val="001C3B1E"/>
    <w:rsid w:val="001C3B43"/>
    <w:rsid w:val="001C436D"/>
    <w:rsid w:val="001C4E54"/>
    <w:rsid w:val="001C59E1"/>
    <w:rsid w:val="001C5B7A"/>
    <w:rsid w:val="001C5DC4"/>
    <w:rsid w:val="001C60F4"/>
    <w:rsid w:val="001C66EC"/>
    <w:rsid w:val="001C6A7A"/>
    <w:rsid w:val="001C6B6A"/>
    <w:rsid w:val="001D0679"/>
    <w:rsid w:val="001D0C11"/>
    <w:rsid w:val="001D10C1"/>
    <w:rsid w:val="001D1506"/>
    <w:rsid w:val="001D1C4D"/>
    <w:rsid w:val="001D216E"/>
    <w:rsid w:val="001D2504"/>
    <w:rsid w:val="001D2975"/>
    <w:rsid w:val="001D2C1E"/>
    <w:rsid w:val="001D2D4D"/>
    <w:rsid w:val="001D304B"/>
    <w:rsid w:val="001D3076"/>
    <w:rsid w:val="001D36F2"/>
    <w:rsid w:val="001D3CD2"/>
    <w:rsid w:val="001D4E40"/>
    <w:rsid w:val="001D52A7"/>
    <w:rsid w:val="001D59F3"/>
    <w:rsid w:val="001D5C15"/>
    <w:rsid w:val="001D63C8"/>
    <w:rsid w:val="001D65D8"/>
    <w:rsid w:val="001D6723"/>
    <w:rsid w:val="001D6770"/>
    <w:rsid w:val="001D6C84"/>
    <w:rsid w:val="001D6D3F"/>
    <w:rsid w:val="001D6F01"/>
    <w:rsid w:val="001D705F"/>
    <w:rsid w:val="001D7253"/>
    <w:rsid w:val="001D7867"/>
    <w:rsid w:val="001D796C"/>
    <w:rsid w:val="001D799C"/>
    <w:rsid w:val="001D79CE"/>
    <w:rsid w:val="001D7E69"/>
    <w:rsid w:val="001D7EED"/>
    <w:rsid w:val="001E0008"/>
    <w:rsid w:val="001E0160"/>
    <w:rsid w:val="001E020C"/>
    <w:rsid w:val="001E1742"/>
    <w:rsid w:val="001E1978"/>
    <w:rsid w:val="001E1B10"/>
    <w:rsid w:val="001E1CFD"/>
    <w:rsid w:val="001E1FBA"/>
    <w:rsid w:val="001E212F"/>
    <w:rsid w:val="001E22C6"/>
    <w:rsid w:val="001E2B07"/>
    <w:rsid w:val="001E306A"/>
    <w:rsid w:val="001E36AD"/>
    <w:rsid w:val="001E39B5"/>
    <w:rsid w:val="001E3DFD"/>
    <w:rsid w:val="001E42F0"/>
    <w:rsid w:val="001E497A"/>
    <w:rsid w:val="001E4D27"/>
    <w:rsid w:val="001E4F6E"/>
    <w:rsid w:val="001E5825"/>
    <w:rsid w:val="001E59AF"/>
    <w:rsid w:val="001E5E3B"/>
    <w:rsid w:val="001E60A5"/>
    <w:rsid w:val="001E60BF"/>
    <w:rsid w:val="001E6638"/>
    <w:rsid w:val="001E66BB"/>
    <w:rsid w:val="001E71E7"/>
    <w:rsid w:val="001E76E8"/>
    <w:rsid w:val="001E7AF3"/>
    <w:rsid w:val="001F0580"/>
    <w:rsid w:val="001F1092"/>
    <w:rsid w:val="001F2429"/>
    <w:rsid w:val="001F307F"/>
    <w:rsid w:val="001F3112"/>
    <w:rsid w:val="001F366E"/>
    <w:rsid w:val="001F42D3"/>
    <w:rsid w:val="001F44D2"/>
    <w:rsid w:val="001F46C0"/>
    <w:rsid w:val="001F4BC9"/>
    <w:rsid w:val="001F4D26"/>
    <w:rsid w:val="001F4F73"/>
    <w:rsid w:val="001F5568"/>
    <w:rsid w:val="001F5B82"/>
    <w:rsid w:val="001F5C0B"/>
    <w:rsid w:val="001F5F2A"/>
    <w:rsid w:val="001F765F"/>
    <w:rsid w:val="001F76F6"/>
    <w:rsid w:val="001F7D3E"/>
    <w:rsid w:val="0020057A"/>
    <w:rsid w:val="002009BC"/>
    <w:rsid w:val="00200B8F"/>
    <w:rsid w:val="002013FD"/>
    <w:rsid w:val="002019A3"/>
    <w:rsid w:val="002019FA"/>
    <w:rsid w:val="002020C1"/>
    <w:rsid w:val="002022D6"/>
    <w:rsid w:val="00203874"/>
    <w:rsid w:val="00203AD1"/>
    <w:rsid w:val="00203E56"/>
    <w:rsid w:val="00204800"/>
    <w:rsid w:val="0020528D"/>
    <w:rsid w:val="002053B8"/>
    <w:rsid w:val="002055E0"/>
    <w:rsid w:val="002058A0"/>
    <w:rsid w:val="002058C6"/>
    <w:rsid w:val="00205E01"/>
    <w:rsid w:val="00207CEC"/>
    <w:rsid w:val="00207EA3"/>
    <w:rsid w:val="0021001C"/>
    <w:rsid w:val="002117E5"/>
    <w:rsid w:val="002127AA"/>
    <w:rsid w:val="00212DB0"/>
    <w:rsid w:val="00212F3A"/>
    <w:rsid w:val="0021318A"/>
    <w:rsid w:val="0021334F"/>
    <w:rsid w:val="00213E1A"/>
    <w:rsid w:val="00214E80"/>
    <w:rsid w:val="002155E7"/>
    <w:rsid w:val="002158FA"/>
    <w:rsid w:val="002162C9"/>
    <w:rsid w:val="002206B1"/>
    <w:rsid w:val="002209AD"/>
    <w:rsid w:val="00221276"/>
    <w:rsid w:val="002212D9"/>
    <w:rsid w:val="00221632"/>
    <w:rsid w:val="00221C87"/>
    <w:rsid w:val="00222568"/>
    <w:rsid w:val="00223363"/>
    <w:rsid w:val="00223635"/>
    <w:rsid w:val="002238CA"/>
    <w:rsid w:val="00223BF1"/>
    <w:rsid w:val="00224CEB"/>
    <w:rsid w:val="00225C46"/>
    <w:rsid w:val="00226340"/>
    <w:rsid w:val="00226493"/>
    <w:rsid w:val="00227040"/>
    <w:rsid w:val="0022710E"/>
    <w:rsid w:val="0023033F"/>
    <w:rsid w:val="0023072D"/>
    <w:rsid w:val="00230CFC"/>
    <w:rsid w:val="00230DE3"/>
    <w:rsid w:val="002310E7"/>
    <w:rsid w:val="0023162A"/>
    <w:rsid w:val="0023186B"/>
    <w:rsid w:val="002319B3"/>
    <w:rsid w:val="002319B5"/>
    <w:rsid w:val="00231B57"/>
    <w:rsid w:val="00231C1D"/>
    <w:rsid w:val="00232454"/>
    <w:rsid w:val="00232826"/>
    <w:rsid w:val="00232F0A"/>
    <w:rsid w:val="00233532"/>
    <w:rsid w:val="002337F9"/>
    <w:rsid w:val="00234438"/>
    <w:rsid w:val="002345B2"/>
    <w:rsid w:val="002348A4"/>
    <w:rsid w:val="00234B8F"/>
    <w:rsid w:val="00234BC8"/>
    <w:rsid w:val="00234C50"/>
    <w:rsid w:val="00234D9E"/>
    <w:rsid w:val="002355B1"/>
    <w:rsid w:val="00235BC7"/>
    <w:rsid w:val="00235DF0"/>
    <w:rsid w:val="00235F51"/>
    <w:rsid w:val="002360D8"/>
    <w:rsid w:val="002370FC"/>
    <w:rsid w:val="002401E4"/>
    <w:rsid w:val="00240C9C"/>
    <w:rsid w:val="00240D9B"/>
    <w:rsid w:val="002414E5"/>
    <w:rsid w:val="00241CED"/>
    <w:rsid w:val="00241EFD"/>
    <w:rsid w:val="002420F1"/>
    <w:rsid w:val="00242237"/>
    <w:rsid w:val="00242D5A"/>
    <w:rsid w:val="00242FB4"/>
    <w:rsid w:val="002433CD"/>
    <w:rsid w:val="002434C0"/>
    <w:rsid w:val="00243F69"/>
    <w:rsid w:val="002445B7"/>
    <w:rsid w:val="002447B4"/>
    <w:rsid w:val="00244C23"/>
    <w:rsid w:val="00244FFE"/>
    <w:rsid w:val="002451EC"/>
    <w:rsid w:val="00245605"/>
    <w:rsid w:val="00246343"/>
    <w:rsid w:val="00246AE3"/>
    <w:rsid w:val="00246B2B"/>
    <w:rsid w:val="00246C0E"/>
    <w:rsid w:val="00246DC2"/>
    <w:rsid w:val="00246F35"/>
    <w:rsid w:val="002472C8"/>
    <w:rsid w:val="00247572"/>
    <w:rsid w:val="0024776B"/>
    <w:rsid w:val="00250102"/>
    <w:rsid w:val="00250FFB"/>
    <w:rsid w:val="002512CF"/>
    <w:rsid w:val="002513AF"/>
    <w:rsid w:val="002517BF"/>
    <w:rsid w:val="00251C54"/>
    <w:rsid w:val="00251F64"/>
    <w:rsid w:val="00251F9F"/>
    <w:rsid w:val="00252B0E"/>
    <w:rsid w:val="00252D3F"/>
    <w:rsid w:val="0025312B"/>
    <w:rsid w:val="0025345C"/>
    <w:rsid w:val="002536BB"/>
    <w:rsid w:val="00254025"/>
    <w:rsid w:val="002542E0"/>
    <w:rsid w:val="00254386"/>
    <w:rsid w:val="0025440E"/>
    <w:rsid w:val="0025477B"/>
    <w:rsid w:val="0025528F"/>
    <w:rsid w:val="00256381"/>
    <w:rsid w:val="002563F0"/>
    <w:rsid w:val="00256D18"/>
    <w:rsid w:val="00256DBB"/>
    <w:rsid w:val="002571BD"/>
    <w:rsid w:val="00257A60"/>
    <w:rsid w:val="00257C80"/>
    <w:rsid w:val="00260119"/>
    <w:rsid w:val="002606B8"/>
    <w:rsid w:val="00261F43"/>
    <w:rsid w:val="00261F82"/>
    <w:rsid w:val="002620D0"/>
    <w:rsid w:val="002623E4"/>
    <w:rsid w:val="0026438C"/>
    <w:rsid w:val="00264390"/>
    <w:rsid w:val="00264BEF"/>
    <w:rsid w:val="00264C36"/>
    <w:rsid w:val="00264E84"/>
    <w:rsid w:val="00265081"/>
    <w:rsid w:val="0026564A"/>
    <w:rsid w:val="00265DD5"/>
    <w:rsid w:val="00266064"/>
    <w:rsid w:val="00266836"/>
    <w:rsid w:val="00266913"/>
    <w:rsid w:val="00266B6A"/>
    <w:rsid w:val="00266F36"/>
    <w:rsid w:val="00266FE5"/>
    <w:rsid w:val="002672B1"/>
    <w:rsid w:val="00267921"/>
    <w:rsid w:val="00267C8D"/>
    <w:rsid w:val="00267E33"/>
    <w:rsid w:val="00267F79"/>
    <w:rsid w:val="00270162"/>
    <w:rsid w:val="002701DD"/>
    <w:rsid w:val="002706F3"/>
    <w:rsid w:val="00270CF8"/>
    <w:rsid w:val="00270E30"/>
    <w:rsid w:val="002710FD"/>
    <w:rsid w:val="002726FF"/>
    <w:rsid w:val="00272F20"/>
    <w:rsid w:val="00272F99"/>
    <w:rsid w:val="002738CE"/>
    <w:rsid w:val="00273F49"/>
    <w:rsid w:val="0027416D"/>
    <w:rsid w:val="002742FC"/>
    <w:rsid w:val="002745A2"/>
    <w:rsid w:val="002745A4"/>
    <w:rsid w:val="00274672"/>
    <w:rsid w:val="002746ED"/>
    <w:rsid w:val="00274ECC"/>
    <w:rsid w:val="00275F42"/>
    <w:rsid w:val="0027628D"/>
    <w:rsid w:val="00276677"/>
    <w:rsid w:val="002767E3"/>
    <w:rsid w:val="002769B5"/>
    <w:rsid w:val="00276B25"/>
    <w:rsid w:val="00276B59"/>
    <w:rsid w:val="00276DCB"/>
    <w:rsid w:val="002778F8"/>
    <w:rsid w:val="00277D4F"/>
    <w:rsid w:val="002803B1"/>
    <w:rsid w:val="002805FC"/>
    <w:rsid w:val="00280BA5"/>
    <w:rsid w:val="00281319"/>
    <w:rsid w:val="0028292B"/>
    <w:rsid w:val="00282E4F"/>
    <w:rsid w:val="00283345"/>
    <w:rsid w:val="00284183"/>
    <w:rsid w:val="00284D88"/>
    <w:rsid w:val="00284E84"/>
    <w:rsid w:val="0028549A"/>
    <w:rsid w:val="002858E6"/>
    <w:rsid w:val="00285BA3"/>
    <w:rsid w:val="00285F05"/>
    <w:rsid w:val="00286149"/>
    <w:rsid w:val="0028668D"/>
    <w:rsid w:val="002876DE"/>
    <w:rsid w:val="00287CD1"/>
    <w:rsid w:val="00290289"/>
    <w:rsid w:val="002904BB"/>
    <w:rsid w:val="00290545"/>
    <w:rsid w:val="0029059D"/>
    <w:rsid w:val="00290CAA"/>
    <w:rsid w:val="002911B2"/>
    <w:rsid w:val="00292188"/>
    <w:rsid w:val="002923D6"/>
    <w:rsid w:val="002923D9"/>
    <w:rsid w:val="00292454"/>
    <w:rsid w:val="00292C7F"/>
    <w:rsid w:val="002933DD"/>
    <w:rsid w:val="00293563"/>
    <w:rsid w:val="00293AD2"/>
    <w:rsid w:val="00293B1E"/>
    <w:rsid w:val="00293BBE"/>
    <w:rsid w:val="00293CC0"/>
    <w:rsid w:val="002942BB"/>
    <w:rsid w:val="0029457B"/>
    <w:rsid w:val="00294EEB"/>
    <w:rsid w:val="00295216"/>
    <w:rsid w:val="002952F8"/>
    <w:rsid w:val="00295598"/>
    <w:rsid w:val="00296645"/>
    <w:rsid w:val="00296683"/>
    <w:rsid w:val="002966C3"/>
    <w:rsid w:val="002967EA"/>
    <w:rsid w:val="0029684D"/>
    <w:rsid w:val="00296A4B"/>
    <w:rsid w:val="00297284"/>
    <w:rsid w:val="00297C78"/>
    <w:rsid w:val="002A0077"/>
    <w:rsid w:val="002A0152"/>
    <w:rsid w:val="002A03D5"/>
    <w:rsid w:val="002A05A0"/>
    <w:rsid w:val="002A06DC"/>
    <w:rsid w:val="002A07DC"/>
    <w:rsid w:val="002A08B9"/>
    <w:rsid w:val="002A1189"/>
    <w:rsid w:val="002A192D"/>
    <w:rsid w:val="002A1BD8"/>
    <w:rsid w:val="002A20C9"/>
    <w:rsid w:val="002A222F"/>
    <w:rsid w:val="002A2961"/>
    <w:rsid w:val="002A2B89"/>
    <w:rsid w:val="002A2D3A"/>
    <w:rsid w:val="002A2F4A"/>
    <w:rsid w:val="002A3460"/>
    <w:rsid w:val="002A3573"/>
    <w:rsid w:val="002A3647"/>
    <w:rsid w:val="002A374B"/>
    <w:rsid w:val="002A3CAE"/>
    <w:rsid w:val="002A448B"/>
    <w:rsid w:val="002A48E0"/>
    <w:rsid w:val="002A515D"/>
    <w:rsid w:val="002A53AF"/>
    <w:rsid w:val="002A5768"/>
    <w:rsid w:val="002A5909"/>
    <w:rsid w:val="002A6077"/>
    <w:rsid w:val="002A6364"/>
    <w:rsid w:val="002A66DF"/>
    <w:rsid w:val="002A6C0C"/>
    <w:rsid w:val="002A6FBE"/>
    <w:rsid w:val="002A73E9"/>
    <w:rsid w:val="002A7D74"/>
    <w:rsid w:val="002B06D2"/>
    <w:rsid w:val="002B08D0"/>
    <w:rsid w:val="002B0EC9"/>
    <w:rsid w:val="002B0F41"/>
    <w:rsid w:val="002B132B"/>
    <w:rsid w:val="002B13AC"/>
    <w:rsid w:val="002B1D54"/>
    <w:rsid w:val="002B21FF"/>
    <w:rsid w:val="002B2FC3"/>
    <w:rsid w:val="002B3058"/>
    <w:rsid w:val="002B3161"/>
    <w:rsid w:val="002B35F0"/>
    <w:rsid w:val="002B4654"/>
    <w:rsid w:val="002B47CC"/>
    <w:rsid w:val="002B5176"/>
    <w:rsid w:val="002B58AF"/>
    <w:rsid w:val="002B61F6"/>
    <w:rsid w:val="002B638A"/>
    <w:rsid w:val="002B6EC7"/>
    <w:rsid w:val="002B7A45"/>
    <w:rsid w:val="002B7B10"/>
    <w:rsid w:val="002C01F4"/>
    <w:rsid w:val="002C0C5F"/>
    <w:rsid w:val="002C193D"/>
    <w:rsid w:val="002C1A50"/>
    <w:rsid w:val="002C1D6B"/>
    <w:rsid w:val="002C1DC9"/>
    <w:rsid w:val="002C2050"/>
    <w:rsid w:val="002C2833"/>
    <w:rsid w:val="002C2C47"/>
    <w:rsid w:val="002C3748"/>
    <w:rsid w:val="002C4272"/>
    <w:rsid w:val="002C4499"/>
    <w:rsid w:val="002C4B38"/>
    <w:rsid w:val="002C4DDC"/>
    <w:rsid w:val="002C5D5A"/>
    <w:rsid w:val="002C5E89"/>
    <w:rsid w:val="002C5F13"/>
    <w:rsid w:val="002C60D3"/>
    <w:rsid w:val="002C65BD"/>
    <w:rsid w:val="002C66B9"/>
    <w:rsid w:val="002C6D6E"/>
    <w:rsid w:val="002C75FD"/>
    <w:rsid w:val="002C798F"/>
    <w:rsid w:val="002C7D43"/>
    <w:rsid w:val="002C7E45"/>
    <w:rsid w:val="002D0416"/>
    <w:rsid w:val="002D0F5C"/>
    <w:rsid w:val="002D107D"/>
    <w:rsid w:val="002D1A41"/>
    <w:rsid w:val="002D3788"/>
    <w:rsid w:val="002D3C20"/>
    <w:rsid w:val="002D40BC"/>
    <w:rsid w:val="002D42BC"/>
    <w:rsid w:val="002D4670"/>
    <w:rsid w:val="002D4671"/>
    <w:rsid w:val="002D526D"/>
    <w:rsid w:val="002D52BF"/>
    <w:rsid w:val="002D5778"/>
    <w:rsid w:val="002D5B1E"/>
    <w:rsid w:val="002D6054"/>
    <w:rsid w:val="002D6081"/>
    <w:rsid w:val="002D6446"/>
    <w:rsid w:val="002D6777"/>
    <w:rsid w:val="002D6900"/>
    <w:rsid w:val="002D71A9"/>
    <w:rsid w:val="002D7492"/>
    <w:rsid w:val="002D77AC"/>
    <w:rsid w:val="002D7846"/>
    <w:rsid w:val="002D7FCB"/>
    <w:rsid w:val="002E05AE"/>
    <w:rsid w:val="002E0E0B"/>
    <w:rsid w:val="002E297A"/>
    <w:rsid w:val="002E2B4B"/>
    <w:rsid w:val="002E30E7"/>
    <w:rsid w:val="002E357D"/>
    <w:rsid w:val="002E4185"/>
    <w:rsid w:val="002E47E4"/>
    <w:rsid w:val="002E4A82"/>
    <w:rsid w:val="002E4D62"/>
    <w:rsid w:val="002E5417"/>
    <w:rsid w:val="002E56C6"/>
    <w:rsid w:val="002E5F78"/>
    <w:rsid w:val="002E6113"/>
    <w:rsid w:val="002E61F8"/>
    <w:rsid w:val="002E6312"/>
    <w:rsid w:val="002E640E"/>
    <w:rsid w:val="002E6550"/>
    <w:rsid w:val="002E767A"/>
    <w:rsid w:val="002E7AB1"/>
    <w:rsid w:val="002E7EC6"/>
    <w:rsid w:val="002F0261"/>
    <w:rsid w:val="002F08F7"/>
    <w:rsid w:val="002F096B"/>
    <w:rsid w:val="002F0AF0"/>
    <w:rsid w:val="002F0C3B"/>
    <w:rsid w:val="002F0F90"/>
    <w:rsid w:val="002F10AC"/>
    <w:rsid w:val="002F12E1"/>
    <w:rsid w:val="002F1628"/>
    <w:rsid w:val="002F1C42"/>
    <w:rsid w:val="002F2452"/>
    <w:rsid w:val="002F2735"/>
    <w:rsid w:val="002F28F0"/>
    <w:rsid w:val="002F2BCC"/>
    <w:rsid w:val="002F36C5"/>
    <w:rsid w:val="002F391D"/>
    <w:rsid w:val="002F398F"/>
    <w:rsid w:val="002F41BC"/>
    <w:rsid w:val="002F4904"/>
    <w:rsid w:val="002F495F"/>
    <w:rsid w:val="002F4B70"/>
    <w:rsid w:val="002F4D25"/>
    <w:rsid w:val="002F5699"/>
    <w:rsid w:val="002F5835"/>
    <w:rsid w:val="002F5D6E"/>
    <w:rsid w:val="002F6008"/>
    <w:rsid w:val="002F60BB"/>
    <w:rsid w:val="002F6600"/>
    <w:rsid w:val="002F66BF"/>
    <w:rsid w:val="002F69EC"/>
    <w:rsid w:val="002F6B25"/>
    <w:rsid w:val="002F7046"/>
    <w:rsid w:val="002F711B"/>
    <w:rsid w:val="002F7507"/>
    <w:rsid w:val="002F7A81"/>
    <w:rsid w:val="002F7AE6"/>
    <w:rsid w:val="002F7AFD"/>
    <w:rsid w:val="0030059B"/>
    <w:rsid w:val="00300F7E"/>
    <w:rsid w:val="0030126C"/>
    <w:rsid w:val="0030130F"/>
    <w:rsid w:val="00301387"/>
    <w:rsid w:val="003016D9"/>
    <w:rsid w:val="003025D0"/>
    <w:rsid w:val="00302FB4"/>
    <w:rsid w:val="003037F9"/>
    <w:rsid w:val="00303FF9"/>
    <w:rsid w:val="00304386"/>
    <w:rsid w:val="003043BD"/>
    <w:rsid w:val="0030468D"/>
    <w:rsid w:val="003046EC"/>
    <w:rsid w:val="00304E1B"/>
    <w:rsid w:val="00305273"/>
    <w:rsid w:val="003052CA"/>
    <w:rsid w:val="003057FC"/>
    <w:rsid w:val="00305AFB"/>
    <w:rsid w:val="00305E49"/>
    <w:rsid w:val="003061E9"/>
    <w:rsid w:val="0030679F"/>
    <w:rsid w:val="00307C85"/>
    <w:rsid w:val="00307F75"/>
    <w:rsid w:val="003100B5"/>
    <w:rsid w:val="003111D6"/>
    <w:rsid w:val="003112DF"/>
    <w:rsid w:val="00311629"/>
    <w:rsid w:val="00312113"/>
    <w:rsid w:val="00312474"/>
    <w:rsid w:val="0031247A"/>
    <w:rsid w:val="00312535"/>
    <w:rsid w:val="00312976"/>
    <w:rsid w:val="00312983"/>
    <w:rsid w:val="00312CD5"/>
    <w:rsid w:val="00312EC5"/>
    <w:rsid w:val="003130D0"/>
    <w:rsid w:val="00313453"/>
    <w:rsid w:val="0031393C"/>
    <w:rsid w:val="00313A76"/>
    <w:rsid w:val="003141F4"/>
    <w:rsid w:val="003145A9"/>
    <w:rsid w:val="003148DE"/>
    <w:rsid w:val="00314A54"/>
    <w:rsid w:val="00314B8C"/>
    <w:rsid w:val="00314C03"/>
    <w:rsid w:val="00314CBD"/>
    <w:rsid w:val="003150BE"/>
    <w:rsid w:val="003151F4"/>
    <w:rsid w:val="00315583"/>
    <w:rsid w:val="00315CBA"/>
    <w:rsid w:val="00315DBD"/>
    <w:rsid w:val="00316494"/>
    <w:rsid w:val="00316BDE"/>
    <w:rsid w:val="00317517"/>
    <w:rsid w:val="00317717"/>
    <w:rsid w:val="00320859"/>
    <w:rsid w:val="0032085A"/>
    <w:rsid w:val="00320A15"/>
    <w:rsid w:val="003210D2"/>
    <w:rsid w:val="00321317"/>
    <w:rsid w:val="00321AC8"/>
    <w:rsid w:val="00322979"/>
    <w:rsid w:val="00322B68"/>
    <w:rsid w:val="00323172"/>
    <w:rsid w:val="003235F2"/>
    <w:rsid w:val="00323C5C"/>
    <w:rsid w:val="00323DC5"/>
    <w:rsid w:val="003248CB"/>
    <w:rsid w:val="00324D77"/>
    <w:rsid w:val="00324FD7"/>
    <w:rsid w:val="00325209"/>
    <w:rsid w:val="00325875"/>
    <w:rsid w:val="00325B47"/>
    <w:rsid w:val="00326458"/>
    <w:rsid w:val="00326506"/>
    <w:rsid w:val="00327D12"/>
    <w:rsid w:val="00330780"/>
    <w:rsid w:val="00330B5C"/>
    <w:rsid w:val="00330D9D"/>
    <w:rsid w:val="00330F9D"/>
    <w:rsid w:val="00330FAA"/>
    <w:rsid w:val="00331301"/>
    <w:rsid w:val="003317F5"/>
    <w:rsid w:val="00331EA7"/>
    <w:rsid w:val="00332A0D"/>
    <w:rsid w:val="00332A16"/>
    <w:rsid w:val="003332B8"/>
    <w:rsid w:val="00333803"/>
    <w:rsid w:val="00333848"/>
    <w:rsid w:val="00334034"/>
    <w:rsid w:val="0033424E"/>
    <w:rsid w:val="00334F56"/>
    <w:rsid w:val="003358DF"/>
    <w:rsid w:val="00335A80"/>
    <w:rsid w:val="003365AD"/>
    <w:rsid w:val="00336716"/>
    <w:rsid w:val="0033675D"/>
    <w:rsid w:val="00336E0F"/>
    <w:rsid w:val="00337555"/>
    <w:rsid w:val="003375ED"/>
    <w:rsid w:val="003376EA"/>
    <w:rsid w:val="0033796D"/>
    <w:rsid w:val="00337B13"/>
    <w:rsid w:val="00341A48"/>
    <w:rsid w:val="00341CE8"/>
    <w:rsid w:val="00341E79"/>
    <w:rsid w:val="003424B4"/>
    <w:rsid w:val="00343332"/>
    <w:rsid w:val="0034393F"/>
    <w:rsid w:val="00343A5F"/>
    <w:rsid w:val="00343B46"/>
    <w:rsid w:val="00343C1D"/>
    <w:rsid w:val="0034411D"/>
    <w:rsid w:val="00344465"/>
    <w:rsid w:val="00344A78"/>
    <w:rsid w:val="00345ADA"/>
    <w:rsid w:val="00345BEF"/>
    <w:rsid w:val="003467DE"/>
    <w:rsid w:val="00346D4B"/>
    <w:rsid w:val="003472BF"/>
    <w:rsid w:val="0034740A"/>
    <w:rsid w:val="0034781A"/>
    <w:rsid w:val="00347A7F"/>
    <w:rsid w:val="00347B73"/>
    <w:rsid w:val="00350154"/>
    <w:rsid w:val="0035048B"/>
    <w:rsid w:val="00350965"/>
    <w:rsid w:val="00350D1E"/>
    <w:rsid w:val="00350DEB"/>
    <w:rsid w:val="003511F4"/>
    <w:rsid w:val="0035163A"/>
    <w:rsid w:val="00351713"/>
    <w:rsid w:val="00351BB1"/>
    <w:rsid w:val="00351CB3"/>
    <w:rsid w:val="00351DBE"/>
    <w:rsid w:val="003520B8"/>
    <w:rsid w:val="00352836"/>
    <w:rsid w:val="00352F92"/>
    <w:rsid w:val="0035321D"/>
    <w:rsid w:val="0035331C"/>
    <w:rsid w:val="0035375B"/>
    <w:rsid w:val="00353C69"/>
    <w:rsid w:val="00353F8F"/>
    <w:rsid w:val="0035417A"/>
    <w:rsid w:val="00354496"/>
    <w:rsid w:val="003546F4"/>
    <w:rsid w:val="00354E0E"/>
    <w:rsid w:val="003557BF"/>
    <w:rsid w:val="00356D47"/>
    <w:rsid w:val="00357143"/>
    <w:rsid w:val="003609C0"/>
    <w:rsid w:val="00361354"/>
    <w:rsid w:val="00361E46"/>
    <w:rsid w:val="00361EA2"/>
    <w:rsid w:val="00362725"/>
    <w:rsid w:val="0036296F"/>
    <w:rsid w:val="00362B5A"/>
    <w:rsid w:val="00362D74"/>
    <w:rsid w:val="003633F1"/>
    <w:rsid w:val="003634B9"/>
    <w:rsid w:val="003635A0"/>
    <w:rsid w:val="00363B93"/>
    <w:rsid w:val="00364340"/>
    <w:rsid w:val="00364920"/>
    <w:rsid w:val="00364E34"/>
    <w:rsid w:val="0036501F"/>
    <w:rsid w:val="003664E9"/>
    <w:rsid w:val="003665F4"/>
    <w:rsid w:val="003666C3"/>
    <w:rsid w:val="0036678F"/>
    <w:rsid w:val="00366894"/>
    <w:rsid w:val="00366D1E"/>
    <w:rsid w:val="00367959"/>
    <w:rsid w:val="00367CED"/>
    <w:rsid w:val="00370222"/>
    <w:rsid w:val="003703A5"/>
    <w:rsid w:val="00370728"/>
    <w:rsid w:val="00370E5B"/>
    <w:rsid w:val="003710A9"/>
    <w:rsid w:val="0037112C"/>
    <w:rsid w:val="003713A2"/>
    <w:rsid w:val="00371F0D"/>
    <w:rsid w:val="003721F7"/>
    <w:rsid w:val="00372589"/>
    <w:rsid w:val="0037266C"/>
    <w:rsid w:val="00372828"/>
    <w:rsid w:val="00373347"/>
    <w:rsid w:val="0037353D"/>
    <w:rsid w:val="0037371B"/>
    <w:rsid w:val="00373B23"/>
    <w:rsid w:val="00373EE5"/>
    <w:rsid w:val="00373FE1"/>
    <w:rsid w:val="00374702"/>
    <w:rsid w:val="00375029"/>
    <w:rsid w:val="00377479"/>
    <w:rsid w:val="003774DE"/>
    <w:rsid w:val="00377B3F"/>
    <w:rsid w:val="00377ECD"/>
    <w:rsid w:val="00380271"/>
    <w:rsid w:val="0038136B"/>
    <w:rsid w:val="003817E7"/>
    <w:rsid w:val="00381B32"/>
    <w:rsid w:val="00381CE1"/>
    <w:rsid w:val="00382097"/>
    <w:rsid w:val="00382298"/>
    <w:rsid w:val="00382635"/>
    <w:rsid w:val="00382E55"/>
    <w:rsid w:val="00383583"/>
    <w:rsid w:val="003837B4"/>
    <w:rsid w:val="00384309"/>
    <w:rsid w:val="00384546"/>
    <w:rsid w:val="00384C4F"/>
    <w:rsid w:val="0038536F"/>
    <w:rsid w:val="003857A3"/>
    <w:rsid w:val="00385A4D"/>
    <w:rsid w:val="00385BC7"/>
    <w:rsid w:val="0038628C"/>
    <w:rsid w:val="003864C0"/>
    <w:rsid w:val="0038699D"/>
    <w:rsid w:val="003901D5"/>
    <w:rsid w:val="00390448"/>
    <w:rsid w:val="00390A63"/>
    <w:rsid w:val="00390B55"/>
    <w:rsid w:val="0039100A"/>
    <w:rsid w:val="00391324"/>
    <w:rsid w:val="003915EC"/>
    <w:rsid w:val="00391C67"/>
    <w:rsid w:val="00391C8D"/>
    <w:rsid w:val="00391E13"/>
    <w:rsid w:val="00391E1D"/>
    <w:rsid w:val="00392D3D"/>
    <w:rsid w:val="003940FF"/>
    <w:rsid w:val="003941A3"/>
    <w:rsid w:val="003946D4"/>
    <w:rsid w:val="00394C15"/>
    <w:rsid w:val="00395915"/>
    <w:rsid w:val="003961B2"/>
    <w:rsid w:val="00396646"/>
    <w:rsid w:val="00396A04"/>
    <w:rsid w:val="00397C14"/>
    <w:rsid w:val="003A0C2B"/>
    <w:rsid w:val="003A1194"/>
    <w:rsid w:val="003A1629"/>
    <w:rsid w:val="003A1ECB"/>
    <w:rsid w:val="003A2183"/>
    <w:rsid w:val="003A22DF"/>
    <w:rsid w:val="003A2303"/>
    <w:rsid w:val="003A2D3C"/>
    <w:rsid w:val="003A2ECD"/>
    <w:rsid w:val="003A337C"/>
    <w:rsid w:val="003A38DB"/>
    <w:rsid w:val="003A4170"/>
    <w:rsid w:val="003A41AD"/>
    <w:rsid w:val="003A45E2"/>
    <w:rsid w:val="003A4DF5"/>
    <w:rsid w:val="003A5992"/>
    <w:rsid w:val="003A60AC"/>
    <w:rsid w:val="003A62B8"/>
    <w:rsid w:val="003A6608"/>
    <w:rsid w:val="003A67E5"/>
    <w:rsid w:val="003A7011"/>
    <w:rsid w:val="003A7692"/>
    <w:rsid w:val="003A78FC"/>
    <w:rsid w:val="003A7A03"/>
    <w:rsid w:val="003A7FAD"/>
    <w:rsid w:val="003B05AD"/>
    <w:rsid w:val="003B0C41"/>
    <w:rsid w:val="003B1430"/>
    <w:rsid w:val="003B152B"/>
    <w:rsid w:val="003B1734"/>
    <w:rsid w:val="003B1735"/>
    <w:rsid w:val="003B1F1E"/>
    <w:rsid w:val="003B1F8C"/>
    <w:rsid w:val="003B2037"/>
    <w:rsid w:val="003B2D2E"/>
    <w:rsid w:val="003B3D9A"/>
    <w:rsid w:val="003B3FFA"/>
    <w:rsid w:val="003B4080"/>
    <w:rsid w:val="003B458C"/>
    <w:rsid w:val="003B4B03"/>
    <w:rsid w:val="003B4C45"/>
    <w:rsid w:val="003B4E9F"/>
    <w:rsid w:val="003B4EFC"/>
    <w:rsid w:val="003B504A"/>
    <w:rsid w:val="003B5073"/>
    <w:rsid w:val="003B55FC"/>
    <w:rsid w:val="003B56E9"/>
    <w:rsid w:val="003B5AC4"/>
    <w:rsid w:val="003B6622"/>
    <w:rsid w:val="003B6740"/>
    <w:rsid w:val="003B6CBF"/>
    <w:rsid w:val="003B6F41"/>
    <w:rsid w:val="003B7401"/>
    <w:rsid w:val="003B75E7"/>
    <w:rsid w:val="003B7D00"/>
    <w:rsid w:val="003B7DC7"/>
    <w:rsid w:val="003C110D"/>
    <w:rsid w:val="003C119B"/>
    <w:rsid w:val="003C1391"/>
    <w:rsid w:val="003C1AF4"/>
    <w:rsid w:val="003C2AFE"/>
    <w:rsid w:val="003C3111"/>
    <w:rsid w:val="003C331B"/>
    <w:rsid w:val="003C39FE"/>
    <w:rsid w:val="003C3CED"/>
    <w:rsid w:val="003C47A7"/>
    <w:rsid w:val="003C4F0A"/>
    <w:rsid w:val="003C5868"/>
    <w:rsid w:val="003C5CFB"/>
    <w:rsid w:val="003C6237"/>
    <w:rsid w:val="003C64A2"/>
    <w:rsid w:val="003C6D82"/>
    <w:rsid w:val="003C79F4"/>
    <w:rsid w:val="003C7DA9"/>
    <w:rsid w:val="003C7F0C"/>
    <w:rsid w:val="003D0826"/>
    <w:rsid w:val="003D0853"/>
    <w:rsid w:val="003D113E"/>
    <w:rsid w:val="003D151A"/>
    <w:rsid w:val="003D18FC"/>
    <w:rsid w:val="003D1992"/>
    <w:rsid w:val="003D1AED"/>
    <w:rsid w:val="003D2F20"/>
    <w:rsid w:val="003D37D4"/>
    <w:rsid w:val="003D3C93"/>
    <w:rsid w:val="003D3ED8"/>
    <w:rsid w:val="003D4159"/>
    <w:rsid w:val="003D4257"/>
    <w:rsid w:val="003D4338"/>
    <w:rsid w:val="003D4420"/>
    <w:rsid w:val="003D4E11"/>
    <w:rsid w:val="003D4FF4"/>
    <w:rsid w:val="003D5195"/>
    <w:rsid w:val="003D573F"/>
    <w:rsid w:val="003D5D63"/>
    <w:rsid w:val="003D5FCB"/>
    <w:rsid w:val="003D71BB"/>
    <w:rsid w:val="003D7303"/>
    <w:rsid w:val="003D7502"/>
    <w:rsid w:val="003D7869"/>
    <w:rsid w:val="003E00D5"/>
    <w:rsid w:val="003E02BA"/>
    <w:rsid w:val="003E0514"/>
    <w:rsid w:val="003E0BF4"/>
    <w:rsid w:val="003E16EC"/>
    <w:rsid w:val="003E18F7"/>
    <w:rsid w:val="003E1CB7"/>
    <w:rsid w:val="003E259A"/>
    <w:rsid w:val="003E271C"/>
    <w:rsid w:val="003E27D3"/>
    <w:rsid w:val="003E2B18"/>
    <w:rsid w:val="003E3532"/>
    <w:rsid w:val="003E3B3F"/>
    <w:rsid w:val="003E43DC"/>
    <w:rsid w:val="003E4812"/>
    <w:rsid w:val="003E4B76"/>
    <w:rsid w:val="003E51C3"/>
    <w:rsid w:val="003E555F"/>
    <w:rsid w:val="003E588A"/>
    <w:rsid w:val="003E5B3B"/>
    <w:rsid w:val="003E60EC"/>
    <w:rsid w:val="003E616C"/>
    <w:rsid w:val="003E6374"/>
    <w:rsid w:val="003E63B4"/>
    <w:rsid w:val="003E65A5"/>
    <w:rsid w:val="003E69A0"/>
    <w:rsid w:val="003E7355"/>
    <w:rsid w:val="003E7500"/>
    <w:rsid w:val="003E7731"/>
    <w:rsid w:val="003E7829"/>
    <w:rsid w:val="003E7C60"/>
    <w:rsid w:val="003E7E0C"/>
    <w:rsid w:val="003F03E5"/>
    <w:rsid w:val="003F0578"/>
    <w:rsid w:val="003F12DA"/>
    <w:rsid w:val="003F1BBD"/>
    <w:rsid w:val="003F2170"/>
    <w:rsid w:val="003F264E"/>
    <w:rsid w:val="003F2BE1"/>
    <w:rsid w:val="003F2D74"/>
    <w:rsid w:val="003F380D"/>
    <w:rsid w:val="003F3A0A"/>
    <w:rsid w:val="003F3A8C"/>
    <w:rsid w:val="003F3CB9"/>
    <w:rsid w:val="003F3E9C"/>
    <w:rsid w:val="003F458E"/>
    <w:rsid w:val="003F4A8A"/>
    <w:rsid w:val="003F4E3B"/>
    <w:rsid w:val="003F596B"/>
    <w:rsid w:val="003F5C2D"/>
    <w:rsid w:val="003F5CEF"/>
    <w:rsid w:val="003F61E5"/>
    <w:rsid w:val="003F632D"/>
    <w:rsid w:val="003F6436"/>
    <w:rsid w:val="003F6450"/>
    <w:rsid w:val="003F6577"/>
    <w:rsid w:val="003F65CC"/>
    <w:rsid w:val="003F6790"/>
    <w:rsid w:val="003F6B28"/>
    <w:rsid w:val="003F714E"/>
    <w:rsid w:val="003F722E"/>
    <w:rsid w:val="003F7E8E"/>
    <w:rsid w:val="003F7F38"/>
    <w:rsid w:val="004000F3"/>
    <w:rsid w:val="00400337"/>
    <w:rsid w:val="00400995"/>
    <w:rsid w:val="00400E8A"/>
    <w:rsid w:val="00401325"/>
    <w:rsid w:val="004015DB"/>
    <w:rsid w:val="00401982"/>
    <w:rsid w:val="004019AA"/>
    <w:rsid w:val="00402A5A"/>
    <w:rsid w:val="00402C6D"/>
    <w:rsid w:val="00403541"/>
    <w:rsid w:val="004037C1"/>
    <w:rsid w:val="0040399B"/>
    <w:rsid w:val="00404231"/>
    <w:rsid w:val="00404792"/>
    <w:rsid w:val="00404AEF"/>
    <w:rsid w:val="004057E1"/>
    <w:rsid w:val="00405849"/>
    <w:rsid w:val="00405A89"/>
    <w:rsid w:val="00405D15"/>
    <w:rsid w:val="0040602E"/>
    <w:rsid w:val="00406238"/>
    <w:rsid w:val="0040674C"/>
    <w:rsid w:val="00406F0C"/>
    <w:rsid w:val="004071EA"/>
    <w:rsid w:val="00407739"/>
    <w:rsid w:val="00407E08"/>
    <w:rsid w:val="00407ED1"/>
    <w:rsid w:val="004106DB"/>
    <w:rsid w:val="00410A04"/>
    <w:rsid w:val="00410A9A"/>
    <w:rsid w:val="00410BC7"/>
    <w:rsid w:val="00410E30"/>
    <w:rsid w:val="00411251"/>
    <w:rsid w:val="004113DD"/>
    <w:rsid w:val="00411412"/>
    <w:rsid w:val="00411431"/>
    <w:rsid w:val="00411515"/>
    <w:rsid w:val="0041157B"/>
    <w:rsid w:val="00411716"/>
    <w:rsid w:val="004117D1"/>
    <w:rsid w:val="00411D41"/>
    <w:rsid w:val="00411F96"/>
    <w:rsid w:val="0041248F"/>
    <w:rsid w:val="00412585"/>
    <w:rsid w:val="004133AC"/>
    <w:rsid w:val="0041363B"/>
    <w:rsid w:val="00413A5E"/>
    <w:rsid w:val="00413B8D"/>
    <w:rsid w:val="00414304"/>
    <w:rsid w:val="00414578"/>
    <w:rsid w:val="00414FA8"/>
    <w:rsid w:val="00415381"/>
    <w:rsid w:val="00415D5D"/>
    <w:rsid w:val="00415F7C"/>
    <w:rsid w:val="0041643A"/>
    <w:rsid w:val="00416826"/>
    <w:rsid w:val="00417088"/>
    <w:rsid w:val="0041720D"/>
    <w:rsid w:val="004177E5"/>
    <w:rsid w:val="00420D33"/>
    <w:rsid w:val="00421CA1"/>
    <w:rsid w:val="0042218F"/>
    <w:rsid w:val="00422AE5"/>
    <w:rsid w:val="004232E9"/>
    <w:rsid w:val="0042371E"/>
    <w:rsid w:val="00423FED"/>
    <w:rsid w:val="004248F5"/>
    <w:rsid w:val="004251EC"/>
    <w:rsid w:val="004256D8"/>
    <w:rsid w:val="00426370"/>
    <w:rsid w:val="0042650F"/>
    <w:rsid w:val="0042684F"/>
    <w:rsid w:val="00426DB2"/>
    <w:rsid w:val="0042713B"/>
    <w:rsid w:val="00427984"/>
    <w:rsid w:val="00427D5D"/>
    <w:rsid w:val="004300A1"/>
    <w:rsid w:val="004301D4"/>
    <w:rsid w:val="0043032A"/>
    <w:rsid w:val="00430480"/>
    <w:rsid w:val="004304CD"/>
    <w:rsid w:val="004311A6"/>
    <w:rsid w:val="00431E0B"/>
    <w:rsid w:val="0043255D"/>
    <w:rsid w:val="00432784"/>
    <w:rsid w:val="00432822"/>
    <w:rsid w:val="00432D38"/>
    <w:rsid w:val="004330B0"/>
    <w:rsid w:val="004337C2"/>
    <w:rsid w:val="004337FE"/>
    <w:rsid w:val="00433900"/>
    <w:rsid w:val="00433E73"/>
    <w:rsid w:val="00433E98"/>
    <w:rsid w:val="004344B2"/>
    <w:rsid w:val="00434CC8"/>
    <w:rsid w:val="00434D58"/>
    <w:rsid w:val="00434F26"/>
    <w:rsid w:val="00435592"/>
    <w:rsid w:val="00435738"/>
    <w:rsid w:val="00436347"/>
    <w:rsid w:val="00436D88"/>
    <w:rsid w:val="00437137"/>
    <w:rsid w:val="004372A7"/>
    <w:rsid w:val="00437F73"/>
    <w:rsid w:val="00437FDC"/>
    <w:rsid w:val="00440386"/>
    <w:rsid w:val="004403B8"/>
    <w:rsid w:val="00441425"/>
    <w:rsid w:val="004414A2"/>
    <w:rsid w:val="00441ADA"/>
    <w:rsid w:val="00441B09"/>
    <w:rsid w:val="00441CC2"/>
    <w:rsid w:val="00441E81"/>
    <w:rsid w:val="004421A0"/>
    <w:rsid w:val="004422CA"/>
    <w:rsid w:val="0044274C"/>
    <w:rsid w:val="00442950"/>
    <w:rsid w:val="00442A6E"/>
    <w:rsid w:val="00442E06"/>
    <w:rsid w:val="00442EB6"/>
    <w:rsid w:val="0044306A"/>
    <w:rsid w:val="00443282"/>
    <w:rsid w:val="0044341F"/>
    <w:rsid w:val="0044371C"/>
    <w:rsid w:val="00443F51"/>
    <w:rsid w:val="0044426C"/>
    <w:rsid w:val="00445A52"/>
    <w:rsid w:val="00445B16"/>
    <w:rsid w:val="00445DCE"/>
    <w:rsid w:val="00446162"/>
    <w:rsid w:val="0044627E"/>
    <w:rsid w:val="00446CCE"/>
    <w:rsid w:val="00447E0E"/>
    <w:rsid w:val="004501B9"/>
    <w:rsid w:val="0045084A"/>
    <w:rsid w:val="004508FD"/>
    <w:rsid w:val="0045096B"/>
    <w:rsid w:val="00450A04"/>
    <w:rsid w:val="00450A85"/>
    <w:rsid w:val="0045114F"/>
    <w:rsid w:val="004513F3"/>
    <w:rsid w:val="00451A3E"/>
    <w:rsid w:val="00451AC6"/>
    <w:rsid w:val="004529D3"/>
    <w:rsid w:val="00452B6C"/>
    <w:rsid w:val="0045302A"/>
    <w:rsid w:val="004531AF"/>
    <w:rsid w:val="004531C8"/>
    <w:rsid w:val="00453DCA"/>
    <w:rsid w:val="00453F31"/>
    <w:rsid w:val="0045406C"/>
    <w:rsid w:val="004542CF"/>
    <w:rsid w:val="00454441"/>
    <w:rsid w:val="004548D2"/>
    <w:rsid w:val="00454924"/>
    <w:rsid w:val="00455E97"/>
    <w:rsid w:val="00456480"/>
    <w:rsid w:val="00456B0C"/>
    <w:rsid w:val="00456F6F"/>
    <w:rsid w:val="0045718C"/>
    <w:rsid w:val="004574CC"/>
    <w:rsid w:val="004576D8"/>
    <w:rsid w:val="00457F0E"/>
    <w:rsid w:val="00460101"/>
    <w:rsid w:val="00460386"/>
    <w:rsid w:val="00460CA9"/>
    <w:rsid w:val="004617F3"/>
    <w:rsid w:val="0046214B"/>
    <w:rsid w:val="0046221A"/>
    <w:rsid w:val="0046287C"/>
    <w:rsid w:val="00462A4C"/>
    <w:rsid w:val="00462AC9"/>
    <w:rsid w:val="004632A7"/>
    <w:rsid w:val="004632FD"/>
    <w:rsid w:val="00463365"/>
    <w:rsid w:val="004634F2"/>
    <w:rsid w:val="0046369F"/>
    <w:rsid w:val="00464134"/>
    <w:rsid w:val="004643D7"/>
    <w:rsid w:val="004651E9"/>
    <w:rsid w:val="00465218"/>
    <w:rsid w:val="0046538B"/>
    <w:rsid w:val="00465CAD"/>
    <w:rsid w:val="00465D61"/>
    <w:rsid w:val="00465FF1"/>
    <w:rsid w:val="00466120"/>
    <w:rsid w:val="004662AD"/>
    <w:rsid w:val="004666AC"/>
    <w:rsid w:val="00466A71"/>
    <w:rsid w:val="00466CAA"/>
    <w:rsid w:val="004670F9"/>
    <w:rsid w:val="004671A9"/>
    <w:rsid w:val="004673A2"/>
    <w:rsid w:val="00467D72"/>
    <w:rsid w:val="00470218"/>
    <w:rsid w:val="00470654"/>
    <w:rsid w:val="00470690"/>
    <w:rsid w:val="00470B63"/>
    <w:rsid w:val="004713A7"/>
    <w:rsid w:val="00471AFA"/>
    <w:rsid w:val="00471C92"/>
    <w:rsid w:val="00471CED"/>
    <w:rsid w:val="00471FF4"/>
    <w:rsid w:val="004720FA"/>
    <w:rsid w:val="004723D4"/>
    <w:rsid w:val="004739AC"/>
    <w:rsid w:val="00473D11"/>
    <w:rsid w:val="00473EB8"/>
    <w:rsid w:val="00474489"/>
    <w:rsid w:val="004751EA"/>
    <w:rsid w:val="0047526E"/>
    <w:rsid w:val="0047543E"/>
    <w:rsid w:val="00475565"/>
    <w:rsid w:val="00475C45"/>
    <w:rsid w:val="00475FEF"/>
    <w:rsid w:val="00476670"/>
    <w:rsid w:val="00476782"/>
    <w:rsid w:val="0047680F"/>
    <w:rsid w:val="00476952"/>
    <w:rsid w:val="00476BD2"/>
    <w:rsid w:val="0047751B"/>
    <w:rsid w:val="00477536"/>
    <w:rsid w:val="00477726"/>
    <w:rsid w:val="0047776F"/>
    <w:rsid w:val="00477EE1"/>
    <w:rsid w:val="0048128E"/>
    <w:rsid w:val="00481613"/>
    <w:rsid w:val="00481A10"/>
    <w:rsid w:val="00481E46"/>
    <w:rsid w:val="00482036"/>
    <w:rsid w:val="00482A4B"/>
    <w:rsid w:val="00482D5B"/>
    <w:rsid w:val="004830BC"/>
    <w:rsid w:val="0048312A"/>
    <w:rsid w:val="0048320D"/>
    <w:rsid w:val="00483250"/>
    <w:rsid w:val="004832E2"/>
    <w:rsid w:val="004833EB"/>
    <w:rsid w:val="004838EE"/>
    <w:rsid w:val="0048396F"/>
    <w:rsid w:val="0048429A"/>
    <w:rsid w:val="00484661"/>
    <w:rsid w:val="004848A9"/>
    <w:rsid w:val="00485388"/>
    <w:rsid w:val="004858F9"/>
    <w:rsid w:val="00485F2D"/>
    <w:rsid w:val="004863B5"/>
    <w:rsid w:val="00486867"/>
    <w:rsid w:val="0048696B"/>
    <w:rsid w:val="00486B28"/>
    <w:rsid w:val="00486FE2"/>
    <w:rsid w:val="004870EA"/>
    <w:rsid w:val="004873EC"/>
    <w:rsid w:val="00487F13"/>
    <w:rsid w:val="00490796"/>
    <w:rsid w:val="00490B13"/>
    <w:rsid w:val="00491101"/>
    <w:rsid w:val="00491630"/>
    <w:rsid w:val="00491919"/>
    <w:rsid w:val="00492903"/>
    <w:rsid w:val="00492CE4"/>
    <w:rsid w:val="00492FAF"/>
    <w:rsid w:val="004934ED"/>
    <w:rsid w:val="00493AA8"/>
    <w:rsid w:val="00493B3F"/>
    <w:rsid w:val="00494231"/>
    <w:rsid w:val="00494E4F"/>
    <w:rsid w:val="00494FA1"/>
    <w:rsid w:val="0049595F"/>
    <w:rsid w:val="004959DE"/>
    <w:rsid w:val="00495A41"/>
    <w:rsid w:val="00495E21"/>
    <w:rsid w:val="00495E41"/>
    <w:rsid w:val="00496178"/>
    <w:rsid w:val="00496193"/>
    <w:rsid w:val="00496354"/>
    <w:rsid w:val="00496E71"/>
    <w:rsid w:val="004973C6"/>
    <w:rsid w:val="004A02AF"/>
    <w:rsid w:val="004A03E6"/>
    <w:rsid w:val="004A0437"/>
    <w:rsid w:val="004A04BB"/>
    <w:rsid w:val="004A0630"/>
    <w:rsid w:val="004A16DB"/>
    <w:rsid w:val="004A19C0"/>
    <w:rsid w:val="004A1BBD"/>
    <w:rsid w:val="004A1E1A"/>
    <w:rsid w:val="004A267F"/>
    <w:rsid w:val="004A28FD"/>
    <w:rsid w:val="004A2BD8"/>
    <w:rsid w:val="004A2D66"/>
    <w:rsid w:val="004A3193"/>
    <w:rsid w:val="004A37A5"/>
    <w:rsid w:val="004A3A9D"/>
    <w:rsid w:val="004A3D79"/>
    <w:rsid w:val="004A3EEB"/>
    <w:rsid w:val="004A4449"/>
    <w:rsid w:val="004A4965"/>
    <w:rsid w:val="004A4A64"/>
    <w:rsid w:val="004A4E8E"/>
    <w:rsid w:val="004A5334"/>
    <w:rsid w:val="004A5593"/>
    <w:rsid w:val="004A5894"/>
    <w:rsid w:val="004A5BD5"/>
    <w:rsid w:val="004A619A"/>
    <w:rsid w:val="004A62AB"/>
    <w:rsid w:val="004A642A"/>
    <w:rsid w:val="004A679B"/>
    <w:rsid w:val="004A68A7"/>
    <w:rsid w:val="004A6F4E"/>
    <w:rsid w:val="004A732F"/>
    <w:rsid w:val="004A7BFF"/>
    <w:rsid w:val="004B01A7"/>
    <w:rsid w:val="004B02CF"/>
    <w:rsid w:val="004B0827"/>
    <w:rsid w:val="004B0AA5"/>
    <w:rsid w:val="004B0C5D"/>
    <w:rsid w:val="004B0CAA"/>
    <w:rsid w:val="004B13CF"/>
    <w:rsid w:val="004B13D7"/>
    <w:rsid w:val="004B14B6"/>
    <w:rsid w:val="004B243A"/>
    <w:rsid w:val="004B2C65"/>
    <w:rsid w:val="004B3299"/>
    <w:rsid w:val="004B34E4"/>
    <w:rsid w:val="004B391F"/>
    <w:rsid w:val="004B3C44"/>
    <w:rsid w:val="004B4471"/>
    <w:rsid w:val="004B46FF"/>
    <w:rsid w:val="004B55AB"/>
    <w:rsid w:val="004B5814"/>
    <w:rsid w:val="004B5B3D"/>
    <w:rsid w:val="004B6340"/>
    <w:rsid w:val="004B6861"/>
    <w:rsid w:val="004B6ABE"/>
    <w:rsid w:val="004B6B83"/>
    <w:rsid w:val="004B6BCF"/>
    <w:rsid w:val="004B6D1C"/>
    <w:rsid w:val="004B7169"/>
    <w:rsid w:val="004B78ED"/>
    <w:rsid w:val="004C0183"/>
    <w:rsid w:val="004C03B4"/>
    <w:rsid w:val="004C0719"/>
    <w:rsid w:val="004C0A0E"/>
    <w:rsid w:val="004C0FB4"/>
    <w:rsid w:val="004C10BC"/>
    <w:rsid w:val="004C1811"/>
    <w:rsid w:val="004C18D9"/>
    <w:rsid w:val="004C195E"/>
    <w:rsid w:val="004C1B71"/>
    <w:rsid w:val="004C2218"/>
    <w:rsid w:val="004C2944"/>
    <w:rsid w:val="004C31F1"/>
    <w:rsid w:val="004C3B1F"/>
    <w:rsid w:val="004C3BFF"/>
    <w:rsid w:val="004C431D"/>
    <w:rsid w:val="004C4555"/>
    <w:rsid w:val="004C46CB"/>
    <w:rsid w:val="004C48F4"/>
    <w:rsid w:val="004C4A36"/>
    <w:rsid w:val="004C4CF7"/>
    <w:rsid w:val="004C4D98"/>
    <w:rsid w:val="004C4EB0"/>
    <w:rsid w:val="004C5175"/>
    <w:rsid w:val="004C55E7"/>
    <w:rsid w:val="004C5CF9"/>
    <w:rsid w:val="004C5D4A"/>
    <w:rsid w:val="004C60A9"/>
    <w:rsid w:val="004C64C6"/>
    <w:rsid w:val="004C668C"/>
    <w:rsid w:val="004C6DC9"/>
    <w:rsid w:val="004C7015"/>
    <w:rsid w:val="004C7186"/>
    <w:rsid w:val="004C7D22"/>
    <w:rsid w:val="004D02AD"/>
    <w:rsid w:val="004D09EA"/>
    <w:rsid w:val="004D0CC3"/>
    <w:rsid w:val="004D1416"/>
    <w:rsid w:val="004D16D6"/>
    <w:rsid w:val="004D16F9"/>
    <w:rsid w:val="004D2172"/>
    <w:rsid w:val="004D2512"/>
    <w:rsid w:val="004D28BE"/>
    <w:rsid w:val="004D366E"/>
    <w:rsid w:val="004D3A69"/>
    <w:rsid w:val="004D4586"/>
    <w:rsid w:val="004D45E4"/>
    <w:rsid w:val="004D48CC"/>
    <w:rsid w:val="004D4974"/>
    <w:rsid w:val="004D49AE"/>
    <w:rsid w:val="004D5191"/>
    <w:rsid w:val="004D5F64"/>
    <w:rsid w:val="004D624D"/>
    <w:rsid w:val="004D6A7D"/>
    <w:rsid w:val="004D6CE3"/>
    <w:rsid w:val="004D6CEA"/>
    <w:rsid w:val="004D6D92"/>
    <w:rsid w:val="004D6FD1"/>
    <w:rsid w:val="004D7208"/>
    <w:rsid w:val="004D76CF"/>
    <w:rsid w:val="004D78C3"/>
    <w:rsid w:val="004D7C2D"/>
    <w:rsid w:val="004D7C84"/>
    <w:rsid w:val="004E0E02"/>
    <w:rsid w:val="004E1A4B"/>
    <w:rsid w:val="004E20CF"/>
    <w:rsid w:val="004E2781"/>
    <w:rsid w:val="004E303D"/>
    <w:rsid w:val="004E3226"/>
    <w:rsid w:val="004E3564"/>
    <w:rsid w:val="004E3B78"/>
    <w:rsid w:val="004E3D9F"/>
    <w:rsid w:val="004E40C1"/>
    <w:rsid w:val="004E41EB"/>
    <w:rsid w:val="004E44AA"/>
    <w:rsid w:val="004E46CA"/>
    <w:rsid w:val="004E51C0"/>
    <w:rsid w:val="004E589A"/>
    <w:rsid w:val="004E5C15"/>
    <w:rsid w:val="004E5E95"/>
    <w:rsid w:val="004E603F"/>
    <w:rsid w:val="004E64BE"/>
    <w:rsid w:val="004E6EA6"/>
    <w:rsid w:val="004E74A8"/>
    <w:rsid w:val="004E76FF"/>
    <w:rsid w:val="004F0856"/>
    <w:rsid w:val="004F0B98"/>
    <w:rsid w:val="004F10D1"/>
    <w:rsid w:val="004F1A05"/>
    <w:rsid w:val="004F1C79"/>
    <w:rsid w:val="004F1DAA"/>
    <w:rsid w:val="004F25E5"/>
    <w:rsid w:val="004F290D"/>
    <w:rsid w:val="004F2937"/>
    <w:rsid w:val="004F2D80"/>
    <w:rsid w:val="004F3647"/>
    <w:rsid w:val="004F3AFF"/>
    <w:rsid w:val="004F3C5E"/>
    <w:rsid w:val="004F4686"/>
    <w:rsid w:val="004F4753"/>
    <w:rsid w:val="004F4989"/>
    <w:rsid w:val="004F51A8"/>
    <w:rsid w:val="004F51B6"/>
    <w:rsid w:val="004F560E"/>
    <w:rsid w:val="004F574C"/>
    <w:rsid w:val="004F6293"/>
    <w:rsid w:val="004F6AD9"/>
    <w:rsid w:val="004F6DB5"/>
    <w:rsid w:val="004F6F1D"/>
    <w:rsid w:val="004F6F71"/>
    <w:rsid w:val="004F73FD"/>
    <w:rsid w:val="004F78B5"/>
    <w:rsid w:val="004F7E7D"/>
    <w:rsid w:val="004F7E8F"/>
    <w:rsid w:val="0050040E"/>
    <w:rsid w:val="0050057E"/>
    <w:rsid w:val="00500C41"/>
    <w:rsid w:val="00500E36"/>
    <w:rsid w:val="005013CB"/>
    <w:rsid w:val="00501F32"/>
    <w:rsid w:val="0050281B"/>
    <w:rsid w:val="005028A3"/>
    <w:rsid w:val="005036DC"/>
    <w:rsid w:val="00503B8D"/>
    <w:rsid w:val="00503C48"/>
    <w:rsid w:val="00503EE3"/>
    <w:rsid w:val="005048A5"/>
    <w:rsid w:val="00504CFF"/>
    <w:rsid w:val="00504D60"/>
    <w:rsid w:val="005053F5"/>
    <w:rsid w:val="005056D4"/>
    <w:rsid w:val="00505811"/>
    <w:rsid w:val="0050603F"/>
    <w:rsid w:val="00506142"/>
    <w:rsid w:val="00506A86"/>
    <w:rsid w:val="005070DA"/>
    <w:rsid w:val="00510F9E"/>
    <w:rsid w:val="00511516"/>
    <w:rsid w:val="00511551"/>
    <w:rsid w:val="00511843"/>
    <w:rsid w:val="00512545"/>
    <w:rsid w:val="0051261C"/>
    <w:rsid w:val="00513BF4"/>
    <w:rsid w:val="00513FB2"/>
    <w:rsid w:val="0051414D"/>
    <w:rsid w:val="00514C3A"/>
    <w:rsid w:val="00514CF2"/>
    <w:rsid w:val="0051513C"/>
    <w:rsid w:val="00515275"/>
    <w:rsid w:val="00515A86"/>
    <w:rsid w:val="00515AFA"/>
    <w:rsid w:val="00515D7A"/>
    <w:rsid w:val="00515DE7"/>
    <w:rsid w:val="00516215"/>
    <w:rsid w:val="00516797"/>
    <w:rsid w:val="00516956"/>
    <w:rsid w:val="00516D20"/>
    <w:rsid w:val="0051779A"/>
    <w:rsid w:val="005179CA"/>
    <w:rsid w:val="005179F7"/>
    <w:rsid w:val="00517EB0"/>
    <w:rsid w:val="005203C6"/>
    <w:rsid w:val="005205CB"/>
    <w:rsid w:val="005206FD"/>
    <w:rsid w:val="0052103E"/>
    <w:rsid w:val="005219B6"/>
    <w:rsid w:val="005223F1"/>
    <w:rsid w:val="00523588"/>
    <w:rsid w:val="00523755"/>
    <w:rsid w:val="0052430C"/>
    <w:rsid w:val="005246BC"/>
    <w:rsid w:val="0052565F"/>
    <w:rsid w:val="00525E6E"/>
    <w:rsid w:val="00526549"/>
    <w:rsid w:val="005265D2"/>
    <w:rsid w:val="00526818"/>
    <w:rsid w:val="00526E87"/>
    <w:rsid w:val="005271D3"/>
    <w:rsid w:val="0052755A"/>
    <w:rsid w:val="00530230"/>
    <w:rsid w:val="00530A3C"/>
    <w:rsid w:val="00531337"/>
    <w:rsid w:val="00531628"/>
    <w:rsid w:val="0053162F"/>
    <w:rsid w:val="00531841"/>
    <w:rsid w:val="00531969"/>
    <w:rsid w:val="00531C48"/>
    <w:rsid w:val="00531F04"/>
    <w:rsid w:val="0053204D"/>
    <w:rsid w:val="005322A2"/>
    <w:rsid w:val="00532452"/>
    <w:rsid w:val="00532F17"/>
    <w:rsid w:val="005337A2"/>
    <w:rsid w:val="00533D7A"/>
    <w:rsid w:val="0053412D"/>
    <w:rsid w:val="005348E4"/>
    <w:rsid w:val="0053491A"/>
    <w:rsid w:val="00534D8F"/>
    <w:rsid w:val="005352F1"/>
    <w:rsid w:val="00535397"/>
    <w:rsid w:val="00537399"/>
    <w:rsid w:val="005373A7"/>
    <w:rsid w:val="00540094"/>
    <w:rsid w:val="005408D2"/>
    <w:rsid w:val="00540BF8"/>
    <w:rsid w:val="00540FDF"/>
    <w:rsid w:val="005419DC"/>
    <w:rsid w:val="00541BAF"/>
    <w:rsid w:val="00541E93"/>
    <w:rsid w:val="00542578"/>
    <w:rsid w:val="005425CD"/>
    <w:rsid w:val="00542633"/>
    <w:rsid w:val="00542818"/>
    <w:rsid w:val="00542E18"/>
    <w:rsid w:val="0054321D"/>
    <w:rsid w:val="005432D4"/>
    <w:rsid w:val="005435F1"/>
    <w:rsid w:val="00543F78"/>
    <w:rsid w:val="00544059"/>
    <w:rsid w:val="005447F3"/>
    <w:rsid w:val="00544F64"/>
    <w:rsid w:val="0054507E"/>
    <w:rsid w:val="005454DE"/>
    <w:rsid w:val="005456C9"/>
    <w:rsid w:val="00545AF5"/>
    <w:rsid w:val="00545CFF"/>
    <w:rsid w:val="00546CEF"/>
    <w:rsid w:val="005479E2"/>
    <w:rsid w:val="00547A9C"/>
    <w:rsid w:val="00547C62"/>
    <w:rsid w:val="00547CC7"/>
    <w:rsid w:val="005503DB"/>
    <w:rsid w:val="005505A8"/>
    <w:rsid w:val="00551255"/>
    <w:rsid w:val="0055138D"/>
    <w:rsid w:val="005517BC"/>
    <w:rsid w:val="00551BFE"/>
    <w:rsid w:val="00551C48"/>
    <w:rsid w:val="00551D25"/>
    <w:rsid w:val="0055256E"/>
    <w:rsid w:val="00553EA0"/>
    <w:rsid w:val="005543CE"/>
    <w:rsid w:val="005544FD"/>
    <w:rsid w:val="00554B40"/>
    <w:rsid w:val="00554BEE"/>
    <w:rsid w:val="00554D33"/>
    <w:rsid w:val="00554D7B"/>
    <w:rsid w:val="005553F2"/>
    <w:rsid w:val="00555800"/>
    <w:rsid w:val="005563FE"/>
    <w:rsid w:val="0055660F"/>
    <w:rsid w:val="00556D47"/>
    <w:rsid w:val="00556DBB"/>
    <w:rsid w:val="00557FAA"/>
    <w:rsid w:val="00560207"/>
    <w:rsid w:val="005605FA"/>
    <w:rsid w:val="00560781"/>
    <w:rsid w:val="00560869"/>
    <w:rsid w:val="00561314"/>
    <w:rsid w:val="00561BEA"/>
    <w:rsid w:val="00562190"/>
    <w:rsid w:val="0056268F"/>
    <w:rsid w:val="00562CB1"/>
    <w:rsid w:val="005630FE"/>
    <w:rsid w:val="00563118"/>
    <w:rsid w:val="0056315C"/>
    <w:rsid w:val="00563450"/>
    <w:rsid w:val="00563D19"/>
    <w:rsid w:val="00563EFC"/>
    <w:rsid w:val="005641D4"/>
    <w:rsid w:val="0056424C"/>
    <w:rsid w:val="00564AF8"/>
    <w:rsid w:val="0056501A"/>
    <w:rsid w:val="00565619"/>
    <w:rsid w:val="005662E9"/>
    <w:rsid w:val="0056655E"/>
    <w:rsid w:val="005672AE"/>
    <w:rsid w:val="005700F8"/>
    <w:rsid w:val="00570283"/>
    <w:rsid w:val="00571031"/>
    <w:rsid w:val="005714AB"/>
    <w:rsid w:val="00571741"/>
    <w:rsid w:val="005717B7"/>
    <w:rsid w:val="00571984"/>
    <w:rsid w:val="00571C51"/>
    <w:rsid w:val="005728CE"/>
    <w:rsid w:val="00572AAF"/>
    <w:rsid w:val="00572BA9"/>
    <w:rsid w:val="00572F02"/>
    <w:rsid w:val="0057379E"/>
    <w:rsid w:val="00573FE1"/>
    <w:rsid w:val="00574E10"/>
    <w:rsid w:val="00575405"/>
    <w:rsid w:val="0057571B"/>
    <w:rsid w:val="005759DA"/>
    <w:rsid w:val="00576060"/>
    <w:rsid w:val="00576A31"/>
    <w:rsid w:val="00576CB8"/>
    <w:rsid w:val="00577A37"/>
    <w:rsid w:val="005801AE"/>
    <w:rsid w:val="00580758"/>
    <w:rsid w:val="00580ACD"/>
    <w:rsid w:val="00581708"/>
    <w:rsid w:val="005817FC"/>
    <w:rsid w:val="00582136"/>
    <w:rsid w:val="00582465"/>
    <w:rsid w:val="00582868"/>
    <w:rsid w:val="00582C7C"/>
    <w:rsid w:val="00582ECC"/>
    <w:rsid w:val="0058386D"/>
    <w:rsid w:val="0058399B"/>
    <w:rsid w:val="00583CA3"/>
    <w:rsid w:val="005847D0"/>
    <w:rsid w:val="00584C44"/>
    <w:rsid w:val="00584F34"/>
    <w:rsid w:val="0058625B"/>
    <w:rsid w:val="00586402"/>
    <w:rsid w:val="005864AE"/>
    <w:rsid w:val="0058692F"/>
    <w:rsid w:val="00587045"/>
    <w:rsid w:val="005873CC"/>
    <w:rsid w:val="00587C22"/>
    <w:rsid w:val="00587EB0"/>
    <w:rsid w:val="0059051C"/>
    <w:rsid w:val="005905B3"/>
    <w:rsid w:val="00590655"/>
    <w:rsid w:val="005907BE"/>
    <w:rsid w:val="00591210"/>
    <w:rsid w:val="00591A1F"/>
    <w:rsid w:val="00591B83"/>
    <w:rsid w:val="00591CC0"/>
    <w:rsid w:val="00592C96"/>
    <w:rsid w:val="00593462"/>
    <w:rsid w:val="005935B5"/>
    <w:rsid w:val="005941F7"/>
    <w:rsid w:val="0059436D"/>
    <w:rsid w:val="005943B6"/>
    <w:rsid w:val="005945C0"/>
    <w:rsid w:val="00594846"/>
    <w:rsid w:val="005952AD"/>
    <w:rsid w:val="00595CC0"/>
    <w:rsid w:val="00595EB9"/>
    <w:rsid w:val="00596AB2"/>
    <w:rsid w:val="00597016"/>
    <w:rsid w:val="00597183"/>
    <w:rsid w:val="005972DC"/>
    <w:rsid w:val="0059734D"/>
    <w:rsid w:val="005974B7"/>
    <w:rsid w:val="005974FF"/>
    <w:rsid w:val="00597B8E"/>
    <w:rsid w:val="005A046A"/>
    <w:rsid w:val="005A0479"/>
    <w:rsid w:val="005A07E6"/>
    <w:rsid w:val="005A0862"/>
    <w:rsid w:val="005A0D51"/>
    <w:rsid w:val="005A0D5A"/>
    <w:rsid w:val="005A1494"/>
    <w:rsid w:val="005A17A1"/>
    <w:rsid w:val="005A181B"/>
    <w:rsid w:val="005A18FF"/>
    <w:rsid w:val="005A1A57"/>
    <w:rsid w:val="005A1CB3"/>
    <w:rsid w:val="005A1CD5"/>
    <w:rsid w:val="005A2A97"/>
    <w:rsid w:val="005A2DB1"/>
    <w:rsid w:val="005A3073"/>
    <w:rsid w:val="005A33A5"/>
    <w:rsid w:val="005A36A1"/>
    <w:rsid w:val="005A37D7"/>
    <w:rsid w:val="005A39EF"/>
    <w:rsid w:val="005A3B82"/>
    <w:rsid w:val="005A407C"/>
    <w:rsid w:val="005A4F38"/>
    <w:rsid w:val="005A5437"/>
    <w:rsid w:val="005A545C"/>
    <w:rsid w:val="005A6053"/>
    <w:rsid w:val="005A624B"/>
    <w:rsid w:val="005A64CC"/>
    <w:rsid w:val="005A6969"/>
    <w:rsid w:val="005A6C32"/>
    <w:rsid w:val="005A70A0"/>
    <w:rsid w:val="005A74D0"/>
    <w:rsid w:val="005A757B"/>
    <w:rsid w:val="005A7753"/>
    <w:rsid w:val="005A7822"/>
    <w:rsid w:val="005B0612"/>
    <w:rsid w:val="005B12F5"/>
    <w:rsid w:val="005B13F0"/>
    <w:rsid w:val="005B16BE"/>
    <w:rsid w:val="005B19C4"/>
    <w:rsid w:val="005B1C01"/>
    <w:rsid w:val="005B1D6E"/>
    <w:rsid w:val="005B2C37"/>
    <w:rsid w:val="005B2E0C"/>
    <w:rsid w:val="005B2EDB"/>
    <w:rsid w:val="005B30F6"/>
    <w:rsid w:val="005B3883"/>
    <w:rsid w:val="005B3D4D"/>
    <w:rsid w:val="005B4052"/>
    <w:rsid w:val="005B40CA"/>
    <w:rsid w:val="005B4257"/>
    <w:rsid w:val="005B45BA"/>
    <w:rsid w:val="005B4647"/>
    <w:rsid w:val="005B491C"/>
    <w:rsid w:val="005B49BE"/>
    <w:rsid w:val="005B4FF8"/>
    <w:rsid w:val="005B55C7"/>
    <w:rsid w:val="005B5689"/>
    <w:rsid w:val="005B628C"/>
    <w:rsid w:val="005B6680"/>
    <w:rsid w:val="005B6774"/>
    <w:rsid w:val="005B773C"/>
    <w:rsid w:val="005B792D"/>
    <w:rsid w:val="005B7E15"/>
    <w:rsid w:val="005B7FD1"/>
    <w:rsid w:val="005C0100"/>
    <w:rsid w:val="005C0A89"/>
    <w:rsid w:val="005C0F7C"/>
    <w:rsid w:val="005C130C"/>
    <w:rsid w:val="005C14F0"/>
    <w:rsid w:val="005C1634"/>
    <w:rsid w:val="005C17EF"/>
    <w:rsid w:val="005C190C"/>
    <w:rsid w:val="005C1C57"/>
    <w:rsid w:val="005C2177"/>
    <w:rsid w:val="005C2263"/>
    <w:rsid w:val="005C23FA"/>
    <w:rsid w:val="005C25DB"/>
    <w:rsid w:val="005C2701"/>
    <w:rsid w:val="005C27A0"/>
    <w:rsid w:val="005C3BBE"/>
    <w:rsid w:val="005C3BC4"/>
    <w:rsid w:val="005C41DF"/>
    <w:rsid w:val="005C4408"/>
    <w:rsid w:val="005C44C8"/>
    <w:rsid w:val="005C4667"/>
    <w:rsid w:val="005C494B"/>
    <w:rsid w:val="005C5300"/>
    <w:rsid w:val="005C65BD"/>
    <w:rsid w:val="005C6A24"/>
    <w:rsid w:val="005C6EE9"/>
    <w:rsid w:val="005C721F"/>
    <w:rsid w:val="005D058A"/>
    <w:rsid w:val="005D09C6"/>
    <w:rsid w:val="005D0CC8"/>
    <w:rsid w:val="005D26CC"/>
    <w:rsid w:val="005D2895"/>
    <w:rsid w:val="005D2AFC"/>
    <w:rsid w:val="005D2CB3"/>
    <w:rsid w:val="005D36E3"/>
    <w:rsid w:val="005D4000"/>
    <w:rsid w:val="005D4711"/>
    <w:rsid w:val="005D478E"/>
    <w:rsid w:val="005D59B1"/>
    <w:rsid w:val="005D5B5F"/>
    <w:rsid w:val="005D5CD0"/>
    <w:rsid w:val="005D6066"/>
    <w:rsid w:val="005D624B"/>
    <w:rsid w:val="005D676D"/>
    <w:rsid w:val="005D6C68"/>
    <w:rsid w:val="005D6F86"/>
    <w:rsid w:val="005D7135"/>
    <w:rsid w:val="005D764B"/>
    <w:rsid w:val="005D793B"/>
    <w:rsid w:val="005D7E5E"/>
    <w:rsid w:val="005D7E83"/>
    <w:rsid w:val="005E0680"/>
    <w:rsid w:val="005E0BB4"/>
    <w:rsid w:val="005E1AC2"/>
    <w:rsid w:val="005E21AB"/>
    <w:rsid w:val="005E21B1"/>
    <w:rsid w:val="005E22B7"/>
    <w:rsid w:val="005E2367"/>
    <w:rsid w:val="005E2638"/>
    <w:rsid w:val="005E2A7D"/>
    <w:rsid w:val="005E2B48"/>
    <w:rsid w:val="005E2C95"/>
    <w:rsid w:val="005E34D2"/>
    <w:rsid w:val="005E37BD"/>
    <w:rsid w:val="005E3DF8"/>
    <w:rsid w:val="005E4CF7"/>
    <w:rsid w:val="005E4EC5"/>
    <w:rsid w:val="005E5201"/>
    <w:rsid w:val="005E53D1"/>
    <w:rsid w:val="005E5BFC"/>
    <w:rsid w:val="005E5E90"/>
    <w:rsid w:val="005E62C7"/>
    <w:rsid w:val="005E654C"/>
    <w:rsid w:val="005E6797"/>
    <w:rsid w:val="005E6801"/>
    <w:rsid w:val="005F05F6"/>
    <w:rsid w:val="005F088F"/>
    <w:rsid w:val="005F0C96"/>
    <w:rsid w:val="005F0D07"/>
    <w:rsid w:val="005F1214"/>
    <w:rsid w:val="005F1265"/>
    <w:rsid w:val="005F2492"/>
    <w:rsid w:val="005F2E41"/>
    <w:rsid w:val="005F2F99"/>
    <w:rsid w:val="005F31BE"/>
    <w:rsid w:val="005F3A87"/>
    <w:rsid w:val="005F3D2D"/>
    <w:rsid w:val="005F3E56"/>
    <w:rsid w:val="005F3F30"/>
    <w:rsid w:val="005F3FF6"/>
    <w:rsid w:val="005F401B"/>
    <w:rsid w:val="005F4D65"/>
    <w:rsid w:val="005F5056"/>
    <w:rsid w:val="005F5E1F"/>
    <w:rsid w:val="005F5EFB"/>
    <w:rsid w:val="005F64CF"/>
    <w:rsid w:val="005F69B1"/>
    <w:rsid w:val="005F71E9"/>
    <w:rsid w:val="005F74B1"/>
    <w:rsid w:val="005F7F55"/>
    <w:rsid w:val="0060052F"/>
    <w:rsid w:val="00601E6C"/>
    <w:rsid w:val="00602B5B"/>
    <w:rsid w:val="0060332D"/>
    <w:rsid w:val="00603AAB"/>
    <w:rsid w:val="006040DE"/>
    <w:rsid w:val="0060461F"/>
    <w:rsid w:val="006048DC"/>
    <w:rsid w:val="00604B55"/>
    <w:rsid w:val="00604BFE"/>
    <w:rsid w:val="0060504E"/>
    <w:rsid w:val="006051C2"/>
    <w:rsid w:val="00605734"/>
    <w:rsid w:val="00605A81"/>
    <w:rsid w:val="00606239"/>
    <w:rsid w:val="00606B5A"/>
    <w:rsid w:val="00606DD0"/>
    <w:rsid w:val="00606E10"/>
    <w:rsid w:val="00606F29"/>
    <w:rsid w:val="006071FE"/>
    <w:rsid w:val="0060727A"/>
    <w:rsid w:val="00607351"/>
    <w:rsid w:val="00607A7D"/>
    <w:rsid w:val="00607DB8"/>
    <w:rsid w:val="00610009"/>
    <w:rsid w:val="00610112"/>
    <w:rsid w:val="00610473"/>
    <w:rsid w:val="0061049C"/>
    <w:rsid w:val="00610742"/>
    <w:rsid w:val="00610A1C"/>
    <w:rsid w:val="00610D76"/>
    <w:rsid w:val="00610E4E"/>
    <w:rsid w:val="00610FED"/>
    <w:rsid w:val="00611F10"/>
    <w:rsid w:val="006127D0"/>
    <w:rsid w:val="00612B98"/>
    <w:rsid w:val="00612DC6"/>
    <w:rsid w:val="00613516"/>
    <w:rsid w:val="00613649"/>
    <w:rsid w:val="006138DD"/>
    <w:rsid w:val="006142D7"/>
    <w:rsid w:val="0061488E"/>
    <w:rsid w:val="00614903"/>
    <w:rsid w:val="006153ED"/>
    <w:rsid w:val="0061574B"/>
    <w:rsid w:val="00616406"/>
    <w:rsid w:val="00616D9C"/>
    <w:rsid w:val="00616E7E"/>
    <w:rsid w:val="0062039A"/>
    <w:rsid w:val="006203F7"/>
    <w:rsid w:val="00620FA7"/>
    <w:rsid w:val="00621DF5"/>
    <w:rsid w:val="006220A0"/>
    <w:rsid w:val="00622154"/>
    <w:rsid w:val="0062265D"/>
    <w:rsid w:val="00622670"/>
    <w:rsid w:val="00623328"/>
    <w:rsid w:val="0062362E"/>
    <w:rsid w:val="00623761"/>
    <w:rsid w:val="00623A1A"/>
    <w:rsid w:val="00624292"/>
    <w:rsid w:val="006244C1"/>
    <w:rsid w:val="00624668"/>
    <w:rsid w:val="00624C2D"/>
    <w:rsid w:val="00624D39"/>
    <w:rsid w:val="00624EF9"/>
    <w:rsid w:val="00625890"/>
    <w:rsid w:val="00625965"/>
    <w:rsid w:val="00625C80"/>
    <w:rsid w:val="006264DD"/>
    <w:rsid w:val="00626E8D"/>
    <w:rsid w:val="00627091"/>
    <w:rsid w:val="00627255"/>
    <w:rsid w:val="0062762F"/>
    <w:rsid w:val="00627A09"/>
    <w:rsid w:val="00627C9C"/>
    <w:rsid w:val="00627F8D"/>
    <w:rsid w:val="006300B1"/>
    <w:rsid w:val="00630344"/>
    <w:rsid w:val="00630968"/>
    <w:rsid w:val="00630E42"/>
    <w:rsid w:val="0063156B"/>
    <w:rsid w:val="00631C13"/>
    <w:rsid w:val="00632309"/>
    <w:rsid w:val="006323E7"/>
    <w:rsid w:val="006326A9"/>
    <w:rsid w:val="00632914"/>
    <w:rsid w:val="00632DA8"/>
    <w:rsid w:val="006332D6"/>
    <w:rsid w:val="00634129"/>
    <w:rsid w:val="006343E4"/>
    <w:rsid w:val="00634435"/>
    <w:rsid w:val="006348FF"/>
    <w:rsid w:val="006349D0"/>
    <w:rsid w:val="00634C4B"/>
    <w:rsid w:val="00634D18"/>
    <w:rsid w:val="00634E6E"/>
    <w:rsid w:val="00634EBC"/>
    <w:rsid w:val="006352D3"/>
    <w:rsid w:val="00635401"/>
    <w:rsid w:val="0063587C"/>
    <w:rsid w:val="00635BA1"/>
    <w:rsid w:val="006363ED"/>
    <w:rsid w:val="0063651F"/>
    <w:rsid w:val="0063671A"/>
    <w:rsid w:val="00637146"/>
    <w:rsid w:val="006377B3"/>
    <w:rsid w:val="00637EC3"/>
    <w:rsid w:val="006402C5"/>
    <w:rsid w:val="0064084F"/>
    <w:rsid w:val="0064091A"/>
    <w:rsid w:val="0064098D"/>
    <w:rsid w:val="00640D1D"/>
    <w:rsid w:val="00641020"/>
    <w:rsid w:val="00641323"/>
    <w:rsid w:val="00641675"/>
    <w:rsid w:val="00641F37"/>
    <w:rsid w:val="00642967"/>
    <w:rsid w:val="0064341E"/>
    <w:rsid w:val="0064342A"/>
    <w:rsid w:val="006434E1"/>
    <w:rsid w:val="00643A28"/>
    <w:rsid w:val="00643D1F"/>
    <w:rsid w:val="006444F0"/>
    <w:rsid w:val="00644FD9"/>
    <w:rsid w:val="006451FB"/>
    <w:rsid w:val="006452FA"/>
    <w:rsid w:val="006453C1"/>
    <w:rsid w:val="0064557B"/>
    <w:rsid w:val="00646149"/>
    <w:rsid w:val="00646EE9"/>
    <w:rsid w:val="00646F78"/>
    <w:rsid w:val="006473B2"/>
    <w:rsid w:val="00647E32"/>
    <w:rsid w:val="00647FCA"/>
    <w:rsid w:val="0065093D"/>
    <w:rsid w:val="0065094C"/>
    <w:rsid w:val="00650B8E"/>
    <w:rsid w:val="006511B6"/>
    <w:rsid w:val="0065142F"/>
    <w:rsid w:val="0065177C"/>
    <w:rsid w:val="00651CC5"/>
    <w:rsid w:val="00651E93"/>
    <w:rsid w:val="0065215E"/>
    <w:rsid w:val="006522A3"/>
    <w:rsid w:val="006523E3"/>
    <w:rsid w:val="00652555"/>
    <w:rsid w:val="006525A3"/>
    <w:rsid w:val="00652A16"/>
    <w:rsid w:val="006539B7"/>
    <w:rsid w:val="006539E9"/>
    <w:rsid w:val="00653D87"/>
    <w:rsid w:val="006540A6"/>
    <w:rsid w:val="00654AB3"/>
    <w:rsid w:val="00655193"/>
    <w:rsid w:val="00655235"/>
    <w:rsid w:val="0065525C"/>
    <w:rsid w:val="00655459"/>
    <w:rsid w:val="00655529"/>
    <w:rsid w:val="0065589D"/>
    <w:rsid w:val="006561DB"/>
    <w:rsid w:val="00656A7B"/>
    <w:rsid w:val="00656BB6"/>
    <w:rsid w:val="00656CF4"/>
    <w:rsid w:val="00656FB2"/>
    <w:rsid w:val="00657518"/>
    <w:rsid w:val="00657A16"/>
    <w:rsid w:val="00657A70"/>
    <w:rsid w:val="00660769"/>
    <w:rsid w:val="00660C8C"/>
    <w:rsid w:val="00660DA4"/>
    <w:rsid w:val="00660EDB"/>
    <w:rsid w:val="00661454"/>
    <w:rsid w:val="006614CE"/>
    <w:rsid w:val="006614D4"/>
    <w:rsid w:val="006618B6"/>
    <w:rsid w:val="006620AA"/>
    <w:rsid w:val="006622AE"/>
    <w:rsid w:val="006622E6"/>
    <w:rsid w:val="006626AF"/>
    <w:rsid w:val="00662DA1"/>
    <w:rsid w:val="00662E54"/>
    <w:rsid w:val="00663172"/>
    <w:rsid w:val="00663252"/>
    <w:rsid w:val="006634D7"/>
    <w:rsid w:val="006635A5"/>
    <w:rsid w:val="00664128"/>
    <w:rsid w:val="006644FB"/>
    <w:rsid w:val="00664E75"/>
    <w:rsid w:val="00664EF8"/>
    <w:rsid w:val="00665D0A"/>
    <w:rsid w:val="00665DC2"/>
    <w:rsid w:val="00665E7C"/>
    <w:rsid w:val="0066642D"/>
    <w:rsid w:val="0066679E"/>
    <w:rsid w:val="00666A4C"/>
    <w:rsid w:val="00666BAC"/>
    <w:rsid w:val="0066720B"/>
    <w:rsid w:val="00667541"/>
    <w:rsid w:val="00667C98"/>
    <w:rsid w:val="00670420"/>
    <w:rsid w:val="00670468"/>
    <w:rsid w:val="00670D39"/>
    <w:rsid w:val="00671A30"/>
    <w:rsid w:val="00671EA0"/>
    <w:rsid w:val="00671F0E"/>
    <w:rsid w:val="006722E2"/>
    <w:rsid w:val="006728F5"/>
    <w:rsid w:val="00672A44"/>
    <w:rsid w:val="00672D6E"/>
    <w:rsid w:val="00673915"/>
    <w:rsid w:val="00674AD4"/>
    <w:rsid w:val="006754B7"/>
    <w:rsid w:val="00675E85"/>
    <w:rsid w:val="00675EF5"/>
    <w:rsid w:val="00675F2A"/>
    <w:rsid w:val="0067698F"/>
    <w:rsid w:val="00676B5F"/>
    <w:rsid w:val="00676BB7"/>
    <w:rsid w:val="00676CA6"/>
    <w:rsid w:val="00676D1C"/>
    <w:rsid w:val="006773EC"/>
    <w:rsid w:val="0067750F"/>
    <w:rsid w:val="0067787E"/>
    <w:rsid w:val="00680406"/>
    <w:rsid w:val="006807DA"/>
    <w:rsid w:val="00680A64"/>
    <w:rsid w:val="00680E9C"/>
    <w:rsid w:val="00681396"/>
    <w:rsid w:val="0068171F"/>
    <w:rsid w:val="0068327B"/>
    <w:rsid w:val="00683AB3"/>
    <w:rsid w:val="0068401E"/>
    <w:rsid w:val="006841A4"/>
    <w:rsid w:val="006841BB"/>
    <w:rsid w:val="006841FA"/>
    <w:rsid w:val="0068425E"/>
    <w:rsid w:val="00684925"/>
    <w:rsid w:val="00684F9D"/>
    <w:rsid w:val="00685644"/>
    <w:rsid w:val="00685854"/>
    <w:rsid w:val="00685AC3"/>
    <w:rsid w:val="006860F6"/>
    <w:rsid w:val="0068628E"/>
    <w:rsid w:val="00686351"/>
    <w:rsid w:val="0068643F"/>
    <w:rsid w:val="00687713"/>
    <w:rsid w:val="006877A1"/>
    <w:rsid w:val="00687E62"/>
    <w:rsid w:val="006900D8"/>
    <w:rsid w:val="0069047C"/>
    <w:rsid w:val="00690638"/>
    <w:rsid w:val="00690664"/>
    <w:rsid w:val="00690C16"/>
    <w:rsid w:val="00690E62"/>
    <w:rsid w:val="0069147D"/>
    <w:rsid w:val="00691C45"/>
    <w:rsid w:val="00691F99"/>
    <w:rsid w:val="00692150"/>
    <w:rsid w:val="00692F0C"/>
    <w:rsid w:val="00693B68"/>
    <w:rsid w:val="00693BAB"/>
    <w:rsid w:val="00693E5C"/>
    <w:rsid w:val="00694160"/>
    <w:rsid w:val="006944B0"/>
    <w:rsid w:val="00694B6F"/>
    <w:rsid w:val="00694F98"/>
    <w:rsid w:val="006952F9"/>
    <w:rsid w:val="00695C3C"/>
    <w:rsid w:val="006966FF"/>
    <w:rsid w:val="00696A91"/>
    <w:rsid w:val="00696E7C"/>
    <w:rsid w:val="00696EF2"/>
    <w:rsid w:val="006A00E3"/>
    <w:rsid w:val="006A0301"/>
    <w:rsid w:val="006A0590"/>
    <w:rsid w:val="006A0871"/>
    <w:rsid w:val="006A0C54"/>
    <w:rsid w:val="006A0DA6"/>
    <w:rsid w:val="006A1294"/>
    <w:rsid w:val="006A16BC"/>
    <w:rsid w:val="006A1E87"/>
    <w:rsid w:val="006A1F49"/>
    <w:rsid w:val="006A2577"/>
    <w:rsid w:val="006A2922"/>
    <w:rsid w:val="006A2F59"/>
    <w:rsid w:val="006A326E"/>
    <w:rsid w:val="006A3817"/>
    <w:rsid w:val="006A3AD8"/>
    <w:rsid w:val="006A3D68"/>
    <w:rsid w:val="006A3D78"/>
    <w:rsid w:val="006A3E54"/>
    <w:rsid w:val="006A4445"/>
    <w:rsid w:val="006A4495"/>
    <w:rsid w:val="006A496C"/>
    <w:rsid w:val="006A4DA1"/>
    <w:rsid w:val="006A4F36"/>
    <w:rsid w:val="006A5D09"/>
    <w:rsid w:val="006A657B"/>
    <w:rsid w:val="006A6ED9"/>
    <w:rsid w:val="006A704C"/>
    <w:rsid w:val="006A760C"/>
    <w:rsid w:val="006A7B98"/>
    <w:rsid w:val="006A7C53"/>
    <w:rsid w:val="006B0EAF"/>
    <w:rsid w:val="006B140A"/>
    <w:rsid w:val="006B1D61"/>
    <w:rsid w:val="006B211E"/>
    <w:rsid w:val="006B2135"/>
    <w:rsid w:val="006B26F1"/>
    <w:rsid w:val="006B2E11"/>
    <w:rsid w:val="006B309C"/>
    <w:rsid w:val="006B3552"/>
    <w:rsid w:val="006B3910"/>
    <w:rsid w:val="006B42AB"/>
    <w:rsid w:val="006B4316"/>
    <w:rsid w:val="006B4494"/>
    <w:rsid w:val="006B5A37"/>
    <w:rsid w:val="006B6126"/>
    <w:rsid w:val="006B68EB"/>
    <w:rsid w:val="006B6A70"/>
    <w:rsid w:val="006B6E1A"/>
    <w:rsid w:val="006B727F"/>
    <w:rsid w:val="006B78D1"/>
    <w:rsid w:val="006C0504"/>
    <w:rsid w:val="006C0AC0"/>
    <w:rsid w:val="006C1187"/>
    <w:rsid w:val="006C11E6"/>
    <w:rsid w:val="006C13DE"/>
    <w:rsid w:val="006C1B57"/>
    <w:rsid w:val="006C1C28"/>
    <w:rsid w:val="006C2125"/>
    <w:rsid w:val="006C322A"/>
    <w:rsid w:val="006C3917"/>
    <w:rsid w:val="006C4ABE"/>
    <w:rsid w:val="006C4B58"/>
    <w:rsid w:val="006C4DBE"/>
    <w:rsid w:val="006C4F61"/>
    <w:rsid w:val="006C50CD"/>
    <w:rsid w:val="006C5355"/>
    <w:rsid w:val="006C54DF"/>
    <w:rsid w:val="006C5C87"/>
    <w:rsid w:val="006C6608"/>
    <w:rsid w:val="006C6D3A"/>
    <w:rsid w:val="006C70EB"/>
    <w:rsid w:val="006C7A74"/>
    <w:rsid w:val="006C7A9D"/>
    <w:rsid w:val="006C7B36"/>
    <w:rsid w:val="006C7B7F"/>
    <w:rsid w:val="006C7CB6"/>
    <w:rsid w:val="006D04EC"/>
    <w:rsid w:val="006D06CD"/>
    <w:rsid w:val="006D1081"/>
    <w:rsid w:val="006D14B1"/>
    <w:rsid w:val="006D1597"/>
    <w:rsid w:val="006D1910"/>
    <w:rsid w:val="006D196D"/>
    <w:rsid w:val="006D19E8"/>
    <w:rsid w:val="006D2073"/>
    <w:rsid w:val="006D27D6"/>
    <w:rsid w:val="006D2D50"/>
    <w:rsid w:val="006D2DB1"/>
    <w:rsid w:val="006D31DD"/>
    <w:rsid w:val="006D3647"/>
    <w:rsid w:val="006D3B82"/>
    <w:rsid w:val="006D4BEE"/>
    <w:rsid w:val="006D4C4B"/>
    <w:rsid w:val="006D4FA9"/>
    <w:rsid w:val="006D54B6"/>
    <w:rsid w:val="006D566E"/>
    <w:rsid w:val="006D5C69"/>
    <w:rsid w:val="006D660D"/>
    <w:rsid w:val="006D76F0"/>
    <w:rsid w:val="006D7768"/>
    <w:rsid w:val="006D7D69"/>
    <w:rsid w:val="006E04B5"/>
    <w:rsid w:val="006E0503"/>
    <w:rsid w:val="006E0667"/>
    <w:rsid w:val="006E08A2"/>
    <w:rsid w:val="006E0BA6"/>
    <w:rsid w:val="006E2096"/>
    <w:rsid w:val="006E2529"/>
    <w:rsid w:val="006E2843"/>
    <w:rsid w:val="006E2D32"/>
    <w:rsid w:val="006E330C"/>
    <w:rsid w:val="006E34F2"/>
    <w:rsid w:val="006E3DD8"/>
    <w:rsid w:val="006E45EE"/>
    <w:rsid w:val="006E4759"/>
    <w:rsid w:val="006E5093"/>
    <w:rsid w:val="006E54DF"/>
    <w:rsid w:val="006E5970"/>
    <w:rsid w:val="006E5FD2"/>
    <w:rsid w:val="006E61D4"/>
    <w:rsid w:val="006E6ABF"/>
    <w:rsid w:val="006E793F"/>
    <w:rsid w:val="006E7A88"/>
    <w:rsid w:val="006F0154"/>
    <w:rsid w:val="006F01B9"/>
    <w:rsid w:val="006F21A1"/>
    <w:rsid w:val="006F266A"/>
    <w:rsid w:val="006F35A7"/>
    <w:rsid w:val="006F441F"/>
    <w:rsid w:val="006F4CB1"/>
    <w:rsid w:val="006F5215"/>
    <w:rsid w:val="006F567D"/>
    <w:rsid w:val="006F56DD"/>
    <w:rsid w:val="006F5A53"/>
    <w:rsid w:val="006F5AB6"/>
    <w:rsid w:val="006F608D"/>
    <w:rsid w:val="006F7944"/>
    <w:rsid w:val="006F7C07"/>
    <w:rsid w:val="006F7C08"/>
    <w:rsid w:val="006F7DA2"/>
    <w:rsid w:val="00700848"/>
    <w:rsid w:val="00700F2D"/>
    <w:rsid w:val="007018D2"/>
    <w:rsid w:val="007019CE"/>
    <w:rsid w:val="007022F3"/>
    <w:rsid w:val="00703188"/>
    <w:rsid w:val="007033AD"/>
    <w:rsid w:val="00703AA9"/>
    <w:rsid w:val="00703F03"/>
    <w:rsid w:val="00704121"/>
    <w:rsid w:val="0070470B"/>
    <w:rsid w:val="0070492B"/>
    <w:rsid w:val="007058E6"/>
    <w:rsid w:val="0070596F"/>
    <w:rsid w:val="00705993"/>
    <w:rsid w:val="00705BB5"/>
    <w:rsid w:val="00705C2F"/>
    <w:rsid w:val="00705F3C"/>
    <w:rsid w:val="00706066"/>
    <w:rsid w:val="00706144"/>
    <w:rsid w:val="00706153"/>
    <w:rsid w:val="00706213"/>
    <w:rsid w:val="00706263"/>
    <w:rsid w:val="007065D6"/>
    <w:rsid w:val="00706F4A"/>
    <w:rsid w:val="0070710E"/>
    <w:rsid w:val="00707B02"/>
    <w:rsid w:val="007100AC"/>
    <w:rsid w:val="00710677"/>
    <w:rsid w:val="007109FB"/>
    <w:rsid w:val="00710A38"/>
    <w:rsid w:val="00710D18"/>
    <w:rsid w:val="00710E89"/>
    <w:rsid w:val="00710F4E"/>
    <w:rsid w:val="0071176C"/>
    <w:rsid w:val="00711826"/>
    <w:rsid w:val="00711A09"/>
    <w:rsid w:val="00711D70"/>
    <w:rsid w:val="00711EBC"/>
    <w:rsid w:val="007123A0"/>
    <w:rsid w:val="00712707"/>
    <w:rsid w:val="00712772"/>
    <w:rsid w:val="007129F2"/>
    <w:rsid w:val="00712B28"/>
    <w:rsid w:val="00712C67"/>
    <w:rsid w:val="00712E23"/>
    <w:rsid w:val="0071326F"/>
    <w:rsid w:val="007132E9"/>
    <w:rsid w:val="00713B5A"/>
    <w:rsid w:val="00713FF0"/>
    <w:rsid w:val="00714962"/>
    <w:rsid w:val="00715296"/>
    <w:rsid w:val="007152A1"/>
    <w:rsid w:val="007152B0"/>
    <w:rsid w:val="007153D7"/>
    <w:rsid w:val="00716E7C"/>
    <w:rsid w:val="00716FA4"/>
    <w:rsid w:val="00717A73"/>
    <w:rsid w:val="00717BD7"/>
    <w:rsid w:val="00717DE7"/>
    <w:rsid w:val="00717FD4"/>
    <w:rsid w:val="00720754"/>
    <w:rsid w:val="007208FD"/>
    <w:rsid w:val="00720BC8"/>
    <w:rsid w:val="00720CC9"/>
    <w:rsid w:val="00720DF0"/>
    <w:rsid w:val="00720E0D"/>
    <w:rsid w:val="00720ED4"/>
    <w:rsid w:val="00721364"/>
    <w:rsid w:val="00721850"/>
    <w:rsid w:val="00721DD8"/>
    <w:rsid w:val="00721DE4"/>
    <w:rsid w:val="0072272A"/>
    <w:rsid w:val="00722736"/>
    <w:rsid w:val="007228E9"/>
    <w:rsid w:val="00722E19"/>
    <w:rsid w:val="00722FC8"/>
    <w:rsid w:val="00722FEA"/>
    <w:rsid w:val="00723AF4"/>
    <w:rsid w:val="00723D87"/>
    <w:rsid w:val="00723ED6"/>
    <w:rsid w:val="00724FE5"/>
    <w:rsid w:val="007253DB"/>
    <w:rsid w:val="00725CCA"/>
    <w:rsid w:val="00726091"/>
    <w:rsid w:val="00726380"/>
    <w:rsid w:val="00726519"/>
    <w:rsid w:val="00726564"/>
    <w:rsid w:val="00726A69"/>
    <w:rsid w:val="00727805"/>
    <w:rsid w:val="00730AE5"/>
    <w:rsid w:val="0073329B"/>
    <w:rsid w:val="007336DC"/>
    <w:rsid w:val="0073381E"/>
    <w:rsid w:val="00733859"/>
    <w:rsid w:val="007341BE"/>
    <w:rsid w:val="00734484"/>
    <w:rsid w:val="00734638"/>
    <w:rsid w:val="007348C8"/>
    <w:rsid w:val="00734F5B"/>
    <w:rsid w:val="007351A0"/>
    <w:rsid w:val="007351F7"/>
    <w:rsid w:val="00735377"/>
    <w:rsid w:val="00735D13"/>
    <w:rsid w:val="007361C5"/>
    <w:rsid w:val="007361C9"/>
    <w:rsid w:val="007362DC"/>
    <w:rsid w:val="00736C93"/>
    <w:rsid w:val="0073707E"/>
    <w:rsid w:val="007372C1"/>
    <w:rsid w:val="00737661"/>
    <w:rsid w:val="00737818"/>
    <w:rsid w:val="00737B32"/>
    <w:rsid w:val="00737BEF"/>
    <w:rsid w:val="007402E9"/>
    <w:rsid w:val="007404AF"/>
    <w:rsid w:val="00740980"/>
    <w:rsid w:val="00740A16"/>
    <w:rsid w:val="007413A8"/>
    <w:rsid w:val="00742881"/>
    <w:rsid w:val="00742B82"/>
    <w:rsid w:val="00742E16"/>
    <w:rsid w:val="00743EF3"/>
    <w:rsid w:val="00744803"/>
    <w:rsid w:val="0074488F"/>
    <w:rsid w:val="00744D1B"/>
    <w:rsid w:val="00744D36"/>
    <w:rsid w:val="00744FF7"/>
    <w:rsid w:val="00745519"/>
    <w:rsid w:val="00745551"/>
    <w:rsid w:val="00745A4C"/>
    <w:rsid w:val="00745AA8"/>
    <w:rsid w:val="00745F29"/>
    <w:rsid w:val="007468FC"/>
    <w:rsid w:val="00746A40"/>
    <w:rsid w:val="00746E79"/>
    <w:rsid w:val="007471CD"/>
    <w:rsid w:val="00747848"/>
    <w:rsid w:val="00750052"/>
    <w:rsid w:val="007500D2"/>
    <w:rsid w:val="007502D1"/>
    <w:rsid w:val="007503E0"/>
    <w:rsid w:val="007510EC"/>
    <w:rsid w:val="007518DF"/>
    <w:rsid w:val="00751FFA"/>
    <w:rsid w:val="0075233C"/>
    <w:rsid w:val="00752519"/>
    <w:rsid w:val="0075256A"/>
    <w:rsid w:val="007525F4"/>
    <w:rsid w:val="00752DCD"/>
    <w:rsid w:val="00752FC3"/>
    <w:rsid w:val="007534F2"/>
    <w:rsid w:val="007536C0"/>
    <w:rsid w:val="0075395C"/>
    <w:rsid w:val="00754254"/>
    <w:rsid w:val="00754E88"/>
    <w:rsid w:val="007555F3"/>
    <w:rsid w:val="00756237"/>
    <w:rsid w:val="007565DF"/>
    <w:rsid w:val="007566A3"/>
    <w:rsid w:val="007569DE"/>
    <w:rsid w:val="00756ACF"/>
    <w:rsid w:val="00756C5D"/>
    <w:rsid w:val="00756ED3"/>
    <w:rsid w:val="0075723C"/>
    <w:rsid w:val="0075762D"/>
    <w:rsid w:val="0075781C"/>
    <w:rsid w:val="007578B2"/>
    <w:rsid w:val="007579E1"/>
    <w:rsid w:val="007606C3"/>
    <w:rsid w:val="007607FB"/>
    <w:rsid w:val="00761077"/>
    <w:rsid w:val="0076142D"/>
    <w:rsid w:val="0076146A"/>
    <w:rsid w:val="00761ED5"/>
    <w:rsid w:val="00762839"/>
    <w:rsid w:val="0076350E"/>
    <w:rsid w:val="0076385D"/>
    <w:rsid w:val="00763EAC"/>
    <w:rsid w:val="00763F1C"/>
    <w:rsid w:val="00763F36"/>
    <w:rsid w:val="00764303"/>
    <w:rsid w:val="00764D35"/>
    <w:rsid w:val="00764F35"/>
    <w:rsid w:val="007662C0"/>
    <w:rsid w:val="007664FC"/>
    <w:rsid w:val="007665C8"/>
    <w:rsid w:val="007666D8"/>
    <w:rsid w:val="00766B71"/>
    <w:rsid w:val="00766DBF"/>
    <w:rsid w:val="0076773A"/>
    <w:rsid w:val="00767A5F"/>
    <w:rsid w:val="00767A97"/>
    <w:rsid w:val="00767B61"/>
    <w:rsid w:val="00767B62"/>
    <w:rsid w:val="0077006C"/>
    <w:rsid w:val="00770A2A"/>
    <w:rsid w:val="00770DD9"/>
    <w:rsid w:val="00770FA3"/>
    <w:rsid w:val="00772072"/>
    <w:rsid w:val="007720C6"/>
    <w:rsid w:val="00772319"/>
    <w:rsid w:val="00773518"/>
    <w:rsid w:val="0077365B"/>
    <w:rsid w:val="00773A64"/>
    <w:rsid w:val="00773E54"/>
    <w:rsid w:val="00774CA4"/>
    <w:rsid w:val="00774DF3"/>
    <w:rsid w:val="00775105"/>
    <w:rsid w:val="0077519D"/>
    <w:rsid w:val="007751A3"/>
    <w:rsid w:val="007755A1"/>
    <w:rsid w:val="00775BDF"/>
    <w:rsid w:val="00775F29"/>
    <w:rsid w:val="0077614D"/>
    <w:rsid w:val="007762D0"/>
    <w:rsid w:val="007762EB"/>
    <w:rsid w:val="007768C0"/>
    <w:rsid w:val="0078003E"/>
    <w:rsid w:val="0078030B"/>
    <w:rsid w:val="00780C58"/>
    <w:rsid w:val="00780E94"/>
    <w:rsid w:val="00780EC4"/>
    <w:rsid w:val="007810B3"/>
    <w:rsid w:val="00781392"/>
    <w:rsid w:val="00781955"/>
    <w:rsid w:val="00782021"/>
    <w:rsid w:val="007824A4"/>
    <w:rsid w:val="00782C8F"/>
    <w:rsid w:val="00782EC9"/>
    <w:rsid w:val="007830FD"/>
    <w:rsid w:val="0078325E"/>
    <w:rsid w:val="007833E4"/>
    <w:rsid w:val="00783718"/>
    <w:rsid w:val="00783DCA"/>
    <w:rsid w:val="0078431B"/>
    <w:rsid w:val="00784B8E"/>
    <w:rsid w:val="00784C12"/>
    <w:rsid w:val="0078507C"/>
    <w:rsid w:val="007852FF"/>
    <w:rsid w:val="007856DF"/>
    <w:rsid w:val="007859CF"/>
    <w:rsid w:val="00785BFE"/>
    <w:rsid w:val="00785F78"/>
    <w:rsid w:val="0078659D"/>
    <w:rsid w:val="007869EC"/>
    <w:rsid w:val="00786A9A"/>
    <w:rsid w:val="00786CDF"/>
    <w:rsid w:val="00786F3C"/>
    <w:rsid w:val="00790A05"/>
    <w:rsid w:val="007911BF"/>
    <w:rsid w:val="00791B62"/>
    <w:rsid w:val="00791CB5"/>
    <w:rsid w:val="00791ED8"/>
    <w:rsid w:val="0079219C"/>
    <w:rsid w:val="0079270F"/>
    <w:rsid w:val="00793952"/>
    <w:rsid w:val="00793DBD"/>
    <w:rsid w:val="00793EEA"/>
    <w:rsid w:val="00794011"/>
    <w:rsid w:val="007947B0"/>
    <w:rsid w:val="00794A79"/>
    <w:rsid w:val="00794DEB"/>
    <w:rsid w:val="00795D07"/>
    <w:rsid w:val="00796230"/>
    <w:rsid w:val="007965D8"/>
    <w:rsid w:val="00796907"/>
    <w:rsid w:val="00796E4C"/>
    <w:rsid w:val="00796FC3"/>
    <w:rsid w:val="00796FD6"/>
    <w:rsid w:val="00797811"/>
    <w:rsid w:val="007A04D6"/>
    <w:rsid w:val="007A078E"/>
    <w:rsid w:val="007A1223"/>
    <w:rsid w:val="007A1C04"/>
    <w:rsid w:val="007A1E58"/>
    <w:rsid w:val="007A1E95"/>
    <w:rsid w:val="007A2218"/>
    <w:rsid w:val="007A2AC7"/>
    <w:rsid w:val="007A2BB7"/>
    <w:rsid w:val="007A2ED3"/>
    <w:rsid w:val="007A3155"/>
    <w:rsid w:val="007A316C"/>
    <w:rsid w:val="007A3430"/>
    <w:rsid w:val="007A3C87"/>
    <w:rsid w:val="007A4298"/>
    <w:rsid w:val="007A4960"/>
    <w:rsid w:val="007A573A"/>
    <w:rsid w:val="007A5C27"/>
    <w:rsid w:val="007A5C7E"/>
    <w:rsid w:val="007A63F9"/>
    <w:rsid w:val="007A664A"/>
    <w:rsid w:val="007A66A0"/>
    <w:rsid w:val="007A69A9"/>
    <w:rsid w:val="007A6E2F"/>
    <w:rsid w:val="007A75A6"/>
    <w:rsid w:val="007A7797"/>
    <w:rsid w:val="007A7BA4"/>
    <w:rsid w:val="007B04AE"/>
    <w:rsid w:val="007B0DF2"/>
    <w:rsid w:val="007B10DB"/>
    <w:rsid w:val="007B1AB3"/>
    <w:rsid w:val="007B1DCE"/>
    <w:rsid w:val="007B250D"/>
    <w:rsid w:val="007B2542"/>
    <w:rsid w:val="007B33B4"/>
    <w:rsid w:val="007B3577"/>
    <w:rsid w:val="007B3BC5"/>
    <w:rsid w:val="007B478A"/>
    <w:rsid w:val="007B50AA"/>
    <w:rsid w:val="007B5DF0"/>
    <w:rsid w:val="007B61C2"/>
    <w:rsid w:val="007B62FE"/>
    <w:rsid w:val="007B6E80"/>
    <w:rsid w:val="007B6F8D"/>
    <w:rsid w:val="007B705B"/>
    <w:rsid w:val="007B70E3"/>
    <w:rsid w:val="007B7345"/>
    <w:rsid w:val="007B7506"/>
    <w:rsid w:val="007B7762"/>
    <w:rsid w:val="007B77B9"/>
    <w:rsid w:val="007B7E88"/>
    <w:rsid w:val="007B7EDE"/>
    <w:rsid w:val="007C00C5"/>
    <w:rsid w:val="007C00DD"/>
    <w:rsid w:val="007C03C7"/>
    <w:rsid w:val="007C06B5"/>
    <w:rsid w:val="007C0725"/>
    <w:rsid w:val="007C090E"/>
    <w:rsid w:val="007C0A52"/>
    <w:rsid w:val="007C0F68"/>
    <w:rsid w:val="007C1832"/>
    <w:rsid w:val="007C194D"/>
    <w:rsid w:val="007C19DA"/>
    <w:rsid w:val="007C2142"/>
    <w:rsid w:val="007C217B"/>
    <w:rsid w:val="007C2682"/>
    <w:rsid w:val="007C315C"/>
    <w:rsid w:val="007C351A"/>
    <w:rsid w:val="007C3763"/>
    <w:rsid w:val="007C4357"/>
    <w:rsid w:val="007C490F"/>
    <w:rsid w:val="007C49EE"/>
    <w:rsid w:val="007C4C2A"/>
    <w:rsid w:val="007C4D32"/>
    <w:rsid w:val="007C4E5D"/>
    <w:rsid w:val="007C62E1"/>
    <w:rsid w:val="007C6E36"/>
    <w:rsid w:val="007C6FE2"/>
    <w:rsid w:val="007C72E3"/>
    <w:rsid w:val="007C767D"/>
    <w:rsid w:val="007C7BB0"/>
    <w:rsid w:val="007D03DF"/>
    <w:rsid w:val="007D0C6F"/>
    <w:rsid w:val="007D0E6A"/>
    <w:rsid w:val="007D139E"/>
    <w:rsid w:val="007D1B6D"/>
    <w:rsid w:val="007D1BB4"/>
    <w:rsid w:val="007D20C8"/>
    <w:rsid w:val="007D2529"/>
    <w:rsid w:val="007D25A1"/>
    <w:rsid w:val="007D25E4"/>
    <w:rsid w:val="007D3393"/>
    <w:rsid w:val="007D3CD1"/>
    <w:rsid w:val="007D47FD"/>
    <w:rsid w:val="007D4953"/>
    <w:rsid w:val="007D4FBD"/>
    <w:rsid w:val="007D50F4"/>
    <w:rsid w:val="007D51CE"/>
    <w:rsid w:val="007D584A"/>
    <w:rsid w:val="007D5C9E"/>
    <w:rsid w:val="007D621E"/>
    <w:rsid w:val="007D6819"/>
    <w:rsid w:val="007D69E6"/>
    <w:rsid w:val="007D6F64"/>
    <w:rsid w:val="007D7173"/>
    <w:rsid w:val="007D722A"/>
    <w:rsid w:val="007D73FE"/>
    <w:rsid w:val="007D7407"/>
    <w:rsid w:val="007D7A14"/>
    <w:rsid w:val="007D7C3C"/>
    <w:rsid w:val="007D7D27"/>
    <w:rsid w:val="007D7E9E"/>
    <w:rsid w:val="007E0B72"/>
    <w:rsid w:val="007E0C96"/>
    <w:rsid w:val="007E0D37"/>
    <w:rsid w:val="007E0FC9"/>
    <w:rsid w:val="007E1216"/>
    <w:rsid w:val="007E1D1C"/>
    <w:rsid w:val="007E2BD8"/>
    <w:rsid w:val="007E2DD3"/>
    <w:rsid w:val="007E3823"/>
    <w:rsid w:val="007E3848"/>
    <w:rsid w:val="007E3BE2"/>
    <w:rsid w:val="007E3C57"/>
    <w:rsid w:val="007E3F51"/>
    <w:rsid w:val="007E483E"/>
    <w:rsid w:val="007E4965"/>
    <w:rsid w:val="007E4CD4"/>
    <w:rsid w:val="007E530C"/>
    <w:rsid w:val="007E536B"/>
    <w:rsid w:val="007E5669"/>
    <w:rsid w:val="007E6921"/>
    <w:rsid w:val="007E6C85"/>
    <w:rsid w:val="007E726E"/>
    <w:rsid w:val="007E76D3"/>
    <w:rsid w:val="007E7813"/>
    <w:rsid w:val="007E7ACE"/>
    <w:rsid w:val="007F0A00"/>
    <w:rsid w:val="007F0D97"/>
    <w:rsid w:val="007F0E8E"/>
    <w:rsid w:val="007F1D36"/>
    <w:rsid w:val="007F1F36"/>
    <w:rsid w:val="007F2149"/>
    <w:rsid w:val="007F2CF9"/>
    <w:rsid w:val="007F31A1"/>
    <w:rsid w:val="007F34AC"/>
    <w:rsid w:val="007F36A0"/>
    <w:rsid w:val="007F3AEA"/>
    <w:rsid w:val="007F3EF5"/>
    <w:rsid w:val="007F40F5"/>
    <w:rsid w:val="007F4C0A"/>
    <w:rsid w:val="007F4E00"/>
    <w:rsid w:val="007F4E8A"/>
    <w:rsid w:val="007F5463"/>
    <w:rsid w:val="007F578A"/>
    <w:rsid w:val="007F5A71"/>
    <w:rsid w:val="007F612A"/>
    <w:rsid w:val="007F710E"/>
    <w:rsid w:val="008006A3"/>
    <w:rsid w:val="00800B0A"/>
    <w:rsid w:val="008014C9"/>
    <w:rsid w:val="0080201B"/>
    <w:rsid w:val="00802A20"/>
    <w:rsid w:val="0080320C"/>
    <w:rsid w:val="00803229"/>
    <w:rsid w:val="008036A2"/>
    <w:rsid w:val="0080413B"/>
    <w:rsid w:val="008048CF"/>
    <w:rsid w:val="008052EE"/>
    <w:rsid w:val="008053BD"/>
    <w:rsid w:val="008058C6"/>
    <w:rsid w:val="00805D86"/>
    <w:rsid w:val="00805FC1"/>
    <w:rsid w:val="008064D8"/>
    <w:rsid w:val="00806A72"/>
    <w:rsid w:val="008079DD"/>
    <w:rsid w:val="00807E3C"/>
    <w:rsid w:val="0081000D"/>
    <w:rsid w:val="0081025E"/>
    <w:rsid w:val="008110DA"/>
    <w:rsid w:val="008112CF"/>
    <w:rsid w:val="0081130F"/>
    <w:rsid w:val="008115A8"/>
    <w:rsid w:val="00811E88"/>
    <w:rsid w:val="00813095"/>
    <w:rsid w:val="00813841"/>
    <w:rsid w:val="008138CB"/>
    <w:rsid w:val="008138DE"/>
    <w:rsid w:val="00814103"/>
    <w:rsid w:val="008145AC"/>
    <w:rsid w:val="008145AD"/>
    <w:rsid w:val="008146B2"/>
    <w:rsid w:val="00814CF1"/>
    <w:rsid w:val="00816602"/>
    <w:rsid w:val="008168F3"/>
    <w:rsid w:val="0081705A"/>
    <w:rsid w:val="00820432"/>
    <w:rsid w:val="008204E2"/>
    <w:rsid w:val="008205F2"/>
    <w:rsid w:val="008206D3"/>
    <w:rsid w:val="0082115B"/>
    <w:rsid w:val="00821284"/>
    <w:rsid w:val="00821B59"/>
    <w:rsid w:val="0082234C"/>
    <w:rsid w:val="008226E1"/>
    <w:rsid w:val="00822AF0"/>
    <w:rsid w:val="00822C49"/>
    <w:rsid w:val="0082306D"/>
    <w:rsid w:val="00823756"/>
    <w:rsid w:val="00823EF8"/>
    <w:rsid w:val="00823F7F"/>
    <w:rsid w:val="00823FC2"/>
    <w:rsid w:val="00824050"/>
    <w:rsid w:val="0082430D"/>
    <w:rsid w:val="00824430"/>
    <w:rsid w:val="0082472D"/>
    <w:rsid w:val="00825248"/>
    <w:rsid w:val="00825465"/>
    <w:rsid w:val="00825B1F"/>
    <w:rsid w:val="00825B73"/>
    <w:rsid w:val="00825F96"/>
    <w:rsid w:val="00825F98"/>
    <w:rsid w:val="0082658A"/>
    <w:rsid w:val="00827681"/>
    <w:rsid w:val="008276C4"/>
    <w:rsid w:val="008276E1"/>
    <w:rsid w:val="00827920"/>
    <w:rsid w:val="00827BF3"/>
    <w:rsid w:val="00827D55"/>
    <w:rsid w:val="008304F5"/>
    <w:rsid w:val="008308E9"/>
    <w:rsid w:val="00831320"/>
    <w:rsid w:val="00831322"/>
    <w:rsid w:val="008316DA"/>
    <w:rsid w:val="00831B0B"/>
    <w:rsid w:val="00831B5D"/>
    <w:rsid w:val="0083252C"/>
    <w:rsid w:val="0083268D"/>
    <w:rsid w:val="0083296D"/>
    <w:rsid w:val="00832C84"/>
    <w:rsid w:val="00832CD3"/>
    <w:rsid w:val="00832D4A"/>
    <w:rsid w:val="00833919"/>
    <w:rsid w:val="008340A3"/>
    <w:rsid w:val="008346C9"/>
    <w:rsid w:val="008349A1"/>
    <w:rsid w:val="00834BF3"/>
    <w:rsid w:val="008355B9"/>
    <w:rsid w:val="00835DA5"/>
    <w:rsid w:val="0083631A"/>
    <w:rsid w:val="008366CE"/>
    <w:rsid w:val="0083700E"/>
    <w:rsid w:val="00837431"/>
    <w:rsid w:val="00837D44"/>
    <w:rsid w:val="00840EDD"/>
    <w:rsid w:val="00841032"/>
    <w:rsid w:val="00841476"/>
    <w:rsid w:val="00841D35"/>
    <w:rsid w:val="00842042"/>
    <w:rsid w:val="008420DE"/>
    <w:rsid w:val="00842148"/>
    <w:rsid w:val="0084255F"/>
    <w:rsid w:val="00842BDA"/>
    <w:rsid w:val="0084367A"/>
    <w:rsid w:val="008447B8"/>
    <w:rsid w:val="00844C3E"/>
    <w:rsid w:val="00845251"/>
    <w:rsid w:val="00845292"/>
    <w:rsid w:val="00845496"/>
    <w:rsid w:val="00845F56"/>
    <w:rsid w:val="00846DAA"/>
    <w:rsid w:val="00846FB1"/>
    <w:rsid w:val="0084711E"/>
    <w:rsid w:val="008472D8"/>
    <w:rsid w:val="008475A5"/>
    <w:rsid w:val="00847A8B"/>
    <w:rsid w:val="00847B8E"/>
    <w:rsid w:val="008503ED"/>
    <w:rsid w:val="0085052C"/>
    <w:rsid w:val="0085081A"/>
    <w:rsid w:val="00850932"/>
    <w:rsid w:val="00850A7E"/>
    <w:rsid w:val="00851057"/>
    <w:rsid w:val="00851667"/>
    <w:rsid w:val="0085237D"/>
    <w:rsid w:val="0085283A"/>
    <w:rsid w:val="008529EC"/>
    <w:rsid w:val="008529F5"/>
    <w:rsid w:val="00852B1F"/>
    <w:rsid w:val="0085302A"/>
    <w:rsid w:val="0085316B"/>
    <w:rsid w:val="008532D4"/>
    <w:rsid w:val="00853CF0"/>
    <w:rsid w:val="008542FE"/>
    <w:rsid w:val="008543CB"/>
    <w:rsid w:val="008544CE"/>
    <w:rsid w:val="0085462D"/>
    <w:rsid w:val="008547BE"/>
    <w:rsid w:val="00854AC2"/>
    <w:rsid w:val="00854BD1"/>
    <w:rsid w:val="00854C25"/>
    <w:rsid w:val="00854D0A"/>
    <w:rsid w:val="00854EC7"/>
    <w:rsid w:val="00854F61"/>
    <w:rsid w:val="00854FB3"/>
    <w:rsid w:val="008553EE"/>
    <w:rsid w:val="008555B4"/>
    <w:rsid w:val="0085639B"/>
    <w:rsid w:val="008564BE"/>
    <w:rsid w:val="00856532"/>
    <w:rsid w:val="0085698E"/>
    <w:rsid w:val="00856ACD"/>
    <w:rsid w:val="00856FE3"/>
    <w:rsid w:val="008572DB"/>
    <w:rsid w:val="008578DA"/>
    <w:rsid w:val="00857FCA"/>
    <w:rsid w:val="0086003B"/>
    <w:rsid w:val="00860117"/>
    <w:rsid w:val="008603CA"/>
    <w:rsid w:val="00860F13"/>
    <w:rsid w:val="0086199C"/>
    <w:rsid w:val="00861CBE"/>
    <w:rsid w:val="00861F8B"/>
    <w:rsid w:val="00862394"/>
    <w:rsid w:val="0086281C"/>
    <w:rsid w:val="0086306C"/>
    <w:rsid w:val="00863609"/>
    <w:rsid w:val="00863B6D"/>
    <w:rsid w:val="00864904"/>
    <w:rsid w:val="00864B13"/>
    <w:rsid w:val="0086504B"/>
    <w:rsid w:val="0086561F"/>
    <w:rsid w:val="008656B6"/>
    <w:rsid w:val="0086580F"/>
    <w:rsid w:val="00865A7A"/>
    <w:rsid w:val="00865CC9"/>
    <w:rsid w:val="00865D63"/>
    <w:rsid w:val="00865FE1"/>
    <w:rsid w:val="008665CE"/>
    <w:rsid w:val="0086694E"/>
    <w:rsid w:val="00866FE8"/>
    <w:rsid w:val="00867AFA"/>
    <w:rsid w:val="00867D69"/>
    <w:rsid w:val="00867E07"/>
    <w:rsid w:val="0087069B"/>
    <w:rsid w:val="008706ED"/>
    <w:rsid w:val="0087073A"/>
    <w:rsid w:val="00870BCF"/>
    <w:rsid w:val="00870CCE"/>
    <w:rsid w:val="00871007"/>
    <w:rsid w:val="00872246"/>
    <w:rsid w:val="00872A63"/>
    <w:rsid w:val="008732BF"/>
    <w:rsid w:val="00873477"/>
    <w:rsid w:val="0087387C"/>
    <w:rsid w:val="00873C59"/>
    <w:rsid w:val="00874542"/>
    <w:rsid w:val="00874784"/>
    <w:rsid w:val="008748C7"/>
    <w:rsid w:val="008749AA"/>
    <w:rsid w:val="00874C63"/>
    <w:rsid w:val="00875137"/>
    <w:rsid w:val="0087521A"/>
    <w:rsid w:val="0087544B"/>
    <w:rsid w:val="00875495"/>
    <w:rsid w:val="0087550E"/>
    <w:rsid w:val="00875F70"/>
    <w:rsid w:val="0087669F"/>
    <w:rsid w:val="008769E0"/>
    <w:rsid w:val="00876CC9"/>
    <w:rsid w:val="00876DCD"/>
    <w:rsid w:val="008771D5"/>
    <w:rsid w:val="0087738D"/>
    <w:rsid w:val="008774C1"/>
    <w:rsid w:val="008775E6"/>
    <w:rsid w:val="00877981"/>
    <w:rsid w:val="008801F6"/>
    <w:rsid w:val="00880215"/>
    <w:rsid w:val="00880348"/>
    <w:rsid w:val="008808C0"/>
    <w:rsid w:val="008808E5"/>
    <w:rsid w:val="008809B6"/>
    <w:rsid w:val="00880A62"/>
    <w:rsid w:val="00880A8A"/>
    <w:rsid w:val="00880E19"/>
    <w:rsid w:val="00880F10"/>
    <w:rsid w:val="00880FC7"/>
    <w:rsid w:val="00881180"/>
    <w:rsid w:val="00881350"/>
    <w:rsid w:val="00882255"/>
    <w:rsid w:val="00883459"/>
    <w:rsid w:val="00883714"/>
    <w:rsid w:val="00884368"/>
    <w:rsid w:val="0088466F"/>
    <w:rsid w:val="00885165"/>
    <w:rsid w:val="00885194"/>
    <w:rsid w:val="00885744"/>
    <w:rsid w:val="008858C3"/>
    <w:rsid w:val="00885BF3"/>
    <w:rsid w:val="00885CE6"/>
    <w:rsid w:val="00886BF1"/>
    <w:rsid w:val="00886CC2"/>
    <w:rsid w:val="00886FB5"/>
    <w:rsid w:val="00887B06"/>
    <w:rsid w:val="00887DAE"/>
    <w:rsid w:val="00887EF2"/>
    <w:rsid w:val="00890BDE"/>
    <w:rsid w:val="00890DAE"/>
    <w:rsid w:val="008911BD"/>
    <w:rsid w:val="0089145A"/>
    <w:rsid w:val="00891A9B"/>
    <w:rsid w:val="00891C00"/>
    <w:rsid w:val="00892AD3"/>
    <w:rsid w:val="00892C00"/>
    <w:rsid w:val="00893010"/>
    <w:rsid w:val="008937B4"/>
    <w:rsid w:val="0089397C"/>
    <w:rsid w:val="00893F40"/>
    <w:rsid w:val="00894155"/>
    <w:rsid w:val="008951D9"/>
    <w:rsid w:val="00895608"/>
    <w:rsid w:val="008957E8"/>
    <w:rsid w:val="00895CC7"/>
    <w:rsid w:val="00895EA6"/>
    <w:rsid w:val="00895F55"/>
    <w:rsid w:val="008962E7"/>
    <w:rsid w:val="008964CF"/>
    <w:rsid w:val="008968D0"/>
    <w:rsid w:val="008973B2"/>
    <w:rsid w:val="00897608"/>
    <w:rsid w:val="008A0317"/>
    <w:rsid w:val="008A0D11"/>
    <w:rsid w:val="008A0EDE"/>
    <w:rsid w:val="008A1118"/>
    <w:rsid w:val="008A1388"/>
    <w:rsid w:val="008A2552"/>
    <w:rsid w:val="008A281F"/>
    <w:rsid w:val="008A2AE9"/>
    <w:rsid w:val="008A48D2"/>
    <w:rsid w:val="008A4A12"/>
    <w:rsid w:val="008A4AF6"/>
    <w:rsid w:val="008A4E27"/>
    <w:rsid w:val="008A4E6A"/>
    <w:rsid w:val="008A4FF8"/>
    <w:rsid w:val="008A5030"/>
    <w:rsid w:val="008A50A2"/>
    <w:rsid w:val="008A52F4"/>
    <w:rsid w:val="008A56BA"/>
    <w:rsid w:val="008A5B95"/>
    <w:rsid w:val="008A5ED1"/>
    <w:rsid w:val="008A64BE"/>
    <w:rsid w:val="008A6BCD"/>
    <w:rsid w:val="008A73BD"/>
    <w:rsid w:val="008A73CE"/>
    <w:rsid w:val="008A7458"/>
    <w:rsid w:val="008A74C2"/>
    <w:rsid w:val="008A7FD1"/>
    <w:rsid w:val="008B042E"/>
    <w:rsid w:val="008B1480"/>
    <w:rsid w:val="008B1528"/>
    <w:rsid w:val="008B211E"/>
    <w:rsid w:val="008B21D9"/>
    <w:rsid w:val="008B2BED"/>
    <w:rsid w:val="008B32CF"/>
    <w:rsid w:val="008B3505"/>
    <w:rsid w:val="008B368D"/>
    <w:rsid w:val="008B3B73"/>
    <w:rsid w:val="008B3FFA"/>
    <w:rsid w:val="008B4E2D"/>
    <w:rsid w:val="008B5CF0"/>
    <w:rsid w:val="008B5DB5"/>
    <w:rsid w:val="008B5ED7"/>
    <w:rsid w:val="008B60AB"/>
    <w:rsid w:val="008B6592"/>
    <w:rsid w:val="008B6864"/>
    <w:rsid w:val="008B6D48"/>
    <w:rsid w:val="008B6E1D"/>
    <w:rsid w:val="008B6E35"/>
    <w:rsid w:val="008B70E9"/>
    <w:rsid w:val="008B73D6"/>
    <w:rsid w:val="008B7558"/>
    <w:rsid w:val="008C05C4"/>
    <w:rsid w:val="008C0F13"/>
    <w:rsid w:val="008C0F72"/>
    <w:rsid w:val="008C10F6"/>
    <w:rsid w:val="008C1480"/>
    <w:rsid w:val="008C1E7C"/>
    <w:rsid w:val="008C22D1"/>
    <w:rsid w:val="008C2ABA"/>
    <w:rsid w:val="008C2AE2"/>
    <w:rsid w:val="008C2F4E"/>
    <w:rsid w:val="008C2FA8"/>
    <w:rsid w:val="008C2FF8"/>
    <w:rsid w:val="008C303E"/>
    <w:rsid w:val="008C3CF3"/>
    <w:rsid w:val="008C46F6"/>
    <w:rsid w:val="008C49CB"/>
    <w:rsid w:val="008C4A59"/>
    <w:rsid w:val="008C4AED"/>
    <w:rsid w:val="008C4D86"/>
    <w:rsid w:val="008C4E63"/>
    <w:rsid w:val="008C54BA"/>
    <w:rsid w:val="008C552F"/>
    <w:rsid w:val="008C5BE3"/>
    <w:rsid w:val="008C65A9"/>
    <w:rsid w:val="008C74BF"/>
    <w:rsid w:val="008C7660"/>
    <w:rsid w:val="008C79A7"/>
    <w:rsid w:val="008C79C2"/>
    <w:rsid w:val="008C79D6"/>
    <w:rsid w:val="008C7D96"/>
    <w:rsid w:val="008D044D"/>
    <w:rsid w:val="008D0E7F"/>
    <w:rsid w:val="008D2A84"/>
    <w:rsid w:val="008D2CBC"/>
    <w:rsid w:val="008D34F0"/>
    <w:rsid w:val="008D481C"/>
    <w:rsid w:val="008D4827"/>
    <w:rsid w:val="008D48E8"/>
    <w:rsid w:val="008D5521"/>
    <w:rsid w:val="008D555F"/>
    <w:rsid w:val="008D597C"/>
    <w:rsid w:val="008D5BFE"/>
    <w:rsid w:val="008D5E22"/>
    <w:rsid w:val="008D625D"/>
    <w:rsid w:val="008D650E"/>
    <w:rsid w:val="008D6D9C"/>
    <w:rsid w:val="008D6F05"/>
    <w:rsid w:val="008D6F79"/>
    <w:rsid w:val="008D6F9F"/>
    <w:rsid w:val="008D7053"/>
    <w:rsid w:val="008D74E5"/>
    <w:rsid w:val="008E018E"/>
    <w:rsid w:val="008E0300"/>
    <w:rsid w:val="008E0338"/>
    <w:rsid w:val="008E0928"/>
    <w:rsid w:val="008E1E16"/>
    <w:rsid w:val="008E1E1A"/>
    <w:rsid w:val="008E1E92"/>
    <w:rsid w:val="008E1E9C"/>
    <w:rsid w:val="008E1F1F"/>
    <w:rsid w:val="008E26DA"/>
    <w:rsid w:val="008E2C70"/>
    <w:rsid w:val="008E31C7"/>
    <w:rsid w:val="008E3B22"/>
    <w:rsid w:val="008E3C19"/>
    <w:rsid w:val="008E40EB"/>
    <w:rsid w:val="008E4351"/>
    <w:rsid w:val="008E43AB"/>
    <w:rsid w:val="008E5218"/>
    <w:rsid w:val="008E5E9F"/>
    <w:rsid w:val="008E673E"/>
    <w:rsid w:val="008E67D1"/>
    <w:rsid w:val="008E6A41"/>
    <w:rsid w:val="008E6FC1"/>
    <w:rsid w:val="008E71F4"/>
    <w:rsid w:val="008E777C"/>
    <w:rsid w:val="008F0D20"/>
    <w:rsid w:val="008F0ED4"/>
    <w:rsid w:val="008F15D5"/>
    <w:rsid w:val="008F1DCA"/>
    <w:rsid w:val="008F1E70"/>
    <w:rsid w:val="008F2058"/>
    <w:rsid w:val="008F20EA"/>
    <w:rsid w:val="008F2492"/>
    <w:rsid w:val="008F269D"/>
    <w:rsid w:val="008F2BB6"/>
    <w:rsid w:val="008F2C63"/>
    <w:rsid w:val="008F2D74"/>
    <w:rsid w:val="008F32F9"/>
    <w:rsid w:val="008F33D3"/>
    <w:rsid w:val="008F341F"/>
    <w:rsid w:val="008F4264"/>
    <w:rsid w:val="008F55BD"/>
    <w:rsid w:val="008F565D"/>
    <w:rsid w:val="008F5FCE"/>
    <w:rsid w:val="008F7566"/>
    <w:rsid w:val="008F76CC"/>
    <w:rsid w:val="008F7822"/>
    <w:rsid w:val="008F79C4"/>
    <w:rsid w:val="00900084"/>
    <w:rsid w:val="009000E9"/>
    <w:rsid w:val="009006A7"/>
    <w:rsid w:val="009009D9"/>
    <w:rsid w:val="00900F61"/>
    <w:rsid w:val="00901049"/>
    <w:rsid w:val="00901A47"/>
    <w:rsid w:val="00901A6F"/>
    <w:rsid w:val="009024BF"/>
    <w:rsid w:val="00902721"/>
    <w:rsid w:val="00902CA3"/>
    <w:rsid w:val="00902F9E"/>
    <w:rsid w:val="00903990"/>
    <w:rsid w:val="009042A8"/>
    <w:rsid w:val="00904542"/>
    <w:rsid w:val="00904950"/>
    <w:rsid w:val="00904C14"/>
    <w:rsid w:val="00904F32"/>
    <w:rsid w:val="009050D2"/>
    <w:rsid w:val="009056D6"/>
    <w:rsid w:val="00905910"/>
    <w:rsid w:val="009059BE"/>
    <w:rsid w:val="00905BD7"/>
    <w:rsid w:val="00905DB3"/>
    <w:rsid w:val="00905F7E"/>
    <w:rsid w:val="00906374"/>
    <w:rsid w:val="009066A6"/>
    <w:rsid w:val="009066B8"/>
    <w:rsid w:val="00906D82"/>
    <w:rsid w:val="00906E7A"/>
    <w:rsid w:val="00907569"/>
    <w:rsid w:val="00907AB2"/>
    <w:rsid w:val="00910026"/>
    <w:rsid w:val="00910FC2"/>
    <w:rsid w:val="00911D00"/>
    <w:rsid w:val="009122F7"/>
    <w:rsid w:val="009124A7"/>
    <w:rsid w:val="00912BC3"/>
    <w:rsid w:val="009137CB"/>
    <w:rsid w:val="00913FBA"/>
    <w:rsid w:val="00914255"/>
    <w:rsid w:val="009143A0"/>
    <w:rsid w:val="0091442E"/>
    <w:rsid w:val="009147FC"/>
    <w:rsid w:val="00914E3F"/>
    <w:rsid w:val="0091560F"/>
    <w:rsid w:val="009159D3"/>
    <w:rsid w:val="00915A74"/>
    <w:rsid w:val="00915D01"/>
    <w:rsid w:val="00915E5E"/>
    <w:rsid w:val="0091629C"/>
    <w:rsid w:val="009166B8"/>
    <w:rsid w:val="00916FA5"/>
    <w:rsid w:val="009173E1"/>
    <w:rsid w:val="00917466"/>
    <w:rsid w:val="00917728"/>
    <w:rsid w:val="00917915"/>
    <w:rsid w:val="00917DC2"/>
    <w:rsid w:val="00920684"/>
    <w:rsid w:val="00920E93"/>
    <w:rsid w:val="009212D0"/>
    <w:rsid w:val="009216A5"/>
    <w:rsid w:val="009216E6"/>
    <w:rsid w:val="009224EC"/>
    <w:rsid w:val="00922640"/>
    <w:rsid w:val="00922863"/>
    <w:rsid w:val="00922DB7"/>
    <w:rsid w:val="00922E5A"/>
    <w:rsid w:val="009234DC"/>
    <w:rsid w:val="00923E0E"/>
    <w:rsid w:val="00923F0F"/>
    <w:rsid w:val="009242B9"/>
    <w:rsid w:val="0092483B"/>
    <w:rsid w:val="0092550E"/>
    <w:rsid w:val="00925F22"/>
    <w:rsid w:val="00926058"/>
    <w:rsid w:val="00926508"/>
    <w:rsid w:val="0092684A"/>
    <w:rsid w:val="00927654"/>
    <w:rsid w:val="0092765C"/>
    <w:rsid w:val="00927749"/>
    <w:rsid w:val="00927A42"/>
    <w:rsid w:val="00927E0F"/>
    <w:rsid w:val="00930448"/>
    <w:rsid w:val="009311C5"/>
    <w:rsid w:val="0093122A"/>
    <w:rsid w:val="009313DF"/>
    <w:rsid w:val="00932038"/>
    <w:rsid w:val="00932B56"/>
    <w:rsid w:val="009334BD"/>
    <w:rsid w:val="00933B48"/>
    <w:rsid w:val="00933D76"/>
    <w:rsid w:val="00933DB5"/>
    <w:rsid w:val="00934392"/>
    <w:rsid w:val="00934564"/>
    <w:rsid w:val="00934B9E"/>
    <w:rsid w:val="00934BE4"/>
    <w:rsid w:val="00935040"/>
    <w:rsid w:val="00936525"/>
    <w:rsid w:val="009368C7"/>
    <w:rsid w:val="00936E8E"/>
    <w:rsid w:val="00936F49"/>
    <w:rsid w:val="00937C73"/>
    <w:rsid w:val="00937EF0"/>
    <w:rsid w:val="00937FAB"/>
    <w:rsid w:val="00937FE8"/>
    <w:rsid w:val="0094001E"/>
    <w:rsid w:val="0094094D"/>
    <w:rsid w:val="00940C2A"/>
    <w:rsid w:val="00941010"/>
    <w:rsid w:val="009416CB"/>
    <w:rsid w:val="00941746"/>
    <w:rsid w:val="0094194A"/>
    <w:rsid w:val="00941C24"/>
    <w:rsid w:val="00941F8F"/>
    <w:rsid w:val="009428A2"/>
    <w:rsid w:val="00942A92"/>
    <w:rsid w:val="00942AB8"/>
    <w:rsid w:val="00942CC6"/>
    <w:rsid w:val="0094366B"/>
    <w:rsid w:val="00944740"/>
    <w:rsid w:val="0094483E"/>
    <w:rsid w:val="0094494E"/>
    <w:rsid w:val="00944AB4"/>
    <w:rsid w:val="00944FEF"/>
    <w:rsid w:val="00945012"/>
    <w:rsid w:val="0094548C"/>
    <w:rsid w:val="009454B4"/>
    <w:rsid w:val="009455C0"/>
    <w:rsid w:val="00945C9C"/>
    <w:rsid w:val="00945CAF"/>
    <w:rsid w:val="00946AC9"/>
    <w:rsid w:val="00946C32"/>
    <w:rsid w:val="00946D3F"/>
    <w:rsid w:val="00947448"/>
    <w:rsid w:val="0094751C"/>
    <w:rsid w:val="00947862"/>
    <w:rsid w:val="00947929"/>
    <w:rsid w:val="00950DA6"/>
    <w:rsid w:val="00950DD0"/>
    <w:rsid w:val="0095123C"/>
    <w:rsid w:val="00951AA6"/>
    <w:rsid w:val="00951C2E"/>
    <w:rsid w:val="00952429"/>
    <w:rsid w:val="00952883"/>
    <w:rsid w:val="00952A26"/>
    <w:rsid w:val="00952A4B"/>
    <w:rsid w:val="00952B38"/>
    <w:rsid w:val="00952C99"/>
    <w:rsid w:val="00953376"/>
    <w:rsid w:val="0095373C"/>
    <w:rsid w:val="00953898"/>
    <w:rsid w:val="00954793"/>
    <w:rsid w:val="00955126"/>
    <w:rsid w:val="0095547B"/>
    <w:rsid w:val="00955A30"/>
    <w:rsid w:val="00955F74"/>
    <w:rsid w:val="009562BE"/>
    <w:rsid w:val="0095634E"/>
    <w:rsid w:val="00957089"/>
    <w:rsid w:val="009578B2"/>
    <w:rsid w:val="00957900"/>
    <w:rsid w:val="00957ED5"/>
    <w:rsid w:val="00957F37"/>
    <w:rsid w:val="009601CE"/>
    <w:rsid w:val="00960EE4"/>
    <w:rsid w:val="0096129B"/>
    <w:rsid w:val="00961778"/>
    <w:rsid w:val="009619EB"/>
    <w:rsid w:val="00961F7B"/>
    <w:rsid w:val="00962201"/>
    <w:rsid w:val="00962596"/>
    <w:rsid w:val="00962A7D"/>
    <w:rsid w:val="009636ED"/>
    <w:rsid w:val="00964056"/>
    <w:rsid w:val="009640D0"/>
    <w:rsid w:val="00964647"/>
    <w:rsid w:val="00964689"/>
    <w:rsid w:val="00964A29"/>
    <w:rsid w:val="00964A8F"/>
    <w:rsid w:val="00964C3D"/>
    <w:rsid w:val="00965333"/>
    <w:rsid w:val="009660C6"/>
    <w:rsid w:val="00966808"/>
    <w:rsid w:val="00967240"/>
    <w:rsid w:val="009679FB"/>
    <w:rsid w:val="00967A23"/>
    <w:rsid w:val="00967C5F"/>
    <w:rsid w:val="00970415"/>
    <w:rsid w:val="00970580"/>
    <w:rsid w:val="0097077B"/>
    <w:rsid w:val="00970D7E"/>
    <w:rsid w:val="009712EF"/>
    <w:rsid w:val="00971630"/>
    <w:rsid w:val="0097191F"/>
    <w:rsid w:val="00971978"/>
    <w:rsid w:val="00971AFC"/>
    <w:rsid w:val="00971CED"/>
    <w:rsid w:val="00972206"/>
    <w:rsid w:val="00972305"/>
    <w:rsid w:val="009727BF"/>
    <w:rsid w:val="00972957"/>
    <w:rsid w:val="00972EBF"/>
    <w:rsid w:val="00972FD4"/>
    <w:rsid w:val="00972FEA"/>
    <w:rsid w:val="00973321"/>
    <w:rsid w:val="00973713"/>
    <w:rsid w:val="00974758"/>
    <w:rsid w:val="00974906"/>
    <w:rsid w:val="00974C11"/>
    <w:rsid w:val="00975140"/>
    <w:rsid w:val="0097548E"/>
    <w:rsid w:val="00975C2E"/>
    <w:rsid w:val="00975DF1"/>
    <w:rsid w:val="00975E11"/>
    <w:rsid w:val="0097618E"/>
    <w:rsid w:val="00976E32"/>
    <w:rsid w:val="009770EB"/>
    <w:rsid w:val="0097718A"/>
    <w:rsid w:val="00977270"/>
    <w:rsid w:val="00977793"/>
    <w:rsid w:val="00977AE1"/>
    <w:rsid w:val="00977EFA"/>
    <w:rsid w:val="00981558"/>
    <w:rsid w:val="0098192C"/>
    <w:rsid w:val="00981F0A"/>
    <w:rsid w:val="009824F2"/>
    <w:rsid w:val="00982BB3"/>
    <w:rsid w:val="00982BF5"/>
    <w:rsid w:val="00982E33"/>
    <w:rsid w:val="00983080"/>
    <w:rsid w:val="00983865"/>
    <w:rsid w:val="0098395B"/>
    <w:rsid w:val="00983E2C"/>
    <w:rsid w:val="00984244"/>
    <w:rsid w:val="00984CCA"/>
    <w:rsid w:val="00985147"/>
    <w:rsid w:val="00985273"/>
    <w:rsid w:val="0098596D"/>
    <w:rsid w:val="00985D58"/>
    <w:rsid w:val="009869F1"/>
    <w:rsid w:val="00986AA3"/>
    <w:rsid w:val="00986AAB"/>
    <w:rsid w:val="00986EFB"/>
    <w:rsid w:val="0098790D"/>
    <w:rsid w:val="00987C8A"/>
    <w:rsid w:val="00987CEB"/>
    <w:rsid w:val="00987E77"/>
    <w:rsid w:val="00990B64"/>
    <w:rsid w:val="00990F24"/>
    <w:rsid w:val="009912F1"/>
    <w:rsid w:val="00991F60"/>
    <w:rsid w:val="00992026"/>
    <w:rsid w:val="00992CC2"/>
    <w:rsid w:val="00992DDC"/>
    <w:rsid w:val="00993339"/>
    <w:rsid w:val="00993372"/>
    <w:rsid w:val="009937A2"/>
    <w:rsid w:val="009937A5"/>
    <w:rsid w:val="00993B24"/>
    <w:rsid w:val="00993BE4"/>
    <w:rsid w:val="00993E7B"/>
    <w:rsid w:val="00994F0F"/>
    <w:rsid w:val="009953AE"/>
    <w:rsid w:val="00995737"/>
    <w:rsid w:val="0099611F"/>
    <w:rsid w:val="0099645A"/>
    <w:rsid w:val="009969BE"/>
    <w:rsid w:val="00996D52"/>
    <w:rsid w:val="00997E62"/>
    <w:rsid w:val="009A083F"/>
    <w:rsid w:val="009A1247"/>
    <w:rsid w:val="009A135C"/>
    <w:rsid w:val="009A1EAF"/>
    <w:rsid w:val="009A2713"/>
    <w:rsid w:val="009A2900"/>
    <w:rsid w:val="009A3530"/>
    <w:rsid w:val="009A43AE"/>
    <w:rsid w:val="009A48FE"/>
    <w:rsid w:val="009A4A2D"/>
    <w:rsid w:val="009A4F36"/>
    <w:rsid w:val="009A56CA"/>
    <w:rsid w:val="009A5AC9"/>
    <w:rsid w:val="009A67E7"/>
    <w:rsid w:val="009A6A42"/>
    <w:rsid w:val="009A6F37"/>
    <w:rsid w:val="009A758B"/>
    <w:rsid w:val="009A7BCB"/>
    <w:rsid w:val="009A7EF4"/>
    <w:rsid w:val="009B0009"/>
    <w:rsid w:val="009B0015"/>
    <w:rsid w:val="009B0491"/>
    <w:rsid w:val="009B0876"/>
    <w:rsid w:val="009B1056"/>
    <w:rsid w:val="009B1375"/>
    <w:rsid w:val="009B1A2B"/>
    <w:rsid w:val="009B21D8"/>
    <w:rsid w:val="009B2C83"/>
    <w:rsid w:val="009B2D52"/>
    <w:rsid w:val="009B3E45"/>
    <w:rsid w:val="009B3F20"/>
    <w:rsid w:val="009B40A9"/>
    <w:rsid w:val="009B40E5"/>
    <w:rsid w:val="009B4317"/>
    <w:rsid w:val="009B46A0"/>
    <w:rsid w:val="009B49FB"/>
    <w:rsid w:val="009B4CB5"/>
    <w:rsid w:val="009B5265"/>
    <w:rsid w:val="009B567B"/>
    <w:rsid w:val="009B5E48"/>
    <w:rsid w:val="009B6083"/>
    <w:rsid w:val="009B64D9"/>
    <w:rsid w:val="009B6670"/>
    <w:rsid w:val="009B6674"/>
    <w:rsid w:val="009B67DD"/>
    <w:rsid w:val="009B68D6"/>
    <w:rsid w:val="009B76FB"/>
    <w:rsid w:val="009B7930"/>
    <w:rsid w:val="009B7D7F"/>
    <w:rsid w:val="009B7DB5"/>
    <w:rsid w:val="009C0CAA"/>
    <w:rsid w:val="009C0CDB"/>
    <w:rsid w:val="009C0D31"/>
    <w:rsid w:val="009C1357"/>
    <w:rsid w:val="009C1423"/>
    <w:rsid w:val="009C1779"/>
    <w:rsid w:val="009C192D"/>
    <w:rsid w:val="009C19BE"/>
    <w:rsid w:val="009C2554"/>
    <w:rsid w:val="009C30BF"/>
    <w:rsid w:val="009C3DF4"/>
    <w:rsid w:val="009C44C5"/>
    <w:rsid w:val="009C495B"/>
    <w:rsid w:val="009C572F"/>
    <w:rsid w:val="009C603A"/>
    <w:rsid w:val="009C6809"/>
    <w:rsid w:val="009C6BDA"/>
    <w:rsid w:val="009C6EA2"/>
    <w:rsid w:val="009C7040"/>
    <w:rsid w:val="009C7187"/>
    <w:rsid w:val="009C71C2"/>
    <w:rsid w:val="009C74CD"/>
    <w:rsid w:val="009D00A6"/>
    <w:rsid w:val="009D048F"/>
    <w:rsid w:val="009D0666"/>
    <w:rsid w:val="009D07C0"/>
    <w:rsid w:val="009D096A"/>
    <w:rsid w:val="009D0DBB"/>
    <w:rsid w:val="009D0EAA"/>
    <w:rsid w:val="009D0F7C"/>
    <w:rsid w:val="009D162F"/>
    <w:rsid w:val="009D18FE"/>
    <w:rsid w:val="009D19A0"/>
    <w:rsid w:val="009D1B0D"/>
    <w:rsid w:val="009D1EB9"/>
    <w:rsid w:val="009D23FF"/>
    <w:rsid w:val="009D2421"/>
    <w:rsid w:val="009D353C"/>
    <w:rsid w:val="009D3E90"/>
    <w:rsid w:val="009D401F"/>
    <w:rsid w:val="009D424C"/>
    <w:rsid w:val="009D4510"/>
    <w:rsid w:val="009D4BD1"/>
    <w:rsid w:val="009D5008"/>
    <w:rsid w:val="009D50FC"/>
    <w:rsid w:val="009D524A"/>
    <w:rsid w:val="009D5B42"/>
    <w:rsid w:val="009D5C81"/>
    <w:rsid w:val="009D60FD"/>
    <w:rsid w:val="009D68FA"/>
    <w:rsid w:val="009D6C7A"/>
    <w:rsid w:val="009D740D"/>
    <w:rsid w:val="009D7430"/>
    <w:rsid w:val="009D7993"/>
    <w:rsid w:val="009E01E1"/>
    <w:rsid w:val="009E03AC"/>
    <w:rsid w:val="009E19E1"/>
    <w:rsid w:val="009E1E4F"/>
    <w:rsid w:val="009E3002"/>
    <w:rsid w:val="009E32CF"/>
    <w:rsid w:val="009E342D"/>
    <w:rsid w:val="009E3F4C"/>
    <w:rsid w:val="009E3FD5"/>
    <w:rsid w:val="009E4261"/>
    <w:rsid w:val="009E4FC2"/>
    <w:rsid w:val="009E521E"/>
    <w:rsid w:val="009E5979"/>
    <w:rsid w:val="009E5B1A"/>
    <w:rsid w:val="009E5B73"/>
    <w:rsid w:val="009E5FB5"/>
    <w:rsid w:val="009E610C"/>
    <w:rsid w:val="009E6650"/>
    <w:rsid w:val="009E7DF3"/>
    <w:rsid w:val="009F0BBA"/>
    <w:rsid w:val="009F2C26"/>
    <w:rsid w:val="009F3069"/>
    <w:rsid w:val="009F3197"/>
    <w:rsid w:val="009F32B7"/>
    <w:rsid w:val="009F4283"/>
    <w:rsid w:val="009F44AE"/>
    <w:rsid w:val="009F45BC"/>
    <w:rsid w:val="009F4C0F"/>
    <w:rsid w:val="009F5384"/>
    <w:rsid w:val="009F547E"/>
    <w:rsid w:val="009F596E"/>
    <w:rsid w:val="009F59B9"/>
    <w:rsid w:val="009F5A01"/>
    <w:rsid w:val="009F5B25"/>
    <w:rsid w:val="009F5D98"/>
    <w:rsid w:val="009F68F9"/>
    <w:rsid w:val="009F7047"/>
    <w:rsid w:val="009F72A7"/>
    <w:rsid w:val="009F73EE"/>
    <w:rsid w:val="009F74C0"/>
    <w:rsid w:val="009F74E8"/>
    <w:rsid w:val="009F7E2A"/>
    <w:rsid w:val="00A009CF"/>
    <w:rsid w:val="00A01657"/>
    <w:rsid w:val="00A01754"/>
    <w:rsid w:val="00A01BE0"/>
    <w:rsid w:val="00A01DF4"/>
    <w:rsid w:val="00A02153"/>
    <w:rsid w:val="00A02529"/>
    <w:rsid w:val="00A025B0"/>
    <w:rsid w:val="00A026EF"/>
    <w:rsid w:val="00A02795"/>
    <w:rsid w:val="00A02EF2"/>
    <w:rsid w:val="00A0323F"/>
    <w:rsid w:val="00A03563"/>
    <w:rsid w:val="00A03753"/>
    <w:rsid w:val="00A03F9D"/>
    <w:rsid w:val="00A041A1"/>
    <w:rsid w:val="00A049AA"/>
    <w:rsid w:val="00A04D5E"/>
    <w:rsid w:val="00A0552B"/>
    <w:rsid w:val="00A06161"/>
    <w:rsid w:val="00A067D5"/>
    <w:rsid w:val="00A073B8"/>
    <w:rsid w:val="00A07DEF"/>
    <w:rsid w:val="00A104CF"/>
    <w:rsid w:val="00A106A7"/>
    <w:rsid w:val="00A1071D"/>
    <w:rsid w:val="00A109DF"/>
    <w:rsid w:val="00A10BD7"/>
    <w:rsid w:val="00A10DDF"/>
    <w:rsid w:val="00A11172"/>
    <w:rsid w:val="00A115AA"/>
    <w:rsid w:val="00A11F42"/>
    <w:rsid w:val="00A1219E"/>
    <w:rsid w:val="00A12647"/>
    <w:rsid w:val="00A127AF"/>
    <w:rsid w:val="00A12E19"/>
    <w:rsid w:val="00A12E55"/>
    <w:rsid w:val="00A13283"/>
    <w:rsid w:val="00A132A6"/>
    <w:rsid w:val="00A13986"/>
    <w:rsid w:val="00A13C53"/>
    <w:rsid w:val="00A146E7"/>
    <w:rsid w:val="00A14D61"/>
    <w:rsid w:val="00A1513E"/>
    <w:rsid w:val="00A15446"/>
    <w:rsid w:val="00A15A77"/>
    <w:rsid w:val="00A15B12"/>
    <w:rsid w:val="00A15CE3"/>
    <w:rsid w:val="00A15D0E"/>
    <w:rsid w:val="00A1613F"/>
    <w:rsid w:val="00A167A3"/>
    <w:rsid w:val="00A168D7"/>
    <w:rsid w:val="00A16C8B"/>
    <w:rsid w:val="00A16CBA"/>
    <w:rsid w:val="00A16D04"/>
    <w:rsid w:val="00A17075"/>
    <w:rsid w:val="00A17598"/>
    <w:rsid w:val="00A178CF"/>
    <w:rsid w:val="00A17C0F"/>
    <w:rsid w:val="00A20234"/>
    <w:rsid w:val="00A207EF"/>
    <w:rsid w:val="00A20C91"/>
    <w:rsid w:val="00A20F81"/>
    <w:rsid w:val="00A215B8"/>
    <w:rsid w:val="00A2383C"/>
    <w:rsid w:val="00A238B4"/>
    <w:rsid w:val="00A23924"/>
    <w:rsid w:val="00A23A06"/>
    <w:rsid w:val="00A23F92"/>
    <w:rsid w:val="00A2411A"/>
    <w:rsid w:val="00A242E4"/>
    <w:rsid w:val="00A24391"/>
    <w:rsid w:val="00A24437"/>
    <w:rsid w:val="00A245BB"/>
    <w:rsid w:val="00A24ACB"/>
    <w:rsid w:val="00A24CA0"/>
    <w:rsid w:val="00A24CBD"/>
    <w:rsid w:val="00A2570A"/>
    <w:rsid w:val="00A25D4B"/>
    <w:rsid w:val="00A266EF"/>
    <w:rsid w:val="00A26760"/>
    <w:rsid w:val="00A27173"/>
    <w:rsid w:val="00A27CC3"/>
    <w:rsid w:val="00A30683"/>
    <w:rsid w:val="00A30B1C"/>
    <w:rsid w:val="00A30CAB"/>
    <w:rsid w:val="00A3125E"/>
    <w:rsid w:val="00A315E9"/>
    <w:rsid w:val="00A317BA"/>
    <w:rsid w:val="00A3204B"/>
    <w:rsid w:val="00A322E1"/>
    <w:rsid w:val="00A328EA"/>
    <w:rsid w:val="00A32B93"/>
    <w:rsid w:val="00A32DBB"/>
    <w:rsid w:val="00A33421"/>
    <w:rsid w:val="00A33601"/>
    <w:rsid w:val="00A3362A"/>
    <w:rsid w:val="00A338C7"/>
    <w:rsid w:val="00A33D9C"/>
    <w:rsid w:val="00A33E87"/>
    <w:rsid w:val="00A34251"/>
    <w:rsid w:val="00A342AC"/>
    <w:rsid w:val="00A3477D"/>
    <w:rsid w:val="00A35278"/>
    <w:rsid w:val="00A3555F"/>
    <w:rsid w:val="00A35EFC"/>
    <w:rsid w:val="00A36257"/>
    <w:rsid w:val="00A36602"/>
    <w:rsid w:val="00A36890"/>
    <w:rsid w:val="00A36908"/>
    <w:rsid w:val="00A36C78"/>
    <w:rsid w:val="00A37045"/>
    <w:rsid w:val="00A372BE"/>
    <w:rsid w:val="00A375F1"/>
    <w:rsid w:val="00A377CF"/>
    <w:rsid w:val="00A378E2"/>
    <w:rsid w:val="00A37B70"/>
    <w:rsid w:val="00A40854"/>
    <w:rsid w:val="00A40A90"/>
    <w:rsid w:val="00A40AC7"/>
    <w:rsid w:val="00A41499"/>
    <w:rsid w:val="00A41FBB"/>
    <w:rsid w:val="00A424CE"/>
    <w:rsid w:val="00A428DE"/>
    <w:rsid w:val="00A42D96"/>
    <w:rsid w:val="00A42E71"/>
    <w:rsid w:val="00A43047"/>
    <w:rsid w:val="00A435C7"/>
    <w:rsid w:val="00A435E1"/>
    <w:rsid w:val="00A43C2B"/>
    <w:rsid w:val="00A44953"/>
    <w:rsid w:val="00A44B92"/>
    <w:rsid w:val="00A44D2C"/>
    <w:rsid w:val="00A45804"/>
    <w:rsid w:val="00A474C3"/>
    <w:rsid w:val="00A50059"/>
    <w:rsid w:val="00A500E4"/>
    <w:rsid w:val="00A50B24"/>
    <w:rsid w:val="00A50FCA"/>
    <w:rsid w:val="00A5127A"/>
    <w:rsid w:val="00A51692"/>
    <w:rsid w:val="00A5199F"/>
    <w:rsid w:val="00A51DFB"/>
    <w:rsid w:val="00A528F3"/>
    <w:rsid w:val="00A52BC3"/>
    <w:rsid w:val="00A52FF4"/>
    <w:rsid w:val="00A531DC"/>
    <w:rsid w:val="00A53271"/>
    <w:rsid w:val="00A53437"/>
    <w:rsid w:val="00A5392E"/>
    <w:rsid w:val="00A539A9"/>
    <w:rsid w:val="00A53B27"/>
    <w:rsid w:val="00A53C28"/>
    <w:rsid w:val="00A53CE3"/>
    <w:rsid w:val="00A54288"/>
    <w:rsid w:val="00A543CE"/>
    <w:rsid w:val="00A5492A"/>
    <w:rsid w:val="00A55137"/>
    <w:rsid w:val="00A5516B"/>
    <w:rsid w:val="00A55607"/>
    <w:rsid w:val="00A55E33"/>
    <w:rsid w:val="00A55FCC"/>
    <w:rsid w:val="00A568A1"/>
    <w:rsid w:val="00A569B2"/>
    <w:rsid w:val="00A56C26"/>
    <w:rsid w:val="00A57539"/>
    <w:rsid w:val="00A578AF"/>
    <w:rsid w:val="00A57B85"/>
    <w:rsid w:val="00A57CD6"/>
    <w:rsid w:val="00A57DAE"/>
    <w:rsid w:val="00A6031E"/>
    <w:rsid w:val="00A60378"/>
    <w:rsid w:val="00A60CDA"/>
    <w:rsid w:val="00A611A4"/>
    <w:rsid w:val="00A61655"/>
    <w:rsid w:val="00A61C20"/>
    <w:rsid w:val="00A61D61"/>
    <w:rsid w:val="00A61F09"/>
    <w:rsid w:val="00A622A9"/>
    <w:rsid w:val="00A624D4"/>
    <w:rsid w:val="00A625BE"/>
    <w:rsid w:val="00A625FA"/>
    <w:rsid w:val="00A62723"/>
    <w:rsid w:val="00A62B92"/>
    <w:rsid w:val="00A635A2"/>
    <w:rsid w:val="00A63689"/>
    <w:rsid w:val="00A637ED"/>
    <w:rsid w:val="00A63C5D"/>
    <w:rsid w:val="00A63E1A"/>
    <w:rsid w:val="00A64097"/>
    <w:rsid w:val="00A64298"/>
    <w:rsid w:val="00A643DC"/>
    <w:rsid w:val="00A64FB3"/>
    <w:rsid w:val="00A65044"/>
    <w:rsid w:val="00A6695B"/>
    <w:rsid w:val="00A673CB"/>
    <w:rsid w:val="00A67C02"/>
    <w:rsid w:val="00A67D79"/>
    <w:rsid w:val="00A70939"/>
    <w:rsid w:val="00A70B7F"/>
    <w:rsid w:val="00A71194"/>
    <w:rsid w:val="00A71327"/>
    <w:rsid w:val="00A71F01"/>
    <w:rsid w:val="00A72703"/>
    <w:rsid w:val="00A727F6"/>
    <w:rsid w:val="00A72E71"/>
    <w:rsid w:val="00A7392C"/>
    <w:rsid w:val="00A7394E"/>
    <w:rsid w:val="00A73C2A"/>
    <w:rsid w:val="00A744F5"/>
    <w:rsid w:val="00A74628"/>
    <w:rsid w:val="00A7485A"/>
    <w:rsid w:val="00A751AA"/>
    <w:rsid w:val="00A754C4"/>
    <w:rsid w:val="00A75BD4"/>
    <w:rsid w:val="00A75D5A"/>
    <w:rsid w:val="00A7623E"/>
    <w:rsid w:val="00A7639B"/>
    <w:rsid w:val="00A76432"/>
    <w:rsid w:val="00A76822"/>
    <w:rsid w:val="00A770C0"/>
    <w:rsid w:val="00A77A76"/>
    <w:rsid w:val="00A77DAF"/>
    <w:rsid w:val="00A80450"/>
    <w:rsid w:val="00A80867"/>
    <w:rsid w:val="00A80B72"/>
    <w:rsid w:val="00A80EA0"/>
    <w:rsid w:val="00A81165"/>
    <w:rsid w:val="00A814C6"/>
    <w:rsid w:val="00A81AE4"/>
    <w:rsid w:val="00A8236A"/>
    <w:rsid w:val="00A8246C"/>
    <w:rsid w:val="00A8305F"/>
    <w:rsid w:val="00A83B17"/>
    <w:rsid w:val="00A83D74"/>
    <w:rsid w:val="00A8421D"/>
    <w:rsid w:val="00A84398"/>
    <w:rsid w:val="00A84500"/>
    <w:rsid w:val="00A84FC6"/>
    <w:rsid w:val="00A8513A"/>
    <w:rsid w:val="00A8528E"/>
    <w:rsid w:val="00A8563B"/>
    <w:rsid w:val="00A857E8"/>
    <w:rsid w:val="00A858AE"/>
    <w:rsid w:val="00A86603"/>
    <w:rsid w:val="00A86607"/>
    <w:rsid w:val="00A86AE5"/>
    <w:rsid w:val="00A87715"/>
    <w:rsid w:val="00A90471"/>
    <w:rsid w:val="00A90BD9"/>
    <w:rsid w:val="00A90E5A"/>
    <w:rsid w:val="00A9101B"/>
    <w:rsid w:val="00A9163B"/>
    <w:rsid w:val="00A916C5"/>
    <w:rsid w:val="00A91FF0"/>
    <w:rsid w:val="00A91FFB"/>
    <w:rsid w:val="00A92988"/>
    <w:rsid w:val="00A93647"/>
    <w:rsid w:val="00A94A49"/>
    <w:rsid w:val="00A95725"/>
    <w:rsid w:val="00A958E0"/>
    <w:rsid w:val="00A95C5E"/>
    <w:rsid w:val="00A95F63"/>
    <w:rsid w:val="00A97D8A"/>
    <w:rsid w:val="00A97F44"/>
    <w:rsid w:val="00AA00B5"/>
    <w:rsid w:val="00AA015E"/>
    <w:rsid w:val="00AA0A2E"/>
    <w:rsid w:val="00AA0BE9"/>
    <w:rsid w:val="00AA11DB"/>
    <w:rsid w:val="00AA1394"/>
    <w:rsid w:val="00AA1706"/>
    <w:rsid w:val="00AA1815"/>
    <w:rsid w:val="00AA192F"/>
    <w:rsid w:val="00AA19CF"/>
    <w:rsid w:val="00AA1D3E"/>
    <w:rsid w:val="00AA20E7"/>
    <w:rsid w:val="00AA25A7"/>
    <w:rsid w:val="00AA26F1"/>
    <w:rsid w:val="00AA29ED"/>
    <w:rsid w:val="00AA3334"/>
    <w:rsid w:val="00AA3986"/>
    <w:rsid w:val="00AA39F9"/>
    <w:rsid w:val="00AA3DA9"/>
    <w:rsid w:val="00AA3E98"/>
    <w:rsid w:val="00AA4416"/>
    <w:rsid w:val="00AA4648"/>
    <w:rsid w:val="00AA4721"/>
    <w:rsid w:val="00AA52C2"/>
    <w:rsid w:val="00AA55D2"/>
    <w:rsid w:val="00AA5A7B"/>
    <w:rsid w:val="00AA62F9"/>
    <w:rsid w:val="00AA63FD"/>
    <w:rsid w:val="00AA6679"/>
    <w:rsid w:val="00AA6B16"/>
    <w:rsid w:val="00AA722B"/>
    <w:rsid w:val="00AA7702"/>
    <w:rsid w:val="00AA79D3"/>
    <w:rsid w:val="00AA7FD6"/>
    <w:rsid w:val="00AB0931"/>
    <w:rsid w:val="00AB1857"/>
    <w:rsid w:val="00AB19FA"/>
    <w:rsid w:val="00AB1B13"/>
    <w:rsid w:val="00AB1C47"/>
    <w:rsid w:val="00AB2114"/>
    <w:rsid w:val="00AB24C8"/>
    <w:rsid w:val="00AB2786"/>
    <w:rsid w:val="00AB302A"/>
    <w:rsid w:val="00AB310A"/>
    <w:rsid w:val="00AB3221"/>
    <w:rsid w:val="00AB39D3"/>
    <w:rsid w:val="00AB3AA6"/>
    <w:rsid w:val="00AB3AB8"/>
    <w:rsid w:val="00AB46C1"/>
    <w:rsid w:val="00AB4865"/>
    <w:rsid w:val="00AB4DC4"/>
    <w:rsid w:val="00AB585F"/>
    <w:rsid w:val="00AB5C9B"/>
    <w:rsid w:val="00AB60FC"/>
    <w:rsid w:val="00AB61EF"/>
    <w:rsid w:val="00AB6211"/>
    <w:rsid w:val="00AB621B"/>
    <w:rsid w:val="00AB6C52"/>
    <w:rsid w:val="00AB76C7"/>
    <w:rsid w:val="00AC0159"/>
    <w:rsid w:val="00AC0276"/>
    <w:rsid w:val="00AC0312"/>
    <w:rsid w:val="00AC0449"/>
    <w:rsid w:val="00AC0726"/>
    <w:rsid w:val="00AC0DC3"/>
    <w:rsid w:val="00AC1054"/>
    <w:rsid w:val="00AC1775"/>
    <w:rsid w:val="00AC2234"/>
    <w:rsid w:val="00AC22FB"/>
    <w:rsid w:val="00AC257E"/>
    <w:rsid w:val="00AC2AC7"/>
    <w:rsid w:val="00AC3775"/>
    <w:rsid w:val="00AC56F3"/>
    <w:rsid w:val="00AC6841"/>
    <w:rsid w:val="00AC6BB2"/>
    <w:rsid w:val="00AC6C06"/>
    <w:rsid w:val="00AC6F0F"/>
    <w:rsid w:val="00AC6F15"/>
    <w:rsid w:val="00AC7305"/>
    <w:rsid w:val="00AC74FB"/>
    <w:rsid w:val="00AC7953"/>
    <w:rsid w:val="00AD01D2"/>
    <w:rsid w:val="00AD035F"/>
    <w:rsid w:val="00AD03C1"/>
    <w:rsid w:val="00AD0420"/>
    <w:rsid w:val="00AD0AA7"/>
    <w:rsid w:val="00AD0D52"/>
    <w:rsid w:val="00AD18AE"/>
    <w:rsid w:val="00AD1A41"/>
    <w:rsid w:val="00AD1C73"/>
    <w:rsid w:val="00AD1FC7"/>
    <w:rsid w:val="00AD2497"/>
    <w:rsid w:val="00AD26B5"/>
    <w:rsid w:val="00AD288C"/>
    <w:rsid w:val="00AD30D7"/>
    <w:rsid w:val="00AD3ABC"/>
    <w:rsid w:val="00AD3FC1"/>
    <w:rsid w:val="00AD42E0"/>
    <w:rsid w:val="00AD460D"/>
    <w:rsid w:val="00AD598A"/>
    <w:rsid w:val="00AD5C04"/>
    <w:rsid w:val="00AD5EB4"/>
    <w:rsid w:val="00AD6024"/>
    <w:rsid w:val="00AD662C"/>
    <w:rsid w:val="00AD667B"/>
    <w:rsid w:val="00AD6CE8"/>
    <w:rsid w:val="00AD7086"/>
    <w:rsid w:val="00AD72E9"/>
    <w:rsid w:val="00AD797E"/>
    <w:rsid w:val="00AD7CED"/>
    <w:rsid w:val="00AD7F6C"/>
    <w:rsid w:val="00AE039D"/>
    <w:rsid w:val="00AE076D"/>
    <w:rsid w:val="00AE1255"/>
    <w:rsid w:val="00AE1C1E"/>
    <w:rsid w:val="00AE1C4C"/>
    <w:rsid w:val="00AE2879"/>
    <w:rsid w:val="00AE2ADA"/>
    <w:rsid w:val="00AE2BE3"/>
    <w:rsid w:val="00AE2C20"/>
    <w:rsid w:val="00AE39D6"/>
    <w:rsid w:val="00AE4365"/>
    <w:rsid w:val="00AE4651"/>
    <w:rsid w:val="00AE4DC8"/>
    <w:rsid w:val="00AE4ED1"/>
    <w:rsid w:val="00AE4EFF"/>
    <w:rsid w:val="00AE5291"/>
    <w:rsid w:val="00AE53E6"/>
    <w:rsid w:val="00AE588D"/>
    <w:rsid w:val="00AE59B2"/>
    <w:rsid w:val="00AE6324"/>
    <w:rsid w:val="00AE63E2"/>
    <w:rsid w:val="00AE6839"/>
    <w:rsid w:val="00AE6849"/>
    <w:rsid w:val="00AE7668"/>
    <w:rsid w:val="00AE76FD"/>
    <w:rsid w:val="00AE77D0"/>
    <w:rsid w:val="00AE7976"/>
    <w:rsid w:val="00AE79B8"/>
    <w:rsid w:val="00AE7D11"/>
    <w:rsid w:val="00AE7F06"/>
    <w:rsid w:val="00AF04C9"/>
    <w:rsid w:val="00AF08CF"/>
    <w:rsid w:val="00AF0E35"/>
    <w:rsid w:val="00AF0EC1"/>
    <w:rsid w:val="00AF17E8"/>
    <w:rsid w:val="00AF19A2"/>
    <w:rsid w:val="00AF1DC4"/>
    <w:rsid w:val="00AF20B0"/>
    <w:rsid w:val="00AF20B9"/>
    <w:rsid w:val="00AF22BF"/>
    <w:rsid w:val="00AF2401"/>
    <w:rsid w:val="00AF26B6"/>
    <w:rsid w:val="00AF2979"/>
    <w:rsid w:val="00AF2B92"/>
    <w:rsid w:val="00AF2CEF"/>
    <w:rsid w:val="00AF3189"/>
    <w:rsid w:val="00AF37EA"/>
    <w:rsid w:val="00AF3ACA"/>
    <w:rsid w:val="00AF44E1"/>
    <w:rsid w:val="00AF46F4"/>
    <w:rsid w:val="00AF53EE"/>
    <w:rsid w:val="00AF5AB0"/>
    <w:rsid w:val="00AF5BF8"/>
    <w:rsid w:val="00AF60B9"/>
    <w:rsid w:val="00AF627A"/>
    <w:rsid w:val="00AF6BF9"/>
    <w:rsid w:val="00AF7264"/>
    <w:rsid w:val="00AF7C26"/>
    <w:rsid w:val="00B002ED"/>
    <w:rsid w:val="00B00346"/>
    <w:rsid w:val="00B00CC6"/>
    <w:rsid w:val="00B01B8B"/>
    <w:rsid w:val="00B02212"/>
    <w:rsid w:val="00B02454"/>
    <w:rsid w:val="00B02D01"/>
    <w:rsid w:val="00B03162"/>
    <w:rsid w:val="00B0341D"/>
    <w:rsid w:val="00B0375C"/>
    <w:rsid w:val="00B03E9D"/>
    <w:rsid w:val="00B04596"/>
    <w:rsid w:val="00B04C08"/>
    <w:rsid w:val="00B04FF4"/>
    <w:rsid w:val="00B04FFE"/>
    <w:rsid w:val="00B052CB"/>
    <w:rsid w:val="00B0530E"/>
    <w:rsid w:val="00B05ACC"/>
    <w:rsid w:val="00B05B30"/>
    <w:rsid w:val="00B0646F"/>
    <w:rsid w:val="00B067D9"/>
    <w:rsid w:val="00B06D30"/>
    <w:rsid w:val="00B06EDF"/>
    <w:rsid w:val="00B07467"/>
    <w:rsid w:val="00B07BCB"/>
    <w:rsid w:val="00B10B9C"/>
    <w:rsid w:val="00B11385"/>
    <w:rsid w:val="00B11420"/>
    <w:rsid w:val="00B11F82"/>
    <w:rsid w:val="00B12C79"/>
    <w:rsid w:val="00B13751"/>
    <w:rsid w:val="00B13AAF"/>
    <w:rsid w:val="00B14943"/>
    <w:rsid w:val="00B14ADD"/>
    <w:rsid w:val="00B14E9F"/>
    <w:rsid w:val="00B156C3"/>
    <w:rsid w:val="00B15C44"/>
    <w:rsid w:val="00B15F67"/>
    <w:rsid w:val="00B1624F"/>
    <w:rsid w:val="00B16355"/>
    <w:rsid w:val="00B16488"/>
    <w:rsid w:val="00B16F5A"/>
    <w:rsid w:val="00B175DB"/>
    <w:rsid w:val="00B179AD"/>
    <w:rsid w:val="00B20113"/>
    <w:rsid w:val="00B20E42"/>
    <w:rsid w:val="00B20F5D"/>
    <w:rsid w:val="00B21145"/>
    <w:rsid w:val="00B21184"/>
    <w:rsid w:val="00B224C5"/>
    <w:rsid w:val="00B22963"/>
    <w:rsid w:val="00B22A82"/>
    <w:rsid w:val="00B23B81"/>
    <w:rsid w:val="00B23DA1"/>
    <w:rsid w:val="00B241DD"/>
    <w:rsid w:val="00B242B0"/>
    <w:rsid w:val="00B246BA"/>
    <w:rsid w:val="00B24BE5"/>
    <w:rsid w:val="00B24C3F"/>
    <w:rsid w:val="00B2518C"/>
    <w:rsid w:val="00B25AE8"/>
    <w:rsid w:val="00B26561"/>
    <w:rsid w:val="00B26938"/>
    <w:rsid w:val="00B26A24"/>
    <w:rsid w:val="00B271E2"/>
    <w:rsid w:val="00B27488"/>
    <w:rsid w:val="00B274AE"/>
    <w:rsid w:val="00B27665"/>
    <w:rsid w:val="00B277EF"/>
    <w:rsid w:val="00B27CEF"/>
    <w:rsid w:val="00B27F3E"/>
    <w:rsid w:val="00B30200"/>
    <w:rsid w:val="00B304C5"/>
    <w:rsid w:val="00B319C0"/>
    <w:rsid w:val="00B31AAE"/>
    <w:rsid w:val="00B32226"/>
    <w:rsid w:val="00B322FA"/>
    <w:rsid w:val="00B325CD"/>
    <w:rsid w:val="00B32776"/>
    <w:rsid w:val="00B330D6"/>
    <w:rsid w:val="00B3321F"/>
    <w:rsid w:val="00B33614"/>
    <w:rsid w:val="00B33CA0"/>
    <w:rsid w:val="00B33D40"/>
    <w:rsid w:val="00B33ED4"/>
    <w:rsid w:val="00B34072"/>
    <w:rsid w:val="00B34494"/>
    <w:rsid w:val="00B34815"/>
    <w:rsid w:val="00B34AAF"/>
    <w:rsid w:val="00B34EB2"/>
    <w:rsid w:val="00B34FF2"/>
    <w:rsid w:val="00B3553D"/>
    <w:rsid w:val="00B35775"/>
    <w:rsid w:val="00B35B11"/>
    <w:rsid w:val="00B35B90"/>
    <w:rsid w:val="00B35CDA"/>
    <w:rsid w:val="00B35F44"/>
    <w:rsid w:val="00B3600B"/>
    <w:rsid w:val="00B36C0F"/>
    <w:rsid w:val="00B36EA4"/>
    <w:rsid w:val="00B37433"/>
    <w:rsid w:val="00B3763B"/>
    <w:rsid w:val="00B37793"/>
    <w:rsid w:val="00B37A52"/>
    <w:rsid w:val="00B40566"/>
    <w:rsid w:val="00B40B82"/>
    <w:rsid w:val="00B41203"/>
    <w:rsid w:val="00B41FB4"/>
    <w:rsid w:val="00B4278C"/>
    <w:rsid w:val="00B42A23"/>
    <w:rsid w:val="00B42B22"/>
    <w:rsid w:val="00B43098"/>
    <w:rsid w:val="00B43509"/>
    <w:rsid w:val="00B435F2"/>
    <w:rsid w:val="00B4416B"/>
    <w:rsid w:val="00B4465A"/>
    <w:rsid w:val="00B4561E"/>
    <w:rsid w:val="00B45DBC"/>
    <w:rsid w:val="00B4655A"/>
    <w:rsid w:val="00B47298"/>
    <w:rsid w:val="00B4768D"/>
    <w:rsid w:val="00B4793B"/>
    <w:rsid w:val="00B504DA"/>
    <w:rsid w:val="00B5095F"/>
    <w:rsid w:val="00B50F63"/>
    <w:rsid w:val="00B50FB2"/>
    <w:rsid w:val="00B5124A"/>
    <w:rsid w:val="00B51655"/>
    <w:rsid w:val="00B51803"/>
    <w:rsid w:val="00B518E5"/>
    <w:rsid w:val="00B51BBE"/>
    <w:rsid w:val="00B51E1F"/>
    <w:rsid w:val="00B51E77"/>
    <w:rsid w:val="00B52601"/>
    <w:rsid w:val="00B5299F"/>
    <w:rsid w:val="00B52A31"/>
    <w:rsid w:val="00B53604"/>
    <w:rsid w:val="00B5367C"/>
    <w:rsid w:val="00B53A96"/>
    <w:rsid w:val="00B53B14"/>
    <w:rsid w:val="00B53B6F"/>
    <w:rsid w:val="00B53B98"/>
    <w:rsid w:val="00B53DA5"/>
    <w:rsid w:val="00B53F75"/>
    <w:rsid w:val="00B55C69"/>
    <w:rsid w:val="00B56034"/>
    <w:rsid w:val="00B56C7C"/>
    <w:rsid w:val="00B57032"/>
    <w:rsid w:val="00B57802"/>
    <w:rsid w:val="00B60222"/>
    <w:rsid w:val="00B60776"/>
    <w:rsid w:val="00B608D9"/>
    <w:rsid w:val="00B61D25"/>
    <w:rsid w:val="00B61D91"/>
    <w:rsid w:val="00B62790"/>
    <w:rsid w:val="00B62BDB"/>
    <w:rsid w:val="00B62CFB"/>
    <w:rsid w:val="00B630F8"/>
    <w:rsid w:val="00B63494"/>
    <w:rsid w:val="00B63701"/>
    <w:rsid w:val="00B63E4B"/>
    <w:rsid w:val="00B63E5D"/>
    <w:rsid w:val="00B645C5"/>
    <w:rsid w:val="00B64DE2"/>
    <w:rsid w:val="00B6501C"/>
    <w:rsid w:val="00B651F1"/>
    <w:rsid w:val="00B652C7"/>
    <w:rsid w:val="00B653BB"/>
    <w:rsid w:val="00B662F5"/>
    <w:rsid w:val="00B664D6"/>
    <w:rsid w:val="00B669D7"/>
    <w:rsid w:val="00B66B26"/>
    <w:rsid w:val="00B66C46"/>
    <w:rsid w:val="00B66DB3"/>
    <w:rsid w:val="00B6724B"/>
    <w:rsid w:val="00B67692"/>
    <w:rsid w:val="00B67B66"/>
    <w:rsid w:val="00B7000C"/>
    <w:rsid w:val="00B70029"/>
    <w:rsid w:val="00B703E8"/>
    <w:rsid w:val="00B70AE8"/>
    <w:rsid w:val="00B712FF"/>
    <w:rsid w:val="00B71351"/>
    <w:rsid w:val="00B71DD6"/>
    <w:rsid w:val="00B71F14"/>
    <w:rsid w:val="00B71FED"/>
    <w:rsid w:val="00B7205F"/>
    <w:rsid w:val="00B73CF6"/>
    <w:rsid w:val="00B74663"/>
    <w:rsid w:val="00B7500D"/>
    <w:rsid w:val="00B754F9"/>
    <w:rsid w:val="00B757A4"/>
    <w:rsid w:val="00B7605B"/>
    <w:rsid w:val="00B760D5"/>
    <w:rsid w:val="00B7682A"/>
    <w:rsid w:val="00B76DEE"/>
    <w:rsid w:val="00B77495"/>
    <w:rsid w:val="00B77C67"/>
    <w:rsid w:val="00B801B7"/>
    <w:rsid w:val="00B80E70"/>
    <w:rsid w:val="00B80F56"/>
    <w:rsid w:val="00B81434"/>
    <w:rsid w:val="00B81832"/>
    <w:rsid w:val="00B81BA2"/>
    <w:rsid w:val="00B81BEA"/>
    <w:rsid w:val="00B8226E"/>
    <w:rsid w:val="00B825AE"/>
    <w:rsid w:val="00B82D46"/>
    <w:rsid w:val="00B83188"/>
    <w:rsid w:val="00B83384"/>
    <w:rsid w:val="00B83B2C"/>
    <w:rsid w:val="00B83FEE"/>
    <w:rsid w:val="00B84A85"/>
    <w:rsid w:val="00B857CD"/>
    <w:rsid w:val="00B86703"/>
    <w:rsid w:val="00B86E84"/>
    <w:rsid w:val="00B86EA7"/>
    <w:rsid w:val="00B86F79"/>
    <w:rsid w:val="00B872D3"/>
    <w:rsid w:val="00B8735C"/>
    <w:rsid w:val="00B874C0"/>
    <w:rsid w:val="00B87E05"/>
    <w:rsid w:val="00B9024F"/>
    <w:rsid w:val="00B9117C"/>
    <w:rsid w:val="00B92049"/>
    <w:rsid w:val="00B927A3"/>
    <w:rsid w:val="00B92D95"/>
    <w:rsid w:val="00B930A5"/>
    <w:rsid w:val="00B93953"/>
    <w:rsid w:val="00B93D51"/>
    <w:rsid w:val="00B93FBA"/>
    <w:rsid w:val="00B94740"/>
    <w:rsid w:val="00B947AD"/>
    <w:rsid w:val="00B94872"/>
    <w:rsid w:val="00B94C76"/>
    <w:rsid w:val="00B94E3F"/>
    <w:rsid w:val="00B95002"/>
    <w:rsid w:val="00B95603"/>
    <w:rsid w:val="00B9565B"/>
    <w:rsid w:val="00B95A6D"/>
    <w:rsid w:val="00B95B4D"/>
    <w:rsid w:val="00B95D91"/>
    <w:rsid w:val="00B95F15"/>
    <w:rsid w:val="00B9624C"/>
    <w:rsid w:val="00B967AC"/>
    <w:rsid w:val="00B970E3"/>
    <w:rsid w:val="00B97956"/>
    <w:rsid w:val="00B97F75"/>
    <w:rsid w:val="00BA01E7"/>
    <w:rsid w:val="00BA04B0"/>
    <w:rsid w:val="00BA08FA"/>
    <w:rsid w:val="00BA0A4F"/>
    <w:rsid w:val="00BA0A89"/>
    <w:rsid w:val="00BA0DD2"/>
    <w:rsid w:val="00BA0E14"/>
    <w:rsid w:val="00BA0F43"/>
    <w:rsid w:val="00BA0FE4"/>
    <w:rsid w:val="00BA0FEB"/>
    <w:rsid w:val="00BA101A"/>
    <w:rsid w:val="00BA158E"/>
    <w:rsid w:val="00BA180A"/>
    <w:rsid w:val="00BA1CAE"/>
    <w:rsid w:val="00BA1EA2"/>
    <w:rsid w:val="00BA22F9"/>
    <w:rsid w:val="00BA2F56"/>
    <w:rsid w:val="00BA2F93"/>
    <w:rsid w:val="00BA3092"/>
    <w:rsid w:val="00BA33BB"/>
    <w:rsid w:val="00BA3425"/>
    <w:rsid w:val="00BA35D5"/>
    <w:rsid w:val="00BA3D89"/>
    <w:rsid w:val="00BA4175"/>
    <w:rsid w:val="00BA42B6"/>
    <w:rsid w:val="00BA4830"/>
    <w:rsid w:val="00BA4BB2"/>
    <w:rsid w:val="00BA4CC6"/>
    <w:rsid w:val="00BA5399"/>
    <w:rsid w:val="00BA577C"/>
    <w:rsid w:val="00BA6154"/>
    <w:rsid w:val="00BA6203"/>
    <w:rsid w:val="00BA66E5"/>
    <w:rsid w:val="00BA6E22"/>
    <w:rsid w:val="00BA73AB"/>
    <w:rsid w:val="00BA74BC"/>
    <w:rsid w:val="00BA79C2"/>
    <w:rsid w:val="00BA7A75"/>
    <w:rsid w:val="00BA7B9E"/>
    <w:rsid w:val="00BA7E8B"/>
    <w:rsid w:val="00BA7F6F"/>
    <w:rsid w:val="00BB0227"/>
    <w:rsid w:val="00BB059E"/>
    <w:rsid w:val="00BB0873"/>
    <w:rsid w:val="00BB1460"/>
    <w:rsid w:val="00BB163D"/>
    <w:rsid w:val="00BB18CA"/>
    <w:rsid w:val="00BB1DEA"/>
    <w:rsid w:val="00BB2144"/>
    <w:rsid w:val="00BB276E"/>
    <w:rsid w:val="00BB362C"/>
    <w:rsid w:val="00BB39F8"/>
    <w:rsid w:val="00BB3AB5"/>
    <w:rsid w:val="00BB58B4"/>
    <w:rsid w:val="00BB5942"/>
    <w:rsid w:val="00BB59FA"/>
    <w:rsid w:val="00BB62B4"/>
    <w:rsid w:val="00BB63B1"/>
    <w:rsid w:val="00BB6B1D"/>
    <w:rsid w:val="00BB6B2F"/>
    <w:rsid w:val="00BB6EF8"/>
    <w:rsid w:val="00BB6FE8"/>
    <w:rsid w:val="00BB72BF"/>
    <w:rsid w:val="00BB7F09"/>
    <w:rsid w:val="00BC01DA"/>
    <w:rsid w:val="00BC067E"/>
    <w:rsid w:val="00BC0741"/>
    <w:rsid w:val="00BC07CF"/>
    <w:rsid w:val="00BC0A03"/>
    <w:rsid w:val="00BC1136"/>
    <w:rsid w:val="00BC1146"/>
    <w:rsid w:val="00BC1DCA"/>
    <w:rsid w:val="00BC2263"/>
    <w:rsid w:val="00BC2323"/>
    <w:rsid w:val="00BC2A4D"/>
    <w:rsid w:val="00BC3299"/>
    <w:rsid w:val="00BC3468"/>
    <w:rsid w:val="00BC37EC"/>
    <w:rsid w:val="00BC3A15"/>
    <w:rsid w:val="00BC3CC9"/>
    <w:rsid w:val="00BC4230"/>
    <w:rsid w:val="00BC4A42"/>
    <w:rsid w:val="00BC5002"/>
    <w:rsid w:val="00BC5690"/>
    <w:rsid w:val="00BC5BB4"/>
    <w:rsid w:val="00BC5DC3"/>
    <w:rsid w:val="00BC671D"/>
    <w:rsid w:val="00BC67ED"/>
    <w:rsid w:val="00BC6EDF"/>
    <w:rsid w:val="00BC71FA"/>
    <w:rsid w:val="00BC7292"/>
    <w:rsid w:val="00BC76D5"/>
    <w:rsid w:val="00BC78D5"/>
    <w:rsid w:val="00BD0427"/>
    <w:rsid w:val="00BD0B08"/>
    <w:rsid w:val="00BD0CCA"/>
    <w:rsid w:val="00BD1787"/>
    <w:rsid w:val="00BD187D"/>
    <w:rsid w:val="00BD294B"/>
    <w:rsid w:val="00BD2CDF"/>
    <w:rsid w:val="00BD3053"/>
    <w:rsid w:val="00BD3684"/>
    <w:rsid w:val="00BD3BC5"/>
    <w:rsid w:val="00BD3C0A"/>
    <w:rsid w:val="00BD3FEB"/>
    <w:rsid w:val="00BD4139"/>
    <w:rsid w:val="00BD42D4"/>
    <w:rsid w:val="00BD4563"/>
    <w:rsid w:val="00BD46E2"/>
    <w:rsid w:val="00BD4757"/>
    <w:rsid w:val="00BD4ECF"/>
    <w:rsid w:val="00BD5012"/>
    <w:rsid w:val="00BD56ED"/>
    <w:rsid w:val="00BD5C00"/>
    <w:rsid w:val="00BD5D3F"/>
    <w:rsid w:val="00BD6055"/>
    <w:rsid w:val="00BD68C9"/>
    <w:rsid w:val="00BD746B"/>
    <w:rsid w:val="00BD79C0"/>
    <w:rsid w:val="00BE0157"/>
    <w:rsid w:val="00BE018D"/>
    <w:rsid w:val="00BE01E4"/>
    <w:rsid w:val="00BE059A"/>
    <w:rsid w:val="00BE06F6"/>
    <w:rsid w:val="00BE0894"/>
    <w:rsid w:val="00BE1050"/>
    <w:rsid w:val="00BE1107"/>
    <w:rsid w:val="00BE11D9"/>
    <w:rsid w:val="00BE1363"/>
    <w:rsid w:val="00BE1981"/>
    <w:rsid w:val="00BE1BFD"/>
    <w:rsid w:val="00BE1CB8"/>
    <w:rsid w:val="00BE29F9"/>
    <w:rsid w:val="00BE2D06"/>
    <w:rsid w:val="00BE2DA6"/>
    <w:rsid w:val="00BE2E06"/>
    <w:rsid w:val="00BE2E86"/>
    <w:rsid w:val="00BE2F11"/>
    <w:rsid w:val="00BE320B"/>
    <w:rsid w:val="00BE3323"/>
    <w:rsid w:val="00BE36A3"/>
    <w:rsid w:val="00BE37A3"/>
    <w:rsid w:val="00BE3EC7"/>
    <w:rsid w:val="00BE4EF6"/>
    <w:rsid w:val="00BE56E9"/>
    <w:rsid w:val="00BE59A2"/>
    <w:rsid w:val="00BE5AA2"/>
    <w:rsid w:val="00BE63CF"/>
    <w:rsid w:val="00BE6807"/>
    <w:rsid w:val="00BE68E3"/>
    <w:rsid w:val="00BE7014"/>
    <w:rsid w:val="00BE70E7"/>
    <w:rsid w:val="00BE7417"/>
    <w:rsid w:val="00BE7991"/>
    <w:rsid w:val="00BF02F5"/>
    <w:rsid w:val="00BF06D3"/>
    <w:rsid w:val="00BF0843"/>
    <w:rsid w:val="00BF098D"/>
    <w:rsid w:val="00BF156D"/>
    <w:rsid w:val="00BF15C5"/>
    <w:rsid w:val="00BF18F6"/>
    <w:rsid w:val="00BF25C7"/>
    <w:rsid w:val="00BF2D62"/>
    <w:rsid w:val="00BF36D2"/>
    <w:rsid w:val="00BF38FF"/>
    <w:rsid w:val="00BF39F3"/>
    <w:rsid w:val="00BF3C5C"/>
    <w:rsid w:val="00BF41ED"/>
    <w:rsid w:val="00BF4517"/>
    <w:rsid w:val="00BF4541"/>
    <w:rsid w:val="00BF4D1F"/>
    <w:rsid w:val="00BF4F1A"/>
    <w:rsid w:val="00BF4FA2"/>
    <w:rsid w:val="00BF5280"/>
    <w:rsid w:val="00BF596D"/>
    <w:rsid w:val="00BF65E2"/>
    <w:rsid w:val="00BF6924"/>
    <w:rsid w:val="00BF70AF"/>
    <w:rsid w:val="00BF7775"/>
    <w:rsid w:val="00C001F0"/>
    <w:rsid w:val="00C002AB"/>
    <w:rsid w:val="00C009B7"/>
    <w:rsid w:val="00C00B7B"/>
    <w:rsid w:val="00C017C8"/>
    <w:rsid w:val="00C01D0F"/>
    <w:rsid w:val="00C01D1E"/>
    <w:rsid w:val="00C022C8"/>
    <w:rsid w:val="00C0259F"/>
    <w:rsid w:val="00C02B8F"/>
    <w:rsid w:val="00C02F49"/>
    <w:rsid w:val="00C036D5"/>
    <w:rsid w:val="00C03713"/>
    <w:rsid w:val="00C0405C"/>
    <w:rsid w:val="00C041B5"/>
    <w:rsid w:val="00C041C0"/>
    <w:rsid w:val="00C04531"/>
    <w:rsid w:val="00C04E32"/>
    <w:rsid w:val="00C04FF8"/>
    <w:rsid w:val="00C0587A"/>
    <w:rsid w:val="00C067F8"/>
    <w:rsid w:val="00C06863"/>
    <w:rsid w:val="00C10095"/>
    <w:rsid w:val="00C100B2"/>
    <w:rsid w:val="00C104A2"/>
    <w:rsid w:val="00C109C2"/>
    <w:rsid w:val="00C11024"/>
    <w:rsid w:val="00C11260"/>
    <w:rsid w:val="00C1169A"/>
    <w:rsid w:val="00C116B1"/>
    <w:rsid w:val="00C11A6B"/>
    <w:rsid w:val="00C125CD"/>
    <w:rsid w:val="00C12BC0"/>
    <w:rsid w:val="00C12EEE"/>
    <w:rsid w:val="00C12F66"/>
    <w:rsid w:val="00C13C61"/>
    <w:rsid w:val="00C148EB"/>
    <w:rsid w:val="00C1536A"/>
    <w:rsid w:val="00C1560D"/>
    <w:rsid w:val="00C15A3F"/>
    <w:rsid w:val="00C15E8A"/>
    <w:rsid w:val="00C16521"/>
    <w:rsid w:val="00C16821"/>
    <w:rsid w:val="00C1713E"/>
    <w:rsid w:val="00C17D59"/>
    <w:rsid w:val="00C20630"/>
    <w:rsid w:val="00C208A0"/>
    <w:rsid w:val="00C20A05"/>
    <w:rsid w:val="00C20E8F"/>
    <w:rsid w:val="00C2112D"/>
    <w:rsid w:val="00C224A4"/>
    <w:rsid w:val="00C22CE2"/>
    <w:rsid w:val="00C22DEB"/>
    <w:rsid w:val="00C22F7A"/>
    <w:rsid w:val="00C23EA0"/>
    <w:rsid w:val="00C24575"/>
    <w:rsid w:val="00C249C2"/>
    <w:rsid w:val="00C24F52"/>
    <w:rsid w:val="00C25E89"/>
    <w:rsid w:val="00C2646A"/>
    <w:rsid w:val="00C2666F"/>
    <w:rsid w:val="00C26CBB"/>
    <w:rsid w:val="00C26EE6"/>
    <w:rsid w:val="00C27195"/>
    <w:rsid w:val="00C2776A"/>
    <w:rsid w:val="00C277C8"/>
    <w:rsid w:val="00C27D52"/>
    <w:rsid w:val="00C27EB1"/>
    <w:rsid w:val="00C301BE"/>
    <w:rsid w:val="00C303B4"/>
    <w:rsid w:val="00C3069D"/>
    <w:rsid w:val="00C30829"/>
    <w:rsid w:val="00C308A8"/>
    <w:rsid w:val="00C31371"/>
    <w:rsid w:val="00C319AA"/>
    <w:rsid w:val="00C32020"/>
    <w:rsid w:val="00C3211F"/>
    <w:rsid w:val="00C32181"/>
    <w:rsid w:val="00C322D2"/>
    <w:rsid w:val="00C32540"/>
    <w:rsid w:val="00C32916"/>
    <w:rsid w:val="00C32D02"/>
    <w:rsid w:val="00C333ED"/>
    <w:rsid w:val="00C33DFF"/>
    <w:rsid w:val="00C3408C"/>
    <w:rsid w:val="00C3484D"/>
    <w:rsid w:val="00C34E1A"/>
    <w:rsid w:val="00C351CC"/>
    <w:rsid w:val="00C35435"/>
    <w:rsid w:val="00C35529"/>
    <w:rsid w:val="00C355D2"/>
    <w:rsid w:val="00C35C59"/>
    <w:rsid w:val="00C3651E"/>
    <w:rsid w:val="00C36B0B"/>
    <w:rsid w:val="00C36F6F"/>
    <w:rsid w:val="00C37585"/>
    <w:rsid w:val="00C3769F"/>
    <w:rsid w:val="00C379E7"/>
    <w:rsid w:val="00C37F62"/>
    <w:rsid w:val="00C4051D"/>
    <w:rsid w:val="00C41159"/>
    <w:rsid w:val="00C415A0"/>
    <w:rsid w:val="00C42162"/>
    <w:rsid w:val="00C424D7"/>
    <w:rsid w:val="00C432FD"/>
    <w:rsid w:val="00C436B5"/>
    <w:rsid w:val="00C436C4"/>
    <w:rsid w:val="00C43CC1"/>
    <w:rsid w:val="00C43CDF"/>
    <w:rsid w:val="00C4463B"/>
    <w:rsid w:val="00C44A92"/>
    <w:rsid w:val="00C44B67"/>
    <w:rsid w:val="00C4571F"/>
    <w:rsid w:val="00C458EB"/>
    <w:rsid w:val="00C45BDF"/>
    <w:rsid w:val="00C4608E"/>
    <w:rsid w:val="00C4642B"/>
    <w:rsid w:val="00C50150"/>
    <w:rsid w:val="00C5037B"/>
    <w:rsid w:val="00C50BC5"/>
    <w:rsid w:val="00C50D1F"/>
    <w:rsid w:val="00C50DCE"/>
    <w:rsid w:val="00C512B2"/>
    <w:rsid w:val="00C516BB"/>
    <w:rsid w:val="00C51A0F"/>
    <w:rsid w:val="00C526A0"/>
    <w:rsid w:val="00C52954"/>
    <w:rsid w:val="00C52B05"/>
    <w:rsid w:val="00C52CD4"/>
    <w:rsid w:val="00C53893"/>
    <w:rsid w:val="00C53B5D"/>
    <w:rsid w:val="00C5418E"/>
    <w:rsid w:val="00C54820"/>
    <w:rsid w:val="00C55A6C"/>
    <w:rsid w:val="00C571FB"/>
    <w:rsid w:val="00C57381"/>
    <w:rsid w:val="00C57422"/>
    <w:rsid w:val="00C5770F"/>
    <w:rsid w:val="00C5771B"/>
    <w:rsid w:val="00C6002F"/>
    <w:rsid w:val="00C604AA"/>
    <w:rsid w:val="00C6065A"/>
    <w:rsid w:val="00C606B6"/>
    <w:rsid w:val="00C607AE"/>
    <w:rsid w:val="00C60CAD"/>
    <w:rsid w:val="00C613D8"/>
    <w:rsid w:val="00C613E4"/>
    <w:rsid w:val="00C61A05"/>
    <w:rsid w:val="00C61D56"/>
    <w:rsid w:val="00C620EC"/>
    <w:rsid w:val="00C6278E"/>
    <w:rsid w:val="00C627F8"/>
    <w:rsid w:val="00C62806"/>
    <w:rsid w:val="00C62B59"/>
    <w:rsid w:val="00C62B69"/>
    <w:rsid w:val="00C62CBB"/>
    <w:rsid w:val="00C63284"/>
    <w:rsid w:val="00C63733"/>
    <w:rsid w:val="00C638AC"/>
    <w:rsid w:val="00C63C06"/>
    <w:rsid w:val="00C644B7"/>
    <w:rsid w:val="00C64564"/>
    <w:rsid w:val="00C64CBE"/>
    <w:rsid w:val="00C64FCE"/>
    <w:rsid w:val="00C65006"/>
    <w:rsid w:val="00C6518A"/>
    <w:rsid w:val="00C6615F"/>
    <w:rsid w:val="00C662DD"/>
    <w:rsid w:val="00C6630F"/>
    <w:rsid w:val="00C66545"/>
    <w:rsid w:val="00C66D6F"/>
    <w:rsid w:val="00C66E4B"/>
    <w:rsid w:val="00C677EA"/>
    <w:rsid w:val="00C67B5E"/>
    <w:rsid w:val="00C67F92"/>
    <w:rsid w:val="00C701FA"/>
    <w:rsid w:val="00C706CA"/>
    <w:rsid w:val="00C70C1A"/>
    <w:rsid w:val="00C71377"/>
    <w:rsid w:val="00C71686"/>
    <w:rsid w:val="00C71C57"/>
    <w:rsid w:val="00C71DC3"/>
    <w:rsid w:val="00C71E12"/>
    <w:rsid w:val="00C71E8C"/>
    <w:rsid w:val="00C71F5A"/>
    <w:rsid w:val="00C72223"/>
    <w:rsid w:val="00C72368"/>
    <w:rsid w:val="00C727C4"/>
    <w:rsid w:val="00C73094"/>
    <w:rsid w:val="00C73462"/>
    <w:rsid w:val="00C73740"/>
    <w:rsid w:val="00C7383D"/>
    <w:rsid w:val="00C73C87"/>
    <w:rsid w:val="00C73C8C"/>
    <w:rsid w:val="00C73DF3"/>
    <w:rsid w:val="00C73ED8"/>
    <w:rsid w:val="00C74159"/>
    <w:rsid w:val="00C74295"/>
    <w:rsid w:val="00C742C9"/>
    <w:rsid w:val="00C74661"/>
    <w:rsid w:val="00C74A24"/>
    <w:rsid w:val="00C74B6F"/>
    <w:rsid w:val="00C74F99"/>
    <w:rsid w:val="00C75216"/>
    <w:rsid w:val="00C75290"/>
    <w:rsid w:val="00C75AD3"/>
    <w:rsid w:val="00C75CF8"/>
    <w:rsid w:val="00C76352"/>
    <w:rsid w:val="00C7637B"/>
    <w:rsid w:val="00C76494"/>
    <w:rsid w:val="00C76671"/>
    <w:rsid w:val="00C769B6"/>
    <w:rsid w:val="00C76BD8"/>
    <w:rsid w:val="00C77218"/>
    <w:rsid w:val="00C775B2"/>
    <w:rsid w:val="00C7761C"/>
    <w:rsid w:val="00C8024A"/>
    <w:rsid w:val="00C806C8"/>
    <w:rsid w:val="00C80D43"/>
    <w:rsid w:val="00C80F0E"/>
    <w:rsid w:val="00C81FA8"/>
    <w:rsid w:val="00C822F0"/>
    <w:rsid w:val="00C82D43"/>
    <w:rsid w:val="00C83794"/>
    <w:rsid w:val="00C839B5"/>
    <w:rsid w:val="00C84AFF"/>
    <w:rsid w:val="00C84C41"/>
    <w:rsid w:val="00C85098"/>
    <w:rsid w:val="00C8600D"/>
    <w:rsid w:val="00C86327"/>
    <w:rsid w:val="00C8714D"/>
    <w:rsid w:val="00C8738E"/>
    <w:rsid w:val="00C874CE"/>
    <w:rsid w:val="00C879C0"/>
    <w:rsid w:val="00C87EF3"/>
    <w:rsid w:val="00C90081"/>
    <w:rsid w:val="00C9015F"/>
    <w:rsid w:val="00C90351"/>
    <w:rsid w:val="00C90D92"/>
    <w:rsid w:val="00C9120C"/>
    <w:rsid w:val="00C912F9"/>
    <w:rsid w:val="00C91556"/>
    <w:rsid w:val="00C91783"/>
    <w:rsid w:val="00C91B22"/>
    <w:rsid w:val="00C9241B"/>
    <w:rsid w:val="00C927B2"/>
    <w:rsid w:val="00C927FC"/>
    <w:rsid w:val="00C9293D"/>
    <w:rsid w:val="00C92E68"/>
    <w:rsid w:val="00C92FB1"/>
    <w:rsid w:val="00C932BC"/>
    <w:rsid w:val="00C9339E"/>
    <w:rsid w:val="00C9370B"/>
    <w:rsid w:val="00C93B53"/>
    <w:rsid w:val="00C94087"/>
    <w:rsid w:val="00C9410C"/>
    <w:rsid w:val="00C950F5"/>
    <w:rsid w:val="00C9535E"/>
    <w:rsid w:val="00C954F2"/>
    <w:rsid w:val="00C95532"/>
    <w:rsid w:val="00C95758"/>
    <w:rsid w:val="00C95780"/>
    <w:rsid w:val="00C95B77"/>
    <w:rsid w:val="00C95F0D"/>
    <w:rsid w:val="00C962F1"/>
    <w:rsid w:val="00C965F5"/>
    <w:rsid w:val="00C96DDF"/>
    <w:rsid w:val="00C97201"/>
    <w:rsid w:val="00C9722A"/>
    <w:rsid w:val="00C972FD"/>
    <w:rsid w:val="00C97569"/>
    <w:rsid w:val="00C97611"/>
    <w:rsid w:val="00C978B2"/>
    <w:rsid w:val="00C97C1C"/>
    <w:rsid w:val="00CA0455"/>
    <w:rsid w:val="00CA07E5"/>
    <w:rsid w:val="00CA0BB5"/>
    <w:rsid w:val="00CA18F6"/>
    <w:rsid w:val="00CA1966"/>
    <w:rsid w:val="00CA199D"/>
    <w:rsid w:val="00CA1A15"/>
    <w:rsid w:val="00CA1EC9"/>
    <w:rsid w:val="00CA1F58"/>
    <w:rsid w:val="00CA1FD7"/>
    <w:rsid w:val="00CA2260"/>
    <w:rsid w:val="00CA29EF"/>
    <w:rsid w:val="00CA2A42"/>
    <w:rsid w:val="00CA328F"/>
    <w:rsid w:val="00CA41A9"/>
    <w:rsid w:val="00CA441E"/>
    <w:rsid w:val="00CA4523"/>
    <w:rsid w:val="00CA4D9C"/>
    <w:rsid w:val="00CA5554"/>
    <w:rsid w:val="00CA6016"/>
    <w:rsid w:val="00CA60C8"/>
    <w:rsid w:val="00CA61F1"/>
    <w:rsid w:val="00CA74EB"/>
    <w:rsid w:val="00CA7717"/>
    <w:rsid w:val="00CA7735"/>
    <w:rsid w:val="00CA79E3"/>
    <w:rsid w:val="00CA7D68"/>
    <w:rsid w:val="00CA7F6C"/>
    <w:rsid w:val="00CB005C"/>
    <w:rsid w:val="00CB0259"/>
    <w:rsid w:val="00CB032D"/>
    <w:rsid w:val="00CB05A7"/>
    <w:rsid w:val="00CB06A4"/>
    <w:rsid w:val="00CB0BA4"/>
    <w:rsid w:val="00CB1037"/>
    <w:rsid w:val="00CB239D"/>
    <w:rsid w:val="00CB2A2F"/>
    <w:rsid w:val="00CB325B"/>
    <w:rsid w:val="00CB393B"/>
    <w:rsid w:val="00CB3EFF"/>
    <w:rsid w:val="00CB4171"/>
    <w:rsid w:val="00CB4B62"/>
    <w:rsid w:val="00CB4CC5"/>
    <w:rsid w:val="00CB4D95"/>
    <w:rsid w:val="00CB5D03"/>
    <w:rsid w:val="00CB5E92"/>
    <w:rsid w:val="00CB5EC0"/>
    <w:rsid w:val="00CB6038"/>
    <w:rsid w:val="00CB6412"/>
    <w:rsid w:val="00CB64FF"/>
    <w:rsid w:val="00CB6697"/>
    <w:rsid w:val="00CB6FB4"/>
    <w:rsid w:val="00CB7078"/>
    <w:rsid w:val="00CB711D"/>
    <w:rsid w:val="00CB734F"/>
    <w:rsid w:val="00CB7902"/>
    <w:rsid w:val="00CC003C"/>
    <w:rsid w:val="00CC014B"/>
    <w:rsid w:val="00CC08CD"/>
    <w:rsid w:val="00CC09C0"/>
    <w:rsid w:val="00CC0E81"/>
    <w:rsid w:val="00CC158C"/>
    <w:rsid w:val="00CC189C"/>
    <w:rsid w:val="00CC1AAA"/>
    <w:rsid w:val="00CC21D2"/>
    <w:rsid w:val="00CC21D8"/>
    <w:rsid w:val="00CC2348"/>
    <w:rsid w:val="00CC2A9F"/>
    <w:rsid w:val="00CC2AF7"/>
    <w:rsid w:val="00CC30A9"/>
    <w:rsid w:val="00CC3369"/>
    <w:rsid w:val="00CC3C3B"/>
    <w:rsid w:val="00CC45A2"/>
    <w:rsid w:val="00CC4612"/>
    <w:rsid w:val="00CC46C4"/>
    <w:rsid w:val="00CC530F"/>
    <w:rsid w:val="00CC5318"/>
    <w:rsid w:val="00CC5343"/>
    <w:rsid w:val="00CC536D"/>
    <w:rsid w:val="00CC59D7"/>
    <w:rsid w:val="00CC5E18"/>
    <w:rsid w:val="00CC5E5E"/>
    <w:rsid w:val="00CC6172"/>
    <w:rsid w:val="00CC6261"/>
    <w:rsid w:val="00CC6338"/>
    <w:rsid w:val="00CC64B4"/>
    <w:rsid w:val="00CC775A"/>
    <w:rsid w:val="00CC78C0"/>
    <w:rsid w:val="00CC78DE"/>
    <w:rsid w:val="00CD04D9"/>
    <w:rsid w:val="00CD0610"/>
    <w:rsid w:val="00CD06BD"/>
    <w:rsid w:val="00CD0841"/>
    <w:rsid w:val="00CD0DFB"/>
    <w:rsid w:val="00CD0F93"/>
    <w:rsid w:val="00CD1844"/>
    <w:rsid w:val="00CD187F"/>
    <w:rsid w:val="00CD20F1"/>
    <w:rsid w:val="00CD227B"/>
    <w:rsid w:val="00CD262C"/>
    <w:rsid w:val="00CD2C01"/>
    <w:rsid w:val="00CD2DD8"/>
    <w:rsid w:val="00CD3141"/>
    <w:rsid w:val="00CD3786"/>
    <w:rsid w:val="00CD4A47"/>
    <w:rsid w:val="00CD575C"/>
    <w:rsid w:val="00CD58CF"/>
    <w:rsid w:val="00CD65C2"/>
    <w:rsid w:val="00CD6CAA"/>
    <w:rsid w:val="00CD6D6E"/>
    <w:rsid w:val="00CD6F23"/>
    <w:rsid w:val="00CD6FEA"/>
    <w:rsid w:val="00CD7F12"/>
    <w:rsid w:val="00CE0346"/>
    <w:rsid w:val="00CE080F"/>
    <w:rsid w:val="00CE082E"/>
    <w:rsid w:val="00CE111D"/>
    <w:rsid w:val="00CE16A1"/>
    <w:rsid w:val="00CE17CF"/>
    <w:rsid w:val="00CE1AAD"/>
    <w:rsid w:val="00CE1C3D"/>
    <w:rsid w:val="00CE2023"/>
    <w:rsid w:val="00CE2032"/>
    <w:rsid w:val="00CE2061"/>
    <w:rsid w:val="00CE2154"/>
    <w:rsid w:val="00CE2464"/>
    <w:rsid w:val="00CE262A"/>
    <w:rsid w:val="00CE2967"/>
    <w:rsid w:val="00CE2983"/>
    <w:rsid w:val="00CE2AC5"/>
    <w:rsid w:val="00CE3A0D"/>
    <w:rsid w:val="00CE3EFF"/>
    <w:rsid w:val="00CE4CE5"/>
    <w:rsid w:val="00CE5431"/>
    <w:rsid w:val="00CE559E"/>
    <w:rsid w:val="00CE5651"/>
    <w:rsid w:val="00CE59A4"/>
    <w:rsid w:val="00CE5BBC"/>
    <w:rsid w:val="00CE60FB"/>
    <w:rsid w:val="00CE6595"/>
    <w:rsid w:val="00CE68E5"/>
    <w:rsid w:val="00CE68E7"/>
    <w:rsid w:val="00CE690F"/>
    <w:rsid w:val="00CE69A3"/>
    <w:rsid w:val="00CE6A5D"/>
    <w:rsid w:val="00CE6ABF"/>
    <w:rsid w:val="00CE6E58"/>
    <w:rsid w:val="00CE7E46"/>
    <w:rsid w:val="00CF026B"/>
    <w:rsid w:val="00CF0470"/>
    <w:rsid w:val="00CF0550"/>
    <w:rsid w:val="00CF05CE"/>
    <w:rsid w:val="00CF06B9"/>
    <w:rsid w:val="00CF07BB"/>
    <w:rsid w:val="00CF0AC9"/>
    <w:rsid w:val="00CF1577"/>
    <w:rsid w:val="00CF1A2F"/>
    <w:rsid w:val="00CF1A61"/>
    <w:rsid w:val="00CF1D75"/>
    <w:rsid w:val="00CF1DC3"/>
    <w:rsid w:val="00CF2278"/>
    <w:rsid w:val="00CF3EAA"/>
    <w:rsid w:val="00CF41A6"/>
    <w:rsid w:val="00CF4890"/>
    <w:rsid w:val="00CF4DD2"/>
    <w:rsid w:val="00CF4DF5"/>
    <w:rsid w:val="00CF4E28"/>
    <w:rsid w:val="00CF4E4E"/>
    <w:rsid w:val="00CF55CC"/>
    <w:rsid w:val="00CF5B5E"/>
    <w:rsid w:val="00CF5E24"/>
    <w:rsid w:val="00CF640B"/>
    <w:rsid w:val="00CF64C3"/>
    <w:rsid w:val="00CF6B5A"/>
    <w:rsid w:val="00CF7E20"/>
    <w:rsid w:val="00D0077D"/>
    <w:rsid w:val="00D009A4"/>
    <w:rsid w:val="00D0123A"/>
    <w:rsid w:val="00D015B6"/>
    <w:rsid w:val="00D01F70"/>
    <w:rsid w:val="00D026BC"/>
    <w:rsid w:val="00D02738"/>
    <w:rsid w:val="00D027AF"/>
    <w:rsid w:val="00D0323E"/>
    <w:rsid w:val="00D0431B"/>
    <w:rsid w:val="00D0432D"/>
    <w:rsid w:val="00D0445D"/>
    <w:rsid w:val="00D0597B"/>
    <w:rsid w:val="00D0663C"/>
    <w:rsid w:val="00D06652"/>
    <w:rsid w:val="00D066B4"/>
    <w:rsid w:val="00D06BCF"/>
    <w:rsid w:val="00D076F5"/>
    <w:rsid w:val="00D07774"/>
    <w:rsid w:val="00D07C01"/>
    <w:rsid w:val="00D07FA6"/>
    <w:rsid w:val="00D10334"/>
    <w:rsid w:val="00D106D6"/>
    <w:rsid w:val="00D1194F"/>
    <w:rsid w:val="00D119AC"/>
    <w:rsid w:val="00D136D4"/>
    <w:rsid w:val="00D140CD"/>
    <w:rsid w:val="00D14692"/>
    <w:rsid w:val="00D14A84"/>
    <w:rsid w:val="00D16AAD"/>
    <w:rsid w:val="00D16ADF"/>
    <w:rsid w:val="00D16B96"/>
    <w:rsid w:val="00D16CFD"/>
    <w:rsid w:val="00D1775E"/>
    <w:rsid w:val="00D17B18"/>
    <w:rsid w:val="00D17B5A"/>
    <w:rsid w:val="00D17C53"/>
    <w:rsid w:val="00D17D57"/>
    <w:rsid w:val="00D200B4"/>
    <w:rsid w:val="00D211B7"/>
    <w:rsid w:val="00D2132F"/>
    <w:rsid w:val="00D21D6B"/>
    <w:rsid w:val="00D21E23"/>
    <w:rsid w:val="00D221A4"/>
    <w:rsid w:val="00D223BF"/>
    <w:rsid w:val="00D2264A"/>
    <w:rsid w:val="00D22A52"/>
    <w:rsid w:val="00D22C0F"/>
    <w:rsid w:val="00D22C68"/>
    <w:rsid w:val="00D22EE9"/>
    <w:rsid w:val="00D2341D"/>
    <w:rsid w:val="00D23D19"/>
    <w:rsid w:val="00D2461B"/>
    <w:rsid w:val="00D25184"/>
    <w:rsid w:val="00D252DA"/>
    <w:rsid w:val="00D2572E"/>
    <w:rsid w:val="00D258EC"/>
    <w:rsid w:val="00D25D3B"/>
    <w:rsid w:val="00D25E0E"/>
    <w:rsid w:val="00D264FA"/>
    <w:rsid w:val="00D26CC1"/>
    <w:rsid w:val="00D26CCA"/>
    <w:rsid w:val="00D27337"/>
    <w:rsid w:val="00D275C6"/>
    <w:rsid w:val="00D3015F"/>
    <w:rsid w:val="00D302EB"/>
    <w:rsid w:val="00D31266"/>
    <w:rsid w:val="00D3126A"/>
    <w:rsid w:val="00D3129A"/>
    <w:rsid w:val="00D3156A"/>
    <w:rsid w:val="00D315FF"/>
    <w:rsid w:val="00D31679"/>
    <w:rsid w:val="00D317D5"/>
    <w:rsid w:val="00D318BF"/>
    <w:rsid w:val="00D320C8"/>
    <w:rsid w:val="00D327AA"/>
    <w:rsid w:val="00D32AC1"/>
    <w:rsid w:val="00D32B55"/>
    <w:rsid w:val="00D330B6"/>
    <w:rsid w:val="00D33337"/>
    <w:rsid w:val="00D33744"/>
    <w:rsid w:val="00D3399D"/>
    <w:rsid w:val="00D33BB0"/>
    <w:rsid w:val="00D34FA7"/>
    <w:rsid w:val="00D35060"/>
    <w:rsid w:val="00D3547F"/>
    <w:rsid w:val="00D35685"/>
    <w:rsid w:val="00D35B79"/>
    <w:rsid w:val="00D35DD5"/>
    <w:rsid w:val="00D35E02"/>
    <w:rsid w:val="00D36199"/>
    <w:rsid w:val="00D3672F"/>
    <w:rsid w:val="00D36BB3"/>
    <w:rsid w:val="00D376CD"/>
    <w:rsid w:val="00D37C81"/>
    <w:rsid w:val="00D37FCF"/>
    <w:rsid w:val="00D4005F"/>
    <w:rsid w:val="00D4024E"/>
    <w:rsid w:val="00D402F7"/>
    <w:rsid w:val="00D409A8"/>
    <w:rsid w:val="00D40ABA"/>
    <w:rsid w:val="00D40E08"/>
    <w:rsid w:val="00D40FE2"/>
    <w:rsid w:val="00D41284"/>
    <w:rsid w:val="00D415A2"/>
    <w:rsid w:val="00D416F1"/>
    <w:rsid w:val="00D423CC"/>
    <w:rsid w:val="00D426AC"/>
    <w:rsid w:val="00D42B8A"/>
    <w:rsid w:val="00D42BD7"/>
    <w:rsid w:val="00D43103"/>
    <w:rsid w:val="00D43112"/>
    <w:rsid w:val="00D438FA"/>
    <w:rsid w:val="00D43D5D"/>
    <w:rsid w:val="00D440FA"/>
    <w:rsid w:val="00D44BCF"/>
    <w:rsid w:val="00D45041"/>
    <w:rsid w:val="00D45080"/>
    <w:rsid w:val="00D45559"/>
    <w:rsid w:val="00D45C0B"/>
    <w:rsid w:val="00D461F2"/>
    <w:rsid w:val="00D4626B"/>
    <w:rsid w:val="00D464E9"/>
    <w:rsid w:val="00D46E73"/>
    <w:rsid w:val="00D4705F"/>
    <w:rsid w:val="00D47180"/>
    <w:rsid w:val="00D47184"/>
    <w:rsid w:val="00D47502"/>
    <w:rsid w:val="00D475DC"/>
    <w:rsid w:val="00D47EBA"/>
    <w:rsid w:val="00D47FCC"/>
    <w:rsid w:val="00D5049F"/>
    <w:rsid w:val="00D51F68"/>
    <w:rsid w:val="00D52297"/>
    <w:rsid w:val="00D522D1"/>
    <w:rsid w:val="00D522E3"/>
    <w:rsid w:val="00D5230F"/>
    <w:rsid w:val="00D52F6D"/>
    <w:rsid w:val="00D54452"/>
    <w:rsid w:val="00D545B5"/>
    <w:rsid w:val="00D549B7"/>
    <w:rsid w:val="00D54D42"/>
    <w:rsid w:val="00D5548D"/>
    <w:rsid w:val="00D559F2"/>
    <w:rsid w:val="00D55AA8"/>
    <w:rsid w:val="00D55BCB"/>
    <w:rsid w:val="00D55CF9"/>
    <w:rsid w:val="00D56572"/>
    <w:rsid w:val="00D56F37"/>
    <w:rsid w:val="00D572DA"/>
    <w:rsid w:val="00D57408"/>
    <w:rsid w:val="00D60F81"/>
    <w:rsid w:val="00D61770"/>
    <w:rsid w:val="00D6184E"/>
    <w:rsid w:val="00D619FD"/>
    <w:rsid w:val="00D62B80"/>
    <w:rsid w:val="00D62C71"/>
    <w:rsid w:val="00D6321A"/>
    <w:rsid w:val="00D635D5"/>
    <w:rsid w:val="00D63951"/>
    <w:rsid w:val="00D63BF2"/>
    <w:rsid w:val="00D64103"/>
    <w:rsid w:val="00D643B9"/>
    <w:rsid w:val="00D6477C"/>
    <w:rsid w:val="00D6488E"/>
    <w:rsid w:val="00D64D1C"/>
    <w:rsid w:val="00D6514F"/>
    <w:rsid w:val="00D65D54"/>
    <w:rsid w:val="00D65FD7"/>
    <w:rsid w:val="00D66345"/>
    <w:rsid w:val="00D66642"/>
    <w:rsid w:val="00D66CEE"/>
    <w:rsid w:val="00D67348"/>
    <w:rsid w:val="00D675DA"/>
    <w:rsid w:val="00D701CD"/>
    <w:rsid w:val="00D70A26"/>
    <w:rsid w:val="00D70B83"/>
    <w:rsid w:val="00D70C23"/>
    <w:rsid w:val="00D71241"/>
    <w:rsid w:val="00D7295E"/>
    <w:rsid w:val="00D72C7F"/>
    <w:rsid w:val="00D72E4B"/>
    <w:rsid w:val="00D72F45"/>
    <w:rsid w:val="00D73110"/>
    <w:rsid w:val="00D73180"/>
    <w:rsid w:val="00D73BB4"/>
    <w:rsid w:val="00D74032"/>
    <w:rsid w:val="00D74583"/>
    <w:rsid w:val="00D745DC"/>
    <w:rsid w:val="00D753E7"/>
    <w:rsid w:val="00D75567"/>
    <w:rsid w:val="00D75FEC"/>
    <w:rsid w:val="00D763F2"/>
    <w:rsid w:val="00D7679F"/>
    <w:rsid w:val="00D768B6"/>
    <w:rsid w:val="00D76B98"/>
    <w:rsid w:val="00D77009"/>
    <w:rsid w:val="00D80381"/>
    <w:rsid w:val="00D80BE8"/>
    <w:rsid w:val="00D819FF"/>
    <w:rsid w:val="00D81A8F"/>
    <w:rsid w:val="00D81DDF"/>
    <w:rsid w:val="00D81F0B"/>
    <w:rsid w:val="00D81F51"/>
    <w:rsid w:val="00D82B57"/>
    <w:rsid w:val="00D82B7E"/>
    <w:rsid w:val="00D82E63"/>
    <w:rsid w:val="00D835A0"/>
    <w:rsid w:val="00D836AD"/>
    <w:rsid w:val="00D83BC0"/>
    <w:rsid w:val="00D84184"/>
    <w:rsid w:val="00D8459C"/>
    <w:rsid w:val="00D845AA"/>
    <w:rsid w:val="00D84B27"/>
    <w:rsid w:val="00D84DC1"/>
    <w:rsid w:val="00D854A1"/>
    <w:rsid w:val="00D858BC"/>
    <w:rsid w:val="00D85EE3"/>
    <w:rsid w:val="00D860F3"/>
    <w:rsid w:val="00D861E9"/>
    <w:rsid w:val="00D86905"/>
    <w:rsid w:val="00D86F07"/>
    <w:rsid w:val="00D86F2C"/>
    <w:rsid w:val="00D87001"/>
    <w:rsid w:val="00D87892"/>
    <w:rsid w:val="00D87C6C"/>
    <w:rsid w:val="00D9011A"/>
    <w:rsid w:val="00D90A6B"/>
    <w:rsid w:val="00D90C2A"/>
    <w:rsid w:val="00D90F13"/>
    <w:rsid w:val="00D91A79"/>
    <w:rsid w:val="00D91FAE"/>
    <w:rsid w:val="00D924A1"/>
    <w:rsid w:val="00D929BD"/>
    <w:rsid w:val="00D92BCF"/>
    <w:rsid w:val="00D92FFB"/>
    <w:rsid w:val="00D9324D"/>
    <w:rsid w:val="00D93AC4"/>
    <w:rsid w:val="00D93B7B"/>
    <w:rsid w:val="00D93C24"/>
    <w:rsid w:val="00D93E85"/>
    <w:rsid w:val="00D94301"/>
    <w:rsid w:val="00D951ED"/>
    <w:rsid w:val="00D9534A"/>
    <w:rsid w:val="00D96248"/>
    <w:rsid w:val="00D96B55"/>
    <w:rsid w:val="00D96CB3"/>
    <w:rsid w:val="00D9782B"/>
    <w:rsid w:val="00D97AE1"/>
    <w:rsid w:val="00D97EF3"/>
    <w:rsid w:val="00DA0361"/>
    <w:rsid w:val="00DA0443"/>
    <w:rsid w:val="00DA04B4"/>
    <w:rsid w:val="00DA0680"/>
    <w:rsid w:val="00DA06F5"/>
    <w:rsid w:val="00DA070A"/>
    <w:rsid w:val="00DA1B4A"/>
    <w:rsid w:val="00DA2100"/>
    <w:rsid w:val="00DA2212"/>
    <w:rsid w:val="00DA2C0E"/>
    <w:rsid w:val="00DA30DA"/>
    <w:rsid w:val="00DA36F6"/>
    <w:rsid w:val="00DA3C74"/>
    <w:rsid w:val="00DA48A9"/>
    <w:rsid w:val="00DA48F0"/>
    <w:rsid w:val="00DA4C83"/>
    <w:rsid w:val="00DA4D6D"/>
    <w:rsid w:val="00DA4EC0"/>
    <w:rsid w:val="00DA507C"/>
    <w:rsid w:val="00DA5ACD"/>
    <w:rsid w:val="00DA6D54"/>
    <w:rsid w:val="00DA6D8C"/>
    <w:rsid w:val="00DA74D0"/>
    <w:rsid w:val="00DB041D"/>
    <w:rsid w:val="00DB060B"/>
    <w:rsid w:val="00DB066A"/>
    <w:rsid w:val="00DB0C8D"/>
    <w:rsid w:val="00DB0D37"/>
    <w:rsid w:val="00DB14B8"/>
    <w:rsid w:val="00DB1DA5"/>
    <w:rsid w:val="00DB1F6D"/>
    <w:rsid w:val="00DB21C7"/>
    <w:rsid w:val="00DB297D"/>
    <w:rsid w:val="00DB2C87"/>
    <w:rsid w:val="00DB30D7"/>
    <w:rsid w:val="00DB3293"/>
    <w:rsid w:val="00DB33FD"/>
    <w:rsid w:val="00DB3B67"/>
    <w:rsid w:val="00DB4850"/>
    <w:rsid w:val="00DB4C06"/>
    <w:rsid w:val="00DB51BF"/>
    <w:rsid w:val="00DB52BC"/>
    <w:rsid w:val="00DB53C4"/>
    <w:rsid w:val="00DB5705"/>
    <w:rsid w:val="00DB62C9"/>
    <w:rsid w:val="00DB6A71"/>
    <w:rsid w:val="00DB6AF2"/>
    <w:rsid w:val="00DB6CF0"/>
    <w:rsid w:val="00DB7988"/>
    <w:rsid w:val="00DB7B0D"/>
    <w:rsid w:val="00DB7C9D"/>
    <w:rsid w:val="00DB7E82"/>
    <w:rsid w:val="00DC0098"/>
    <w:rsid w:val="00DC1599"/>
    <w:rsid w:val="00DC1611"/>
    <w:rsid w:val="00DC16F6"/>
    <w:rsid w:val="00DC1F2F"/>
    <w:rsid w:val="00DC2B10"/>
    <w:rsid w:val="00DC2B86"/>
    <w:rsid w:val="00DC2E01"/>
    <w:rsid w:val="00DC2E33"/>
    <w:rsid w:val="00DC2F69"/>
    <w:rsid w:val="00DC3755"/>
    <w:rsid w:val="00DC37AD"/>
    <w:rsid w:val="00DC3DA4"/>
    <w:rsid w:val="00DC547F"/>
    <w:rsid w:val="00DC5ED9"/>
    <w:rsid w:val="00DC6015"/>
    <w:rsid w:val="00DC6468"/>
    <w:rsid w:val="00DC69B3"/>
    <w:rsid w:val="00DC6B30"/>
    <w:rsid w:val="00DC7495"/>
    <w:rsid w:val="00DC7753"/>
    <w:rsid w:val="00DD0184"/>
    <w:rsid w:val="00DD06C4"/>
    <w:rsid w:val="00DD0BF0"/>
    <w:rsid w:val="00DD10E5"/>
    <w:rsid w:val="00DD2AFE"/>
    <w:rsid w:val="00DD2C1E"/>
    <w:rsid w:val="00DD2E31"/>
    <w:rsid w:val="00DD33D4"/>
    <w:rsid w:val="00DD3C53"/>
    <w:rsid w:val="00DD3D57"/>
    <w:rsid w:val="00DD498F"/>
    <w:rsid w:val="00DD54A0"/>
    <w:rsid w:val="00DD5966"/>
    <w:rsid w:val="00DD59A9"/>
    <w:rsid w:val="00DD620C"/>
    <w:rsid w:val="00DD6246"/>
    <w:rsid w:val="00DD6517"/>
    <w:rsid w:val="00DD6B73"/>
    <w:rsid w:val="00DD6CB6"/>
    <w:rsid w:val="00DD71E6"/>
    <w:rsid w:val="00DE017D"/>
    <w:rsid w:val="00DE09F1"/>
    <w:rsid w:val="00DE12A1"/>
    <w:rsid w:val="00DE1470"/>
    <w:rsid w:val="00DE1676"/>
    <w:rsid w:val="00DE19AB"/>
    <w:rsid w:val="00DE1C66"/>
    <w:rsid w:val="00DE20EE"/>
    <w:rsid w:val="00DE2486"/>
    <w:rsid w:val="00DE2D1D"/>
    <w:rsid w:val="00DE30ED"/>
    <w:rsid w:val="00DE3F79"/>
    <w:rsid w:val="00DE4245"/>
    <w:rsid w:val="00DE4733"/>
    <w:rsid w:val="00DE4A22"/>
    <w:rsid w:val="00DE4ADC"/>
    <w:rsid w:val="00DE4F38"/>
    <w:rsid w:val="00DE5365"/>
    <w:rsid w:val="00DE5499"/>
    <w:rsid w:val="00DE5D87"/>
    <w:rsid w:val="00DE60CD"/>
    <w:rsid w:val="00DE622F"/>
    <w:rsid w:val="00DE63EA"/>
    <w:rsid w:val="00DE740B"/>
    <w:rsid w:val="00DE745D"/>
    <w:rsid w:val="00DE7E26"/>
    <w:rsid w:val="00DF003A"/>
    <w:rsid w:val="00DF008D"/>
    <w:rsid w:val="00DF0543"/>
    <w:rsid w:val="00DF0774"/>
    <w:rsid w:val="00DF09B8"/>
    <w:rsid w:val="00DF0D1D"/>
    <w:rsid w:val="00DF0E42"/>
    <w:rsid w:val="00DF1036"/>
    <w:rsid w:val="00DF18F3"/>
    <w:rsid w:val="00DF1DEF"/>
    <w:rsid w:val="00DF27D3"/>
    <w:rsid w:val="00DF32E2"/>
    <w:rsid w:val="00DF343F"/>
    <w:rsid w:val="00DF39ED"/>
    <w:rsid w:val="00DF3F90"/>
    <w:rsid w:val="00DF4644"/>
    <w:rsid w:val="00DF4694"/>
    <w:rsid w:val="00DF4EF7"/>
    <w:rsid w:val="00DF5206"/>
    <w:rsid w:val="00DF533E"/>
    <w:rsid w:val="00DF55F1"/>
    <w:rsid w:val="00DF58E4"/>
    <w:rsid w:val="00DF6058"/>
    <w:rsid w:val="00DF6779"/>
    <w:rsid w:val="00DF68F6"/>
    <w:rsid w:val="00DF6904"/>
    <w:rsid w:val="00DF6975"/>
    <w:rsid w:val="00DF6B08"/>
    <w:rsid w:val="00DF72EC"/>
    <w:rsid w:val="00DF7A83"/>
    <w:rsid w:val="00E000D2"/>
    <w:rsid w:val="00E005F7"/>
    <w:rsid w:val="00E010D4"/>
    <w:rsid w:val="00E012B4"/>
    <w:rsid w:val="00E01492"/>
    <w:rsid w:val="00E0316B"/>
    <w:rsid w:val="00E05451"/>
    <w:rsid w:val="00E05651"/>
    <w:rsid w:val="00E056E6"/>
    <w:rsid w:val="00E05771"/>
    <w:rsid w:val="00E05924"/>
    <w:rsid w:val="00E05BF1"/>
    <w:rsid w:val="00E06161"/>
    <w:rsid w:val="00E06540"/>
    <w:rsid w:val="00E06723"/>
    <w:rsid w:val="00E06CAE"/>
    <w:rsid w:val="00E072EF"/>
    <w:rsid w:val="00E07C24"/>
    <w:rsid w:val="00E100F6"/>
    <w:rsid w:val="00E10F30"/>
    <w:rsid w:val="00E11277"/>
    <w:rsid w:val="00E11366"/>
    <w:rsid w:val="00E118BC"/>
    <w:rsid w:val="00E1196A"/>
    <w:rsid w:val="00E11BA5"/>
    <w:rsid w:val="00E12005"/>
    <w:rsid w:val="00E1239B"/>
    <w:rsid w:val="00E12934"/>
    <w:rsid w:val="00E129F5"/>
    <w:rsid w:val="00E12C80"/>
    <w:rsid w:val="00E134F3"/>
    <w:rsid w:val="00E13C70"/>
    <w:rsid w:val="00E13E39"/>
    <w:rsid w:val="00E13FF8"/>
    <w:rsid w:val="00E1402A"/>
    <w:rsid w:val="00E14206"/>
    <w:rsid w:val="00E142DA"/>
    <w:rsid w:val="00E1447C"/>
    <w:rsid w:val="00E14DAD"/>
    <w:rsid w:val="00E15787"/>
    <w:rsid w:val="00E1579E"/>
    <w:rsid w:val="00E15A52"/>
    <w:rsid w:val="00E15CF3"/>
    <w:rsid w:val="00E16227"/>
    <w:rsid w:val="00E16FB5"/>
    <w:rsid w:val="00E1793A"/>
    <w:rsid w:val="00E17CBD"/>
    <w:rsid w:val="00E20026"/>
    <w:rsid w:val="00E20421"/>
    <w:rsid w:val="00E20425"/>
    <w:rsid w:val="00E2051D"/>
    <w:rsid w:val="00E208D5"/>
    <w:rsid w:val="00E20A12"/>
    <w:rsid w:val="00E20AE4"/>
    <w:rsid w:val="00E21174"/>
    <w:rsid w:val="00E21768"/>
    <w:rsid w:val="00E217FB"/>
    <w:rsid w:val="00E21C64"/>
    <w:rsid w:val="00E21D41"/>
    <w:rsid w:val="00E224BB"/>
    <w:rsid w:val="00E229B4"/>
    <w:rsid w:val="00E22B81"/>
    <w:rsid w:val="00E2440B"/>
    <w:rsid w:val="00E2539A"/>
    <w:rsid w:val="00E25663"/>
    <w:rsid w:val="00E25C08"/>
    <w:rsid w:val="00E25DCB"/>
    <w:rsid w:val="00E2613B"/>
    <w:rsid w:val="00E26334"/>
    <w:rsid w:val="00E26A46"/>
    <w:rsid w:val="00E26F52"/>
    <w:rsid w:val="00E27001"/>
    <w:rsid w:val="00E27440"/>
    <w:rsid w:val="00E27AD4"/>
    <w:rsid w:val="00E3011A"/>
    <w:rsid w:val="00E301C4"/>
    <w:rsid w:val="00E3086F"/>
    <w:rsid w:val="00E30942"/>
    <w:rsid w:val="00E313DF"/>
    <w:rsid w:val="00E31496"/>
    <w:rsid w:val="00E31A90"/>
    <w:rsid w:val="00E31CB2"/>
    <w:rsid w:val="00E32074"/>
    <w:rsid w:val="00E320A2"/>
    <w:rsid w:val="00E32504"/>
    <w:rsid w:val="00E32828"/>
    <w:rsid w:val="00E32EEA"/>
    <w:rsid w:val="00E330E0"/>
    <w:rsid w:val="00E33AEB"/>
    <w:rsid w:val="00E33BB2"/>
    <w:rsid w:val="00E3478E"/>
    <w:rsid w:val="00E34BE8"/>
    <w:rsid w:val="00E34CA0"/>
    <w:rsid w:val="00E352D2"/>
    <w:rsid w:val="00E36C70"/>
    <w:rsid w:val="00E37003"/>
    <w:rsid w:val="00E37618"/>
    <w:rsid w:val="00E37628"/>
    <w:rsid w:val="00E37781"/>
    <w:rsid w:val="00E37C3A"/>
    <w:rsid w:val="00E4071F"/>
    <w:rsid w:val="00E408B6"/>
    <w:rsid w:val="00E4095B"/>
    <w:rsid w:val="00E409D2"/>
    <w:rsid w:val="00E40F25"/>
    <w:rsid w:val="00E412C3"/>
    <w:rsid w:val="00E41389"/>
    <w:rsid w:val="00E4156E"/>
    <w:rsid w:val="00E41930"/>
    <w:rsid w:val="00E41AA5"/>
    <w:rsid w:val="00E42AE3"/>
    <w:rsid w:val="00E4344C"/>
    <w:rsid w:val="00E4364B"/>
    <w:rsid w:val="00E43839"/>
    <w:rsid w:val="00E43DBF"/>
    <w:rsid w:val="00E449FA"/>
    <w:rsid w:val="00E44D61"/>
    <w:rsid w:val="00E45266"/>
    <w:rsid w:val="00E453F2"/>
    <w:rsid w:val="00E45FDA"/>
    <w:rsid w:val="00E46048"/>
    <w:rsid w:val="00E460AD"/>
    <w:rsid w:val="00E467E0"/>
    <w:rsid w:val="00E46849"/>
    <w:rsid w:val="00E46ED8"/>
    <w:rsid w:val="00E470B6"/>
    <w:rsid w:val="00E47332"/>
    <w:rsid w:val="00E473E2"/>
    <w:rsid w:val="00E47516"/>
    <w:rsid w:val="00E47658"/>
    <w:rsid w:val="00E47AB4"/>
    <w:rsid w:val="00E508B9"/>
    <w:rsid w:val="00E50A17"/>
    <w:rsid w:val="00E5111B"/>
    <w:rsid w:val="00E514CA"/>
    <w:rsid w:val="00E519C9"/>
    <w:rsid w:val="00E51CF5"/>
    <w:rsid w:val="00E52967"/>
    <w:rsid w:val="00E52C89"/>
    <w:rsid w:val="00E52CC6"/>
    <w:rsid w:val="00E53CE7"/>
    <w:rsid w:val="00E53E51"/>
    <w:rsid w:val="00E54C5F"/>
    <w:rsid w:val="00E55379"/>
    <w:rsid w:val="00E55558"/>
    <w:rsid w:val="00E5555D"/>
    <w:rsid w:val="00E5570B"/>
    <w:rsid w:val="00E55BC7"/>
    <w:rsid w:val="00E56E3A"/>
    <w:rsid w:val="00E56E9A"/>
    <w:rsid w:val="00E572C1"/>
    <w:rsid w:val="00E57B96"/>
    <w:rsid w:val="00E57F4D"/>
    <w:rsid w:val="00E60188"/>
    <w:rsid w:val="00E60CB5"/>
    <w:rsid w:val="00E61273"/>
    <w:rsid w:val="00E6132A"/>
    <w:rsid w:val="00E613E4"/>
    <w:rsid w:val="00E61527"/>
    <w:rsid w:val="00E615DB"/>
    <w:rsid w:val="00E61719"/>
    <w:rsid w:val="00E618D0"/>
    <w:rsid w:val="00E61925"/>
    <w:rsid w:val="00E62547"/>
    <w:rsid w:val="00E627D3"/>
    <w:rsid w:val="00E63232"/>
    <w:rsid w:val="00E6363B"/>
    <w:rsid w:val="00E63747"/>
    <w:rsid w:val="00E63F74"/>
    <w:rsid w:val="00E65C0E"/>
    <w:rsid w:val="00E65FB9"/>
    <w:rsid w:val="00E66013"/>
    <w:rsid w:val="00E66698"/>
    <w:rsid w:val="00E66995"/>
    <w:rsid w:val="00E66A6C"/>
    <w:rsid w:val="00E66F21"/>
    <w:rsid w:val="00E66F27"/>
    <w:rsid w:val="00E66FE0"/>
    <w:rsid w:val="00E676DD"/>
    <w:rsid w:val="00E67F57"/>
    <w:rsid w:val="00E702C9"/>
    <w:rsid w:val="00E7070F"/>
    <w:rsid w:val="00E70C0D"/>
    <w:rsid w:val="00E70F20"/>
    <w:rsid w:val="00E7136A"/>
    <w:rsid w:val="00E71694"/>
    <w:rsid w:val="00E723F4"/>
    <w:rsid w:val="00E72942"/>
    <w:rsid w:val="00E72999"/>
    <w:rsid w:val="00E729FC"/>
    <w:rsid w:val="00E730FC"/>
    <w:rsid w:val="00E736C9"/>
    <w:rsid w:val="00E73AAF"/>
    <w:rsid w:val="00E73ABE"/>
    <w:rsid w:val="00E73B4D"/>
    <w:rsid w:val="00E73EF2"/>
    <w:rsid w:val="00E73EF6"/>
    <w:rsid w:val="00E746F0"/>
    <w:rsid w:val="00E7491E"/>
    <w:rsid w:val="00E74F0A"/>
    <w:rsid w:val="00E7507B"/>
    <w:rsid w:val="00E7509C"/>
    <w:rsid w:val="00E75E80"/>
    <w:rsid w:val="00E760DD"/>
    <w:rsid w:val="00E767B1"/>
    <w:rsid w:val="00E76A1D"/>
    <w:rsid w:val="00E76FAF"/>
    <w:rsid w:val="00E77018"/>
    <w:rsid w:val="00E77413"/>
    <w:rsid w:val="00E77E27"/>
    <w:rsid w:val="00E77E4A"/>
    <w:rsid w:val="00E803C5"/>
    <w:rsid w:val="00E809B9"/>
    <w:rsid w:val="00E80A7F"/>
    <w:rsid w:val="00E81027"/>
    <w:rsid w:val="00E81056"/>
    <w:rsid w:val="00E8124E"/>
    <w:rsid w:val="00E81592"/>
    <w:rsid w:val="00E8192E"/>
    <w:rsid w:val="00E81D4D"/>
    <w:rsid w:val="00E81EBE"/>
    <w:rsid w:val="00E82488"/>
    <w:rsid w:val="00E82A15"/>
    <w:rsid w:val="00E82AFC"/>
    <w:rsid w:val="00E83932"/>
    <w:rsid w:val="00E8403D"/>
    <w:rsid w:val="00E8450A"/>
    <w:rsid w:val="00E84527"/>
    <w:rsid w:val="00E846B0"/>
    <w:rsid w:val="00E84833"/>
    <w:rsid w:val="00E84B31"/>
    <w:rsid w:val="00E84B3B"/>
    <w:rsid w:val="00E84E40"/>
    <w:rsid w:val="00E85046"/>
    <w:rsid w:val="00E85140"/>
    <w:rsid w:val="00E85445"/>
    <w:rsid w:val="00E85FEE"/>
    <w:rsid w:val="00E862D8"/>
    <w:rsid w:val="00E86D8E"/>
    <w:rsid w:val="00E86E15"/>
    <w:rsid w:val="00E874DF"/>
    <w:rsid w:val="00E87589"/>
    <w:rsid w:val="00E90CB9"/>
    <w:rsid w:val="00E92071"/>
    <w:rsid w:val="00E923A8"/>
    <w:rsid w:val="00E92776"/>
    <w:rsid w:val="00E92C5E"/>
    <w:rsid w:val="00E92EE8"/>
    <w:rsid w:val="00E93171"/>
    <w:rsid w:val="00E935CA"/>
    <w:rsid w:val="00E936D5"/>
    <w:rsid w:val="00E938FF"/>
    <w:rsid w:val="00E93D45"/>
    <w:rsid w:val="00E93DFE"/>
    <w:rsid w:val="00E93EB6"/>
    <w:rsid w:val="00E9430E"/>
    <w:rsid w:val="00E94360"/>
    <w:rsid w:val="00E94652"/>
    <w:rsid w:val="00E94723"/>
    <w:rsid w:val="00E956D2"/>
    <w:rsid w:val="00E95E07"/>
    <w:rsid w:val="00E95F4F"/>
    <w:rsid w:val="00E96014"/>
    <w:rsid w:val="00E96895"/>
    <w:rsid w:val="00E97415"/>
    <w:rsid w:val="00EA0193"/>
    <w:rsid w:val="00EA0D47"/>
    <w:rsid w:val="00EA1D00"/>
    <w:rsid w:val="00EA2124"/>
    <w:rsid w:val="00EA21AB"/>
    <w:rsid w:val="00EA24BE"/>
    <w:rsid w:val="00EA2B12"/>
    <w:rsid w:val="00EA2D1E"/>
    <w:rsid w:val="00EA2FBA"/>
    <w:rsid w:val="00EA34DC"/>
    <w:rsid w:val="00EA35F0"/>
    <w:rsid w:val="00EA3B94"/>
    <w:rsid w:val="00EA4392"/>
    <w:rsid w:val="00EA456C"/>
    <w:rsid w:val="00EA4F84"/>
    <w:rsid w:val="00EA5017"/>
    <w:rsid w:val="00EA502F"/>
    <w:rsid w:val="00EA5D50"/>
    <w:rsid w:val="00EA5FDA"/>
    <w:rsid w:val="00EA61EE"/>
    <w:rsid w:val="00EA6292"/>
    <w:rsid w:val="00EA6BED"/>
    <w:rsid w:val="00EA6C85"/>
    <w:rsid w:val="00EA739C"/>
    <w:rsid w:val="00EA748E"/>
    <w:rsid w:val="00EA7CB3"/>
    <w:rsid w:val="00EA7F60"/>
    <w:rsid w:val="00EB05EE"/>
    <w:rsid w:val="00EB0907"/>
    <w:rsid w:val="00EB0C0E"/>
    <w:rsid w:val="00EB11AB"/>
    <w:rsid w:val="00EB14F0"/>
    <w:rsid w:val="00EB1A3C"/>
    <w:rsid w:val="00EB1ACC"/>
    <w:rsid w:val="00EB1FA0"/>
    <w:rsid w:val="00EB1FD8"/>
    <w:rsid w:val="00EB2302"/>
    <w:rsid w:val="00EB251C"/>
    <w:rsid w:val="00EB3844"/>
    <w:rsid w:val="00EB38F1"/>
    <w:rsid w:val="00EB3DE2"/>
    <w:rsid w:val="00EB4693"/>
    <w:rsid w:val="00EB48F8"/>
    <w:rsid w:val="00EB5A9F"/>
    <w:rsid w:val="00EB5E3E"/>
    <w:rsid w:val="00EB6D7A"/>
    <w:rsid w:val="00EB7385"/>
    <w:rsid w:val="00EB7599"/>
    <w:rsid w:val="00EB7C61"/>
    <w:rsid w:val="00EB7FD1"/>
    <w:rsid w:val="00EC0084"/>
    <w:rsid w:val="00EC0457"/>
    <w:rsid w:val="00EC0B41"/>
    <w:rsid w:val="00EC0BCA"/>
    <w:rsid w:val="00EC0E7F"/>
    <w:rsid w:val="00EC0F59"/>
    <w:rsid w:val="00EC17E6"/>
    <w:rsid w:val="00EC1875"/>
    <w:rsid w:val="00EC18A2"/>
    <w:rsid w:val="00EC1BA5"/>
    <w:rsid w:val="00EC20F2"/>
    <w:rsid w:val="00EC2310"/>
    <w:rsid w:val="00EC2821"/>
    <w:rsid w:val="00EC2E2E"/>
    <w:rsid w:val="00EC35FD"/>
    <w:rsid w:val="00EC4291"/>
    <w:rsid w:val="00EC4552"/>
    <w:rsid w:val="00EC4C16"/>
    <w:rsid w:val="00EC4CFE"/>
    <w:rsid w:val="00EC505D"/>
    <w:rsid w:val="00EC50B7"/>
    <w:rsid w:val="00EC522C"/>
    <w:rsid w:val="00EC573F"/>
    <w:rsid w:val="00EC5ADF"/>
    <w:rsid w:val="00EC5B05"/>
    <w:rsid w:val="00EC5C8D"/>
    <w:rsid w:val="00EC5FEC"/>
    <w:rsid w:val="00EC65AC"/>
    <w:rsid w:val="00EC6CF3"/>
    <w:rsid w:val="00EC6EAB"/>
    <w:rsid w:val="00EC75E8"/>
    <w:rsid w:val="00EC7717"/>
    <w:rsid w:val="00EC78FD"/>
    <w:rsid w:val="00EC7F16"/>
    <w:rsid w:val="00ED041A"/>
    <w:rsid w:val="00ED0D69"/>
    <w:rsid w:val="00ED103F"/>
    <w:rsid w:val="00ED106C"/>
    <w:rsid w:val="00ED15DD"/>
    <w:rsid w:val="00ED16C5"/>
    <w:rsid w:val="00ED2129"/>
    <w:rsid w:val="00ED2694"/>
    <w:rsid w:val="00ED2D34"/>
    <w:rsid w:val="00ED340A"/>
    <w:rsid w:val="00ED3A10"/>
    <w:rsid w:val="00ED3CFE"/>
    <w:rsid w:val="00ED3DCD"/>
    <w:rsid w:val="00ED40C0"/>
    <w:rsid w:val="00ED4346"/>
    <w:rsid w:val="00ED45F0"/>
    <w:rsid w:val="00ED4805"/>
    <w:rsid w:val="00ED5677"/>
    <w:rsid w:val="00ED57F6"/>
    <w:rsid w:val="00ED617B"/>
    <w:rsid w:val="00ED6571"/>
    <w:rsid w:val="00ED6C51"/>
    <w:rsid w:val="00ED6DA1"/>
    <w:rsid w:val="00ED7327"/>
    <w:rsid w:val="00ED73B3"/>
    <w:rsid w:val="00ED7646"/>
    <w:rsid w:val="00ED7937"/>
    <w:rsid w:val="00ED7CC5"/>
    <w:rsid w:val="00EE06D4"/>
    <w:rsid w:val="00EE0775"/>
    <w:rsid w:val="00EE0EDB"/>
    <w:rsid w:val="00EE0F47"/>
    <w:rsid w:val="00EE126C"/>
    <w:rsid w:val="00EE146C"/>
    <w:rsid w:val="00EE2575"/>
    <w:rsid w:val="00EE261F"/>
    <w:rsid w:val="00EE27A1"/>
    <w:rsid w:val="00EE2DE6"/>
    <w:rsid w:val="00EE3312"/>
    <w:rsid w:val="00EE4090"/>
    <w:rsid w:val="00EE40B1"/>
    <w:rsid w:val="00EE49BB"/>
    <w:rsid w:val="00EE4D23"/>
    <w:rsid w:val="00EE4DE6"/>
    <w:rsid w:val="00EE4E89"/>
    <w:rsid w:val="00EE4F55"/>
    <w:rsid w:val="00EE532E"/>
    <w:rsid w:val="00EE555E"/>
    <w:rsid w:val="00EE5B49"/>
    <w:rsid w:val="00EE5BB0"/>
    <w:rsid w:val="00EE5EAC"/>
    <w:rsid w:val="00EE62E5"/>
    <w:rsid w:val="00EE6447"/>
    <w:rsid w:val="00EE68FE"/>
    <w:rsid w:val="00EE7651"/>
    <w:rsid w:val="00EE7A9C"/>
    <w:rsid w:val="00EF0123"/>
    <w:rsid w:val="00EF08D7"/>
    <w:rsid w:val="00EF0AF8"/>
    <w:rsid w:val="00EF1037"/>
    <w:rsid w:val="00EF13D8"/>
    <w:rsid w:val="00EF154A"/>
    <w:rsid w:val="00EF1DA9"/>
    <w:rsid w:val="00EF207D"/>
    <w:rsid w:val="00EF253F"/>
    <w:rsid w:val="00EF2CE3"/>
    <w:rsid w:val="00EF39C5"/>
    <w:rsid w:val="00EF3AA0"/>
    <w:rsid w:val="00EF3C2B"/>
    <w:rsid w:val="00EF3CB5"/>
    <w:rsid w:val="00EF4243"/>
    <w:rsid w:val="00EF4258"/>
    <w:rsid w:val="00EF4A34"/>
    <w:rsid w:val="00EF522B"/>
    <w:rsid w:val="00EF5283"/>
    <w:rsid w:val="00EF53ED"/>
    <w:rsid w:val="00EF6D31"/>
    <w:rsid w:val="00F005F8"/>
    <w:rsid w:val="00F00C1F"/>
    <w:rsid w:val="00F00FE4"/>
    <w:rsid w:val="00F01D8A"/>
    <w:rsid w:val="00F02237"/>
    <w:rsid w:val="00F02247"/>
    <w:rsid w:val="00F02485"/>
    <w:rsid w:val="00F02EAF"/>
    <w:rsid w:val="00F039C7"/>
    <w:rsid w:val="00F03D3B"/>
    <w:rsid w:val="00F03FD1"/>
    <w:rsid w:val="00F04019"/>
    <w:rsid w:val="00F046F1"/>
    <w:rsid w:val="00F04BB1"/>
    <w:rsid w:val="00F04FBB"/>
    <w:rsid w:val="00F05145"/>
    <w:rsid w:val="00F0530F"/>
    <w:rsid w:val="00F05B38"/>
    <w:rsid w:val="00F06253"/>
    <w:rsid w:val="00F072E2"/>
    <w:rsid w:val="00F079A6"/>
    <w:rsid w:val="00F07CE8"/>
    <w:rsid w:val="00F10236"/>
    <w:rsid w:val="00F11409"/>
    <w:rsid w:val="00F11F19"/>
    <w:rsid w:val="00F124C7"/>
    <w:rsid w:val="00F1257C"/>
    <w:rsid w:val="00F127A7"/>
    <w:rsid w:val="00F12A99"/>
    <w:rsid w:val="00F12E13"/>
    <w:rsid w:val="00F12F50"/>
    <w:rsid w:val="00F1343C"/>
    <w:rsid w:val="00F13466"/>
    <w:rsid w:val="00F13771"/>
    <w:rsid w:val="00F138ED"/>
    <w:rsid w:val="00F13ADD"/>
    <w:rsid w:val="00F14017"/>
    <w:rsid w:val="00F1455F"/>
    <w:rsid w:val="00F14629"/>
    <w:rsid w:val="00F148BA"/>
    <w:rsid w:val="00F14B5B"/>
    <w:rsid w:val="00F14C99"/>
    <w:rsid w:val="00F14CC5"/>
    <w:rsid w:val="00F154B3"/>
    <w:rsid w:val="00F155D0"/>
    <w:rsid w:val="00F15811"/>
    <w:rsid w:val="00F15B41"/>
    <w:rsid w:val="00F15F3F"/>
    <w:rsid w:val="00F161D3"/>
    <w:rsid w:val="00F166BA"/>
    <w:rsid w:val="00F1679F"/>
    <w:rsid w:val="00F17022"/>
    <w:rsid w:val="00F17259"/>
    <w:rsid w:val="00F1750F"/>
    <w:rsid w:val="00F176D8"/>
    <w:rsid w:val="00F17991"/>
    <w:rsid w:val="00F17E8F"/>
    <w:rsid w:val="00F207B6"/>
    <w:rsid w:val="00F20B7B"/>
    <w:rsid w:val="00F20BF6"/>
    <w:rsid w:val="00F20EFF"/>
    <w:rsid w:val="00F20F69"/>
    <w:rsid w:val="00F22423"/>
    <w:rsid w:val="00F2258B"/>
    <w:rsid w:val="00F22D87"/>
    <w:rsid w:val="00F23069"/>
    <w:rsid w:val="00F2318D"/>
    <w:rsid w:val="00F234E3"/>
    <w:rsid w:val="00F2375D"/>
    <w:rsid w:val="00F23AED"/>
    <w:rsid w:val="00F23B64"/>
    <w:rsid w:val="00F23DC9"/>
    <w:rsid w:val="00F2400D"/>
    <w:rsid w:val="00F24533"/>
    <w:rsid w:val="00F24597"/>
    <w:rsid w:val="00F2462E"/>
    <w:rsid w:val="00F24976"/>
    <w:rsid w:val="00F24C72"/>
    <w:rsid w:val="00F24DC0"/>
    <w:rsid w:val="00F25B29"/>
    <w:rsid w:val="00F25D71"/>
    <w:rsid w:val="00F2636B"/>
    <w:rsid w:val="00F2639A"/>
    <w:rsid w:val="00F272E9"/>
    <w:rsid w:val="00F279FD"/>
    <w:rsid w:val="00F27B68"/>
    <w:rsid w:val="00F27B6C"/>
    <w:rsid w:val="00F30267"/>
    <w:rsid w:val="00F306C9"/>
    <w:rsid w:val="00F313AA"/>
    <w:rsid w:val="00F315F7"/>
    <w:rsid w:val="00F31652"/>
    <w:rsid w:val="00F31653"/>
    <w:rsid w:val="00F317D1"/>
    <w:rsid w:val="00F31943"/>
    <w:rsid w:val="00F31D22"/>
    <w:rsid w:val="00F32012"/>
    <w:rsid w:val="00F322DB"/>
    <w:rsid w:val="00F32325"/>
    <w:rsid w:val="00F325D9"/>
    <w:rsid w:val="00F32AF1"/>
    <w:rsid w:val="00F32C01"/>
    <w:rsid w:val="00F32F30"/>
    <w:rsid w:val="00F33BA0"/>
    <w:rsid w:val="00F3436B"/>
    <w:rsid w:val="00F348B2"/>
    <w:rsid w:val="00F348E2"/>
    <w:rsid w:val="00F34910"/>
    <w:rsid w:val="00F34BF0"/>
    <w:rsid w:val="00F34D4B"/>
    <w:rsid w:val="00F34E4B"/>
    <w:rsid w:val="00F34ED8"/>
    <w:rsid w:val="00F3573A"/>
    <w:rsid w:val="00F35D2D"/>
    <w:rsid w:val="00F363A4"/>
    <w:rsid w:val="00F36BE2"/>
    <w:rsid w:val="00F36DCF"/>
    <w:rsid w:val="00F371DA"/>
    <w:rsid w:val="00F377F2"/>
    <w:rsid w:val="00F37878"/>
    <w:rsid w:val="00F379ED"/>
    <w:rsid w:val="00F37BCB"/>
    <w:rsid w:val="00F37C30"/>
    <w:rsid w:val="00F37FA0"/>
    <w:rsid w:val="00F4095A"/>
    <w:rsid w:val="00F40C7D"/>
    <w:rsid w:val="00F4163B"/>
    <w:rsid w:val="00F417EE"/>
    <w:rsid w:val="00F41902"/>
    <w:rsid w:val="00F41AA2"/>
    <w:rsid w:val="00F41C88"/>
    <w:rsid w:val="00F42046"/>
    <w:rsid w:val="00F42CDD"/>
    <w:rsid w:val="00F42DE8"/>
    <w:rsid w:val="00F43126"/>
    <w:rsid w:val="00F43769"/>
    <w:rsid w:val="00F43B5D"/>
    <w:rsid w:val="00F43CF3"/>
    <w:rsid w:val="00F442BC"/>
    <w:rsid w:val="00F443EF"/>
    <w:rsid w:val="00F452CC"/>
    <w:rsid w:val="00F45845"/>
    <w:rsid w:val="00F463B9"/>
    <w:rsid w:val="00F46E6B"/>
    <w:rsid w:val="00F46EB9"/>
    <w:rsid w:val="00F470AF"/>
    <w:rsid w:val="00F472D0"/>
    <w:rsid w:val="00F4744D"/>
    <w:rsid w:val="00F47A16"/>
    <w:rsid w:val="00F47B68"/>
    <w:rsid w:val="00F50189"/>
    <w:rsid w:val="00F508FC"/>
    <w:rsid w:val="00F50B6B"/>
    <w:rsid w:val="00F510B7"/>
    <w:rsid w:val="00F513C4"/>
    <w:rsid w:val="00F5191C"/>
    <w:rsid w:val="00F51BA4"/>
    <w:rsid w:val="00F522BC"/>
    <w:rsid w:val="00F52E1B"/>
    <w:rsid w:val="00F53571"/>
    <w:rsid w:val="00F5399D"/>
    <w:rsid w:val="00F53ADE"/>
    <w:rsid w:val="00F53B39"/>
    <w:rsid w:val="00F54044"/>
    <w:rsid w:val="00F54E51"/>
    <w:rsid w:val="00F54ED6"/>
    <w:rsid w:val="00F553EE"/>
    <w:rsid w:val="00F5544C"/>
    <w:rsid w:val="00F55595"/>
    <w:rsid w:val="00F55737"/>
    <w:rsid w:val="00F55D80"/>
    <w:rsid w:val="00F55D9A"/>
    <w:rsid w:val="00F5600E"/>
    <w:rsid w:val="00F561C6"/>
    <w:rsid w:val="00F5628E"/>
    <w:rsid w:val="00F56CCF"/>
    <w:rsid w:val="00F575C5"/>
    <w:rsid w:val="00F57637"/>
    <w:rsid w:val="00F576E7"/>
    <w:rsid w:val="00F57BC1"/>
    <w:rsid w:val="00F57F91"/>
    <w:rsid w:val="00F6001C"/>
    <w:rsid w:val="00F620A3"/>
    <w:rsid w:val="00F627DC"/>
    <w:rsid w:val="00F62C3D"/>
    <w:rsid w:val="00F62CCC"/>
    <w:rsid w:val="00F63230"/>
    <w:rsid w:val="00F632F7"/>
    <w:rsid w:val="00F634C6"/>
    <w:rsid w:val="00F639FB"/>
    <w:rsid w:val="00F642F8"/>
    <w:rsid w:val="00F6436D"/>
    <w:rsid w:val="00F648A0"/>
    <w:rsid w:val="00F654F3"/>
    <w:rsid w:val="00F658CC"/>
    <w:rsid w:val="00F65AA9"/>
    <w:rsid w:val="00F65B6C"/>
    <w:rsid w:val="00F65C1E"/>
    <w:rsid w:val="00F66F7A"/>
    <w:rsid w:val="00F6717F"/>
    <w:rsid w:val="00F67442"/>
    <w:rsid w:val="00F6781A"/>
    <w:rsid w:val="00F70BFA"/>
    <w:rsid w:val="00F70CED"/>
    <w:rsid w:val="00F70D79"/>
    <w:rsid w:val="00F70E39"/>
    <w:rsid w:val="00F7160F"/>
    <w:rsid w:val="00F71C91"/>
    <w:rsid w:val="00F7308D"/>
    <w:rsid w:val="00F732EA"/>
    <w:rsid w:val="00F7378C"/>
    <w:rsid w:val="00F73B6D"/>
    <w:rsid w:val="00F73C77"/>
    <w:rsid w:val="00F73D1C"/>
    <w:rsid w:val="00F73D36"/>
    <w:rsid w:val="00F74576"/>
    <w:rsid w:val="00F75325"/>
    <w:rsid w:val="00F75455"/>
    <w:rsid w:val="00F7575D"/>
    <w:rsid w:val="00F75A53"/>
    <w:rsid w:val="00F75DA8"/>
    <w:rsid w:val="00F75DF1"/>
    <w:rsid w:val="00F75E97"/>
    <w:rsid w:val="00F762DF"/>
    <w:rsid w:val="00F763FC"/>
    <w:rsid w:val="00F7675E"/>
    <w:rsid w:val="00F768BC"/>
    <w:rsid w:val="00F76B4A"/>
    <w:rsid w:val="00F76FAE"/>
    <w:rsid w:val="00F76FF1"/>
    <w:rsid w:val="00F772C1"/>
    <w:rsid w:val="00F77341"/>
    <w:rsid w:val="00F777B9"/>
    <w:rsid w:val="00F77BA5"/>
    <w:rsid w:val="00F80206"/>
    <w:rsid w:val="00F8026D"/>
    <w:rsid w:val="00F8034E"/>
    <w:rsid w:val="00F806F2"/>
    <w:rsid w:val="00F80F3A"/>
    <w:rsid w:val="00F81034"/>
    <w:rsid w:val="00F811DF"/>
    <w:rsid w:val="00F81E18"/>
    <w:rsid w:val="00F821E1"/>
    <w:rsid w:val="00F8245F"/>
    <w:rsid w:val="00F82CB0"/>
    <w:rsid w:val="00F82E40"/>
    <w:rsid w:val="00F83396"/>
    <w:rsid w:val="00F83580"/>
    <w:rsid w:val="00F836D4"/>
    <w:rsid w:val="00F83774"/>
    <w:rsid w:val="00F849D8"/>
    <w:rsid w:val="00F862B9"/>
    <w:rsid w:val="00F8670D"/>
    <w:rsid w:val="00F87096"/>
    <w:rsid w:val="00F8742D"/>
    <w:rsid w:val="00F87BE6"/>
    <w:rsid w:val="00F87DA3"/>
    <w:rsid w:val="00F90A34"/>
    <w:rsid w:val="00F9100C"/>
    <w:rsid w:val="00F9156D"/>
    <w:rsid w:val="00F91629"/>
    <w:rsid w:val="00F91E2A"/>
    <w:rsid w:val="00F922FD"/>
    <w:rsid w:val="00F923FC"/>
    <w:rsid w:val="00F92929"/>
    <w:rsid w:val="00F93A29"/>
    <w:rsid w:val="00F93D1D"/>
    <w:rsid w:val="00F94525"/>
    <w:rsid w:val="00F94568"/>
    <w:rsid w:val="00F94CD4"/>
    <w:rsid w:val="00F94E22"/>
    <w:rsid w:val="00F950D8"/>
    <w:rsid w:val="00F9574B"/>
    <w:rsid w:val="00F95F3F"/>
    <w:rsid w:val="00F95FC4"/>
    <w:rsid w:val="00F96C39"/>
    <w:rsid w:val="00F96DB7"/>
    <w:rsid w:val="00F96E41"/>
    <w:rsid w:val="00F97E3B"/>
    <w:rsid w:val="00FA0115"/>
    <w:rsid w:val="00FA06C9"/>
    <w:rsid w:val="00FA1038"/>
    <w:rsid w:val="00FA1189"/>
    <w:rsid w:val="00FA11BE"/>
    <w:rsid w:val="00FA1408"/>
    <w:rsid w:val="00FA153F"/>
    <w:rsid w:val="00FA169E"/>
    <w:rsid w:val="00FA192D"/>
    <w:rsid w:val="00FA1D78"/>
    <w:rsid w:val="00FA1F7E"/>
    <w:rsid w:val="00FA2396"/>
    <w:rsid w:val="00FA280F"/>
    <w:rsid w:val="00FA287E"/>
    <w:rsid w:val="00FA3201"/>
    <w:rsid w:val="00FA33FD"/>
    <w:rsid w:val="00FA38EE"/>
    <w:rsid w:val="00FA47DB"/>
    <w:rsid w:val="00FA4E44"/>
    <w:rsid w:val="00FA5289"/>
    <w:rsid w:val="00FA53B5"/>
    <w:rsid w:val="00FA59FA"/>
    <w:rsid w:val="00FA5CC7"/>
    <w:rsid w:val="00FA6126"/>
    <w:rsid w:val="00FA61B5"/>
    <w:rsid w:val="00FA6213"/>
    <w:rsid w:val="00FA621B"/>
    <w:rsid w:val="00FA6978"/>
    <w:rsid w:val="00FA7968"/>
    <w:rsid w:val="00FA7AAF"/>
    <w:rsid w:val="00FA7CD3"/>
    <w:rsid w:val="00FB033E"/>
    <w:rsid w:val="00FB09DD"/>
    <w:rsid w:val="00FB1A36"/>
    <w:rsid w:val="00FB1BC0"/>
    <w:rsid w:val="00FB1D99"/>
    <w:rsid w:val="00FB2186"/>
    <w:rsid w:val="00FB223A"/>
    <w:rsid w:val="00FB2BC4"/>
    <w:rsid w:val="00FB2C83"/>
    <w:rsid w:val="00FB31E9"/>
    <w:rsid w:val="00FB3513"/>
    <w:rsid w:val="00FB41D5"/>
    <w:rsid w:val="00FB47C1"/>
    <w:rsid w:val="00FB537E"/>
    <w:rsid w:val="00FB54B2"/>
    <w:rsid w:val="00FB5D89"/>
    <w:rsid w:val="00FB67B1"/>
    <w:rsid w:val="00FB6816"/>
    <w:rsid w:val="00FB697A"/>
    <w:rsid w:val="00FB6ADB"/>
    <w:rsid w:val="00FB6E82"/>
    <w:rsid w:val="00FB6EEF"/>
    <w:rsid w:val="00FB703E"/>
    <w:rsid w:val="00FB7246"/>
    <w:rsid w:val="00FB7600"/>
    <w:rsid w:val="00FB76E7"/>
    <w:rsid w:val="00FB7CB1"/>
    <w:rsid w:val="00FB7E03"/>
    <w:rsid w:val="00FC0316"/>
    <w:rsid w:val="00FC073A"/>
    <w:rsid w:val="00FC07B6"/>
    <w:rsid w:val="00FC0E0A"/>
    <w:rsid w:val="00FC0FF8"/>
    <w:rsid w:val="00FC1283"/>
    <w:rsid w:val="00FC168D"/>
    <w:rsid w:val="00FC1DB0"/>
    <w:rsid w:val="00FC22F0"/>
    <w:rsid w:val="00FC2361"/>
    <w:rsid w:val="00FC27FF"/>
    <w:rsid w:val="00FC2EF7"/>
    <w:rsid w:val="00FC327B"/>
    <w:rsid w:val="00FC34ED"/>
    <w:rsid w:val="00FC3FC0"/>
    <w:rsid w:val="00FC4113"/>
    <w:rsid w:val="00FC41A4"/>
    <w:rsid w:val="00FC4AD0"/>
    <w:rsid w:val="00FC4B32"/>
    <w:rsid w:val="00FC501A"/>
    <w:rsid w:val="00FC5073"/>
    <w:rsid w:val="00FC520C"/>
    <w:rsid w:val="00FC5649"/>
    <w:rsid w:val="00FC5A76"/>
    <w:rsid w:val="00FC5F42"/>
    <w:rsid w:val="00FC6769"/>
    <w:rsid w:val="00FC6A11"/>
    <w:rsid w:val="00FC76DF"/>
    <w:rsid w:val="00FC7A37"/>
    <w:rsid w:val="00FD0133"/>
    <w:rsid w:val="00FD0163"/>
    <w:rsid w:val="00FD060B"/>
    <w:rsid w:val="00FD0B6A"/>
    <w:rsid w:val="00FD1058"/>
    <w:rsid w:val="00FD161F"/>
    <w:rsid w:val="00FD17BE"/>
    <w:rsid w:val="00FD1A55"/>
    <w:rsid w:val="00FD22E5"/>
    <w:rsid w:val="00FD25FE"/>
    <w:rsid w:val="00FD32F0"/>
    <w:rsid w:val="00FD347D"/>
    <w:rsid w:val="00FD3493"/>
    <w:rsid w:val="00FD4460"/>
    <w:rsid w:val="00FD4D20"/>
    <w:rsid w:val="00FD54ED"/>
    <w:rsid w:val="00FD6206"/>
    <w:rsid w:val="00FD72CF"/>
    <w:rsid w:val="00FD7AF5"/>
    <w:rsid w:val="00FD7B39"/>
    <w:rsid w:val="00FD7FFC"/>
    <w:rsid w:val="00FE0356"/>
    <w:rsid w:val="00FE07E9"/>
    <w:rsid w:val="00FE07EB"/>
    <w:rsid w:val="00FE1234"/>
    <w:rsid w:val="00FE1318"/>
    <w:rsid w:val="00FE1BD1"/>
    <w:rsid w:val="00FE1C62"/>
    <w:rsid w:val="00FE208F"/>
    <w:rsid w:val="00FE25C2"/>
    <w:rsid w:val="00FE26C7"/>
    <w:rsid w:val="00FE28A8"/>
    <w:rsid w:val="00FE2BB7"/>
    <w:rsid w:val="00FE2CBC"/>
    <w:rsid w:val="00FE2E67"/>
    <w:rsid w:val="00FE369D"/>
    <w:rsid w:val="00FE3D8E"/>
    <w:rsid w:val="00FE3DE4"/>
    <w:rsid w:val="00FE3EBE"/>
    <w:rsid w:val="00FE3FA7"/>
    <w:rsid w:val="00FE496C"/>
    <w:rsid w:val="00FE50F7"/>
    <w:rsid w:val="00FE5397"/>
    <w:rsid w:val="00FE547D"/>
    <w:rsid w:val="00FE54CD"/>
    <w:rsid w:val="00FE64DF"/>
    <w:rsid w:val="00FE6817"/>
    <w:rsid w:val="00FE6B47"/>
    <w:rsid w:val="00FE6DF6"/>
    <w:rsid w:val="00FE7178"/>
    <w:rsid w:val="00FE73FB"/>
    <w:rsid w:val="00FE765B"/>
    <w:rsid w:val="00FF0344"/>
    <w:rsid w:val="00FF0610"/>
    <w:rsid w:val="00FF10E3"/>
    <w:rsid w:val="00FF1A4B"/>
    <w:rsid w:val="00FF1AEE"/>
    <w:rsid w:val="00FF2652"/>
    <w:rsid w:val="00FF2B78"/>
    <w:rsid w:val="00FF32C3"/>
    <w:rsid w:val="00FF334D"/>
    <w:rsid w:val="00FF3782"/>
    <w:rsid w:val="00FF3D90"/>
    <w:rsid w:val="00FF3F8B"/>
    <w:rsid w:val="00FF40F4"/>
    <w:rsid w:val="00FF44D4"/>
    <w:rsid w:val="00FF452A"/>
    <w:rsid w:val="00FF474B"/>
    <w:rsid w:val="00FF4826"/>
    <w:rsid w:val="00FF4B9E"/>
    <w:rsid w:val="00FF4E64"/>
    <w:rsid w:val="00FF526F"/>
    <w:rsid w:val="00FF535D"/>
    <w:rsid w:val="00FF565C"/>
    <w:rsid w:val="00FF59A4"/>
    <w:rsid w:val="00FF5CF6"/>
    <w:rsid w:val="00FF6168"/>
    <w:rsid w:val="00FF6A97"/>
    <w:rsid w:val="00FF700A"/>
    <w:rsid w:val="00FF71D8"/>
    <w:rsid w:val="00FF7A0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A0301"/>
  <w15:chartTrackingRefBased/>
  <w15:docId w15:val="{B08A0C45-23E7-4EB6-9C32-0BFBE064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5DA2"/>
    <w:rPr>
      <w:rFonts w:ascii="Arial" w:hAnsi="Arial"/>
      <w:sz w:val="24"/>
    </w:rPr>
  </w:style>
  <w:style w:type="paragraph" w:styleId="Titre1">
    <w:name w:val="heading 1"/>
    <w:basedOn w:val="Normal"/>
    <w:next w:val="corpsdedcision"/>
    <w:link w:val="Titre1Car"/>
    <w:qFormat/>
    <w:rsid w:val="00F96E41"/>
    <w:pPr>
      <w:keepNext/>
      <w:spacing w:before="240" w:after="240"/>
      <w:outlineLvl w:val="0"/>
    </w:pPr>
    <w:rPr>
      <w:rFonts w:cs="Arial"/>
      <w:b/>
      <w:bCs/>
      <w:caps/>
      <w:kern w:val="32"/>
      <w:szCs w:val="32"/>
      <w:u w:val="single"/>
      <w:lang w:eastAsia="fr-FR"/>
    </w:rPr>
  </w:style>
  <w:style w:type="paragraph" w:styleId="Titre2">
    <w:name w:val="heading 2"/>
    <w:basedOn w:val="Normal"/>
    <w:next w:val="corpsdedcision"/>
    <w:qFormat/>
    <w:rsid w:val="0047680F"/>
    <w:pPr>
      <w:keepNext/>
      <w:spacing w:before="240" w:after="240"/>
      <w:outlineLvl w:val="1"/>
    </w:pPr>
    <w:rPr>
      <w:rFonts w:cs="Arial"/>
      <w:bCs/>
      <w:iCs/>
      <w:caps/>
      <w:szCs w:val="28"/>
      <w:lang w:eastAsia="fr-FR"/>
    </w:rPr>
  </w:style>
  <w:style w:type="paragraph" w:styleId="Titre3">
    <w:name w:val="heading 3"/>
    <w:basedOn w:val="Normal"/>
    <w:next w:val="corpsdedcision"/>
    <w:qFormat/>
    <w:rsid w:val="00EA456C"/>
    <w:pPr>
      <w:keepNext/>
      <w:spacing w:before="240" w:after="240"/>
      <w:outlineLvl w:val="2"/>
    </w:pPr>
    <w:rPr>
      <w:rFonts w:cs="Arial"/>
      <w:b/>
      <w:szCs w:val="24"/>
      <w:lang w:eastAsia="fr-FR"/>
    </w:rPr>
  </w:style>
  <w:style w:type="paragraph" w:styleId="Titre4">
    <w:name w:val="heading 4"/>
    <w:basedOn w:val="Normal"/>
    <w:next w:val="corpsdedcision"/>
    <w:link w:val="Titre4Car"/>
    <w:qFormat/>
    <w:rsid w:val="008F15D5"/>
    <w:pPr>
      <w:keepNext/>
      <w:spacing w:before="240" w:after="240"/>
      <w:outlineLvl w:val="3"/>
    </w:pPr>
    <w:rPr>
      <w:rFonts w:cs="Arial"/>
      <w:szCs w:val="24"/>
      <w:u w:val="single"/>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uiPriority w:val="99"/>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link w:val="corpsdedcisionCar"/>
    <w:pPr>
      <w:numPr>
        <w:numId w:val="1"/>
      </w:numPr>
      <w:tabs>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uiPriority w:val="99"/>
    <w:semiHidden/>
  </w:style>
  <w:style w:type="paragraph" w:styleId="En-tte">
    <w:name w:val="header"/>
    <w:basedOn w:val="Normal"/>
    <w:pPr>
      <w:tabs>
        <w:tab w:val="center" w:pos="4320"/>
        <w:tab w:val="right" w:pos="8640"/>
      </w:tabs>
    </w:pPr>
  </w:style>
  <w:style w:type="character" w:styleId="Numrodepage">
    <w:name w:val="page number"/>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link w:val="Notedebasdepage"/>
    <w:uiPriority w:val="99"/>
    <w:semiHidden/>
    <w:locked/>
    <w:rsid w:val="00BC0A03"/>
    <w:rPr>
      <w:rFonts w:ascii="Arial" w:hAnsi="Arial"/>
      <w:sz w:val="24"/>
      <w:lang w:val="fr-CA" w:eastAsia="fr-CA" w:bidi="ar-SA"/>
    </w:rPr>
  </w:style>
  <w:style w:type="character" w:customStyle="1" w:styleId="CarCar3">
    <w:name w:val="Car Car3"/>
    <w:semiHidden/>
    <w:locked/>
    <w:rsid w:val="007F2149"/>
    <w:rPr>
      <w:rFonts w:ascii="Arial" w:hAnsi="Arial"/>
      <w:sz w:val="24"/>
      <w:lang w:val="fr-CA" w:eastAsia="fr-CA" w:bidi="ar-SA"/>
    </w:rPr>
  </w:style>
  <w:style w:type="paragraph" w:customStyle="1" w:styleId="Citationenretrait">
    <w:name w:val="Citation en retrait"/>
    <w:basedOn w:val="Normal"/>
    <w:link w:val="CitationenretraitCar"/>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link w:val="CitationendoubleretraitCar"/>
    <w:rsid w:val="008048CF"/>
    <w:pPr>
      <w:spacing w:before="0" w:after="0"/>
      <w:ind w:left="1440" w:right="1440"/>
    </w:pPr>
    <w:rPr>
      <w:sz w:val="18"/>
    </w:rPr>
  </w:style>
  <w:style w:type="character" w:customStyle="1" w:styleId="Citationintgre">
    <w:name w:val="Citation intégrée"/>
    <w:rsid w:val="006A7C53"/>
    <w:rPr>
      <w:rFonts w:ascii="Arial" w:hAnsi="Arial"/>
      <w:i/>
      <w:noProof w:val="0"/>
      <w:sz w:val="22"/>
      <w:lang w:val="fr-CA"/>
    </w:rPr>
  </w:style>
  <w:style w:type="paragraph" w:customStyle="1" w:styleId="Paragraphe">
    <w:name w:val="Paragraphe"/>
    <w:basedOn w:val="Normal"/>
    <w:rsid w:val="006A7C53"/>
    <w:pPr>
      <w:numPr>
        <w:numId w:val="3"/>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3"/>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character" w:customStyle="1" w:styleId="Titre1Car">
    <w:name w:val="Titre 1 Car"/>
    <w:link w:val="Titre1"/>
    <w:rsid w:val="00F96E41"/>
    <w:rPr>
      <w:rFonts w:ascii="Arial" w:hAnsi="Arial" w:cs="Arial"/>
      <w:b/>
      <w:bCs/>
      <w:caps/>
      <w:kern w:val="32"/>
      <w:sz w:val="24"/>
      <w:szCs w:val="32"/>
      <w:u w:val="single"/>
      <w:lang w:val="fr-CA" w:eastAsia="fr-FR" w:bidi="ar-SA"/>
    </w:rPr>
  </w:style>
  <w:style w:type="paragraph" w:customStyle="1" w:styleId="ParagConclusion">
    <w:name w:val="ParagConclusion"/>
    <w:basedOn w:val="Normal"/>
    <w:rsid w:val="003D18FC"/>
    <w:pPr>
      <w:spacing w:before="160" w:after="160"/>
      <w:ind w:left="2448" w:hanging="2448"/>
    </w:pPr>
    <w:rPr>
      <w:rFonts w:eastAsia="Calibri" w:cs="Arial"/>
      <w:szCs w:val="24"/>
      <w:lang w:eastAsia="fr-FR"/>
    </w:rPr>
  </w:style>
  <w:style w:type="paragraph" w:customStyle="1" w:styleId="yChPInterv">
    <w:name w:val="yCh_PInterv"/>
    <w:rsid w:val="00474489"/>
    <w:rPr>
      <w:rFonts w:ascii="Arial" w:hAnsi="Arial"/>
      <w:sz w:val="24"/>
    </w:rPr>
  </w:style>
  <w:style w:type="character" w:styleId="Hyperlien">
    <w:name w:val="Hyperlink"/>
    <w:unhideWhenUsed/>
    <w:rsid w:val="00AF3189"/>
    <w:rPr>
      <w:color w:val="0563C1"/>
      <w:u w:val="single"/>
    </w:rPr>
  </w:style>
  <w:style w:type="character" w:customStyle="1" w:styleId="CarCar1">
    <w:name w:val="Car Car1"/>
    <w:semiHidden/>
    <w:rsid w:val="00D73BB4"/>
    <w:rPr>
      <w:rFonts w:ascii="Arial" w:eastAsia="Times New Roman" w:hAnsi="Arial"/>
      <w:sz w:val="24"/>
    </w:rPr>
  </w:style>
  <w:style w:type="paragraph" w:styleId="Paragraphedeliste">
    <w:name w:val="List Paragraph"/>
    <w:basedOn w:val="Normal"/>
    <w:qFormat/>
    <w:rsid w:val="00D73BB4"/>
    <w:pPr>
      <w:ind w:left="720"/>
      <w:contextualSpacing/>
    </w:pPr>
  </w:style>
  <w:style w:type="character" w:customStyle="1" w:styleId="CarCar2">
    <w:name w:val="Car Car2"/>
    <w:rsid w:val="00CD04D9"/>
    <w:rPr>
      <w:rFonts w:ascii="Arial" w:hAnsi="Arial"/>
      <w:sz w:val="24"/>
    </w:rPr>
  </w:style>
  <w:style w:type="character" w:customStyle="1" w:styleId="FootnoteTextChar">
    <w:name w:val="Footnote Text Char"/>
    <w:locked/>
    <w:rsid w:val="00ED57F6"/>
    <w:rPr>
      <w:rFonts w:ascii="Arial" w:hAnsi="Arial" w:cs="Times New Roman"/>
      <w:sz w:val="24"/>
    </w:rPr>
  </w:style>
  <w:style w:type="character" w:customStyle="1" w:styleId="CitationenretraitCar">
    <w:name w:val="Citation en retrait Car"/>
    <w:link w:val="Citationenretrait"/>
    <w:rsid w:val="00DB6AF2"/>
    <w:rPr>
      <w:rFonts w:ascii="Arial" w:hAnsi="Arial"/>
      <w:kern w:val="24"/>
      <w:sz w:val="22"/>
      <w:lang w:val="fr-CA" w:eastAsia="fr-FR" w:bidi="ar-SA"/>
    </w:rPr>
  </w:style>
  <w:style w:type="character" w:customStyle="1" w:styleId="CitationendoubleretraitCar">
    <w:name w:val="Citation en double retrait Car"/>
    <w:link w:val="Citationendoubleretrait"/>
    <w:rsid w:val="00DB6AF2"/>
    <w:rPr>
      <w:rFonts w:ascii="Arial" w:hAnsi="Arial"/>
      <w:kern w:val="24"/>
      <w:sz w:val="18"/>
      <w:lang w:val="fr-CA" w:eastAsia="fr-FR" w:bidi="ar-SA"/>
    </w:rPr>
  </w:style>
  <w:style w:type="character" w:styleId="Marquedecommentaire">
    <w:name w:val="annotation reference"/>
    <w:basedOn w:val="Policepardfaut"/>
    <w:uiPriority w:val="99"/>
    <w:rsid w:val="005D5CD0"/>
    <w:rPr>
      <w:sz w:val="16"/>
      <w:szCs w:val="16"/>
    </w:rPr>
  </w:style>
  <w:style w:type="paragraph" w:styleId="Commentaire">
    <w:name w:val="annotation text"/>
    <w:basedOn w:val="Normal"/>
    <w:link w:val="CommentaireCar"/>
    <w:uiPriority w:val="99"/>
    <w:rsid w:val="005D5CD0"/>
    <w:rPr>
      <w:sz w:val="20"/>
    </w:rPr>
  </w:style>
  <w:style w:type="character" w:customStyle="1" w:styleId="CommentaireCar">
    <w:name w:val="Commentaire Car"/>
    <w:basedOn w:val="Policepardfaut"/>
    <w:link w:val="Commentaire"/>
    <w:uiPriority w:val="99"/>
    <w:rsid w:val="005D5CD0"/>
    <w:rPr>
      <w:rFonts w:ascii="Arial" w:hAnsi="Arial"/>
    </w:rPr>
  </w:style>
  <w:style w:type="paragraph" w:styleId="Objetducommentaire">
    <w:name w:val="annotation subject"/>
    <w:basedOn w:val="Commentaire"/>
    <w:next w:val="Commentaire"/>
    <w:link w:val="ObjetducommentaireCar"/>
    <w:rsid w:val="005D5CD0"/>
    <w:rPr>
      <w:b/>
      <w:bCs/>
    </w:rPr>
  </w:style>
  <w:style w:type="character" w:customStyle="1" w:styleId="ObjetducommentaireCar">
    <w:name w:val="Objet du commentaire Car"/>
    <w:basedOn w:val="CommentaireCar"/>
    <w:link w:val="Objetducommentaire"/>
    <w:rsid w:val="005D5CD0"/>
    <w:rPr>
      <w:rFonts w:ascii="Arial" w:hAnsi="Arial"/>
      <w:b/>
      <w:bCs/>
    </w:rPr>
  </w:style>
  <w:style w:type="character" w:customStyle="1" w:styleId="corpsdedcisionCar">
    <w:name w:val="corps de décision Car"/>
    <w:link w:val="corpsdedcision"/>
    <w:locked/>
    <w:rsid w:val="00975140"/>
    <w:rPr>
      <w:rFonts w:ascii="Arial" w:hAnsi="Arial"/>
      <w:sz w:val="24"/>
    </w:rPr>
  </w:style>
  <w:style w:type="paragraph" w:styleId="Rvision">
    <w:name w:val="Revision"/>
    <w:hidden/>
    <w:uiPriority w:val="99"/>
    <w:semiHidden/>
    <w:rsid w:val="00554D7B"/>
    <w:rPr>
      <w:rFonts w:ascii="Arial" w:hAnsi="Arial"/>
      <w:sz w:val="24"/>
    </w:rPr>
  </w:style>
  <w:style w:type="character" w:customStyle="1" w:styleId="Titre4Car">
    <w:name w:val="Titre 4 Car"/>
    <w:basedOn w:val="Policepardfaut"/>
    <w:link w:val="Titre4"/>
    <w:rsid w:val="004D09EA"/>
    <w:rPr>
      <w:rFonts w:ascii="Arial" w:hAnsi="Arial" w:cs="Arial"/>
      <w:sz w:val="24"/>
      <w:szCs w:val="24"/>
      <w:u w:val="single"/>
      <w:lang w:eastAsia="fr-FR"/>
    </w:rPr>
  </w:style>
  <w:style w:type="character" w:customStyle="1" w:styleId="Mentionnonrsolue1">
    <w:name w:val="Mention non résolue1"/>
    <w:basedOn w:val="Policepardfaut"/>
    <w:uiPriority w:val="99"/>
    <w:semiHidden/>
    <w:unhideWhenUsed/>
    <w:rsid w:val="009D1B0D"/>
    <w:rPr>
      <w:color w:val="605E5C"/>
      <w:shd w:val="clear" w:color="auto" w:fill="E1DFDD"/>
    </w:rPr>
  </w:style>
  <w:style w:type="character" w:customStyle="1" w:styleId="cf01">
    <w:name w:val="cf01"/>
    <w:basedOn w:val="Policepardfaut"/>
    <w:rsid w:val="00665DC2"/>
    <w:rPr>
      <w:rFonts w:ascii="Segoe UI" w:hAnsi="Segoe UI" w:cs="Segoe UI" w:hint="default"/>
      <w:sz w:val="18"/>
      <w:szCs w:val="18"/>
    </w:rPr>
  </w:style>
  <w:style w:type="character" w:customStyle="1" w:styleId="cf11">
    <w:name w:val="cf11"/>
    <w:basedOn w:val="Policepardfaut"/>
    <w:rsid w:val="007762E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44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787/b700868a-fr" TargetMode="External"/><Relationship Id="rId1" Type="http://schemas.openxmlformats.org/officeDocument/2006/relationships/hyperlink" Target="https://doi.org/10.1787/bc0cfa41-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22377-143C-4F31-88CC-4872FA7DE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28081</Words>
  <Characters>154447</Characters>
  <Application>Microsoft Office Word</Application>
  <DocSecurity>0</DocSecurity>
  <Lines>1287</Lines>
  <Paragraphs>364</Paragraphs>
  <ScaleCrop>false</ScaleCrop>
  <HeadingPairs>
    <vt:vector size="2" baseType="variant">
      <vt:variant>
        <vt:lpstr>Titre</vt:lpstr>
      </vt:variant>
      <vt:variant>
        <vt:i4>1</vt:i4>
      </vt:variant>
    </vt:vector>
  </HeadingPairs>
  <TitlesOfParts>
    <vt:vector size="1" baseType="lpstr">
      <vt:lpstr>Canevas de décision TAT</vt:lpstr>
    </vt:vector>
  </TitlesOfParts>
  <Company>TAT</Company>
  <LinksUpToDate>false</LinksUpToDate>
  <CharactersWithSpaces>182164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Canevas de décision TAT</dc:title>
  <dc:subject/>
  <dc:creator>Émilie Porez</dc:creator>
  <cp:keywords/>
  <dc:description/>
  <cp:lastModifiedBy>Paillé, Pryscilla</cp:lastModifiedBy>
  <cp:revision>25</cp:revision>
  <cp:lastPrinted>2026-10-09T17:42:00Z</cp:lastPrinted>
  <dcterms:created xsi:type="dcterms:W3CDTF">2026-10-09T16:45:00Z</dcterms:created>
  <dcterms:modified xsi:type="dcterms:W3CDTF">2026-10-13T14:16:00Z</dcterms:modified>
</cp:coreProperties>
</file>