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5" w:type="dxa"/>
        <w:tblLayout w:type="fixed"/>
        <w:tblCellMar>
          <w:left w:w="70" w:type="dxa"/>
          <w:right w:w="70" w:type="dxa"/>
        </w:tblCellMar>
        <w:tblLook w:val="0000" w:firstRow="0" w:lastRow="0" w:firstColumn="0" w:lastColumn="0" w:noHBand="0" w:noVBand="0"/>
      </w:tblPr>
      <w:tblGrid>
        <w:gridCol w:w="1036"/>
        <w:gridCol w:w="69"/>
        <w:gridCol w:w="510"/>
        <w:gridCol w:w="1585"/>
        <w:gridCol w:w="1826"/>
        <w:gridCol w:w="2064"/>
        <w:gridCol w:w="2415"/>
      </w:tblGrid>
      <w:tr w:rsidR="00697729" w14:paraId="6DF87330" w14:textId="77777777">
        <w:trPr>
          <w:trHeight w:val="360"/>
        </w:trPr>
        <w:tc>
          <w:tcPr>
            <w:tcW w:w="7090" w:type="dxa"/>
            <w:gridSpan w:val="6"/>
          </w:tcPr>
          <w:p w14:paraId="687666F7" w14:textId="35DE1A0A" w:rsidR="00121A72" w:rsidRPr="00544678" w:rsidRDefault="00544678" w:rsidP="00544678">
            <w:pPr>
              <w:pStyle w:val="zSoquijdatRepertorie"/>
              <w:rPr>
                <w:rFonts w:cs="Arial"/>
              </w:rPr>
            </w:pPr>
            <w:r>
              <w:rPr>
                <w:rFonts w:cs="Arial"/>
                <w:lang w:eastAsia="fr-CA"/>
              </w:rPr>
              <w:t>Amazon Canada Fulfillment Services c. Tribunal administratif du travail</w:t>
            </w:r>
          </w:p>
        </w:tc>
        <w:tc>
          <w:tcPr>
            <w:tcW w:w="2415" w:type="dxa"/>
          </w:tcPr>
          <w:p w14:paraId="2158FD41" w14:textId="797704D0" w:rsidR="00121A72" w:rsidRPr="002F5970" w:rsidRDefault="002F5970" w:rsidP="002F5970">
            <w:pPr>
              <w:pStyle w:val="zSoquijdatRefNeutre"/>
              <w:jc w:val="right"/>
              <w:rPr>
                <w:rFonts w:cs="Arial"/>
              </w:rPr>
            </w:pPr>
            <w:r w:rsidRPr="002F5970">
              <w:rPr>
                <w:rFonts w:cs="Arial"/>
              </w:rPr>
              <w:t>2026 QCCS 3988</w:t>
            </w:r>
          </w:p>
        </w:tc>
      </w:tr>
      <w:tr w:rsidR="00697729" w14:paraId="00A3D562" w14:textId="77777777">
        <w:trPr>
          <w:trHeight w:val="900"/>
        </w:trPr>
        <w:tc>
          <w:tcPr>
            <w:tcW w:w="9505" w:type="dxa"/>
            <w:gridSpan w:val="7"/>
            <w:vAlign w:val="bottom"/>
          </w:tcPr>
          <w:p w14:paraId="6F67EAB3" w14:textId="77777777" w:rsidR="00121A72" w:rsidRDefault="00C40124" w:rsidP="00D26929">
            <w:pPr>
              <w:pStyle w:val="zSoquijlblCour"/>
            </w:pPr>
            <w:r>
              <w:t>COUR SUPÉRIEURE</w:t>
            </w:r>
          </w:p>
        </w:tc>
      </w:tr>
      <w:tr w:rsidR="00697729" w14:paraId="65783AD9" w14:textId="77777777">
        <w:trPr>
          <w:trHeight w:val="540"/>
        </w:trPr>
        <w:tc>
          <w:tcPr>
            <w:tcW w:w="9505" w:type="dxa"/>
            <w:gridSpan w:val="7"/>
          </w:tcPr>
          <w:p w14:paraId="283DC9EC" w14:textId="77777777" w:rsidR="00121A72" w:rsidRDefault="00121A72" w:rsidP="00D26929">
            <w:pPr>
              <w:pStyle w:val="zSoquijdatDivision"/>
            </w:pPr>
          </w:p>
        </w:tc>
      </w:tr>
      <w:tr w:rsidR="00697729" w14:paraId="70075BFD" w14:textId="77777777">
        <w:tc>
          <w:tcPr>
            <w:tcW w:w="9505" w:type="dxa"/>
            <w:gridSpan w:val="7"/>
          </w:tcPr>
          <w:p w14:paraId="5076938D" w14:textId="77777777" w:rsidR="00121A72" w:rsidRPr="00C025FC" w:rsidRDefault="00C40124" w:rsidP="00D26929">
            <w:pPr>
              <w:pStyle w:val="zSoquijlblPays"/>
            </w:pPr>
            <w:r w:rsidRPr="00C025FC">
              <w:t>CANADA</w:t>
            </w:r>
          </w:p>
        </w:tc>
      </w:tr>
      <w:tr w:rsidR="00697729" w14:paraId="54AEDA5E" w14:textId="77777777">
        <w:tc>
          <w:tcPr>
            <w:tcW w:w="9505" w:type="dxa"/>
            <w:gridSpan w:val="7"/>
          </w:tcPr>
          <w:p w14:paraId="6560FBF5" w14:textId="77777777" w:rsidR="00121A72" w:rsidRDefault="00C40124" w:rsidP="00D26929">
            <w:pPr>
              <w:pStyle w:val="zSoquijlblProvince"/>
            </w:pPr>
            <w:r>
              <w:t>PROVINCE DE QUÉBEC</w:t>
            </w:r>
          </w:p>
        </w:tc>
      </w:tr>
      <w:tr w:rsidR="00697729" w14:paraId="5206A299" w14:textId="77777777">
        <w:tblPrEx>
          <w:tblCellMar>
            <w:left w:w="0" w:type="dxa"/>
            <w:right w:w="0" w:type="dxa"/>
          </w:tblCellMar>
        </w:tblPrEx>
        <w:trPr>
          <w:cantSplit/>
        </w:trPr>
        <w:tc>
          <w:tcPr>
            <w:tcW w:w="1615" w:type="dxa"/>
            <w:gridSpan w:val="3"/>
          </w:tcPr>
          <w:p w14:paraId="52FC255C" w14:textId="77777777" w:rsidR="00121A72" w:rsidRDefault="00C40124" w:rsidP="00D26929">
            <w:pPr>
              <w:pStyle w:val="zSoquijlblGreffe"/>
            </w:pPr>
            <w:r>
              <w:t>DISTRICT DE</w:t>
            </w:r>
          </w:p>
        </w:tc>
        <w:tc>
          <w:tcPr>
            <w:tcW w:w="7890" w:type="dxa"/>
            <w:gridSpan w:val="4"/>
          </w:tcPr>
          <w:p w14:paraId="2E3212C4" w14:textId="77777777" w:rsidR="00121A72" w:rsidRDefault="00C40124" w:rsidP="00D26929">
            <w:pPr>
              <w:pStyle w:val="zSoquijdatGreffe"/>
            </w:pPr>
            <w:r>
              <w:t xml:space="preserve">MONTRÉAL </w:t>
            </w:r>
          </w:p>
        </w:tc>
      </w:tr>
      <w:tr w:rsidR="00697729" w14:paraId="723EB4DA" w14:textId="77777777">
        <w:trPr>
          <w:trHeight w:val="540"/>
        </w:trPr>
        <w:tc>
          <w:tcPr>
            <w:tcW w:w="9505" w:type="dxa"/>
            <w:gridSpan w:val="7"/>
          </w:tcPr>
          <w:p w14:paraId="6398A6AA" w14:textId="77777777" w:rsidR="00121A72" w:rsidRDefault="00121A72" w:rsidP="00D26929">
            <w:pPr>
              <w:pStyle w:val="zSoquijlblNomChambre"/>
            </w:pPr>
          </w:p>
        </w:tc>
      </w:tr>
      <w:tr w:rsidR="00697729" w14:paraId="2C604F92" w14:textId="77777777">
        <w:tc>
          <w:tcPr>
            <w:tcW w:w="1105" w:type="dxa"/>
            <w:gridSpan w:val="2"/>
          </w:tcPr>
          <w:p w14:paraId="6AACFB04" w14:textId="77777777" w:rsidR="00121A72" w:rsidRDefault="00C40124" w:rsidP="00D26929">
            <w:pPr>
              <w:pStyle w:val="zSoquijlblNoDossier"/>
            </w:pPr>
            <w:r>
              <w:t>N</w:t>
            </w:r>
            <w:r w:rsidR="008A7DDE">
              <w:rPr>
                <w:vertAlign w:val="superscript"/>
              </w:rPr>
              <w:t>o</w:t>
            </w:r>
            <w:r>
              <w:t> :</w:t>
            </w:r>
          </w:p>
        </w:tc>
        <w:tc>
          <w:tcPr>
            <w:tcW w:w="8400" w:type="dxa"/>
            <w:gridSpan w:val="5"/>
          </w:tcPr>
          <w:p w14:paraId="0926B0FB" w14:textId="77777777" w:rsidR="00121A72" w:rsidRDefault="00C40124" w:rsidP="009E7E11">
            <w:pPr>
              <w:pStyle w:val="zSoquijdatNoDossier"/>
              <w:ind w:left="-69"/>
            </w:pPr>
            <w:r w:rsidRPr="006B074F">
              <w:t>500-17-132141-246</w:t>
            </w:r>
          </w:p>
        </w:tc>
      </w:tr>
      <w:tr w:rsidR="00697729" w14:paraId="2E2FDF41" w14:textId="77777777">
        <w:tblPrEx>
          <w:tblCellMar>
            <w:left w:w="0" w:type="dxa"/>
            <w:right w:w="0" w:type="dxa"/>
          </w:tblCellMar>
        </w:tblPrEx>
        <w:trPr>
          <w:cantSplit/>
        </w:trPr>
        <w:tc>
          <w:tcPr>
            <w:tcW w:w="1105" w:type="dxa"/>
            <w:gridSpan w:val="2"/>
          </w:tcPr>
          <w:p w14:paraId="05D96B56" w14:textId="77777777" w:rsidR="00121A72" w:rsidRDefault="00121A72" w:rsidP="00D26929">
            <w:pPr>
              <w:pStyle w:val="zSoquijlblGreffe"/>
            </w:pPr>
          </w:p>
        </w:tc>
        <w:tc>
          <w:tcPr>
            <w:tcW w:w="8400" w:type="dxa"/>
            <w:gridSpan w:val="5"/>
          </w:tcPr>
          <w:p w14:paraId="00F766D0" w14:textId="77777777" w:rsidR="00121A72" w:rsidRDefault="00121A72" w:rsidP="00D26929">
            <w:pPr>
              <w:pStyle w:val="zSoquijdatNoDossierAnt"/>
            </w:pPr>
          </w:p>
        </w:tc>
      </w:tr>
      <w:tr w:rsidR="00697729" w14:paraId="454FFB58" w14:textId="77777777">
        <w:trPr>
          <w:cantSplit/>
          <w:trHeight w:val="235"/>
        </w:trPr>
        <w:tc>
          <w:tcPr>
            <w:tcW w:w="9505" w:type="dxa"/>
            <w:gridSpan w:val="7"/>
          </w:tcPr>
          <w:p w14:paraId="7D948219" w14:textId="77777777" w:rsidR="00121A72" w:rsidRDefault="00121A72" w:rsidP="00D26929"/>
        </w:tc>
      </w:tr>
      <w:tr w:rsidR="00697729" w14:paraId="4EC55E70" w14:textId="77777777">
        <w:tc>
          <w:tcPr>
            <w:tcW w:w="1036" w:type="dxa"/>
          </w:tcPr>
          <w:p w14:paraId="286A43C0" w14:textId="77777777" w:rsidR="00121A72" w:rsidRDefault="00C40124" w:rsidP="00D26929">
            <w:pPr>
              <w:pStyle w:val="zSoquijlblDateJugement"/>
            </w:pPr>
            <w:r>
              <w:t>DATE :</w:t>
            </w:r>
          </w:p>
        </w:tc>
        <w:tc>
          <w:tcPr>
            <w:tcW w:w="8469" w:type="dxa"/>
            <w:gridSpan w:val="6"/>
          </w:tcPr>
          <w:p w14:paraId="0FB5DBFE" w14:textId="77777777" w:rsidR="00121A72" w:rsidRDefault="00C40124" w:rsidP="00D26929">
            <w:pPr>
              <w:pStyle w:val="zSoquijdatDateJugement"/>
            </w:pPr>
            <w:r>
              <w:t>16</w:t>
            </w:r>
            <w:r w:rsidR="0011437E">
              <w:t xml:space="preserve"> </w:t>
            </w:r>
            <w:r w:rsidR="006B074F">
              <w:t>octobre</w:t>
            </w:r>
            <w:r w:rsidR="0011437E">
              <w:t xml:space="preserve"> 2026</w:t>
            </w:r>
          </w:p>
        </w:tc>
      </w:tr>
      <w:tr w:rsidR="00697729" w14:paraId="0D02CC92" w14:textId="77777777">
        <w:tc>
          <w:tcPr>
            <w:tcW w:w="9505" w:type="dxa"/>
            <w:gridSpan w:val="7"/>
          </w:tcPr>
          <w:p w14:paraId="04C4CD40" w14:textId="77777777" w:rsidR="00121A72" w:rsidRDefault="00C40124" w:rsidP="00D26929">
            <w:pPr>
              <w:ind w:left="14" w:right="-67"/>
            </w:pPr>
            <w:r>
              <w:t>______________________________________________________________________</w:t>
            </w:r>
          </w:p>
        </w:tc>
      </w:tr>
      <w:tr w:rsidR="00697729" w14:paraId="15BB5B04" w14:textId="77777777">
        <w:tc>
          <w:tcPr>
            <w:tcW w:w="9505" w:type="dxa"/>
            <w:gridSpan w:val="7"/>
          </w:tcPr>
          <w:p w14:paraId="3F6EB8FB" w14:textId="77777777" w:rsidR="00121A72" w:rsidRDefault="00121A72" w:rsidP="00D26929"/>
        </w:tc>
      </w:tr>
      <w:tr w:rsidR="00697729" w14:paraId="5351D7A2" w14:textId="77777777">
        <w:tblPrEx>
          <w:tblCellMar>
            <w:left w:w="0" w:type="dxa"/>
            <w:right w:w="0" w:type="dxa"/>
          </w:tblCellMar>
        </w:tblPrEx>
        <w:tc>
          <w:tcPr>
            <w:tcW w:w="3200" w:type="dxa"/>
            <w:gridSpan w:val="4"/>
          </w:tcPr>
          <w:p w14:paraId="4F9F5629" w14:textId="77777777" w:rsidR="00121A72" w:rsidRDefault="00C40124" w:rsidP="00D26929">
            <w:pPr>
              <w:pStyle w:val="zSoquijlblJuge"/>
            </w:pPr>
            <w:r>
              <w:t>SOUS LA PRÉSIDENCE DE</w:t>
            </w:r>
          </w:p>
        </w:tc>
        <w:tc>
          <w:tcPr>
            <w:tcW w:w="1826" w:type="dxa"/>
          </w:tcPr>
          <w:p w14:paraId="2EB93518" w14:textId="77777777" w:rsidR="00121A72" w:rsidRDefault="00C40124" w:rsidP="00D26929">
            <w:pPr>
              <w:pStyle w:val="zSoquijdatQteJuge"/>
            </w:pPr>
            <w:r>
              <w:t>L’HONORABLE</w:t>
            </w:r>
          </w:p>
        </w:tc>
        <w:tc>
          <w:tcPr>
            <w:tcW w:w="4479" w:type="dxa"/>
            <w:gridSpan w:val="2"/>
          </w:tcPr>
          <w:p w14:paraId="1236972A" w14:textId="77777777" w:rsidR="00121A72" w:rsidRPr="006B074F" w:rsidRDefault="00C40124" w:rsidP="00D26929">
            <w:pPr>
              <w:pStyle w:val="zSoquijdatJuge"/>
              <w:rPr>
                <w:lang w:val="en-CA"/>
              </w:rPr>
            </w:pPr>
            <w:r w:rsidRPr="006B074F">
              <w:rPr>
                <w:lang w:val="en-CA"/>
              </w:rPr>
              <w:t>CATHERINE PICHÉ</w:t>
            </w:r>
            <w:r w:rsidR="008A4532" w:rsidRPr="006B074F">
              <w:rPr>
                <w:lang w:val="en-CA"/>
              </w:rPr>
              <w:t>, J.C.S.</w:t>
            </w:r>
          </w:p>
        </w:tc>
      </w:tr>
      <w:tr w:rsidR="00697729" w14:paraId="3E68B88C" w14:textId="77777777">
        <w:tc>
          <w:tcPr>
            <w:tcW w:w="9505" w:type="dxa"/>
            <w:gridSpan w:val="7"/>
          </w:tcPr>
          <w:p w14:paraId="05CA5698" w14:textId="77777777" w:rsidR="00121A72" w:rsidRDefault="00C40124" w:rsidP="00D26929">
            <w:pPr>
              <w:ind w:left="14" w:right="-67"/>
            </w:pPr>
            <w:r>
              <w:t>______________________________________________________________________</w:t>
            </w:r>
          </w:p>
        </w:tc>
      </w:tr>
      <w:tr w:rsidR="00697729" w14:paraId="10AA26DB" w14:textId="77777777">
        <w:tc>
          <w:tcPr>
            <w:tcW w:w="9505" w:type="dxa"/>
            <w:gridSpan w:val="7"/>
          </w:tcPr>
          <w:p w14:paraId="527C9698" w14:textId="77777777" w:rsidR="00121A72" w:rsidRDefault="00121A72" w:rsidP="00D26929">
            <w:pPr>
              <w:pStyle w:val="zSoquijlblTitrePartie"/>
            </w:pPr>
          </w:p>
        </w:tc>
      </w:tr>
      <w:tr w:rsidR="00697729" w14:paraId="48210748" w14:textId="77777777">
        <w:tc>
          <w:tcPr>
            <w:tcW w:w="9505" w:type="dxa"/>
            <w:gridSpan w:val="7"/>
          </w:tcPr>
          <w:p w14:paraId="6AA146AB" w14:textId="77777777" w:rsidR="00121A72" w:rsidRDefault="00121A72" w:rsidP="00D26929"/>
        </w:tc>
      </w:tr>
      <w:tr w:rsidR="00697729" w14:paraId="3728D84E" w14:textId="77777777">
        <w:tc>
          <w:tcPr>
            <w:tcW w:w="9505" w:type="dxa"/>
            <w:gridSpan w:val="7"/>
          </w:tcPr>
          <w:p w14:paraId="362123FB" w14:textId="77777777" w:rsidR="006B074F" w:rsidRPr="009615DF" w:rsidRDefault="00C40124" w:rsidP="006B074F">
            <w:pPr>
              <w:jc w:val="both"/>
              <w:rPr>
                <w:rFonts w:cs="Arial"/>
                <w:lang w:val="en-CA"/>
              </w:rPr>
            </w:pPr>
            <w:r w:rsidRPr="009615DF">
              <w:rPr>
                <w:rFonts w:cs="Arial"/>
                <w:b/>
                <w:bCs/>
                <w:noProof/>
                <w:lang w:val="en-CA"/>
              </w:rPr>
              <w:t>AMAZON CANADA FULFILLMENT SERVICES, U</w:t>
            </w:r>
            <w:r w:rsidR="00B15800" w:rsidRPr="009615DF">
              <w:rPr>
                <w:rFonts w:cs="Arial"/>
                <w:b/>
                <w:bCs/>
                <w:noProof/>
                <w:lang w:val="en-CA"/>
              </w:rPr>
              <w:t>.</w:t>
            </w:r>
            <w:r w:rsidRPr="009615DF">
              <w:rPr>
                <w:rFonts w:cs="Arial"/>
                <w:b/>
                <w:bCs/>
                <w:noProof/>
                <w:lang w:val="en-CA"/>
              </w:rPr>
              <w:t>L</w:t>
            </w:r>
            <w:r w:rsidR="00B15800" w:rsidRPr="009615DF">
              <w:rPr>
                <w:rFonts w:cs="Arial"/>
                <w:b/>
                <w:bCs/>
                <w:noProof/>
                <w:lang w:val="en-CA"/>
              </w:rPr>
              <w:t>.</w:t>
            </w:r>
            <w:r w:rsidRPr="009615DF">
              <w:rPr>
                <w:rFonts w:cs="Arial"/>
                <w:b/>
                <w:bCs/>
                <w:noProof/>
                <w:lang w:val="en-CA"/>
              </w:rPr>
              <w:t>C</w:t>
            </w:r>
            <w:r w:rsidR="00B15800" w:rsidRPr="009615DF">
              <w:rPr>
                <w:rFonts w:cs="Arial"/>
                <w:b/>
                <w:bCs/>
                <w:noProof/>
                <w:lang w:val="en-CA"/>
              </w:rPr>
              <w:t>.</w:t>
            </w:r>
          </w:p>
          <w:p w14:paraId="306E3152" w14:textId="77777777" w:rsidR="006B074F" w:rsidRPr="007A28D8" w:rsidRDefault="00C40124" w:rsidP="006B074F">
            <w:pPr>
              <w:spacing w:after="120"/>
              <w:jc w:val="both"/>
              <w:rPr>
                <w:rFonts w:cs="Arial"/>
              </w:rPr>
            </w:pPr>
            <w:bookmarkStart w:id="0" w:name="Demanderesse"/>
            <w:r w:rsidRPr="009615DF">
              <w:rPr>
                <w:rFonts w:cs="Arial"/>
                <w:lang w:val="en-CA"/>
              </w:rPr>
              <w:tab/>
            </w:r>
            <w:r>
              <w:rPr>
                <w:rFonts w:cs="Arial"/>
              </w:rPr>
              <w:t>D</w:t>
            </w:r>
            <w:r w:rsidRPr="007A28D8">
              <w:rPr>
                <w:rFonts w:cs="Arial"/>
              </w:rPr>
              <w:t xml:space="preserve">emanderesse </w:t>
            </w:r>
          </w:p>
          <w:bookmarkEnd w:id="0"/>
          <w:p w14:paraId="0E66E82A" w14:textId="77777777" w:rsidR="006B074F" w:rsidRPr="007A28D8" w:rsidRDefault="00C40124" w:rsidP="006B074F">
            <w:pPr>
              <w:spacing w:after="120"/>
              <w:jc w:val="both"/>
              <w:rPr>
                <w:rFonts w:cs="Arial"/>
              </w:rPr>
            </w:pPr>
            <w:r w:rsidRPr="007A28D8">
              <w:rPr>
                <w:rFonts w:cs="Arial"/>
              </w:rPr>
              <w:t>c.</w:t>
            </w:r>
          </w:p>
          <w:p w14:paraId="1CE550C7" w14:textId="77777777" w:rsidR="006B074F" w:rsidRPr="007A28D8" w:rsidRDefault="00C40124" w:rsidP="006B074F">
            <w:pPr>
              <w:jc w:val="both"/>
              <w:rPr>
                <w:rFonts w:cs="Arial"/>
              </w:rPr>
            </w:pPr>
            <w:bookmarkStart w:id="1" w:name="_Hlk169696164"/>
            <w:r w:rsidRPr="007A28D8">
              <w:rPr>
                <w:rFonts w:cs="Arial"/>
                <w:b/>
              </w:rPr>
              <w:t xml:space="preserve">TRIBUNAL ADMINISTRATIF </w:t>
            </w:r>
            <w:r>
              <w:rPr>
                <w:rFonts w:cs="Arial"/>
                <w:b/>
              </w:rPr>
              <w:t>D</w:t>
            </w:r>
            <w:r w:rsidRPr="007A28D8">
              <w:rPr>
                <w:rFonts w:cs="Arial"/>
                <w:b/>
              </w:rPr>
              <w:t>U TRAVAIL</w:t>
            </w:r>
          </w:p>
          <w:p w14:paraId="24589AA4" w14:textId="77777777" w:rsidR="006B074F" w:rsidRPr="007A28D8" w:rsidRDefault="00C40124" w:rsidP="006B074F">
            <w:pPr>
              <w:spacing w:after="120"/>
              <w:jc w:val="both"/>
              <w:rPr>
                <w:rFonts w:cs="Arial"/>
                <w:bCs/>
              </w:rPr>
            </w:pPr>
            <w:r>
              <w:rPr>
                <w:rFonts w:cs="Arial"/>
              </w:rPr>
              <w:tab/>
            </w:r>
            <w:r w:rsidRPr="007A28D8">
              <w:rPr>
                <w:rFonts w:cs="Arial"/>
              </w:rPr>
              <w:t>Défendeur</w:t>
            </w:r>
          </w:p>
          <w:p w14:paraId="76314FD4" w14:textId="77777777" w:rsidR="006B074F" w:rsidRPr="007A28D8" w:rsidRDefault="00C40124" w:rsidP="006B074F">
            <w:pPr>
              <w:spacing w:after="120"/>
              <w:jc w:val="both"/>
              <w:rPr>
                <w:rFonts w:cs="Arial"/>
              </w:rPr>
            </w:pPr>
            <w:r w:rsidRPr="007A28D8">
              <w:rPr>
                <w:rFonts w:cs="Arial"/>
              </w:rPr>
              <w:t>et</w:t>
            </w:r>
          </w:p>
          <w:p w14:paraId="5CD07871" w14:textId="77777777" w:rsidR="006B074F" w:rsidRPr="007A28D8" w:rsidRDefault="00C40124" w:rsidP="006B074F">
            <w:pPr>
              <w:jc w:val="both"/>
              <w:rPr>
                <w:rFonts w:ascii="Times New Roman" w:eastAsiaTheme="minorEastAsia" w:hAnsi="Times New Roman"/>
                <w:lang w:eastAsia="en-CA"/>
              </w:rPr>
            </w:pPr>
            <w:r w:rsidRPr="007A28D8">
              <w:rPr>
                <w:rFonts w:cs="Arial"/>
                <w:b/>
              </w:rPr>
              <w:t>SYNDICAT DES TRAVAILLEUSES ET TRAVAILLEURS D</w:t>
            </w:r>
            <w:r>
              <w:rPr>
                <w:rFonts w:cs="Arial"/>
                <w:b/>
              </w:rPr>
              <w:t>’</w:t>
            </w:r>
            <w:r w:rsidRPr="007A28D8">
              <w:rPr>
                <w:rFonts w:cs="Arial"/>
                <w:b/>
              </w:rPr>
              <w:t xml:space="preserve">AMAZON LAVAL </w:t>
            </w:r>
            <w:r w:rsidR="00B15800">
              <w:rPr>
                <w:rFonts w:cs="Arial"/>
                <w:b/>
              </w:rPr>
              <w:t>–</w:t>
            </w:r>
            <w:r w:rsidRPr="007A28D8">
              <w:rPr>
                <w:rFonts w:cs="Arial"/>
                <w:b/>
              </w:rPr>
              <w:t xml:space="preserve"> C</w:t>
            </w:r>
            <w:r w:rsidR="00B15800">
              <w:rPr>
                <w:rFonts w:cs="Arial"/>
                <w:b/>
              </w:rPr>
              <w:t>.</w:t>
            </w:r>
            <w:r w:rsidRPr="007A28D8">
              <w:rPr>
                <w:rFonts w:cs="Arial"/>
                <w:b/>
              </w:rPr>
              <w:t>S</w:t>
            </w:r>
            <w:r w:rsidR="00B15800">
              <w:rPr>
                <w:rFonts w:cs="Arial"/>
                <w:b/>
              </w:rPr>
              <w:t>.</w:t>
            </w:r>
            <w:r w:rsidRPr="007A28D8">
              <w:rPr>
                <w:rFonts w:cs="Arial"/>
                <w:b/>
              </w:rPr>
              <w:t>N</w:t>
            </w:r>
            <w:r w:rsidR="00B15800">
              <w:rPr>
                <w:rFonts w:cs="Arial"/>
                <w:b/>
              </w:rPr>
              <w:t>.</w:t>
            </w:r>
            <w:r w:rsidRPr="007A28D8">
              <w:rPr>
                <w:rFonts w:cs="Arial"/>
                <w:b/>
              </w:rPr>
              <w:t xml:space="preserve"> / LAVAL AMAZON WORKERS UNION – C</w:t>
            </w:r>
            <w:r w:rsidR="00B15800">
              <w:rPr>
                <w:rFonts w:cs="Arial"/>
                <w:b/>
              </w:rPr>
              <w:t>.</w:t>
            </w:r>
            <w:r w:rsidRPr="007A28D8">
              <w:rPr>
                <w:rFonts w:cs="Arial"/>
                <w:b/>
              </w:rPr>
              <w:t>S</w:t>
            </w:r>
            <w:r w:rsidR="00B15800">
              <w:rPr>
                <w:rFonts w:cs="Arial"/>
                <w:b/>
              </w:rPr>
              <w:t>.</w:t>
            </w:r>
            <w:r w:rsidRPr="007A28D8">
              <w:rPr>
                <w:rFonts w:cs="Arial"/>
                <w:b/>
              </w:rPr>
              <w:t>N</w:t>
            </w:r>
            <w:bookmarkEnd w:id="1"/>
            <w:r w:rsidR="00B15800">
              <w:rPr>
                <w:rFonts w:cs="Arial"/>
                <w:b/>
              </w:rPr>
              <w:t>.</w:t>
            </w:r>
          </w:p>
          <w:p w14:paraId="44A96DC7" w14:textId="77777777" w:rsidR="006B074F" w:rsidRPr="007A28D8" w:rsidRDefault="00C40124" w:rsidP="006B074F">
            <w:pPr>
              <w:spacing w:after="120"/>
              <w:jc w:val="both"/>
              <w:rPr>
                <w:rFonts w:cs="Arial"/>
              </w:rPr>
            </w:pPr>
            <w:r>
              <w:rPr>
                <w:rFonts w:cs="Arial"/>
              </w:rPr>
              <w:tab/>
            </w:r>
            <w:r w:rsidRPr="007A28D8">
              <w:rPr>
                <w:rFonts w:cs="Arial"/>
              </w:rPr>
              <w:t xml:space="preserve">Mis en cause </w:t>
            </w:r>
          </w:p>
          <w:p w14:paraId="32E54642" w14:textId="77777777" w:rsidR="006B074F" w:rsidRPr="007A28D8" w:rsidRDefault="00C40124" w:rsidP="006B074F">
            <w:pPr>
              <w:spacing w:after="120"/>
              <w:jc w:val="both"/>
              <w:rPr>
                <w:rFonts w:cs="Arial"/>
              </w:rPr>
            </w:pPr>
            <w:r w:rsidRPr="007A28D8">
              <w:rPr>
                <w:rFonts w:cs="Arial"/>
              </w:rPr>
              <w:t>et</w:t>
            </w:r>
          </w:p>
          <w:p w14:paraId="20C51916" w14:textId="77777777" w:rsidR="006B074F" w:rsidRPr="007A28D8" w:rsidRDefault="00C40124" w:rsidP="006B074F">
            <w:pPr>
              <w:jc w:val="both"/>
              <w:rPr>
                <w:rFonts w:cs="Arial"/>
                <w:bCs/>
              </w:rPr>
            </w:pPr>
            <w:bookmarkStart w:id="2" w:name="_Hlk169696157"/>
            <w:r w:rsidRPr="007A28D8">
              <w:rPr>
                <w:rFonts w:cs="Arial"/>
                <w:b/>
              </w:rPr>
              <w:t>PROCUREUR GÉNÉRAL DU QUÉBEC</w:t>
            </w:r>
          </w:p>
          <w:bookmarkEnd w:id="2"/>
          <w:p w14:paraId="446022EE" w14:textId="77777777" w:rsidR="006B074F" w:rsidRPr="006B074F" w:rsidRDefault="00C40124" w:rsidP="006B074F">
            <w:pPr>
              <w:pStyle w:val="zSoquijdatNomPartieDem"/>
              <w:jc w:val="both"/>
              <w:rPr>
                <w:b w:val="0"/>
                <w:bCs w:val="0"/>
              </w:rPr>
            </w:pPr>
            <w:r>
              <w:rPr>
                <w:rFonts w:cs="Arial"/>
                <w:b w:val="0"/>
                <w:bCs w:val="0"/>
              </w:rPr>
              <w:tab/>
            </w:r>
            <w:r w:rsidRPr="006B074F">
              <w:rPr>
                <w:rFonts w:cs="Arial"/>
                <w:b w:val="0"/>
                <w:bCs w:val="0"/>
              </w:rPr>
              <w:t>Intervenant</w:t>
            </w:r>
          </w:p>
        </w:tc>
      </w:tr>
      <w:tr w:rsidR="00697729" w14:paraId="377BD914" w14:textId="77777777">
        <w:tc>
          <w:tcPr>
            <w:tcW w:w="9505" w:type="dxa"/>
            <w:gridSpan w:val="7"/>
          </w:tcPr>
          <w:p w14:paraId="34FF0BFE" w14:textId="77777777" w:rsidR="006B074F" w:rsidRDefault="006B074F" w:rsidP="00B15800">
            <w:pPr>
              <w:pStyle w:val="zSoquijdatQtePartieDem"/>
              <w:ind w:left="0"/>
            </w:pPr>
          </w:p>
        </w:tc>
      </w:tr>
      <w:tr w:rsidR="00697729" w14:paraId="2FFF790B" w14:textId="77777777">
        <w:tc>
          <w:tcPr>
            <w:tcW w:w="9505" w:type="dxa"/>
            <w:gridSpan w:val="7"/>
          </w:tcPr>
          <w:p w14:paraId="2543AAE2" w14:textId="77777777" w:rsidR="006B074F" w:rsidRDefault="006B074F" w:rsidP="006B074F">
            <w:pPr>
              <w:ind w:left="14" w:right="-95"/>
            </w:pPr>
          </w:p>
        </w:tc>
      </w:tr>
      <w:tr w:rsidR="00697729" w14:paraId="26F44169" w14:textId="77777777">
        <w:tc>
          <w:tcPr>
            <w:tcW w:w="9505" w:type="dxa"/>
            <w:gridSpan w:val="7"/>
          </w:tcPr>
          <w:p w14:paraId="76D365C6" w14:textId="77777777" w:rsidR="006B074F" w:rsidRDefault="00C40124" w:rsidP="006B074F">
            <w:pPr>
              <w:ind w:left="14" w:right="-95"/>
            </w:pPr>
            <w:r>
              <w:t>______________________________________________________________________</w:t>
            </w:r>
          </w:p>
        </w:tc>
      </w:tr>
      <w:tr w:rsidR="00697729" w14:paraId="190F9AE6" w14:textId="77777777">
        <w:tc>
          <w:tcPr>
            <w:tcW w:w="9505" w:type="dxa"/>
            <w:gridSpan w:val="7"/>
          </w:tcPr>
          <w:p w14:paraId="037E22F4" w14:textId="77777777" w:rsidR="006B074F" w:rsidRDefault="006B074F" w:rsidP="006B074F">
            <w:pPr>
              <w:jc w:val="center"/>
            </w:pPr>
          </w:p>
        </w:tc>
      </w:tr>
      <w:tr w:rsidR="00697729" w14:paraId="13620F22" w14:textId="77777777">
        <w:tc>
          <w:tcPr>
            <w:tcW w:w="9505" w:type="dxa"/>
            <w:gridSpan w:val="7"/>
          </w:tcPr>
          <w:p w14:paraId="06B61C23" w14:textId="77777777" w:rsidR="006B074F" w:rsidRDefault="00C40124" w:rsidP="006B074F">
            <w:pPr>
              <w:pStyle w:val="zSoquijlblTypeDocument"/>
            </w:pPr>
            <w:r>
              <w:t>JUGEMENT</w:t>
            </w:r>
          </w:p>
        </w:tc>
      </w:tr>
      <w:tr w:rsidR="00697729" w14:paraId="646E4A52" w14:textId="77777777">
        <w:tc>
          <w:tcPr>
            <w:tcW w:w="9505" w:type="dxa"/>
            <w:gridSpan w:val="7"/>
          </w:tcPr>
          <w:p w14:paraId="33EB4978" w14:textId="77777777" w:rsidR="006B074F" w:rsidRDefault="00C40124" w:rsidP="006B074F">
            <w:pPr>
              <w:ind w:left="14" w:right="-70"/>
            </w:pPr>
            <w:r>
              <w:t>______________________________________________________________________</w:t>
            </w:r>
          </w:p>
        </w:tc>
      </w:tr>
      <w:tr w:rsidR="00697729" w14:paraId="2FEB9289" w14:textId="77777777">
        <w:tc>
          <w:tcPr>
            <w:tcW w:w="9505" w:type="dxa"/>
            <w:gridSpan w:val="7"/>
          </w:tcPr>
          <w:p w14:paraId="762621CC" w14:textId="77777777" w:rsidR="006B074F" w:rsidRPr="00D47A26" w:rsidRDefault="006B074F" w:rsidP="006B074F"/>
        </w:tc>
      </w:tr>
      <w:tr w:rsidR="00697729" w14:paraId="611FABB9" w14:textId="77777777">
        <w:tc>
          <w:tcPr>
            <w:tcW w:w="9505" w:type="dxa"/>
            <w:gridSpan w:val="7"/>
          </w:tcPr>
          <w:p w14:paraId="7B615C52" w14:textId="77777777" w:rsidR="006B074F" w:rsidRPr="00D47A26" w:rsidRDefault="006B074F" w:rsidP="006B074F"/>
        </w:tc>
      </w:tr>
    </w:tbl>
    <w:p w14:paraId="170BD4D1" w14:textId="77777777" w:rsidR="00697729" w:rsidRDefault="00C40124" w:rsidP="00B356DE">
      <w:bookmarkStart w:id="3" w:name="_Toc45807135"/>
      <w:bookmarkStart w:id="4" w:name="_Toc430945543"/>
      <w:r>
        <w:continuationSeparator/>
      </w:r>
    </w:p>
    <w:p w14:paraId="3BF00C06" w14:textId="77777777" w:rsidR="006B074F" w:rsidRPr="006B074F" w:rsidRDefault="00C40124" w:rsidP="00DE11F8">
      <w:pPr>
        <w:spacing w:after="120"/>
        <w:rPr>
          <w:u w:val="single"/>
        </w:rPr>
      </w:pPr>
      <w:r>
        <w:rPr>
          <w:u w:val="single"/>
        </w:rPr>
        <w:t>TABLE DES MATIÈRES</w:t>
      </w:r>
    </w:p>
    <w:p w14:paraId="030A2191" w14:textId="77777777" w:rsidR="00697729" w:rsidRDefault="00C40124">
      <w:pPr>
        <w:pStyle w:val="TM1"/>
        <w:rPr>
          <w:rFonts w:asciiTheme="minorHAnsi" w:hAnsiTheme="minorHAnsi"/>
          <w:noProof/>
          <w:sz w:val="22"/>
        </w:rPr>
      </w:pPr>
      <w:r>
        <w:rPr>
          <w:rStyle w:val="Hyperlien"/>
          <w:color w:val="auto"/>
          <w:u w:val="none"/>
        </w:rPr>
        <w:lastRenderedPageBreak/>
        <w:t>I.</w:t>
      </w:r>
      <w:r>
        <w:rPr>
          <w:rFonts w:asciiTheme="minorHAnsi" w:hAnsiTheme="minorHAnsi"/>
          <w:noProof/>
          <w:sz w:val="22"/>
        </w:rPr>
        <w:tab/>
      </w:r>
      <w:r w:rsidRPr="00772542">
        <w:rPr>
          <w:rStyle w:val="Hyperlien"/>
          <w:color w:val="auto"/>
          <w:u w:val="none"/>
        </w:rPr>
        <w:t>APERÇU</w:t>
      </w:r>
      <w:r>
        <w:tab/>
        <w:t>2</w:t>
      </w:r>
    </w:p>
    <w:p w14:paraId="36B673EB" w14:textId="77777777" w:rsidR="00697729" w:rsidRDefault="00C40124">
      <w:pPr>
        <w:pStyle w:val="TM1"/>
        <w:rPr>
          <w:rFonts w:asciiTheme="minorHAnsi" w:hAnsiTheme="minorHAnsi"/>
          <w:noProof/>
          <w:sz w:val="22"/>
        </w:rPr>
      </w:pPr>
      <w:r>
        <w:rPr>
          <w:rStyle w:val="Hyperlien"/>
          <w:color w:val="auto"/>
          <w:u w:val="none"/>
        </w:rPr>
        <w:t>II.</w:t>
      </w:r>
      <w:r>
        <w:rPr>
          <w:rFonts w:asciiTheme="minorHAnsi" w:hAnsiTheme="minorHAnsi"/>
          <w:noProof/>
          <w:sz w:val="22"/>
        </w:rPr>
        <w:tab/>
      </w:r>
      <w:r>
        <w:rPr>
          <w:rStyle w:val="Hyperlien"/>
          <w:color w:val="auto"/>
          <w:u w:val="none"/>
        </w:rPr>
        <w:t>EXPOSÉ FACTUEL</w:t>
      </w:r>
      <w:r>
        <w:tab/>
        <w:t>2</w:t>
      </w:r>
    </w:p>
    <w:p w14:paraId="1089D9B7" w14:textId="77777777" w:rsidR="00697729" w:rsidRDefault="00C40124">
      <w:pPr>
        <w:pStyle w:val="TM1"/>
        <w:rPr>
          <w:rFonts w:asciiTheme="minorHAnsi" w:hAnsiTheme="minorHAnsi"/>
          <w:noProof/>
          <w:sz w:val="22"/>
        </w:rPr>
      </w:pPr>
      <w:r>
        <w:rPr>
          <w:rStyle w:val="Hyperlien"/>
          <w:color w:val="auto"/>
          <w:u w:val="none"/>
        </w:rPr>
        <w:t>III.</w:t>
      </w:r>
      <w:r>
        <w:rPr>
          <w:rFonts w:asciiTheme="minorHAnsi" w:hAnsiTheme="minorHAnsi"/>
          <w:noProof/>
          <w:sz w:val="22"/>
        </w:rPr>
        <w:tab/>
      </w:r>
      <w:r>
        <w:rPr>
          <w:rStyle w:val="Hyperlien"/>
          <w:color w:val="auto"/>
          <w:u w:val="none"/>
        </w:rPr>
        <w:t>ANALYSE</w:t>
      </w:r>
      <w:r>
        <w:tab/>
        <w:t>4</w:t>
      </w:r>
    </w:p>
    <w:p w14:paraId="1371F5B5" w14:textId="77777777" w:rsidR="00697729" w:rsidRDefault="00C40124">
      <w:pPr>
        <w:pStyle w:val="TM2"/>
        <w:tabs>
          <w:tab w:val="left" w:pos="880"/>
          <w:tab w:val="right" w:leader="dot" w:pos="9352"/>
        </w:tabs>
        <w:rPr>
          <w:rFonts w:asciiTheme="minorHAnsi" w:hAnsiTheme="minorHAnsi"/>
          <w:noProof/>
          <w:sz w:val="22"/>
        </w:rPr>
      </w:pPr>
      <w:r>
        <w:rPr>
          <w:rStyle w:val="Hyperlien"/>
          <w:color w:val="auto"/>
          <w:u w:val="none"/>
        </w:rPr>
        <w:t>1.</w:t>
      </w:r>
      <w:r>
        <w:rPr>
          <w:rFonts w:asciiTheme="minorHAnsi" w:hAnsiTheme="minorHAnsi"/>
          <w:noProof/>
          <w:sz w:val="22"/>
        </w:rPr>
        <w:tab/>
      </w:r>
      <w:r>
        <w:rPr>
          <w:rStyle w:val="Hyperlien"/>
          <w:color w:val="auto"/>
          <w:u w:val="none"/>
        </w:rPr>
        <w:t xml:space="preserve">La norme de contrôle applicable À </w:t>
      </w:r>
      <w:r w:rsidR="00E26B47">
        <w:rPr>
          <w:rStyle w:val="Hyperlien"/>
          <w:color w:val="auto"/>
          <w:u w:val="none"/>
        </w:rPr>
        <w:t>la</w:t>
      </w:r>
      <w:r>
        <w:rPr>
          <w:rStyle w:val="Hyperlien"/>
          <w:color w:val="auto"/>
          <w:u w:val="none"/>
        </w:rPr>
        <w:t xml:space="preserve"> DÉCISION</w:t>
      </w:r>
      <w:r>
        <w:tab/>
        <w:t>4</w:t>
      </w:r>
    </w:p>
    <w:p w14:paraId="15EBEB63" w14:textId="77777777" w:rsidR="00697729" w:rsidRDefault="00C40124">
      <w:pPr>
        <w:pStyle w:val="TM2"/>
        <w:tabs>
          <w:tab w:val="left" w:pos="880"/>
          <w:tab w:val="right" w:leader="dot" w:pos="9352"/>
        </w:tabs>
        <w:rPr>
          <w:rFonts w:asciiTheme="minorHAnsi" w:hAnsiTheme="minorHAnsi"/>
          <w:noProof/>
          <w:sz w:val="22"/>
        </w:rPr>
      </w:pPr>
      <w:r>
        <w:rPr>
          <w:rStyle w:val="Hyperlien"/>
          <w:color w:val="auto"/>
          <w:u w:val="none"/>
        </w:rPr>
        <w:t>2.</w:t>
      </w:r>
      <w:r>
        <w:rPr>
          <w:rFonts w:asciiTheme="minorHAnsi" w:hAnsiTheme="minorHAnsi"/>
          <w:noProof/>
          <w:sz w:val="22"/>
        </w:rPr>
        <w:tab/>
      </w:r>
      <w:r>
        <w:rPr>
          <w:rStyle w:val="Hyperlien"/>
          <w:color w:val="auto"/>
          <w:u w:val="none"/>
        </w:rPr>
        <w:t>LE</w:t>
      </w:r>
      <w:r w:rsidR="00E26B47">
        <w:rPr>
          <w:rStyle w:val="Hyperlien"/>
          <w:color w:val="auto"/>
          <w:u w:val="none"/>
        </w:rPr>
        <w:t xml:space="preserve"> TAT </w:t>
      </w:r>
      <w:r>
        <w:rPr>
          <w:rStyle w:val="Hyperlien"/>
          <w:color w:val="auto"/>
          <w:u w:val="none"/>
        </w:rPr>
        <w:t>N’AVAIT PAS À</w:t>
      </w:r>
      <w:r w:rsidR="00E26B47">
        <w:rPr>
          <w:rStyle w:val="Hyperlien"/>
          <w:color w:val="auto"/>
          <w:u w:val="none"/>
        </w:rPr>
        <w:t xml:space="preserve"> ENTENDRE </w:t>
      </w:r>
      <w:r>
        <w:rPr>
          <w:rStyle w:val="Hyperlien"/>
          <w:color w:val="auto"/>
          <w:u w:val="none"/>
        </w:rPr>
        <w:t xml:space="preserve">LES </w:t>
      </w:r>
      <w:r w:rsidR="00E26B47">
        <w:rPr>
          <w:rStyle w:val="Hyperlien"/>
          <w:color w:val="auto"/>
          <w:u w:val="none"/>
        </w:rPr>
        <w:t xml:space="preserve">ARGUMENTS </w:t>
      </w:r>
      <w:r>
        <w:rPr>
          <w:rStyle w:val="Hyperlien"/>
          <w:color w:val="auto"/>
          <w:u w:val="none"/>
        </w:rPr>
        <w:t xml:space="preserve">DE LA DEMANDERESSE </w:t>
      </w:r>
      <w:r w:rsidR="00E26B47">
        <w:rPr>
          <w:rStyle w:val="Hyperlien"/>
          <w:color w:val="auto"/>
          <w:u w:val="none"/>
        </w:rPr>
        <w:t xml:space="preserve">SUR L’INCONSTITUTIONNALITÉ </w:t>
      </w:r>
      <w:r>
        <w:rPr>
          <w:rStyle w:val="Hyperlien"/>
          <w:color w:val="auto"/>
          <w:u w:val="none"/>
        </w:rPr>
        <w:t>AU STADE DE LA DEMANDE EN REJET</w:t>
      </w:r>
      <w:r>
        <w:tab/>
        <w:t>6</w:t>
      </w:r>
    </w:p>
    <w:p w14:paraId="16B1E526" w14:textId="77777777" w:rsidR="00697729" w:rsidRDefault="00C40124">
      <w:pPr>
        <w:pStyle w:val="TM2"/>
        <w:tabs>
          <w:tab w:val="left" w:pos="880"/>
          <w:tab w:val="right" w:leader="dot" w:pos="9352"/>
        </w:tabs>
        <w:rPr>
          <w:rFonts w:asciiTheme="minorHAnsi" w:hAnsiTheme="minorHAnsi"/>
          <w:noProof/>
          <w:sz w:val="22"/>
        </w:rPr>
      </w:pPr>
      <w:r>
        <w:rPr>
          <w:rStyle w:val="Hyperlien"/>
          <w:color w:val="auto"/>
          <w:u w:val="none"/>
        </w:rPr>
        <w:t>3.</w:t>
      </w:r>
      <w:r>
        <w:rPr>
          <w:rFonts w:asciiTheme="minorHAnsi" w:hAnsiTheme="minorHAnsi"/>
          <w:noProof/>
          <w:sz w:val="22"/>
        </w:rPr>
        <w:tab/>
      </w:r>
      <w:r>
        <w:rPr>
          <w:rStyle w:val="Hyperlien"/>
          <w:color w:val="auto"/>
          <w:u w:val="none"/>
        </w:rPr>
        <w:t xml:space="preserve">La décision </w:t>
      </w:r>
      <w:r w:rsidR="00450875">
        <w:rPr>
          <w:rStyle w:val="Hyperlien"/>
          <w:color w:val="auto"/>
          <w:u w:val="none"/>
        </w:rPr>
        <w:t xml:space="preserve">du TAT </w:t>
      </w:r>
      <w:r>
        <w:rPr>
          <w:rStyle w:val="Hyperlien"/>
          <w:color w:val="auto"/>
          <w:u w:val="none"/>
        </w:rPr>
        <w:t>sur l</w:t>
      </w:r>
      <w:r w:rsidR="00450875">
        <w:rPr>
          <w:rStyle w:val="Hyperlien"/>
          <w:color w:val="auto"/>
          <w:u w:val="none"/>
        </w:rPr>
        <w:t>’</w:t>
      </w:r>
      <w:r>
        <w:rPr>
          <w:rStyle w:val="Hyperlien"/>
          <w:color w:val="auto"/>
          <w:u w:val="none"/>
        </w:rPr>
        <w:t>a</w:t>
      </w:r>
      <w:r w:rsidR="00450875">
        <w:rPr>
          <w:rStyle w:val="Hyperlien"/>
          <w:color w:val="auto"/>
          <w:u w:val="none"/>
        </w:rPr>
        <w:t>bsence de</w:t>
      </w:r>
      <w:r>
        <w:rPr>
          <w:rStyle w:val="Hyperlien"/>
          <w:color w:val="auto"/>
          <w:u w:val="none"/>
        </w:rPr>
        <w:t xml:space="preserve"> qualité d’agir d’amazon </w:t>
      </w:r>
      <w:r w:rsidR="00450875">
        <w:rPr>
          <w:rStyle w:val="Hyperlien"/>
          <w:color w:val="auto"/>
          <w:u w:val="none"/>
        </w:rPr>
        <w:t xml:space="preserve">dans sa contestation constitutionnelle </w:t>
      </w:r>
      <w:r w:rsidR="009615DF">
        <w:rPr>
          <w:rStyle w:val="Hyperlien"/>
          <w:color w:val="auto"/>
          <w:u w:val="none"/>
        </w:rPr>
        <w:t>est</w:t>
      </w:r>
      <w:r w:rsidR="00E26B47">
        <w:rPr>
          <w:rStyle w:val="Hyperlien"/>
          <w:color w:val="auto"/>
          <w:u w:val="none"/>
        </w:rPr>
        <w:t xml:space="preserve"> RAISONNABLE</w:t>
      </w:r>
      <w:r>
        <w:tab/>
        <w:t>10</w:t>
      </w:r>
    </w:p>
    <w:p w14:paraId="41B08E6A" w14:textId="77777777" w:rsidR="00697729" w:rsidRDefault="00C40124">
      <w:pPr>
        <w:pStyle w:val="TM2"/>
        <w:tabs>
          <w:tab w:val="left" w:pos="880"/>
          <w:tab w:val="right" w:leader="dot" w:pos="9352"/>
        </w:tabs>
        <w:rPr>
          <w:rFonts w:asciiTheme="minorHAnsi" w:hAnsiTheme="minorHAnsi"/>
          <w:noProof/>
          <w:sz w:val="22"/>
        </w:rPr>
      </w:pPr>
      <w:r>
        <w:rPr>
          <w:rStyle w:val="Hyperlien"/>
          <w:color w:val="auto"/>
          <w:u w:val="none"/>
        </w:rPr>
        <w:t>4.</w:t>
      </w:r>
      <w:r>
        <w:rPr>
          <w:rFonts w:asciiTheme="minorHAnsi" w:hAnsiTheme="minorHAnsi"/>
          <w:noProof/>
          <w:sz w:val="22"/>
        </w:rPr>
        <w:tab/>
      </w:r>
      <w:r>
        <w:rPr>
          <w:rStyle w:val="Hyperlien"/>
          <w:color w:val="auto"/>
          <w:u w:val="none"/>
        </w:rPr>
        <w:t xml:space="preserve">la décision du tat sur l’absence de qualité d’agir d’amazon dans sa demande de révocation de la décision d’accréditation </w:t>
      </w:r>
      <w:r w:rsidRPr="008007B6">
        <w:rPr>
          <w:rStyle w:val="Hyperlien"/>
          <w:color w:val="auto"/>
          <w:u w:val="none"/>
        </w:rPr>
        <w:t xml:space="preserve">est </w:t>
      </w:r>
      <w:r w:rsidR="00A1649D" w:rsidRPr="008007B6">
        <w:rPr>
          <w:rStyle w:val="Hyperlien"/>
          <w:color w:val="auto"/>
          <w:u w:val="none"/>
        </w:rPr>
        <w:t>RAISONNABLE</w:t>
      </w:r>
      <w:r>
        <w:tab/>
        <w:t>15</w:t>
      </w:r>
    </w:p>
    <w:p w14:paraId="2D544769" w14:textId="77777777" w:rsidR="00697729" w:rsidRDefault="00C40124">
      <w:pPr>
        <w:pStyle w:val="TM1"/>
        <w:rPr>
          <w:rFonts w:asciiTheme="minorHAnsi" w:hAnsiTheme="minorHAnsi"/>
          <w:noProof/>
          <w:sz w:val="22"/>
        </w:rPr>
      </w:pPr>
      <w:r w:rsidRPr="00772542">
        <w:rPr>
          <w:rStyle w:val="Hyperlien"/>
          <w:color w:val="auto"/>
          <w:u w:val="none"/>
        </w:rPr>
        <w:t>POUR CES MOTIFS, LE TRIBUNAL :</w:t>
      </w:r>
      <w:r>
        <w:tab/>
        <w:t>17</w:t>
      </w:r>
    </w:p>
    <w:p w14:paraId="154444E3" w14:textId="77777777" w:rsidR="00697729" w:rsidRDefault="00697729" w:rsidP="000F378F">
      <w:pPr>
        <w:tabs>
          <w:tab w:val="right" w:leader="dot" w:pos="9352"/>
        </w:tabs>
        <w:ind w:left="240"/>
        <w:rPr>
          <w:noProof/>
          <w:color w:val="0000FF"/>
        </w:rPr>
      </w:pPr>
    </w:p>
    <w:p w14:paraId="771385B6" w14:textId="77777777" w:rsidR="00772542" w:rsidRPr="00772542" w:rsidRDefault="00C40124" w:rsidP="006B074F">
      <w:pPr>
        <w:pStyle w:val="Titre1"/>
        <w:numPr>
          <w:ilvl w:val="0"/>
          <w:numId w:val="36"/>
        </w:numPr>
        <w:ind w:left="709" w:hanging="567"/>
      </w:pPr>
      <w:bookmarkStart w:id="5" w:name="_Toc256000000"/>
      <w:bookmarkStart w:id="6" w:name="_Toc243051029"/>
      <w:r w:rsidRPr="00772542">
        <w:t>APERÇU</w:t>
      </w:r>
      <w:bookmarkEnd w:id="3"/>
      <w:bookmarkEnd w:id="5"/>
      <w:bookmarkEnd w:id="6"/>
    </w:p>
    <w:p w14:paraId="42FDA1BC" w14:textId="77777777" w:rsidR="00A2649E" w:rsidRDefault="00C40124" w:rsidP="00700EA1">
      <w:pPr>
        <w:pStyle w:val="Paragrdouble"/>
        <w:tabs>
          <w:tab w:val="clear" w:pos="360"/>
        </w:tabs>
        <w:spacing w:line="276" w:lineRule="auto"/>
      </w:pPr>
      <w:r>
        <w:t>La Demanderesse Amazon Canada Fulfillment Services, ULC demande la révision judiciaire d’une décision datée du 22 octobre 2024 (la «</w:t>
      </w:r>
      <w:r w:rsidR="007C7C42">
        <w:t> </w:t>
      </w:r>
      <w:r w:rsidRPr="00A2649E">
        <w:rPr>
          <w:b/>
          <w:bCs/>
        </w:rPr>
        <w:t>Décision</w:t>
      </w:r>
      <w:r w:rsidR="007C7C42">
        <w:t> </w:t>
      </w:r>
      <w:r>
        <w:t xml:space="preserve">», </w:t>
      </w:r>
      <w:r w:rsidR="00652147">
        <w:br/>
      </w:r>
      <w:r>
        <w:t>en pièce P-1) rendue par le Défendeur, le Tribunal administratif du travail (le «</w:t>
      </w:r>
      <w:r w:rsidR="007C7C42">
        <w:t> </w:t>
      </w:r>
      <w:r w:rsidRPr="00A2649E">
        <w:rPr>
          <w:b/>
          <w:bCs/>
        </w:rPr>
        <w:t>TAT</w:t>
      </w:r>
      <w:r w:rsidR="007C7C42">
        <w:t> </w:t>
      </w:r>
      <w:r>
        <w:t>»).</w:t>
      </w:r>
    </w:p>
    <w:p w14:paraId="173284A3" w14:textId="77777777" w:rsidR="00F0652E" w:rsidRDefault="00C40124" w:rsidP="00700EA1">
      <w:pPr>
        <w:pStyle w:val="Paragrdouble"/>
        <w:tabs>
          <w:tab w:val="clear" w:pos="360"/>
        </w:tabs>
        <w:spacing w:line="276" w:lineRule="auto"/>
      </w:pPr>
      <w:r>
        <w:t>Le TAT y</w:t>
      </w:r>
      <w:r w:rsidR="00A2649E">
        <w:t xml:space="preserve"> </w:t>
      </w:r>
      <w:r w:rsidR="0091055E">
        <w:t>décide de manière préliminaire de la qualité pour agir d’Amazon à titre d’employeur dans deux recours entrepris dans le cadre d’un dossier d’accréditation</w:t>
      </w:r>
      <w:r w:rsidR="00CA079E">
        <w:t xml:space="preserve">. </w:t>
      </w:r>
      <w:r w:rsidR="00F02C13">
        <w:br/>
      </w:r>
      <w:r w:rsidR="00CA079E">
        <w:t xml:space="preserve">L’un des recours conteste l’unité de négociation et invoque l’inconstitutionnalité de l’article 28a) du </w:t>
      </w:r>
      <w:r w:rsidR="00CA079E" w:rsidRPr="008E1AAE">
        <w:rPr>
          <w:i/>
          <w:iCs/>
        </w:rPr>
        <w:t>Code du travail</w:t>
      </w:r>
      <w:r w:rsidR="00CA079E">
        <w:t xml:space="preserve"> (le «</w:t>
      </w:r>
      <w:r w:rsidR="0078789E">
        <w:t> </w:t>
      </w:r>
      <w:r w:rsidR="00CA079E" w:rsidRPr="00F0652E">
        <w:rPr>
          <w:b/>
          <w:bCs/>
        </w:rPr>
        <w:t>Code</w:t>
      </w:r>
      <w:r w:rsidR="0078789E">
        <w:t> </w:t>
      </w:r>
      <w:r w:rsidR="00CA079E">
        <w:t xml:space="preserve">») en regard de l’alinéa 2(d) de la </w:t>
      </w:r>
      <w:r w:rsidR="00CA079E" w:rsidRPr="00F0652E">
        <w:rPr>
          <w:i/>
          <w:iCs/>
        </w:rPr>
        <w:t>Charte canadienne des droits et libertés</w:t>
      </w:r>
      <w:r w:rsidR="00CA079E">
        <w:t xml:space="preserve"> (la «</w:t>
      </w:r>
      <w:r w:rsidR="0078789E">
        <w:t> </w:t>
      </w:r>
      <w:r w:rsidR="00CA079E" w:rsidRPr="00F0652E">
        <w:rPr>
          <w:b/>
          <w:bCs/>
        </w:rPr>
        <w:t>Charte canadienne</w:t>
      </w:r>
      <w:r w:rsidR="0078789E">
        <w:t> </w:t>
      </w:r>
      <w:r w:rsidR="00CA079E">
        <w:t xml:space="preserve">») et de l’article 3 de la </w:t>
      </w:r>
      <w:r w:rsidR="00CA079E" w:rsidRPr="00F0652E">
        <w:rPr>
          <w:i/>
          <w:iCs/>
        </w:rPr>
        <w:t>Charte des droits et libertés de la personne</w:t>
      </w:r>
      <w:r w:rsidR="00CA079E">
        <w:t xml:space="preserve"> (la «</w:t>
      </w:r>
      <w:r w:rsidR="0078789E">
        <w:t> </w:t>
      </w:r>
      <w:r w:rsidR="00CA079E" w:rsidRPr="00F0652E">
        <w:rPr>
          <w:b/>
          <w:bCs/>
        </w:rPr>
        <w:t>Charte québécoise</w:t>
      </w:r>
      <w:r w:rsidR="0078789E">
        <w:t> </w:t>
      </w:r>
      <w:r w:rsidR="00CA079E">
        <w:t>»), qui protègent la liberté d’association, et l’autre demande la révocation de l’accréditation accordée</w:t>
      </w:r>
      <w:r w:rsidR="00CA079E" w:rsidRPr="00CA079E">
        <w:t xml:space="preserve"> </w:t>
      </w:r>
      <w:r w:rsidR="00CA079E">
        <w:t>au Syndicat.</w:t>
      </w:r>
      <w:r w:rsidR="009E26AF">
        <w:t xml:space="preserve"> Le </w:t>
      </w:r>
      <w:r w:rsidR="001E3960">
        <w:t xml:space="preserve">TAT conclut </w:t>
      </w:r>
      <w:r w:rsidR="002643BA">
        <w:t>au rejet des deux demandes pour absence d’intérêt requis pour agir.</w:t>
      </w:r>
    </w:p>
    <w:p w14:paraId="081724CE" w14:textId="77777777" w:rsidR="003C4842" w:rsidRDefault="00C40124" w:rsidP="008E1AAE">
      <w:pPr>
        <w:pStyle w:val="Paragrdouble"/>
        <w:tabs>
          <w:tab w:val="clear" w:pos="360"/>
        </w:tabs>
        <w:spacing w:line="276" w:lineRule="auto"/>
      </w:pPr>
      <w:r>
        <w:t xml:space="preserve">La Décision dont le contrôle judiciaire est demandé </w:t>
      </w:r>
      <w:r w:rsidR="00CF1BE2">
        <w:t xml:space="preserve">porte </w:t>
      </w:r>
      <w:r>
        <w:t xml:space="preserve">donc uniquement </w:t>
      </w:r>
      <w:r w:rsidR="00CF1BE2">
        <w:t xml:space="preserve">sur </w:t>
      </w:r>
      <w:r>
        <w:t>l’examen d’un manquement à la justice naturelle ou à l’obligation d’équité procédurale.</w:t>
      </w:r>
    </w:p>
    <w:p w14:paraId="7AEBA02A" w14:textId="77777777" w:rsidR="00772542" w:rsidRPr="00772542" w:rsidRDefault="00C40124" w:rsidP="00FE0ED1">
      <w:pPr>
        <w:numPr>
          <w:ilvl w:val="0"/>
          <w:numId w:val="1"/>
        </w:numPr>
        <w:tabs>
          <w:tab w:val="clear" w:pos="360"/>
        </w:tabs>
        <w:spacing w:before="120" w:after="120" w:line="276" w:lineRule="auto"/>
        <w:jc w:val="both"/>
        <w:rPr>
          <w:kern w:val="28"/>
        </w:rPr>
      </w:pPr>
      <w:r>
        <w:rPr>
          <w:kern w:val="28"/>
        </w:rPr>
        <w:t>P</w:t>
      </w:r>
      <w:r w:rsidR="00B4634B">
        <w:rPr>
          <w:kern w:val="28"/>
        </w:rPr>
        <w:t xml:space="preserve">our les motifs qui suivent, la Demande </w:t>
      </w:r>
      <w:r w:rsidR="002643BA">
        <w:rPr>
          <w:kern w:val="28"/>
        </w:rPr>
        <w:t>de pourvoi en contrôle judiciaire</w:t>
      </w:r>
      <w:r>
        <w:rPr>
          <w:kern w:val="28"/>
        </w:rPr>
        <w:t xml:space="preserve"> est rejetée</w:t>
      </w:r>
      <w:r w:rsidR="00B4634B">
        <w:rPr>
          <w:kern w:val="28"/>
        </w:rPr>
        <w:t>.</w:t>
      </w:r>
    </w:p>
    <w:p w14:paraId="3C6C6757" w14:textId="77777777" w:rsidR="00772542" w:rsidRPr="00772542" w:rsidRDefault="00C40124" w:rsidP="006B074F">
      <w:pPr>
        <w:pStyle w:val="Titre1"/>
        <w:numPr>
          <w:ilvl w:val="0"/>
          <w:numId w:val="36"/>
        </w:numPr>
        <w:ind w:left="709" w:hanging="567"/>
      </w:pPr>
      <w:bookmarkStart w:id="7" w:name="_Toc256000001"/>
      <w:bookmarkStart w:id="8" w:name="_Toc243051030"/>
      <w:r>
        <w:t>EXPOSÉ FACTUEL</w:t>
      </w:r>
      <w:bookmarkEnd w:id="7"/>
      <w:bookmarkEnd w:id="8"/>
    </w:p>
    <w:p w14:paraId="25C546A7" w14:textId="77777777" w:rsidR="00E16E61" w:rsidRDefault="00C40124" w:rsidP="00700EA1">
      <w:pPr>
        <w:pStyle w:val="Paragrdouble"/>
        <w:tabs>
          <w:tab w:val="clear" w:pos="360"/>
        </w:tabs>
        <w:spacing w:line="276" w:lineRule="auto"/>
      </w:pPr>
      <w:r>
        <w:t>Le 19 avril 2024, le Syndicat dépose une requête en accréditation pour représenter, auprès d’Amazon, à son établissement de Laval, à DXT4 : «</w:t>
      </w:r>
      <w:r w:rsidR="00F466C1">
        <w:t> </w:t>
      </w:r>
      <w:r>
        <w:t>Tous les salariés au sens du Code, à l’exclusion du personnel travaillant dans les bureaux, à l’administration ou à l’entretien et des assistants de processus</w:t>
      </w:r>
      <w:r w:rsidR="00580152">
        <w:t> »</w:t>
      </w:r>
      <w:r>
        <w:t>.</w:t>
      </w:r>
    </w:p>
    <w:p w14:paraId="1C344A8A" w14:textId="77777777" w:rsidR="00E16E61" w:rsidRDefault="00C40124" w:rsidP="00700EA1">
      <w:pPr>
        <w:pStyle w:val="Paragrdouble"/>
        <w:tabs>
          <w:tab w:val="clear" w:pos="360"/>
        </w:tabs>
        <w:spacing w:line="276" w:lineRule="auto"/>
      </w:pPr>
      <w:r>
        <w:lastRenderedPageBreak/>
        <w:t>Le 6 mai 2024, Amazon écrit à l’Agente de relations de travail en charge du dossier (l’«</w:t>
      </w:r>
      <w:r w:rsidR="00580152">
        <w:t> </w:t>
      </w:r>
      <w:r w:rsidRPr="00E16E61">
        <w:rPr>
          <w:b/>
          <w:bCs/>
        </w:rPr>
        <w:t>Agente</w:t>
      </w:r>
      <w:r w:rsidR="00580152">
        <w:t> </w:t>
      </w:r>
      <w:r>
        <w:t>») qu’elle conteste la description de l’unité de négociation recherchée par le Syndicat et les salariés visés, jugeant que les assistants de processus devraient être inclus. Amazon ajoute qu’elle a «</w:t>
      </w:r>
      <w:r w:rsidR="00580152">
        <w:t> </w:t>
      </w:r>
      <w:r>
        <w:t>été informée par certains salariés que le syndicat aurait contrevenu à leurs droits dans le cadre de sa campagne et que plusieurs formulaires auraient été signé [sic] sans que les personnes signataires ne puissent exprimer un consentement libre et éclairé</w:t>
      </w:r>
      <w:r w:rsidR="00580152">
        <w:t> </w:t>
      </w:r>
      <w:r>
        <w:t xml:space="preserve">». </w:t>
      </w:r>
    </w:p>
    <w:p w14:paraId="1D1C49C1" w14:textId="77777777" w:rsidR="00E16E61" w:rsidRDefault="00C40124" w:rsidP="00700EA1">
      <w:pPr>
        <w:pStyle w:val="Paragrdouble"/>
        <w:tabs>
          <w:tab w:val="clear" w:pos="360"/>
        </w:tabs>
        <w:spacing w:line="276" w:lineRule="auto"/>
      </w:pPr>
      <w:r>
        <w:t>Amazon déclare aussi qu’elle entend contester la constitutionnalité de l’article 28 du Code, car celui-ci «</w:t>
      </w:r>
      <w:r w:rsidR="00580152">
        <w:t> </w:t>
      </w:r>
      <w:r>
        <w:t>viole le droit de ses salariés à la liberté d’association en les privant potentiellement de choisir leurs représentants par le biais d’un vote au scrutin secret (le tout</w:t>
      </w:r>
      <w:r w:rsidR="00526895">
        <w:t>,</w:t>
      </w:r>
      <w:r>
        <w:t xml:space="preserve"> contrairement aux principes notamment reconnus par l’Organisation internationale du Travail)</w:t>
      </w:r>
      <w:r w:rsidR="00526895">
        <w:t> </w:t>
      </w:r>
      <w:r>
        <w:t>». Le lendemain, Amazon transmet un avis au Procureur général du Québec (le «</w:t>
      </w:r>
      <w:r w:rsidR="00526895">
        <w:t> </w:t>
      </w:r>
      <w:r w:rsidRPr="00E16E61">
        <w:rPr>
          <w:b/>
          <w:bCs/>
        </w:rPr>
        <w:t>PGQ</w:t>
      </w:r>
      <w:r w:rsidR="00526895">
        <w:t> </w:t>
      </w:r>
      <w:r>
        <w:t>») selon les articles 76 à 78 C.p.c.</w:t>
      </w:r>
    </w:p>
    <w:p w14:paraId="61463EBD" w14:textId="77777777" w:rsidR="00E16E61" w:rsidRDefault="00C40124" w:rsidP="00700EA1">
      <w:pPr>
        <w:pStyle w:val="Paragrdouble"/>
        <w:tabs>
          <w:tab w:val="clear" w:pos="360"/>
        </w:tabs>
        <w:spacing w:line="276" w:lineRule="auto"/>
      </w:pPr>
      <w:r>
        <w:t>Le 10 mai 2024, à 12</w:t>
      </w:r>
      <w:r w:rsidR="00526895">
        <w:t> </w:t>
      </w:r>
      <w:r>
        <w:t>h</w:t>
      </w:r>
      <w:r w:rsidR="00526895">
        <w:t> </w:t>
      </w:r>
      <w:r>
        <w:t>46, le Syndicat avise qu’il accepte l’unité de négociation proposée par Amazon et la liste des salariés couverts par ladite unité.</w:t>
      </w:r>
    </w:p>
    <w:p w14:paraId="5EE1B964" w14:textId="77777777" w:rsidR="00E16E61" w:rsidRDefault="00C40124" w:rsidP="008E1AAE">
      <w:pPr>
        <w:pStyle w:val="Paragrdouble"/>
        <w:tabs>
          <w:tab w:val="clear" w:pos="360"/>
        </w:tabs>
        <w:spacing w:line="276" w:lineRule="auto"/>
      </w:pPr>
      <w:r>
        <w:t xml:space="preserve">À 15 h 31, </w:t>
      </w:r>
      <w:r w:rsidR="00CF1BE2">
        <w:t>on</w:t>
      </w:r>
      <w:r>
        <w:t xml:space="preserve"> transmet aux parties un rapport sommaire de vérification et </w:t>
      </w:r>
      <w:r w:rsidR="00CF1BE2">
        <w:t xml:space="preserve">on </w:t>
      </w:r>
      <w:r>
        <w:t>les avise qu’une décision sera rendue d’ici la fin de la journée.</w:t>
      </w:r>
    </w:p>
    <w:p w14:paraId="14921E47" w14:textId="77777777" w:rsidR="00E16E61" w:rsidRDefault="00C40124" w:rsidP="00E16E61">
      <w:pPr>
        <w:pStyle w:val="Paragrdouble"/>
        <w:spacing w:line="276" w:lineRule="auto"/>
      </w:pPr>
      <w:r>
        <w:t>Quelques minutes plus tard, l’Agente accrédite le Syndicat auprès d’Amazon pour «</w:t>
      </w:r>
      <w:r w:rsidR="00083827">
        <w:t> </w:t>
      </w:r>
      <w:r>
        <w:t>tous les salariés au sens du Code du travail, à l’exclusion du personnel travaillant dans les bureaux, à l’administration ou à l’entretien</w:t>
      </w:r>
      <w:r w:rsidR="006B23D6">
        <w:t> »</w:t>
      </w:r>
      <w:r>
        <w:t xml:space="preserve">. Elle </w:t>
      </w:r>
      <w:r w:rsidR="00D020D2">
        <w:t>confirme</w:t>
      </w:r>
      <w:r>
        <w:t xml:space="preserve"> </w:t>
      </w:r>
      <w:r w:rsidR="00D020D2">
        <w:t>l’</w:t>
      </w:r>
      <w:r>
        <w:t xml:space="preserve">accord </w:t>
      </w:r>
      <w:r w:rsidR="00D020D2">
        <w:t>d</w:t>
      </w:r>
      <w:r>
        <w:t>es parties sur la description de l’unité de négociation et les personnes qu’elle vise, et qu’après examen du dossier d’accréditation, l’association jouit du caractère représentatif. L’audience est maintenue quant à la question constitutionnelle.</w:t>
      </w:r>
    </w:p>
    <w:p w14:paraId="44A04151" w14:textId="77777777" w:rsidR="00E16E61" w:rsidRDefault="00C40124" w:rsidP="00E16E61">
      <w:pPr>
        <w:pStyle w:val="Paragrdouble"/>
        <w:spacing w:line="276" w:lineRule="auto"/>
      </w:pPr>
      <w:r>
        <w:t>Le 7 juin 2024, Amazon dépos</w:t>
      </w:r>
      <w:r w:rsidR="00F616A5">
        <w:t>e</w:t>
      </w:r>
      <w:r>
        <w:t xml:space="preserve"> une requête auprès du </w:t>
      </w:r>
      <w:r w:rsidR="00F616A5">
        <w:t>TAT</w:t>
      </w:r>
      <w:r>
        <w:t xml:space="preserve"> </w:t>
      </w:r>
      <w:r w:rsidR="00F616A5">
        <w:t>demandant</w:t>
      </w:r>
      <w:r>
        <w:t xml:space="preserve"> la révocation en vertu du paragraphe 41(3) </w:t>
      </w:r>
      <w:r w:rsidR="00894C88">
        <w:t>C.T.</w:t>
      </w:r>
      <w:r>
        <w:t xml:space="preserve"> de la décision qui accrédite le Syndicat, </w:t>
      </w:r>
      <w:r w:rsidR="00F616A5">
        <w:t>invoquant que</w:t>
      </w:r>
      <w:r>
        <w:t xml:space="preserve"> l’Agente n’a</w:t>
      </w:r>
      <w:r w:rsidR="00CF1BE2">
        <w:t>ura</w:t>
      </w:r>
      <w:r w:rsidR="00F616A5">
        <w:t>it</w:t>
      </w:r>
      <w:r>
        <w:t xml:space="preserve"> pas effectué les vérifications permettant de conclure que le Syndicat jouissait du caractère représentatif.</w:t>
      </w:r>
      <w:r w:rsidR="00C612BC">
        <w:t xml:space="preserve"> Elle demande d’annuler la décision d’accréditation et de dépêcher un nouvel agent de relations de travail qui </w:t>
      </w:r>
      <w:r w:rsidR="003E6D72">
        <w:t xml:space="preserve">garantira </w:t>
      </w:r>
      <w:r w:rsidR="00574082" w:rsidRPr="00574082">
        <w:t>la représentativité</w:t>
      </w:r>
      <w:r w:rsidR="00574082">
        <w:t xml:space="preserve"> </w:t>
      </w:r>
      <w:r w:rsidR="00C612BC">
        <w:t xml:space="preserve">de l’association et </w:t>
      </w:r>
      <w:r w:rsidR="00AC7CE9">
        <w:t>sa légitimité</w:t>
      </w:r>
      <w:r w:rsidR="00BB5044">
        <w:t xml:space="preserve"> </w:t>
      </w:r>
      <w:r w:rsidR="00C612BC">
        <w:t xml:space="preserve">à </w:t>
      </w:r>
      <w:r w:rsidR="00AC7CE9">
        <w:t>agir</w:t>
      </w:r>
      <w:r w:rsidR="00C612BC">
        <w:t>.</w:t>
      </w:r>
    </w:p>
    <w:p w14:paraId="52F68AC1" w14:textId="77777777" w:rsidR="00211D61" w:rsidRDefault="00C40124" w:rsidP="00211D61">
      <w:pPr>
        <w:pStyle w:val="Paragrdouble"/>
        <w:spacing w:line="276" w:lineRule="auto"/>
      </w:pPr>
      <w:r>
        <w:t xml:space="preserve">Le 10 juin 2024, le </w:t>
      </w:r>
      <w:r w:rsidR="00F616A5">
        <w:t>TAT</w:t>
      </w:r>
      <w:r>
        <w:t xml:space="preserve"> </w:t>
      </w:r>
      <w:r w:rsidR="00F616A5">
        <w:t>informe les</w:t>
      </w:r>
      <w:r>
        <w:t xml:space="preserve"> parties que la demande de révocation ne </w:t>
      </w:r>
      <w:r w:rsidR="00CF1BE2">
        <w:t xml:space="preserve">pourra </w:t>
      </w:r>
      <w:r>
        <w:t>procéder le 14 juin</w:t>
      </w:r>
      <w:r w:rsidR="00CF1BE2">
        <w:t xml:space="preserve"> suivant</w:t>
      </w:r>
      <w:r w:rsidR="00F616A5">
        <w:t xml:space="preserve">. Il </w:t>
      </w:r>
      <w:r>
        <w:t>soul</w:t>
      </w:r>
      <w:r w:rsidR="00F616A5">
        <w:t>ève</w:t>
      </w:r>
      <w:r>
        <w:t xml:space="preserve"> </w:t>
      </w:r>
      <w:r w:rsidR="00CF1BE2">
        <w:t xml:space="preserve">également, </w:t>
      </w:r>
      <w:r w:rsidR="00F616A5">
        <w:t>d’office</w:t>
      </w:r>
      <w:r w:rsidR="00CF1BE2">
        <w:t>,</w:t>
      </w:r>
      <w:r w:rsidR="00F616A5">
        <w:t xml:space="preserve"> </w:t>
      </w:r>
      <w:r>
        <w:t>la qualité pour agir d’Amazon, considérant l’article 32 C.T. qui prévoit que l’employeur n’est pas une partie intéressée quant au caractère représentatif d’une association de salariés. Il questionne également la possibilité d’Amazon d’invoquer pour autrui la liberté d’association.</w:t>
      </w:r>
    </w:p>
    <w:p w14:paraId="5735EF25" w14:textId="77777777" w:rsidR="00E16E61" w:rsidRDefault="00C40124" w:rsidP="00211D61">
      <w:pPr>
        <w:pStyle w:val="Paragrdouble"/>
        <w:spacing w:line="276" w:lineRule="auto"/>
      </w:pPr>
      <w:r>
        <w:t>Le 12 juin 2024, le PG</w:t>
      </w:r>
      <w:r w:rsidR="00F616A5">
        <w:t>Q</w:t>
      </w:r>
      <w:r>
        <w:t xml:space="preserve"> transm</w:t>
      </w:r>
      <w:r w:rsidR="00F616A5">
        <w:t>et</w:t>
      </w:r>
      <w:r>
        <w:t xml:space="preserve"> une demande de rejet de l’avis d’intentio</w:t>
      </w:r>
      <w:r w:rsidR="00450875">
        <w:t>n</w:t>
      </w:r>
      <w:r w:rsidR="00C612BC">
        <w:t xml:space="preserve"> (pièce MC-2)</w:t>
      </w:r>
      <w:r>
        <w:t xml:space="preserve">, </w:t>
      </w:r>
      <w:r w:rsidR="00F616A5">
        <w:t>auquel le</w:t>
      </w:r>
      <w:r>
        <w:t xml:space="preserve"> Syndicat </w:t>
      </w:r>
      <w:r w:rsidR="00F616A5">
        <w:t>adhère</w:t>
      </w:r>
      <w:r w:rsidR="00CF1BE2">
        <w:t xml:space="preserve">, </w:t>
      </w:r>
      <w:r w:rsidR="00450875">
        <w:t xml:space="preserve"> fondée sur deux motifs : 1) l’article 32 du Code prévoit que l’employeur n’est pas une partie intéressée quant au caractère représentatif d’une association de salariés, et 2) la </w:t>
      </w:r>
      <w:r w:rsidR="00CF1BE2">
        <w:t>D</w:t>
      </w:r>
      <w:r w:rsidR="00450875">
        <w:t>emanderesse ne peut invoquer pour autrui la liberté d’association.</w:t>
      </w:r>
    </w:p>
    <w:p w14:paraId="4B2440E6" w14:textId="77777777" w:rsidR="00450875" w:rsidRDefault="00C40124" w:rsidP="00211D61">
      <w:pPr>
        <w:pStyle w:val="Paragrdouble"/>
        <w:spacing w:line="276" w:lineRule="auto"/>
      </w:pPr>
      <w:r>
        <w:t xml:space="preserve">L’audience sur la demande de rejet de l’avis d’intention et sur la demande de rejet de la demande de révocation a lieu le 14 juin 2024 devant la juge administrative Irène Zaïkoff. </w:t>
      </w:r>
      <w:r w:rsidR="00C612BC" w:rsidRPr="00C612BC">
        <w:t>Aucune preuve n’est faite par les parties à cette audience. Aucun argument quant au mérite n’y est présenté non plus.</w:t>
      </w:r>
    </w:p>
    <w:p w14:paraId="48DA84F5" w14:textId="77777777" w:rsidR="00C27061" w:rsidRDefault="00C40124" w:rsidP="00C27061">
      <w:pPr>
        <w:pStyle w:val="Paragrdouble"/>
        <w:spacing w:line="276" w:lineRule="auto"/>
      </w:pPr>
      <w:r>
        <w:t xml:space="preserve">Le 22 octobre 2024, le TAT </w:t>
      </w:r>
      <w:r w:rsidR="00C612BC">
        <w:t xml:space="preserve">accueille la requête en rejet du PGQ, au motif qu’Amazon n’a pas la qualité pour agir </w:t>
      </w:r>
      <w:r w:rsidR="009E42CC">
        <w:t xml:space="preserve">en </w:t>
      </w:r>
      <w:r w:rsidR="00C612BC">
        <w:t>contest</w:t>
      </w:r>
      <w:r w:rsidR="009E42CC">
        <w:t>ation d</w:t>
      </w:r>
      <w:r w:rsidR="00C612BC">
        <w:t xml:space="preserve">e la constitutionnalité de l’art. 28a) </w:t>
      </w:r>
      <w:r w:rsidR="00F268E6">
        <w:t>du Code</w:t>
      </w:r>
      <w:r w:rsidR="00C612BC">
        <w:t xml:space="preserve"> et qu’elle n’a pas non plus la qualité pour agir </w:t>
      </w:r>
      <w:r w:rsidR="00E73CA2">
        <w:t xml:space="preserve">en </w:t>
      </w:r>
      <w:r w:rsidR="00C612BC">
        <w:t xml:space="preserve">demande </w:t>
      </w:r>
      <w:r w:rsidR="00E73CA2">
        <w:t xml:space="preserve">de </w:t>
      </w:r>
      <w:r w:rsidR="00C612BC">
        <w:t>révocation de la décision d’accréditation</w:t>
      </w:r>
      <w:r w:rsidR="00961E25">
        <w:t>,</w:t>
      </w:r>
      <w:r w:rsidR="00C612BC">
        <w:t xml:space="preserve"> en remettant en cause la qualité des adhésions.</w:t>
      </w:r>
    </w:p>
    <w:p w14:paraId="022B76D6" w14:textId="77777777" w:rsidR="00124781" w:rsidRDefault="00C40124" w:rsidP="008E1AAE">
      <w:pPr>
        <w:pStyle w:val="Titre1"/>
        <w:numPr>
          <w:ilvl w:val="0"/>
          <w:numId w:val="36"/>
        </w:numPr>
        <w:ind w:left="709" w:hanging="567"/>
      </w:pPr>
      <w:bookmarkStart w:id="9" w:name="_Toc256000002"/>
      <w:bookmarkStart w:id="10" w:name="_Toc243051031"/>
      <w:r>
        <w:t>ANALYSE</w:t>
      </w:r>
      <w:bookmarkEnd w:id="9"/>
      <w:bookmarkEnd w:id="10"/>
    </w:p>
    <w:p w14:paraId="587A9C53" w14:textId="77777777" w:rsidR="00EC1565" w:rsidRPr="00772542" w:rsidRDefault="00C40124" w:rsidP="008E1AAE">
      <w:pPr>
        <w:pStyle w:val="Titre2"/>
        <w:ind w:left="709" w:hanging="425"/>
      </w:pPr>
      <w:bookmarkStart w:id="11" w:name="_Toc256000003"/>
      <w:bookmarkStart w:id="12" w:name="_Toc243051032"/>
      <w:r>
        <w:t xml:space="preserve">La norme de contrôle applicable À </w:t>
      </w:r>
      <w:r w:rsidR="00E26B47">
        <w:t>la</w:t>
      </w:r>
      <w:r>
        <w:t xml:space="preserve"> DÉCISION</w:t>
      </w:r>
      <w:bookmarkEnd w:id="11"/>
      <w:bookmarkEnd w:id="12"/>
      <w:r>
        <w:t xml:space="preserve"> </w:t>
      </w:r>
    </w:p>
    <w:p w14:paraId="72CBF8EA" w14:textId="77777777" w:rsidR="003233EB" w:rsidRDefault="00C40124" w:rsidP="003233EB">
      <w:pPr>
        <w:pStyle w:val="Paragrdouble"/>
        <w:spacing w:line="276" w:lineRule="auto"/>
      </w:pPr>
      <w:r>
        <w:t xml:space="preserve">Rappelons que </w:t>
      </w:r>
      <w:r w:rsidR="00282FA0">
        <w:t>la question de l’intérêt pour agir d’Amazon</w:t>
      </w:r>
      <w:r w:rsidR="00C944E2">
        <w:t xml:space="preserve"> est soulevée </w:t>
      </w:r>
      <w:r w:rsidR="00987DB0">
        <w:t xml:space="preserve">d’office </w:t>
      </w:r>
      <w:r w:rsidR="00C944E2">
        <w:t>par</w:t>
      </w:r>
      <w:r w:rsidR="00282FA0">
        <w:t xml:space="preserve"> </w:t>
      </w:r>
      <w:r w:rsidR="00C944E2">
        <w:t xml:space="preserve">le TAT </w:t>
      </w:r>
      <w:r w:rsidR="00D700F8">
        <w:t xml:space="preserve">à la </w:t>
      </w:r>
      <w:r>
        <w:t xml:space="preserve">suite du dépôt de la demande </w:t>
      </w:r>
      <w:r w:rsidR="00F85632">
        <w:t xml:space="preserve">en </w:t>
      </w:r>
      <w:r>
        <w:t>révocation de l’accréditation . La Décision rendue sur la requête en rejet du PGQ ne porte pas sur la question constitutionnelle ou encore sur la révocation, mais bien sur l’intérêt d’Amazon à soumettre cette question.</w:t>
      </w:r>
    </w:p>
    <w:p w14:paraId="161914E8" w14:textId="77777777" w:rsidR="00EC1565" w:rsidRDefault="00C40124" w:rsidP="00EC1565">
      <w:pPr>
        <w:numPr>
          <w:ilvl w:val="0"/>
          <w:numId w:val="1"/>
        </w:numPr>
        <w:tabs>
          <w:tab w:val="clear" w:pos="360"/>
        </w:tabs>
        <w:spacing w:before="120" w:after="120" w:line="276" w:lineRule="auto"/>
        <w:jc w:val="both"/>
        <w:rPr>
          <w:kern w:val="28"/>
        </w:rPr>
      </w:pPr>
      <w:r>
        <w:rPr>
          <w:kern w:val="28"/>
        </w:rPr>
        <w:t xml:space="preserve">La </w:t>
      </w:r>
      <w:r w:rsidR="00CF1BE2">
        <w:rPr>
          <w:kern w:val="28"/>
        </w:rPr>
        <w:t>D</w:t>
      </w:r>
      <w:r>
        <w:rPr>
          <w:kern w:val="28"/>
        </w:rPr>
        <w:t>emanderesse soumet que le TAT n’a pas suivi un processus juste et équitable en rendant sa Décision</w:t>
      </w:r>
      <w:r w:rsidR="00D14350">
        <w:rPr>
          <w:kern w:val="28"/>
        </w:rPr>
        <w:t>,</w:t>
      </w:r>
      <w:r>
        <w:rPr>
          <w:kern w:val="28"/>
        </w:rPr>
        <w:t xml:space="preserve"> </w:t>
      </w:r>
      <w:r w:rsidR="00F85632">
        <w:rPr>
          <w:kern w:val="28"/>
        </w:rPr>
        <w:t>laquelle</w:t>
      </w:r>
      <w:r w:rsidR="006811A4">
        <w:rPr>
          <w:kern w:val="28"/>
        </w:rPr>
        <w:t xml:space="preserve"> prive</w:t>
      </w:r>
      <w:r>
        <w:rPr>
          <w:kern w:val="28"/>
        </w:rPr>
        <w:t xml:space="preserve"> Amazon </w:t>
      </w:r>
      <w:r w:rsidR="00D14350">
        <w:rPr>
          <w:kern w:val="28"/>
        </w:rPr>
        <w:t xml:space="preserve">de </w:t>
      </w:r>
      <w:r>
        <w:rPr>
          <w:kern w:val="28"/>
        </w:rPr>
        <w:t>la possibilité d’amener un débat constitutionnel qu’elle juge très important en droit québécois</w:t>
      </w:r>
      <w:r w:rsidR="00FE0ED1">
        <w:rPr>
          <w:kern w:val="28"/>
        </w:rPr>
        <w:t xml:space="preserve"> et l’empêch</w:t>
      </w:r>
      <w:r w:rsidR="00F85632">
        <w:rPr>
          <w:kern w:val="28"/>
        </w:rPr>
        <w:t>e</w:t>
      </w:r>
      <w:r w:rsidR="00FE0ED1">
        <w:rPr>
          <w:kern w:val="28"/>
        </w:rPr>
        <w:t xml:space="preserve"> </w:t>
      </w:r>
      <w:r w:rsidR="00D14350">
        <w:rPr>
          <w:kern w:val="28"/>
        </w:rPr>
        <w:t xml:space="preserve">également </w:t>
      </w:r>
      <w:r w:rsidR="00FE0ED1">
        <w:rPr>
          <w:kern w:val="28"/>
        </w:rPr>
        <w:t>de demander la révocation de l’accréditation</w:t>
      </w:r>
      <w:r>
        <w:rPr>
          <w:kern w:val="28"/>
        </w:rPr>
        <w:t xml:space="preserve">. Elle insiste </w:t>
      </w:r>
      <w:r w:rsidR="005A4BE9">
        <w:rPr>
          <w:kern w:val="28"/>
        </w:rPr>
        <w:t xml:space="preserve">sur le fait </w:t>
      </w:r>
      <w:r>
        <w:rPr>
          <w:kern w:val="28"/>
        </w:rPr>
        <w:t>qu’il y a eu violation à l’équité procédurale, aux règles de justice naturelle et aux droits fondamentaux d’Amazon.</w:t>
      </w:r>
    </w:p>
    <w:p w14:paraId="5B43D156" w14:textId="77777777" w:rsidR="00EC1565" w:rsidRPr="00EC1565" w:rsidRDefault="00C40124" w:rsidP="00EC1565">
      <w:pPr>
        <w:numPr>
          <w:ilvl w:val="0"/>
          <w:numId w:val="1"/>
        </w:numPr>
        <w:tabs>
          <w:tab w:val="clear" w:pos="360"/>
        </w:tabs>
        <w:spacing w:before="120" w:after="120" w:line="276" w:lineRule="auto"/>
        <w:jc w:val="both"/>
        <w:rPr>
          <w:kern w:val="28"/>
        </w:rPr>
      </w:pPr>
      <w:r>
        <w:rPr>
          <w:kern w:val="28"/>
        </w:rPr>
        <w:t xml:space="preserve">Elle soumet que la révision de la Décision </w:t>
      </w:r>
      <w:r w:rsidRPr="009755F6">
        <w:rPr>
          <w:kern w:val="28"/>
        </w:rPr>
        <w:t xml:space="preserve">doit </w:t>
      </w:r>
      <w:r w:rsidRPr="008E1AAE">
        <w:rPr>
          <w:kern w:val="28"/>
        </w:rPr>
        <w:t>s</w:t>
      </w:r>
      <w:r w:rsidR="009755F6" w:rsidRPr="008E1AAE">
        <w:rPr>
          <w:kern w:val="28"/>
        </w:rPr>
        <w:t>’opérer</w:t>
      </w:r>
      <w:r w:rsidR="005A4BE9" w:rsidRPr="008E1AAE">
        <w:rPr>
          <w:kern w:val="28"/>
        </w:rPr>
        <w:t>,</w:t>
      </w:r>
      <w:r w:rsidRPr="008E1AAE">
        <w:rPr>
          <w:kern w:val="28"/>
        </w:rPr>
        <w:t xml:space="preserve"> non pas</w:t>
      </w:r>
      <w:r w:rsidRPr="009755F6">
        <w:rPr>
          <w:kern w:val="28"/>
        </w:rPr>
        <w:t xml:space="preserve"> en fonction</w:t>
      </w:r>
      <w:r>
        <w:rPr>
          <w:kern w:val="28"/>
        </w:rPr>
        <w:t xml:space="preserve"> </w:t>
      </w:r>
      <w:r w:rsidR="00FE0ED1">
        <w:rPr>
          <w:kern w:val="28"/>
        </w:rPr>
        <w:t>d’</w:t>
      </w:r>
      <w:r>
        <w:rPr>
          <w:kern w:val="28"/>
        </w:rPr>
        <w:t>une grille d’analyse de la décision correcte ou raisonnable, mais plutôt, « en amont » de la grille d’analyse</w:t>
      </w:r>
      <w:r>
        <w:rPr>
          <w:rStyle w:val="Appelnotedebasdep"/>
          <w:kern w:val="28"/>
        </w:rPr>
        <w:footnoteReference w:id="1"/>
      </w:r>
      <w:r>
        <w:rPr>
          <w:kern w:val="28"/>
        </w:rPr>
        <w:t xml:space="preserve">. </w:t>
      </w:r>
      <w:r w:rsidRPr="00EC1565">
        <w:rPr>
          <w:kern w:val="28"/>
        </w:rPr>
        <w:t xml:space="preserve">Ainsi, </w:t>
      </w:r>
      <w:r w:rsidR="00832CB3">
        <w:rPr>
          <w:kern w:val="28"/>
        </w:rPr>
        <w:t xml:space="preserve">le Tribunal </w:t>
      </w:r>
      <w:r w:rsidRPr="00EC1565">
        <w:rPr>
          <w:kern w:val="28"/>
        </w:rPr>
        <w:t>d</w:t>
      </w:r>
      <w:r w:rsidR="00E821EF">
        <w:rPr>
          <w:kern w:val="28"/>
        </w:rPr>
        <w:t>ev</w:t>
      </w:r>
      <w:r w:rsidRPr="00EC1565">
        <w:rPr>
          <w:kern w:val="28"/>
        </w:rPr>
        <w:t xml:space="preserve">ra, selon elle, revoir la </w:t>
      </w:r>
      <w:r>
        <w:rPr>
          <w:kern w:val="28"/>
        </w:rPr>
        <w:t>D</w:t>
      </w:r>
      <w:r w:rsidRPr="00EC1565">
        <w:rPr>
          <w:kern w:val="28"/>
        </w:rPr>
        <w:t xml:space="preserve">écision dans son contexte et être convaincu que les règles de justice naturelle ont été respectées. </w:t>
      </w:r>
      <w:r>
        <w:rPr>
          <w:kern w:val="28"/>
        </w:rPr>
        <w:t>E</w:t>
      </w:r>
      <w:r w:rsidRPr="00EC1565">
        <w:rPr>
          <w:kern w:val="28"/>
        </w:rPr>
        <w:t>lle soumet qu’aucune déférence n’est de mise lorsque l’équité procédurale est en cause</w:t>
      </w:r>
      <w:r>
        <w:rPr>
          <w:rStyle w:val="Appelnotedebasdep"/>
          <w:kern w:val="28"/>
        </w:rPr>
        <w:footnoteReference w:id="2"/>
      </w:r>
      <w:r w:rsidRPr="00EC1565">
        <w:rPr>
          <w:kern w:val="28"/>
        </w:rPr>
        <w:t>.</w:t>
      </w:r>
    </w:p>
    <w:p w14:paraId="53C2ADE7" w14:textId="77777777" w:rsidR="00AC1AEF" w:rsidRDefault="00C40124" w:rsidP="00AC1AEF">
      <w:pPr>
        <w:numPr>
          <w:ilvl w:val="0"/>
          <w:numId w:val="1"/>
        </w:numPr>
        <w:tabs>
          <w:tab w:val="clear" w:pos="360"/>
        </w:tabs>
        <w:spacing w:before="120" w:after="120" w:line="276" w:lineRule="auto"/>
        <w:jc w:val="both"/>
        <w:rPr>
          <w:kern w:val="28"/>
        </w:rPr>
      </w:pPr>
      <w:r>
        <w:rPr>
          <w:kern w:val="28"/>
        </w:rPr>
        <w:t>Subsidiairement, Amazon se rallie au PGQ sur la norme de contrôle, commandant l’application de la norme de la décision correcte</w:t>
      </w:r>
      <w:bookmarkStart w:id="13" w:name="_Ref242868751"/>
      <w:r>
        <w:rPr>
          <w:rStyle w:val="Appelnotedebasdep"/>
          <w:kern w:val="28"/>
        </w:rPr>
        <w:footnoteReference w:id="3"/>
      </w:r>
      <w:bookmarkEnd w:id="13"/>
      <w:r>
        <w:rPr>
          <w:kern w:val="28"/>
        </w:rPr>
        <w:t>. Quant au Syndicat, il réclame l’application de la norme de la décision raisonnable, au motif que le TAT aurait tranché l’intérêt juridique d’Amazon</w:t>
      </w:r>
      <w:r w:rsidR="00F82A46">
        <w:rPr>
          <w:kern w:val="28"/>
        </w:rPr>
        <w:t>,</w:t>
      </w:r>
      <w:r>
        <w:rPr>
          <w:kern w:val="28"/>
        </w:rPr>
        <w:t xml:space="preserve"> et non la constitutionnalité de l’article 28a)</w:t>
      </w:r>
      <w:r w:rsidR="00D25DB5">
        <w:rPr>
          <w:kern w:val="28"/>
        </w:rPr>
        <w:t xml:space="preserve"> du Code</w:t>
      </w:r>
      <w:r>
        <w:rPr>
          <w:kern w:val="28"/>
        </w:rPr>
        <w:t xml:space="preserve">, </w:t>
      </w:r>
      <w:r w:rsidR="00736DDE">
        <w:rPr>
          <w:kern w:val="28"/>
        </w:rPr>
        <w:t>r</w:t>
      </w:r>
      <w:r w:rsidR="00C20AB9">
        <w:rPr>
          <w:kern w:val="28"/>
        </w:rPr>
        <w:t>e</w:t>
      </w:r>
      <w:r w:rsidR="00736DDE">
        <w:rPr>
          <w:kern w:val="28"/>
        </w:rPr>
        <w:t xml:space="preserve">léguant pourtant cette question </w:t>
      </w:r>
      <w:r w:rsidR="00C20AB9">
        <w:rPr>
          <w:kern w:val="28"/>
        </w:rPr>
        <w:t xml:space="preserve">au </w:t>
      </w:r>
      <w:r>
        <w:rPr>
          <w:kern w:val="28"/>
        </w:rPr>
        <w:t>noyau</w:t>
      </w:r>
      <w:r w:rsidR="00F85632">
        <w:rPr>
          <w:kern w:val="28"/>
        </w:rPr>
        <w:t xml:space="preserve"> </w:t>
      </w:r>
      <w:r>
        <w:rPr>
          <w:kern w:val="28"/>
        </w:rPr>
        <w:t>de sa compétence spécialisée.</w:t>
      </w:r>
    </w:p>
    <w:p w14:paraId="6E9652B4" w14:textId="77777777" w:rsidR="003233EB" w:rsidRDefault="00C40124" w:rsidP="003233EB">
      <w:pPr>
        <w:pStyle w:val="Paragrdouble"/>
        <w:spacing w:line="276" w:lineRule="auto"/>
      </w:pPr>
      <w:r>
        <w:t xml:space="preserve">En application de l’arrêt </w:t>
      </w:r>
      <w:r w:rsidRPr="003233EB">
        <w:rPr>
          <w:i/>
          <w:iCs/>
        </w:rPr>
        <w:t>Vavilov</w:t>
      </w:r>
      <w:r>
        <w:rPr>
          <w:rStyle w:val="Appelnotedebasdep"/>
        </w:rPr>
        <w:footnoteReference w:id="4"/>
      </w:r>
      <w:r>
        <w:t>, il faut conclure que la norme de l’erreur déraisonnable est applicable à toutes les questions soulevées par la Demanderesse.</w:t>
      </w:r>
    </w:p>
    <w:p w14:paraId="17EFB0CA" w14:textId="77777777" w:rsidR="003233EB" w:rsidRDefault="00C40124" w:rsidP="003233EB">
      <w:pPr>
        <w:pStyle w:val="Paragrdouble"/>
        <w:spacing w:line="276" w:lineRule="auto"/>
      </w:pPr>
      <w:r>
        <w:t>Il est exact qu</w:t>
      </w:r>
      <w:r w:rsidR="006C7E5B">
        <w:t>’</w:t>
      </w:r>
      <w:r w:rsidR="00640066">
        <w:t>en</w:t>
      </w:r>
      <w:r w:rsidR="00804F45">
        <w:t xml:space="preserve"> </w:t>
      </w:r>
      <w:r>
        <w:t>règle générale, la</w:t>
      </w:r>
      <w:r w:rsidRPr="003233EB">
        <w:t xml:space="preserve"> norme applicable à la question de savoir si </w:t>
      </w:r>
      <w:r>
        <w:t>une décision</w:t>
      </w:r>
      <w:r w:rsidRPr="003233EB">
        <w:t xml:space="preserve"> a été prise dans le respect de l’équité procédurale </w:t>
      </w:r>
      <w:r>
        <w:t>est</w:t>
      </w:r>
      <w:r w:rsidRPr="003233EB">
        <w:t xml:space="preserve"> celle de la </w:t>
      </w:r>
      <w:r>
        <w:t>« </w:t>
      </w:r>
      <w:r w:rsidRPr="003233EB">
        <w:t>décision correcte</w:t>
      </w:r>
      <w:r w:rsidR="00F412C3">
        <w:t> </w:t>
      </w:r>
      <w:r w:rsidRPr="003233EB">
        <w:t>»</w:t>
      </w:r>
      <w:r>
        <w:t xml:space="preserve">, comme le rappelle la Cour d’appel dans l’arrêt </w:t>
      </w:r>
      <w:r w:rsidRPr="005F203F">
        <w:rPr>
          <w:i/>
          <w:iCs/>
        </w:rPr>
        <w:t>Société québécoise des infrastructures c Ville de Montréal</w:t>
      </w:r>
      <w:r>
        <w:rPr>
          <w:rStyle w:val="Appelnotedebasdep"/>
        </w:rPr>
        <w:footnoteReference w:id="5"/>
      </w:r>
      <w:r>
        <w:t>.</w:t>
      </w:r>
      <w:r w:rsidRPr="003233EB">
        <w:t xml:space="preserve"> </w:t>
      </w:r>
      <w:r>
        <w:t>La</w:t>
      </w:r>
      <w:r w:rsidRPr="003233EB">
        <w:t xml:space="preserve"> déférence </w:t>
      </w:r>
      <w:r>
        <w:t>ne serait</w:t>
      </w:r>
      <w:r w:rsidRPr="003233EB">
        <w:t xml:space="preserve"> </w:t>
      </w:r>
      <w:r>
        <w:t xml:space="preserve">alors </w:t>
      </w:r>
      <w:r w:rsidRPr="003233EB">
        <w:t>pas de mise lorsque l’équité procédurale est en cause</w:t>
      </w:r>
      <w:r>
        <w:rPr>
          <w:rStyle w:val="Appelnotedebasdep"/>
        </w:rPr>
        <w:footnoteReference w:id="6"/>
      </w:r>
      <w:r w:rsidRPr="003233EB">
        <w:t>.</w:t>
      </w:r>
      <w:r w:rsidR="00EC1565">
        <w:t xml:space="preserve"> </w:t>
      </w:r>
    </w:p>
    <w:p w14:paraId="615DF05A" w14:textId="77777777" w:rsidR="003233EB" w:rsidRDefault="00C40124" w:rsidP="003233EB">
      <w:pPr>
        <w:pStyle w:val="Paragrdouble"/>
        <w:spacing w:line="276" w:lineRule="auto"/>
      </w:pPr>
      <w:r>
        <w:t xml:space="preserve">Or, comme le reconnaît aussi la Cour d’appel, </w:t>
      </w:r>
      <w:r w:rsidRPr="003233EB">
        <w:t xml:space="preserve">lorsque la question liée à la justice naturelle ou à l’équité procédurale se pose dans le contexte précis de l’interprétation par le tribunal de sa loi constitutive, certains arrêts de la Cour </w:t>
      </w:r>
      <w:r>
        <w:t xml:space="preserve">d’appel </w:t>
      </w:r>
      <w:r w:rsidR="006C7E5B">
        <w:t xml:space="preserve">qu’il convient de suivre et appliquer </w:t>
      </w:r>
      <w:r w:rsidRPr="003233EB">
        <w:t>conclu</w:t>
      </w:r>
      <w:r w:rsidR="006C7E5B">
        <w:t>ent</w:t>
      </w:r>
      <w:r w:rsidRPr="003233EB">
        <w:t xml:space="preserve"> que la norme applicable est celle de la décision raisonnable</w:t>
      </w:r>
      <w:bookmarkStart w:id="14" w:name="_Ref242877874"/>
      <w:r>
        <w:rPr>
          <w:rStyle w:val="Appelnotedebasdep"/>
        </w:rPr>
        <w:footnoteReference w:id="7"/>
      </w:r>
      <w:bookmarkEnd w:id="14"/>
      <w:r>
        <w:t>.</w:t>
      </w:r>
    </w:p>
    <w:p w14:paraId="6BDA84A9" w14:textId="77777777" w:rsidR="003233EB" w:rsidRDefault="00C40124" w:rsidP="003233EB">
      <w:pPr>
        <w:pStyle w:val="Paragrdouble"/>
        <w:spacing w:line="276" w:lineRule="auto"/>
      </w:pPr>
      <w:r>
        <w:t xml:space="preserve">C’est ici le cas, de sorte que la norme de la décision raisonnable s’applique à la question de savoir si le TAT a eu raison de ne pas entendre d’arguments d’inconstitutionnalité </w:t>
      </w:r>
      <w:r w:rsidR="006C7E5B">
        <w:t>au</w:t>
      </w:r>
      <w:r>
        <w:t xml:space="preserve"> stade préliminaire </w:t>
      </w:r>
      <w:r w:rsidR="006C7E5B">
        <w:t>d’une</w:t>
      </w:r>
      <w:r>
        <w:t xml:space="preserve"> demande </w:t>
      </w:r>
      <w:r w:rsidR="006C7E5B">
        <w:t xml:space="preserve">en </w:t>
      </w:r>
      <w:r>
        <w:t>rejet.</w:t>
      </w:r>
    </w:p>
    <w:p w14:paraId="39202AAD" w14:textId="77777777" w:rsidR="006C7E5B" w:rsidRDefault="00C40124" w:rsidP="003233EB">
      <w:pPr>
        <w:pStyle w:val="Paragrdouble"/>
        <w:spacing w:line="276" w:lineRule="auto"/>
      </w:pPr>
      <w:r w:rsidRPr="007629D9">
        <w:t xml:space="preserve">Les autres éléments de révision soulevés au pourvoi mènent </w:t>
      </w:r>
      <w:r w:rsidR="003233EB">
        <w:t>aussi</w:t>
      </w:r>
      <w:r>
        <w:t xml:space="preserve"> </w:t>
      </w:r>
      <w:r w:rsidRPr="007629D9">
        <w:t>à l’application de la norme de la décision raisonnable</w:t>
      </w:r>
      <w:r>
        <w:t xml:space="preserve">, l’interprétation des dispositions du </w:t>
      </w:r>
      <w:r w:rsidRPr="008E1AAE">
        <w:t xml:space="preserve">Code </w:t>
      </w:r>
      <w:r>
        <w:t>étant au cœur de la compétence du TAT</w:t>
      </w:r>
      <w:r>
        <w:rPr>
          <w:rStyle w:val="Appelnotedebasdep"/>
        </w:rPr>
        <w:footnoteReference w:id="8"/>
      </w:r>
      <w:r>
        <w:t xml:space="preserve">. </w:t>
      </w:r>
    </w:p>
    <w:p w14:paraId="2211FC40" w14:textId="77777777" w:rsidR="009B5209" w:rsidRDefault="00C40124" w:rsidP="003233EB">
      <w:pPr>
        <w:pStyle w:val="Paragrdouble"/>
        <w:spacing w:line="276" w:lineRule="auto"/>
      </w:pPr>
      <w:r>
        <w:t xml:space="preserve">La </w:t>
      </w:r>
      <w:r w:rsidR="00CF1BE2">
        <w:t>D</w:t>
      </w:r>
      <w:r>
        <w:t xml:space="preserve">emanderesse </w:t>
      </w:r>
      <w:r w:rsidR="00CF1BE2">
        <w:t xml:space="preserve">soumet </w:t>
      </w:r>
      <w:r>
        <w:t xml:space="preserve">que la Décision est erronée parce que le TAT n’aurait pas dû conclure </w:t>
      </w:r>
      <w:r w:rsidR="00CF1BE2">
        <w:t>qu’elle</w:t>
      </w:r>
      <w:r>
        <w:t xml:space="preserve"> n’avait pas la qualité pour agir </w:t>
      </w:r>
      <w:r w:rsidR="00D63BB7">
        <w:t xml:space="preserve">en </w:t>
      </w:r>
      <w:r>
        <w:t>contest</w:t>
      </w:r>
      <w:r w:rsidR="00D63BB7">
        <w:t>ation d</w:t>
      </w:r>
      <w:r>
        <w:t xml:space="preserve">e la constitutionnalité de l’art. 28a) du Code et </w:t>
      </w:r>
      <w:r w:rsidR="0030474C">
        <w:t xml:space="preserve">en </w:t>
      </w:r>
      <w:r>
        <w:t>demande</w:t>
      </w:r>
      <w:r w:rsidR="0030474C">
        <w:t xml:space="preserve"> de</w:t>
      </w:r>
      <w:r>
        <w:t xml:space="preserve"> révocation de la décision d’accréditation</w:t>
      </w:r>
      <w:r w:rsidR="007629D9">
        <w:t>. La</w:t>
      </w:r>
      <w:r>
        <w:t xml:space="preserve"> norme de la décision raisonnable s’applique à ces aspects de la Décision.</w:t>
      </w:r>
    </w:p>
    <w:p w14:paraId="2706EF14" w14:textId="77777777" w:rsidR="00440832" w:rsidRDefault="00C40124" w:rsidP="00440832">
      <w:pPr>
        <w:pStyle w:val="Paragrdouble"/>
        <w:spacing w:line="276" w:lineRule="auto"/>
      </w:pPr>
      <w:r>
        <w:t>En somme, comme il en sera fait état ci-après</w:t>
      </w:r>
      <w:r w:rsidRPr="00440832">
        <w:t xml:space="preserve">, </w:t>
      </w:r>
      <w:r w:rsidR="006C7E5B">
        <w:t>l’</w:t>
      </w:r>
      <w:r w:rsidRPr="00440832">
        <w:t xml:space="preserve">équité procédurale </w:t>
      </w:r>
      <w:r w:rsidR="006C7E5B">
        <w:t xml:space="preserve">a été respectée </w:t>
      </w:r>
      <w:r w:rsidR="006C7E5B" w:rsidRPr="00440832">
        <w:t xml:space="preserve"> </w:t>
      </w:r>
      <w:r w:rsidR="006C7E5B">
        <w:t>et</w:t>
      </w:r>
      <w:r w:rsidRPr="00440832">
        <w:t xml:space="preserve"> la </w:t>
      </w:r>
      <w:r>
        <w:t>D</w:t>
      </w:r>
      <w:r w:rsidRPr="00440832">
        <w:t xml:space="preserve">écision </w:t>
      </w:r>
      <w:r w:rsidR="006C7E5B">
        <w:t>raisonnable</w:t>
      </w:r>
      <w:r>
        <w:t>.</w:t>
      </w:r>
    </w:p>
    <w:p w14:paraId="500EA536" w14:textId="77777777" w:rsidR="00E26B47" w:rsidRDefault="00C40124" w:rsidP="008E1AAE">
      <w:pPr>
        <w:pStyle w:val="Titre2"/>
        <w:ind w:left="709" w:hanging="425"/>
        <w:jc w:val="both"/>
      </w:pPr>
      <w:bookmarkStart w:id="15" w:name="_Toc256000004"/>
      <w:bookmarkStart w:id="16" w:name="_Toc243051033"/>
      <w:r>
        <w:t>LE TAT N’AVAIT PAS À ENTENDRE LES ARGUMENTS DE LA DEMANDERESSE SUR L’INCONSTITUTIONNALITÉ AU STADE DE LA DEMANDE EN REJET</w:t>
      </w:r>
      <w:bookmarkEnd w:id="15"/>
      <w:bookmarkEnd w:id="16"/>
    </w:p>
    <w:p w14:paraId="5CE4E561" w14:textId="77777777" w:rsidR="001E7CCB" w:rsidRDefault="00C40124" w:rsidP="001E7CCB">
      <w:pPr>
        <w:pStyle w:val="Paragrdouble"/>
        <w:spacing w:line="276" w:lineRule="auto"/>
      </w:pPr>
      <w:r>
        <w:t xml:space="preserve">Le TAT dans sa Décision résume l’argument de la Demanderesse comme suit : « Amazon entend plaider que l’alinéa 28a) </w:t>
      </w:r>
      <w:r w:rsidR="007471E6">
        <w:t xml:space="preserve">du Code </w:t>
      </w:r>
      <w:r>
        <w:t>contrevient à la liberté d’association protégée par les chartes canadienne et québécoise, parce qu’il ne prévoit pas que la détermination du caractère représentatif doit nécessairement se faire par un vote tenu à scrutin secret. Elle est d’avis que le calcul des effectifs a pour effet que ‘des personnes soient forcées d’être représentées de manière exclusive par une association sans qu’elles n’aient dûment consenti à cette représentation et sans avoir eu l’opportunité de participer à ce choix par le biais d’un scrutin secret. </w:t>
      </w:r>
      <w:r>
        <w:rPr>
          <w:rStyle w:val="Appelnotedebasdep"/>
        </w:rPr>
        <w:footnoteReference w:id="9"/>
      </w:r>
      <w:r>
        <w:t xml:space="preserve">» </w:t>
      </w:r>
    </w:p>
    <w:p w14:paraId="54408F22" w14:textId="77777777" w:rsidR="001E7CCB" w:rsidRDefault="00C40124" w:rsidP="001E7CCB">
      <w:pPr>
        <w:pStyle w:val="Paragrdouble"/>
        <w:spacing w:line="276" w:lineRule="auto"/>
      </w:pPr>
      <w:r>
        <w:t>Le TAT analyse l’intérêt pour agir de la Demanderesse et conclut que celle-ci ne possède pas un tel intérêt, de telle sorte que ses deux recours sont rejetés.</w:t>
      </w:r>
    </w:p>
    <w:p w14:paraId="4BBFDD79" w14:textId="77777777" w:rsidR="00440832" w:rsidRDefault="00C40124" w:rsidP="00440832">
      <w:pPr>
        <w:pStyle w:val="Paragrdouble"/>
        <w:spacing w:line="276" w:lineRule="auto"/>
      </w:pPr>
      <w:r w:rsidRPr="00440832">
        <w:t>Les concept</w:t>
      </w:r>
      <w:r>
        <w:t>s</w:t>
      </w:r>
      <w:r w:rsidRPr="00440832">
        <w:t xml:space="preserve"> d’équité procédurale et </w:t>
      </w:r>
      <w:r>
        <w:t>de</w:t>
      </w:r>
      <w:r w:rsidRPr="00440832">
        <w:t xml:space="preserve"> justice naturelle </w:t>
      </w:r>
      <w:r>
        <w:t xml:space="preserve">incluent </w:t>
      </w:r>
      <w:r w:rsidRPr="005F203F">
        <w:t>une obligation générale d’équité, dont la nature, l’étendue et le contenu peu</w:t>
      </w:r>
      <w:r w:rsidR="008B3236">
        <w:t>ven</w:t>
      </w:r>
      <w:r w:rsidRPr="005F203F">
        <w:t xml:space="preserve">t </w:t>
      </w:r>
      <w:r>
        <w:t>varier</w:t>
      </w:r>
      <w:r w:rsidRPr="005F203F">
        <w:t xml:space="preserve"> et </w:t>
      </w:r>
      <w:r>
        <w:t>dépendre</w:t>
      </w:r>
      <w:r w:rsidRPr="005F203F">
        <w:t xml:space="preserve"> du contexte particulier de chaque cas</w:t>
      </w:r>
      <w:r>
        <w:t>. Désormais indissociables</w:t>
      </w:r>
      <w:r>
        <w:rPr>
          <w:rStyle w:val="Appelnotedebasdep"/>
        </w:rPr>
        <w:footnoteReference w:id="10"/>
      </w:r>
      <w:r>
        <w:t xml:space="preserve">, </w:t>
      </w:r>
      <w:r w:rsidR="001E7CCB">
        <w:t>ces concepts</w:t>
      </w:r>
      <w:r>
        <w:t xml:space="preserve"> incluent </w:t>
      </w:r>
      <w:r w:rsidRPr="00440832">
        <w:t>le droit d’être entendu par un décideur impartial, d’être informé de ce qui est reproché et de se défendre de l’accusation</w:t>
      </w:r>
      <w:r>
        <w:t xml:space="preserve"> portée contre soi</w:t>
      </w:r>
      <w:r w:rsidRPr="00440832">
        <w:t>.</w:t>
      </w:r>
    </w:p>
    <w:p w14:paraId="1AA047CC" w14:textId="77777777" w:rsidR="007629D9" w:rsidRDefault="00C40124" w:rsidP="00440832">
      <w:pPr>
        <w:pStyle w:val="Paragrdouble"/>
        <w:spacing w:line="276" w:lineRule="auto"/>
      </w:pPr>
      <w:r>
        <w:t>En effet, l</w:t>
      </w:r>
      <w:r w:rsidR="00E26B47">
        <w:t xml:space="preserve">’article 17 C.p.c. interdit à un tribunal de se prononcer sur une demande ou de prendre une mesure qui touche les droits d’une partie sans que celle-ci ait été entendue ou dûment appelée. L’article </w:t>
      </w:r>
      <w:r>
        <w:t>dispose aussi</w:t>
      </w:r>
      <w:r w:rsidR="00E26B47">
        <w:t xml:space="preserve"> qu’un tribunal ne peut fonder sa décision sur un moyen que les parties n’ont pas </w:t>
      </w:r>
      <w:r>
        <w:t>pu</w:t>
      </w:r>
      <w:r w:rsidR="00E26B47">
        <w:t xml:space="preserve"> débattre. Quant à l’article 323 C.p.c., il précise que lorsqu’une affaire est mise en délibéré et que le juge constate qu’une règle de droit ou un principe n’a pas été discuté au cours de l’instruction et qu’il doit en décider pour trancher le litige, il doit alors donner aux parties l’occasion de soumettre leurs prétentions. </w:t>
      </w:r>
    </w:p>
    <w:p w14:paraId="11EF129C" w14:textId="77777777" w:rsidR="00AE4072" w:rsidRDefault="00C40124" w:rsidP="00440832">
      <w:pPr>
        <w:pStyle w:val="Paragrdouble"/>
        <w:spacing w:line="276" w:lineRule="auto"/>
      </w:pPr>
      <w:r>
        <w:t xml:space="preserve">De plus, l’article 35 de la </w:t>
      </w:r>
      <w:r w:rsidRPr="00AA68DB">
        <w:rPr>
          <w:i/>
          <w:iCs/>
        </w:rPr>
        <w:t>Loi instituant le Tribunal administratif du travail</w:t>
      </w:r>
      <w:r>
        <w:rPr>
          <w:rStyle w:val="Appelnotedebasdep"/>
        </w:rPr>
        <w:footnoteReference w:id="11"/>
      </w:r>
      <w:r>
        <w:t xml:space="preserve"> prévoit qu’« </w:t>
      </w:r>
      <w:r>
        <w:rPr>
          <w:rFonts w:cs="Arial"/>
        </w:rPr>
        <w:t>[a]</w:t>
      </w:r>
      <w:r w:rsidRPr="00AA68DB">
        <w:t>vant de rendre une décision, le Tribunal permet aux parties de se faire entendre par tout moyen prévu à ses règles de preuve et de procédure. Il peut toutefois procéder sur dossier s’il le juge approprié et si les parties y consentent.</w:t>
      </w:r>
      <w:r>
        <w:t> ».</w:t>
      </w:r>
    </w:p>
    <w:p w14:paraId="1BA9B8AD" w14:textId="77777777" w:rsidR="007629D9" w:rsidRDefault="00C40124" w:rsidP="007629D9">
      <w:pPr>
        <w:pStyle w:val="Paragrdouble"/>
        <w:spacing w:line="276" w:lineRule="auto"/>
      </w:pPr>
      <w:r>
        <w:t xml:space="preserve">La Cour suprême du Canada dans l’arrêt </w:t>
      </w:r>
      <w:r w:rsidRPr="00AF567F">
        <w:rPr>
          <w:i/>
          <w:iCs/>
        </w:rPr>
        <w:t>Baker</w:t>
      </w:r>
      <w:r>
        <w:t xml:space="preserve"> identifie les facteurs à considérer pour déterminer l’étendue de l’obligation d’équité s’imposant au décideur : la nature de la décision et le processus suivi pour y parvenir, la nature du régime législatif en cause, l’importance de la décision pour les personnes à qui elle s’applique, les attentes normales et légitimes de ces personnes à l’égard du processus et le choix fait par le tribunal ou l’organisme administratif visé en ce qui a trait à ses règles de procédures</w:t>
      </w:r>
      <w:r>
        <w:rPr>
          <w:rStyle w:val="Appelnotedebasdep"/>
        </w:rPr>
        <w:footnoteReference w:id="12"/>
      </w:r>
      <w:r>
        <w:t>.</w:t>
      </w:r>
    </w:p>
    <w:p w14:paraId="591E7BB2" w14:textId="77777777" w:rsidR="007629D9" w:rsidRDefault="00C40124" w:rsidP="007629D9">
      <w:pPr>
        <w:pStyle w:val="Paragrdouble"/>
        <w:spacing w:line="276" w:lineRule="auto"/>
      </w:pPr>
      <w:r>
        <w:t xml:space="preserve">Comme le résume la Cour suprême:  </w:t>
      </w:r>
    </w:p>
    <w:p w14:paraId="017C3402" w14:textId="77777777" w:rsidR="007629D9" w:rsidRPr="00AF567F" w:rsidRDefault="00C40124" w:rsidP="008E1AAE">
      <w:pPr>
        <w:pStyle w:val="Paragrdouble"/>
        <w:numPr>
          <w:ilvl w:val="0"/>
          <w:numId w:val="0"/>
        </w:numPr>
        <w:spacing w:line="240" w:lineRule="auto"/>
        <w:ind w:left="731" w:right="731"/>
        <w:rPr>
          <w:sz w:val="22"/>
          <w:szCs w:val="18"/>
        </w:rPr>
      </w:pPr>
      <w:r w:rsidRPr="00AF567F">
        <w:rPr>
          <w:sz w:val="22"/>
          <w:szCs w:val="18"/>
        </w:rPr>
        <w:t>« Les valeurs qui sous</w:t>
      </w:r>
      <w:r w:rsidRPr="00AF567F">
        <w:rPr>
          <w:rFonts w:ascii="Cambria Math" w:hAnsi="Cambria Math" w:cs="Cambria Math"/>
          <w:sz w:val="22"/>
          <w:szCs w:val="18"/>
        </w:rPr>
        <w:t>‑</w:t>
      </w:r>
      <w:r w:rsidRPr="00AF567F">
        <w:rPr>
          <w:sz w:val="22"/>
          <w:szCs w:val="18"/>
        </w:rPr>
        <w:t>tendent l’obligation d’équité procédurale relèvent du principe selon lequel les personnes visées doivent avoir la possibilité de présenter entièrement et équitablement leur position, et ont droit à ce que les décisions touchant leurs droits, intérêts ou privilèges soient prises à la suite d’un processus équitable, impartial et ouvert, adapté au contexte légal, institutionnel et social de la décision.</w:t>
      </w:r>
      <w:r>
        <w:rPr>
          <w:rStyle w:val="Appelnotedebasdep"/>
          <w:sz w:val="22"/>
          <w:szCs w:val="18"/>
        </w:rPr>
        <w:footnoteReference w:id="13"/>
      </w:r>
      <w:r w:rsidRPr="00AF567F">
        <w:rPr>
          <w:sz w:val="22"/>
          <w:szCs w:val="18"/>
        </w:rPr>
        <w:t> »</w:t>
      </w:r>
    </w:p>
    <w:p w14:paraId="14E3EA20" w14:textId="77777777" w:rsidR="007629D9" w:rsidRDefault="00C40124" w:rsidP="007629D9">
      <w:pPr>
        <w:pStyle w:val="Paragrdouble"/>
        <w:spacing w:line="276" w:lineRule="auto"/>
      </w:pPr>
      <w:r>
        <w:t>Le juge Bernard Synnott indiquait récemment, dans un dossier de contrôle judiciaire d’une décision du TAT, que ce tribunal est maître de la conduite de l’instance, jouissant d’une grande souplesse dans la gestion de la preuve, tout en s’assurant du respect des droits fondamentaux des administrés :</w:t>
      </w:r>
    </w:p>
    <w:p w14:paraId="0699865A" w14:textId="77777777" w:rsidR="007629D9" w:rsidRPr="00B05E48" w:rsidRDefault="00C40124" w:rsidP="00962F14">
      <w:pPr>
        <w:pStyle w:val="Paragrdouble"/>
        <w:numPr>
          <w:ilvl w:val="0"/>
          <w:numId w:val="0"/>
        </w:numPr>
        <w:spacing w:line="240" w:lineRule="auto"/>
        <w:ind w:left="360" w:right="715"/>
        <w:rPr>
          <w:sz w:val="22"/>
          <w:szCs w:val="18"/>
        </w:rPr>
      </w:pPr>
      <w:r w:rsidRPr="00B05E48">
        <w:rPr>
          <w:sz w:val="22"/>
          <w:szCs w:val="18"/>
        </w:rPr>
        <w:t>« [24] Le TAT jouit d’une grande souplesse dans la gestion de la preuve des dossiers dont il est saisi. Cette souplesse réside dans le fait que le législateur a voulu assurer l’efficacité de cette instance administrative décisionnelle en lui accordant une grande flexibilité. Plusieurs articles de la Loi sur la justice administrative s’avèrent d’ailleurs le reflet de cette flexibilité voulue par le législateur, par exemple :</w:t>
      </w:r>
    </w:p>
    <w:p w14:paraId="4AC3D691" w14:textId="77777777" w:rsidR="007629D9" w:rsidRPr="00B05E48" w:rsidRDefault="00C40124" w:rsidP="009A4686">
      <w:pPr>
        <w:pStyle w:val="Paragrdouble"/>
        <w:numPr>
          <w:ilvl w:val="0"/>
          <w:numId w:val="38"/>
        </w:numPr>
        <w:spacing w:line="240" w:lineRule="auto"/>
        <w:ind w:left="1080" w:right="715"/>
        <w:rPr>
          <w:sz w:val="22"/>
          <w:szCs w:val="18"/>
        </w:rPr>
      </w:pPr>
      <w:r w:rsidRPr="00B05E48">
        <w:rPr>
          <w:sz w:val="22"/>
          <w:szCs w:val="18"/>
        </w:rPr>
        <w:t xml:space="preserve">La présente loi a pour objet d’affirmer la spécificité de la justice administrative et </w:t>
      </w:r>
      <w:r w:rsidRPr="00B05E48">
        <w:rPr>
          <w:b/>
          <w:bCs/>
          <w:sz w:val="22"/>
          <w:szCs w:val="18"/>
        </w:rPr>
        <w:t>d’en assurer la qualité, la célérité et l’accessibilité, de même que d’assurer le respect des droits fondamentaux des administrés</w:t>
      </w:r>
      <w:r w:rsidRPr="00B05E48">
        <w:rPr>
          <w:sz w:val="22"/>
          <w:szCs w:val="18"/>
        </w:rPr>
        <w:t>.</w:t>
      </w:r>
    </w:p>
    <w:p w14:paraId="560B4CC8" w14:textId="77777777" w:rsidR="007629D9" w:rsidRPr="00B05E48" w:rsidRDefault="00C40124" w:rsidP="009A4686">
      <w:pPr>
        <w:pStyle w:val="Paragrdouble"/>
        <w:numPr>
          <w:ilvl w:val="0"/>
          <w:numId w:val="0"/>
        </w:numPr>
        <w:spacing w:line="240" w:lineRule="auto"/>
        <w:ind w:left="1080" w:right="715"/>
        <w:rPr>
          <w:sz w:val="22"/>
          <w:szCs w:val="18"/>
        </w:rPr>
      </w:pPr>
      <w:r w:rsidRPr="00B05E48">
        <w:rPr>
          <w:sz w:val="22"/>
          <w:szCs w:val="18"/>
        </w:rPr>
        <w:t>Elle établit les règles générales de procédure applicables aux décisions individuelles prises à l’égard d’un administré. Ces règles de procédure diffèrent selon que les décisions sont prises dans l’exercice d’une fonction administrative ou d’une fonction juridictionnelle. Elles sont, s’il y a lieu, complétées par des règles particulières établies par la loi ou sous l’autorité de celle-ci.</w:t>
      </w:r>
    </w:p>
    <w:p w14:paraId="0A8D7D8F" w14:textId="77777777" w:rsidR="007629D9" w:rsidRPr="00B05E48" w:rsidRDefault="00C40124" w:rsidP="009A4686">
      <w:pPr>
        <w:pStyle w:val="Paragrdouble"/>
        <w:numPr>
          <w:ilvl w:val="0"/>
          <w:numId w:val="0"/>
        </w:numPr>
        <w:spacing w:line="240" w:lineRule="auto"/>
        <w:ind w:left="1080" w:right="715"/>
        <w:rPr>
          <w:sz w:val="22"/>
          <w:szCs w:val="18"/>
        </w:rPr>
      </w:pPr>
      <w:r w:rsidRPr="00B05E48">
        <w:rPr>
          <w:sz w:val="22"/>
          <w:szCs w:val="18"/>
        </w:rPr>
        <w:t>La présente loi institue également le tribunal administratif du Québec et le Conseil de la justice administrative.</w:t>
      </w:r>
    </w:p>
    <w:p w14:paraId="711695D0" w14:textId="77777777" w:rsidR="007629D9" w:rsidRPr="00B05E48" w:rsidRDefault="00C40124" w:rsidP="009A4686">
      <w:pPr>
        <w:pStyle w:val="Paragrdouble"/>
        <w:numPr>
          <w:ilvl w:val="0"/>
          <w:numId w:val="0"/>
        </w:numPr>
        <w:spacing w:line="240" w:lineRule="auto"/>
        <w:ind w:left="1080" w:right="715"/>
        <w:rPr>
          <w:sz w:val="22"/>
          <w:szCs w:val="18"/>
        </w:rPr>
      </w:pPr>
      <w:r w:rsidRPr="00B05E48">
        <w:rPr>
          <w:sz w:val="22"/>
          <w:szCs w:val="18"/>
        </w:rPr>
        <w:t xml:space="preserve">11. L’organisme est </w:t>
      </w:r>
      <w:r w:rsidRPr="00B05E48">
        <w:rPr>
          <w:b/>
          <w:bCs/>
          <w:sz w:val="22"/>
          <w:szCs w:val="18"/>
        </w:rPr>
        <w:t>maître, dans le cadre de la loi, de la conduite de l’audience. Il doit mener les débats avec souplesse et de façon à faire apparaître le droit et à en assurer la sanction</w:t>
      </w:r>
      <w:r w:rsidRPr="00B05E48">
        <w:rPr>
          <w:sz w:val="22"/>
          <w:szCs w:val="18"/>
        </w:rPr>
        <w:t>.</w:t>
      </w:r>
    </w:p>
    <w:p w14:paraId="0A7E359E" w14:textId="77777777" w:rsidR="007629D9" w:rsidRPr="00B05E48" w:rsidRDefault="00C40124" w:rsidP="009A4686">
      <w:pPr>
        <w:pStyle w:val="Paragrdouble"/>
        <w:numPr>
          <w:ilvl w:val="0"/>
          <w:numId w:val="0"/>
        </w:numPr>
        <w:spacing w:line="240" w:lineRule="auto"/>
        <w:ind w:left="360" w:right="715"/>
        <w:rPr>
          <w:sz w:val="22"/>
          <w:szCs w:val="18"/>
        </w:rPr>
      </w:pPr>
      <w:r w:rsidRPr="00B05E48">
        <w:rPr>
          <w:b/>
          <w:bCs/>
          <w:sz w:val="22"/>
          <w:szCs w:val="18"/>
        </w:rPr>
        <w:t>Il décide de la recevabilité des éléments et des moyens de preuve</w:t>
      </w:r>
      <w:r w:rsidRPr="00B05E48">
        <w:rPr>
          <w:sz w:val="22"/>
          <w:szCs w:val="18"/>
        </w:rPr>
        <w:t xml:space="preserve"> et il peut, à cette fin, suivre les règles ordinaires de la preuve en matière civile. Il doit toutefois, même d’office, rejeter tout élément de preuve obtenu dans des conditions qui portent atteinte aux droits et libertés fondamentaux et dont l’utilisation est susceptible de déconsidérer l’administration de la justice. L’utilisation d’une preuve obtenue par la violation du droit au respect du secret professionnel est réputée déconsidérer l’administration de la justice. </w:t>
      </w:r>
    </w:p>
    <w:p w14:paraId="26DB94FD" w14:textId="77777777" w:rsidR="007629D9" w:rsidRPr="00B05E48" w:rsidRDefault="00C40124" w:rsidP="009A4686">
      <w:pPr>
        <w:pStyle w:val="Paragrdouble"/>
        <w:numPr>
          <w:ilvl w:val="0"/>
          <w:numId w:val="0"/>
        </w:numPr>
        <w:spacing w:line="240" w:lineRule="auto"/>
        <w:ind w:left="360" w:right="715"/>
        <w:jc w:val="right"/>
        <w:rPr>
          <w:sz w:val="22"/>
          <w:szCs w:val="18"/>
        </w:rPr>
      </w:pPr>
      <w:r w:rsidRPr="00B05E48">
        <w:rPr>
          <w:sz w:val="22"/>
          <w:szCs w:val="18"/>
        </w:rPr>
        <w:t>[Emphase ajoutée]</w:t>
      </w:r>
    </w:p>
    <w:p w14:paraId="50EF764A" w14:textId="77777777" w:rsidR="007629D9" w:rsidRDefault="00C40124" w:rsidP="008E1AAE">
      <w:pPr>
        <w:pStyle w:val="Paragrdouble"/>
        <w:numPr>
          <w:ilvl w:val="0"/>
          <w:numId w:val="0"/>
        </w:numPr>
        <w:spacing w:line="240" w:lineRule="auto"/>
        <w:ind w:left="360" w:right="715"/>
      </w:pPr>
      <w:r w:rsidRPr="00B05E48">
        <w:rPr>
          <w:sz w:val="22"/>
          <w:szCs w:val="18"/>
        </w:rPr>
        <w:t>[25] Bref, la souplesse s’avère de mise, dans la mesure où toutes les parties ont la possibilité de faire valoir leurs droits et de présenter une preuve complète.</w:t>
      </w:r>
      <w:r>
        <w:rPr>
          <w:rStyle w:val="Appelnotedebasdep"/>
          <w:sz w:val="22"/>
          <w:szCs w:val="18"/>
        </w:rPr>
        <w:footnoteReference w:id="14"/>
      </w:r>
      <w:r w:rsidRPr="00B05E48">
        <w:rPr>
          <w:sz w:val="22"/>
          <w:szCs w:val="18"/>
        </w:rPr>
        <w:t> »</w:t>
      </w:r>
    </w:p>
    <w:p w14:paraId="0D99E08F" w14:textId="77777777" w:rsidR="006C7E5B" w:rsidRDefault="00C40124" w:rsidP="00440832">
      <w:pPr>
        <w:pStyle w:val="Paragrdouble"/>
        <w:spacing w:line="276" w:lineRule="auto"/>
        <w:rPr>
          <w:szCs w:val="24"/>
        </w:rPr>
      </w:pPr>
      <w:r>
        <w:rPr>
          <w:szCs w:val="24"/>
        </w:rPr>
        <w:t>Ainsi, le TAT est maître de l’audience et mène les débats en établissant les règles de procédure applicables et en décidant de la recevabilité des éléments et moyens de preuve</w:t>
      </w:r>
      <w:r w:rsidR="004D6AEA">
        <w:rPr>
          <w:szCs w:val="24"/>
        </w:rPr>
        <w:t xml:space="preserve"> en suivant les règles ordinaires.</w:t>
      </w:r>
    </w:p>
    <w:p w14:paraId="63488219" w14:textId="77777777" w:rsidR="003233EB" w:rsidRDefault="00C40124" w:rsidP="00440832">
      <w:pPr>
        <w:pStyle w:val="Paragrdouble"/>
        <w:spacing w:line="276" w:lineRule="auto"/>
        <w:rPr>
          <w:szCs w:val="24"/>
        </w:rPr>
      </w:pPr>
      <w:r w:rsidRPr="003233EB">
        <w:rPr>
          <w:szCs w:val="24"/>
        </w:rPr>
        <w:t>Peut-on considérer que la Demanderesse a bien été informée du questionnement du TAT quant à son manque d’intérêt</w:t>
      </w:r>
      <w:r>
        <w:rPr>
          <w:szCs w:val="24"/>
        </w:rPr>
        <w:t xml:space="preserve">, qu’elle a </w:t>
      </w:r>
      <w:r w:rsidRPr="003233EB">
        <w:rPr>
          <w:szCs w:val="24"/>
        </w:rPr>
        <w:t xml:space="preserve">eu la possibilité de présenter entièrement et équitablement sa position sur son intérêt pour agir, et </w:t>
      </w:r>
      <w:r>
        <w:rPr>
          <w:szCs w:val="24"/>
        </w:rPr>
        <w:t>qu’elle a</w:t>
      </w:r>
      <w:r w:rsidRPr="003233EB">
        <w:rPr>
          <w:szCs w:val="24"/>
        </w:rPr>
        <w:t xml:space="preserve"> vu ses droits décidés au terme d'un processus équitable?</w:t>
      </w:r>
      <w:r>
        <w:rPr>
          <w:szCs w:val="24"/>
        </w:rPr>
        <w:t xml:space="preserve"> </w:t>
      </w:r>
    </w:p>
    <w:p w14:paraId="6FB3E31A" w14:textId="77777777" w:rsidR="00440832" w:rsidRPr="003233EB" w:rsidRDefault="00C40124" w:rsidP="00440832">
      <w:pPr>
        <w:pStyle w:val="Paragrdouble"/>
        <w:spacing w:line="276" w:lineRule="auto"/>
        <w:rPr>
          <w:szCs w:val="24"/>
        </w:rPr>
      </w:pPr>
      <w:r>
        <w:rPr>
          <w:szCs w:val="24"/>
        </w:rPr>
        <w:t xml:space="preserve">Absolument. </w:t>
      </w:r>
    </w:p>
    <w:p w14:paraId="631C5D78" w14:textId="77777777" w:rsidR="007629D9" w:rsidRDefault="00C40124" w:rsidP="00440832">
      <w:pPr>
        <w:pStyle w:val="Paragrdouble"/>
        <w:spacing w:line="276" w:lineRule="auto"/>
      </w:pPr>
      <w:r>
        <w:t>Aucun principe de justice naturelle ou d’équité procédurale (ou d</w:t>
      </w:r>
      <w:r w:rsidR="003233EB">
        <w:t xml:space="preserve">u principe </w:t>
      </w:r>
      <w:r w:rsidR="003233EB" w:rsidRPr="003233EB">
        <w:rPr>
          <w:i/>
          <w:iCs/>
        </w:rPr>
        <w:t>a</w:t>
      </w:r>
      <w:r w:rsidRPr="003233EB">
        <w:rPr>
          <w:i/>
          <w:iCs/>
        </w:rPr>
        <w:t>udi alteram partem</w:t>
      </w:r>
      <w:r>
        <w:t>) n’a été enfreint en l’espèce</w:t>
      </w:r>
      <w:r w:rsidR="00440832">
        <w:t>.</w:t>
      </w:r>
      <w:r>
        <w:t xml:space="preserve"> </w:t>
      </w:r>
      <w:r w:rsidR="001E7CCB">
        <w:t xml:space="preserve">La Décision du TAT à cet égard était </w:t>
      </w:r>
      <w:r w:rsidR="003233EB">
        <w:t>non seulement raisonnable</w:t>
      </w:r>
      <w:r w:rsidR="006F7CD6">
        <w:t>,</w:t>
      </w:r>
      <w:r w:rsidR="003233EB">
        <w:t xml:space="preserve"> mais parfaitement </w:t>
      </w:r>
      <w:r w:rsidR="001E7CCB">
        <w:t>correcte.</w:t>
      </w:r>
    </w:p>
    <w:p w14:paraId="523ABCB4" w14:textId="77777777" w:rsidR="00440832" w:rsidRDefault="00C40124" w:rsidP="00440832">
      <w:pPr>
        <w:pStyle w:val="Paragrdouble"/>
        <w:spacing w:line="276" w:lineRule="auto"/>
      </w:pPr>
      <w:r>
        <w:t xml:space="preserve">D’entrée de jeu, </w:t>
      </w:r>
      <w:r w:rsidR="00FB60DB">
        <w:t xml:space="preserve">la Demanderesse </w:t>
      </w:r>
      <w:r>
        <w:t>a été convoquée et entendue sur la requête en rejet du PGQ. Elle reconnaît, effectivement, avoir pu présenter des arguments, un plan d’argumentation et des sources au soutien de sa position.</w:t>
      </w:r>
    </w:p>
    <w:p w14:paraId="326625C0" w14:textId="77777777" w:rsidR="00AA68DB" w:rsidRDefault="00C40124" w:rsidP="00440832">
      <w:pPr>
        <w:pStyle w:val="Paragrdouble"/>
        <w:spacing w:line="276" w:lineRule="auto"/>
      </w:pPr>
      <w:r>
        <w:t>Le TAT a soulevé d’office l’intérêt de l’employeur à contester un article du Code en invoquant la liberté d’association pour ses salariés et pour remettre en cause la qualité de l’enquête de l’</w:t>
      </w:r>
      <w:r w:rsidR="006F7CD6">
        <w:t>A</w:t>
      </w:r>
      <w:r>
        <w:t xml:space="preserve">gente sur le caractère représentatif. </w:t>
      </w:r>
      <w:r w:rsidR="000B1700" w:rsidRPr="000B1700">
        <w:t>Il était bien fondé à le faire</w:t>
      </w:r>
      <w:r>
        <w:t xml:space="preserve"> dans le cadre de son devoir « d’assurer l’application diligente et efficace du Code du travail »</w:t>
      </w:r>
      <w:r>
        <w:rPr>
          <w:rStyle w:val="Appelnotedebasdep"/>
        </w:rPr>
        <w:footnoteReference w:id="15"/>
      </w:r>
      <w:r>
        <w:t>.</w:t>
      </w:r>
    </w:p>
    <w:p w14:paraId="13C300DB" w14:textId="77777777" w:rsidR="006F7CD6" w:rsidRDefault="00C40124" w:rsidP="00440832">
      <w:pPr>
        <w:pStyle w:val="Paragrdouble"/>
        <w:spacing w:line="276" w:lineRule="auto"/>
      </w:pPr>
      <w:r>
        <w:t xml:space="preserve">La Demanderesse </w:t>
      </w:r>
      <w:r w:rsidR="00AE4072">
        <w:t xml:space="preserve">prétend qu’il y a </w:t>
      </w:r>
      <w:r>
        <w:t xml:space="preserve">eu </w:t>
      </w:r>
      <w:r w:rsidR="00AE4072">
        <w:t>manquement</w:t>
      </w:r>
      <w:r>
        <w:t>;</w:t>
      </w:r>
      <w:r w:rsidR="00AE4072">
        <w:t xml:space="preserve"> </w:t>
      </w:r>
      <w:r>
        <w:t>qu’e</w:t>
      </w:r>
      <w:r w:rsidR="00AE4072">
        <w:t xml:space="preserve">lle aurait dû pouvoir être entendue sur son argument constitutionnel. </w:t>
      </w:r>
    </w:p>
    <w:p w14:paraId="3B049DB0" w14:textId="77777777" w:rsidR="00AE4072" w:rsidRDefault="00C40124" w:rsidP="00440832">
      <w:pPr>
        <w:pStyle w:val="Paragrdouble"/>
        <w:spacing w:line="276" w:lineRule="auto"/>
      </w:pPr>
      <w:r>
        <w:t xml:space="preserve">Cet argument doit être écarté, </w:t>
      </w:r>
      <w:r w:rsidR="00FB60DB">
        <w:t>celle-ci</w:t>
      </w:r>
      <w:r w:rsidR="006F7CD6">
        <w:t xml:space="preserve"> ayant</w:t>
      </w:r>
      <w:r>
        <w:t xml:space="preserve"> été entendue sur l’objet de l’audience préliminaire, soit le rejet de l’Avis d’intention sous l’art. 76 C.p.c. et le rejet de la demande en révocation de la décision du 10 mai 2024.</w:t>
      </w:r>
    </w:p>
    <w:p w14:paraId="3B223165" w14:textId="77777777" w:rsidR="00440832" w:rsidRDefault="00C40124" w:rsidP="00440832">
      <w:pPr>
        <w:pStyle w:val="Paragrdouble"/>
        <w:spacing w:line="276" w:lineRule="auto"/>
      </w:pPr>
      <w:r>
        <w:t>En effet, il est reconnu qu’une action en justice peut être rejetée sans la tenue d’un procès sur le fond et sans que ce rejet enfreigne quelque règle de justice naturelle, d’équité procédurale ou encore la règle d’</w:t>
      </w:r>
      <w:r w:rsidRPr="00440832">
        <w:rPr>
          <w:i/>
          <w:iCs/>
        </w:rPr>
        <w:t>audi alteram partem</w:t>
      </w:r>
      <w:r>
        <w:t xml:space="preserve">. </w:t>
      </w:r>
    </w:p>
    <w:p w14:paraId="29CDBBF8" w14:textId="77777777" w:rsidR="00440832" w:rsidRDefault="00C40124" w:rsidP="00440832">
      <w:pPr>
        <w:pStyle w:val="Paragrdouble"/>
        <w:spacing w:line="276" w:lineRule="auto"/>
      </w:pPr>
      <w:r>
        <w:t xml:space="preserve">Comme </w:t>
      </w:r>
      <w:r w:rsidRPr="008E1AAE">
        <w:t xml:space="preserve">l’a </w:t>
      </w:r>
      <w:r w:rsidR="00F116E3" w:rsidRPr="008E1AAE">
        <w:t>enseigné</w:t>
      </w:r>
      <w:r w:rsidR="00F116E3">
        <w:t xml:space="preserve"> </w:t>
      </w:r>
      <w:r>
        <w:t xml:space="preserve">la Cour d’appel dans l’arrêt </w:t>
      </w:r>
      <w:r w:rsidRPr="00B91FB2">
        <w:rPr>
          <w:i/>
          <w:iCs/>
        </w:rPr>
        <w:t>Dostie</w:t>
      </w:r>
      <w:r>
        <w:rPr>
          <w:rStyle w:val="Appelnotedebasdep"/>
          <w:i/>
          <w:iCs/>
        </w:rPr>
        <w:footnoteReference w:id="16"/>
      </w:r>
      <w:r>
        <w:t xml:space="preserve">, </w:t>
      </w:r>
    </w:p>
    <w:p w14:paraId="54B0EF7C" w14:textId="77777777" w:rsidR="00440832" w:rsidRDefault="00C40124" w:rsidP="008E1AAE">
      <w:pPr>
        <w:pStyle w:val="Paragrdouble"/>
        <w:numPr>
          <w:ilvl w:val="0"/>
          <w:numId w:val="0"/>
        </w:numPr>
        <w:spacing w:line="240" w:lineRule="auto"/>
        <w:ind w:left="731" w:right="715"/>
        <w:rPr>
          <w:sz w:val="22"/>
          <w:szCs w:val="18"/>
        </w:rPr>
      </w:pPr>
      <w:r w:rsidRPr="00D7108C">
        <w:rPr>
          <w:sz w:val="22"/>
          <w:szCs w:val="18"/>
        </w:rPr>
        <w:t xml:space="preserve">« Cette disposition </w:t>
      </w:r>
      <w:r w:rsidR="00AA68DB">
        <w:rPr>
          <w:rFonts w:cs="Arial"/>
          <w:sz w:val="22"/>
          <w:szCs w:val="18"/>
        </w:rPr>
        <w:t xml:space="preserve">[art. 23 de la Charte québécoise – qui vise aussi la justice administrative, comme le reconnaît la Cour d’appel] </w:t>
      </w:r>
      <w:r w:rsidRPr="00D7108C">
        <w:rPr>
          <w:sz w:val="22"/>
          <w:szCs w:val="18"/>
        </w:rPr>
        <w:t xml:space="preserve">ne garantit pas une audience sur le fond à toute personne s’adressant aux tribunaux, mais </w:t>
      </w:r>
      <w:r w:rsidRPr="00AA68DB">
        <w:rPr>
          <w:sz w:val="22"/>
          <w:szCs w:val="18"/>
          <w:u w:val="single"/>
        </w:rPr>
        <w:t>garantit plutôt la participation de chaque partie à toutes les étapes du processus judiciaire, y compris celle des moyens préliminaires</w:t>
      </w:r>
      <w:r w:rsidRPr="00D7108C">
        <w:rPr>
          <w:sz w:val="22"/>
          <w:szCs w:val="18"/>
        </w:rPr>
        <w:t xml:space="preserve"> établis par les art. 166 et s. C.p.c., </w:t>
      </w:r>
      <w:r w:rsidRPr="00AA68DB">
        <w:rPr>
          <w:sz w:val="22"/>
          <w:szCs w:val="18"/>
          <w:u w:val="single"/>
        </w:rPr>
        <w:t>dont fait partie la demande d’irrecevabilité</w:t>
      </w:r>
      <w:r w:rsidRPr="00D7108C">
        <w:rPr>
          <w:sz w:val="22"/>
          <w:szCs w:val="18"/>
        </w:rPr>
        <w:t xml:space="preserve"> régie par l’art. 168. Bien sûr, </w:t>
      </w:r>
      <w:r w:rsidRPr="00AA68DB">
        <w:rPr>
          <w:sz w:val="22"/>
          <w:szCs w:val="18"/>
          <w:u w:val="single"/>
        </w:rPr>
        <w:t>la partie confrontée à une demande d’irrecevabilité peut s’en défendre et a droit à une audience</w:t>
      </w:r>
      <w:r w:rsidRPr="00D7108C">
        <w:rPr>
          <w:sz w:val="22"/>
          <w:szCs w:val="18"/>
        </w:rPr>
        <w:t>, conformément à l’art. 23 de la Charte québécoise, mais aussi à l’art. 17 al. 1 C.p.c. »</w:t>
      </w:r>
    </w:p>
    <w:p w14:paraId="22E05272" w14:textId="77777777" w:rsidR="00AA68DB" w:rsidRPr="00D7108C" w:rsidRDefault="00C40124" w:rsidP="008E1AAE">
      <w:pPr>
        <w:pStyle w:val="Paragrdouble"/>
        <w:numPr>
          <w:ilvl w:val="0"/>
          <w:numId w:val="0"/>
        </w:numPr>
        <w:spacing w:line="240" w:lineRule="auto"/>
        <w:ind w:left="731" w:right="715"/>
        <w:jc w:val="right"/>
        <w:rPr>
          <w:sz w:val="22"/>
          <w:szCs w:val="18"/>
        </w:rPr>
      </w:pPr>
      <w:r>
        <w:rPr>
          <w:rFonts w:cs="Arial"/>
          <w:sz w:val="22"/>
          <w:szCs w:val="18"/>
        </w:rPr>
        <w:t>[</w:t>
      </w:r>
      <w:r w:rsidR="009A4686">
        <w:rPr>
          <w:rFonts w:cs="Arial"/>
          <w:sz w:val="22"/>
          <w:szCs w:val="18"/>
        </w:rPr>
        <w:t>Nos</w:t>
      </w:r>
      <w:r>
        <w:rPr>
          <w:rFonts w:cs="Arial"/>
          <w:sz w:val="22"/>
          <w:szCs w:val="18"/>
        </w:rPr>
        <w:t xml:space="preserve"> soulignements]</w:t>
      </w:r>
    </w:p>
    <w:p w14:paraId="12C7B68F" w14:textId="77777777" w:rsidR="00E26B47" w:rsidRDefault="00C40124" w:rsidP="001E7CCB">
      <w:pPr>
        <w:pStyle w:val="Paragrdouble"/>
        <w:spacing w:line="276" w:lineRule="auto"/>
      </w:pPr>
      <w:r>
        <w:t>Il n’y a donc</w:t>
      </w:r>
      <w:r w:rsidR="00440832">
        <w:t xml:space="preserve"> pas eu contravention au droit d’être entendu de la Demanderesse. Celle-ci a été convoquée et pleinement entendue sur la question préliminaire de son intérêt pour agir</w:t>
      </w:r>
      <w:r w:rsidRPr="001E7CCB">
        <w:t xml:space="preserve"> </w:t>
      </w:r>
      <w:r>
        <w:t xml:space="preserve">et contester constitutionnellement l’art. 28a) </w:t>
      </w:r>
      <w:r w:rsidR="007471E6">
        <w:t>du Code</w:t>
      </w:r>
      <w:r w:rsidR="006F7CD6">
        <w:t xml:space="preserve">, </w:t>
      </w:r>
      <w:r>
        <w:t>ou encore demander la révocation de l’accréditation.</w:t>
      </w:r>
      <w:r w:rsidR="00440832">
        <w:t xml:space="preserve"> </w:t>
      </w:r>
      <w:r w:rsidR="00AE4072">
        <w:t>En revanche</w:t>
      </w:r>
      <w:r>
        <w:t>, elle</w:t>
      </w:r>
      <w:r w:rsidR="00440832">
        <w:t xml:space="preserve"> n’a pas réussi à convaincre le TAT</w:t>
      </w:r>
      <w:r w:rsidR="00FB60DB">
        <w:t>;</w:t>
      </w:r>
      <w:r w:rsidR="00440832">
        <w:t xml:space="preserve"> </w:t>
      </w:r>
      <w:r>
        <w:t>s</w:t>
      </w:r>
      <w:r w:rsidR="00AA68DB">
        <w:t xml:space="preserve">es demandes ont </w:t>
      </w:r>
      <w:r w:rsidR="00E529BF">
        <w:t xml:space="preserve">en conséquence </w:t>
      </w:r>
      <w:r w:rsidR="00AA68DB">
        <w:t>été rejetées pour défaut d’intérêt.</w:t>
      </w:r>
    </w:p>
    <w:p w14:paraId="12B348F2" w14:textId="77777777" w:rsidR="00772542" w:rsidRPr="00772542" w:rsidRDefault="00C40124" w:rsidP="008E1AAE">
      <w:pPr>
        <w:pStyle w:val="Titre2"/>
        <w:ind w:left="709" w:hanging="425"/>
      </w:pPr>
      <w:bookmarkStart w:id="17" w:name="_Toc256000005"/>
      <w:bookmarkStart w:id="18" w:name="_Toc243051034"/>
      <w:r>
        <w:t xml:space="preserve">La décision </w:t>
      </w:r>
      <w:r w:rsidR="00450875">
        <w:t xml:space="preserve">du TAT </w:t>
      </w:r>
      <w:r>
        <w:t>sur l</w:t>
      </w:r>
      <w:r w:rsidR="00450875">
        <w:t>’</w:t>
      </w:r>
      <w:r>
        <w:t>a</w:t>
      </w:r>
      <w:r w:rsidR="00450875">
        <w:t>bsence de</w:t>
      </w:r>
      <w:r>
        <w:t xml:space="preserve"> qualité d’agir d’amazon </w:t>
      </w:r>
      <w:r w:rsidR="00450875">
        <w:t xml:space="preserve">dans sa contestation constitutionnelle </w:t>
      </w:r>
      <w:r w:rsidR="009615DF">
        <w:t>est</w:t>
      </w:r>
      <w:r w:rsidR="00E26B47">
        <w:t xml:space="preserve"> RAISONNABLE</w:t>
      </w:r>
      <w:bookmarkEnd w:id="17"/>
      <w:bookmarkEnd w:id="18"/>
    </w:p>
    <w:p w14:paraId="030219D9" w14:textId="77777777" w:rsidR="005F203F" w:rsidRDefault="00C40124" w:rsidP="004B2BB0">
      <w:pPr>
        <w:pStyle w:val="Paragrdouble"/>
        <w:spacing w:line="276" w:lineRule="auto"/>
      </w:pPr>
      <w:r>
        <w:t xml:space="preserve">La </w:t>
      </w:r>
      <w:r w:rsidR="00AE4072">
        <w:t>D</w:t>
      </w:r>
      <w:r>
        <w:t xml:space="preserve">emanderesse </w:t>
      </w:r>
      <w:r w:rsidR="00067A19">
        <w:t>soumet que le TAT a commis une erreur lorsqu’il a conclu qu’elle n’avait pas la qualité pour agir dans sa contestation de la constitutionnalité de l’art 28a) du Code.</w:t>
      </w:r>
      <w:r w:rsidR="00D94935">
        <w:t xml:space="preserve"> </w:t>
      </w:r>
      <w:r w:rsidR="00B343D0">
        <w:t xml:space="preserve">Elle soumet que son intérêt porte sur l’intégrité et la crédibilité du mécanisme par lequel l’État lui impose un interlocuteur exclusif – le représentant collectif exclusif. </w:t>
      </w:r>
      <w:r w:rsidR="00D94935">
        <w:t xml:space="preserve">Elle insiste </w:t>
      </w:r>
      <w:r w:rsidR="00E76E1D">
        <w:t xml:space="preserve">sur le fait </w:t>
      </w:r>
      <w:r w:rsidR="00D94935">
        <w:t xml:space="preserve">qu’elle possède à la fois l’intérêt public d’agir au sens de l’arrêt </w:t>
      </w:r>
      <w:r w:rsidR="00D94935" w:rsidRPr="00D94935">
        <w:rPr>
          <w:i/>
          <w:iCs/>
        </w:rPr>
        <w:t>Downtown Eastside</w:t>
      </w:r>
      <w:bookmarkStart w:id="19" w:name="_Ref242872324"/>
      <w:r>
        <w:rPr>
          <w:rStyle w:val="Appelnotedebasdep"/>
          <w:i/>
          <w:iCs/>
        </w:rPr>
        <w:footnoteReference w:id="17"/>
      </w:r>
      <w:bookmarkEnd w:id="19"/>
      <w:r w:rsidR="00D94935">
        <w:t xml:space="preserve">, et l’intérêt privé sous l’article 85 C.p.c. pour soumettre sa contestation constitutionnelle. </w:t>
      </w:r>
      <w:r w:rsidR="00B343D0">
        <w:t>P</w:t>
      </w:r>
      <w:r w:rsidR="00D94935">
        <w:t xml:space="preserve">our ce qui est de l’intérêt public, </w:t>
      </w:r>
      <w:r w:rsidR="00B343D0">
        <w:t xml:space="preserve">elle plaide </w:t>
      </w:r>
      <w:r w:rsidR="00D94935">
        <w:t>qu’il n’a pas été établi qu’elle avait une absence d’intérêt « manifeste »</w:t>
      </w:r>
      <w:bookmarkStart w:id="20" w:name="_Ref242877954"/>
      <w:r>
        <w:rPr>
          <w:rStyle w:val="Appelnotedebasdep"/>
        </w:rPr>
        <w:footnoteReference w:id="18"/>
      </w:r>
      <w:bookmarkEnd w:id="20"/>
      <w:r w:rsidR="00D94935">
        <w:t>, et qu’au contraire, son intérêt véritable et son engagement concret ressortaient de la nature</w:t>
      </w:r>
      <w:r w:rsidR="001839B4">
        <w:t xml:space="preserve"> </w:t>
      </w:r>
      <w:r w:rsidR="00D94935">
        <w:t>même du recours.</w:t>
      </w:r>
    </w:p>
    <w:p w14:paraId="02A65A93" w14:textId="77777777" w:rsidR="00B343D0" w:rsidRDefault="00C40124" w:rsidP="004B2BB0">
      <w:pPr>
        <w:pStyle w:val="Paragrdouble"/>
        <w:spacing w:line="276" w:lineRule="auto"/>
      </w:pPr>
      <w:r>
        <w:t>Les arguments de la Demanderesse ne sont pas retenus.</w:t>
      </w:r>
    </w:p>
    <w:p w14:paraId="42ED6A7C" w14:textId="77777777" w:rsidR="004B2BB0" w:rsidRDefault="00C40124" w:rsidP="004B2BB0">
      <w:pPr>
        <w:pStyle w:val="Paragrdouble"/>
        <w:spacing w:line="276" w:lineRule="auto"/>
      </w:pPr>
      <w:r>
        <w:t>Dans sa Décision, le TAT statue que la question de l’intérêt pour agir de l’employeur est « scellée » par le législateur, sans qu’il soit nécessaire de recourir aux critères jurisprudentiels élaborés par la Cour suprême du Canada</w:t>
      </w:r>
      <w:r>
        <w:rPr>
          <w:rStyle w:val="Appelnotedebasdep"/>
        </w:rPr>
        <w:footnoteReference w:id="19"/>
      </w:r>
      <w:r>
        <w:t>. Il ajoute</w:t>
      </w:r>
      <w:r w:rsidR="007D3DCA">
        <w:t xml:space="preserve"> </w:t>
      </w:r>
      <w:r w:rsidR="00345447">
        <w:t>du même souffle</w:t>
      </w:r>
      <w:r w:rsidR="007D3DCA">
        <w:t xml:space="preserve"> </w:t>
      </w:r>
      <w:r>
        <w:t xml:space="preserve">que </w:t>
      </w:r>
      <w:r w:rsidR="00345447">
        <w:t>« </w:t>
      </w:r>
      <w:r w:rsidRPr="008E1AAE">
        <w:rPr>
          <w:u w:val="single"/>
        </w:rPr>
        <w:t>même en les appliquant</w:t>
      </w:r>
      <w:r w:rsidR="00345447">
        <w:t> »</w:t>
      </w:r>
      <w:r w:rsidR="0048572D">
        <w:t xml:space="preserve"> (notre soulignement)</w:t>
      </w:r>
      <w:r>
        <w:t xml:space="preserve">, avec le cadre d’analyse de l’arrêt </w:t>
      </w:r>
      <w:r w:rsidRPr="007D3DCA">
        <w:rPr>
          <w:i/>
          <w:iCs/>
        </w:rPr>
        <w:t>Downtown Eastside</w:t>
      </w:r>
      <w:r>
        <w:t>, il arrive à la même conclusion</w:t>
      </w:r>
      <w:r>
        <w:rPr>
          <w:rStyle w:val="Appelnotedebasdep"/>
        </w:rPr>
        <w:footnoteReference w:id="20"/>
      </w:r>
      <w:r>
        <w:t>.</w:t>
      </w:r>
    </w:p>
    <w:p w14:paraId="291AE08C" w14:textId="77777777" w:rsidR="00A1649D" w:rsidRDefault="00C40124" w:rsidP="00A1649D">
      <w:pPr>
        <w:pStyle w:val="Paragrdouble"/>
        <w:spacing w:line="276" w:lineRule="auto"/>
      </w:pPr>
      <w:r>
        <w:t>Le TAT analyse l’absence de qualité pour agir de la Demanderesse en raison de l’article 32 C.T. À cet article, le législateur prévoit expressément que l’employeur n’est pas une partie intéressée quant au débat sur le caractère représentatif d’une unité de négociation :</w:t>
      </w:r>
    </w:p>
    <w:p w14:paraId="07253454" w14:textId="77777777" w:rsidR="00517D54" w:rsidRDefault="00C40124" w:rsidP="009A4686">
      <w:pPr>
        <w:pStyle w:val="Paragrdouble"/>
        <w:numPr>
          <w:ilvl w:val="0"/>
          <w:numId w:val="0"/>
        </w:numPr>
        <w:spacing w:line="240" w:lineRule="auto"/>
        <w:ind w:left="731" w:right="715"/>
        <w:rPr>
          <w:sz w:val="22"/>
          <w:szCs w:val="18"/>
        </w:rPr>
      </w:pPr>
      <w:r w:rsidRPr="00E7003A">
        <w:rPr>
          <w:sz w:val="22"/>
          <w:szCs w:val="18"/>
        </w:rPr>
        <w:t>« 32. Lorsqu’il est saisi d’une requête en accréditation, le Tribunal décide de toute question relative à l’unité de négociation et aux personnes qu’elle vise; il peut à cette fin modifier l’unité proposée par l’association requérante.</w:t>
      </w:r>
    </w:p>
    <w:p w14:paraId="39552959" w14:textId="77777777" w:rsidR="00517D54" w:rsidRPr="00517D54" w:rsidRDefault="00C40124" w:rsidP="008E1AAE">
      <w:pPr>
        <w:pStyle w:val="Paragrdouble"/>
        <w:numPr>
          <w:ilvl w:val="0"/>
          <w:numId w:val="0"/>
        </w:numPr>
        <w:spacing w:line="240" w:lineRule="auto"/>
        <w:ind w:left="731" w:right="715"/>
        <w:rPr>
          <w:sz w:val="22"/>
          <w:szCs w:val="18"/>
        </w:rPr>
      </w:pPr>
      <w:r w:rsidRPr="00517D54">
        <w:rPr>
          <w:rFonts w:cs="Arial"/>
          <w:sz w:val="22"/>
          <w:szCs w:val="18"/>
        </w:rPr>
        <w:t>Sont seuls parties intéressées quant à l’unité de négociation et aux personnes qu’elle vise, toute association en cause et l’employeur.</w:t>
      </w:r>
    </w:p>
    <w:p w14:paraId="132002F7" w14:textId="77777777" w:rsidR="00517D54" w:rsidRDefault="00C40124" w:rsidP="008E1AAE">
      <w:pPr>
        <w:pStyle w:val="Paragrdouble"/>
        <w:numPr>
          <w:ilvl w:val="0"/>
          <w:numId w:val="0"/>
        </w:numPr>
        <w:spacing w:line="240" w:lineRule="auto"/>
        <w:ind w:left="731" w:right="715"/>
        <w:rPr>
          <w:rFonts w:cs="Arial"/>
          <w:sz w:val="22"/>
          <w:szCs w:val="18"/>
        </w:rPr>
      </w:pPr>
      <w:r w:rsidRPr="00517D54">
        <w:rPr>
          <w:rFonts w:cs="Arial"/>
          <w:sz w:val="22"/>
          <w:szCs w:val="18"/>
        </w:rPr>
        <w:t>Il doit également décider du caractère représentatif de l’association requérante par tout moyen d’enquête qu’il juge opportun et notamment par le calcul des effectifs de l’association requérante ou par la tenue d’un vote au scrutin secret.</w:t>
      </w:r>
    </w:p>
    <w:p w14:paraId="4E1E8A15" w14:textId="77777777" w:rsidR="00A1649D" w:rsidRPr="00A1649D" w:rsidRDefault="00C40124" w:rsidP="008E1AAE">
      <w:pPr>
        <w:pStyle w:val="Paragrdouble"/>
        <w:numPr>
          <w:ilvl w:val="0"/>
          <w:numId w:val="0"/>
        </w:numPr>
        <w:spacing w:line="240" w:lineRule="auto"/>
        <w:ind w:left="731" w:right="715"/>
        <w:rPr>
          <w:sz w:val="22"/>
          <w:szCs w:val="18"/>
        </w:rPr>
      </w:pPr>
      <w:r w:rsidRPr="00E7003A">
        <w:rPr>
          <w:sz w:val="22"/>
          <w:szCs w:val="18"/>
        </w:rPr>
        <w:t>Sont seuls parties intéressées quant à l’unité de négociation et aux personnes qu’elle vise, toute association en cause et l’employeur.</w:t>
      </w:r>
      <w:r>
        <w:rPr>
          <w:sz w:val="22"/>
          <w:szCs w:val="18"/>
        </w:rPr>
        <w:t> »</w:t>
      </w:r>
    </w:p>
    <w:p w14:paraId="04A424FE" w14:textId="77777777" w:rsidR="007D3DCA" w:rsidRDefault="00C40124" w:rsidP="004B2BB0">
      <w:pPr>
        <w:pStyle w:val="Paragrdouble"/>
        <w:spacing w:line="276" w:lineRule="auto"/>
      </w:pPr>
      <w:r>
        <w:t>D</w:t>
      </w:r>
      <w:r w:rsidR="00345447">
        <w:t xml:space="preserve">ans </w:t>
      </w:r>
      <w:r>
        <w:t xml:space="preserve">sa </w:t>
      </w:r>
      <w:r w:rsidR="00345447">
        <w:t>Décision</w:t>
      </w:r>
      <w:r>
        <w:t xml:space="preserve">, le TAT </w:t>
      </w:r>
      <w:r w:rsidRPr="008E1AAE">
        <w:t>estime</w:t>
      </w:r>
      <w:r w:rsidRPr="00F73588">
        <w:t xml:space="preserve"> q</w:t>
      </w:r>
      <w:r>
        <w:t xml:space="preserve">ue la contestation constitutionnelle </w:t>
      </w:r>
      <w:r w:rsidR="0048572D">
        <w:t xml:space="preserve">de la Demanderesse </w:t>
      </w:r>
      <w:r>
        <w:t xml:space="preserve">porte sur une méthode d’évaluation du caractère représentatif qui est permise et privilégiée par le législateur, soit le calcul des formules d’adhésion. </w:t>
      </w:r>
      <w:r w:rsidR="00345447">
        <w:t>Il explique</w:t>
      </w:r>
      <w:r>
        <w:t xml:space="preserve"> : </w:t>
      </w:r>
    </w:p>
    <w:p w14:paraId="282BE430" w14:textId="77777777" w:rsidR="007D3DCA" w:rsidRPr="007D3DCA" w:rsidRDefault="00C40124" w:rsidP="008E1AAE">
      <w:pPr>
        <w:pStyle w:val="Paragrdouble"/>
        <w:numPr>
          <w:ilvl w:val="0"/>
          <w:numId w:val="0"/>
        </w:numPr>
        <w:spacing w:line="240" w:lineRule="auto"/>
        <w:ind w:left="731" w:right="731"/>
        <w:rPr>
          <w:sz w:val="22"/>
          <w:szCs w:val="18"/>
        </w:rPr>
      </w:pPr>
      <w:r w:rsidRPr="007D3DCA">
        <w:rPr>
          <w:sz w:val="22"/>
          <w:szCs w:val="18"/>
        </w:rPr>
        <w:t>« </w:t>
      </w:r>
      <w:r w:rsidRPr="007D3DCA">
        <w:rPr>
          <w:rFonts w:cs="Arial"/>
          <w:sz w:val="22"/>
          <w:szCs w:val="18"/>
        </w:rPr>
        <w:t xml:space="preserve">[36] </w:t>
      </w:r>
      <w:r w:rsidRPr="007D3DCA">
        <w:rPr>
          <w:sz w:val="22"/>
          <w:szCs w:val="18"/>
        </w:rPr>
        <w:t>L’article 32 du Code, qui n’est nullement remis en cause par Amazon, détermine la question de l’intérêt en cette manière et il est sans ambiguïté : l’employeur est une partie intéressée quant à l’unité de négociation et aux parties qu’elle vise, mais pas quant au caractère représentatif de l’association de salariés. Lu en conjonction avec le 3</w:t>
      </w:r>
      <w:r w:rsidRPr="007D3DCA">
        <w:rPr>
          <w:sz w:val="22"/>
          <w:szCs w:val="18"/>
          <w:vertAlign w:val="superscript"/>
        </w:rPr>
        <w:t>e</w:t>
      </w:r>
      <w:r w:rsidRPr="007D3DCA">
        <w:rPr>
          <w:sz w:val="22"/>
          <w:szCs w:val="18"/>
        </w:rPr>
        <w:t xml:space="preserve"> alinéa, le 4</w:t>
      </w:r>
      <w:r w:rsidRPr="007D3DCA">
        <w:rPr>
          <w:sz w:val="22"/>
          <w:szCs w:val="18"/>
          <w:vertAlign w:val="superscript"/>
        </w:rPr>
        <w:t>e</w:t>
      </w:r>
      <w:r w:rsidRPr="007D3DCA">
        <w:rPr>
          <w:sz w:val="22"/>
          <w:szCs w:val="18"/>
        </w:rPr>
        <w:t xml:space="preserve"> alinéa exclut l’employeur du débat sur les moyens choisis par le Tribunal pour y arriver.</w:t>
      </w:r>
    </w:p>
    <w:p w14:paraId="36DDDCF4" w14:textId="77777777" w:rsidR="007D3DCA" w:rsidRPr="007D3DCA" w:rsidRDefault="00C40124" w:rsidP="008E1AAE">
      <w:pPr>
        <w:pStyle w:val="Paragrdouble"/>
        <w:numPr>
          <w:ilvl w:val="0"/>
          <w:numId w:val="0"/>
        </w:numPr>
        <w:spacing w:line="240" w:lineRule="auto"/>
        <w:ind w:left="731" w:right="715"/>
        <w:rPr>
          <w:sz w:val="22"/>
          <w:szCs w:val="18"/>
        </w:rPr>
      </w:pPr>
      <w:r w:rsidRPr="007D3DCA">
        <w:rPr>
          <w:rFonts w:cs="Arial"/>
          <w:sz w:val="22"/>
          <w:szCs w:val="18"/>
        </w:rPr>
        <w:t xml:space="preserve">[37] </w:t>
      </w:r>
      <w:r w:rsidRPr="007D3DCA">
        <w:rPr>
          <w:sz w:val="22"/>
          <w:szCs w:val="18"/>
        </w:rPr>
        <w:t>Une abondante et constante jurisprudence conclut à l’absence d’intérêt d’un employeur à contester le processus de vérification du caractère représentatif.</w:t>
      </w:r>
      <w:r>
        <w:rPr>
          <w:rStyle w:val="Appelnotedebasdep"/>
          <w:sz w:val="22"/>
          <w:szCs w:val="18"/>
        </w:rPr>
        <w:footnoteReference w:id="21"/>
      </w:r>
      <w:r w:rsidRPr="007D3DCA">
        <w:rPr>
          <w:sz w:val="22"/>
          <w:szCs w:val="18"/>
        </w:rPr>
        <w:t> »</w:t>
      </w:r>
    </w:p>
    <w:p w14:paraId="78725C79" w14:textId="77777777" w:rsidR="007D3DCA" w:rsidRDefault="00C40124" w:rsidP="004B2BB0">
      <w:pPr>
        <w:pStyle w:val="Paragrdouble"/>
        <w:spacing w:line="276" w:lineRule="auto"/>
      </w:pPr>
      <w:r>
        <w:t>Le TAT cite</w:t>
      </w:r>
      <w:r w:rsidR="00345447">
        <w:t>,</w:t>
      </w:r>
      <w:r>
        <w:t xml:space="preserve"> en outre</w:t>
      </w:r>
      <w:r w:rsidR="00345447">
        <w:t>,</w:t>
      </w:r>
      <w:r>
        <w:t xml:space="preserve"> une décision de son propre tribunal à l’effet que</w:t>
      </w:r>
      <w:r w:rsidR="00154B5A">
        <w:t>,</w:t>
      </w:r>
      <w:r>
        <w:t xml:space="preserve"> puisque l’employeur n’a pas l’intérêt requis pour contester les modalités d’application d’une méthode donnée de vérification du caractère représentatif, il ne peut avoir l’intérêt </w:t>
      </w:r>
      <w:r w:rsidR="00A46385">
        <w:t>pour contester le choix du législateur d’adopter une certaine méthode de vérification</w:t>
      </w:r>
      <w:r>
        <w:rPr>
          <w:rStyle w:val="Appelnotedebasdep"/>
        </w:rPr>
        <w:footnoteReference w:id="22"/>
      </w:r>
      <w:r w:rsidR="00A46385">
        <w:t xml:space="preserve">. </w:t>
      </w:r>
      <w:r w:rsidR="002E1076">
        <w:br/>
      </w:r>
      <w:r w:rsidR="00A46385">
        <w:t>Il conclut donc à l’absence d’intérêt pour remettre en cause le choix du législateur sur la méthode permettant d’établir la détermination du caractère représentatif</w:t>
      </w:r>
      <w:r>
        <w:rPr>
          <w:rStyle w:val="Appelnotedebasdep"/>
        </w:rPr>
        <w:footnoteReference w:id="23"/>
      </w:r>
      <w:r w:rsidR="00A46385">
        <w:t>.</w:t>
      </w:r>
    </w:p>
    <w:p w14:paraId="56527402" w14:textId="77777777" w:rsidR="00517D54" w:rsidRDefault="00C40124" w:rsidP="004B2BB0">
      <w:pPr>
        <w:pStyle w:val="Paragrdouble"/>
        <w:spacing w:line="276" w:lineRule="auto"/>
      </w:pPr>
      <w:r>
        <w:t xml:space="preserve">Le TAT aurait certes pu ajouter que la justification de la mise à l’écart de l’employeur de la détermination du caractère représentatif du syndicat a été énoncée comme suit : </w:t>
      </w:r>
    </w:p>
    <w:p w14:paraId="343959DA" w14:textId="77777777" w:rsidR="00517D54" w:rsidRPr="00517D54" w:rsidRDefault="00C40124" w:rsidP="008E1AAE">
      <w:pPr>
        <w:pStyle w:val="Paragrdouble"/>
        <w:numPr>
          <w:ilvl w:val="0"/>
          <w:numId w:val="0"/>
        </w:numPr>
        <w:spacing w:line="240" w:lineRule="auto"/>
        <w:ind w:left="731" w:right="731"/>
        <w:rPr>
          <w:sz w:val="22"/>
          <w:szCs w:val="18"/>
        </w:rPr>
      </w:pPr>
      <w:r w:rsidRPr="00517D54">
        <w:rPr>
          <w:sz w:val="22"/>
          <w:szCs w:val="18"/>
        </w:rPr>
        <w:t>« En refusant à l’employeur le droit de participer au débat sur le caractère représentatif, le législateur visait à protéger les salariés pour qu’ils puissent exercer leur droit d’association à l’abri de toutes représailles. C’est pourquoi le législateur a décidé à l’article 36 que l’appartenance de toute personne à une association de salariés doit être tenue secrète. La participation de l’employeur à l’enquête sur le caractère représentatif lui aurait permis d’identifier des salariés ayant adhéré par l’examen des résolutions et procès-verbaux de l’association ou par les circonstances de leur adhésion. L’article 36 est une dispotiion d’ordre public dont la Commission doit assurer le respect et à laquelle seul le salarié peut renoncer. </w:t>
      </w:r>
      <w:r>
        <w:rPr>
          <w:rStyle w:val="Appelnotedebasdep"/>
          <w:sz w:val="22"/>
          <w:szCs w:val="18"/>
        </w:rPr>
        <w:footnoteReference w:id="24"/>
      </w:r>
      <w:r w:rsidRPr="00517D54">
        <w:rPr>
          <w:sz w:val="22"/>
          <w:szCs w:val="18"/>
        </w:rPr>
        <w:t xml:space="preserve">» </w:t>
      </w:r>
    </w:p>
    <w:p w14:paraId="1738D3F8" w14:textId="77777777" w:rsidR="00517D54" w:rsidRDefault="00C40124" w:rsidP="004E7455">
      <w:pPr>
        <w:pStyle w:val="Paragrdouble"/>
        <w:spacing w:line="276" w:lineRule="auto"/>
      </w:pPr>
      <w:r>
        <w:t xml:space="preserve">Comme le remarquent les auteurs Coutu et al., dans leur ouvrage intitulé </w:t>
      </w:r>
      <w:r w:rsidRPr="00517D54">
        <w:rPr>
          <w:i/>
          <w:iCs/>
        </w:rPr>
        <w:t>Droit des rapports collectifs du travail au Québe</w:t>
      </w:r>
      <w:r>
        <w:t>c</w:t>
      </w:r>
      <w:r>
        <w:rPr>
          <w:rStyle w:val="Appelnotedebasdep"/>
        </w:rPr>
        <w:footnoteReference w:id="25"/>
      </w:r>
      <w:r>
        <w:t>, ces principes n’ont pas été altérés par les nouveaux pouvoirs de la Commission et l’employeur ne peut donc pas « prendre un moyen détourné pour s’immiscer dans un débat dont le législateur l’a clairement exclu au quatrième alinéa de l’article 32</w:t>
      </w:r>
      <w:r>
        <w:rPr>
          <w:rStyle w:val="Appelnotedebasdep"/>
        </w:rPr>
        <w:footnoteReference w:id="26"/>
      </w:r>
      <w:r w:rsidR="00514A5F">
        <w:t> </w:t>
      </w:r>
      <w:r>
        <w:t>»</w:t>
      </w:r>
      <w:r w:rsidR="00D6593A">
        <w:t>.</w:t>
      </w:r>
      <w:r w:rsidR="009A1BEA">
        <w:t xml:space="preserve"> Dans un autre ouvrage intitulé </w:t>
      </w:r>
      <w:r w:rsidR="009A1BEA" w:rsidRPr="008E1AAE">
        <w:rPr>
          <w:i/>
          <w:iCs/>
        </w:rPr>
        <w:t>Droit administratif du travail</w:t>
      </w:r>
      <w:r w:rsidR="009A1BEA">
        <w:t>, Michel Coutu et Georges Marceau expliquent que « pour protéger le libre exercice du droit d’association des salariés, notre droit du travail considère que l’employeur ne constitue pas une partie intéressée à l’étape de la détermination du caractère représentatif d’un syndicat</w:t>
      </w:r>
      <w:r>
        <w:rPr>
          <w:rStyle w:val="Appelnotedebasdep"/>
        </w:rPr>
        <w:footnoteReference w:id="27"/>
      </w:r>
      <w:r w:rsidR="00CB2DA4">
        <w:t> </w:t>
      </w:r>
      <w:r w:rsidR="009A1BEA">
        <w:t>»</w:t>
      </w:r>
      <w:r w:rsidR="00C31239">
        <w:t>.</w:t>
      </w:r>
    </w:p>
    <w:p w14:paraId="7A28876A" w14:textId="77777777" w:rsidR="00A46385" w:rsidRDefault="00C40124" w:rsidP="004B2BB0">
      <w:pPr>
        <w:pStyle w:val="Paragrdouble"/>
        <w:spacing w:line="276" w:lineRule="auto"/>
      </w:pPr>
      <w:r>
        <w:t xml:space="preserve">L’interprétation </w:t>
      </w:r>
      <w:r w:rsidR="00517D54">
        <w:t xml:space="preserve">par le TAT </w:t>
      </w:r>
      <w:r>
        <w:t xml:space="preserve">de l’article 32 C.T. est au cœur de </w:t>
      </w:r>
      <w:r w:rsidR="00517D54">
        <w:t>s</w:t>
      </w:r>
      <w:r>
        <w:t xml:space="preserve">a compétence et paraît logique et raisonnable. </w:t>
      </w:r>
      <w:r w:rsidR="00B343D0">
        <w:t xml:space="preserve">C’est l’article 32, d’ailleurs, qui </w:t>
      </w:r>
      <w:r w:rsidR="00517D54">
        <w:t>procure</w:t>
      </w:r>
      <w:r w:rsidR="00B343D0">
        <w:t xml:space="preserve"> l’intérêt privé </w:t>
      </w:r>
      <w:r w:rsidR="00517D54">
        <w:t xml:space="preserve">d’agir </w:t>
      </w:r>
      <w:r w:rsidR="00B343D0">
        <w:t xml:space="preserve">en l’espèce. </w:t>
      </w:r>
    </w:p>
    <w:p w14:paraId="7FDFE1CB" w14:textId="77777777" w:rsidR="004B2BB0" w:rsidRDefault="00C40124" w:rsidP="00A46385">
      <w:pPr>
        <w:pStyle w:val="Paragrdouble"/>
        <w:spacing w:line="276" w:lineRule="auto"/>
      </w:pPr>
      <w:r>
        <w:t>Or</w:t>
      </w:r>
      <w:r w:rsidR="00A46385">
        <w:t>, puisque l</w:t>
      </w:r>
      <w:r w:rsidR="007D3DCA">
        <w:t>a Demanderesse</w:t>
      </w:r>
      <w:r>
        <w:t xml:space="preserve"> </w:t>
      </w:r>
      <w:r w:rsidR="00A46385">
        <w:t>recherche</w:t>
      </w:r>
      <w:r>
        <w:t xml:space="preserve"> une déclaration d’inconstitutionnalité générale d’une disposition législative</w:t>
      </w:r>
      <w:r w:rsidR="00A46385">
        <w:t>, et qu’u</w:t>
      </w:r>
      <w:r>
        <w:t>ne telle demande doit recevoir «</w:t>
      </w:r>
      <w:r w:rsidR="00255A37">
        <w:t> </w:t>
      </w:r>
      <w:r>
        <w:t>une ouverture large et libérale</w:t>
      </w:r>
      <w:r w:rsidR="00255A37">
        <w:t> </w:t>
      </w:r>
      <w:r>
        <w:t>»</w:t>
      </w:r>
      <w:r>
        <w:rPr>
          <w:rStyle w:val="Appelnotedebasdep"/>
        </w:rPr>
        <w:footnoteReference w:id="28"/>
      </w:r>
      <w:r w:rsidR="00A46385">
        <w:t>, il faut nécessairement envisager également sa qualité d’agir dans</w:t>
      </w:r>
      <w:r>
        <w:t xml:space="preserve"> l’intérêt public</w:t>
      </w:r>
      <w:r>
        <w:rPr>
          <w:rStyle w:val="Appelnotedebasdep"/>
        </w:rPr>
        <w:footnoteReference w:id="29"/>
      </w:r>
      <w:r>
        <w:t xml:space="preserve">. </w:t>
      </w:r>
    </w:p>
    <w:p w14:paraId="4AE6255A" w14:textId="77777777" w:rsidR="00A46385" w:rsidRDefault="00C40124" w:rsidP="00A46385">
      <w:pPr>
        <w:pStyle w:val="Paragrdouble"/>
        <w:spacing w:line="276" w:lineRule="auto"/>
      </w:pPr>
      <w:r>
        <w:t>C’est bien ce que fait le TAT</w:t>
      </w:r>
      <w:r w:rsidR="00B343D0">
        <w:t xml:space="preserve"> (contrairement aux prétentions de la Demanderesse)</w:t>
      </w:r>
      <w:r>
        <w:t xml:space="preserve">, </w:t>
      </w:r>
      <w:r w:rsidR="00894C88">
        <w:t xml:space="preserve">même s’il </w:t>
      </w:r>
      <w:r w:rsidR="00105870">
        <w:t xml:space="preserve">indique </w:t>
      </w:r>
      <w:r w:rsidR="00894C88">
        <w:t>d’abord que la question est « scellée », puisqu’il s’applique ensuite à</w:t>
      </w:r>
      <w:r>
        <w:t xml:space="preserve"> </w:t>
      </w:r>
      <w:r w:rsidR="00894C88">
        <w:t>reprendre</w:t>
      </w:r>
      <w:r>
        <w:t xml:space="preserve"> les principes et critères de l’arrêt </w:t>
      </w:r>
      <w:r w:rsidRPr="00A46385">
        <w:rPr>
          <w:i/>
          <w:iCs/>
        </w:rPr>
        <w:t xml:space="preserve">Downtown Eastside </w:t>
      </w:r>
      <w:r>
        <w:t xml:space="preserve">pour déterminer </w:t>
      </w:r>
      <w:r w:rsidR="00345447">
        <w:t xml:space="preserve">si </w:t>
      </w:r>
      <w:r>
        <w:t xml:space="preserve">la Demanderesse soulève </w:t>
      </w:r>
      <w:r w:rsidR="00345447">
        <w:t>effectivement</w:t>
      </w:r>
      <w:r>
        <w:t xml:space="preserve"> une question d’intérêt public, comme elle le prétend</w:t>
      </w:r>
      <w:r>
        <w:rPr>
          <w:rStyle w:val="Appelnotedebasdep"/>
        </w:rPr>
        <w:footnoteReference w:id="30"/>
      </w:r>
      <w:r>
        <w:t>.</w:t>
      </w:r>
    </w:p>
    <w:p w14:paraId="7A33CA3B" w14:textId="77777777" w:rsidR="004B2BB0" w:rsidRDefault="00C40124" w:rsidP="004B2BB0">
      <w:pPr>
        <w:pStyle w:val="Paragrdouble"/>
        <w:spacing w:line="276" w:lineRule="auto"/>
      </w:pPr>
      <w:r>
        <w:t>La qualité pour agir dans l’intérêt public relève du pouvoir discrétionnaire du tribunal qui doit soupeser de manière cumulative les trois facteurs suivants</w:t>
      </w:r>
      <w:r>
        <w:rPr>
          <w:rStyle w:val="Appelnotedebasdep"/>
        </w:rPr>
        <w:footnoteReference w:id="31"/>
      </w:r>
      <w:r>
        <w:t xml:space="preserve"> :</w:t>
      </w:r>
    </w:p>
    <w:p w14:paraId="2FE21FC9" w14:textId="77777777" w:rsidR="004B2BB0" w:rsidRDefault="00C40124" w:rsidP="00345447">
      <w:pPr>
        <w:pStyle w:val="Paragrdouble"/>
        <w:numPr>
          <w:ilvl w:val="0"/>
          <w:numId w:val="42"/>
        </w:numPr>
        <w:spacing w:line="276" w:lineRule="auto"/>
      </w:pPr>
      <w:r>
        <w:t>l’affaire soulève-t-elle une question sérieuse et justiciable?</w:t>
      </w:r>
    </w:p>
    <w:p w14:paraId="10EA40A8" w14:textId="77777777" w:rsidR="004B2BB0" w:rsidRDefault="00C40124" w:rsidP="00345447">
      <w:pPr>
        <w:pStyle w:val="Paragrdouble"/>
        <w:numPr>
          <w:ilvl w:val="0"/>
          <w:numId w:val="42"/>
        </w:numPr>
        <w:spacing w:line="276" w:lineRule="auto"/>
      </w:pPr>
      <w:r>
        <w:t>la partie qui intente le recours a-t-elle un intérêt véritable dans l’affaire?</w:t>
      </w:r>
    </w:p>
    <w:p w14:paraId="05BF3052" w14:textId="77777777" w:rsidR="004B2BB0" w:rsidRDefault="00C40124" w:rsidP="00345447">
      <w:pPr>
        <w:pStyle w:val="Paragrdouble"/>
        <w:numPr>
          <w:ilvl w:val="0"/>
          <w:numId w:val="42"/>
        </w:numPr>
        <w:spacing w:line="276" w:lineRule="auto"/>
      </w:pPr>
      <w:r>
        <w:t>la poursuite constitue-t-elle une manière raisonnable et efficace de soumettre la cause à la cour?</w:t>
      </w:r>
    </w:p>
    <w:p w14:paraId="12AD719D" w14:textId="77777777" w:rsidR="00894C88" w:rsidRDefault="00C40124" w:rsidP="00AF567F">
      <w:pPr>
        <w:pStyle w:val="Paragrdouble"/>
        <w:spacing w:line="276" w:lineRule="auto"/>
      </w:pPr>
      <w:r>
        <w:t xml:space="preserve">Le TAT analyse attentivement chacun de </w:t>
      </w:r>
      <w:r w:rsidR="00345447">
        <w:t>c</w:t>
      </w:r>
      <w:r>
        <w:t xml:space="preserve">es critères avant de conclure qu’aucun d’entre eux n’est rempli. </w:t>
      </w:r>
    </w:p>
    <w:p w14:paraId="22EC53E0" w14:textId="77777777" w:rsidR="00345447" w:rsidRDefault="00C40124" w:rsidP="00894C88">
      <w:pPr>
        <w:pStyle w:val="Paragrdouble"/>
        <w:spacing w:line="276" w:lineRule="auto"/>
      </w:pPr>
      <w:r>
        <w:t>Pour ce qui est du premier critère, le TAT explique qu’</w:t>
      </w:r>
      <w:r w:rsidR="00B343D0">
        <w:t>il</w:t>
      </w:r>
      <w:r w:rsidR="005D5A39">
        <w:t xml:space="preserve"> a déjà </w:t>
      </w:r>
      <w:r>
        <w:t>statué</w:t>
      </w:r>
      <w:r w:rsidR="005D5A39">
        <w:t xml:space="preserve"> dans une autre décision que lorsqu’un employeur souhait</w:t>
      </w:r>
      <w:r>
        <w:t>e</w:t>
      </w:r>
      <w:r w:rsidR="005D5A39">
        <w:t xml:space="preserve"> traiter de questions constitutionnelles liées au processus d’accréditation prévu au </w:t>
      </w:r>
      <w:r w:rsidR="005D5A39" w:rsidRPr="008E1AAE">
        <w:t>Code</w:t>
      </w:r>
      <w:r w:rsidR="005D5A39">
        <w:t>, il plaide pour autrui et aussi, pour une partie avec laquelle la loi le met en opposition</w:t>
      </w:r>
      <w:r>
        <w:rPr>
          <w:rStyle w:val="Appelnotedebasdep"/>
        </w:rPr>
        <w:footnoteReference w:id="32"/>
      </w:r>
      <w:r w:rsidR="005D5A39">
        <w:t xml:space="preserve">. </w:t>
      </w:r>
      <w:r>
        <w:t>Il ajoute</w:t>
      </w:r>
      <w:r w:rsidR="00B343D0">
        <w:t xml:space="preserve"> que</w:t>
      </w:r>
      <w:r w:rsidR="00A9798B">
        <w:t>,</w:t>
      </w:r>
      <w:r w:rsidR="00B343D0">
        <w:t xml:space="preserve"> parce que la question a déjà été tranchée, il n’existe pas de « question justiciable sérieuse » au sens du premier critère de l’arrêt </w:t>
      </w:r>
      <w:r w:rsidR="00B343D0" w:rsidRPr="00894C88">
        <w:rPr>
          <w:i/>
          <w:iCs/>
        </w:rPr>
        <w:t>Downtown Eastside</w:t>
      </w:r>
      <w:r w:rsidR="00B343D0">
        <w:t xml:space="preserve">. </w:t>
      </w:r>
    </w:p>
    <w:p w14:paraId="5F5A88EC" w14:textId="77777777" w:rsidR="00894C88" w:rsidRDefault="00C40124" w:rsidP="00894C88">
      <w:pPr>
        <w:pStyle w:val="Paragrdouble"/>
        <w:spacing w:line="276" w:lineRule="auto"/>
      </w:pPr>
      <w:r>
        <w:t>Je suis plutôt d’avis contraire</w:t>
      </w:r>
      <w:r w:rsidR="003C7160">
        <w:t>.</w:t>
      </w:r>
      <w:r w:rsidR="00846417" w:rsidRPr="008E1AAE">
        <w:t> </w:t>
      </w:r>
      <w:r w:rsidR="0001601B" w:rsidRPr="008E1AAE">
        <w:t xml:space="preserve"> </w:t>
      </w:r>
      <w:r w:rsidR="003C7160" w:rsidRPr="008E1AAE">
        <w:t>L</w:t>
      </w:r>
      <w:r w:rsidRPr="008E1AAE">
        <w:t>e fait</w:t>
      </w:r>
      <w:r w:rsidRPr="0001601B">
        <w:t xml:space="preserve"> d’invoquer</w:t>
      </w:r>
      <w:r>
        <w:t xml:space="preserve"> la constitutionnalité du processus d’accréditation, et précisément, la violation du droit de ses salariés à la liberté d’association par la privation de choisir leurs représentants </w:t>
      </w:r>
      <w:r w:rsidR="0090455B">
        <w:t>à la suite d’un</w:t>
      </w:r>
      <w:r>
        <w:t xml:space="preserve"> vote au scrutin secret, </w:t>
      </w:r>
      <w:r w:rsidR="00105870">
        <w:t xml:space="preserve">me semble être </w:t>
      </w:r>
      <w:r>
        <w:t>une question justiciable sérieuse.</w:t>
      </w:r>
    </w:p>
    <w:p w14:paraId="2F43A9B1" w14:textId="77777777" w:rsidR="00894C88" w:rsidRDefault="00C40124" w:rsidP="00894C88">
      <w:pPr>
        <w:pStyle w:val="Paragrdouble"/>
        <w:spacing w:line="276" w:lineRule="auto"/>
      </w:pPr>
      <w:r>
        <w:t>Deuxièmement, le TAT examine l’intérêt véritable de la Demanderesse.</w:t>
      </w:r>
    </w:p>
    <w:p w14:paraId="51D1AA9D" w14:textId="77777777" w:rsidR="00894C88" w:rsidRDefault="00C40124" w:rsidP="00894C88">
      <w:pPr>
        <w:pStyle w:val="Paragrdouble"/>
        <w:spacing w:line="276" w:lineRule="auto"/>
      </w:pPr>
      <w:r>
        <w:t>En outre, il note que dans le régime de rapports collectifs, les intérêts de l’employeur sont souvent opposés à ceux des salariés</w:t>
      </w:r>
      <w:r>
        <w:rPr>
          <w:rStyle w:val="Appelnotedebasdep"/>
        </w:rPr>
        <w:footnoteReference w:id="33"/>
      </w:r>
      <w:r>
        <w:t xml:space="preserve"> et que la jurisprudence a statué de manière constante que l’employeur n’avait pas l’intérêt requis pour plaider la liberté d’association des salariés</w:t>
      </w:r>
      <w:r>
        <w:rPr>
          <w:rStyle w:val="Appelnotedebasdep"/>
        </w:rPr>
        <w:footnoteReference w:id="34"/>
      </w:r>
      <w:r>
        <w:t>. Il ajoute que ce sont les salariés qui possèdent la qualité requise pour porter le débat devant les tribunaux</w:t>
      </w:r>
      <w:r>
        <w:rPr>
          <w:rStyle w:val="Appelnotedebasdep"/>
        </w:rPr>
        <w:footnoteReference w:id="35"/>
      </w:r>
      <w:r>
        <w:t>.</w:t>
      </w:r>
    </w:p>
    <w:p w14:paraId="738B3587" w14:textId="77777777" w:rsidR="00345447" w:rsidRDefault="00C40124" w:rsidP="00345447">
      <w:pPr>
        <w:pStyle w:val="Paragrdouble"/>
        <w:spacing w:line="276" w:lineRule="auto"/>
      </w:pPr>
      <w:r>
        <w:t>Or, l</w:t>
      </w:r>
      <w:r w:rsidR="00B343D0">
        <w:t>a</w:t>
      </w:r>
      <w:r>
        <w:t xml:space="preserve"> Cour d’appel</w:t>
      </w:r>
      <w:r w:rsidR="00462B54">
        <w:t>,</w:t>
      </w:r>
      <w:r>
        <w:t xml:space="preserve"> dans l’arrêt </w:t>
      </w:r>
      <w:r w:rsidRPr="00345447">
        <w:rPr>
          <w:i/>
          <w:iCs/>
        </w:rPr>
        <w:t>Compagnie Wal-Mart du Canada c. Travailleuses et travailleurs unis de l’alimentation et du commerce, section locale 486</w:t>
      </w:r>
      <w:r w:rsidR="00E52D7A">
        <w:rPr>
          <w:i/>
          <w:iCs/>
        </w:rPr>
        <w:t>,</w:t>
      </w:r>
      <w:r>
        <w:rPr>
          <w:rStyle w:val="Appelnotedebasdep"/>
        </w:rPr>
        <w:footnoteReference w:id="36"/>
      </w:r>
      <w:r>
        <w:rPr>
          <w:i/>
          <w:iCs/>
        </w:rPr>
        <w:t xml:space="preserve"> </w:t>
      </w:r>
      <w:r w:rsidRPr="00894C88">
        <w:t xml:space="preserve">a </w:t>
      </w:r>
      <w:r>
        <w:t xml:space="preserve">confirmé que l’article 32 </w:t>
      </w:r>
      <w:r w:rsidR="00987DB4">
        <w:t>du Code</w:t>
      </w:r>
      <w:r>
        <w:t xml:space="preserve"> implique que seule la question de la composition de l’unité de négociation « génère des droits » pour l’employeur, une « partie intéressée », mais que </w:t>
      </w:r>
    </w:p>
    <w:p w14:paraId="3E917CD8" w14:textId="77777777" w:rsidR="00345447" w:rsidRPr="00345447" w:rsidRDefault="00C40124" w:rsidP="008E1AAE">
      <w:pPr>
        <w:pStyle w:val="Paragrdouble"/>
        <w:numPr>
          <w:ilvl w:val="0"/>
          <w:numId w:val="0"/>
        </w:numPr>
        <w:spacing w:line="240" w:lineRule="auto"/>
        <w:ind w:left="731" w:right="731"/>
        <w:rPr>
          <w:sz w:val="22"/>
          <w:szCs w:val="18"/>
        </w:rPr>
      </w:pPr>
      <w:r w:rsidRPr="00345447">
        <w:rPr>
          <w:sz w:val="22"/>
          <w:szCs w:val="18"/>
        </w:rPr>
        <w:t>« </w:t>
      </w:r>
      <w:r w:rsidR="00B343D0">
        <w:rPr>
          <w:rFonts w:cs="Arial"/>
          <w:sz w:val="22"/>
          <w:szCs w:val="18"/>
        </w:rPr>
        <w:t>[p]</w:t>
      </w:r>
      <w:r w:rsidRPr="00345447">
        <w:rPr>
          <w:sz w:val="22"/>
          <w:szCs w:val="18"/>
        </w:rPr>
        <w:t>our ce qui est des modalités de vote au scrutin secret, la décision ne peut être considérée comme étant génératrice de droits pour l’employeur qui est expressément exclu du processus menant à la détermination du caractère représentatif ou non de l’association. L’article 32 est sans équivoque…</w:t>
      </w:r>
      <w:r>
        <w:rPr>
          <w:rStyle w:val="Appelnotedebasdep"/>
          <w:sz w:val="22"/>
          <w:szCs w:val="18"/>
        </w:rPr>
        <w:footnoteReference w:id="37"/>
      </w:r>
      <w:r w:rsidRPr="00345447">
        <w:rPr>
          <w:sz w:val="22"/>
          <w:szCs w:val="18"/>
        </w:rPr>
        <w:t> »</w:t>
      </w:r>
    </w:p>
    <w:p w14:paraId="6E6F4D99" w14:textId="77777777" w:rsidR="00345447" w:rsidRDefault="00C40124" w:rsidP="00AF567F">
      <w:pPr>
        <w:pStyle w:val="Paragrdouble"/>
        <w:spacing w:line="276" w:lineRule="auto"/>
      </w:pPr>
      <w:r>
        <w:t xml:space="preserve">En fait, il faut retenir que l’accréditation n’est pas un processus de nature contentieuse, mais </w:t>
      </w:r>
      <w:r w:rsidR="003F2335">
        <w:t xml:space="preserve">plutôt, de nature </w:t>
      </w:r>
      <w:r>
        <w:t xml:space="preserve">administrative, </w:t>
      </w:r>
      <w:r w:rsidR="003F2335">
        <w:t>qui</w:t>
      </w:r>
      <w:r>
        <w:t xml:space="preserve"> ne concerne pas directement l’employeur</w:t>
      </w:r>
      <w:r>
        <w:rPr>
          <w:rStyle w:val="Appelnotedebasdep"/>
        </w:rPr>
        <w:footnoteReference w:id="38"/>
      </w:r>
      <w:r>
        <w:t xml:space="preserve">. </w:t>
      </w:r>
      <w:r w:rsidR="00B343D0">
        <w:t xml:space="preserve">Cela suffit pour conclure que l’analyse du TAT sur le deuxième critère de l’arrêt </w:t>
      </w:r>
      <w:r w:rsidR="00B343D0" w:rsidRPr="00B343D0">
        <w:rPr>
          <w:i/>
          <w:iCs/>
        </w:rPr>
        <w:t>Downtown East</w:t>
      </w:r>
      <w:r w:rsidR="00B343D0">
        <w:rPr>
          <w:i/>
          <w:iCs/>
        </w:rPr>
        <w:t>s</w:t>
      </w:r>
      <w:r w:rsidR="00B343D0" w:rsidRPr="00B343D0">
        <w:rPr>
          <w:i/>
          <w:iCs/>
        </w:rPr>
        <w:t>ide</w:t>
      </w:r>
      <w:r w:rsidR="00B343D0">
        <w:t xml:space="preserve"> n’est pas erroné</w:t>
      </w:r>
      <w:r w:rsidR="00894C88">
        <w:t>e</w:t>
      </w:r>
      <w:r w:rsidR="00B343D0">
        <w:t>.</w:t>
      </w:r>
    </w:p>
    <w:p w14:paraId="3F00CC56" w14:textId="77777777" w:rsidR="00B343D0" w:rsidRDefault="00C40124" w:rsidP="00894C88">
      <w:pPr>
        <w:pStyle w:val="Paragrdouble"/>
        <w:spacing w:line="276" w:lineRule="auto"/>
      </w:pPr>
      <w:r>
        <w:t xml:space="preserve">Troisièmement, pour ce qui est de l’analyse du troisième critère par le TAT, il est vrai qu’aucun salarié ne s’est manifesté pour indiquer s’être senti brimé dans son droit d’association. Ainsi, dans la mesure où </w:t>
      </w:r>
      <w:r w:rsidRPr="00A1649D">
        <w:t xml:space="preserve">les salariés </w:t>
      </w:r>
      <w:r>
        <w:t>– réels</w:t>
      </w:r>
      <w:r w:rsidRPr="00A1649D">
        <w:t xml:space="preserve"> bénéficiaires du droit fondamental à la liberté d’association </w:t>
      </w:r>
      <w:r>
        <w:t xml:space="preserve">– </w:t>
      </w:r>
      <w:r w:rsidRPr="00A1649D">
        <w:t xml:space="preserve">ne contestent pas </w:t>
      </w:r>
      <w:r>
        <w:t xml:space="preserve">eux-mêmes </w:t>
      </w:r>
      <w:r w:rsidRPr="00A1649D">
        <w:t xml:space="preserve">le mécanisme d’accréditation prévu à l’article 28 </w:t>
      </w:r>
      <w:r w:rsidR="00B2110E">
        <w:t>du Code</w:t>
      </w:r>
      <w:r>
        <w:t xml:space="preserve"> </w:t>
      </w:r>
      <w:r w:rsidRPr="00A1649D">
        <w:t>visant à leur permettre d’exercer ce droit, l’employeur ne devrait pas être autorisé, au nom du droit des salariés, à contester le mécanisme en leur absence.</w:t>
      </w:r>
      <w:r>
        <w:t xml:space="preserve"> L’analyse du TAT du troisième critère est donc raisonnable.</w:t>
      </w:r>
    </w:p>
    <w:p w14:paraId="1CABCC7F" w14:textId="77777777" w:rsidR="00B343D0" w:rsidRDefault="00C40124" w:rsidP="00B343D0">
      <w:pPr>
        <w:pStyle w:val="Paragrdouble"/>
        <w:spacing w:line="276" w:lineRule="auto"/>
      </w:pPr>
      <w:r>
        <w:t xml:space="preserve">En fin de compte, même si l’on retenait, comme l’énonce la Cour d’appel dans l’arrêt </w:t>
      </w:r>
      <w:r w:rsidRPr="009B45E7">
        <w:rPr>
          <w:i/>
          <w:iCs/>
        </w:rPr>
        <w:t>Fédération des</w:t>
      </w:r>
      <w:r>
        <w:rPr>
          <w:i/>
          <w:iCs/>
        </w:rPr>
        <w:t xml:space="preserve"> médecins</w:t>
      </w:r>
      <w:r w:rsidRPr="009B45E7">
        <w:rPr>
          <w:i/>
          <w:iCs/>
        </w:rPr>
        <w:t xml:space="preserve"> spécialistes</w:t>
      </w:r>
      <w:r>
        <w:rPr>
          <w:rStyle w:val="Appelnotedebasdep"/>
        </w:rPr>
        <w:footnoteReference w:id="39"/>
      </w:r>
      <w:r>
        <w:t xml:space="preserve">, que le défaut d’intérêt doit être « manifeste » quand il est invoqué au stade préliminaire, comme le soumet la Demanderesse, on conclurait que l’absence d’intérêt est bel et bien apparente et la Décision </w:t>
      </w:r>
      <w:r w:rsidR="00517D54">
        <w:t xml:space="preserve">du TAT </w:t>
      </w:r>
      <w:r>
        <w:t>raisonnable à cet égard.</w:t>
      </w:r>
    </w:p>
    <w:p w14:paraId="05D0E208" w14:textId="77777777" w:rsidR="00067A19" w:rsidRPr="00067A19" w:rsidRDefault="00C40124" w:rsidP="00A1649D">
      <w:pPr>
        <w:pStyle w:val="Paragrdouble"/>
        <w:spacing w:line="276" w:lineRule="auto"/>
      </w:pPr>
      <w:r>
        <w:t xml:space="preserve">Pour </w:t>
      </w:r>
      <w:r w:rsidR="00345447">
        <w:t xml:space="preserve">tous </w:t>
      </w:r>
      <w:r>
        <w:t>ces motifs, c</w:t>
      </w:r>
      <w:r w:rsidR="00D7108C">
        <w:t xml:space="preserve">ette </w:t>
      </w:r>
      <w:r w:rsidR="00894C88">
        <w:t xml:space="preserve">première </w:t>
      </w:r>
      <w:r w:rsidR="00D7108C">
        <w:t>portion de la</w:t>
      </w:r>
      <w:r w:rsidR="0091055E">
        <w:t xml:space="preserve"> Décision en cause </w:t>
      </w:r>
      <w:r w:rsidR="00894C88">
        <w:t xml:space="preserve">concernant la qualité d’agir de la Demanderesse sur la question de l’inconstitutionnalité </w:t>
      </w:r>
      <w:r w:rsidR="0091055E">
        <w:t>est raisonnable.</w:t>
      </w:r>
    </w:p>
    <w:p w14:paraId="397C01BB" w14:textId="77777777" w:rsidR="00772542" w:rsidRPr="008007B6" w:rsidRDefault="00C40124" w:rsidP="008E1AAE">
      <w:pPr>
        <w:pStyle w:val="Titre2"/>
        <w:ind w:left="709" w:hanging="425"/>
        <w:jc w:val="both"/>
      </w:pPr>
      <w:bookmarkStart w:id="21" w:name="_Toc256000006"/>
      <w:bookmarkStart w:id="22" w:name="_Toc243051035"/>
      <w:r>
        <w:t xml:space="preserve">la décision du tat sur l’absence de qualité d’agir d’amazon dans sa demande de révocation de la décision d’accréditation </w:t>
      </w:r>
      <w:r w:rsidRPr="008007B6">
        <w:t xml:space="preserve">est </w:t>
      </w:r>
      <w:r w:rsidR="00A1649D" w:rsidRPr="008007B6">
        <w:t>RAISONNABLE</w:t>
      </w:r>
      <w:bookmarkEnd w:id="21"/>
      <w:bookmarkEnd w:id="22"/>
    </w:p>
    <w:p w14:paraId="655B3EF2" w14:textId="77777777" w:rsidR="008007B6" w:rsidRDefault="00C40124" w:rsidP="00D101F8">
      <w:pPr>
        <w:numPr>
          <w:ilvl w:val="0"/>
          <w:numId w:val="1"/>
        </w:numPr>
        <w:tabs>
          <w:tab w:val="clear" w:pos="360"/>
        </w:tabs>
        <w:spacing w:before="120" w:after="120" w:line="276" w:lineRule="auto"/>
        <w:jc w:val="both"/>
        <w:rPr>
          <w:kern w:val="28"/>
        </w:rPr>
      </w:pPr>
      <w:r>
        <w:rPr>
          <w:kern w:val="28"/>
        </w:rPr>
        <w:t xml:space="preserve">La Demanderesse a demandé la révocation de la Décision accréditant le Syndicat au motif que celle-ci serait entachée d’un vice de forme de nature à l’invalider, alléguant que l’Agente n’aurait pas </w:t>
      </w:r>
      <w:r w:rsidR="003F2335">
        <w:rPr>
          <w:kern w:val="28"/>
        </w:rPr>
        <w:t xml:space="preserve">effectué </w:t>
      </w:r>
      <w:r>
        <w:rPr>
          <w:kern w:val="28"/>
        </w:rPr>
        <w:t>les vérifications lui permettant d’attester du respect du Chapitre II du Code. Les motifs invoqués ne portent pas sur le caractère représentatif ou sur la façon dont l’Agente a effectué ses vérifications, mais plutôt, sur l’absence totale d’enquête.</w:t>
      </w:r>
    </w:p>
    <w:p w14:paraId="788AA5D9" w14:textId="77777777" w:rsidR="00D101F8" w:rsidRDefault="00C40124" w:rsidP="00D101F8">
      <w:pPr>
        <w:numPr>
          <w:ilvl w:val="0"/>
          <w:numId w:val="1"/>
        </w:numPr>
        <w:tabs>
          <w:tab w:val="clear" w:pos="360"/>
        </w:tabs>
        <w:spacing w:before="120" w:after="120" w:line="276" w:lineRule="auto"/>
        <w:jc w:val="both"/>
        <w:rPr>
          <w:kern w:val="28"/>
        </w:rPr>
      </w:pPr>
      <w:r>
        <w:rPr>
          <w:kern w:val="28"/>
        </w:rPr>
        <w:t xml:space="preserve">La Demanderesse soumet que refuser à l’employeur la possibilité de demander si l’obligation légale de vérification a été respectée par l’Agente revient à soustraire l’exercice de cette fonction à tout contrôle, alors même que l’accréditation modifie directement et substantiellement ses droits, </w:t>
      </w:r>
      <w:r w:rsidR="00E222D3">
        <w:rPr>
          <w:kern w:val="28"/>
        </w:rPr>
        <w:t xml:space="preserve">ses </w:t>
      </w:r>
      <w:r>
        <w:rPr>
          <w:kern w:val="28"/>
        </w:rPr>
        <w:t xml:space="preserve">obligations et </w:t>
      </w:r>
      <w:r w:rsidR="00E222D3">
        <w:rPr>
          <w:kern w:val="28"/>
        </w:rPr>
        <w:t xml:space="preserve">son </w:t>
      </w:r>
      <w:r>
        <w:rPr>
          <w:kern w:val="28"/>
        </w:rPr>
        <w:t xml:space="preserve">régime de relations de travail. Elle insiste </w:t>
      </w:r>
      <w:r w:rsidR="00C564C6">
        <w:rPr>
          <w:kern w:val="28"/>
        </w:rPr>
        <w:t xml:space="preserve">sur le fait </w:t>
      </w:r>
      <w:r>
        <w:rPr>
          <w:kern w:val="28"/>
        </w:rPr>
        <w:t xml:space="preserve">qu’elle ne revendique </w:t>
      </w:r>
      <w:r w:rsidR="005D663D">
        <w:rPr>
          <w:kern w:val="28"/>
        </w:rPr>
        <w:t xml:space="preserve">ni </w:t>
      </w:r>
      <w:r>
        <w:rPr>
          <w:kern w:val="28"/>
        </w:rPr>
        <w:t xml:space="preserve">le droit de refaire l’enquête </w:t>
      </w:r>
      <w:r w:rsidR="00E70895">
        <w:rPr>
          <w:kern w:val="28"/>
        </w:rPr>
        <w:t>ni celui de</w:t>
      </w:r>
      <w:r>
        <w:rPr>
          <w:kern w:val="28"/>
        </w:rPr>
        <w:t xml:space="preserve"> contester les choix individuels des salariés; </w:t>
      </w:r>
      <w:r w:rsidR="00E70895">
        <w:rPr>
          <w:kern w:val="28"/>
        </w:rPr>
        <w:t xml:space="preserve">elle demande </w:t>
      </w:r>
      <w:r>
        <w:rPr>
          <w:kern w:val="28"/>
        </w:rPr>
        <w:t>plutôt de pouvoir faire vérifier si l’acteur chargé par la loi de garantir l’intégrité du processus a effectivement exercé sa fonction.</w:t>
      </w:r>
    </w:p>
    <w:p w14:paraId="7A097129" w14:textId="77777777" w:rsidR="00517D54" w:rsidRPr="008007B6" w:rsidRDefault="00C40124" w:rsidP="00D101F8">
      <w:pPr>
        <w:numPr>
          <w:ilvl w:val="0"/>
          <w:numId w:val="1"/>
        </w:numPr>
        <w:tabs>
          <w:tab w:val="clear" w:pos="360"/>
        </w:tabs>
        <w:spacing w:before="120" w:after="120" w:line="276" w:lineRule="auto"/>
        <w:jc w:val="both"/>
        <w:rPr>
          <w:kern w:val="28"/>
        </w:rPr>
      </w:pPr>
      <w:r w:rsidRPr="008007B6">
        <w:rPr>
          <w:kern w:val="28"/>
        </w:rPr>
        <w:t>Encore ici, il n’y a pas lieu de retenir ces arguments.</w:t>
      </w:r>
    </w:p>
    <w:p w14:paraId="5747317F" w14:textId="77777777" w:rsidR="00772542" w:rsidRDefault="00C40124" w:rsidP="00982D68">
      <w:pPr>
        <w:numPr>
          <w:ilvl w:val="0"/>
          <w:numId w:val="1"/>
        </w:numPr>
        <w:tabs>
          <w:tab w:val="clear" w:pos="360"/>
        </w:tabs>
        <w:spacing w:before="120" w:after="120" w:line="276" w:lineRule="auto"/>
        <w:jc w:val="both"/>
        <w:rPr>
          <w:kern w:val="28"/>
        </w:rPr>
      </w:pPr>
      <w:r>
        <w:rPr>
          <w:kern w:val="28"/>
        </w:rPr>
        <w:t>Dans sa Décision, l</w:t>
      </w:r>
      <w:r w:rsidR="00982D68">
        <w:rPr>
          <w:kern w:val="28"/>
        </w:rPr>
        <w:t>e TAT souligne d’entrée de jeu que la Demanderesse invoque l’absence totale d’enquête de la part de l’Agente d’accréditation</w:t>
      </w:r>
      <w:r>
        <w:rPr>
          <w:rStyle w:val="Appelnotedebasdep"/>
          <w:kern w:val="28"/>
        </w:rPr>
        <w:footnoteReference w:id="40"/>
      </w:r>
      <w:r w:rsidR="00982D68">
        <w:rPr>
          <w:kern w:val="28"/>
        </w:rPr>
        <w:t>. Il considère que les motifs avancés pour tenter d’annuler la décision d’accréditation reposent sur de simples soupçons, suppositions ou ouï-dire. Il rappelle que l’Agente possédait une grande latitude pour décider du caractère représentatif, « par tout moyen d’enquête » jugé opportun</w:t>
      </w:r>
      <w:r>
        <w:rPr>
          <w:rStyle w:val="Appelnotedebasdep"/>
          <w:kern w:val="28"/>
        </w:rPr>
        <w:footnoteReference w:id="41"/>
      </w:r>
      <w:r w:rsidR="00982D68">
        <w:rPr>
          <w:kern w:val="28"/>
        </w:rPr>
        <w:t>.</w:t>
      </w:r>
    </w:p>
    <w:p w14:paraId="6142BBDD" w14:textId="77777777" w:rsidR="00982D68" w:rsidRDefault="00C40124" w:rsidP="00982D68">
      <w:pPr>
        <w:numPr>
          <w:ilvl w:val="0"/>
          <w:numId w:val="1"/>
        </w:numPr>
        <w:tabs>
          <w:tab w:val="clear" w:pos="360"/>
        </w:tabs>
        <w:spacing w:before="120" w:after="120" w:line="276" w:lineRule="auto"/>
        <w:jc w:val="both"/>
        <w:rPr>
          <w:kern w:val="28"/>
        </w:rPr>
      </w:pPr>
      <w:r>
        <w:rPr>
          <w:kern w:val="28"/>
        </w:rPr>
        <w:t xml:space="preserve">Le TAT </w:t>
      </w:r>
      <w:r w:rsidR="000B3E0C" w:rsidRPr="000B3E0C">
        <w:rPr>
          <w:kern w:val="28"/>
        </w:rPr>
        <w:t xml:space="preserve">formule le raisonnement selon lequel </w:t>
      </w:r>
      <w:r>
        <w:rPr>
          <w:kern w:val="28"/>
        </w:rPr>
        <w:t xml:space="preserve">le fait que la Demanderesse soit partie à l’accréditation ne lui confère pas l’intérêt pour s’immiscer dans les vérifications sur le caractère représentatif de l’Agente de relations de travail; l’article 32 </w:t>
      </w:r>
      <w:r w:rsidR="000B3E0C">
        <w:rPr>
          <w:kern w:val="28"/>
        </w:rPr>
        <w:t>du Code</w:t>
      </w:r>
      <w:r>
        <w:rPr>
          <w:kern w:val="28"/>
        </w:rPr>
        <w:t xml:space="preserve"> étant clair à cet égard</w:t>
      </w:r>
      <w:r>
        <w:rPr>
          <w:rStyle w:val="Appelnotedebasdep"/>
          <w:kern w:val="28"/>
        </w:rPr>
        <w:footnoteReference w:id="42"/>
      </w:r>
      <w:r>
        <w:rPr>
          <w:kern w:val="28"/>
        </w:rPr>
        <w:t xml:space="preserve">. Il conclut donc, en citant l’arrêt </w:t>
      </w:r>
      <w:r w:rsidRPr="00982D68">
        <w:rPr>
          <w:i/>
          <w:iCs/>
          <w:kern w:val="28"/>
        </w:rPr>
        <w:t>Zellers</w:t>
      </w:r>
      <w:r>
        <w:rPr>
          <w:rStyle w:val="Appelnotedebasdep"/>
          <w:kern w:val="28"/>
        </w:rPr>
        <w:footnoteReference w:id="43"/>
      </w:r>
      <w:r>
        <w:rPr>
          <w:kern w:val="28"/>
        </w:rPr>
        <w:t>, que l’employeur n’a aucun droit à faire valoir le caractère libre et volontaire des adhésions, ne pouvant même participer au débat sur cette question</w:t>
      </w:r>
      <w:r>
        <w:rPr>
          <w:rStyle w:val="Appelnotedebasdep"/>
          <w:kern w:val="28"/>
        </w:rPr>
        <w:footnoteReference w:id="44"/>
      </w:r>
      <w:r>
        <w:rPr>
          <w:kern w:val="28"/>
        </w:rPr>
        <w:t>. Ainsi, la Demanderesse n’a pas</w:t>
      </w:r>
      <w:r w:rsidR="00517D54">
        <w:rPr>
          <w:kern w:val="28"/>
        </w:rPr>
        <w:t>, selon le TAT,</w:t>
      </w:r>
      <w:r>
        <w:rPr>
          <w:kern w:val="28"/>
        </w:rPr>
        <w:t xml:space="preserve"> l’intérêt requis pour demander la révocation de la décision d’accréditation.</w:t>
      </w:r>
    </w:p>
    <w:p w14:paraId="582DE83F" w14:textId="77777777" w:rsidR="008007B6" w:rsidRDefault="00C40124" w:rsidP="00982D68">
      <w:pPr>
        <w:numPr>
          <w:ilvl w:val="0"/>
          <w:numId w:val="1"/>
        </w:numPr>
        <w:tabs>
          <w:tab w:val="clear" w:pos="360"/>
        </w:tabs>
        <w:spacing w:before="120" w:after="120" w:line="276" w:lineRule="auto"/>
        <w:jc w:val="both"/>
        <w:rPr>
          <w:kern w:val="28"/>
        </w:rPr>
      </w:pPr>
      <w:r>
        <w:rPr>
          <w:kern w:val="28"/>
        </w:rPr>
        <w:t>Le raisonnement du TAT à cet égard est raisonnable.</w:t>
      </w:r>
    </w:p>
    <w:p w14:paraId="7433A65B" w14:textId="77777777" w:rsidR="008007B6" w:rsidRDefault="00C40124" w:rsidP="00982D68">
      <w:pPr>
        <w:numPr>
          <w:ilvl w:val="0"/>
          <w:numId w:val="1"/>
        </w:numPr>
        <w:tabs>
          <w:tab w:val="clear" w:pos="360"/>
        </w:tabs>
        <w:spacing w:before="120" w:after="120" w:line="276" w:lineRule="auto"/>
        <w:jc w:val="both"/>
        <w:rPr>
          <w:kern w:val="28"/>
        </w:rPr>
      </w:pPr>
      <w:r>
        <w:rPr>
          <w:kern w:val="28"/>
        </w:rPr>
        <w:t>D’abord, contrairement à ce qu’invoque la Demanderesse, le TAT n’a pas fait d’erreur en ne considérant sur la demande en rejet que les allégations invoquées concernant l’Agente et non la preuve de la Demanderesse. Cela est bel et bien conforme à la manière de procéder à cette étape préliminaire.</w:t>
      </w:r>
    </w:p>
    <w:p w14:paraId="7C81D95B" w14:textId="77777777" w:rsidR="008007B6" w:rsidRPr="008007B6" w:rsidRDefault="00C40124" w:rsidP="00982D68">
      <w:pPr>
        <w:numPr>
          <w:ilvl w:val="0"/>
          <w:numId w:val="1"/>
        </w:numPr>
        <w:tabs>
          <w:tab w:val="clear" w:pos="360"/>
        </w:tabs>
        <w:spacing w:before="120" w:after="120" w:line="276" w:lineRule="auto"/>
        <w:jc w:val="both"/>
        <w:rPr>
          <w:kern w:val="28"/>
        </w:rPr>
      </w:pPr>
      <w:r>
        <w:rPr>
          <w:kern w:val="28"/>
        </w:rPr>
        <w:t xml:space="preserve">Ensuite, la Demanderesse soumet que les motifs invoqués au soutien de sa demande avaient trait à une « véritable violation du processus </w:t>
      </w:r>
      <w:r>
        <w:rPr>
          <w:rFonts w:cs="Arial"/>
          <w:kern w:val="28"/>
        </w:rPr>
        <w:t xml:space="preserve">[d’accréditation] qui constitue un contournement de la loi » au sens de la jurisprudence applicable. Or, comme elle le reconnaît d’emblée, l’employeur peut faire valoir qu’il y a eu violation de la loi, mais ne peut intervenir dans ces cas que « de </w:t>
      </w:r>
      <w:r w:rsidRPr="008778D5">
        <w:rPr>
          <w:rFonts w:cs="Arial"/>
          <w:kern w:val="28"/>
        </w:rPr>
        <w:t>façon très exceptionnelle</w:t>
      </w:r>
      <w:r>
        <w:rPr>
          <w:rFonts w:cs="Arial"/>
          <w:kern w:val="28"/>
        </w:rPr>
        <w:t> »</w:t>
      </w:r>
      <w:r>
        <w:rPr>
          <w:rStyle w:val="Appelnotedebasdep"/>
          <w:rFonts w:cs="Arial"/>
          <w:kern w:val="28"/>
        </w:rPr>
        <w:footnoteReference w:id="45"/>
      </w:r>
      <w:r>
        <w:rPr>
          <w:rFonts w:cs="Arial"/>
          <w:kern w:val="28"/>
        </w:rPr>
        <w:t>.</w:t>
      </w:r>
    </w:p>
    <w:p w14:paraId="1C7C7245" w14:textId="77777777" w:rsidR="003F2335" w:rsidRPr="003F2335" w:rsidRDefault="00C40124" w:rsidP="008007B6">
      <w:pPr>
        <w:numPr>
          <w:ilvl w:val="0"/>
          <w:numId w:val="1"/>
        </w:numPr>
        <w:tabs>
          <w:tab w:val="clear" w:pos="360"/>
        </w:tabs>
        <w:spacing w:before="120" w:after="120" w:line="276" w:lineRule="auto"/>
        <w:jc w:val="both"/>
        <w:rPr>
          <w:kern w:val="28"/>
        </w:rPr>
      </w:pPr>
      <w:r>
        <w:rPr>
          <w:rFonts w:cs="Arial"/>
          <w:kern w:val="28"/>
        </w:rPr>
        <w:t xml:space="preserve">Le TAT a jugé qu’il n’y avait pas de circonstances « très » exceptionnelles justifiant l’intervention de l’employeur. </w:t>
      </w:r>
    </w:p>
    <w:p w14:paraId="6D387E6E" w14:textId="77777777" w:rsidR="008007B6" w:rsidRPr="008007B6" w:rsidRDefault="00C40124" w:rsidP="008007B6">
      <w:pPr>
        <w:numPr>
          <w:ilvl w:val="0"/>
          <w:numId w:val="1"/>
        </w:numPr>
        <w:tabs>
          <w:tab w:val="clear" w:pos="360"/>
        </w:tabs>
        <w:spacing w:before="120" w:after="120" w:line="276" w:lineRule="auto"/>
        <w:jc w:val="both"/>
        <w:rPr>
          <w:kern w:val="28"/>
        </w:rPr>
      </w:pPr>
      <w:r>
        <w:rPr>
          <w:rFonts w:cs="Arial"/>
          <w:kern w:val="28"/>
        </w:rPr>
        <w:t xml:space="preserve">Or, contrairement à ce que prétend la Demanderesse, il n’y a pas d’« automatisme » dans la Décision du TAT. Celui-ci reconnaît, avec raison, qu’il est possible en effet pour l’employeur d’intervenir de manière exceptionnelle quand il y a une véritable violation du processus qui constitue un détournement de la loi. </w:t>
      </w:r>
    </w:p>
    <w:p w14:paraId="2B573919" w14:textId="77777777" w:rsidR="008007B6" w:rsidRPr="008007B6" w:rsidRDefault="00C40124" w:rsidP="008007B6">
      <w:pPr>
        <w:numPr>
          <w:ilvl w:val="0"/>
          <w:numId w:val="1"/>
        </w:numPr>
        <w:tabs>
          <w:tab w:val="clear" w:pos="360"/>
        </w:tabs>
        <w:spacing w:before="120" w:after="120" w:line="276" w:lineRule="auto"/>
        <w:jc w:val="both"/>
        <w:rPr>
          <w:kern w:val="28"/>
        </w:rPr>
      </w:pPr>
      <w:r>
        <w:rPr>
          <w:rFonts w:cs="Arial"/>
          <w:kern w:val="28"/>
        </w:rPr>
        <w:t xml:space="preserve">Ensuite, il </w:t>
      </w:r>
      <w:r w:rsidR="0084270E">
        <w:rPr>
          <w:rFonts w:cs="Arial"/>
          <w:kern w:val="28"/>
        </w:rPr>
        <w:t xml:space="preserve">conclut </w:t>
      </w:r>
      <w:r>
        <w:rPr>
          <w:rFonts w:cs="Arial"/>
          <w:kern w:val="28"/>
        </w:rPr>
        <w:t>qu’à leur face</w:t>
      </w:r>
      <w:r w:rsidR="003A60F5">
        <w:rPr>
          <w:rFonts w:cs="Arial"/>
          <w:kern w:val="28"/>
        </w:rPr>
        <w:t xml:space="preserve"> </w:t>
      </w:r>
      <w:r>
        <w:rPr>
          <w:rFonts w:cs="Arial"/>
          <w:kern w:val="28"/>
        </w:rPr>
        <w:t xml:space="preserve">même, les motifs qu’avance l’employeur pour tenter d’annuler la Décision reposent sur de « simples soupçons, des suppositions et du ouï-dire ». Il considère donc que l’employeur n’a pas allégué de véritable violation du processus suivi par l’Agente. Selon lui, l’employeur tente donc plutôt de remettre en cause la qualité des adhésions sous le couvert d’arguments invoquant la violation du processus. </w:t>
      </w:r>
    </w:p>
    <w:p w14:paraId="4C3646BA" w14:textId="77777777" w:rsidR="00FE11FD" w:rsidRPr="008007B6" w:rsidRDefault="00C40124" w:rsidP="008007B6">
      <w:pPr>
        <w:numPr>
          <w:ilvl w:val="0"/>
          <w:numId w:val="1"/>
        </w:numPr>
        <w:tabs>
          <w:tab w:val="clear" w:pos="360"/>
        </w:tabs>
        <w:spacing w:before="120" w:after="120" w:line="276" w:lineRule="auto"/>
        <w:jc w:val="both"/>
        <w:rPr>
          <w:kern w:val="28"/>
        </w:rPr>
      </w:pPr>
      <w:r>
        <w:rPr>
          <w:rFonts w:cs="Arial"/>
          <w:kern w:val="28"/>
        </w:rPr>
        <w:t>Son raisonnement, à cet égard, est logique et raisonnable et il n’y a pas lieu de le revisiter.</w:t>
      </w:r>
    </w:p>
    <w:p w14:paraId="594434D2" w14:textId="77777777" w:rsidR="00CF51ED" w:rsidRDefault="00C40124" w:rsidP="008A5221">
      <w:pPr>
        <w:pStyle w:val="Titre1"/>
      </w:pPr>
      <w:bookmarkStart w:id="23" w:name="_Toc256000007"/>
      <w:bookmarkStart w:id="24" w:name="_Toc243051036"/>
      <w:r w:rsidRPr="00772542">
        <w:t>POUR CES MOTIFS, LE TRIBUNAL :</w:t>
      </w:r>
      <w:bookmarkEnd w:id="4"/>
      <w:bookmarkEnd w:id="23"/>
      <w:bookmarkEnd w:id="24"/>
    </w:p>
    <w:p w14:paraId="28AB41AB" w14:textId="77777777" w:rsidR="00D47A26" w:rsidRDefault="00C40124" w:rsidP="00D47A26">
      <w:pPr>
        <w:pStyle w:val="Paragrsimple"/>
      </w:pPr>
      <w:r w:rsidRPr="002643BA">
        <w:rPr>
          <w:b/>
          <w:bCs/>
        </w:rPr>
        <w:t>REJETTE</w:t>
      </w:r>
      <w:r>
        <w:t xml:space="preserve"> la Demande de pourvoi en contrôle judiciaire;</w:t>
      </w:r>
    </w:p>
    <w:p w14:paraId="4D030DBE" w14:textId="77777777" w:rsidR="002643BA" w:rsidRPr="002643BA" w:rsidRDefault="00C40124" w:rsidP="002643BA">
      <w:pPr>
        <w:pStyle w:val="Paragrdouble"/>
      </w:pPr>
      <w:r w:rsidRPr="002643BA">
        <w:rPr>
          <w:b/>
          <w:bCs/>
        </w:rPr>
        <w:t>LE TOUT, AVEC LES FRAIS DE JUSTICE</w:t>
      </w:r>
      <w:r>
        <w:t>.</w:t>
      </w:r>
    </w:p>
    <w:p w14:paraId="09331CF3" w14:textId="77777777" w:rsidR="00772542" w:rsidRDefault="00772542" w:rsidP="008E1AAE">
      <w:pPr>
        <w:pStyle w:val="Paragrdouble"/>
        <w:numPr>
          <w:ilvl w:val="0"/>
          <w:numId w:val="0"/>
        </w:numPr>
        <w:spacing w:before="0" w:after="0" w:line="240" w:lineRule="auto"/>
      </w:pPr>
    </w:p>
    <w:p w14:paraId="08EA5179" w14:textId="77777777" w:rsidR="00D713AF" w:rsidRPr="00772542" w:rsidRDefault="00D713AF" w:rsidP="00D713AF">
      <w:pPr>
        <w:pStyle w:val="Paragrdouble"/>
        <w:numPr>
          <w:ilvl w:val="0"/>
          <w:numId w:val="0"/>
        </w:numPr>
        <w:spacing w:line="240" w:lineRule="auto"/>
      </w:pPr>
    </w:p>
    <w:tbl>
      <w:tblPr>
        <w:tblW w:w="9505" w:type="dxa"/>
        <w:tblLayout w:type="fixed"/>
        <w:tblCellMar>
          <w:left w:w="70" w:type="dxa"/>
          <w:right w:w="70" w:type="dxa"/>
        </w:tblCellMar>
        <w:tblLook w:val="0000" w:firstRow="0" w:lastRow="0" w:firstColumn="0" w:lastColumn="0" w:noHBand="0" w:noVBand="0"/>
      </w:tblPr>
      <w:tblGrid>
        <w:gridCol w:w="2197"/>
        <w:gridCol w:w="2670"/>
        <w:gridCol w:w="4638"/>
      </w:tblGrid>
      <w:tr w:rsidR="00697729" w14:paraId="788F8D25" w14:textId="77777777" w:rsidTr="00BA153A">
        <w:trPr>
          <w:trHeight w:val="576"/>
        </w:trPr>
        <w:tc>
          <w:tcPr>
            <w:tcW w:w="9505" w:type="dxa"/>
            <w:gridSpan w:val="3"/>
          </w:tcPr>
          <w:p w14:paraId="20445578" w14:textId="77777777" w:rsidR="00121A72" w:rsidRDefault="00121A72" w:rsidP="00D26929">
            <w:pPr>
              <w:keepNext/>
              <w:keepLines/>
            </w:pPr>
          </w:p>
        </w:tc>
      </w:tr>
      <w:tr w:rsidR="00697729" w14:paraId="6FC1C3E9" w14:textId="77777777" w:rsidTr="00BA153A">
        <w:tblPrEx>
          <w:tblCellMar>
            <w:left w:w="0" w:type="dxa"/>
            <w:right w:w="0" w:type="dxa"/>
          </w:tblCellMar>
        </w:tblPrEx>
        <w:trPr>
          <w:cantSplit/>
        </w:trPr>
        <w:tc>
          <w:tcPr>
            <w:tcW w:w="4867" w:type="dxa"/>
            <w:gridSpan w:val="2"/>
          </w:tcPr>
          <w:p w14:paraId="3626B941" w14:textId="77777777" w:rsidR="00121A72" w:rsidRDefault="00121A72" w:rsidP="00D26929"/>
        </w:tc>
        <w:tc>
          <w:tcPr>
            <w:tcW w:w="4638" w:type="dxa"/>
          </w:tcPr>
          <w:p w14:paraId="069DD359" w14:textId="77777777" w:rsidR="00121A72" w:rsidRPr="006B074F" w:rsidRDefault="00C40124" w:rsidP="00D26929">
            <w:pPr>
              <w:pStyle w:val="zSoquijdatSignature3Juge"/>
              <w:rPr>
                <w:lang w:val="en-CA"/>
              </w:rPr>
            </w:pPr>
            <w:r w:rsidRPr="006B074F">
              <w:rPr>
                <w:lang w:val="en-CA"/>
              </w:rPr>
              <w:t>___</w:t>
            </w:r>
            <w:r w:rsidR="00F4770B" w:rsidRPr="006B074F">
              <w:rPr>
                <w:lang w:val="en-CA"/>
              </w:rPr>
              <w:t>_______________________________</w:t>
            </w:r>
            <w:r w:rsidR="006B074F" w:rsidRPr="006B074F">
              <w:rPr>
                <w:caps/>
                <w:lang w:val="en-CA"/>
              </w:rPr>
              <w:t xml:space="preserve">CATHERINE PICHÉ, </w:t>
            </w:r>
            <w:r w:rsidR="00CE5A4C" w:rsidRPr="006B074F">
              <w:rPr>
                <w:caps/>
                <w:lang w:val="en-CA"/>
              </w:rPr>
              <w:t>j.c.s.</w:t>
            </w:r>
          </w:p>
        </w:tc>
      </w:tr>
      <w:tr w:rsidR="00697729" w14:paraId="6205AC98" w14:textId="77777777" w:rsidTr="00BA153A">
        <w:tc>
          <w:tcPr>
            <w:tcW w:w="9505" w:type="dxa"/>
            <w:gridSpan w:val="3"/>
          </w:tcPr>
          <w:p w14:paraId="7785C5E4" w14:textId="77777777" w:rsidR="00121A72" w:rsidRPr="006B074F" w:rsidRDefault="00121A72" w:rsidP="00D26929">
            <w:pPr>
              <w:rPr>
                <w:lang w:val="en-CA"/>
              </w:rPr>
            </w:pPr>
          </w:p>
        </w:tc>
      </w:tr>
      <w:tr w:rsidR="00697729" w14:paraId="3D78C18D" w14:textId="77777777" w:rsidTr="00BA153A">
        <w:trPr>
          <w:cantSplit/>
        </w:trPr>
        <w:tc>
          <w:tcPr>
            <w:tcW w:w="9505" w:type="dxa"/>
            <w:gridSpan w:val="3"/>
          </w:tcPr>
          <w:p w14:paraId="0EBB2B4C" w14:textId="77777777" w:rsidR="00121A72" w:rsidRPr="006B074F" w:rsidRDefault="00121A72" w:rsidP="00D26929">
            <w:pPr>
              <w:pStyle w:val="zSoquijdatCabinetProcureurDem"/>
              <w:rPr>
                <w:lang w:val="en-CA"/>
              </w:rPr>
            </w:pPr>
          </w:p>
        </w:tc>
      </w:tr>
      <w:tr w:rsidR="00697729" w14:paraId="77C32F66" w14:textId="77777777" w:rsidTr="00BA153A">
        <w:trPr>
          <w:cantSplit/>
        </w:trPr>
        <w:tc>
          <w:tcPr>
            <w:tcW w:w="9505" w:type="dxa"/>
            <w:gridSpan w:val="3"/>
          </w:tcPr>
          <w:p w14:paraId="5CA607E0" w14:textId="77777777" w:rsidR="006B074F" w:rsidRPr="006B074F" w:rsidRDefault="00C40124" w:rsidP="008E1AAE">
            <w:pPr>
              <w:rPr>
                <w:rFonts w:cs="Arial"/>
                <w:szCs w:val="24"/>
              </w:rPr>
            </w:pPr>
            <w:r w:rsidRPr="006B074F">
              <w:rPr>
                <w:rFonts w:cs="Arial"/>
                <w:szCs w:val="24"/>
              </w:rPr>
              <w:t>Me Frédéric Massé</w:t>
            </w:r>
          </w:p>
          <w:p w14:paraId="68890B6B" w14:textId="77777777" w:rsidR="006B074F" w:rsidRPr="006B074F" w:rsidRDefault="00C40124" w:rsidP="00212CAD">
            <w:pPr>
              <w:spacing w:after="40"/>
              <w:rPr>
                <w:rFonts w:cs="Arial"/>
                <w:szCs w:val="24"/>
              </w:rPr>
            </w:pPr>
            <w:r w:rsidRPr="006B074F">
              <w:rPr>
                <w:rStyle w:val="Hyperlien"/>
                <w:rFonts w:cs="Arial"/>
                <w:color w:val="auto"/>
                <w:szCs w:val="24"/>
                <w:u w:val="none"/>
              </w:rPr>
              <w:t>fmasse@blg.com</w:t>
            </w:r>
            <w:r w:rsidRPr="006B074F">
              <w:rPr>
                <w:rFonts w:cs="Arial"/>
                <w:szCs w:val="24"/>
              </w:rPr>
              <w:t xml:space="preserve"> </w:t>
            </w:r>
          </w:p>
          <w:p w14:paraId="6C87E90D" w14:textId="77777777" w:rsidR="006B074F" w:rsidRPr="006B074F" w:rsidRDefault="00C40124" w:rsidP="006B074F">
            <w:pPr>
              <w:rPr>
                <w:rFonts w:cs="Arial"/>
                <w:szCs w:val="24"/>
              </w:rPr>
            </w:pPr>
            <w:r w:rsidRPr="006B074F">
              <w:rPr>
                <w:rFonts w:cs="Arial"/>
                <w:szCs w:val="24"/>
              </w:rPr>
              <w:t>Me Maude Galarneau</w:t>
            </w:r>
          </w:p>
          <w:p w14:paraId="3504881E" w14:textId="77777777" w:rsidR="00121A72" w:rsidRDefault="00C40124" w:rsidP="00212CAD">
            <w:pPr>
              <w:pStyle w:val="zSoquijlblProcureurDem"/>
              <w:spacing w:after="40"/>
              <w:rPr>
                <w:rFonts w:cs="Arial"/>
                <w:szCs w:val="24"/>
              </w:rPr>
            </w:pPr>
            <w:r w:rsidRPr="006B074F">
              <w:rPr>
                <w:rStyle w:val="Hyperlien"/>
                <w:rFonts w:cs="Arial"/>
                <w:color w:val="auto"/>
                <w:szCs w:val="24"/>
                <w:u w:val="none"/>
              </w:rPr>
              <w:t>mgalarneau@blg.com</w:t>
            </w:r>
          </w:p>
          <w:p w14:paraId="09E6AC10" w14:textId="77777777" w:rsidR="00212CAD" w:rsidRPr="00DE11F8" w:rsidRDefault="00C40124" w:rsidP="00212CAD">
            <w:pPr>
              <w:rPr>
                <w:rFonts w:cs="Arial"/>
                <w:szCs w:val="24"/>
                <w:lang w:val="pt-BR"/>
              </w:rPr>
            </w:pPr>
            <w:r w:rsidRPr="00DE11F8">
              <w:rPr>
                <w:rFonts w:cs="Arial"/>
                <w:szCs w:val="24"/>
                <w:lang w:val="pt-BR"/>
              </w:rPr>
              <w:t>Me Alma-Mazarine Binet</w:t>
            </w:r>
          </w:p>
          <w:p w14:paraId="71638806" w14:textId="77777777" w:rsidR="00212CAD" w:rsidRPr="00DE11F8" w:rsidRDefault="00C40124" w:rsidP="00212CAD">
            <w:pPr>
              <w:pStyle w:val="zSoquijlblProcureurDem"/>
              <w:spacing w:after="40"/>
              <w:rPr>
                <w:rFonts w:cs="Arial"/>
                <w:szCs w:val="24"/>
                <w:lang w:val="pt-BR"/>
              </w:rPr>
            </w:pPr>
            <w:r w:rsidRPr="00DE11F8">
              <w:rPr>
                <w:rStyle w:val="Hyperlien"/>
                <w:rFonts w:cs="Arial"/>
                <w:color w:val="auto"/>
                <w:u w:val="none"/>
                <w:lang w:val="pt-BR"/>
              </w:rPr>
              <w:t>abinet@blg.com</w:t>
            </w:r>
          </w:p>
          <w:p w14:paraId="12664073" w14:textId="77777777" w:rsidR="006B074F" w:rsidRPr="00212CAD" w:rsidRDefault="00C40124" w:rsidP="006B074F">
            <w:pPr>
              <w:pStyle w:val="zSoquijlblProcureurDem"/>
            </w:pPr>
            <w:r>
              <w:rPr>
                <w:rFonts w:cs="Arial"/>
                <w:szCs w:val="24"/>
              </w:rPr>
              <w:t xml:space="preserve">Pour la demanderesse </w:t>
            </w:r>
          </w:p>
        </w:tc>
      </w:tr>
      <w:tr w:rsidR="00697729" w14:paraId="5B0377B0" w14:textId="77777777" w:rsidTr="00BA153A">
        <w:trPr>
          <w:cantSplit/>
        </w:trPr>
        <w:tc>
          <w:tcPr>
            <w:tcW w:w="9505" w:type="dxa"/>
            <w:gridSpan w:val="3"/>
          </w:tcPr>
          <w:p w14:paraId="15FE6208" w14:textId="77777777" w:rsidR="00121A72" w:rsidRPr="00212CAD" w:rsidRDefault="00121A72" w:rsidP="00D26929"/>
        </w:tc>
      </w:tr>
      <w:tr w:rsidR="00697729" w14:paraId="45BD985D" w14:textId="77777777" w:rsidTr="00BA153A">
        <w:trPr>
          <w:cantSplit/>
        </w:trPr>
        <w:tc>
          <w:tcPr>
            <w:tcW w:w="9505" w:type="dxa"/>
            <w:gridSpan w:val="3"/>
          </w:tcPr>
          <w:p w14:paraId="2F139047" w14:textId="77777777" w:rsidR="006B074F" w:rsidRPr="006B074F" w:rsidRDefault="00C40124" w:rsidP="006B074F">
            <w:pPr>
              <w:pStyle w:val="zSoquijdatNomProcureurDef"/>
              <w:rPr>
                <w:lang w:val="en-CA"/>
              </w:rPr>
            </w:pPr>
            <w:r w:rsidRPr="006B074F">
              <w:rPr>
                <w:lang w:val="en-CA"/>
              </w:rPr>
              <w:t>Me Ioanna Egarho</w:t>
            </w:r>
          </w:p>
          <w:p w14:paraId="1C92B881" w14:textId="77777777" w:rsidR="006B074F" w:rsidRPr="006B074F" w:rsidRDefault="00C40124" w:rsidP="006B074F">
            <w:pPr>
              <w:pStyle w:val="zSoquijdatNomProcureurDef"/>
              <w:rPr>
                <w:lang w:val="en-CA"/>
              </w:rPr>
            </w:pPr>
            <w:r w:rsidRPr="009943A6">
              <w:rPr>
                <w:rStyle w:val="Hyperlien"/>
                <w:color w:val="auto"/>
                <w:u w:val="none"/>
                <w:lang w:val="en-CA"/>
              </w:rPr>
              <w:t>ioanna.egarhos@csn.qc.ca</w:t>
            </w:r>
            <w:r>
              <w:rPr>
                <w:lang w:val="en-CA"/>
              </w:rPr>
              <w:t xml:space="preserve"> </w:t>
            </w:r>
            <w:r w:rsidRPr="006B074F">
              <w:rPr>
                <w:lang w:val="en-CA"/>
              </w:rPr>
              <w:t xml:space="preserve"> </w:t>
            </w:r>
          </w:p>
          <w:p w14:paraId="43BCF5FE" w14:textId="77777777" w:rsidR="006B074F" w:rsidRPr="006B074F" w:rsidRDefault="00C40124" w:rsidP="006B074F">
            <w:pPr>
              <w:pStyle w:val="zSoquijdatNomProcureurDef"/>
            </w:pPr>
            <w:r w:rsidRPr="006B074F">
              <w:t xml:space="preserve">Me Jessie Caron </w:t>
            </w:r>
          </w:p>
          <w:p w14:paraId="4335F5E7" w14:textId="77777777" w:rsidR="00121A72" w:rsidRDefault="00C40124" w:rsidP="006B074F">
            <w:pPr>
              <w:pStyle w:val="zSoquijdatNomProcureurDef"/>
            </w:pPr>
            <w:r w:rsidRPr="009943A6">
              <w:rPr>
                <w:rStyle w:val="Hyperlien"/>
                <w:color w:val="auto"/>
                <w:u w:val="none"/>
              </w:rPr>
              <w:t>jessie.caron@csn.qc.ca</w:t>
            </w:r>
            <w:r>
              <w:t xml:space="preserve"> </w:t>
            </w:r>
          </w:p>
          <w:p w14:paraId="08277696" w14:textId="77777777" w:rsidR="006B074F" w:rsidRDefault="00C40124" w:rsidP="006B074F">
            <w:pPr>
              <w:pStyle w:val="zSoquijdatNomProcureurDef"/>
            </w:pPr>
            <w:r>
              <w:t>Pour l</w:t>
            </w:r>
            <w:r w:rsidR="00212CAD">
              <w:t>e mis en cause</w:t>
            </w:r>
          </w:p>
          <w:p w14:paraId="6CFD1FE5" w14:textId="77777777" w:rsidR="00212CAD" w:rsidRPr="006B074F" w:rsidRDefault="00212CAD" w:rsidP="006B074F">
            <w:pPr>
              <w:pStyle w:val="zSoquijdatNomProcureurDef"/>
            </w:pPr>
          </w:p>
        </w:tc>
      </w:tr>
      <w:tr w:rsidR="00697729" w14:paraId="13AD5E5F" w14:textId="77777777" w:rsidTr="00BA153A">
        <w:trPr>
          <w:cantSplit/>
        </w:trPr>
        <w:tc>
          <w:tcPr>
            <w:tcW w:w="9505" w:type="dxa"/>
            <w:gridSpan w:val="3"/>
          </w:tcPr>
          <w:p w14:paraId="158B1183" w14:textId="77777777" w:rsidR="00212CAD" w:rsidRDefault="00C40124" w:rsidP="00212CAD">
            <w:pPr>
              <w:pStyle w:val="zSoquijdatCabinetProcureurDef"/>
            </w:pPr>
            <w:r>
              <w:t xml:space="preserve">Me Amélie Bellerose </w:t>
            </w:r>
          </w:p>
          <w:p w14:paraId="132B8D62" w14:textId="77777777" w:rsidR="00212CAD" w:rsidRDefault="00C40124" w:rsidP="00212CAD">
            <w:pPr>
              <w:pStyle w:val="zSoquijdatCabinetProcureurDef"/>
            </w:pPr>
            <w:r w:rsidRPr="009943A6">
              <w:rPr>
                <w:rStyle w:val="Hyperlien"/>
                <w:color w:val="auto"/>
                <w:u w:val="none"/>
              </w:rPr>
              <w:t>amelie.bellerose@justice.gouv.qc.ca</w:t>
            </w:r>
            <w:r>
              <w:t xml:space="preserve">  </w:t>
            </w:r>
          </w:p>
          <w:p w14:paraId="08DBA453" w14:textId="77777777" w:rsidR="00212CAD" w:rsidRPr="00212CAD" w:rsidRDefault="00C40124" w:rsidP="00212CAD">
            <w:pPr>
              <w:pStyle w:val="zSoquijdatCabinetProcureurDef"/>
              <w:rPr>
                <w:lang w:val="en-CA"/>
              </w:rPr>
            </w:pPr>
            <w:r w:rsidRPr="00212CAD">
              <w:rPr>
                <w:lang w:val="en-CA"/>
              </w:rPr>
              <w:t>Me Geneviève Bond Roussel</w:t>
            </w:r>
          </w:p>
          <w:p w14:paraId="6D3BAEB6" w14:textId="77777777" w:rsidR="00212CAD" w:rsidRDefault="00C40124" w:rsidP="00212CAD">
            <w:pPr>
              <w:pStyle w:val="zSoquijdatCabinetProcureurDef"/>
              <w:rPr>
                <w:lang w:val="en-CA"/>
              </w:rPr>
            </w:pPr>
            <w:r w:rsidRPr="009943A6">
              <w:rPr>
                <w:rStyle w:val="Hyperlien"/>
                <w:color w:val="auto"/>
                <w:u w:val="none"/>
                <w:lang w:val="en-CA"/>
              </w:rPr>
              <w:t>genevieve.bondroussel@tat.gouv.qc.ca</w:t>
            </w:r>
          </w:p>
          <w:p w14:paraId="25AA5C8D" w14:textId="77777777" w:rsidR="00121A72" w:rsidRPr="00212CAD" w:rsidRDefault="00C40124" w:rsidP="00212CAD">
            <w:pPr>
              <w:pStyle w:val="zSoquijdatCabinetProcureurDef"/>
              <w:rPr>
                <w:lang w:val="en-CA"/>
              </w:rPr>
            </w:pPr>
            <w:r>
              <w:rPr>
                <w:lang w:val="en-CA"/>
              </w:rPr>
              <w:t>Pour le P.G.Q.</w:t>
            </w:r>
          </w:p>
        </w:tc>
      </w:tr>
      <w:tr w:rsidR="00697729" w14:paraId="0B194D1F" w14:textId="77777777" w:rsidTr="00BA153A">
        <w:trPr>
          <w:cantSplit/>
        </w:trPr>
        <w:tc>
          <w:tcPr>
            <w:tcW w:w="9505" w:type="dxa"/>
            <w:gridSpan w:val="3"/>
          </w:tcPr>
          <w:p w14:paraId="7D0A317C" w14:textId="77777777" w:rsidR="00121A72" w:rsidRPr="00212CAD" w:rsidRDefault="00121A72" w:rsidP="00D26929">
            <w:pPr>
              <w:pStyle w:val="zSoquijlblProcureurDef"/>
              <w:rPr>
                <w:lang w:val="en-CA"/>
              </w:rPr>
            </w:pPr>
          </w:p>
        </w:tc>
      </w:tr>
      <w:tr w:rsidR="00697729" w14:paraId="5E7E2BD3" w14:textId="77777777" w:rsidTr="00BA153A">
        <w:tc>
          <w:tcPr>
            <w:tcW w:w="9505" w:type="dxa"/>
            <w:gridSpan w:val="3"/>
          </w:tcPr>
          <w:p w14:paraId="64B06777" w14:textId="77777777" w:rsidR="00121A72" w:rsidRPr="00212CAD" w:rsidRDefault="00121A72" w:rsidP="00D26929">
            <w:pPr>
              <w:rPr>
                <w:lang w:val="en-CA"/>
              </w:rPr>
            </w:pPr>
          </w:p>
        </w:tc>
      </w:tr>
      <w:tr w:rsidR="00697729" w14:paraId="157E0E03" w14:textId="77777777" w:rsidTr="00BA153A">
        <w:tc>
          <w:tcPr>
            <w:tcW w:w="2197" w:type="dxa"/>
          </w:tcPr>
          <w:p w14:paraId="29643790" w14:textId="77777777" w:rsidR="00121A72" w:rsidRDefault="00C40124" w:rsidP="00D26929">
            <w:pPr>
              <w:pStyle w:val="zSoquijlblDateAudience"/>
            </w:pPr>
            <w:r>
              <w:t>Date d’audience :</w:t>
            </w:r>
          </w:p>
        </w:tc>
        <w:tc>
          <w:tcPr>
            <w:tcW w:w="7308" w:type="dxa"/>
            <w:gridSpan w:val="2"/>
          </w:tcPr>
          <w:p w14:paraId="04B45719" w14:textId="77777777" w:rsidR="00121A72" w:rsidRDefault="00C40124" w:rsidP="00D26929">
            <w:pPr>
              <w:pStyle w:val="zSoquijdatDateAudience"/>
            </w:pPr>
            <w:r>
              <w:t>1</w:t>
            </w:r>
            <w:r w:rsidRPr="006B074F">
              <w:rPr>
                <w:vertAlign w:val="superscript"/>
              </w:rPr>
              <w:t>e</w:t>
            </w:r>
            <w:r>
              <w:t xml:space="preserve"> octobre 2026</w:t>
            </w:r>
          </w:p>
        </w:tc>
      </w:tr>
    </w:tbl>
    <w:p w14:paraId="1FEC37D9" w14:textId="77777777" w:rsidR="00121A72" w:rsidRDefault="00121A72" w:rsidP="00D26929"/>
    <w:sectPr w:rsidR="00121A72">
      <w:headerReference w:type="default" r:id="rId11"/>
      <w:footerReference w:type="even" r:id="rId12"/>
      <w:footnotePr>
        <w:numRestart w:val="eachSect"/>
      </w:footnotePr>
      <w:pgSz w:w="12242" w:h="15842" w:code="1"/>
      <w:pgMar w:top="1440" w:right="1008" w:bottom="1440" w:left="1872" w:header="1440" w:footer="79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3F67" w14:textId="77777777" w:rsidR="009E2525" w:rsidRDefault="009E2525">
      <w:r>
        <w:separator/>
      </w:r>
    </w:p>
  </w:endnote>
  <w:endnote w:type="continuationSeparator" w:id="0">
    <w:p w14:paraId="2F585566" w14:textId="77777777" w:rsidR="009E2525" w:rsidRDefault="009E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92FA" w14:textId="77777777" w:rsidR="00121A72" w:rsidRDefault="00C40124">
    <w:pPr>
      <w:framePr w:wrap="around" w:vAnchor="text" w:hAnchor="margin" w:xAlign="right" w:y="1"/>
    </w:pPr>
    <w:r>
      <w:fldChar w:fldCharType="begin"/>
    </w:r>
    <w:r>
      <w:instrText xml:space="preserve">PAGE  </w:instrText>
    </w:r>
    <w:r>
      <w:fldChar w:fldCharType="separate"/>
    </w:r>
    <w:r w:rsidR="006B6CEE">
      <w:rPr>
        <w:noProof/>
      </w:rPr>
      <w:t>18</w:t>
    </w:r>
    <w:r>
      <w:fldChar w:fldCharType="end"/>
    </w:r>
  </w:p>
  <w:p w14:paraId="7BEB386A" w14:textId="77777777" w:rsidR="00121A72" w:rsidRDefault="00121A7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0931" w14:textId="77777777" w:rsidR="009E2525" w:rsidRDefault="009E2525">
      <w:r>
        <w:separator/>
      </w:r>
    </w:p>
  </w:footnote>
  <w:footnote w:type="continuationSeparator" w:id="0">
    <w:p w14:paraId="4C757600" w14:textId="77777777" w:rsidR="009E2525" w:rsidRDefault="009E2525">
      <w:r>
        <w:continuationSeparator/>
      </w:r>
    </w:p>
  </w:footnote>
  <w:footnote w:id="1">
    <w:p w14:paraId="62ACBC1B" w14:textId="77777777" w:rsidR="00EC1565" w:rsidRDefault="00C40124" w:rsidP="008E1AAE">
      <w:pPr>
        <w:pStyle w:val="Notedebasdepage"/>
        <w:spacing w:before="40" w:after="40"/>
        <w:ind w:left="284" w:hanging="284"/>
      </w:pPr>
      <w:r>
        <w:rPr>
          <w:rStyle w:val="Appelnotedebasdep"/>
        </w:rPr>
        <w:footnoteRef/>
      </w:r>
      <w:r>
        <w:t xml:space="preserve"> </w:t>
      </w:r>
      <w:r w:rsidR="00DD6324">
        <w:tab/>
      </w:r>
      <w:r>
        <w:t>Citant</w:t>
      </w:r>
      <w:r w:rsidR="00F05AC8">
        <w:t xml:space="preserve"> </w:t>
      </w:r>
      <w:r w:rsidRPr="00C612BC">
        <w:rPr>
          <w:i/>
          <w:iCs/>
        </w:rPr>
        <w:t>AAA Canada inc. c. Tribunal administratif du travail</w:t>
      </w:r>
      <w:r>
        <w:t xml:space="preserve">, 2023 </w:t>
      </w:r>
      <w:r w:rsidR="00B657BD">
        <w:t xml:space="preserve">QCCS </w:t>
      </w:r>
      <w:r>
        <w:t>3739, par. 23.</w:t>
      </w:r>
    </w:p>
  </w:footnote>
  <w:footnote w:id="2">
    <w:p w14:paraId="17B943EF" w14:textId="77777777" w:rsidR="00EC1565" w:rsidRDefault="00C40124" w:rsidP="008E1AAE">
      <w:pPr>
        <w:pStyle w:val="Notedebasdepage"/>
        <w:spacing w:before="40" w:after="40"/>
        <w:ind w:left="284" w:hanging="284"/>
      </w:pPr>
      <w:r>
        <w:rPr>
          <w:rStyle w:val="Appelnotedebasdep"/>
        </w:rPr>
        <w:footnoteRef/>
      </w:r>
      <w:r>
        <w:t xml:space="preserve"> </w:t>
      </w:r>
      <w:r w:rsidR="00DD6324">
        <w:tab/>
      </w:r>
      <w:r>
        <w:t xml:space="preserve">Citant notamment </w:t>
      </w:r>
      <w:r w:rsidRPr="005E3A2B">
        <w:rPr>
          <w:i/>
          <w:iCs/>
        </w:rPr>
        <w:t>Société québécoise des infrastructures c. Ville de Montréal</w:t>
      </w:r>
      <w:r>
        <w:t>, 2021 QCCA 1713, par. 29.</w:t>
      </w:r>
    </w:p>
  </w:footnote>
  <w:footnote w:id="3">
    <w:p w14:paraId="396FDF6C" w14:textId="77777777" w:rsidR="00EC1565" w:rsidRDefault="00C40124" w:rsidP="008E1AAE">
      <w:pPr>
        <w:pStyle w:val="Notedebasdepage"/>
        <w:spacing w:before="40" w:after="40"/>
        <w:ind w:left="284" w:hanging="284"/>
      </w:pPr>
      <w:r>
        <w:rPr>
          <w:rStyle w:val="Appelnotedebasdep"/>
        </w:rPr>
        <w:footnoteRef/>
      </w:r>
      <w:r>
        <w:t xml:space="preserve"> </w:t>
      </w:r>
      <w:r w:rsidR="00DD6324">
        <w:tab/>
      </w:r>
      <w:r w:rsidR="006F5E33" w:rsidRPr="008E1AAE">
        <w:rPr>
          <w:i/>
          <w:iCs/>
        </w:rPr>
        <w:t xml:space="preserve">Canada (Ministre de la Citoyenneté et de l’Immigration) c. </w:t>
      </w:r>
      <w:r w:rsidRPr="00FE0ED1">
        <w:rPr>
          <w:i/>
          <w:iCs/>
        </w:rPr>
        <w:t>Vavilov</w:t>
      </w:r>
      <w:r w:rsidRPr="00B4634B">
        <w:t xml:space="preserve">, </w:t>
      </w:r>
      <w:r w:rsidR="00F568E2" w:rsidRPr="00E722F4">
        <w:rPr>
          <w:i/>
          <w:iCs/>
        </w:rPr>
        <w:t xml:space="preserve">2019 CSC 65 </w:t>
      </w:r>
      <w:r w:rsidR="00F568E2" w:rsidRPr="006F5E33">
        <w:t>(«</w:t>
      </w:r>
      <w:r w:rsidR="00F568E2">
        <w:t> </w:t>
      </w:r>
      <w:r w:rsidR="00F568E2" w:rsidRPr="00E722F4">
        <w:rPr>
          <w:b/>
          <w:bCs/>
        </w:rPr>
        <w:t>Vavilov</w:t>
      </w:r>
      <w:r w:rsidR="00F568E2">
        <w:t> </w:t>
      </w:r>
      <w:r w:rsidR="00F568E2" w:rsidRPr="006F5E33">
        <w:t>»)</w:t>
      </w:r>
      <w:r w:rsidR="00F568E2">
        <w:t xml:space="preserve">, </w:t>
      </w:r>
      <w:r w:rsidRPr="00B4634B">
        <w:t>par. 53 à 62</w:t>
      </w:r>
      <w:r>
        <w:t>.</w:t>
      </w:r>
    </w:p>
  </w:footnote>
  <w:footnote w:id="4">
    <w:p w14:paraId="13DB0389" w14:textId="77777777" w:rsidR="003233EB" w:rsidRDefault="00C40124" w:rsidP="008E1AAE">
      <w:pPr>
        <w:pStyle w:val="Notedebasdepage"/>
        <w:spacing w:before="40" w:after="40"/>
        <w:ind w:left="284" w:hanging="284"/>
      </w:pPr>
      <w:r>
        <w:rPr>
          <w:rStyle w:val="Appelnotedebasdep"/>
        </w:rPr>
        <w:footnoteRef/>
      </w:r>
      <w:r>
        <w:t xml:space="preserve"> </w:t>
      </w:r>
      <w:r w:rsidR="00797FE0">
        <w:tab/>
      </w:r>
      <w:r>
        <w:t>2019 CSC 65.</w:t>
      </w:r>
    </w:p>
  </w:footnote>
  <w:footnote w:id="5">
    <w:p w14:paraId="54235551" w14:textId="77777777" w:rsidR="003233EB" w:rsidRDefault="00C40124" w:rsidP="008E1AAE">
      <w:pPr>
        <w:pStyle w:val="Notedebasdepage"/>
        <w:spacing w:before="40" w:after="40"/>
        <w:ind w:left="284" w:hanging="284"/>
      </w:pPr>
      <w:r>
        <w:rPr>
          <w:rStyle w:val="Appelnotedebasdep"/>
        </w:rPr>
        <w:footnoteRef/>
      </w:r>
      <w:r>
        <w:t xml:space="preserve"> </w:t>
      </w:r>
      <w:r w:rsidR="00797FE0">
        <w:tab/>
      </w:r>
      <w:r w:rsidRPr="005F203F">
        <w:rPr>
          <w:i/>
          <w:iCs/>
        </w:rPr>
        <w:t>Société québécoise des infrastructures c Ville de Montréal,</w:t>
      </w:r>
      <w:r w:rsidRPr="005F203F">
        <w:t xml:space="preserve"> 2021 QCCA 1713</w:t>
      </w:r>
      <w:r>
        <w:t xml:space="preserve">, </w:t>
      </w:r>
      <w:r w:rsidRPr="005F203F">
        <w:t>par</w:t>
      </w:r>
      <w:r>
        <w:t>.</w:t>
      </w:r>
      <w:r w:rsidRPr="005F203F">
        <w:t xml:space="preserve"> 29</w:t>
      </w:r>
      <w:r>
        <w:t xml:space="preserve"> (dans cette affaire, l</w:t>
      </w:r>
      <w:r w:rsidRPr="003233EB">
        <w:t>a Ville sout</w:t>
      </w:r>
      <w:r>
        <w:t>e</w:t>
      </w:r>
      <w:r w:rsidRPr="003233EB">
        <w:t>n</w:t>
      </w:r>
      <w:r>
        <w:t>ai</w:t>
      </w:r>
      <w:r w:rsidRPr="003233EB">
        <w:t>t que la juge de la Cour municipale</w:t>
      </w:r>
      <w:r>
        <w:t xml:space="preserve"> avait</w:t>
      </w:r>
      <w:r w:rsidRPr="003233EB">
        <w:t xml:space="preserve"> enfreint la règle de justice naturelle et d’équité procédurale fondée sur le droit d’être entendu, soit la règle </w:t>
      </w:r>
      <w:r w:rsidRPr="008E1AAE">
        <w:rPr>
          <w:i/>
          <w:iCs/>
        </w:rPr>
        <w:t>audi alteram partem</w:t>
      </w:r>
      <w:r w:rsidRPr="003233EB">
        <w:t xml:space="preserve">. </w:t>
      </w:r>
      <w:r>
        <w:t>Elle</w:t>
      </w:r>
      <w:r w:rsidRPr="003233EB">
        <w:t xml:space="preserve"> demand</w:t>
      </w:r>
      <w:r>
        <w:t>ait</w:t>
      </w:r>
      <w:r w:rsidRPr="003233EB">
        <w:t xml:space="preserve"> à la Cour supérieure d’annuler le jugement de la Cour municipale et de se prononcer sur le fond de l’affaire afin d’accueillir les réclamations des frais tarifaires contre la SQI</w:t>
      </w:r>
      <w:r>
        <w:t>)</w:t>
      </w:r>
      <w:r w:rsidRPr="005F203F">
        <w:t xml:space="preserve">, qui cite </w:t>
      </w:r>
      <w:r w:rsidRPr="005F203F">
        <w:rPr>
          <w:i/>
          <w:iCs/>
        </w:rPr>
        <w:t>Établissement de Mission c Khela</w:t>
      </w:r>
      <w:r w:rsidRPr="005F203F">
        <w:t>, 2014 CSC 24</w:t>
      </w:r>
      <w:r>
        <w:t xml:space="preserve">, </w:t>
      </w:r>
      <w:r w:rsidRPr="005F203F">
        <w:t xml:space="preserve">par 79 et </w:t>
      </w:r>
      <w:r w:rsidRPr="005F203F">
        <w:rPr>
          <w:i/>
          <w:iCs/>
        </w:rPr>
        <w:t>Baker c</w:t>
      </w:r>
      <w:r w:rsidR="00FA28A1">
        <w:rPr>
          <w:i/>
          <w:iCs/>
        </w:rPr>
        <w:t>.</w:t>
      </w:r>
      <w:r w:rsidRPr="005F203F">
        <w:rPr>
          <w:i/>
          <w:iCs/>
        </w:rPr>
        <w:t xml:space="preserve"> Canada (Ministre de la Citoyenneté et de l’Immigration)</w:t>
      </w:r>
      <w:r w:rsidRPr="005F203F">
        <w:t>, 1999 CanLII 699 (CSC), [1999] 2 RCS 817</w:t>
      </w:r>
      <w:r>
        <w:t>.</w:t>
      </w:r>
    </w:p>
  </w:footnote>
  <w:footnote w:id="6">
    <w:p w14:paraId="6A8CE741" w14:textId="77777777" w:rsidR="003233EB" w:rsidRDefault="00C40124" w:rsidP="008E1AAE">
      <w:pPr>
        <w:pStyle w:val="Notedebasdepage"/>
        <w:spacing w:before="40" w:after="40"/>
        <w:ind w:left="284" w:hanging="284"/>
      </w:pPr>
      <w:r>
        <w:rPr>
          <w:rStyle w:val="Appelnotedebasdep"/>
        </w:rPr>
        <w:footnoteRef/>
      </w:r>
      <w:r>
        <w:t xml:space="preserve"> </w:t>
      </w:r>
      <w:r w:rsidR="00797FE0">
        <w:tab/>
      </w:r>
      <w:r w:rsidRPr="005F203F">
        <w:rPr>
          <w:i/>
          <w:iCs/>
        </w:rPr>
        <w:t>Société québécoise des infrastructures c Ville de Montréal</w:t>
      </w:r>
      <w:r>
        <w:rPr>
          <w:i/>
          <w:iCs/>
        </w:rPr>
        <w:t xml:space="preserve">, </w:t>
      </w:r>
      <w:r w:rsidRPr="003233EB">
        <w:rPr>
          <w:i/>
          <w:iCs/>
        </w:rPr>
        <w:t>Idem</w:t>
      </w:r>
      <w:r>
        <w:t>, par. 29.</w:t>
      </w:r>
    </w:p>
  </w:footnote>
  <w:footnote w:id="7">
    <w:p w14:paraId="3A9098DB" w14:textId="77777777" w:rsidR="003233EB" w:rsidRDefault="00C40124" w:rsidP="008E1AAE">
      <w:pPr>
        <w:pStyle w:val="Notedebasdepage"/>
        <w:spacing w:before="40" w:after="40"/>
        <w:ind w:left="284" w:hanging="284"/>
      </w:pPr>
      <w:r>
        <w:rPr>
          <w:rStyle w:val="Appelnotedebasdep"/>
        </w:rPr>
        <w:footnoteRef/>
      </w:r>
      <w:r>
        <w:t xml:space="preserve"> </w:t>
      </w:r>
      <w:r w:rsidR="00797FE0">
        <w:tab/>
      </w:r>
      <w:r w:rsidRPr="003233EB">
        <w:rPr>
          <w:i/>
          <w:iCs/>
        </w:rPr>
        <w:t>Idem</w:t>
      </w:r>
      <w:r>
        <w:t xml:space="preserve">, note en bas de page 29, citant : </w:t>
      </w:r>
      <w:r w:rsidRPr="003233EB">
        <w:rPr>
          <w:i/>
          <w:iCs/>
        </w:rPr>
        <w:t>Syndicat des travailleuses et travailleurs de ADF – CSN c. Syndicat des employés de Au Dragon forgé inc</w:t>
      </w:r>
      <w:r w:rsidRPr="003233EB">
        <w:t xml:space="preserve">., 2013 QCCA 793, par. 47; </w:t>
      </w:r>
      <w:r w:rsidRPr="003233EB">
        <w:rPr>
          <w:i/>
          <w:iCs/>
        </w:rPr>
        <w:t>Travailleurs et travailleuses unis de l’alimentation et du commerce, local 503 c. Systèmes Techno-pompes inc.</w:t>
      </w:r>
      <w:r w:rsidRPr="003233EB">
        <w:t>, 2017 QCCA 997</w:t>
      </w:r>
      <w:r w:rsidR="00CE6F57">
        <w:t xml:space="preserve"> (</w:t>
      </w:r>
      <w:r w:rsidR="00F62002">
        <w:t>« </w:t>
      </w:r>
      <w:r w:rsidR="00C15CB5" w:rsidRPr="008E1AAE">
        <w:rPr>
          <w:b/>
          <w:bCs/>
          <w:i/>
          <w:iCs/>
        </w:rPr>
        <w:t>TUAC</w:t>
      </w:r>
      <w:r w:rsidR="00C15CB5">
        <w:t> »)</w:t>
      </w:r>
      <w:r w:rsidRPr="003233EB">
        <w:t>, par. 20-21</w:t>
      </w:r>
      <w:r w:rsidR="00345447">
        <w:t xml:space="preserve"> (« c’est la norme de la décision raisonnable qui s’applique lorsque la question de la justice naturelle se pose dans le contexte de l’interprétation par le tribunal administratif de sa loi constitutive.</w:t>
      </w:r>
      <w:r w:rsidR="002A4DBB">
        <w:t> </w:t>
      </w:r>
      <w:r w:rsidR="00345447">
        <w:t>»)</w:t>
      </w:r>
      <w:r w:rsidRPr="003233EB">
        <w:t>, demande d’autorisation d’appel à la Cour suprême rejetée, 8 mars 2018, no 37732</w:t>
      </w:r>
      <w:r>
        <w:t>.</w:t>
      </w:r>
    </w:p>
  </w:footnote>
  <w:footnote w:id="8">
    <w:p w14:paraId="5844E725" w14:textId="77777777" w:rsidR="007629D9" w:rsidRDefault="00C40124" w:rsidP="008E1AAE">
      <w:pPr>
        <w:pStyle w:val="Notedebasdepage"/>
        <w:spacing w:before="40" w:after="40"/>
        <w:ind w:left="284" w:hanging="284"/>
      </w:pPr>
      <w:r>
        <w:rPr>
          <w:rStyle w:val="Appelnotedebasdep"/>
        </w:rPr>
        <w:footnoteRef/>
      </w:r>
      <w:r>
        <w:t xml:space="preserve"> </w:t>
      </w:r>
      <w:r w:rsidR="00797FE0">
        <w:tab/>
      </w:r>
      <w:r w:rsidRPr="007629D9">
        <w:rPr>
          <w:i/>
          <w:iCs/>
        </w:rPr>
        <w:t>Vavilov</w:t>
      </w:r>
      <w:r>
        <w:t>, préc.</w:t>
      </w:r>
      <w:r w:rsidR="00717D23">
        <w:t xml:space="preserve">, note </w:t>
      </w:r>
      <w:r>
        <w:t>3</w:t>
      </w:r>
      <w:r w:rsidR="004F38F7">
        <w:t>.</w:t>
      </w:r>
    </w:p>
  </w:footnote>
  <w:footnote w:id="9">
    <w:p w14:paraId="66644B42" w14:textId="77777777" w:rsidR="001E7CCB" w:rsidRDefault="00C40124" w:rsidP="008E1AAE">
      <w:pPr>
        <w:pStyle w:val="Notedebasdepage"/>
        <w:spacing w:before="40" w:after="40"/>
        <w:ind w:left="284" w:hanging="284"/>
      </w:pPr>
      <w:r>
        <w:rPr>
          <w:rStyle w:val="Appelnotedebasdep"/>
        </w:rPr>
        <w:footnoteRef/>
      </w:r>
      <w:r>
        <w:t xml:space="preserve"> </w:t>
      </w:r>
      <w:r w:rsidR="00797FE0">
        <w:tab/>
      </w:r>
      <w:r>
        <w:t>Décision, par. 31.</w:t>
      </w:r>
    </w:p>
  </w:footnote>
  <w:footnote w:id="10">
    <w:p w14:paraId="30A8147F" w14:textId="77777777" w:rsidR="00440832" w:rsidRDefault="00C40124" w:rsidP="008E1AAE">
      <w:pPr>
        <w:pStyle w:val="Notedebasdepage"/>
        <w:spacing w:before="40" w:after="40"/>
        <w:ind w:left="284" w:hanging="284"/>
      </w:pPr>
      <w:r>
        <w:rPr>
          <w:rStyle w:val="Appelnotedebasdep"/>
        </w:rPr>
        <w:footnoteRef/>
      </w:r>
      <w:r>
        <w:t xml:space="preserve"> </w:t>
      </w:r>
      <w:r w:rsidR="00797FE0">
        <w:tab/>
      </w:r>
      <w:r w:rsidRPr="005F203F">
        <w:rPr>
          <w:i/>
          <w:iCs/>
        </w:rPr>
        <w:t>Girard c</w:t>
      </w:r>
      <w:r w:rsidR="00FF6EF8">
        <w:rPr>
          <w:i/>
          <w:iCs/>
        </w:rPr>
        <w:t>.</w:t>
      </w:r>
      <w:r w:rsidRPr="005F203F">
        <w:rPr>
          <w:i/>
          <w:iCs/>
        </w:rPr>
        <w:t xml:space="preserve"> Yacht Club de Québec</w:t>
      </w:r>
      <w:r w:rsidRPr="005F203F">
        <w:t>, 2016 QCCS 3100</w:t>
      </w:r>
      <w:r w:rsidR="00760A42">
        <w:t>,</w:t>
      </w:r>
      <w:r w:rsidRPr="005F203F">
        <w:t xml:space="preserve"> par</w:t>
      </w:r>
      <w:r w:rsidR="00760A42">
        <w:t>.</w:t>
      </w:r>
      <w:r w:rsidRPr="005F203F">
        <w:t xml:space="preserve"> 37.</w:t>
      </w:r>
      <w:r>
        <w:t xml:space="preserve"> Voir aussi : </w:t>
      </w:r>
      <w:r w:rsidRPr="005F203F">
        <w:t xml:space="preserve">Simon </w:t>
      </w:r>
      <w:r>
        <w:t>RUEL</w:t>
      </w:r>
      <w:r w:rsidRPr="005F203F">
        <w:t xml:space="preserve">, Paul-David </w:t>
      </w:r>
      <w:r>
        <w:t>CHOUINARD</w:t>
      </w:r>
      <w:r w:rsidRPr="005F203F">
        <w:t xml:space="preserve">, Jordan </w:t>
      </w:r>
      <w:r>
        <w:t>MAYER</w:t>
      </w:r>
      <w:r w:rsidRPr="005F203F">
        <w:t xml:space="preserve">, </w:t>
      </w:r>
      <w:r w:rsidRPr="005F203F">
        <w:rPr>
          <w:i/>
          <w:iCs/>
        </w:rPr>
        <w:t>L’équité procédurale en droit administratif canadien</w:t>
      </w:r>
      <w:r w:rsidRPr="005F203F">
        <w:t>, Montréal, Yvon Blais, 2026, aux p</w:t>
      </w:r>
      <w:r w:rsidR="00A44C17">
        <w:t>p</w:t>
      </w:r>
      <w:r w:rsidRPr="005F203F">
        <w:t xml:space="preserve"> 17-33 (en ligne : EYB2026EPD9, La référence)</w:t>
      </w:r>
      <w:r>
        <w:t>.</w:t>
      </w:r>
    </w:p>
  </w:footnote>
  <w:footnote w:id="11">
    <w:p w14:paraId="3B2706BB" w14:textId="77777777" w:rsidR="00AE4072" w:rsidRDefault="00C40124" w:rsidP="008E1AAE">
      <w:pPr>
        <w:pStyle w:val="Notedebasdepage"/>
        <w:spacing w:before="40" w:after="40"/>
        <w:ind w:left="284" w:hanging="284"/>
      </w:pPr>
      <w:r>
        <w:rPr>
          <w:rStyle w:val="Appelnotedebasdep"/>
        </w:rPr>
        <w:footnoteRef/>
      </w:r>
      <w:r>
        <w:t xml:space="preserve"> </w:t>
      </w:r>
      <w:r w:rsidR="00797FE0">
        <w:tab/>
      </w:r>
      <w:r w:rsidRPr="00AA68DB">
        <w:t>T-15.1</w:t>
      </w:r>
      <w:r>
        <w:t xml:space="preserve"> (« </w:t>
      </w:r>
      <w:r w:rsidRPr="00645626">
        <w:rPr>
          <w:b/>
          <w:bCs/>
        </w:rPr>
        <w:t>LITAT</w:t>
      </w:r>
      <w:r>
        <w:t> »).</w:t>
      </w:r>
    </w:p>
  </w:footnote>
  <w:footnote w:id="12">
    <w:p w14:paraId="633A0F6B" w14:textId="77777777" w:rsidR="007629D9" w:rsidRDefault="00C40124" w:rsidP="008E1AAE">
      <w:pPr>
        <w:pStyle w:val="Notedebasdepage"/>
        <w:spacing w:before="40" w:after="40"/>
        <w:ind w:left="284" w:hanging="284"/>
      </w:pPr>
      <w:r>
        <w:rPr>
          <w:rStyle w:val="Appelnotedebasdep"/>
        </w:rPr>
        <w:footnoteRef/>
      </w:r>
      <w:r>
        <w:t xml:space="preserve"> </w:t>
      </w:r>
      <w:r w:rsidR="00797FE0">
        <w:tab/>
      </w:r>
      <w:r w:rsidRPr="00AF567F">
        <w:rPr>
          <w:i/>
          <w:iCs/>
        </w:rPr>
        <w:t>Baker c. Canada (Ministre de la Citoyenneté et de l'Immigration),</w:t>
      </w:r>
      <w:r w:rsidRPr="00AF567F">
        <w:t xml:space="preserve"> 1999 CanLII 699 (CSC), [1999] 2 RCS 817</w:t>
      </w:r>
      <w:r>
        <w:t>, par. 23</w:t>
      </w:r>
      <w:r w:rsidRPr="00AF567F">
        <w:t>.</w:t>
      </w:r>
    </w:p>
  </w:footnote>
  <w:footnote w:id="13">
    <w:p w14:paraId="456E73C2" w14:textId="77777777" w:rsidR="007629D9" w:rsidRDefault="00C40124" w:rsidP="008E1AAE">
      <w:pPr>
        <w:pStyle w:val="Notedebasdepage"/>
        <w:spacing w:before="40" w:after="40"/>
        <w:ind w:left="284" w:hanging="284"/>
      </w:pPr>
      <w:r>
        <w:rPr>
          <w:rStyle w:val="Appelnotedebasdep"/>
        </w:rPr>
        <w:footnoteRef/>
      </w:r>
      <w:r>
        <w:t xml:space="preserve"> </w:t>
      </w:r>
      <w:r w:rsidR="0009261B">
        <w:tab/>
      </w:r>
      <w:r w:rsidRPr="00AF567F">
        <w:rPr>
          <w:i/>
          <w:iCs/>
        </w:rPr>
        <w:t>Idem</w:t>
      </w:r>
      <w:r>
        <w:t>, par. 28.</w:t>
      </w:r>
    </w:p>
  </w:footnote>
  <w:footnote w:id="14">
    <w:p w14:paraId="395BA4EE" w14:textId="77777777" w:rsidR="007629D9" w:rsidRDefault="00C40124" w:rsidP="008E1AAE">
      <w:pPr>
        <w:pStyle w:val="Notedebasdepage"/>
        <w:spacing w:before="40" w:after="40"/>
        <w:ind w:left="284" w:hanging="284"/>
      </w:pPr>
      <w:r>
        <w:rPr>
          <w:rStyle w:val="Appelnotedebasdep"/>
        </w:rPr>
        <w:footnoteRef/>
      </w:r>
      <w:r>
        <w:t xml:space="preserve"> </w:t>
      </w:r>
      <w:r w:rsidR="0009261B">
        <w:tab/>
      </w:r>
      <w:r w:rsidRPr="00B05E48">
        <w:rPr>
          <w:i/>
          <w:iCs/>
        </w:rPr>
        <w:t>Myers c. Tribunal administratif du travail</w:t>
      </w:r>
      <w:r w:rsidRPr="00B05E48">
        <w:t>, 2026 QCCS 3342</w:t>
      </w:r>
      <w:r>
        <w:t>.</w:t>
      </w:r>
    </w:p>
  </w:footnote>
  <w:footnote w:id="15">
    <w:p w14:paraId="0BD314EF" w14:textId="77777777" w:rsidR="00645626" w:rsidRDefault="00C40124" w:rsidP="008E1AAE">
      <w:pPr>
        <w:pStyle w:val="Notedebasdepage"/>
        <w:spacing w:before="40" w:after="40"/>
        <w:ind w:left="284" w:hanging="284"/>
      </w:pPr>
      <w:r>
        <w:rPr>
          <w:rStyle w:val="Appelnotedebasdep"/>
        </w:rPr>
        <w:footnoteRef/>
      </w:r>
      <w:r>
        <w:t xml:space="preserve"> </w:t>
      </w:r>
      <w:r w:rsidR="0009261B">
        <w:tab/>
      </w:r>
      <w:r>
        <w:t>Art. 1 al. 2 LITAT.</w:t>
      </w:r>
    </w:p>
  </w:footnote>
  <w:footnote w:id="16">
    <w:p w14:paraId="3BD6B977" w14:textId="77777777" w:rsidR="00440832" w:rsidRDefault="00C40124" w:rsidP="008E1AAE">
      <w:pPr>
        <w:pStyle w:val="Notedebasdepage"/>
        <w:spacing w:before="40" w:after="40"/>
        <w:ind w:left="284" w:hanging="284"/>
      </w:pPr>
      <w:r>
        <w:rPr>
          <w:rStyle w:val="Appelnotedebasdep"/>
        </w:rPr>
        <w:footnoteRef/>
      </w:r>
      <w:r>
        <w:t xml:space="preserve"> </w:t>
      </w:r>
      <w:r w:rsidR="0009261B">
        <w:tab/>
      </w:r>
      <w:r w:rsidR="00AA68DB" w:rsidRPr="00AA68DB">
        <w:rPr>
          <w:i/>
          <w:iCs/>
        </w:rPr>
        <w:t>Dostie c. Procureur général du Canada</w:t>
      </w:r>
      <w:r w:rsidR="00AA68DB" w:rsidRPr="00AA68DB">
        <w:t>, 2022 QCCA 1652</w:t>
      </w:r>
      <w:r w:rsidR="00AA68DB">
        <w:t>, par. 26, demande de permission d’appel à la CSC rejetée</w:t>
      </w:r>
      <w:r w:rsidR="00F84ABB">
        <w:t>,</w:t>
      </w:r>
      <w:r w:rsidR="00AA68DB">
        <w:t xml:space="preserve"> 2023-07-27 (C.S. Can. 40597), par. 26.</w:t>
      </w:r>
    </w:p>
  </w:footnote>
  <w:footnote w:id="17">
    <w:p w14:paraId="3795DD40" w14:textId="77777777" w:rsidR="00D94935" w:rsidRPr="008E1AAE" w:rsidRDefault="00C40124" w:rsidP="008E1AAE">
      <w:pPr>
        <w:pStyle w:val="Notedebasdepage"/>
        <w:spacing w:before="40" w:after="40"/>
        <w:ind w:left="284" w:hanging="284"/>
        <w:rPr>
          <w:lang w:val="en-CA"/>
        </w:rPr>
      </w:pPr>
      <w:r>
        <w:rPr>
          <w:rStyle w:val="Appelnotedebasdep"/>
        </w:rPr>
        <w:footnoteRef/>
      </w:r>
      <w:r w:rsidRPr="008E1AAE">
        <w:rPr>
          <w:lang w:val="en-CA"/>
        </w:rPr>
        <w:t xml:space="preserve"> </w:t>
      </w:r>
      <w:r w:rsidR="0009261B" w:rsidRPr="008E1AAE">
        <w:rPr>
          <w:lang w:val="en-CA"/>
        </w:rPr>
        <w:tab/>
      </w:r>
      <w:r w:rsidR="000F5AFF" w:rsidRPr="008E1AAE">
        <w:rPr>
          <w:i/>
          <w:iCs/>
          <w:lang w:val="en-CA"/>
        </w:rPr>
        <w:t>Canada (Procureur général) c. Downtown Eastside Sex Workers United Against Violence Society</w:t>
      </w:r>
      <w:r w:rsidR="000F5AFF">
        <w:rPr>
          <w:lang w:val="en-CA"/>
        </w:rPr>
        <w:t>,</w:t>
      </w:r>
      <w:r w:rsidR="000F5AFF" w:rsidRPr="008E1AAE">
        <w:rPr>
          <w:lang w:val="en-CA"/>
        </w:rPr>
        <w:t xml:space="preserve"> </w:t>
      </w:r>
      <w:r w:rsidRPr="008E1AAE">
        <w:rPr>
          <w:lang w:val="en-CA"/>
        </w:rPr>
        <w:t>2012 CSC 45 («</w:t>
      </w:r>
      <w:r w:rsidR="00066C5E">
        <w:rPr>
          <w:lang w:val="en-CA"/>
        </w:rPr>
        <w:t> </w:t>
      </w:r>
      <w:r w:rsidRPr="008E1AAE">
        <w:rPr>
          <w:b/>
          <w:bCs/>
          <w:i/>
          <w:iCs/>
          <w:lang w:val="en-CA"/>
        </w:rPr>
        <w:t>Downtown Eastside</w:t>
      </w:r>
      <w:r w:rsidR="00066C5E">
        <w:rPr>
          <w:lang w:val="en-CA"/>
        </w:rPr>
        <w:t> </w:t>
      </w:r>
      <w:r w:rsidRPr="008E1AAE">
        <w:rPr>
          <w:lang w:val="en-CA"/>
        </w:rPr>
        <w:t>»).</w:t>
      </w:r>
    </w:p>
  </w:footnote>
  <w:footnote w:id="18">
    <w:p w14:paraId="0B55C3FC" w14:textId="77777777" w:rsidR="00D94935" w:rsidRDefault="00C40124" w:rsidP="008E1AAE">
      <w:pPr>
        <w:pStyle w:val="Notedebasdepage"/>
        <w:spacing w:before="40" w:after="40"/>
        <w:ind w:left="284" w:hanging="284"/>
      </w:pPr>
      <w:r>
        <w:rPr>
          <w:rStyle w:val="Appelnotedebasdep"/>
        </w:rPr>
        <w:footnoteRef/>
      </w:r>
      <w:r>
        <w:t xml:space="preserve"> </w:t>
      </w:r>
      <w:r w:rsidR="0009261B">
        <w:tab/>
      </w:r>
      <w:r w:rsidRPr="00D94935">
        <w:rPr>
          <w:i/>
          <w:iCs/>
        </w:rPr>
        <w:t>Fédération des médecins spécialistes du Québec c. Procureur général du Québec</w:t>
      </w:r>
      <w:r w:rsidRPr="00D94935">
        <w:t>, 2025 QCCS 3854 («</w:t>
      </w:r>
      <w:r w:rsidR="00A7797F">
        <w:t> </w:t>
      </w:r>
      <w:r w:rsidRPr="00D94935">
        <w:rPr>
          <w:b/>
          <w:bCs/>
          <w:i/>
          <w:iCs/>
        </w:rPr>
        <w:t>Fédération des médecins spécialistes</w:t>
      </w:r>
      <w:r w:rsidR="00A7797F">
        <w:t> </w:t>
      </w:r>
      <w:r w:rsidRPr="00D94935">
        <w:t>»)</w:t>
      </w:r>
      <w:r>
        <w:t>.</w:t>
      </w:r>
    </w:p>
  </w:footnote>
  <w:footnote w:id="19">
    <w:p w14:paraId="744C44F4" w14:textId="77777777" w:rsidR="00AE4072" w:rsidRDefault="00C40124" w:rsidP="008E1AAE">
      <w:pPr>
        <w:pStyle w:val="Notedebasdepage"/>
        <w:spacing w:before="40" w:after="40"/>
        <w:ind w:left="284" w:hanging="284"/>
      </w:pPr>
      <w:r>
        <w:rPr>
          <w:rStyle w:val="Appelnotedebasdep"/>
        </w:rPr>
        <w:footnoteRef/>
      </w:r>
      <w:r>
        <w:t xml:space="preserve"> </w:t>
      </w:r>
      <w:r w:rsidR="0009261B">
        <w:tab/>
      </w:r>
      <w:r>
        <w:t>Décision, par. 34.</w:t>
      </w:r>
    </w:p>
  </w:footnote>
  <w:footnote w:id="20">
    <w:p w14:paraId="2CFE3D80" w14:textId="77777777" w:rsidR="007D3DCA" w:rsidRDefault="00C40124" w:rsidP="008E1AAE">
      <w:pPr>
        <w:pStyle w:val="Notedebasdepage"/>
        <w:spacing w:before="40" w:after="40"/>
        <w:ind w:left="284" w:hanging="284"/>
      </w:pPr>
      <w:r>
        <w:rPr>
          <w:rStyle w:val="Appelnotedebasdep"/>
        </w:rPr>
        <w:footnoteRef/>
      </w:r>
      <w:r>
        <w:t xml:space="preserve"> </w:t>
      </w:r>
      <w:r w:rsidR="0009261B">
        <w:tab/>
      </w:r>
      <w:r w:rsidRPr="007D3DCA">
        <w:rPr>
          <w:i/>
          <w:iCs/>
        </w:rPr>
        <w:t>Idem</w:t>
      </w:r>
      <w:r>
        <w:t>.</w:t>
      </w:r>
    </w:p>
  </w:footnote>
  <w:footnote w:id="21">
    <w:p w14:paraId="308A30E4" w14:textId="77777777" w:rsidR="00A46385" w:rsidRDefault="00C40124" w:rsidP="008E1AAE">
      <w:pPr>
        <w:pStyle w:val="Notedebasdepage"/>
        <w:spacing w:before="40" w:after="40"/>
        <w:ind w:left="284" w:hanging="284"/>
      </w:pPr>
      <w:r>
        <w:rPr>
          <w:rStyle w:val="Appelnotedebasdep"/>
        </w:rPr>
        <w:footnoteRef/>
      </w:r>
      <w:r>
        <w:t xml:space="preserve"> </w:t>
      </w:r>
      <w:r w:rsidR="0009261B">
        <w:tab/>
      </w:r>
      <w:r>
        <w:t>Décision, par. 36 et 37.</w:t>
      </w:r>
    </w:p>
  </w:footnote>
  <w:footnote w:id="22">
    <w:p w14:paraId="4082690E" w14:textId="77777777" w:rsidR="00A46385" w:rsidRDefault="00C40124" w:rsidP="008E1AAE">
      <w:pPr>
        <w:pStyle w:val="Notedebasdepage"/>
        <w:spacing w:before="40" w:after="40"/>
        <w:ind w:left="284" w:hanging="284"/>
      </w:pPr>
      <w:r>
        <w:rPr>
          <w:rStyle w:val="Appelnotedebasdep"/>
        </w:rPr>
        <w:footnoteRef/>
      </w:r>
      <w:r>
        <w:t xml:space="preserve"> </w:t>
      </w:r>
      <w:r w:rsidR="0009261B">
        <w:tab/>
      </w:r>
      <w:r>
        <w:t>Décision, par. 39.</w:t>
      </w:r>
    </w:p>
  </w:footnote>
  <w:footnote w:id="23">
    <w:p w14:paraId="660509D6" w14:textId="77777777" w:rsidR="00A46385" w:rsidRDefault="00C40124" w:rsidP="008E1AAE">
      <w:pPr>
        <w:pStyle w:val="Notedebasdepage"/>
        <w:spacing w:before="40" w:after="40"/>
        <w:ind w:left="284" w:hanging="284"/>
      </w:pPr>
      <w:r>
        <w:rPr>
          <w:rStyle w:val="Appelnotedebasdep"/>
        </w:rPr>
        <w:footnoteRef/>
      </w:r>
      <w:r>
        <w:t xml:space="preserve"> </w:t>
      </w:r>
      <w:r w:rsidR="0009261B">
        <w:tab/>
      </w:r>
      <w:r>
        <w:t>Décision, par. 40.</w:t>
      </w:r>
    </w:p>
  </w:footnote>
  <w:footnote w:id="24">
    <w:p w14:paraId="6A574915" w14:textId="77777777" w:rsidR="00517D54" w:rsidRDefault="00C40124" w:rsidP="008E1AAE">
      <w:pPr>
        <w:pStyle w:val="Notedebasdepage"/>
        <w:spacing w:before="40" w:after="40"/>
        <w:ind w:left="284" w:hanging="284"/>
      </w:pPr>
      <w:r>
        <w:rPr>
          <w:rStyle w:val="Appelnotedebasdep"/>
        </w:rPr>
        <w:footnoteRef/>
      </w:r>
      <w:r>
        <w:t xml:space="preserve"> </w:t>
      </w:r>
      <w:r w:rsidR="0009261B">
        <w:tab/>
      </w:r>
      <w:r w:rsidRPr="00517D54">
        <w:rPr>
          <w:i/>
          <w:iCs/>
        </w:rPr>
        <w:t>Bureau en gros (</w:t>
      </w:r>
      <w:r>
        <w:rPr>
          <w:i/>
          <w:iCs/>
        </w:rPr>
        <w:t>B</w:t>
      </w:r>
      <w:r w:rsidRPr="00517D54">
        <w:rPr>
          <w:i/>
          <w:iCs/>
        </w:rPr>
        <w:t>usiness Dépôt) c. Travailleurs et travailleuses unis de l’alimentation et du commerce, local 500</w:t>
      </w:r>
      <w:r>
        <w:t xml:space="preserve">, TAT, 9 octobre 2001, AZ-50101413, cité dans Michel COUTU, Laurence LÉA FONTAINE, Georges MARCEAU et Urwana COIQUAUD, </w:t>
      </w:r>
      <w:r w:rsidRPr="00517D54">
        <w:rPr>
          <w:i/>
          <w:iCs/>
        </w:rPr>
        <w:t>Droit des rapports collectifs du travail au Québe</w:t>
      </w:r>
      <w:r>
        <w:t>c</w:t>
      </w:r>
      <w:r w:rsidR="00C80402">
        <w:t>,</w:t>
      </w:r>
      <w:r>
        <w:t xml:space="preserve"> – 2</w:t>
      </w:r>
      <w:r w:rsidRPr="00517D54">
        <w:rPr>
          <w:vertAlign w:val="superscript"/>
        </w:rPr>
        <w:t>e</w:t>
      </w:r>
      <w:r>
        <w:t xml:space="preserve"> éd., Vol. 1 – régime général, </w:t>
      </w:r>
      <w:r w:rsidR="009A1BEA">
        <w:t>Cowansville</w:t>
      </w:r>
      <w:r>
        <w:t>, Yvon Blais, 2013, note en bas de page 58, p</w:t>
      </w:r>
      <w:r w:rsidR="00A546A2">
        <w:t>p</w:t>
      </w:r>
      <w:r>
        <w:t>. 440-441.</w:t>
      </w:r>
    </w:p>
  </w:footnote>
  <w:footnote w:id="25">
    <w:p w14:paraId="319B8B83" w14:textId="77777777" w:rsidR="00D11411" w:rsidRDefault="00C40124" w:rsidP="00D11411">
      <w:pPr>
        <w:pStyle w:val="Notedebasdepage"/>
        <w:spacing w:before="40" w:after="40"/>
        <w:ind w:left="284" w:hanging="284"/>
      </w:pPr>
      <w:r>
        <w:rPr>
          <w:rStyle w:val="Appelnotedebasdep"/>
        </w:rPr>
        <w:footnoteRef/>
      </w:r>
      <w:r>
        <w:t xml:space="preserve"> </w:t>
      </w:r>
      <w:r>
        <w:tab/>
      </w:r>
      <w:r w:rsidRPr="00AF7B27">
        <w:t xml:space="preserve">Michel COUTU et </w:t>
      </w:r>
      <w:r>
        <w:t>a</w:t>
      </w:r>
      <w:r w:rsidRPr="00AF7B27">
        <w:t xml:space="preserve">l., </w:t>
      </w:r>
      <w:r w:rsidRPr="005E3351">
        <w:rPr>
          <w:i/>
          <w:iCs/>
        </w:rPr>
        <w:t>Droit des rapports collectifs du travail au Québec</w:t>
      </w:r>
      <w:r w:rsidRPr="00AF7B27">
        <w:t xml:space="preserve">, 3ᵉ éd., </w:t>
      </w:r>
      <w:r w:rsidRPr="00C37C61">
        <w:t>Montréal</w:t>
      </w:r>
      <w:r>
        <w:t xml:space="preserve">, </w:t>
      </w:r>
      <w:r w:rsidRPr="00AF7B27">
        <w:t>Yvon Blais, 2019</w:t>
      </w:r>
      <w:r>
        <w:t>.</w:t>
      </w:r>
    </w:p>
  </w:footnote>
  <w:footnote w:id="26">
    <w:p w14:paraId="3743F51C" w14:textId="77777777" w:rsidR="00517D54" w:rsidRDefault="00C40124" w:rsidP="008E1AAE">
      <w:pPr>
        <w:pStyle w:val="Notedebasdepage"/>
        <w:spacing w:before="40" w:after="40"/>
        <w:ind w:left="284" w:hanging="284"/>
      </w:pPr>
      <w:r>
        <w:rPr>
          <w:rStyle w:val="Appelnotedebasdep"/>
        </w:rPr>
        <w:footnoteRef/>
      </w:r>
      <w:r>
        <w:t xml:space="preserve"> </w:t>
      </w:r>
      <w:r w:rsidR="00DE40AF">
        <w:tab/>
      </w:r>
      <w:r>
        <w:t xml:space="preserve">COUTU et al., </w:t>
      </w:r>
      <w:r w:rsidRPr="00517D54">
        <w:rPr>
          <w:i/>
          <w:iCs/>
        </w:rPr>
        <w:t>idem</w:t>
      </w:r>
      <w:r>
        <w:t xml:space="preserve">, citant </w:t>
      </w:r>
      <w:r w:rsidRPr="00517D54">
        <w:rPr>
          <w:i/>
          <w:iCs/>
        </w:rPr>
        <w:t xml:space="preserve">Groupe Dynamite inc. c. Conseil du Québec </w:t>
      </w:r>
      <w:r w:rsidR="00047241">
        <w:rPr>
          <w:i/>
          <w:iCs/>
        </w:rPr>
        <w:t xml:space="preserve">- </w:t>
      </w:r>
      <w:r w:rsidRPr="00517D54">
        <w:rPr>
          <w:i/>
          <w:iCs/>
        </w:rPr>
        <w:t>Unite Here,</w:t>
      </w:r>
      <w:r>
        <w:t xml:space="preserve"> 2006 QCCRT 588.</w:t>
      </w:r>
    </w:p>
  </w:footnote>
  <w:footnote w:id="27">
    <w:p w14:paraId="451F08D1" w14:textId="77777777" w:rsidR="009A1BEA" w:rsidRDefault="00C40124" w:rsidP="008E1AAE">
      <w:pPr>
        <w:pStyle w:val="Notedebasdepage"/>
        <w:spacing w:before="40" w:after="40"/>
        <w:ind w:left="284" w:hanging="284"/>
      </w:pPr>
      <w:r>
        <w:rPr>
          <w:rStyle w:val="Appelnotedebasdep"/>
        </w:rPr>
        <w:footnoteRef/>
      </w:r>
      <w:r>
        <w:t xml:space="preserve"> </w:t>
      </w:r>
      <w:r w:rsidR="00E844CB">
        <w:tab/>
      </w:r>
      <w:r>
        <w:t xml:space="preserve">Michel COUTU et Georges MARCEAU, </w:t>
      </w:r>
      <w:r w:rsidRPr="009A1BEA">
        <w:rPr>
          <w:i/>
          <w:iCs/>
        </w:rPr>
        <w:t>Droit administratif du travail</w:t>
      </w:r>
      <w:r>
        <w:t>, Cowansville, Yvon Blais, 2007, p. 258.</w:t>
      </w:r>
    </w:p>
  </w:footnote>
  <w:footnote w:id="28">
    <w:p w14:paraId="52A20501" w14:textId="77777777" w:rsidR="004B2BB0" w:rsidRDefault="00C40124" w:rsidP="008E1AAE">
      <w:pPr>
        <w:pStyle w:val="Notedebasdepage"/>
        <w:spacing w:before="40" w:after="40"/>
        <w:ind w:left="284" w:hanging="284"/>
      </w:pPr>
      <w:r>
        <w:rPr>
          <w:rStyle w:val="Appelnotedebasdep"/>
        </w:rPr>
        <w:footnoteRef/>
      </w:r>
      <w:r>
        <w:t xml:space="preserve"> </w:t>
      </w:r>
      <w:r w:rsidR="00E844CB">
        <w:tab/>
      </w:r>
      <w:r w:rsidRPr="004B2BB0">
        <w:rPr>
          <w:i/>
          <w:iCs/>
        </w:rPr>
        <w:t>Centrale des syndicats du Québec c. Procureure général du Québec</w:t>
      </w:r>
      <w:r w:rsidRPr="004B2BB0">
        <w:t xml:space="preserve">, 2017 QCCA 1288, </w:t>
      </w:r>
      <w:r w:rsidR="009D6D11" w:rsidRPr="004B2BB0">
        <w:t>par. 70</w:t>
      </w:r>
      <w:r w:rsidR="009D6D11">
        <w:t>,</w:t>
      </w:r>
      <w:r w:rsidR="009D6D11" w:rsidRPr="004B2BB0">
        <w:t xml:space="preserve"> </w:t>
      </w:r>
      <w:r w:rsidRPr="004B2BB0">
        <w:t>(demande d’autorisation d’appel à la Cour suprême rejetée, 26 avril 2018, no 37821).</w:t>
      </w:r>
    </w:p>
  </w:footnote>
  <w:footnote w:id="29">
    <w:p w14:paraId="2CA6D15B" w14:textId="77777777" w:rsidR="004B2BB0" w:rsidRDefault="00C40124" w:rsidP="008E1AAE">
      <w:pPr>
        <w:pStyle w:val="Notedebasdepage"/>
        <w:spacing w:before="40" w:after="40"/>
        <w:ind w:left="284" w:hanging="284"/>
      </w:pPr>
      <w:r>
        <w:rPr>
          <w:rStyle w:val="Appelnotedebasdep"/>
        </w:rPr>
        <w:footnoteRef/>
      </w:r>
      <w:r>
        <w:t xml:space="preserve"> </w:t>
      </w:r>
      <w:r w:rsidR="00E844CB">
        <w:tab/>
      </w:r>
      <w:r w:rsidRPr="004B2BB0">
        <w:rPr>
          <w:i/>
          <w:iCs/>
        </w:rPr>
        <w:t>Idem</w:t>
      </w:r>
      <w:r>
        <w:t xml:space="preserve">. </w:t>
      </w:r>
    </w:p>
  </w:footnote>
  <w:footnote w:id="30">
    <w:p w14:paraId="16BA494F" w14:textId="77777777" w:rsidR="00A46385" w:rsidRDefault="00C40124" w:rsidP="008E1AAE">
      <w:pPr>
        <w:pStyle w:val="Notedebasdepage"/>
        <w:spacing w:before="40" w:after="40"/>
        <w:ind w:left="284" w:hanging="284"/>
      </w:pPr>
      <w:r>
        <w:rPr>
          <w:rStyle w:val="Appelnotedebasdep"/>
        </w:rPr>
        <w:footnoteRef/>
      </w:r>
      <w:r>
        <w:t xml:space="preserve"> </w:t>
      </w:r>
      <w:r w:rsidR="00E844CB">
        <w:tab/>
      </w:r>
      <w:r>
        <w:t>Décision, par. 41ss.</w:t>
      </w:r>
    </w:p>
  </w:footnote>
  <w:footnote w:id="31">
    <w:p w14:paraId="039B067D" w14:textId="77777777" w:rsidR="004B2BB0" w:rsidRDefault="00C40124" w:rsidP="008E1AAE">
      <w:pPr>
        <w:pStyle w:val="Notedebasdepage"/>
        <w:spacing w:before="40" w:after="40"/>
        <w:ind w:left="284" w:hanging="284"/>
      </w:pPr>
      <w:r>
        <w:rPr>
          <w:rStyle w:val="Appelnotedebasdep"/>
        </w:rPr>
        <w:footnoteRef/>
      </w:r>
      <w:r>
        <w:t xml:space="preserve"> </w:t>
      </w:r>
      <w:r w:rsidR="00E844CB">
        <w:tab/>
      </w:r>
      <w:r w:rsidRPr="004B2BB0">
        <w:rPr>
          <w:i/>
          <w:iCs/>
        </w:rPr>
        <w:t>Colombie-Britannique (Procureur général) c. Conseil des Canadiens avec déficiences</w:t>
      </w:r>
      <w:r w:rsidRPr="004B2BB0">
        <w:t>, 2022 CSC 27, par. 28</w:t>
      </w:r>
      <w:r w:rsidR="00100BBF">
        <w:t>, (</w:t>
      </w:r>
      <w:r w:rsidR="008260EC">
        <w:t>« </w:t>
      </w:r>
      <w:r w:rsidR="008260EC" w:rsidRPr="008E1AAE">
        <w:rPr>
          <w:i/>
          <w:iCs/>
        </w:rPr>
        <w:t>Conseil des Canadiens avec déficiences</w:t>
      </w:r>
      <w:r w:rsidR="008260EC">
        <w:rPr>
          <w:i/>
          <w:iCs/>
        </w:rPr>
        <w:t> </w:t>
      </w:r>
      <w:r w:rsidR="00E73B79" w:rsidRPr="008E1AAE">
        <w:t>»</w:t>
      </w:r>
      <w:r w:rsidR="00F51688">
        <w:t>)</w:t>
      </w:r>
      <w:r w:rsidRPr="004B2BB0">
        <w:t xml:space="preserve">; </w:t>
      </w:r>
      <w:r w:rsidRPr="004B2BB0">
        <w:rPr>
          <w:i/>
          <w:iCs/>
        </w:rPr>
        <w:t>Downtown Eastside</w:t>
      </w:r>
      <w:r w:rsidR="00A83BC4">
        <w:rPr>
          <w:i/>
          <w:iCs/>
        </w:rPr>
        <w:t xml:space="preserve">, </w:t>
      </w:r>
      <w:r w:rsidR="00A83BC4">
        <w:t>préc.</w:t>
      </w:r>
      <w:r w:rsidR="00CE1E73">
        <w:t>,</w:t>
      </w:r>
      <w:r w:rsidR="00A83BC4">
        <w:t xml:space="preserve"> note </w:t>
      </w:r>
      <w:r>
        <w:t>17</w:t>
      </w:r>
      <w:r w:rsidRPr="004B2BB0">
        <w:t xml:space="preserve">, par. 2 et 35 </w:t>
      </w:r>
      <w:r>
        <w:t>ss</w:t>
      </w:r>
      <w:r w:rsidRPr="004B2BB0">
        <w:t>.</w:t>
      </w:r>
      <w:r w:rsidR="00894C88">
        <w:t>.</w:t>
      </w:r>
      <w:r w:rsidR="005D5A39">
        <w:t xml:space="preserve"> Le TAT cite aussi l’arrêt </w:t>
      </w:r>
      <w:r w:rsidR="005D5A39" w:rsidRPr="005D5A39">
        <w:rPr>
          <w:i/>
          <w:iCs/>
        </w:rPr>
        <w:t>Conseil des Canadiens avec déficiences</w:t>
      </w:r>
      <w:r w:rsidR="005D5A39" w:rsidRPr="005D5A39">
        <w:t xml:space="preserve">, </w:t>
      </w:r>
      <w:r w:rsidR="004C1693">
        <w:rPr>
          <w:i/>
          <w:iCs/>
        </w:rPr>
        <w:t>idem</w:t>
      </w:r>
      <w:r w:rsidR="005D5A39" w:rsidRPr="005D5A39">
        <w:t>, par. 67</w:t>
      </w:r>
      <w:r w:rsidR="005D5A39">
        <w:t xml:space="preserve">, qui est venu préciser le troisième critère de </w:t>
      </w:r>
      <w:r w:rsidR="005D5A39" w:rsidRPr="005D5A39">
        <w:rPr>
          <w:i/>
          <w:iCs/>
        </w:rPr>
        <w:t>Downtown Eastside</w:t>
      </w:r>
      <w:r w:rsidR="005D5A39">
        <w:t>.</w:t>
      </w:r>
    </w:p>
  </w:footnote>
  <w:footnote w:id="32">
    <w:p w14:paraId="6D549205" w14:textId="77777777" w:rsidR="005D5A39" w:rsidRDefault="00C40124" w:rsidP="008E1AAE">
      <w:pPr>
        <w:pStyle w:val="Notedebasdepage"/>
        <w:spacing w:before="40" w:after="40"/>
        <w:ind w:left="284" w:hanging="284"/>
      </w:pPr>
      <w:r>
        <w:rPr>
          <w:rStyle w:val="Appelnotedebasdep"/>
        </w:rPr>
        <w:footnoteRef/>
      </w:r>
      <w:r>
        <w:t xml:space="preserve"> </w:t>
      </w:r>
      <w:r w:rsidR="00E844CB">
        <w:tab/>
      </w:r>
      <w:r w:rsidR="00894C88">
        <w:t xml:space="preserve">Décision, par. 34, citant : </w:t>
      </w:r>
      <w:r w:rsidRPr="005D5A39">
        <w:rPr>
          <w:i/>
          <w:iCs/>
        </w:rPr>
        <w:t>Union internationale des travailleurs et travailleuses unis de l'alimentation et de commerce, FAT-COI-CTC-FTQ-TUAC, section locale 1991-P et Cascades groupe tissu-papersource, une division de Cascades Canada</w:t>
      </w:r>
      <w:r w:rsidRPr="005D5A39">
        <w:t>, 2018 QCTAT 1135</w:t>
      </w:r>
      <w:r w:rsidR="00C9020E">
        <w:t>.</w:t>
      </w:r>
    </w:p>
  </w:footnote>
  <w:footnote w:id="33">
    <w:p w14:paraId="6072B4E3" w14:textId="77777777" w:rsidR="00894C88" w:rsidRDefault="00C40124" w:rsidP="008E1AAE">
      <w:pPr>
        <w:pStyle w:val="Notedebasdepage"/>
        <w:spacing w:before="40" w:after="40"/>
        <w:ind w:left="284" w:hanging="284"/>
      </w:pPr>
      <w:r>
        <w:rPr>
          <w:rStyle w:val="Appelnotedebasdep"/>
        </w:rPr>
        <w:footnoteRef/>
      </w:r>
      <w:r>
        <w:t xml:space="preserve"> </w:t>
      </w:r>
      <w:r w:rsidR="00E844CB">
        <w:tab/>
      </w:r>
      <w:r>
        <w:t>Décision, par. 52.</w:t>
      </w:r>
    </w:p>
  </w:footnote>
  <w:footnote w:id="34">
    <w:p w14:paraId="2B925809" w14:textId="77777777" w:rsidR="00894C88" w:rsidRDefault="00C40124" w:rsidP="008E1AAE">
      <w:pPr>
        <w:pStyle w:val="Notedebasdepage"/>
        <w:spacing w:before="40" w:after="40"/>
        <w:ind w:left="284" w:hanging="284"/>
      </w:pPr>
      <w:r>
        <w:rPr>
          <w:rStyle w:val="Appelnotedebasdep"/>
        </w:rPr>
        <w:footnoteRef/>
      </w:r>
      <w:r>
        <w:t xml:space="preserve"> </w:t>
      </w:r>
      <w:r w:rsidR="00E844CB">
        <w:tab/>
      </w:r>
      <w:r>
        <w:t>Décision, par. 53.</w:t>
      </w:r>
    </w:p>
  </w:footnote>
  <w:footnote w:id="35">
    <w:p w14:paraId="28481681" w14:textId="77777777" w:rsidR="00894C88" w:rsidRDefault="00C40124" w:rsidP="008E1AAE">
      <w:pPr>
        <w:pStyle w:val="Notedebasdepage"/>
        <w:spacing w:before="40" w:after="40"/>
        <w:ind w:left="284" w:hanging="284"/>
      </w:pPr>
      <w:r>
        <w:rPr>
          <w:rStyle w:val="Appelnotedebasdep"/>
        </w:rPr>
        <w:footnoteRef/>
      </w:r>
      <w:r>
        <w:t xml:space="preserve"> </w:t>
      </w:r>
      <w:r w:rsidR="005751BC">
        <w:tab/>
      </w:r>
      <w:r>
        <w:t>Décision, par. 54.</w:t>
      </w:r>
    </w:p>
  </w:footnote>
  <w:footnote w:id="36">
    <w:p w14:paraId="70942668" w14:textId="77777777" w:rsidR="00345447" w:rsidRDefault="00C40124" w:rsidP="008E1AAE">
      <w:pPr>
        <w:pStyle w:val="Notedebasdepage"/>
        <w:spacing w:before="40" w:after="40"/>
        <w:ind w:left="284" w:hanging="284"/>
      </w:pPr>
      <w:r>
        <w:rPr>
          <w:rStyle w:val="Appelnotedebasdep"/>
        </w:rPr>
        <w:footnoteRef/>
      </w:r>
      <w:r>
        <w:t xml:space="preserve"> </w:t>
      </w:r>
      <w:r w:rsidR="005751BC">
        <w:tab/>
      </w:r>
      <w:r>
        <w:t>2006 QCCA 1578</w:t>
      </w:r>
      <w:r w:rsidR="009A1BEA">
        <w:t xml:space="preserve"> (la norme du manifestement déraisonnable est appliquée à une décision du CRT qui conclut que le vote est un moyen d’enquête lié au caractère représentatif de l’association dont l’employeur est exclu par l’article 32 C.T.)</w:t>
      </w:r>
      <w:r>
        <w:t>.</w:t>
      </w:r>
      <w:r w:rsidR="009A1BEA">
        <w:t xml:space="preserve"> </w:t>
      </w:r>
    </w:p>
  </w:footnote>
  <w:footnote w:id="37">
    <w:p w14:paraId="7E9251EC" w14:textId="77777777" w:rsidR="00345447" w:rsidRDefault="00C40124" w:rsidP="008E1AAE">
      <w:pPr>
        <w:pStyle w:val="Notedebasdepage"/>
        <w:spacing w:before="40" w:after="40"/>
        <w:ind w:left="284" w:hanging="284"/>
      </w:pPr>
      <w:r>
        <w:rPr>
          <w:rStyle w:val="Appelnotedebasdep"/>
        </w:rPr>
        <w:footnoteRef/>
      </w:r>
      <w:r>
        <w:t xml:space="preserve"> </w:t>
      </w:r>
      <w:r w:rsidR="005751BC">
        <w:tab/>
      </w:r>
      <w:r w:rsidRPr="009A1BEA">
        <w:rPr>
          <w:i/>
          <w:iCs/>
        </w:rPr>
        <w:t>Idem</w:t>
      </w:r>
      <w:r>
        <w:t xml:space="preserve">, par. 18. Voir aussi </w:t>
      </w:r>
      <w:r w:rsidRPr="00345447">
        <w:rPr>
          <w:i/>
          <w:iCs/>
        </w:rPr>
        <w:t>Garda du Québec Ltée c. Lorrain</w:t>
      </w:r>
      <w:r>
        <w:t>, 1983 CanLII 3416 (QC CS).</w:t>
      </w:r>
    </w:p>
  </w:footnote>
  <w:footnote w:id="38">
    <w:p w14:paraId="4E5DCB89" w14:textId="77777777" w:rsidR="00345447" w:rsidRDefault="00C40124" w:rsidP="008E1AAE">
      <w:pPr>
        <w:pStyle w:val="Notedebasdepage"/>
        <w:spacing w:before="40" w:after="40"/>
        <w:ind w:left="284" w:hanging="284"/>
      </w:pPr>
      <w:r>
        <w:rPr>
          <w:rStyle w:val="Appelnotedebasdep"/>
        </w:rPr>
        <w:footnoteRef/>
      </w:r>
      <w:r>
        <w:t xml:space="preserve"> </w:t>
      </w:r>
      <w:r w:rsidR="005751BC">
        <w:tab/>
      </w:r>
      <w:r w:rsidRPr="00345447">
        <w:rPr>
          <w:i/>
          <w:iCs/>
        </w:rPr>
        <w:t xml:space="preserve">TUAC, </w:t>
      </w:r>
      <w:r w:rsidR="009566EB">
        <w:t>préc</w:t>
      </w:r>
      <w:r w:rsidR="003B1650">
        <w:t>.</w:t>
      </w:r>
      <w:r w:rsidR="00A61EB0">
        <w:t>,</w:t>
      </w:r>
      <w:r w:rsidR="003B1650">
        <w:t xml:space="preserve"> note </w:t>
      </w:r>
      <w:r>
        <w:t>7, par. 44.</w:t>
      </w:r>
    </w:p>
  </w:footnote>
  <w:footnote w:id="39">
    <w:p w14:paraId="7F5629E5" w14:textId="77777777" w:rsidR="00B343D0" w:rsidRDefault="00C40124" w:rsidP="008E1AAE">
      <w:pPr>
        <w:pStyle w:val="Notedebasdepage"/>
        <w:spacing w:before="40" w:after="40"/>
        <w:ind w:left="284" w:hanging="284"/>
      </w:pPr>
      <w:r>
        <w:rPr>
          <w:rStyle w:val="Appelnotedebasdep"/>
        </w:rPr>
        <w:footnoteRef/>
      </w:r>
      <w:r>
        <w:t xml:space="preserve"> </w:t>
      </w:r>
      <w:r w:rsidR="005751BC">
        <w:tab/>
      </w:r>
      <w:r w:rsidRPr="009B45E7">
        <w:rPr>
          <w:i/>
          <w:iCs/>
        </w:rPr>
        <w:t>Fédération des médecins spécialistes</w:t>
      </w:r>
      <w:r>
        <w:t xml:space="preserve">, préc., </w:t>
      </w:r>
      <w:r w:rsidR="0021526B">
        <w:t xml:space="preserve">note </w:t>
      </w:r>
      <w:r>
        <w:t>18</w:t>
      </w:r>
      <w:r w:rsidR="0021526B">
        <w:t xml:space="preserve">, </w:t>
      </w:r>
      <w:r>
        <w:t>par. 37 à 39.</w:t>
      </w:r>
    </w:p>
  </w:footnote>
  <w:footnote w:id="40">
    <w:p w14:paraId="2792424F" w14:textId="77777777" w:rsidR="00982D68" w:rsidRDefault="00C40124" w:rsidP="008E1AAE">
      <w:pPr>
        <w:pStyle w:val="Notedebasdepage"/>
        <w:spacing w:before="40" w:after="40"/>
        <w:ind w:left="284" w:hanging="284"/>
      </w:pPr>
      <w:r>
        <w:rPr>
          <w:rStyle w:val="Appelnotedebasdep"/>
        </w:rPr>
        <w:footnoteRef/>
      </w:r>
      <w:r>
        <w:t xml:space="preserve"> </w:t>
      </w:r>
      <w:r w:rsidR="005751BC">
        <w:tab/>
      </w:r>
      <w:r>
        <w:t>Décision, par. 58.</w:t>
      </w:r>
    </w:p>
  </w:footnote>
  <w:footnote w:id="41">
    <w:p w14:paraId="31069DF4" w14:textId="77777777" w:rsidR="00982D68" w:rsidRDefault="00C40124" w:rsidP="008E1AAE">
      <w:pPr>
        <w:pStyle w:val="Notedebasdepage"/>
        <w:spacing w:before="40" w:after="40"/>
        <w:ind w:left="284" w:hanging="284"/>
      </w:pPr>
      <w:r>
        <w:rPr>
          <w:rStyle w:val="Appelnotedebasdep"/>
        </w:rPr>
        <w:footnoteRef/>
      </w:r>
      <w:r>
        <w:t xml:space="preserve"> </w:t>
      </w:r>
      <w:r w:rsidR="005751BC">
        <w:tab/>
      </w:r>
      <w:r>
        <w:t>Décision, par. 64.</w:t>
      </w:r>
    </w:p>
  </w:footnote>
  <w:footnote w:id="42">
    <w:p w14:paraId="65E65788" w14:textId="77777777" w:rsidR="00982D68" w:rsidRDefault="00C40124" w:rsidP="008E1AAE">
      <w:pPr>
        <w:pStyle w:val="Notedebasdepage"/>
        <w:spacing w:before="40" w:after="40"/>
        <w:ind w:left="284" w:hanging="284"/>
      </w:pPr>
      <w:r>
        <w:rPr>
          <w:rStyle w:val="Appelnotedebasdep"/>
        </w:rPr>
        <w:footnoteRef/>
      </w:r>
      <w:r>
        <w:t xml:space="preserve"> </w:t>
      </w:r>
      <w:r w:rsidR="005751BC">
        <w:tab/>
      </w:r>
      <w:r>
        <w:t>Décision, par. 66.</w:t>
      </w:r>
    </w:p>
  </w:footnote>
  <w:footnote w:id="43">
    <w:p w14:paraId="50B8D798" w14:textId="77777777" w:rsidR="00982D68" w:rsidRDefault="00C40124" w:rsidP="008E1AAE">
      <w:pPr>
        <w:pStyle w:val="Notedebasdepage"/>
        <w:spacing w:before="40" w:after="40"/>
        <w:ind w:left="284" w:hanging="284"/>
      </w:pPr>
      <w:r>
        <w:rPr>
          <w:rStyle w:val="Appelnotedebasdep"/>
        </w:rPr>
        <w:footnoteRef/>
      </w:r>
      <w:r>
        <w:t xml:space="preserve"> </w:t>
      </w:r>
      <w:r w:rsidR="005751BC">
        <w:tab/>
      </w:r>
      <w:r w:rsidRPr="00517D54">
        <w:rPr>
          <w:i/>
          <w:iCs/>
        </w:rPr>
        <w:t xml:space="preserve">Zellers </w:t>
      </w:r>
      <w:r w:rsidR="001D5AE3" w:rsidRPr="00865ED1">
        <w:rPr>
          <w:i/>
          <w:iCs/>
        </w:rPr>
        <w:t>(Val-d'Or no 467)</w:t>
      </w:r>
      <w:r w:rsidR="001D5AE3" w:rsidRPr="001D5AE3">
        <w:t xml:space="preserve"> </w:t>
      </w:r>
      <w:r w:rsidRPr="00517D54">
        <w:rPr>
          <w:i/>
          <w:iCs/>
        </w:rPr>
        <w:t>Inc. c. Lalonde</w:t>
      </w:r>
      <w:r>
        <w:t xml:space="preserve">, </w:t>
      </w:r>
      <w:r w:rsidR="001D5AE3" w:rsidRPr="003F2335">
        <w:t>2001 CanLII 9002 (QCCA)</w:t>
      </w:r>
      <w:r w:rsidRPr="003F2335">
        <w:t>,</w:t>
      </w:r>
      <w:r>
        <w:t xml:space="preserve"> par. 12.</w:t>
      </w:r>
    </w:p>
  </w:footnote>
  <w:footnote w:id="44">
    <w:p w14:paraId="5E33BE3B" w14:textId="77777777" w:rsidR="00982D68" w:rsidRDefault="00C40124" w:rsidP="008E1AAE">
      <w:pPr>
        <w:pStyle w:val="Notedebasdepage"/>
        <w:spacing w:before="40" w:after="40"/>
        <w:ind w:left="284" w:hanging="284"/>
      </w:pPr>
      <w:r>
        <w:rPr>
          <w:rStyle w:val="Appelnotedebasdep"/>
        </w:rPr>
        <w:footnoteRef/>
      </w:r>
      <w:r>
        <w:t xml:space="preserve"> </w:t>
      </w:r>
      <w:r w:rsidR="005751BC">
        <w:tab/>
      </w:r>
      <w:r>
        <w:t>Décision, par. 71.</w:t>
      </w:r>
    </w:p>
  </w:footnote>
  <w:footnote w:id="45">
    <w:p w14:paraId="0215B960" w14:textId="77777777" w:rsidR="008007B6" w:rsidRDefault="00C40124" w:rsidP="008E1AAE">
      <w:pPr>
        <w:pStyle w:val="Notedebasdepage"/>
        <w:spacing w:before="40" w:after="40"/>
        <w:ind w:left="284" w:hanging="284"/>
      </w:pPr>
      <w:r>
        <w:rPr>
          <w:rStyle w:val="Appelnotedebasdep"/>
        </w:rPr>
        <w:footnoteRef/>
      </w:r>
      <w:r>
        <w:t xml:space="preserve"> </w:t>
      </w:r>
      <w:r w:rsidR="005751BC">
        <w:tab/>
      </w:r>
      <w:r w:rsidRPr="008007B6">
        <w:rPr>
          <w:i/>
          <w:iCs/>
        </w:rPr>
        <w:t>Groupe Dynamite inc. c. Conseil du Québec – Unite Here</w:t>
      </w:r>
      <w:r>
        <w:t>, 2006 QCCRT 588, par.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E9FA" w14:textId="77777777" w:rsidR="00121A72" w:rsidRDefault="00C40124">
    <w:pPr>
      <w:tabs>
        <w:tab w:val="center" w:pos="4709"/>
        <w:tab w:val="right" w:pos="9360"/>
      </w:tabs>
      <w:ind w:right="524"/>
    </w:pPr>
    <w:bookmarkStart w:id="25" w:name="_Hlk228890955"/>
    <w:bookmarkStart w:id="26" w:name="_Hlk228891867"/>
    <w:bookmarkStart w:id="27" w:name="_Hlk228890853"/>
    <w:r w:rsidRPr="00B15800">
      <w:t>500-17-132141-246</w:t>
    </w:r>
    <w:r>
      <w:tab/>
    </w:r>
    <w:bookmarkEnd w:id="25"/>
    <w:r>
      <w:tab/>
      <w:t>PAGE</w:t>
    </w:r>
    <w:bookmarkEnd w:id="26"/>
    <w:r>
      <w:t xml:space="preserve"> : </w:t>
    </w:r>
    <w:r>
      <w:fldChar w:fldCharType="begin"/>
    </w:r>
    <w:r>
      <w:instrText xml:space="preserve"> PAGE </w:instrText>
    </w:r>
    <w:r>
      <w:fldChar w:fldCharType="separate"/>
    </w:r>
    <w:r>
      <w:t>18</w:t>
    </w:r>
    <w:r>
      <w:fldChar w:fldCharType="end"/>
    </w:r>
  </w:p>
  <w:bookmarkEnd w:id="27"/>
  <w:p w14:paraId="6299F8CE" w14:textId="77777777" w:rsidR="00121A72" w:rsidRDefault="00121A72">
    <w:pPr>
      <w:tabs>
        <w:tab w:val="center" w:pos="4709"/>
        <w:tab w:val="right" w:pos="9090"/>
      </w:tabs>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36E0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EF8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6E68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762F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5ED9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D008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446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AE9E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FC0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C827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7641AE"/>
    <w:multiLevelType w:val="hybridMultilevel"/>
    <w:tmpl w:val="CCBCFC24"/>
    <w:lvl w:ilvl="0" w:tplc="59DE1D00">
      <w:start w:val="1"/>
      <w:numFmt w:val="decimal"/>
      <w:lvlText w:val="%1."/>
      <w:lvlJc w:val="left"/>
      <w:pPr>
        <w:ind w:left="720" w:hanging="360"/>
      </w:pPr>
    </w:lvl>
    <w:lvl w:ilvl="1" w:tplc="F2C05D78" w:tentative="1">
      <w:start w:val="1"/>
      <w:numFmt w:val="lowerLetter"/>
      <w:lvlText w:val="%2."/>
      <w:lvlJc w:val="left"/>
      <w:pPr>
        <w:ind w:left="1440" w:hanging="360"/>
      </w:pPr>
    </w:lvl>
    <w:lvl w:ilvl="2" w:tplc="339C7394" w:tentative="1">
      <w:start w:val="1"/>
      <w:numFmt w:val="lowerRoman"/>
      <w:lvlText w:val="%3."/>
      <w:lvlJc w:val="right"/>
      <w:pPr>
        <w:ind w:left="2160" w:hanging="180"/>
      </w:pPr>
    </w:lvl>
    <w:lvl w:ilvl="3" w:tplc="68C022EA" w:tentative="1">
      <w:start w:val="1"/>
      <w:numFmt w:val="decimal"/>
      <w:lvlText w:val="%4."/>
      <w:lvlJc w:val="left"/>
      <w:pPr>
        <w:ind w:left="2880" w:hanging="360"/>
      </w:pPr>
    </w:lvl>
    <w:lvl w:ilvl="4" w:tplc="D0525DBC" w:tentative="1">
      <w:start w:val="1"/>
      <w:numFmt w:val="lowerLetter"/>
      <w:lvlText w:val="%5."/>
      <w:lvlJc w:val="left"/>
      <w:pPr>
        <w:ind w:left="3600" w:hanging="360"/>
      </w:pPr>
    </w:lvl>
    <w:lvl w:ilvl="5" w:tplc="854E7C54" w:tentative="1">
      <w:start w:val="1"/>
      <w:numFmt w:val="lowerRoman"/>
      <w:lvlText w:val="%6."/>
      <w:lvlJc w:val="right"/>
      <w:pPr>
        <w:ind w:left="4320" w:hanging="180"/>
      </w:pPr>
    </w:lvl>
    <w:lvl w:ilvl="6" w:tplc="0380B106" w:tentative="1">
      <w:start w:val="1"/>
      <w:numFmt w:val="decimal"/>
      <w:lvlText w:val="%7."/>
      <w:lvlJc w:val="left"/>
      <w:pPr>
        <w:ind w:left="5040" w:hanging="360"/>
      </w:pPr>
    </w:lvl>
    <w:lvl w:ilvl="7" w:tplc="D66C90C8" w:tentative="1">
      <w:start w:val="1"/>
      <w:numFmt w:val="lowerLetter"/>
      <w:lvlText w:val="%8."/>
      <w:lvlJc w:val="left"/>
      <w:pPr>
        <w:ind w:left="5760" w:hanging="360"/>
      </w:pPr>
    </w:lvl>
    <w:lvl w:ilvl="8" w:tplc="BEE4E97E" w:tentative="1">
      <w:start w:val="1"/>
      <w:numFmt w:val="lowerRoman"/>
      <w:lvlText w:val="%9."/>
      <w:lvlJc w:val="right"/>
      <w:pPr>
        <w:ind w:left="6480" w:hanging="180"/>
      </w:pPr>
    </w:lvl>
  </w:abstractNum>
  <w:abstractNum w:abstractNumId="11" w15:restartNumberingAfterBreak="0">
    <w:nsid w:val="29B11B71"/>
    <w:multiLevelType w:val="multilevel"/>
    <w:tmpl w:val="78E43A60"/>
    <w:name w:val="Style1"/>
    <w:styleLink w:val="Style1"/>
    <w:lvl w:ilvl="0">
      <w:start w:val="1"/>
      <w:numFmt w:val="decimal"/>
      <w:pStyle w:val="Titre2"/>
      <w:lvlText w:val="%1."/>
      <w:lvlJc w:val="left"/>
      <w:pPr>
        <w:ind w:left="431" w:hanging="431"/>
      </w:pPr>
      <w:rPr>
        <w:rFonts w:hint="default"/>
      </w:rPr>
    </w:lvl>
    <w:lvl w:ilvl="1">
      <w:start w:val="1"/>
      <w:numFmt w:val="decimal"/>
      <w:pStyle w:val="Titre3"/>
      <w:lvlText w:val="%1.%2"/>
      <w:lvlJc w:val="left"/>
      <w:pPr>
        <w:ind w:left="431" w:hanging="431"/>
      </w:pPr>
      <w:rPr>
        <w:rFonts w:hint="default"/>
      </w:rPr>
    </w:lvl>
    <w:lvl w:ilvl="2">
      <w:start w:val="1"/>
      <w:numFmt w:val="decimal"/>
      <w:pStyle w:val="Titre4"/>
      <w:lvlText w:val="%1.%2.%3"/>
      <w:lvlJc w:val="left"/>
      <w:pPr>
        <w:ind w:left="431" w:hanging="431"/>
      </w:pPr>
      <w:rPr>
        <w:rFonts w:hint="default"/>
      </w:rPr>
    </w:lvl>
    <w:lvl w:ilvl="3">
      <w:start w:val="1"/>
      <w:numFmt w:val="decimal"/>
      <w:pStyle w:val="Titre5"/>
      <w:lvlText w:val="%1.%2.%3.%4"/>
      <w:lvlJc w:val="left"/>
      <w:pPr>
        <w:ind w:left="431" w:hanging="431"/>
      </w:pPr>
      <w:rPr>
        <w:rFonts w:hint="default"/>
      </w:rPr>
    </w:lvl>
    <w:lvl w:ilvl="4">
      <w:start w:val="1"/>
      <w:numFmt w:val="decimal"/>
      <w:pStyle w:val="Titre6"/>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12" w15:restartNumberingAfterBreak="0">
    <w:nsid w:val="29F6013E"/>
    <w:multiLevelType w:val="hybridMultilevel"/>
    <w:tmpl w:val="64A6C874"/>
    <w:lvl w:ilvl="0" w:tplc="F0882E5E">
      <w:start w:val="1"/>
      <w:numFmt w:val="decimal"/>
      <w:lvlText w:val="%1."/>
      <w:lvlJc w:val="left"/>
      <w:pPr>
        <w:ind w:left="720" w:hanging="360"/>
      </w:pPr>
      <w:rPr>
        <w:rFonts w:hint="default"/>
      </w:rPr>
    </w:lvl>
    <w:lvl w:ilvl="1" w:tplc="233AAAFA" w:tentative="1">
      <w:start w:val="1"/>
      <w:numFmt w:val="lowerLetter"/>
      <w:lvlText w:val="%2."/>
      <w:lvlJc w:val="left"/>
      <w:pPr>
        <w:ind w:left="1440" w:hanging="360"/>
      </w:pPr>
    </w:lvl>
    <w:lvl w:ilvl="2" w:tplc="C706E1FC" w:tentative="1">
      <w:start w:val="1"/>
      <w:numFmt w:val="lowerRoman"/>
      <w:lvlText w:val="%3."/>
      <w:lvlJc w:val="right"/>
      <w:pPr>
        <w:ind w:left="2160" w:hanging="180"/>
      </w:pPr>
    </w:lvl>
    <w:lvl w:ilvl="3" w:tplc="40FEB7B8" w:tentative="1">
      <w:start w:val="1"/>
      <w:numFmt w:val="decimal"/>
      <w:lvlText w:val="%4."/>
      <w:lvlJc w:val="left"/>
      <w:pPr>
        <w:ind w:left="2880" w:hanging="360"/>
      </w:pPr>
    </w:lvl>
    <w:lvl w:ilvl="4" w:tplc="A9D26E46" w:tentative="1">
      <w:start w:val="1"/>
      <w:numFmt w:val="lowerLetter"/>
      <w:lvlText w:val="%5."/>
      <w:lvlJc w:val="left"/>
      <w:pPr>
        <w:ind w:left="3600" w:hanging="360"/>
      </w:pPr>
    </w:lvl>
    <w:lvl w:ilvl="5" w:tplc="CD2811F8" w:tentative="1">
      <w:start w:val="1"/>
      <w:numFmt w:val="lowerRoman"/>
      <w:lvlText w:val="%6."/>
      <w:lvlJc w:val="right"/>
      <w:pPr>
        <w:ind w:left="4320" w:hanging="180"/>
      </w:pPr>
    </w:lvl>
    <w:lvl w:ilvl="6" w:tplc="AF1A2C88" w:tentative="1">
      <w:start w:val="1"/>
      <w:numFmt w:val="decimal"/>
      <w:lvlText w:val="%7."/>
      <w:lvlJc w:val="left"/>
      <w:pPr>
        <w:ind w:left="5040" w:hanging="360"/>
      </w:pPr>
    </w:lvl>
    <w:lvl w:ilvl="7" w:tplc="AD227E98" w:tentative="1">
      <w:start w:val="1"/>
      <w:numFmt w:val="lowerLetter"/>
      <w:lvlText w:val="%8."/>
      <w:lvlJc w:val="left"/>
      <w:pPr>
        <w:ind w:left="5760" w:hanging="360"/>
      </w:pPr>
    </w:lvl>
    <w:lvl w:ilvl="8" w:tplc="EAAA0FEA" w:tentative="1">
      <w:start w:val="1"/>
      <w:numFmt w:val="lowerRoman"/>
      <w:lvlText w:val="%9."/>
      <w:lvlJc w:val="right"/>
      <w:pPr>
        <w:ind w:left="6480" w:hanging="180"/>
      </w:pPr>
    </w:lvl>
  </w:abstractNum>
  <w:abstractNum w:abstractNumId="13" w15:restartNumberingAfterBreak="0">
    <w:nsid w:val="2ABB00AC"/>
    <w:multiLevelType w:val="multilevel"/>
    <w:tmpl w:val="B8565C9A"/>
    <w:lvl w:ilvl="0">
      <w:start w:val="1"/>
      <w:numFmt w:val="decimal"/>
      <w:lvlText w:val="%1"/>
      <w:lvlJc w:val="left"/>
      <w:pPr>
        <w:ind w:left="43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pStyle w:val="Titre7"/>
      <w:lvlText w:val="%1.%2.%3.%4.%5.%6.%7"/>
      <w:lvlJc w:val="left"/>
      <w:pPr>
        <w:ind w:left="431" w:hanging="431"/>
      </w:pPr>
      <w:rPr>
        <w:rFonts w:hint="default"/>
      </w:rPr>
    </w:lvl>
    <w:lvl w:ilvl="7">
      <w:start w:val="1"/>
      <w:numFmt w:val="decimal"/>
      <w:pStyle w:val="Titre8"/>
      <w:lvlText w:val="%1.%2.%3.%4.%5.%6.%7.%8"/>
      <w:lvlJc w:val="left"/>
      <w:pPr>
        <w:ind w:left="431" w:hanging="431"/>
      </w:pPr>
      <w:rPr>
        <w:rFonts w:hint="default"/>
      </w:rPr>
    </w:lvl>
    <w:lvl w:ilvl="8">
      <w:start w:val="1"/>
      <w:numFmt w:val="decimal"/>
      <w:pStyle w:val="Titre9"/>
      <w:lvlText w:val="%1.%2.%3.%4.%5.%6.%7.%8.%9"/>
      <w:lvlJc w:val="left"/>
      <w:pPr>
        <w:ind w:left="431" w:hanging="431"/>
      </w:pPr>
      <w:rPr>
        <w:rFonts w:hint="default"/>
      </w:rPr>
    </w:lvl>
  </w:abstractNum>
  <w:abstractNum w:abstractNumId="14" w15:restartNumberingAfterBreak="0">
    <w:nsid w:val="44DC6D54"/>
    <w:multiLevelType w:val="hybridMultilevel"/>
    <w:tmpl w:val="06C899CA"/>
    <w:lvl w:ilvl="0" w:tplc="2B0CE66A">
      <w:start w:val="1"/>
      <w:numFmt w:val="decimal"/>
      <w:lvlText w:val="%1."/>
      <w:lvlJc w:val="left"/>
      <w:pPr>
        <w:ind w:left="720" w:hanging="360"/>
      </w:pPr>
      <w:rPr>
        <w:rFonts w:hint="default"/>
      </w:rPr>
    </w:lvl>
    <w:lvl w:ilvl="1" w:tplc="2932A5F6" w:tentative="1">
      <w:start w:val="1"/>
      <w:numFmt w:val="bullet"/>
      <w:lvlText w:val="o"/>
      <w:lvlJc w:val="left"/>
      <w:pPr>
        <w:ind w:left="1440" w:hanging="360"/>
      </w:pPr>
      <w:rPr>
        <w:rFonts w:ascii="Courier New" w:hAnsi="Courier New" w:cs="Courier New" w:hint="default"/>
      </w:rPr>
    </w:lvl>
    <w:lvl w:ilvl="2" w:tplc="7C96030C" w:tentative="1">
      <w:start w:val="1"/>
      <w:numFmt w:val="bullet"/>
      <w:lvlText w:val=""/>
      <w:lvlJc w:val="left"/>
      <w:pPr>
        <w:ind w:left="2160" w:hanging="360"/>
      </w:pPr>
      <w:rPr>
        <w:rFonts w:ascii="Wingdings" w:hAnsi="Wingdings" w:hint="default"/>
      </w:rPr>
    </w:lvl>
    <w:lvl w:ilvl="3" w:tplc="2AB8408E" w:tentative="1">
      <w:start w:val="1"/>
      <w:numFmt w:val="bullet"/>
      <w:lvlText w:val=""/>
      <w:lvlJc w:val="left"/>
      <w:pPr>
        <w:ind w:left="2880" w:hanging="360"/>
      </w:pPr>
      <w:rPr>
        <w:rFonts w:ascii="Symbol" w:hAnsi="Symbol" w:hint="default"/>
      </w:rPr>
    </w:lvl>
    <w:lvl w:ilvl="4" w:tplc="FBAEFD48" w:tentative="1">
      <w:start w:val="1"/>
      <w:numFmt w:val="bullet"/>
      <w:lvlText w:val="o"/>
      <w:lvlJc w:val="left"/>
      <w:pPr>
        <w:ind w:left="3600" w:hanging="360"/>
      </w:pPr>
      <w:rPr>
        <w:rFonts w:ascii="Courier New" w:hAnsi="Courier New" w:cs="Courier New" w:hint="default"/>
      </w:rPr>
    </w:lvl>
    <w:lvl w:ilvl="5" w:tplc="38C2C2E0" w:tentative="1">
      <w:start w:val="1"/>
      <w:numFmt w:val="bullet"/>
      <w:lvlText w:val=""/>
      <w:lvlJc w:val="left"/>
      <w:pPr>
        <w:ind w:left="4320" w:hanging="360"/>
      </w:pPr>
      <w:rPr>
        <w:rFonts w:ascii="Wingdings" w:hAnsi="Wingdings" w:hint="default"/>
      </w:rPr>
    </w:lvl>
    <w:lvl w:ilvl="6" w:tplc="83B2D9F0" w:tentative="1">
      <w:start w:val="1"/>
      <w:numFmt w:val="bullet"/>
      <w:lvlText w:val=""/>
      <w:lvlJc w:val="left"/>
      <w:pPr>
        <w:ind w:left="5040" w:hanging="360"/>
      </w:pPr>
      <w:rPr>
        <w:rFonts w:ascii="Symbol" w:hAnsi="Symbol" w:hint="default"/>
      </w:rPr>
    </w:lvl>
    <w:lvl w:ilvl="7" w:tplc="8B748C38" w:tentative="1">
      <w:start w:val="1"/>
      <w:numFmt w:val="bullet"/>
      <w:lvlText w:val="o"/>
      <w:lvlJc w:val="left"/>
      <w:pPr>
        <w:ind w:left="5760" w:hanging="360"/>
      </w:pPr>
      <w:rPr>
        <w:rFonts w:ascii="Courier New" w:hAnsi="Courier New" w:cs="Courier New" w:hint="default"/>
      </w:rPr>
    </w:lvl>
    <w:lvl w:ilvl="8" w:tplc="DAB87042" w:tentative="1">
      <w:start w:val="1"/>
      <w:numFmt w:val="bullet"/>
      <w:lvlText w:val=""/>
      <w:lvlJc w:val="left"/>
      <w:pPr>
        <w:ind w:left="6480" w:hanging="360"/>
      </w:pPr>
      <w:rPr>
        <w:rFonts w:ascii="Wingdings" w:hAnsi="Wingdings" w:hint="default"/>
      </w:rPr>
    </w:lvl>
  </w:abstractNum>
  <w:abstractNum w:abstractNumId="15" w15:restartNumberingAfterBreak="0">
    <w:nsid w:val="4BF423AA"/>
    <w:multiLevelType w:val="multilevel"/>
    <w:tmpl w:val="78E43A60"/>
    <w:name w:val="Style12"/>
    <w:numStyleLink w:val="Style1"/>
  </w:abstractNum>
  <w:abstractNum w:abstractNumId="16" w15:restartNumberingAfterBreak="0">
    <w:nsid w:val="52415801"/>
    <w:multiLevelType w:val="multilevel"/>
    <w:tmpl w:val="78E43A60"/>
    <w:numStyleLink w:val="Style1"/>
  </w:abstractNum>
  <w:abstractNum w:abstractNumId="17" w15:restartNumberingAfterBreak="0">
    <w:nsid w:val="53A408B9"/>
    <w:multiLevelType w:val="hybridMultilevel"/>
    <w:tmpl w:val="86E8ED10"/>
    <w:lvl w:ilvl="0" w:tplc="A008E1A8">
      <w:start w:val="1"/>
      <w:numFmt w:val="bullet"/>
      <w:lvlText w:val=""/>
      <w:lvlJc w:val="left"/>
      <w:pPr>
        <w:ind w:left="720" w:hanging="360"/>
      </w:pPr>
      <w:rPr>
        <w:rFonts w:ascii="Symbol" w:hAnsi="Symbol" w:hint="default"/>
      </w:rPr>
    </w:lvl>
    <w:lvl w:ilvl="1" w:tplc="8776401A" w:tentative="1">
      <w:start w:val="1"/>
      <w:numFmt w:val="bullet"/>
      <w:lvlText w:val="o"/>
      <w:lvlJc w:val="left"/>
      <w:pPr>
        <w:ind w:left="1440" w:hanging="360"/>
      </w:pPr>
      <w:rPr>
        <w:rFonts w:ascii="Courier New" w:hAnsi="Courier New" w:cs="Courier New" w:hint="default"/>
      </w:rPr>
    </w:lvl>
    <w:lvl w:ilvl="2" w:tplc="8576A04A" w:tentative="1">
      <w:start w:val="1"/>
      <w:numFmt w:val="bullet"/>
      <w:lvlText w:val=""/>
      <w:lvlJc w:val="left"/>
      <w:pPr>
        <w:ind w:left="2160" w:hanging="360"/>
      </w:pPr>
      <w:rPr>
        <w:rFonts w:ascii="Wingdings" w:hAnsi="Wingdings" w:hint="default"/>
      </w:rPr>
    </w:lvl>
    <w:lvl w:ilvl="3" w:tplc="C3C29998" w:tentative="1">
      <w:start w:val="1"/>
      <w:numFmt w:val="bullet"/>
      <w:lvlText w:val=""/>
      <w:lvlJc w:val="left"/>
      <w:pPr>
        <w:ind w:left="2880" w:hanging="360"/>
      </w:pPr>
      <w:rPr>
        <w:rFonts w:ascii="Symbol" w:hAnsi="Symbol" w:hint="default"/>
      </w:rPr>
    </w:lvl>
    <w:lvl w:ilvl="4" w:tplc="D486B0E0" w:tentative="1">
      <w:start w:val="1"/>
      <w:numFmt w:val="bullet"/>
      <w:lvlText w:val="o"/>
      <w:lvlJc w:val="left"/>
      <w:pPr>
        <w:ind w:left="3600" w:hanging="360"/>
      </w:pPr>
      <w:rPr>
        <w:rFonts w:ascii="Courier New" w:hAnsi="Courier New" w:cs="Courier New" w:hint="default"/>
      </w:rPr>
    </w:lvl>
    <w:lvl w:ilvl="5" w:tplc="ECEE014E" w:tentative="1">
      <w:start w:val="1"/>
      <w:numFmt w:val="bullet"/>
      <w:lvlText w:val=""/>
      <w:lvlJc w:val="left"/>
      <w:pPr>
        <w:ind w:left="4320" w:hanging="360"/>
      </w:pPr>
      <w:rPr>
        <w:rFonts w:ascii="Wingdings" w:hAnsi="Wingdings" w:hint="default"/>
      </w:rPr>
    </w:lvl>
    <w:lvl w:ilvl="6" w:tplc="53AC6010" w:tentative="1">
      <w:start w:val="1"/>
      <w:numFmt w:val="bullet"/>
      <w:lvlText w:val=""/>
      <w:lvlJc w:val="left"/>
      <w:pPr>
        <w:ind w:left="5040" w:hanging="360"/>
      </w:pPr>
      <w:rPr>
        <w:rFonts w:ascii="Symbol" w:hAnsi="Symbol" w:hint="default"/>
      </w:rPr>
    </w:lvl>
    <w:lvl w:ilvl="7" w:tplc="99609C76" w:tentative="1">
      <w:start w:val="1"/>
      <w:numFmt w:val="bullet"/>
      <w:lvlText w:val="o"/>
      <w:lvlJc w:val="left"/>
      <w:pPr>
        <w:ind w:left="5760" w:hanging="360"/>
      </w:pPr>
      <w:rPr>
        <w:rFonts w:ascii="Courier New" w:hAnsi="Courier New" w:cs="Courier New" w:hint="default"/>
      </w:rPr>
    </w:lvl>
    <w:lvl w:ilvl="8" w:tplc="EDE8948C" w:tentative="1">
      <w:start w:val="1"/>
      <w:numFmt w:val="bullet"/>
      <w:lvlText w:val=""/>
      <w:lvlJc w:val="left"/>
      <w:pPr>
        <w:ind w:left="6480" w:hanging="360"/>
      </w:pPr>
      <w:rPr>
        <w:rFonts w:ascii="Wingdings" w:hAnsi="Wingdings" w:hint="default"/>
      </w:rPr>
    </w:lvl>
  </w:abstractNum>
  <w:abstractNum w:abstractNumId="18" w15:restartNumberingAfterBreak="0">
    <w:nsid w:val="547969A8"/>
    <w:multiLevelType w:val="multilevel"/>
    <w:tmpl w:val="4B5A2A22"/>
    <w:lvl w:ilvl="0">
      <w:start w:val="1"/>
      <w:numFmt w:val="decimal"/>
      <w:lvlText w:val="%1"/>
      <w:lvlJc w:val="left"/>
      <w:pPr>
        <w:ind w:left="620" w:hanging="620"/>
      </w:pPr>
      <w:rPr>
        <w:rFonts w:hint="default"/>
      </w:rPr>
    </w:lvl>
    <w:lvl w:ilvl="1">
      <w:start w:val="870"/>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5556C49"/>
    <w:multiLevelType w:val="hybridMultilevel"/>
    <w:tmpl w:val="170C8792"/>
    <w:lvl w:ilvl="0" w:tplc="670820C6">
      <w:start w:val="1"/>
      <w:numFmt w:val="upperRoman"/>
      <w:lvlText w:val="%1."/>
      <w:lvlJc w:val="left"/>
      <w:pPr>
        <w:ind w:left="1080" w:hanging="720"/>
      </w:pPr>
      <w:rPr>
        <w:rFonts w:hint="default"/>
      </w:rPr>
    </w:lvl>
    <w:lvl w:ilvl="1" w:tplc="D5C8D0E0" w:tentative="1">
      <w:start w:val="1"/>
      <w:numFmt w:val="lowerLetter"/>
      <w:lvlText w:val="%2."/>
      <w:lvlJc w:val="left"/>
      <w:pPr>
        <w:ind w:left="1440" w:hanging="360"/>
      </w:pPr>
    </w:lvl>
    <w:lvl w:ilvl="2" w:tplc="98EC3C9A" w:tentative="1">
      <w:start w:val="1"/>
      <w:numFmt w:val="lowerRoman"/>
      <w:lvlText w:val="%3."/>
      <w:lvlJc w:val="right"/>
      <w:pPr>
        <w:ind w:left="2160" w:hanging="180"/>
      </w:pPr>
    </w:lvl>
    <w:lvl w:ilvl="3" w:tplc="35C2B08C" w:tentative="1">
      <w:start w:val="1"/>
      <w:numFmt w:val="decimal"/>
      <w:lvlText w:val="%4."/>
      <w:lvlJc w:val="left"/>
      <w:pPr>
        <w:ind w:left="2880" w:hanging="360"/>
      </w:pPr>
    </w:lvl>
    <w:lvl w:ilvl="4" w:tplc="A12A3EBC" w:tentative="1">
      <w:start w:val="1"/>
      <w:numFmt w:val="lowerLetter"/>
      <w:lvlText w:val="%5."/>
      <w:lvlJc w:val="left"/>
      <w:pPr>
        <w:ind w:left="3600" w:hanging="360"/>
      </w:pPr>
    </w:lvl>
    <w:lvl w:ilvl="5" w:tplc="3B5EEEA4" w:tentative="1">
      <w:start w:val="1"/>
      <w:numFmt w:val="lowerRoman"/>
      <w:lvlText w:val="%6."/>
      <w:lvlJc w:val="right"/>
      <w:pPr>
        <w:ind w:left="4320" w:hanging="180"/>
      </w:pPr>
    </w:lvl>
    <w:lvl w:ilvl="6" w:tplc="BD389544" w:tentative="1">
      <w:start w:val="1"/>
      <w:numFmt w:val="decimal"/>
      <w:lvlText w:val="%7."/>
      <w:lvlJc w:val="left"/>
      <w:pPr>
        <w:ind w:left="5040" w:hanging="360"/>
      </w:pPr>
    </w:lvl>
    <w:lvl w:ilvl="7" w:tplc="C1A0BD78" w:tentative="1">
      <w:start w:val="1"/>
      <w:numFmt w:val="lowerLetter"/>
      <w:lvlText w:val="%8."/>
      <w:lvlJc w:val="left"/>
      <w:pPr>
        <w:ind w:left="5760" w:hanging="360"/>
      </w:pPr>
    </w:lvl>
    <w:lvl w:ilvl="8" w:tplc="30BCFCCA" w:tentative="1">
      <w:start w:val="1"/>
      <w:numFmt w:val="lowerRoman"/>
      <w:lvlText w:val="%9."/>
      <w:lvlJc w:val="right"/>
      <w:pPr>
        <w:ind w:left="6480" w:hanging="180"/>
      </w:pPr>
    </w:lvl>
  </w:abstractNum>
  <w:abstractNum w:abstractNumId="20" w15:restartNumberingAfterBreak="0">
    <w:nsid w:val="558B0014"/>
    <w:multiLevelType w:val="hybridMultilevel"/>
    <w:tmpl w:val="BB82EAFE"/>
    <w:lvl w:ilvl="0" w:tplc="2C38E374">
      <w:start w:val="1"/>
      <w:numFmt w:val="decimal"/>
      <w:lvlText w:val="%1."/>
      <w:lvlJc w:val="left"/>
      <w:pPr>
        <w:ind w:left="720" w:hanging="360"/>
      </w:pPr>
      <w:rPr>
        <w:rFonts w:hint="default"/>
      </w:rPr>
    </w:lvl>
    <w:lvl w:ilvl="1" w:tplc="82544ABE" w:tentative="1">
      <w:start w:val="1"/>
      <w:numFmt w:val="lowerLetter"/>
      <w:lvlText w:val="%2."/>
      <w:lvlJc w:val="left"/>
      <w:pPr>
        <w:ind w:left="1440" w:hanging="360"/>
      </w:pPr>
    </w:lvl>
    <w:lvl w:ilvl="2" w:tplc="E31EA5EA" w:tentative="1">
      <w:start w:val="1"/>
      <w:numFmt w:val="lowerRoman"/>
      <w:lvlText w:val="%3."/>
      <w:lvlJc w:val="right"/>
      <w:pPr>
        <w:ind w:left="2160" w:hanging="180"/>
      </w:pPr>
    </w:lvl>
    <w:lvl w:ilvl="3" w:tplc="6BDAE9E4" w:tentative="1">
      <w:start w:val="1"/>
      <w:numFmt w:val="decimal"/>
      <w:lvlText w:val="%4."/>
      <w:lvlJc w:val="left"/>
      <w:pPr>
        <w:ind w:left="2880" w:hanging="360"/>
      </w:pPr>
    </w:lvl>
    <w:lvl w:ilvl="4" w:tplc="5EEE42E8" w:tentative="1">
      <w:start w:val="1"/>
      <w:numFmt w:val="lowerLetter"/>
      <w:lvlText w:val="%5."/>
      <w:lvlJc w:val="left"/>
      <w:pPr>
        <w:ind w:left="3600" w:hanging="360"/>
      </w:pPr>
    </w:lvl>
    <w:lvl w:ilvl="5" w:tplc="51BE6312" w:tentative="1">
      <w:start w:val="1"/>
      <w:numFmt w:val="lowerRoman"/>
      <w:lvlText w:val="%6."/>
      <w:lvlJc w:val="right"/>
      <w:pPr>
        <w:ind w:left="4320" w:hanging="180"/>
      </w:pPr>
    </w:lvl>
    <w:lvl w:ilvl="6" w:tplc="2C30A6D8" w:tentative="1">
      <w:start w:val="1"/>
      <w:numFmt w:val="decimal"/>
      <w:lvlText w:val="%7."/>
      <w:lvlJc w:val="left"/>
      <w:pPr>
        <w:ind w:left="5040" w:hanging="360"/>
      </w:pPr>
    </w:lvl>
    <w:lvl w:ilvl="7" w:tplc="3C74956E" w:tentative="1">
      <w:start w:val="1"/>
      <w:numFmt w:val="lowerLetter"/>
      <w:lvlText w:val="%8."/>
      <w:lvlJc w:val="left"/>
      <w:pPr>
        <w:ind w:left="5760" w:hanging="360"/>
      </w:pPr>
    </w:lvl>
    <w:lvl w:ilvl="8" w:tplc="2404F0FE" w:tentative="1">
      <w:start w:val="1"/>
      <w:numFmt w:val="lowerRoman"/>
      <w:lvlText w:val="%9."/>
      <w:lvlJc w:val="right"/>
      <w:pPr>
        <w:ind w:left="6480" w:hanging="180"/>
      </w:pPr>
    </w:lvl>
  </w:abstractNum>
  <w:abstractNum w:abstractNumId="21" w15:restartNumberingAfterBreak="0">
    <w:nsid w:val="58241611"/>
    <w:multiLevelType w:val="multilevel"/>
    <w:tmpl w:val="8D78C6EA"/>
    <w:lvl w:ilvl="0">
      <w:start w:val="1"/>
      <w:numFmt w:val="decimal"/>
      <w:lvlText w:val="%1"/>
      <w:lvlJc w:val="left"/>
      <w:pPr>
        <w:ind w:left="620" w:hanging="620"/>
      </w:pPr>
      <w:rPr>
        <w:rFonts w:hint="default"/>
        <w:b w:val="0"/>
      </w:rPr>
    </w:lvl>
    <w:lvl w:ilvl="1">
      <w:start w:val="874"/>
      <w:numFmt w:val="decimal"/>
      <w:lvlText w:val="%1-%2"/>
      <w:lvlJc w:val="left"/>
      <w:pPr>
        <w:ind w:left="620" w:hanging="6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5A0C4719"/>
    <w:multiLevelType w:val="multilevel"/>
    <w:tmpl w:val="78E43A60"/>
    <w:name w:val="Style13"/>
    <w:numStyleLink w:val="Style1"/>
  </w:abstractNum>
  <w:abstractNum w:abstractNumId="23" w15:restartNumberingAfterBreak="0">
    <w:nsid w:val="5EF5232D"/>
    <w:multiLevelType w:val="hybridMultilevel"/>
    <w:tmpl w:val="5FB4E712"/>
    <w:lvl w:ilvl="0" w:tplc="063CAE2C">
      <w:start w:val="1"/>
      <w:numFmt w:val="decimal"/>
      <w:lvlText w:val="[%1]"/>
      <w:lvlJc w:val="left"/>
      <w:pPr>
        <w:ind w:left="720" w:hanging="360"/>
      </w:pPr>
      <w:rPr>
        <w:rFonts w:hint="default"/>
      </w:rPr>
    </w:lvl>
    <w:lvl w:ilvl="1" w:tplc="777EBC50" w:tentative="1">
      <w:start w:val="1"/>
      <w:numFmt w:val="lowerLetter"/>
      <w:lvlText w:val="%2."/>
      <w:lvlJc w:val="left"/>
      <w:pPr>
        <w:ind w:left="1440" w:hanging="360"/>
      </w:pPr>
    </w:lvl>
    <w:lvl w:ilvl="2" w:tplc="BCC42028" w:tentative="1">
      <w:start w:val="1"/>
      <w:numFmt w:val="lowerRoman"/>
      <w:lvlText w:val="%3."/>
      <w:lvlJc w:val="right"/>
      <w:pPr>
        <w:ind w:left="2160" w:hanging="180"/>
      </w:pPr>
    </w:lvl>
    <w:lvl w:ilvl="3" w:tplc="F922392A" w:tentative="1">
      <w:start w:val="1"/>
      <w:numFmt w:val="decimal"/>
      <w:lvlText w:val="%4."/>
      <w:lvlJc w:val="left"/>
      <w:pPr>
        <w:ind w:left="2880" w:hanging="360"/>
      </w:pPr>
    </w:lvl>
    <w:lvl w:ilvl="4" w:tplc="658403EA" w:tentative="1">
      <w:start w:val="1"/>
      <w:numFmt w:val="lowerLetter"/>
      <w:lvlText w:val="%5."/>
      <w:lvlJc w:val="left"/>
      <w:pPr>
        <w:ind w:left="3600" w:hanging="360"/>
      </w:pPr>
    </w:lvl>
    <w:lvl w:ilvl="5" w:tplc="8BD635EE" w:tentative="1">
      <w:start w:val="1"/>
      <w:numFmt w:val="lowerRoman"/>
      <w:lvlText w:val="%6."/>
      <w:lvlJc w:val="right"/>
      <w:pPr>
        <w:ind w:left="4320" w:hanging="180"/>
      </w:pPr>
    </w:lvl>
    <w:lvl w:ilvl="6" w:tplc="509CFA88" w:tentative="1">
      <w:start w:val="1"/>
      <w:numFmt w:val="decimal"/>
      <w:lvlText w:val="%7."/>
      <w:lvlJc w:val="left"/>
      <w:pPr>
        <w:ind w:left="5040" w:hanging="360"/>
      </w:pPr>
    </w:lvl>
    <w:lvl w:ilvl="7" w:tplc="FC04B568" w:tentative="1">
      <w:start w:val="1"/>
      <w:numFmt w:val="lowerLetter"/>
      <w:lvlText w:val="%8."/>
      <w:lvlJc w:val="left"/>
      <w:pPr>
        <w:ind w:left="5760" w:hanging="360"/>
      </w:pPr>
    </w:lvl>
    <w:lvl w:ilvl="8" w:tplc="D01C65E0" w:tentative="1">
      <w:start w:val="1"/>
      <w:numFmt w:val="lowerRoman"/>
      <w:lvlText w:val="%9."/>
      <w:lvlJc w:val="right"/>
      <w:pPr>
        <w:ind w:left="6480" w:hanging="180"/>
      </w:pPr>
    </w:lvl>
  </w:abstractNum>
  <w:abstractNum w:abstractNumId="24" w15:restartNumberingAfterBreak="0">
    <w:nsid w:val="609C0DCC"/>
    <w:multiLevelType w:val="multilevel"/>
    <w:tmpl w:val="5720EF72"/>
    <w:lvl w:ilvl="0">
      <w:start w:val="1"/>
      <w:numFmt w:val="decimal"/>
      <w:pStyle w:val="Paragrdouble"/>
      <w:lvlText w:val="[%1]"/>
      <w:lvlJc w:val="left"/>
      <w:pPr>
        <w:tabs>
          <w:tab w:val="num" w:pos="360"/>
        </w:tabs>
        <w:ind w:left="0" w:firstLine="0"/>
      </w:pPr>
      <w:rPr>
        <w:rFonts w:ascii="Arial" w:hAnsi="Arial" w:hint="default"/>
        <w:b w:val="0"/>
        <w:i w:val="0"/>
        <w:sz w:val="24"/>
      </w:rPr>
    </w:lvl>
    <w:lvl w:ilvl="1">
      <w:start w:val="1"/>
      <w:numFmt w:val="decimal"/>
      <w:pStyle w:val="Sous-paragraphe"/>
      <w:lvlText w:val="%1.%2."/>
      <w:lvlJc w:val="left"/>
      <w:pPr>
        <w:tabs>
          <w:tab w:val="num" w:pos="1000"/>
        </w:tabs>
        <w:ind w:left="1000"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824472034">
    <w:abstractNumId w:val="24"/>
  </w:num>
  <w:num w:numId="2" w16cid:durableId="1721244613">
    <w:abstractNumId w:val="24"/>
  </w:num>
  <w:num w:numId="3" w16cid:durableId="1577127023">
    <w:abstractNumId w:val="24"/>
  </w:num>
  <w:num w:numId="4" w16cid:durableId="1168792185">
    <w:abstractNumId w:val="8"/>
  </w:num>
  <w:num w:numId="5" w16cid:durableId="1482380468">
    <w:abstractNumId w:val="3"/>
  </w:num>
  <w:num w:numId="6" w16cid:durableId="2124763048">
    <w:abstractNumId w:val="2"/>
  </w:num>
  <w:num w:numId="7" w16cid:durableId="1391998686">
    <w:abstractNumId w:val="1"/>
  </w:num>
  <w:num w:numId="8" w16cid:durableId="1442190340">
    <w:abstractNumId w:val="0"/>
  </w:num>
  <w:num w:numId="9" w16cid:durableId="265121710">
    <w:abstractNumId w:val="9"/>
  </w:num>
  <w:num w:numId="10" w16cid:durableId="403603298">
    <w:abstractNumId w:val="7"/>
  </w:num>
  <w:num w:numId="11" w16cid:durableId="922835783">
    <w:abstractNumId w:val="6"/>
  </w:num>
  <w:num w:numId="12" w16cid:durableId="461849357">
    <w:abstractNumId w:val="5"/>
  </w:num>
  <w:num w:numId="13" w16cid:durableId="1888299512">
    <w:abstractNumId w:val="4"/>
  </w:num>
  <w:num w:numId="14" w16cid:durableId="473908420">
    <w:abstractNumId w:val="10"/>
  </w:num>
  <w:num w:numId="15" w16cid:durableId="799495099">
    <w:abstractNumId w:val="13"/>
  </w:num>
  <w:num w:numId="16" w16cid:durableId="1692148571">
    <w:abstractNumId w:val="11"/>
  </w:num>
  <w:num w:numId="17" w16cid:durableId="1014132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0696453">
    <w:abstractNumId w:val="16"/>
  </w:num>
  <w:num w:numId="19" w16cid:durableId="1483042324">
    <w:abstractNumId w:val="15"/>
  </w:num>
  <w:num w:numId="20" w16cid:durableId="1497764509">
    <w:abstractNumId w:val="22"/>
  </w:num>
  <w:num w:numId="21" w16cid:durableId="2041512664">
    <w:abstractNumId w:val="22"/>
  </w:num>
  <w:num w:numId="22" w16cid:durableId="1702824874">
    <w:abstractNumId w:val="22"/>
  </w:num>
  <w:num w:numId="23" w16cid:durableId="1039890846">
    <w:abstractNumId w:val="22"/>
  </w:num>
  <w:num w:numId="24" w16cid:durableId="836725721">
    <w:abstractNumId w:val="22"/>
  </w:num>
  <w:num w:numId="25" w16cid:durableId="90510770">
    <w:abstractNumId w:val="24"/>
  </w:num>
  <w:num w:numId="26" w16cid:durableId="589237773">
    <w:abstractNumId w:val="24"/>
  </w:num>
  <w:num w:numId="27" w16cid:durableId="1448501154">
    <w:abstractNumId w:val="24"/>
  </w:num>
  <w:num w:numId="28" w16cid:durableId="1370883143">
    <w:abstractNumId w:val="24"/>
  </w:num>
  <w:num w:numId="29" w16cid:durableId="1930847087">
    <w:abstractNumId w:val="24"/>
  </w:num>
  <w:num w:numId="30" w16cid:durableId="1758792508">
    <w:abstractNumId w:val="22"/>
  </w:num>
  <w:num w:numId="31" w16cid:durableId="836336750">
    <w:abstractNumId w:val="22"/>
  </w:num>
  <w:num w:numId="32" w16cid:durableId="544177324">
    <w:abstractNumId w:val="24"/>
  </w:num>
  <w:num w:numId="33" w16cid:durableId="555093474">
    <w:abstractNumId w:val="24"/>
  </w:num>
  <w:num w:numId="34" w16cid:durableId="1863935971">
    <w:abstractNumId w:val="11"/>
  </w:num>
  <w:num w:numId="35" w16cid:durableId="1399282962">
    <w:abstractNumId w:val="12"/>
  </w:num>
  <w:num w:numId="36" w16cid:durableId="259608036">
    <w:abstractNumId w:val="19"/>
  </w:num>
  <w:num w:numId="37" w16cid:durableId="1171457181">
    <w:abstractNumId w:val="23"/>
  </w:num>
  <w:num w:numId="38" w16cid:durableId="241330680">
    <w:abstractNumId w:val="20"/>
  </w:num>
  <w:num w:numId="39" w16cid:durableId="1507672744">
    <w:abstractNumId w:val="17"/>
  </w:num>
  <w:num w:numId="40" w16cid:durableId="1337732276">
    <w:abstractNumId w:val="18"/>
  </w:num>
  <w:num w:numId="41" w16cid:durableId="1368682431">
    <w:abstractNumId w:val="21"/>
  </w:num>
  <w:num w:numId="42" w16cid:durableId="265231530">
    <w:abstractNumId w:val="14"/>
  </w:num>
  <w:num w:numId="43" w16cid:durableId="1685983873">
    <w:abstractNumId w:val="24"/>
  </w:num>
  <w:num w:numId="44" w16cid:durableId="2084136474">
    <w:abstractNumId w:val="11"/>
  </w:num>
  <w:num w:numId="45" w16cid:durableId="475032368">
    <w:abstractNumId w:val="11"/>
  </w:num>
  <w:num w:numId="46" w16cid:durableId="755518404">
    <w:abstractNumId w:val="11"/>
  </w:num>
  <w:num w:numId="47" w16cid:durableId="1649288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31"/>
  <w:hyphenationZone w:val="425"/>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8F"/>
    <w:rsid w:val="00007687"/>
    <w:rsid w:val="00011086"/>
    <w:rsid w:val="000112FD"/>
    <w:rsid w:val="0001319D"/>
    <w:rsid w:val="0001601B"/>
    <w:rsid w:val="00020EAA"/>
    <w:rsid w:val="00026C30"/>
    <w:rsid w:val="00037380"/>
    <w:rsid w:val="00047241"/>
    <w:rsid w:val="000536D4"/>
    <w:rsid w:val="000640AA"/>
    <w:rsid w:val="00066C5E"/>
    <w:rsid w:val="00067A19"/>
    <w:rsid w:val="000751E6"/>
    <w:rsid w:val="00083827"/>
    <w:rsid w:val="0009261B"/>
    <w:rsid w:val="000A3312"/>
    <w:rsid w:val="000B1700"/>
    <w:rsid w:val="000B3E0C"/>
    <w:rsid w:val="000F222D"/>
    <w:rsid w:val="000F378F"/>
    <w:rsid w:val="000F5AFF"/>
    <w:rsid w:val="00100BBF"/>
    <w:rsid w:val="00105870"/>
    <w:rsid w:val="0011437E"/>
    <w:rsid w:val="00116DA6"/>
    <w:rsid w:val="00121A72"/>
    <w:rsid w:val="00121EC3"/>
    <w:rsid w:val="00124781"/>
    <w:rsid w:val="00154B5A"/>
    <w:rsid w:val="001839B4"/>
    <w:rsid w:val="001846C0"/>
    <w:rsid w:val="00185F1C"/>
    <w:rsid w:val="001B0DA6"/>
    <w:rsid w:val="001C13D1"/>
    <w:rsid w:val="001C24D8"/>
    <w:rsid w:val="001D5AE3"/>
    <w:rsid w:val="001D5F69"/>
    <w:rsid w:val="001E3960"/>
    <w:rsid w:val="001E46B7"/>
    <w:rsid w:val="001E7CCB"/>
    <w:rsid w:val="001F772A"/>
    <w:rsid w:val="00204AFB"/>
    <w:rsid w:val="00205B4D"/>
    <w:rsid w:val="00211D61"/>
    <w:rsid w:val="00212CAD"/>
    <w:rsid w:val="0021526B"/>
    <w:rsid w:val="00226AD0"/>
    <w:rsid w:val="00233C42"/>
    <w:rsid w:val="002528CF"/>
    <w:rsid w:val="00255A37"/>
    <w:rsid w:val="002643BA"/>
    <w:rsid w:val="002664E8"/>
    <w:rsid w:val="00272088"/>
    <w:rsid w:val="00282FA0"/>
    <w:rsid w:val="00286B80"/>
    <w:rsid w:val="002A362F"/>
    <w:rsid w:val="002A4DBB"/>
    <w:rsid w:val="002A7B92"/>
    <w:rsid w:val="002B78CB"/>
    <w:rsid w:val="002C1096"/>
    <w:rsid w:val="002E1076"/>
    <w:rsid w:val="002E5E40"/>
    <w:rsid w:val="002F5970"/>
    <w:rsid w:val="003023D4"/>
    <w:rsid w:val="0030474C"/>
    <w:rsid w:val="003233EB"/>
    <w:rsid w:val="00345447"/>
    <w:rsid w:val="00365A2D"/>
    <w:rsid w:val="00370614"/>
    <w:rsid w:val="0037241E"/>
    <w:rsid w:val="00392B31"/>
    <w:rsid w:val="0039453E"/>
    <w:rsid w:val="003A4240"/>
    <w:rsid w:val="003A60F5"/>
    <w:rsid w:val="003B1650"/>
    <w:rsid w:val="003C4842"/>
    <w:rsid w:val="003C7160"/>
    <w:rsid w:val="003E26FE"/>
    <w:rsid w:val="003E6D72"/>
    <w:rsid w:val="003F2335"/>
    <w:rsid w:val="00400533"/>
    <w:rsid w:val="00404506"/>
    <w:rsid w:val="00406E23"/>
    <w:rsid w:val="00411002"/>
    <w:rsid w:val="00420A4E"/>
    <w:rsid w:val="00421253"/>
    <w:rsid w:val="004320E9"/>
    <w:rsid w:val="00440832"/>
    <w:rsid w:val="004409A7"/>
    <w:rsid w:val="00450875"/>
    <w:rsid w:val="00462209"/>
    <w:rsid w:val="00462B54"/>
    <w:rsid w:val="00465350"/>
    <w:rsid w:val="0047224A"/>
    <w:rsid w:val="00472DB2"/>
    <w:rsid w:val="0048572D"/>
    <w:rsid w:val="004B2BB0"/>
    <w:rsid w:val="004B4991"/>
    <w:rsid w:val="004C1693"/>
    <w:rsid w:val="004D13C7"/>
    <w:rsid w:val="004D48E8"/>
    <w:rsid w:val="004D6AEA"/>
    <w:rsid w:val="004E7455"/>
    <w:rsid w:val="004F38F7"/>
    <w:rsid w:val="0050205A"/>
    <w:rsid w:val="005031A4"/>
    <w:rsid w:val="00514A5F"/>
    <w:rsid w:val="00517D54"/>
    <w:rsid w:val="00522D8C"/>
    <w:rsid w:val="00526895"/>
    <w:rsid w:val="00544678"/>
    <w:rsid w:val="00551E64"/>
    <w:rsid w:val="00562462"/>
    <w:rsid w:val="005658A4"/>
    <w:rsid w:val="00574082"/>
    <w:rsid w:val="005751BC"/>
    <w:rsid w:val="00576586"/>
    <w:rsid w:val="00580152"/>
    <w:rsid w:val="005A4BE9"/>
    <w:rsid w:val="005D474E"/>
    <w:rsid w:val="005D5A39"/>
    <w:rsid w:val="005D663D"/>
    <w:rsid w:val="005E3351"/>
    <w:rsid w:val="005E3A2B"/>
    <w:rsid w:val="005E6858"/>
    <w:rsid w:val="005E6957"/>
    <w:rsid w:val="005F0ED7"/>
    <w:rsid w:val="005F203F"/>
    <w:rsid w:val="005F42A4"/>
    <w:rsid w:val="00613DDF"/>
    <w:rsid w:val="006332FE"/>
    <w:rsid w:val="00633B6C"/>
    <w:rsid w:val="00636E65"/>
    <w:rsid w:val="00640066"/>
    <w:rsid w:val="00645626"/>
    <w:rsid w:val="00652147"/>
    <w:rsid w:val="0066117D"/>
    <w:rsid w:val="006640BC"/>
    <w:rsid w:val="006715D6"/>
    <w:rsid w:val="006811A4"/>
    <w:rsid w:val="00697729"/>
    <w:rsid w:val="006A5BC9"/>
    <w:rsid w:val="006B074F"/>
    <w:rsid w:val="006B1CE0"/>
    <w:rsid w:val="006B23D6"/>
    <w:rsid w:val="006B52C2"/>
    <w:rsid w:val="006B6CEE"/>
    <w:rsid w:val="006C5810"/>
    <w:rsid w:val="006C7E5B"/>
    <w:rsid w:val="006D0AC2"/>
    <w:rsid w:val="006D4F4A"/>
    <w:rsid w:val="006F5E33"/>
    <w:rsid w:val="006F7CD6"/>
    <w:rsid w:val="00700EA1"/>
    <w:rsid w:val="00702BF3"/>
    <w:rsid w:val="00712A26"/>
    <w:rsid w:val="00717D23"/>
    <w:rsid w:val="007353C9"/>
    <w:rsid w:val="00736DDE"/>
    <w:rsid w:val="007471E6"/>
    <w:rsid w:val="00760A42"/>
    <w:rsid w:val="007629D9"/>
    <w:rsid w:val="00764F93"/>
    <w:rsid w:val="00765FF7"/>
    <w:rsid w:val="00772542"/>
    <w:rsid w:val="00780C5C"/>
    <w:rsid w:val="0078789E"/>
    <w:rsid w:val="00796448"/>
    <w:rsid w:val="00797FE0"/>
    <w:rsid w:val="007A0F7E"/>
    <w:rsid w:val="007A28D8"/>
    <w:rsid w:val="007A78D2"/>
    <w:rsid w:val="007C7C42"/>
    <w:rsid w:val="007D3DCA"/>
    <w:rsid w:val="007E4DE8"/>
    <w:rsid w:val="008007B6"/>
    <w:rsid w:val="008034D9"/>
    <w:rsid w:val="00804F45"/>
    <w:rsid w:val="008145D6"/>
    <w:rsid w:val="00823183"/>
    <w:rsid w:val="008260EC"/>
    <w:rsid w:val="00832CB3"/>
    <w:rsid w:val="00833C69"/>
    <w:rsid w:val="00836365"/>
    <w:rsid w:val="00841ED5"/>
    <w:rsid w:val="0084270E"/>
    <w:rsid w:val="00846417"/>
    <w:rsid w:val="00846D91"/>
    <w:rsid w:val="0085062A"/>
    <w:rsid w:val="008602CD"/>
    <w:rsid w:val="00865ED1"/>
    <w:rsid w:val="008778D5"/>
    <w:rsid w:val="00894C88"/>
    <w:rsid w:val="008973B5"/>
    <w:rsid w:val="008A1685"/>
    <w:rsid w:val="008A4532"/>
    <w:rsid w:val="008A5221"/>
    <w:rsid w:val="008A7DDE"/>
    <w:rsid w:val="008B3236"/>
    <w:rsid w:val="008E1AAE"/>
    <w:rsid w:val="008F0149"/>
    <w:rsid w:val="008F489A"/>
    <w:rsid w:val="0090455B"/>
    <w:rsid w:val="009052F8"/>
    <w:rsid w:val="0091055E"/>
    <w:rsid w:val="00920A9A"/>
    <w:rsid w:val="00921FA1"/>
    <w:rsid w:val="00926720"/>
    <w:rsid w:val="00934E1F"/>
    <w:rsid w:val="0095474A"/>
    <w:rsid w:val="009566EB"/>
    <w:rsid w:val="009615DF"/>
    <w:rsid w:val="00961E25"/>
    <w:rsid w:val="00962F14"/>
    <w:rsid w:val="0097016C"/>
    <w:rsid w:val="009755F6"/>
    <w:rsid w:val="00982D68"/>
    <w:rsid w:val="00986BB2"/>
    <w:rsid w:val="00987DB0"/>
    <w:rsid w:val="00987DB4"/>
    <w:rsid w:val="00992D23"/>
    <w:rsid w:val="009943A6"/>
    <w:rsid w:val="009A1BEA"/>
    <w:rsid w:val="009A4686"/>
    <w:rsid w:val="009B45E7"/>
    <w:rsid w:val="009B5209"/>
    <w:rsid w:val="009B6B08"/>
    <w:rsid w:val="009B7C50"/>
    <w:rsid w:val="009D6D11"/>
    <w:rsid w:val="009E2525"/>
    <w:rsid w:val="009E26AF"/>
    <w:rsid w:val="009E42CC"/>
    <w:rsid w:val="009E7E11"/>
    <w:rsid w:val="009F1765"/>
    <w:rsid w:val="009F667F"/>
    <w:rsid w:val="009F67B9"/>
    <w:rsid w:val="00A00940"/>
    <w:rsid w:val="00A1649D"/>
    <w:rsid w:val="00A2649E"/>
    <w:rsid w:val="00A3455B"/>
    <w:rsid w:val="00A44C17"/>
    <w:rsid w:val="00A46385"/>
    <w:rsid w:val="00A54515"/>
    <w:rsid w:val="00A546A2"/>
    <w:rsid w:val="00A61EB0"/>
    <w:rsid w:val="00A663AB"/>
    <w:rsid w:val="00A74253"/>
    <w:rsid w:val="00A7797F"/>
    <w:rsid w:val="00A83BC4"/>
    <w:rsid w:val="00A9798B"/>
    <w:rsid w:val="00AA68DB"/>
    <w:rsid w:val="00AB5EB8"/>
    <w:rsid w:val="00AC1AEF"/>
    <w:rsid w:val="00AC7CE9"/>
    <w:rsid w:val="00AD50D9"/>
    <w:rsid w:val="00AE4072"/>
    <w:rsid w:val="00AE595B"/>
    <w:rsid w:val="00AE79EC"/>
    <w:rsid w:val="00AF1575"/>
    <w:rsid w:val="00AF1616"/>
    <w:rsid w:val="00AF44B7"/>
    <w:rsid w:val="00AF567F"/>
    <w:rsid w:val="00AF7B27"/>
    <w:rsid w:val="00B05E48"/>
    <w:rsid w:val="00B15800"/>
    <w:rsid w:val="00B2110E"/>
    <w:rsid w:val="00B223AB"/>
    <w:rsid w:val="00B22800"/>
    <w:rsid w:val="00B23A06"/>
    <w:rsid w:val="00B26E96"/>
    <w:rsid w:val="00B343D0"/>
    <w:rsid w:val="00B356DE"/>
    <w:rsid w:val="00B3768E"/>
    <w:rsid w:val="00B4634B"/>
    <w:rsid w:val="00B657BD"/>
    <w:rsid w:val="00B662F9"/>
    <w:rsid w:val="00B71A99"/>
    <w:rsid w:val="00B820DA"/>
    <w:rsid w:val="00B91FB2"/>
    <w:rsid w:val="00B973DB"/>
    <w:rsid w:val="00BA153A"/>
    <w:rsid w:val="00BA4292"/>
    <w:rsid w:val="00BB35D3"/>
    <w:rsid w:val="00BB5044"/>
    <w:rsid w:val="00BB7492"/>
    <w:rsid w:val="00BC41B9"/>
    <w:rsid w:val="00BC4C01"/>
    <w:rsid w:val="00BE352A"/>
    <w:rsid w:val="00C025FC"/>
    <w:rsid w:val="00C14A56"/>
    <w:rsid w:val="00C15CB5"/>
    <w:rsid w:val="00C20AB9"/>
    <w:rsid w:val="00C227C8"/>
    <w:rsid w:val="00C23DF4"/>
    <w:rsid w:val="00C27061"/>
    <w:rsid w:val="00C31239"/>
    <w:rsid w:val="00C37C61"/>
    <w:rsid w:val="00C40124"/>
    <w:rsid w:val="00C50BAC"/>
    <w:rsid w:val="00C564C6"/>
    <w:rsid w:val="00C612BC"/>
    <w:rsid w:val="00C61921"/>
    <w:rsid w:val="00C80402"/>
    <w:rsid w:val="00C872D8"/>
    <w:rsid w:val="00C9020E"/>
    <w:rsid w:val="00C9169D"/>
    <w:rsid w:val="00C944E2"/>
    <w:rsid w:val="00CA079E"/>
    <w:rsid w:val="00CA7B56"/>
    <w:rsid w:val="00CB2DA4"/>
    <w:rsid w:val="00CB7D7F"/>
    <w:rsid w:val="00CC5DDC"/>
    <w:rsid w:val="00CD08DC"/>
    <w:rsid w:val="00CD15DE"/>
    <w:rsid w:val="00CD2E5F"/>
    <w:rsid w:val="00CE1CAF"/>
    <w:rsid w:val="00CE1E73"/>
    <w:rsid w:val="00CE5A4C"/>
    <w:rsid w:val="00CE6F57"/>
    <w:rsid w:val="00CF13E2"/>
    <w:rsid w:val="00CF1BE2"/>
    <w:rsid w:val="00CF51ED"/>
    <w:rsid w:val="00D020D2"/>
    <w:rsid w:val="00D02E35"/>
    <w:rsid w:val="00D101F8"/>
    <w:rsid w:val="00D11411"/>
    <w:rsid w:val="00D12D92"/>
    <w:rsid w:val="00D14350"/>
    <w:rsid w:val="00D25DB5"/>
    <w:rsid w:val="00D26929"/>
    <w:rsid w:val="00D322D5"/>
    <w:rsid w:val="00D372E2"/>
    <w:rsid w:val="00D47A26"/>
    <w:rsid w:val="00D518E9"/>
    <w:rsid w:val="00D51A11"/>
    <w:rsid w:val="00D51B43"/>
    <w:rsid w:val="00D60A93"/>
    <w:rsid w:val="00D63BB7"/>
    <w:rsid w:val="00D63C26"/>
    <w:rsid w:val="00D6593A"/>
    <w:rsid w:val="00D700F8"/>
    <w:rsid w:val="00D7108C"/>
    <w:rsid w:val="00D713AF"/>
    <w:rsid w:val="00D836D4"/>
    <w:rsid w:val="00D94935"/>
    <w:rsid w:val="00DA2AE6"/>
    <w:rsid w:val="00DA59BA"/>
    <w:rsid w:val="00DC6D43"/>
    <w:rsid w:val="00DD6324"/>
    <w:rsid w:val="00DE11F8"/>
    <w:rsid w:val="00DE40AF"/>
    <w:rsid w:val="00DF435A"/>
    <w:rsid w:val="00E13E49"/>
    <w:rsid w:val="00E16E61"/>
    <w:rsid w:val="00E222D3"/>
    <w:rsid w:val="00E26B47"/>
    <w:rsid w:val="00E4587C"/>
    <w:rsid w:val="00E52457"/>
    <w:rsid w:val="00E529BF"/>
    <w:rsid w:val="00E52D7A"/>
    <w:rsid w:val="00E7003A"/>
    <w:rsid w:val="00E70895"/>
    <w:rsid w:val="00E7153A"/>
    <w:rsid w:val="00E722F4"/>
    <w:rsid w:val="00E73B79"/>
    <w:rsid w:val="00E73CA2"/>
    <w:rsid w:val="00E76E1D"/>
    <w:rsid w:val="00E821EF"/>
    <w:rsid w:val="00E844CB"/>
    <w:rsid w:val="00EC1565"/>
    <w:rsid w:val="00EC4868"/>
    <w:rsid w:val="00EC63AE"/>
    <w:rsid w:val="00EC705F"/>
    <w:rsid w:val="00ED1494"/>
    <w:rsid w:val="00EE688B"/>
    <w:rsid w:val="00EF2C53"/>
    <w:rsid w:val="00F02C13"/>
    <w:rsid w:val="00F05AC8"/>
    <w:rsid w:val="00F0652E"/>
    <w:rsid w:val="00F1055D"/>
    <w:rsid w:val="00F116E3"/>
    <w:rsid w:val="00F268E6"/>
    <w:rsid w:val="00F347AF"/>
    <w:rsid w:val="00F379DC"/>
    <w:rsid w:val="00F412C3"/>
    <w:rsid w:val="00F449B2"/>
    <w:rsid w:val="00F466C1"/>
    <w:rsid w:val="00F4770B"/>
    <w:rsid w:val="00F51688"/>
    <w:rsid w:val="00F568E2"/>
    <w:rsid w:val="00F616A5"/>
    <w:rsid w:val="00F62002"/>
    <w:rsid w:val="00F73588"/>
    <w:rsid w:val="00F82A46"/>
    <w:rsid w:val="00F84ABB"/>
    <w:rsid w:val="00F85632"/>
    <w:rsid w:val="00F908EC"/>
    <w:rsid w:val="00F929BF"/>
    <w:rsid w:val="00FA28A1"/>
    <w:rsid w:val="00FA3B7F"/>
    <w:rsid w:val="00FB60DB"/>
    <w:rsid w:val="00FE0ED1"/>
    <w:rsid w:val="00FE11FD"/>
    <w:rsid w:val="00FF6EF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C0E76"/>
  <w15:chartTrackingRefBased/>
  <w15:docId w15:val="{E729AC5C-254C-41C9-8ECE-0FB48F9C0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fr-FR"/>
    </w:rPr>
  </w:style>
  <w:style w:type="paragraph" w:styleId="Titre1">
    <w:name w:val="heading 1"/>
    <w:basedOn w:val="Normal"/>
    <w:next w:val="Paragrdouble"/>
    <w:qFormat/>
    <w:rsid w:val="00D12D92"/>
    <w:pPr>
      <w:keepNext/>
      <w:spacing w:before="240" w:after="60"/>
      <w:ind w:left="432" w:hanging="432"/>
      <w:outlineLvl w:val="0"/>
    </w:pPr>
    <w:rPr>
      <w:b/>
      <w:kern w:val="28"/>
      <w:u w:val="single"/>
    </w:rPr>
  </w:style>
  <w:style w:type="paragraph" w:styleId="Titre2">
    <w:name w:val="heading 2"/>
    <w:basedOn w:val="Normal"/>
    <w:next w:val="Paragrdouble"/>
    <w:qFormat/>
    <w:rsid w:val="00BA153A"/>
    <w:pPr>
      <w:keepNext/>
      <w:numPr>
        <w:numId w:val="16"/>
      </w:numPr>
      <w:spacing w:before="240" w:after="60"/>
      <w:outlineLvl w:val="1"/>
    </w:pPr>
    <w:rPr>
      <w:b/>
      <w:caps/>
      <w:u w:val="single"/>
    </w:rPr>
  </w:style>
  <w:style w:type="paragraph" w:styleId="Titre3">
    <w:name w:val="heading 3"/>
    <w:basedOn w:val="Normal"/>
    <w:next w:val="Paragrdouble"/>
    <w:qFormat/>
    <w:rsid w:val="00AF1575"/>
    <w:pPr>
      <w:keepNext/>
      <w:numPr>
        <w:ilvl w:val="1"/>
        <w:numId w:val="16"/>
      </w:numPr>
      <w:spacing w:before="240" w:after="60"/>
      <w:ind w:left="1162"/>
      <w:outlineLvl w:val="2"/>
    </w:pPr>
    <w:rPr>
      <w:b/>
    </w:rPr>
  </w:style>
  <w:style w:type="paragraph" w:styleId="Titre4">
    <w:name w:val="heading 4"/>
    <w:basedOn w:val="Normal"/>
    <w:next w:val="Paragrdouble"/>
    <w:qFormat/>
    <w:rsid w:val="00AF1575"/>
    <w:pPr>
      <w:keepNext/>
      <w:numPr>
        <w:ilvl w:val="2"/>
        <w:numId w:val="16"/>
      </w:numPr>
      <w:spacing w:before="240" w:after="60"/>
      <w:ind w:left="1985" w:hanging="851"/>
      <w:outlineLvl w:val="3"/>
    </w:pPr>
    <w:rPr>
      <w:b/>
    </w:rPr>
  </w:style>
  <w:style w:type="paragraph" w:styleId="Titre5">
    <w:name w:val="heading 5"/>
    <w:basedOn w:val="Titre4"/>
    <w:next w:val="Paragrdouble"/>
    <w:qFormat/>
    <w:rsid w:val="001B0DA6"/>
    <w:pPr>
      <w:numPr>
        <w:ilvl w:val="3"/>
      </w:numPr>
      <w:ind w:left="2495" w:hanging="1077"/>
      <w:outlineLvl w:val="4"/>
    </w:pPr>
  </w:style>
  <w:style w:type="paragraph" w:styleId="Titre6">
    <w:name w:val="heading 6"/>
    <w:basedOn w:val="Titre5"/>
    <w:next w:val="Paragrdouble"/>
    <w:qFormat/>
    <w:rsid w:val="00C025FC"/>
    <w:pPr>
      <w:numPr>
        <w:ilvl w:val="4"/>
      </w:numPr>
      <w:ind w:left="3657" w:hanging="1247"/>
      <w:outlineLvl w:val="5"/>
    </w:pPr>
  </w:style>
  <w:style w:type="paragraph" w:styleId="Titre7">
    <w:name w:val="heading 7"/>
    <w:basedOn w:val="Normal"/>
    <w:next w:val="Normal"/>
    <w:qFormat/>
    <w:pPr>
      <w:numPr>
        <w:ilvl w:val="6"/>
        <w:numId w:val="15"/>
      </w:numPr>
      <w:spacing w:before="240" w:after="60"/>
      <w:outlineLvl w:val="6"/>
    </w:pPr>
    <w:rPr>
      <w:sz w:val="20"/>
    </w:rPr>
  </w:style>
  <w:style w:type="paragraph" w:styleId="Titre8">
    <w:name w:val="heading 8"/>
    <w:basedOn w:val="Normal"/>
    <w:next w:val="Normal"/>
    <w:qFormat/>
    <w:pPr>
      <w:numPr>
        <w:ilvl w:val="7"/>
        <w:numId w:val="15"/>
      </w:numPr>
      <w:spacing w:before="240" w:after="60"/>
      <w:outlineLvl w:val="7"/>
    </w:pPr>
    <w:rPr>
      <w:i/>
      <w:sz w:val="20"/>
    </w:rPr>
  </w:style>
  <w:style w:type="paragraph" w:styleId="Titre9">
    <w:name w:val="heading 9"/>
    <w:basedOn w:val="Normal"/>
    <w:next w:val="Normal"/>
    <w:qFormat/>
    <w:pPr>
      <w:numPr>
        <w:ilvl w:val="8"/>
        <w:numId w:val="15"/>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double">
    <w:name w:val="Paragr. double"/>
    <w:basedOn w:val="Normal"/>
    <w:rsid w:val="00AF1575"/>
    <w:pPr>
      <w:numPr>
        <w:numId w:val="2"/>
      </w:num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link w:val="NotedebasdepageCar"/>
    <w:semiHidden/>
    <w:pPr>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jc w:val="center"/>
    </w:pPr>
    <w:rPr>
      <w:b/>
      <w:sz w:val="36"/>
    </w:rPr>
  </w:style>
  <w:style w:type="paragraph" w:customStyle="1" w:styleId="zSoquijlblPays">
    <w:name w:val="zSoquij_lblPays"/>
    <w:basedOn w:val="Normal"/>
    <w:rsid w:val="00C025FC"/>
    <w:rPr>
      <w:caps/>
    </w:rPr>
  </w:style>
  <w:style w:type="paragraph" w:customStyle="1" w:styleId="zSoquijlblProvince">
    <w:name w:val="zSoquij_lblProvince"/>
    <w:basedOn w:val="Normal"/>
    <w:rsid w:val="00C025FC"/>
    <w:rPr>
      <w:caps/>
    </w:rPr>
  </w:style>
  <w:style w:type="paragraph" w:customStyle="1" w:styleId="zSoquijlblGreffe">
    <w:name w:val="zSoquij_lblGreffe"/>
    <w:basedOn w:val="Normal"/>
    <w:rsid w:val="00C025FC"/>
    <w:pPr>
      <w:ind w:left="70"/>
    </w:pPr>
    <w:rPr>
      <w:caps/>
    </w:rPr>
  </w:style>
  <w:style w:type="paragraph" w:customStyle="1" w:styleId="zSoquijdatGreffe">
    <w:name w:val="zSoquij_datGreffe"/>
    <w:basedOn w:val="Normal"/>
    <w:rsid w:val="00C025FC"/>
    <w:pPr>
      <w:ind w:left="29"/>
    </w:pPr>
    <w:rPr>
      <w:caps/>
    </w:rPr>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sid w:val="00C025FC"/>
    <w:pPr>
      <w:ind w:left="70"/>
    </w:pPr>
    <w:rPr>
      <w:b/>
      <w:caps/>
    </w:rPr>
  </w:style>
  <w:style w:type="paragraph" w:customStyle="1" w:styleId="zSoquijdatQteJuge">
    <w:name w:val="zSoquij_datQteJuge"/>
    <w:basedOn w:val="Normal"/>
    <w:rsid w:val="00C025FC"/>
    <w:pPr>
      <w:ind w:left="29"/>
    </w:pPr>
    <w:rPr>
      <w:b/>
      <w:caps/>
    </w:rPr>
  </w:style>
  <w:style w:type="paragraph" w:customStyle="1" w:styleId="zSoquijdatJuge">
    <w:name w:val="zSoquij_datJuge"/>
    <w:basedOn w:val="Normal"/>
    <w:rsid w:val="00BA153A"/>
    <w:pPr>
      <w:ind w:left="52"/>
    </w:pPr>
    <w:rPr>
      <w:b/>
      <w:caps/>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rsid w:val="00C025FC"/>
    <w:pPr>
      <w:jc w:val="center"/>
    </w:pPr>
    <w:rPr>
      <w:caps/>
    </w:r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tabs>
        <w:tab w:val="left" w:pos="720"/>
      </w:tabs>
      <w:jc w:val="center"/>
    </w:pPr>
  </w:style>
  <w:style w:type="character" w:customStyle="1" w:styleId="zSoquijlblEntNoDossier">
    <w:name w:val="zSoquij_lblEntNoDossier"/>
    <w:rPr>
      <w:lang w:val="fr-CA"/>
    </w:rPr>
  </w:style>
  <w:style w:type="paragraph" w:customStyle="1" w:styleId="zSoquijlblTitrePartie">
    <w:name w:val="zSoquij_lblTitrePartie"/>
    <w:basedOn w:val="Normal"/>
  </w:style>
  <w:style w:type="paragraph" w:customStyle="1" w:styleId="zSoquijdatSignature3Juge">
    <w:name w:val="zSoquij_datSignature3Juge"/>
    <w:basedOn w:val="Normal"/>
  </w:style>
  <w:style w:type="paragraph" w:customStyle="1" w:styleId="ParagNonNum">
    <w:name w:val="ParagNonNum"/>
    <w:basedOn w:val="Paragrdouble"/>
    <w:pPr>
      <w:numPr>
        <w:numId w:val="0"/>
      </w:numPr>
      <w:ind w:firstLine="734"/>
    </w:pPr>
  </w:style>
  <w:style w:type="paragraph" w:customStyle="1" w:styleId="zSoquijdatIdJuge">
    <w:name w:val="zSoquij_datIdJuge"/>
    <w:basedOn w:val="Normal"/>
    <w:pPr>
      <w:jc w:val="center"/>
    </w:pPr>
    <w:rPr>
      <w:sz w:val="20"/>
    </w:rPr>
  </w:style>
  <w:style w:type="paragraph" w:customStyle="1" w:styleId="Sous-paragraphe">
    <w:name w:val="Sous-paragraphe"/>
    <w:basedOn w:val="Normal"/>
    <w:rsid w:val="00CF51ED"/>
    <w:pPr>
      <w:widowControl w:val="0"/>
      <w:numPr>
        <w:ilvl w:val="1"/>
        <w:numId w:val="3"/>
      </w:numPr>
      <w:spacing w:before="120" w:after="120"/>
      <w:ind w:left="1462" w:hanging="731"/>
      <w:jc w:val="both"/>
    </w:pPr>
    <w:rPr>
      <w:kern w:val="28"/>
    </w:rPr>
  </w:style>
  <w:style w:type="paragraph" w:customStyle="1" w:styleId="zSoquijdatNomProcureurDem">
    <w:name w:val="zSoquij_datNomProcureurDem"/>
    <w:basedOn w:val="zSoquijlblProcureurDem"/>
  </w:style>
  <w:style w:type="paragraph" w:customStyle="1" w:styleId="zSoquijdatNomProcureurDef">
    <w:name w:val="zSoquij_datNomProcureurDef"/>
    <w:basedOn w:val="zSoquijlblProcureurDef"/>
  </w:style>
  <w:style w:type="paragraph" w:customStyle="1" w:styleId="zSoquijdatCabinetProcureurDem">
    <w:name w:val="zSoquij_datCabinetProcureurDem"/>
    <w:basedOn w:val="Normal"/>
  </w:style>
  <w:style w:type="paragraph" w:customStyle="1" w:styleId="zSoquijdatCabinetProcureurDef">
    <w:name w:val="zSoquij_datCabinetProcureurDef"/>
    <w:basedOn w:val="zSoquijlblProcureurDef"/>
  </w:style>
  <w:style w:type="paragraph" w:customStyle="1" w:styleId="zSoquijdatSignatureJuge1">
    <w:name w:val="zSoquij_datSignatureJuge1"/>
    <w:basedOn w:val="Normal"/>
  </w:style>
  <w:style w:type="paragraph" w:customStyle="1" w:styleId="zSoquijdatSignatureJuge2">
    <w:name w:val="zSoquij_datSignatureJuge2"/>
    <w:basedOn w:val="Normal"/>
  </w:style>
  <w:style w:type="paragraph" w:customStyle="1" w:styleId="zSoquijdatSignatureJuge3">
    <w:name w:val="zSoquij_datSignatureJuge3"/>
    <w:basedOn w:val="Normal"/>
  </w:style>
  <w:style w:type="paragraph" w:customStyle="1" w:styleId="zSoquijdatRepertorie">
    <w:name w:val="zSoquij_datRepertorie"/>
    <w:basedOn w:val="zSoquijlblCour"/>
    <w:pPr>
      <w:jc w:val="left"/>
    </w:pPr>
    <w:rPr>
      <w:noProof/>
      <w:sz w:val="22"/>
    </w:rPr>
  </w:style>
  <w:style w:type="paragraph" w:customStyle="1" w:styleId="zSoquijdatRefNeutre">
    <w:name w:val="zSoquij_datRefNeutre"/>
    <w:basedOn w:val="zSoquijlblCour"/>
    <w:pPr>
      <w:jc w:val="left"/>
    </w:pPr>
    <w:rPr>
      <w:noProof/>
      <w:sz w:val="22"/>
    </w:rPr>
  </w:style>
  <w:style w:type="paragraph" w:customStyle="1" w:styleId="zSoquijdatSignature2Juge">
    <w:name w:val="zSoquij_datSignature2Juge"/>
    <w:basedOn w:val="zSoquijdatSignatureJuge3"/>
  </w:style>
  <w:style w:type="paragraph" w:customStyle="1" w:styleId="ParagAlaMarge">
    <w:name w:val="ParagAlaMarge"/>
    <w:basedOn w:val="ParagNonNum"/>
    <w:next w:val="Paragrdouble"/>
    <w:rsid w:val="00CF51ED"/>
    <w:pPr>
      <w:ind w:firstLine="0"/>
    </w:pPr>
  </w:style>
  <w:style w:type="paragraph" w:customStyle="1" w:styleId="zSoquijlblAssesseurs">
    <w:name w:val="zSoquij_lblAssesseurs"/>
    <w:basedOn w:val="Normal"/>
    <w:pPr>
      <w:ind w:left="14" w:right="-67"/>
    </w:pPr>
  </w:style>
  <w:style w:type="paragraph" w:customStyle="1" w:styleId="zSoquijdatAssesseurs">
    <w:name w:val="zSoquij_datAssesseurs"/>
    <w:basedOn w:val="Normal"/>
    <w:pPr>
      <w:ind w:left="14" w:right="-67"/>
    </w:pPr>
  </w:style>
  <w:style w:type="paragraph" w:customStyle="1" w:styleId="zSoquijlblLocalite">
    <w:name w:val="zSoquij_lblLocalite"/>
    <w:basedOn w:val="zSoquijlblGreffe"/>
  </w:style>
  <w:style w:type="paragraph" w:customStyle="1" w:styleId="zSoquijdatLocalite">
    <w:name w:val="zSoquij_datLocalite"/>
    <w:basedOn w:val="zSoquijdatGreffe"/>
  </w:style>
  <w:style w:type="numbering" w:customStyle="1" w:styleId="Style1">
    <w:name w:val="Style1"/>
    <w:uiPriority w:val="99"/>
    <w:rsid w:val="00CE1CAF"/>
    <w:pPr>
      <w:numPr>
        <w:numId w:val="16"/>
      </w:numPr>
    </w:pPr>
  </w:style>
  <w:style w:type="paragraph" w:customStyle="1" w:styleId="Paragrsimple">
    <w:name w:val="Paragr. simple"/>
    <w:basedOn w:val="Paragrdouble"/>
    <w:next w:val="Paragrdouble"/>
    <w:qFormat/>
    <w:rsid w:val="00BA153A"/>
    <w:pPr>
      <w:spacing w:line="240" w:lineRule="auto"/>
    </w:pPr>
  </w:style>
  <w:style w:type="paragraph" w:styleId="En-ttedetabledesmatires">
    <w:name w:val="TOC Heading"/>
    <w:basedOn w:val="Titre1"/>
    <w:next w:val="Normal"/>
    <w:uiPriority w:val="39"/>
    <w:qFormat/>
    <w:rsid w:val="00BA153A"/>
    <w:pPr>
      <w:keepLines/>
      <w:spacing w:before="480" w:after="0" w:line="276" w:lineRule="auto"/>
      <w:ind w:left="0" w:firstLine="0"/>
      <w:outlineLvl w:val="9"/>
    </w:pPr>
    <w:rPr>
      <w:rFonts w:ascii="Cambria" w:hAnsi="Cambria"/>
      <w:bCs/>
      <w:color w:val="365F91"/>
      <w:kern w:val="0"/>
      <w:sz w:val="28"/>
      <w:szCs w:val="28"/>
      <w:u w:val="none"/>
      <w:lang w:eastAsia="fr-CA"/>
    </w:rPr>
  </w:style>
  <w:style w:type="paragraph" w:styleId="TM1">
    <w:name w:val="toc 1"/>
    <w:basedOn w:val="Normal"/>
    <w:next w:val="Normal"/>
    <w:autoRedefine/>
    <w:uiPriority w:val="39"/>
    <w:unhideWhenUsed/>
    <w:rsid w:val="008778D5"/>
    <w:pPr>
      <w:tabs>
        <w:tab w:val="left" w:pos="480"/>
        <w:tab w:val="right" w:leader="dot" w:pos="9352"/>
      </w:tabs>
      <w:spacing w:before="120"/>
    </w:pPr>
  </w:style>
  <w:style w:type="paragraph" w:styleId="TM2">
    <w:name w:val="toc 2"/>
    <w:basedOn w:val="Normal"/>
    <w:next w:val="Normal"/>
    <w:autoRedefine/>
    <w:uiPriority w:val="39"/>
    <w:unhideWhenUsed/>
    <w:rsid w:val="00BA153A"/>
    <w:pPr>
      <w:ind w:left="240"/>
    </w:pPr>
  </w:style>
  <w:style w:type="paragraph" w:styleId="TM3">
    <w:name w:val="toc 3"/>
    <w:basedOn w:val="Normal"/>
    <w:next w:val="Normal"/>
    <w:autoRedefine/>
    <w:uiPriority w:val="39"/>
    <w:unhideWhenUsed/>
    <w:rsid w:val="00BA153A"/>
    <w:pPr>
      <w:ind w:left="480"/>
    </w:pPr>
  </w:style>
  <w:style w:type="character" w:styleId="Hyperlien">
    <w:name w:val="Hyperlink"/>
    <w:uiPriority w:val="99"/>
    <w:unhideWhenUsed/>
    <w:rsid w:val="00BA153A"/>
    <w:rPr>
      <w:color w:val="0000FF"/>
      <w:u w:val="single"/>
      <w:lang w:val="fr-CA"/>
    </w:rPr>
  </w:style>
  <w:style w:type="paragraph" w:styleId="Explorateurdedocuments">
    <w:name w:val="Document Map"/>
    <w:basedOn w:val="Normal"/>
    <w:semiHidden/>
    <w:rsid w:val="00007687"/>
    <w:pPr>
      <w:shd w:val="clear" w:color="auto" w:fill="000080"/>
    </w:pPr>
    <w:rPr>
      <w:rFonts w:ascii="Tahoma" w:hAnsi="Tahoma" w:cs="Tahoma"/>
      <w:sz w:val="20"/>
    </w:rPr>
  </w:style>
  <w:style w:type="paragraph" w:styleId="Titre">
    <w:name w:val="Title"/>
    <w:basedOn w:val="Normal"/>
    <w:qFormat/>
    <w:rsid w:val="008A4532"/>
    <w:pPr>
      <w:spacing w:before="240" w:after="60"/>
      <w:jc w:val="center"/>
      <w:outlineLvl w:val="0"/>
    </w:pPr>
    <w:rPr>
      <w:rFonts w:cs="Arial"/>
      <w:b/>
      <w:bCs/>
      <w:kern w:val="28"/>
      <w:sz w:val="32"/>
      <w:szCs w:val="32"/>
    </w:rPr>
  </w:style>
  <w:style w:type="paragraph" w:styleId="En-tte">
    <w:name w:val="header"/>
    <w:basedOn w:val="Normal"/>
    <w:link w:val="En-tteCar"/>
    <w:uiPriority w:val="99"/>
    <w:unhideWhenUsed/>
    <w:rsid w:val="0011437E"/>
    <w:pPr>
      <w:tabs>
        <w:tab w:val="center" w:pos="4320"/>
        <w:tab w:val="right" w:pos="8640"/>
      </w:tabs>
    </w:pPr>
  </w:style>
  <w:style w:type="character" w:customStyle="1" w:styleId="En-tteCar">
    <w:name w:val="En-tête Car"/>
    <w:basedOn w:val="Policepardfaut"/>
    <w:link w:val="En-tte"/>
    <w:uiPriority w:val="99"/>
    <w:rsid w:val="0011437E"/>
    <w:rPr>
      <w:rFonts w:ascii="Arial" w:hAnsi="Arial"/>
      <w:sz w:val="24"/>
      <w:lang w:eastAsia="fr-FR"/>
    </w:rPr>
  </w:style>
  <w:style w:type="paragraph" w:styleId="Pieddepage">
    <w:name w:val="footer"/>
    <w:basedOn w:val="Normal"/>
    <w:link w:val="PieddepageCar"/>
    <w:uiPriority w:val="99"/>
    <w:unhideWhenUsed/>
    <w:rsid w:val="0011437E"/>
    <w:pPr>
      <w:tabs>
        <w:tab w:val="center" w:pos="4320"/>
        <w:tab w:val="right" w:pos="8640"/>
      </w:tabs>
    </w:pPr>
  </w:style>
  <w:style w:type="character" w:customStyle="1" w:styleId="PieddepageCar">
    <w:name w:val="Pied de page Car"/>
    <w:basedOn w:val="Policepardfaut"/>
    <w:link w:val="Pieddepage"/>
    <w:uiPriority w:val="99"/>
    <w:rsid w:val="0011437E"/>
    <w:rPr>
      <w:rFonts w:ascii="Arial" w:hAnsi="Arial"/>
      <w:sz w:val="24"/>
      <w:lang w:eastAsia="fr-FR"/>
    </w:rPr>
  </w:style>
  <w:style w:type="paragraph" w:styleId="Commentaire">
    <w:name w:val="annotation text"/>
    <w:basedOn w:val="Normal"/>
    <w:link w:val="CommentaireCar"/>
    <w:uiPriority w:val="99"/>
    <w:semiHidden/>
    <w:unhideWhenUsed/>
    <w:rsid w:val="006B074F"/>
    <w:rPr>
      <w:sz w:val="20"/>
    </w:rPr>
  </w:style>
  <w:style w:type="character" w:customStyle="1" w:styleId="CommentaireCar">
    <w:name w:val="Commentaire Car"/>
    <w:basedOn w:val="Policepardfaut"/>
    <w:link w:val="Commentaire"/>
    <w:uiPriority w:val="99"/>
    <w:semiHidden/>
    <w:rsid w:val="006B074F"/>
    <w:rPr>
      <w:rFonts w:ascii="Arial" w:hAnsi="Arial"/>
      <w:lang w:eastAsia="fr-FR"/>
    </w:rPr>
  </w:style>
  <w:style w:type="paragraph" w:styleId="Objetducommentaire">
    <w:name w:val="annotation subject"/>
    <w:basedOn w:val="Commentaire"/>
    <w:next w:val="Commentaire"/>
    <w:link w:val="ObjetducommentaireCar"/>
    <w:semiHidden/>
    <w:unhideWhenUsed/>
    <w:rsid w:val="006B074F"/>
    <w:pPr>
      <w:spacing w:after="240"/>
      <w:jc w:val="both"/>
    </w:pPr>
    <w:rPr>
      <w:rFonts w:eastAsiaTheme="minorHAnsi" w:cstheme="minorBidi"/>
      <w:b/>
      <w:bCs/>
      <w:lang w:eastAsia="en-US"/>
    </w:rPr>
  </w:style>
  <w:style w:type="character" w:customStyle="1" w:styleId="ObjetducommentaireCar">
    <w:name w:val="Objet du commentaire Car"/>
    <w:basedOn w:val="CommentaireCar"/>
    <w:link w:val="Objetducommentaire"/>
    <w:semiHidden/>
    <w:rsid w:val="006B074F"/>
    <w:rPr>
      <w:rFonts w:ascii="Arial" w:eastAsiaTheme="minorHAnsi" w:hAnsi="Arial" w:cstheme="minorBidi"/>
      <w:b/>
      <w:bCs/>
      <w:lang w:eastAsia="en-US"/>
    </w:rPr>
  </w:style>
  <w:style w:type="character" w:customStyle="1" w:styleId="Mentionnonrsolue1">
    <w:name w:val="Mention non résolue1"/>
    <w:basedOn w:val="Policepardfaut"/>
    <w:uiPriority w:val="99"/>
    <w:semiHidden/>
    <w:unhideWhenUsed/>
    <w:rsid w:val="006B074F"/>
    <w:rPr>
      <w:color w:val="605E5C"/>
      <w:shd w:val="clear" w:color="auto" w:fill="E1DFDD"/>
    </w:rPr>
  </w:style>
  <w:style w:type="character" w:styleId="Appelnotedebasdep">
    <w:name w:val="footnote reference"/>
    <w:basedOn w:val="Policepardfaut"/>
    <w:uiPriority w:val="99"/>
    <w:semiHidden/>
    <w:unhideWhenUsed/>
    <w:rsid w:val="00C612BC"/>
    <w:rPr>
      <w:vertAlign w:val="superscript"/>
    </w:rPr>
  </w:style>
  <w:style w:type="paragraph" w:styleId="Rvision">
    <w:name w:val="Revision"/>
    <w:hidden/>
    <w:uiPriority w:val="99"/>
    <w:semiHidden/>
    <w:rsid w:val="0047224A"/>
    <w:rPr>
      <w:rFonts w:ascii="Arial" w:hAnsi="Arial"/>
      <w:sz w:val="24"/>
      <w:lang w:eastAsia="fr-FR"/>
    </w:rPr>
  </w:style>
  <w:style w:type="character" w:styleId="Marquedecommentaire">
    <w:name w:val="annotation reference"/>
    <w:basedOn w:val="Policepardfaut"/>
    <w:uiPriority w:val="99"/>
    <w:semiHidden/>
    <w:unhideWhenUsed/>
    <w:rsid w:val="002C1096"/>
    <w:rPr>
      <w:sz w:val="16"/>
      <w:szCs w:val="16"/>
    </w:rPr>
  </w:style>
  <w:style w:type="character" w:customStyle="1" w:styleId="NotedebasdepageCar">
    <w:name w:val="Note de bas de page Car"/>
    <w:basedOn w:val="Policepardfaut"/>
    <w:link w:val="Notedebasdepage"/>
    <w:semiHidden/>
    <w:rsid w:val="002C1096"/>
    <w:rPr>
      <w:rFonts w:ascii="Arial" w:hAnsi="Arial"/>
      <w:lang w:eastAsia="fr-FR"/>
    </w:rPr>
  </w:style>
  <w:style w:type="character" w:styleId="Lienvisit">
    <w:name w:val="FollowedHyperlink"/>
    <w:basedOn w:val="Policepardfaut"/>
    <w:uiPriority w:val="99"/>
    <w:semiHidden/>
    <w:unhideWhenUsed/>
    <w:rsid w:val="004B49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954ae14-9a93-4d4e-a715-b32e977ffa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F4FAF43403EB49BBD2D1093B0CFD36" ma:contentTypeVersion="16" ma:contentTypeDescription="Create a new document." ma:contentTypeScope="" ma:versionID="acd42550d9ac3fc325177ece66700a5c">
  <xsd:schema xmlns:xsd="http://www.w3.org/2001/XMLSchema" xmlns:xs="http://www.w3.org/2001/XMLSchema" xmlns:p="http://schemas.microsoft.com/office/2006/metadata/properties" xmlns:ns3="8954ae14-9a93-4d4e-a715-b32e977ffa0d" xmlns:ns4="f6abb197-0257-45cc-a6b5-45102e617a7d" targetNamespace="http://schemas.microsoft.com/office/2006/metadata/properties" ma:root="true" ma:fieldsID="81ddaef8b338f8d368f3864db8b19323" ns3:_="" ns4:_="">
    <xsd:import namespace="8954ae14-9a93-4d4e-a715-b32e977ffa0d"/>
    <xsd:import namespace="f6abb197-0257-45cc-a6b5-45102e617a7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4ae14-9a93-4d4e-a715-b32e977ff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abb197-0257-45cc-a6b5-45102e617a7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F80CF0-9AAF-4709-969E-E7A7B3C63761}">
  <ds:schemaRefs>
    <ds:schemaRef ds:uri="http://schemas.openxmlformats.org/officeDocument/2006/bibliography"/>
  </ds:schemaRefs>
</ds:datastoreItem>
</file>

<file path=customXml/itemProps2.xml><?xml version="1.0" encoding="utf-8"?>
<ds:datastoreItem xmlns:ds="http://schemas.openxmlformats.org/officeDocument/2006/customXml" ds:itemID="{C36D3F2B-15EA-492A-8B48-2CF10FE3B1AB}">
  <ds:schemaRefs>
    <ds:schemaRef ds:uri="http://schemas.microsoft.com/sharepoint/v3/contenttype/forms"/>
  </ds:schemaRefs>
</ds:datastoreItem>
</file>

<file path=customXml/itemProps3.xml><?xml version="1.0" encoding="utf-8"?>
<ds:datastoreItem xmlns:ds="http://schemas.openxmlformats.org/officeDocument/2006/customXml" ds:itemID="{124B1385-B317-4A73-AB5B-447180BDB870}">
  <ds:schemaRefs>
    <ds:schemaRef ds:uri="http://schemas.microsoft.com/office/2006/metadata/properties"/>
    <ds:schemaRef ds:uri="http://schemas.microsoft.com/office/infopath/2007/PartnerControls"/>
    <ds:schemaRef ds:uri="8954ae14-9a93-4d4e-a715-b32e977ffa0d"/>
  </ds:schemaRefs>
</ds:datastoreItem>
</file>

<file path=customXml/itemProps4.xml><?xml version="1.0" encoding="utf-8"?>
<ds:datastoreItem xmlns:ds="http://schemas.openxmlformats.org/officeDocument/2006/customXml" ds:itemID="{E9B53CD2-C29D-4AAC-B8BB-D29EFF36F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4ae14-9a93-4d4e-a715-b32e977ffa0d"/>
    <ds:schemaRef ds:uri="f6abb197-0257-45cc-a6b5-45102e617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5168</Words>
  <Characters>28428</Characters>
  <Application>Microsoft Office Word</Application>
  <DocSecurity>0</DocSecurity>
  <Lines>236</Lines>
  <Paragraphs>67</Paragraphs>
  <ScaleCrop>false</ScaleCrop>
  <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Deschênes, Gabrielle</cp:lastModifiedBy>
  <cp:revision>3</cp:revision>
  <dcterms:created xsi:type="dcterms:W3CDTF">2026-10-20T13:00:00Z</dcterms:created>
  <dcterms:modified xsi:type="dcterms:W3CDTF">2026-10-20T13:02:00Z</dcterms:modified>
</cp:coreProperties>
</file>