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5" w:type="dxa"/>
        <w:tblLayout w:type="fixed"/>
        <w:tblCellMar>
          <w:left w:w="70" w:type="dxa"/>
          <w:right w:w="70" w:type="dxa"/>
        </w:tblCellMar>
        <w:tblLook w:val="0000" w:firstRow="0" w:lastRow="0" w:firstColumn="0" w:lastColumn="0" w:noHBand="0" w:noVBand="0"/>
      </w:tblPr>
      <w:tblGrid>
        <w:gridCol w:w="1036"/>
        <w:gridCol w:w="69"/>
        <w:gridCol w:w="510"/>
        <w:gridCol w:w="1585"/>
        <w:gridCol w:w="1826"/>
        <w:gridCol w:w="2064"/>
        <w:gridCol w:w="2415"/>
      </w:tblGrid>
      <w:tr w:rsidR="00487E50" w14:paraId="5B9EA762" w14:textId="77777777">
        <w:trPr>
          <w:trHeight w:val="360"/>
        </w:trPr>
        <w:tc>
          <w:tcPr>
            <w:tcW w:w="7090" w:type="dxa"/>
            <w:gridSpan w:val="6"/>
          </w:tcPr>
          <w:p w14:paraId="50A8B052" w14:textId="3615FF3C" w:rsidR="00121A72" w:rsidRPr="00472CDE" w:rsidRDefault="00472CDE" w:rsidP="00472CDE">
            <w:pPr>
              <w:pStyle w:val="zSoquijdatRepertorie"/>
              <w:rPr>
                <w:rFonts w:cs="Arial"/>
              </w:rPr>
            </w:pPr>
            <w:r>
              <w:rPr>
                <w:rFonts w:cs="Arial"/>
                <w:lang w:eastAsia="fr-CA"/>
              </w:rPr>
              <w:t>Association des juristes progressistes c. Ville de Montréal</w:t>
            </w:r>
          </w:p>
        </w:tc>
        <w:tc>
          <w:tcPr>
            <w:tcW w:w="2415" w:type="dxa"/>
          </w:tcPr>
          <w:p w14:paraId="72810B62" w14:textId="493EFF5E" w:rsidR="00121A72" w:rsidRPr="0037787E" w:rsidRDefault="0037787E" w:rsidP="0037787E">
            <w:pPr>
              <w:pStyle w:val="zSoquijdatRefNeutre"/>
              <w:jc w:val="right"/>
              <w:rPr>
                <w:rFonts w:cs="Arial"/>
              </w:rPr>
            </w:pPr>
            <w:r w:rsidRPr="0037787E">
              <w:rPr>
                <w:rFonts w:cs="Arial"/>
              </w:rPr>
              <w:t>2026 QCCS 4138</w:t>
            </w:r>
          </w:p>
        </w:tc>
      </w:tr>
      <w:tr w:rsidR="00487E50" w14:paraId="38F0EF71" w14:textId="77777777">
        <w:trPr>
          <w:trHeight w:val="900"/>
        </w:trPr>
        <w:tc>
          <w:tcPr>
            <w:tcW w:w="9505" w:type="dxa"/>
            <w:gridSpan w:val="7"/>
            <w:vAlign w:val="bottom"/>
          </w:tcPr>
          <w:p w14:paraId="7088534F" w14:textId="77777777" w:rsidR="00121A72" w:rsidRDefault="00B11239" w:rsidP="00696D55">
            <w:pPr>
              <w:pStyle w:val="zSoquijlblCour"/>
            </w:pPr>
            <w:r>
              <w:t>COUR SUPÉRIEURE</w:t>
            </w:r>
          </w:p>
        </w:tc>
      </w:tr>
      <w:tr w:rsidR="00487E50" w14:paraId="45C85D17" w14:textId="77777777">
        <w:trPr>
          <w:trHeight w:val="540"/>
        </w:trPr>
        <w:tc>
          <w:tcPr>
            <w:tcW w:w="9505" w:type="dxa"/>
            <w:gridSpan w:val="7"/>
          </w:tcPr>
          <w:p w14:paraId="0E1E91B4" w14:textId="77777777" w:rsidR="00121A72" w:rsidRDefault="00B11239" w:rsidP="00696D55">
            <w:pPr>
              <w:pStyle w:val="zSoquijdatDivision"/>
            </w:pPr>
            <w:r>
              <w:t>(Chambre civile)</w:t>
            </w:r>
          </w:p>
        </w:tc>
      </w:tr>
      <w:tr w:rsidR="00487E50" w14:paraId="72F1CB79" w14:textId="77777777">
        <w:tc>
          <w:tcPr>
            <w:tcW w:w="9505" w:type="dxa"/>
            <w:gridSpan w:val="7"/>
          </w:tcPr>
          <w:p w14:paraId="32A805C3" w14:textId="77777777" w:rsidR="00121A72" w:rsidRPr="00C025FC" w:rsidRDefault="00B11239" w:rsidP="00696D55">
            <w:pPr>
              <w:pStyle w:val="zSoquijlblPays"/>
            </w:pPr>
            <w:r w:rsidRPr="00C025FC">
              <w:t>CANADA</w:t>
            </w:r>
          </w:p>
        </w:tc>
      </w:tr>
      <w:tr w:rsidR="00487E50" w14:paraId="4CD22BE2" w14:textId="77777777">
        <w:tc>
          <w:tcPr>
            <w:tcW w:w="9505" w:type="dxa"/>
            <w:gridSpan w:val="7"/>
          </w:tcPr>
          <w:p w14:paraId="4117E5A8" w14:textId="77777777" w:rsidR="00121A72" w:rsidRDefault="00B11239" w:rsidP="00696D55">
            <w:pPr>
              <w:pStyle w:val="zSoquijlblProvince"/>
            </w:pPr>
            <w:r>
              <w:t>PROVINCE DE QUÉBEC</w:t>
            </w:r>
          </w:p>
        </w:tc>
      </w:tr>
      <w:tr w:rsidR="00487E50" w14:paraId="03096A84" w14:textId="77777777">
        <w:tblPrEx>
          <w:tblCellMar>
            <w:left w:w="0" w:type="dxa"/>
            <w:right w:w="0" w:type="dxa"/>
          </w:tblCellMar>
        </w:tblPrEx>
        <w:trPr>
          <w:cantSplit/>
        </w:trPr>
        <w:tc>
          <w:tcPr>
            <w:tcW w:w="1615" w:type="dxa"/>
            <w:gridSpan w:val="3"/>
          </w:tcPr>
          <w:p w14:paraId="35EA4C60" w14:textId="77777777" w:rsidR="00121A72" w:rsidRPr="007004EA" w:rsidRDefault="00B11239" w:rsidP="00696D55">
            <w:pPr>
              <w:pStyle w:val="zSoquijlblGreffe"/>
            </w:pPr>
            <w:r w:rsidRPr="007004EA">
              <w:t>DISTRICT DE</w:t>
            </w:r>
          </w:p>
        </w:tc>
        <w:tc>
          <w:tcPr>
            <w:tcW w:w="7890" w:type="dxa"/>
            <w:gridSpan w:val="4"/>
          </w:tcPr>
          <w:p w14:paraId="7880DF74" w14:textId="77777777" w:rsidR="00121A72" w:rsidRPr="007004EA" w:rsidRDefault="00B11239" w:rsidP="00696D55">
            <w:pPr>
              <w:pStyle w:val="zSoquijdatGreffe"/>
            </w:pPr>
            <w:r w:rsidRPr="007004EA">
              <w:t>MONTRÉAL</w:t>
            </w:r>
          </w:p>
        </w:tc>
      </w:tr>
      <w:tr w:rsidR="00487E50" w14:paraId="35A9A16D" w14:textId="77777777">
        <w:trPr>
          <w:trHeight w:val="540"/>
        </w:trPr>
        <w:tc>
          <w:tcPr>
            <w:tcW w:w="9505" w:type="dxa"/>
            <w:gridSpan w:val="7"/>
          </w:tcPr>
          <w:p w14:paraId="1B4809B8" w14:textId="77777777" w:rsidR="00121A72" w:rsidRDefault="00121A72" w:rsidP="00696D55">
            <w:pPr>
              <w:pStyle w:val="zSoquijlblNomChambre"/>
            </w:pPr>
          </w:p>
        </w:tc>
      </w:tr>
      <w:tr w:rsidR="00487E50" w14:paraId="0F4C6C74" w14:textId="77777777">
        <w:tc>
          <w:tcPr>
            <w:tcW w:w="1105" w:type="dxa"/>
            <w:gridSpan w:val="2"/>
          </w:tcPr>
          <w:p w14:paraId="47A2AB50" w14:textId="77777777" w:rsidR="00121A72" w:rsidRPr="007004EA" w:rsidRDefault="00B11239" w:rsidP="00696D55">
            <w:pPr>
              <w:pStyle w:val="zSoquijlblNoDossier"/>
            </w:pPr>
            <w:r w:rsidRPr="007004EA">
              <w:t>N</w:t>
            </w:r>
            <w:r w:rsidR="008A7DDE" w:rsidRPr="007004EA">
              <w:rPr>
                <w:vertAlign w:val="superscript"/>
              </w:rPr>
              <w:t>o</w:t>
            </w:r>
            <w:r w:rsidRPr="007004EA">
              <w:t> :</w:t>
            </w:r>
          </w:p>
        </w:tc>
        <w:tc>
          <w:tcPr>
            <w:tcW w:w="8400" w:type="dxa"/>
            <w:gridSpan w:val="5"/>
          </w:tcPr>
          <w:p w14:paraId="4692F84D" w14:textId="77777777" w:rsidR="00121A72" w:rsidRPr="007004EA" w:rsidRDefault="00B11239" w:rsidP="00696D55">
            <w:pPr>
              <w:pStyle w:val="zSoquijdatNoDossier"/>
              <w:ind w:left="-69"/>
            </w:pPr>
            <w:r w:rsidRPr="007004EA">
              <w:t>500-17-140114-268</w:t>
            </w:r>
          </w:p>
        </w:tc>
      </w:tr>
      <w:tr w:rsidR="00487E50" w14:paraId="0BB9ED1A" w14:textId="77777777">
        <w:tblPrEx>
          <w:tblCellMar>
            <w:left w:w="0" w:type="dxa"/>
            <w:right w:w="0" w:type="dxa"/>
          </w:tblCellMar>
        </w:tblPrEx>
        <w:trPr>
          <w:cantSplit/>
        </w:trPr>
        <w:tc>
          <w:tcPr>
            <w:tcW w:w="1105" w:type="dxa"/>
            <w:gridSpan w:val="2"/>
          </w:tcPr>
          <w:p w14:paraId="01E966C0" w14:textId="77777777" w:rsidR="00121A72" w:rsidRPr="00F00B7D" w:rsidRDefault="00121A72" w:rsidP="00696D55">
            <w:pPr>
              <w:pStyle w:val="zSoquijlblGreffe"/>
              <w:rPr>
                <w:highlight w:val="yellow"/>
              </w:rPr>
            </w:pPr>
          </w:p>
        </w:tc>
        <w:tc>
          <w:tcPr>
            <w:tcW w:w="8400" w:type="dxa"/>
            <w:gridSpan w:val="5"/>
          </w:tcPr>
          <w:p w14:paraId="72178799" w14:textId="77777777" w:rsidR="00121A72" w:rsidRPr="00F00B7D" w:rsidRDefault="00121A72" w:rsidP="00696D55">
            <w:pPr>
              <w:pStyle w:val="zSoquijdatNoDossierAnt"/>
              <w:rPr>
                <w:highlight w:val="yellow"/>
              </w:rPr>
            </w:pPr>
          </w:p>
        </w:tc>
      </w:tr>
      <w:tr w:rsidR="00487E50" w14:paraId="3306390B" w14:textId="77777777">
        <w:trPr>
          <w:cantSplit/>
          <w:trHeight w:val="235"/>
        </w:trPr>
        <w:tc>
          <w:tcPr>
            <w:tcW w:w="9505" w:type="dxa"/>
            <w:gridSpan w:val="7"/>
          </w:tcPr>
          <w:p w14:paraId="76C9B3DE" w14:textId="77777777" w:rsidR="00121A72" w:rsidRPr="00F00B7D" w:rsidRDefault="00121A72" w:rsidP="00696D55">
            <w:pPr>
              <w:rPr>
                <w:highlight w:val="yellow"/>
              </w:rPr>
            </w:pPr>
          </w:p>
        </w:tc>
      </w:tr>
      <w:tr w:rsidR="00487E50" w14:paraId="416A63F7" w14:textId="77777777">
        <w:tc>
          <w:tcPr>
            <w:tcW w:w="1036" w:type="dxa"/>
          </w:tcPr>
          <w:p w14:paraId="10C73C55" w14:textId="77777777" w:rsidR="00121A72" w:rsidRPr="00F00B7D" w:rsidRDefault="00B11239" w:rsidP="00696D55">
            <w:pPr>
              <w:pStyle w:val="zSoquijlblDateJugement"/>
              <w:rPr>
                <w:highlight w:val="yellow"/>
              </w:rPr>
            </w:pPr>
            <w:r w:rsidRPr="007027F2">
              <w:t>DATE :</w:t>
            </w:r>
          </w:p>
        </w:tc>
        <w:tc>
          <w:tcPr>
            <w:tcW w:w="8469" w:type="dxa"/>
            <w:gridSpan w:val="6"/>
          </w:tcPr>
          <w:p w14:paraId="46623A7B" w14:textId="77777777" w:rsidR="00121A72" w:rsidRPr="007027F2" w:rsidRDefault="00B11239" w:rsidP="00696D55">
            <w:pPr>
              <w:pStyle w:val="zSoquijdatDateJugement"/>
            </w:pPr>
            <w:r w:rsidRPr="007027F2">
              <w:t>Le 29 octobre 2026</w:t>
            </w:r>
          </w:p>
        </w:tc>
      </w:tr>
      <w:tr w:rsidR="00487E50" w14:paraId="25CCAC4F" w14:textId="77777777">
        <w:tc>
          <w:tcPr>
            <w:tcW w:w="9505" w:type="dxa"/>
            <w:gridSpan w:val="7"/>
          </w:tcPr>
          <w:p w14:paraId="2989C80F" w14:textId="77777777" w:rsidR="00121A72" w:rsidRDefault="00B11239" w:rsidP="00696D55">
            <w:pPr>
              <w:ind w:left="14" w:right="-67"/>
            </w:pPr>
            <w:r>
              <w:t>______________________________________________________________________</w:t>
            </w:r>
          </w:p>
        </w:tc>
      </w:tr>
      <w:tr w:rsidR="00487E50" w14:paraId="397E2097" w14:textId="77777777">
        <w:tc>
          <w:tcPr>
            <w:tcW w:w="9505" w:type="dxa"/>
            <w:gridSpan w:val="7"/>
          </w:tcPr>
          <w:p w14:paraId="37FB29C4" w14:textId="77777777" w:rsidR="00121A72" w:rsidRDefault="00121A72" w:rsidP="00696D55"/>
        </w:tc>
      </w:tr>
      <w:tr w:rsidR="00487E50" w14:paraId="7E9DDD38" w14:textId="77777777">
        <w:tblPrEx>
          <w:tblCellMar>
            <w:left w:w="0" w:type="dxa"/>
            <w:right w:w="0" w:type="dxa"/>
          </w:tblCellMar>
        </w:tblPrEx>
        <w:tc>
          <w:tcPr>
            <w:tcW w:w="3200" w:type="dxa"/>
            <w:gridSpan w:val="4"/>
          </w:tcPr>
          <w:p w14:paraId="36B51946" w14:textId="77777777" w:rsidR="00121A72" w:rsidRDefault="00B11239" w:rsidP="00696D55">
            <w:pPr>
              <w:pStyle w:val="zSoquijlblJuge"/>
            </w:pPr>
            <w:r>
              <w:t>SOUS LA PRÉSIDENCE DE</w:t>
            </w:r>
          </w:p>
        </w:tc>
        <w:tc>
          <w:tcPr>
            <w:tcW w:w="1826" w:type="dxa"/>
          </w:tcPr>
          <w:p w14:paraId="5C9752CB" w14:textId="77777777" w:rsidR="00121A72" w:rsidRDefault="00B11239" w:rsidP="00696D55">
            <w:pPr>
              <w:pStyle w:val="zSoquijdatQteJuge"/>
            </w:pPr>
            <w:r>
              <w:t>L’HONORABLE</w:t>
            </w:r>
          </w:p>
        </w:tc>
        <w:tc>
          <w:tcPr>
            <w:tcW w:w="4479" w:type="dxa"/>
            <w:gridSpan w:val="2"/>
          </w:tcPr>
          <w:p w14:paraId="345010B6" w14:textId="77777777" w:rsidR="00121A72" w:rsidRPr="002B70EC" w:rsidRDefault="00B11239" w:rsidP="00696D55">
            <w:pPr>
              <w:pStyle w:val="zSoquijdatJuge"/>
              <w:rPr>
                <w:lang w:val="en-CA"/>
              </w:rPr>
            </w:pPr>
            <w:r w:rsidRPr="002B70EC">
              <w:rPr>
                <w:lang w:val="en-CA"/>
              </w:rPr>
              <w:t>ELENI YIANNAKIS</w:t>
            </w:r>
            <w:r w:rsidR="008A4532" w:rsidRPr="002B70EC">
              <w:rPr>
                <w:lang w:val="en-CA"/>
              </w:rPr>
              <w:t>, J.C.S.</w:t>
            </w:r>
          </w:p>
        </w:tc>
      </w:tr>
      <w:tr w:rsidR="00487E50" w14:paraId="7A056C91" w14:textId="77777777">
        <w:tc>
          <w:tcPr>
            <w:tcW w:w="9505" w:type="dxa"/>
            <w:gridSpan w:val="7"/>
          </w:tcPr>
          <w:p w14:paraId="093CBC03" w14:textId="77777777" w:rsidR="00121A72" w:rsidRDefault="00B11239" w:rsidP="00696D55">
            <w:pPr>
              <w:ind w:left="14" w:right="-67"/>
            </w:pPr>
            <w:r>
              <w:t>______________________________________________________________________</w:t>
            </w:r>
          </w:p>
        </w:tc>
      </w:tr>
      <w:tr w:rsidR="00487E50" w14:paraId="02DE769F" w14:textId="77777777">
        <w:tc>
          <w:tcPr>
            <w:tcW w:w="9505" w:type="dxa"/>
            <w:gridSpan w:val="7"/>
          </w:tcPr>
          <w:p w14:paraId="3D2300B2" w14:textId="77777777" w:rsidR="00121A72" w:rsidRDefault="00121A72" w:rsidP="00696D55">
            <w:pPr>
              <w:pStyle w:val="zSoquijlblTitrePartie"/>
            </w:pPr>
          </w:p>
        </w:tc>
      </w:tr>
      <w:tr w:rsidR="00487E50" w14:paraId="6ABB5022" w14:textId="77777777">
        <w:tc>
          <w:tcPr>
            <w:tcW w:w="9505" w:type="dxa"/>
            <w:gridSpan w:val="7"/>
          </w:tcPr>
          <w:p w14:paraId="2B796FF4" w14:textId="77777777" w:rsidR="00121A72" w:rsidRDefault="00B11239" w:rsidP="00696D55">
            <w:pPr>
              <w:pStyle w:val="zSoquijdatNomPartieDem"/>
            </w:pPr>
            <w:r>
              <w:t>ASSOCIATION DES JURISTES PROGRESSISTES</w:t>
            </w:r>
          </w:p>
          <w:p w14:paraId="6CC8B457" w14:textId="77777777" w:rsidR="007004EA" w:rsidRDefault="00B11239" w:rsidP="00696D55">
            <w:pPr>
              <w:pStyle w:val="zSoquijdatNomPartieDem"/>
            </w:pPr>
            <w:r>
              <w:t>CLINIQUE JURIDIQUE DE SAINT-MICHEL</w:t>
            </w:r>
          </w:p>
        </w:tc>
      </w:tr>
      <w:tr w:rsidR="00487E50" w14:paraId="6697AA91" w14:textId="77777777">
        <w:tc>
          <w:tcPr>
            <w:tcW w:w="9505" w:type="dxa"/>
            <w:gridSpan w:val="7"/>
          </w:tcPr>
          <w:p w14:paraId="2EFE2329" w14:textId="77777777" w:rsidR="00121A72" w:rsidRDefault="00B11239" w:rsidP="00696D55">
            <w:pPr>
              <w:pStyle w:val="zSoquijdatQtePartieDem"/>
            </w:pPr>
            <w:r>
              <w:t>D</w:t>
            </w:r>
            <w:r w:rsidR="00703D74">
              <w:t>emanderesse</w:t>
            </w:r>
            <w:r>
              <w:t>s</w:t>
            </w:r>
          </w:p>
        </w:tc>
      </w:tr>
      <w:tr w:rsidR="00487E50" w14:paraId="786667C5" w14:textId="77777777">
        <w:tc>
          <w:tcPr>
            <w:tcW w:w="9505" w:type="dxa"/>
            <w:gridSpan w:val="7"/>
          </w:tcPr>
          <w:p w14:paraId="6377723D" w14:textId="77777777" w:rsidR="00121A72" w:rsidRDefault="00B11239" w:rsidP="00696D55">
            <w:pPr>
              <w:pStyle w:val="zSoquijlblLienParties"/>
            </w:pPr>
            <w:r>
              <w:t>c.</w:t>
            </w:r>
          </w:p>
        </w:tc>
      </w:tr>
      <w:tr w:rsidR="00487E50" w14:paraId="4630F747" w14:textId="77777777">
        <w:tc>
          <w:tcPr>
            <w:tcW w:w="9505" w:type="dxa"/>
            <w:gridSpan w:val="7"/>
          </w:tcPr>
          <w:p w14:paraId="0BA7FA10" w14:textId="77777777" w:rsidR="00121A72" w:rsidRDefault="00B11239" w:rsidP="00696D55">
            <w:pPr>
              <w:pStyle w:val="zSoquijdatNomPartieDef"/>
            </w:pPr>
            <w:r>
              <w:t>VILLE DE MONTRÉAL</w:t>
            </w:r>
          </w:p>
        </w:tc>
      </w:tr>
      <w:tr w:rsidR="00487E50" w14:paraId="7A2B1A7A" w14:textId="77777777">
        <w:tc>
          <w:tcPr>
            <w:tcW w:w="9505" w:type="dxa"/>
            <w:gridSpan w:val="7"/>
          </w:tcPr>
          <w:p w14:paraId="5F8B32DC" w14:textId="77777777" w:rsidR="00121A72" w:rsidRDefault="00B11239" w:rsidP="00696D55">
            <w:pPr>
              <w:pStyle w:val="zSoquijdatQtePartieDef"/>
            </w:pPr>
            <w:r>
              <w:t>D</w:t>
            </w:r>
            <w:r w:rsidR="00703D74">
              <w:t>éfenderesse</w:t>
            </w:r>
          </w:p>
        </w:tc>
      </w:tr>
      <w:tr w:rsidR="00487E50" w14:paraId="3FB5C727" w14:textId="77777777">
        <w:tc>
          <w:tcPr>
            <w:tcW w:w="9505" w:type="dxa"/>
            <w:gridSpan w:val="7"/>
          </w:tcPr>
          <w:p w14:paraId="62A3C47C" w14:textId="77777777" w:rsidR="00121A72" w:rsidRDefault="00B11239" w:rsidP="00696D55">
            <w:pPr>
              <w:ind w:left="14" w:right="-95"/>
            </w:pPr>
            <w:r>
              <w:t>______________________________________________________________________</w:t>
            </w:r>
          </w:p>
        </w:tc>
      </w:tr>
      <w:tr w:rsidR="00487E50" w14:paraId="68303B2F" w14:textId="77777777">
        <w:tc>
          <w:tcPr>
            <w:tcW w:w="9505" w:type="dxa"/>
            <w:gridSpan w:val="7"/>
          </w:tcPr>
          <w:p w14:paraId="3BA5F18B" w14:textId="77777777" w:rsidR="00121A72" w:rsidRDefault="00121A72" w:rsidP="00696D55">
            <w:pPr>
              <w:jc w:val="center"/>
            </w:pPr>
          </w:p>
        </w:tc>
      </w:tr>
      <w:tr w:rsidR="00487E50" w14:paraId="76C2F3DF" w14:textId="77777777">
        <w:tc>
          <w:tcPr>
            <w:tcW w:w="9505" w:type="dxa"/>
            <w:gridSpan w:val="7"/>
          </w:tcPr>
          <w:p w14:paraId="1D5B642D" w14:textId="77777777" w:rsidR="007004EA" w:rsidRDefault="00B11239" w:rsidP="00696D55">
            <w:pPr>
              <w:pStyle w:val="zSoquijlblTypeDocument"/>
              <w:rPr>
                <w:b/>
                <w:bCs/>
              </w:rPr>
            </w:pPr>
            <w:r w:rsidRPr="001D0D26">
              <w:rPr>
                <w:b/>
                <w:bCs/>
              </w:rPr>
              <w:t>JUGEMENT</w:t>
            </w:r>
            <w:r>
              <w:rPr>
                <w:b/>
                <w:bCs/>
              </w:rPr>
              <w:t xml:space="preserve"> </w:t>
            </w:r>
          </w:p>
          <w:p w14:paraId="561ECD9D" w14:textId="77777777" w:rsidR="00121A72" w:rsidRPr="001D0D26" w:rsidRDefault="00B11239" w:rsidP="00696D55">
            <w:pPr>
              <w:pStyle w:val="zSoquijlblTypeDocument"/>
              <w:rPr>
                <w:b/>
                <w:bCs/>
              </w:rPr>
            </w:pPr>
            <w:r>
              <w:rPr>
                <w:b/>
                <w:bCs/>
              </w:rPr>
              <w:t>(</w:t>
            </w:r>
            <w:r w:rsidR="007004EA">
              <w:rPr>
                <w:b/>
                <w:bCs/>
              </w:rPr>
              <w:t xml:space="preserve">DEMANDE </w:t>
            </w:r>
            <w:r>
              <w:rPr>
                <w:b/>
                <w:bCs/>
              </w:rPr>
              <w:t>DE</w:t>
            </w:r>
            <w:r w:rsidR="007004EA">
              <w:rPr>
                <w:b/>
                <w:bCs/>
              </w:rPr>
              <w:t xml:space="preserve"> SURSIS</w:t>
            </w:r>
            <w:r>
              <w:rPr>
                <w:b/>
                <w:bCs/>
              </w:rPr>
              <w:t>)</w:t>
            </w:r>
          </w:p>
        </w:tc>
      </w:tr>
      <w:tr w:rsidR="00487E50" w14:paraId="573D85E2" w14:textId="77777777">
        <w:tc>
          <w:tcPr>
            <w:tcW w:w="9505" w:type="dxa"/>
            <w:gridSpan w:val="7"/>
          </w:tcPr>
          <w:p w14:paraId="3012AB2C" w14:textId="77777777" w:rsidR="00121A72" w:rsidRDefault="00B11239" w:rsidP="00696D55">
            <w:pPr>
              <w:ind w:left="14" w:right="-70"/>
            </w:pPr>
            <w:r>
              <w:t>______________________________________________________________________</w:t>
            </w:r>
          </w:p>
        </w:tc>
      </w:tr>
      <w:tr w:rsidR="00487E50" w14:paraId="115BA582" w14:textId="77777777">
        <w:tc>
          <w:tcPr>
            <w:tcW w:w="9505" w:type="dxa"/>
            <w:gridSpan w:val="7"/>
          </w:tcPr>
          <w:p w14:paraId="6E461334" w14:textId="77777777" w:rsidR="00121A72" w:rsidRPr="00D47A26" w:rsidRDefault="00121A72" w:rsidP="00696D55"/>
        </w:tc>
      </w:tr>
    </w:tbl>
    <w:p w14:paraId="03E92A32" w14:textId="77777777" w:rsidR="00772542" w:rsidRPr="00772542" w:rsidRDefault="00B11239" w:rsidP="00696D55">
      <w:pPr>
        <w:pStyle w:val="Titre1"/>
      </w:pPr>
      <w:bookmarkStart w:id="0" w:name="_Toc45807135"/>
      <w:bookmarkStart w:id="1" w:name="_Toc56788859"/>
      <w:bookmarkStart w:id="2" w:name="_Toc430945543"/>
      <w:r w:rsidRPr="00772542">
        <w:t>APERÇU</w:t>
      </w:r>
      <w:bookmarkEnd w:id="0"/>
      <w:bookmarkEnd w:id="1"/>
    </w:p>
    <w:p w14:paraId="23047BF5" w14:textId="77777777" w:rsidR="00772542" w:rsidRPr="007E0A66" w:rsidRDefault="00B11239" w:rsidP="00696D55">
      <w:pPr>
        <w:numPr>
          <w:ilvl w:val="0"/>
          <w:numId w:val="1"/>
        </w:numPr>
        <w:tabs>
          <w:tab w:val="clear" w:pos="360"/>
        </w:tabs>
        <w:spacing w:before="120" w:after="120"/>
        <w:jc w:val="both"/>
        <w:rPr>
          <w:kern w:val="28"/>
        </w:rPr>
      </w:pPr>
      <w:r>
        <w:t xml:space="preserve">Par demande de pourvoi en contrôle judiciaire, les demanderesses demandent </w:t>
      </w:r>
      <w:r w:rsidR="002B70EC">
        <w:t xml:space="preserve">au Tribunal </w:t>
      </w:r>
      <w:r>
        <w:t xml:space="preserve">de déclarer </w:t>
      </w:r>
      <w:r w:rsidRPr="005E68AA">
        <w:t>invalide le</w:t>
      </w:r>
      <w:r w:rsidRPr="005E68AA">
        <w:rPr>
          <w:i/>
          <w:iCs/>
        </w:rPr>
        <w:t xml:space="preserve"> Règlement interdisant les comportements inappropriés à l’égard des membres du personnel de la Ville de Montréal</w:t>
      </w:r>
      <w:r>
        <w:t xml:space="preserve"> (</w:t>
      </w:r>
      <w:r w:rsidR="002B70EC">
        <w:t>le « Règlement »</w:t>
      </w:r>
      <w:r>
        <w:t>)</w:t>
      </w:r>
      <w:r>
        <w:rPr>
          <w:rStyle w:val="Appelnotedebasdep"/>
        </w:rPr>
        <w:footnoteReference w:id="1"/>
      </w:r>
      <w:r w:rsidR="002B70EC">
        <w:t>.</w:t>
      </w:r>
    </w:p>
    <w:p w14:paraId="7E143DE4" w14:textId="77777777" w:rsidR="007E0A66" w:rsidRPr="00790F1E" w:rsidRDefault="00B11239" w:rsidP="00696D55">
      <w:pPr>
        <w:numPr>
          <w:ilvl w:val="0"/>
          <w:numId w:val="1"/>
        </w:numPr>
        <w:tabs>
          <w:tab w:val="clear" w:pos="360"/>
        </w:tabs>
        <w:spacing w:before="120" w:after="120"/>
        <w:jc w:val="both"/>
        <w:rPr>
          <w:kern w:val="28"/>
        </w:rPr>
      </w:pPr>
      <w:r>
        <w:t>Le Règlement est en vigueur depuis le 1</w:t>
      </w:r>
      <w:r w:rsidRPr="007E0A66">
        <w:rPr>
          <w:vertAlign w:val="superscript"/>
        </w:rPr>
        <w:t>er</w:t>
      </w:r>
      <w:r>
        <w:t xml:space="preserve"> octobre 2026.</w:t>
      </w:r>
    </w:p>
    <w:p w14:paraId="69975680" w14:textId="77777777" w:rsidR="002B70EC" w:rsidRPr="0044645F" w:rsidRDefault="00B11239" w:rsidP="00696D55">
      <w:pPr>
        <w:numPr>
          <w:ilvl w:val="0"/>
          <w:numId w:val="1"/>
        </w:numPr>
        <w:tabs>
          <w:tab w:val="clear" w:pos="360"/>
        </w:tabs>
        <w:spacing w:before="120" w:after="120"/>
        <w:jc w:val="both"/>
        <w:rPr>
          <w:kern w:val="28"/>
        </w:rPr>
      </w:pPr>
      <w:r>
        <w:lastRenderedPageBreak/>
        <w:t>Le pourvoi est assorti d’une demande de sursis par laquelle elles recherchent le sursis de l’application du Règlement jusqu’à ce que le Tribunal se prononce sur le pourvoi</w:t>
      </w:r>
      <w:r>
        <w:rPr>
          <w:rStyle w:val="Appelnotedebasdep"/>
        </w:rPr>
        <w:footnoteReference w:id="2"/>
      </w:r>
      <w:r>
        <w:t xml:space="preserve">. </w:t>
      </w:r>
    </w:p>
    <w:p w14:paraId="6DDE644F" w14:textId="77777777" w:rsidR="0044645F" w:rsidRPr="002B70EC" w:rsidRDefault="00B11239" w:rsidP="00696D55">
      <w:pPr>
        <w:numPr>
          <w:ilvl w:val="0"/>
          <w:numId w:val="1"/>
        </w:numPr>
        <w:tabs>
          <w:tab w:val="clear" w:pos="360"/>
        </w:tabs>
        <w:spacing w:before="120" w:after="120"/>
        <w:jc w:val="both"/>
        <w:rPr>
          <w:kern w:val="28"/>
        </w:rPr>
      </w:pPr>
      <w:r>
        <w:t>Il est question de civisme au terme du Règlement et</w:t>
      </w:r>
      <w:r w:rsidR="00CA33B7">
        <w:t>,</w:t>
      </w:r>
      <w:r>
        <w:t xml:space="preserve"> bien que le sujet soit porteur d’un certain populisme, il faut recadrer le débat qui se trouve devant le Tribunal aujourd’hui. Il n’est pas question de se prononcer sur le fond de l’affaire</w:t>
      </w:r>
      <w:r w:rsidR="00CA33B7">
        <w:t>,</w:t>
      </w:r>
      <w:r>
        <w:t xml:space="preserve"> qui soulève d’importantes questions juridiques ayant trait à l’exercice de droits fondamentaux protégés par les </w:t>
      </w:r>
      <w:r w:rsidRPr="00F0480E">
        <w:rPr>
          <w:i/>
          <w:iCs/>
        </w:rPr>
        <w:t>Chartes</w:t>
      </w:r>
      <w:r>
        <w:t>. Plutôt, à ce stade précis, le Tribunal doit seulement déterminer si les conditions strictes permettant un sursis immédiat du Règlement s’impose</w:t>
      </w:r>
      <w:r w:rsidR="00CA33B7">
        <w:t>nt</w:t>
      </w:r>
      <w:r>
        <w:t xml:space="preserve">, jusqu’à ce que le débat au mérite ait lieu.  </w:t>
      </w:r>
    </w:p>
    <w:p w14:paraId="07BB158D" w14:textId="77777777" w:rsidR="00790F1E" w:rsidRPr="00772542" w:rsidRDefault="00B11239" w:rsidP="00696D55">
      <w:pPr>
        <w:numPr>
          <w:ilvl w:val="0"/>
          <w:numId w:val="1"/>
        </w:numPr>
        <w:tabs>
          <w:tab w:val="clear" w:pos="360"/>
        </w:tabs>
        <w:spacing w:before="120" w:after="120"/>
        <w:jc w:val="both"/>
        <w:rPr>
          <w:kern w:val="28"/>
        </w:rPr>
      </w:pPr>
      <w:r>
        <w:t>Pour les motifs qui suivent, la demande de sursis</w:t>
      </w:r>
      <w:r w:rsidR="0044645F">
        <w:t xml:space="preserve"> doit être rejetée</w:t>
      </w:r>
      <w:r w:rsidR="002B70EC">
        <w:t>.</w:t>
      </w:r>
    </w:p>
    <w:p w14:paraId="2F367699" w14:textId="77777777" w:rsidR="00772542" w:rsidRPr="00790F1E" w:rsidRDefault="00B11239" w:rsidP="007F38F1">
      <w:pPr>
        <w:pStyle w:val="Titre1"/>
      </w:pPr>
      <w:r>
        <w:t>CONTEXTE</w:t>
      </w:r>
    </w:p>
    <w:p w14:paraId="5770A425" w14:textId="77777777" w:rsidR="00772542" w:rsidRPr="00867040" w:rsidRDefault="00B11239" w:rsidP="00696D55">
      <w:pPr>
        <w:numPr>
          <w:ilvl w:val="0"/>
          <w:numId w:val="1"/>
        </w:numPr>
        <w:tabs>
          <w:tab w:val="clear" w:pos="360"/>
        </w:tabs>
        <w:spacing w:before="120" w:after="120"/>
        <w:jc w:val="both"/>
        <w:rPr>
          <w:kern w:val="28"/>
        </w:rPr>
      </w:pPr>
      <w:r>
        <w:t xml:space="preserve">Le </w:t>
      </w:r>
      <w:r w:rsidRPr="0044645F">
        <w:t>21</w:t>
      </w:r>
      <w:r>
        <w:t xml:space="preserve"> septembre 2026, le conseil municipal de la Ville de Montréal adopte le Règlement. Comme le prévoit son article 2, il a pour objet de favoriser la civilité de la population et protéger les membres du personnel en établissant des normes d’interdiction applicables à toute personne qui reçoit des services municipaux ou interagit avec un membre de son personnel dans le cadre de ses fonctions tout en contribuant à prévenir l’escalade de conflits</w:t>
      </w:r>
      <w:r w:rsidR="002B70EC">
        <w:t>.</w:t>
      </w:r>
    </w:p>
    <w:p w14:paraId="1756141C" w14:textId="77777777" w:rsidR="00867040" w:rsidRPr="00790F1E" w:rsidRDefault="00B11239" w:rsidP="00696D55">
      <w:pPr>
        <w:numPr>
          <w:ilvl w:val="0"/>
          <w:numId w:val="1"/>
        </w:numPr>
        <w:tabs>
          <w:tab w:val="clear" w:pos="360"/>
        </w:tabs>
        <w:spacing w:before="120" w:after="120"/>
        <w:jc w:val="both"/>
        <w:rPr>
          <w:kern w:val="28"/>
        </w:rPr>
      </w:pPr>
      <w:r>
        <w:t>Selon les demanderesses, les dispositions du Règlement sont inconstitutionnelles. Prises isolément ou dans leur ensemble, elles porte</w:t>
      </w:r>
      <w:r w:rsidR="00F10218">
        <w:t>raient</w:t>
      </w:r>
      <w:r>
        <w:t xml:space="preserve"> atteinte à la liberté d’expression garantie par l</w:t>
      </w:r>
      <w:r w:rsidR="0044645F">
        <w:t xml:space="preserve">es </w:t>
      </w:r>
      <w:r>
        <w:t>article</w:t>
      </w:r>
      <w:r w:rsidR="0044645F">
        <w:t>s</w:t>
      </w:r>
      <w:r>
        <w:t xml:space="preserve"> 2b) de la </w:t>
      </w:r>
      <w:r w:rsidRPr="00533B7F">
        <w:rPr>
          <w:i/>
          <w:iCs/>
        </w:rPr>
        <w:t>Charte</w:t>
      </w:r>
      <w:r>
        <w:rPr>
          <w:rStyle w:val="Appelnotedebasdep"/>
        </w:rPr>
        <w:footnoteReference w:id="3"/>
      </w:r>
      <w:r w:rsidRPr="00533B7F">
        <w:rPr>
          <w:i/>
          <w:iCs/>
        </w:rPr>
        <w:t xml:space="preserve"> </w:t>
      </w:r>
      <w:r>
        <w:t xml:space="preserve">et 3 de la </w:t>
      </w:r>
      <w:r w:rsidRPr="00533B7F">
        <w:rPr>
          <w:i/>
          <w:iCs/>
        </w:rPr>
        <w:t xml:space="preserve">Charte </w:t>
      </w:r>
      <w:r w:rsidRPr="00867040">
        <w:rPr>
          <w:i/>
          <w:iCs/>
        </w:rPr>
        <w:t>québécoise</w:t>
      </w:r>
      <w:r>
        <w:rPr>
          <w:rStyle w:val="Appelnotedebasdep"/>
          <w:i/>
          <w:iCs/>
        </w:rPr>
        <w:footnoteReference w:id="4"/>
      </w:r>
      <w:r w:rsidR="00987464">
        <w:t>, s</w:t>
      </w:r>
      <w:r w:rsidR="00F10218">
        <w:t>eraient</w:t>
      </w:r>
      <w:r w:rsidR="00987464">
        <w:t xml:space="preserve"> discriminatoires sur la base de convictions politique</w:t>
      </w:r>
      <w:r w:rsidR="00F10218">
        <w:t>s</w:t>
      </w:r>
      <w:r w:rsidR="00987464">
        <w:t xml:space="preserve"> en vertu de l’article 10 de la </w:t>
      </w:r>
      <w:r w:rsidR="00987464" w:rsidRPr="00987464">
        <w:rPr>
          <w:i/>
          <w:iCs/>
        </w:rPr>
        <w:t>Charte québécoise</w:t>
      </w:r>
      <w:r w:rsidR="00987464">
        <w:t xml:space="preserve"> </w:t>
      </w:r>
      <w:r>
        <w:t xml:space="preserve">et </w:t>
      </w:r>
      <w:r w:rsidR="00987464">
        <w:t>viole</w:t>
      </w:r>
      <w:r w:rsidR="00F10218">
        <w:t>raient</w:t>
      </w:r>
      <w:r w:rsidR="00987464">
        <w:t xml:space="preserve"> aussi le</w:t>
      </w:r>
      <w:r>
        <w:t xml:space="preserve"> droit à la protection contre les traitements ou peines cruels et inusités garanti par l’article 12 de la </w:t>
      </w:r>
      <w:r w:rsidRPr="00987464">
        <w:rPr>
          <w:i/>
          <w:iCs/>
        </w:rPr>
        <w:t>Charte</w:t>
      </w:r>
      <w:r>
        <w:rPr>
          <w:rStyle w:val="Appelnotedebasdep"/>
        </w:rPr>
        <w:footnoteReference w:id="5"/>
      </w:r>
      <w:r>
        <w:t>.</w:t>
      </w:r>
    </w:p>
    <w:p w14:paraId="5C4E2287" w14:textId="77777777" w:rsidR="004245E2" w:rsidRDefault="00B11239" w:rsidP="004245E2">
      <w:pPr>
        <w:numPr>
          <w:ilvl w:val="0"/>
          <w:numId w:val="1"/>
        </w:numPr>
        <w:tabs>
          <w:tab w:val="clear" w:pos="360"/>
        </w:tabs>
        <w:spacing w:before="120" w:after="120"/>
        <w:jc w:val="both"/>
      </w:pPr>
      <w:r>
        <w:t xml:space="preserve">Plus précisément, </w:t>
      </w:r>
      <w:r w:rsidR="0044645F">
        <w:t>au terme de</w:t>
      </w:r>
      <w:r w:rsidR="00790F1E">
        <w:t xml:space="preserve"> son article 4, le Règlement interdit à quiconque d’intimider, de harceler, de menacer, d’injurier ou d’insulter un membre du personnel agissant dans le cadre de ses fonctions ou d’avoir à son égard un comportement offensant, humiliant, abusif, violent ou agressif</w:t>
      </w:r>
      <w:r>
        <w:t> :</w:t>
      </w:r>
    </w:p>
    <w:p w14:paraId="3C8F8343" w14:textId="77777777" w:rsidR="004245E2" w:rsidRPr="004245E2" w:rsidRDefault="00B11239" w:rsidP="004245E2">
      <w:pPr>
        <w:spacing w:before="120" w:after="120"/>
        <w:ind w:left="851" w:right="573"/>
        <w:jc w:val="both"/>
        <w:rPr>
          <w:sz w:val="22"/>
          <w:szCs w:val="22"/>
        </w:rPr>
      </w:pPr>
      <w:r w:rsidRPr="004245E2">
        <w:rPr>
          <w:sz w:val="22"/>
          <w:szCs w:val="22"/>
        </w:rPr>
        <w:t xml:space="preserve">4. Il est interdit à quiconque d'intimider, de harceler, de menacer, </w:t>
      </w:r>
      <w:r w:rsidRPr="004245E2">
        <w:rPr>
          <w:sz w:val="22"/>
          <w:szCs w:val="22"/>
          <w:u w:val="single"/>
        </w:rPr>
        <w:t>d'injurier</w:t>
      </w:r>
      <w:r w:rsidRPr="004245E2">
        <w:rPr>
          <w:sz w:val="22"/>
          <w:szCs w:val="22"/>
        </w:rPr>
        <w:t xml:space="preserve"> ou </w:t>
      </w:r>
      <w:r w:rsidRPr="004245E2">
        <w:rPr>
          <w:sz w:val="22"/>
          <w:szCs w:val="22"/>
          <w:u w:val="single"/>
        </w:rPr>
        <w:t>d'insulter</w:t>
      </w:r>
      <w:r w:rsidRPr="004245E2">
        <w:rPr>
          <w:sz w:val="22"/>
          <w:szCs w:val="22"/>
        </w:rPr>
        <w:t xml:space="preserve"> un membre du personnel agissant dans le cadre de ses fonctions ou d'avoir à son égard un </w:t>
      </w:r>
      <w:r w:rsidRPr="004245E2">
        <w:rPr>
          <w:sz w:val="22"/>
          <w:szCs w:val="22"/>
          <w:u w:val="single"/>
        </w:rPr>
        <w:t>comportement offensant, humiliant</w:t>
      </w:r>
      <w:r w:rsidRPr="004245E2">
        <w:rPr>
          <w:sz w:val="22"/>
          <w:szCs w:val="22"/>
        </w:rPr>
        <w:t xml:space="preserve">, abusif, violent ou </w:t>
      </w:r>
      <w:r w:rsidRPr="004245E2">
        <w:rPr>
          <w:sz w:val="22"/>
          <w:szCs w:val="22"/>
          <w:u w:val="single"/>
        </w:rPr>
        <w:t>agressif</w:t>
      </w:r>
      <w:r w:rsidRPr="004245E2">
        <w:rPr>
          <w:sz w:val="22"/>
          <w:szCs w:val="22"/>
        </w:rPr>
        <w:t xml:space="preserve">. Il est également interdit d'encourager, d'inciter ou de conseiller une autre </w:t>
      </w:r>
      <w:r w:rsidRPr="004245E2">
        <w:rPr>
          <w:sz w:val="22"/>
          <w:szCs w:val="22"/>
        </w:rPr>
        <w:lastRenderedPageBreak/>
        <w:t>personne à tenir de tels propos ou à adopter un tel comportement à l'égard d'un membre du personnel.</w:t>
      </w:r>
    </w:p>
    <w:p w14:paraId="68AB8298" w14:textId="77777777" w:rsidR="0050341D" w:rsidRPr="00987464" w:rsidRDefault="00B11239" w:rsidP="00987464">
      <w:pPr>
        <w:numPr>
          <w:ilvl w:val="0"/>
          <w:numId w:val="1"/>
        </w:numPr>
        <w:tabs>
          <w:tab w:val="clear" w:pos="360"/>
        </w:tabs>
        <w:spacing w:before="120" w:after="120"/>
        <w:jc w:val="both"/>
      </w:pPr>
      <w:r>
        <w:t xml:space="preserve">Or, </w:t>
      </w:r>
      <w:r w:rsidR="004245E2">
        <w:t xml:space="preserve">plaident les demanderesses, </w:t>
      </w:r>
      <w:r>
        <w:t xml:space="preserve">l’atteinte à la liberté d’expression proviendrait de l’interdiction </w:t>
      </w:r>
      <w:r w:rsidR="004245E2">
        <w:t xml:space="preserve">de certains des termes employés à l’article 4, soit </w:t>
      </w:r>
      <w:r>
        <w:t>« d’injurier ou d’insulter » et d’adopter un « comportement offensant, humiliant ou agressif » à l’égard</w:t>
      </w:r>
      <w:r w:rsidRPr="0050341D">
        <w:t xml:space="preserve"> </w:t>
      </w:r>
      <w:r>
        <w:t>d’</w:t>
      </w:r>
      <w:r w:rsidRPr="0050341D">
        <w:t>un membre du personnel agissant dans le cadre de ses fonction</w:t>
      </w:r>
      <w:r>
        <w:t>s</w:t>
      </w:r>
      <w:r>
        <w:rPr>
          <w:rStyle w:val="Appelnotedebasdep"/>
        </w:rPr>
        <w:footnoteReference w:id="6"/>
      </w:r>
      <w:r>
        <w:t>.</w:t>
      </w:r>
      <w:r w:rsidR="00867040">
        <w:t xml:space="preserve"> Selon les demanderesses, à la lumière de la jurisprudence applicable, il est clair que les expressions injurieuses, insultantes, offensantes, agressives, provocantes ou humiliantes sont protégées par la liberté d’expression</w:t>
      </w:r>
      <w:r>
        <w:rPr>
          <w:rStyle w:val="Appelnotedebasdep"/>
        </w:rPr>
        <w:footnoteReference w:id="7"/>
      </w:r>
      <w:r w:rsidR="00867040">
        <w:t>.</w:t>
      </w:r>
    </w:p>
    <w:p w14:paraId="16BDF895" w14:textId="77777777" w:rsidR="00790F1E" w:rsidRPr="00FE5617" w:rsidRDefault="00B11239" w:rsidP="00FE5617">
      <w:pPr>
        <w:numPr>
          <w:ilvl w:val="0"/>
          <w:numId w:val="1"/>
        </w:numPr>
        <w:tabs>
          <w:tab w:val="clear" w:pos="360"/>
        </w:tabs>
        <w:spacing w:before="120" w:after="120"/>
        <w:jc w:val="both"/>
        <w:rPr>
          <w:kern w:val="28"/>
        </w:rPr>
      </w:pPr>
      <w:r>
        <w:t xml:space="preserve">Qui plus est, le Règlement </w:t>
      </w:r>
      <w:r w:rsidR="00987464">
        <w:t>serait</w:t>
      </w:r>
      <w:r>
        <w:t xml:space="preserve"> discriminatoire sur la base des convictions politiques</w:t>
      </w:r>
      <w:r w:rsidR="00987464">
        <w:t>, un des motifs énumérés à</w:t>
      </w:r>
      <w:r>
        <w:t xml:space="preserve"> l’article 10 de la </w:t>
      </w:r>
      <w:r w:rsidRPr="00987464">
        <w:rPr>
          <w:i/>
          <w:iCs/>
        </w:rPr>
        <w:t>Charte québécoise</w:t>
      </w:r>
      <w:r>
        <w:t>, puisque certaines expressions prohibées par le Règlement, notamment sur la police, relèvent des convictions politiques des personnes qui les expriment</w:t>
      </w:r>
      <w:r>
        <w:rPr>
          <w:rStyle w:val="Appelnotedebasdep"/>
        </w:rPr>
        <w:footnoteReference w:id="8"/>
      </w:r>
      <w:r w:rsidR="00364C7E">
        <w:t>. À titre d’exemple, lors de manifestation</w:t>
      </w:r>
      <w:r w:rsidR="003F5E30">
        <w:t>s</w:t>
      </w:r>
      <w:r w:rsidR="00364C7E">
        <w:t xml:space="preserve"> contre la brutalité policière ou le profilage racial, qui</w:t>
      </w:r>
      <w:r w:rsidR="00987464">
        <w:t xml:space="preserve"> se déroule régulièrement</w:t>
      </w:r>
      <w:r w:rsidR="00364C7E">
        <w:t>, des slogans utilisés pourraient être jugés offensants pour la police</w:t>
      </w:r>
      <w:r>
        <w:rPr>
          <w:rStyle w:val="Appelnotedebasdep"/>
        </w:rPr>
        <w:footnoteReference w:id="9"/>
      </w:r>
      <w:r w:rsidR="00364C7E">
        <w:t>.</w:t>
      </w:r>
      <w:r w:rsidR="00FE5617">
        <w:rPr>
          <w:kern w:val="28"/>
        </w:rPr>
        <w:t xml:space="preserve"> </w:t>
      </w:r>
      <w:r>
        <w:t xml:space="preserve">Or, </w:t>
      </w:r>
      <w:r w:rsidR="0044645F">
        <w:t xml:space="preserve">d’autant, </w:t>
      </w:r>
      <w:r>
        <w:t xml:space="preserve">plaident-elles, le Règlement interdit ces expressions en raison de leur contenu, limitant la liberté d’expression sur la base des convictions politiques, violant ainsi l’article 10 de la </w:t>
      </w:r>
      <w:r w:rsidRPr="00987464">
        <w:rPr>
          <w:i/>
          <w:iCs/>
        </w:rPr>
        <w:t>Charte québécoise</w:t>
      </w:r>
      <w:r w:rsidR="00FE5617">
        <w:t>.</w:t>
      </w:r>
    </w:p>
    <w:p w14:paraId="10F62D2B" w14:textId="77777777" w:rsidR="00790F1E" w:rsidRPr="00987464" w:rsidRDefault="00B11239" w:rsidP="002B70EC">
      <w:pPr>
        <w:numPr>
          <w:ilvl w:val="0"/>
          <w:numId w:val="1"/>
        </w:numPr>
        <w:tabs>
          <w:tab w:val="clear" w:pos="360"/>
        </w:tabs>
        <w:spacing w:before="120" w:after="120"/>
        <w:jc w:val="both"/>
        <w:rPr>
          <w:kern w:val="28"/>
        </w:rPr>
      </w:pPr>
      <w:r>
        <w:t>Enfin, le Règlement viole</w:t>
      </w:r>
      <w:r w:rsidR="00FE5617">
        <w:t>rait aussi</w:t>
      </w:r>
      <w:r>
        <w:t xml:space="preserve"> l’article 12 de la </w:t>
      </w:r>
      <w:r w:rsidRPr="00E851A7">
        <w:rPr>
          <w:i/>
          <w:iCs/>
        </w:rPr>
        <w:t>Charte</w:t>
      </w:r>
      <w:r>
        <w:t xml:space="preserve">, </w:t>
      </w:r>
      <w:r w:rsidR="002B70EC">
        <w:t xml:space="preserve">car les amendes qui sont imposées </w:t>
      </w:r>
      <w:r w:rsidR="00FE5617">
        <w:t>var</w:t>
      </w:r>
      <w:r w:rsidR="00F10218">
        <w:t xml:space="preserve">iant </w:t>
      </w:r>
      <w:r w:rsidR="00FE5617">
        <w:t>entre 300 $ à 1 000 $ pour une première infraction et entre 700 $ à 2 000 $ pour une deuxième infraction s</w:t>
      </w:r>
      <w:r w:rsidR="00F10218">
        <w:t>eraient</w:t>
      </w:r>
      <w:r w:rsidR="00FE5617">
        <w:t xml:space="preserve"> excessives au point de constituer </w:t>
      </w:r>
      <w:r w:rsidR="002B70EC">
        <w:t>d</w:t>
      </w:r>
      <w:r>
        <w:t>es peines cruelles et inusitées</w:t>
      </w:r>
      <w:r w:rsidR="00CA33B7">
        <w:t>,</w:t>
      </w:r>
      <w:r>
        <w:t xml:space="preserve"> </w:t>
      </w:r>
      <w:r w:rsidR="00FE5617">
        <w:t>car en toute probabilité, elles seront imposées par la police envers des personnes marginalisées</w:t>
      </w:r>
      <w:r>
        <w:rPr>
          <w:rStyle w:val="Appelnotedebasdep"/>
        </w:rPr>
        <w:footnoteReference w:id="10"/>
      </w:r>
      <w:r w:rsidR="00FE5617">
        <w:t>.</w:t>
      </w:r>
    </w:p>
    <w:p w14:paraId="4F2F9792" w14:textId="77777777" w:rsidR="00987464" w:rsidRPr="00F10218" w:rsidRDefault="00B11239" w:rsidP="00F10218">
      <w:pPr>
        <w:numPr>
          <w:ilvl w:val="0"/>
          <w:numId w:val="1"/>
        </w:numPr>
        <w:tabs>
          <w:tab w:val="clear" w:pos="360"/>
        </w:tabs>
        <w:spacing w:before="120" w:after="120"/>
        <w:jc w:val="both"/>
      </w:pPr>
      <w:r>
        <w:t xml:space="preserve">Selon elles, ces atteintes ne sont pas justifiées en vertu de l’article premier de la </w:t>
      </w:r>
      <w:r w:rsidRPr="004245E2">
        <w:rPr>
          <w:i/>
          <w:iCs/>
        </w:rPr>
        <w:t>Charte</w:t>
      </w:r>
      <w:r>
        <w:t xml:space="preserve"> ni en vertu de l’article 9.1 de la </w:t>
      </w:r>
      <w:r w:rsidRPr="00E851A7">
        <w:rPr>
          <w:i/>
          <w:iCs/>
        </w:rPr>
        <w:t>Charte québécoise</w:t>
      </w:r>
      <w:r>
        <w:rPr>
          <w:rStyle w:val="Appelnotedebasdep"/>
        </w:rPr>
        <w:footnoteReference w:id="11"/>
      </w:r>
      <w:r>
        <w:t>.</w:t>
      </w:r>
    </w:p>
    <w:p w14:paraId="6FD6AAC8" w14:textId="77777777" w:rsidR="00790F1E" w:rsidRPr="00CD5D12" w:rsidRDefault="00B11239" w:rsidP="00CD5D12">
      <w:pPr>
        <w:pStyle w:val="Titre1"/>
      </w:pPr>
      <w:r>
        <w:t>ANALYSE</w:t>
      </w:r>
    </w:p>
    <w:p w14:paraId="1962A655" w14:textId="77777777" w:rsidR="00790F1E" w:rsidRPr="00B24005" w:rsidRDefault="00B11239" w:rsidP="00696D55">
      <w:pPr>
        <w:numPr>
          <w:ilvl w:val="0"/>
          <w:numId w:val="1"/>
        </w:numPr>
        <w:tabs>
          <w:tab w:val="clear" w:pos="360"/>
        </w:tabs>
        <w:spacing w:before="120" w:after="120"/>
        <w:jc w:val="both"/>
        <w:rPr>
          <w:kern w:val="28"/>
        </w:rPr>
      </w:pPr>
      <w:r w:rsidRPr="0088669C">
        <w:rPr>
          <w:rFonts w:cs="Arial"/>
        </w:rPr>
        <w:t xml:space="preserve">Le cadre d’analyse applicable </w:t>
      </w:r>
      <w:r w:rsidR="0044645F">
        <w:rPr>
          <w:rFonts w:cs="Arial"/>
        </w:rPr>
        <w:t xml:space="preserve">au sursis </w:t>
      </w:r>
      <w:r w:rsidRPr="0088669C">
        <w:rPr>
          <w:rFonts w:cs="Arial"/>
        </w:rPr>
        <w:t xml:space="preserve">d’une loi </w:t>
      </w:r>
      <w:r w:rsidR="00F10218">
        <w:rPr>
          <w:rFonts w:cs="Arial"/>
        </w:rPr>
        <w:t xml:space="preserve">ou d’un règlement </w:t>
      </w:r>
      <w:r w:rsidRPr="0088669C">
        <w:rPr>
          <w:rFonts w:cs="Arial"/>
        </w:rPr>
        <w:t>est bien connu</w:t>
      </w:r>
      <w:r w:rsidR="00F10218">
        <w:rPr>
          <w:rFonts w:cs="Arial"/>
        </w:rPr>
        <w:t>.</w:t>
      </w:r>
      <w:r w:rsidRPr="0088669C">
        <w:rPr>
          <w:rFonts w:cs="Arial"/>
        </w:rPr>
        <w:t xml:space="preserve"> </w:t>
      </w:r>
      <w:r w:rsidR="00F10218">
        <w:rPr>
          <w:rFonts w:cs="Arial"/>
        </w:rPr>
        <w:t>I</w:t>
      </w:r>
      <w:r w:rsidRPr="0088669C">
        <w:rPr>
          <w:rFonts w:cs="Arial"/>
        </w:rPr>
        <w:t xml:space="preserve">l a été établi par la Cour suprême dans les arrêts </w:t>
      </w:r>
      <w:r w:rsidRPr="00634C2D">
        <w:rPr>
          <w:rFonts w:cs="Arial"/>
          <w:i/>
          <w:iCs/>
        </w:rPr>
        <w:t>Metropolitan</w:t>
      </w:r>
      <w:r w:rsidRPr="0088669C">
        <w:rPr>
          <w:rFonts w:cs="Arial"/>
          <w:i/>
          <w:iCs/>
        </w:rPr>
        <w:t> Stores</w:t>
      </w:r>
      <w:r>
        <w:rPr>
          <w:rStyle w:val="Appelnotedebasdep"/>
          <w:rFonts w:cs="Arial"/>
        </w:rPr>
        <w:footnoteReference w:id="12"/>
      </w:r>
      <w:r w:rsidR="002A4CCB" w:rsidRPr="00B24005">
        <w:t xml:space="preserve">, </w:t>
      </w:r>
      <w:r w:rsidR="002A4CCB" w:rsidRPr="00B2565A">
        <w:rPr>
          <w:rFonts w:cs="Arial"/>
          <w:i/>
          <w:iCs/>
        </w:rPr>
        <w:t>RJR </w:t>
      </w:r>
      <w:r w:rsidR="00141921">
        <w:rPr>
          <w:rFonts w:cs="Arial"/>
          <w:i/>
          <w:iCs/>
        </w:rPr>
        <w:t>-</w:t>
      </w:r>
      <w:r w:rsidR="002A4CCB" w:rsidRPr="00B2565A">
        <w:rPr>
          <w:rFonts w:cs="Arial"/>
          <w:i/>
          <w:iCs/>
        </w:rPr>
        <w:t> MacDonald</w:t>
      </w:r>
      <w:r>
        <w:rPr>
          <w:rStyle w:val="Appelnotedebasdep"/>
          <w:rFonts w:cs="Arial"/>
        </w:rPr>
        <w:footnoteReference w:id="13"/>
      </w:r>
      <w:r w:rsidR="002A4CCB">
        <w:rPr>
          <w:rFonts w:cs="Arial"/>
          <w:i/>
          <w:iCs/>
        </w:rPr>
        <w:t xml:space="preserve"> et Harper</w:t>
      </w:r>
      <w:r>
        <w:rPr>
          <w:rStyle w:val="Appelnotedebasdep"/>
          <w:rFonts w:cs="Arial"/>
        </w:rPr>
        <w:footnoteReference w:id="14"/>
      </w:r>
      <w:r w:rsidR="002A4CCB" w:rsidRPr="00B24005">
        <w:rPr>
          <w:rFonts w:cs="Arial"/>
        </w:rPr>
        <w:t>.</w:t>
      </w:r>
    </w:p>
    <w:p w14:paraId="7893BF1A" w14:textId="77777777" w:rsidR="00141921" w:rsidRPr="00141921" w:rsidRDefault="00B11239" w:rsidP="00696D55">
      <w:pPr>
        <w:numPr>
          <w:ilvl w:val="0"/>
          <w:numId w:val="1"/>
        </w:numPr>
        <w:tabs>
          <w:tab w:val="clear" w:pos="360"/>
        </w:tabs>
        <w:spacing w:before="120" w:after="120"/>
        <w:jc w:val="both"/>
        <w:rPr>
          <w:kern w:val="28"/>
        </w:rPr>
      </w:pPr>
      <w:r w:rsidRPr="00141921">
        <w:rPr>
          <w:rFonts w:cs="Arial"/>
        </w:rPr>
        <w:lastRenderedPageBreak/>
        <w:t xml:space="preserve">Suivant ces arrêts, la partie qui cherche à faire suspendre l’application d’une loi doit démontrer qu’elle satisfait à trois critères: </w:t>
      </w:r>
    </w:p>
    <w:p w14:paraId="57173970" w14:textId="77777777" w:rsidR="00141921" w:rsidRDefault="00B11239" w:rsidP="00CD5D12">
      <w:pPr>
        <w:pStyle w:val="Paragraphedeliste"/>
        <w:numPr>
          <w:ilvl w:val="0"/>
          <w:numId w:val="36"/>
        </w:numPr>
        <w:spacing w:before="120" w:after="120"/>
        <w:jc w:val="both"/>
        <w:rPr>
          <w:rFonts w:cs="Arial"/>
        </w:rPr>
      </w:pPr>
      <w:r>
        <w:rPr>
          <w:rFonts w:cs="Arial"/>
        </w:rPr>
        <w:t>L</w:t>
      </w:r>
      <w:r w:rsidR="00A61DC3" w:rsidRPr="00CD5D12">
        <w:rPr>
          <w:rFonts w:cs="Arial"/>
        </w:rPr>
        <w:t>’existence d’une question sérieuse à juger</w:t>
      </w:r>
      <w:r w:rsidR="00F10218">
        <w:rPr>
          <w:rFonts w:cs="Arial"/>
        </w:rPr>
        <w:t xml:space="preserve"> qui transparait après une étude préliminaire du fond du litige.</w:t>
      </w:r>
    </w:p>
    <w:p w14:paraId="3103543B" w14:textId="77777777" w:rsidR="00350BC1" w:rsidRPr="00CD5D12" w:rsidRDefault="00350BC1" w:rsidP="00350BC1">
      <w:pPr>
        <w:pStyle w:val="Paragraphedeliste"/>
        <w:spacing w:before="120" w:after="120"/>
        <w:jc w:val="both"/>
        <w:rPr>
          <w:rFonts w:cs="Arial"/>
        </w:rPr>
      </w:pPr>
    </w:p>
    <w:p w14:paraId="67C32D67" w14:textId="77777777" w:rsidR="00141921" w:rsidRDefault="00B11239" w:rsidP="00CD5D12">
      <w:pPr>
        <w:pStyle w:val="Paragraphedeliste"/>
        <w:numPr>
          <w:ilvl w:val="0"/>
          <w:numId w:val="36"/>
        </w:numPr>
        <w:spacing w:before="120" w:after="120"/>
        <w:jc w:val="both"/>
        <w:rPr>
          <w:rFonts w:cs="Arial"/>
        </w:rPr>
      </w:pPr>
      <w:r>
        <w:rPr>
          <w:rFonts w:cs="Arial"/>
        </w:rPr>
        <w:t>U</w:t>
      </w:r>
      <w:r w:rsidR="00A61DC3" w:rsidRPr="00CD5D12">
        <w:rPr>
          <w:rFonts w:cs="Arial"/>
        </w:rPr>
        <w:t>n préjudice irréparable en cas de refus d’octroyer la demande de sursis</w:t>
      </w:r>
      <w:r w:rsidR="00F10218">
        <w:rPr>
          <w:rFonts w:cs="Arial"/>
        </w:rPr>
        <w:t>.</w:t>
      </w:r>
    </w:p>
    <w:p w14:paraId="45B1BDAE" w14:textId="77777777" w:rsidR="00350BC1" w:rsidRPr="00350BC1" w:rsidRDefault="00350BC1" w:rsidP="00350BC1">
      <w:pPr>
        <w:pStyle w:val="Paragraphedeliste"/>
        <w:rPr>
          <w:rFonts w:cs="Arial"/>
        </w:rPr>
      </w:pPr>
    </w:p>
    <w:p w14:paraId="4EC6A051" w14:textId="77777777" w:rsidR="00141921" w:rsidRPr="00CD5D12" w:rsidRDefault="00B11239" w:rsidP="00CD5D12">
      <w:pPr>
        <w:pStyle w:val="Paragraphedeliste"/>
        <w:numPr>
          <w:ilvl w:val="0"/>
          <w:numId w:val="36"/>
        </w:numPr>
        <w:spacing w:before="120" w:after="120"/>
        <w:jc w:val="both"/>
        <w:rPr>
          <w:rFonts w:cs="Arial"/>
        </w:rPr>
      </w:pPr>
      <w:r>
        <w:rPr>
          <w:rFonts w:cs="Arial"/>
        </w:rPr>
        <w:t>L</w:t>
      </w:r>
      <w:r w:rsidR="00A61DC3" w:rsidRPr="00CD5D12">
        <w:rPr>
          <w:rFonts w:cs="Arial"/>
        </w:rPr>
        <w:t>a prépondérance des inconvénients</w:t>
      </w:r>
      <w:r w:rsidR="00F10218">
        <w:rPr>
          <w:rFonts w:cs="Arial"/>
        </w:rPr>
        <w:t>, qui tient également compte de l’intérêt public,</w:t>
      </w:r>
      <w:r w:rsidR="00A61DC3" w:rsidRPr="00CD5D12">
        <w:rPr>
          <w:rFonts w:cs="Arial"/>
        </w:rPr>
        <w:t xml:space="preserve"> mili</w:t>
      </w:r>
      <w:r w:rsidR="00F10218">
        <w:rPr>
          <w:rFonts w:cs="Arial"/>
        </w:rPr>
        <w:t xml:space="preserve">te </w:t>
      </w:r>
      <w:r w:rsidR="00A61DC3" w:rsidRPr="00CD5D12">
        <w:rPr>
          <w:rFonts w:cs="Arial"/>
        </w:rPr>
        <w:t>en faveur d’un sursis</w:t>
      </w:r>
      <w:r>
        <w:rPr>
          <w:rStyle w:val="Appelnotedebasdep"/>
          <w:rFonts w:cs="Arial"/>
        </w:rPr>
        <w:footnoteReference w:id="15"/>
      </w:r>
      <w:r w:rsidRPr="00CD5D12">
        <w:rPr>
          <w:rFonts w:cs="Arial"/>
        </w:rPr>
        <w:t>.</w:t>
      </w:r>
    </w:p>
    <w:p w14:paraId="350110AE" w14:textId="77777777" w:rsidR="00A61DC3" w:rsidRPr="00CD5D12" w:rsidRDefault="00B11239" w:rsidP="00CD5D12">
      <w:pPr>
        <w:numPr>
          <w:ilvl w:val="0"/>
          <w:numId w:val="1"/>
        </w:numPr>
        <w:tabs>
          <w:tab w:val="clear" w:pos="360"/>
        </w:tabs>
        <w:spacing w:before="120" w:after="120"/>
        <w:jc w:val="both"/>
        <w:rPr>
          <w:kern w:val="28"/>
        </w:rPr>
      </w:pPr>
      <w:r w:rsidRPr="00F11686">
        <w:rPr>
          <w:rFonts w:cs="Arial"/>
          <w:color w:val="000000"/>
          <w:szCs w:val="24"/>
          <w:lang w:eastAsia="fr-CA"/>
        </w:rPr>
        <w:t xml:space="preserve">Le fardeau de la preuve quant à chaque élément repose sur la partie demanderesse. Dans </w:t>
      </w:r>
      <w:r w:rsidR="0044645F">
        <w:rPr>
          <w:rFonts w:cs="Arial"/>
          <w:color w:val="000000"/>
          <w:szCs w:val="24"/>
          <w:lang w:eastAsia="fr-CA"/>
        </w:rPr>
        <w:t xml:space="preserve">un </w:t>
      </w:r>
      <w:r w:rsidRPr="00F11686">
        <w:rPr>
          <w:rFonts w:cs="Arial"/>
          <w:color w:val="000000"/>
          <w:szCs w:val="24"/>
          <w:lang w:eastAsia="fr-CA"/>
        </w:rPr>
        <w:t>arrêt récent</w:t>
      </w:r>
      <w:r w:rsidR="0044645F">
        <w:rPr>
          <w:rFonts w:cs="Arial"/>
          <w:color w:val="000000"/>
          <w:szCs w:val="24"/>
          <w:lang w:eastAsia="fr-CA"/>
        </w:rPr>
        <w:t>,</w:t>
      </w:r>
      <w:r w:rsidRPr="00F11686">
        <w:rPr>
          <w:rFonts w:cs="Arial"/>
          <w:color w:val="000000"/>
          <w:szCs w:val="24"/>
          <w:lang w:eastAsia="fr-CA"/>
        </w:rPr>
        <w:t> </w:t>
      </w:r>
      <w:r w:rsidRPr="00F11686">
        <w:rPr>
          <w:rFonts w:cs="Arial"/>
          <w:i/>
          <w:iCs/>
          <w:color w:val="000000"/>
          <w:szCs w:val="24"/>
          <w:lang w:eastAsia="fr-CA"/>
        </w:rPr>
        <w:t>Gaspé Énergies</w:t>
      </w:r>
      <w:r w:rsidRPr="00B14718">
        <w:rPr>
          <w:rFonts w:cs="Arial"/>
          <w:color w:val="000000"/>
          <w:szCs w:val="24"/>
          <w:lang w:eastAsia="fr-CA"/>
        </w:rPr>
        <w:t>,</w:t>
      </w:r>
      <w:r w:rsidRPr="00F11686">
        <w:rPr>
          <w:rFonts w:cs="Arial"/>
          <w:color w:val="000000"/>
          <w:szCs w:val="24"/>
          <w:lang w:eastAsia="fr-CA"/>
        </w:rPr>
        <w:t xml:space="preserve"> la Cour d’appel explique que l’analyse des critères doit se faire de façon globale</w:t>
      </w:r>
      <w:r w:rsidR="00D614DD">
        <w:rPr>
          <w:rFonts w:cs="Arial"/>
          <w:color w:val="000000"/>
          <w:szCs w:val="24"/>
          <w:lang w:eastAsia="fr-CA"/>
        </w:rPr>
        <w:t xml:space="preserve">, les uns par rapport aux autres </w:t>
      </w:r>
      <w:r w:rsidRPr="00F11686">
        <w:rPr>
          <w:rFonts w:cs="Arial"/>
          <w:color w:val="000000"/>
          <w:szCs w:val="24"/>
          <w:lang w:eastAsia="fr-CA"/>
        </w:rPr>
        <w:t>et non en vase clos</w:t>
      </w:r>
      <w:r>
        <w:rPr>
          <w:rStyle w:val="Appelnotedebasdep"/>
          <w:rFonts w:cs="Arial"/>
          <w:color w:val="000000"/>
          <w:szCs w:val="24"/>
          <w:lang w:eastAsia="fr-CA"/>
        </w:rPr>
        <w:footnoteReference w:id="16"/>
      </w:r>
      <w:r w:rsidR="00CD5D12">
        <w:rPr>
          <w:rFonts w:cs="Arial"/>
          <w:color w:val="000000"/>
          <w:szCs w:val="24"/>
          <w:lang w:eastAsia="fr-CA"/>
        </w:rPr>
        <w:t xml:space="preserve">. </w:t>
      </w:r>
      <w:r w:rsidRPr="00A61DC3">
        <w:rPr>
          <w:lang w:eastAsia="fr-CA"/>
        </w:rPr>
        <w:t>Plus le droit est clair, moins le juge doit se questionner sur les inconvénients découlant de la suspension</w:t>
      </w:r>
      <w:r>
        <w:rPr>
          <w:rStyle w:val="Appelnotedebasdep"/>
          <w:lang w:eastAsia="fr-CA"/>
        </w:rPr>
        <w:footnoteReference w:id="17"/>
      </w:r>
      <w:r w:rsidRPr="00A61DC3">
        <w:rPr>
          <w:lang w:eastAsia="fr-CA"/>
        </w:rPr>
        <w:t>. Inversement, </w:t>
      </w:r>
      <w:r w:rsidR="00CD5D12">
        <w:rPr>
          <w:lang w:eastAsia="fr-CA"/>
        </w:rPr>
        <w:t>m</w:t>
      </w:r>
      <w:r w:rsidRPr="00A61DC3">
        <w:rPr>
          <w:lang w:eastAsia="fr-CA"/>
        </w:rPr>
        <w:t>oins l’apparence de droit s’avère forte, plus la nécessité de l’examen attentif du caractère irréparable du préjudice s’impose, comme celle, éventuellement, du poids des inconvénients</w:t>
      </w:r>
      <w:r>
        <w:rPr>
          <w:rStyle w:val="Appelnotedebasdep"/>
          <w:lang w:eastAsia="fr-CA"/>
        </w:rPr>
        <w:footnoteReference w:id="18"/>
      </w:r>
      <w:r w:rsidRPr="00A61DC3">
        <w:rPr>
          <w:lang w:eastAsia="fr-CA"/>
        </w:rPr>
        <w:t>. </w:t>
      </w:r>
    </w:p>
    <w:p w14:paraId="04E9A11B" w14:textId="77777777" w:rsidR="003F1FF1" w:rsidRPr="003F1FF1" w:rsidRDefault="00B11239" w:rsidP="00696D55">
      <w:pPr>
        <w:numPr>
          <w:ilvl w:val="0"/>
          <w:numId w:val="1"/>
        </w:numPr>
        <w:tabs>
          <w:tab w:val="clear" w:pos="360"/>
        </w:tabs>
        <w:spacing w:before="120" w:after="120"/>
        <w:jc w:val="both"/>
        <w:rPr>
          <w:kern w:val="28"/>
          <w:szCs w:val="24"/>
        </w:rPr>
      </w:pPr>
      <w:r w:rsidRPr="00E674A9">
        <w:rPr>
          <w:rFonts w:cs="Arial"/>
          <w:szCs w:val="24"/>
          <w:lang w:eastAsia="fr-CA"/>
        </w:rPr>
        <w:t xml:space="preserve">Il convient de </w:t>
      </w:r>
      <w:r w:rsidR="00F41DCB" w:rsidRPr="00E674A9">
        <w:rPr>
          <w:rFonts w:cs="Arial"/>
          <w:szCs w:val="24"/>
          <w:lang w:eastAsia="fr-CA"/>
        </w:rPr>
        <w:t xml:space="preserve">souligner </w:t>
      </w:r>
      <w:r w:rsidR="00F41DCB" w:rsidRPr="00141921">
        <w:rPr>
          <w:rFonts w:cs="Arial"/>
          <w:color w:val="000000"/>
          <w:szCs w:val="24"/>
          <w:lang w:eastAsia="fr-CA"/>
        </w:rPr>
        <w:t xml:space="preserve">le caractère exceptionnel d’un jugement suspendant l’application d’une loi dont la validité n’a pas encore fait l’objet d’un jugement définitif. </w:t>
      </w:r>
      <w:r w:rsidR="0044645F">
        <w:rPr>
          <w:rFonts w:cs="Arial"/>
          <w:color w:val="000000"/>
          <w:szCs w:val="24"/>
          <w:lang w:eastAsia="fr-CA"/>
        </w:rPr>
        <w:t>La séparation des pouvoirs étant au cœur de cette prudence</w:t>
      </w:r>
      <w:r w:rsidR="00E674A9">
        <w:rPr>
          <w:rFonts w:cs="Arial"/>
          <w:color w:val="000000"/>
          <w:szCs w:val="24"/>
          <w:lang w:eastAsia="fr-CA"/>
        </w:rPr>
        <w:t>, car dans notre démocratie constitutionnelle, il revient au législateur d’élaborer et d’adopter les lois</w:t>
      </w:r>
      <w:r w:rsidR="00DC0429">
        <w:rPr>
          <w:rFonts w:cs="Arial"/>
          <w:color w:val="000000"/>
          <w:szCs w:val="24"/>
          <w:lang w:eastAsia="fr-CA"/>
        </w:rPr>
        <w:t xml:space="preserve"> dans la poursuite du bien commun</w:t>
      </w:r>
      <w:r w:rsidR="00E674A9">
        <w:rPr>
          <w:rFonts w:cs="Arial"/>
          <w:color w:val="000000"/>
          <w:szCs w:val="24"/>
          <w:lang w:eastAsia="fr-CA"/>
        </w:rPr>
        <w:t>, et aux tribunaux d’en contrôler la légalité</w:t>
      </w:r>
      <w:r>
        <w:rPr>
          <w:rStyle w:val="Appelnotedebasdep"/>
          <w:rFonts w:cs="Arial"/>
          <w:color w:val="000000"/>
          <w:szCs w:val="24"/>
          <w:lang w:eastAsia="fr-CA"/>
        </w:rPr>
        <w:footnoteReference w:id="19"/>
      </w:r>
      <w:r w:rsidR="00E674A9">
        <w:rPr>
          <w:rFonts w:cs="Arial"/>
          <w:color w:val="000000"/>
          <w:szCs w:val="24"/>
          <w:lang w:eastAsia="fr-CA"/>
        </w:rPr>
        <w:t>. Ainsi, en principe, une loi demeure en vigueur tant et aussi longtemps qu’elle n’est pas déclarée invalide ou inopérante par un jugement définitif. Les exceptions à cette règle demeurent rares, la suspension n’étant prononcée que dans des cas manifestes</w:t>
      </w:r>
      <w:r>
        <w:rPr>
          <w:rStyle w:val="Appelnotedebasdep"/>
          <w:rFonts w:cs="Arial"/>
          <w:color w:val="000000"/>
          <w:szCs w:val="24"/>
          <w:lang w:eastAsia="fr-CA"/>
        </w:rPr>
        <w:footnoteReference w:id="20"/>
      </w:r>
      <w:r w:rsidR="00E674A9">
        <w:rPr>
          <w:rFonts w:cs="Arial"/>
          <w:color w:val="000000"/>
          <w:szCs w:val="24"/>
          <w:lang w:eastAsia="fr-CA"/>
        </w:rPr>
        <w:t>.</w:t>
      </w:r>
    </w:p>
    <w:p w14:paraId="11D63DA3" w14:textId="77777777" w:rsidR="00F41DCB" w:rsidRPr="00141921" w:rsidRDefault="00B11239" w:rsidP="00CD5D12">
      <w:pPr>
        <w:pStyle w:val="Titre1"/>
      </w:pPr>
      <w:r w:rsidRPr="00141921">
        <w:t>A</w:t>
      </w:r>
      <w:r w:rsidR="00CD5D12">
        <w:t>NALYSE</w:t>
      </w:r>
    </w:p>
    <w:p w14:paraId="63074BDD" w14:textId="77777777" w:rsidR="00772542" w:rsidRPr="00CD5D12" w:rsidRDefault="00B11239" w:rsidP="00CD5D12">
      <w:pPr>
        <w:pStyle w:val="Titre2"/>
        <w:rPr>
          <w:sz w:val="22"/>
          <w:szCs w:val="22"/>
        </w:rPr>
      </w:pPr>
      <w:r w:rsidRPr="00CD5D12">
        <w:rPr>
          <w:sz w:val="22"/>
          <w:szCs w:val="22"/>
        </w:rPr>
        <w:t>Une question sérieuse à juger</w:t>
      </w:r>
    </w:p>
    <w:p w14:paraId="29F63939" w14:textId="77777777" w:rsidR="00772542" w:rsidRPr="00F125BE" w:rsidRDefault="00B11239" w:rsidP="00696D55">
      <w:pPr>
        <w:numPr>
          <w:ilvl w:val="0"/>
          <w:numId w:val="1"/>
        </w:numPr>
        <w:tabs>
          <w:tab w:val="clear" w:pos="360"/>
        </w:tabs>
        <w:spacing w:before="120" w:after="120"/>
        <w:jc w:val="both"/>
        <w:rPr>
          <w:kern w:val="28"/>
          <w:szCs w:val="24"/>
        </w:rPr>
      </w:pPr>
      <w:r w:rsidRPr="00141921">
        <w:rPr>
          <w:rFonts w:cs="Arial"/>
          <w:color w:val="000000"/>
          <w:szCs w:val="24"/>
          <w:lang w:eastAsia="fr-CA"/>
        </w:rPr>
        <w:t xml:space="preserve">Ce critère est généralement peu exigeant et son application ne doit pas mener à un examen </w:t>
      </w:r>
      <w:r w:rsidR="0044645F">
        <w:rPr>
          <w:rFonts w:cs="Arial"/>
          <w:color w:val="000000"/>
          <w:szCs w:val="24"/>
          <w:lang w:eastAsia="fr-CA"/>
        </w:rPr>
        <w:t xml:space="preserve">en profondeur du mérite </w:t>
      </w:r>
      <w:r w:rsidRPr="00141921">
        <w:rPr>
          <w:rFonts w:cs="Arial"/>
          <w:color w:val="000000"/>
          <w:szCs w:val="24"/>
          <w:lang w:eastAsia="fr-CA"/>
        </w:rPr>
        <w:t>de l’affaire. Il suffit d’établir, au terme d’une analyse préliminaire du dossier, que la demande soulève une question sérieuse, c’est-à-dire qu’elle n’est ni futile ni vexatoire</w:t>
      </w:r>
      <w:r>
        <w:rPr>
          <w:rStyle w:val="Appelnotedebasdep"/>
          <w:rFonts w:cs="Arial"/>
          <w:color w:val="000000"/>
          <w:szCs w:val="24"/>
          <w:lang w:eastAsia="fr-CA"/>
        </w:rPr>
        <w:footnoteReference w:id="21"/>
      </w:r>
      <w:r w:rsidR="00DC0429">
        <w:rPr>
          <w:rFonts w:cs="Arial"/>
          <w:color w:val="000000"/>
          <w:szCs w:val="24"/>
          <w:lang w:eastAsia="fr-CA"/>
        </w:rPr>
        <w:t>.</w:t>
      </w:r>
    </w:p>
    <w:p w14:paraId="65FE14AC" w14:textId="77777777" w:rsidR="00F125BE" w:rsidRPr="00F125BE"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lastRenderedPageBreak/>
        <w:t>En l’espèce, s</w:t>
      </w:r>
      <w:r w:rsidRPr="00F125BE">
        <w:rPr>
          <w:rFonts w:cs="Arial"/>
          <w:color w:val="000000"/>
          <w:szCs w:val="24"/>
          <w:lang w:eastAsia="fr-CA"/>
        </w:rPr>
        <w:t xml:space="preserve">ans effectuer un examen approfondi du dossier, </w:t>
      </w:r>
      <w:r>
        <w:rPr>
          <w:rFonts w:cs="Arial"/>
          <w:color w:val="000000"/>
          <w:szCs w:val="24"/>
          <w:lang w:eastAsia="fr-CA"/>
        </w:rPr>
        <w:t xml:space="preserve">le Tribunal convient que le </w:t>
      </w:r>
      <w:r w:rsidRPr="00141921">
        <w:rPr>
          <w:rFonts w:cs="Arial"/>
          <w:color w:val="000000"/>
          <w:szCs w:val="24"/>
          <w:lang w:eastAsia="fr-CA"/>
        </w:rPr>
        <w:t>pourvoi soulève</w:t>
      </w:r>
      <w:r w:rsidR="0044645F">
        <w:rPr>
          <w:rFonts w:cs="Arial"/>
          <w:color w:val="000000"/>
          <w:szCs w:val="24"/>
          <w:lang w:eastAsia="fr-CA"/>
        </w:rPr>
        <w:t xml:space="preserve"> </w:t>
      </w:r>
      <w:r w:rsidR="0044645F" w:rsidRPr="0044645F">
        <w:rPr>
          <w:rFonts w:cs="Arial"/>
          <w:i/>
          <w:iCs/>
          <w:color w:val="000000"/>
          <w:szCs w:val="24"/>
          <w:lang w:eastAsia="fr-CA"/>
        </w:rPr>
        <w:t>prima facie</w:t>
      </w:r>
      <w:r w:rsidRPr="00141921">
        <w:rPr>
          <w:rFonts w:cs="Arial"/>
          <w:color w:val="000000"/>
          <w:szCs w:val="24"/>
          <w:lang w:eastAsia="fr-CA"/>
        </w:rPr>
        <w:t xml:space="preserve"> des questions sérieuses </w:t>
      </w:r>
      <w:r w:rsidR="0044645F">
        <w:rPr>
          <w:rFonts w:cs="Arial"/>
          <w:color w:val="000000"/>
          <w:szCs w:val="24"/>
          <w:lang w:eastAsia="fr-CA"/>
        </w:rPr>
        <w:t xml:space="preserve">loin d’être </w:t>
      </w:r>
      <w:r w:rsidRPr="00141921">
        <w:rPr>
          <w:rFonts w:cs="Arial"/>
          <w:color w:val="000000"/>
          <w:szCs w:val="24"/>
          <w:lang w:eastAsia="fr-CA"/>
        </w:rPr>
        <w:t>futiles</w:t>
      </w:r>
      <w:r>
        <w:rPr>
          <w:rFonts w:cs="Arial"/>
          <w:color w:val="000000"/>
          <w:szCs w:val="24"/>
          <w:lang w:eastAsia="fr-CA"/>
        </w:rPr>
        <w:t xml:space="preserve">. Notamment, les enjeux au niveau des atteintes potentielles à la liberté d’expression </w:t>
      </w:r>
      <w:r w:rsidR="003B0D27">
        <w:rPr>
          <w:rFonts w:cs="Arial"/>
          <w:color w:val="000000"/>
          <w:szCs w:val="24"/>
          <w:lang w:eastAsia="fr-CA"/>
        </w:rPr>
        <w:t>et son caractère justifiable</w:t>
      </w:r>
      <w:r w:rsidR="003B0D27" w:rsidRPr="003B0D27">
        <w:rPr>
          <w:rFonts w:cs="Arial"/>
          <w:color w:val="000000"/>
          <w:szCs w:val="24"/>
          <w:lang w:eastAsia="fr-CA"/>
        </w:rPr>
        <w:t xml:space="preserve"> </w:t>
      </w:r>
      <w:r w:rsidR="003B0D27">
        <w:rPr>
          <w:rFonts w:cs="Arial"/>
          <w:color w:val="000000"/>
          <w:szCs w:val="24"/>
          <w:lang w:eastAsia="fr-CA"/>
        </w:rPr>
        <w:t>sont réels</w:t>
      </w:r>
      <w:r>
        <w:rPr>
          <w:rFonts w:cs="Arial"/>
          <w:color w:val="000000"/>
          <w:szCs w:val="24"/>
          <w:lang w:eastAsia="fr-CA"/>
        </w:rPr>
        <w:t>, et</w:t>
      </w:r>
      <w:r w:rsidR="0044645F">
        <w:rPr>
          <w:rFonts w:cs="Arial"/>
          <w:color w:val="000000"/>
          <w:szCs w:val="24"/>
          <w:lang w:eastAsia="fr-CA"/>
        </w:rPr>
        <w:t xml:space="preserve"> mériterons une preuve et des plaidoiries robustes au mérite</w:t>
      </w:r>
      <w:r>
        <w:rPr>
          <w:rFonts w:cs="Arial"/>
          <w:color w:val="000000"/>
          <w:szCs w:val="24"/>
          <w:lang w:eastAsia="fr-CA"/>
        </w:rPr>
        <w:t>.</w:t>
      </w:r>
    </w:p>
    <w:p w14:paraId="5F6C09F0" w14:textId="77777777" w:rsidR="00DC0429" w:rsidRPr="00F125BE"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 xml:space="preserve">D’ailleurs, la Ville n’a pas </w:t>
      </w:r>
      <w:r w:rsidR="00F561D6">
        <w:rPr>
          <w:rFonts w:cs="Arial"/>
          <w:color w:val="000000"/>
          <w:szCs w:val="24"/>
          <w:lang w:eastAsia="fr-CA"/>
        </w:rPr>
        <w:t>véritablemen</w:t>
      </w:r>
      <w:r>
        <w:rPr>
          <w:rFonts w:cs="Arial"/>
          <w:color w:val="000000"/>
          <w:szCs w:val="24"/>
          <w:lang w:eastAsia="fr-CA"/>
        </w:rPr>
        <w:t>t contesté le fait que le pourvoi soulève au moins une question sérieuse, insistant plutôt que les demanderesses n’ont pas réussi à démontrer que l’apparence de droit est claire</w:t>
      </w:r>
      <w:r>
        <w:rPr>
          <w:rStyle w:val="Appelnotedebasdep"/>
          <w:rFonts w:cs="Arial"/>
          <w:color w:val="000000"/>
          <w:szCs w:val="24"/>
          <w:lang w:eastAsia="fr-CA"/>
        </w:rPr>
        <w:footnoteReference w:id="22"/>
      </w:r>
      <w:r>
        <w:rPr>
          <w:rFonts w:cs="Arial"/>
          <w:color w:val="000000"/>
          <w:szCs w:val="24"/>
          <w:lang w:eastAsia="fr-CA"/>
        </w:rPr>
        <w:t xml:space="preserve">. Effectivement, </w:t>
      </w:r>
      <w:r w:rsidR="00F125BE">
        <w:rPr>
          <w:rFonts w:cs="Arial"/>
          <w:color w:val="000000"/>
          <w:szCs w:val="24"/>
          <w:lang w:eastAsia="fr-CA"/>
        </w:rPr>
        <w:t>le</w:t>
      </w:r>
      <w:r w:rsidRPr="00F125BE">
        <w:rPr>
          <w:rFonts w:cs="Arial"/>
          <w:color w:val="000000"/>
          <w:szCs w:val="24"/>
          <w:lang w:eastAsia="fr-CA"/>
        </w:rPr>
        <w:t>s demanderesses ont tenté de convaincre le Tribunal que leur apparence de droit</w:t>
      </w:r>
      <w:r w:rsidR="00B92BE6">
        <w:rPr>
          <w:rFonts w:cs="Arial"/>
          <w:color w:val="000000"/>
          <w:szCs w:val="24"/>
          <w:lang w:eastAsia="fr-CA"/>
        </w:rPr>
        <w:t xml:space="preserve"> à ce </w:t>
      </w:r>
      <w:r w:rsidR="00C46F63">
        <w:rPr>
          <w:rFonts w:cs="Arial"/>
          <w:color w:val="000000"/>
          <w:szCs w:val="24"/>
          <w:lang w:eastAsia="fr-CA"/>
        </w:rPr>
        <w:t xml:space="preserve">stade </w:t>
      </w:r>
      <w:r w:rsidRPr="00F125BE">
        <w:rPr>
          <w:rFonts w:cs="Arial"/>
          <w:color w:val="000000"/>
          <w:szCs w:val="24"/>
          <w:lang w:eastAsia="fr-CA"/>
        </w:rPr>
        <w:t>était</w:t>
      </w:r>
      <w:r w:rsidR="00F0480E">
        <w:rPr>
          <w:rFonts w:cs="Arial"/>
          <w:color w:val="000000"/>
          <w:szCs w:val="24"/>
          <w:lang w:eastAsia="fr-CA"/>
        </w:rPr>
        <w:t xml:space="preserve"> manifeste</w:t>
      </w:r>
      <w:r w:rsidR="00D22A79">
        <w:rPr>
          <w:rFonts w:cs="Arial"/>
          <w:color w:val="000000"/>
          <w:szCs w:val="24"/>
          <w:lang w:eastAsia="fr-CA"/>
        </w:rPr>
        <w:t>, surtout au niveau de l’atteinte à la liberté d’expression</w:t>
      </w:r>
      <w:r w:rsidRPr="00F125BE">
        <w:rPr>
          <w:rFonts w:cs="Arial"/>
          <w:color w:val="000000"/>
          <w:szCs w:val="24"/>
          <w:lang w:eastAsia="fr-CA"/>
        </w:rPr>
        <w:t>.</w:t>
      </w:r>
      <w:r w:rsidR="00F125BE" w:rsidRPr="00F125BE">
        <w:rPr>
          <w:rFonts w:cs="Arial"/>
          <w:color w:val="000000"/>
          <w:szCs w:val="24"/>
          <w:lang w:eastAsia="fr-CA"/>
        </w:rPr>
        <w:t xml:space="preserve"> Elles ont consacré un temps important à cet argument</w:t>
      </w:r>
      <w:r>
        <w:rPr>
          <w:rStyle w:val="Appelnotedebasdep"/>
          <w:rFonts w:cs="Arial"/>
          <w:color w:val="000000"/>
          <w:szCs w:val="24"/>
          <w:lang w:eastAsia="fr-CA"/>
        </w:rPr>
        <w:footnoteReference w:id="23"/>
      </w:r>
      <w:r w:rsidR="00F125BE" w:rsidRPr="00F125BE">
        <w:rPr>
          <w:rFonts w:cs="Arial"/>
          <w:color w:val="000000"/>
          <w:szCs w:val="24"/>
          <w:lang w:eastAsia="fr-CA"/>
        </w:rPr>
        <w:t>, dont il convient de s’attarder</w:t>
      </w:r>
      <w:r w:rsidR="00F125BE">
        <w:rPr>
          <w:rFonts w:cs="Arial"/>
          <w:color w:val="000000"/>
          <w:szCs w:val="24"/>
          <w:lang w:eastAsia="fr-CA"/>
        </w:rPr>
        <w:t>, car cela impliquerait</w:t>
      </w:r>
      <w:r w:rsidR="00CA33B7">
        <w:rPr>
          <w:rFonts w:cs="Arial"/>
          <w:color w:val="000000"/>
          <w:szCs w:val="24"/>
          <w:lang w:eastAsia="fr-CA"/>
        </w:rPr>
        <w:t>,</w:t>
      </w:r>
      <w:r w:rsidR="00F125BE">
        <w:rPr>
          <w:rFonts w:cs="Arial"/>
          <w:color w:val="000000"/>
          <w:szCs w:val="24"/>
          <w:lang w:eastAsia="fr-CA"/>
        </w:rPr>
        <w:t xml:space="preserve"> à la lumière des enseignements de la jurisprudence</w:t>
      </w:r>
      <w:r w:rsidR="00D1747D">
        <w:rPr>
          <w:rFonts w:cs="Arial"/>
          <w:color w:val="000000"/>
          <w:szCs w:val="24"/>
          <w:lang w:eastAsia="fr-CA"/>
        </w:rPr>
        <w:t>,</w:t>
      </w:r>
      <w:r w:rsidR="00F125BE">
        <w:rPr>
          <w:rFonts w:cs="Arial"/>
          <w:color w:val="000000"/>
          <w:szCs w:val="24"/>
          <w:lang w:eastAsia="fr-CA"/>
        </w:rPr>
        <w:t xml:space="preserve"> que le Tribunal doi</w:t>
      </w:r>
      <w:r w:rsidR="0044645F">
        <w:rPr>
          <w:rFonts w:cs="Arial"/>
          <w:color w:val="000000"/>
          <w:szCs w:val="24"/>
          <w:lang w:eastAsia="fr-CA"/>
        </w:rPr>
        <w:t>ve</w:t>
      </w:r>
      <w:r w:rsidR="00F125BE">
        <w:rPr>
          <w:rFonts w:cs="Arial"/>
          <w:color w:val="000000"/>
          <w:szCs w:val="24"/>
          <w:lang w:eastAsia="fr-CA"/>
        </w:rPr>
        <w:t xml:space="preserve"> moins se questionner sur les deux autres critères requis pour obtenir le sursis</w:t>
      </w:r>
      <w:r>
        <w:rPr>
          <w:rStyle w:val="Appelnotedebasdep"/>
          <w:rFonts w:cs="Arial"/>
          <w:color w:val="000000"/>
          <w:szCs w:val="24"/>
          <w:lang w:eastAsia="fr-CA"/>
        </w:rPr>
        <w:footnoteReference w:id="24"/>
      </w:r>
      <w:r w:rsidR="00F125BE">
        <w:rPr>
          <w:rFonts w:cs="Arial"/>
          <w:color w:val="000000"/>
          <w:szCs w:val="24"/>
          <w:lang w:eastAsia="fr-CA"/>
        </w:rPr>
        <w:t>.</w:t>
      </w:r>
      <w:r w:rsidRPr="00350BC1">
        <w:rPr>
          <w:rFonts w:cs="Arial"/>
          <w:color w:val="000000"/>
          <w:szCs w:val="24"/>
          <w:lang w:eastAsia="fr-CA"/>
        </w:rPr>
        <w:t xml:space="preserve"> </w:t>
      </w:r>
    </w:p>
    <w:p w14:paraId="4EC614E7" w14:textId="77777777" w:rsidR="00F125BE" w:rsidRDefault="00B11239" w:rsidP="00696D55">
      <w:pPr>
        <w:numPr>
          <w:ilvl w:val="0"/>
          <w:numId w:val="1"/>
        </w:numPr>
        <w:tabs>
          <w:tab w:val="clear" w:pos="360"/>
        </w:tabs>
        <w:spacing w:before="120" w:after="120"/>
        <w:jc w:val="both"/>
        <w:rPr>
          <w:kern w:val="28"/>
          <w:szCs w:val="24"/>
        </w:rPr>
      </w:pPr>
      <w:r>
        <w:rPr>
          <w:kern w:val="28"/>
          <w:szCs w:val="24"/>
        </w:rPr>
        <w:t xml:space="preserve">Avec égard, </w:t>
      </w:r>
      <w:r w:rsidR="00D1747D">
        <w:rPr>
          <w:kern w:val="28"/>
          <w:szCs w:val="24"/>
        </w:rPr>
        <w:t xml:space="preserve">les demanderesses </w:t>
      </w:r>
      <w:r w:rsidR="00D22A79">
        <w:rPr>
          <w:kern w:val="28"/>
          <w:szCs w:val="24"/>
        </w:rPr>
        <w:t>font fausse route</w:t>
      </w:r>
      <w:r w:rsidR="00D34603">
        <w:rPr>
          <w:kern w:val="28"/>
          <w:szCs w:val="24"/>
        </w:rPr>
        <w:t>.</w:t>
      </w:r>
    </w:p>
    <w:p w14:paraId="201CBE28" w14:textId="77777777" w:rsidR="00F41DCB" w:rsidRPr="00865AB7"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D’abord</w:t>
      </w:r>
      <w:r w:rsidR="00D34603">
        <w:rPr>
          <w:rFonts w:cs="Arial"/>
          <w:color w:val="000000"/>
          <w:szCs w:val="24"/>
          <w:lang w:eastAsia="fr-CA"/>
        </w:rPr>
        <w:t>, e</w:t>
      </w:r>
      <w:r w:rsidRPr="00141921">
        <w:rPr>
          <w:rFonts w:cs="Arial"/>
          <w:color w:val="000000"/>
          <w:szCs w:val="24"/>
          <w:lang w:eastAsia="fr-CA"/>
        </w:rPr>
        <w:t xml:space="preserve">lles demandent à la Cour de déclarer que le Règlement, dans sa totalité, porte atteinte aux droits protégés par les </w:t>
      </w:r>
      <w:r w:rsidRPr="003B0D27">
        <w:rPr>
          <w:rFonts w:cs="Arial"/>
          <w:i/>
          <w:iCs/>
          <w:color w:val="000000"/>
          <w:szCs w:val="24"/>
          <w:lang w:eastAsia="fr-CA"/>
        </w:rPr>
        <w:t>Charte</w:t>
      </w:r>
      <w:r w:rsidR="00D22A79" w:rsidRPr="003B0D27">
        <w:rPr>
          <w:rFonts w:cs="Arial"/>
          <w:i/>
          <w:iCs/>
          <w:color w:val="000000"/>
          <w:szCs w:val="24"/>
          <w:lang w:eastAsia="fr-CA"/>
        </w:rPr>
        <w:t>s</w:t>
      </w:r>
      <w:r w:rsidR="00D22A79">
        <w:rPr>
          <w:rFonts w:cs="Arial"/>
          <w:color w:val="000000"/>
          <w:szCs w:val="24"/>
          <w:lang w:eastAsia="fr-CA"/>
        </w:rPr>
        <w:t xml:space="preserve"> </w:t>
      </w:r>
      <w:r w:rsidRPr="00141921">
        <w:rPr>
          <w:rFonts w:cs="Arial"/>
          <w:color w:val="000000"/>
          <w:szCs w:val="24"/>
          <w:lang w:eastAsia="fr-CA"/>
        </w:rPr>
        <w:t>alors que les interdictions qu’il impose sont multiples et à intensité variable</w:t>
      </w:r>
      <w:r>
        <w:rPr>
          <w:rStyle w:val="Appelnotedebasdep"/>
          <w:rFonts w:cs="Arial"/>
          <w:color w:val="000000"/>
          <w:szCs w:val="24"/>
          <w:lang w:eastAsia="fr-CA"/>
        </w:rPr>
        <w:footnoteReference w:id="25"/>
      </w:r>
      <w:r w:rsidRPr="00141921">
        <w:rPr>
          <w:rFonts w:cs="Arial"/>
          <w:color w:val="000000"/>
          <w:szCs w:val="24"/>
          <w:lang w:eastAsia="fr-CA"/>
        </w:rPr>
        <w:t xml:space="preserve">. </w:t>
      </w:r>
      <w:r w:rsidR="00C46F63" w:rsidRPr="00C46F63">
        <w:rPr>
          <w:rFonts w:cs="Arial"/>
          <w:color w:val="000000"/>
          <w:szCs w:val="24"/>
          <w:lang w:eastAsia="fr-CA"/>
        </w:rPr>
        <w:t xml:space="preserve">Elles invoquent d’ailleurs plusieurs atteintes aux droits et libertés garantis par les </w:t>
      </w:r>
      <w:r w:rsidR="00C46F63" w:rsidRPr="00C46F63">
        <w:rPr>
          <w:rFonts w:cs="Arial"/>
          <w:i/>
          <w:iCs/>
          <w:color w:val="000000"/>
          <w:szCs w:val="24"/>
          <w:lang w:eastAsia="fr-CA"/>
        </w:rPr>
        <w:t>Chartes</w:t>
      </w:r>
      <w:r w:rsidR="00C46F63" w:rsidRPr="00C46F63">
        <w:rPr>
          <w:rFonts w:cs="Arial"/>
          <w:color w:val="000000"/>
          <w:szCs w:val="24"/>
          <w:lang w:eastAsia="fr-CA"/>
        </w:rPr>
        <w:t>, notamment à la liberté d’expression, au droit à l’égalité en raison de convictions politiques ainsi qu’à la protection contre les peines cruelles et inusitées. Si ces prétentions s’avèrent fondées, il appartiendra alors à la Ville de démontrer que ces atteintes sont justifiées au regard de l’article premier de la</w:t>
      </w:r>
      <w:r w:rsidR="00C46F63" w:rsidRPr="00D1747D">
        <w:rPr>
          <w:rFonts w:cs="Arial"/>
          <w:i/>
          <w:iCs/>
          <w:color w:val="000000"/>
          <w:szCs w:val="24"/>
          <w:lang w:eastAsia="fr-CA"/>
        </w:rPr>
        <w:t xml:space="preserve"> Charte</w:t>
      </w:r>
      <w:r w:rsidR="00C46F63" w:rsidRPr="00C46F63">
        <w:rPr>
          <w:rFonts w:cs="Arial"/>
          <w:color w:val="000000"/>
          <w:szCs w:val="24"/>
          <w:lang w:eastAsia="fr-CA"/>
        </w:rPr>
        <w:t xml:space="preserve"> et de l’article 9.1 de la </w:t>
      </w:r>
      <w:r w:rsidR="00C46F63" w:rsidRPr="00D1747D">
        <w:rPr>
          <w:rFonts w:cs="Arial"/>
          <w:i/>
          <w:iCs/>
          <w:color w:val="000000"/>
          <w:szCs w:val="24"/>
          <w:lang w:eastAsia="fr-CA"/>
        </w:rPr>
        <w:t>Charte québécoise</w:t>
      </w:r>
      <w:r w:rsidR="00D22A79">
        <w:rPr>
          <w:rFonts w:cs="Arial"/>
          <w:color w:val="000000"/>
          <w:szCs w:val="24"/>
          <w:lang w:eastAsia="fr-CA"/>
        </w:rPr>
        <w:t>.</w:t>
      </w:r>
      <w:r w:rsidR="00865AB7">
        <w:rPr>
          <w:rFonts w:cs="Arial"/>
          <w:color w:val="000000"/>
          <w:szCs w:val="24"/>
          <w:lang w:eastAsia="fr-CA"/>
        </w:rPr>
        <w:t xml:space="preserve"> </w:t>
      </w:r>
      <w:r w:rsidR="00D22A79">
        <w:rPr>
          <w:rFonts w:cs="Arial"/>
          <w:color w:val="000000"/>
          <w:szCs w:val="24"/>
          <w:lang w:eastAsia="fr-CA"/>
        </w:rPr>
        <w:t>E</w:t>
      </w:r>
      <w:r w:rsidR="00184E00">
        <w:rPr>
          <w:rFonts w:cs="Arial"/>
          <w:color w:val="000000"/>
          <w:szCs w:val="24"/>
          <w:lang w:eastAsia="fr-CA"/>
        </w:rPr>
        <w:t>n ce sens, l</w:t>
      </w:r>
      <w:r w:rsidRPr="00141921">
        <w:rPr>
          <w:rFonts w:cs="Arial"/>
          <w:color w:val="000000"/>
          <w:szCs w:val="24"/>
          <w:lang w:eastAsia="fr-CA"/>
        </w:rPr>
        <w:t xml:space="preserve">e </w:t>
      </w:r>
      <w:r w:rsidR="002B70EC" w:rsidRPr="00141921">
        <w:rPr>
          <w:rFonts w:cs="Arial"/>
          <w:color w:val="000000"/>
          <w:szCs w:val="24"/>
          <w:lang w:eastAsia="fr-CA"/>
        </w:rPr>
        <w:t>p</w:t>
      </w:r>
      <w:r w:rsidRPr="00141921">
        <w:rPr>
          <w:rFonts w:cs="Arial"/>
          <w:color w:val="000000"/>
          <w:szCs w:val="24"/>
          <w:lang w:eastAsia="fr-CA"/>
        </w:rPr>
        <w:t xml:space="preserve">ourvoi exige </w:t>
      </w:r>
      <w:r w:rsidR="00D34603">
        <w:rPr>
          <w:rFonts w:cs="Arial"/>
          <w:color w:val="000000"/>
          <w:szCs w:val="24"/>
          <w:lang w:eastAsia="fr-CA"/>
        </w:rPr>
        <w:t xml:space="preserve">nécessairement </w:t>
      </w:r>
      <w:r w:rsidRPr="00141921">
        <w:rPr>
          <w:rFonts w:cs="Arial"/>
          <w:color w:val="000000"/>
          <w:szCs w:val="24"/>
          <w:lang w:eastAsia="fr-CA"/>
        </w:rPr>
        <w:t>un examen du Règlement sous plusieurs a</w:t>
      </w:r>
      <w:r w:rsidR="0044645F">
        <w:rPr>
          <w:rFonts w:cs="Arial"/>
          <w:color w:val="000000"/>
          <w:szCs w:val="24"/>
          <w:lang w:eastAsia="fr-CA"/>
        </w:rPr>
        <w:t>ngles</w:t>
      </w:r>
      <w:r w:rsidRPr="00141921">
        <w:rPr>
          <w:rFonts w:cs="Arial"/>
          <w:color w:val="000000"/>
          <w:szCs w:val="24"/>
          <w:lang w:eastAsia="fr-CA"/>
        </w:rPr>
        <w:t xml:space="preserve">, un exercice </w:t>
      </w:r>
      <w:r w:rsidR="00D22A79">
        <w:rPr>
          <w:rFonts w:cs="Arial"/>
          <w:color w:val="000000"/>
          <w:szCs w:val="24"/>
          <w:lang w:eastAsia="fr-CA"/>
        </w:rPr>
        <w:t xml:space="preserve">en soi </w:t>
      </w:r>
      <w:r w:rsidRPr="00141921">
        <w:rPr>
          <w:rFonts w:cs="Arial"/>
          <w:color w:val="000000"/>
          <w:szCs w:val="24"/>
          <w:lang w:eastAsia="fr-CA"/>
        </w:rPr>
        <w:t>incompatible avec l’analyse préliminaire qui s’impose à cette étape du dossier</w:t>
      </w:r>
      <w:r w:rsidR="002B70EC" w:rsidRPr="00141921">
        <w:rPr>
          <w:rFonts w:cs="Arial"/>
          <w:color w:val="000000"/>
          <w:szCs w:val="24"/>
          <w:lang w:eastAsia="fr-CA"/>
        </w:rPr>
        <w:t>.</w:t>
      </w:r>
    </w:p>
    <w:p w14:paraId="09B7CF03" w14:textId="77777777" w:rsidR="00285D57" w:rsidRPr="00285D57"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Dans le cadre de leurs</w:t>
      </w:r>
      <w:r w:rsidR="00865AB7">
        <w:rPr>
          <w:rFonts w:cs="Arial"/>
          <w:color w:val="000000"/>
          <w:szCs w:val="24"/>
          <w:lang w:eastAsia="fr-CA"/>
        </w:rPr>
        <w:t xml:space="preserve"> plaidoiries, alors que la demande vise à sursoir à </w:t>
      </w:r>
      <w:r w:rsidR="00865AB7" w:rsidRPr="00865AB7">
        <w:rPr>
          <w:rFonts w:cs="Arial"/>
          <w:i/>
          <w:iCs/>
          <w:color w:val="000000"/>
          <w:szCs w:val="24"/>
          <w:lang w:eastAsia="fr-CA"/>
        </w:rPr>
        <w:t>l’ensemble</w:t>
      </w:r>
      <w:r w:rsidR="00865AB7">
        <w:rPr>
          <w:rFonts w:cs="Arial"/>
          <w:color w:val="000000"/>
          <w:szCs w:val="24"/>
          <w:lang w:eastAsia="fr-CA"/>
        </w:rPr>
        <w:t xml:space="preserve"> du Règlement, les demanderesses f</w:t>
      </w:r>
      <w:r>
        <w:rPr>
          <w:rFonts w:cs="Arial"/>
          <w:color w:val="000000"/>
          <w:szCs w:val="24"/>
          <w:lang w:eastAsia="fr-CA"/>
        </w:rPr>
        <w:t>er</w:t>
      </w:r>
      <w:r w:rsidR="00865AB7">
        <w:rPr>
          <w:rFonts w:cs="Arial"/>
          <w:color w:val="000000"/>
          <w:szCs w:val="24"/>
          <w:lang w:eastAsia="fr-CA"/>
        </w:rPr>
        <w:t>ont valoir, sans aucune autorité à l’appui, que le Tribunal pourrait supprimer certains des termes problématiques</w:t>
      </w:r>
      <w:r w:rsidR="00D1747D">
        <w:rPr>
          <w:rFonts w:cs="Arial"/>
          <w:color w:val="000000"/>
          <w:szCs w:val="24"/>
          <w:lang w:eastAsia="fr-CA"/>
        </w:rPr>
        <w:t xml:space="preserve"> qui, selon elle</w:t>
      </w:r>
      <w:r w:rsidR="00F561D6">
        <w:rPr>
          <w:rFonts w:cs="Arial"/>
          <w:color w:val="000000"/>
          <w:szCs w:val="24"/>
          <w:lang w:eastAsia="fr-CA"/>
        </w:rPr>
        <w:t>s</w:t>
      </w:r>
      <w:r w:rsidR="00D1747D">
        <w:rPr>
          <w:rFonts w:cs="Arial"/>
          <w:color w:val="000000"/>
          <w:szCs w:val="24"/>
          <w:lang w:eastAsia="fr-CA"/>
        </w:rPr>
        <w:t>,</w:t>
      </w:r>
      <w:r w:rsidR="003B0D27">
        <w:rPr>
          <w:rFonts w:cs="Arial"/>
          <w:color w:val="000000"/>
          <w:szCs w:val="24"/>
          <w:lang w:eastAsia="fr-CA"/>
        </w:rPr>
        <w:t xml:space="preserve"> brime</w:t>
      </w:r>
      <w:r w:rsidR="00D1747D">
        <w:rPr>
          <w:rFonts w:cs="Arial"/>
          <w:color w:val="000000"/>
          <w:szCs w:val="24"/>
          <w:lang w:eastAsia="fr-CA"/>
        </w:rPr>
        <w:t>nt</w:t>
      </w:r>
      <w:r w:rsidR="003B0D27">
        <w:rPr>
          <w:rFonts w:cs="Arial"/>
          <w:color w:val="000000"/>
          <w:szCs w:val="24"/>
          <w:lang w:eastAsia="fr-CA"/>
        </w:rPr>
        <w:t xml:space="preserve"> clairement la liberté d’expression,</w:t>
      </w:r>
      <w:r w:rsidR="00865AB7">
        <w:rPr>
          <w:rFonts w:cs="Arial"/>
          <w:color w:val="000000"/>
          <w:szCs w:val="24"/>
          <w:lang w:eastAsia="fr-CA"/>
        </w:rPr>
        <w:t xml:space="preserve"> </w:t>
      </w:r>
      <w:r w:rsidR="00C46F63">
        <w:rPr>
          <w:rFonts w:cs="Arial"/>
          <w:color w:val="000000"/>
          <w:szCs w:val="24"/>
          <w:lang w:eastAsia="fr-CA"/>
        </w:rPr>
        <w:t xml:space="preserve">soit </w:t>
      </w:r>
      <w:r w:rsidR="00865AB7">
        <w:rPr>
          <w:rFonts w:cs="Arial"/>
          <w:color w:val="000000"/>
          <w:szCs w:val="24"/>
          <w:lang w:eastAsia="fr-CA"/>
        </w:rPr>
        <w:t xml:space="preserve">- </w:t>
      </w:r>
      <w:r w:rsidR="00865AB7">
        <w:t>« d’injurier ou d’insulter » et « comportement offensant, humiliant ou agressif »</w:t>
      </w:r>
      <w:r w:rsidR="003B0D27">
        <w:t xml:space="preserve"> -</w:t>
      </w:r>
      <w:r w:rsidR="00865AB7">
        <w:t xml:space="preserve"> énoncés à l’article 4 du Règlemen</w:t>
      </w:r>
      <w:r w:rsidR="00C46F63">
        <w:t>t</w:t>
      </w:r>
      <w:r w:rsidR="00865AB7">
        <w:t xml:space="preserve">. </w:t>
      </w:r>
    </w:p>
    <w:p w14:paraId="6B8D6EB1" w14:textId="77777777" w:rsidR="00865AB7" w:rsidRPr="00D34603" w:rsidRDefault="00B11239" w:rsidP="00696D55">
      <w:pPr>
        <w:numPr>
          <w:ilvl w:val="0"/>
          <w:numId w:val="1"/>
        </w:numPr>
        <w:tabs>
          <w:tab w:val="clear" w:pos="360"/>
        </w:tabs>
        <w:spacing w:before="120" w:after="120"/>
        <w:jc w:val="both"/>
        <w:rPr>
          <w:kern w:val="28"/>
          <w:szCs w:val="24"/>
        </w:rPr>
      </w:pPr>
      <w:r>
        <w:t xml:space="preserve">Certes, </w:t>
      </w:r>
      <w:r w:rsidR="0044645F">
        <w:t>se prononçant au stade du mérite de l’affaire</w:t>
      </w:r>
      <w:r>
        <w:t>, le Tribunal a le pouvoir, l</w:t>
      </w:r>
      <w:r w:rsidRPr="00285D57">
        <w:t>orsque certains des termes dans une disposition législative sont invalides</w:t>
      </w:r>
      <w:r w:rsidR="004D682D">
        <w:t>,</w:t>
      </w:r>
      <w:r w:rsidRPr="00285D57">
        <w:t xml:space="preserve"> mais que le reste de la disposition ne viole pas les droits protégés par la </w:t>
      </w:r>
      <w:r w:rsidRPr="003B0D27">
        <w:rPr>
          <w:i/>
          <w:iCs/>
        </w:rPr>
        <w:t>Charte</w:t>
      </w:r>
      <w:r w:rsidRPr="00285D57">
        <w:t xml:space="preserve">, </w:t>
      </w:r>
      <w:r>
        <w:t xml:space="preserve">de </w:t>
      </w:r>
      <w:r w:rsidRPr="00285D57">
        <w:t>rayer le ou les termes</w:t>
      </w:r>
      <w:r w:rsidR="003B0D27">
        <w:t xml:space="preserve"> « </w:t>
      </w:r>
      <w:r w:rsidRPr="00285D57">
        <w:t>fautif</w:t>
      </w:r>
      <w:r w:rsidR="003B0D27">
        <w:t>s</w:t>
      </w:r>
      <w:r w:rsidRPr="00285D57">
        <w:t xml:space="preserve"> » sans invalider le reste de la disposition</w:t>
      </w:r>
      <w:r>
        <w:rPr>
          <w:rStyle w:val="Appelnotedebasdep"/>
        </w:rPr>
        <w:footnoteReference w:id="26"/>
      </w:r>
      <w:r>
        <w:t xml:space="preserve">. </w:t>
      </w:r>
      <w:r w:rsidR="003B0D27">
        <w:t xml:space="preserve">Or, cette détermination a lieu seulement </w:t>
      </w:r>
      <w:r w:rsidR="00DF4692">
        <w:t xml:space="preserve">après </w:t>
      </w:r>
      <w:r w:rsidR="00C46F63">
        <w:t xml:space="preserve">avoir effectué </w:t>
      </w:r>
      <w:r w:rsidR="00DF4692">
        <w:t xml:space="preserve">une analyse complète de l’inconstitutionnalité des dispositions visées, tant </w:t>
      </w:r>
      <w:r w:rsidR="00C46F63">
        <w:t>au niveau de l’</w:t>
      </w:r>
      <w:r w:rsidR="00DF4692">
        <w:t xml:space="preserve">atteinte </w:t>
      </w:r>
      <w:r w:rsidR="003B0D27">
        <w:t xml:space="preserve">au droit </w:t>
      </w:r>
      <w:r w:rsidR="00DF4692">
        <w:t xml:space="preserve">garanti par la </w:t>
      </w:r>
      <w:r w:rsidR="00DF4692" w:rsidRPr="003B0D27">
        <w:rPr>
          <w:i/>
          <w:iCs/>
        </w:rPr>
        <w:t xml:space="preserve">Charte </w:t>
      </w:r>
      <w:r w:rsidR="00DF4692">
        <w:t>que sous</w:t>
      </w:r>
      <w:r w:rsidR="00C46F63">
        <w:t xml:space="preserve"> la </w:t>
      </w:r>
      <w:r w:rsidR="00C46F63">
        <w:lastRenderedPageBreak/>
        <w:t>justification par rapport à</w:t>
      </w:r>
      <w:r w:rsidR="00DF4692">
        <w:t xml:space="preserve"> l’</w:t>
      </w:r>
      <w:r w:rsidR="00C46F63">
        <w:t>a</w:t>
      </w:r>
      <w:r w:rsidR="00DF4692">
        <w:t xml:space="preserve">rticle premier. </w:t>
      </w:r>
      <w:r w:rsidR="003B0D27">
        <w:t>A</w:t>
      </w:r>
      <w:r>
        <w:t>u stade du sursis, un tel exercice est tout simplement incompatible avec une revue préliminaire du dossier quant à l’existence d’une apparence de droit.</w:t>
      </w:r>
    </w:p>
    <w:p w14:paraId="2BDC7CE1" w14:textId="77777777" w:rsidR="004245E2" w:rsidRPr="004245E2"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Mais même si on regarde de plus près seulement les termes qui</w:t>
      </w:r>
      <w:r w:rsidR="004D682D">
        <w:rPr>
          <w:rFonts w:cs="Arial"/>
          <w:color w:val="000000"/>
          <w:szCs w:val="24"/>
          <w:lang w:eastAsia="fr-CA"/>
        </w:rPr>
        <w:t>,</w:t>
      </w:r>
      <w:r>
        <w:rPr>
          <w:rFonts w:cs="Arial"/>
          <w:color w:val="000000"/>
          <w:szCs w:val="24"/>
          <w:lang w:eastAsia="fr-CA"/>
        </w:rPr>
        <w:t xml:space="preserve"> selon les demanderesses</w:t>
      </w:r>
      <w:r w:rsidR="004D682D">
        <w:rPr>
          <w:rFonts w:cs="Arial"/>
          <w:color w:val="000000"/>
          <w:szCs w:val="24"/>
          <w:lang w:eastAsia="fr-CA"/>
        </w:rPr>
        <w:t>,</w:t>
      </w:r>
      <w:r>
        <w:rPr>
          <w:rFonts w:cs="Arial"/>
          <w:color w:val="000000"/>
          <w:szCs w:val="24"/>
          <w:lang w:eastAsia="fr-CA"/>
        </w:rPr>
        <w:t xml:space="preserve"> s</w:t>
      </w:r>
      <w:r w:rsidR="00F561D6">
        <w:rPr>
          <w:rFonts w:cs="Arial"/>
          <w:color w:val="000000"/>
          <w:szCs w:val="24"/>
          <w:lang w:eastAsia="fr-CA"/>
        </w:rPr>
        <w:t>eraient</w:t>
      </w:r>
      <w:r>
        <w:rPr>
          <w:rFonts w:cs="Arial"/>
          <w:color w:val="000000"/>
          <w:szCs w:val="24"/>
          <w:lang w:eastAsia="fr-CA"/>
        </w:rPr>
        <w:t xml:space="preserve"> problématiques, l’apparence de droit n’est toujours pas claire. </w:t>
      </w:r>
    </w:p>
    <w:p w14:paraId="44AF91E3" w14:textId="77777777" w:rsidR="00D34603" w:rsidRPr="00184E00"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 xml:space="preserve">Les demanderesses plaident qu’à la lumière de la jurisprudence de la Cour suprême du Canada, dont l’arrêt </w:t>
      </w:r>
      <w:r w:rsidRPr="00D34603">
        <w:rPr>
          <w:rFonts w:cs="Arial"/>
          <w:i/>
          <w:iCs/>
          <w:color w:val="000000"/>
          <w:szCs w:val="24"/>
          <w:lang w:eastAsia="fr-CA"/>
        </w:rPr>
        <w:t>Keegstra</w:t>
      </w:r>
      <w:r>
        <w:rPr>
          <w:rFonts w:cs="Arial"/>
          <w:color w:val="000000"/>
          <w:szCs w:val="24"/>
          <w:lang w:eastAsia="fr-CA"/>
        </w:rPr>
        <w:t xml:space="preserve">, les expressions injurieuses, insultantes </w:t>
      </w:r>
      <w:r w:rsidR="007A07B9">
        <w:rPr>
          <w:rFonts w:cs="Arial"/>
          <w:color w:val="000000"/>
          <w:szCs w:val="24"/>
          <w:lang w:eastAsia="fr-CA"/>
        </w:rPr>
        <w:t>et</w:t>
      </w:r>
      <w:r>
        <w:rPr>
          <w:rFonts w:cs="Arial"/>
          <w:color w:val="000000"/>
          <w:szCs w:val="24"/>
          <w:lang w:eastAsia="fr-CA"/>
        </w:rPr>
        <w:t xml:space="preserve"> les comportements offensants, agressifs ou humiliants sont </w:t>
      </w:r>
      <w:r w:rsidR="00C46F63">
        <w:rPr>
          <w:rFonts w:cs="Arial"/>
          <w:color w:val="000000"/>
          <w:szCs w:val="24"/>
          <w:lang w:eastAsia="fr-CA"/>
        </w:rPr>
        <w:t xml:space="preserve">clairement </w:t>
      </w:r>
      <w:r>
        <w:rPr>
          <w:rFonts w:cs="Arial"/>
          <w:color w:val="000000"/>
          <w:szCs w:val="24"/>
          <w:lang w:eastAsia="fr-CA"/>
        </w:rPr>
        <w:t>protégés par la liberté d’expression</w:t>
      </w:r>
      <w:r>
        <w:rPr>
          <w:rStyle w:val="Appelnotedebasdep"/>
          <w:rFonts w:cs="Arial"/>
          <w:color w:val="000000"/>
          <w:szCs w:val="24"/>
          <w:lang w:eastAsia="fr-CA"/>
        </w:rPr>
        <w:footnoteReference w:id="27"/>
      </w:r>
      <w:r>
        <w:rPr>
          <w:rFonts w:cs="Arial"/>
          <w:color w:val="000000"/>
          <w:szCs w:val="24"/>
          <w:lang w:eastAsia="fr-CA"/>
        </w:rPr>
        <w:t>. Elles soutiennent que</w:t>
      </w:r>
      <w:r w:rsidR="004D682D">
        <w:rPr>
          <w:rFonts w:cs="Arial"/>
          <w:color w:val="000000"/>
          <w:szCs w:val="24"/>
          <w:lang w:eastAsia="fr-CA"/>
        </w:rPr>
        <w:t>,</w:t>
      </w:r>
      <w:r>
        <w:rPr>
          <w:rFonts w:cs="Arial"/>
          <w:color w:val="000000"/>
          <w:szCs w:val="24"/>
          <w:lang w:eastAsia="fr-CA"/>
        </w:rPr>
        <w:t xml:space="preserve"> sauf pour les cas où l’expression revêt la forme de la violence physique</w:t>
      </w:r>
      <w:r w:rsidR="00B452A1">
        <w:rPr>
          <w:rFonts w:cs="Arial"/>
          <w:color w:val="000000"/>
          <w:szCs w:val="24"/>
          <w:lang w:eastAsia="fr-CA"/>
        </w:rPr>
        <w:t xml:space="preserve"> </w:t>
      </w:r>
      <w:r w:rsidR="007A07B9">
        <w:rPr>
          <w:rFonts w:cs="Arial"/>
          <w:color w:val="000000"/>
          <w:szCs w:val="24"/>
          <w:lang w:eastAsia="fr-CA"/>
        </w:rPr>
        <w:t>-</w:t>
      </w:r>
      <w:r w:rsidR="00B452A1">
        <w:rPr>
          <w:rFonts w:cs="Arial"/>
          <w:color w:val="000000"/>
          <w:szCs w:val="24"/>
          <w:lang w:eastAsia="fr-CA"/>
        </w:rPr>
        <w:t xml:space="preserve"> la seule exception reconnue -</w:t>
      </w:r>
      <w:r>
        <w:rPr>
          <w:rFonts w:cs="Arial"/>
          <w:color w:val="000000"/>
          <w:szCs w:val="24"/>
          <w:lang w:eastAsia="fr-CA"/>
        </w:rPr>
        <w:t xml:space="preserve"> si l’activité transmet ou tente de transmettre une signification, elle a un contenu expressif et relève à première vue du champ de protection de la garantie de l’article 2b) de la </w:t>
      </w:r>
      <w:r w:rsidRPr="00D34603">
        <w:rPr>
          <w:rFonts w:cs="Arial"/>
          <w:i/>
          <w:iCs/>
          <w:color w:val="000000"/>
          <w:szCs w:val="24"/>
          <w:lang w:eastAsia="fr-CA"/>
        </w:rPr>
        <w:t>Charte</w:t>
      </w:r>
      <w:r>
        <w:rPr>
          <w:rStyle w:val="Appelnotedebasdep"/>
          <w:rFonts w:cs="Arial"/>
          <w:color w:val="000000"/>
          <w:szCs w:val="24"/>
          <w:lang w:eastAsia="fr-CA"/>
        </w:rPr>
        <w:footnoteReference w:id="28"/>
      </w:r>
      <w:r>
        <w:rPr>
          <w:rFonts w:cs="Arial"/>
          <w:color w:val="000000"/>
          <w:szCs w:val="24"/>
          <w:lang w:eastAsia="fr-CA"/>
        </w:rPr>
        <w:t>.</w:t>
      </w:r>
      <w:r w:rsidR="00BB3E48">
        <w:rPr>
          <w:rFonts w:cs="Arial"/>
          <w:color w:val="000000"/>
          <w:szCs w:val="24"/>
          <w:lang w:eastAsia="fr-CA"/>
        </w:rPr>
        <w:t xml:space="preserve"> L’affaire </w:t>
      </w:r>
      <w:r w:rsidR="00BB3E48" w:rsidRPr="00BB3E48">
        <w:rPr>
          <w:rFonts w:cs="Arial"/>
          <w:i/>
          <w:iCs/>
          <w:color w:val="000000"/>
          <w:szCs w:val="24"/>
          <w:lang w:eastAsia="fr-CA"/>
        </w:rPr>
        <w:t xml:space="preserve">Zundel </w:t>
      </w:r>
      <w:r w:rsidR="00BB3E48">
        <w:rPr>
          <w:rFonts w:cs="Arial"/>
          <w:color w:val="000000"/>
          <w:szCs w:val="24"/>
          <w:lang w:eastAsia="fr-CA"/>
        </w:rPr>
        <w:t xml:space="preserve">abonde dans le même sens, endossant une interprétation large et libérale de l’expression protégée par l’article 2b) de la </w:t>
      </w:r>
      <w:r w:rsidR="00BB3E48" w:rsidRPr="00184E00">
        <w:rPr>
          <w:rFonts w:cs="Arial"/>
          <w:i/>
          <w:iCs/>
          <w:color w:val="000000"/>
          <w:szCs w:val="24"/>
          <w:lang w:eastAsia="fr-CA"/>
        </w:rPr>
        <w:t>Charte</w:t>
      </w:r>
      <w:r>
        <w:rPr>
          <w:rStyle w:val="Appelnotedebasdep"/>
          <w:rFonts w:cs="Arial"/>
          <w:color w:val="000000"/>
          <w:szCs w:val="24"/>
          <w:lang w:eastAsia="fr-CA"/>
        </w:rPr>
        <w:footnoteReference w:id="29"/>
      </w:r>
      <w:r w:rsidR="00BB3E48">
        <w:rPr>
          <w:rFonts w:cs="Arial"/>
          <w:color w:val="000000"/>
          <w:szCs w:val="24"/>
          <w:lang w:eastAsia="fr-CA"/>
        </w:rPr>
        <w:t>. Le fa</w:t>
      </w:r>
      <w:r w:rsidR="00184E00">
        <w:rPr>
          <w:rFonts w:cs="Arial"/>
          <w:color w:val="000000"/>
          <w:szCs w:val="24"/>
          <w:lang w:eastAsia="fr-CA"/>
        </w:rPr>
        <w:t>i</w:t>
      </w:r>
      <w:r w:rsidR="00BB3E48">
        <w:rPr>
          <w:rFonts w:cs="Arial"/>
          <w:color w:val="000000"/>
          <w:szCs w:val="24"/>
          <w:lang w:eastAsia="fr-CA"/>
        </w:rPr>
        <w:t>t que la teneur particulière du message d’une personne puisse inciter à l’intolérance n’est pas une raison pour lui refuser la protection, car il importe non seulement de protéger la liberté de pensée de ceux avec qui nous sommes d’accord</w:t>
      </w:r>
      <w:r w:rsidR="00CA33B7">
        <w:rPr>
          <w:rFonts w:cs="Arial"/>
          <w:color w:val="000000"/>
          <w:szCs w:val="24"/>
          <w:lang w:eastAsia="fr-CA"/>
        </w:rPr>
        <w:t>,</w:t>
      </w:r>
      <w:r w:rsidR="00BB3E48">
        <w:rPr>
          <w:rFonts w:cs="Arial"/>
          <w:color w:val="000000"/>
          <w:szCs w:val="24"/>
          <w:lang w:eastAsia="fr-CA"/>
        </w:rPr>
        <w:t xml:space="preserve"> ma</w:t>
      </w:r>
      <w:r w:rsidR="004D682D">
        <w:rPr>
          <w:rFonts w:cs="Arial"/>
          <w:color w:val="000000"/>
          <w:szCs w:val="24"/>
          <w:lang w:eastAsia="fr-CA"/>
        </w:rPr>
        <w:t>i</w:t>
      </w:r>
      <w:r w:rsidR="00BB3E48">
        <w:rPr>
          <w:rFonts w:cs="Arial"/>
          <w:color w:val="000000"/>
          <w:szCs w:val="24"/>
          <w:lang w:eastAsia="fr-CA"/>
        </w:rPr>
        <w:t xml:space="preserve">s aussi de ceux que nous </w:t>
      </w:r>
      <w:r w:rsidR="0044645F">
        <w:rPr>
          <w:rFonts w:cs="Arial"/>
          <w:color w:val="000000"/>
          <w:szCs w:val="24"/>
          <w:lang w:eastAsia="fr-CA"/>
        </w:rPr>
        <w:t>détest</w:t>
      </w:r>
      <w:r w:rsidR="00BB3E48">
        <w:rPr>
          <w:rFonts w:cs="Arial"/>
          <w:color w:val="000000"/>
          <w:szCs w:val="24"/>
          <w:lang w:eastAsia="fr-CA"/>
        </w:rPr>
        <w:t>ons</w:t>
      </w:r>
      <w:r>
        <w:rPr>
          <w:rStyle w:val="Appelnotedebasdep"/>
          <w:rFonts w:cs="Arial"/>
          <w:color w:val="000000"/>
          <w:szCs w:val="24"/>
          <w:lang w:eastAsia="fr-CA"/>
        </w:rPr>
        <w:footnoteReference w:id="30"/>
      </w:r>
      <w:r w:rsidR="00BB3E48">
        <w:rPr>
          <w:rFonts w:cs="Arial"/>
          <w:color w:val="000000"/>
          <w:szCs w:val="24"/>
          <w:lang w:eastAsia="fr-CA"/>
        </w:rPr>
        <w:t xml:space="preserve">. Elles concluent en indiquant que ce cadre d’analyse a été repris et raffiné dans l’arrêt </w:t>
      </w:r>
      <w:r w:rsidR="00BB3E48" w:rsidRPr="00BB3E48">
        <w:rPr>
          <w:rFonts w:cs="Arial"/>
          <w:i/>
          <w:iCs/>
          <w:color w:val="000000"/>
          <w:szCs w:val="24"/>
          <w:lang w:eastAsia="fr-CA"/>
        </w:rPr>
        <w:t>Whatcott</w:t>
      </w:r>
      <w:r w:rsidR="00BB3E48">
        <w:rPr>
          <w:rFonts w:cs="Arial"/>
          <w:color w:val="000000"/>
          <w:szCs w:val="24"/>
          <w:lang w:eastAsia="fr-CA"/>
        </w:rPr>
        <w:t>, où la Cour suprême détermine que le caractère répugnant ou offensant d’un propos ne suffit pas pour justifier une restriction de la liberté d’expression</w:t>
      </w:r>
      <w:r>
        <w:rPr>
          <w:rStyle w:val="Appelnotedebasdep"/>
          <w:rFonts w:cs="Arial"/>
          <w:color w:val="000000"/>
          <w:szCs w:val="24"/>
          <w:lang w:eastAsia="fr-CA"/>
        </w:rPr>
        <w:footnoteReference w:id="31"/>
      </w:r>
      <w:r w:rsidR="00184E00">
        <w:rPr>
          <w:rFonts w:cs="Arial"/>
          <w:color w:val="000000"/>
          <w:szCs w:val="24"/>
          <w:lang w:eastAsia="fr-CA"/>
        </w:rPr>
        <w:t>.</w:t>
      </w:r>
    </w:p>
    <w:p w14:paraId="1E7C9C9D" w14:textId="77777777" w:rsidR="00184E00" w:rsidRPr="00184E00"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Or, comme le souligne à juste titre la Ville, la jurisprudence de la Cour suprême sur cette question n’est pas encore parfaitement arrêtée.</w:t>
      </w:r>
    </w:p>
    <w:p w14:paraId="2D910323" w14:textId="77777777" w:rsidR="00184E00" w:rsidRPr="00184E00" w:rsidRDefault="00B11239" w:rsidP="00696D55">
      <w:pPr>
        <w:numPr>
          <w:ilvl w:val="0"/>
          <w:numId w:val="1"/>
        </w:numPr>
        <w:tabs>
          <w:tab w:val="clear" w:pos="360"/>
        </w:tabs>
        <w:spacing w:before="120" w:after="120"/>
        <w:jc w:val="both"/>
        <w:rPr>
          <w:kern w:val="28"/>
          <w:szCs w:val="24"/>
        </w:rPr>
      </w:pPr>
      <w:r>
        <w:rPr>
          <w:rFonts w:cs="Arial"/>
          <w:color w:val="000000"/>
          <w:szCs w:val="24"/>
          <w:lang w:eastAsia="fr-CA"/>
        </w:rPr>
        <w:t xml:space="preserve">Dans </w:t>
      </w:r>
      <w:r w:rsidRPr="00BB3FA2">
        <w:rPr>
          <w:rFonts w:cs="Arial"/>
          <w:i/>
          <w:iCs/>
          <w:color w:val="000000"/>
          <w:szCs w:val="24"/>
          <w:lang w:eastAsia="fr-CA"/>
        </w:rPr>
        <w:t>Khawaja</w:t>
      </w:r>
      <w:r>
        <w:rPr>
          <w:rFonts w:cs="Arial"/>
          <w:color w:val="000000"/>
          <w:szCs w:val="24"/>
          <w:lang w:eastAsia="fr-CA"/>
        </w:rPr>
        <w:t xml:space="preserve">, la Cour suprême, sous la plume de la Juge en chef, précise que l’inapplication de la liberté d’expression garantie par l’article 2b) s’étend non seulement à la violence, mais aussi à la menace de violence. Elle laisse </w:t>
      </w:r>
      <w:r w:rsidR="00A140E1">
        <w:rPr>
          <w:rFonts w:cs="Arial"/>
          <w:color w:val="000000"/>
          <w:szCs w:val="24"/>
          <w:lang w:eastAsia="fr-CA"/>
        </w:rPr>
        <w:t xml:space="preserve">ainsi </w:t>
      </w:r>
      <w:r>
        <w:rPr>
          <w:rFonts w:cs="Arial"/>
          <w:color w:val="000000"/>
          <w:szCs w:val="24"/>
          <w:lang w:eastAsia="fr-CA"/>
        </w:rPr>
        <w:t>la porte ouverte quant à l’interprétation précise de cette exception :</w:t>
      </w:r>
    </w:p>
    <w:p w14:paraId="2F320FDC" w14:textId="77777777" w:rsidR="00184E00" w:rsidRPr="00BB3FA2" w:rsidRDefault="00B11239" w:rsidP="00BB3FA2">
      <w:pPr>
        <w:spacing w:before="120" w:after="120"/>
        <w:ind w:left="851" w:right="573"/>
        <w:jc w:val="both"/>
        <w:rPr>
          <w:kern w:val="28"/>
          <w:sz w:val="22"/>
          <w:szCs w:val="22"/>
        </w:rPr>
      </w:pPr>
      <w:r w:rsidRPr="00BB3FA2">
        <w:rPr>
          <w:rFonts w:cs="Arial"/>
          <w:kern w:val="28"/>
          <w:sz w:val="22"/>
          <w:szCs w:val="22"/>
        </w:rPr>
        <w:t xml:space="preserve">[70] (…) </w:t>
      </w:r>
      <w:r w:rsidRPr="00BB3FA2">
        <w:rPr>
          <w:kern w:val="28"/>
          <w:sz w:val="22"/>
          <w:szCs w:val="22"/>
        </w:rPr>
        <w:t>Il est peu logique d’exclure l’acte de violence du champ d’application de l’al. 2b), mais de protéger la menace de violence.  Ni l’un ni l’autre ne valent d’être protégés.  Comme la violence elle</w:t>
      </w:r>
      <w:r w:rsidRPr="00BB3FA2">
        <w:rPr>
          <w:rFonts w:ascii="Cambria Math" w:hAnsi="Cambria Math" w:cs="Cambria Math"/>
          <w:kern w:val="28"/>
          <w:sz w:val="22"/>
          <w:szCs w:val="22"/>
        </w:rPr>
        <w:t>‑</w:t>
      </w:r>
      <w:r w:rsidRPr="00BB3FA2">
        <w:rPr>
          <w:kern w:val="28"/>
          <w:sz w:val="22"/>
          <w:szCs w:val="22"/>
        </w:rPr>
        <w:t>m</w:t>
      </w:r>
      <w:r w:rsidRPr="00BB3FA2">
        <w:rPr>
          <w:rFonts w:cs="Arial"/>
          <w:kern w:val="28"/>
          <w:sz w:val="22"/>
          <w:szCs w:val="22"/>
        </w:rPr>
        <w:t>ê</w:t>
      </w:r>
      <w:r w:rsidRPr="00BB3FA2">
        <w:rPr>
          <w:kern w:val="28"/>
          <w:sz w:val="22"/>
          <w:szCs w:val="22"/>
        </w:rPr>
        <w:t>me, la menace de violence mine la r</w:t>
      </w:r>
      <w:r w:rsidRPr="00BB3FA2">
        <w:rPr>
          <w:rFonts w:cs="Arial"/>
          <w:kern w:val="28"/>
          <w:sz w:val="22"/>
          <w:szCs w:val="22"/>
        </w:rPr>
        <w:t>è</w:t>
      </w:r>
      <w:r w:rsidRPr="00BB3FA2">
        <w:rPr>
          <w:kern w:val="28"/>
          <w:sz w:val="22"/>
          <w:szCs w:val="22"/>
        </w:rPr>
        <w:t xml:space="preserve">gle de droit.  Dissidente dans l’arrêt R. c. Keegstra, [1990] 3 R.C.S. 697, j’y opine que la menace de violence prive de la liberté de choix et compromet la liberté d’action.  </w:t>
      </w:r>
      <w:r w:rsidRPr="00562DA8">
        <w:rPr>
          <w:kern w:val="28"/>
          <w:sz w:val="22"/>
          <w:szCs w:val="22"/>
          <w:u w:val="single"/>
        </w:rPr>
        <w:t>Elle sape les conditions et les valeurs sociales mêmes qui sont essentielles à la pérennité de la liberté d’expression</w:t>
      </w:r>
      <w:r w:rsidRPr="00BB3FA2">
        <w:rPr>
          <w:kern w:val="28"/>
          <w:sz w:val="22"/>
          <w:szCs w:val="22"/>
        </w:rPr>
        <w:t xml:space="preserve"> (p. 830-831).  </w:t>
      </w:r>
      <w:r w:rsidRPr="00BB3FA2">
        <w:rPr>
          <w:kern w:val="28"/>
          <w:sz w:val="22"/>
          <w:szCs w:val="22"/>
          <w:u w:val="single"/>
        </w:rPr>
        <w:t xml:space="preserve">Je rejette donc la prétention selon laquelle l’exception à l’application de l’al. 2b) pour cause de violence ne s’applique qu’à la violence physique exercée </w:t>
      </w:r>
      <w:r w:rsidRPr="00BB3FA2">
        <w:rPr>
          <w:i/>
          <w:iCs/>
          <w:kern w:val="28"/>
          <w:sz w:val="22"/>
          <w:szCs w:val="22"/>
          <w:u w:val="single"/>
        </w:rPr>
        <w:t>de facto</w:t>
      </w:r>
      <w:r w:rsidRPr="00BB3FA2">
        <w:rPr>
          <w:kern w:val="28"/>
          <w:sz w:val="22"/>
          <w:szCs w:val="22"/>
          <w:u w:val="single"/>
        </w:rPr>
        <w:t xml:space="preserve">, mais je ne me prononce pas </w:t>
      </w:r>
      <w:r w:rsidRPr="00BB3FA2">
        <w:rPr>
          <w:kern w:val="28"/>
          <w:sz w:val="22"/>
          <w:szCs w:val="22"/>
          <w:u w:val="single"/>
        </w:rPr>
        <w:lastRenderedPageBreak/>
        <w:t>sur la portée précise de l’exception.  La menace de violence ne bénéficie pas de la garantie constitutionnelle de la liberté d’expression</w:t>
      </w:r>
      <w:r w:rsidRPr="00BB3FA2">
        <w:rPr>
          <w:kern w:val="28"/>
          <w:sz w:val="22"/>
          <w:szCs w:val="22"/>
        </w:rPr>
        <w:t>.</w:t>
      </w:r>
      <w:r>
        <w:rPr>
          <w:rStyle w:val="Appelnotedebasdep"/>
          <w:kern w:val="28"/>
          <w:sz w:val="22"/>
          <w:szCs w:val="22"/>
        </w:rPr>
        <w:footnoteReference w:id="32"/>
      </w:r>
    </w:p>
    <w:p w14:paraId="2E9742F7" w14:textId="77777777" w:rsidR="00562DA8" w:rsidRDefault="00B11239" w:rsidP="00696D55">
      <w:pPr>
        <w:numPr>
          <w:ilvl w:val="0"/>
          <w:numId w:val="1"/>
        </w:numPr>
        <w:tabs>
          <w:tab w:val="clear" w:pos="360"/>
        </w:tabs>
        <w:spacing w:before="120" w:after="120"/>
        <w:jc w:val="both"/>
        <w:rPr>
          <w:kern w:val="28"/>
          <w:szCs w:val="24"/>
        </w:rPr>
      </w:pPr>
      <w:r>
        <w:rPr>
          <w:kern w:val="28"/>
          <w:szCs w:val="24"/>
        </w:rPr>
        <w:t xml:space="preserve">Plus récemment, dans l’arrêt </w:t>
      </w:r>
      <w:r w:rsidRPr="00562DA8">
        <w:rPr>
          <w:i/>
          <w:iCs/>
          <w:kern w:val="28"/>
          <w:szCs w:val="24"/>
        </w:rPr>
        <w:t>Théâtre du Trident</w:t>
      </w:r>
      <w:r>
        <w:rPr>
          <w:kern w:val="28"/>
          <w:szCs w:val="24"/>
        </w:rPr>
        <w:t xml:space="preserve">, la Cour d’appel rappelle l’approche à deux étapes </w:t>
      </w:r>
      <w:r w:rsidR="00B92BE6">
        <w:rPr>
          <w:kern w:val="28"/>
          <w:szCs w:val="24"/>
        </w:rPr>
        <w:t>q</w:t>
      </w:r>
      <w:r>
        <w:rPr>
          <w:kern w:val="28"/>
          <w:szCs w:val="24"/>
        </w:rPr>
        <w:t>ui doit être adoptée lorsque le demandeur cherche à ne pas être assujetti à des mesures limitant ses activités</w:t>
      </w:r>
      <w:r>
        <w:rPr>
          <w:rStyle w:val="Appelnotedebasdep"/>
          <w:kern w:val="28"/>
          <w:szCs w:val="24"/>
        </w:rPr>
        <w:footnoteReference w:id="33"/>
      </w:r>
      <w:r>
        <w:rPr>
          <w:kern w:val="28"/>
          <w:szCs w:val="24"/>
        </w:rPr>
        <w:t xml:space="preserve">. </w:t>
      </w:r>
      <w:r w:rsidRPr="00562DA8">
        <w:rPr>
          <w:kern w:val="28"/>
          <w:szCs w:val="24"/>
        </w:rPr>
        <w:t>Pour qu’une activité soit protégée, il appartient à la partie qui invoque la protection de l'article 2b) d'établir que l'activité en cause relève véritablement du champ de protection de cette disposition et que la mesure contestée porte atteinte à cette activité. Elle rappelle également que certaines formes d'expression qui minent les valeurs sous-jacentes à la liberté d'expression, notamment la violence, ne bénéficient pas de cette protection</w:t>
      </w:r>
      <w:r>
        <w:rPr>
          <w:rStyle w:val="Appelnotedebasdep"/>
          <w:kern w:val="28"/>
          <w:szCs w:val="24"/>
        </w:rPr>
        <w:footnoteReference w:id="34"/>
      </w:r>
      <w:r>
        <w:rPr>
          <w:kern w:val="28"/>
          <w:szCs w:val="24"/>
        </w:rPr>
        <w:t>.</w:t>
      </w:r>
    </w:p>
    <w:p w14:paraId="7BF0C19D" w14:textId="77777777" w:rsidR="00900AE4" w:rsidRDefault="00B11239" w:rsidP="00696D55">
      <w:pPr>
        <w:numPr>
          <w:ilvl w:val="0"/>
          <w:numId w:val="1"/>
        </w:numPr>
        <w:tabs>
          <w:tab w:val="clear" w:pos="360"/>
        </w:tabs>
        <w:spacing w:before="120" w:after="120"/>
        <w:jc w:val="both"/>
        <w:rPr>
          <w:kern w:val="28"/>
          <w:szCs w:val="24"/>
        </w:rPr>
      </w:pPr>
      <w:r w:rsidRPr="00A140E1">
        <w:rPr>
          <w:kern w:val="28"/>
          <w:szCs w:val="24"/>
        </w:rPr>
        <w:t>L</w:t>
      </w:r>
      <w:r w:rsidR="00B92BE6" w:rsidRPr="00A140E1">
        <w:rPr>
          <w:kern w:val="28"/>
          <w:szCs w:val="24"/>
        </w:rPr>
        <w:t xml:space="preserve">es demanderesses cherchent ici à faire reconnaître comme étant au cœur de la liberté d'expression des propos injurieux, insultants </w:t>
      </w:r>
      <w:r w:rsidR="007A07B9">
        <w:rPr>
          <w:kern w:val="28"/>
          <w:szCs w:val="24"/>
        </w:rPr>
        <w:t>ainsi que</w:t>
      </w:r>
      <w:r w:rsidR="00B92BE6" w:rsidRPr="00A140E1">
        <w:rPr>
          <w:kern w:val="28"/>
          <w:szCs w:val="24"/>
        </w:rPr>
        <w:t xml:space="preserve"> </w:t>
      </w:r>
      <w:r w:rsidR="00443946">
        <w:rPr>
          <w:kern w:val="28"/>
          <w:szCs w:val="24"/>
        </w:rPr>
        <w:t xml:space="preserve">des comportements </w:t>
      </w:r>
      <w:r w:rsidR="00B92BE6" w:rsidRPr="00A140E1">
        <w:rPr>
          <w:kern w:val="28"/>
          <w:szCs w:val="24"/>
        </w:rPr>
        <w:t>offensants</w:t>
      </w:r>
      <w:r w:rsidR="004245E2">
        <w:rPr>
          <w:kern w:val="28"/>
          <w:szCs w:val="24"/>
        </w:rPr>
        <w:t>, humiliant</w:t>
      </w:r>
      <w:r w:rsidR="004D682D">
        <w:rPr>
          <w:kern w:val="28"/>
          <w:szCs w:val="24"/>
        </w:rPr>
        <w:t>s</w:t>
      </w:r>
      <w:r w:rsidR="004245E2">
        <w:rPr>
          <w:kern w:val="28"/>
          <w:szCs w:val="24"/>
        </w:rPr>
        <w:t xml:space="preserve"> ou agressifs</w:t>
      </w:r>
      <w:r w:rsidR="00B92BE6" w:rsidRPr="00A140E1">
        <w:rPr>
          <w:kern w:val="28"/>
          <w:szCs w:val="24"/>
        </w:rPr>
        <w:t xml:space="preserve"> adressés directement à des policiers ou à des employés municipaux dans l'exercice de leurs fonctions. </w:t>
      </w:r>
      <w:r w:rsidR="00F561D6">
        <w:rPr>
          <w:kern w:val="28"/>
          <w:szCs w:val="24"/>
        </w:rPr>
        <w:t xml:space="preserve">Elles cherchent à isoler ces termes du reste de la disposition, qui inclut aussi une interdiction d’intimider, </w:t>
      </w:r>
      <w:r w:rsidR="007027F2">
        <w:rPr>
          <w:kern w:val="28"/>
          <w:szCs w:val="24"/>
        </w:rPr>
        <w:t>d’</w:t>
      </w:r>
      <w:r w:rsidR="00F561D6">
        <w:rPr>
          <w:kern w:val="28"/>
          <w:szCs w:val="24"/>
        </w:rPr>
        <w:t xml:space="preserve">harceler </w:t>
      </w:r>
      <w:r w:rsidR="007027F2">
        <w:rPr>
          <w:kern w:val="28"/>
          <w:szCs w:val="24"/>
        </w:rPr>
        <w:t xml:space="preserve">de </w:t>
      </w:r>
      <w:r w:rsidR="00F561D6">
        <w:rPr>
          <w:kern w:val="28"/>
          <w:szCs w:val="24"/>
        </w:rPr>
        <w:t>menacer ou d’a</w:t>
      </w:r>
      <w:r w:rsidR="007027F2">
        <w:rPr>
          <w:kern w:val="28"/>
          <w:szCs w:val="24"/>
        </w:rPr>
        <w:t>dopter</w:t>
      </w:r>
      <w:r w:rsidR="00F561D6">
        <w:rPr>
          <w:kern w:val="28"/>
          <w:szCs w:val="24"/>
        </w:rPr>
        <w:t xml:space="preserve"> un comportement abusif et violent. Est-ce que l’article 4 peut être lu de la façon dont propose</w:t>
      </w:r>
      <w:r w:rsidR="004D682D">
        <w:rPr>
          <w:kern w:val="28"/>
          <w:szCs w:val="24"/>
        </w:rPr>
        <w:t>nt</w:t>
      </w:r>
      <w:r w:rsidR="00F561D6">
        <w:rPr>
          <w:kern w:val="28"/>
          <w:szCs w:val="24"/>
        </w:rPr>
        <w:t xml:space="preserve"> les demanderesses ou doit-il être lu dans son ensemble et de façon contextuelle, comme le propose la Ville? </w:t>
      </w:r>
      <w:r w:rsidR="00B92BE6" w:rsidRPr="00A140E1">
        <w:rPr>
          <w:kern w:val="28"/>
          <w:szCs w:val="24"/>
        </w:rPr>
        <w:t xml:space="preserve">Est-ce que </w:t>
      </w:r>
      <w:r w:rsidR="00F561D6">
        <w:rPr>
          <w:kern w:val="28"/>
          <w:szCs w:val="24"/>
        </w:rPr>
        <w:t>tous l</w:t>
      </w:r>
      <w:r w:rsidR="00A140E1" w:rsidRPr="00A140E1">
        <w:rPr>
          <w:kern w:val="28"/>
          <w:szCs w:val="24"/>
        </w:rPr>
        <w:t xml:space="preserve">es propos </w:t>
      </w:r>
      <w:r w:rsidR="00443946">
        <w:rPr>
          <w:kern w:val="28"/>
          <w:szCs w:val="24"/>
        </w:rPr>
        <w:t>ou comportements</w:t>
      </w:r>
      <w:r w:rsidR="00F561D6">
        <w:rPr>
          <w:kern w:val="28"/>
          <w:szCs w:val="24"/>
        </w:rPr>
        <w:t xml:space="preserve"> visés par cet article</w:t>
      </w:r>
      <w:r w:rsidR="00443946">
        <w:rPr>
          <w:kern w:val="28"/>
          <w:szCs w:val="24"/>
        </w:rPr>
        <w:t xml:space="preserve"> </w:t>
      </w:r>
      <w:r w:rsidR="00A140E1" w:rsidRPr="00A140E1">
        <w:rPr>
          <w:kern w:val="28"/>
          <w:szCs w:val="24"/>
        </w:rPr>
        <w:t>tombent sous l</w:t>
      </w:r>
      <w:r w:rsidR="00A140E1">
        <w:rPr>
          <w:kern w:val="28"/>
          <w:szCs w:val="24"/>
        </w:rPr>
        <w:t>e joug de la</w:t>
      </w:r>
      <w:r w:rsidR="00A140E1" w:rsidRPr="00A140E1">
        <w:rPr>
          <w:kern w:val="28"/>
          <w:szCs w:val="24"/>
        </w:rPr>
        <w:t xml:space="preserve"> protection offerte par l’article 2b)</w:t>
      </w:r>
      <w:r w:rsidR="00C46F63">
        <w:rPr>
          <w:kern w:val="28"/>
          <w:szCs w:val="24"/>
        </w:rPr>
        <w:t xml:space="preserve"> de la </w:t>
      </w:r>
      <w:r w:rsidR="00C46F63" w:rsidRPr="00443946">
        <w:rPr>
          <w:i/>
          <w:iCs/>
          <w:kern w:val="28"/>
          <w:szCs w:val="24"/>
        </w:rPr>
        <w:t>Charte</w:t>
      </w:r>
      <w:r w:rsidR="00A140E1" w:rsidRPr="00A140E1">
        <w:rPr>
          <w:kern w:val="28"/>
          <w:szCs w:val="24"/>
        </w:rPr>
        <w:t xml:space="preserve">? </w:t>
      </w:r>
    </w:p>
    <w:p w14:paraId="5E40939A" w14:textId="77777777" w:rsidR="00B92BE6" w:rsidRDefault="00B11239" w:rsidP="00696D55">
      <w:pPr>
        <w:numPr>
          <w:ilvl w:val="0"/>
          <w:numId w:val="1"/>
        </w:numPr>
        <w:tabs>
          <w:tab w:val="clear" w:pos="360"/>
        </w:tabs>
        <w:spacing w:before="120" w:after="120"/>
        <w:jc w:val="both"/>
        <w:rPr>
          <w:kern w:val="28"/>
          <w:szCs w:val="24"/>
        </w:rPr>
      </w:pPr>
      <w:r w:rsidRPr="00A140E1">
        <w:rPr>
          <w:kern w:val="28"/>
          <w:szCs w:val="24"/>
        </w:rPr>
        <w:t xml:space="preserve">Dans une affaire récente impliquant un règlement similaire en vigueur dans la ville de Québec, la Cour supérieure a </w:t>
      </w:r>
      <w:r w:rsidR="00A140E1">
        <w:rPr>
          <w:kern w:val="28"/>
          <w:szCs w:val="24"/>
        </w:rPr>
        <w:t xml:space="preserve">répondu par la négative à cette question. Elle a </w:t>
      </w:r>
      <w:r w:rsidRPr="00A140E1">
        <w:rPr>
          <w:kern w:val="28"/>
          <w:szCs w:val="24"/>
        </w:rPr>
        <w:t xml:space="preserve">jugé qu'une injure adressée à un policier (« grand fendant ») constitue une expression sans contenu protégé et que le citoyen qui </w:t>
      </w:r>
      <w:r w:rsidR="00B9156E" w:rsidRPr="00A140E1">
        <w:rPr>
          <w:kern w:val="28"/>
          <w:szCs w:val="24"/>
        </w:rPr>
        <w:t>contestait la contravention reçue n’avait</w:t>
      </w:r>
      <w:r w:rsidRPr="00A140E1">
        <w:rPr>
          <w:kern w:val="28"/>
          <w:szCs w:val="24"/>
        </w:rPr>
        <w:t xml:space="preserve"> pas démontré d'atteinte à l'alinéa 2b)</w:t>
      </w:r>
      <w:r>
        <w:rPr>
          <w:rStyle w:val="Appelnotedebasdep"/>
          <w:kern w:val="28"/>
          <w:szCs w:val="24"/>
        </w:rPr>
        <w:footnoteReference w:id="35"/>
      </w:r>
      <w:r w:rsidR="00B9156E" w:rsidRPr="00A140E1">
        <w:rPr>
          <w:kern w:val="28"/>
          <w:szCs w:val="24"/>
        </w:rPr>
        <w:t>.</w:t>
      </w:r>
      <w:r w:rsidR="00A140E1">
        <w:rPr>
          <w:kern w:val="28"/>
          <w:szCs w:val="24"/>
        </w:rPr>
        <w:t xml:space="preserve"> Certes, </w:t>
      </w:r>
      <w:r w:rsidR="00C46F63">
        <w:rPr>
          <w:kern w:val="28"/>
          <w:szCs w:val="24"/>
        </w:rPr>
        <w:t xml:space="preserve">le Tribunal en convient, </w:t>
      </w:r>
      <w:r w:rsidR="00A140E1">
        <w:rPr>
          <w:kern w:val="28"/>
          <w:szCs w:val="24"/>
        </w:rPr>
        <w:t xml:space="preserve">cette affaire ne </w:t>
      </w:r>
      <w:r w:rsidR="00900AE4">
        <w:rPr>
          <w:kern w:val="28"/>
          <w:szCs w:val="24"/>
        </w:rPr>
        <w:t>résout</w:t>
      </w:r>
      <w:r w:rsidR="00A140E1">
        <w:rPr>
          <w:kern w:val="28"/>
          <w:szCs w:val="24"/>
        </w:rPr>
        <w:t xml:space="preserve"> pas la question au centre de l’analyse</w:t>
      </w:r>
      <w:r w:rsidR="00C46F63">
        <w:rPr>
          <w:kern w:val="28"/>
          <w:szCs w:val="24"/>
        </w:rPr>
        <w:t>. D’ailleurs</w:t>
      </w:r>
      <w:r w:rsidR="00A140E1">
        <w:rPr>
          <w:kern w:val="28"/>
          <w:szCs w:val="24"/>
        </w:rPr>
        <w:t>, la Cour d’appel</w:t>
      </w:r>
      <w:r w:rsidR="00900AE4">
        <w:rPr>
          <w:kern w:val="28"/>
          <w:szCs w:val="24"/>
        </w:rPr>
        <w:t>,</w:t>
      </w:r>
      <w:r w:rsidR="00A140E1">
        <w:rPr>
          <w:kern w:val="28"/>
          <w:szCs w:val="24"/>
        </w:rPr>
        <w:t xml:space="preserve"> </w:t>
      </w:r>
      <w:r w:rsidR="00900AE4">
        <w:rPr>
          <w:kern w:val="28"/>
          <w:szCs w:val="24"/>
        </w:rPr>
        <w:t>en refusant la permission d’</w:t>
      </w:r>
      <w:r w:rsidR="00C46F63">
        <w:rPr>
          <w:kern w:val="28"/>
          <w:szCs w:val="24"/>
        </w:rPr>
        <w:t xml:space="preserve">en </w:t>
      </w:r>
      <w:r w:rsidR="00900AE4">
        <w:rPr>
          <w:kern w:val="28"/>
          <w:szCs w:val="24"/>
        </w:rPr>
        <w:t xml:space="preserve">appeler, souligne que les circonstances particulières de </w:t>
      </w:r>
      <w:r w:rsidR="00F561D6">
        <w:rPr>
          <w:kern w:val="28"/>
          <w:szCs w:val="24"/>
        </w:rPr>
        <w:t xml:space="preserve">ce dossier </w:t>
      </w:r>
      <w:r w:rsidR="00900AE4">
        <w:rPr>
          <w:kern w:val="28"/>
          <w:szCs w:val="24"/>
        </w:rPr>
        <w:t xml:space="preserve">ne </w:t>
      </w:r>
      <w:r w:rsidR="00C46F63">
        <w:rPr>
          <w:kern w:val="28"/>
          <w:szCs w:val="24"/>
        </w:rPr>
        <w:t>justifiaient</w:t>
      </w:r>
      <w:r w:rsidR="00900AE4">
        <w:rPr>
          <w:kern w:val="28"/>
          <w:szCs w:val="24"/>
        </w:rPr>
        <w:t xml:space="preserve"> pas son intervention :</w:t>
      </w:r>
    </w:p>
    <w:p w14:paraId="6E6B669D" w14:textId="77777777" w:rsidR="00900AE4" w:rsidRPr="00900AE4" w:rsidRDefault="00B11239" w:rsidP="00900AE4">
      <w:pPr>
        <w:spacing w:before="120" w:after="120"/>
        <w:ind w:left="851" w:right="573"/>
        <w:jc w:val="both"/>
        <w:rPr>
          <w:kern w:val="28"/>
          <w:sz w:val="22"/>
          <w:szCs w:val="22"/>
        </w:rPr>
      </w:pPr>
      <w:r w:rsidRPr="00900AE4">
        <w:rPr>
          <w:rFonts w:cs="Arial"/>
          <w:kern w:val="28"/>
          <w:sz w:val="22"/>
          <w:szCs w:val="22"/>
        </w:rPr>
        <w:t xml:space="preserve">[6] </w:t>
      </w:r>
      <w:r w:rsidRPr="00900AE4">
        <w:rPr>
          <w:kern w:val="28"/>
          <w:sz w:val="22"/>
          <w:szCs w:val="22"/>
        </w:rPr>
        <w:t>À l’audience, le requérant fait valoir que le juge de la Cour supérieure a commis une erreur de droit évidente, car il va de soi que le fait d’injurier ou d’insulter un agent de la paix relève du champ des activités protégées par la liberté d’expression. Selon le requérant, tout le débat aurait dû porter sur la justification de l’atteinte.</w:t>
      </w:r>
    </w:p>
    <w:p w14:paraId="294C95EA" w14:textId="77777777" w:rsidR="00900AE4" w:rsidRPr="00900AE4" w:rsidRDefault="00B11239" w:rsidP="00900AE4">
      <w:pPr>
        <w:spacing w:before="120" w:after="120"/>
        <w:ind w:left="851" w:right="573"/>
        <w:jc w:val="both"/>
        <w:rPr>
          <w:kern w:val="28"/>
          <w:sz w:val="22"/>
          <w:szCs w:val="22"/>
        </w:rPr>
      </w:pPr>
      <w:r w:rsidRPr="00900AE4">
        <w:rPr>
          <w:kern w:val="28"/>
          <w:sz w:val="22"/>
          <w:szCs w:val="22"/>
        </w:rPr>
        <w:lastRenderedPageBreak/>
        <w:t xml:space="preserve">[7] </w:t>
      </w:r>
      <w:r w:rsidRPr="00C46F63">
        <w:rPr>
          <w:kern w:val="28"/>
          <w:sz w:val="22"/>
          <w:szCs w:val="22"/>
          <w:u w:val="single"/>
        </w:rPr>
        <w:t>Sans avaliser les motifs du juge de la Cour supérieure, et même si la question en jeu peut paraître importante en théorie, le dossier tel que constitué ne me convainc pas de l’opportunité d’accorder la permission d’appeler</w:t>
      </w:r>
      <w:r w:rsidRPr="00900AE4">
        <w:rPr>
          <w:kern w:val="28"/>
          <w:sz w:val="22"/>
          <w:szCs w:val="22"/>
        </w:rPr>
        <w:t>. Je souligne notamment que le requérant n’a pas témoigné et qu’aucune preuve n’a été administrée en lien avec le caractère proportionné de l’atteinte à la liberté d’expression.</w:t>
      </w:r>
    </w:p>
    <w:p w14:paraId="7A1FF5AA" w14:textId="77777777" w:rsidR="00900AE4" w:rsidRDefault="00B11239" w:rsidP="00696D55">
      <w:pPr>
        <w:numPr>
          <w:ilvl w:val="0"/>
          <w:numId w:val="1"/>
        </w:numPr>
        <w:tabs>
          <w:tab w:val="clear" w:pos="360"/>
        </w:tabs>
        <w:spacing w:before="120" w:after="120"/>
        <w:jc w:val="both"/>
        <w:rPr>
          <w:kern w:val="28"/>
          <w:szCs w:val="24"/>
        </w:rPr>
      </w:pPr>
      <w:r>
        <w:rPr>
          <w:kern w:val="28"/>
          <w:szCs w:val="24"/>
        </w:rPr>
        <w:t>Revenons au cas qui nous occupe.</w:t>
      </w:r>
    </w:p>
    <w:p w14:paraId="37207BC9" w14:textId="77777777" w:rsidR="00992BC6" w:rsidRDefault="00B11239" w:rsidP="00696D55">
      <w:pPr>
        <w:numPr>
          <w:ilvl w:val="0"/>
          <w:numId w:val="1"/>
        </w:numPr>
        <w:tabs>
          <w:tab w:val="clear" w:pos="360"/>
        </w:tabs>
        <w:spacing w:before="120" w:after="120"/>
        <w:jc w:val="both"/>
        <w:rPr>
          <w:kern w:val="28"/>
          <w:szCs w:val="24"/>
        </w:rPr>
      </w:pPr>
      <w:r>
        <w:rPr>
          <w:kern w:val="28"/>
          <w:szCs w:val="24"/>
        </w:rPr>
        <w:t xml:space="preserve">Le but de cette analyse </w:t>
      </w:r>
      <w:r w:rsidR="00443946">
        <w:rPr>
          <w:kern w:val="28"/>
          <w:szCs w:val="24"/>
        </w:rPr>
        <w:t xml:space="preserve">et revue jurisprudentielle </w:t>
      </w:r>
      <w:r>
        <w:rPr>
          <w:kern w:val="28"/>
          <w:szCs w:val="24"/>
        </w:rPr>
        <w:t>n’est pas de se prononcer sur le fond, bien au contraire. Au risque de se répéter, au stade de l’apparence de droit dans le cadre d’un sursis, il suffit d’une question sérieuse à juger pour satisfaire ce critère, une exigence peu élevée</w:t>
      </w:r>
      <w:r w:rsidR="00F561D6">
        <w:rPr>
          <w:kern w:val="28"/>
          <w:szCs w:val="24"/>
        </w:rPr>
        <w:t xml:space="preserve"> et qui est facilement satisfaite en l’espèce</w:t>
      </w:r>
      <w:r>
        <w:rPr>
          <w:kern w:val="28"/>
          <w:szCs w:val="24"/>
        </w:rPr>
        <w:t>.</w:t>
      </w:r>
    </w:p>
    <w:p w14:paraId="74399FC3" w14:textId="77777777" w:rsidR="00184E00" w:rsidRDefault="00B11239" w:rsidP="00696D55">
      <w:pPr>
        <w:numPr>
          <w:ilvl w:val="0"/>
          <w:numId w:val="1"/>
        </w:numPr>
        <w:tabs>
          <w:tab w:val="clear" w:pos="360"/>
        </w:tabs>
        <w:spacing w:before="120" w:after="120"/>
        <w:jc w:val="both"/>
        <w:rPr>
          <w:kern w:val="28"/>
          <w:szCs w:val="24"/>
        </w:rPr>
      </w:pPr>
      <w:r>
        <w:rPr>
          <w:kern w:val="28"/>
          <w:szCs w:val="24"/>
        </w:rPr>
        <w:t xml:space="preserve"> </w:t>
      </w:r>
      <w:r w:rsidR="00443946">
        <w:rPr>
          <w:kern w:val="28"/>
          <w:szCs w:val="24"/>
        </w:rPr>
        <w:t>Plutôt, l</w:t>
      </w:r>
      <w:r>
        <w:rPr>
          <w:kern w:val="28"/>
          <w:szCs w:val="24"/>
        </w:rPr>
        <w:t xml:space="preserve">’objectif </w:t>
      </w:r>
      <w:r w:rsidR="00992BC6">
        <w:rPr>
          <w:kern w:val="28"/>
          <w:szCs w:val="24"/>
        </w:rPr>
        <w:t xml:space="preserve">de l’analyse effectuée </w:t>
      </w:r>
      <w:r>
        <w:rPr>
          <w:kern w:val="28"/>
          <w:szCs w:val="24"/>
        </w:rPr>
        <w:t>est de démontrer que les questions soulevées par le présent pourvoi sont complexes</w:t>
      </w:r>
      <w:r w:rsidR="0044645F" w:rsidRPr="0044645F">
        <w:t xml:space="preserve"> </w:t>
      </w:r>
      <w:r w:rsidR="0044645F" w:rsidRPr="0044645F">
        <w:rPr>
          <w:kern w:val="28"/>
          <w:szCs w:val="24"/>
        </w:rPr>
        <w:t>et pleines de relief</w:t>
      </w:r>
      <w:r>
        <w:rPr>
          <w:kern w:val="28"/>
          <w:szCs w:val="24"/>
        </w:rPr>
        <w:t xml:space="preserve">. Certes, certains </w:t>
      </w:r>
      <w:r w:rsidR="00443946">
        <w:rPr>
          <w:kern w:val="28"/>
          <w:szCs w:val="24"/>
        </w:rPr>
        <w:t xml:space="preserve">propos ou </w:t>
      </w:r>
      <w:r w:rsidR="00562DA8" w:rsidRPr="00562DA8">
        <w:rPr>
          <w:kern w:val="28"/>
          <w:szCs w:val="24"/>
        </w:rPr>
        <w:t xml:space="preserve">comportements visés par le Règlement, lorsqu'ils ne comportent ni violence physique ni menace de violence physique, pourraient relever du champ de protection de l'article 2b) de la </w:t>
      </w:r>
      <w:r w:rsidR="00562DA8" w:rsidRPr="00443946">
        <w:rPr>
          <w:i/>
          <w:iCs/>
          <w:kern w:val="28"/>
          <w:szCs w:val="24"/>
        </w:rPr>
        <w:t>Charte</w:t>
      </w:r>
      <w:r w:rsidR="00562DA8" w:rsidRPr="00562DA8">
        <w:rPr>
          <w:kern w:val="28"/>
          <w:szCs w:val="24"/>
        </w:rPr>
        <w:t xml:space="preserve">. </w:t>
      </w:r>
      <w:r>
        <w:rPr>
          <w:kern w:val="28"/>
          <w:szCs w:val="24"/>
        </w:rPr>
        <w:t>Cependant, tenter à ce stade de compartimentaliser l’analyse en disséquant l’article 4 du Règlement n’est pas approprié et relève</w:t>
      </w:r>
      <w:r w:rsidR="00992BC6">
        <w:rPr>
          <w:kern w:val="28"/>
          <w:szCs w:val="24"/>
        </w:rPr>
        <w:t xml:space="preserve"> clairement</w:t>
      </w:r>
      <w:r>
        <w:rPr>
          <w:kern w:val="28"/>
          <w:szCs w:val="24"/>
        </w:rPr>
        <w:t xml:space="preserve"> d’une analyse du fond. De plus, </w:t>
      </w:r>
      <w:r w:rsidRPr="00E11840">
        <w:rPr>
          <w:kern w:val="28"/>
          <w:szCs w:val="24"/>
        </w:rPr>
        <w:t xml:space="preserve">même sur la question de l’atteinte à la liberté d’expression, </w:t>
      </w:r>
      <w:r>
        <w:rPr>
          <w:kern w:val="28"/>
          <w:szCs w:val="24"/>
        </w:rPr>
        <w:t>la réponse n’est pas noire sur blanc. P</w:t>
      </w:r>
      <w:r w:rsidRPr="00E11840">
        <w:rPr>
          <w:kern w:val="28"/>
          <w:szCs w:val="24"/>
        </w:rPr>
        <w:t xml:space="preserve">uisque les contours de l’exception de la « violence » demeurent à être tracés </w:t>
      </w:r>
      <w:r>
        <w:rPr>
          <w:kern w:val="28"/>
          <w:szCs w:val="24"/>
        </w:rPr>
        <w:t xml:space="preserve">suivant l’arrêt </w:t>
      </w:r>
      <w:r w:rsidR="00562DA8" w:rsidRPr="00B92BE6">
        <w:rPr>
          <w:i/>
          <w:iCs/>
          <w:kern w:val="28"/>
          <w:szCs w:val="24"/>
        </w:rPr>
        <w:t>Khawaja</w:t>
      </w:r>
      <w:r w:rsidR="00A140E1">
        <w:rPr>
          <w:kern w:val="28"/>
          <w:szCs w:val="24"/>
        </w:rPr>
        <w:t xml:space="preserve"> et</w:t>
      </w:r>
      <w:r w:rsidR="00562DA8" w:rsidRPr="00562DA8">
        <w:rPr>
          <w:kern w:val="28"/>
          <w:szCs w:val="24"/>
        </w:rPr>
        <w:t xml:space="preserve"> dans un monde où la distinction entre violence physique et violence verbale est de plus en plus remise en question</w:t>
      </w:r>
      <w:r>
        <w:rPr>
          <w:kern w:val="28"/>
          <w:szCs w:val="24"/>
        </w:rPr>
        <w:t>, l</w:t>
      </w:r>
      <w:r w:rsidR="00562DA8" w:rsidRPr="00562DA8">
        <w:rPr>
          <w:kern w:val="28"/>
          <w:szCs w:val="24"/>
        </w:rPr>
        <w:t xml:space="preserve">a question </w:t>
      </w:r>
      <w:r>
        <w:rPr>
          <w:kern w:val="28"/>
          <w:szCs w:val="24"/>
        </w:rPr>
        <w:t xml:space="preserve">demeure </w:t>
      </w:r>
      <w:r w:rsidR="00562DA8" w:rsidRPr="00562DA8">
        <w:rPr>
          <w:kern w:val="28"/>
          <w:szCs w:val="24"/>
        </w:rPr>
        <w:t>ouverte</w:t>
      </w:r>
      <w:r>
        <w:rPr>
          <w:kern w:val="28"/>
          <w:szCs w:val="24"/>
        </w:rPr>
        <w:t xml:space="preserve"> et devra être débattue au fond</w:t>
      </w:r>
      <w:r w:rsidR="00562DA8">
        <w:rPr>
          <w:kern w:val="28"/>
          <w:szCs w:val="24"/>
        </w:rPr>
        <w:t>.</w:t>
      </w:r>
    </w:p>
    <w:p w14:paraId="61B3028F" w14:textId="77777777" w:rsidR="00562DA8" w:rsidRDefault="00B11239" w:rsidP="00696D55">
      <w:pPr>
        <w:numPr>
          <w:ilvl w:val="0"/>
          <w:numId w:val="1"/>
        </w:numPr>
        <w:tabs>
          <w:tab w:val="clear" w:pos="360"/>
        </w:tabs>
        <w:spacing w:before="120" w:after="120"/>
        <w:jc w:val="both"/>
        <w:rPr>
          <w:kern w:val="28"/>
          <w:szCs w:val="24"/>
        </w:rPr>
      </w:pPr>
      <w:r w:rsidRPr="00B9156E">
        <w:rPr>
          <w:kern w:val="28"/>
          <w:szCs w:val="24"/>
        </w:rPr>
        <w:t>Compte tenu de ce qui précède, les demanderesses ne démontrent pas une apparence de droit</w:t>
      </w:r>
      <w:r>
        <w:rPr>
          <w:kern w:val="28"/>
          <w:szCs w:val="24"/>
        </w:rPr>
        <w:t xml:space="preserve"> claire</w:t>
      </w:r>
      <w:r w:rsidR="003B0D27">
        <w:rPr>
          <w:kern w:val="28"/>
          <w:szCs w:val="24"/>
        </w:rPr>
        <w:t xml:space="preserve">. </w:t>
      </w:r>
      <w:r w:rsidR="00443946" w:rsidRPr="00B9156E">
        <w:rPr>
          <w:kern w:val="28"/>
          <w:szCs w:val="24"/>
        </w:rPr>
        <w:t>Elles présentent comme acquise une atteinte à la liberté d'expression, de surcroît injustifiable, alors que plusieurs</w:t>
      </w:r>
      <w:r w:rsidR="00443946">
        <w:rPr>
          <w:kern w:val="28"/>
          <w:szCs w:val="24"/>
        </w:rPr>
        <w:t xml:space="preserve"> questions importantes se posent et demeurent non résolues. </w:t>
      </w:r>
      <w:r w:rsidR="003B0D27">
        <w:rPr>
          <w:kern w:val="28"/>
          <w:szCs w:val="24"/>
        </w:rPr>
        <w:t>T</w:t>
      </w:r>
      <w:r w:rsidR="003B0D27" w:rsidRPr="003B0D27">
        <w:rPr>
          <w:kern w:val="28"/>
          <w:szCs w:val="24"/>
        </w:rPr>
        <w:t>out au plus, le</w:t>
      </w:r>
      <w:r w:rsidR="003B0D27">
        <w:rPr>
          <w:kern w:val="28"/>
          <w:szCs w:val="24"/>
        </w:rPr>
        <w:t>ur</w:t>
      </w:r>
      <w:r w:rsidR="003B0D27" w:rsidRPr="003B0D27">
        <w:rPr>
          <w:kern w:val="28"/>
          <w:szCs w:val="24"/>
        </w:rPr>
        <w:t xml:space="preserve"> pourvoi soulève-t-il des questions sérieuses qui devront être tranchées au fond.</w:t>
      </w:r>
    </w:p>
    <w:p w14:paraId="2B761891" w14:textId="77777777" w:rsidR="003E2850" w:rsidRPr="00141921" w:rsidRDefault="00B11239" w:rsidP="00696D55">
      <w:pPr>
        <w:numPr>
          <w:ilvl w:val="0"/>
          <w:numId w:val="1"/>
        </w:numPr>
        <w:tabs>
          <w:tab w:val="clear" w:pos="360"/>
        </w:tabs>
        <w:spacing w:before="120" w:after="120"/>
        <w:jc w:val="both"/>
        <w:rPr>
          <w:kern w:val="28"/>
          <w:szCs w:val="24"/>
        </w:rPr>
      </w:pPr>
      <w:r>
        <w:rPr>
          <w:kern w:val="28"/>
          <w:szCs w:val="24"/>
        </w:rPr>
        <w:t>À la lumière de ces constats, le Tribunal poursuit son analyse des deux autres critères.</w:t>
      </w:r>
    </w:p>
    <w:p w14:paraId="6C994CBD" w14:textId="77777777" w:rsidR="00772542" w:rsidRPr="00CD5D12" w:rsidRDefault="00B11239" w:rsidP="00CD5D12">
      <w:pPr>
        <w:pStyle w:val="Titre2"/>
        <w:rPr>
          <w:sz w:val="22"/>
          <w:szCs w:val="22"/>
        </w:rPr>
      </w:pPr>
      <w:r w:rsidRPr="00CD5D12">
        <w:rPr>
          <w:sz w:val="22"/>
          <w:szCs w:val="22"/>
        </w:rPr>
        <w:t>Le préjudice irréparable</w:t>
      </w:r>
    </w:p>
    <w:p w14:paraId="5021D53D" w14:textId="77777777" w:rsidR="00772542" w:rsidRPr="006252E8" w:rsidRDefault="00B11239" w:rsidP="00696D55">
      <w:pPr>
        <w:numPr>
          <w:ilvl w:val="0"/>
          <w:numId w:val="1"/>
        </w:numPr>
        <w:tabs>
          <w:tab w:val="clear" w:pos="360"/>
        </w:tabs>
        <w:spacing w:before="120" w:after="120"/>
        <w:jc w:val="both"/>
        <w:rPr>
          <w:kern w:val="28"/>
        </w:rPr>
      </w:pPr>
      <w:r>
        <w:rPr>
          <w:rFonts w:cs="Arial"/>
          <w:color w:val="000000"/>
        </w:rPr>
        <w:t xml:space="preserve">La notion de préjudice irréparable </w:t>
      </w:r>
      <w:r w:rsidR="0044645F">
        <w:rPr>
          <w:rFonts w:cs="Arial"/>
          <w:color w:val="000000"/>
        </w:rPr>
        <w:t xml:space="preserve">porte sur </w:t>
      </w:r>
      <w:r>
        <w:rPr>
          <w:rFonts w:cs="Arial"/>
          <w:color w:val="000000"/>
        </w:rPr>
        <w:t>la nature du préjudice et non son étendue</w:t>
      </w:r>
      <w:r>
        <w:rPr>
          <w:rStyle w:val="Appelnotedebasdep"/>
          <w:rFonts w:cs="Arial"/>
          <w:color w:val="000000"/>
        </w:rPr>
        <w:footnoteReference w:id="36"/>
      </w:r>
      <w:r>
        <w:rPr>
          <w:rFonts w:cs="Arial"/>
          <w:color w:val="000000"/>
        </w:rPr>
        <w:t>. Il s’agit d’un préjudice qui ne peut être compensé par l’octroi de dommages</w:t>
      </w:r>
      <w:r>
        <w:rPr>
          <w:rFonts w:cs="Arial"/>
          <w:color w:val="000000"/>
        </w:rPr>
        <w:noBreakHyphen/>
        <w:t>intérêts, ou qui peut difficilement l’être</w:t>
      </w:r>
      <w:bookmarkStart w:id="3" w:name="_ftnref62"/>
      <w:r>
        <w:rPr>
          <w:rStyle w:val="Hyperlien"/>
          <w:rFonts w:cs="Arial"/>
          <w:color w:val="auto"/>
          <w:u w:val="none"/>
        </w:rPr>
        <w:t>https://www.canlii.org/fr/qc/qccs/doc/2025/2025qccs2057/2025qccs2057.html - _ftn62</w:t>
      </w:r>
      <w:bookmarkEnd w:id="3"/>
      <w:r>
        <w:rPr>
          <w:rStyle w:val="Appelnotedebasdep"/>
          <w:rFonts w:cs="Arial"/>
          <w:color w:val="000000"/>
        </w:rPr>
        <w:footnoteReference w:id="37"/>
      </w:r>
      <w:r w:rsidR="00E11840">
        <w:rPr>
          <w:rFonts w:cs="Arial"/>
          <w:color w:val="000000"/>
        </w:rPr>
        <w:t>.</w:t>
      </w:r>
    </w:p>
    <w:p w14:paraId="3CFE5243" w14:textId="77777777" w:rsidR="006252E8" w:rsidRPr="00F41DCB" w:rsidRDefault="00B11239" w:rsidP="00696D55">
      <w:pPr>
        <w:numPr>
          <w:ilvl w:val="0"/>
          <w:numId w:val="1"/>
        </w:numPr>
        <w:tabs>
          <w:tab w:val="clear" w:pos="360"/>
        </w:tabs>
        <w:spacing w:before="120" w:after="120"/>
        <w:jc w:val="both"/>
        <w:rPr>
          <w:kern w:val="28"/>
        </w:rPr>
      </w:pPr>
      <w:r>
        <w:rPr>
          <w:rFonts w:cs="Arial"/>
          <w:color w:val="000000"/>
        </w:rPr>
        <w:lastRenderedPageBreak/>
        <w:t>À ce stade, le Tribunal n’examine que le préjudice du demandeur, celui du public étant examiné lors de l’analyse de la prépondérance des inconvénients</w:t>
      </w:r>
      <w:r>
        <w:rPr>
          <w:rStyle w:val="Appelnotedebasdep"/>
          <w:rFonts w:cs="Arial"/>
          <w:color w:val="000000"/>
        </w:rPr>
        <w:footnoteReference w:id="38"/>
      </w:r>
      <w:r>
        <w:rPr>
          <w:rFonts w:cs="Arial"/>
          <w:color w:val="000000"/>
        </w:rPr>
        <w:t>.</w:t>
      </w:r>
    </w:p>
    <w:p w14:paraId="03A6AAA9" w14:textId="77777777" w:rsidR="00F41DCB" w:rsidRPr="006252E8" w:rsidRDefault="00B11239" w:rsidP="006252E8">
      <w:pPr>
        <w:numPr>
          <w:ilvl w:val="0"/>
          <w:numId w:val="1"/>
        </w:numPr>
        <w:tabs>
          <w:tab w:val="clear" w:pos="360"/>
        </w:tabs>
        <w:spacing w:before="120" w:after="120"/>
        <w:jc w:val="both"/>
        <w:rPr>
          <w:rFonts w:cs="Arial"/>
          <w:color w:val="000000"/>
        </w:rPr>
      </w:pPr>
      <w:r>
        <w:t xml:space="preserve">Lors de l’analyse du préjudice découlant du refus d’accorder le sursis, le Tribunal doit évaluer le préjudice immédiat s’il ne l’accorde pas et non celui susceptible de découler de l’application du Règlement de </w:t>
      </w:r>
      <w:r w:rsidRPr="006252E8">
        <w:rPr>
          <w:rFonts w:cs="Arial"/>
          <w:color w:val="000000"/>
        </w:rPr>
        <w:t>façon</w:t>
      </w:r>
      <w:r>
        <w:t xml:space="preserve"> permanente au terme de l’audition au fond du </w:t>
      </w:r>
      <w:r w:rsidR="00D34603">
        <w:t>p</w:t>
      </w:r>
      <w:r>
        <w:t>ourvoi</w:t>
      </w:r>
      <w:r>
        <w:rPr>
          <w:rStyle w:val="Appelnotedebasdep"/>
          <w:rFonts w:cs="Arial"/>
          <w:color w:val="000000"/>
        </w:rPr>
        <w:footnoteReference w:id="39"/>
      </w:r>
      <w:r w:rsidR="00B04EC9">
        <w:t>.</w:t>
      </w:r>
      <w:r w:rsidR="006252E8" w:rsidRPr="006252E8">
        <w:t xml:space="preserve"> </w:t>
      </w:r>
    </w:p>
    <w:p w14:paraId="2BEDD276" w14:textId="77777777" w:rsidR="00F41DCB" w:rsidRPr="00D921AB" w:rsidRDefault="00B11239" w:rsidP="00696D55">
      <w:pPr>
        <w:numPr>
          <w:ilvl w:val="0"/>
          <w:numId w:val="1"/>
        </w:numPr>
        <w:tabs>
          <w:tab w:val="clear" w:pos="360"/>
        </w:tabs>
        <w:spacing w:before="120" w:after="120"/>
        <w:jc w:val="both"/>
        <w:rPr>
          <w:kern w:val="28"/>
        </w:rPr>
      </w:pPr>
      <w:r>
        <w:rPr>
          <w:rFonts w:cs="Arial"/>
          <w:color w:val="000000"/>
        </w:rPr>
        <w:t>L’existence d’un tel préjudice ne peut être fondée sur un raisonnement basé sur des hypothèses ou de la spéculation. La probabilité réelle qu’un préjudice irréparable survienne doit plutôt être établie par des éléments de preuve précis et détaillés</w:t>
      </w:r>
      <w:r>
        <w:rPr>
          <w:rStyle w:val="Appelnotedebasdep"/>
          <w:rFonts w:cs="Arial"/>
          <w:color w:val="000000"/>
        </w:rPr>
        <w:footnoteReference w:id="40"/>
      </w:r>
      <w:r w:rsidR="006252E8">
        <w:rPr>
          <w:rFonts w:cs="Arial"/>
          <w:color w:val="000000"/>
        </w:rPr>
        <w:t>.</w:t>
      </w:r>
    </w:p>
    <w:p w14:paraId="5DAFD421" w14:textId="77777777" w:rsidR="00D921AB" w:rsidRPr="00D921AB" w:rsidRDefault="00B11239" w:rsidP="00696D55">
      <w:pPr>
        <w:numPr>
          <w:ilvl w:val="0"/>
          <w:numId w:val="1"/>
        </w:numPr>
        <w:tabs>
          <w:tab w:val="clear" w:pos="360"/>
        </w:tabs>
        <w:spacing w:before="120" w:after="120"/>
        <w:jc w:val="both"/>
        <w:rPr>
          <w:kern w:val="28"/>
        </w:rPr>
      </w:pPr>
      <w:r>
        <w:rPr>
          <w:rFonts w:cs="Arial"/>
          <w:color w:val="000000"/>
        </w:rPr>
        <w:t>En l’espèce, les demanderesses n’ont apporté aucune preuve quant au préjudice qu’elle subirait advenant le refus du sursis.</w:t>
      </w:r>
    </w:p>
    <w:p w14:paraId="3D69D8F8" w14:textId="77777777" w:rsidR="00D921AB" w:rsidRPr="00D921AB" w:rsidRDefault="00B11239" w:rsidP="00696D55">
      <w:pPr>
        <w:numPr>
          <w:ilvl w:val="0"/>
          <w:numId w:val="1"/>
        </w:numPr>
        <w:tabs>
          <w:tab w:val="clear" w:pos="360"/>
        </w:tabs>
        <w:spacing w:before="120" w:after="120"/>
        <w:jc w:val="both"/>
        <w:rPr>
          <w:kern w:val="28"/>
        </w:rPr>
      </w:pPr>
      <w:r>
        <w:rPr>
          <w:rFonts w:cs="Arial"/>
          <w:color w:val="000000"/>
        </w:rPr>
        <w:t>Elles plaident un préjudice à trois niveaux : (i) la violation de libertés fondamentales qui en soit est difficilement quantifiable (ii) le préjudice d’être exposé à une procédure judiciaire et pénale afin de contester la contravention qui pourrait être livrée sous le Règlement et (iii) le préjudice particulier subi par les personnes racisées</w:t>
      </w:r>
      <w:r w:rsidR="00443946">
        <w:rPr>
          <w:rFonts w:cs="Arial"/>
          <w:color w:val="000000"/>
        </w:rPr>
        <w:t xml:space="preserve"> et marginalisées</w:t>
      </w:r>
      <w:r>
        <w:rPr>
          <w:rFonts w:cs="Arial"/>
          <w:color w:val="000000"/>
        </w:rPr>
        <w:t>, plus susceptibles d’être interpellées par les policiers et d’être ciblées par ce Règlement.</w:t>
      </w:r>
    </w:p>
    <w:p w14:paraId="20B579E9" w14:textId="77777777" w:rsidR="007027F2" w:rsidRDefault="00B11239" w:rsidP="00696D55">
      <w:pPr>
        <w:numPr>
          <w:ilvl w:val="0"/>
          <w:numId w:val="1"/>
        </w:numPr>
        <w:tabs>
          <w:tab w:val="clear" w:pos="360"/>
        </w:tabs>
        <w:spacing w:before="120" w:after="120"/>
        <w:jc w:val="both"/>
        <w:rPr>
          <w:kern w:val="28"/>
        </w:rPr>
      </w:pPr>
      <w:r>
        <w:rPr>
          <w:kern w:val="28"/>
        </w:rPr>
        <w:t xml:space="preserve">Une parenthèse s’impose ici. </w:t>
      </w:r>
    </w:p>
    <w:p w14:paraId="6D12B4FC" w14:textId="77777777" w:rsidR="00D921AB" w:rsidRDefault="00B11239" w:rsidP="00696D55">
      <w:pPr>
        <w:numPr>
          <w:ilvl w:val="0"/>
          <w:numId w:val="1"/>
        </w:numPr>
        <w:tabs>
          <w:tab w:val="clear" w:pos="360"/>
        </w:tabs>
        <w:spacing w:before="120" w:after="120"/>
        <w:jc w:val="both"/>
        <w:rPr>
          <w:kern w:val="28"/>
        </w:rPr>
      </w:pPr>
      <w:r>
        <w:rPr>
          <w:kern w:val="28"/>
        </w:rPr>
        <w:t xml:space="preserve">Les demanderesses ont produit dans leur cahier d’autorités un rapport préparé par le SPVM </w:t>
      </w:r>
      <w:r w:rsidR="00EF6B3E">
        <w:rPr>
          <w:kern w:val="28"/>
        </w:rPr>
        <w:t>en 2019 qui conclurait que les personnes racisées sont interpellées plus fréquemment par la police</w:t>
      </w:r>
      <w:r>
        <w:rPr>
          <w:rStyle w:val="Appelnotedebasdep"/>
          <w:kern w:val="28"/>
        </w:rPr>
        <w:footnoteReference w:id="41"/>
      </w:r>
      <w:r w:rsidR="00EF6B3E">
        <w:rPr>
          <w:kern w:val="28"/>
        </w:rPr>
        <w:t xml:space="preserve">. </w:t>
      </w:r>
      <w:r w:rsidR="008D7EA1">
        <w:rPr>
          <w:kern w:val="28"/>
        </w:rPr>
        <w:t xml:space="preserve">Il s’agit de la preuve principale qu’elles présentent pour appuyer leurs prétentions quant au préjudice qui serait subi. </w:t>
      </w:r>
      <w:r w:rsidR="00EF6B3E">
        <w:rPr>
          <w:kern w:val="28"/>
        </w:rPr>
        <w:t xml:space="preserve">Elles ont également produit des articles de journaux </w:t>
      </w:r>
      <w:r w:rsidR="003B5A8D">
        <w:rPr>
          <w:kern w:val="28"/>
        </w:rPr>
        <w:t xml:space="preserve">expliquant la genèse du Règlement </w:t>
      </w:r>
      <w:r w:rsidR="00EF6B3E">
        <w:rPr>
          <w:kern w:val="28"/>
        </w:rPr>
        <w:t xml:space="preserve">ainsi que d’autres rapports </w:t>
      </w:r>
      <w:r w:rsidR="008D7EA1">
        <w:rPr>
          <w:kern w:val="28"/>
        </w:rPr>
        <w:t xml:space="preserve">d’experts </w:t>
      </w:r>
      <w:r w:rsidR="00EF6B3E">
        <w:rPr>
          <w:kern w:val="28"/>
        </w:rPr>
        <w:t>qui traitent du phénomène de profilage racial et de l’itinérance</w:t>
      </w:r>
      <w:r>
        <w:rPr>
          <w:rStyle w:val="Appelnotedebasdep"/>
          <w:kern w:val="28"/>
        </w:rPr>
        <w:footnoteReference w:id="42"/>
      </w:r>
      <w:r w:rsidR="00EF6B3E">
        <w:rPr>
          <w:kern w:val="28"/>
        </w:rPr>
        <w:t xml:space="preserve">. </w:t>
      </w:r>
    </w:p>
    <w:p w14:paraId="01B6237B" w14:textId="77777777" w:rsidR="00D15D26" w:rsidRDefault="00B11239" w:rsidP="00696D55">
      <w:pPr>
        <w:numPr>
          <w:ilvl w:val="0"/>
          <w:numId w:val="1"/>
        </w:numPr>
        <w:tabs>
          <w:tab w:val="clear" w:pos="360"/>
        </w:tabs>
        <w:spacing w:before="120" w:after="120"/>
        <w:jc w:val="both"/>
        <w:rPr>
          <w:kern w:val="28"/>
        </w:rPr>
      </w:pPr>
      <w:r>
        <w:rPr>
          <w:kern w:val="28"/>
        </w:rPr>
        <w:lastRenderedPageBreak/>
        <w:t>Les demanderesses plaident que</w:t>
      </w:r>
      <w:r w:rsidR="004D682D">
        <w:rPr>
          <w:kern w:val="28"/>
        </w:rPr>
        <w:t>,</w:t>
      </w:r>
      <w:r>
        <w:rPr>
          <w:kern w:val="28"/>
        </w:rPr>
        <w:t xml:space="preserve"> bien que ces rapports et articles aient été produits dans leurs autorités, ils constituent néanmoins une forme de preuve extrinsèque qui peut être produite dans le cadre de litige invoquant l’inconstitutionnalité d’une loi</w:t>
      </w:r>
      <w:r>
        <w:rPr>
          <w:rStyle w:val="Appelnotedebasdep"/>
          <w:kern w:val="28"/>
        </w:rPr>
        <w:footnoteReference w:id="43"/>
      </w:r>
      <w:r>
        <w:rPr>
          <w:kern w:val="28"/>
        </w:rPr>
        <w:t>.</w:t>
      </w:r>
      <w:r w:rsidR="00363D48">
        <w:rPr>
          <w:kern w:val="28"/>
        </w:rPr>
        <w:t xml:space="preserve"> </w:t>
      </w:r>
      <w:r>
        <w:rPr>
          <w:kern w:val="28"/>
        </w:rPr>
        <w:t>Or, c</w:t>
      </w:r>
      <w:r w:rsidR="00363D48">
        <w:rPr>
          <w:kern w:val="28"/>
        </w:rPr>
        <w:t>es documents</w:t>
      </w:r>
      <w:r w:rsidR="00537172">
        <w:rPr>
          <w:kern w:val="28"/>
        </w:rPr>
        <w:t>,</w:t>
      </w:r>
      <w:r w:rsidR="00363D48">
        <w:rPr>
          <w:kern w:val="28"/>
        </w:rPr>
        <w:t xml:space="preserve"> produits sous forme d’autorités</w:t>
      </w:r>
      <w:r w:rsidR="00537172">
        <w:rPr>
          <w:kern w:val="28"/>
        </w:rPr>
        <w:t>,</w:t>
      </w:r>
      <w:r w:rsidR="00363D48">
        <w:rPr>
          <w:kern w:val="28"/>
        </w:rPr>
        <w:t xml:space="preserve"> ne peuvent être considérés comme de la « preuve »</w:t>
      </w:r>
      <w:r w:rsidR="004D682D">
        <w:rPr>
          <w:kern w:val="28"/>
        </w:rPr>
        <w:t>,</w:t>
      </w:r>
      <w:r w:rsidR="00363D48">
        <w:rPr>
          <w:kern w:val="28"/>
        </w:rPr>
        <w:t xml:space="preserve"> puisqu’ils ne respectent pas les règles les plus élémentaires </w:t>
      </w:r>
      <w:r w:rsidR="00537172">
        <w:rPr>
          <w:kern w:val="28"/>
        </w:rPr>
        <w:t xml:space="preserve">de la procédure civile gouvernant </w:t>
      </w:r>
      <w:r w:rsidR="00363D48">
        <w:rPr>
          <w:kern w:val="28"/>
        </w:rPr>
        <w:t>l</w:t>
      </w:r>
      <w:r w:rsidR="00537172">
        <w:rPr>
          <w:kern w:val="28"/>
        </w:rPr>
        <w:t>’administration de la preuve</w:t>
      </w:r>
      <w:r w:rsidR="00363D48">
        <w:rPr>
          <w:kern w:val="28"/>
        </w:rPr>
        <w:t xml:space="preserve">. </w:t>
      </w:r>
    </w:p>
    <w:p w14:paraId="437BE9F2" w14:textId="77777777" w:rsidR="008D7EA1" w:rsidRDefault="00B11239" w:rsidP="00696D55">
      <w:pPr>
        <w:numPr>
          <w:ilvl w:val="0"/>
          <w:numId w:val="1"/>
        </w:numPr>
        <w:tabs>
          <w:tab w:val="clear" w:pos="360"/>
        </w:tabs>
        <w:spacing w:before="120" w:after="120"/>
        <w:jc w:val="both"/>
        <w:rPr>
          <w:kern w:val="28"/>
        </w:rPr>
      </w:pPr>
      <w:r>
        <w:rPr>
          <w:kern w:val="28"/>
        </w:rPr>
        <w:t>D</w:t>
      </w:r>
      <w:r w:rsidR="00974A66">
        <w:rPr>
          <w:kern w:val="28"/>
        </w:rPr>
        <w:t>’abord, c</w:t>
      </w:r>
      <w:r>
        <w:rPr>
          <w:kern w:val="28"/>
        </w:rPr>
        <w:t>es documents ne sont pas produits comme pièces au soutien du pourvoi</w:t>
      </w:r>
      <w:r>
        <w:rPr>
          <w:rStyle w:val="Appelnotedebasdep"/>
          <w:kern w:val="28"/>
        </w:rPr>
        <w:footnoteReference w:id="44"/>
      </w:r>
      <w:r>
        <w:rPr>
          <w:kern w:val="28"/>
        </w:rPr>
        <w:t xml:space="preserve">, mais dans les cahiers d’autorités produits </w:t>
      </w:r>
      <w:r w:rsidR="007A07B9">
        <w:rPr>
          <w:kern w:val="28"/>
        </w:rPr>
        <w:t xml:space="preserve">la </w:t>
      </w:r>
      <w:r>
        <w:rPr>
          <w:kern w:val="28"/>
        </w:rPr>
        <w:t>veille de l’audition</w:t>
      </w:r>
      <w:r w:rsidR="003B5A8D">
        <w:rPr>
          <w:kern w:val="28"/>
        </w:rPr>
        <w:t xml:space="preserve">. </w:t>
      </w:r>
      <w:r w:rsidR="003B5A8D" w:rsidRPr="003B5A8D">
        <w:rPr>
          <w:kern w:val="28"/>
        </w:rPr>
        <w:t xml:space="preserve">Leur production </w:t>
      </w:r>
      <w:r w:rsidR="003B5A8D">
        <w:rPr>
          <w:kern w:val="28"/>
        </w:rPr>
        <w:t xml:space="preserve">tardive </w:t>
      </w:r>
      <w:r w:rsidR="003B5A8D" w:rsidRPr="003B5A8D">
        <w:rPr>
          <w:kern w:val="28"/>
        </w:rPr>
        <w:t>crée inévitablement un effet de surprise et prive la Ville de la possibilité d’y répondre de manière complète et adéquate</w:t>
      </w:r>
      <w:r>
        <w:rPr>
          <w:kern w:val="28"/>
        </w:rPr>
        <w:t>. Ensuite, les rapports produits comme « autorités » sont en réalité des rapports d’experts</w:t>
      </w:r>
      <w:r w:rsidR="003B5A8D">
        <w:rPr>
          <w:kern w:val="28"/>
        </w:rPr>
        <w:t>, provenant d’autres dossiers judiciarisés</w:t>
      </w:r>
      <w:r>
        <w:rPr>
          <w:kern w:val="28"/>
        </w:rPr>
        <w:t>, comme l’indique</w:t>
      </w:r>
      <w:r w:rsidR="004D682D">
        <w:rPr>
          <w:kern w:val="28"/>
        </w:rPr>
        <w:t>nt</w:t>
      </w:r>
      <w:r>
        <w:rPr>
          <w:kern w:val="28"/>
        </w:rPr>
        <w:t xml:space="preserve"> d’ailleurs les demanderesses dans le cadre de leur plaidoirie</w:t>
      </w:r>
      <w:r>
        <w:rPr>
          <w:rStyle w:val="Appelnotedebasdep"/>
          <w:kern w:val="28"/>
        </w:rPr>
        <w:footnoteReference w:id="45"/>
      </w:r>
      <w:r>
        <w:rPr>
          <w:kern w:val="28"/>
        </w:rPr>
        <w:t>. Ces rapports n’ont pas été produit</w:t>
      </w:r>
      <w:r w:rsidR="00537172">
        <w:rPr>
          <w:kern w:val="28"/>
        </w:rPr>
        <w:t>s</w:t>
      </w:r>
      <w:r>
        <w:rPr>
          <w:kern w:val="28"/>
        </w:rPr>
        <w:t xml:space="preserve"> conformément à l’article 293 </w:t>
      </w:r>
      <w:r w:rsidRPr="00FB1446">
        <w:rPr>
          <w:i/>
          <w:iCs/>
          <w:kern w:val="28"/>
        </w:rPr>
        <w:t>C.p.c</w:t>
      </w:r>
      <w:r>
        <w:rPr>
          <w:kern w:val="28"/>
        </w:rPr>
        <w:t>. et ne sont donc pas recevables en preuve.</w:t>
      </w:r>
      <w:r w:rsidR="003A6CD0">
        <w:rPr>
          <w:kern w:val="28"/>
        </w:rPr>
        <w:t xml:space="preserve"> Enfin, le pourvoi lui-même ne contient aucune allégation factuelle, encore moins une allégation précise concernant le préjudice subi</w:t>
      </w:r>
      <w:r>
        <w:rPr>
          <w:rStyle w:val="Appelnotedebasdep"/>
          <w:kern w:val="28"/>
        </w:rPr>
        <w:footnoteReference w:id="46"/>
      </w:r>
      <w:r w:rsidR="003A6CD0">
        <w:rPr>
          <w:kern w:val="28"/>
        </w:rPr>
        <w:t>.</w:t>
      </w:r>
    </w:p>
    <w:p w14:paraId="03CAAE9B" w14:textId="77777777" w:rsidR="00D15D26" w:rsidRDefault="00B11239" w:rsidP="00696D55">
      <w:pPr>
        <w:numPr>
          <w:ilvl w:val="0"/>
          <w:numId w:val="1"/>
        </w:numPr>
        <w:tabs>
          <w:tab w:val="clear" w:pos="360"/>
        </w:tabs>
        <w:spacing w:before="120" w:after="120"/>
        <w:jc w:val="both"/>
        <w:rPr>
          <w:kern w:val="28"/>
        </w:rPr>
      </w:pPr>
      <w:r w:rsidRPr="00537172">
        <w:rPr>
          <w:kern w:val="28"/>
        </w:rPr>
        <w:t>Il semblerait que les demanderesses, invoquant l’urgence d’obtenir le sursis</w:t>
      </w:r>
      <w:r>
        <w:rPr>
          <w:rStyle w:val="Appelnotedebasdep"/>
          <w:kern w:val="28"/>
        </w:rPr>
        <w:footnoteReference w:id="47"/>
      </w:r>
      <w:r w:rsidRPr="00537172">
        <w:rPr>
          <w:kern w:val="28"/>
        </w:rPr>
        <w:t>, aient choisi de procéder sur la base d’un dossier incomplet et de s’en remettre essentiellement à des arguments de droit pour satisfaire aux trois critères applicables. Leur démarche repose sur la prémisse que les atteintes alléguées aux droits fondamentaux sont à ce point manifestes qu’elles permettraient d’inférer, presque d’emblée, l’existence d’un préjudice irréparable. Autrement dit, elles misent sur l’évidence de la violation alléguée pour que le préjudice en découlant soit tenu pour acqui</w:t>
      </w:r>
      <w:r>
        <w:rPr>
          <w:kern w:val="28"/>
        </w:rPr>
        <w:t>s.</w:t>
      </w:r>
    </w:p>
    <w:p w14:paraId="11991194" w14:textId="77777777" w:rsidR="00D15D26" w:rsidRDefault="00B11239" w:rsidP="00696D55">
      <w:pPr>
        <w:numPr>
          <w:ilvl w:val="0"/>
          <w:numId w:val="1"/>
        </w:numPr>
        <w:tabs>
          <w:tab w:val="clear" w:pos="360"/>
        </w:tabs>
        <w:spacing w:before="120" w:after="120"/>
        <w:jc w:val="both"/>
        <w:rPr>
          <w:kern w:val="28"/>
        </w:rPr>
      </w:pPr>
      <w:r>
        <w:rPr>
          <w:kern w:val="28"/>
        </w:rPr>
        <w:t xml:space="preserve">Cependant, </w:t>
      </w:r>
      <w:r w:rsidR="003B5A8D">
        <w:rPr>
          <w:kern w:val="28"/>
        </w:rPr>
        <w:t xml:space="preserve">comme déjà discuté ci-dessus, </w:t>
      </w:r>
      <w:r>
        <w:rPr>
          <w:kern w:val="28"/>
        </w:rPr>
        <w:t xml:space="preserve">tel n’est pas le cas. </w:t>
      </w:r>
      <w:r w:rsidR="0044645F" w:rsidRPr="0044645F">
        <w:rPr>
          <w:kern w:val="28"/>
        </w:rPr>
        <w:t>Les parties étant maîtres de la conduite de leur dossier, il ne revient certainement pas au Tribunal de s’immiscer dans les choix stratégiques de leurs avocats</w:t>
      </w:r>
      <w:r w:rsidR="0044645F">
        <w:rPr>
          <w:kern w:val="28"/>
        </w:rPr>
        <w:t>.</w:t>
      </w:r>
      <w:r w:rsidR="0044645F" w:rsidRPr="0044645F">
        <w:rPr>
          <w:kern w:val="28"/>
        </w:rPr>
        <w:t xml:space="preserve"> </w:t>
      </w:r>
      <w:r>
        <w:rPr>
          <w:kern w:val="28"/>
        </w:rPr>
        <w:t xml:space="preserve">Les demanderesses avaient l’opportunité de constituer un dossier de la façon qu’elles jugeaient </w:t>
      </w:r>
      <w:r w:rsidR="00974A66">
        <w:rPr>
          <w:kern w:val="28"/>
        </w:rPr>
        <w:t xml:space="preserve">la plus </w:t>
      </w:r>
      <w:r>
        <w:rPr>
          <w:kern w:val="28"/>
        </w:rPr>
        <w:t xml:space="preserve">opportune afin de soutenir leurs arguments et ont plutôt choisi de présenter la demande de sursis à une étape très préliminaire du dossier, en l’absence de </w:t>
      </w:r>
      <w:r w:rsidR="004D682D">
        <w:rPr>
          <w:kern w:val="28"/>
        </w:rPr>
        <w:t>toute</w:t>
      </w:r>
      <w:r>
        <w:rPr>
          <w:kern w:val="28"/>
        </w:rPr>
        <w:t xml:space="preserve"> preuve</w:t>
      </w:r>
      <w:r w:rsidR="003B5A8D">
        <w:rPr>
          <w:kern w:val="28"/>
        </w:rPr>
        <w:t xml:space="preserve"> et </w:t>
      </w:r>
      <w:r w:rsidR="004D682D">
        <w:rPr>
          <w:kern w:val="28"/>
        </w:rPr>
        <w:t xml:space="preserve">de </w:t>
      </w:r>
      <w:r w:rsidR="003B5A8D">
        <w:rPr>
          <w:kern w:val="28"/>
        </w:rPr>
        <w:t>contexte factuel</w:t>
      </w:r>
      <w:r>
        <w:rPr>
          <w:kern w:val="28"/>
        </w:rPr>
        <w:t xml:space="preserve">. </w:t>
      </w:r>
      <w:r w:rsidR="00974A66">
        <w:rPr>
          <w:kern w:val="28"/>
        </w:rPr>
        <w:t>Le préjudice</w:t>
      </w:r>
      <w:r>
        <w:rPr>
          <w:kern w:val="28"/>
        </w:rPr>
        <w:t xml:space="preserve"> doit donc être analysé dans ce cadre bien précis</w:t>
      </w:r>
      <w:r w:rsidR="00BE7164">
        <w:rPr>
          <w:kern w:val="28"/>
        </w:rPr>
        <w:t xml:space="preserve"> sur la base du dossier tel que constitué par les demanderesses</w:t>
      </w:r>
      <w:r>
        <w:rPr>
          <w:kern w:val="28"/>
        </w:rPr>
        <w:t>.</w:t>
      </w:r>
    </w:p>
    <w:p w14:paraId="3844271E" w14:textId="77777777" w:rsidR="007027F2" w:rsidRDefault="00B11239" w:rsidP="00696D55">
      <w:pPr>
        <w:numPr>
          <w:ilvl w:val="0"/>
          <w:numId w:val="1"/>
        </w:numPr>
        <w:tabs>
          <w:tab w:val="clear" w:pos="360"/>
        </w:tabs>
        <w:spacing w:before="120" w:after="120"/>
        <w:jc w:val="both"/>
        <w:rPr>
          <w:kern w:val="28"/>
        </w:rPr>
      </w:pPr>
      <w:r>
        <w:rPr>
          <w:kern w:val="28"/>
        </w:rPr>
        <w:t>Fer</w:t>
      </w:r>
      <w:r w:rsidR="003F5E30">
        <w:rPr>
          <w:kern w:val="28"/>
        </w:rPr>
        <w:t>mons</w:t>
      </w:r>
      <w:r>
        <w:rPr>
          <w:kern w:val="28"/>
        </w:rPr>
        <w:t xml:space="preserve"> la parenthèse.</w:t>
      </w:r>
    </w:p>
    <w:p w14:paraId="299D8743" w14:textId="77777777" w:rsidR="00974A66" w:rsidRDefault="00B11239" w:rsidP="00696D55">
      <w:pPr>
        <w:numPr>
          <w:ilvl w:val="0"/>
          <w:numId w:val="1"/>
        </w:numPr>
        <w:tabs>
          <w:tab w:val="clear" w:pos="360"/>
        </w:tabs>
        <w:spacing w:before="120" w:after="120"/>
        <w:jc w:val="both"/>
        <w:rPr>
          <w:kern w:val="28"/>
        </w:rPr>
      </w:pPr>
      <w:r>
        <w:rPr>
          <w:kern w:val="28"/>
        </w:rPr>
        <w:t>Revenons donc au préjudice.</w:t>
      </w:r>
    </w:p>
    <w:p w14:paraId="1B5AD542" w14:textId="77777777" w:rsidR="00BE7164" w:rsidRDefault="00B11239" w:rsidP="00696D55">
      <w:pPr>
        <w:numPr>
          <w:ilvl w:val="0"/>
          <w:numId w:val="1"/>
        </w:numPr>
        <w:tabs>
          <w:tab w:val="clear" w:pos="360"/>
        </w:tabs>
        <w:spacing w:before="120" w:after="120"/>
        <w:jc w:val="both"/>
        <w:rPr>
          <w:kern w:val="28"/>
        </w:rPr>
      </w:pPr>
      <w:r>
        <w:rPr>
          <w:kern w:val="28"/>
        </w:rPr>
        <w:lastRenderedPageBreak/>
        <w:t xml:space="preserve">La jurisprudence offre des exemples assez percutants de préjudices immédiats </w:t>
      </w:r>
      <w:r w:rsidR="003B5A8D">
        <w:rPr>
          <w:kern w:val="28"/>
        </w:rPr>
        <w:t xml:space="preserve">et </w:t>
      </w:r>
      <w:r>
        <w:rPr>
          <w:kern w:val="28"/>
        </w:rPr>
        <w:t>irréparable</w:t>
      </w:r>
      <w:r w:rsidR="003B5A8D">
        <w:rPr>
          <w:kern w:val="28"/>
        </w:rPr>
        <w:t>s</w:t>
      </w:r>
      <w:r>
        <w:rPr>
          <w:kern w:val="28"/>
        </w:rPr>
        <w:t> </w:t>
      </w:r>
      <w:r w:rsidR="003B5A8D">
        <w:rPr>
          <w:kern w:val="28"/>
        </w:rPr>
        <w:t>advenant le rejet du sursis</w:t>
      </w:r>
      <w:r>
        <w:rPr>
          <w:kern w:val="28"/>
        </w:rPr>
        <w:t>: la disparition de l’objet du litige</w:t>
      </w:r>
      <w:r w:rsidR="00D631D0">
        <w:rPr>
          <w:kern w:val="28"/>
        </w:rPr>
        <w:t xml:space="preserve"> </w:t>
      </w:r>
      <w:r>
        <w:rPr>
          <w:kern w:val="28"/>
        </w:rPr>
        <w:t>rendant le débat au mérite théorique</w:t>
      </w:r>
      <w:r w:rsidR="003B5A8D">
        <w:rPr>
          <w:kern w:val="28"/>
        </w:rPr>
        <w:t xml:space="preserve"> (l’abattement des cerfs)</w:t>
      </w:r>
      <w:r>
        <w:rPr>
          <w:rStyle w:val="Appelnotedebasdep"/>
          <w:kern w:val="28"/>
        </w:rPr>
        <w:footnoteReference w:id="48"/>
      </w:r>
      <w:r>
        <w:rPr>
          <w:kern w:val="28"/>
        </w:rPr>
        <w:t xml:space="preserve">, la renonciation d’un choix de carrière ou encore le déménagement </w:t>
      </w:r>
      <w:r w:rsidR="00537172">
        <w:rPr>
          <w:kern w:val="28"/>
        </w:rPr>
        <w:t xml:space="preserve">« forcé » </w:t>
      </w:r>
      <w:r>
        <w:rPr>
          <w:kern w:val="28"/>
        </w:rPr>
        <w:t>hors Québec</w:t>
      </w:r>
      <w:r w:rsidR="003B5A8D">
        <w:rPr>
          <w:kern w:val="28"/>
        </w:rPr>
        <w:t xml:space="preserve"> (la </w:t>
      </w:r>
      <w:r w:rsidR="003B5A8D" w:rsidRPr="003B5A8D">
        <w:rPr>
          <w:i/>
          <w:iCs/>
          <w:kern w:val="28"/>
        </w:rPr>
        <w:t>Loi sur la laïcité de l’État</w:t>
      </w:r>
      <w:r w:rsidR="003B5A8D">
        <w:rPr>
          <w:kern w:val="28"/>
        </w:rPr>
        <w:t>)</w:t>
      </w:r>
      <w:r>
        <w:rPr>
          <w:rStyle w:val="Appelnotedebasdep"/>
          <w:kern w:val="28"/>
        </w:rPr>
        <w:footnoteReference w:id="49"/>
      </w:r>
      <w:r>
        <w:rPr>
          <w:kern w:val="28"/>
        </w:rPr>
        <w:t>, les torts causés à l’environnement</w:t>
      </w:r>
      <w:r>
        <w:rPr>
          <w:rStyle w:val="Appelnotedebasdep"/>
          <w:kern w:val="28"/>
        </w:rPr>
        <w:footnoteReference w:id="50"/>
      </w:r>
      <w:r>
        <w:rPr>
          <w:kern w:val="28"/>
        </w:rPr>
        <w:t>, le délaissement d’un engagement social et l’abandon d’un projet de mission caritative</w:t>
      </w:r>
      <w:r w:rsidR="003B5A8D">
        <w:rPr>
          <w:kern w:val="28"/>
        </w:rPr>
        <w:t xml:space="preserve"> (l’aide médicale à mourir)</w:t>
      </w:r>
      <w:r>
        <w:rPr>
          <w:rStyle w:val="Appelnotedebasdep"/>
          <w:kern w:val="28"/>
        </w:rPr>
        <w:footnoteReference w:id="51"/>
      </w:r>
      <w:r>
        <w:rPr>
          <w:kern w:val="28"/>
        </w:rPr>
        <w:t xml:space="preserve"> ou encore la disparation complète des commissions scolaires</w:t>
      </w:r>
      <w:r>
        <w:rPr>
          <w:rStyle w:val="Appelnotedebasdep"/>
          <w:kern w:val="28"/>
        </w:rPr>
        <w:footnoteReference w:id="52"/>
      </w:r>
      <w:r w:rsidR="00692D21">
        <w:rPr>
          <w:kern w:val="28"/>
        </w:rPr>
        <w:t>.</w:t>
      </w:r>
    </w:p>
    <w:p w14:paraId="06B3F622" w14:textId="77777777" w:rsidR="00692D21" w:rsidRDefault="00B11239" w:rsidP="00696D55">
      <w:pPr>
        <w:numPr>
          <w:ilvl w:val="0"/>
          <w:numId w:val="1"/>
        </w:numPr>
        <w:tabs>
          <w:tab w:val="clear" w:pos="360"/>
        </w:tabs>
        <w:spacing w:before="120" w:after="120"/>
        <w:jc w:val="both"/>
        <w:rPr>
          <w:kern w:val="28"/>
        </w:rPr>
      </w:pPr>
      <w:r>
        <w:rPr>
          <w:kern w:val="28"/>
        </w:rPr>
        <w:t xml:space="preserve">En l’espèce, les préjudices invoqués par les demanderesses ne sont pas de cette nature. La violation </w:t>
      </w:r>
      <w:r w:rsidRPr="00F0480E">
        <w:rPr>
          <w:i/>
          <w:iCs/>
          <w:kern w:val="28"/>
        </w:rPr>
        <w:t>potentielle</w:t>
      </w:r>
      <w:r>
        <w:rPr>
          <w:kern w:val="28"/>
        </w:rPr>
        <w:t xml:space="preserve"> des libertés fondamentales</w:t>
      </w:r>
      <w:r w:rsidR="004D682D">
        <w:rPr>
          <w:kern w:val="28"/>
        </w:rPr>
        <w:t>,</w:t>
      </w:r>
      <w:r>
        <w:rPr>
          <w:kern w:val="28"/>
        </w:rPr>
        <w:t xml:space="preserve"> bien qu</w:t>
      </w:r>
      <w:r w:rsidR="00F0480E">
        <w:rPr>
          <w:kern w:val="28"/>
        </w:rPr>
        <w:t>e constitutive d</w:t>
      </w:r>
      <w:r>
        <w:rPr>
          <w:kern w:val="28"/>
        </w:rPr>
        <w:t>’une question sérieuse qui devra être débattue au fond</w:t>
      </w:r>
      <w:r w:rsidR="004D682D">
        <w:rPr>
          <w:kern w:val="28"/>
        </w:rPr>
        <w:t>,</w:t>
      </w:r>
      <w:r>
        <w:rPr>
          <w:kern w:val="28"/>
        </w:rPr>
        <w:t xml:space="preserve"> n’est pas acquise à ce stade. </w:t>
      </w:r>
      <w:r w:rsidR="003B5A8D" w:rsidRPr="003B5A8D">
        <w:rPr>
          <w:kern w:val="28"/>
        </w:rPr>
        <w:t xml:space="preserve">Ensuite, le stress, les inconvénients ou les désagréments pouvant découler d’un processus judiciaire engagé à la suite de la délivrance d’un constat d’infraction ne </w:t>
      </w:r>
      <w:r w:rsidR="00F0480E">
        <w:rPr>
          <w:kern w:val="28"/>
        </w:rPr>
        <w:t>peu</w:t>
      </w:r>
      <w:r w:rsidR="008642AB">
        <w:rPr>
          <w:kern w:val="28"/>
        </w:rPr>
        <w:t>vent</w:t>
      </w:r>
      <w:r w:rsidR="00F0480E">
        <w:rPr>
          <w:kern w:val="28"/>
        </w:rPr>
        <w:t xml:space="preserve"> se </w:t>
      </w:r>
      <w:r w:rsidR="003B5A8D" w:rsidRPr="003B5A8D">
        <w:rPr>
          <w:kern w:val="28"/>
        </w:rPr>
        <w:t>qualifi</w:t>
      </w:r>
      <w:r w:rsidR="00F0480E">
        <w:rPr>
          <w:kern w:val="28"/>
        </w:rPr>
        <w:t>er</w:t>
      </w:r>
      <w:r w:rsidR="003B5A8D" w:rsidRPr="003B5A8D">
        <w:rPr>
          <w:kern w:val="28"/>
        </w:rPr>
        <w:t xml:space="preserve"> de préjudice irréparable. Il s’agit plutôt des conséquences ordinaires et prévisibles du mécanisme de justice établi par notre système juridique</w:t>
      </w:r>
      <w:r>
        <w:rPr>
          <w:kern w:val="28"/>
        </w:rPr>
        <w:t xml:space="preserve">. </w:t>
      </w:r>
    </w:p>
    <w:p w14:paraId="40F62FD2" w14:textId="77777777" w:rsidR="0043557E" w:rsidRDefault="00B11239" w:rsidP="00696D55">
      <w:pPr>
        <w:numPr>
          <w:ilvl w:val="0"/>
          <w:numId w:val="1"/>
        </w:numPr>
        <w:tabs>
          <w:tab w:val="clear" w:pos="360"/>
        </w:tabs>
        <w:spacing w:before="120" w:after="120"/>
        <w:jc w:val="both"/>
        <w:rPr>
          <w:kern w:val="28"/>
        </w:rPr>
      </w:pPr>
      <w:r>
        <w:rPr>
          <w:kern w:val="28"/>
        </w:rPr>
        <w:t xml:space="preserve">Enfin, les allégations sur le profilage racial et le fait que les personnes racisées et marginalisées seraient plus susceptibles d’être ciblées par ce Règlement ne sont pas prouvées à ce stade. </w:t>
      </w:r>
      <w:r w:rsidR="00537172">
        <w:rPr>
          <w:kern w:val="28"/>
        </w:rPr>
        <w:t>Les demanderesses soutiennent</w:t>
      </w:r>
      <w:r>
        <w:rPr>
          <w:kern w:val="28"/>
        </w:rPr>
        <w:t xml:space="preserve"> que</w:t>
      </w:r>
      <w:r w:rsidR="004D682D">
        <w:rPr>
          <w:kern w:val="28"/>
        </w:rPr>
        <w:t>,</w:t>
      </w:r>
      <w:r>
        <w:rPr>
          <w:kern w:val="28"/>
        </w:rPr>
        <w:t xml:space="preserve"> même en l’absence d’une preuve, ce préjudice est prévisible, car le Règlement ajoute un pouvoir discrétionnaire dans un contexte institutionnel marqué par le profilage racial. </w:t>
      </w:r>
      <w:r w:rsidR="00901BEB">
        <w:rPr>
          <w:kern w:val="28"/>
        </w:rPr>
        <w:t>Les demanderesses soutiennent que la jurisprudence corrobore l’idée que ce type d’infraction s’inscrit fréquemment dans le déroulement d’une interaction policière déjà engagée</w:t>
      </w:r>
      <w:r w:rsidR="00E92839">
        <w:rPr>
          <w:kern w:val="28"/>
        </w:rPr>
        <w:t>.</w:t>
      </w:r>
    </w:p>
    <w:p w14:paraId="3F957157" w14:textId="77777777" w:rsidR="00692D21" w:rsidRDefault="00B11239" w:rsidP="00696D55">
      <w:pPr>
        <w:numPr>
          <w:ilvl w:val="0"/>
          <w:numId w:val="1"/>
        </w:numPr>
        <w:tabs>
          <w:tab w:val="clear" w:pos="360"/>
        </w:tabs>
        <w:spacing w:before="120" w:after="120"/>
        <w:jc w:val="both"/>
        <w:rPr>
          <w:kern w:val="28"/>
        </w:rPr>
      </w:pPr>
      <w:r>
        <w:rPr>
          <w:kern w:val="28"/>
        </w:rPr>
        <w:t xml:space="preserve">Cet argument présuppose que le but principal du Règlement est d’interdire les insultes envers les policiers </w:t>
      </w:r>
      <w:r w:rsidR="00F0480E">
        <w:rPr>
          <w:kern w:val="28"/>
        </w:rPr>
        <w:t xml:space="preserve">plutôt que son </w:t>
      </w:r>
      <w:r>
        <w:rPr>
          <w:kern w:val="28"/>
        </w:rPr>
        <w:t xml:space="preserve">objectif plus large énoncé à </w:t>
      </w:r>
      <w:r w:rsidR="00F0480E">
        <w:rPr>
          <w:kern w:val="28"/>
        </w:rPr>
        <w:t>l’</w:t>
      </w:r>
      <w:r>
        <w:rPr>
          <w:kern w:val="28"/>
        </w:rPr>
        <w:t xml:space="preserve">article 2, soit de </w:t>
      </w:r>
      <w:r w:rsidRPr="0043557E">
        <w:rPr>
          <w:kern w:val="28"/>
        </w:rPr>
        <w:t xml:space="preserve">favoriser la civilité de la population et </w:t>
      </w:r>
      <w:r>
        <w:rPr>
          <w:kern w:val="28"/>
        </w:rPr>
        <w:t xml:space="preserve">de </w:t>
      </w:r>
      <w:r w:rsidRPr="0043557E">
        <w:rPr>
          <w:kern w:val="28"/>
        </w:rPr>
        <w:t>protéger</w:t>
      </w:r>
      <w:r w:rsidR="00901BEB">
        <w:rPr>
          <w:kern w:val="28"/>
        </w:rPr>
        <w:t xml:space="preserve"> la santé psychologique et la sécurité du personnel municipal</w:t>
      </w:r>
      <w:r>
        <w:rPr>
          <w:kern w:val="28"/>
        </w:rPr>
        <w:t>. À titre illustratif, les demanderesses pointent vers les 53 décisions fournies par la Ville en indiquant que la vaste majorité se déroule dans un contexte d’insultes envers un policier</w:t>
      </w:r>
      <w:r>
        <w:rPr>
          <w:rStyle w:val="Appelnotedebasdep"/>
          <w:kern w:val="28"/>
        </w:rPr>
        <w:footnoteReference w:id="53"/>
      </w:r>
      <w:r>
        <w:rPr>
          <w:kern w:val="28"/>
        </w:rPr>
        <w:t>.</w:t>
      </w:r>
      <w:r w:rsidR="00901BEB">
        <w:rPr>
          <w:kern w:val="28"/>
        </w:rPr>
        <w:t xml:space="preserve"> </w:t>
      </w:r>
    </w:p>
    <w:p w14:paraId="6329FF94" w14:textId="77777777" w:rsidR="0043557E" w:rsidRDefault="00B11239" w:rsidP="00696D55">
      <w:pPr>
        <w:numPr>
          <w:ilvl w:val="0"/>
          <w:numId w:val="1"/>
        </w:numPr>
        <w:tabs>
          <w:tab w:val="clear" w:pos="360"/>
        </w:tabs>
        <w:spacing w:before="120" w:after="120"/>
        <w:jc w:val="both"/>
        <w:rPr>
          <w:kern w:val="28"/>
        </w:rPr>
      </w:pPr>
      <w:r>
        <w:rPr>
          <w:kern w:val="28"/>
        </w:rPr>
        <w:lastRenderedPageBreak/>
        <w:t xml:space="preserve">Sans remettre en question les constats fondamentaux qui ressortent notamment des arrêts </w:t>
      </w:r>
      <w:r w:rsidRPr="00E92839">
        <w:rPr>
          <w:i/>
          <w:iCs/>
          <w:kern w:val="28"/>
        </w:rPr>
        <w:t>R.</w:t>
      </w:r>
      <w:r>
        <w:rPr>
          <w:kern w:val="28"/>
        </w:rPr>
        <w:t xml:space="preserve"> c. </w:t>
      </w:r>
      <w:r w:rsidRPr="00E92839">
        <w:rPr>
          <w:i/>
          <w:iCs/>
          <w:kern w:val="28"/>
        </w:rPr>
        <w:t>Le</w:t>
      </w:r>
      <w:r>
        <w:rPr>
          <w:rStyle w:val="Appelnotedebasdep"/>
          <w:i/>
          <w:iCs/>
          <w:kern w:val="28"/>
        </w:rPr>
        <w:footnoteReference w:id="54"/>
      </w:r>
      <w:r>
        <w:rPr>
          <w:kern w:val="28"/>
        </w:rPr>
        <w:t xml:space="preserve"> et </w:t>
      </w:r>
      <w:r w:rsidRPr="00E92839">
        <w:rPr>
          <w:i/>
          <w:iCs/>
          <w:kern w:val="28"/>
        </w:rPr>
        <w:t>Luamba</w:t>
      </w:r>
      <w:r>
        <w:rPr>
          <w:rStyle w:val="Appelnotedebasdep"/>
          <w:i/>
          <w:iCs/>
          <w:kern w:val="28"/>
        </w:rPr>
        <w:footnoteReference w:id="55"/>
      </w:r>
      <w:r w:rsidRPr="00E92839">
        <w:rPr>
          <w:i/>
          <w:iCs/>
          <w:kern w:val="28"/>
        </w:rPr>
        <w:t xml:space="preserve"> </w:t>
      </w:r>
      <w:r>
        <w:rPr>
          <w:kern w:val="28"/>
        </w:rPr>
        <w:t xml:space="preserve">concernant l’existence du profilage racial et la sur- interpellation </w:t>
      </w:r>
      <w:r w:rsidRPr="00E92839">
        <w:rPr>
          <w:kern w:val="28"/>
        </w:rPr>
        <w:t>policière auprès des collectivités racialisées et à faible revenu</w:t>
      </w:r>
      <w:r>
        <w:rPr>
          <w:kern w:val="28"/>
        </w:rPr>
        <w:t>, à ce stade, et en l’absence d’un cadre factuel précis, le Tribunal ne peut tirer la conclusion que le Règlement aura un effet disproportionné sur une partie particulière de la population.</w:t>
      </w:r>
      <w:r w:rsidR="00537172">
        <w:rPr>
          <w:kern w:val="28"/>
        </w:rPr>
        <w:t xml:space="preserve"> Il ne peut non plus présumer que l’objectif plus large annoncé dans le Règlement est un « prétexte » ou n’est pas l’objectif réel visé, ciblant un groupe </w:t>
      </w:r>
      <w:r w:rsidR="004D682D">
        <w:rPr>
          <w:kern w:val="28"/>
        </w:rPr>
        <w:t xml:space="preserve">en </w:t>
      </w:r>
      <w:r w:rsidR="00537172">
        <w:rPr>
          <w:kern w:val="28"/>
        </w:rPr>
        <w:t>particulier.</w:t>
      </w:r>
    </w:p>
    <w:p w14:paraId="5D3EBCF6" w14:textId="77777777" w:rsidR="007C2EFA" w:rsidRDefault="00B11239" w:rsidP="00696D55">
      <w:pPr>
        <w:numPr>
          <w:ilvl w:val="0"/>
          <w:numId w:val="1"/>
        </w:numPr>
        <w:tabs>
          <w:tab w:val="clear" w:pos="360"/>
        </w:tabs>
        <w:spacing w:before="120" w:after="120"/>
        <w:jc w:val="both"/>
        <w:rPr>
          <w:kern w:val="28"/>
        </w:rPr>
      </w:pPr>
      <w:r>
        <w:rPr>
          <w:kern w:val="28"/>
        </w:rPr>
        <w:t>Le débat sur cette question importante devra avoir lieu au fond, en présence d’une preuve directe et précise quant aux effets de ce Règlement sur les communautés racisées ou marginalisées.</w:t>
      </w:r>
    </w:p>
    <w:p w14:paraId="4AE40E4C" w14:textId="77777777" w:rsidR="007C2EFA" w:rsidRPr="00F41DCB" w:rsidRDefault="00B11239" w:rsidP="00696D55">
      <w:pPr>
        <w:numPr>
          <w:ilvl w:val="0"/>
          <w:numId w:val="1"/>
        </w:numPr>
        <w:tabs>
          <w:tab w:val="clear" w:pos="360"/>
        </w:tabs>
        <w:spacing w:before="120" w:after="120"/>
        <w:jc w:val="both"/>
        <w:rPr>
          <w:kern w:val="28"/>
        </w:rPr>
      </w:pPr>
      <w:r>
        <w:rPr>
          <w:kern w:val="28"/>
        </w:rPr>
        <w:t>Reste l’analyse de la prépondérance des inconvénients</w:t>
      </w:r>
      <w:r w:rsidR="004D682D">
        <w:rPr>
          <w:kern w:val="28"/>
        </w:rPr>
        <w:t>.</w:t>
      </w:r>
    </w:p>
    <w:p w14:paraId="2A0546CA" w14:textId="77777777" w:rsidR="00772542" w:rsidRPr="00CD5D12" w:rsidRDefault="00B11239" w:rsidP="00CD5D12">
      <w:pPr>
        <w:pStyle w:val="Titre2"/>
        <w:rPr>
          <w:sz w:val="22"/>
          <w:szCs w:val="22"/>
        </w:rPr>
      </w:pPr>
      <w:r w:rsidRPr="00CD5D12">
        <w:rPr>
          <w:sz w:val="22"/>
          <w:szCs w:val="22"/>
        </w:rPr>
        <w:t>La prépondérance des inconvénients</w:t>
      </w:r>
    </w:p>
    <w:p w14:paraId="27796A4F" w14:textId="77777777" w:rsidR="00772542" w:rsidRPr="007C2EFA" w:rsidRDefault="00B11239" w:rsidP="00696D55">
      <w:pPr>
        <w:numPr>
          <w:ilvl w:val="0"/>
          <w:numId w:val="1"/>
        </w:numPr>
        <w:tabs>
          <w:tab w:val="clear" w:pos="360"/>
        </w:tabs>
        <w:spacing w:before="120" w:after="120"/>
        <w:jc w:val="both"/>
        <w:rPr>
          <w:kern w:val="28"/>
        </w:rPr>
      </w:pPr>
      <w:r>
        <w:rPr>
          <w:rFonts w:cs="Arial"/>
          <w:color w:val="000000"/>
        </w:rPr>
        <w:t xml:space="preserve">Ce critère consiste à déterminer laquelle des deux parties subira le plus grand préjudice selon que l’on accorde ou refuse </w:t>
      </w:r>
      <w:r w:rsidR="00F0480E">
        <w:rPr>
          <w:rFonts w:cs="Arial"/>
          <w:color w:val="000000"/>
        </w:rPr>
        <w:t xml:space="preserve">le sursis </w:t>
      </w:r>
      <w:r>
        <w:rPr>
          <w:rFonts w:cs="Arial"/>
          <w:color w:val="000000"/>
        </w:rPr>
        <w:t>en attendant une décision sur le fond</w:t>
      </w:r>
      <w:r>
        <w:rPr>
          <w:rStyle w:val="Appelnotedebasdep"/>
          <w:rFonts w:cs="Arial"/>
          <w:color w:val="000000"/>
        </w:rPr>
        <w:footnoteReference w:id="56"/>
      </w:r>
      <w:r w:rsidR="008D7EA1">
        <w:rPr>
          <w:rFonts w:cs="Arial"/>
          <w:color w:val="000000"/>
        </w:rPr>
        <w:t>.</w:t>
      </w:r>
    </w:p>
    <w:p w14:paraId="77F011A4" w14:textId="77777777" w:rsidR="007C2EFA" w:rsidRPr="00F41DCB" w:rsidRDefault="00B11239" w:rsidP="007C2EFA">
      <w:pPr>
        <w:numPr>
          <w:ilvl w:val="0"/>
          <w:numId w:val="1"/>
        </w:numPr>
        <w:tabs>
          <w:tab w:val="clear" w:pos="360"/>
        </w:tabs>
        <w:spacing w:before="120" w:after="120"/>
        <w:jc w:val="both"/>
      </w:pPr>
      <w:r>
        <w:t xml:space="preserve">Comme le souligne à juste titre le juge Beetz dans </w:t>
      </w:r>
      <w:r w:rsidRPr="007C2EFA">
        <w:rPr>
          <w:i/>
          <w:iCs/>
        </w:rPr>
        <w:t>Metropolitan Stores</w:t>
      </w:r>
      <w:r>
        <w:t xml:space="preserve">, compte tenu des exigences minimales relativement peu élevées du premier critère et des difficultés </w:t>
      </w:r>
      <w:r w:rsidRPr="007C2EFA">
        <w:rPr>
          <w:rFonts w:cs="Arial"/>
          <w:color w:val="000000"/>
        </w:rPr>
        <w:t>d'application</w:t>
      </w:r>
      <w:r>
        <w:t xml:space="preserve"> du critère du préjudice irréparable dans des cas relevant de la </w:t>
      </w:r>
      <w:r w:rsidRPr="00B34FFB">
        <w:rPr>
          <w:i/>
          <w:iCs/>
        </w:rPr>
        <w:t>Charte</w:t>
      </w:r>
      <w:r>
        <w:t>, c'est à ce stade que seront décidées de nombreuses procédures interlocutoires</w:t>
      </w:r>
      <w:r>
        <w:rPr>
          <w:rStyle w:val="Appelnotedebasdep"/>
        </w:rPr>
        <w:footnoteReference w:id="57"/>
      </w:r>
      <w:r>
        <w:t>.</w:t>
      </w:r>
    </w:p>
    <w:p w14:paraId="4FE1C294" w14:textId="77777777" w:rsidR="00F41DCB" w:rsidRPr="00F41DCB" w:rsidRDefault="00B11239" w:rsidP="00696D55">
      <w:pPr>
        <w:numPr>
          <w:ilvl w:val="0"/>
          <w:numId w:val="1"/>
        </w:numPr>
        <w:tabs>
          <w:tab w:val="clear" w:pos="360"/>
        </w:tabs>
        <w:spacing w:before="120" w:after="120"/>
        <w:jc w:val="both"/>
        <w:rPr>
          <w:kern w:val="28"/>
        </w:rPr>
      </w:pPr>
      <w:r>
        <w:rPr>
          <w:rFonts w:cs="Arial"/>
          <w:color w:val="000000"/>
        </w:rPr>
        <w:t>Dans les litiges de nature constitutionnelle, l’intérêt public est un élément particulier à considérer dans l’appréciation de la prépondérance des inconvénients, et qui doit recevoir l’importance qu’il mérite</w:t>
      </w:r>
      <w:r>
        <w:rPr>
          <w:rStyle w:val="Appelnotedebasdep"/>
          <w:rFonts w:cs="Arial"/>
          <w:color w:val="000000"/>
        </w:rPr>
        <w:footnoteReference w:id="58"/>
      </w:r>
      <w:r>
        <w:rPr>
          <w:rFonts w:cs="Arial"/>
          <w:color w:val="000000"/>
        </w:rPr>
        <w:t>. Il existe en effet une présomption que la loi contestée a été adoptée pour le bien public et qu’elle poursuit un objectif d’intérêt général valable</w:t>
      </w:r>
      <w:bookmarkStart w:id="4" w:name="_ftnref132"/>
      <w:r>
        <w:rPr>
          <w:rStyle w:val="Hyperlien"/>
          <w:rFonts w:cs="Arial"/>
          <w:color w:val="auto"/>
          <w:u w:val="none"/>
        </w:rPr>
        <w:t>https://www.canlii.org/fr/qc/qcca/doc/2025/2025qcca629/2025qcca629.html - _ftn132</w:t>
      </w:r>
      <w:bookmarkEnd w:id="4"/>
      <w:r>
        <w:rPr>
          <w:rStyle w:val="Appelnotedebasdep"/>
          <w:rFonts w:cs="Arial"/>
          <w:color w:val="000000"/>
        </w:rPr>
        <w:footnoteReference w:id="59"/>
      </w:r>
      <w:r>
        <w:rPr>
          <w:rFonts w:cs="Arial"/>
          <w:color w:val="000000"/>
        </w:rPr>
        <w:t>.</w:t>
      </w:r>
    </w:p>
    <w:p w14:paraId="22F2874D" w14:textId="77777777" w:rsidR="00F41DCB" w:rsidRPr="00F41DCB" w:rsidRDefault="00B11239" w:rsidP="00696D55">
      <w:pPr>
        <w:numPr>
          <w:ilvl w:val="0"/>
          <w:numId w:val="1"/>
        </w:numPr>
        <w:tabs>
          <w:tab w:val="clear" w:pos="360"/>
        </w:tabs>
        <w:spacing w:before="120" w:after="120"/>
        <w:jc w:val="both"/>
        <w:rPr>
          <w:kern w:val="28"/>
        </w:rPr>
      </w:pPr>
      <w:r>
        <w:rPr>
          <w:rFonts w:cs="Arial"/>
          <w:color w:val="000000"/>
        </w:rPr>
        <w:t>Par ailleurs, </w:t>
      </w:r>
      <w:bookmarkStart w:id="5" w:name="_Hlk188014093"/>
      <w:r>
        <w:rPr>
          <w:rFonts w:cs="Arial"/>
          <w:color w:val="000000"/>
        </w:rPr>
        <w:t xml:space="preserve">le gouvernement n’a pas le monopole de l’intérêt </w:t>
      </w:r>
      <w:bookmarkEnd w:id="5"/>
      <w:r>
        <w:rPr>
          <w:rFonts w:cs="Arial"/>
          <w:color w:val="000000"/>
        </w:rPr>
        <w:t>public. La partie qui demande la suspension de la loi peut renverser cette présomption en démontrant que l’ordonnance recherchée serait elle-même à l’avantage du public</w:t>
      </w:r>
      <w:r>
        <w:rPr>
          <w:rStyle w:val="Appelnotedebasdep"/>
          <w:rFonts w:cs="Arial"/>
          <w:color w:val="000000"/>
        </w:rPr>
        <w:footnoteReference w:id="60"/>
      </w:r>
      <w:r>
        <w:rPr>
          <w:rFonts w:cs="Arial"/>
          <w:color w:val="000000"/>
        </w:rPr>
        <w:t xml:space="preserve">. </w:t>
      </w:r>
    </w:p>
    <w:p w14:paraId="4D3D5F27" w14:textId="77777777" w:rsidR="00F41DCB" w:rsidRPr="00640E46" w:rsidRDefault="00B11239" w:rsidP="00696D55">
      <w:pPr>
        <w:numPr>
          <w:ilvl w:val="0"/>
          <w:numId w:val="1"/>
        </w:numPr>
        <w:tabs>
          <w:tab w:val="clear" w:pos="360"/>
        </w:tabs>
        <w:spacing w:before="120" w:after="120"/>
        <w:jc w:val="both"/>
        <w:rPr>
          <w:kern w:val="28"/>
        </w:rPr>
      </w:pPr>
      <w:r>
        <w:rPr>
          <w:rFonts w:cs="Arial"/>
          <w:color w:val="000000"/>
        </w:rPr>
        <w:lastRenderedPageBreak/>
        <w:t>En l’espèce, les demanderesses n’ont pas démontré que l’intérêt public serait mieux servi par une ordonnance de sursis que par le maintien en vigueur du Règlement</w:t>
      </w:r>
      <w:r w:rsidR="00640E46">
        <w:rPr>
          <w:rFonts w:cs="Arial"/>
          <w:color w:val="000000"/>
        </w:rPr>
        <w:t>.</w:t>
      </w:r>
    </w:p>
    <w:p w14:paraId="46782E43" w14:textId="77777777" w:rsidR="00640E46" w:rsidRPr="00640E46" w:rsidRDefault="00B11239" w:rsidP="00696D55">
      <w:pPr>
        <w:numPr>
          <w:ilvl w:val="0"/>
          <w:numId w:val="1"/>
        </w:numPr>
        <w:tabs>
          <w:tab w:val="clear" w:pos="360"/>
        </w:tabs>
        <w:spacing w:before="120" w:after="120"/>
        <w:jc w:val="both"/>
        <w:rPr>
          <w:kern w:val="28"/>
        </w:rPr>
      </w:pPr>
      <w:r>
        <w:rPr>
          <w:rFonts w:cs="Arial"/>
          <w:color w:val="000000"/>
        </w:rPr>
        <w:t xml:space="preserve">Les demanderesses soutiennent que la liberté d’expression milite en faveur d’une tolérance extrême </w:t>
      </w:r>
      <w:r w:rsidR="00841BDC">
        <w:rPr>
          <w:rFonts w:cs="Arial"/>
          <w:color w:val="000000"/>
        </w:rPr>
        <w:t>envers les incivilités, même envers des policiers</w:t>
      </w:r>
      <w:r>
        <w:rPr>
          <w:rFonts w:cs="Arial"/>
          <w:color w:val="000000"/>
        </w:rPr>
        <w:t xml:space="preserve">. </w:t>
      </w:r>
      <w:r w:rsidR="00B34FFB" w:rsidRPr="00B34FFB">
        <w:rPr>
          <w:rFonts w:cs="Arial"/>
          <w:color w:val="000000"/>
        </w:rPr>
        <w:t xml:space="preserve">Elles vont jusqu’à </w:t>
      </w:r>
      <w:r w:rsidR="00B34FFB">
        <w:rPr>
          <w:rFonts w:cs="Arial"/>
          <w:color w:val="000000"/>
        </w:rPr>
        <w:t>argumenter</w:t>
      </w:r>
      <w:r w:rsidR="00B34FFB" w:rsidRPr="00B34FFB">
        <w:rPr>
          <w:rFonts w:cs="Arial"/>
          <w:color w:val="000000"/>
        </w:rPr>
        <w:t xml:space="preserve"> que l’intérêt public serait mieux servi par la tolérance de comportements et de propos incivils que par leur sanction. Selon elles, l’approche retenue par la Ville refléterait une conception de l’ordre public se rapprochant davantage d’un régime autoritaire, voire</w:t>
      </w:r>
      <w:r w:rsidR="00B34FFB">
        <w:rPr>
          <w:rFonts w:cs="Arial"/>
          <w:color w:val="000000"/>
        </w:rPr>
        <w:t xml:space="preserve"> d’un « État policier ». </w:t>
      </w:r>
      <w:r w:rsidR="000B306C">
        <w:rPr>
          <w:rFonts w:cs="Arial"/>
          <w:color w:val="000000"/>
        </w:rPr>
        <w:t xml:space="preserve">Elles ajoutent </w:t>
      </w:r>
      <w:r w:rsidR="000B306C" w:rsidRPr="000B306C">
        <w:rPr>
          <w:rFonts w:cs="Arial"/>
          <w:color w:val="000000"/>
        </w:rPr>
        <w:t xml:space="preserve">que le sursis recherché ne vise qu’à permettre le maintien du </w:t>
      </w:r>
      <w:r w:rsidR="000B306C" w:rsidRPr="000B306C">
        <w:rPr>
          <w:rFonts w:cs="Arial"/>
          <w:i/>
          <w:iCs/>
          <w:color w:val="000000"/>
        </w:rPr>
        <w:t>statu quo</w:t>
      </w:r>
      <w:r w:rsidR="000B306C" w:rsidRPr="000B306C">
        <w:rPr>
          <w:rFonts w:cs="Arial"/>
          <w:color w:val="000000"/>
        </w:rPr>
        <w:t xml:space="preserve"> avant l’adoption </w:t>
      </w:r>
      <w:r w:rsidR="000B306C">
        <w:rPr>
          <w:rFonts w:cs="Arial"/>
          <w:color w:val="000000"/>
        </w:rPr>
        <w:t>du Règlement</w:t>
      </w:r>
      <w:r w:rsidR="004D682D">
        <w:rPr>
          <w:rFonts w:cs="Arial"/>
          <w:color w:val="000000"/>
        </w:rPr>
        <w:t>,</w:t>
      </w:r>
      <w:r w:rsidR="000B306C">
        <w:rPr>
          <w:rFonts w:cs="Arial"/>
          <w:color w:val="000000"/>
        </w:rPr>
        <w:t xml:space="preserve"> </w:t>
      </w:r>
      <w:r w:rsidR="000B306C" w:rsidRPr="000B306C">
        <w:rPr>
          <w:rFonts w:cs="Arial"/>
          <w:color w:val="000000"/>
        </w:rPr>
        <w:t xml:space="preserve">et ce, dans un contexte juridique où plusieurs dispositions existent, notamment dans le </w:t>
      </w:r>
      <w:r w:rsidR="000B306C" w:rsidRPr="000B306C">
        <w:rPr>
          <w:rFonts w:cs="Arial"/>
          <w:i/>
          <w:iCs/>
          <w:color w:val="000000"/>
        </w:rPr>
        <w:t>Code criminel</w:t>
      </w:r>
      <w:r w:rsidR="000B306C" w:rsidRPr="000B306C">
        <w:rPr>
          <w:rFonts w:cs="Arial"/>
          <w:color w:val="000000"/>
        </w:rPr>
        <w:t>, pour enrayer les comportements qui dépassent clairement les bornes de ce qui est incivil ou offensant et créent un réel danger pour les employés</w:t>
      </w:r>
      <w:r w:rsidR="000B306C">
        <w:rPr>
          <w:rFonts w:cs="Arial"/>
          <w:color w:val="000000"/>
        </w:rPr>
        <w:t>.</w:t>
      </w:r>
    </w:p>
    <w:p w14:paraId="0B93AB0B" w14:textId="77777777" w:rsidR="00640E46" w:rsidRPr="00DD012E" w:rsidRDefault="00B11239" w:rsidP="00696D55">
      <w:pPr>
        <w:numPr>
          <w:ilvl w:val="0"/>
          <w:numId w:val="1"/>
        </w:numPr>
        <w:tabs>
          <w:tab w:val="clear" w:pos="360"/>
        </w:tabs>
        <w:spacing w:before="120" w:after="120"/>
        <w:jc w:val="both"/>
        <w:rPr>
          <w:kern w:val="28"/>
        </w:rPr>
      </w:pPr>
      <w:r>
        <w:rPr>
          <w:rFonts w:cs="Arial"/>
          <w:color w:val="000000"/>
        </w:rPr>
        <w:t>Ici encore, force est de constater qu’alors que les demanderesses</w:t>
      </w:r>
      <w:r w:rsidR="00841BDC">
        <w:rPr>
          <w:rFonts w:cs="Arial"/>
          <w:color w:val="000000"/>
        </w:rPr>
        <w:t xml:space="preserve"> </w:t>
      </w:r>
      <w:r>
        <w:rPr>
          <w:rFonts w:cs="Arial"/>
          <w:color w:val="000000"/>
        </w:rPr>
        <w:t xml:space="preserve">avaient le fardeau de démontrer que l’intérêt public serait mieux </w:t>
      </w:r>
      <w:r w:rsidR="007A07B9">
        <w:rPr>
          <w:rFonts w:cs="Arial"/>
          <w:color w:val="000000"/>
        </w:rPr>
        <w:t>servi</w:t>
      </w:r>
      <w:r>
        <w:rPr>
          <w:rFonts w:cs="Arial"/>
          <w:color w:val="000000"/>
        </w:rPr>
        <w:t xml:space="preserve"> par l’octroi du sursis, elles n’ont présenté aucune preuve en ce sens.</w:t>
      </w:r>
      <w:r w:rsidR="00841BDC">
        <w:rPr>
          <w:rFonts w:cs="Arial"/>
          <w:color w:val="000000"/>
        </w:rPr>
        <w:t xml:space="preserve"> Plusieurs fois pendant leurs plaidoiries, elles ont d’ailleurs </w:t>
      </w:r>
      <w:r w:rsidR="00DD012E">
        <w:rPr>
          <w:rFonts w:cs="Arial"/>
          <w:color w:val="000000"/>
        </w:rPr>
        <w:t>insinué</w:t>
      </w:r>
      <w:r w:rsidR="00841BDC">
        <w:rPr>
          <w:rFonts w:cs="Arial"/>
          <w:color w:val="000000"/>
        </w:rPr>
        <w:t xml:space="preserve"> que le fardeau revenait à la Ville de démontrer l’intérêt public prépondérant</w:t>
      </w:r>
      <w:r w:rsidR="00DF4692">
        <w:rPr>
          <w:rFonts w:cs="Arial"/>
          <w:color w:val="000000"/>
        </w:rPr>
        <w:t xml:space="preserve"> en présentant les bénéfices attendus ou anticipés du cadre règlementaire visé.</w:t>
      </w:r>
    </w:p>
    <w:p w14:paraId="3B156B49" w14:textId="77777777" w:rsidR="00E178DF" w:rsidRPr="00E178DF" w:rsidRDefault="00B11239" w:rsidP="00696D55">
      <w:pPr>
        <w:numPr>
          <w:ilvl w:val="0"/>
          <w:numId w:val="1"/>
        </w:numPr>
        <w:tabs>
          <w:tab w:val="clear" w:pos="360"/>
        </w:tabs>
        <w:spacing w:before="120" w:after="120"/>
        <w:jc w:val="both"/>
        <w:rPr>
          <w:kern w:val="28"/>
        </w:rPr>
      </w:pPr>
      <w:r>
        <w:rPr>
          <w:rFonts w:cs="Arial"/>
          <w:color w:val="000000"/>
        </w:rPr>
        <w:t xml:space="preserve">Or, </w:t>
      </w:r>
      <w:r w:rsidRPr="00E178DF">
        <w:rPr>
          <w:rFonts w:cs="Arial"/>
          <w:color w:val="000000"/>
        </w:rPr>
        <w:t>l</w:t>
      </w:r>
      <w:r>
        <w:rPr>
          <w:rFonts w:cs="Arial"/>
          <w:color w:val="000000"/>
        </w:rPr>
        <w:t>a Ville</w:t>
      </w:r>
      <w:r w:rsidRPr="00E178DF">
        <w:rPr>
          <w:rFonts w:cs="Arial"/>
          <w:color w:val="000000"/>
        </w:rPr>
        <w:t xml:space="preserve"> bénéficie d’une présomption selon laquelle le Règlement a été adopté dans l’intérêt public, soit afin de favoriser la civilité au sein de la population ainsi que de protéger la santé psychologique et la sécurité du personnel municipal. Il est également présumé que son application immédiate sert cet intérêt public. </w:t>
      </w:r>
      <w:r w:rsidR="00B34FFB">
        <w:rPr>
          <w:rFonts w:cs="Arial"/>
          <w:color w:val="000000"/>
        </w:rPr>
        <w:t>Le Tribunal ne doit pas se demander si le Règlement a réellement cet effet ni exiger une preuve à cet égard, il doit le supposer et présumer que l’intérêt public commande l’application continue du Règlement</w:t>
      </w:r>
      <w:r>
        <w:rPr>
          <w:rStyle w:val="Appelnotedebasdep"/>
          <w:rFonts w:cs="Arial"/>
          <w:color w:val="000000"/>
        </w:rPr>
        <w:footnoteReference w:id="61"/>
      </w:r>
      <w:r w:rsidR="00B34FFB">
        <w:rPr>
          <w:rFonts w:cs="Arial"/>
          <w:color w:val="000000"/>
        </w:rPr>
        <w:t xml:space="preserve">. </w:t>
      </w:r>
      <w:r w:rsidRPr="00E178DF">
        <w:rPr>
          <w:rFonts w:cs="Arial"/>
          <w:color w:val="000000"/>
        </w:rPr>
        <w:t>Dans ce contexte, l</w:t>
      </w:r>
      <w:r>
        <w:rPr>
          <w:rFonts w:cs="Arial"/>
          <w:color w:val="000000"/>
        </w:rPr>
        <w:t>a Ville</w:t>
      </w:r>
      <w:r w:rsidR="00B34FFB">
        <w:rPr>
          <w:rFonts w:cs="Arial"/>
          <w:color w:val="000000"/>
        </w:rPr>
        <w:t xml:space="preserve"> pouvait très bien s’en remettre à ces présomptions bien établies</w:t>
      </w:r>
      <w:r w:rsidR="004C5A6F">
        <w:rPr>
          <w:rFonts w:cs="Arial"/>
          <w:color w:val="000000"/>
        </w:rPr>
        <w:t xml:space="preserve"> et ne présenter aucune preuve de ces éléments à ce stade</w:t>
      </w:r>
      <w:r>
        <w:rPr>
          <w:rStyle w:val="Appelnotedebasdep"/>
          <w:rFonts w:cs="Arial"/>
          <w:color w:val="000000"/>
        </w:rPr>
        <w:footnoteReference w:id="62"/>
      </w:r>
      <w:r w:rsidRPr="00E178DF">
        <w:rPr>
          <w:rFonts w:cs="Arial"/>
          <w:color w:val="000000"/>
        </w:rPr>
        <w:t xml:space="preserve">. </w:t>
      </w:r>
    </w:p>
    <w:p w14:paraId="3FC1A264" w14:textId="77777777" w:rsidR="00DD012E" w:rsidRPr="000B306C" w:rsidRDefault="00B11239" w:rsidP="00696D55">
      <w:pPr>
        <w:numPr>
          <w:ilvl w:val="0"/>
          <w:numId w:val="1"/>
        </w:numPr>
        <w:tabs>
          <w:tab w:val="clear" w:pos="360"/>
        </w:tabs>
        <w:spacing w:before="120" w:after="120"/>
        <w:jc w:val="both"/>
        <w:rPr>
          <w:kern w:val="28"/>
        </w:rPr>
      </w:pPr>
      <w:r w:rsidRPr="00E178DF">
        <w:rPr>
          <w:rFonts w:cs="Arial"/>
          <w:color w:val="000000"/>
        </w:rPr>
        <w:t>Il incombait plutôt aux demanderesses d’assumer le lourd fardeau de démontrer que l’intérêt public serait davantage servi par l’octroi d’une ordonnance de sursis que par le maintien en vigueur du Règlement</w:t>
      </w:r>
      <w:r>
        <w:rPr>
          <w:rStyle w:val="Appelnotedebasdep"/>
          <w:rFonts w:cs="Arial"/>
          <w:color w:val="000000"/>
        </w:rPr>
        <w:footnoteReference w:id="63"/>
      </w:r>
      <w:r>
        <w:rPr>
          <w:rFonts w:cs="Arial"/>
          <w:color w:val="000000"/>
        </w:rPr>
        <w:t>. Le tout dans un contexte où le Tribunal se doit d’être très prudent avant d’ordonner le sursis d’un règlement ou d’une loi sur une base interlocutoire sans bénéficier de l’ensemble de la preuve et du débat de fond</w:t>
      </w:r>
      <w:r>
        <w:rPr>
          <w:rStyle w:val="Appelnotedebasdep"/>
          <w:rFonts w:cs="Arial"/>
          <w:color w:val="000000"/>
        </w:rPr>
        <w:footnoteReference w:id="64"/>
      </w:r>
      <w:r>
        <w:rPr>
          <w:rFonts w:cs="Arial"/>
          <w:color w:val="000000"/>
        </w:rPr>
        <w:t xml:space="preserve">. Comme la Cour suprême l’a expliqué dans </w:t>
      </w:r>
      <w:r w:rsidRPr="00E178DF">
        <w:rPr>
          <w:rFonts w:cs="Arial"/>
          <w:i/>
          <w:iCs/>
          <w:color w:val="000000"/>
        </w:rPr>
        <w:t>Harper</w:t>
      </w:r>
      <w:r>
        <w:rPr>
          <w:rFonts w:cs="Arial"/>
          <w:color w:val="000000"/>
        </w:rPr>
        <w:t>, une telle ordonnance ne sera généralement émise que dans des cas manifestes</w:t>
      </w:r>
      <w:r>
        <w:rPr>
          <w:rStyle w:val="Appelnotedebasdep"/>
          <w:rFonts w:cs="Arial"/>
          <w:color w:val="000000"/>
        </w:rPr>
        <w:footnoteReference w:id="65"/>
      </w:r>
      <w:r>
        <w:rPr>
          <w:rFonts w:cs="Arial"/>
          <w:color w:val="000000"/>
        </w:rPr>
        <w:t>.</w:t>
      </w:r>
    </w:p>
    <w:p w14:paraId="027FAC20" w14:textId="77777777" w:rsidR="000B306C" w:rsidRPr="00E178DF" w:rsidRDefault="00B11239" w:rsidP="00696D55">
      <w:pPr>
        <w:numPr>
          <w:ilvl w:val="0"/>
          <w:numId w:val="1"/>
        </w:numPr>
        <w:tabs>
          <w:tab w:val="clear" w:pos="360"/>
        </w:tabs>
        <w:spacing w:before="120" w:after="120"/>
        <w:jc w:val="both"/>
        <w:rPr>
          <w:kern w:val="28"/>
        </w:rPr>
      </w:pPr>
      <w:r>
        <w:rPr>
          <w:rFonts w:cs="Arial"/>
          <w:color w:val="000000"/>
        </w:rPr>
        <w:t>Elles ne se sont pas déchargées de ce fardeau.</w:t>
      </w:r>
      <w:r w:rsidR="00F0480E">
        <w:rPr>
          <w:rFonts w:cs="Arial"/>
          <w:color w:val="000000"/>
        </w:rPr>
        <w:t xml:space="preserve"> Le Tribunal ne fait pas face à un de ces cas manifestes.</w:t>
      </w:r>
    </w:p>
    <w:p w14:paraId="76FAFA46" w14:textId="77777777" w:rsidR="00E178DF" w:rsidRDefault="00B11239" w:rsidP="00696D55">
      <w:pPr>
        <w:numPr>
          <w:ilvl w:val="0"/>
          <w:numId w:val="1"/>
        </w:numPr>
        <w:tabs>
          <w:tab w:val="clear" w:pos="360"/>
        </w:tabs>
        <w:spacing w:before="120" w:after="120"/>
        <w:jc w:val="both"/>
        <w:rPr>
          <w:kern w:val="28"/>
        </w:rPr>
      </w:pPr>
      <w:r>
        <w:rPr>
          <w:kern w:val="28"/>
        </w:rPr>
        <w:lastRenderedPageBreak/>
        <w:t>D’abord, il est bien établi que l’objectif poursuivi par un régime pénal réglementaire est for</w:t>
      </w:r>
      <w:r w:rsidR="004D682D">
        <w:rPr>
          <w:kern w:val="28"/>
        </w:rPr>
        <w:t>t</w:t>
      </w:r>
      <w:r>
        <w:rPr>
          <w:kern w:val="28"/>
        </w:rPr>
        <w:t xml:space="preserve"> différent de celui poursuivi dans le cadre du régime criminel</w:t>
      </w:r>
      <w:r w:rsidR="006354C7">
        <w:rPr>
          <w:kern w:val="28"/>
        </w:rPr>
        <w:t> :</w:t>
      </w:r>
    </w:p>
    <w:p w14:paraId="1560478C" w14:textId="77777777" w:rsidR="006354C7" w:rsidRDefault="00B11239" w:rsidP="006354C7">
      <w:pPr>
        <w:spacing w:before="120" w:after="120"/>
        <w:ind w:left="851" w:right="573"/>
        <w:jc w:val="both"/>
        <w:rPr>
          <w:kern w:val="28"/>
        </w:rPr>
      </w:pPr>
      <w:r>
        <w:rPr>
          <w:rFonts w:cs="Arial"/>
          <w:color w:val="000000"/>
          <w:sz w:val="22"/>
          <w:szCs w:val="22"/>
        </w:rPr>
        <w:t>[90] Chacun de ces régimes, soit le régime pénal réglementaire et le régime criminel, répond à des objectifs sociaux importants et complémentaires, mais par ailleurs différents. Pour citer le juge Cory, tandis « que les infractions criminelles sont habituellement conçues afin de condamner et de punir une conduite antérieure répréhensible en soi, les mesures réglementaires visent généralement à prévenir un préjudice futur par l’application de normes minimales de conduite et de prudence » (Wholesale Travel, p.219). Il est donc essentiel de ne pas occulter les différences essentielles entre les deux régimes et ainsi affaiblir l’application de l’un en dénaturant l’application de l’autre.</w:t>
      </w:r>
      <w:r>
        <w:rPr>
          <w:rStyle w:val="Appelnotedebasdep"/>
          <w:rFonts w:cs="Arial"/>
          <w:color w:val="000000"/>
          <w:sz w:val="22"/>
          <w:szCs w:val="22"/>
        </w:rPr>
        <w:footnoteReference w:id="66"/>
      </w:r>
    </w:p>
    <w:p w14:paraId="29A5707F" w14:textId="77777777" w:rsidR="006354C7" w:rsidRPr="00980500" w:rsidRDefault="00B11239" w:rsidP="00696D55">
      <w:pPr>
        <w:numPr>
          <w:ilvl w:val="0"/>
          <w:numId w:val="1"/>
        </w:numPr>
        <w:tabs>
          <w:tab w:val="clear" w:pos="360"/>
        </w:tabs>
        <w:spacing w:before="120" w:after="120"/>
        <w:jc w:val="both"/>
        <w:rPr>
          <w:kern w:val="28"/>
          <w:szCs w:val="24"/>
        </w:rPr>
      </w:pPr>
      <w:r>
        <w:rPr>
          <w:rFonts w:cs="Arial"/>
          <w:color w:val="000000"/>
          <w:szCs w:val="24"/>
        </w:rPr>
        <w:t>Plus précisément, l</w:t>
      </w:r>
      <w:r w:rsidRPr="00980500">
        <w:rPr>
          <w:rFonts w:cs="Arial"/>
          <w:color w:val="000000"/>
          <w:szCs w:val="24"/>
        </w:rPr>
        <w:t>es infractions réglementaires sont prévues pour assurer la protection du public. Les intérêts soci</w:t>
      </w:r>
      <w:r w:rsidR="00F0480E">
        <w:rPr>
          <w:rFonts w:cs="Arial"/>
          <w:color w:val="000000"/>
          <w:szCs w:val="24"/>
        </w:rPr>
        <w:t>étaux</w:t>
      </w:r>
      <w:r w:rsidRPr="00980500">
        <w:rPr>
          <w:rFonts w:cs="Arial"/>
          <w:color w:val="000000"/>
          <w:szCs w:val="24"/>
        </w:rPr>
        <w:t xml:space="preserve"> en jeu revêtent une importance fondamentale. Il est absolument essentiel que les gouvernements aient la capacité de faire appliquer une norme de diligence raisonnable dans les activités qui ont une </w:t>
      </w:r>
      <w:r w:rsidRPr="00980500">
        <w:rPr>
          <w:kern w:val="28"/>
          <w:szCs w:val="24"/>
        </w:rPr>
        <w:t>incidence</w:t>
      </w:r>
      <w:r w:rsidRPr="00980500">
        <w:rPr>
          <w:rFonts w:cs="Arial"/>
          <w:color w:val="000000"/>
          <w:szCs w:val="24"/>
        </w:rPr>
        <w:t xml:space="preserve"> sur le bien-être public. Les objectifs louables auxquels servent les </w:t>
      </w:r>
      <w:r>
        <w:rPr>
          <w:rFonts w:cs="Arial"/>
          <w:color w:val="000000"/>
          <w:szCs w:val="24"/>
        </w:rPr>
        <w:t>l</w:t>
      </w:r>
      <w:r w:rsidRPr="00980500">
        <w:rPr>
          <w:rFonts w:cs="Arial"/>
          <w:color w:val="000000"/>
          <w:szCs w:val="24"/>
        </w:rPr>
        <w:t>ois de nature réglementaire ne devraient pas être contrecarrés par l’application de principes élaborés dans un autre contexte</w:t>
      </w:r>
      <w:r>
        <w:rPr>
          <w:rStyle w:val="Appelnotedebasdep"/>
          <w:rFonts w:cs="Arial"/>
          <w:color w:val="000000"/>
          <w:szCs w:val="24"/>
        </w:rPr>
        <w:footnoteReference w:id="67"/>
      </w:r>
      <w:r>
        <w:rPr>
          <w:rFonts w:cs="Arial"/>
          <w:color w:val="000000"/>
          <w:szCs w:val="24"/>
        </w:rPr>
        <w:t>.</w:t>
      </w:r>
    </w:p>
    <w:p w14:paraId="4AD9792D" w14:textId="77777777" w:rsidR="00DF4692" w:rsidRPr="00B34FFB" w:rsidRDefault="00B11239" w:rsidP="00696D55">
      <w:pPr>
        <w:numPr>
          <w:ilvl w:val="0"/>
          <w:numId w:val="1"/>
        </w:numPr>
        <w:tabs>
          <w:tab w:val="clear" w:pos="360"/>
        </w:tabs>
        <w:spacing w:before="120" w:after="120"/>
        <w:jc w:val="both"/>
        <w:rPr>
          <w:kern w:val="28"/>
          <w:szCs w:val="24"/>
        </w:rPr>
      </w:pPr>
      <w:r>
        <w:rPr>
          <w:rFonts w:cs="Arial"/>
          <w:color w:val="000000"/>
          <w:szCs w:val="24"/>
        </w:rPr>
        <w:t xml:space="preserve">Ainsi, l’argument avancé par les demanderesses que le </w:t>
      </w:r>
      <w:r w:rsidRPr="00B34FFB">
        <w:rPr>
          <w:rFonts w:cs="Arial"/>
          <w:i/>
          <w:iCs/>
          <w:color w:val="000000"/>
          <w:szCs w:val="24"/>
        </w:rPr>
        <w:t>Code criminel</w:t>
      </w:r>
      <w:r>
        <w:rPr>
          <w:rFonts w:cs="Arial"/>
          <w:color w:val="000000"/>
          <w:szCs w:val="24"/>
        </w:rPr>
        <w:t xml:space="preserve"> peut suppléer au vide </w:t>
      </w:r>
      <w:r w:rsidR="004D682D">
        <w:rPr>
          <w:rFonts w:cs="Arial"/>
          <w:color w:val="000000"/>
          <w:szCs w:val="24"/>
        </w:rPr>
        <w:t xml:space="preserve">qui serait </w:t>
      </w:r>
      <w:r>
        <w:rPr>
          <w:rFonts w:cs="Arial"/>
          <w:color w:val="000000"/>
          <w:szCs w:val="24"/>
        </w:rPr>
        <w:t>laissé par l</w:t>
      </w:r>
      <w:r w:rsidR="00B34FFB">
        <w:rPr>
          <w:rFonts w:cs="Arial"/>
          <w:color w:val="000000"/>
          <w:szCs w:val="24"/>
        </w:rPr>
        <w:t>a suspension du</w:t>
      </w:r>
      <w:r>
        <w:rPr>
          <w:rFonts w:cs="Arial"/>
          <w:color w:val="000000"/>
          <w:szCs w:val="24"/>
        </w:rPr>
        <w:t xml:space="preserve"> Règlement en attendant l’issue au fond </w:t>
      </w:r>
      <w:r w:rsidR="004D682D">
        <w:rPr>
          <w:rFonts w:cs="Arial"/>
          <w:color w:val="000000"/>
          <w:szCs w:val="24"/>
        </w:rPr>
        <w:t xml:space="preserve">du pourvoi </w:t>
      </w:r>
      <w:r>
        <w:rPr>
          <w:rFonts w:cs="Arial"/>
          <w:color w:val="000000"/>
          <w:szCs w:val="24"/>
        </w:rPr>
        <w:t>est</w:t>
      </w:r>
      <w:r w:rsidR="00F0480E">
        <w:rPr>
          <w:rFonts w:cs="Arial"/>
          <w:color w:val="000000"/>
          <w:szCs w:val="24"/>
        </w:rPr>
        <w:t>, pour le moins,</w:t>
      </w:r>
      <w:r>
        <w:rPr>
          <w:rFonts w:cs="Arial"/>
          <w:color w:val="000000"/>
          <w:szCs w:val="24"/>
        </w:rPr>
        <w:t xml:space="preserve"> tendancieux. On ne peut interchang</w:t>
      </w:r>
      <w:r w:rsidR="004D682D">
        <w:rPr>
          <w:rFonts w:cs="Arial"/>
          <w:color w:val="000000"/>
          <w:szCs w:val="24"/>
        </w:rPr>
        <w:t>er</w:t>
      </w:r>
      <w:r>
        <w:rPr>
          <w:rFonts w:cs="Arial"/>
          <w:color w:val="000000"/>
          <w:szCs w:val="24"/>
        </w:rPr>
        <w:t xml:space="preserve"> ces régimes qui servent des objectifs très différents.</w:t>
      </w:r>
    </w:p>
    <w:p w14:paraId="140A804D" w14:textId="77777777" w:rsidR="007A07B9" w:rsidRPr="007A07B9" w:rsidRDefault="00B11239" w:rsidP="00696D55">
      <w:pPr>
        <w:numPr>
          <w:ilvl w:val="0"/>
          <w:numId w:val="1"/>
        </w:numPr>
        <w:tabs>
          <w:tab w:val="clear" w:pos="360"/>
        </w:tabs>
        <w:spacing w:before="120" w:after="120"/>
        <w:jc w:val="both"/>
        <w:rPr>
          <w:kern w:val="28"/>
          <w:szCs w:val="24"/>
        </w:rPr>
      </w:pPr>
      <w:r>
        <w:rPr>
          <w:rFonts w:cs="Arial"/>
          <w:color w:val="000000"/>
          <w:szCs w:val="24"/>
        </w:rPr>
        <w:t xml:space="preserve">Ensuite, </w:t>
      </w:r>
      <w:r w:rsidR="004C5A6F">
        <w:rPr>
          <w:rFonts w:cs="Arial"/>
          <w:color w:val="000000"/>
          <w:szCs w:val="24"/>
        </w:rPr>
        <w:t xml:space="preserve">les conséquences potentielles du non-respect du Règlement sont des </w:t>
      </w:r>
      <w:r w:rsidR="003B5241">
        <w:rPr>
          <w:rFonts w:cs="Arial"/>
          <w:color w:val="000000"/>
          <w:szCs w:val="24"/>
        </w:rPr>
        <w:t>amendes</w:t>
      </w:r>
      <w:r w:rsidR="004C5A6F">
        <w:rPr>
          <w:rFonts w:cs="Arial"/>
          <w:color w:val="000000"/>
          <w:szCs w:val="24"/>
        </w:rPr>
        <w:t xml:space="preserve"> potentielles variant entre </w:t>
      </w:r>
      <w:r w:rsidR="004C5A6F">
        <w:t xml:space="preserve">300 $ à 1 000 $ pour une première infraction et entre 700 $ à 2 000 $ pour une deuxième infraction. Ces contraventions pourront être contestées par le justiciable devant le juge de juridiction pénale qui aura toute la latitude pour </w:t>
      </w:r>
      <w:r w:rsidR="003B5241">
        <w:t>l’</w:t>
      </w:r>
      <w:r w:rsidR="004C5A6F">
        <w:t xml:space="preserve">acquitter s’il y a lieu selon les circonstances propres de chaque infraction et en regard des garanties propres au processus pénal, en attendant l’issue du pourvoi. </w:t>
      </w:r>
    </w:p>
    <w:p w14:paraId="71E8D25A" w14:textId="77777777" w:rsidR="00B34FFB" w:rsidRPr="007027F2" w:rsidRDefault="00B11239" w:rsidP="00696D55">
      <w:pPr>
        <w:numPr>
          <w:ilvl w:val="0"/>
          <w:numId w:val="1"/>
        </w:numPr>
        <w:tabs>
          <w:tab w:val="clear" w:pos="360"/>
        </w:tabs>
        <w:spacing w:before="120" w:after="120"/>
        <w:jc w:val="both"/>
        <w:rPr>
          <w:kern w:val="28"/>
          <w:szCs w:val="24"/>
        </w:rPr>
      </w:pPr>
      <w:r>
        <w:t xml:space="preserve">En termes de </w:t>
      </w:r>
      <w:r w:rsidRPr="00952B2C">
        <w:t>balance des inconvénients, le préjudice allégué par les demanderesses paraît</w:t>
      </w:r>
      <w:r w:rsidR="003B5241">
        <w:t xml:space="preserve"> donc</w:t>
      </w:r>
      <w:r w:rsidRPr="00952B2C">
        <w:t xml:space="preserve"> moins sérieux </w:t>
      </w:r>
      <w:r>
        <w:t xml:space="preserve">lorsque pondéré à la lumière du fait </w:t>
      </w:r>
      <w:r w:rsidRPr="00952B2C">
        <w:t>que</w:t>
      </w:r>
      <w:r w:rsidR="004D682D">
        <w:t>,</w:t>
      </w:r>
      <w:r w:rsidRPr="00952B2C">
        <w:t xml:space="preserve"> même dans l’éventualité où une contravention</w:t>
      </w:r>
      <w:r>
        <w:t xml:space="preserve"> </w:t>
      </w:r>
      <w:r w:rsidRPr="00952B2C">
        <w:t>serait délivrée</w:t>
      </w:r>
      <w:r>
        <w:t xml:space="preserve"> à un justiciable</w:t>
      </w:r>
      <w:r w:rsidRPr="00952B2C">
        <w:t xml:space="preserve">, </w:t>
      </w:r>
      <w:r>
        <w:t>il</w:t>
      </w:r>
      <w:r w:rsidRPr="00952B2C">
        <w:t xml:space="preserve"> conserverait la possibilité bien réelle d</w:t>
      </w:r>
      <w:r w:rsidR="003B5241">
        <w:t xml:space="preserve">e la </w:t>
      </w:r>
      <w:r w:rsidRPr="00952B2C">
        <w:t>contester devant les instances compétentes et de faire valoir l’ensemble de</w:t>
      </w:r>
      <w:r>
        <w:t xml:space="preserve"> ses</w:t>
      </w:r>
      <w:r w:rsidRPr="00952B2C">
        <w:t xml:space="preserve"> moyens de droit</w:t>
      </w:r>
      <w:r w:rsidR="004C5A6F">
        <w:t>.</w:t>
      </w:r>
    </w:p>
    <w:p w14:paraId="0BDAB25F" w14:textId="77777777" w:rsidR="007027F2" w:rsidRPr="00F0480E" w:rsidRDefault="00B11239" w:rsidP="00696D55">
      <w:pPr>
        <w:numPr>
          <w:ilvl w:val="0"/>
          <w:numId w:val="1"/>
        </w:numPr>
        <w:tabs>
          <w:tab w:val="clear" w:pos="360"/>
        </w:tabs>
        <w:spacing w:before="120" w:after="120"/>
        <w:jc w:val="both"/>
        <w:rPr>
          <w:kern w:val="28"/>
          <w:szCs w:val="24"/>
        </w:rPr>
      </w:pPr>
      <w:r>
        <w:t>Par conséquent, la prépondérance des inconvénients milite en faveur du rejet du sursis.</w:t>
      </w:r>
    </w:p>
    <w:p w14:paraId="5FF99ABC" w14:textId="77777777" w:rsidR="00F0480E" w:rsidRPr="004C5A6F" w:rsidRDefault="00B11239" w:rsidP="00F0480E">
      <w:pPr>
        <w:pStyle w:val="Titre1"/>
      </w:pPr>
      <w:r>
        <w:lastRenderedPageBreak/>
        <w:t>CONCLUSION</w:t>
      </w:r>
    </w:p>
    <w:p w14:paraId="05B20F4B" w14:textId="77777777" w:rsidR="00F0480E" w:rsidRPr="00F0480E" w:rsidRDefault="00B11239" w:rsidP="00696D55">
      <w:pPr>
        <w:numPr>
          <w:ilvl w:val="0"/>
          <w:numId w:val="1"/>
        </w:numPr>
        <w:tabs>
          <w:tab w:val="clear" w:pos="360"/>
        </w:tabs>
        <w:spacing w:before="120" w:after="120"/>
        <w:jc w:val="both"/>
        <w:rPr>
          <w:kern w:val="28"/>
          <w:szCs w:val="24"/>
        </w:rPr>
      </w:pPr>
      <w:r>
        <w:t xml:space="preserve">En somme, le présent dossier ne revêt pas un caractère manifeste qui commanderait la levée immédiate et complète du Règlement adopté par la Ville, conformément à la volonté démocratique de la majorité des élus. À ce stade, le Tribunal ne doit pas juger de l’opportunité </w:t>
      </w:r>
      <w:r w:rsidR="003B5241">
        <w:t>ni</w:t>
      </w:r>
      <w:r w:rsidR="00952B2C">
        <w:t xml:space="preserve"> de l’efficacité du Règlement, ce qui reviendrait à examiner la sagesse de cette législation</w:t>
      </w:r>
      <w:r w:rsidR="004D682D">
        <w:t>. C</w:t>
      </w:r>
      <w:r w:rsidR="00952B2C">
        <w:t>e n’est pas son rôle dans le cadre d’un sursis</w:t>
      </w:r>
      <w:r>
        <w:rPr>
          <w:rStyle w:val="Appelnotedebasdep"/>
        </w:rPr>
        <w:footnoteReference w:id="68"/>
      </w:r>
      <w:r w:rsidR="00952B2C">
        <w:t>.</w:t>
      </w:r>
    </w:p>
    <w:p w14:paraId="1B01606D" w14:textId="77777777" w:rsidR="00F0480E" w:rsidRPr="00F0480E" w:rsidRDefault="00B11239" w:rsidP="00696D55">
      <w:pPr>
        <w:numPr>
          <w:ilvl w:val="0"/>
          <w:numId w:val="1"/>
        </w:numPr>
        <w:tabs>
          <w:tab w:val="clear" w:pos="360"/>
        </w:tabs>
        <w:spacing w:before="120" w:after="120"/>
        <w:jc w:val="both"/>
        <w:rPr>
          <w:kern w:val="28"/>
          <w:szCs w:val="24"/>
        </w:rPr>
      </w:pPr>
      <w:r>
        <w:t xml:space="preserve"> </w:t>
      </w:r>
      <w:r>
        <w:rPr>
          <w:kern w:val="28"/>
        </w:rPr>
        <w:t>À ce stade précis, une intervention du pouvoir judiciaire pour suspendre l’exercice du pouvoir législatif, demeure rarissime et ne sera d’actualité qu’en présence d’un cas manifeste où le maintien de la législation jusqu’au mérite de l’affaire cause clairement un préjudice irréparable qu’il convient de juguler en amont.</w:t>
      </w:r>
    </w:p>
    <w:p w14:paraId="1EDD0792" w14:textId="77777777" w:rsidR="004C5A6F" w:rsidRPr="00DF4692" w:rsidRDefault="00B11239" w:rsidP="00696D55">
      <w:pPr>
        <w:numPr>
          <w:ilvl w:val="0"/>
          <w:numId w:val="1"/>
        </w:numPr>
        <w:tabs>
          <w:tab w:val="clear" w:pos="360"/>
        </w:tabs>
        <w:spacing w:before="120" w:after="120"/>
        <w:jc w:val="both"/>
        <w:rPr>
          <w:kern w:val="28"/>
          <w:szCs w:val="24"/>
        </w:rPr>
      </w:pPr>
      <w:r>
        <w:t>En l’espèce, i</w:t>
      </w:r>
      <w:r w:rsidR="00952B2C">
        <w:t>l y a lieu de laisser la séquence normale de l’instance en contrôle judiciaire suivre son cours et permettre la tenue d’un débat complet et costaud quant à la validité du Règlement.</w:t>
      </w:r>
    </w:p>
    <w:p w14:paraId="20783AF1" w14:textId="77777777" w:rsidR="00CF51ED" w:rsidRDefault="00B11239" w:rsidP="00696D55">
      <w:pPr>
        <w:pStyle w:val="Titre1"/>
      </w:pPr>
      <w:bookmarkStart w:id="6" w:name="_Toc56788872"/>
      <w:r w:rsidRPr="00772542">
        <w:t>POUR CES MOTIFS, LE TRIBUNAL :</w:t>
      </w:r>
      <w:bookmarkEnd w:id="2"/>
      <w:bookmarkEnd w:id="6"/>
    </w:p>
    <w:p w14:paraId="3F79ED4B" w14:textId="77777777" w:rsidR="00D47A26" w:rsidRDefault="00B11239" w:rsidP="004D682D">
      <w:pPr>
        <w:pStyle w:val="Paragrsimple"/>
      </w:pPr>
      <w:r w:rsidRPr="00952B2C">
        <w:rPr>
          <w:b/>
          <w:bCs/>
        </w:rPr>
        <w:t>REJETTE</w:t>
      </w:r>
      <w:r>
        <w:t xml:space="preserve"> la demande de sursis des demanderesses.</w:t>
      </w:r>
    </w:p>
    <w:p w14:paraId="4391237F" w14:textId="77777777" w:rsidR="00952B2C" w:rsidRPr="00952B2C" w:rsidRDefault="00B11239" w:rsidP="004D682D">
      <w:pPr>
        <w:pStyle w:val="Paragrdouble"/>
        <w:spacing w:line="240" w:lineRule="auto"/>
      </w:pPr>
      <w:r w:rsidRPr="00952B2C">
        <w:rPr>
          <w:b/>
          <w:bCs/>
        </w:rPr>
        <w:t>LE TOUT</w:t>
      </w:r>
      <w:r>
        <w:t>, frais à suivre.</w:t>
      </w:r>
    </w:p>
    <w:tbl>
      <w:tblPr>
        <w:tblW w:w="9505" w:type="dxa"/>
        <w:tblLayout w:type="fixed"/>
        <w:tblCellMar>
          <w:left w:w="70" w:type="dxa"/>
          <w:right w:w="70" w:type="dxa"/>
        </w:tblCellMar>
        <w:tblLook w:val="0000" w:firstRow="0" w:lastRow="0" w:firstColumn="0" w:lastColumn="0" w:noHBand="0" w:noVBand="0"/>
      </w:tblPr>
      <w:tblGrid>
        <w:gridCol w:w="2197"/>
        <w:gridCol w:w="2670"/>
        <w:gridCol w:w="4638"/>
      </w:tblGrid>
      <w:tr w:rsidR="00487E50" w14:paraId="03880E85" w14:textId="77777777" w:rsidTr="00BA153A">
        <w:trPr>
          <w:trHeight w:val="576"/>
        </w:trPr>
        <w:tc>
          <w:tcPr>
            <w:tcW w:w="9505" w:type="dxa"/>
            <w:gridSpan w:val="3"/>
          </w:tcPr>
          <w:p w14:paraId="320BA364" w14:textId="77777777" w:rsidR="00121A72" w:rsidRDefault="00121A72" w:rsidP="00696D55">
            <w:pPr>
              <w:keepNext/>
              <w:keepLines/>
            </w:pPr>
          </w:p>
        </w:tc>
      </w:tr>
      <w:tr w:rsidR="00487E50" w14:paraId="4BEDB917" w14:textId="77777777" w:rsidTr="00BA153A">
        <w:tblPrEx>
          <w:tblCellMar>
            <w:left w:w="0" w:type="dxa"/>
            <w:right w:w="0" w:type="dxa"/>
          </w:tblCellMar>
        </w:tblPrEx>
        <w:trPr>
          <w:cantSplit/>
        </w:trPr>
        <w:tc>
          <w:tcPr>
            <w:tcW w:w="4867" w:type="dxa"/>
            <w:gridSpan w:val="2"/>
          </w:tcPr>
          <w:p w14:paraId="15A1B9F8" w14:textId="77777777" w:rsidR="00121A72" w:rsidRDefault="00121A72" w:rsidP="00696D55"/>
        </w:tc>
        <w:tc>
          <w:tcPr>
            <w:tcW w:w="4638" w:type="dxa"/>
          </w:tcPr>
          <w:p w14:paraId="786814AA" w14:textId="77777777" w:rsidR="00121A72" w:rsidRPr="00696D55" w:rsidRDefault="00B11239" w:rsidP="00696D55">
            <w:pPr>
              <w:pStyle w:val="zSoquijdatSignature3Juge"/>
              <w:rPr>
                <w:lang w:val="en-CA"/>
              </w:rPr>
            </w:pPr>
            <w:r w:rsidRPr="00696D55">
              <w:rPr>
                <w:lang w:val="en-CA"/>
              </w:rPr>
              <w:t>___</w:t>
            </w:r>
            <w:r w:rsidR="00F4770B" w:rsidRPr="00696D55">
              <w:rPr>
                <w:lang w:val="en-CA"/>
              </w:rPr>
              <w:t>_______________________________</w:t>
            </w:r>
            <w:r w:rsidR="005D5085" w:rsidRPr="007027F2">
              <w:rPr>
                <w:b/>
                <w:bCs/>
                <w:caps/>
                <w:lang w:val="en-CA"/>
              </w:rPr>
              <w:t>ELENI YIANNAKIS</w:t>
            </w:r>
            <w:r w:rsidR="00DF445C" w:rsidRPr="007027F2">
              <w:rPr>
                <w:b/>
                <w:bCs/>
                <w:caps/>
                <w:lang w:val="en-CA"/>
              </w:rPr>
              <w:t xml:space="preserve">, </w:t>
            </w:r>
            <w:r w:rsidR="00CE5A4C" w:rsidRPr="007027F2">
              <w:rPr>
                <w:b/>
                <w:bCs/>
                <w:caps/>
                <w:lang w:val="en-CA"/>
              </w:rPr>
              <w:t>j.c.s.</w:t>
            </w:r>
          </w:p>
        </w:tc>
      </w:tr>
      <w:tr w:rsidR="00487E50" w14:paraId="016C2DE0" w14:textId="77777777" w:rsidTr="00BA153A">
        <w:tc>
          <w:tcPr>
            <w:tcW w:w="9505" w:type="dxa"/>
            <w:gridSpan w:val="3"/>
          </w:tcPr>
          <w:p w14:paraId="79E28098" w14:textId="77777777" w:rsidR="00121A72" w:rsidRPr="00696D55" w:rsidRDefault="00121A72" w:rsidP="00696D55">
            <w:pPr>
              <w:rPr>
                <w:lang w:val="en-CA"/>
              </w:rPr>
            </w:pPr>
          </w:p>
        </w:tc>
      </w:tr>
      <w:tr w:rsidR="00487E50" w14:paraId="26F599F5" w14:textId="77777777" w:rsidTr="00BA153A">
        <w:trPr>
          <w:cantSplit/>
        </w:trPr>
        <w:tc>
          <w:tcPr>
            <w:tcW w:w="9505" w:type="dxa"/>
            <w:gridSpan w:val="3"/>
          </w:tcPr>
          <w:p w14:paraId="2E289828" w14:textId="77777777" w:rsidR="00121A72" w:rsidRDefault="00B11239" w:rsidP="00696D55">
            <w:pPr>
              <w:pStyle w:val="zSoquijdatNomProcureurDem"/>
            </w:pPr>
            <w:r>
              <w:t>Me Sibel Ataogul</w:t>
            </w:r>
          </w:p>
          <w:p w14:paraId="66620FB2" w14:textId="77777777" w:rsidR="007004EA" w:rsidRDefault="00B11239" w:rsidP="00696D55">
            <w:pPr>
              <w:pStyle w:val="zSoquijdatNomProcureurDem"/>
            </w:pPr>
            <w:r>
              <w:t>Me Audrey Parent</w:t>
            </w:r>
          </w:p>
          <w:p w14:paraId="5B010AD9" w14:textId="77777777" w:rsidR="007004EA" w:rsidRDefault="00B11239" w:rsidP="00696D55">
            <w:pPr>
              <w:pStyle w:val="zSoquijdatNomProcureurDem"/>
            </w:pPr>
            <w:r>
              <w:t>Melançon Marceau Grenier Cohen s.e.n.c.</w:t>
            </w:r>
          </w:p>
          <w:p w14:paraId="520A0DA2" w14:textId="77777777" w:rsidR="007004EA" w:rsidRDefault="00B11239" w:rsidP="00696D55">
            <w:pPr>
              <w:pStyle w:val="zSoquijdatNomProcureurDem"/>
            </w:pPr>
            <w:r>
              <w:t>Avocates de la demanderesse Association des juristes progressistes</w:t>
            </w:r>
          </w:p>
          <w:p w14:paraId="66B9E1C8" w14:textId="77777777" w:rsidR="007004EA" w:rsidRDefault="007004EA" w:rsidP="00696D55">
            <w:pPr>
              <w:pStyle w:val="zSoquijdatNomProcureurDem"/>
            </w:pPr>
          </w:p>
          <w:p w14:paraId="04179F02" w14:textId="77777777" w:rsidR="007004EA" w:rsidRDefault="00B11239" w:rsidP="00696D55">
            <w:pPr>
              <w:pStyle w:val="zSoquijdatNomProcureurDem"/>
            </w:pPr>
            <w:r>
              <w:t>Me Dardia Garcelle Joseph</w:t>
            </w:r>
          </w:p>
          <w:p w14:paraId="193BD20A" w14:textId="77777777" w:rsidR="007004EA" w:rsidRDefault="00B11239" w:rsidP="00696D55">
            <w:pPr>
              <w:pStyle w:val="zSoquijdatNomProcureurDem"/>
            </w:pPr>
            <w:r>
              <w:t>Avocate de la demanderesse Clinique juridique de Saint-Michel</w:t>
            </w:r>
          </w:p>
        </w:tc>
      </w:tr>
      <w:tr w:rsidR="00487E50" w14:paraId="65BAB3C3" w14:textId="77777777" w:rsidTr="00BA153A">
        <w:trPr>
          <w:cantSplit/>
        </w:trPr>
        <w:tc>
          <w:tcPr>
            <w:tcW w:w="9505" w:type="dxa"/>
            <w:gridSpan w:val="3"/>
          </w:tcPr>
          <w:p w14:paraId="37201B0E" w14:textId="77777777" w:rsidR="00121A72" w:rsidRDefault="00121A72" w:rsidP="00696D55">
            <w:pPr>
              <w:pStyle w:val="zSoquijlblProcureurDem"/>
            </w:pPr>
          </w:p>
        </w:tc>
      </w:tr>
      <w:tr w:rsidR="00487E50" w14:paraId="5933FB85" w14:textId="77777777" w:rsidTr="00BA153A">
        <w:trPr>
          <w:cantSplit/>
        </w:trPr>
        <w:tc>
          <w:tcPr>
            <w:tcW w:w="9505" w:type="dxa"/>
            <w:gridSpan w:val="3"/>
          </w:tcPr>
          <w:p w14:paraId="468F2B36" w14:textId="77777777" w:rsidR="00121A72" w:rsidRDefault="00B11239" w:rsidP="00696D55">
            <w:pPr>
              <w:pStyle w:val="zSoquijdatNomProcureurDef"/>
            </w:pPr>
            <w:r>
              <w:t>Me Michelle Picard</w:t>
            </w:r>
          </w:p>
          <w:p w14:paraId="7D799B9E" w14:textId="77777777" w:rsidR="007004EA" w:rsidRDefault="00B11239" w:rsidP="00696D55">
            <w:pPr>
              <w:pStyle w:val="zSoquijdatNomProcureurDef"/>
            </w:pPr>
            <w:r>
              <w:t>Me Alexandre Paul-Hus</w:t>
            </w:r>
          </w:p>
          <w:p w14:paraId="3D53F6E8" w14:textId="77777777" w:rsidR="007004EA" w:rsidRDefault="00B11239" w:rsidP="00696D55">
            <w:pPr>
              <w:pStyle w:val="zSoquijdatNomProcureurDef"/>
            </w:pPr>
            <w:r>
              <w:t>Gagnier Guay Biron</w:t>
            </w:r>
          </w:p>
        </w:tc>
      </w:tr>
      <w:tr w:rsidR="00487E50" w14:paraId="248EE20E" w14:textId="77777777" w:rsidTr="00BA153A">
        <w:trPr>
          <w:cantSplit/>
        </w:trPr>
        <w:tc>
          <w:tcPr>
            <w:tcW w:w="9505" w:type="dxa"/>
            <w:gridSpan w:val="3"/>
          </w:tcPr>
          <w:p w14:paraId="3A4503F8" w14:textId="77777777" w:rsidR="00121A72" w:rsidRDefault="00B11239" w:rsidP="00696D55">
            <w:pPr>
              <w:pStyle w:val="zSoquijdatCabinetProcureurDef"/>
            </w:pPr>
            <w:r>
              <w:t>Avocats de la défenderesse</w:t>
            </w:r>
          </w:p>
          <w:p w14:paraId="04B61518" w14:textId="77777777" w:rsidR="007004EA" w:rsidRDefault="007004EA" w:rsidP="00696D55">
            <w:pPr>
              <w:pStyle w:val="zSoquijdatCabinetProcureurDef"/>
            </w:pPr>
          </w:p>
          <w:p w14:paraId="5853DE95" w14:textId="77777777" w:rsidR="007004EA" w:rsidRDefault="007004EA" w:rsidP="00696D55">
            <w:pPr>
              <w:pStyle w:val="zSoquijdatCabinetProcureurDef"/>
            </w:pPr>
          </w:p>
        </w:tc>
      </w:tr>
      <w:tr w:rsidR="00487E50" w14:paraId="64040590" w14:textId="77777777" w:rsidTr="00BA153A">
        <w:tc>
          <w:tcPr>
            <w:tcW w:w="2197" w:type="dxa"/>
          </w:tcPr>
          <w:p w14:paraId="18830A74" w14:textId="77777777" w:rsidR="00121A72" w:rsidRDefault="00B11239" w:rsidP="00696D55">
            <w:pPr>
              <w:pStyle w:val="zSoquijlblDateAudience"/>
            </w:pPr>
            <w:r>
              <w:t>Date d’audience :</w:t>
            </w:r>
          </w:p>
        </w:tc>
        <w:tc>
          <w:tcPr>
            <w:tcW w:w="7308" w:type="dxa"/>
            <w:gridSpan w:val="2"/>
          </w:tcPr>
          <w:p w14:paraId="7634D609" w14:textId="77777777" w:rsidR="00121A72" w:rsidRDefault="00B11239" w:rsidP="00696D55">
            <w:pPr>
              <w:pStyle w:val="zSoquijdatDateAudience"/>
            </w:pPr>
            <w:r>
              <w:t>Le 22 octobre 2026</w:t>
            </w:r>
          </w:p>
        </w:tc>
      </w:tr>
    </w:tbl>
    <w:p w14:paraId="09564D8B" w14:textId="77777777" w:rsidR="00121A72" w:rsidRDefault="00121A72" w:rsidP="00696D55"/>
    <w:sectPr w:rsidR="00121A72">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2" w:h="15842" w:code="1"/>
      <w:pgMar w:top="1440" w:right="1008" w:bottom="1440" w:left="1872" w:header="1440" w:footer="79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31110" w14:textId="77777777" w:rsidR="005E4901" w:rsidRDefault="005E4901">
      <w:r>
        <w:separator/>
      </w:r>
    </w:p>
  </w:endnote>
  <w:endnote w:type="continuationSeparator" w:id="0">
    <w:p w14:paraId="47704F50" w14:textId="77777777" w:rsidR="005E4901" w:rsidRDefault="005E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F5E81" w14:textId="77777777" w:rsidR="00121A72" w:rsidRDefault="00B11239">
    <w:pPr>
      <w:framePr w:wrap="around" w:vAnchor="text" w:hAnchor="margin" w:xAlign="right" w:y="1"/>
    </w:pPr>
    <w:r>
      <w:fldChar w:fldCharType="begin"/>
    </w:r>
    <w:r>
      <w:instrText xml:space="preserve">PAGE  </w:instrText>
    </w:r>
    <w:r>
      <w:fldChar w:fldCharType="end"/>
    </w:r>
  </w:p>
  <w:p w14:paraId="7949403E" w14:textId="77777777" w:rsidR="00121A72" w:rsidRDefault="00121A7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0620" w14:textId="77777777" w:rsidR="004D682D" w:rsidRDefault="004D682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7B06" w14:textId="77777777" w:rsidR="004D682D" w:rsidRDefault="004D682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5ECBB" w14:textId="77777777" w:rsidR="005E4901" w:rsidRDefault="005E4901">
      <w:r>
        <w:separator/>
      </w:r>
    </w:p>
  </w:footnote>
  <w:footnote w:type="continuationSeparator" w:id="0">
    <w:p w14:paraId="58D7D934" w14:textId="77777777" w:rsidR="005E4901" w:rsidRDefault="005E4901">
      <w:r>
        <w:continuationSeparator/>
      </w:r>
    </w:p>
  </w:footnote>
  <w:footnote w:id="1">
    <w:p w14:paraId="3D9E2FB4" w14:textId="77777777" w:rsidR="002B70EC" w:rsidRDefault="00B11239">
      <w:pPr>
        <w:pStyle w:val="Notedebasdepage"/>
      </w:pPr>
      <w:r>
        <w:rPr>
          <w:rStyle w:val="Appelnotedebasdep"/>
        </w:rPr>
        <w:footnoteRef/>
      </w:r>
      <w:r>
        <w:t xml:space="preserve"> </w:t>
      </w:r>
      <w:r>
        <w:tab/>
        <w:t>RLRQ, c. C-25.01.</w:t>
      </w:r>
    </w:p>
  </w:footnote>
  <w:footnote w:id="2">
    <w:p w14:paraId="7898DFC8" w14:textId="77777777" w:rsidR="007E0A66" w:rsidRDefault="00B11239">
      <w:pPr>
        <w:pStyle w:val="Notedebasdepage"/>
      </w:pPr>
      <w:r>
        <w:rPr>
          <w:rStyle w:val="Appelnotedebasdep"/>
        </w:rPr>
        <w:footnoteRef/>
      </w:r>
      <w:r>
        <w:t xml:space="preserve"> </w:t>
      </w:r>
      <w:r>
        <w:tab/>
        <w:t>Demande de pourvoi en contrôle judiciaire, en sursis et en abrégement du délai de présentation de la demande en sursis du 29 septembre 2026 (le « Pourvoi »).</w:t>
      </w:r>
    </w:p>
  </w:footnote>
  <w:footnote w:id="3">
    <w:p w14:paraId="1BCE023B" w14:textId="77777777" w:rsidR="00867040" w:rsidRDefault="00B11239" w:rsidP="00867040">
      <w:pPr>
        <w:pStyle w:val="Notedebasdepage"/>
      </w:pPr>
      <w:r>
        <w:rPr>
          <w:rStyle w:val="Appelnotedebasdep"/>
        </w:rPr>
        <w:footnoteRef/>
      </w:r>
      <w:r>
        <w:t xml:space="preserve"> </w:t>
      </w:r>
      <w:r>
        <w:tab/>
      </w:r>
      <w:r w:rsidRPr="00533B7F">
        <w:rPr>
          <w:i/>
          <w:iCs/>
        </w:rPr>
        <w:t xml:space="preserve">Loi constitutionnelle de 1982, </w:t>
      </w:r>
      <w:r w:rsidRPr="00533B7F">
        <w:t>Annexe B de la</w:t>
      </w:r>
      <w:r w:rsidRPr="00533B7F">
        <w:rPr>
          <w:i/>
          <w:iCs/>
        </w:rPr>
        <w:t xml:space="preserve"> Loi de 1982 sur le Canada</w:t>
      </w:r>
      <w:r>
        <w:t xml:space="preserve"> (R-U), 1982, c-11</w:t>
      </w:r>
      <w:r w:rsidR="007E0A66">
        <w:t xml:space="preserve"> (la « </w:t>
      </w:r>
      <w:r w:rsidR="007E0A66" w:rsidRPr="00CA33B7">
        <w:rPr>
          <w:i/>
          <w:iCs/>
        </w:rPr>
        <w:t>Charte</w:t>
      </w:r>
      <w:r w:rsidR="007E0A66">
        <w:t> »)</w:t>
      </w:r>
      <w:r>
        <w:t>.</w:t>
      </w:r>
    </w:p>
  </w:footnote>
  <w:footnote w:id="4">
    <w:p w14:paraId="49384D9A" w14:textId="77777777" w:rsidR="00867040" w:rsidRDefault="00B11239" w:rsidP="00867040">
      <w:pPr>
        <w:pStyle w:val="Notedebasdepage"/>
      </w:pPr>
      <w:r>
        <w:rPr>
          <w:rStyle w:val="Appelnotedebasdep"/>
        </w:rPr>
        <w:footnoteRef/>
      </w:r>
      <w:r>
        <w:t xml:space="preserve"> </w:t>
      </w:r>
      <w:r>
        <w:tab/>
      </w:r>
      <w:r w:rsidRPr="00A552FC">
        <w:rPr>
          <w:i/>
          <w:iCs/>
        </w:rPr>
        <w:t>Charte des droits et libertés de la personne</w:t>
      </w:r>
      <w:r>
        <w:t>, LRQ, c. C-12</w:t>
      </w:r>
      <w:r w:rsidR="007E0A66">
        <w:t xml:space="preserve"> (la « </w:t>
      </w:r>
      <w:r w:rsidR="007E0A66" w:rsidRPr="00CA33B7">
        <w:rPr>
          <w:i/>
          <w:iCs/>
        </w:rPr>
        <w:t>Charte québécoise</w:t>
      </w:r>
      <w:r w:rsidR="007E0A66">
        <w:t> »)</w:t>
      </w:r>
      <w:r>
        <w:t>.</w:t>
      </w:r>
    </w:p>
  </w:footnote>
  <w:footnote w:id="5">
    <w:p w14:paraId="1005E151" w14:textId="77777777" w:rsidR="00867040" w:rsidRDefault="00B11239" w:rsidP="00867040">
      <w:pPr>
        <w:pStyle w:val="Notedebasdepage"/>
      </w:pPr>
      <w:r>
        <w:rPr>
          <w:rStyle w:val="Appelnotedebasdep"/>
        </w:rPr>
        <w:footnoteRef/>
      </w:r>
      <w:r>
        <w:t xml:space="preserve"> </w:t>
      </w:r>
      <w:r>
        <w:tab/>
        <w:t>Pourvoi, par. 2</w:t>
      </w:r>
      <w:r w:rsidR="00987464">
        <w:t xml:space="preserve"> et 4.</w:t>
      </w:r>
    </w:p>
  </w:footnote>
  <w:footnote w:id="6">
    <w:p w14:paraId="4CA1A822" w14:textId="77777777" w:rsidR="0050341D" w:rsidRDefault="00B11239">
      <w:pPr>
        <w:pStyle w:val="Notedebasdepage"/>
      </w:pPr>
      <w:r>
        <w:rPr>
          <w:rStyle w:val="Appelnotedebasdep"/>
        </w:rPr>
        <w:footnoteRef/>
      </w:r>
      <w:r>
        <w:t xml:space="preserve"> </w:t>
      </w:r>
      <w:r>
        <w:tab/>
        <w:t xml:space="preserve">Pourvoi, par. </w:t>
      </w:r>
      <w:r w:rsidR="00F95123">
        <w:t>39-</w:t>
      </w:r>
      <w:r w:rsidR="00867040">
        <w:t>63.</w:t>
      </w:r>
    </w:p>
  </w:footnote>
  <w:footnote w:id="7">
    <w:p w14:paraId="70BBF3AB" w14:textId="77777777" w:rsidR="00867040" w:rsidRDefault="00B11239">
      <w:pPr>
        <w:pStyle w:val="Notedebasdepage"/>
      </w:pPr>
      <w:r>
        <w:rPr>
          <w:rStyle w:val="Appelnotedebasdep"/>
        </w:rPr>
        <w:footnoteRef/>
      </w:r>
      <w:r>
        <w:t xml:space="preserve"> </w:t>
      </w:r>
      <w:r>
        <w:tab/>
        <w:t>Pourvoi, par. 64-77.</w:t>
      </w:r>
    </w:p>
  </w:footnote>
  <w:footnote w:id="8">
    <w:p w14:paraId="757FE6B9" w14:textId="77777777" w:rsidR="00364C7E" w:rsidRDefault="00B11239">
      <w:pPr>
        <w:pStyle w:val="Notedebasdepage"/>
      </w:pPr>
      <w:r>
        <w:rPr>
          <w:rStyle w:val="Appelnotedebasdep"/>
        </w:rPr>
        <w:footnoteRef/>
      </w:r>
      <w:r>
        <w:t xml:space="preserve"> </w:t>
      </w:r>
      <w:r>
        <w:tab/>
        <w:t>Pourvoi, par. 4.</w:t>
      </w:r>
    </w:p>
  </w:footnote>
  <w:footnote w:id="9">
    <w:p w14:paraId="46C32DEF" w14:textId="77777777" w:rsidR="00FE5617" w:rsidRDefault="00B11239">
      <w:pPr>
        <w:pStyle w:val="Notedebasdepage"/>
      </w:pPr>
      <w:r>
        <w:rPr>
          <w:rStyle w:val="Appelnotedebasdep"/>
        </w:rPr>
        <w:footnoteRef/>
      </w:r>
      <w:r>
        <w:t xml:space="preserve"> </w:t>
      </w:r>
      <w:r>
        <w:tab/>
        <w:t>Pourvoi, par. 25-30.</w:t>
      </w:r>
    </w:p>
  </w:footnote>
  <w:footnote w:id="10">
    <w:p w14:paraId="48C604DD" w14:textId="77777777" w:rsidR="00FE5617" w:rsidRDefault="00B11239">
      <w:pPr>
        <w:pStyle w:val="Notedebasdepage"/>
      </w:pPr>
      <w:r>
        <w:rPr>
          <w:rStyle w:val="Appelnotedebasdep"/>
        </w:rPr>
        <w:footnoteRef/>
      </w:r>
      <w:r>
        <w:t xml:space="preserve"> </w:t>
      </w:r>
      <w:r>
        <w:tab/>
        <w:t>Pourvoi, par. 31</w:t>
      </w:r>
      <w:r w:rsidR="0050341D">
        <w:t>-33.</w:t>
      </w:r>
    </w:p>
  </w:footnote>
  <w:footnote w:id="11">
    <w:p w14:paraId="6FB5605C" w14:textId="77777777" w:rsidR="00987464" w:rsidRDefault="00B11239" w:rsidP="00987464">
      <w:pPr>
        <w:pStyle w:val="Notedebasdepage"/>
      </w:pPr>
      <w:r>
        <w:rPr>
          <w:rStyle w:val="Appelnotedebasdep"/>
        </w:rPr>
        <w:footnoteRef/>
      </w:r>
      <w:r>
        <w:t xml:space="preserve"> </w:t>
      </w:r>
      <w:r>
        <w:tab/>
        <w:t>Pourvoi, par. 91-127.</w:t>
      </w:r>
    </w:p>
  </w:footnote>
  <w:footnote w:id="12">
    <w:p w14:paraId="1C3E8D9B" w14:textId="77777777" w:rsidR="00714A4F" w:rsidRDefault="00B11239">
      <w:pPr>
        <w:pStyle w:val="Notedebasdepage"/>
      </w:pPr>
      <w:r>
        <w:rPr>
          <w:rStyle w:val="Appelnotedebasdep"/>
        </w:rPr>
        <w:footnoteRef/>
      </w:r>
      <w:r>
        <w:t xml:space="preserve"> </w:t>
      </w:r>
      <w:r>
        <w:tab/>
      </w:r>
      <w:r w:rsidRPr="00B2565A">
        <w:rPr>
          <w:rFonts w:cs="Arial"/>
          <w:i/>
          <w:iCs/>
        </w:rPr>
        <w:t>Manitoba (Procureur général</w:t>
      </w:r>
      <w:r w:rsidR="00634C2D">
        <w:rPr>
          <w:rFonts w:cs="Arial"/>
          <w:i/>
          <w:iCs/>
        </w:rPr>
        <w:t>)</w:t>
      </w:r>
      <w:r w:rsidRPr="00B2565A">
        <w:rPr>
          <w:rFonts w:cs="Arial"/>
          <w:i/>
          <w:iCs/>
        </w:rPr>
        <w:t xml:space="preserve"> </w:t>
      </w:r>
      <w:r w:rsidRPr="00141921">
        <w:rPr>
          <w:rFonts w:cs="Arial"/>
        </w:rPr>
        <w:t>c.</w:t>
      </w:r>
      <w:r w:rsidRPr="00B2565A">
        <w:rPr>
          <w:rFonts w:cs="Arial"/>
          <w:i/>
          <w:iCs/>
        </w:rPr>
        <w:t xml:space="preserve"> Metropolitan Stores Ltd</w:t>
      </w:r>
      <w:r w:rsidRPr="00B2565A">
        <w:rPr>
          <w:rFonts w:cs="Arial"/>
        </w:rPr>
        <w:t xml:space="preserve"> </w:t>
      </w:r>
      <w:r w:rsidR="00634C2D">
        <w:rPr>
          <w:rFonts w:cs="Arial"/>
        </w:rPr>
        <w:t>[</w:t>
      </w:r>
      <w:r w:rsidRPr="00B2565A">
        <w:rPr>
          <w:rFonts w:cs="Arial"/>
        </w:rPr>
        <w:t>1987</w:t>
      </w:r>
      <w:r w:rsidR="00634C2D">
        <w:rPr>
          <w:rFonts w:cs="Arial"/>
        </w:rPr>
        <w:t>]</w:t>
      </w:r>
      <w:r w:rsidRPr="00B2565A">
        <w:rPr>
          <w:rFonts w:cs="Arial"/>
        </w:rPr>
        <w:t xml:space="preserve"> 1 R.C.S.110</w:t>
      </w:r>
      <w:r w:rsidR="007E0A66">
        <w:rPr>
          <w:rFonts w:cs="Arial"/>
        </w:rPr>
        <w:t xml:space="preserve"> (« </w:t>
      </w:r>
      <w:r w:rsidR="007E0A66" w:rsidRPr="007E0A66">
        <w:rPr>
          <w:rFonts w:cs="Arial"/>
          <w:b/>
          <w:bCs/>
          <w:i/>
          <w:iCs/>
        </w:rPr>
        <w:t>Metropolitan Stores</w:t>
      </w:r>
      <w:r w:rsidR="007E0A66">
        <w:rPr>
          <w:rFonts w:cs="Arial"/>
        </w:rPr>
        <w:t> »)</w:t>
      </w:r>
      <w:r w:rsidR="00D93497">
        <w:rPr>
          <w:rFonts w:cs="Arial"/>
        </w:rPr>
        <w:t>.</w:t>
      </w:r>
    </w:p>
  </w:footnote>
  <w:footnote w:id="13">
    <w:p w14:paraId="26CB213E" w14:textId="77777777" w:rsidR="002A4CCB" w:rsidRDefault="00B11239">
      <w:pPr>
        <w:pStyle w:val="Notedebasdepage"/>
      </w:pPr>
      <w:r>
        <w:rPr>
          <w:rStyle w:val="Appelnotedebasdep"/>
        </w:rPr>
        <w:footnoteRef/>
      </w:r>
      <w:r>
        <w:t xml:space="preserve"> </w:t>
      </w:r>
      <w:r>
        <w:tab/>
      </w:r>
      <w:r w:rsidRPr="00B2565A">
        <w:rPr>
          <w:rFonts w:cs="Arial"/>
          <w:i/>
          <w:iCs/>
        </w:rPr>
        <w:t>RJR </w:t>
      </w:r>
      <w:r w:rsidR="00141921">
        <w:rPr>
          <w:rFonts w:cs="Arial"/>
          <w:i/>
          <w:iCs/>
        </w:rPr>
        <w:t>-</w:t>
      </w:r>
      <w:r w:rsidRPr="00B2565A">
        <w:rPr>
          <w:rFonts w:cs="Arial"/>
          <w:i/>
          <w:iCs/>
        </w:rPr>
        <w:t xml:space="preserve">MacDonald </w:t>
      </w:r>
      <w:r w:rsidRPr="00141921">
        <w:rPr>
          <w:rFonts w:cs="Arial"/>
        </w:rPr>
        <w:t>c.</w:t>
      </w:r>
      <w:r w:rsidRPr="00B2565A">
        <w:rPr>
          <w:rFonts w:cs="Arial"/>
          <w:i/>
          <w:iCs/>
        </w:rPr>
        <w:t xml:space="preserve"> Canada (Procureur général)</w:t>
      </w:r>
      <w:r w:rsidRPr="00B2565A">
        <w:rPr>
          <w:rFonts w:cs="Arial"/>
        </w:rPr>
        <w:t xml:space="preserve"> </w:t>
      </w:r>
      <w:r>
        <w:rPr>
          <w:rFonts w:cs="Arial"/>
        </w:rPr>
        <w:t>[</w:t>
      </w:r>
      <w:r w:rsidRPr="00B2565A">
        <w:rPr>
          <w:rFonts w:cs="Arial"/>
        </w:rPr>
        <w:t>1994</w:t>
      </w:r>
      <w:r>
        <w:rPr>
          <w:rFonts w:cs="Arial"/>
        </w:rPr>
        <w:t>]</w:t>
      </w:r>
      <w:r w:rsidRPr="00B2565A">
        <w:rPr>
          <w:rFonts w:cs="Arial"/>
        </w:rPr>
        <w:t xml:space="preserve"> 1 R.C.S. 311</w:t>
      </w:r>
      <w:r w:rsidR="007E0A66">
        <w:rPr>
          <w:rFonts w:cs="Arial"/>
        </w:rPr>
        <w:t xml:space="preserve"> (« </w:t>
      </w:r>
      <w:r w:rsidR="007E0A66" w:rsidRPr="007E0A66">
        <w:rPr>
          <w:rFonts w:cs="Arial"/>
          <w:b/>
          <w:bCs/>
          <w:i/>
          <w:iCs/>
        </w:rPr>
        <w:t>RJR – MacDonald</w:t>
      </w:r>
      <w:r w:rsidR="007E0A66">
        <w:rPr>
          <w:rFonts w:cs="Arial"/>
        </w:rPr>
        <w:t> »)</w:t>
      </w:r>
      <w:r>
        <w:rPr>
          <w:rFonts w:cs="Arial"/>
        </w:rPr>
        <w:t>.</w:t>
      </w:r>
    </w:p>
  </w:footnote>
  <w:footnote w:id="14">
    <w:p w14:paraId="59C70843" w14:textId="77777777" w:rsidR="002A4CCB" w:rsidRDefault="00B11239">
      <w:pPr>
        <w:pStyle w:val="Notedebasdepage"/>
      </w:pPr>
      <w:r>
        <w:rPr>
          <w:rStyle w:val="Appelnotedebasdep"/>
        </w:rPr>
        <w:footnoteRef/>
      </w:r>
      <w:r>
        <w:t xml:space="preserve"> </w:t>
      </w:r>
      <w:r>
        <w:tab/>
      </w:r>
      <w:r w:rsidRPr="002A4CCB">
        <w:rPr>
          <w:rFonts w:cs="Arial"/>
          <w:i/>
          <w:iCs/>
        </w:rPr>
        <w:t>Harper</w:t>
      </w:r>
      <w:r>
        <w:rPr>
          <w:rFonts w:cs="Arial"/>
          <w:i/>
          <w:iCs/>
        </w:rPr>
        <w:t xml:space="preserve"> </w:t>
      </w:r>
      <w:r w:rsidRPr="00141921">
        <w:rPr>
          <w:rFonts w:cs="Arial"/>
        </w:rPr>
        <w:t xml:space="preserve">c. </w:t>
      </w:r>
      <w:r w:rsidRPr="00B2565A">
        <w:rPr>
          <w:rFonts w:cs="Arial"/>
          <w:i/>
          <w:iCs/>
        </w:rPr>
        <w:t>Canada (Procureur général)</w:t>
      </w:r>
      <w:r>
        <w:rPr>
          <w:rFonts w:cs="Arial"/>
          <w:i/>
          <w:iCs/>
        </w:rPr>
        <w:t>,</w:t>
      </w:r>
      <w:r w:rsidRPr="00B2565A">
        <w:rPr>
          <w:rFonts w:cs="Arial"/>
        </w:rPr>
        <w:t xml:space="preserve"> 2000 CSC 57</w:t>
      </w:r>
      <w:r w:rsidR="007E0A66">
        <w:rPr>
          <w:rFonts w:cs="Arial"/>
        </w:rPr>
        <w:t xml:space="preserve"> (« </w:t>
      </w:r>
      <w:r w:rsidR="007E0A66" w:rsidRPr="007E0A66">
        <w:rPr>
          <w:rFonts w:cs="Arial"/>
          <w:b/>
          <w:bCs/>
          <w:i/>
          <w:iCs/>
        </w:rPr>
        <w:t>Harper</w:t>
      </w:r>
      <w:r w:rsidR="007E0A66">
        <w:rPr>
          <w:rFonts w:cs="Arial"/>
        </w:rPr>
        <w:t> »)</w:t>
      </w:r>
      <w:r>
        <w:rPr>
          <w:rFonts w:cs="Arial"/>
        </w:rPr>
        <w:t>.</w:t>
      </w:r>
    </w:p>
  </w:footnote>
  <w:footnote w:id="15">
    <w:p w14:paraId="4394C9C8" w14:textId="77777777" w:rsidR="00141921" w:rsidRDefault="00B11239">
      <w:pPr>
        <w:pStyle w:val="Notedebasdepage"/>
      </w:pPr>
      <w:r>
        <w:rPr>
          <w:rStyle w:val="Appelnotedebasdep"/>
        </w:rPr>
        <w:footnoteRef/>
      </w:r>
      <w:r>
        <w:t xml:space="preserve"> </w:t>
      </w:r>
      <w:r>
        <w:tab/>
      </w:r>
      <w:r w:rsidR="00F10218" w:rsidRPr="00CA33B7">
        <w:rPr>
          <w:rFonts w:cs="Arial"/>
          <w:i/>
          <w:iCs/>
          <w:color w:val="000000"/>
          <w:lang w:eastAsia="fr-CA"/>
        </w:rPr>
        <w:t>RJR-MacDonald</w:t>
      </w:r>
      <w:r w:rsidR="00F10218">
        <w:rPr>
          <w:rFonts w:cs="Arial"/>
          <w:color w:val="000000"/>
          <w:lang w:eastAsia="fr-CA"/>
        </w:rPr>
        <w:t>, p. 334.</w:t>
      </w:r>
    </w:p>
  </w:footnote>
  <w:footnote w:id="16">
    <w:p w14:paraId="3E0DD686" w14:textId="77777777" w:rsidR="00CD5D12" w:rsidRDefault="00B11239" w:rsidP="00CD5D12">
      <w:pPr>
        <w:pStyle w:val="Notedebasdepage"/>
      </w:pPr>
      <w:r>
        <w:rPr>
          <w:rStyle w:val="Appelnotedebasdep"/>
        </w:rPr>
        <w:footnoteRef/>
      </w:r>
      <w:r>
        <w:t xml:space="preserve"> </w:t>
      </w:r>
      <w:r>
        <w:tab/>
      </w:r>
      <w:r w:rsidRPr="00714A4F">
        <w:rPr>
          <w:rFonts w:cs="Arial"/>
          <w:i/>
          <w:iCs/>
          <w:color w:val="000000"/>
          <w:lang w:eastAsia="fr-CA"/>
        </w:rPr>
        <w:t>Procureur général du Québec c. Gaspé Énergies</w:t>
      </w:r>
      <w:r w:rsidRPr="00714A4F">
        <w:rPr>
          <w:rFonts w:cs="Arial"/>
          <w:color w:val="000000"/>
          <w:lang w:eastAsia="fr-CA"/>
        </w:rPr>
        <w:t>, 2025 QCCA 629</w:t>
      </w:r>
      <w:r>
        <w:rPr>
          <w:rFonts w:cs="Arial"/>
          <w:color w:val="000000"/>
          <w:lang w:eastAsia="fr-CA"/>
        </w:rPr>
        <w:t>, par. 98</w:t>
      </w:r>
      <w:r w:rsidR="006D599C">
        <w:rPr>
          <w:rFonts w:cs="Arial"/>
          <w:color w:val="000000"/>
          <w:lang w:eastAsia="fr-CA"/>
        </w:rPr>
        <w:t xml:space="preserve"> (demande d’autorisation d’appeler à la CSC rejetée, </w:t>
      </w:r>
      <w:r w:rsidR="006D599C" w:rsidRPr="006D599C">
        <w:rPr>
          <w:rFonts w:cs="Arial"/>
          <w:color w:val="000000"/>
          <w:lang w:eastAsia="fr-CA"/>
        </w:rPr>
        <w:t>2025 CanLII 101818</w:t>
      </w:r>
      <w:r w:rsidR="006D599C">
        <w:rPr>
          <w:rFonts w:cs="Arial"/>
          <w:color w:val="000000"/>
          <w:lang w:eastAsia="fr-CA"/>
        </w:rPr>
        <w:t>) (« </w:t>
      </w:r>
      <w:r w:rsidR="006D599C" w:rsidRPr="006D599C">
        <w:rPr>
          <w:rFonts w:cs="Arial"/>
          <w:b/>
          <w:bCs/>
          <w:i/>
          <w:iCs/>
          <w:color w:val="000000"/>
          <w:lang w:eastAsia="fr-CA"/>
        </w:rPr>
        <w:t>Gaspé Énergies</w:t>
      </w:r>
      <w:r w:rsidR="006D599C" w:rsidRPr="006D599C">
        <w:rPr>
          <w:rFonts w:cs="Arial"/>
          <w:b/>
          <w:bCs/>
          <w:color w:val="000000"/>
          <w:lang w:eastAsia="fr-CA"/>
        </w:rPr>
        <w:t> </w:t>
      </w:r>
      <w:r w:rsidR="006D599C">
        <w:rPr>
          <w:rFonts w:cs="Arial"/>
          <w:color w:val="000000"/>
          <w:lang w:eastAsia="fr-CA"/>
        </w:rPr>
        <w:t>»)</w:t>
      </w:r>
      <w:r>
        <w:rPr>
          <w:rFonts w:cs="Arial"/>
          <w:color w:val="000000"/>
          <w:sz w:val="24"/>
          <w:szCs w:val="24"/>
          <w:lang w:eastAsia="fr-CA"/>
        </w:rPr>
        <w:t>.</w:t>
      </w:r>
    </w:p>
  </w:footnote>
  <w:footnote w:id="17">
    <w:p w14:paraId="33EB967E" w14:textId="77777777" w:rsidR="00CD5D12" w:rsidRDefault="00B11239">
      <w:pPr>
        <w:pStyle w:val="Notedebasdepage"/>
      </w:pPr>
      <w:r>
        <w:rPr>
          <w:rStyle w:val="Appelnotedebasdep"/>
        </w:rPr>
        <w:footnoteRef/>
      </w:r>
      <w:r>
        <w:t xml:space="preserve"> </w:t>
      </w:r>
      <w:r>
        <w:tab/>
      </w:r>
      <w:r w:rsidRPr="00714A4F">
        <w:rPr>
          <w:rFonts w:cs="Arial"/>
          <w:i/>
          <w:iCs/>
          <w:color w:val="000000"/>
          <w:lang w:eastAsia="fr-CA"/>
        </w:rPr>
        <w:t>Gaspé Énergies</w:t>
      </w:r>
      <w:r w:rsidRPr="00714A4F">
        <w:rPr>
          <w:rFonts w:cs="Arial"/>
          <w:color w:val="000000"/>
          <w:lang w:eastAsia="fr-CA"/>
        </w:rPr>
        <w:t xml:space="preserve">, </w:t>
      </w:r>
      <w:r>
        <w:rPr>
          <w:rFonts w:cs="Arial"/>
          <w:color w:val="000000"/>
          <w:lang w:eastAsia="fr-CA"/>
        </w:rPr>
        <w:t>par. 98.</w:t>
      </w:r>
    </w:p>
  </w:footnote>
  <w:footnote w:id="18">
    <w:p w14:paraId="6FF92202" w14:textId="77777777" w:rsidR="00CD5D12" w:rsidRDefault="00B11239">
      <w:pPr>
        <w:pStyle w:val="Notedebasdepage"/>
      </w:pPr>
      <w:r>
        <w:rPr>
          <w:rStyle w:val="Appelnotedebasdep"/>
        </w:rPr>
        <w:footnoteRef/>
      </w:r>
      <w:r>
        <w:t xml:space="preserve"> </w:t>
      </w:r>
      <w:r>
        <w:tab/>
      </w:r>
      <w:r w:rsidRPr="00714A4F">
        <w:rPr>
          <w:rFonts w:cs="Arial"/>
          <w:i/>
          <w:iCs/>
          <w:color w:val="000000"/>
          <w:lang w:eastAsia="fr-CA"/>
        </w:rPr>
        <w:t>Gaspé Énergies</w:t>
      </w:r>
      <w:r w:rsidRPr="00714A4F">
        <w:rPr>
          <w:rFonts w:cs="Arial"/>
          <w:color w:val="000000"/>
          <w:lang w:eastAsia="fr-CA"/>
        </w:rPr>
        <w:t xml:space="preserve">, </w:t>
      </w:r>
      <w:r>
        <w:rPr>
          <w:rFonts w:cs="Arial"/>
          <w:color w:val="000000"/>
          <w:lang w:eastAsia="fr-CA"/>
        </w:rPr>
        <w:t>par. 98.</w:t>
      </w:r>
    </w:p>
  </w:footnote>
  <w:footnote w:id="19">
    <w:p w14:paraId="439A9672" w14:textId="77777777" w:rsidR="00E674A9" w:rsidRPr="00E674A9" w:rsidRDefault="00B11239">
      <w:pPr>
        <w:pStyle w:val="Notedebasdepage"/>
      </w:pPr>
      <w:r>
        <w:rPr>
          <w:rStyle w:val="Appelnotedebasdep"/>
        </w:rPr>
        <w:footnoteRef/>
      </w:r>
      <w:r w:rsidRPr="00E674A9">
        <w:t xml:space="preserve"> </w:t>
      </w:r>
      <w:r w:rsidRPr="00E674A9">
        <w:tab/>
      </w:r>
      <w:r w:rsidRPr="007E0A66">
        <w:rPr>
          <w:i/>
          <w:iCs/>
        </w:rPr>
        <w:t>Goldwater</w:t>
      </w:r>
      <w:r w:rsidRPr="00E674A9">
        <w:t xml:space="preserve"> c. </w:t>
      </w:r>
      <w:r w:rsidRPr="007E0A66">
        <w:rPr>
          <w:i/>
          <w:iCs/>
        </w:rPr>
        <w:t>Procureur général du Québec</w:t>
      </w:r>
      <w:r>
        <w:t>, 2025 QCCS 2057, par. 16.</w:t>
      </w:r>
    </w:p>
  </w:footnote>
  <w:footnote w:id="20">
    <w:p w14:paraId="1C8A66A9" w14:textId="77777777" w:rsidR="00DC0429" w:rsidRDefault="00B11239">
      <w:pPr>
        <w:pStyle w:val="Notedebasdepage"/>
      </w:pPr>
      <w:r>
        <w:rPr>
          <w:rStyle w:val="Appelnotedebasdep"/>
        </w:rPr>
        <w:footnoteRef/>
      </w:r>
      <w:r>
        <w:t xml:space="preserve"> </w:t>
      </w:r>
      <w:r>
        <w:tab/>
      </w:r>
      <w:r w:rsidRPr="007E0A66">
        <w:rPr>
          <w:i/>
          <w:iCs/>
        </w:rPr>
        <w:t>Goldwater</w:t>
      </w:r>
      <w:r w:rsidRPr="00E674A9">
        <w:t xml:space="preserve"> c. </w:t>
      </w:r>
      <w:r w:rsidRPr="007E0A66">
        <w:rPr>
          <w:i/>
          <w:iCs/>
        </w:rPr>
        <w:t>Procureur général du Québec</w:t>
      </w:r>
      <w:r>
        <w:t xml:space="preserve">, 2025 QCCS 2057, par. 17, 19, 20; </w:t>
      </w:r>
      <w:r w:rsidRPr="007E0A66">
        <w:rPr>
          <w:i/>
          <w:iCs/>
        </w:rPr>
        <w:t>A.B.</w:t>
      </w:r>
      <w:r>
        <w:t xml:space="preserve"> c. </w:t>
      </w:r>
      <w:r w:rsidRPr="007E0A66">
        <w:rPr>
          <w:i/>
          <w:iCs/>
        </w:rPr>
        <w:t>Procureur général du Québec</w:t>
      </w:r>
      <w:r>
        <w:t>, 2023 QCCA 999, par. 33-34.</w:t>
      </w:r>
    </w:p>
  </w:footnote>
  <w:footnote w:id="21">
    <w:p w14:paraId="049133AB" w14:textId="77777777" w:rsidR="00DC0429" w:rsidRPr="00B9156E" w:rsidRDefault="00B11239">
      <w:pPr>
        <w:pStyle w:val="Notedebasdepage"/>
      </w:pPr>
      <w:r>
        <w:rPr>
          <w:rStyle w:val="Appelnotedebasdep"/>
        </w:rPr>
        <w:footnoteRef/>
      </w:r>
      <w:r w:rsidRPr="00B9156E">
        <w:t xml:space="preserve"> </w:t>
      </w:r>
      <w:r w:rsidRPr="00B9156E">
        <w:tab/>
      </w:r>
      <w:r w:rsidRPr="00B9156E">
        <w:rPr>
          <w:rFonts w:cs="Arial"/>
          <w:i/>
          <w:iCs/>
          <w:color w:val="000000"/>
        </w:rPr>
        <w:t>RJR-MacDonald</w:t>
      </w:r>
      <w:r w:rsidRPr="00B9156E">
        <w:rPr>
          <w:rFonts w:cs="Arial"/>
          <w:color w:val="000000"/>
        </w:rPr>
        <w:t>, p. 337.</w:t>
      </w:r>
    </w:p>
  </w:footnote>
  <w:footnote w:id="22">
    <w:p w14:paraId="5177EB88" w14:textId="77777777" w:rsidR="00350BC1" w:rsidRDefault="00B11239" w:rsidP="00350BC1">
      <w:pPr>
        <w:pStyle w:val="Notedebasdepage"/>
      </w:pPr>
      <w:r>
        <w:rPr>
          <w:rStyle w:val="Appelnotedebasdep"/>
        </w:rPr>
        <w:footnoteRef/>
      </w:r>
      <w:r>
        <w:t xml:space="preserve"> </w:t>
      </w:r>
      <w:r>
        <w:tab/>
        <w:t>Plan d’argumentation de la Ville de Montréal, par. 29-37.</w:t>
      </w:r>
    </w:p>
  </w:footnote>
  <w:footnote w:id="23">
    <w:p w14:paraId="00939408" w14:textId="77777777" w:rsidR="00F125BE" w:rsidRDefault="00B11239">
      <w:pPr>
        <w:pStyle w:val="Notedebasdepage"/>
      </w:pPr>
      <w:r>
        <w:rPr>
          <w:rStyle w:val="Appelnotedebasdep"/>
        </w:rPr>
        <w:footnoteRef/>
      </w:r>
      <w:r>
        <w:t xml:space="preserve"> </w:t>
      </w:r>
      <w:r>
        <w:tab/>
      </w:r>
      <w:r w:rsidR="00D34603">
        <w:t xml:space="preserve">Plus de 75% du </w:t>
      </w:r>
      <w:r>
        <w:t>plan d’argumentation de la demanderesse</w:t>
      </w:r>
      <w:r w:rsidR="00D34603">
        <w:t>, l’</w:t>
      </w:r>
      <w:r>
        <w:t>Association des juristes progressistes</w:t>
      </w:r>
      <w:r w:rsidR="00CA33B7">
        <w:t xml:space="preserve"> (AJP)</w:t>
      </w:r>
      <w:r w:rsidR="00D34603">
        <w:t xml:space="preserve"> </w:t>
      </w:r>
      <w:r>
        <w:t xml:space="preserve">traite </w:t>
      </w:r>
      <w:r w:rsidR="00D34603">
        <w:t>de cette question (pp. 4-46).</w:t>
      </w:r>
    </w:p>
  </w:footnote>
  <w:footnote w:id="24">
    <w:p w14:paraId="38A29F4B" w14:textId="77777777" w:rsidR="00F125BE" w:rsidRPr="00F125BE" w:rsidRDefault="00B11239">
      <w:pPr>
        <w:pStyle w:val="Notedebasdepage"/>
      </w:pPr>
      <w:r>
        <w:rPr>
          <w:rStyle w:val="Appelnotedebasdep"/>
        </w:rPr>
        <w:footnoteRef/>
      </w:r>
      <w:r w:rsidRPr="00F125BE">
        <w:t xml:space="preserve"> </w:t>
      </w:r>
      <w:r w:rsidRPr="00F125BE">
        <w:tab/>
      </w:r>
      <w:r w:rsidRPr="00714A4F">
        <w:rPr>
          <w:rFonts w:cs="Arial"/>
          <w:i/>
          <w:iCs/>
          <w:color w:val="000000"/>
          <w:lang w:eastAsia="fr-CA"/>
        </w:rPr>
        <w:t>Gaspé Énergies</w:t>
      </w:r>
      <w:r w:rsidRPr="00714A4F">
        <w:rPr>
          <w:rFonts w:cs="Arial"/>
          <w:color w:val="000000"/>
          <w:lang w:eastAsia="fr-CA"/>
        </w:rPr>
        <w:t xml:space="preserve">, </w:t>
      </w:r>
      <w:r>
        <w:rPr>
          <w:rFonts w:cs="Arial"/>
          <w:color w:val="000000"/>
          <w:lang w:eastAsia="fr-CA"/>
        </w:rPr>
        <w:t>par. 98.</w:t>
      </w:r>
    </w:p>
  </w:footnote>
  <w:footnote w:id="25">
    <w:p w14:paraId="51C5D66A" w14:textId="77777777" w:rsidR="00865AB7" w:rsidRPr="00285D57" w:rsidRDefault="00B11239">
      <w:pPr>
        <w:pStyle w:val="Notedebasdepage"/>
      </w:pPr>
      <w:r>
        <w:rPr>
          <w:rStyle w:val="Appelnotedebasdep"/>
        </w:rPr>
        <w:footnoteRef/>
      </w:r>
      <w:r w:rsidRPr="00285D57">
        <w:t xml:space="preserve"> </w:t>
      </w:r>
      <w:r w:rsidRPr="00285D57">
        <w:tab/>
        <w:t>Pourvoi, conclusions, p. 24.</w:t>
      </w:r>
    </w:p>
  </w:footnote>
  <w:footnote w:id="26">
    <w:p w14:paraId="2DBF8177" w14:textId="77777777" w:rsidR="00285D57" w:rsidRPr="00285D57" w:rsidRDefault="00B11239">
      <w:pPr>
        <w:pStyle w:val="Notedebasdepage"/>
      </w:pPr>
      <w:r>
        <w:rPr>
          <w:rStyle w:val="Appelnotedebasdep"/>
        </w:rPr>
        <w:footnoteRef/>
      </w:r>
      <w:r w:rsidRPr="00285D57">
        <w:t xml:space="preserve"> </w:t>
      </w:r>
      <w:r w:rsidRPr="007E0A66">
        <w:rPr>
          <w:i/>
          <w:iCs/>
        </w:rPr>
        <w:tab/>
        <w:t>Schachter</w:t>
      </w:r>
      <w:r w:rsidRPr="00285D57">
        <w:t xml:space="preserve"> c. </w:t>
      </w:r>
      <w:r w:rsidRPr="007E0A66">
        <w:rPr>
          <w:i/>
          <w:iCs/>
        </w:rPr>
        <w:t>Canada</w:t>
      </w:r>
      <w:r w:rsidRPr="00285D57">
        <w:t xml:space="preserve">, [1992] 2 R.C.S. 679, p. 697; </w:t>
      </w:r>
      <w:r w:rsidRPr="007E0A66">
        <w:rPr>
          <w:i/>
          <w:iCs/>
        </w:rPr>
        <w:t>R.</w:t>
      </w:r>
      <w:r w:rsidRPr="00285D57">
        <w:t xml:space="preserve"> c. </w:t>
      </w:r>
      <w:r w:rsidRPr="007E0A66">
        <w:rPr>
          <w:i/>
          <w:iCs/>
        </w:rPr>
        <w:t>Lucas</w:t>
      </w:r>
      <w:r w:rsidRPr="00285D57">
        <w:t xml:space="preserve">, </w:t>
      </w:r>
      <w:r w:rsidRPr="00285D57">
        <w:rPr>
          <w:rFonts w:cs="Arial"/>
        </w:rPr>
        <w:t>[1998] 1 R.C.S. 439</w:t>
      </w:r>
      <w:r>
        <w:rPr>
          <w:rFonts w:cs="Arial"/>
        </w:rPr>
        <w:t>, par. 97.</w:t>
      </w:r>
    </w:p>
  </w:footnote>
  <w:footnote w:id="27">
    <w:p w14:paraId="26D68DB8" w14:textId="77777777" w:rsidR="00184E00" w:rsidRPr="00285D57" w:rsidRDefault="00B11239">
      <w:pPr>
        <w:pStyle w:val="Notedebasdepage"/>
        <w:rPr>
          <w:lang w:val="en-CA"/>
        </w:rPr>
      </w:pPr>
      <w:r>
        <w:rPr>
          <w:rStyle w:val="Appelnotedebasdep"/>
        </w:rPr>
        <w:footnoteRef/>
      </w:r>
      <w:r w:rsidRPr="00285D57">
        <w:rPr>
          <w:lang w:val="en-CA"/>
        </w:rPr>
        <w:t xml:space="preserve"> </w:t>
      </w:r>
      <w:r w:rsidRPr="00285D57">
        <w:rPr>
          <w:lang w:val="en-CA"/>
        </w:rPr>
        <w:tab/>
      </w:r>
      <w:r w:rsidRPr="007E0A66">
        <w:rPr>
          <w:i/>
          <w:iCs/>
          <w:lang w:val="en-CA"/>
        </w:rPr>
        <w:t>R.</w:t>
      </w:r>
      <w:r w:rsidRPr="00285D57">
        <w:rPr>
          <w:lang w:val="en-CA"/>
        </w:rPr>
        <w:t xml:space="preserve"> c. </w:t>
      </w:r>
      <w:r w:rsidRPr="007E0A66">
        <w:rPr>
          <w:i/>
          <w:iCs/>
          <w:lang w:val="en-CA"/>
        </w:rPr>
        <w:t>Keegstra</w:t>
      </w:r>
      <w:r w:rsidRPr="00285D57">
        <w:rPr>
          <w:lang w:val="en-CA"/>
        </w:rPr>
        <w:t xml:space="preserve">, </w:t>
      </w:r>
      <w:r w:rsidRPr="00285D57">
        <w:rPr>
          <w:rFonts w:cs="Arial"/>
          <w:lang w:val="en-CA"/>
        </w:rPr>
        <w:t>[1990] 3 R.C.S. 697.</w:t>
      </w:r>
    </w:p>
  </w:footnote>
  <w:footnote w:id="28">
    <w:p w14:paraId="10079D5E" w14:textId="77777777" w:rsidR="00D34603" w:rsidRPr="00D34603" w:rsidRDefault="00B11239">
      <w:pPr>
        <w:pStyle w:val="Notedebasdepage"/>
        <w:rPr>
          <w:lang w:val="en-CA"/>
        </w:rPr>
      </w:pPr>
      <w:r>
        <w:rPr>
          <w:rStyle w:val="Appelnotedebasdep"/>
        </w:rPr>
        <w:footnoteRef/>
      </w:r>
      <w:r w:rsidRPr="00D34603">
        <w:rPr>
          <w:lang w:val="en-CA"/>
        </w:rPr>
        <w:t xml:space="preserve"> </w:t>
      </w:r>
      <w:r w:rsidRPr="00D34603">
        <w:rPr>
          <w:lang w:val="en-CA"/>
        </w:rPr>
        <w:tab/>
      </w:r>
      <w:r w:rsidRPr="007E0A66">
        <w:rPr>
          <w:i/>
          <w:iCs/>
          <w:lang w:val="en-CA"/>
        </w:rPr>
        <w:t>R.</w:t>
      </w:r>
      <w:r w:rsidRPr="00D34603">
        <w:rPr>
          <w:lang w:val="en-CA"/>
        </w:rPr>
        <w:t xml:space="preserve"> c</w:t>
      </w:r>
      <w:r>
        <w:rPr>
          <w:lang w:val="en-CA"/>
        </w:rPr>
        <w:t xml:space="preserve">. </w:t>
      </w:r>
      <w:r w:rsidRPr="007E0A66">
        <w:rPr>
          <w:i/>
          <w:iCs/>
          <w:lang w:val="en-CA"/>
        </w:rPr>
        <w:t>Keegstra</w:t>
      </w:r>
      <w:r>
        <w:rPr>
          <w:lang w:val="en-CA"/>
        </w:rPr>
        <w:t xml:space="preserve">, </w:t>
      </w:r>
      <w:r>
        <w:rPr>
          <w:rFonts w:cs="Arial"/>
          <w:lang w:val="en-CA"/>
        </w:rPr>
        <w:t>[1990] 3 R.C.S. 697, p. 730.</w:t>
      </w:r>
    </w:p>
  </w:footnote>
  <w:footnote w:id="29">
    <w:p w14:paraId="0F2CEA9B" w14:textId="77777777" w:rsidR="00BB3E48" w:rsidRPr="00BB3E48" w:rsidRDefault="00B11239">
      <w:pPr>
        <w:pStyle w:val="Notedebasdepage"/>
      </w:pPr>
      <w:r>
        <w:rPr>
          <w:rStyle w:val="Appelnotedebasdep"/>
        </w:rPr>
        <w:footnoteRef/>
      </w:r>
      <w:r w:rsidRPr="00BB3E48">
        <w:t xml:space="preserve"> </w:t>
      </w:r>
      <w:r w:rsidRPr="00BB3E48">
        <w:tab/>
      </w:r>
      <w:r w:rsidRPr="007E0A66">
        <w:rPr>
          <w:i/>
          <w:iCs/>
        </w:rPr>
        <w:t xml:space="preserve">Zundel </w:t>
      </w:r>
      <w:r w:rsidRPr="00BB3E48">
        <w:t xml:space="preserve">c. </w:t>
      </w:r>
      <w:r w:rsidRPr="007E0A66">
        <w:rPr>
          <w:i/>
          <w:iCs/>
        </w:rPr>
        <w:t>Sa Majesté la Reine</w:t>
      </w:r>
      <w:r>
        <w:t xml:space="preserve">, </w:t>
      </w:r>
      <w:r>
        <w:rPr>
          <w:rFonts w:cs="Arial"/>
        </w:rPr>
        <w:t>[1992] R.C.S. 731, pp. 752-753.</w:t>
      </w:r>
    </w:p>
  </w:footnote>
  <w:footnote w:id="30">
    <w:p w14:paraId="4930EC6A" w14:textId="77777777" w:rsidR="00BB3E48" w:rsidRDefault="00B11239">
      <w:pPr>
        <w:pStyle w:val="Notedebasdepage"/>
      </w:pPr>
      <w:r>
        <w:rPr>
          <w:rStyle w:val="Appelnotedebasdep"/>
        </w:rPr>
        <w:footnoteRef/>
      </w:r>
      <w:r>
        <w:t xml:space="preserve"> </w:t>
      </w:r>
      <w:r>
        <w:tab/>
      </w:r>
      <w:r w:rsidRPr="007E0A66">
        <w:rPr>
          <w:i/>
          <w:iCs/>
        </w:rPr>
        <w:t xml:space="preserve">Zundel </w:t>
      </w:r>
      <w:r w:rsidRPr="00BB3E48">
        <w:t xml:space="preserve">c. </w:t>
      </w:r>
      <w:r w:rsidRPr="007E0A66">
        <w:rPr>
          <w:i/>
          <w:iCs/>
        </w:rPr>
        <w:t>Sa Majesté la Reine</w:t>
      </w:r>
      <w:r>
        <w:t xml:space="preserve">, </w:t>
      </w:r>
      <w:r>
        <w:rPr>
          <w:rFonts w:cs="Arial"/>
        </w:rPr>
        <w:t xml:space="preserve">[1992] R.C.S. 731, pp. 752-753, citant le juge Holmes dans </w:t>
      </w:r>
      <w:r w:rsidRPr="007E0A66">
        <w:rPr>
          <w:rFonts w:cs="Arial"/>
          <w:i/>
          <w:iCs/>
        </w:rPr>
        <w:t>United States</w:t>
      </w:r>
      <w:r>
        <w:rPr>
          <w:rFonts w:cs="Arial"/>
        </w:rPr>
        <w:t xml:space="preserve"> c. </w:t>
      </w:r>
      <w:r w:rsidRPr="007E0A66">
        <w:rPr>
          <w:rFonts w:cs="Arial"/>
          <w:i/>
          <w:iCs/>
        </w:rPr>
        <w:t>Schwimmer</w:t>
      </w:r>
      <w:r>
        <w:rPr>
          <w:rFonts w:cs="Arial"/>
        </w:rPr>
        <w:t>, 279 U.S. 644 (1929), pp. 654-655.</w:t>
      </w:r>
    </w:p>
  </w:footnote>
  <w:footnote w:id="31">
    <w:p w14:paraId="74EA6982" w14:textId="77777777" w:rsidR="00184E00" w:rsidRPr="00184E00" w:rsidRDefault="00B11239">
      <w:pPr>
        <w:pStyle w:val="Notedebasdepage"/>
        <w:rPr>
          <w:lang w:val="en-CA"/>
        </w:rPr>
      </w:pPr>
      <w:r>
        <w:rPr>
          <w:rStyle w:val="Appelnotedebasdep"/>
        </w:rPr>
        <w:footnoteRef/>
      </w:r>
      <w:r w:rsidRPr="00184E00">
        <w:rPr>
          <w:lang w:val="en-CA"/>
        </w:rPr>
        <w:t xml:space="preserve"> </w:t>
      </w:r>
      <w:r w:rsidRPr="00184E00">
        <w:rPr>
          <w:lang w:val="en-CA"/>
        </w:rPr>
        <w:tab/>
      </w:r>
      <w:r w:rsidRPr="007E0A66">
        <w:rPr>
          <w:i/>
          <w:iCs/>
          <w:lang w:val="en-CA"/>
        </w:rPr>
        <w:t>Saskatchewan (Human Rights Commission)</w:t>
      </w:r>
      <w:r>
        <w:rPr>
          <w:lang w:val="en-CA"/>
        </w:rPr>
        <w:t xml:space="preserve"> c. </w:t>
      </w:r>
      <w:r w:rsidRPr="007E0A66">
        <w:rPr>
          <w:i/>
          <w:iCs/>
          <w:lang w:val="en-CA"/>
        </w:rPr>
        <w:t>Whatcott</w:t>
      </w:r>
      <w:r>
        <w:rPr>
          <w:lang w:val="en-CA"/>
        </w:rPr>
        <w:t>, 2013 CSC 11, par. 50.</w:t>
      </w:r>
    </w:p>
  </w:footnote>
  <w:footnote w:id="32">
    <w:p w14:paraId="5FDE999C" w14:textId="77777777" w:rsidR="00BB3FA2" w:rsidRPr="00562DA8" w:rsidRDefault="00B11239">
      <w:pPr>
        <w:pStyle w:val="Notedebasdepage"/>
        <w:rPr>
          <w:lang w:val="en-CA"/>
        </w:rPr>
      </w:pPr>
      <w:r>
        <w:rPr>
          <w:rStyle w:val="Appelnotedebasdep"/>
        </w:rPr>
        <w:footnoteRef/>
      </w:r>
      <w:r w:rsidRPr="00562DA8">
        <w:rPr>
          <w:lang w:val="en-CA"/>
        </w:rPr>
        <w:t xml:space="preserve"> </w:t>
      </w:r>
      <w:r w:rsidRPr="00562DA8">
        <w:rPr>
          <w:lang w:val="en-CA"/>
        </w:rPr>
        <w:tab/>
      </w:r>
      <w:r w:rsidRPr="007E0A66">
        <w:rPr>
          <w:i/>
          <w:iCs/>
          <w:lang w:val="en-CA"/>
        </w:rPr>
        <w:t>R.</w:t>
      </w:r>
      <w:r w:rsidRPr="00562DA8">
        <w:rPr>
          <w:lang w:val="en-CA"/>
        </w:rPr>
        <w:t xml:space="preserve"> c. </w:t>
      </w:r>
      <w:r w:rsidRPr="007E0A66">
        <w:rPr>
          <w:i/>
          <w:iCs/>
          <w:lang w:val="en-CA"/>
        </w:rPr>
        <w:t>Khawaja</w:t>
      </w:r>
      <w:r w:rsidRPr="00562DA8">
        <w:rPr>
          <w:lang w:val="en-CA"/>
        </w:rPr>
        <w:t xml:space="preserve">, 2012 CSC 69, par. 70; voir aussi </w:t>
      </w:r>
      <w:r w:rsidRPr="007E0A66">
        <w:rPr>
          <w:i/>
          <w:iCs/>
          <w:lang w:val="en-CA"/>
        </w:rPr>
        <w:t>Saskatchewan (Human Rights Commission)</w:t>
      </w:r>
      <w:r w:rsidRPr="00562DA8">
        <w:rPr>
          <w:lang w:val="en-CA"/>
        </w:rPr>
        <w:t xml:space="preserve"> c. </w:t>
      </w:r>
      <w:r w:rsidRPr="007E0A66">
        <w:rPr>
          <w:i/>
          <w:iCs/>
          <w:lang w:val="en-CA"/>
        </w:rPr>
        <w:t>Whatcott</w:t>
      </w:r>
      <w:r w:rsidRPr="00562DA8">
        <w:rPr>
          <w:lang w:val="en-CA"/>
        </w:rPr>
        <w:t>, 2013 CSC 11, par. 112</w:t>
      </w:r>
      <w:r w:rsidR="00562DA8" w:rsidRPr="00562DA8">
        <w:rPr>
          <w:lang w:val="en-CA"/>
        </w:rPr>
        <w:t>.</w:t>
      </w:r>
    </w:p>
  </w:footnote>
  <w:footnote w:id="33">
    <w:p w14:paraId="79B7D966" w14:textId="77777777" w:rsidR="004245E2" w:rsidRDefault="00B11239">
      <w:pPr>
        <w:pStyle w:val="Notedebasdepage"/>
      </w:pPr>
      <w:r>
        <w:rPr>
          <w:rStyle w:val="Appelnotedebasdep"/>
        </w:rPr>
        <w:footnoteRef/>
      </w:r>
      <w:r>
        <w:t xml:space="preserve"> </w:t>
      </w:r>
      <w:r>
        <w:tab/>
      </w:r>
      <w:r w:rsidRPr="00CA33B7">
        <w:rPr>
          <w:i/>
          <w:iCs/>
        </w:rPr>
        <w:t>Procureur général du Québec</w:t>
      </w:r>
      <w:r w:rsidRPr="004245E2">
        <w:t xml:space="preserve"> c. </w:t>
      </w:r>
      <w:r w:rsidRPr="00CA33B7">
        <w:rPr>
          <w:i/>
          <w:iCs/>
        </w:rPr>
        <w:t>Théâtre du Trident inc</w:t>
      </w:r>
      <w:r w:rsidRPr="004245E2">
        <w:t>.</w:t>
      </w:r>
      <w:r w:rsidR="00C52697">
        <w:t>,</w:t>
      </w:r>
      <w:r w:rsidRPr="004245E2">
        <w:t xml:space="preserve"> 2026 QCCA 529</w:t>
      </w:r>
      <w:r>
        <w:t>.</w:t>
      </w:r>
    </w:p>
  </w:footnote>
  <w:footnote w:id="34">
    <w:p w14:paraId="1D1C1531" w14:textId="77777777" w:rsidR="00562DA8" w:rsidRDefault="00B11239">
      <w:pPr>
        <w:pStyle w:val="Notedebasdepage"/>
      </w:pPr>
      <w:r>
        <w:rPr>
          <w:rStyle w:val="Appelnotedebasdep"/>
        </w:rPr>
        <w:footnoteRef/>
      </w:r>
      <w:r>
        <w:t xml:space="preserve"> </w:t>
      </w:r>
      <w:r>
        <w:tab/>
      </w:r>
      <w:r w:rsidRPr="007E0A66">
        <w:rPr>
          <w:i/>
          <w:iCs/>
        </w:rPr>
        <w:t>Procureur général du Québec</w:t>
      </w:r>
      <w:r w:rsidRPr="00562DA8">
        <w:t xml:space="preserve"> c. </w:t>
      </w:r>
      <w:r w:rsidRPr="007E0A66">
        <w:rPr>
          <w:i/>
          <w:iCs/>
        </w:rPr>
        <w:t>Théâtre du Trident inc</w:t>
      </w:r>
      <w:r w:rsidRPr="00562DA8">
        <w:t>.</w:t>
      </w:r>
      <w:r w:rsidR="00C52697">
        <w:t>,</w:t>
      </w:r>
      <w:r w:rsidRPr="00562DA8">
        <w:t xml:space="preserve"> 2026 QCCA 529, par. 28 à 30</w:t>
      </w:r>
      <w:r w:rsidR="004245E2">
        <w:t>.</w:t>
      </w:r>
    </w:p>
  </w:footnote>
  <w:footnote w:id="35">
    <w:p w14:paraId="5965CB72" w14:textId="77777777" w:rsidR="00B9156E" w:rsidRDefault="00B11239" w:rsidP="00B9156E">
      <w:pPr>
        <w:pStyle w:val="Notedebasdepage"/>
      </w:pPr>
      <w:r>
        <w:rPr>
          <w:rStyle w:val="Appelnotedebasdep"/>
        </w:rPr>
        <w:footnoteRef/>
      </w:r>
      <w:r>
        <w:t xml:space="preserve"> </w:t>
      </w:r>
      <w:r>
        <w:tab/>
      </w:r>
      <w:r w:rsidRPr="007E0A66">
        <w:rPr>
          <w:i/>
          <w:iCs/>
        </w:rPr>
        <w:t>Roy</w:t>
      </w:r>
      <w:r>
        <w:t xml:space="preserve"> c. </w:t>
      </w:r>
      <w:r w:rsidRPr="007E0A66">
        <w:rPr>
          <w:i/>
          <w:iCs/>
        </w:rPr>
        <w:t>Ville de Québec</w:t>
      </w:r>
      <w:r>
        <w:t>, 2025 QCCS 5302, par. 42-51</w:t>
      </w:r>
      <w:r w:rsidR="00E11840">
        <w:t xml:space="preserve"> (permission d’appeler refusée, 2026 QCCA 753)</w:t>
      </w:r>
      <w:r>
        <w:t>. Il s’agit d’un appel d’une décision de la Cour municipale ayant conclu qu’il y avait eu atteinte à la liberté d’expression</w:t>
      </w:r>
      <w:r w:rsidR="004D682D">
        <w:t>,</w:t>
      </w:r>
      <w:r>
        <w:t xml:space="preserve"> mais que la restriction était justifiée par l’article premier de la </w:t>
      </w:r>
      <w:r w:rsidRPr="007E0A66">
        <w:rPr>
          <w:i/>
          <w:iCs/>
        </w:rPr>
        <w:t>Charte</w:t>
      </w:r>
      <w:r>
        <w:t>.</w:t>
      </w:r>
    </w:p>
  </w:footnote>
  <w:footnote w:id="36">
    <w:p w14:paraId="313ABBAB" w14:textId="77777777" w:rsidR="00F069EF" w:rsidRPr="00BB3FA2" w:rsidRDefault="00B11239">
      <w:pPr>
        <w:pStyle w:val="Notedebasdepage"/>
      </w:pPr>
      <w:r>
        <w:rPr>
          <w:rStyle w:val="Appelnotedebasdep"/>
        </w:rPr>
        <w:footnoteRef/>
      </w:r>
      <w:r w:rsidRPr="00BB3FA2">
        <w:t xml:space="preserve"> </w:t>
      </w:r>
      <w:r w:rsidRPr="00BB3FA2">
        <w:tab/>
      </w:r>
      <w:r w:rsidRPr="00BB3FA2">
        <w:rPr>
          <w:rFonts w:cs="Arial"/>
          <w:i/>
          <w:iCs/>
          <w:color w:val="000000"/>
        </w:rPr>
        <w:t>RJR</w:t>
      </w:r>
      <w:r w:rsidR="00B04EC9">
        <w:rPr>
          <w:rFonts w:cs="Arial"/>
          <w:i/>
          <w:iCs/>
          <w:color w:val="000000"/>
        </w:rPr>
        <w:t>-</w:t>
      </w:r>
      <w:r w:rsidRPr="00BB3FA2">
        <w:rPr>
          <w:rFonts w:cs="Arial"/>
          <w:i/>
          <w:iCs/>
          <w:color w:val="000000"/>
        </w:rPr>
        <w:t>MacDonald</w:t>
      </w:r>
      <w:r w:rsidR="00CA33B7">
        <w:rPr>
          <w:rFonts w:cs="Arial"/>
          <w:color w:val="000000"/>
        </w:rPr>
        <w:t>,</w:t>
      </w:r>
      <w:r w:rsidRPr="00BB3FA2">
        <w:rPr>
          <w:rFonts w:cs="Arial"/>
          <w:color w:val="000000"/>
        </w:rPr>
        <w:t xml:space="preserve"> p.</w:t>
      </w:r>
      <w:r w:rsidR="00D34603" w:rsidRPr="00BB3FA2">
        <w:rPr>
          <w:rFonts w:cs="Arial"/>
          <w:color w:val="000000"/>
        </w:rPr>
        <w:t xml:space="preserve"> </w:t>
      </w:r>
      <w:r w:rsidRPr="00BB3FA2">
        <w:rPr>
          <w:rFonts w:cs="Arial"/>
          <w:color w:val="000000"/>
        </w:rPr>
        <w:t>341</w:t>
      </w:r>
      <w:r w:rsidR="00B04EC9">
        <w:rPr>
          <w:rFonts w:cs="Arial"/>
          <w:color w:val="000000"/>
        </w:rPr>
        <w:t xml:space="preserve">; </w:t>
      </w:r>
      <w:r w:rsidR="00B04EC9" w:rsidRPr="006460D2">
        <w:rPr>
          <w:rFonts w:cs="Arial"/>
          <w:i/>
          <w:iCs/>
          <w:color w:val="000000"/>
        </w:rPr>
        <w:t>Goldwater c.</w:t>
      </w:r>
      <w:r w:rsidR="00B04EC9">
        <w:rPr>
          <w:rFonts w:cs="Arial"/>
          <w:i/>
          <w:iCs/>
          <w:color w:val="000000"/>
        </w:rPr>
        <w:t xml:space="preserve"> </w:t>
      </w:r>
      <w:r w:rsidR="00B04EC9" w:rsidRPr="006460D2">
        <w:rPr>
          <w:rFonts w:cs="Arial"/>
          <w:i/>
          <w:iCs/>
          <w:color w:val="000000"/>
        </w:rPr>
        <w:t>Procureur général du Québec</w:t>
      </w:r>
      <w:r w:rsidR="00B04EC9">
        <w:rPr>
          <w:rFonts w:cs="Arial"/>
          <w:color w:val="000000"/>
        </w:rPr>
        <w:t>, 2025.QCCS 2057, par. 81.</w:t>
      </w:r>
    </w:p>
  </w:footnote>
  <w:footnote w:id="37">
    <w:p w14:paraId="353E4E23" w14:textId="77777777" w:rsidR="006460D2" w:rsidRDefault="00B11239">
      <w:pPr>
        <w:pStyle w:val="Notedebasdepage"/>
      </w:pPr>
      <w:r>
        <w:rPr>
          <w:rStyle w:val="Appelnotedebasdep"/>
        </w:rPr>
        <w:footnoteRef/>
      </w:r>
      <w:r>
        <w:t xml:space="preserve"> </w:t>
      </w:r>
      <w:r>
        <w:tab/>
      </w:r>
      <w:r w:rsidR="00D921AB" w:rsidRPr="007E0A66">
        <w:rPr>
          <w:i/>
          <w:iCs/>
        </w:rPr>
        <w:t>Hak</w:t>
      </w:r>
      <w:r w:rsidR="00D921AB">
        <w:t xml:space="preserve"> c. </w:t>
      </w:r>
      <w:r w:rsidR="00D921AB" w:rsidRPr="007E0A66">
        <w:rPr>
          <w:i/>
          <w:iCs/>
        </w:rPr>
        <w:t>Procureur général du Québec</w:t>
      </w:r>
      <w:r w:rsidR="00D921AB">
        <w:t xml:space="preserve">, 2019 QCCA, par. 66; </w:t>
      </w:r>
      <w:r w:rsidRPr="00211407">
        <w:rPr>
          <w:rFonts w:cs="Arial"/>
          <w:i/>
          <w:iCs/>
          <w:color w:val="000000"/>
        </w:rPr>
        <w:t>Metropolitan Stores</w:t>
      </w:r>
      <w:r w:rsidR="00223744">
        <w:rPr>
          <w:rFonts w:cs="Arial"/>
          <w:color w:val="000000"/>
        </w:rPr>
        <w:t>,</w:t>
      </w:r>
      <w:r>
        <w:rPr>
          <w:rFonts w:cs="Arial"/>
          <w:color w:val="000000"/>
        </w:rPr>
        <w:t xml:space="preserve"> p.128</w:t>
      </w:r>
      <w:r w:rsidR="00B04EC9">
        <w:rPr>
          <w:rFonts w:cs="Arial"/>
          <w:color w:val="000000"/>
        </w:rPr>
        <w:t xml:space="preserve">; </w:t>
      </w:r>
      <w:r w:rsidR="00B04EC9" w:rsidRPr="006460D2">
        <w:rPr>
          <w:rFonts w:cs="Arial"/>
          <w:i/>
          <w:iCs/>
          <w:color w:val="000000"/>
        </w:rPr>
        <w:t>Goldwater c.</w:t>
      </w:r>
      <w:r w:rsidR="00B04EC9">
        <w:rPr>
          <w:rFonts w:cs="Arial"/>
          <w:i/>
          <w:iCs/>
          <w:color w:val="000000"/>
        </w:rPr>
        <w:t xml:space="preserve"> </w:t>
      </w:r>
      <w:r w:rsidR="00B04EC9" w:rsidRPr="006460D2">
        <w:rPr>
          <w:rFonts w:cs="Arial"/>
          <w:i/>
          <w:iCs/>
          <w:color w:val="000000"/>
        </w:rPr>
        <w:t>Procureur général du Québec</w:t>
      </w:r>
      <w:r w:rsidR="00B04EC9">
        <w:rPr>
          <w:rFonts w:cs="Arial"/>
          <w:color w:val="000000"/>
        </w:rPr>
        <w:t>, 2025.QCCS 2057, par. 81.</w:t>
      </w:r>
    </w:p>
  </w:footnote>
  <w:footnote w:id="38">
    <w:p w14:paraId="32486557" w14:textId="77777777" w:rsidR="006252E8" w:rsidRDefault="00B11239">
      <w:pPr>
        <w:pStyle w:val="Notedebasdepage"/>
      </w:pPr>
      <w:r>
        <w:rPr>
          <w:rStyle w:val="Appelnotedebasdep"/>
        </w:rPr>
        <w:footnoteRef/>
      </w:r>
      <w:r>
        <w:t xml:space="preserve"> </w:t>
      </w:r>
      <w:r>
        <w:tab/>
      </w:r>
      <w:r w:rsidRPr="007E0A66">
        <w:rPr>
          <w:i/>
          <w:iCs/>
        </w:rPr>
        <w:t>RJR-MacDonald</w:t>
      </w:r>
      <w:r>
        <w:t xml:space="preserve">, pp. 340-341; </w:t>
      </w:r>
      <w:r w:rsidRPr="007E0A66">
        <w:rPr>
          <w:i/>
          <w:iCs/>
        </w:rPr>
        <w:t>Ville de Blainville</w:t>
      </w:r>
      <w:r>
        <w:t xml:space="preserve"> c. </w:t>
      </w:r>
      <w:r w:rsidRPr="007E0A66">
        <w:rPr>
          <w:i/>
          <w:iCs/>
        </w:rPr>
        <w:t>Procureur général du Québec</w:t>
      </w:r>
      <w:r>
        <w:t>, 2025 QCCS 1056, par. 107 (permission d’appeler refusée, 2025 QCCA 457).</w:t>
      </w:r>
    </w:p>
  </w:footnote>
  <w:footnote w:id="39">
    <w:p w14:paraId="1E647F2B" w14:textId="77777777" w:rsidR="006460D2" w:rsidRDefault="00B11239">
      <w:pPr>
        <w:pStyle w:val="Notedebasdepage"/>
      </w:pPr>
      <w:r>
        <w:rPr>
          <w:rStyle w:val="Appelnotedebasdep"/>
        </w:rPr>
        <w:footnoteRef/>
      </w:r>
      <w:r>
        <w:t xml:space="preserve"> </w:t>
      </w:r>
      <w:r>
        <w:tab/>
      </w:r>
      <w:r w:rsidRPr="006460D2">
        <w:rPr>
          <w:rFonts w:cs="Arial"/>
          <w:i/>
          <w:iCs/>
          <w:color w:val="000000"/>
        </w:rPr>
        <w:t>Mitchell c. Procureur général du Québec</w:t>
      </w:r>
      <w:r>
        <w:rPr>
          <w:rFonts w:cs="Arial"/>
          <w:color w:val="000000"/>
        </w:rPr>
        <w:t>, 2022 QCCS 2983, par.</w:t>
      </w:r>
      <w:r w:rsidR="00CD5D12">
        <w:rPr>
          <w:rFonts w:cs="Arial"/>
          <w:color w:val="000000"/>
        </w:rPr>
        <w:t xml:space="preserve"> </w:t>
      </w:r>
      <w:r>
        <w:rPr>
          <w:rFonts w:cs="Arial"/>
          <w:color w:val="000000"/>
        </w:rPr>
        <w:t xml:space="preserve">25; </w:t>
      </w:r>
      <w:r w:rsidRPr="006460D2">
        <w:rPr>
          <w:rFonts w:cs="Arial"/>
          <w:i/>
          <w:iCs/>
          <w:color w:val="000000"/>
        </w:rPr>
        <w:t>English Montreal School</w:t>
      </w:r>
      <w:r w:rsidR="00C52697">
        <w:rPr>
          <w:rFonts w:cs="Arial"/>
          <w:i/>
          <w:iCs/>
          <w:color w:val="000000"/>
        </w:rPr>
        <w:t xml:space="preserve"> B</w:t>
      </w:r>
      <w:r w:rsidRPr="006460D2">
        <w:rPr>
          <w:rFonts w:cs="Arial"/>
          <w:i/>
          <w:iCs/>
          <w:color w:val="000000"/>
        </w:rPr>
        <w:t>oard c. Procureure générale du Québec</w:t>
      </w:r>
      <w:r>
        <w:rPr>
          <w:rFonts w:cs="Arial"/>
          <w:color w:val="000000"/>
        </w:rPr>
        <w:t>, 2019 QCCS 2682, par. 43</w:t>
      </w:r>
      <w:r w:rsidR="006252E8">
        <w:rPr>
          <w:rFonts w:cs="Arial"/>
          <w:color w:val="000000"/>
        </w:rPr>
        <w:t xml:space="preserve">; </w:t>
      </w:r>
      <w:r w:rsidR="006252E8" w:rsidRPr="007E0A66">
        <w:rPr>
          <w:i/>
          <w:iCs/>
        </w:rPr>
        <w:t>Ville de Blainville</w:t>
      </w:r>
      <w:r w:rsidR="006252E8">
        <w:t xml:space="preserve"> c. </w:t>
      </w:r>
      <w:r w:rsidR="006252E8" w:rsidRPr="007E0A66">
        <w:rPr>
          <w:i/>
          <w:iCs/>
        </w:rPr>
        <w:t>Procureur général du Québec</w:t>
      </w:r>
      <w:r w:rsidR="006252E8">
        <w:t>, 2025 QCCS 1056, par. 108 (permission d’appeler refusée, 2025 QCCA 457)</w:t>
      </w:r>
      <w:r w:rsidR="00974A66">
        <w:t xml:space="preserve">; </w:t>
      </w:r>
      <w:r w:rsidR="00974A66" w:rsidRPr="007E0A66">
        <w:rPr>
          <w:i/>
          <w:iCs/>
        </w:rPr>
        <w:t>Œuvres de charité de l’Archevêque catholique romain de Montréal</w:t>
      </w:r>
      <w:r w:rsidR="00974A66">
        <w:t xml:space="preserve"> c. </w:t>
      </w:r>
      <w:r w:rsidR="00974A66" w:rsidRPr="007E0A66">
        <w:rPr>
          <w:i/>
          <w:iCs/>
        </w:rPr>
        <w:t>Procureur général du Québec</w:t>
      </w:r>
      <w:r w:rsidR="00974A66">
        <w:t>, 2024 QCCS 652, par. 91.</w:t>
      </w:r>
    </w:p>
  </w:footnote>
  <w:footnote w:id="40">
    <w:p w14:paraId="106F4FD1" w14:textId="77777777" w:rsidR="006460D2" w:rsidRDefault="00B11239">
      <w:pPr>
        <w:pStyle w:val="Notedebasdepage"/>
      </w:pPr>
      <w:r>
        <w:rPr>
          <w:rStyle w:val="Appelnotedebasdep"/>
        </w:rPr>
        <w:footnoteRef/>
      </w:r>
      <w:r>
        <w:t xml:space="preserve"> </w:t>
      </w:r>
      <w:r>
        <w:tab/>
      </w:r>
      <w:r w:rsidR="006252E8" w:rsidRPr="007E0A66">
        <w:rPr>
          <w:i/>
          <w:iCs/>
        </w:rPr>
        <w:t>Hak</w:t>
      </w:r>
      <w:r w:rsidR="006252E8">
        <w:t xml:space="preserve"> c. </w:t>
      </w:r>
      <w:r w:rsidR="006252E8" w:rsidRPr="007E0A66">
        <w:rPr>
          <w:i/>
          <w:iCs/>
        </w:rPr>
        <w:t>Procureur général du Québec</w:t>
      </w:r>
      <w:r w:rsidR="006252E8">
        <w:t xml:space="preserve">, 2019 QCCA, par. 65-67; </w:t>
      </w:r>
      <w:r w:rsidRPr="006460D2">
        <w:rPr>
          <w:rFonts w:cs="Arial"/>
          <w:i/>
          <w:iCs/>
          <w:color w:val="000000"/>
        </w:rPr>
        <w:t>Goldwater c.</w:t>
      </w:r>
      <w:r>
        <w:rPr>
          <w:rFonts w:cs="Arial"/>
          <w:i/>
          <w:iCs/>
          <w:color w:val="000000"/>
        </w:rPr>
        <w:t xml:space="preserve"> </w:t>
      </w:r>
      <w:r w:rsidRPr="006460D2">
        <w:rPr>
          <w:rFonts w:cs="Arial"/>
          <w:i/>
          <w:iCs/>
          <w:color w:val="000000"/>
        </w:rPr>
        <w:t>Procureur général du Québec</w:t>
      </w:r>
      <w:r>
        <w:rPr>
          <w:rFonts w:cs="Arial"/>
          <w:color w:val="000000"/>
        </w:rPr>
        <w:t>, 2025.QCCS 2057, par.</w:t>
      </w:r>
      <w:r w:rsidR="007E0423">
        <w:rPr>
          <w:rFonts w:cs="Arial"/>
          <w:color w:val="000000"/>
        </w:rPr>
        <w:t xml:space="preserve"> </w:t>
      </w:r>
      <w:r>
        <w:rPr>
          <w:rFonts w:cs="Arial"/>
          <w:color w:val="000000"/>
        </w:rPr>
        <w:t>82</w:t>
      </w:r>
      <w:r w:rsidR="006252E8">
        <w:rPr>
          <w:rFonts w:cs="Arial"/>
          <w:color w:val="000000"/>
        </w:rPr>
        <w:t xml:space="preserve">; </w:t>
      </w:r>
      <w:r w:rsidR="006252E8" w:rsidRPr="007E0A66">
        <w:rPr>
          <w:i/>
          <w:iCs/>
        </w:rPr>
        <w:t>Ville de Blainville</w:t>
      </w:r>
      <w:r w:rsidR="006252E8">
        <w:t xml:space="preserve"> c. </w:t>
      </w:r>
      <w:r w:rsidR="006252E8" w:rsidRPr="007E0A66">
        <w:rPr>
          <w:i/>
          <w:iCs/>
        </w:rPr>
        <w:t>Procureur général du Québec</w:t>
      </w:r>
      <w:r w:rsidR="006252E8">
        <w:t>, 2025 QCCS 1056, par. 106 (permission d’appeler refusée, 2025 QCCA 457).</w:t>
      </w:r>
    </w:p>
  </w:footnote>
  <w:footnote w:id="41">
    <w:p w14:paraId="1955CB70" w14:textId="77777777" w:rsidR="00EF6B3E" w:rsidRDefault="00B11239">
      <w:pPr>
        <w:pStyle w:val="Notedebasdepage"/>
      </w:pPr>
      <w:r>
        <w:rPr>
          <w:rStyle w:val="Appelnotedebasdep"/>
        </w:rPr>
        <w:footnoteRef/>
      </w:r>
      <w:r>
        <w:t xml:space="preserve"> </w:t>
      </w:r>
      <w:r>
        <w:tab/>
      </w:r>
      <w:r w:rsidRPr="00EF6B3E">
        <w:t xml:space="preserve">Rapport final remis au SPVM, </w:t>
      </w:r>
      <w:r w:rsidRPr="00692D21">
        <w:rPr>
          <w:i/>
          <w:iCs/>
        </w:rPr>
        <w:t>Les interpellations policières à la lumière des identités racisées des personnes interpellées - Analyse des données du Service de Police de la Ville de Montréal (SPVM) et élaboration d’indicateurs de suivi en matière de profilage racial</w:t>
      </w:r>
      <w:r w:rsidRPr="00EF6B3E">
        <w:t xml:space="preserve"> (août 2019)</w:t>
      </w:r>
      <w:r w:rsidR="008D7EA1">
        <w:t>, onglet 29 du cahier d’autorités de la demanderesse</w:t>
      </w:r>
      <w:r w:rsidR="007E0A66">
        <w:t xml:space="preserve"> AJP</w:t>
      </w:r>
      <w:r w:rsidR="008D7EA1">
        <w:t>.</w:t>
      </w:r>
    </w:p>
  </w:footnote>
  <w:footnote w:id="42">
    <w:p w14:paraId="0B6A383F" w14:textId="77777777" w:rsidR="00EF6B3E" w:rsidRDefault="00B11239">
      <w:pPr>
        <w:pStyle w:val="Notedebasdepage"/>
      </w:pPr>
      <w:r>
        <w:rPr>
          <w:rStyle w:val="Appelnotedebasdep"/>
        </w:rPr>
        <w:footnoteRef/>
      </w:r>
      <w:r>
        <w:t xml:space="preserve"> </w:t>
      </w:r>
      <w:r>
        <w:tab/>
        <w:t>Cahier d’autorités de la demanderesse Clinique juridique de St-Michel, onglet</w:t>
      </w:r>
      <w:r w:rsidR="007E0A66">
        <w:t>s</w:t>
      </w:r>
      <w:r>
        <w:t xml:space="preserve"> 1, 2, 3, 6, 7</w:t>
      </w:r>
      <w:r w:rsidR="008D7EA1">
        <w:t xml:space="preserve"> et </w:t>
      </w:r>
      <w:r>
        <w:t>16</w:t>
      </w:r>
      <w:r w:rsidR="008D7EA1">
        <w:t>.</w:t>
      </w:r>
    </w:p>
  </w:footnote>
  <w:footnote w:id="43">
    <w:p w14:paraId="04FC70FA" w14:textId="77777777" w:rsidR="008D7EA1" w:rsidRDefault="00B11239" w:rsidP="008D7EA1">
      <w:pPr>
        <w:pStyle w:val="Notedebasdepage"/>
      </w:pPr>
      <w:r>
        <w:rPr>
          <w:rStyle w:val="Appelnotedebasdep"/>
        </w:rPr>
        <w:footnoteRef/>
      </w:r>
      <w:r>
        <w:t xml:space="preserve"> </w:t>
      </w:r>
      <w:r>
        <w:tab/>
      </w:r>
      <w:r w:rsidRPr="007E0A66">
        <w:rPr>
          <w:i/>
          <w:iCs/>
        </w:rPr>
        <w:t>Alliance de la fonction publique du Canada</w:t>
      </w:r>
      <w:r>
        <w:t xml:space="preserve"> c. </w:t>
      </w:r>
      <w:r w:rsidRPr="007E0A66">
        <w:rPr>
          <w:i/>
          <w:iCs/>
        </w:rPr>
        <w:t>Procureur général du Québec</w:t>
      </w:r>
      <w:r>
        <w:t>, 2023 QCCS 4701, par. 46-54.</w:t>
      </w:r>
    </w:p>
  </w:footnote>
  <w:footnote w:id="44">
    <w:p w14:paraId="6386E11D" w14:textId="77777777" w:rsidR="00D15D26" w:rsidRDefault="00B11239">
      <w:pPr>
        <w:pStyle w:val="Notedebasdepage"/>
      </w:pPr>
      <w:r>
        <w:rPr>
          <w:rStyle w:val="Appelnotedebasdep"/>
        </w:rPr>
        <w:footnoteRef/>
      </w:r>
      <w:r>
        <w:t xml:space="preserve"> </w:t>
      </w:r>
      <w:r>
        <w:tab/>
        <w:t xml:space="preserve">Le </w:t>
      </w:r>
      <w:r w:rsidR="00CA33B7">
        <w:t>P</w:t>
      </w:r>
      <w:r>
        <w:t xml:space="preserve">ourvoi n’annexe </w:t>
      </w:r>
      <w:r w:rsidRPr="00D15D26">
        <w:t>que trois pièces (P-1</w:t>
      </w:r>
      <w:r>
        <w:t xml:space="preserve"> à P-3), soit les registres corporatifs des demanderesses.</w:t>
      </w:r>
    </w:p>
  </w:footnote>
  <w:footnote w:id="45">
    <w:p w14:paraId="4876FB83" w14:textId="77777777" w:rsidR="00D15D26" w:rsidRDefault="00B11239">
      <w:pPr>
        <w:pStyle w:val="Notedebasdepage"/>
      </w:pPr>
      <w:r>
        <w:rPr>
          <w:rStyle w:val="Appelnotedebasdep"/>
        </w:rPr>
        <w:footnoteRef/>
      </w:r>
      <w:r>
        <w:t xml:space="preserve"> </w:t>
      </w:r>
      <w:r>
        <w:tab/>
        <w:t>Plan d’argumentation de ADP, par. 149.</w:t>
      </w:r>
    </w:p>
  </w:footnote>
  <w:footnote w:id="46">
    <w:p w14:paraId="179BB299" w14:textId="77777777" w:rsidR="00D15D26" w:rsidRDefault="00B11239">
      <w:pPr>
        <w:pStyle w:val="Notedebasdepage"/>
      </w:pPr>
      <w:r>
        <w:rPr>
          <w:rStyle w:val="Appelnotedebasdep"/>
        </w:rPr>
        <w:footnoteRef/>
      </w:r>
      <w:r>
        <w:t xml:space="preserve"> </w:t>
      </w:r>
      <w:r>
        <w:tab/>
        <w:t>Pourvoi, par. 135-138.</w:t>
      </w:r>
    </w:p>
  </w:footnote>
  <w:footnote w:id="47">
    <w:p w14:paraId="4B1F6189" w14:textId="77777777" w:rsidR="00537172" w:rsidRDefault="00B11239">
      <w:pPr>
        <w:pStyle w:val="Notedebasdepage"/>
      </w:pPr>
      <w:r>
        <w:rPr>
          <w:rStyle w:val="Appelnotedebasdep"/>
        </w:rPr>
        <w:footnoteRef/>
      </w:r>
      <w:r>
        <w:t xml:space="preserve"> </w:t>
      </w:r>
      <w:r>
        <w:tab/>
        <w:t>Pourvoi, par. 10, 147-149.</w:t>
      </w:r>
    </w:p>
  </w:footnote>
  <w:footnote w:id="48">
    <w:p w14:paraId="0DEDA954" w14:textId="77777777" w:rsidR="00D631D0" w:rsidRDefault="00B11239" w:rsidP="00D631D0">
      <w:pPr>
        <w:pStyle w:val="Notedebasdepage"/>
      </w:pPr>
      <w:r>
        <w:rPr>
          <w:rStyle w:val="Appelnotedebasdep"/>
        </w:rPr>
        <w:footnoteRef/>
      </w:r>
      <w:r>
        <w:t xml:space="preserve"> </w:t>
      </w:r>
      <w:r>
        <w:tab/>
      </w:r>
      <w:r w:rsidRPr="003B5241">
        <w:rPr>
          <w:i/>
          <w:iCs/>
        </w:rPr>
        <w:t>Société canadienne pour la prévention de la cruauté envers les animaux</w:t>
      </w:r>
      <w:r w:rsidRPr="00CF5699">
        <w:t xml:space="preserve"> c. </w:t>
      </w:r>
      <w:r w:rsidRPr="003B5241">
        <w:rPr>
          <w:i/>
          <w:iCs/>
        </w:rPr>
        <w:t>Ville de Longueuil</w:t>
      </w:r>
      <w:r w:rsidRPr="00CF5699">
        <w:t>, 2022 QCCA 1690</w:t>
      </w:r>
      <w:r>
        <w:t>, par. 33.</w:t>
      </w:r>
    </w:p>
  </w:footnote>
  <w:footnote w:id="49">
    <w:p w14:paraId="7185A5D9" w14:textId="77777777" w:rsidR="00D631D0" w:rsidRDefault="00B11239" w:rsidP="00D631D0">
      <w:pPr>
        <w:pStyle w:val="Notedebasdepage"/>
      </w:pPr>
      <w:r>
        <w:rPr>
          <w:rStyle w:val="Appelnotedebasdep"/>
        </w:rPr>
        <w:footnoteRef/>
      </w:r>
      <w:r>
        <w:t xml:space="preserve"> </w:t>
      </w:r>
      <w:r>
        <w:tab/>
      </w:r>
      <w:r w:rsidRPr="003B5241">
        <w:rPr>
          <w:i/>
          <w:iCs/>
        </w:rPr>
        <w:t>Hak</w:t>
      </w:r>
      <w:r>
        <w:t xml:space="preserve"> c. </w:t>
      </w:r>
      <w:r w:rsidRPr="003B5241">
        <w:rPr>
          <w:i/>
          <w:iCs/>
        </w:rPr>
        <w:t>Procureure générale du Québec</w:t>
      </w:r>
      <w:r>
        <w:t xml:space="preserve">, 2019 QCCA 2145, par. </w:t>
      </w:r>
      <w:r w:rsidR="00692D21">
        <w:t>72.</w:t>
      </w:r>
    </w:p>
  </w:footnote>
  <w:footnote w:id="50">
    <w:p w14:paraId="2F3867B9" w14:textId="77777777" w:rsidR="00692D21" w:rsidRDefault="00B11239">
      <w:pPr>
        <w:pStyle w:val="Notedebasdepage"/>
      </w:pPr>
      <w:r>
        <w:rPr>
          <w:rStyle w:val="Appelnotedebasdep"/>
        </w:rPr>
        <w:footnoteRef/>
      </w:r>
      <w:r>
        <w:t xml:space="preserve"> </w:t>
      </w:r>
      <w:r>
        <w:tab/>
      </w:r>
      <w:r w:rsidRPr="003B5241">
        <w:rPr>
          <w:i/>
          <w:iCs/>
        </w:rPr>
        <w:t>Ville de Blainville</w:t>
      </w:r>
      <w:r w:rsidRPr="00692D21">
        <w:t xml:space="preserve"> c. </w:t>
      </w:r>
      <w:r w:rsidRPr="003B5241">
        <w:rPr>
          <w:i/>
          <w:iCs/>
        </w:rPr>
        <w:t>Procureur général du Québec</w:t>
      </w:r>
      <w:r w:rsidRPr="00692D21">
        <w:t>, 2025 QCCS 1056, par</w:t>
      </w:r>
      <w:r w:rsidR="00CA33B7">
        <w:t>.</w:t>
      </w:r>
      <w:r w:rsidRPr="00692D21">
        <w:t xml:space="preserve"> 112 à 116</w:t>
      </w:r>
      <w:r>
        <w:t xml:space="preserve"> </w:t>
      </w:r>
      <w:r w:rsidRPr="00692D21">
        <w:t>(permission d’appeler refusée, 2025 QCCA 457</w:t>
      </w:r>
      <w:r>
        <w:t>).</w:t>
      </w:r>
    </w:p>
  </w:footnote>
  <w:footnote w:id="51">
    <w:p w14:paraId="21F001A5" w14:textId="77777777" w:rsidR="00692D21" w:rsidRDefault="00B11239" w:rsidP="00692D21">
      <w:pPr>
        <w:pStyle w:val="Notedebasdepage"/>
      </w:pPr>
      <w:r>
        <w:rPr>
          <w:rStyle w:val="Appelnotedebasdep"/>
        </w:rPr>
        <w:footnoteRef/>
      </w:r>
      <w:r>
        <w:t xml:space="preserve"> </w:t>
      </w:r>
      <w:r>
        <w:tab/>
      </w:r>
      <w:r w:rsidRPr="003B5241">
        <w:rPr>
          <w:i/>
          <w:iCs/>
        </w:rPr>
        <w:t>Œuvres de charité de l'Archevêque catholique romain de Montréal</w:t>
      </w:r>
      <w:r>
        <w:t xml:space="preserve"> c. </w:t>
      </w:r>
      <w:r w:rsidRPr="003B5241">
        <w:rPr>
          <w:i/>
          <w:iCs/>
        </w:rPr>
        <w:t>Procureur général du Québec</w:t>
      </w:r>
      <w:r>
        <w:t>, 2024 QCCS 652, par. 97.</w:t>
      </w:r>
    </w:p>
  </w:footnote>
  <w:footnote w:id="52">
    <w:p w14:paraId="0F7BDDD4" w14:textId="77777777" w:rsidR="00692D21" w:rsidRDefault="00B11239">
      <w:pPr>
        <w:pStyle w:val="Notedebasdepage"/>
      </w:pPr>
      <w:r>
        <w:rPr>
          <w:rStyle w:val="Appelnotedebasdep"/>
        </w:rPr>
        <w:footnoteRef/>
      </w:r>
      <w:r>
        <w:t xml:space="preserve"> </w:t>
      </w:r>
      <w:r>
        <w:tab/>
      </w:r>
      <w:r w:rsidRPr="003B5241">
        <w:rPr>
          <w:i/>
          <w:iCs/>
        </w:rPr>
        <w:t>Quebec English School Boards Association</w:t>
      </w:r>
      <w:r w:rsidRPr="00692D21">
        <w:t xml:space="preserve"> c. </w:t>
      </w:r>
      <w:r w:rsidRPr="003B5241">
        <w:rPr>
          <w:i/>
          <w:iCs/>
        </w:rPr>
        <w:t>Procureur général du Québec</w:t>
      </w:r>
      <w:r w:rsidRPr="00692D21">
        <w:t>, 2020 QCCS 2444, par. 131</w:t>
      </w:r>
      <w:r w:rsidR="00CA33B7">
        <w:t>-1</w:t>
      </w:r>
      <w:r w:rsidRPr="00692D21">
        <w:t>35</w:t>
      </w:r>
      <w:r>
        <w:t>.</w:t>
      </w:r>
    </w:p>
  </w:footnote>
  <w:footnote w:id="53">
    <w:p w14:paraId="1DF9BB0D" w14:textId="77777777" w:rsidR="0043557E" w:rsidRDefault="00B11239">
      <w:pPr>
        <w:pStyle w:val="Notedebasdepage"/>
      </w:pPr>
      <w:r>
        <w:rPr>
          <w:rStyle w:val="Appelnotedebasdep"/>
        </w:rPr>
        <w:footnoteRef/>
      </w:r>
      <w:r>
        <w:t xml:space="preserve"> </w:t>
      </w:r>
      <w:r>
        <w:tab/>
        <w:t>Liste non exhaustive fournie par la Ville de décisions comportant des infractions similaires</w:t>
      </w:r>
      <w:r w:rsidR="00CA33B7">
        <w:t xml:space="preserve">. </w:t>
      </w:r>
    </w:p>
  </w:footnote>
  <w:footnote w:id="54">
    <w:p w14:paraId="10899B92" w14:textId="77777777" w:rsidR="0073107E" w:rsidRDefault="00B11239">
      <w:pPr>
        <w:pStyle w:val="Notedebasdepage"/>
      </w:pPr>
      <w:r>
        <w:rPr>
          <w:rStyle w:val="Appelnotedebasdep"/>
        </w:rPr>
        <w:footnoteRef/>
      </w:r>
      <w:r>
        <w:t xml:space="preserve"> </w:t>
      </w:r>
      <w:r>
        <w:tab/>
      </w:r>
      <w:r w:rsidRPr="003B5241">
        <w:rPr>
          <w:i/>
          <w:iCs/>
        </w:rPr>
        <w:t>R.</w:t>
      </w:r>
      <w:r>
        <w:t xml:space="preserve"> c. </w:t>
      </w:r>
      <w:r w:rsidRPr="003B5241">
        <w:rPr>
          <w:i/>
          <w:iCs/>
        </w:rPr>
        <w:t>Le</w:t>
      </w:r>
      <w:r>
        <w:t>, 2019 CSC 34, par. 89-97.</w:t>
      </w:r>
    </w:p>
  </w:footnote>
  <w:footnote w:id="55">
    <w:p w14:paraId="0A21EC36" w14:textId="77777777" w:rsidR="0073107E" w:rsidRDefault="00B11239">
      <w:pPr>
        <w:pStyle w:val="Notedebasdepage"/>
      </w:pPr>
      <w:r>
        <w:rPr>
          <w:rStyle w:val="Appelnotedebasdep"/>
        </w:rPr>
        <w:footnoteRef/>
      </w:r>
      <w:r>
        <w:t xml:space="preserve"> </w:t>
      </w:r>
      <w:r>
        <w:tab/>
      </w:r>
      <w:r w:rsidRPr="003B5241">
        <w:rPr>
          <w:i/>
          <w:iCs/>
        </w:rPr>
        <w:t>Luamba</w:t>
      </w:r>
      <w:r>
        <w:t xml:space="preserve"> c. </w:t>
      </w:r>
      <w:r w:rsidRPr="003B5241">
        <w:rPr>
          <w:i/>
          <w:iCs/>
        </w:rPr>
        <w:t>Procureur général du Québec</w:t>
      </w:r>
      <w:r>
        <w:t xml:space="preserve">, 2022 QCCS 3866, </w:t>
      </w:r>
      <w:r w:rsidRPr="003B5241">
        <w:rPr>
          <w:i/>
          <w:iCs/>
        </w:rPr>
        <w:t>Procureur général du Québec</w:t>
      </w:r>
      <w:r w:rsidRPr="0073107E">
        <w:t xml:space="preserve"> c. </w:t>
      </w:r>
      <w:r w:rsidRPr="003B5241">
        <w:rPr>
          <w:i/>
          <w:iCs/>
        </w:rPr>
        <w:t>Luamba</w:t>
      </w:r>
      <w:r w:rsidR="003B5241">
        <w:t>,</w:t>
      </w:r>
      <w:r w:rsidRPr="0073107E">
        <w:t xml:space="preserve"> 2024 QCCA 1387</w:t>
      </w:r>
      <w:r>
        <w:t xml:space="preserve">, demande pour permission d’appeler à la CSC accueillie, </w:t>
      </w:r>
      <w:r w:rsidRPr="0073107E">
        <w:t>2025 CanLII 38363 (CSC)</w:t>
      </w:r>
      <w:r>
        <w:t>.</w:t>
      </w:r>
      <w:r w:rsidRPr="0073107E">
        <w:t xml:space="preserve"> Les plaidoiries ont eu lieu</w:t>
      </w:r>
      <w:r>
        <w:t xml:space="preserve"> devant la CSC</w:t>
      </w:r>
      <w:r w:rsidRPr="0073107E">
        <w:t xml:space="preserve"> les 19 et 20 janvier 2026</w:t>
      </w:r>
      <w:r>
        <w:t>, et le dossier est toujours en délibéré.</w:t>
      </w:r>
    </w:p>
  </w:footnote>
  <w:footnote w:id="56">
    <w:p w14:paraId="526F819F" w14:textId="77777777" w:rsidR="00223744" w:rsidRDefault="00B11239">
      <w:pPr>
        <w:pStyle w:val="Notedebasdepage"/>
      </w:pPr>
      <w:r>
        <w:rPr>
          <w:rStyle w:val="Appelnotedebasdep"/>
        </w:rPr>
        <w:footnoteRef/>
      </w:r>
      <w:r>
        <w:t xml:space="preserve"> </w:t>
      </w:r>
      <w:r>
        <w:tab/>
      </w:r>
      <w:r w:rsidRPr="00D93497">
        <w:rPr>
          <w:rFonts w:cs="Arial"/>
          <w:i/>
          <w:iCs/>
          <w:color w:val="000000"/>
        </w:rPr>
        <w:t>Metropolitan Stores</w:t>
      </w:r>
      <w:r>
        <w:rPr>
          <w:rFonts w:cs="Arial"/>
          <w:color w:val="000000"/>
        </w:rPr>
        <w:t>, p.129.</w:t>
      </w:r>
    </w:p>
  </w:footnote>
  <w:footnote w:id="57">
    <w:p w14:paraId="1ACC9ED5" w14:textId="77777777" w:rsidR="007C2EFA" w:rsidRDefault="00B11239">
      <w:pPr>
        <w:pStyle w:val="Notedebasdepage"/>
      </w:pPr>
      <w:r>
        <w:rPr>
          <w:rStyle w:val="Appelnotedebasdep"/>
        </w:rPr>
        <w:footnoteRef/>
      </w:r>
      <w:r>
        <w:t xml:space="preserve"> </w:t>
      </w:r>
      <w:r>
        <w:tab/>
      </w:r>
      <w:r w:rsidRPr="003B5241">
        <w:rPr>
          <w:i/>
          <w:iCs/>
        </w:rPr>
        <w:t>Metropolitan Stores</w:t>
      </w:r>
      <w:r>
        <w:t xml:space="preserve">, p. 129; </w:t>
      </w:r>
      <w:r w:rsidRPr="003B5241">
        <w:rPr>
          <w:i/>
          <w:iCs/>
        </w:rPr>
        <w:t>RJR-MacDonald</w:t>
      </w:r>
      <w:r>
        <w:t>, p. 342.</w:t>
      </w:r>
    </w:p>
  </w:footnote>
  <w:footnote w:id="58">
    <w:p w14:paraId="36F624B3" w14:textId="77777777" w:rsidR="00223744" w:rsidRDefault="00B11239">
      <w:pPr>
        <w:pStyle w:val="Notedebasdepage"/>
      </w:pPr>
      <w:r>
        <w:rPr>
          <w:rStyle w:val="Appelnotedebasdep"/>
        </w:rPr>
        <w:footnoteRef/>
      </w:r>
      <w:r>
        <w:t xml:space="preserve"> </w:t>
      </w:r>
      <w:r>
        <w:tab/>
      </w:r>
      <w:r w:rsidRPr="00D93497">
        <w:rPr>
          <w:rFonts w:cs="Arial"/>
          <w:i/>
          <w:iCs/>
          <w:color w:val="000000"/>
        </w:rPr>
        <w:t>RJR</w:t>
      </w:r>
      <w:r w:rsidR="00856332" w:rsidRPr="00D93497">
        <w:rPr>
          <w:rFonts w:cs="Arial"/>
          <w:i/>
          <w:iCs/>
          <w:color w:val="000000"/>
        </w:rPr>
        <w:t xml:space="preserve"> </w:t>
      </w:r>
      <w:r w:rsidR="007C2EFA">
        <w:rPr>
          <w:rFonts w:cs="Arial"/>
          <w:i/>
          <w:iCs/>
          <w:color w:val="000000"/>
        </w:rPr>
        <w:t>-</w:t>
      </w:r>
      <w:r w:rsidR="00856332" w:rsidRPr="00D93497">
        <w:rPr>
          <w:rFonts w:cs="Arial"/>
          <w:i/>
          <w:iCs/>
          <w:color w:val="000000"/>
        </w:rPr>
        <w:t xml:space="preserve"> </w:t>
      </w:r>
      <w:r w:rsidRPr="00D93497">
        <w:rPr>
          <w:rFonts w:cs="Arial"/>
          <w:i/>
          <w:iCs/>
          <w:color w:val="000000"/>
        </w:rPr>
        <w:t>MacDonald</w:t>
      </w:r>
      <w:r>
        <w:rPr>
          <w:rFonts w:cs="Arial"/>
          <w:color w:val="000000"/>
        </w:rPr>
        <w:t>, p.</w:t>
      </w:r>
      <w:r w:rsidR="006F654C">
        <w:rPr>
          <w:rFonts w:cs="Arial"/>
          <w:color w:val="000000"/>
        </w:rPr>
        <w:t xml:space="preserve"> </w:t>
      </w:r>
      <w:r>
        <w:rPr>
          <w:rFonts w:cs="Arial"/>
          <w:color w:val="000000"/>
        </w:rPr>
        <w:t>343.</w:t>
      </w:r>
    </w:p>
  </w:footnote>
  <w:footnote w:id="59">
    <w:p w14:paraId="1BEAC045" w14:textId="77777777" w:rsidR="00223744" w:rsidRDefault="00B11239">
      <w:pPr>
        <w:pStyle w:val="Notedebasdepage"/>
      </w:pPr>
      <w:r>
        <w:rPr>
          <w:rStyle w:val="Appelnotedebasdep"/>
        </w:rPr>
        <w:footnoteRef/>
      </w:r>
      <w:r>
        <w:t xml:space="preserve"> </w:t>
      </w:r>
      <w:r>
        <w:tab/>
      </w:r>
      <w:r w:rsidR="000B3E7D" w:rsidRPr="00D93497">
        <w:rPr>
          <w:rFonts w:cs="Arial"/>
          <w:i/>
          <w:iCs/>
        </w:rPr>
        <w:t>Harper</w:t>
      </w:r>
      <w:r>
        <w:rPr>
          <w:rFonts w:cs="Arial"/>
          <w:color w:val="000000"/>
        </w:rPr>
        <w:t>, par.</w:t>
      </w:r>
      <w:r w:rsidR="006F654C">
        <w:rPr>
          <w:rFonts w:cs="Arial"/>
          <w:color w:val="000000"/>
        </w:rPr>
        <w:t xml:space="preserve"> </w:t>
      </w:r>
      <w:r>
        <w:rPr>
          <w:rFonts w:cs="Arial"/>
          <w:color w:val="000000"/>
        </w:rPr>
        <w:t>9</w:t>
      </w:r>
      <w:r w:rsidR="00640E46">
        <w:rPr>
          <w:rFonts w:cs="Arial"/>
          <w:color w:val="000000"/>
        </w:rPr>
        <w:t xml:space="preserve">; </w:t>
      </w:r>
      <w:r w:rsidR="00640E46" w:rsidRPr="00714A4F">
        <w:rPr>
          <w:rFonts w:cs="Arial"/>
          <w:i/>
          <w:iCs/>
          <w:color w:val="000000"/>
          <w:lang w:eastAsia="fr-CA"/>
        </w:rPr>
        <w:t>Gaspé Énergies</w:t>
      </w:r>
      <w:r w:rsidR="00640E46">
        <w:rPr>
          <w:rFonts w:cs="Arial"/>
          <w:color w:val="000000"/>
        </w:rPr>
        <w:t>, par. 117.</w:t>
      </w:r>
    </w:p>
  </w:footnote>
  <w:footnote w:id="60">
    <w:p w14:paraId="17DED75C" w14:textId="77777777" w:rsidR="00640E46" w:rsidRDefault="00B11239">
      <w:pPr>
        <w:pStyle w:val="Notedebasdepage"/>
      </w:pPr>
      <w:r>
        <w:rPr>
          <w:rStyle w:val="Appelnotedebasdep"/>
        </w:rPr>
        <w:footnoteRef/>
      </w:r>
      <w:r>
        <w:t xml:space="preserve"> </w:t>
      </w:r>
      <w:r>
        <w:tab/>
      </w:r>
      <w:r w:rsidRPr="00714A4F">
        <w:rPr>
          <w:rFonts w:cs="Arial"/>
          <w:i/>
          <w:iCs/>
          <w:color w:val="000000"/>
          <w:lang w:eastAsia="fr-CA"/>
        </w:rPr>
        <w:t>Gaspé Énergies</w:t>
      </w:r>
      <w:r w:rsidRPr="00714A4F">
        <w:rPr>
          <w:rFonts w:cs="Arial"/>
          <w:color w:val="000000"/>
          <w:lang w:eastAsia="fr-CA"/>
        </w:rPr>
        <w:t xml:space="preserve">, </w:t>
      </w:r>
      <w:r>
        <w:rPr>
          <w:rFonts w:cs="Arial"/>
          <w:color w:val="000000"/>
        </w:rPr>
        <w:t>par. 119.</w:t>
      </w:r>
    </w:p>
  </w:footnote>
  <w:footnote w:id="61">
    <w:p w14:paraId="5AF8920D" w14:textId="77777777" w:rsidR="00B34FFB" w:rsidRDefault="00B11239" w:rsidP="00B34FFB">
      <w:pPr>
        <w:pStyle w:val="Notedebasdepage"/>
      </w:pPr>
      <w:r>
        <w:rPr>
          <w:rStyle w:val="Appelnotedebasdep"/>
        </w:rPr>
        <w:footnoteRef/>
      </w:r>
      <w:r>
        <w:t xml:space="preserve"> </w:t>
      </w:r>
      <w:r>
        <w:tab/>
      </w:r>
      <w:r w:rsidRPr="00714A4F">
        <w:rPr>
          <w:rFonts w:cs="Arial"/>
          <w:i/>
          <w:iCs/>
          <w:color w:val="000000"/>
          <w:lang w:eastAsia="fr-CA"/>
        </w:rPr>
        <w:t>Gaspé Énergies</w:t>
      </w:r>
      <w:r w:rsidRPr="00714A4F">
        <w:rPr>
          <w:rFonts w:cs="Arial"/>
          <w:color w:val="000000"/>
          <w:lang w:eastAsia="fr-CA"/>
        </w:rPr>
        <w:t xml:space="preserve">, </w:t>
      </w:r>
      <w:r>
        <w:rPr>
          <w:rFonts w:cs="Arial"/>
          <w:color w:val="000000"/>
        </w:rPr>
        <w:t>par. 117.</w:t>
      </w:r>
    </w:p>
  </w:footnote>
  <w:footnote w:id="62">
    <w:p w14:paraId="0D07EE51" w14:textId="77777777" w:rsidR="00952B2C" w:rsidRDefault="00B11239">
      <w:pPr>
        <w:pStyle w:val="Notedebasdepage"/>
      </w:pPr>
      <w:r>
        <w:rPr>
          <w:rStyle w:val="Appelnotedebasdep"/>
        </w:rPr>
        <w:footnoteRef/>
      </w:r>
      <w:r>
        <w:t xml:space="preserve"> </w:t>
      </w:r>
      <w:r>
        <w:tab/>
      </w:r>
      <w:r w:rsidRPr="00714A4F">
        <w:rPr>
          <w:rFonts w:cs="Arial"/>
          <w:i/>
          <w:iCs/>
          <w:color w:val="000000"/>
          <w:lang w:eastAsia="fr-CA"/>
        </w:rPr>
        <w:t>Gaspé Énergies</w:t>
      </w:r>
      <w:r w:rsidRPr="00714A4F">
        <w:rPr>
          <w:rFonts w:cs="Arial"/>
          <w:color w:val="000000"/>
          <w:lang w:eastAsia="fr-CA"/>
        </w:rPr>
        <w:t xml:space="preserve">, </w:t>
      </w:r>
      <w:r>
        <w:rPr>
          <w:rFonts w:cs="Arial"/>
          <w:color w:val="000000"/>
        </w:rPr>
        <w:t>par. 121-127.</w:t>
      </w:r>
    </w:p>
  </w:footnote>
  <w:footnote w:id="63">
    <w:p w14:paraId="044E5AFE" w14:textId="77777777" w:rsidR="00E178DF" w:rsidRDefault="00B11239">
      <w:pPr>
        <w:pStyle w:val="Notedebasdepage"/>
      </w:pPr>
      <w:r>
        <w:rPr>
          <w:rStyle w:val="Appelnotedebasdep"/>
        </w:rPr>
        <w:footnoteRef/>
      </w:r>
      <w:r>
        <w:t xml:space="preserve"> </w:t>
      </w:r>
      <w:r>
        <w:tab/>
      </w:r>
      <w:r w:rsidRPr="003B5241">
        <w:rPr>
          <w:i/>
          <w:iCs/>
        </w:rPr>
        <w:t>Conseil des juifs hassidiques du Québec</w:t>
      </w:r>
      <w:r>
        <w:t xml:space="preserve"> c. </w:t>
      </w:r>
      <w:r w:rsidRPr="003B5241">
        <w:rPr>
          <w:i/>
          <w:iCs/>
        </w:rPr>
        <w:t>Procureur général du Québec</w:t>
      </w:r>
      <w:r>
        <w:t>, 2021 QCCA 836, par. 13.</w:t>
      </w:r>
    </w:p>
  </w:footnote>
  <w:footnote w:id="64">
    <w:p w14:paraId="4D057347" w14:textId="77777777" w:rsidR="00E178DF" w:rsidRDefault="00B11239">
      <w:pPr>
        <w:pStyle w:val="Notedebasdepage"/>
      </w:pPr>
      <w:r>
        <w:rPr>
          <w:rStyle w:val="Appelnotedebasdep"/>
        </w:rPr>
        <w:footnoteRef/>
      </w:r>
      <w:r>
        <w:t xml:space="preserve"> </w:t>
      </w:r>
      <w:r>
        <w:tab/>
      </w:r>
      <w:r w:rsidRPr="003B5241">
        <w:rPr>
          <w:i/>
          <w:iCs/>
        </w:rPr>
        <w:t>Conseil des juifs hassidiques du Québec</w:t>
      </w:r>
      <w:r>
        <w:t xml:space="preserve"> c. </w:t>
      </w:r>
      <w:r w:rsidRPr="003B5241">
        <w:rPr>
          <w:i/>
          <w:iCs/>
        </w:rPr>
        <w:t>Procureur général du Québec</w:t>
      </w:r>
      <w:r>
        <w:t>, 2021 QCCA 836, par. 13.</w:t>
      </w:r>
    </w:p>
  </w:footnote>
  <w:footnote w:id="65">
    <w:p w14:paraId="65243CB0" w14:textId="77777777" w:rsidR="00E178DF" w:rsidRDefault="00B11239">
      <w:pPr>
        <w:pStyle w:val="Notedebasdepage"/>
      </w:pPr>
      <w:r>
        <w:rPr>
          <w:rStyle w:val="Appelnotedebasdep"/>
        </w:rPr>
        <w:footnoteRef/>
      </w:r>
      <w:r>
        <w:t xml:space="preserve"> </w:t>
      </w:r>
      <w:r>
        <w:tab/>
      </w:r>
      <w:r w:rsidRPr="003B5241">
        <w:rPr>
          <w:i/>
          <w:iCs/>
        </w:rPr>
        <w:t>Harper</w:t>
      </w:r>
      <w:r>
        <w:t>, par. 9.</w:t>
      </w:r>
    </w:p>
  </w:footnote>
  <w:footnote w:id="66">
    <w:p w14:paraId="3A391A3C" w14:textId="77777777" w:rsidR="006354C7" w:rsidRDefault="00B11239">
      <w:pPr>
        <w:pStyle w:val="Notedebasdepage"/>
      </w:pPr>
      <w:r>
        <w:rPr>
          <w:rStyle w:val="Appelnotedebasdep"/>
        </w:rPr>
        <w:footnoteRef/>
      </w:r>
      <w:r>
        <w:t xml:space="preserve"> </w:t>
      </w:r>
      <w:r>
        <w:tab/>
      </w:r>
      <w:r w:rsidRPr="00952B2C">
        <w:rPr>
          <w:i/>
          <w:iCs/>
        </w:rPr>
        <w:t>Bédard</w:t>
      </w:r>
      <w:r w:rsidRPr="006354C7">
        <w:t xml:space="preserve"> c. </w:t>
      </w:r>
      <w:r w:rsidRPr="00952B2C">
        <w:rPr>
          <w:i/>
          <w:iCs/>
        </w:rPr>
        <w:t>Directeur des poursuites criminelles et pénales</w:t>
      </w:r>
      <w:r w:rsidRPr="006354C7">
        <w:t>, 2021 QCCA 377</w:t>
      </w:r>
      <w:r>
        <w:t xml:space="preserve">, par. 49 (permission d’appeler à la CSC refusée, </w:t>
      </w:r>
      <w:r w:rsidRPr="006354C7">
        <w:t>2021 CanLII 89566</w:t>
      </w:r>
      <w:r>
        <w:t>).</w:t>
      </w:r>
    </w:p>
  </w:footnote>
  <w:footnote w:id="67">
    <w:p w14:paraId="3BB031A9" w14:textId="77777777" w:rsidR="00980500" w:rsidRDefault="00B11239">
      <w:pPr>
        <w:pStyle w:val="Notedebasdepage"/>
      </w:pPr>
      <w:r>
        <w:rPr>
          <w:rStyle w:val="Appelnotedebasdep"/>
        </w:rPr>
        <w:footnoteRef/>
      </w:r>
      <w:r>
        <w:t xml:space="preserve"> </w:t>
      </w:r>
      <w:r>
        <w:tab/>
      </w:r>
      <w:r w:rsidRPr="00952B2C">
        <w:rPr>
          <w:i/>
          <w:iCs/>
        </w:rPr>
        <w:t>Bédard</w:t>
      </w:r>
      <w:r w:rsidRPr="006354C7">
        <w:t xml:space="preserve"> c. </w:t>
      </w:r>
      <w:r w:rsidRPr="00952B2C">
        <w:rPr>
          <w:i/>
          <w:iCs/>
        </w:rPr>
        <w:t>Directeur des poursuites criminelles et pénales</w:t>
      </w:r>
      <w:r w:rsidRPr="006354C7">
        <w:t>, 2021 QCCA 377</w:t>
      </w:r>
      <w:r>
        <w:t xml:space="preserve">, par. 53 (permission d’appeler à la CSC refusée, </w:t>
      </w:r>
      <w:r w:rsidRPr="006354C7">
        <w:t>2021 CanLII 89566</w:t>
      </w:r>
      <w:r>
        <w:t>).</w:t>
      </w:r>
    </w:p>
  </w:footnote>
  <w:footnote w:id="68">
    <w:p w14:paraId="716DED45" w14:textId="77777777" w:rsidR="00952B2C" w:rsidRDefault="00B11239">
      <w:pPr>
        <w:pStyle w:val="Notedebasdepage"/>
      </w:pPr>
      <w:r>
        <w:rPr>
          <w:rStyle w:val="Appelnotedebasdep"/>
        </w:rPr>
        <w:footnoteRef/>
      </w:r>
      <w:r>
        <w:t xml:space="preserve"> </w:t>
      </w:r>
      <w:r>
        <w:tab/>
      </w:r>
      <w:r w:rsidRPr="00714A4F">
        <w:rPr>
          <w:rFonts w:cs="Arial"/>
          <w:i/>
          <w:iCs/>
          <w:color w:val="000000"/>
          <w:lang w:eastAsia="fr-CA"/>
        </w:rPr>
        <w:t>Gaspé Énergies</w:t>
      </w:r>
      <w:r>
        <w:rPr>
          <w:rFonts w:cs="Arial"/>
          <w:color w:val="000000"/>
        </w:rPr>
        <w:t>, par. 98,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715D" w14:textId="77777777" w:rsidR="004D682D" w:rsidRDefault="004D68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E3D0" w14:textId="77777777" w:rsidR="00121A72" w:rsidRDefault="00B11239">
    <w:pPr>
      <w:tabs>
        <w:tab w:val="center" w:pos="4709"/>
        <w:tab w:val="right" w:pos="9360"/>
      </w:tabs>
      <w:ind w:right="524"/>
    </w:pPr>
    <w:r>
      <w:t>500-17-140114-268</w:t>
    </w:r>
    <w:r>
      <w:tab/>
    </w:r>
    <w:r>
      <w:tab/>
      <w:t xml:space="preserve">PAGE : </w:t>
    </w:r>
    <w:r>
      <w:fldChar w:fldCharType="begin"/>
    </w:r>
    <w:r>
      <w:instrText xml:space="preserve"> PAGE </w:instrText>
    </w:r>
    <w:r>
      <w:fldChar w:fldCharType="separate"/>
    </w:r>
    <w:r>
      <w:rPr>
        <w:noProof/>
      </w:rPr>
      <w:t>15</w:t>
    </w:r>
    <w:r>
      <w:fldChar w:fldCharType="end"/>
    </w:r>
  </w:p>
  <w:p w14:paraId="32A44C99" w14:textId="77777777" w:rsidR="00121A72" w:rsidRDefault="00121A72">
    <w:pPr>
      <w:tabs>
        <w:tab w:val="center" w:pos="4709"/>
        <w:tab w:val="right" w:pos="9090"/>
      </w:tabs>
      <w:ind w:right="52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9FCE" w14:textId="77777777" w:rsidR="004D682D" w:rsidRDefault="004D682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36E0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EF8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6E68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762F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5ED9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D008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1446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AE9E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FC0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C827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7641AE"/>
    <w:multiLevelType w:val="hybridMultilevel"/>
    <w:tmpl w:val="CCBCFC24"/>
    <w:lvl w:ilvl="0" w:tplc="37006342">
      <w:start w:val="1"/>
      <w:numFmt w:val="decimal"/>
      <w:lvlText w:val="%1."/>
      <w:lvlJc w:val="left"/>
      <w:pPr>
        <w:ind w:left="720" w:hanging="360"/>
      </w:pPr>
    </w:lvl>
    <w:lvl w:ilvl="1" w:tplc="649E9E92" w:tentative="1">
      <w:start w:val="1"/>
      <w:numFmt w:val="lowerLetter"/>
      <w:lvlText w:val="%2."/>
      <w:lvlJc w:val="left"/>
      <w:pPr>
        <w:ind w:left="1440" w:hanging="360"/>
      </w:pPr>
    </w:lvl>
    <w:lvl w:ilvl="2" w:tplc="E4CC0D5A" w:tentative="1">
      <w:start w:val="1"/>
      <w:numFmt w:val="lowerRoman"/>
      <w:lvlText w:val="%3."/>
      <w:lvlJc w:val="right"/>
      <w:pPr>
        <w:ind w:left="2160" w:hanging="180"/>
      </w:pPr>
    </w:lvl>
    <w:lvl w:ilvl="3" w:tplc="8D4E6BC8" w:tentative="1">
      <w:start w:val="1"/>
      <w:numFmt w:val="decimal"/>
      <w:lvlText w:val="%4."/>
      <w:lvlJc w:val="left"/>
      <w:pPr>
        <w:ind w:left="2880" w:hanging="360"/>
      </w:pPr>
    </w:lvl>
    <w:lvl w:ilvl="4" w:tplc="3BE87E5C" w:tentative="1">
      <w:start w:val="1"/>
      <w:numFmt w:val="lowerLetter"/>
      <w:lvlText w:val="%5."/>
      <w:lvlJc w:val="left"/>
      <w:pPr>
        <w:ind w:left="3600" w:hanging="360"/>
      </w:pPr>
    </w:lvl>
    <w:lvl w:ilvl="5" w:tplc="0D607E04" w:tentative="1">
      <w:start w:val="1"/>
      <w:numFmt w:val="lowerRoman"/>
      <w:lvlText w:val="%6."/>
      <w:lvlJc w:val="right"/>
      <w:pPr>
        <w:ind w:left="4320" w:hanging="180"/>
      </w:pPr>
    </w:lvl>
    <w:lvl w:ilvl="6" w:tplc="C6E4D0C0" w:tentative="1">
      <w:start w:val="1"/>
      <w:numFmt w:val="decimal"/>
      <w:lvlText w:val="%7."/>
      <w:lvlJc w:val="left"/>
      <w:pPr>
        <w:ind w:left="5040" w:hanging="360"/>
      </w:pPr>
    </w:lvl>
    <w:lvl w:ilvl="7" w:tplc="148E121E" w:tentative="1">
      <w:start w:val="1"/>
      <w:numFmt w:val="lowerLetter"/>
      <w:lvlText w:val="%8."/>
      <w:lvlJc w:val="left"/>
      <w:pPr>
        <w:ind w:left="5760" w:hanging="360"/>
      </w:pPr>
    </w:lvl>
    <w:lvl w:ilvl="8" w:tplc="7F3EFD70" w:tentative="1">
      <w:start w:val="1"/>
      <w:numFmt w:val="lowerRoman"/>
      <w:lvlText w:val="%9."/>
      <w:lvlJc w:val="right"/>
      <w:pPr>
        <w:ind w:left="6480" w:hanging="180"/>
      </w:pPr>
    </w:lvl>
  </w:abstractNum>
  <w:abstractNum w:abstractNumId="11" w15:restartNumberingAfterBreak="0">
    <w:nsid w:val="29B11B71"/>
    <w:multiLevelType w:val="multilevel"/>
    <w:tmpl w:val="78E43A60"/>
    <w:name w:val="Style1"/>
    <w:styleLink w:val="Style1"/>
    <w:lvl w:ilvl="0">
      <w:start w:val="1"/>
      <w:numFmt w:val="decimal"/>
      <w:pStyle w:val="Titre2"/>
      <w:lvlText w:val="%1."/>
      <w:lvlJc w:val="left"/>
      <w:pPr>
        <w:ind w:left="431" w:hanging="431"/>
      </w:pPr>
      <w:rPr>
        <w:rFonts w:hint="default"/>
      </w:rPr>
    </w:lvl>
    <w:lvl w:ilvl="1">
      <w:start w:val="1"/>
      <w:numFmt w:val="decimal"/>
      <w:pStyle w:val="Titre3"/>
      <w:lvlText w:val="%1.%2"/>
      <w:lvlJc w:val="left"/>
      <w:pPr>
        <w:ind w:left="431" w:hanging="431"/>
      </w:pPr>
      <w:rPr>
        <w:rFonts w:hint="default"/>
      </w:rPr>
    </w:lvl>
    <w:lvl w:ilvl="2">
      <w:start w:val="1"/>
      <w:numFmt w:val="decimal"/>
      <w:pStyle w:val="Titre4"/>
      <w:lvlText w:val="%1.%2.%3"/>
      <w:lvlJc w:val="left"/>
      <w:pPr>
        <w:ind w:left="431" w:hanging="431"/>
      </w:pPr>
      <w:rPr>
        <w:rFonts w:hint="default"/>
      </w:rPr>
    </w:lvl>
    <w:lvl w:ilvl="3">
      <w:start w:val="1"/>
      <w:numFmt w:val="decimal"/>
      <w:pStyle w:val="Titre5"/>
      <w:lvlText w:val="%1.%2.%3.%4"/>
      <w:lvlJc w:val="left"/>
      <w:pPr>
        <w:ind w:left="431" w:hanging="431"/>
      </w:pPr>
      <w:rPr>
        <w:rFonts w:hint="default"/>
      </w:rPr>
    </w:lvl>
    <w:lvl w:ilvl="4">
      <w:start w:val="1"/>
      <w:numFmt w:val="decimal"/>
      <w:pStyle w:val="Titre6"/>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12" w15:restartNumberingAfterBreak="0">
    <w:nsid w:val="29F6013E"/>
    <w:multiLevelType w:val="hybridMultilevel"/>
    <w:tmpl w:val="64A6C874"/>
    <w:lvl w:ilvl="0" w:tplc="CB10C734">
      <w:start w:val="1"/>
      <w:numFmt w:val="decimal"/>
      <w:lvlText w:val="%1."/>
      <w:lvlJc w:val="left"/>
      <w:pPr>
        <w:ind w:left="720" w:hanging="360"/>
      </w:pPr>
      <w:rPr>
        <w:rFonts w:hint="default"/>
      </w:rPr>
    </w:lvl>
    <w:lvl w:ilvl="1" w:tplc="8B12C19A" w:tentative="1">
      <w:start w:val="1"/>
      <w:numFmt w:val="lowerLetter"/>
      <w:lvlText w:val="%2."/>
      <w:lvlJc w:val="left"/>
      <w:pPr>
        <w:ind w:left="1440" w:hanging="360"/>
      </w:pPr>
    </w:lvl>
    <w:lvl w:ilvl="2" w:tplc="DC424A5C" w:tentative="1">
      <w:start w:val="1"/>
      <w:numFmt w:val="lowerRoman"/>
      <w:lvlText w:val="%3."/>
      <w:lvlJc w:val="right"/>
      <w:pPr>
        <w:ind w:left="2160" w:hanging="180"/>
      </w:pPr>
    </w:lvl>
    <w:lvl w:ilvl="3" w:tplc="FBEADB66" w:tentative="1">
      <w:start w:val="1"/>
      <w:numFmt w:val="decimal"/>
      <w:lvlText w:val="%4."/>
      <w:lvlJc w:val="left"/>
      <w:pPr>
        <w:ind w:left="2880" w:hanging="360"/>
      </w:pPr>
    </w:lvl>
    <w:lvl w:ilvl="4" w:tplc="54E43AB0" w:tentative="1">
      <w:start w:val="1"/>
      <w:numFmt w:val="lowerLetter"/>
      <w:lvlText w:val="%5."/>
      <w:lvlJc w:val="left"/>
      <w:pPr>
        <w:ind w:left="3600" w:hanging="360"/>
      </w:pPr>
    </w:lvl>
    <w:lvl w:ilvl="5" w:tplc="F676BD90" w:tentative="1">
      <w:start w:val="1"/>
      <w:numFmt w:val="lowerRoman"/>
      <w:lvlText w:val="%6."/>
      <w:lvlJc w:val="right"/>
      <w:pPr>
        <w:ind w:left="4320" w:hanging="180"/>
      </w:pPr>
    </w:lvl>
    <w:lvl w:ilvl="6" w:tplc="BB72A7C6" w:tentative="1">
      <w:start w:val="1"/>
      <w:numFmt w:val="decimal"/>
      <w:lvlText w:val="%7."/>
      <w:lvlJc w:val="left"/>
      <w:pPr>
        <w:ind w:left="5040" w:hanging="360"/>
      </w:pPr>
    </w:lvl>
    <w:lvl w:ilvl="7" w:tplc="C4E4EFF6" w:tentative="1">
      <w:start w:val="1"/>
      <w:numFmt w:val="lowerLetter"/>
      <w:lvlText w:val="%8."/>
      <w:lvlJc w:val="left"/>
      <w:pPr>
        <w:ind w:left="5760" w:hanging="360"/>
      </w:pPr>
    </w:lvl>
    <w:lvl w:ilvl="8" w:tplc="68C4AABA" w:tentative="1">
      <w:start w:val="1"/>
      <w:numFmt w:val="lowerRoman"/>
      <w:lvlText w:val="%9."/>
      <w:lvlJc w:val="right"/>
      <w:pPr>
        <w:ind w:left="6480" w:hanging="180"/>
      </w:pPr>
    </w:lvl>
  </w:abstractNum>
  <w:abstractNum w:abstractNumId="13" w15:restartNumberingAfterBreak="0">
    <w:nsid w:val="2ABB00AC"/>
    <w:multiLevelType w:val="multilevel"/>
    <w:tmpl w:val="B8565C9A"/>
    <w:lvl w:ilvl="0">
      <w:start w:val="1"/>
      <w:numFmt w:val="decimal"/>
      <w:lvlText w:val="%1"/>
      <w:lvlJc w:val="left"/>
      <w:pPr>
        <w:ind w:left="431" w:hanging="431"/>
      </w:pPr>
      <w:rPr>
        <w:rFonts w:hint="default"/>
      </w:rPr>
    </w:lvl>
    <w:lvl w:ilvl="1">
      <w:start w:val="1"/>
      <w:numFmt w:val="decimal"/>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pStyle w:val="Titre7"/>
      <w:lvlText w:val="%1.%2.%3.%4.%5.%6.%7"/>
      <w:lvlJc w:val="left"/>
      <w:pPr>
        <w:ind w:left="431" w:hanging="431"/>
      </w:pPr>
      <w:rPr>
        <w:rFonts w:hint="default"/>
      </w:rPr>
    </w:lvl>
    <w:lvl w:ilvl="7">
      <w:start w:val="1"/>
      <w:numFmt w:val="decimal"/>
      <w:pStyle w:val="Titre8"/>
      <w:lvlText w:val="%1.%2.%3.%4.%5.%6.%7.%8"/>
      <w:lvlJc w:val="left"/>
      <w:pPr>
        <w:ind w:left="431" w:hanging="431"/>
      </w:pPr>
      <w:rPr>
        <w:rFonts w:hint="default"/>
      </w:rPr>
    </w:lvl>
    <w:lvl w:ilvl="8">
      <w:start w:val="1"/>
      <w:numFmt w:val="decimal"/>
      <w:pStyle w:val="Titre9"/>
      <w:lvlText w:val="%1.%2.%3.%4.%5.%6.%7.%8.%9"/>
      <w:lvlJc w:val="left"/>
      <w:pPr>
        <w:ind w:left="431" w:hanging="431"/>
      </w:pPr>
      <w:rPr>
        <w:rFonts w:hint="default"/>
      </w:rPr>
    </w:lvl>
  </w:abstractNum>
  <w:abstractNum w:abstractNumId="14" w15:restartNumberingAfterBreak="0">
    <w:nsid w:val="4BF423AA"/>
    <w:multiLevelType w:val="multilevel"/>
    <w:tmpl w:val="78E43A60"/>
    <w:name w:val="Style12"/>
    <w:numStyleLink w:val="Style1"/>
  </w:abstractNum>
  <w:abstractNum w:abstractNumId="15" w15:restartNumberingAfterBreak="0">
    <w:nsid w:val="52415801"/>
    <w:multiLevelType w:val="multilevel"/>
    <w:tmpl w:val="78E43A60"/>
    <w:numStyleLink w:val="Style1"/>
  </w:abstractNum>
  <w:abstractNum w:abstractNumId="16" w15:restartNumberingAfterBreak="0">
    <w:nsid w:val="5A0C4719"/>
    <w:multiLevelType w:val="multilevel"/>
    <w:tmpl w:val="78E43A60"/>
    <w:name w:val="Style13"/>
    <w:numStyleLink w:val="Style1"/>
  </w:abstractNum>
  <w:abstractNum w:abstractNumId="17" w15:restartNumberingAfterBreak="0">
    <w:nsid w:val="609C0DCC"/>
    <w:multiLevelType w:val="multilevel"/>
    <w:tmpl w:val="5720EF72"/>
    <w:lvl w:ilvl="0">
      <w:start w:val="1"/>
      <w:numFmt w:val="decimal"/>
      <w:pStyle w:val="Paragrdouble"/>
      <w:lvlText w:val="[%1]"/>
      <w:lvlJc w:val="left"/>
      <w:pPr>
        <w:tabs>
          <w:tab w:val="num" w:pos="360"/>
        </w:tabs>
        <w:ind w:left="0" w:firstLine="0"/>
      </w:pPr>
      <w:rPr>
        <w:rFonts w:ascii="Arial" w:hAnsi="Arial" w:hint="default"/>
        <w:b w:val="0"/>
        <w:i w:val="0"/>
        <w:sz w:val="24"/>
      </w:rPr>
    </w:lvl>
    <w:lvl w:ilvl="1">
      <w:start w:val="1"/>
      <w:numFmt w:val="decimal"/>
      <w:pStyle w:val="Sous-paragraphe"/>
      <w:lvlText w:val="%1.%2."/>
      <w:lvlJc w:val="left"/>
      <w:pPr>
        <w:tabs>
          <w:tab w:val="num" w:pos="1000"/>
        </w:tabs>
        <w:ind w:left="1000"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A431CA5"/>
    <w:multiLevelType w:val="hybridMultilevel"/>
    <w:tmpl w:val="185837FC"/>
    <w:lvl w:ilvl="0" w:tplc="C3D2CC9A">
      <w:start w:val="1"/>
      <w:numFmt w:val="decimal"/>
      <w:lvlText w:val="%1)"/>
      <w:lvlJc w:val="left"/>
      <w:pPr>
        <w:ind w:left="720" w:hanging="360"/>
      </w:pPr>
      <w:rPr>
        <w:rFonts w:hint="default"/>
      </w:rPr>
    </w:lvl>
    <w:lvl w:ilvl="1" w:tplc="C3ECA87E" w:tentative="1">
      <w:start w:val="1"/>
      <w:numFmt w:val="lowerLetter"/>
      <w:lvlText w:val="%2."/>
      <w:lvlJc w:val="left"/>
      <w:pPr>
        <w:ind w:left="1440" w:hanging="360"/>
      </w:pPr>
    </w:lvl>
    <w:lvl w:ilvl="2" w:tplc="6FBE3C84" w:tentative="1">
      <w:start w:val="1"/>
      <w:numFmt w:val="lowerRoman"/>
      <w:lvlText w:val="%3."/>
      <w:lvlJc w:val="right"/>
      <w:pPr>
        <w:ind w:left="2160" w:hanging="180"/>
      </w:pPr>
    </w:lvl>
    <w:lvl w:ilvl="3" w:tplc="F618B59C" w:tentative="1">
      <w:start w:val="1"/>
      <w:numFmt w:val="decimal"/>
      <w:lvlText w:val="%4."/>
      <w:lvlJc w:val="left"/>
      <w:pPr>
        <w:ind w:left="2880" w:hanging="360"/>
      </w:pPr>
    </w:lvl>
    <w:lvl w:ilvl="4" w:tplc="A2926290" w:tentative="1">
      <w:start w:val="1"/>
      <w:numFmt w:val="lowerLetter"/>
      <w:lvlText w:val="%5."/>
      <w:lvlJc w:val="left"/>
      <w:pPr>
        <w:ind w:left="3600" w:hanging="360"/>
      </w:pPr>
    </w:lvl>
    <w:lvl w:ilvl="5" w:tplc="A816E756" w:tentative="1">
      <w:start w:val="1"/>
      <w:numFmt w:val="lowerRoman"/>
      <w:lvlText w:val="%6."/>
      <w:lvlJc w:val="right"/>
      <w:pPr>
        <w:ind w:left="4320" w:hanging="180"/>
      </w:pPr>
    </w:lvl>
    <w:lvl w:ilvl="6" w:tplc="5FEE973A" w:tentative="1">
      <w:start w:val="1"/>
      <w:numFmt w:val="decimal"/>
      <w:lvlText w:val="%7."/>
      <w:lvlJc w:val="left"/>
      <w:pPr>
        <w:ind w:left="5040" w:hanging="360"/>
      </w:pPr>
    </w:lvl>
    <w:lvl w:ilvl="7" w:tplc="F0CC494A" w:tentative="1">
      <w:start w:val="1"/>
      <w:numFmt w:val="lowerLetter"/>
      <w:lvlText w:val="%8."/>
      <w:lvlJc w:val="left"/>
      <w:pPr>
        <w:ind w:left="5760" w:hanging="360"/>
      </w:pPr>
    </w:lvl>
    <w:lvl w:ilvl="8" w:tplc="2C0AD4DC" w:tentative="1">
      <w:start w:val="1"/>
      <w:numFmt w:val="lowerRoman"/>
      <w:lvlText w:val="%9."/>
      <w:lvlJc w:val="right"/>
      <w:pPr>
        <w:ind w:left="6480" w:hanging="180"/>
      </w:pPr>
    </w:lvl>
  </w:abstractNum>
  <w:num w:numId="1" w16cid:durableId="1942836531">
    <w:abstractNumId w:val="17"/>
  </w:num>
  <w:num w:numId="2" w16cid:durableId="673800015">
    <w:abstractNumId w:val="17"/>
  </w:num>
  <w:num w:numId="3" w16cid:durableId="747459905">
    <w:abstractNumId w:val="17"/>
  </w:num>
  <w:num w:numId="4" w16cid:durableId="690687286">
    <w:abstractNumId w:val="8"/>
  </w:num>
  <w:num w:numId="5" w16cid:durableId="1913344672">
    <w:abstractNumId w:val="3"/>
  </w:num>
  <w:num w:numId="6" w16cid:durableId="1867868799">
    <w:abstractNumId w:val="2"/>
  </w:num>
  <w:num w:numId="7" w16cid:durableId="144015238">
    <w:abstractNumId w:val="1"/>
  </w:num>
  <w:num w:numId="8" w16cid:durableId="912394757">
    <w:abstractNumId w:val="0"/>
  </w:num>
  <w:num w:numId="9" w16cid:durableId="1467968077">
    <w:abstractNumId w:val="9"/>
  </w:num>
  <w:num w:numId="10" w16cid:durableId="1982808405">
    <w:abstractNumId w:val="7"/>
  </w:num>
  <w:num w:numId="11" w16cid:durableId="172846986">
    <w:abstractNumId w:val="6"/>
  </w:num>
  <w:num w:numId="12" w16cid:durableId="1238594916">
    <w:abstractNumId w:val="5"/>
  </w:num>
  <w:num w:numId="13" w16cid:durableId="540946310">
    <w:abstractNumId w:val="4"/>
  </w:num>
  <w:num w:numId="14" w16cid:durableId="1752578304">
    <w:abstractNumId w:val="10"/>
  </w:num>
  <w:num w:numId="15" w16cid:durableId="1253198263">
    <w:abstractNumId w:val="13"/>
  </w:num>
  <w:num w:numId="16" w16cid:durableId="1504853756">
    <w:abstractNumId w:val="11"/>
  </w:num>
  <w:num w:numId="17" w16cid:durableId="945892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5677981">
    <w:abstractNumId w:val="15"/>
  </w:num>
  <w:num w:numId="19" w16cid:durableId="1140461253">
    <w:abstractNumId w:val="14"/>
  </w:num>
  <w:num w:numId="20" w16cid:durableId="854730764">
    <w:abstractNumId w:val="16"/>
  </w:num>
  <w:num w:numId="21" w16cid:durableId="534150988">
    <w:abstractNumId w:val="16"/>
  </w:num>
  <w:num w:numId="22" w16cid:durableId="76371869">
    <w:abstractNumId w:val="16"/>
  </w:num>
  <w:num w:numId="23" w16cid:durableId="136186757">
    <w:abstractNumId w:val="16"/>
  </w:num>
  <w:num w:numId="24" w16cid:durableId="249390526">
    <w:abstractNumId w:val="16"/>
  </w:num>
  <w:num w:numId="25" w16cid:durableId="144518376">
    <w:abstractNumId w:val="17"/>
  </w:num>
  <w:num w:numId="26" w16cid:durableId="1683119161">
    <w:abstractNumId w:val="17"/>
  </w:num>
  <w:num w:numId="27" w16cid:durableId="1907647904">
    <w:abstractNumId w:val="17"/>
  </w:num>
  <w:num w:numId="28" w16cid:durableId="1260257305">
    <w:abstractNumId w:val="17"/>
  </w:num>
  <w:num w:numId="29" w16cid:durableId="179122834">
    <w:abstractNumId w:val="17"/>
  </w:num>
  <w:num w:numId="30" w16cid:durableId="1738043828">
    <w:abstractNumId w:val="16"/>
  </w:num>
  <w:num w:numId="31" w16cid:durableId="361521869">
    <w:abstractNumId w:val="16"/>
  </w:num>
  <w:num w:numId="32" w16cid:durableId="1207834347">
    <w:abstractNumId w:val="17"/>
  </w:num>
  <w:num w:numId="33" w16cid:durableId="257183341">
    <w:abstractNumId w:val="17"/>
  </w:num>
  <w:num w:numId="34" w16cid:durableId="682829880">
    <w:abstractNumId w:val="11"/>
  </w:num>
  <w:num w:numId="35" w16cid:durableId="1381662571">
    <w:abstractNumId w:val="12"/>
  </w:num>
  <w:num w:numId="36" w16cid:durableId="15929282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31"/>
  <w:hyphenationZone w:val="425"/>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8F"/>
    <w:rsid w:val="00007687"/>
    <w:rsid w:val="00020EAA"/>
    <w:rsid w:val="00022845"/>
    <w:rsid w:val="00026C30"/>
    <w:rsid w:val="00086903"/>
    <w:rsid w:val="000A3312"/>
    <w:rsid w:val="000A78AF"/>
    <w:rsid w:val="000B306C"/>
    <w:rsid w:val="000B3E7D"/>
    <w:rsid w:val="000E3FB8"/>
    <w:rsid w:val="000F1CC9"/>
    <w:rsid w:val="000F378F"/>
    <w:rsid w:val="00121A72"/>
    <w:rsid w:val="001344F8"/>
    <w:rsid w:val="00141921"/>
    <w:rsid w:val="00184E00"/>
    <w:rsid w:val="00186881"/>
    <w:rsid w:val="001B0971"/>
    <w:rsid w:val="001B0DA6"/>
    <w:rsid w:val="001C7F8E"/>
    <w:rsid w:val="001D0D26"/>
    <w:rsid w:val="001D0F97"/>
    <w:rsid w:val="001D5F69"/>
    <w:rsid w:val="00201796"/>
    <w:rsid w:val="00211407"/>
    <w:rsid w:val="00222880"/>
    <w:rsid w:val="00223744"/>
    <w:rsid w:val="00242E94"/>
    <w:rsid w:val="002528CF"/>
    <w:rsid w:val="00273E9F"/>
    <w:rsid w:val="00285D57"/>
    <w:rsid w:val="002A4CCB"/>
    <w:rsid w:val="002A5FCC"/>
    <w:rsid w:val="002A7B92"/>
    <w:rsid w:val="002B70EC"/>
    <w:rsid w:val="002B78CB"/>
    <w:rsid w:val="0031767B"/>
    <w:rsid w:val="003275D6"/>
    <w:rsid w:val="003405FB"/>
    <w:rsid w:val="00350BC1"/>
    <w:rsid w:val="00363D48"/>
    <w:rsid w:val="00364C7E"/>
    <w:rsid w:val="0037787E"/>
    <w:rsid w:val="0039453E"/>
    <w:rsid w:val="003A6CD0"/>
    <w:rsid w:val="003B0D27"/>
    <w:rsid w:val="003B3D48"/>
    <w:rsid w:val="003B5241"/>
    <w:rsid w:val="003B5A8D"/>
    <w:rsid w:val="003E2016"/>
    <w:rsid w:val="003E2850"/>
    <w:rsid w:val="003F0C07"/>
    <w:rsid w:val="003F1FF1"/>
    <w:rsid w:val="003F5E30"/>
    <w:rsid w:val="00404506"/>
    <w:rsid w:val="00414D05"/>
    <w:rsid w:val="004245E2"/>
    <w:rsid w:val="00426A0A"/>
    <w:rsid w:val="0043329C"/>
    <w:rsid w:val="0043557E"/>
    <w:rsid w:val="00443946"/>
    <w:rsid w:val="0044645F"/>
    <w:rsid w:val="004611AB"/>
    <w:rsid w:val="00472CDE"/>
    <w:rsid w:val="00487E50"/>
    <w:rsid w:val="004C5A6F"/>
    <w:rsid w:val="004D682D"/>
    <w:rsid w:val="004E4452"/>
    <w:rsid w:val="004F48BB"/>
    <w:rsid w:val="0050341D"/>
    <w:rsid w:val="00533B7F"/>
    <w:rsid w:val="00537172"/>
    <w:rsid w:val="00562DA8"/>
    <w:rsid w:val="005B040D"/>
    <w:rsid w:val="005D5085"/>
    <w:rsid w:val="005E4901"/>
    <w:rsid w:val="005E6858"/>
    <w:rsid w:val="005E68AA"/>
    <w:rsid w:val="005F42A4"/>
    <w:rsid w:val="00602F9F"/>
    <w:rsid w:val="00617DAE"/>
    <w:rsid w:val="00622505"/>
    <w:rsid w:val="006252E8"/>
    <w:rsid w:val="00626B2A"/>
    <w:rsid w:val="00633B6C"/>
    <w:rsid w:val="00634C2D"/>
    <w:rsid w:val="006354C7"/>
    <w:rsid w:val="00640E46"/>
    <w:rsid w:val="006460D2"/>
    <w:rsid w:val="0066117D"/>
    <w:rsid w:val="00671374"/>
    <w:rsid w:val="00681B80"/>
    <w:rsid w:val="00692D21"/>
    <w:rsid w:val="00696D55"/>
    <w:rsid w:val="006D0AC2"/>
    <w:rsid w:val="006D4F4A"/>
    <w:rsid w:val="006D599C"/>
    <w:rsid w:val="006F654C"/>
    <w:rsid w:val="007004EA"/>
    <w:rsid w:val="007027F2"/>
    <w:rsid w:val="00703D74"/>
    <w:rsid w:val="00714A4F"/>
    <w:rsid w:val="00730F4B"/>
    <w:rsid w:val="0073107E"/>
    <w:rsid w:val="00755081"/>
    <w:rsid w:val="00772542"/>
    <w:rsid w:val="00790F1E"/>
    <w:rsid w:val="007A07B9"/>
    <w:rsid w:val="007C2EFA"/>
    <w:rsid w:val="007E0423"/>
    <w:rsid w:val="007E0A66"/>
    <w:rsid w:val="007F38F1"/>
    <w:rsid w:val="008034D9"/>
    <w:rsid w:val="00812E0C"/>
    <w:rsid w:val="0083139D"/>
    <w:rsid w:val="00836142"/>
    <w:rsid w:val="00841BDC"/>
    <w:rsid w:val="0085062A"/>
    <w:rsid w:val="00856332"/>
    <w:rsid w:val="008642AB"/>
    <w:rsid w:val="00865AB7"/>
    <w:rsid w:val="00867040"/>
    <w:rsid w:val="008702FF"/>
    <w:rsid w:val="0088669C"/>
    <w:rsid w:val="008A4532"/>
    <w:rsid w:val="008A5221"/>
    <w:rsid w:val="008A7DDE"/>
    <w:rsid w:val="008C187E"/>
    <w:rsid w:val="008D7EA1"/>
    <w:rsid w:val="008F489A"/>
    <w:rsid w:val="00900AE4"/>
    <w:rsid w:val="0090127D"/>
    <w:rsid w:val="00901BEB"/>
    <w:rsid w:val="00915CC3"/>
    <w:rsid w:val="00932C95"/>
    <w:rsid w:val="00952B2C"/>
    <w:rsid w:val="00973815"/>
    <w:rsid w:val="00974A66"/>
    <w:rsid w:val="009763B3"/>
    <w:rsid w:val="00980500"/>
    <w:rsid w:val="0098526C"/>
    <w:rsid w:val="00986BB2"/>
    <w:rsid w:val="00987464"/>
    <w:rsid w:val="00992BC6"/>
    <w:rsid w:val="00992D23"/>
    <w:rsid w:val="00995285"/>
    <w:rsid w:val="009B5CB0"/>
    <w:rsid w:val="009E7E11"/>
    <w:rsid w:val="00A01610"/>
    <w:rsid w:val="00A140E1"/>
    <w:rsid w:val="00A27312"/>
    <w:rsid w:val="00A3455B"/>
    <w:rsid w:val="00A45E7A"/>
    <w:rsid w:val="00A50556"/>
    <w:rsid w:val="00A552FC"/>
    <w:rsid w:val="00A61DC3"/>
    <w:rsid w:val="00A627E7"/>
    <w:rsid w:val="00A71A56"/>
    <w:rsid w:val="00AB5EB8"/>
    <w:rsid w:val="00AE79EC"/>
    <w:rsid w:val="00AF1575"/>
    <w:rsid w:val="00AF1616"/>
    <w:rsid w:val="00B04EC9"/>
    <w:rsid w:val="00B110B8"/>
    <w:rsid w:val="00B11239"/>
    <w:rsid w:val="00B1176F"/>
    <w:rsid w:val="00B14718"/>
    <w:rsid w:val="00B17F04"/>
    <w:rsid w:val="00B24005"/>
    <w:rsid w:val="00B2565A"/>
    <w:rsid w:val="00B25A0F"/>
    <w:rsid w:val="00B327E1"/>
    <w:rsid w:val="00B34FFB"/>
    <w:rsid w:val="00B452A1"/>
    <w:rsid w:val="00B53514"/>
    <w:rsid w:val="00B53898"/>
    <w:rsid w:val="00B9156E"/>
    <w:rsid w:val="00B92BE6"/>
    <w:rsid w:val="00BA153A"/>
    <w:rsid w:val="00BB35D3"/>
    <w:rsid w:val="00BB3E48"/>
    <w:rsid w:val="00BB3FA2"/>
    <w:rsid w:val="00BE7164"/>
    <w:rsid w:val="00C025FC"/>
    <w:rsid w:val="00C46F63"/>
    <w:rsid w:val="00C52697"/>
    <w:rsid w:val="00C54206"/>
    <w:rsid w:val="00CA33B7"/>
    <w:rsid w:val="00CD5D12"/>
    <w:rsid w:val="00CE1CAF"/>
    <w:rsid w:val="00CE5A4C"/>
    <w:rsid w:val="00CF51ED"/>
    <w:rsid w:val="00CF5699"/>
    <w:rsid w:val="00D0391E"/>
    <w:rsid w:val="00D12D92"/>
    <w:rsid w:val="00D15D26"/>
    <w:rsid w:val="00D1747D"/>
    <w:rsid w:val="00D22A79"/>
    <w:rsid w:val="00D26929"/>
    <w:rsid w:val="00D34603"/>
    <w:rsid w:val="00D41FD7"/>
    <w:rsid w:val="00D461D6"/>
    <w:rsid w:val="00D47A26"/>
    <w:rsid w:val="00D51A11"/>
    <w:rsid w:val="00D51B43"/>
    <w:rsid w:val="00D614DD"/>
    <w:rsid w:val="00D631D0"/>
    <w:rsid w:val="00D63C26"/>
    <w:rsid w:val="00D713AF"/>
    <w:rsid w:val="00D81D04"/>
    <w:rsid w:val="00D921AB"/>
    <w:rsid w:val="00D93497"/>
    <w:rsid w:val="00DB12EA"/>
    <w:rsid w:val="00DC0429"/>
    <w:rsid w:val="00DD012E"/>
    <w:rsid w:val="00DF445C"/>
    <w:rsid w:val="00DF4692"/>
    <w:rsid w:val="00E10308"/>
    <w:rsid w:val="00E11840"/>
    <w:rsid w:val="00E13D90"/>
    <w:rsid w:val="00E178DF"/>
    <w:rsid w:val="00E674A9"/>
    <w:rsid w:val="00E70421"/>
    <w:rsid w:val="00E851A7"/>
    <w:rsid w:val="00E92839"/>
    <w:rsid w:val="00EC4868"/>
    <w:rsid w:val="00EC705F"/>
    <w:rsid w:val="00ED4A74"/>
    <w:rsid w:val="00EE688B"/>
    <w:rsid w:val="00EF6B3E"/>
    <w:rsid w:val="00F00B7D"/>
    <w:rsid w:val="00F0480E"/>
    <w:rsid w:val="00F069EF"/>
    <w:rsid w:val="00F10218"/>
    <w:rsid w:val="00F1055D"/>
    <w:rsid w:val="00F11686"/>
    <w:rsid w:val="00F125BE"/>
    <w:rsid w:val="00F20D52"/>
    <w:rsid w:val="00F264C4"/>
    <w:rsid w:val="00F379DC"/>
    <w:rsid w:val="00F37C2A"/>
    <w:rsid w:val="00F41DCB"/>
    <w:rsid w:val="00F4770B"/>
    <w:rsid w:val="00F5611C"/>
    <w:rsid w:val="00F561D6"/>
    <w:rsid w:val="00F76033"/>
    <w:rsid w:val="00F95123"/>
    <w:rsid w:val="00FB1446"/>
    <w:rsid w:val="00FE4755"/>
    <w:rsid w:val="00FE561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8430E"/>
  <w15:chartTrackingRefBased/>
  <w15:docId w15:val="{E729AC5C-254C-41C9-8ECE-0FB48F9C0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lang w:eastAsia="fr-FR"/>
    </w:rPr>
  </w:style>
  <w:style w:type="paragraph" w:styleId="Titre1">
    <w:name w:val="heading 1"/>
    <w:basedOn w:val="Normal"/>
    <w:next w:val="Paragrdouble"/>
    <w:qFormat/>
    <w:rsid w:val="00D12D92"/>
    <w:pPr>
      <w:keepNext/>
      <w:spacing w:before="240" w:after="60"/>
      <w:ind w:left="432" w:hanging="432"/>
      <w:outlineLvl w:val="0"/>
    </w:pPr>
    <w:rPr>
      <w:b/>
      <w:kern w:val="28"/>
      <w:u w:val="single"/>
    </w:rPr>
  </w:style>
  <w:style w:type="paragraph" w:styleId="Titre2">
    <w:name w:val="heading 2"/>
    <w:basedOn w:val="Normal"/>
    <w:next w:val="Paragrdouble"/>
    <w:qFormat/>
    <w:rsid w:val="00BA153A"/>
    <w:pPr>
      <w:keepNext/>
      <w:numPr>
        <w:numId w:val="16"/>
      </w:numPr>
      <w:spacing w:before="240" w:after="60"/>
      <w:ind w:left="709" w:hanging="709"/>
      <w:outlineLvl w:val="1"/>
    </w:pPr>
    <w:rPr>
      <w:b/>
      <w:caps/>
      <w:u w:val="single"/>
    </w:rPr>
  </w:style>
  <w:style w:type="paragraph" w:styleId="Titre3">
    <w:name w:val="heading 3"/>
    <w:basedOn w:val="Normal"/>
    <w:next w:val="Paragrdouble"/>
    <w:qFormat/>
    <w:rsid w:val="00AF1575"/>
    <w:pPr>
      <w:keepNext/>
      <w:numPr>
        <w:ilvl w:val="1"/>
        <w:numId w:val="16"/>
      </w:numPr>
      <w:spacing w:before="240" w:after="60"/>
      <w:ind w:left="1162"/>
      <w:outlineLvl w:val="2"/>
    </w:pPr>
    <w:rPr>
      <w:b/>
    </w:rPr>
  </w:style>
  <w:style w:type="paragraph" w:styleId="Titre4">
    <w:name w:val="heading 4"/>
    <w:basedOn w:val="Normal"/>
    <w:next w:val="Paragrdouble"/>
    <w:qFormat/>
    <w:rsid w:val="00AF1575"/>
    <w:pPr>
      <w:keepNext/>
      <w:numPr>
        <w:ilvl w:val="2"/>
        <w:numId w:val="16"/>
      </w:numPr>
      <w:spacing w:before="240" w:after="60"/>
      <w:ind w:left="1985" w:hanging="851"/>
      <w:outlineLvl w:val="3"/>
    </w:pPr>
    <w:rPr>
      <w:b/>
    </w:rPr>
  </w:style>
  <w:style w:type="paragraph" w:styleId="Titre5">
    <w:name w:val="heading 5"/>
    <w:basedOn w:val="Titre4"/>
    <w:next w:val="Paragrdouble"/>
    <w:qFormat/>
    <w:rsid w:val="001B0DA6"/>
    <w:pPr>
      <w:numPr>
        <w:ilvl w:val="3"/>
      </w:numPr>
      <w:ind w:left="2495" w:hanging="1077"/>
      <w:outlineLvl w:val="4"/>
    </w:pPr>
  </w:style>
  <w:style w:type="paragraph" w:styleId="Titre6">
    <w:name w:val="heading 6"/>
    <w:basedOn w:val="Titre5"/>
    <w:next w:val="Paragrdouble"/>
    <w:qFormat/>
    <w:rsid w:val="00C025FC"/>
    <w:pPr>
      <w:numPr>
        <w:ilvl w:val="4"/>
      </w:numPr>
      <w:ind w:left="3657" w:hanging="1247"/>
      <w:outlineLvl w:val="5"/>
    </w:pPr>
  </w:style>
  <w:style w:type="paragraph" w:styleId="Titre7">
    <w:name w:val="heading 7"/>
    <w:basedOn w:val="Normal"/>
    <w:next w:val="Normal"/>
    <w:qFormat/>
    <w:pPr>
      <w:numPr>
        <w:ilvl w:val="6"/>
        <w:numId w:val="15"/>
      </w:numPr>
      <w:spacing w:before="240" w:after="60"/>
      <w:outlineLvl w:val="6"/>
    </w:pPr>
    <w:rPr>
      <w:sz w:val="20"/>
    </w:rPr>
  </w:style>
  <w:style w:type="paragraph" w:styleId="Titre8">
    <w:name w:val="heading 8"/>
    <w:basedOn w:val="Normal"/>
    <w:next w:val="Normal"/>
    <w:qFormat/>
    <w:pPr>
      <w:numPr>
        <w:ilvl w:val="7"/>
        <w:numId w:val="15"/>
      </w:numPr>
      <w:spacing w:before="240" w:after="60"/>
      <w:outlineLvl w:val="7"/>
    </w:pPr>
    <w:rPr>
      <w:i/>
      <w:sz w:val="20"/>
    </w:rPr>
  </w:style>
  <w:style w:type="paragraph" w:styleId="Titre9">
    <w:name w:val="heading 9"/>
    <w:basedOn w:val="Normal"/>
    <w:next w:val="Normal"/>
    <w:qFormat/>
    <w:pPr>
      <w:numPr>
        <w:ilvl w:val="8"/>
        <w:numId w:val="15"/>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double">
    <w:name w:val="Paragr. double"/>
    <w:basedOn w:val="Normal"/>
    <w:rsid w:val="00AF1575"/>
    <w:pPr>
      <w:numPr>
        <w:numId w:val="1"/>
      </w:numPr>
      <w:spacing w:before="120" w:after="120" w:line="500" w:lineRule="exact"/>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basedOn w:val="Normal"/>
    <w:semiHidden/>
    <w:pPr>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jc w:val="center"/>
    </w:pPr>
    <w:rPr>
      <w:b/>
      <w:sz w:val="36"/>
    </w:rPr>
  </w:style>
  <w:style w:type="paragraph" w:customStyle="1" w:styleId="zSoquijlblPays">
    <w:name w:val="zSoquij_lblPays"/>
    <w:basedOn w:val="Normal"/>
    <w:rsid w:val="00C025FC"/>
    <w:rPr>
      <w:caps/>
    </w:rPr>
  </w:style>
  <w:style w:type="paragraph" w:customStyle="1" w:styleId="zSoquijlblProvince">
    <w:name w:val="zSoquij_lblProvince"/>
    <w:basedOn w:val="Normal"/>
    <w:rsid w:val="00C025FC"/>
    <w:rPr>
      <w:caps/>
    </w:rPr>
  </w:style>
  <w:style w:type="paragraph" w:customStyle="1" w:styleId="zSoquijlblGreffe">
    <w:name w:val="zSoquij_lblGreffe"/>
    <w:basedOn w:val="Normal"/>
    <w:rsid w:val="00C025FC"/>
    <w:pPr>
      <w:ind w:left="70"/>
    </w:pPr>
    <w:rPr>
      <w:caps/>
    </w:rPr>
  </w:style>
  <w:style w:type="paragraph" w:customStyle="1" w:styleId="zSoquijdatGreffe">
    <w:name w:val="zSoquij_datGreffe"/>
    <w:basedOn w:val="Normal"/>
    <w:rsid w:val="00C025FC"/>
    <w:pPr>
      <w:ind w:left="29"/>
    </w:pPr>
    <w:rPr>
      <w:caps/>
    </w:rPr>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sid w:val="00C025FC"/>
    <w:pPr>
      <w:ind w:left="70"/>
    </w:pPr>
    <w:rPr>
      <w:b/>
      <w:caps/>
    </w:rPr>
  </w:style>
  <w:style w:type="paragraph" w:customStyle="1" w:styleId="zSoquijdatQteJuge">
    <w:name w:val="zSoquij_datQteJuge"/>
    <w:basedOn w:val="Normal"/>
    <w:rsid w:val="00C025FC"/>
    <w:pPr>
      <w:ind w:left="29"/>
    </w:pPr>
    <w:rPr>
      <w:b/>
      <w:caps/>
    </w:rPr>
  </w:style>
  <w:style w:type="paragraph" w:customStyle="1" w:styleId="zSoquijdatJuge">
    <w:name w:val="zSoquij_datJuge"/>
    <w:basedOn w:val="Normal"/>
    <w:rsid w:val="00BA153A"/>
    <w:pPr>
      <w:ind w:left="52"/>
    </w:pPr>
    <w:rPr>
      <w:b/>
      <w:caps/>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rsid w:val="00C025FC"/>
    <w:pPr>
      <w:jc w:val="center"/>
    </w:pPr>
    <w:rPr>
      <w:caps/>
    </w:r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tabs>
        <w:tab w:val="left" w:pos="720"/>
      </w:tabs>
      <w:jc w:val="center"/>
    </w:pPr>
  </w:style>
  <w:style w:type="character" w:customStyle="1" w:styleId="zSoquijlblEntNoDossier">
    <w:name w:val="zSoquij_lblEntNoDossier"/>
    <w:rPr>
      <w:lang w:val="fr-CA"/>
    </w:rPr>
  </w:style>
  <w:style w:type="paragraph" w:customStyle="1" w:styleId="zSoquijlblTitrePartie">
    <w:name w:val="zSoquij_lblTitrePartie"/>
    <w:basedOn w:val="Normal"/>
  </w:style>
  <w:style w:type="paragraph" w:customStyle="1" w:styleId="zSoquijdatSignature3Juge">
    <w:name w:val="zSoquij_datSignature3Juge"/>
    <w:basedOn w:val="Normal"/>
  </w:style>
  <w:style w:type="paragraph" w:customStyle="1" w:styleId="ParagNonNum">
    <w:name w:val="ParagNonNum"/>
    <w:basedOn w:val="Paragrdouble"/>
    <w:pPr>
      <w:numPr>
        <w:numId w:val="0"/>
      </w:numPr>
      <w:ind w:firstLine="734"/>
    </w:pPr>
  </w:style>
  <w:style w:type="paragraph" w:customStyle="1" w:styleId="zSoquijdatIdJuge">
    <w:name w:val="zSoquij_datIdJuge"/>
    <w:basedOn w:val="Normal"/>
    <w:pPr>
      <w:jc w:val="center"/>
    </w:pPr>
    <w:rPr>
      <w:sz w:val="20"/>
    </w:rPr>
  </w:style>
  <w:style w:type="paragraph" w:customStyle="1" w:styleId="Sous-paragraphe">
    <w:name w:val="Sous-paragraphe"/>
    <w:basedOn w:val="Normal"/>
    <w:rsid w:val="00CF51ED"/>
    <w:pPr>
      <w:widowControl w:val="0"/>
      <w:numPr>
        <w:ilvl w:val="1"/>
        <w:numId w:val="1"/>
      </w:numPr>
      <w:spacing w:before="120" w:after="120"/>
      <w:jc w:val="both"/>
    </w:pPr>
    <w:rPr>
      <w:kern w:val="28"/>
    </w:rPr>
  </w:style>
  <w:style w:type="paragraph" w:customStyle="1" w:styleId="zSoquijdatNomProcureurDem">
    <w:name w:val="zSoquij_datNomProcureurDem"/>
    <w:basedOn w:val="zSoquijlblProcureurDem"/>
  </w:style>
  <w:style w:type="paragraph" w:customStyle="1" w:styleId="zSoquijdatNomProcureurDef">
    <w:name w:val="zSoquij_datNomProcureurDef"/>
    <w:basedOn w:val="zSoquijlblProcureurDef"/>
  </w:style>
  <w:style w:type="paragraph" w:customStyle="1" w:styleId="zSoquijdatCabinetProcureurDem">
    <w:name w:val="zSoquij_datCabinetProcureurDem"/>
    <w:basedOn w:val="Normal"/>
  </w:style>
  <w:style w:type="paragraph" w:customStyle="1" w:styleId="zSoquijdatCabinetProcureurDef">
    <w:name w:val="zSoquij_datCabinetProcureurDef"/>
    <w:basedOn w:val="zSoquijlblProcureurDef"/>
  </w:style>
  <w:style w:type="paragraph" w:customStyle="1" w:styleId="zSoquijdatSignatureJuge1">
    <w:name w:val="zSoquij_datSignatureJuge1"/>
    <w:basedOn w:val="Normal"/>
  </w:style>
  <w:style w:type="paragraph" w:customStyle="1" w:styleId="zSoquijdatSignatureJuge2">
    <w:name w:val="zSoquij_datSignatureJuge2"/>
    <w:basedOn w:val="Normal"/>
  </w:style>
  <w:style w:type="paragraph" w:customStyle="1" w:styleId="zSoquijdatSignatureJuge3">
    <w:name w:val="zSoquij_datSignatureJuge3"/>
    <w:basedOn w:val="Normal"/>
  </w:style>
  <w:style w:type="paragraph" w:customStyle="1" w:styleId="zSoquijdatRepertorie">
    <w:name w:val="zSoquij_datRepertorie"/>
    <w:basedOn w:val="zSoquijlblCour"/>
    <w:pPr>
      <w:jc w:val="left"/>
    </w:pPr>
    <w:rPr>
      <w:noProof/>
      <w:sz w:val="22"/>
    </w:rPr>
  </w:style>
  <w:style w:type="paragraph" w:customStyle="1" w:styleId="zSoquijdatRefNeutre">
    <w:name w:val="zSoquij_datRefNeutre"/>
    <w:basedOn w:val="zSoquijlblCour"/>
    <w:pPr>
      <w:jc w:val="left"/>
    </w:pPr>
    <w:rPr>
      <w:noProof/>
      <w:sz w:val="22"/>
    </w:rPr>
  </w:style>
  <w:style w:type="paragraph" w:customStyle="1" w:styleId="zSoquijdatSignature2Juge">
    <w:name w:val="zSoquij_datSignature2Juge"/>
    <w:basedOn w:val="zSoquijdatSignatureJuge3"/>
  </w:style>
  <w:style w:type="paragraph" w:customStyle="1" w:styleId="ParagAlaMarge">
    <w:name w:val="ParagAlaMarge"/>
    <w:basedOn w:val="ParagNonNum"/>
    <w:next w:val="Paragrdouble"/>
    <w:rsid w:val="00CF51ED"/>
    <w:pPr>
      <w:ind w:firstLine="0"/>
    </w:pPr>
  </w:style>
  <w:style w:type="paragraph" w:customStyle="1" w:styleId="zSoquijlblAssesseurs">
    <w:name w:val="zSoquij_lblAssesseurs"/>
    <w:basedOn w:val="Normal"/>
    <w:pPr>
      <w:ind w:left="14" w:right="-67"/>
    </w:pPr>
  </w:style>
  <w:style w:type="paragraph" w:customStyle="1" w:styleId="zSoquijdatAssesseurs">
    <w:name w:val="zSoquij_datAssesseurs"/>
    <w:basedOn w:val="Normal"/>
    <w:pPr>
      <w:ind w:left="14" w:right="-67"/>
    </w:pPr>
  </w:style>
  <w:style w:type="paragraph" w:customStyle="1" w:styleId="zSoquijlblLocalite">
    <w:name w:val="zSoquij_lblLocalite"/>
    <w:basedOn w:val="zSoquijlblGreffe"/>
  </w:style>
  <w:style w:type="paragraph" w:customStyle="1" w:styleId="zSoquijdatLocalite">
    <w:name w:val="zSoquij_datLocalite"/>
    <w:basedOn w:val="zSoquijdatGreffe"/>
  </w:style>
  <w:style w:type="numbering" w:customStyle="1" w:styleId="Style1">
    <w:name w:val="Style1"/>
    <w:uiPriority w:val="99"/>
    <w:rsid w:val="00CE1CAF"/>
    <w:pPr>
      <w:numPr>
        <w:numId w:val="16"/>
      </w:numPr>
    </w:pPr>
  </w:style>
  <w:style w:type="paragraph" w:customStyle="1" w:styleId="Paragrsimple">
    <w:name w:val="Paragr. simple"/>
    <w:basedOn w:val="Paragrdouble"/>
    <w:next w:val="Paragrdouble"/>
    <w:qFormat/>
    <w:rsid w:val="00BA153A"/>
    <w:pPr>
      <w:spacing w:line="240" w:lineRule="auto"/>
    </w:pPr>
  </w:style>
  <w:style w:type="paragraph" w:styleId="En-ttedetabledesmatires">
    <w:name w:val="TOC Heading"/>
    <w:basedOn w:val="Titre1"/>
    <w:next w:val="Normal"/>
    <w:uiPriority w:val="39"/>
    <w:qFormat/>
    <w:rsid w:val="00BA153A"/>
    <w:pPr>
      <w:keepLines/>
      <w:spacing w:before="480" w:after="0" w:line="276" w:lineRule="auto"/>
      <w:ind w:left="0" w:firstLine="0"/>
      <w:outlineLvl w:val="9"/>
    </w:pPr>
    <w:rPr>
      <w:rFonts w:ascii="Cambria" w:hAnsi="Cambria"/>
      <w:bCs/>
      <w:color w:val="365F91"/>
      <w:kern w:val="0"/>
      <w:sz w:val="28"/>
      <w:szCs w:val="28"/>
      <w:u w:val="none"/>
      <w:lang w:eastAsia="fr-CA"/>
    </w:rPr>
  </w:style>
  <w:style w:type="paragraph" w:styleId="TM1">
    <w:name w:val="toc 1"/>
    <w:basedOn w:val="Normal"/>
    <w:next w:val="Normal"/>
    <w:autoRedefine/>
    <w:uiPriority w:val="39"/>
    <w:unhideWhenUsed/>
    <w:rsid w:val="00BA153A"/>
  </w:style>
  <w:style w:type="paragraph" w:styleId="TM2">
    <w:name w:val="toc 2"/>
    <w:basedOn w:val="Normal"/>
    <w:next w:val="Normal"/>
    <w:autoRedefine/>
    <w:uiPriority w:val="39"/>
    <w:unhideWhenUsed/>
    <w:rsid w:val="00BA153A"/>
    <w:pPr>
      <w:ind w:left="240"/>
    </w:pPr>
  </w:style>
  <w:style w:type="paragraph" w:styleId="TM3">
    <w:name w:val="toc 3"/>
    <w:basedOn w:val="Normal"/>
    <w:next w:val="Normal"/>
    <w:autoRedefine/>
    <w:uiPriority w:val="39"/>
    <w:unhideWhenUsed/>
    <w:rsid w:val="00BA153A"/>
    <w:pPr>
      <w:ind w:left="480"/>
    </w:pPr>
  </w:style>
  <w:style w:type="character" w:styleId="Hyperlien">
    <w:name w:val="Hyperlink"/>
    <w:uiPriority w:val="99"/>
    <w:unhideWhenUsed/>
    <w:rsid w:val="00BA153A"/>
    <w:rPr>
      <w:color w:val="0000FF"/>
      <w:u w:val="single"/>
      <w:lang w:val="fr-CA"/>
    </w:rPr>
  </w:style>
  <w:style w:type="paragraph" w:styleId="Explorateurdedocuments">
    <w:name w:val="Document Map"/>
    <w:basedOn w:val="Normal"/>
    <w:semiHidden/>
    <w:rsid w:val="00007687"/>
    <w:pPr>
      <w:shd w:val="clear" w:color="auto" w:fill="000080"/>
    </w:pPr>
    <w:rPr>
      <w:rFonts w:ascii="Tahoma" w:hAnsi="Tahoma" w:cs="Tahoma"/>
      <w:sz w:val="20"/>
    </w:rPr>
  </w:style>
  <w:style w:type="paragraph" w:styleId="Titre">
    <w:name w:val="Title"/>
    <w:basedOn w:val="Normal"/>
    <w:qFormat/>
    <w:rsid w:val="008A4532"/>
    <w:pPr>
      <w:spacing w:before="240" w:after="60"/>
      <w:jc w:val="center"/>
      <w:outlineLvl w:val="0"/>
    </w:pPr>
    <w:rPr>
      <w:rFonts w:cs="Arial"/>
      <w:b/>
      <w:bCs/>
      <w:kern w:val="28"/>
      <w:sz w:val="32"/>
      <w:szCs w:val="32"/>
    </w:rPr>
  </w:style>
  <w:style w:type="paragraph" w:styleId="En-tte">
    <w:name w:val="header"/>
    <w:basedOn w:val="Normal"/>
    <w:link w:val="En-tteCar"/>
    <w:uiPriority w:val="99"/>
    <w:unhideWhenUsed/>
    <w:rsid w:val="00703D74"/>
    <w:pPr>
      <w:tabs>
        <w:tab w:val="center" w:pos="4320"/>
        <w:tab w:val="right" w:pos="8640"/>
      </w:tabs>
    </w:pPr>
  </w:style>
  <w:style w:type="character" w:customStyle="1" w:styleId="En-tteCar">
    <w:name w:val="En-tête Car"/>
    <w:basedOn w:val="Policepardfaut"/>
    <w:link w:val="En-tte"/>
    <w:uiPriority w:val="99"/>
    <w:rsid w:val="00703D74"/>
    <w:rPr>
      <w:rFonts w:ascii="Arial" w:hAnsi="Arial"/>
      <w:sz w:val="24"/>
      <w:lang w:eastAsia="fr-FR"/>
    </w:rPr>
  </w:style>
  <w:style w:type="paragraph" w:styleId="Pieddepage">
    <w:name w:val="footer"/>
    <w:basedOn w:val="Normal"/>
    <w:link w:val="PieddepageCar"/>
    <w:uiPriority w:val="99"/>
    <w:unhideWhenUsed/>
    <w:rsid w:val="00703D74"/>
    <w:pPr>
      <w:tabs>
        <w:tab w:val="center" w:pos="4320"/>
        <w:tab w:val="right" w:pos="8640"/>
      </w:tabs>
    </w:pPr>
  </w:style>
  <w:style w:type="character" w:customStyle="1" w:styleId="PieddepageCar">
    <w:name w:val="Pied de page Car"/>
    <w:basedOn w:val="Policepardfaut"/>
    <w:link w:val="Pieddepage"/>
    <w:uiPriority w:val="99"/>
    <w:rsid w:val="00703D74"/>
    <w:rPr>
      <w:rFonts w:ascii="Arial" w:hAnsi="Arial"/>
      <w:sz w:val="24"/>
      <w:lang w:eastAsia="fr-FR"/>
    </w:rPr>
  </w:style>
  <w:style w:type="character" w:styleId="Appelnotedebasdep">
    <w:name w:val="footnote reference"/>
    <w:basedOn w:val="Policepardfaut"/>
    <w:uiPriority w:val="99"/>
    <w:semiHidden/>
    <w:unhideWhenUsed/>
    <w:rsid w:val="00222880"/>
    <w:rPr>
      <w:vertAlign w:val="superscript"/>
    </w:rPr>
  </w:style>
  <w:style w:type="paragraph" w:styleId="Paragraphedeliste">
    <w:name w:val="List Paragraph"/>
    <w:basedOn w:val="Normal"/>
    <w:uiPriority w:val="34"/>
    <w:qFormat/>
    <w:rsid w:val="00CD5D12"/>
    <w:pPr>
      <w:ind w:left="720"/>
      <w:contextualSpacing/>
    </w:pPr>
  </w:style>
  <w:style w:type="paragraph" w:styleId="Rvision">
    <w:name w:val="Revision"/>
    <w:hidden/>
    <w:uiPriority w:val="99"/>
    <w:semiHidden/>
    <w:rsid w:val="008642AB"/>
    <w:rPr>
      <w:rFonts w:ascii="Arial" w:hAnsi="Arial"/>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8760954A20164A89D63E0412308309" ma:contentTypeVersion="4" ma:contentTypeDescription="Crée un document." ma:contentTypeScope="" ma:versionID="9f8be4542792864c27793559f4b19852">
  <xsd:schema xmlns:xsd="http://www.w3.org/2001/XMLSchema" xmlns:xs="http://www.w3.org/2001/XMLSchema" xmlns:p="http://schemas.microsoft.com/office/2006/metadata/properties" xmlns:ns2="7e5ba8b4-d6db-4eab-9404-f500ee3fa9a8" xmlns:ns3="4dfbed45-abbb-4b63-a31e-d7ffeeefdcae" targetNamespace="http://schemas.microsoft.com/office/2006/metadata/properties" ma:root="true" ma:fieldsID="91b1071c4f7e7e9b1233ca07554f40bc" ns2:_="" ns3:_="">
    <xsd:import namespace="7e5ba8b4-d6db-4eab-9404-f500ee3fa9a8"/>
    <xsd:import namespace="4dfbed45-abbb-4b63-a31e-d7ffeeefdcae"/>
    <xsd:element name="properties">
      <xsd:complexType>
        <xsd:sequence>
          <xsd:element name="documentManagement">
            <xsd:complexType>
              <xsd:all>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5ba8b4-d6db-4eab-9404-f500ee3fa9a8"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bed45-abbb-4b63-a31e-d7ffeeefdcae" elementFormDefault="qualified">
    <xsd:import namespace="http://schemas.microsoft.com/office/2006/documentManagement/types"/>
    <xsd:import namespace="http://schemas.microsoft.com/office/infopath/2007/PartnerControls"/>
    <xsd:element name="SharedWithUsers" ma:index="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B1385-B317-4A73-AB5B-447180BDB8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ADCAEC-B705-42CC-AB2C-0C965BA06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5ba8b4-d6db-4eab-9404-f500ee3fa9a8"/>
    <ds:schemaRef ds:uri="4dfbed45-abbb-4b63-a31e-d7ffeeefd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6D3F2B-15EA-492A-8B48-2CF10FE3B1AB}">
  <ds:schemaRefs>
    <ds:schemaRef ds:uri="http://schemas.microsoft.com/sharepoint/v3/contenttype/forms"/>
  </ds:schemaRefs>
</ds:datastoreItem>
</file>

<file path=customXml/itemProps4.xml><?xml version="1.0" encoding="utf-8"?>
<ds:datastoreItem xmlns:ds="http://schemas.openxmlformats.org/officeDocument/2006/customXml" ds:itemID="{05A98C81-0574-4509-9EC9-BA24A0B1DA62}">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5201</Words>
  <Characters>28610</Characters>
  <Application>Microsoft Office Word</Application>
  <DocSecurity>0</DocSecurity>
  <Lines>238</Lines>
  <Paragraphs>67</Paragraphs>
  <ScaleCrop>false</ScaleCrop>
  <Company/>
  <LinksUpToDate>false</LinksUpToDate>
  <CharactersWithSpaces>33744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Deschênes, Gabrielle</cp:lastModifiedBy>
  <cp:revision>5</cp:revision>
  <dcterms:created xsi:type="dcterms:W3CDTF">2026-10-30T05:13:00Z</dcterms:created>
  <dcterms:modified xsi:type="dcterms:W3CDTF">2026-10-30T12:48:00Z</dcterms:modified>
</cp:coreProperties>
</file>