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Layout w:type="fixed"/>
        <w:tblCellMar>
          <w:left w:w="0" w:type="dxa"/>
          <w:right w:w="0" w:type="dxa"/>
        </w:tblCellMar>
        <w:tblLook w:val="0000" w:firstRow="0" w:lastRow="0" w:firstColumn="0" w:lastColumn="0" w:noHBand="0" w:noVBand="0"/>
      </w:tblPr>
      <w:tblGrid>
        <w:gridCol w:w="1030"/>
        <w:gridCol w:w="590"/>
        <w:gridCol w:w="2350"/>
        <w:gridCol w:w="3402"/>
        <w:gridCol w:w="1988"/>
      </w:tblGrid>
      <w:tr w:rsidR="008F364A" w14:paraId="070ACA73" w14:textId="77777777" w:rsidTr="008D320B">
        <w:trPr>
          <w:trHeight w:val="248"/>
        </w:trPr>
        <w:tc>
          <w:tcPr>
            <w:tcW w:w="7372" w:type="dxa"/>
            <w:gridSpan w:val="4"/>
          </w:tcPr>
          <w:p w14:paraId="730F1CD5" w14:textId="66534FCD" w:rsidR="008F364A" w:rsidRPr="00911C1E" w:rsidRDefault="00911C1E" w:rsidP="00911C1E">
            <w:pPr>
              <w:pStyle w:val="zSoquijdatRepertorie"/>
              <w:rPr>
                <w:rFonts w:cs="Arial"/>
              </w:rPr>
            </w:pPr>
            <w:r>
              <w:rPr>
                <w:rFonts w:cs="Arial"/>
              </w:rPr>
              <w:t>Couillard c. Shen</w:t>
            </w:r>
          </w:p>
        </w:tc>
        <w:tc>
          <w:tcPr>
            <w:tcW w:w="1988" w:type="dxa"/>
          </w:tcPr>
          <w:p w14:paraId="25D2120A" w14:textId="45225F35" w:rsidR="008F364A" w:rsidRPr="00CD5098" w:rsidRDefault="00CD5098" w:rsidP="00CD5098">
            <w:pPr>
              <w:pStyle w:val="zSoquijdatRefNeutre"/>
              <w:jc w:val="right"/>
              <w:rPr>
                <w:rFonts w:cs="Arial"/>
              </w:rPr>
            </w:pPr>
            <w:r w:rsidRPr="00CD5098">
              <w:rPr>
                <w:rFonts w:cs="Arial"/>
              </w:rPr>
              <w:t>2026 QCCA 1429</w:t>
            </w:r>
          </w:p>
        </w:tc>
      </w:tr>
      <w:tr w:rsidR="008F364A" w14:paraId="1BBA5466" w14:textId="77777777" w:rsidTr="008D320B">
        <w:trPr>
          <w:trHeight w:val="247"/>
        </w:trPr>
        <w:tc>
          <w:tcPr>
            <w:tcW w:w="9360" w:type="dxa"/>
            <w:gridSpan w:val="5"/>
          </w:tcPr>
          <w:p w14:paraId="440555D3" w14:textId="77777777" w:rsidR="008F364A" w:rsidRDefault="00740A17">
            <w:pPr>
              <w:pStyle w:val="zSoquijlblCour"/>
            </w:pPr>
            <w:r>
              <w:t>COUR D’APPEL</w:t>
            </w:r>
          </w:p>
        </w:tc>
      </w:tr>
      <w:tr w:rsidR="008F364A" w14:paraId="1F84B63E" w14:textId="77777777" w:rsidTr="008D320B">
        <w:trPr>
          <w:trHeight w:val="540"/>
        </w:trPr>
        <w:tc>
          <w:tcPr>
            <w:tcW w:w="9360" w:type="dxa"/>
            <w:gridSpan w:val="5"/>
          </w:tcPr>
          <w:p w14:paraId="5644913D" w14:textId="77777777" w:rsidR="008F364A" w:rsidRDefault="008F364A">
            <w:pPr>
              <w:pStyle w:val="zSoquijdatDivision"/>
            </w:pPr>
          </w:p>
        </w:tc>
      </w:tr>
      <w:tr w:rsidR="008F364A" w14:paraId="397FDB79" w14:textId="77777777" w:rsidTr="008D320B">
        <w:tc>
          <w:tcPr>
            <w:tcW w:w="9360" w:type="dxa"/>
            <w:gridSpan w:val="5"/>
          </w:tcPr>
          <w:p w14:paraId="41501D46" w14:textId="77777777" w:rsidR="008F364A" w:rsidRDefault="00740A17">
            <w:pPr>
              <w:pStyle w:val="zSoquijlblPays"/>
            </w:pPr>
            <w:r>
              <w:t>CANADA</w:t>
            </w:r>
          </w:p>
        </w:tc>
      </w:tr>
      <w:tr w:rsidR="008F364A" w14:paraId="7EAF1B0B" w14:textId="77777777" w:rsidTr="008D320B">
        <w:tc>
          <w:tcPr>
            <w:tcW w:w="9360" w:type="dxa"/>
            <w:gridSpan w:val="5"/>
          </w:tcPr>
          <w:p w14:paraId="79139103" w14:textId="77777777" w:rsidR="008F364A" w:rsidRDefault="00740A17">
            <w:pPr>
              <w:pStyle w:val="zSoquijlblProvince"/>
            </w:pPr>
            <w:r>
              <w:t>PROVINCE DE QUÉBEC</w:t>
            </w:r>
          </w:p>
        </w:tc>
      </w:tr>
      <w:tr w:rsidR="00507BA1" w14:paraId="5BC3AF31" w14:textId="77777777" w:rsidTr="0084413F">
        <w:tc>
          <w:tcPr>
            <w:tcW w:w="9360" w:type="dxa"/>
            <w:gridSpan w:val="5"/>
          </w:tcPr>
          <w:p w14:paraId="4A0FD0A2" w14:textId="44532A37" w:rsidR="00507BA1" w:rsidRDefault="00507BA1" w:rsidP="00507BA1">
            <w:pPr>
              <w:pStyle w:val="zSoquijlblGreffe"/>
            </w:pPr>
            <w:r w:rsidRPr="008E5E9D">
              <w:t>SIÈGE</w:t>
            </w:r>
            <w:r>
              <w:t xml:space="preserve"> DE </w:t>
            </w:r>
            <w:bookmarkStart w:id="0" w:name="NomGreffe"/>
            <w:r>
              <w:t>MONTRÉAL</w:t>
            </w:r>
            <w:bookmarkEnd w:id="0"/>
          </w:p>
        </w:tc>
      </w:tr>
      <w:tr w:rsidR="00507BA1" w14:paraId="2D6944FD" w14:textId="77777777" w:rsidTr="0084413F">
        <w:tc>
          <w:tcPr>
            <w:tcW w:w="9360" w:type="dxa"/>
            <w:gridSpan w:val="5"/>
          </w:tcPr>
          <w:p w14:paraId="2986A4B4" w14:textId="77777777" w:rsidR="00507BA1" w:rsidRPr="008E5E9D" w:rsidRDefault="00507BA1" w:rsidP="00507BA1">
            <w:pPr>
              <w:pStyle w:val="zSoquijlblGreffe"/>
            </w:pPr>
          </w:p>
        </w:tc>
      </w:tr>
      <w:tr w:rsidR="008F364A" w14:paraId="2EF6B314" w14:textId="77777777" w:rsidTr="008D320B">
        <w:tc>
          <w:tcPr>
            <w:tcW w:w="1030" w:type="dxa"/>
          </w:tcPr>
          <w:p w14:paraId="7D24CA8E" w14:textId="77777777" w:rsidR="008F364A" w:rsidRDefault="00740A17">
            <w:pPr>
              <w:pStyle w:val="zSoquijlblNoDossier"/>
            </w:pPr>
            <w:r>
              <w:t>N° :</w:t>
            </w:r>
          </w:p>
        </w:tc>
        <w:tc>
          <w:tcPr>
            <w:tcW w:w="8330" w:type="dxa"/>
            <w:gridSpan w:val="4"/>
          </w:tcPr>
          <w:p w14:paraId="077BAF09" w14:textId="3FFD312B" w:rsidR="008F364A" w:rsidRDefault="008947E9">
            <w:pPr>
              <w:pStyle w:val="zSoquijdatNoDossier"/>
            </w:pPr>
            <w:bookmarkStart w:id="1" w:name="NoDossier"/>
            <w:r>
              <w:t>500-09-700253-248</w:t>
            </w:r>
            <w:bookmarkEnd w:id="1"/>
          </w:p>
        </w:tc>
      </w:tr>
      <w:tr w:rsidR="008947E9" w14:paraId="7A582C78" w14:textId="77777777" w:rsidTr="008D320B">
        <w:tc>
          <w:tcPr>
            <w:tcW w:w="9360" w:type="dxa"/>
            <w:gridSpan w:val="5"/>
          </w:tcPr>
          <w:p w14:paraId="32B23997" w14:textId="23AEF6E6" w:rsidR="008947E9" w:rsidRDefault="008947E9" w:rsidP="008947E9">
            <w:pPr>
              <w:pStyle w:val="zSoquijdatNoDossierAnt"/>
            </w:pPr>
            <w:r>
              <w:t>(500-17-119614-223)</w:t>
            </w:r>
          </w:p>
        </w:tc>
      </w:tr>
      <w:tr w:rsidR="008F364A" w14:paraId="56DFB4A1" w14:textId="77777777" w:rsidTr="008D320B">
        <w:tc>
          <w:tcPr>
            <w:tcW w:w="9360" w:type="dxa"/>
            <w:gridSpan w:val="5"/>
          </w:tcPr>
          <w:p w14:paraId="4940D2B1" w14:textId="77777777" w:rsidR="008F364A" w:rsidRDefault="008F364A"/>
        </w:tc>
      </w:tr>
      <w:tr w:rsidR="008F364A" w14:paraId="7EDF8AB0" w14:textId="77777777" w:rsidTr="008D320B">
        <w:tc>
          <w:tcPr>
            <w:tcW w:w="1030" w:type="dxa"/>
          </w:tcPr>
          <w:p w14:paraId="5F2166A5" w14:textId="77777777" w:rsidR="008F364A" w:rsidRPr="003E4D7F" w:rsidRDefault="5F94FC7D">
            <w:pPr>
              <w:pStyle w:val="zSoquijlblDateJugement"/>
            </w:pPr>
            <w:r w:rsidRPr="003E4D7F">
              <w:t>DATE :</w:t>
            </w:r>
          </w:p>
        </w:tc>
        <w:tc>
          <w:tcPr>
            <w:tcW w:w="8330" w:type="dxa"/>
            <w:gridSpan w:val="4"/>
          </w:tcPr>
          <w:p w14:paraId="1F6B9FD6" w14:textId="7E1F5A05" w:rsidR="008F364A" w:rsidRPr="003E4D7F" w:rsidRDefault="003E4D7F">
            <w:pPr>
              <w:pStyle w:val="zSoquijdatDateJugement"/>
            </w:pPr>
            <w:r>
              <w:t>30 OCTOBRE 2026</w:t>
            </w:r>
            <w:r w:rsidRPr="003E4D7F">
              <w:t xml:space="preserve"> </w:t>
            </w:r>
          </w:p>
        </w:tc>
      </w:tr>
      <w:tr w:rsidR="008F364A" w14:paraId="6BC37F4F" w14:textId="77777777" w:rsidTr="008D320B">
        <w:tc>
          <w:tcPr>
            <w:tcW w:w="9360" w:type="dxa"/>
            <w:gridSpan w:val="5"/>
            <w:tcBorders>
              <w:bottom w:val="single" w:sz="8" w:space="0" w:color="auto"/>
            </w:tcBorders>
          </w:tcPr>
          <w:p w14:paraId="60D879BF" w14:textId="77777777" w:rsidR="008F364A" w:rsidRDefault="008F364A"/>
        </w:tc>
      </w:tr>
      <w:tr w:rsidR="008F364A" w14:paraId="50A339A2" w14:textId="77777777" w:rsidTr="008D320B">
        <w:tc>
          <w:tcPr>
            <w:tcW w:w="9360" w:type="dxa"/>
            <w:gridSpan w:val="5"/>
            <w:tcBorders>
              <w:top w:val="single" w:sz="8" w:space="0" w:color="auto"/>
            </w:tcBorders>
          </w:tcPr>
          <w:p w14:paraId="45F7DB41" w14:textId="77777777" w:rsidR="008F364A" w:rsidRDefault="008F364A"/>
        </w:tc>
      </w:tr>
      <w:tr w:rsidR="008F364A" w14:paraId="41472DFD" w14:textId="77777777" w:rsidTr="008D320B">
        <w:tc>
          <w:tcPr>
            <w:tcW w:w="1620" w:type="dxa"/>
            <w:gridSpan w:val="2"/>
          </w:tcPr>
          <w:p w14:paraId="20E6E0B5" w14:textId="77777777" w:rsidR="008F364A" w:rsidRDefault="00B70485" w:rsidP="00423DF1">
            <w:pPr>
              <w:pStyle w:val="zSoquijlblJuge"/>
              <w:ind w:right="-142"/>
            </w:pPr>
            <w:bookmarkStart w:id="2" w:name="FORMATION"/>
            <w:r>
              <w:t>FORMATION</w:t>
            </w:r>
            <w:r w:rsidR="00B513C9">
              <w:t> </w:t>
            </w:r>
            <w:r w:rsidR="00740A17">
              <w:t>:</w:t>
            </w:r>
            <w:bookmarkEnd w:id="2"/>
          </w:p>
        </w:tc>
        <w:tc>
          <w:tcPr>
            <w:tcW w:w="2350" w:type="dxa"/>
          </w:tcPr>
          <w:p w14:paraId="544745F6" w14:textId="77777777" w:rsidR="008F364A" w:rsidRDefault="00740A17">
            <w:pPr>
              <w:pStyle w:val="zSoquijdatQteJuge"/>
            </w:pPr>
            <w:bookmarkStart w:id="3" w:name="Honorables"/>
            <w:r>
              <w:t>LES HONORABLES</w:t>
            </w:r>
            <w:bookmarkEnd w:id="3"/>
          </w:p>
        </w:tc>
        <w:tc>
          <w:tcPr>
            <w:tcW w:w="5390" w:type="dxa"/>
            <w:gridSpan w:val="2"/>
          </w:tcPr>
          <w:p w14:paraId="4D53CFC6" w14:textId="69D1DFE5" w:rsidR="008F364A" w:rsidRDefault="008947E9">
            <w:pPr>
              <w:pStyle w:val="zSoquijdatJuge"/>
            </w:pPr>
            <w:bookmarkStart w:id="4" w:name="NomJuge1"/>
            <w:r>
              <w:t>LORI RENÉE WEITZMAN, J.C.A.</w:t>
            </w:r>
            <w:bookmarkEnd w:id="4"/>
          </w:p>
          <w:p w14:paraId="2356BDDE" w14:textId="665C3F4A" w:rsidR="008F364A" w:rsidRPr="008947E9" w:rsidRDefault="008947E9">
            <w:pPr>
              <w:pStyle w:val="zSoquijdatJuge"/>
              <w:rPr>
                <w:lang w:val="en-CA"/>
              </w:rPr>
            </w:pPr>
            <w:bookmarkStart w:id="5" w:name="NomJuge2"/>
            <w:r w:rsidRPr="008947E9">
              <w:rPr>
                <w:lang w:val="en-CA"/>
              </w:rPr>
              <w:t>ÉRIC HARDY, J.C.A.</w:t>
            </w:r>
            <w:bookmarkEnd w:id="5"/>
          </w:p>
          <w:p w14:paraId="1A657506" w14:textId="7C457C89" w:rsidR="005A78BF" w:rsidRDefault="008947E9" w:rsidP="008947E9">
            <w:pPr>
              <w:pStyle w:val="zSoquijdatJuge"/>
              <w:rPr>
                <w:lang w:val="de-DE"/>
              </w:rPr>
            </w:pPr>
            <w:bookmarkStart w:id="6" w:name="_Hlt520513784"/>
            <w:bookmarkStart w:id="7" w:name="NomJuge3"/>
            <w:bookmarkEnd w:id="6"/>
            <w:r>
              <w:t>CHRISTIAN IMMER, J.C.A.</w:t>
            </w:r>
            <w:bookmarkEnd w:id="7"/>
          </w:p>
        </w:tc>
      </w:tr>
      <w:tr w:rsidR="008F364A" w14:paraId="63A53A92" w14:textId="77777777" w:rsidTr="008D320B">
        <w:tc>
          <w:tcPr>
            <w:tcW w:w="9360" w:type="dxa"/>
            <w:gridSpan w:val="5"/>
            <w:tcBorders>
              <w:bottom w:val="single" w:sz="8" w:space="0" w:color="auto"/>
            </w:tcBorders>
          </w:tcPr>
          <w:p w14:paraId="62BC0F56" w14:textId="77777777" w:rsidR="008F364A" w:rsidRDefault="008F364A">
            <w:pPr>
              <w:rPr>
                <w:lang w:val="de-DE"/>
              </w:rPr>
            </w:pPr>
          </w:p>
        </w:tc>
      </w:tr>
      <w:tr w:rsidR="008F364A" w14:paraId="1E33B70F" w14:textId="77777777" w:rsidTr="008D320B">
        <w:tc>
          <w:tcPr>
            <w:tcW w:w="9360" w:type="dxa"/>
            <w:gridSpan w:val="5"/>
          </w:tcPr>
          <w:p w14:paraId="54C4D532" w14:textId="77777777" w:rsidR="008F364A" w:rsidRDefault="008F364A">
            <w:pPr>
              <w:pStyle w:val="zSoquijlblTitrePartie"/>
              <w:rPr>
                <w:lang w:val="de-DE"/>
              </w:rPr>
            </w:pPr>
          </w:p>
        </w:tc>
      </w:tr>
      <w:tr w:rsidR="008F364A" w14:paraId="159ECA81" w14:textId="77777777" w:rsidTr="008D320B">
        <w:tc>
          <w:tcPr>
            <w:tcW w:w="9360" w:type="dxa"/>
            <w:gridSpan w:val="5"/>
          </w:tcPr>
          <w:p w14:paraId="41027066" w14:textId="6FE3670C" w:rsidR="008F364A" w:rsidRDefault="008947E9">
            <w:pPr>
              <w:pStyle w:val="zSoquijdatNomPartieDem"/>
              <w:rPr>
                <w:lang w:val="de-DE"/>
              </w:rPr>
            </w:pPr>
            <w:r>
              <w:t>GENEVIÈVE COUILLARD</w:t>
            </w:r>
          </w:p>
        </w:tc>
      </w:tr>
      <w:tr w:rsidR="008947E9" w14:paraId="753829AC" w14:textId="77777777" w:rsidTr="008D320B">
        <w:tc>
          <w:tcPr>
            <w:tcW w:w="9360" w:type="dxa"/>
            <w:gridSpan w:val="5"/>
          </w:tcPr>
          <w:p w14:paraId="346A8334" w14:textId="73B97B98" w:rsidR="008947E9" w:rsidRDefault="008947E9">
            <w:pPr>
              <w:pStyle w:val="zSoquijdatNomPartieDem"/>
            </w:pPr>
            <w:r>
              <w:t>THIERRY BRANSI</w:t>
            </w:r>
          </w:p>
        </w:tc>
      </w:tr>
      <w:tr w:rsidR="008F364A" w14:paraId="2447DFEC" w14:textId="77777777" w:rsidTr="008D320B">
        <w:tc>
          <w:tcPr>
            <w:tcW w:w="9360" w:type="dxa"/>
            <w:gridSpan w:val="5"/>
          </w:tcPr>
          <w:p w14:paraId="07CB7B5A" w14:textId="5DCA10C1" w:rsidR="008F364A" w:rsidRDefault="008947E9">
            <w:pPr>
              <w:pStyle w:val="zSoquijdatQtePartieDem"/>
              <w:rPr>
                <w:lang w:val="de-DE"/>
              </w:rPr>
            </w:pPr>
            <w:r>
              <w:t>APPELANTS</w:t>
            </w:r>
            <w:r w:rsidR="005340F4">
              <w:t> / INTIMÉS</w:t>
            </w:r>
            <w:r w:rsidR="00E55FDB">
              <w:t> </w:t>
            </w:r>
            <w:r w:rsidR="005340F4">
              <w:t>INCIDENTS</w:t>
            </w:r>
            <w:r>
              <w:t xml:space="preserve"> </w:t>
            </w:r>
            <w:r>
              <w:rPr>
                <w:rFonts w:ascii="Symbol" w:eastAsia="Symbol" w:hAnsi="Symbol" w:cs="Symbol"/>
              </w:rPr>
              <w:t>-</w:t>
            </w:r>
            <w:r>
              <w:t xml:space="preserve"> demandeurs</w:t>
            </w:r>
          </w:p>
        </w:tc>
      </w:tr>
      <w:tr w:rsidR="008F364A" w14:paraId="0E9A6555" w14:textId="77777777" w:rsidTr="008D320B">
        <w:tc>
          <w:tcPr>
            <w:tcW w:w="9360" w:type="dxa"/>
            <w:gridSpan w:val="5"/>
          </w:tcPr>
          <w:p w14:paraId="74662B5C" w14:textId="77777777" w:rsidR="008F364A" w:rsidRDefault="00740A17">
            <w:pPr>
              <w:pStyle w:val="zSoquijlblLienParties"/>
              <w:rPr>
                <w:lang w:val="en-CA"/>
              </w:rPr>
            </w:pPr>
            <w:r>
              <w:rPr>
                <w:lang w:val="en-CA"/>
              </w:rPr>
              <w:t>c.</w:t>
            </w:r>
          </w:p>
        </w:tc>
      </w:tr>
      <w:tr w:rsidR="008F364A" w14:paraId="07977F2F" w14:textId="77777777" w:rsidTr="008D320B">
        <w:tc>
          <w:tcPr>
            <w:tcW w:w="9360" w:type="dxa"/>
            <w:gridSpan w:val="5"/>
          </w:tcPr>
          <w:p w14:paraId="542E1990" w14:textId="77777777" w:rsidR="008F364A" w:rsidRDefault="008F364A">
            <w:pPr>
              <w:rPr>
                <w:lang w:val="en-CA"/>
              </w:rPr>
            </w:pPr>
          </w:p>
        </w:tc>
      </w:tr>
      <w:tr w:rsidR="008F364A" w14:paraId="7023654A" w14:textId="77777777" w:rsidTr="008D320B">
        <w:tc>
          <w:tcPr>
            <w:tcW w:w="9360" w:type="dxa"/>
            <w:gridSpan w:val="5"/>
          </w:tcPr>
          <w:p w14:paraId="59F6E7B1" w14:textId="2AB73DA4" w:rsidR="008F364A" w:rsidRDefault="008947E9">
            <w:pPr>
              <w:pStyle w:val="zSoquijdatNomPartieDef"/>
              <w:rPr>
                <w:lang w:val="en-CA"/>
              </w:rPr>
            </w:pPr>
            <w:r>
              <w:t>JUNLIN SHEN</w:t>
            </w:r>
          </w:p>
        </w:tc>
      </w:tr>
      <w:tr w:rsidR="008947E9" w14:paraId="6FB4F2B9" w14:textId="77777777" w:rsidTr="008D320B">
        <w:tc>
          <w:tcPr>
            <w:tcW w:w="9360" w:type="dxa"/>
            <w:gridSpan w:val="5"/>
          </w:tcPr>
          <w:p w14:paraId="5910AC75" w14:textId="17DA8317" w:rsidR="008947E9" w:rsidRDefault="008947E9">
            <w:pPr>
              <w:pStyle w:val="zSoquijdatNomPartieDef"/>
            </w:pPr>
            <w:r>
              <w:t>QIANG YE</w:t>
            </w:r>
          </w:p>
        </w:tc>
      </w:tr>
      <w:tr w:rsidR="008F364A" w14:paraId="09DE7C0F" w14:textId="77777777" w:rsidTr="008D320B">
        <w:tc>
          <w:tcPr>
            <w:tcW w:w="9360" w:type="dxa"/>
            <w:gridSpan w:val="5"/>
          </w:tcPr>
          <w:p w14:paraId="18F1A89E" w14:textId="5F94BF8C" w:rsidR="008F364A" w:rsidRDefault="008947E9">
            <w:pPr>
              <w:pStyle w:val="zSoquijdatQtePartieDef"/>
              <w:rPr>
                <w:lang w:val="en-CA"/>
              </w:rPr>
            </w:pPr>
            <w:r>
              <w:t>INTIMÉS</w:t>
            </w:r>
            <w:r w:rsidR="00E55FDB">
              <w:t> / APPELANTS INCIDENTS</w:t>
            </w:r>
            <w:r>
              <w:t xml:space="preserve"> </w:t>
            </w:r>
            <w:r>
              <w:rPr>
                <w:rFonts w:ascii="Symbol" w:eastAsia="Symbol" w:hAnsi="Symbol" w:cs="Symbol"/>
              </w:rPr>
              <w:t>-</w:t>
            </w:r>
            <w:r>
              <w:t xml:space="preserve"> défendeurs</w:t>
            </w:r>
          </w:p>
        </w:tc>
      </w:tr>
      <w:tr w:rsidR="008947E9" w14:paraId="28FA6450" w14:textId="77777777" w:rsidTr="008D320B">
        <w:tc>
          <w:tcPr>
            <w:tcW w:w="9360" w:type="dxa"/>
            <w:gridSpan w:val="5"/>
          </w:tcPr>
          <w:p w14:paraId="120D72D1" w14:textId="14AFCAA5" w:rsidR="008947E9" w:rsidRDefault="008D320B" w:rsidP="008947E9">
            <w:pPr>
              <w:rPr>
                <w:lang w:val="en-CA"/>
              </w:rPr>
            </w:pPr>
            <w:r>
              <w:rPr>
                <w:lang w:val="en-CA"/>
              </w:rPr>
              <w:t>e</w:t>
            </w:r>
            <w:r w:rsidR="008947E9">
              <w:rPr>
                <w:lang w:val="en-CA"/>
              </w:rPr>
              <w:t>t</w:t>
            </w:r>
          </w:p>
        </w:tc>
      </w:tr>
      <w:tr w:rsidR="008947E9" w14:paraId="46D8D7ED" w14:textId="77777777" w:rsidTr="008D320B">
        <w:tc>
          <w:tcPr>
            <w:tcW w:w="9360" w:type="dxa"/>
            <w:gridSpan w:val="5"/>
          </w:tcPr>
          <w:p w14:paraId="28E7273B" w14:textId="0B787118" w:rsidR="008947E9" w:rsidRDefault="008947E9" w:rsidP="008947E9">
            <w:pPr>
              <w:pStyle w:val="zSoquijdatNomPartieDef"/>
              <w:rPr>
                <w:lang w:val="en-CA"/>
              </w:rPr>
            </w:pPr>
            <w:r>
              <w:rPr>
                <w:lang w:val="en-CA"/>
              </w:rPr>
              <w:t>BANQUE DE MONTRÉAL</w:t>
            </w:r>
          </w:p>
        </w:tc>
      </w:tr>
      <w:tr w:rsidR="008947E9" w14:paraId="4AFF302D" w14:textId="77777777" w:rsidTr="008D320B">
        <w:tc>
          <w:tcPr>
            <w:tcW w:w="9360" w:type="dxa"/>
            <w:gridSpan w:val="5"/>
          </w:tcPr>
          <w:p w14:paraId="07E0829B" w14:textId="38EDD102" w:rsidR="008947E9" w:rsidRDefault="008947E9" w:rsidP="008947E9">
            <w:pPr>
              <w:pStyle w:val="zSoquijdatQtePartieDef"/>
              <w:rPr>
                <w:lang w:val="en-CA"/>
              </w:rPr>
            </w:pPr>
            <w:r>
              <w:rPr>
                <w:lang w:val="en-CA"/>
              </w:rPr>
              <w:t xml:space="preserve">MISE EN CAUSE </w:t>
            </w:r>
            <w:r>
              <w:rPr>
                <w:rFonts w:ascii="Symbol" w:eastAsia="Symbol" w:hAnsi="Symbol" w:cs="Symbol"/>
              </w:rPr>
              <w:t>-</w:t>
            </w:r>
            <w:r>
              <w:t xml:space="preserve"> intéressée</w:t>
            </w:r>
          </w:p>
        </w:tc>
      </w:tr>
      <w:tr w:rsidR="008947E9" w14:paraId="5806A7A6" w14:textId="77777777" w:rsidTr="008D320B">
        <w:tc>
          <w:tcPr>
            <w:tcW w:w="9360" w:type="dxa"/>
            <w:gridSpan w:val="5"/>
          </w:tcPr>
          <w:p w14:paraId="150410D6" w14:textId="4161752C" w:rsidR="008947E9" w:rsidRDefault="008D320B" w:rsidP="008947E9">
            <w:pPr>
              <w:rPr>
                <w:lang w:val="en-CA"/>
              </w:rPr>
            </w:pPr>
            <w:r>
              <w:rPr>
                <w:lang w:val="en-CA"/>
              </w:rPr>
              <w:t>e</w:t>
            </w:r>
            <w:r w:rsidR="008947E9">
              <w:rPr>
                <w:lang w:val="en-CA"/>
              </w:rPr>
              <w:t>t</w:t>
            </w:r>
          </w:p>
        </w:tc>
      </w:tr>
      <w:tr w:rsidR="008947E9" w14:paraId="339BCEF2" w14:textId="77777777" w:rsidTr="008D320B">
        <w:tc>
          <w:tcPr>
            <w:tcW w:w="9360" w:type="dxa"/>
            <w:gridSpan w:val="5"/>
          </w:tcPr>
          <w:p w14:paraId="125A7734" w14:textId="0C945FFA" w:rsidR="008947E9" w:rsidRPr="008947E9" w:rsidRDefault="008947E9" w:rsidP="008947E9">
            <w:pPr>
              <w:pStyle w:val="zSoquijdatNomPartieDef"/>
            </w:pPr>
            <w:r w:rsidRPr="008947E9">
              <w:t>L’OFFICIER DE LA PUBLICITÉ D</w:t>
            </w:r>
            <w:r>
              <w:t>ES DROITS DE LA CIRCONSCRIPTION FONCIÈRE DE MONTRÉAL</w:t>
            </w:r>
          </w:p>
        </w:tc>
      </w:tr>
      <w:tr w:rsidR="008947E9" w14:paraId="054C9E32" w14:textId="77777777" w:rsidTr="008D320B">
        <w:tc>
          <w:tcPr>
            <w:tcW w:w="9360" w:type="dxa"/>
            <w:gridSpan w:val="5"/>
          </w:tcPr>
          <w:p w14:paraId="7B5EF792" w14:textId="48E5F1FC" w:rsidR="008947E9" w:rsidRDefault="008947E9" w:rsidP="008947E9">
            <w:pPr>
              <w:pStyle w:val="zSoquijdatQtePartieDef"/>
            </w:pPr>
            <w:r w:rsidRPr="008F3D38">
              <w:t>MIS EN CAUSE</w:t>
            </w:r>
            <w:r w:rsidR="37D57A30" w:rsidRPr="008F3D38">
              <w:t xml:space="preserve"> </w:t>
            </w:r>
            <w:r w:rsidR="37D57A30" w:rsidRPr="1B16D5CE">
              <w:rPr>
                <w:rFonts w:ascii="Symbol" w:eastAsia="Symbol" w:hAnsi="Symbol" w:cs="Symbol"/>
              </w:rPr>
              <w:t>-</w:t>
            </w:r>
            <w:r w:rsidR="37D57A30" w:rsidRPr="008F3D38">
              <w:t xml:space="preserve"> mis en cause</w:t>
            </w:r>
          </w:p>
        </w:tc>
      </w:tr>
      <w:tr w:rsidR="0016107A" w14:paraId="1759C07C" w14:textId="77777777" w:rsidTr="008D320B">
        <w:tc>
          <w:tcPr>
            <w:tcW w:w="9360" w:type="dxa"/>
            <w:gridSpan w:val="5"/>
            <w:tcBorders>
              <w:bottom w:val="single" w:sz="8" w:space="0" w:color="auto"/>
            </w:tcBorders>
          </w:tcPr>
          <w:p w14:paraId="4FA21057" w14:textId="77777777" w:rsidR="0016107A" w:rsidRDefault="0016107A" w:rsidP="0076381D">
            <w:bookmarkStart w:id="8" w:name="Opinion"/>
          </w:p>
        </w:tc>
      </w:tr>
      <w:tr w:rsidR="0016107A" w14:paraId="74A7945B" w14:textId="77777777" w:rsidTr="00A3349F">
        <w:tc>
          <w:tcPr>
            <w:tcW w:w="9360" w:type="dxa"/>
            <w:gridSpan w:val="5"/>
            <w:tcBorders>
              <w:top w:val="single" w:sz="8" w:space="0" w:color="auto"/>
            </w:tcBorders>
          </w:tcPr>
          <w:p w14:paraId="693A1795" w14:textId="77777777" w:rsidR="0016107A" w:rsidRDefault="0016107A" w:rsidP="0076381D"/>
        </w:tc>
      </w:tr>
      <w:tr w:rsidR="0016107A" w14:paraId="20550F20" w14:textId="77777777" w:rsidTr="008D320B">
        <w:tc>
          <w:tcPr>
            <w:tcW w:w="9360" w:type="dxa"/>
            <w:gridSpan w:val="5"/>
          </w:tcPr>
          <w:p w14:paraId="5BF3501B" w14:textId="1E66503C" w:rsidR="0016107A" w:rsidRDefault="00092195" w:rsidP="0076381D">
            <w:pPr>
              <w:pStyle w:val="zSoquijlblOpinionJuge"/>
            </w:pPr>
            <w:r>
              <w:t>ARRÊT</w:t>
            </w:r>
          </w:p>
        </w:tc>
      </w:tr>
      <w:tr w:rsidR="0016107A" w14:paraId="6C439D08" w14:textId="77777777" w:rsidTr="008D320B">
        <w:tc>
          <w:tcPr>
            <w:tcW w:w="9360" w:type="dxa"/>
            <w:gridSpan w:val="5"/>
            <w:tcBorders>
              <w:bottom w:val="single" w:sz="8" w:space="0" w:color="auto"/>
            </w:tcBorders>
          </w:tcPr>
          <w:p w14:paraId="7A320701" w14:textId="77777777" w:rsidR="0016107A" w:rsidRDefault="0016107A" w:rsidP="0076381D"/>
        </w:tc>
      </w:tr>
      <w:tr w:rsidR="0016107A" w14:paraId="19E78EA1" w14:textId="77777777" w:rsidTr="008D320B">
        <w:tc>
          <w:tcPr>
            <w:tcW w:w="9360" w:type="dxa"/>
            <w:gridSpan w:val="5"/>
            <w:tcBorders>
              <w:top w:val="single" w:sz="8" w:space="0" w:color="auto"/>
            </w:tcBorders>
          </w:tcPr>
          <w:p w14:paraId="78EC3CDB" w14:textId="77777777" w:rsidR="0016107A" w:rsidRDefault="0016107A" w:rsidP="0076381D"/>
        </w:tc>
      </w:tr>
    </w:tbl>
    <w:p w14:paraId="63576DB5" w14:textId="76A13F5C" w:rsidR="0016107A" w:rsidRDefault="00CB3F84" w:rsidP="00507BA1">
      <w:pPr>
        <w:pStyle w:val="Paragraphe"/>
        <w:spacing w:line="280" w:lineRule="exact"/>
      </w:pPr>
      <w:r>
        <w:t>Le copropriétaire divis peut-il acquérir par prescription décennale une parcelle de la partie privative contigüe à la sienne</w:t>
      </w:r>
      <w:r w:rsidR="00500F57">
        <w:t>? S</w:t>
      </w:r>
      <w:r>
        <w:t>i oui, doit-il préalablement s’acquitter de certaines formalités</w:t>
      </w:r>
      <w:r w:rsidR="00FC4CBB">
        <w:t xml:space="preserve"> avant qu</w:t>
      </w:r>
      <w:r w:rsidR="00BD15FA">
        <w:t>e le tribunal</w:t>
      </w:r>
      <w:r w:rsidR="00FC4CBB">
        <w:t xml:space="preserve"> puis</w:t>
      </w:r>
      <w:r w:rsidR="004B1F00">
        <w:t>s</w:t>
      </w:r>
      <w:r w:rsidR="00FC4CBB">
        <w:t>e déclarer que la propriété a été acquise par prescription</w:t>
      </w:r>
      <w:r>
        <w:t>? Voilà l</w:t>
      </w:r>
      <w:r w:rsidR="00074B9D">
        <w:t>es</w:t>
      </w:r>
      <w:r>
        <w:t xml:space="preserve"> question</w:t>
      </w:r>
      <w:r w:rsidR="00074B9D">
        <w:t>s</w:t>
      </w:r>
      <w:r>
        <w:t xml:space="preserve"> qui doi</w:t>
      </w:r>
      <w:r w:rsidR="00074B9D">
        <w:t>vent</w:t>
      </w:r>
      <w:r>
        <w:t xml:space="preserve"> être tranché</w:t>
      </w:r>
      <w:r w:rsidR="0027691E">
        <w:t>e</w:t>
      </w:r>
      <w:r w:rsidR="00074B9D">
        <w:t>s</w:t>
      </w:r>
      <w:r>
        <w:t xml:space="preserve"> par le présent appel.</w:t>
      </w:r>
    </w:p>
    <w:p w14:paraId="4B86C8BE" w14:textId="7514C2D1" w:rsidR="00FC4CBB" w:rsidRPr="00092195" w:rsidRDefault="00FC4CBB" w:rsidP="00507BA1">
      <w:pPr>
        <w:pStyle w:val="Paragraphe"/>
        <w:numPr>
          <w:ilvl w:val="0"/>
          <w:numId w:val="0"/>
        </w:numPr>
        <w:spacing w:line="280" w:lineRule="exact"/>
        <w:jc w:val="center"/>
      </w:pPr>
      <w:r>
        <w:t>* * *</w:t>
      </w:r>
    </w:p>
    <w:p w14:paraId="7E1983F0" w14:textId="7592485D" w:rsidR="00A44A3E" w:rsidRDefault="00A44A3E" w:rsidP="00507BA1">
      <w:pPr>
        <w:pStyle w:val="Paragraphe"/>
        <w:spacing w:line="280" w:lineRule="exact"/>
      </w:pPr>
      <w:r w:rsidRPr="00E13612">
        <w:lastRenderedPageBreak/>
        <w:t xml:space="preserve">Les parties sont copropriétaires divis d’un immeuble situé </w:t>
      </w:r>
      <w:r w:rsidR="002511BB">
        <w:t>sur</w:t>
      </w:r>
      <w:r w:rsidRPr="00E13612">
        <w:t xml:space="preserve"> l’Île des</w:t>
      </w:r>
      <w:r w:rsidR="002511BB">
        <w:t xml:space="preserve"> Sœurs</w:t>
      </w:r>
      <w:r>
        <w:t>.</w:t>
      </w:r>
      <w:r w:rsidR="0050787D">
        <w:t xml:space="preserve"> L</w:t>
      </w:r>
      <w:r w:rsidRPr="00E13612">
        <w:t xml:space="preserve">es appelants sont propriétaires </w:t>
      </w:r>
      <w:r w:rsidR="00310FF4">
        <w:t>du</w:t>
      </w:r>
      <w:r w:rsidRPr="00E13612">
        <w:t xml:space="preserve"> lot 1 860 765</w:t>
      </w:r>
      <w:r>
        <w:t xml:space="preserve"> (Lot 765)</w:t>
      </w:r>
      <w:r w:rsidR="0050787D" w:rsidRPr="0050787D">
        <w:t xml:space="preserve"> </w:t>
      </w:r>
      <w:r w:rsidR="0050787D">
        <w:t>d</w:t>
      </w:r>
      <w:r w:rsidR="0050787D" w:rsidRPr="0050787D">
        <w:t>epuis le 14</w:t>
      </w:r>
      <w:r w:rsidR="00111EB8">
        <w:t> </w:t>
      </w:r>
      <w:r w:rsidR="0050787D" w:rsidRPr="0050787D">
        <w:t>juillet 2010</w:t>
      </w:r>
      <w:r w:rsidR="0050787D">
        <w:t xml:space="preserve">, alors que </w:t>
      </w:r>
      <w:r w:rsidRPr="00A44A3E">
        <w:t xml:space="preserve">les intimés </w:t>
      </w:r>
      <w:r w:rsidR="0050787D">
        <w:t>sont</w:t>
      </w:r>
      <w:r w:rsidRPr="00A44A3E">
        <w:t xml:space="preserve"> propriétaires d</w:t>
      </w:r>
      <w:r w:rsidR="00310FF4">
        <w:t xml:space="preserve">u </w:t>
      </w:r>
      <w:r w:rsidRPr="00A44A3E">
        <w:t>lot</w:t>
      </w:r>
      <w:r w:rsidR="00310FF4">
        <w:t xml:space="preserve"> </w:t>
      </w:r>
      <w:r w:rsidRPr="00A44A3E">
        <w:t>1</w:t>
      </w:r>
      <w:r w:rsidR="00111EB8">
        <w:t> </w:t>
      </w:r>
      <w:r w:rsidRPr="00A44A3E">
        <w:t>860</w:t>
      </w:r>
      <w:r w:rsidR="00310FF4">
        <w:t> </w:t>
      </w:r>
      <w:r w:rsidRPr="00A44A3E">
        <w:t>764</w:t>
      </w:r>
      <w:r w:rsidR="00310FF4">
        <w:t xml:space="preserve"> voisin</w:t>
      </w:r>
      <w:r w:rsidR="00256D47">
        <w:t xml:space="preserve"> </w:t>
      </w:r>
      <w:r w:rsidR="00B6074B">
        <w:t xml:space="preserve">(Lot 764) </w:t>
      </w:r>
      <w:r w:rsidR="00256D47">
        <w:t xml:space="preserve">depuis le </w:t>
      </w:r>
      <w:r w:rsidR="00256D47" w:rsidRPr="00256D47">
        <w:t>30 mars 2021</w:t>
      </w:r>
      <w:r>
        <w:t>.</w:t>
      </w:r>
    </w:p>
    <w:p w14:paraId="680B3F75" w14:textId="766205D6" w:rsidR="004B1F00" w:rsidRDefault="0050787D" w:rsidP="00507BA1">
      <w:pPr>
        <w:pStyle w:val="Paragraphe"/>
        <w:spacing w:line="280" w:lineRule="exact"/>
      </w:pPr>
      <w:r w:rsidRPr="0050787D">
        <w:t xml:space="preserve">Les appelants sont d’avis qu’ils ont acquis par prescription une petite parcelle du </w:t>
      </w:r>
      <w:r w:rsidR="002511BB">
        <w:t>L</w:t>
      </w:r>
      <w:r w:rsidRPr="0050787D">
        <w:t>ot 764</w:t>
      </w:r>
      <w:r w:rsidR="002511BB">
        <w:t xml:space="preserve"> </w:t>
      </w:r>
      <w:r w:rsidR="004B1F00">
        <w:t>délimitée par un muret d’une longueur de deux mètres</w:t>
      </w:r>
      <w:r w:rsidR="00E55FDB">
        <w:t>,</w:t>
      </w:r>
      <w:r w:rsidR="002511BB">
        <w:t xml:space="preserve"> </w:t>
      </w:r>
      <w:r w:rsidR="00111EB8">
        <w:t xml:space="preserve">suivi </w:t>
      </w:r>
      <w:r w:rsidR="002511BB">
        <w:t>d’une</w:t>
      </w:r>
      <w:r w:rsidR="004B1F00">
        <w:t xml:space="preserve"> clôture de métal d’une longueur d’environ </w:t>
      </w:r>
      <w:r w:rsidR="00500F57">
        <w:t>six</w:t>
      </w:r>
      <w:r w:rsidR="004B1F00">
        <w:t xml:space="preserve"> mètres (la « Parcelle »). Les appelants avançaient en première instance que depuis 2010, ils </w:t>
      </w:r>
      <w:r>
        <w:t xml:space="preserve">y </w:t>
      </w:r>
      <w:r w:rsidR="002511BB">
        <w:t>avaient</w:t>
      </w:r>
      <w:r w:rsidR="004B1F00">
        <w:t xml:space="preserve"> aménagé un jardin, installé un barbecue et une thermopompe et entreposé un boyau d’arrosage. Le plan suiv</w:t>
      </w:r>
      <w:r>
        <w:t>ant</w:t>
      </w:r>
      <w:r w:rsidR="004B1F00">
        <w:t xml:space="preserve"> illustre l’emplacement des </w:t>
      </w:r>
      <w:r w:rsidR="002511BB">
        <w:t>L</w:t>
      </w:r>
      <w:r w:rsidR="004B1F00">
        <w:t xml:space="preserve">ots 764 et 765 et </w:t>
      </w:r>
      <w:r w:rsidR="002511BB">
        <w:t xml:space="preserve">de </w:t>
      </w:r>
      <w:r w:rsidR="004B1F00">
        <w:t xml:space="preserve">la Parcelle, identifiée </w:t>
      </w:r>
      <w:r w:rsidR="006125D3">
        <w:t>« </w:t>
      </w:r>
      <w:r w:rsidR="004B1F00">
        <w:t>1 860 764 P</w:t>
      </w:r>
      <w:r w:rsidR="006125D3">
        <w:t>TIE »</w:t>
      </w:r>
      <w:r w:rsidR="004B1F00">
        <w:t>.</w:t>
      </w:r>
    </w:p>
    <w:p w14:paraId="62FD119D" w14:textId="34A7E167" w:rsidR="003C625C" w:rsidRDefault="003C625C" w:rsidP="008F3D38">
      <w:pPr>
        <w:pStyle w:val="Paragraphe"/>
        <w:numPr>
          <w:ilvl w:val="0"/>
          <w:numId w:val="0"/>
        </w:numPr>
        <w:spacing w:line="240" w:lineRule="auto"/>
        <w:jc w:val="center"/>
      </w:pPr>
      <w:r>
        <w:rPr>
          <w:noProof/>
        </w:rPr>
        <w:drawing>
          <wp:inline distT="0" distB="0" distL="0" distR="0" wp14:anchorId="68B7C83C" wp14:editId="685376B2">
            <wp:extent cx="5580657" cy="4352925"/>
            <wp:effectExtent l="0" t="0" r="1270" b="0"/>
            <wp:docPr id="9403253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07606" cy="4373946"/>
                    </a:xfrm>
                    <a:prstGeom prst="rect">
                      <a:avLst/>
                    </a:prstGeom>
                    <a:noFill/>
                  </pic:spPr>
                </pic:pic>
              </a:graphicData>
            </a:graphic>
          </wp:inline>
        </w:drawing>
      </w:r>
    </w:p>
    <w:p w14:paraId="2A7CF331" w14:textId="6D3E03A6" w:rsidR="00310FF4" w:rsidRDefault="00310FF4" w:rsidP="00507BA1">
      <w:pPr>
        <w:pStyle w:val="Paragraphe"/>
        <w:spacing w:line="280" w:lineRule="exact"/>
      </w:pPr>
      <w:r>
        <w:t>Un conflit survient peu de temps après l’emménagement des intimés</w:t>
      </w:r>
      <w:r w:rsidR="00FC4CBB">
        <w:t xml:space="preserve">, alors que les appelants </w:t>
      </w:r>
      <w:r w:rsidR="0050787D">
        <w:t>leur demandent leur accord pour</w:t>
      </w:r>
      <w:r w:rsidR="00FC4CBB">
        <w:t xml:space="preserve"> rehausser le muret</w:t>
      </w:r>
      <w:r>
        <w:t>.</w:t>
      </w:r>
      <w:r w:rsidR="00FC4CBB">
        <w:t xml:space="preserve"> Les intimés</w:t>
      </w:r>
      <w:r w:rsidR="002511BB">
        <w:t xml:space="preserve"> se montrent ouverts à y consentir</w:t>
      </w:r>
      <w:r w:rsidR="00FC4CBB">
        <w:t>, mais exige</w:t>
      </w:r>
      <w:r w:rsidR="00074B9D">
        <w:t>nt</w:t>
      </w:r>
      <w:r w:rsidR="00FC4CBB">
        <w:t xml:space="preserve"> qu</w:t>
      </w:r>
      <w:r w:rsidR="00074B9D">
        <w:t>e le muret</w:t>
      </w:r>
      <w:r w:rsidR="00FC4CBB">
        <w:t xml:space="preserve"> </w:t>
      </w:r>
      <w:r w:rsidR="002511BB">
        <w:t xml:space="preserve">ainsi rehaussé </w:t>
      </w:r>
      <w:r w:rsidR="00FC4CBB">
        <w:t xml:space="preserve">soit replacé sur la ligne mitoyenne. </w:t>
      </w:r>
      <w:r>
        <w:t xml:space="preserve">Les appelants </w:t>
      </w:r>
      <w:r w:rsidR="00074B9D">
        <w:t xml:space="preserve">s’y opposent et </w:t>
      </w:r>
      <w:r>
        <w:t>introduisent</w:t>
      </w:r>
      <w:r w:rsidR="00FC4CBB">
        <w:t xml:space="preserve"> un</w:t>
      </w:r>
      <w:r>
        <w:t xml:space="preserve"> recours pour faire déclarer qu’ils ont acquis la Parcelle par prescription acquisitive. </w:t>
      </w:r>
    </w:p>
    <w:p w14:paraId="304CE609" w14:textId="3BF75606" w:rsidR="00310FF4" w:rsidRDefault="00074B9D" w:rsidP="00507BA1">
      <w:pPr>
        <w:pStyle w:val="Paragraphe"/>
        <w:spacing w:line="280" w:lineRule="exact"/>
      </w:pPr>
      <w:r>
        <w:lastRenderedPageBreak/>
        <w:t xml:space="preserve">Le juge de première instance </w:t>
      </w:r>
      <w:r w:rsidR="00310FF4" w:rsidRPr="00E13612">
        <w:t>rejet</w:t>
      </w:r>
      <w:r w:rsidR="00092195">
        <w:t>te</w:t>
      </w:r>
      <w:r w:rsidR="00310FF4" w:rsidRPr="00E13612">
        <w:t xml:space="preserve"> l</w:t>
      </w:r>
      <w:r>
        <w:t>eur</w:t>
      </w:r>
      <w:r w:rsidR="00310FF4" w:rsidRPr="00E13612">
        <w:t xml:space="preserve"> demande</w:t>
      </w:r>
      <w:r w:rsidR="00310FF4" w:rsidRPr="00E13612">
        <w:rPr>
          <w:rStyle w:val="Appelnotedebasdep"/>
          <w:rFonts w:cs="Arial"/>
          <w:szCs w:val="24"/>
        </w:rPr>
        <w:footnoteReference w:id="1"/>
      </w:r>
      <w:r w:rsidR="00675A1A">
        <w:t xml:space="preserve">. Il estime que les appelants </w:t>
      </w:r>
      <w:r w:rsidR="006125D3">
        <w:t xml:space="preserve">satisfont </w:t>
      </w:r>
      <w:r w:rsidR="00132FF9">
        <w:t>aux</w:t>
      </w:r>
      <w:r w:rsidR="00675A1A">
        <w:t xml:space="preserve"> conditions de l’article </w:t>
      </w:r>
      <w:r w:rsidR="00675A1A" w:rsidRPr="005C3E65">
        <w:t>2</w:t>
      </w:r>
      <w:r w:rsidR="007B33AD">
        <w:t>9</w:t>
      </w:r>
      <w:r w:rsidR="00675A1A" w:rsidRPr="005C3E65">
        <w:t xml:space="preserve">18 </w:t>
      </w:r>
      <w:r w:rsidR="00675A1A" w:rsidRPr="005C3E65">
        <w:rPr>
          <w:i/>
          <w:iCs/>
        </w:rPr>
        <w:t>C.c.Q</w:t>
      </w:r>
      <w:r w:rsidR="00675A1A" w:rsidRPr="005C3E65">
        <w:t>.</w:t>
      </w:r>
      <w:r w:rsidR="00F461B5">
        <w:t>, ayant établi</w:t>
      </w:r>
      <w:r w:rsidR="00675A1A">
        <w:t xml:space="preserve"> </w:t>
      </w:r>
      <w:r w:rsidR="00F461B5">
        <w:t xml:space="preserve">le </w:t>
      </w:r>
      <w:r w:rsidR="00F461B5" w:rsidRPr="00F461B5">
        <w:rPr>
          <w:i/>
          <w:iCs/>
        </w:rPr>
        <w:t>corpus</w:t>
      </w:r>
      <w:r w:rsidR="00F461B5">
        <w:t xml:space="preserve"> et </w:t>
      </w:r>
      <w:r w:rsidR="00675A1A">
        <w:t>l’</w:t>
      </w:r>
      <w:r w:rsidR="00675A1A" w:rsidRPr="00675A1A">
        <w:rPr>
          <w:i/>
          <w:iCs/>
        </w:rPr>
        <w:t>animus</w:t>
      </w:r>
      <w:r w:rsidR="00675A1A">
        <w:t xml:space="preserve"> </w:t>
      </w:r>
      <w:r w:rsidR="00675A1A" w:rsidRPr="00C71340">
        <w:t>de leur possession</w:t>
      </w:r>
      <w:r w:rsidR="00675A1A">
        <w:t xml:space="preserve">, </w:t>
      </w:r>
      <w:r w:rsidR="00F461B5">
        <w:t>ainsi qu’</w:t>
      </w:r>
      <w:r w:rsidR="00675A1A">
        <w:t xml:space="preserve">une </w:t>
      </w:r>
      <w:r w:rsidR="00675A1A" w:rsidRPr="00092195">
        <w:t>possession paisible, continue, publique et non équivoque</w:t>
      </w:r>
      <w:r w:rsidR="00675A1A">
        <w:t xml:space="preserve"> pendant une période minimale de dix ans. Il est toutefois d’avis que les </w:t>
      </w:r>
      <w:r w:rsidR="004B1F00">
        <w:t>appelant</w:t>
      </w:r>
      <w:r w:rsidR="00675A1A">
        <w:t xml:space="preserve">s </w:t>
      </w:r>
      <w:r w:rsidR="004B1F00">
        <w:t>n’ont pas établi que</w:t>
      </w:r>
      <w:r w:rsidR="00675A1A">
        <w:t xml:space="preserve"> les conditions </w:t>
      </w:r>
      <w:r w:rsidR="004B1F00">
        <w:t xml:space="preserve">préalables exigées </w:t>
      </w:r>
      <w:r w:rsidR="00675A1A">
        <w:t xml:space="preserve">aux articles </w:t>
      </w:r>
      <w:r w:rsidR="00675A1A" w:rsidRPr="005C3E65">
        <w:t xml:space="preserve">1049 </w:t>
      </w:r>
      <w:r w:rsidR="00675A1A" w:rsidRPr="005C3E65">
        <w:rPr>
          <w:i/>
          <w:iCs/>
        </w:rPr>
        <w:t>C.c.Q</w:t>
      </w:r>
      <w:r w:rsidR="00675A1A" w:rsidRPr="005C3E65">
        <w:t>. et 11</w:t>
      </w:r>
      <w:r w:rsidR="00675A1A">
        <w:t xml:space="preserve">00 </w:t>
      </w:r>
      <w:r w:rsidR="00675A1A" w:rsidRPr="004B1F00">
        <w:rPr>
          <w:i/>
          <w:iCs/>
        </w:rPr>
        <w:t>C.c.Q.</w:t>
      </w:r>
      <w:r w:rsidR="004B1F00">
        <w:t xml:space="preserve"> sont </w:t>
      </w:r>
      <w:r w:rsidR="00F461B5">
        <w:t>respectées</w:t>
      </w:r>
      <w:r w:rsidR="004B1F00">
        <w:t xml:space="preserve">, </w:t>
      </w:r>
      <w:r w:rsidR="00675A1A">
        <w:t xml:space="preserve">à savoir la modification préalable </w:t>
      </w:r>
      <w:r w:rsidR="004B1F00" w:rsidRPr="00B76BEA">
        <w:t>du plan cadastral</w:t>
      </w:r>
      <w:r w:rsidR="00675A1A">
        <w:t xml:space="preserve"> et de la déclaration de copropriété. </w:t>
      </w:r>
      <w:r w:rsidR="00660F22" w:rsidRPr="00660F22">
        <w:t>Il rejette donc la demande « sous réserve de la continuation du recours</w:t>
      </w:r>
      <w:r w:rsidR="00132FF9">
        <w:t> </w:t>
      </w:r>
      <w:r w:rsidR="00660F22" w:rsidRPr="00660F22">
        <w:t>»</w:t>
      </w:r>
      <w:r w:rsidR="004B1F00">
        <w:t xml:space="preserve"> advenant que ces conditions soient </w:t>
      </w:r>
      <w:r w:rsidR="006125D3">
        <w:t>réunies</w:t>
      </w:r>
      <w:r w:rsidR="004B1F00">
        <w:t>.</w:t>
      </w:r>
    </w:p>
    <w:p w14:paraId="4664EA40" w14:textId="06B681F9" w:rsidR="00BF4B0A" w:rsidRDefault="009B28FB" w:rsidP="00507BA1">
      <w:pPr>
        <w:pStyle w:val="Paragraphe"/>
        <w:spacing w:line="280" w:lineRule="exact"/>
      </w:pPr>
      <w:r>
        <w:t>Le</w:t>
      </w:r>
      <w:r w:rsidR="00EF5E1C">
        <w:t xml:space="preserve">s appelants </w:t>
      </w:r>
      <w:r w:rsidR="00F01F2A">
        <w:t xml:space="preserve">se pourvoient </w:t>
      </w:r>
      <w:r w:rsidR="00EF5E1C">
        <w:t>en appel</w:t>
      </w:r>
      <w:r w:rsidR="00F01F2A">
        <w:t xml:space="preserve"> et l</w:t>
      </w:r>
      <w:r w:rsidR="00BF4B0A">
        <w:t>es intimés formul</w:t>
      </w:r>
      <w:r w:rsidR="00EF5E1C">
        <w:t>ent</w:t>
      </w:r>
      <w:r w:rsidR="00BF4B0A">
        <w:t xml:space="preserve"> un appel incident</w:t>
      </w:r>
      <w:r w:rsidR="00C71340">
        <w:t xml:space="preserve"> dont la Cour a autorisé le dépôt hors délai</w:t>
      </w:r>
      <w:r w:rsidR="00F01F2A">
        <w:rPr>
          <w:rStyle w:val="Appelnotedebasdep"/>
        </w:rPr>
        <w:footnoteReference w:id="2"/>
      </w:r>
      <w:r w:rsidR="00C71340">
        <w:t>.</w:t>
      </w:r>
    </w:p>
    <w:p w14:paraId="55B1545E" w14:textId="22A05F44" w:rsidR="00562CB8" w:rsidRDefault="00562CB8" w:rsidP="00507BA1">
      <w:pPr>
        <w:pStyle w:val="Paragraphe"/>
        <w:spacing w:line="280" w:lineRule="exact"/>
      </w:pPr>
      <w:r>
        <w:t>Les moyens soulevés dans l’appel principal et l’appel incident</w:t>
      </w:r>
      <w:r w:rsidR="009B28FB">
        <w:t xml:space="preserve"> </w:t>
      </w:r>
      <w:r w:rsidR="00CA42DC">
        <w:t>peuvent être</w:t>
      </w:r>
      <w:r w:rsidR="009B28FB">
        <w:t xml:space="preserve"> regroupés </w:t>
      </w:r>
      <w:r w:rsidR="00CA42DC">
        <w:t>comme suit</w:t>
      </w:r>
      <w:r w:rsidR="009B28FB">
        <w:t> :</w:t>
      </w:r>
    </w:p>
    <w:p w14:paraId="1522BEE5" w14:textId="50802BE6" w:rsidR="00974A8E" w:rsidRDefault="00CA42DC" w:rsidP="00507BA1">
      <w:pPr>
        <w:pStyle w:val="Paragraphe"/>
        <w:numPr>
          <w:ilvl w:val="0"/>
          <w:numId w:val="19"/>
        </w:numPr>
        <w:spacing w:line="280" w:lineRule="exact"/>
      </w:pPr>
      <w:r>
        <w:t xml:space="preserve">Est-il possible d’acquérir par prescription une </w:t>
      </w:r>
      <w:r w:rsidR="006125D3">
        <w:t>parcelle</w:t>
      </w:r>
      <w:r w:rsidR="00256D47">
        <w:t xml:space="preserve"> </w:t>
      </w:r>
      <w:r>
        <w:t>d’une partie privative</w:t>
      </w:r>
      <w:r w:rsidR="009B28FB">
        <w:t>?</w:t>
      </w:r>
    </w:p>
    <w:p w14:paraId="5F3CCC2B" w14:textId="2F8547A5" w:rsidR="00974A8E" w:rsidRDefault="00974A8E" w:rsidP="00507BA1">
      <w:pPr>
        <w:pStyle w:val="Paragraphe"/>
        <w:numPr>
          <w:ilvl w:val="0"/>
          <w:numId w:val="19"/>
        </w:numPr>
        <w:spacing w:line="280" w:lineRule="exact"/>
      </w:pPr>
      <w:r>
        <w:t>Le</w:t>
      </w:r>
      <w:r w:rsidR="00FC4CBB">
        <w:t xml:space="preserve"> cas éch</w:t>
      </w:r>
      <w:r w:rsidR="00C71340">
        <w:t>é</w:t>
      </w:r>
      <w:r w:rsidR="00FC4CBB">
        <w:t xml:space="preserve">ant, </w:t>
      </w:r>
      <w:r w:rsidR="00C71340">
        <w:t xml:space="preserve">les appelants </w:t>
      </w:r>
      <w:r>
        <w:t>ont-il</w:t>
      </w:r>
      <w:r w:rsidR="00DE15AC">
        <w:t>s</w:t>
      </w:r>
      <w:r>
        <w:t xml:space="preserve"> démontré</w:t>
      </w:r>
      <w:r w:rsidR="00C71340">
        <w:t xml:space="preserve"> la présence de</w:t>
      </w:r>
      <w:r w:rsidR="00132FF9">
        <w:t>s</w:t>
      </w:r>
      <w:r>
        <w:t xml:space="preserve"> </w:t>
      </w:r>
      <w:r w:rsidR="00F77334">
        <w:t>élément</w:t>
      </w:r>
      <w:r w:rsidR="00132FF9">
        <w:t>s</w:t>
      </w:r>
      <w:r w:rsidR="00F77334">
        <w:t xml:space="preserve"> matériel (</w:t>
      </w:r>
      <w:r w:rsidR="00F77334" w:rsidRPr="00C71340">
        <w:rPr>
          <w:i/>
          <w:iCs/>
        </w:rPr>
        <w:t>corpus</w:t>
      </w:r>
      <w:r w:rsidR="00F77334">
        <w:t>) et intentionnel (</w:t>
      </w:r>
      <w:r w:rsidR="00F77334" w:rsidRPr="00C71340">
        <w:rPr>
          <w:i/>
          <w:iCs/>
        </w:rPr>
        <w:t>animus</w:t>
      </w:r>
      <w:r w:rsidR="00F77334">
        <w:t>) nécessaire</w:t>
      </w:r>
      <w:r w:rsidR="00500F57">
        <w:t>s</w:t>
      </w:r>
      <w:r w:rsidR="00F77334">
        <w:t xml:space="preserve"> pour établir </w:t>
      </w:r>
      <w:r>
        <w:t xml:space="preserve">la possession </w:t>
      </w:r>
      <w:r w:rsidR="00FC4CBB">
        <w:t>paisible, continue, publique et non équivoque de la Parcelle p</w:t>
      </w:r>
      <w:r>
        <w:t>endant une période</w:t>
      </w:r>
      <w:r w:rsidR="00FC4CBB">
        <w:t xml:space="preserve"> minimale</w:t>
      </w:r>
      <w:r>
        <w:t xml:space="preserve"> de dix ans? </w:t>
      </w:r>
    </w:p>
    <w:p w14:paraId="1ADB1983" w14:textId="0C88543A" w:rsidR="00CA42DC" w:rsidRDefault="002511BB" w:rsidP="00507BA1">
      <w:pPr>
        <w:pStyle w:val="Paragraphe"/>
        <w:numPr>
          <w:ilvl w:val="0"/>
          <w:numId w:val="19"/>
        </w:numPr>
        <w:spacing w:line="280" w:lineRule="exact"/>
      </w:pPr>
      <w:r>
        <w:t>Es</w:t>
      </w:r>
      <w:r w:rsidR="00FC4CBB">
        <w:t xml:space="preserve">t-il </w:t>
      </w:r>
      <w:r w:rsidR="00974A8E">
        <w:t xml:space="preserve">nécessaire de faire modifier </w:t>
      </w:r>
      <w:r w:rsidR="005C3E65">
        <w:t xml:space="preserve">le plan cadastral et </w:t>
      </w:r>
      <w:r w:rsidR="00C71340" w:rsidRPr="00C71340">
        <w:t>la déclaration de copropriété</w:t>
      </w:r>
      <w:r w:rsidR="00C71340">
        <w:t>,</w:t>
      </w:r>
      <w:r w:rsidR="00C71340" w:rsidRPr="00C71340">
        <w:t xml:space="preserve"> et </w:t>
      </w:r>
      <w:r w:rsidR="00305501">
        <w:t>d’</w:t>
      </w:r>
      <w:r w:rsidR="00974A8E">
        <w:t>obtenir le consentement des parties, du créancier hypothécaire et du syndicat avant qu’un jugement déclarant que la propriété de la Parcelle a été acquise par prescription</w:t>
      </w:r>
      <w:r w:rsidR="00132FF9">
        <w:t xml:space="preserve"> puisse être prononcé</w:t>
      </w:r>
      <w:r w:rsidR="00974A8E">
        <w:t>?</w:t>
      </w:r>
    </w:p>
    <w:p w14:paraId="709C86CD" w14:textId="09282250" w:rsidR="00974A8E" w:rsidRDefault="00FC4CBB" w:rsidP="00507BA1">
      <w:pPr>
        <w:pStyle w:val="Paragraphe"/>
        <w:numPr>
          <w:ilvl w:val="0"/>
          <w:numId w:val="19"/>
        </w:numPr>
        <w:spacing w:line="280" w:lineRule="exact"/>
      </w:pPr>
      <w:r>
        <w:t>Une telle</w:t>
      </w:r>
      <w:r w:rsidR="001D49EF">
        <w:t xml:space="preserve"> déclaration p</w:t>
      </w:r>
      <w:r>
        <w:t>ouvait</w:t>
      </w:r>
      <w:r w:rsidR="001D49EF">
        <w:t xml:space="preserve">-elle être recherchée </w:t>
      </w:r>
      <w:r w:rsidR="00A964C0">
        <w:t>sans que le syndicat des copropriétaires soit mis en cause?</w:t>
      </w:r>
    </w:p>
    <w:p w14:paraId="33D59EAF" w14:textId="58C4C692" w:rsidR="00562CB8" w:rsidRDefault="009B28FB" w:rsidP="00507BA1">
      <w:pPr>
        <w:pStyle w:val="Paragraphe"/>
        <w:numPr>
          <w:ilvl w:val="0"/>
          <w:numId w:val="19"/>
        </w:numPr>
        <w:spacing w:line="280" w:lineRule="exact"/>
      </w:pPr>
      <w:r>
        <w:t>L’appel constitue-t-il un abus de droit?</w:t>
      </w:r>
    </w:p>
    <w:p w14:paraId="55935DAE" w14:textId="5C9E0C46" w:rsidR="009B28FB" w:rsidRDefault="009B28FB" w:rsidP="00507BA1">
      <w:pPr>
        <w:pStyle w:val="Paragraphe"/>
        <w:spacing w:line="280" w:lineRule="exact"/>
      </w:pPr>
      <w:r>
        <w:t>Pour les motifs qui suivent,</w:t>
      </w:r>
      <w:r w:rsidR="00FC4CBB">
        <w:t xml:space="preserve"> la Cour répond par la </w:t>
      </w:r>
      <w:r w:rsidR="00C71340">
        <w:t>négative</w:t>
      </w:r>
      <w:r w:rsidR="00FC4CBB">
        <w:t xml:space="preserve"> à la première question. </w:t>
      </w:r>
      <w:r w:rsidR="00503AC8">
        <w:t>Elle</w:t>
      </w:r>
      <w:r w:rsidR="0050787D">
        <w:t xml:space="preserve"> est</w:t>
      </w:r>
      <w:r w:rsidR="00F01F2A" w:rsidRPr="00450F1E">
        <w:t xml:space="preserve"> d’avis qu</w:t>
      </w:r>
      <w:r w:rsidR="00D039CF">
        <w:t xml:space="preserve">e la prescription acquisitive ne permet </w:t>
      </w:r>
      <w:r w:rsidR="00FC4CBB" w:rsidRPr="00450F1E">
        <w:t>pas d’acquérir une parcelle d’une partie privative.</w:t>
      </w:r>
      <w:r w:rsidR="00FC4CBB">
        <w:t xml:space="preserve"> </w:t>
      </w:r>
      <w:r w:rsidR="002511BB">
        <w:t>Vu cette conclusion</w:t>
      </w:r>
      <w:r w:rsidR="00FC4CBB">
        <w:t xml:space="preserve">, il n’est pas </w:t>
      </w:r>
      <w:r w:rsidR="00C71340">
        <w:t>nécessaire</w:t>
      </w:r>
      <w:r w:rsidR="00FC4CBB">
        <w:t xml:space="preserve"> de discuter des questions deux à quatre. </w:t>
      </w:r>
      <w:r w:rsidR="0050787D">
        <w:t>Bien que l’</w:t>
      </w:r>
      <w:r w:rsidR="00FC4CBB">
        <w:t xml:space="preserve">appel </w:t>
      </w:r>
      <w:r w:rsidR="0050787D">
        <w:t>soit rejeté, il n</w:t>
      </w:r>
      <w:r w:rsidR="00FC4CBB">
        <w:t xml:space="preserve">e constitue pas un abus de droit. </w:t>
      </w:r>
    </w:p>
    <w:p w14:paraId="4CB203EE" w14:textId="4BA3D910" w:rsidR="00FC4CBB" w:rsidRDefault="00FC4CBB" w:rsidP="00507BA1">
      <w:pPr>
        <w:pStyle w:val="Paragraphe"/>
        <w:numPr>
          <w:ilvl w:val="0"/>
          <w:numId w:val="0"/>
        </w:numPr>
        <w:spacing w:line="280" w:lineRule="exact"/>
        <w:jc w:val="center"/>
      </w:pPr>
      <w:r>
        <w:t>* * *</w:t>
      </w:r>
    </w:p>
    <w:p w14:paraId="1195B287" w14:textId="747864A7" w:rsidR="006B30E6" w:rsidRDefault="006B30E6" w:rsidP="00507BA1">
      <w:pPr>
        <w:pStyle w:val="Paragraphe"/>
        <w:spacing w:line="280" w:lineRule="exact"/>
      </w:pPr>
      <w:r>
        <w:t xml:space="preserve">Pour disposer de la première question en litige, </w:t>
      </w:r>
      <w:r w:rsidR="00F01F2A">
        <w:t>il y a lieu d’exposer</w:t>
      </w:r>
      <w:r>
        <w:t xml:space="preserve"> le raisonnement du juge</w:t>
      </w:r>
      <w:r w:rsidR="00F01F2A">
        <w:t xml:space="preserve"> et les </w:t>
      </w:r>
      <w:r>
        <w:t>arguments de</w:t>
      </w:r>
      <w:r w:rsidR="004B6C15">
        <w:t>s</w:t>
      </w:r>
      <w:r>
        <w:t xml:space="preserve"> </w:t>
      </w:r>
      <w:r w:rsidR="004B6C15">
        <w:t>a</w:t>
      </w:r>
      <w:r>
        <w:t>ppelant</w:t>
      </w:r>
      <w:r w:rsidR="004B6C15">
        <w:t>s</w:t>
      </w:r>
      <w:r>
        <w:t xml:space="preserve"> avant de passer à l’analyse. </w:t>
      </w:r>
    </w:p>
    <w:p w14:paraId="7C5E0E0A" w14:textId="4E0BC6BB" w:rsidR="006B30E6" w:rsidRPr="006B30E6" w:rsidRDefault="006B30E6" w:rsidP="00507BA1">
      <w:pPr>
        <w:pStyle w:val="Paragraphe"/>
        <w:numPr>
          <w:ilvl w:val="0"/>
          <w:numId w:val="22"/>
        </w:numPr>
        <w:spacing w:line="280" w:lineRule="exact"/>
        <w:ind w:left="1077" w:hanging="357"/>
        <w:rPr>
          <w:b/>
          <w:bCs/>
        </w:rPr>
      </w:pPr>
      <w:r w:rsidRPr="006B30E6">
        <w:rPr>
          <w:b/>
          <w:bCs/>
        </w:rPr>
        <w:lastRenderedPageBreak/>
        <w:t xml:space="preserve">Jugement de première instance </w:t>
      </w:r>
    </w:p>
    <w:p w14:paraId="488D716D" w14:textId="7B16102C" w:rsidR="00D87202" w:rsidRDefault="00D87202" w:rsidP="00507BA1">
      <w:pPr>
        <w:pStyle w:val="Paragraphe"/>
        <w:spacing w:line="280" w:lineRule="exact"/>
      </w:pPr>
      <w:r>
        <w:t xml:space="preserve">Le juge de première instance </w:t>
      </w:r>
      <w:r w:rsidR="00E95BBD">
        <w:t>note que les auteurs Édith Lambert et François Brochu sont toutefois d’opinion qu’il est possible d’acquérir une copropriété divise par prescription</w:t>
      </w:r>
      <w:r w:rsidR="00E95BBD">
        <w:rPr>
          <w:rStyle w:val="Appelnotedebasdep"/>
        </w:rPr>
        <w:footnoteReference w:id="3"/>
      </w:r>
      <w:r w:rsidR="00E95BBD">
        <w:t xml:space="preserve">. Il </w:t>
      </w:r>
      <w:r>
        <w:t>relève</w:t>
      </w:r>
      <w:r w:rsidR="00E95BBD">
        <w:t xml:space="preserve"> toutefois</w:t>
      </w:r>
      <w:r>
        <w:t xml:space="preserve"> que la Cour enseigne qu’il est impossible </w:t>
      </w:r>
      <w:r w:rsidR="008B28C6">
        <w:t xml:space="preserve">pour un copropriétaire divis </w:t>
      </w:r>
      <w:r>
        <w:t xml:space="preserve">d’acquérir </w:t>
      </w:r>
      <w:r w:rsidR="007A3396">
        <w:t xml:space="preserve">une partie commune </w:t>
      </w:r>
      <w:r>
        <w:t>par prescription</w:t>
      </w:r>
      <w:r>
        <w:rPr>
          <w:rStyle w:val="Appelnotedebasdep"/>
        </w:rPr>
        <w:footnoteReference w:id="4"/>
      </w:r>
      <w:r>
        <w:t xml:space="preserve">. </w:t>
      </w:r>
      <w:r w:rsidR="00E95BBD">
        <w:t>Rien ne s’oppose toutefois, selon lui, à l’acquisition par prescription d’une parcelle d’une partie privative.</w:t>
      </w:r>
    </w:p>
    <w:p w14:paraId="59BC7658" w14:textId="44BD12D1" w:rsidR="00675A1A" w:rsidRPr="00FD78B4" w:rsidRDefault="00305501" w:rsidP="00507BA1">
      <w:pPr>
        <w:pStyle w:val="Paragraphe"/>
        <w:spacing w:line="280" w:lineRule="exact"/>
      </w:pPr>
      <w:r>
        <w:t xml:space="preserve">Le juge </w:t>
      </w:r>
      <w:r w:rsidR="00D87202">
        <w:t>est d’avis qu’u</w:t>
      </w:r>
      <w:r w:rsidR="00675A1A">
        <w:t xml:space="preserve">ne telle aliénation </w:t>
      </w:r>
      <w:r w:rsidR="00D87202">
        <w:t xml:space="preserve">demeure </w:t>
      </w:r>
      <w:r w:rsidR="004B6C15">
        <w:t xml:space="preserve">néanmoins </w:t>
      </w:r>
      <w:r w:rsidR="006125D3">
        <w:t xml:space="preserve">assujettie </w:t>
      </w:r>
      <w:r w:rsidR="00675A1A">
        <w:t>aux formalité</w:t>
      </w:r>
      <w:r w:rsidR="00D87202">
        <w:t>s</w:t>
      </w:r>
      <w:r w:rsidR="00675A1A">
        <w:t xml:space="preserve"> des articles 1049 et </w:t>
      </w:r>
      <w:r w:rsidR="00675A1A" w:rsidRPr="005C3E65">
        <w:t xml:space="preserve">1100 </w:t>
      </w:r>
      <w:r w:rsidR="00675A1A" w:rsidRPr="005C3E65">
        <w:rPr>
          <w:i/>
          <w:iCs/>
        </w:rPr>
        <w:t>C.c.Q</w:t>
      </w:r>
      <w:r w:rsidR="00675A1A" w:rsidRPr="005C3E65">
        <w:t xml:space="preserve">. </w:t>
      </w:r>
      <w:r w:rsidR="004B6C15" w:rsidRPr="005C3E65">
        <w:t>Bien qu’i</w:t>
      </w:r>
      <w:r w:rsidR="00675A1A" w:rsidRPr="005C3E65">
        <w:t>l</w:t>
      </w:r>
      <w:r w:rsidR="00675A1A" w:rsidRPr="00FD78B4">
        <w:t xml:space="preserve"> rejette l’argument des intimés qui avancent que le syndicat devait être mis en cause, </w:t>
      </w:r>
      <w:r w:rsidR="004B6C15">
        <w:t xml:space="preserve">il </w:t>
      </w:r>
      <w:r w:rsidR="00675A1A" w:rsidRPr="00FD78B4">
        <w:t>estime que l’absence</w:t>
      </w:r>
      <w:r w:rsidR="0050787D">
        <w:t>, d’une part,</w:t>
      </w:r>
      <w:r w:rsidR="00675A1A" w:rsidRPr="00FD78B4">
        <w:t xml:space="preserve"> </w:t>
      </w:r>
      <w:r w:rsidR="004B6C15">
        <w:t>de modification</w:t>
      </w:r>
      <w:r w:rsidR="0050787D">
        <w:t>s</w:t>
      </w:r>
      <w:r w:rsidR="00675A1A" w:rsidRPr="00FD78B4">
        <w:t xml:space="preserve"> </w:t>
      </w:r>
      <w:r w:rsidR="005C3E65">
        <w:t xml:space="preserve">au plan cadastral </w:t>
      </w:r>
      <w:r w:rsidR="004B6C15">
        <w:t>et</w:t>
      </w:r>
      <w:r w:rsidR="00675A1A" w:rsidRPr="00FD78B4">
        <w:t xml:space="preserve"> </w:t>
      </w:r>
      <w:r w:rsidR="0050787D">
        <w:t>à</w:t>
      </w:r>
      <w:r w:rsidR="00675A1A" w:rsidRPr="00FD78B4">
        <w:t xml:space="preserve"> la déclaration de copropriété et</w:t>
      </w:r>
      <w:r w:rsidR="0050787D">
        <w:t>, d’autre part,</w:t>
      </w:r>
      <w:r w:rsidR="00675A1A" w:rsidRPr="00FD78B4">
        <w:t xml:space="preserve"> de consentement des parties intéressées</w:t>
      </w:r>
      <w:r w:rsidR="004B6C15">
        <w:t xml:space="preserve"> avant l’aliénation</w:t>
      </w:r>
      <w:r w:rsidR="0050787D">
        <w:t>,</w:t>
      </w:r>
      <w:r w:rsidR="00675A1A" w:rsidRPr="00FD78B4">
        <w:t xml:space="preserve"> </w:t>
      </w:r>
      <w:r w:rsidR="006125D3">
        <w:t>est fatale</w:t>
      </w:r>
      <w:r w:rsidR="00675A1A" w:rsidRPr="005C3E65">
        <w:t xml:space="preserve"> a</w:t>
      </w:r>
      <w:r w:rsidR="00675A1A" w:rsidRPr="00FD78B4">
        <w:t>u recours entrepris.</w:t>
      </w:r>
    </w:p>
    <w:p w14:paraId="2E14FF1D" w14:textId="54BD3E90" w:rsidR="00675A1A" w:rsidRDefault="00675A1A" w:rsidP="00507BA1">
      <w:pPr>
        <w:pStyle w:val="Paragraphe"/>
        <w:spacing w:line="280" w:lineRule="exact"/>
      </w:pPr>
      <w:r>
        <w:t>Il conclut ainsi</w:t>
      </w:r>
      <w:r w:rsidR="00507BA1">
        <w:t> </w:t>
      </w:r>
      <w:r>
        <w:t>:</w:t>
      </w:r>
    </w:p>
    <w:p w14:paraId="0427610F" w14:textId="7FEAE518" w:rsidR="00675A1A" w:rsidRDefault="00675A1A" w:rsidP="00507BA1">
      <w:pPr>
        <w:pStyle w:val="Citationenretrait"/>
      </w:pPr>
      <w:r>
        <w:t>[26]</w:t>
      </w:r>
      <w:r w:rsidR="00A3349F">
        <w:tab/>
      </w:r>
      <w:r>
        <w:t>Bref, si on admettait la prescription acquisitive d’une partie d’une fraction qui n’est pas au préalable</w:t>
      </w:r>
      <w:r w:rsidR="004B6C15">
        <w:t xml:space="preserve"> </w:t>
      </w:r>
      <w:r>
        <w:t xml:space="preserve">décrite au registre foncier et dont la valeur est indéterminée, on remettrait en cause, sans pouvoir en mesurer pleinement les effets, toute l’architecture légale de la copropriété divise en question ainsi que les relations entre les copropriétaires. Ce n’est pas sans raison d’ailleurs que la modification de limites des propriétés </w:t>
      </w:r>
      <w:r w:rsidR="00500F57">
        <w:t>contigües</w:t>
      </w:r>
      <w:r>
        <w:t xml:space="preserve"> ne doit avoir aucune incidence sur la valeur relative ni sur les droits de vote suivant l’article 1100 C.c.Q. Bref, il ne m’apparaît pas envisageable de pouvoir conclure à la prescription acquisitive d’une partie privative non définie au cadastre et sans établir au préalable la modification des valeurs relatives qu’elle entraîne dans une copropriété divise donnée.</w:t>
      </w:r>
    </w:p>
    <w:p w14:paraId="449A6EED" w14:textId="5D61C694" w:rsidR="00D87202" w:rsidRDefault="00675A1A" w:rsidP="00507BA1">
      <w:pPr>
        <w:pStyle w:val="Citationenretrait"/>
      </w:pPr>
      <w:r>
        <w:t>[27]</w:t>
      </w:r>
      <w:r w:rsidR="00A3349F">
        <w:tab/>
      </w:r>
      <w:r>
        <w:t>En conclusion, les demandeurs satisfont les conditions de l’article 2918 C.c.Q., mais à cause de la singularité des rapports juridiques dans une copropriété</w:t>
      </w:r>
      <w:r w:rsidR="008B3F22">
        <w:t xml:space="preserve"> </w:t>
      </w:r>
      <w:r>
        <w:t>divise, il semble que la prescription acquisitive d’une partie privative n’est possible qu’en suivant les normes établies aux articles 1049 C.c.Q. et 1100 C.c.Q. Les demandeurs pourraient éventuellement avoir gain de cause, mais à la condition qu’ils obtiennent soit la désignation cadastrale de la Parcelle et l’établissement de sa valeur, soit demandent la modification des limites de leur propriété sans changement de valeur, avec l’approbation de toutes les personnes concernées et en modifiant la déclaration de copropriété en conséquence. Voilà pourquoi la demande sera rejetée sous réserve de la continuation du recours</w:t>
      </w:r>
      <w:r w:rsidR="00500F57">
        <w:t>.</w:t>
      </w:r>
    </w:p>
    <w:p w14:paraId="2EF6C33A" w14:textId="2D0B1853" w:rsidR="00B17920" w:rsidRPr="006C072D" w:rsidRDefault="006C072D" w:rsidP="00507BA1">
      <w:pPr>
        <w:pStyle w:val="Paragraphe"/>
        <w:numPr>
          <w:ilvl w:val="0"/>
          <w:numId w:val="22"/>
        </w:numPr>
        <w:spacing w:line="280" w:lineRule="exact"/>
        <w:ind w:left="1077" w:hanging="357"/>
        <w:rPr>
          <w:b/>
          <w:bCs/>
        </w:rPr>
      </w:pPr>
      <w:r w:rsidRPr="006C072D">
        <w:rPr>
          <w:b/>
          <w:bCs/>
        </w:rPr>
        <w:lastRenderedPageBreak/>
        <w:t>Position de</w:t>
      </w:r>
      <w:r w:rsidR="004B6C15">
        <w:rPr>
          <w:b/>
          <w:bCs/>
        </w:rPr>
        <w:t>s</w:t>
      </w:r>
      <w:r w:rsidRPr="006C072D">
        <w:rPr>
          <w:b/>
          <w:bCs/>
        </w:rPr>
        <w:t xml:space="preserve"> </w:t>
      </w:r>
      <w:r w:rsidR="004B6C15">
        <w:rPr>
          <w:b/>
          <w:bCs/>
        </w:rPr>
        <w:t>appelants</w:t>
      </w:r>
    </w:p>
    <w:p w14:paraId="303D6A2C" w14:textId="0692B1D6" w:rsidR="00B17920" w:rsidRPr="006C072D" w:rsidRDefault="00B17920" w:rsidP="00507BA1">
      <w:pPr>
        <w:pStyle w:val="Paragraphe"/>
        <w:tabs>
          <w:tab w:val="clear" w:pos="720"/>
          <w:tab w:val="num" w:pos="360"/>
        </w:tabs>
        <w:spacing w:line="280" w:lineRule="exact"/>
      </w:pPr>
      <w:r w:rsidRPr="00A12E21">
        <w:t xml:space="preserve">Les appelants soulignent </w:t>
      </w:r>
      <w:r w:rsidR="006C072D">
        <w:t xml:space="preserve">d’abord </w:t>
      </w:r>
      <w:r w:rsidRPr="00A12E21">
        <w:t>que les règles de la prescription acquisitive s’appliquent à toutes les modalités de la propriété</w:t>
      </w:r>
      <w:r w:rsidR="006C072D">
        <w:t xml:space="preserve"> et </w:t>
      </w:r>
      <w:r w:rsidRPr="00A12E21">
        <w:t xml:space="preserve">que le juge fait erreur en subordonnant </w:t>
      </w:r>
      <w:r w:rsidR="004B6C15" w:rsidRPr="004B6C15">
        <w:t xml:space="preserve">l’effet translatif du droit de la propriété par prescription acquisitive </w:t>
      </w:r>
      <w:r w:rsidRPr="00A12E21">
        <w:t xml:space="preserve">au respect des formalités </w:t>
      </w:r>
      <w:r w:rsidR="00FB6A17">
        <w:t>prescrites par l</w:t>
      </w:r>
      <w:r w:rsidRPr="00A12E21">
        <w:t xml:space="preserve">es articles 1049 et 1100 </w:t>
      </w:r>
      <w:r w:rsidRPr="004B6C15">
        <w:rPr>
          <w:i/>
          <w:iCs/>
        </w:rPr>
        <w:t>C.c.</w:t>
      </w:r>
      <w:r w:rsidRPr="005C3E65">
        <w:rPr>
          <w:i/>
          <w:iCs/>
        </w:rPr>
        <w:t>Q.</w:t>
      </w:r>
      <w:r w:rsidR="006C072D">
        <w:t xml:space="preserve"> Selon eux, </w:t>
      </w:r>
      <w:r w:rsidR="0050787D">
        <w:t xml:space="preserve">les </w:t>
      </w:r>
      <w:r w:rsidRPr="006C072D">
        <w:t xml:space="preserve">règles qui régissent les différents modes d’acquisition de la propriété </w:t>
      </w:r>
      <w:r w:rsidR="0050787D">
        <w:t xml:space="preserve">et celles qui gouvernent la prescription acquisitive </w:t>
      </w:r>
      <w:r w:rsidRPr="006C072D">
        <w:t>agi</w:t>
      </w:r>
      <w:r w:rsidR="004B6C15">
        <w:t>ssen</w:t>
      </w:r>
      <w:r w:rsidRPr="006C072D">
        <w:t>t de manière autonome</w:t>
      </w:r>
      <w:r w:rsidR="0050787D">
        <w:t xml:space="preserve"> et concurrente</w:t>
      </w:r>
      <w:r w:rsidRPr="006C072D">
        <w:t xml:space="preserve">. </w:t>
      </w:r>
      <w:r w:rsidR="004B6C15">
        <w:t>En conséquence</w:t>
      </w:r>
      <w:r w:rsidRPr="006C072D">
        <w:t xml:space="preserve">, les modes volontaires de modification de la déclaration de copropriété prévus aux articles 1049 et </w:t>
      </w:r>
      <w:r w:rsidR="00503AC8">
        <w:t>1100</w:t>
      </w:r>
      <w:r w:rsidRPr="005C3E65">
        <w:t xml:space="preserve"> </w:t>
      </w:r>
      <w:r w:rsidR="00B76BEA" w:rsidRPr="005C3E65">
        <w:rPr>
          <w:i/>
          <w:iCs/>
        </w:rPr>
        <w:t>C.c.Q.</w:t>
      </w:r>
      <w:r w:rsidR="00B76BEA">
        <w:t xml:space="preserve"> </w:t>
      </w:r>
      <w:r w:rsidRPr="006C072D">
        <w:t>ne sauraient faire échec à la prescription acquisitive</w:t>
      </w:r>
      <w:r w:rsidR="0050787D">
        <w:t xml:space="preserve"> et </w:t>
      </w:r>
      <w:r w:rsidRPr="006C072D">
        <w:t xml:space="preserve">doivent céder le pas. </w:t>
      </w:r>
      <w:r w:rsidR="002511BB">
        <w:t>La prescription acquisitive</w:t>
      </w:r>
      <w:r w:rsidR="0050787D">
        <w:t xml:space="preserve"> </w:t>
      </w:r>
      <w:r w:rsidRPr="006C072D">
        <w:t>est fondée sur une situation factuelle de possession</w:t>
      </w:r>
      <w:r w:rsidR="004B6C15">
        <w:t xml:space="preserve"> </w:t>
      </w:r>
      <w:r w:rsidRPr="006C072D">
        <w:t xml:space="preserve">et </w:t>
      </w:r>
      <w:r w:rsidR="00920021">
        <w:t xml:space="preserve">non </w:t>
      </w:r>
      <w:r w:rsidR="002511BB">
        <w:t>sur le</w:t>
      </w:r>
      <w:r w:rsidRPr="006C072D">
        <w:t xml:space="preserve"> consentement des parties.</w:t>
      </w:r>
    </w:p>
    <w:p w14:paraId="3F1EDD58" w14:textId="34F7194F" w:rsidR="00B17920" w:rsidRPr="00FD02EC" w:rsidRDefault="006C072D" w:rsidP="00507BA1">
      <w:pPr>
        <w:numPr>
          <w:ilvl w:val="0"/>
          <w:numId w:val="18"/>
        </w:numPr>
        <w:tabs>
          <w:tab w:val="clear" w:pos="720"/>
          <w:tab w:val="num" w:pos="360"/>
        </w:tabs>
        <w:spacing w:before="120" w:after="120"/>
        <w:jc w:val="both"/>
        <w:rPr>
          <w:kern w:val="28"/>
        </w:rPr>
      </w:pPr>
      <w:r w:rsidRPr="00FD02EC">
        <w:rPr>
          <w:rFonts w:cs="Arial"/>
          <w:kern w:val="28"/>
          <w:szCs w:val="24"/>
        </w:rPr>
        <w:t>Par ailleurs, e</w:t>
      </w:r>
      <w:r w:rsidR="00B17920" w:rsidRPr="00FD02EC">
        <w:rPr>
          <w:rFonts w:cs="Arial"/>
          <w:kern w:val="28"/>
          <w:szCs w:val="24"/>
        </w:rPr>
        <w:t xml:space="preserve">n </w:t>
      </w:r>
      <w:r w:rsidR="006D430C">
        <w:rPr>
          <w:rFonts w:cs="Arial"/>
          <w:kern w:val="28"/>
          <w:szCs w:val="24"/>
        </w:rPr>
        <w:t>laissant entendre</w:t>
      </w:r>
      <w:r w:rsidR="00B17920" w:rsidRPr="00FD02EC">
        <w:rPr>
          <w:rFonts w:cs="Arial"/>
          <w:kern w:val="28"/>
          <w:szCs w:val="24"/>
        </w:rPr>
        <w:t xml:space="preserve"> que les appelants pourraient avoir gain de cause s’ils se conforment aux </w:t>
      </w:r>
      <w:r w:rsidR="00B17920" w:rsidRPr="005C3E65">
        <w:rPr>
          <w:rFonts w:cs="Arial"/>
          <w:kern w:val="28"/>
          <w:szCs w:val="24"/>
        </w:rPr>
        <w:t xml:space="preserve">exigences </w:t>
      </w:r>
      <w:r w:rsidR="00FB6A17">
        <w:rPr>
          <w:rFonts w:cs="Arial"/>
          <w:kern w:val="28"/>
          <w:szCs w:val="24"/>
        </w:rPr>
        <w:t>énoncées aux</w:t>
      </w:r>
      <w:r w:rsidR="00EA60FE" w:rsidRPr="005C3E65">
        <w:rPr>
          <w:rFonts w:cs="Arial"/>
          <w:kern w:val="28"/>
          <w:szCs w:val="24"/>
        </w:rPr>
        <w:t xml:space="preserve"> articles</w:t>
      </w:r>
      <w:r w:rsidR="00B17920" w:rsidRPr="005C3E65">
        <w:rPr>
          <w:rFonts w:cs="Arial"/>
          <w:kern w:val="28"/>
          <w:szCs w:val="24"/>
        </w:rPr>
        <w:t xml:space="preserve"> 1100 et</w:t>
      </w:r>
      <w:r w:rsidR="00B17920" w:rsidRPr="00FD02EC">
        <w:rPr>
          <w:rFonts w:cs="Arial"/>
          <w:kern w:val="28"/>
          <w:szCs w:val="24"/>
        </w:rPr>
        <w:t xml:space="preserve"> 1049</w:t>
      </w:r>
      <w:r w:rsidR="00D87202" w:rsidRPr="00FD02EC">
        <w:rPr>
          <w:rFonts w:cs="Arial"/>
          <w:kern w:val="28"/>
          <w:szCs w:val="24"/>
        </w:rPr>
        <w:t xml:space="preserve"> </w:t>
      </w:r>
      <w:r w:rsidR="00D87202" w:rsidRPr="00FD02EC">
        <w:rPr>
          <w:rFonts w:cs="Arial"/>
          <w:i/>
          <w:iCs/>
          <w:kern w:val="28"/>
          <w:szCs w:val="24"/>
        </w:rPr>
        <w:t>C.c.Q.</w:t>
      </w:r>
      <w:r w:rsidR="00B17920" w:rsidRPr="00FD02EC">
        <w:rPr>
          <w:rFonts w:cs="Arial"/>
          <w:kern w:val="28"/>
          <w:szCs w:val="24"/>
        </w:rPr>
        <w:t>, le juge propose un scénario illusoire. L’obtention du consentement des parties concernées rendrait inutile tout recours devant les tribunaux et irait à l’encontre de l’objectif même de la prescription acquisitive qui exclut le consentement</w:t>
      </w:r>
      <w:r w:rsidR="00D87202" w:rsidRPr="00FD02EC">
        <w:rPr>
          <w:rFonts w:cs="Arial"/>
          <w:kern w:val="28"/>
          <w:szCs w:val="24"/>
        </w:rPr>
        <w:t xml:space="preserve"> de la partie</w:t>
      </w:r>
      <w:r w:rsidR="00B17920" w:rsidRPr="00FD02EC">
        <w:rPr>
          <w:rFonts w:cs="Arial"/>
          <w:kern w:val="28"/>
          <w:szCs w:val="24"/>
        </w:rPr>
        <w:t>.</w:t>
      </w:r>
    </w:p>
    <w:p w14:paraId="3DBFD9E4" w14:textId="13110696" w:rsidR="00B17920" w:rsidRPr="008B3F22" w:rsidRDefault="002511BB" w:rsidP="00507BA1">
      <w:pPr>
        <w:numPr>
          <w:ilvl w:val="0"/>
          <w:numId w:val="18"/>
        </w:numPr>
        <w:tabs>
          <w:tab w:val="clear" w:pos="720"/>
          <w:tab w:val="num" w:pos="360"/>
        </w:tabs>
        <w:spacing w:before="120" w:after="120"/>
        <w:jc w:val="both"/>
        <w:rPr>
          <w:kern w:val="28"/>
        </w:rPr>
      </w:pPr>
      <w:r>
        <w:rPr>
          <w:rFonts w:cs="Arial"/>
          <w:kern w:val="28"/>
          <w:szCs w:val="24"/>
        </w:rPr>
        <w:t>L</w:t>
      </w:r>
      <w:r w:rsidR="00B17920" w:rsidRPr="006C072D">
        <w:rPr>
          <w:rFonts w:cs="Arial"/>
          <w:kern w:val="28"/>
          <w:szCs w:val="24"/>
        </w:rPr>
        <w:t>es appelants</w:t>
      </w:r>
      <w:r w:rsidR="00D87202">
        <w:rPr>
          <w:rFonts w:cs="Arial"/>
          <w:kern w:val="28"/>
          <w:szCs w:val="24"/>
        </w:rPr>
        <w:t xml:space="preserve"> soulignent que la Cour suprême a décidé dans </w:t>
      </w:r>
      <w:r w:rsidR="00D87202" w:rsidRPr="00D87202">
        <w:rPr>
          <w:rFonts w:cs="Arial"/>
          <w:i/>
          <w:iCs/>
          <w:kern w:val="28"/>
          <w:szCs w:val="24"/>
        </w:rPr>
        <w:t>Ostiguy c. Allie</w:t>
      </w:r>
      <w:r w:rsidR="00D87202" w:rsidRPr="00086588">
        <w:rPr>
          <w:rStyle w:val="Appelnotedebasdep"/>
          <w:rFonts w:cs="Arial"/>
          <w:kern w:val="28"/>
          <w:szCs w:val="24"/>
        </w:rPr>
        <w:footnoteReference w:id="5"/>
      </w:r>
      <w:r w:rsidR="00D87202">
        <w:rPr>
          <w:rFonts w:cs="Arial"/>
          <w:kern w:val="28"/>
          <w:szCs w:val="24"/>
        </w:rPr>
        <w:t xml:space="preserve"> que la possession utile </w:t>
      </w:r>
      <w:r w:rsidR="00B17920" w:rsidRPr="006C072D">
        <w:rPr>
          <w:rFonts w:cs="Arial"/>
          <w:kern w:val="28"/>
          <w:szCs w:val="24"/>
        </w:rPr>
        <w:t xml:space="preserve">a préséance </w:t>
      </w:r>
      <w:r w:rsidR="00D87202">
        <w:rPr>
          <w:rFonts w:cs="Arial"/>
          <w:kern w:val="28"/>
          <w:szCs w:val="24"/>
        </w:rPr>
        <w:t xml:space="preserve">sans égard aux droits inscrits au </w:t>
      </w:r>
      <w:r w:rsidR="00B17920" w:rsidRPr="006C072D">
        <w:rPr>
          <w:rFonts w:cs="Arial"/>
          <w:kern w:val="28"/>
          <w:szCs w:val="24"/>
        </w:rPr>
        <w:t>registre foncier</w:t>
      </w:r>
      <w:r w:rsidR="00D87202">
        <w:rPr>
          <w:rFonts w:cs="Arial"/>
          <w:kern w:val="28"/>
          <w:szCs w:val="24"/>
        </w:rPr>
        <w:t xml:space="preserve">. Le même raisonnement devrait donc prévaloir en l’espèce, la possession utile publique </w:t>
      </w:r>
      <w:r w:rsidR="00D87202" w:rsidRPr="006C072D">
        <w:rPr>
          <w:rFonts w:cs="Arial"/>
          <w:kern w:val="28"/>
          <w:szCs w:val="24"/>
        </w:rPr>
        <w:t>devant</w:t>
      </w:r>
      <w:r w:rsidR="00D87202">
        <w:rPr>
          <w:rFonts w:cs="Arial"/>
          <w:kern w:val="28"/>
          <w:szCs w:val="24"/>
        </w:rPr>
        <w:t xml:space="preserve"> </w:t>
      </w:r>
      <w:r w:rsidR="00B17920" w:rsidRPr="006C072D">
        <w:rPr>
          <w:rFonts w:cs="Arial"/>
          <w:kern w:val="28"/>
          <w:szCs w:val="24"/>
        </w:rPr>
        <w:t>avoir préséance</w:t>
      </w:r>
      <w:r w:rsidR="006D430C">
        <w:rPr>
          <w:rFonts w:cs="Arial"/>
          <w:kern w:val="28"/>
          <w:szCs w:val="24"/>
        </w:rPr>
        <w:t>,</w:t>
      </w:r>
      <w:r w:rsidR="00B17920" w:rsidRPr="006C072D">
        <w:rPr>
          <w:rFonts w:cs="Arial"/>
          <w:kern w:val="28"/>
          <w:szCs w:val="24"/>
        </w:rPr>
        <w:t xml:space="preserve"> </w:t>
      </w:r>
      <w:r w:rsidR="004B6C15">
        <w:rPr>
          <w:rFonts w:cs="Arial"/>
          <w:kern w:val="28"/>
          <w:szCs w:val="24"/>
        </w:rPr>
        <w:t>sans égard aux stipulations sur les limites des parties privatives énoncées à l’état descriptif des fractions</w:t>
      </w:r>
      <w:r>
        <w:rPr>
          <w:rFonts w:cs="Arial"/>
          <w:kern w:val="28"/>
          <w:szCs w:val="24"/>
        </w:rPr>
        <w:t xml:space="preserve"> </w:t>
      </w:r>
      <w:r w:rsidR="006D430C">
        <w:rPr>
          <w:rFonts w:cs="Arial"/>
          <w:kern w:val="28"/>
          <w:szCs w:val="24"/>
        </w:rPr>
        <w:t xml:space="preserve">figurant </w:t>
      </w:r>
      <w:r>
        <w:rPr>
          <w:rFonts w:cs="Arial"/>
          <w:kern w:val="28"/>
          <w:szCs w:val="24"/>
        </w:rPr>
        <w:t>dans la déclaration de copropriété</w:t>
      </w:r>
      <w:r w:rsidR="004B6C15">
        <w:rPr>
          <w:rFonts w:cs="Arial"/>
          <w:kern w:val="28"/>
          <w:szCs w:val="24"/>
        </w:rPr>
        <w:t xml:space="preserve"> et au plan cadastral.</w:t>
      </w:r>
      <w:r w:rsidR="00B17920" w:rsidRPr="006C072D">
        <w:rPr>
          <w:rFonts w:cs="Arial"/>
          <w:kern w:val="28"/>
          <w:szCs w:val="24"/>
        </w:rPr>
        <w:t xml:space="preserve"> </w:t>
      </w:r>
      <w:r w:rsidR="004B6C15">
        <w:rPr>
          <w:rFonts w:cs="Arial"/>
          <w:kern w:val="28"/>
          <w:szCs w:val="24"/>
        </w:rPr>
        <w:t>L</w:t>
      </w:r>
      <w:r w:rsidR="00B17920" w:rsidRPr="006C072D">
        <w:rPr>
          <w:rFonts w:cs="Arial"/>
          <w:kern w:val="28"/>
          <w:szCs w:val="24"/>
        </w:rPr>
        <w:t>a partie privative est délimitée selon ce qui appert sur le plan cadastral et celui-ci a préséance sur la déclaration de copropriété.</w:t>
      </w:r>
      <w:r w:rsidR="006C072D" w:rsidRPr="006C072D">
        <w:rPr>
          <w:rFonts w:cs="Arial"/>
          <w:kern w:val="28"/>
          <w:szCs w:val="24"/>
        </w:rPr>
        <w:t xml:space="preserve"> </w:t>
      </w:r>
      <w:r w:rsidR="004B6C15">
        <w:rPr>
          <w:rFonts w:cs="Arial"/>
          <w:kern w:val="28"/>
          <w:szCs w:val="24"/>
        </w:rPr>
        <w:t>S</w:t>
      </w:r>
      <w:r w:rsidR="00B17920" w:rsidRPr="006C072D">
        <w:rPr>
          <w:rFonts w:cs="Arial"/>
          <w:kern w:val="28"/>
          <w:szCs w:val="24"/>
        </w:rPr>
        <w:t xml:space="preserve">i une </w:t>
      </w:r>
      <w:r>
        <w:rPr>
          <w:rFonts w:cs="Arial"/>
          <w:kern w:val="28"/>
          <w:szCs w:val="24"/>
        </w:rPr>
        <w:t>modific</w:t>
      </w:r>
      <w:r w:rsidR="00B17920" w:rsidRPr="006C072D">
        <w:rPr>
          <w:rFonts w:cs="Arial"/>
          <w:kern w:val="28"/>
          <w:szCs w:val="24"/>
        </w:rPr>
        <w:t xml:space="preserve">ation cadastrale peut </w:t>
      </w:r>
      <w:r>
        <w:rPr>
          <w:rFonts w:cs="Arial"/>
          <w:kern w:val="28"/>
          <w:szCs w:val="24"/>
        </w:rPr>
        <w:t xml:space="preserve">intervenir sans vote tenu lors d’une </w:t>
      </w:r>
      <w:r w:rsidR="00B17920" w:rsidRPr="006C072D">
        <w:rPr>
          <w:rFonts w:cs="Arial"/>
          <w:kern w:val="28"/>
          <w:szCs w:val="24"/>
        </w:rPr>
        <w:t xml:space="preserve">assemblée des copropriétaires, il devrait en être ainsi d’une modification résultant d’un jugement déclaratoire </w:t>
      </w:r>
      <w:r w:rsidR="00A8275C">
        <w:rPr>
          <w:rFonts w:cs="Arial"/>
          <w:kern w:val="28"/>
          <w:szCs w:val="24"/>
        </w:rPr>
        <w:t xml:space="preserve">rendu </w:t>
      </w:r>
      <w:r w:rsidR="00B17920" w:rsidRPr="006C072D">
        <w:rPr>
          <w:rFonts w:cs="Arial"/>
          <w:kern w:val="28"/>
          <w:szCs w:val="24"/>
        </w:rPr>
        <w:t xml:space="preserve">en </w:t>
      </w:r>
      <w:r w:rsidR="00B17920" w:rsidRPr="005C3E65">
        <w:rPr>
          <w:rFonts w:cs="Arial"/>
          <w:kern w:val="28"/>
          <w:szCs w:val="24"/>
        </w:rPr>
        <w:t xml:space="preserve">vertu de </w:t>
      </w:r>
      <w:r w:rsidR="00EA60FE" w:rsidRPr="005C3E65">
        <w:rPr>
          <w:rFonts w:cs="Arial"/>
          <w:kern w:val="28"/>
          <w:szCs w:val="24"/>
        </w:rPr>
        <w:t xml:space="preserve">l’article </w:t>
      </w:r>
      <w:r w:rsidR="00B17920" w:rsidRPr="005C3E65">
        <w:rPr>
          <w:rFonts w:cs="Arial"/>
          <w:kern w:val="28"/>
          <w:szCs w:val="24"/>
        </w:rPr>
        <w:t xml:space="preserve">2918 </w:t>
      </w:r>
      <w:r w:rsidR="00B17920" w:rsidRPr="005C3E65">
        <w:rPr>
          <w:rFonts w:cs="Arial"/>
          <w:i/>
          <w:iCs/>
          <w:kern w:val="28"/>
          <w:szCs w:val="24"/>
        </w:rPr>
        <w:t>C.c.Q</w:t>
      </w:r>
      <w:r w:rsidR="00B17920" w:rsidRPr="005C3E65">
        <w:rPr>
          <w:rFonts w:cs="Arial"/>
          <w:kern w:val="28"/>
          <w:szCs w:val="24"/>
        </w:rPr>
        <w:t>.</w:t>
      </w:r>
    </w:p>
    <w:p w14:paraId="5ABA1F95" w14:textId="08482B18" w:rsidR="008B3F22" w:rsidRPr="008B3F22" w:rsidRDefault="00D87202" w:rsidP="00507BA1">
      <w:pPr>
        <w:numPr>
          <w:ilvl w:val="0"/>
          <w:numId w:val="18"/>
        </w:numPr>
        <w:tabs>
          <w:tab w:val="clear" w:pos="720"/>
          <w:tab w:val="num" w:pos="360"/>
        </w:tabs>
        <w:spacing w:before="120" w:after="120"/>
        <w:jc w:val="both"/>
        <w:rPr>
          <w:kern w:val="28"/>
        </w:rPr>
      </w:pPr>
      <w:r>
        <w:rPr>
          <w:rFonts w:cs="Arial"/>
          <w:kern w:val="28"/>
          <w:szCs w:val="24"/>
        </w:rPr>
        <w:t>L</w:t>
      </w:r>
      <w:r w:rsidR="00B17920" w:rsidRPr="00A12E21">
        <w:rPr>
          <w:rFonts w:cs="Arial"/>
          <w:kern w:val="28"/>
          <w:szCs w:val="24"/>
        </w:rPr>
        <w:t>es appelants</w:t>
      </w:r>
      <w:r>
        <w:rPr>
          <w:rFonts w:cs="Arial"/>
          <w:kern w:val="28"/>
          <w:szCs w:val="24"/>
        </w:rPr>
        <w:t xml:space="preserve"> plaident</w:t>
      </w:r>
      <w:r w:rsidR="00813598">
        <w:rPr>
          <w:rFonts w:cs="Arial"/>
          <w:kern w:val="28"/>
          <w:szCs w:val="24"/>
        </w:rPr>
        <w:t xml:space="preserve"> en outre</w:t>
      </w:r>
      <w:r>
        <w:rPr>
          <w:rFonts w:cs="Arial"/>
          <w:kern w:val="28"/>
          <w:szCs w:val="24"/>
        </w:rPr>
        <w:t xml:space="preserve"> qu’il n’y a pas d’enjeu quant à la valeur des parties privatives, puisque </w:t>
      </w:r>
      <w:r w:rsidR="00B17920" w:rsidRPr="00A12E21">
        <w:rPr>
          <w:rFonts w:cs="Arial"/>
          <w:kern w:val="28"/>
          <w:szCs w:val="24"/>
        </w:rPr>
        <w:t>la variation en l’espèce serait négligeable</w:t>
      </w:r>
      <w:r w:rsidR="00813598">
        <w:rPr>
          <w:rFonts w:cs="Arial"/>
          <w:kern w:val="28"/>
          <w:szCs w:val="24"/>
        </w:rPr>
        <w:t xml:space="preserve">. </w:t>
      </w:r>
      <w:r w:rsidR="002511BB">
        <w:rPr>
          <w:rFonts w:cs="Arial"/>
          <w:kern w:val="28"/>
          <w:szCs w:val="24"/>
        </w:rPr>
        <w:t>A</w:t>
      </w:r>
      <w:r w:rsidR="004B6C15">
        <w:rPr>
          <w:rFonts w:cs="Arial"/>
          <w:kern w:val="28"/>
          <w:szCs w:val="24"/>
        </w:rPr>
        <w:t xml:space="preserve">ucune modification de la </w:t>
      </w:r>
      <w:r w:rsidR="004B6C15" w:rsidRPr="008B3F22">
        <w:rPr>
          <w:rFonts w:cs="Arial"/>
          <w:kern w:val="28"/>
          <w:szCs w:val="24"/>
        </w:rPr>
        <w:t xml:space="preserve">déclaration de copropriété ne serait </w:t>
      </w:r>
      <w:r w:rsidR="002511BB" w:rsidRPr="008B3F22">
        <w:rPr>
          <w:rFonts w:cs="Arial"/>
          <w:kern w:val="28"/>
          <w:szCs w:val="24"/>
        </w:rPr>
        <w:t xml:space="preserve">donc </w:t>
      </w:r>
      <w:r w:rsidR="004B6C15" w:rsidRPr="008B3F22">
        <w:rPr>
          <w:rFonts w:cs="Arial"/>
          <w:kern w:val="28"/>
          <w:szCs w:val="24"/>
        </w:rPr>
        <w:t xml:space="preserve">requise. </w:t>
      </w:r>
      <w:r w:rsidR="00813598" w:rsidRPr="008B3F22">
        <w:rPr>
          <w:rFonts w:cs="Arial"/>
          <w:kern w:val="28"/>
          <w:szCs w:val="24"/>
        </w:rPr>
        <w:t>L</w:t>
      </w:r>
      <w:r w:rsidRPr="008B3F22">
        <w:rPr>
          <w:rFonts w:cs="Arial"/>
          <w:kern w:val="28"/>
          <w:szCs w:val="24"/>
        </w:rPr>
        <w:t xml:space="preserve">e </w:t>
      </w:r>
      <w:bookmarkStart w:id="9" w:name="_Hlk216278367"/>
      <w:r w:rsidR="00B17920" w:rsidRPr="008B3F22">
        <w:rPr>
          <w:rFonts w:cs="Arial"/>
          <w:kern w:val="28"/>
          <w:szCs w:val="24"/>
        </w:rPr>
        <w:t xml:space="preserve">libellé de </w:t>
      </w:r>
      <w:r w:rsidR="00EA60FE" w:rsidRPr="008B3F22">
        <w:rPr>
          <w:rFonts w:cs="Arial"/>
          <w:kern w:val="28"/>
          <w:szCs w:val="24"/>
        </w:rPr>
        <w:t xml:space="preserve">l’article </w:t>
      </w:r>
      <w:r w:rsidR="00B17920" w:rsidRPr="008B3F22">
        <w:rPr>
          <w:rFonts w:cs="Arial"/>
          <w:kern w:val="28"/>
          <w:szCs w:val="24"/>
        </w:rPr>
        <w:t>1100</w:t>
      </w:r>
      <w:r w:rsidR="00507BA1">
        <w:rPr>
          <w:rFonts w:cs="Arial"/>
          <w:kern w:val="28"/>
          <w:szCs w:val="24"/>
        </w:rPr>
        <w:t> </w:t>
      </w:r>
      <w:r w:rsidR="00B17920" w:rsidRPr="008B3F22">
        <w:rPr>
          <w:rFonts w:cs="Arial"/>
          <w:i/>
          <w:iCs/>
          <w:kern w:val="28"/>
          <w:szCs w:val="24"/>
        </w:rPr>
        <w:t>C.c.Q</w:t>
      </w:r>
      <w:r w:rsidR="00B17920" w:rsidRPr="008B3F22">
        <w:rPr>
          <w:rFonts w:cs="Arial"/>
          <w:kern w:val="28"/>
          <w:szCs w:val="24"/>
        </w:rPr>
        <w:t xml:space="preserve">. </w:t>
      </w:r>
      <w:r w:rsidR="00813598" w:rsidRPr="008B3F22">
        <w:rPr>
          <w:rFonts w:cs="Arial"/>
          <w:kern w:val="28"/>
          <w:szCs w:val="24"/>
        </w:rPr>
        <w:t xml:space="preserve">entrevoit </w:t>
      </w:r>
      <w:r w:rsidR="004B6C15" w:rsidRPr="008B3F22">
        <w:rPr>
          <w:rFonts w:cs="Arial"/>
          <w:kern w:val="28"/>
          <w:szCs w:val="24"/>
        </w:rPr>
        <w:t xml:space="preserve">d’ailleurs </w:t>
      </w:r>
      <w:r w:rsidR="005712F3" w:rsidRPr="008B3F22">
        <w:rPr>
          <w:rFonts w:cs="Arial"/>
          <w:kern w:val="28"/>
          <w:szCs w:val="24"/>
        </w:rPr>
        <w:t>la possibilité</w:t>
      </w:r>
      <w:r w:rsidRPr="008B3F22">
        <w:rPr>
          <w:rFonts w:cs="Arial"/>
          <w:kern w:val="28"/>
          <w:szCs w:val="24"/>
        </w:rPr>
        <w:t xml:space="preserve"> de faire de</w:t>
      </w:r>
      <w:r w:rsidR="00B17920" w:rsidRPr="008B3F22">
        <w:rPr>
          <w:rFonts w:cs="Arial"/>
          <w:kern w:val="28"/>
          <w:szCs w:val="24"/>
        </w:rPr>
        <w:t xml:space="preserve"> petites modifications </w:t>
      </w:r>
      <w:r w:rsidRPr="008B3F22">
        <w:rPr>
          <w:rFonts w:cs="Arial"/>
          <w:kern w:val="28"/>
          <w:szCs w:val="24"/>
        </w:rPr>
        <w:t>sur l</w:t>
      </w:r>
      <w:r w:rsidR="002511BB" w:rsidRPr="008B3F22">
        <w:rPr>
          <w:rFonts w:cs="Arial"/>
          <w:kern w:val="28"/>
          <w:szCs w:val="24"/>
        </w:rPr>
        <w:t>a base du</w:t>
      </w:r>
      <w:r w:rsidRPr="008B3F22">
        <w:rPr>
          <w:rFonts w:cs="Arial"/>
          <w:kern w:val="28"/>
          <w:szCs w:val="24"/>
        </w:rPr>
        <w:t xml:space="preserve"> seul consentement des copropriétaires visés, sans </w:t>
      </w:r>
      <w:r w:rsidR="006D430C" w:rsidRPr="008B3F22">
        <w:rPr>
          <w:rFonts w:cs="Arial"/>
          <w:kern w:val="28"/>
          <w:szCs w:val="24"/>
        </w:rPr>
        <w:t>qu’il soit nécessaire</w:t>
      </w:r>
      <w:r w:rsidR="005712F3" w:rsidRPr="008B3F22">
        <w:rPr>
          <w:rFonts w:cs="Arial"/>
          <w:kern w:val="28"/>
          <w:szCs w:val="24"/>
        </w:rPr>
        <w:t xml:space="preserve"> d’obtenir </w:t>
      </w:r>
      <w:r w:rsidR="00B17920" w:rsidRPr="008B3F22">
        <w:rPr>
          <w:rFonts w:cs="Arial"/>
          <w:kern w:val="28"/>
          <w:szCs w:val="24"/>
        </w:rPr>
        <w:t xml:space="preserve">l’accord des </w:t>
      </w:r>
      <w:r w:rsidR="005712F3" w:rsidRPr="008B3F22">
        <w:rPr>
          <w:rFonts w:cs="Arial"/>
          <w:kern w:val="28"/>
          <w:szCs w:val="24"/>
        </w:rPr>
        <w:t xml:space="preserve">autres </w:t>
      </w:r>
      <w:r w:rsidR="00B17920" w:rsidRPr="008B3F22">
        <w:rPr>
          <w:rFonts w:cs="Arial"/>
          <w:kern w:val="28"/>
          <w:szCs w:val="24"/>
        </w:rPr>
        <w:t>copropriétaires</w:t>
      </w:r>
      <w:bookmarkStart w:id="10" w:name="_Hlk216025575"/>
      <w:bookmarkEnd w:id="9"/>
      <w:r w:rsidR="00503AC8" w:rsidRPr="008B3F22">
        <w:rPr>
          <w:rFonts w:cs="Arial"/>
          <w:kern w:val="28"/>
          <w:szCs w:val="24"/>
        </w:rPr>
        <w:t xml:space="preserve"> par vote tenu lors d’une assemblée</w:t>
      </w:r>
      <w:r w:rsidR="00B17920" w:rsidRPr="008B3F22">
        <w:rPr>
          <w:rFonts w:cs="Arial"/>
          <w:kern w:val="28"/>
          <w:szCs w:val="24"/>
        </w:rPr>
        <w:t>.</w:t>
      </w:r>
    </w:p>
    <w:p w14:paraId="7CA63B69" w14:textId="3BD10468" w:rsidR="00B17920" w:rsidRPr="0051228B" w:rsidRDefault="006C072D" w:rsidP="00507BA1">
      <w:pPr>
        <w:numPr>
          <w:ilvl w:val="0"/>
          <w:numId w:val="18"/>
        </w:numPr>
        <w:tabs>
          <w:tab w:val="clear" w:pos="720"/>
          <w:tab w:val="num" w:pos="360"/>
        </w:tabs>
        <w:spacing w:before="120" w:after="120"/>
        <w:jc w:val="both"/>
        <w:rPr>
          <w:kern w:val="28"/>
        </w:rPr>
      </w:pPr>
      <w:r w:rsidRPr="00813598">
        <w:rPr>
          <w:rFonts w:cs="Arial"/>
          <w:kern w:val="28"/>
          <w:szCs w:val="24"/>
        </w:rPr>
        <w:t>Finalement, les</w:t>
      </w:r>
      <w:r w:rsidR="00B17920" w:rsidRPr="00813598">
        <w:rPr>
          <w:rFonts w:cs="Arial"/>
          <w:kern w:val="28"/>
          <w:szCs w:val="24"/>
        </w:rPr>
        <w:t xml:space="preserve"> appelants </w:t>
      </w:r>
      <w:r w:rsidR="00500F57">
        <w:rPr>
          <w:rFonts w:cs="Arial"/>
          <w:kern w:val="28"/>
          <w:szCs w:val="24"/>
        </w:rPr>
        <w:t>affirment</w:t>
      </w:r>
      <w:r w:rsidR="00B17920" w:rsidRPr="00813598">
        <w:rPr>
          <w:rFonts w:cs="Arial"/>
          <w:kern w:val="28"/>
          <w:szCs w:val="24"/>
        </w:rPr>
        <w:t xml:space="preserve"> que les restrictions imposées dans le jugement </w:t>
      </w:r>
      <w:r w:rsidR="005712F3">
        <w:rPr>
          <w:rFonts w:cs="Arial"/>
          <w:kern w:val="28"/>
          <w:szCs w:val="24"/>
        </w:rPr>
        <w:t xml:space="preserve">entrepris </w:t>
      </w:r>
      <w:r w:rsidR="00B17920" w:rsidRPr="00813598">
        <w:rPr>
          <w:rFonts w:cs="Arial"/>
          <w:kern w:val="28"/>
          <w:szCs w:val="24"/>
        </w:rPr>
        <w:t xml:space="preserve">ont pour effet de nier le fondement de la prescription acquisitive, qui existe dans </w:t>
      </w:r>
      <w:r w:rsidR="00B17920" w:rsidRPr="0051228B">
        <w:rPr>
          <w:rFonts w:cs="Arial"/>
          <w:kern w:val="28"/>
          <w:szCs w:val="24"/>
        </w:rPr>
        <w:t xml:space="preserve">le but de corriger certains vices de titre ou de régler des problèmes de bornage. Un copropriétaire divis victime d’une erreur cadastrale n’aurait autrement aucun moyen de </w:t>
      </w:r>
      <w:r w:rsidR="00B17920" w:rsidRPr="0051228B">
        <w:rPr>
          <w:rFonts w:cs="Arial"/>
          <w:kern w:val="28"/>
          <w:szCs w:val="24"/>
        </w:rPr>
        <w:lastRenderedPageBreak/>
        <w:t>régulariser son titre</w:t>
      </w:r>
      <w:bookmarkEnd w:id="10"/>
      <w:r w:rsidR="00B17920" w:rsidRPr="0051228B">
        <w:rPr>
          <w:rFonts w:cs="Arial"/>
          <w:kern w:val="28"/>
          <w:sz w:val="16"/>
          <w:szCs w:val="24"/>
        </w:rPr>
        <w:t>.</w:t>
      </w:r>
      <w:r w:rsidR="00B17920" w:rsidRPr="0051228B">
        <w:rPr>
          <w:kern w:val="28"/>
        </w:rPr>
        <w:t xml:space="preserve"> </w:t>
      </w:r>
      <w:r w:rsidR="00B17920" w:rsidRPr="0051228B">
        <w:rPr>
          <w:rFonts w:cs="Arial"/>
          <w:kern w:val="28"/>
          <w:szCs w:val="24"/>
        </w:rPr>
        <w:t>Il serait par ailleurs contraire à l’esprit du droit des biens qu</w:t>
      </w:r>
      <w:r w:rsidR="005712F3" w:rsidRPr="0051228B">
        <w:rPr>
          <w:rFonts w:cs="Arial"/>
          <w:kern w:val="28"/>
          <w:szCs w:val="24"/>
        </w:rPr>
        <w:t>e la prescription acquisitive permette l’</w:t>
      </w:r>
      <w:r w:rsidR="00B17920" w:rsidRPr="0051228B">
        <w:rPr>
          <w:rFonts w:cs="Arial"/>
          <w:kern w:val="28"/>
          <w:szCs w:val="24"/>
        </w:rPr>
        <w:t xml:space="preserve">acquisition totale, mais </w:t>
      </w:r>
      <w:r w:rsidR="005712F3" w:rsidRPr="0051228B">
        <w:rPr>
          <w:rFonts w:cs="Arial"/>
          <w:kern w:val="28"/>
          <w:szCs w:val="24"/>
        </w:rPr>
        <w:t>pas l’</w:t>
      </w:r>
      <w:r w:rsidR="00B17920" w:rsidRPr="0051228B">
        <w:rPr>
          <w:rFonts w:cs="Arial"/>
          <w:kern w:val="28"/>
          <w:szCs w:val="24"/>
        </w:rPr>
        <w:t>acquisition partielle.</w:t>
      </w:r>
    </w:p>
    <w:p w14:paraId="359C8F42" w14:textId="2CCFE9A0" w:rsidR="00B17920" w:rsidRPr="006C072D" w:rsidRDefault="006C072D" w:rsidP="00507BA1">
      <w:pPr>
        <w:pStyle w:val="Paragraphe"/>
        <w:numPr>
          <w:ilvl w:val="0"/>
          <w:numId w:val="22"/>
        </w:numPr>
        <w:spacing w:line="280" w:lineRule="exact"/>
        <w:ind w:left="1077" w:hanging="357"/>
        <w:rPr>
          <w:b/>
          <w:bCs/>
        </w:rPr>
      </w:pPr>
      <w:r w:rsidRPr="006C072D">
        <w:rPr>
          <w:b/>
          <w:bCs/>
        </w:rPr>
        <w:t>Analyse</w:t>
      </w:r>
    </w:p>
    <w:p w14:paraId="3040AF9B" w14:textId="61F0A27D" w:rsidR="00813598" w:rsidRPr="00450F1E" w:rsidRDefault="00813598" w:rsidP="00507BA1">
      <w:pPr>
        <w:pStyle w:val="Paragraphe"/>
        <w:spacing w:line="280" w:lineRule="exact"/>
      </w:pPr>
      <w:r>
        <w:t xml:space="preserve">Le dossier ne met pas </w:t>
      </w:r>
      <w:r w:rsidR="00500F57">
        <w:t xml:space="preserve">en </w:t>
      </w:r>
      <w:r w:rsidR="00920021">
        <w:t>jeu</w:t>
      </w:r>
      <w:r>
        <w:t xml:space="preserve"> </w:t>
      </w:r>
      <w:r w:rsidR="002511BB">
        <w:t>d’</w:t>
      </w:r>
      <w:r>
        <w:t>erreur cadastrale qui se répercute</w:t>
      </w:r>
      <w:r w:rsidR="005712F3">
        <w:t>rait</w:t>
      </w:r>
      <w:r>
        <w:t xml:space="preserve"> dans la déclaration de copropriété. Il </w:t>
      </w:r>
      <w:r w:rsidR="00920021">
        <w:t>concerne</w:t>
      </w:r>
      <w:r w:rsidRPr="00450F1E">
        <w:t xml:space="preserve"> le droit d’acquérir par prescription une parcelle d’un</w:t>
      </w:r>
      <w:r w:rsidR="002511BB">
        <w:t xml:space="preserve">e partie privative </w:t>
      </w:r>
      <w:r w:rsidRPr="00450F1E">
        <w:t>contig</w:t>
      </w:r>
      <w:r w:rsidR="002511BB">
        <w:t>u</w:t>
      </w:r>
      <w:r w:rsidR="00500F57">
        <w:t>ë</w:t>
      </w:r>
      <w:r w:rsidR="002511BB">
        <w:t xml:space="preserve"> correctement décrite</w:t>
      </w:r>
      <w:r w:rsidRPr="00450F1E">
        <w:t>.</w:t>
      </w:r>
      <w:r w:rsidR="006A0FF2">
        <w:t xml:space="preserve"> C’est donc ce dernier scénario que la Cour doit examiner.</w:t>
      </w:r>
    </w:p>
    <w:p w14:paraId="6D0314DC" w14:textId="234453AD" w:rsidR="006C072D" w:rsidRDefault="00F570B4" w:rsidP="00507BA1">
      <w:pPr>
        <w:pStyle w:val="Paragraphe"/>
        <w:spacing w:line="280" w:lineRule="exact"/>
      </w:pPr>
      <w:r>
        <w:t>L</w:t>
      </w:r>
      <w:r w:rsidR="00EF6468">
        <w:t>a copropriété est définie comme « la propriété que plusieurs personnes ont ensemble et concurremment sur un bien, chacune d’elles étant investie, privativement, d’une quote-part du droit » (art</w:t>
      </w:r>
      <w:r w:rsidR="00EF6468" w:rsidRPr="005C3E65">
        <w:t>. 1010</w:t>
      </w:r>
      <w:r w:rsidR="00086588" w:rsidRPr="005C3E65">
        <w:t xml:space="preserve"> </w:t>
      </w:r>
      <w:r w:rsidR="00252D40" w:rsidRPr="005C3E65">
        <w:t>al</w:t>
      </w:r>
      <w:r w:rsidR="00252D40" w:rsidRPr="00086588">
        <w:t>.</w:t>
      </w:r>
      <w:r w:rsidR="00252D40">
        <w:t xml:space="preserve"> 1</w:t>
      </w:r>
      <w:r w:rsidR="00EF6468">
        <w:t xml:space="preserve"> </w:t>
      </w:r>
      <w:r w:rsidR="00EF6468" w:rsidRPr="00252D40">
        <w:rPr>
          <w:i/>
          <w:iCs/>
        </w:rPr>
        <w:t>C.c.Q.</w:t>
      </w:r>
      <w:r w:rsidR="00EF6468">
        <w:t>).</w:t>
      </w:r>
      <w:r w:rsidR="006C072D">
        <w:t xml:space="preserve"> Elle est dite divise lorsqu’elle se réparti</w:t>
      </w:r>
      <w:r w:rsidR="00813598">
        <w:t>t</w:t>
      </w:r>
      <w:r w:rsidR="006C072D">
        <w:t xml:space="preserve"> par fractions</w:t>
      </w:r>
      <w:r w:rsidR="00813598" w:rsidRPr="00813598">
        <w:t xml:space="preserve"> entre copropriétaires</w:t>
      </w:r>
      <w:r w:rsidR="006C072D">
        <w:t xml:space="preserve"> comprenant chacune une part privative, matériellement divisée, et une quote-part des parties communes (art. 1010 al. 3 </w:t>
      </w:r>
      <w:r w:rsidR="006C072D" w:rsidRPr="006C072D">
        <w:rPr>
          <w:i/>
          <w:iCs/>
        </w:rPr>
        <w:t>C.c.Q</w:t>
      </w:r>
      <w:r w:rsidR="006C072D">
        <w:t>.).</w:t>
      </w:r>
    </w:p>
    <w:p w14:paraId="5E16DD71" w14:textId="4B0034A6" w:rsidR="00816B51" w:rsidRDefault="006C072D" w:rsidP="00507BA1">
      <w:pPr>
        <w:pStyle w:val="Paragraphe"/>
        <w:spacing w:line="280" w:lineRule="exact"/>
      </w:pPr>
      <w:r>
        <w:t>La</w:t>
      </w:r>
      <w:r w:rsidR="00252D40">
        <w:t xml:space="preserve"> copropriété divise est établie par </w:t>
      </w:r>
      <w:r w:rsidR="00386FD5">
        <w:t>la publication d’</w:t>
      </w:r>
      <w:r w:rsidR="00252D40">
        <w:t>une déclaration (art.</w:t>
      </w:r>
      <w:r w:rsidR="00386FD5">
        <w:t> </w:t>
      </w:r>
      <w:r w:rsidR="00252D40">
        <w:t xml:space="preserve">1038 </w:t>
      </w:r>
      <w:r w:rsidR="00252D40" w:rsidRPr="006C072D">
        <w:rPr>
          <w:i/>
          <w:iCs/>
        </w:rPr>
        <w:t>C.c.Q.</w:t>
      </w:r>
      <w:r w:rsidR="00252D40">
        <w:t xml:space="preserve">) qui doit être notariée et en minutes (art. 1059 </w:t>
      </w:r>
      <w:r w:rsidR="00252D40" w:rsidRPr="006C072D">
        <w:rPr>
          <w:i/>
          <w:iCs/>
        </w:rPr>
        <w:t>C.c.Q.</w:t>
      </w:r>
      <w:r w:rsidR="00252D40">
        <w:t>)</w:t>
      </w:r>
      <w:r>
        <w:t xml:space="preserve"> et </w:t>
      </w:r>
      <w:r w:rsidR="00252D40">
        <w:t>inscrit</w:t>
      </w:r>
      <w:r>
        <w:t>e</w:t>
      </w:r>
      <w:r w:rsidR="00252D40">
        <w:t xml:space="preserve"> au registre foncier (art.</w:t>
      </w:r>
      <w:r w:rsidR="00386FD5">
        <w:t> </w:t>
      </w:r>
      <w:r w:rsidR="00252D40">
        <w:t xml:space="preserve">1060 </w:t>
      </w:r>
      <w:r w:rsidR="00252D40" w:rsidRPr="006C072D">
        <w:rPr>
          <w:i/>
          <w:iCs/>
        </w:rPr>
        <w:t>C.c.Q</w:t>
      </w:r>
      <w:r>
        <w:rPr>
          <w:i/>
          <w:iCs/>
        </w:rPr>
        <w:t>.</w:t>
      </w:r>
      <w:r>
        <w:t>)</w:t>
      </w:r>
      <w:r w:rsidR="00813598">
        <w:t xml:space="preserve">. </w:t>
      </w:r>
      <w:r w:rsidR="00386FD5">
        <w:t>Cette déclaration</w:t>
      </w:r>
      <w:r w:rsidR="00813598">
        <w:t xml:space="preserve"> </w:t>
      </w:r>
      <w:r w:rsidR="001909A5">
        <w:t xml:space="preserve">comprend </w:t>
      </w:r>
      <w:r w:rsidR="00252D40">
        <w:t xml:space="preserve">l’acte constitutif de copropriété, le règlement de l’immeuble et </w:t>
      </w:r>
      <w:r w:rsidR="00252D40" w:rsidRPr="00086588">
        <w:t>l’état descriptif des fractions</w:t>
      </w:r>
      <w:r w:rsidR="00252D40">
        <w:t xml:space="preserve"> (art. 1052 </w:t>
      </w:r>
      <w:r w:rsidR="00252D40" w:rsidRPr="006C072D">
        <w:rPr>
          <w:i/>
          <w:iCs/>
        </w:rPr>
        <w:t>C.c.Q.</w:t>
      </w:r>
      <w:r w:rsidR="00252D40">
        <w:t>). L’acte constitutif de copropriété détermine</w:t>
      </w:r>
      <w:r w:rsidR="00500F57">
        <w:t>,</w:t>
      </w:r>
      <w:r w:rsidR="00252D40">
        <w:t xml:space="preserve"> entre autres, la valeur relative de chaque fraction, la quote-part des charges communes et le nombre de voix attachées à chaque fraction (art.</w:t>
      </w:r>
      <w:r w:rsidR="00386FD5">
        <w:t> </w:t>
      </w:r>
      <w:r w:rsidR="00252D40">
        <w:t xml:space="preserve">1053 </w:t>
      </w:r>
      <w:r w:rsidR="00252D40" w:rsidRPr="00813598">
        <w:rPr>
          <w:i/>
          <w:iCs/>
        </w:rPr>
        <w:t>C.c.Q</w:t>
      </w:r>
      <w:r w:rsidR="00252D40" w:rsidRPr="00086588">
        <w:rPr>
          <w:i/>
          <w:iCs/>
        </w:rPr>
        <w:t>.</w:t>
      </w:r>
      <w:r w:rsidR="00252D40" w:rsidRPr="00086588">
        <w:t>). L’état descriptif des fractions contient la désignation cadastrale</w:t>
      </w:r>
      <w:r w:rsidR="00252D40">
        <w:t xml:space="preserve"> des parties privatives et des parties communes de l’immeuble (art. 1055 </w:t>
      </w:r>
      <w:r w:rsidR="00252D40" w:rsidRPr="006C072D">
        <w:rPr>
          <w:i/>
          <w:iCs/>
        </w:rPr>
        <w:t>C.c.Q.</w:t>
      </w:r>
      <w:r w:rsidR="00252D40">
        <w:t>).</w:t>
      </w:r>
    </w:p>
    <w:p w14:paraId="337D07DC" w14:textId="74F1FEF2" w:rsidR="008B3F22" w:rsidRDefault="001909A5" w:rsidP="00507BA1">
      <w:pPr>
        <w:pStyle w:val="Paragraphe"/>
        <w:spacing w:line="280" w:lineRule="exact"/>
      </w:pPr>
      <w:r>
        <w:t>En l’espèce, la déclaration de copropriété est intervenu</w:t>
      </w:r>
      <w:r w:rsidR="004F1189">
        <w:t>e</w:t>
      </w:r>
      <w:r>
        <w:t xml:space="preserve"> sous le régime du </w:t>
      </w:r>
      <w:r w:rsidRPr="00507BA1">
        <w:rPr>
          <w:i/>
          <w:iCs/>
        </w:rPr>
        <w:t>Code civil du Bas-Canada</w:t>
      </w:r>
      <w:r>
        <w:t xml:space="preserve"> et </w:t>
      </w:r>
      <w:r w:rsidR="004F1189">
        <w:t>sa</w:t>
      </w:r>
      <w:r>
        <w:t xml:space="preserve"> facture et </w:t>
      </w:r>
      <w:r w:rsidR="004F1189">
        <w:t>son</w:t>
      </w:r>
      <w:r>
        <w:t xml:space="preserve"> vocabulaire </w:t>
      </w:r>
      <w:r w:rsidR="006C072D">
        <w:t>en sont le</w:t>
      </w:r>
      <w:r w:rsidR="004F1189">
        <w:t xml:space="preserve"> refl</w:t>
      </w:r>
      <w:r w:rsidR="006C072D">
        <w:t>et</w:t>
      </w:r>
      <w:r w:rsidR="00B83EC3">
        <w:t xml:space="preserve">. Elle énumère </w:t>
      </w:r>
      <w:r w:rsidR="00D039CF">
        <w:t>au paragraphe</w:t>
      </w:r>
      <w:r w:rsidR="004B6C15">
        <w:t xml:space="preserve"> 2.1.2 </w:t>
      </w:r>
      <w:r w:rsidR="00A9756C">
        <w:t xml:space="preserve">les </w:t>
      </w:r>
      <w:r w:rsidR="00B83EC3">
        <w:t>parties exclusives</w:t>
      </w:r>
      <w:r w:rsidR="00FD02EC">
        <w:t xml:space="preserve"> </w:t>
      </w:r>
      <w:r w:rsidR="00A9756C">
        <w:t xml:space="preserve">– aujourd’hui </w:t>
      </w:r>
      <w:r w:rsidR="006A0FF2">
        <w:t xml:space="preserve">appelées parties </w:t>
      </w:r>
      <w:r w:rsidR="00A9756C" w:rsidRPr="005C3E65">
        <w:t>privatives</w:t>
      </w:r>
      <w:r w:rsidR="00FD02EC" w:rsidRPr="005C3E65">
        <w:t> – et</w:t>
      </w:r>
      <w:r w:rsidR="00B83EC3" w:rsidRPr="005C3E65">
        <w:t xml:space="preserve"> </w:t>
      </w:r>
      <w:r w:rsidR="00920021">
        <w:t xml:space="preserve">décrit </w:t>
      </w:r>
      <w:r w:rsidR="00B83EC3" w:rsidRPr="005C3E65">
        <w:t>le</w:t>
      </w:r>
      <w:r w:rsidR="006A0FF2">
        <w:t>ur</w:t>
      </w:r>
      <w:r w:rsidR="00B83EC3" w:rsidRPr="005C3E65">
        <w:t>s</w:t>
      </w:r>
      <w:r w:rsidR="00B83EC3">
        <w:t xml:space="preserve"> </w:t>
      </w:r>
      <w:r w:rsidR="00A9756C">
        <w:t>b</w:t>
      </w:r>
      <w:r w:rsidR="00B83EC3">
        <w:t xml:space="preserve">ornes en </w:t>
      </w:r>
      <w:r w:rsidR="00386FD5">
        <w:t>indiquant</w:t>
      </w:r>
      <w:r w:rsidR="00B83EC3">
        <w:t xml:space="preserve"> </w:t>
      </w:r>
      <w:r w:rsidR="00813598">
        <w:t>ce qui était</w:t>
      </w:r>
      <w:r w:rsidR="00920021">
        <w:t xml:space="preserve">, </w:t>
      </w:r>
      <w:r w:rsidR="00813598">
        <w:t>à l’époque</w:t>
      </w:r>
      <w:r w:rsidR="00920021">
        <w:t>, le</w:t>
      </w:r>
      <w:r w:rsidR="00B83EC3">
        <w:t>s numéros de lot</w:t>
      </w:r>
      <w:r w:rsidR="004F1189">
        <w:t xml:space="preserve"> </w:t>
      </w:r>
      <w:r w:rsidR="00920021">
        <w:t xml:space="preserve">apparaissant aux </w:t>
      </w:r>
      <w:r w:rsidR="004F1189">
        <w:t xml:space="preserve">plans et </w:t>
      </w:r>
      <w:r w:rsidR="00920021">
        <w:t>l</w:t>
      </w:r>
      <w:r w:rsidR="004F1189">
        <w:t>ivres de renvoi officiels de la municipalité de la Paroisse de Montréal</w:t>
      </w:r>
      <w:r w:rsidR="00B83EC3">
        <w:t xml:space="preserve">. </w:t>
      </w:r>
      <w:r w:rsidR="00A9756C">
        <w:t>La partie exclusive</w:t>
      </w:r>
      <w:r w:rsidR="00813598">
        <w:t xml:space="preserve"> des</w:t>
      </w:r>
      <w:r w:rsidR="004F1189">
        <w:t xml:space="preserve"> intimés est dé</w:t>
      </w:r>
      <w:r w:rsidR="00280A5E">
        <w:t>signé</w:t>
      </w:r>
      <w:r w:rsidR="00A9756C">
        <w:t>e</w:t>
      </w:r>
      <w:r w:rsidR="00280A5E">
        <w:t xml:space="preserve"> </w:t>
      </w:r>
      <w:r w:rsidR="00B83EC3">
        <w:t>lot 6055-</w:t>
      </w:r>
      <w:r w:rsidR="00280A5E">
        <w:t>2</w:t>
      </w:r>
      <w:r w:rsidR="00B83EC3">
        <w:t xml:space="preserve"> </w:t>
      </w:r>
      <w:r w:rsidR="00920021">
        <w:t xml:space="preserve">et il est stipulé qu’elle est </w:t>
      </w:r>
      <w:r w:rsidR="00B83EC3">
        <w:t>bor</w:t>
      </w:r>
      <w:r w:rsidR="004F1189">
        <w:t>n</w:t>
      </w:r>
      <w:r w:rsidR="00B83EC3">
        <w:t>é</w:t>
      </w:r>
      <w:r w:rsidR="00920021">
        <w:t>e</w:t>
      </w:r>
      <w:r w:rsidR="00B83EC3">
        <w:t xml:space="preserve"> </w:t>
      </w:r>
      <w:r w:rsidR="004F1189">
        <w:t xml:space="preserve">vers le sud-ouest par le lot 6055-3, </w:t>
      </w:r>
      <w:r w:rsidR="00503AC8">
        <w:t>celui</w:t>
      </w:r>
      <w:r w:rsidR="004F1189">
        <w:t xml:space="preserve"> </w:t>
      </w:r>
      <w:r w:rsidR="00813598">
        <w:t>d</w:t>
      </w:r>
      <w:r w:rsidR="004F1189">
        <w:t xml:space="preserve">es appelants. Ces lots ont fait l’objet d’une </w:t>
      </w:r>
      <w:r w:rsidR="00B83EC3">
        <w:t>rénovation cadastrale</w:t>
      </w:r>
      <w:r w:rsidR="004F1189">
        <w:t xml:space="preserve"> en 2001</w:t>
      </w:r>
      <w:r w:rsidR="00B83EC3">
        <w:t xml:space="preserve"> </w:t>
      </w:r>
      <w:r w:rsidR="00E1409A">
        <w:t xml:space="preserve">et sont </w:t>
      </w:r>
      <w:r w:rsidR="004F1189">
        <w:t>aujourd’hui</w:t>
      </w:r>
      <w:r w:rsidR="00920021">
        <w:t xml:space="preserve"> connus</w:t>
      </w:r>
      <w:r w:rsidR="00813598">
        <w:t>, respectivement,</w:t>
      </w:r>
      <w:r w:rsidR="004F1189">
        <w:t xml:space="preserve"> comme les </w:t>
      </w:r>
      <w:r w:rsidR="006A0FF2">
        <w:t>L</w:t>
      </w:r>
      <w:r w:rsidR="004F1189">
        <w:t>ots 764 et 765.</w:t>
      </w:r>
    </w:p>
    <w:p w14:paraId="39E39999" w14:textId="7639ADA1" w:rsidR="00E77672" w:rsidRDefault="00E1409A" w:rsidP="00507BA1">
      <w:pPr>
        <w:pStyle w:val="Paragraphe"/>
        <w:spacing w:line="280" w:lineRule="exact"/>
      </w:pPr>
      <w:r w:rsidRPr="005C3E65">
        <w:t>L’art</w:t>
      </w:r>
      <w:r w:rsidR="00EA60FE" w:rsidRPr="005C3E65">
        <w:t>icle</w:t>
      </w:r>
      <w:r w:rsidRPr="005C3E65">
        <w:t xml:space="preserve"> 1062 </w:t>
      </w:r>
      <w:r w:rsidRPr="005C3E65">
        <w:rPr>
          <w:i/>
          <w:iCs/>
        </w:rPr>
        <w:t>C.</w:t>
      </w:r>
      <w:r w:rsidRPr="00813598">
        <w:rPr>
          <w:i/>
          <w:iCs/>
        </w:rPr>
        <w:t>c.Q.</w:t>
      </w:r>
      <w:r>
        <w:t xml:space="preserve"> prévoit que la</w:t>
      </w:r>
      <w:r w:rsidR="00E77672">
        <w:t xml:space="preserve"> </w:t>
      </w:r>
      <w:r w:rsidR="00583AC9">
        <w:t>déclaration de copropriété lie les copropriétaires, leurs ayant</w:t>
      </w:r>
      <w:r w:rsidR="00500F57">
        <w:t>s</w:t>
      </w:r>
      <w:r w:rsidR="00583AC9">
        <w:t xml:space="preserve"> cause et les personnes qui l’ont signée et </w:t>
      </w:r>
      <w:r w:rsidR="00813598">
        <w:t xml:space="preserve">qu’elle </w:t>
      </w:r>
      <w:r w:rsidR="00583AC9">
        <w:t>produit ses effets envers eux, à compter de son inscription</w:t>
      </w:r>
      <w:r>
        <w:t xml:space="preserve">. En l’espèce, elle </w:t>
      </w:r>
      <w:r w:rsidR="005C3E65">
        <w:t>produit</w:t>
      </w:r>
      <w:r>
        <w:t xml:space="preserve"> </w:t>
      </w:r>
      <w:r w:rsidR="00813598">
        <w:t>s</w:t>
      </w:r>
      <w:r>
        <w:t>es effets depuis</w:t>
      </w:r>
      <w:r w:rsidR="00A9756C">
        <w:t xml:space="preserve"> son inscription en</w:t>
      </w:r>
      <w:r>
        <w:t xml:space="preserve"> </w:t>
      </w:r>
      <w:r w:rsidR="00280A5E">
        <w:t>1991</w:t>
      </w:r>
      <w:r w:rsidR="00583AC9">
        <w:t xml:space="preserve">. </w:t>
      </w:r>
      <w:r w:rsidR="00A9756C" w:rsidRPr="00B3081C">
        <w:t>L</w:t>
      </w:r>
      <w:r w:rsidRPr="00B3081C">
        <w:t>es appelants et les intimés sont</w:t>
      </w:r>
      <w:r w:rsidR="00920021">
        <w:t xml:space="preserve"> donc</w:t>
      </w:r>
      <w:r w:rsidRPr="00B3081C">
        <w:t xml:space="preserve"> </w:t>
      </w:r>
      <w:r w:rsidR="00280A5E" w:rsidRPr="00B3081C">
        <w:t>lié</w:t>
      </w:r>
      <w:r w:rsidRPr="00B3081C">
        <w:t>s</w:t>
      </w:r>
      <w:r w:rsidR="00280A5E" w:rsidRPr="00B3081C">
        <w:t xml:space="preserve"> par</w:t>
      </w:r>
      <w:r w:rsidR="00816B51" w:rsidRPr="00B3081C">
        <w:t xml:space="preserve"> la déclaration </w:t>
      </w:r>
      <w:r w:rsidR="00280A5E" w:rsidRPr="00B3081C">
        <w:t>et doi</w:t>
      </w:r>
      <w:r w:rsidRPr="00B3081C">
        <w:t>ven</w:t>
      </w:r>
      <w:r w:rsidR="00280A5E" w:rsidRPr="00B3081C">
        <w:t>t s’y conformer</w:t>
      </w:r>
      <w:r w:rsidR="00816B51" w:rsidRPr="00B3081C">
        <w:rPr>
          <w:rStyle w:val="Appelnotedebasdep"/>
        </w:rPr>
        <w:footnoteReference w:id="6"/>
      </w:r>
      <w:r w:rsidR="00816B51" w:rsidRPr="00B3081C">
        <w:t>.</w:t>
      </w:r>
      <w:r w:rsidR="00816B51" w:rsidRPr="00450F1E">
        <w:t xml:space="preserve"> </w:t>
      </w:r>
      <w:r w:rsidR="00280A5E" w:rsidRPr="00450F1E">
        <w:t>L</w:t>
      </w:r>
      <w:r w:rsidR="00E77672" w:rsidRPr="00450F1E">
        <w:t xml:space="preserve">a clause 17.2 de la déclaration de copropriété intervenue le </w:t>
      </w:r>
      <w:r w:rsidR="00E77672" w:rsidRPr="00450F1E">
        <w:lastRenderedPageBreak/>
        <w:t>12</w:t>
      </w:r>
      <w:r w:rsidR="0022544B">
        <w:t> </w:t>
      </w:r>
      <w:r w:rsidR="00E77672" w:rsidRPr="00450F1E">
        <w:t xml:space="preserve">mars 1991 </w:t>
      </w:r>
      <w:r w:rsidR="00920021">
        <w:t xml:space="preserve">le </w:t>
      </w:r>
      <w:r w:rsidR="00A9756C" w:rsidRPr="00450F1E">
        <w:t xml:space="preserve">réitère </w:t>
      </w:r>
      <w:r w:rsidR="00920021">
        <w:t xml:space="preserve">d’ailleurs, </w:t>
      </w:r>
      <w:r w:rsidR="00280A5E" w:rsidRPr="00450F1E">
        <w:t xml:space="preserve">tout comme l’acte de vente </w:t>
      </w:r>
      <w:r w:rsidR="0022544B">
        <w:t>en vertu</w:t>
      </w:r>
      <w:r w:rsidR="00280A5E" w:rsidRPr="00450F1E">
        <w:t xml:space="preserve"> </w:t>
      </w:r>
      <w:r w:rsidR="0022544B">
        <w:t>du</w:t>
      </w:r>
      <w:r w:rsidR="00280A5E" w:rsidRPr="00450F1E">
        <w:t>quel les appelants</w:t>
      </w:r>
      <w:r w:rsidR="00F570B4" w:rsidRPr="00450F1E">
        <w:t xml:space="preserve"> ont acquis</w:t>
      </w:r>
      <w:r w:rsidRPr="00450F1E">
        <w:t>,</w:t>
      </w:r>
      <w:r w:rsidR="00F570B4" w:rsidRPr="00450F1E">
        <w:t xml:space="preserve"> entre autre</w:t>
      </w:r>
      <w:r w:rsidRPr="00450F1E">
        <w:t>s,</w:t>
      </w:r>
      <w:r w:rsidR="00F570B4" w:rsidRPr="00450F1E">
        <w:t xml:space="preserve"> la partie privative constituée du </w:t>
      </w:r>
      <w:r w:rsidR="006A0FF2">
        <w:t>L</w:t>
      </w:r>
      <w:r w:rsidR="00F570B4" w:rsidRPr="00450F1E">
        <w:t>ot 765</w:t>
      </w:r>
      <w:r w:rsidR="00280A5E" w:rsidRPr="00450F1E">
        <w:rPr>
          <w:rStyle w:val="Appelnotedebasdep"/>
        </w:rPr>
        <w:footnoteReference w:id="7"/>
      </w:r>
      <w:r w:rsidR="00280A5E" w:rsidRPr="00450F1E">
        <w:t>.</w:t>
      </w:r>
    </w:p>
    <w:p w14:paraId="7A1D85C0" w14:textId="5695C700" w:rsidR="00156AD6" w:rsidRDefault="00CB6CDF" w:rsidP="00507BA1">
      <w:pPr>
        <w:pStyle w:val="Paragraphe"/>
        <w:spacing w:line="280" w:lineRule="exact"/>
      </w:pPr>
      <w:r>
        <w:t xml:space="preserve">L’article 1049 </w:t>
      </w:r>
      <w:r w:rsidRPr="00E95BBD">
        <w:rPr>
          <w:i/>
          <w:iCs/>
        </w:rPr>
        <w:t>C.c.Q</w:t>
      </w:r>
      <w:r>
        <w:t xml:space="preserve">. prévoit que « l’aliénation </w:t>
      </w:r>
      <w:r w:rsidR="00156AD6">
        <w:t>d’une</w:t>
      </w:r>
      <w:r>
        <w:t xml:space="preserve"> partie divise d’une partie </w:t>
      </w:r>
      <w:r w:rsidR="00156AD6">
        <w:t>privative</w:t>
      </w:r>
      <w:r>
        <w:t xml:space="preserve"> est sans effet si la déclaration de </w:t>
      </w:r>
      <w:r w:rsidR="00156AD6">
        <w:t>copropriété</w:t>
      </w:r>
      <w:r>
        <w:t xml:space="preserve"> et le plan cadastral n’ont pas été préalablement modifiés […] pour faire état des modifications apportée</w:t>
      </w:r>
      <w:r w:rsidR="00500F57">
        <w:t>s</w:t>
      </w:r>
      <w:r>
        <w:t xml:space="preserve"> aux </w:t>
      </w:r>
      <w:r w:rsidR="00D9251A">
        <w:t xml:space="preserve">limites des parties privatives </w:t>
      </w:r>
      <w:r>
        <w:t>contigu</w:t>
      </w:r>
      <w:r w:rsidR="00D9251A">
        <w:t>ë</w:t>
      </w:r>
      <w:r>
        <w:t xml:space="preserve">s » (art. 1049 </w:t>
      </w:r>
      <w:r w:rsidRPr="00CB6CDF">
        <w:rPr>
          <w:i/>
          <w:iCs/>
        </w:rPr>
        <w:t>C.c.Q.</w:t>
      </w:r>
      <w:r>
        <w:t>).</w:t>
      </w:r>
    </w:p>
    <w:p w14:paraId="3516E42D" w14:textId="7F54473A" w:rsidR="00156AD6" w:rsidRDefault="00CB6CDF" w:rsidP="00507BA1">
      <w:pPr>
        <w:pStyle w:val="Paragraphe"/>
        <w:spacing w:line="280" w:lineRule="exact"/>
      </w:pPr>
      <w:r>
        <w:t xml:space="preserve">L’exigence relative à la modification du plan cadastral est </w:t>
      </w:r>
      <w:r w:rsidR="00920021" w:rsidRPr="005C3E65">
        <w:t>une application plus spécifique de la règle générale prévue à 3030 al.2</w:t>
      </w:r>
      <w:r w:rsidR="00804C12">
        <w:t xml:space="preserve">. </w:t>
      </w:r>
      <w:r w:rsidR="00156AD6" w:rsidRPr="00FF5444">
        <w:rPr>
          <w:i/>
          <w:iCs/>
        </w:rPr>
        <w:t>C.c.Q.</w:t>
      </w:r>
      <w:r w:rsidR="00156AD6">
        <w:t xml:space="preserve"> C’est le propriétaire dont le lot est soumis au morcellement, en l’espèce les intimés, qui s</w:t>
      </w:r>
      <w:r w:rsidR="00FF5444">
        <w:t xml:space="preserve">igne le document d’approbation reçu en minutes par l’arpenteur géomètre (art. 3043 </w:t>
      </w:r>
      <w:r w:rsidR="00FF5444" w:rsidRPr="00FF5444">
        <w:rPr>
          <w:i/>
          <w:iCs/>
        </w:rPr>
        <w:t>C.c.Q.</w:t>
      </w:r>
      <w:r w:rsidR="00FF5444">
        <w:t>).</w:t>
      </w:r>
    </w:p>
    <w:p w14:paraId="4C82746A" w14:textId="75EF7B26" w:rsidR="00FF5444" w:rsidRDefault="00804C12" w:rsidP="00507BA1">
      <w:pPr>
        <w:pStyle w:val="Paragraphe"/>
        <w:spacing w:line="280" w:lineRule="exact"/>
      </w:pPr>
      <w:r>
        <w:t xml:space="preserve">La modification de la déclaration </w:t>
      </w:r>
      <w:r w:rsidR="00FF5444">
        <w:t xml:space="preserve">de copropriété </w:t>
      </w:r>
      <w:r w:rsidR="006879F5">
        <w:t>et</w:t>
      </w:r>
      <w:r w:rsidR="00A8111A">
        <w:t>,</w:t>
      </w:r>
      <w:r w:rsidR="006879F5">
        <w:t xml:space="preserve"> en particulier</w:t>
      </w:r>
      <w:r w:rsidR="00A8111A">
        <w:t xml:space="preserve"> (i) de</w:t>
      </w:r>
      <w:r w:rsidR="006879F5">
        <w:t xml:space="preserve"> l’état descriptif des fractions </w:t>
      </w:r>
      <w:r w:rsidR="00A8111A">
        <w:t>en ce qui a trait aux n</w:t>
      </w:r>
      <w:r w:rsidR="006879F5">
        <w:t>ouvelles désignations cadastrales</w:t>
      </w:r>
      <w:r w:rsidR="00A8111A">
        <w:t>,</w:t>
      </w:r>
      <w:r w:rsidR="006879F5">
        <w:t xml:space="preserve"> et </w:t>
      </w:r>
      <w:r w:rsidR="00A8111A">
        <w:t xml:space="preserve">(ii) </w:t>
      </w:r>
      <w:r w:rsidR="00FF5444">
        <w:t>de l’acte constitutif</w:t>
      </w:r>
      <w:r w:rsidR="006879F5">
        <w:t xml:space="preserve"> </w:t>
      </w:r>
      <w:r w:rsidR="00A8111A">
        <w:t xml:space="preserve">en lien avec </w:t>
      </w:r>
      <w:r w:rsidR="006879F5">
        <w:t>la valeur des nouvelles fractions, l</w:t>
      </w:r>
      <w:r w:rsidR="00A8111A">
        <w:t>a</w:t>
      </w:r>
      <w:r w:rsidR="006879F5">
        <w:t xml:space="preserve"> quot</w:t>
      </w:r>
      <w:r w:rsidR="00A8111A">
        <w:t>e-</w:t>
      </w:r>
      <w:r w:rsidR="006879F5">
        <w:t>part des charges et le nombre de voix attachées aux fractions</w:t>
      </w:r>
      <w:r w:rsidR="00FF5444">
        <w:t xml:space="preserve">, </w:t>
      </w:r>
      <w:r w:rsidR="00A8111A">
        <w:t>est prise,</w:t>
      </w:r>
      <w:r w:rsidR="006879F5">
        <w:t xml:space="preserve"> en principe</w:t>
      </w:r>
      <w:r w:rsidR="00A8111A">
        <w:t>,</w:t>
      </w:r>
      <w:r>
        <w:t xml:space="preserve"> </w:t>
      </w:r>
      <w:r w:rsidR="00D9251A">
        <w:t>aux</w:t>
      </w:r>
      <w:r w:rsidR="00A9342A">
        <w:t xml:space="preserve"> trois quarts des voix des copropriétaires, présents ou représentés </w:t>
      </w:r>
      <w:r w:rsidR="006A0FF2">
        <w:t xml:space="preserve">à l’assemblée convoquée à cette fin </w:t>
      </w:r>
      <w:r w:rsidR="00A9342A">
        <w:t xml:space="preserve">(art. 1097 </w:t>
      </w:r>
      <w:r w:rsidR="00A9342A" w:rsidRPr="00156AD6">
        <w:rPr>
          <w:i/>
          <w:iCs/>
        </w:rPr>
        <w:t>C.c.Q.</w:t>
      </w:r>
      <w:r w:rsidR="00A9342A">
        <w:t>)</w:t>
      </w:r>
      <w:r w:rsidR="005C3E65">
        <w:t>.</w:t>
      </w:r>
    </w:p>
    <w:p w14:paraId="00926D5B" w14:textId="67B8B02A" w:rsidR="00CF43C4" w:rsidRDefault="006879F5" w:rsidP="00507BA1">
      <w:pPr>
        <w:pStyle w:val="Paragraphe"/>
        <w:spacing w:line="280" w:lineRule="exact"/>
      </w:pPr>
      <w:r>
        <w:t xml:space="preserve">L’article 1100 </w:t>
      </w:r>
      <w:r w:rsidRPr="00E95BBD">
        <w:rPr>
          <w:i/>
          <w:iCs/>
        </w:rPr>
        <w:t>C.c.Q</w:t>
      </w:r>
      <w:r>
        <w:t xml:space="preserve">. prévoit </w:t>
      </w:r>
      <w:r w:rsidR="006A0FF2">
        <w:t xml:space="preserve">toutefois </w:t>
      </w:r>
      <w:r>
        <w:t xml:space="preserve">un </w:t>
      </w:r>
      <w:r w:rsidR="00A9342A">
        <w:t xml:space="preserve">mécanisme </w:t>
      </w:r>
      <w:r w:rsidR="00804C12">
        <w:t>plus</w:t>
      </w:r>
      <w:r w:rsidR="00765781">
        <w:t xml:space="preserve"> simple, plus ra</w:t>
      </w:r>
      <w:r w:rsidR="00280A5E">
        <w:t>pi</w:t>
      </w:r>
      <w:r w:rsidR="00765781">
        <w:t>de et moins onéreux</w:t>
      </w:r>
      <w:r w:rsidR="00156AD6">
        <w:t xml:space="preserve"> qui n’est pas assujetti à l’approbation des copropriétaires, mais seulement à c</w:t>
      </w:r>
      <w:r w:rsidR="00503AC8">
        <w:t>elle</w:t>
      </w:r>
      <w:r w:rsidR="00156AD6">
        <w:t xml:space="preserve"> du syndicat</w:t>
      </w:r>
      <w:r w:rsidR="00765781">
        <w:rPr>
          <w:rStyle w:val="Appelnotedebasdep"/>
        </w:rPr>
        <w:footnoteReference w:id="8"/>
      </w:r>
      <w:r w:rsidR="00765781">
        <w:t xml:space="preserve"> </w:t>
      </w:r>
      <w:r>
        <w:t>l</w:t>
      </w:r>
      <w:r w:rsidRPr="006879F5">
        <w:t xml:space="preserve">orsque les limites des parties privatives </w:t>
      </w:r>
      <w:r w:rsidR="00CE5D81">
        <w:t xml:space="preserve">à modifier sont </w:t>
      </w:r>
      <w:r w:rsidRPr="006879F5">
        <w:t>contig</w:t>
      </w:r>
      <w:r w:rsidR="00E95BBD">
        <w:t>uë</w:t>
      </w:r>
      <w:r w:rsidRPr="006879F5">
        <w:t>s</w:t>
      </w:r>
      <w:r>
        <w:t>.</w:t>
      </w:r>
      <w:r w:rsidR="001909A5">
        <w:t xml:space="preserve"> </w:t>
      </w:r>
      <w:r w:rsidR="006A0FF2">
        <w:t xml:space="preserve">Pour </w:t>
      </w:r>
      <w:r w:rsidR="00CE5D81">
        <w:t>être en mesure de s’</w:t>
      </w:r>
      <w:r w:rsidR="006A0FF2">
        <w:t>en pr</w:t>
      </w:r>
      <w:r w:rsidR="00CE5D81">
        <w:t>évaloir</w:t>
      </w:r>
      <w:r w:rsidR="006A0FF2">
        <w:t xml:space="preserve">, les parties doivent, entre autres, </w:t>
      </w:r>
      <w:r w:rsidR="00156AD6">
        <w:t>(i)</w:t>
      </w:r>
      <w:r w:rsidR="00507BA1">
        <w:t> </w:t>
      </w:r>
      <w:r w:rsidR="00156AD6">
        <w:t xml:space="preserve">obtenir </w:t>
      </w:r>
      <w:r w:rsidR="00804C12">
        <w:t>le consentement du créancier hypothécaire et du syndicat</w:t>
      </w:r>
      <w:r w:rsidR="00156AD6">
        <w:t xml:space="preserve"> donné par le conseil </w:t>
      </w:r>
      <w:r w:rsidR="00507BA1">
        <w:t>d’administration</w:t>
      </w:r>
      <w:r w:rsidR="00507BA1" w:rsidRPr="00C92729">
        <w:rPr>
          <w:rStyle w:val="Appelnotedebasdep"/>
        </w:rPr>
        <w:footnoteReference w:id="9"/>
      </w:r>
      <w:r w:rsidR="00507BA1">
        <w:t xml:space="preserve">, et (ii) faire modifier, à leurs frais, la déclaration de copropriété et le plan cadastral par le syndicat. L’article 1100 </w:t>
      </w:r>
      <w:r w:rsidR="00507BA1" w:rsidRPr="00156AD6">
        <w:rPr>
          <w:i/>
          <w:iCs/>
        </w:rPr>
        <w:t>C.c.Q.</w:t>
      </w:r>
      <w:r w:rsidR="00507BA1">
        <w:t xml:space="preserve"> se lit comme suit :</w:t>
      </w:r>
    </w:p>
    <w:p w14:paraId="4B8ED985" w14:textId="6F24C4FB" w:rsidR="00CC2D4E" w:rsidRDefault="00CC2D4E" w:rsidP="00507BA1">
      <w:pPr>
        <w:pStyle w:val="Citationenretrait"/>
      </w:pPr>
      <w:r>
        <w:t>1100.</w:t>
      </w:r>
      <w:r w:rsidR="00507BA1">
        <w:tab/>
      </w:r>
      <w:r>
        <w:t xml:space="preserve">Les copropriétaires de parties privatives </w:t>
      </w:r>
      <w:r w:rsidR="00500F57">
        <w:t>contigües</w:t>
      </w:r>
      <w:r>
        <w:t xml:space="preserve"> peuvent modifier les limites de leur partie privative sans l’accord de l’assemblée, à la condition d’obtenir le consentement de leur créancier hypothécaire et du syndicat. La modification ne peut augmenter ou diminuer la valeur relative de l’ensemble des parties privatives modifiées ou l’ensemble des droits de vote qui y sont attachés.</w:t>
      </w:r>
    </w:p>
    <w:p w14:paraId="5BEF706D" w14:textId="6CCC5540" w:rsidR="00A9342A" w:rsidRDefault="00CC2D4E" w:rsidP="00507BA1">
      <w:pPr>
        <w:pStyle w:val="Citationenretrait"/>
      </w:pPr>
      <w:r>
        <w:t xml:space="preserve">Le syndicat modifie la déclaration de copropriété et </w:t>
      </w:r>
      <w:r w:rsidRPr="00B40D86">
        <w:t>le plan cadastral</w:t>
      </w:r>
      <w:r>
        <w:t xml:space="preserve"> aux frais de ces copropriétaires; l’acte de modification doit être accompagné des consentements des créanciers, des copropriétaires et du syndicat</w:t>
      </w:r>
      <w:r w:rsidR="00071001">
        <w:t>.</w:t>
      </w:r>
    </w:p>
    <w:p w14:paraId="2A2831A5" w14:textId="4AB715CE" w:rsidR="0028559A" w:rsidRDefault="00804C12" w:rsidP="005340F4">
      <w:pPr>
        <w:pStyle w:val="Paragraphe"/>
        <w:spacing w:line="280" w:lineRule="exact"/>
      </w:pPr>
      <w:r>
        <w:lastRenderedPageBreak/>
        <w:t>L</w:t>
      </w:r>
      <w:r w:rsidRPr="005C3E65">
        <w:t>es modifications qui sont apportées à l’état descriptif des fractions doivent être faites par acte notarié et en minute</w:t>
      </w:r>
      <w:r>
        <w:t xml:space="preserve"> (art. </w:t>
      </w:r>
      <w:r w:rsidRPr="005C3E65">
        <w:t>1059</w:t>
      </w:r>
      <w:r>
        <w:t xml:space="preserve"> </w:t>
      </w:r>
      <w:r w:rsidRPr="005C3E65">
        <w:rPr>
          <w:i/>
          <w:iCs/>
        </w:rPr>
        <w:t>C.c.Q.</w:t>
      </w:r>
      <w:r>
        <w:t xml:space="preserve">). </w:t>
      </w:r>
      <w:r w:rsidR="00823258">
        <w:t xml:space="preserve">En principe, </w:t>
      </w:r>
      <w:r>
        <w:t>autant le plan cadastral que l</w:t>
      </w:r>
      <w:r w:rsidR="0028559A">
        <w:t>a déclaration</w:t>
      </w:r>
      <w:r w:rsidR="00823258">
        <w:t xml:space="preserve"> de copropriété doi</w:t>
      </w:r>
      <w:r>
        <w:t xml:space="preserve">vent </w:t>
      </w:r>
      <w:r w:rsidR="00823258">
        <w:t>être modifié</w:t>
      </w:r>
      <w:r>
        <w:t>s</w:t>
      </w:r>
      <w:r w:rsidR="00823258">
        <w:t xml:space="preserve"> avant l’aliénation</w:t>
      </w:r>
      <w:r w:rsidR="0028559A">
        <w:t>, mais</w:t>
      </w:r>
      <w:r w:rsidR="00500F57">
        <w:t>,</w:t>
      </w:r>
      <w:r w:rsidR="0028559A">
        <w:t xml:space="preserve"> </w:t>
      </w:r>
      <w:r w:rsidR="00280A5E">
        <w:t xml:space="preserve">selon l’autrice Gagnon, </w:t>
      </w:r>
      <w:r>
        <w:t>la déclaration de copropriété peut être modifié</w:t>
      </w:r>
      <w:r w:rsidR="00500F57">
        <w:t>e</w:t>
      </w:r>
      <w:r w:rsidR="0028559A">
        <w:t xml:space="preserve"> </w:t>
      </w:r>
      <w:r w:rsidR="006879F5">
        <w:t xml:space="preserve">dans </w:t>
      </w:r>
      <w:r w:rsidR="0028559A">
        <w:t>le même acte</w:t>
      </w:r>
      <w:r w:rsidR="00280A5E">
        <w:t xml:space="preserve"> que l’aliénation</w:t>
      </w:r>
      <w:r w:rsidR="0028559A">
        <w:rPr>
          <w:rStyle w:val="Appelnotedebasdep"/>
        </w:rPr>
        <w:footnoteReference w:id="10"/>
      </w:r>
      <w:r w:rsidR="0028559A">
        <w:t>.</w:t>
      </w:r>
    </w:p>
    <w:p w14:paraId="080D4534" w14:textId="0C6A5863" w:rsidR="008D320B" w:rsidRDefault="00765781" w:rsidP="005340F4">
      <w:pPr>
        <w:pStyle w:val="Paragraphe"/>
        <w:spacing w:line="280" w:lineRule="exact"/>
      </w:pPr>
      <w:r>
        <w:t>Bref, l</w:t>
      </w:r>
      <w:r w:rsidR="00CC2D4E">
        <w:t xml:space="preserve">es parties </w:t>
      </w:r>
      <w:r w:rsidR="002C298B">
        <w:t xml:space="preserve">à </w:t>
      </w:r>
      <w:r w:rsidR="001909A5">
        <w:t>la</w:t>
      </w:r>
      <w:r w:rsidR="002C298B">
        <w:t xml:space="preserve"> déclaration de </w:t>
      </w:r>
      <w:r w:rsidR="002C298B" w:rsidRPr="00450F1E">
        <w:t xml:space="preserve">copropriété </w:t>
      </w:r>
      <w:r w:rsidR="00823258" w:rsidRPr="00450F1E">
        <w:t>conviennent</w:t>
      </w:r>
      <w:r w:rsidR="00280A5E" w:rsidRPr="00450F1E">
        <w:t xml:space="preserve"> </w:t>
      </w:r>
      <w:r w:rsidR="005E77EF" w:rsidRPr="00450F1E">
        <w:t xml:space="preserve">des limites des parties privatives </w:t>
      </w:r>
      <w:r w:rsidR="00280A5E" w:rsidRPr="00450F1E">
        <w:t>dans l’acte juridique que constitue la déclaration de copropriété</w:t>
      </w:r>
      <w:r w:rsidR="00A9756C">
        <w:rPr>
          <w:rStyle w:val="Appelnotedebasdep"/>
        </w:rPr>
        <w:footnoteReference w:id="11"/>
      </w:r>
      <w:r w:rsidR="00A9756C">
        <w:t xml:space="preserve">, </w:t>
      </w:r>
      <w:r w:rsidR="00A9756C" w:rsidRPr="00C77CEC">
        <w:t xml:space="preserve">par la voie de la désignation cadastrale apparaissant à l’état descriptif des fractions qui renvoie </w:t>
      </w:r>
      <w:r w:rsidR="00823258" w:rsidRPr="00C77CEC">
        <w:t xml:space="preserve">au </w:t>
      </w:r>
      <w:r w:rsidR="00823258" w:rsidRPr="005C3E65">
        <w:t xml:space="preserve">plan </w:t>
      </w:r>
      <w:r w:rsidR="00945FA6" w:rsidRPr="005C3E65">
        <w:t>cadastral</w:t>
      </w:r>
      <w:r w:rsidR="00A9756C" w:rsidRPr="005C3E65">
        <w:rPr>
          <w:rStyle w:val="Appelnotedebasdep"/>
        </w:rPr>
        <w:footnoteReference w:id="12"/>
      </w:r>
      <w:r w:rsidR="001F28C9">
        <w:t>,</w:t>
      </w:r>
      <w:r w:rsidR="0087058A">
        <w:t xml:space="preserve"> et les appelants, à titre d’ayant</w:t>
      </w:r>
      <w:r w:rsidR="005E77EF">
        <w:t>s</w:t>
      </w:r>
      <w:r w:rsidR="0087058A">
        <w:t xml:space="preserve"> cause, sont liés par cet acte juridique</w:t>
      </w:r>
      <w:r w:rsidR="002C298B">
        <w:t xml:space="preserve">. </w:t>
      </w:r>
      <w:r w:rsidR="002C298B" w:rsidRPr="0029682B">
        <w:t xml:space="preserve">Si </w:t>
      </w:r>
      <w:r w:rsidR="001909A5" w:rsidRPr="0029682B">
        <w:t>les appelants et les intimés</w:t>
      </w:r>
      <w:r w:rsidR="002C298B" w:rsidRPr="0029682B">
        <w:t xml:space="preserve"> </w:t>
      </w:r>
      <w:r w:rsidR="00823258" w:rsidRPr="0029682B">
        <w:t>con</w:t>
      </w:r>
      <w:r w:rsidR="00A9756C" w:rsidRPr="0029682B">
        <w:t>vienn</w:t>
      </w:r>
      <w:r w:rsidR="00823258" w:rsidRPr="0029682B">
        <w:t xml:space="preserve">ent </w:t>
      </w:r>
      <w:r w:rsidR="00A9756C" w:rsidRPr="0029682B">
        <w:t>de</w:t>
      </w:r>
      <w:r w:rsidR="002C298B" w:rsidRPr="0029682B">
        <w:t xml:space="preserve"> modifier </w:t>
      </w:r>
      <w:r w:rsidR="0087058A">
        <w:t>le</w:t>
      </w:r>
      <w:r w:rsidR="00823258" w:rsidRPr="0029682B">
        <w:t xml:space="preserve">s </w:t>
      </w:r>
      <w:r w:rsidR="00A9756C" w:rsidRPr="0029682B">
        <w:t>limites</w:t>
      </w:r>
      <w:r w:rsidR="0087058A">
        <w:t xml:space="preserve"> des parties privatives</w:t>
      </w:r>
      <w:r w:rsidR="002C298B" w:rsidRPr="0029682B">
        <w:t xml:space="preserve">, </w:t>
      </w:r>
      <w:r w:rsidR="005E77EF">
        <w:t>ils</w:t>
      </w:r>
      <w:r w:rsidR="002C298B" w:rsidRPr="0029682B">
        <w:t xml:space="preserve"> doivent </w:t>
      </w:r>
      <w:r w:rsidRPr="0029682B">
        <w:t>suivre le processus</w:t>
      </w:r>
      <w:r w:rsidR="00A9756C" w:rsidRPr="0029682B">
        <w:t xml:space="preserve"> établi à</w:t>
      </w:r>
      <w:r w:rsidRPr="0029682B">
        <w:t xml:space="preserve"> l’article</w:t>
      </w:r>
      <w:r w:rsidR="005E77EF">
        <w:t> </w:t>
      </w:r>
      <w:r w:rsidRPr="005C3E65">
        <w:t xml:space="preserve">1100 </w:t>
      </w:r>
      <w:r w:rsidRPr="005C3E65">
        <w:rPr>
          <w:i/>
          <w:iCs/>
        </w:rPr>
        <w:t>C.c.Q.</w:t>
      </w:r>
      <w:r w:rsidR="00CC2D4E" w:rsidRPr="005C3E65">
        <w:t xml:space="preserve"> </w:t>
      </w:r>
      <w:r w:rsidR="002C298B">
        <w:t>En l</w:t>
      </w:r>
      <w:r w:rsidR="0098329E">
        <w:t>’espèce</w:t>
      </w:r>
      <w:r w:rsidR="002C298B">
        <w:t xml:space="preserve">, </w:t>
      </w:r>
      <w:r w:rsidR="001E14EA">
        <w:t>seuls les appelants</w:t>
      </w:r>
      <w:r w:rsidR="002C298B">
        <w:t xml:space="preserve"> veulent modifier les limites des parties privatives </w:t>
      </w:r>
      <w:r w:rsidR="00E6318B">
        <w:t xml:space="preserve">Lots </w:t>
      </w:r>
      <w:r w:rsidR="002C298B">
        <w:t>764 et 765</w:t>
      </w:r>
      <w:r w:rsidR="0098329E">
        <w:t xml:space="preserve"> et la m</w:t>
      </w:r>
      <w:r w:rsidR="001E14EA">
        <w:t xml:space="preserve">odification ne peut donc pas s’opérer </w:t>
      </w:r>
      <w:r w:rsidR="005E77EF">
        <w:t>au moyen de</w:t>
      </w:r>
      <w:r w:rsidR="001E14EA">
        <w:t xml:space="preserve"> </w:t>
      </w:r>
      <w:r w:rsidR="001F01B0">
        <w:t>ces</w:t>
      </w:r>
      <w:r w:rsidR="001E14EA">
        <w:t xml:space="preserve"> règles</w:t>
      </w:r>
      <w:r w:rsidR="003142AE">
        <w:t>, faute de consentement des intimés</w:t>
      </w:r>
      <w:r w:rsidR="001E14EA">
        <w:t>.</w:t>
      </w:r>
    </w:p>
    <w:p w14:paraId="75F411D2" w14:textId="598C4422" w:rsidR="0051228B" w:rsidRDefault="001F01B0" w:rsidP="005340F4">
      <w:pPr>
        <w:pStyle w:val="Paragraphe"/>
        <w:spacing w:line="280" w:lineRule="exact"/>
      </w:pPr>
      <w:r>
        <w:t>L</w:t>
      </w:r>
      <w:r w:rsidR="00F5408C">
        <w:t xml:space="preserve">es </w:t>
      </w:r>
      <w:r>
        <w:t>appelant</w:t>
      </w:r>
      <w:r w:rsidR="00F5408C">
        <w:t>s</w:t>
      </w:r>
      <w:r>
        <w:t xml:space="preserve"> s</w:t>
      </w:r>
      <w:r w:rsidR="00F5408C">
        <w:t>on</w:t>
      </w:r>
      <w:r>
        <w:t>t toutefois d</w:t>
      </w:r>
      <w:r w:rsidR="000C48AB">
        <w:t>’</w:t>
      </w:r>
      <w:r>
        <w:t xml:space="preserve">avis que </w:t>
      </w:r>
      <w:r w:rsidR="00F5408C">
        <w:t xml:space="preserve">la </w:t>
      </w:r>
      <w:r>
        <w:t xml:space="preserve">prescription acquisitive opère de manière </w:t>
      </w:r>
      <w:r w:rsidR="00823258">
        <w:t>autonome</w:t>
      </w:r>
      <w:r w:rsidR="0098329E">
        <w:t>, qu’une conclusion déclaratoire peut être prononcée reconnaissant l’a</w:t>
      </w:r>
      <w:r w:rsidR="0051228B">
        <w:t>liénation</w:t>
      </w:r>
      <w:r w:rsidR="0098329E">
        <w:t xml:space="preserve"> par prescription et </w:t>
      </w:r>
      <w:r w:rsidR="00F5408C">
        <w:t xml:space="preserve">qu’une </w:t>
      </w:r>
      <w:r w:rsidR="0098329E">
        <w:t>ordonnan</w:t>
      </w:r>
      <w:r w:rsidR="00F5408C">
        <w:t xml:space="preserve">ce </w:t>
      </w:r>
      <w:r w:rsidR="00E6318B">
        <w:t>peut</w:t>
      </w:r>
      <w:r w:rsidR="00F5408C">
        <w:t xml:space="preserve"> ensuite </w:t>
      </w:r>
      <w:r w:rsidR="00E6318B">
        <w:t xml:space="preserve">être </w:t>
      </w:r>
      <w:r w:rsidR="00F5408C">
        <w:t xml:space="preserve">prononcée enjoignant </w:t>
      </w:r>
      <w:r w:rsidR="0098329E">
        <w:t>au syndicat et à l’officier de la publicité des droits d’apporter les modifications</w:t>
      </w:r>
      <w:r w:rsidR="003142AE">
        <w:t xml:space="preserve"> </w:t>
      </w:r>
      <w:r w:rsidR="00F5408C">
        <w:t>requises</w:t>
      </w:r>
      <w:r>
        <w:t>.</w:t>
      </w:r>
      <w:r w:rsidR="00823258">
        <w:t xml:space="preserve"> La Cour ne peut en convenir</w:t>
      </w:r>
      <w:r w:rsidR="0087058A">
        <w:t>, car cela a pour effet de dénaturer la copropriété divise.</w:t>
      </w:r>
    </w:p>
    <w:p w14:paraId="55959037" w14:textId="3A7340C4" w:rsidR="0051228B" w:rsidRDefault="00823258" w:rsidP="005340F4">
      <w:pPr>
        <w:pStyle w:val="Paragraphe"/>
        <w:spacing w:line="280" w:lineRule="exact"/>
      </w:pPr>
      <w:r>
        <w:t>Il est vrai que l</w:t>
      </w:r>
      <w:r w:rsidR="00CE2394">
        <w:t xml:space="preserve">’article 2910 </w:t>
      </w:r>
      <w:r w:rsidR="00CE2394" w:rsidRPr="00E6318B">
        <w:rPr>
          <w:i/>
          <w:iCs/>
        </w:rPr>
        <w:t>C.c.Q.</w:t>
      </w:r>
      <w:r w:rsidR="00CE2394">
        <w:t xml:space="preserve"> énonce que « la prescription acquisitive est un moyen d’acquérir le droit de propriété ». </w:t>
      </w:r>
      <w:r w:rsidR="00CE2394" w:rsidRPr="00EF7F0C">
        <w:t xml:space="preserve">La copropriété constituant une « modalité de la </w:t>
      </w:r>
      <w:r w:rsidR="007543C3" w:rsidRPr="00EF7F0C">
        <w:t>propriété »</w:t>
      </w:r>
      <w:r w:rsidR="007543C3" w:rsidRPr="00EF7F0C">
        <w:rPr>
          <w:rStyle w:val="Appelnotedebasdep"/>
        </w:rPr>
        <w:footnoteReference w:id="13"/>
      </w:r>
      <w:r w:rsidR="007543C3" w:rsidRPr="00EF7F0C">
        <w:t>,</w:t>
      </w:r>
      <w:r w:rsidR="007543C3">
        <w:t xml:space="preserve"> l’art. 2910 </w:t>
      </w:r>
      <w:r w:rsidR="007543C3" w:rsidRPr="003142AE">
        <w:rPr>
          <w:i/>
          <w:iCs/>
        </w:rPr>
        <w:t>C.c.Q.</w:t>
      </w:r>
      <w:r w:rsidR="007543C3">
        <w:t>, lu isolément, pourrait paraître donner ouverture à l’acquisition par prescription d’une copropriété divise et donc d’une parcelle d’une partie privative. Toutefois, étant donné que les appelants sont liés par la déclaration de copropriété et vu les exigences</w:t>
      </w:r>
      <w:r w:rsidR="007543C3" w:rsidRPr="0029682B">
        <w:t xml:space="preserve"> prévues au </w:t>
      </w:r>
      <w:r w:rsidR="007543C3" w:rsidRPr="0051228B">
        <w:rPr>
          <w:i/>
          <w:iCs/>
        </w:rPr>
        <w:t xml:space="preserve">Code civil Québec </w:t>
      </w:r>
      <w:r w:rsidR="007543C3" w:rsidRPr="0029682B">
        <w:t xml:space="preserve">pour en modifier les termes, toute </w:t>
      </w:r>
      <w:r w:rsidR="007543C3">
        <w:t xml:space="preserve">aliénation opérant une </w:t>
      </w:r>
      <w:r w:rsidR="007543C3" w:rsidRPr="0029682B">
        <w:t>modification de ces derni</w:t>
      </w:r>
      <w:r w:rsidR="007543C3">
        <w:t>er</w:t>
      </w:r>
      <w:r w:rsidR="007543C3" w:rsidRPr="0029682B">
        <w:t>s est nécessairement assujettie au consentement des parties concernées</w:t>
      </w:r>
      <w:r w:rsidR="007543C3">
        <w:t>.</w:t>
      </w:r>
    </w:p>
    <w:p w14:paraId="0A6F5B8B" w14:textId="4FED0C90" w:rsidR="00CE2394" w:rsidRDefault="001F01B0" w:rsidP="005340F4">
      <w:pPr>
        <w:pStyle w:val="Paragraphe"/>
        <w:spacing w:line="280" w:lineRule="exact"/>
      </w:pPr>
      <w:r>
        <w:t>Comme le</w:t>
      </w:r>
      <w:r w:rsidR="00A8111A">
        <w:t xml:space="preserve"> </w:t>
      </w:r>
      <w:r w:rsidR="0087058A">
        <w:t>relève</w:t>
      </w:r>
      <w:r>
        <w:t xml:space="preserve"> avec justesse le juge de première instance, l</w:t>
      </w:r>
      <w:r w:rsidR="00CE2394">
        <w:t xml:space="preserve">a Cour </w:t>
      </w:r>
      <w:r w:rsidR="00A34A15">
        <w:t>dans</w:t>
      </w:r>
      <w:r w:rsidR="00A34A15" w:rsidRPr="00A34A15">
        <w:t xml:space="preserve"> </w:t>
      </w:r>
      <w:r w:rsidR="00A34A15" w:rsidRPr="00A34A15">
        <w:rPr>
          <w:i/>
          <w:iCs/>
        </w:rPr>
        <w:t>Pedneault c. Syndicat des copropriétaires du Domaine du Barrage</w:t>
      </w:r>
      <w:r w:rsidR="00F234D8">
        <w:t xml:space="preserve"> </w:t>
      </w:r>
      <w:r w:rsidR="00A34A15">
        <w:t>enseigne qu’il est im</w:t>
      </w:r>
      <w:r w:rsidR="00CE2394">
        <w:t xml:space="preserve">possible d’acquérir par prescription une partie de </w:t>
      </w:r>
      <w:r w:rsidR="00A34A15">
        <w:t xml:space="preserve">la </w:t>
      </w:r>
      <w:r w:rsidR="00CE2394">
        <w:t>partie commune</w:t>
      </w:r>
      <w:r w:rsidR="00A34A15">
        <w:t xml:space="preserve"> d’une copropriété divise. La Cour explique</w:t>
      </w:r>
      <w:r w:rsidR="00F234D8">
        <w:rPr>
          <w:rStyle w:val="Appelnotedebasdep"/>
        </w:rPr>
        <w:footnoteReference w:id="14"/>
      </w:r>
      <w:r w:rsidR="00CE2394">
        <w:t> :</w:t>
      </w:r>
    </w:p>
    <w:p w14:paraId="73821FE6" w14:textId="5D6255E2" w:rsidR="001F01B0" w:rsidRDefault="001F01B0" w:rsidP="005340F4">
      <w:pPr>
        <w:pStyle w:val="Citationenretrait"/>
      </w:pPr>
      <w:r>
        <w:t>[30]</w:t>
      </w:r>
      <w:r w:rsidR="005340F4">
        <w:tab/>
      </w:r>
      <w:r>
        <w:t xml:space="preserve">Il suffit de dire, sans aller beaucoup plus loin dans l’analyse, que la Cour est d’accord avec la juge de première instance lorsque celle-ci affirme « qu’en </w:t>
      </w:r>
      <w:r>
        <w:lastRenderedPageBreak/>
        <w:t>raison du régime spécial établi par le législateur en matière de copropriété, il n’y a pas d’acquisition par prescription applicable entre copropriétaires sur une partie commune. Des règles particulières sont spécifiquement prévues aux articles 1097 et 1098 C.c.Q.</w:t>
      </w:r>
    </w:p>
    <w:p w14:paraId="68424BB0" w14:textId="58AD4AF1" w:rsidR="001F01B0" w:rsidRDefault="001F01B0" w:rsidP="005340F4">
      <w:pPr>
        <w:pStyle w:val="Citationenretrait"/>
      </w:pPr>
      <w:r>
        <w:t>[31]</w:t>
      </w:r>
      <w:r w:rsidR="005340F4">
        <w:tab/>
      </w:r>
      <w:r w:rsidRPr="0098329E">
        <w:rPr>
          <w:u w:val="single"/>
        </w:rPr>
        <w:t>La déclaration de copropriété, qui lie tous les copropriétaires, comprend l’acte constitutif de copropriété, le règlement de l’immeuble et l’état descriptif des fractions</w:t>
      </w:r>
      <w:r>
        <w:t xml:space="preserve"> (art. 1052 </w:t>
      </w:r>
      <w:r w:rsidRPr="00E95BBD">
        <w:rPr>
          <w:i/>
          <w:iCs/>
        </w:rPr>
        <w:t>C.c.Q</w:t>
      </w:r>
      <w:r>
        <w:t>.).</w:t>
      </w:r>
    </w:p>
    <w:p w14:paraId="130ED9A0" w14:textId="04F8D245" w:rsidR="001F01B0" w:rsidRDefault="001F01B0" w:rsidP="005340F4">
      <w:pPr>
        <w:pStyle w:val="Citationenretrait"/>
      </w:pPr>
      <w:r>
        <w:t>[32]</w:t>
      </w:r>
      <w:r w:rsidR="005340F4">
        <w:tab/>
      </w:r>
      <w:r>
        <w:t xml:space="preserve">L’acte constitutif de copropriété définit la destination de l’immeuble, des parties privatives et des parties communes, ainsi que </w:t>
      </w:r>
      <w:r w:rsidRPr="0098329E">
        <w:rPr>
          <w:u w:val="single"/>
        </w:rPr>
        <w:t>la valeur relative de chaque fraction</w:t>
      </w:r>
      <w:r>
        <w:t xml:space="preserve"> (art. 1053 </w:t>
      </w:r>
      <w:r w:rsidRPr="00E95BBD">
        <w:rPr>
          <w:i/>
          <w:iCs/>
        </w:rPr>
        <w:t>C.c.Q</w:t>
      </w:r>
      <w:r>
        <w:t>.).</w:t>
      </w:r>
    </w:p>
    <w:p w14:paraId="3C52C782" w14:textId="7C1891A4" w:rsidR="001F01B0" w:rsidRDefault="001F01B0" w:rsidP="005340F4">
      <w:pPr>
        <w:pStyle w:val="Citationenretrait"/>
      </w:pPr>
      <w:r>
        <w:t>[33]</w:t>
      </w:r>
      <w:r w:rsidR="005340F4">
        <w:tab/>
      </w:r>
      <w:r>
        <w:t xml:space="preserve">Le règlement de l’immeuble contient les règles relatives à la jouissance, à l’usage et à l’entretien des parties privatives et communes (art. 1054 </w:t>
      </w:r>
      <w:r w:rsidRPr="00E95BBD">
        <w:rPr>
          <w:i/>
          <w:iCs/>
        </w:rPr>
        <w:t>C.c.Q</w:t>
      </w:r>
      <w:r>
        <w:t>.).</w:t>
      </w:r>
    </w:p>
    <w:p w14:paraId="4D8BF5E7" w14:textId="45F85584" w:rsidR="008D320B" w:rsidRDefault="001F01B0" w:rsidP="005340F4">
      <w:pPr>
        <w:pStyle w:val="Citationenretrait"/>
      </w:pPr>
      <w:r>
        <w:t>[34]</w:t>
      </w:r>
      <w:r w:rsidR="005340F4">
        <w:tab/>
      </w:r>
      <w:r w:rsidRPr="0098329E">
        <w:rPr>
          <w:u w:val="single"/>
        </w:rPr>
        <w:t>L’état descriptif contient la désignation cadastrale des parties privatives et des parties communes de l’immeuble</w:t>
      </w:r>
      <w:r>
        <w:t xml:space="preserve"> (art. 1055 </w:t>
      </w:r>
      <w:r w:rsidRPr="00E95BBD">
        <w:rPr>
          <w:i/>
          <w:iCs/>
        </w:rPr>
        <w:t>C.c.Q</w:t>
      </w:r>
      <w:r>
        <w:t>.).</w:t>
      </w:r>
    </w:p>
    <w:p w14:paraId="0A866629" w14:textId="06256BF5" w:rsidR="0051228B" w:rsidRDefault="001F01B0" w:rsidP="005340F4">
      <w:pPr>
        <w:pStyle w:val="Citationenretrait"/>
      </w:pPr>
      <w:r>
        <w:t>[35]</w:t>
      </w:r>
      <w:r w:rsidR="005340F4">
        <w:tab/>
      </w:r>
      <w:r w:rsidRPr="0098329E">
        <w:rPr>
          <w:u w:val="single"/>
        </w:rPr>
        <w:t xml:space="preserve">À ces documents contractuels s’ajoutent les règles du </w:t>
      </w:r>
      <w:r w:rsidRPr="00E95BBD">
        <w:rPr>
          <w:i/>
          <w:iCs/>
          <w:u w:val="single"/>
        </w:rPr>
        <w:t>Code civil</w:t>
      </w:r>
      <w:r w:rsidRPr="0098329E">
        <w:rPr>
          <w:u w:val="single"/>
        </w:rPr>
        <w:t xml:space="preserve"> en ce qui a trait à l’assemblée des copropriétaires lorsqu’il s’agit d’aliéner, de transformer, d’agrandir ou d’améliorer les parties communes</w:t>
      </w:r>
      <w:r>
        <w:t>.</w:t>
      </w:r>
    </w:p>
    <w:p w14:paraId="54DA9483" w14:textId="77777777" w:rsidR="005340F4" w:rsidRDefault="001F01B0" w:rsidP="005340F4">
      <w:pPr>
        <w:pStyle w:val="Citationenretrait"/>
      </w:pPr>
      <w:r>
        <w:t>[36]</w:t>
      </w:r>
      <w:r w:rsidR="005340F4">
        <w:tab/>
      </w:r>
      <w:r w:rsidRPr="00436D78">
        <w:rPr>
          <w:u w:val="single"/>
        </w:rPr>
        <w:t>Toutes ces règles sont incompatibles avec la possibilité d’acquisition par un copropriétaire d’une partie commune</w:t>
      </w:r>
      <w:r>
        <w:t xml:space="preserve"> ou, comme en l’espèce, du droit d’user et </w:t>
      </w:r>
      <w:r w:rsidR="005340F4">
        <w:t>de jouir d’un espace qui en fait partie, en l’occurrence l’espace excédant celui réservé à l’aménagement des terrasses sur le toit et précisément décrit dans la déclaration de copropriété.</w:t>
      </w:r>
    </w:p>
    <w:p w14:paraId="086FADED" w14:textId="499EE766" w:rsidR="001F01B0" w:rsidRDefault="001F01B0" w:rsidP="005340F4">
      <w:pPr>
        <w:pStyle w:val="Citationenretrait"/>
        <w:jc w:val="right"/>
      </w:pPr>
      <w:r>
        <w:t>[</w:t>
      </w:r>
      <w:r w:rsidR="00436D78">
        <w:t>Soulignements</w:t>
      </w:r>
      <w:r w:rsidR="00FF6D83">
        <w:t xml:space="preserve"> ajoutés</w:t>
      </w:r>
      <w:r w:rsidR="00436D78">
        <w:t>; r</w:t>
      </w:r>
      <w:r>
        <w:t>éférence omise]</w:t>
      </w:r>
    </w:p>
    <w:p w14:paraId="4816BEE3" w14:textId="639935E8" w:rsidR="00CE1564" w:rsidRDefault="00F5408C" w:rsidP="005340F4">
      <w:pPr>
        <w:pStyle w:val="Paragraphe"/>
        <w:spacing w:line="280" w:lineRule="exact"/>
      </w:pPr>
      <w:r>
        <w:t>L</w:t>
      </w:r>
      <w:r w:rsidR="00A34A15">
        <w:t>es</w:t>
      </w:r>
      <w:r w:rsidR="00436D78">
        <w:t xml:space="preserve"> considérations </w:t>
      </w:r>
      <w:r>
        <w:t xml:space="preserve">énoncées aux paragraphes 31, 32, 34 et 35 </w:t>
      </w:r>
      <w:r w:rsidR="0087058A">
        <w:t xml:space="preserve">de cet arrêt sont tout aussi pertinentes lorsqu’il est question de </w:t>
      </w:r>
      <w:r w:rsidR="00436D78">
        <w:t xml:space="preserve">modifications </w:t>
      </w:r>
      <w:r w:rsidR="00CE1564">
        <w:t>des</w:t>
      </w:r>
      <w:r w:rsidR="00436D78">
        <w:t xml:space="preserve"> </w:t>
      </w:r>
      <w:r w:rsidR="00A34A15">
        <w:t xml:space="preserve">limites des </w:t>
      </w:r>
      <w:r w:rsidR="00436D78">
        <w:t xml:space="preserve">parties privatives. </w:t>
      </w:r>
      <w:r w:rsidR="00E6318B">
        <w:t>Puisque l</w:t>
      </w:r>
      <w:r w:rsidR="00436D78" w:rsidRPr="0029682B">
        <w:t xml:space="preserve">’état descriptif </w:t>
      </w:r>
      <w:r>
        <w:t xml:space="preserve">des fractions se trouvant dans la déclaration de copropriété </w:t>
      </w:r>
      <w:r w:rsidR="0087058A" w:rsidRPr="0087058A">
        <w:t>fait partie des documents contractuels</w:t>
      </w:r>
      <w:r w:rsidR="00CE1564">
        <w:t xml:space="preserve">, tous </w:t>
      </w:r>
      <w:r w:rsidR="0087058A" w:rsidRPr="0087058A">
        <w:t xml:space="preserve">les copropriétaires sont liés </w:t>
      </w:r>
      <w:r w:rsidR="00CE1564">
        <w:t>par les</w:t>
      </w:r>
      <w:r w:rsidR="00436D78" w:rsidRPr="0029682B">
        <w:t xml:space="preserve"> </w:t>
      </w:r>
      <w:r w:rsidR="00436D78" w:rsidRPr="00263938">
        <w:t>désignation</w:t>
      </w:r>
      <w:r w:rsidR="00CE1564">
        <w:t>s</w:t>
      </w:r>
      <w:r w:rsidR="00436D78" w:rsidRPr="00263938">
        <w:t xml:space="preserve"> cadastrale</w:t>
      </w:r>
      <w:r w:rsidR="00CE1564">
        <w:t>s</w:t>
      </w:r>
      <w:r w:rsidR="00436D78" w:rsidRPr="00263938">
        <w:t xml:space="preserve"> </w:t>
      </w:r>
      <w:r w:rsidR="00CE1564">
        <w:t xml:space="preserve">des </w:t>
      </w:r>
      <w:r w:rsidR="00436D78" w:rsidRPr="0029682B">
        <w:t>parties privatives.</w:t>
      </w:r>
      <w:r w:rsidR="00436D78">
        <w:t xml:space="preserve"> </w:t>
      </w:r>
      <w:r>
        <w:t xml:space="preserve">Il est vrai que </w:t>
      </w:r>
      <w:r w:rsidR="00CE1564">
        <w:t xml:space="preserve">le régime de la copropriété divise du </w:t>
      </w:r>
      <w:r w:rsidR="00CE1564" w:rsidRPr="00CE1564">
        <w:rPr>
          <w:i/>
          <w:iCs/>
        </w:rPr>
        <w:t>Code civil</w:t>
      </w:r>
      <w:r w:rsidR="00CE1564">
        <w:rPr>
          <w:i/>
          <w:iCs/>
        </w:rPr>
        <w:t xml:space="preserve"> du Québec</w:t>
      </w:r>
      <w:r w:rsidR="00CE1564">
        <w:t xml:space="preserve"> fait </w:t>
      </w:r>
      <w:r>
        <w:t>preuve d’</w:t>
      </w:r>
      <w:r w:rsidR="00FE2AE9">
        <w:t xml:space="preserve">une certaine souplesse </w:t>
      </w:r>
      <w:r w:rsidR="00436D78">
        <w:t>lorsque vient le temps d’agrandir une partie priv</w:t>
      </w:r>
      <w:r w:rsidR="0024074F">
        <w:t>ative</w:t>
      </w:r>
      <w:r w:rsidR="00436D78">
        <w:t xml:space="preserve"> aux dépens d’un lot contigu</w:t>
      </w:r>
      <w:r w:rsidR="00436D78" w:rsidRPr="00CE1564">
        <w:rPr>
          <w:i/>
          <w:iCs/>
        </w:rPr>
        <w:t>.</w:t>
      </w:r>
      <w:r w:rsidR="00436D78">
        <w:t xml:space="preserve"> </w:t>
      </w:r>
      <w:r w:rsidR="00A34A15">
        <w:t>Il n’en demeure que</w:t>
      </w:r>
      <w:r w:rsidR="00FE2AE9">
        <w:t xml:space="preserve"> </w:t>
      </w:r>
      <w:r w:rsidR="00E6318B">
        <w:t xml:space="preserve">pour s’en prévaloir, </w:t>
      </w:r>
      <w:r w:rsidR="0024074F">
        <w:t xml:space="preserve">en toutes circonstances, </w:t>
      </w:r>
      <w:r w:rsidR="00FE2AE9">
        <w:t>le consentement des deux copropriétaires visés</w:t>
      </w:r>
      <w:r w:rsidR="00E6318B">
        <w:t xml:space="preserve"> est requis</w:t>
      </w:r>
      <w:r w:rsidR="0024074F">
        <w:t xml:space="preserve">. </w:t>
      </w:r>
      <w:r>
        <w:t xml:space="preserve">Ainsi, pour paraphraser la Cour dans </w:t>
      </w:r>
      <w:r w:rsidRPr="00CE1564">
        <w:rPr>
          <w:i/>
          <w:iCs/>
        </w:rPr>
        <w:t>Pedneault</w:t>
      </w:r>
      <w:r>
        <w:t>, les</w:t>
      </w:r>
      <w:r w:rsidR="0024074F">
        <w:t xml:space="preserve"> </w:t>
      </w:r>
      <w:r w:rsidR="00A34A15">
        <w:t>règles</w:t>
      </w:r>
      <w:r w:rsidR="0024074F">
        <w:t xml:space="preserve"> énoncées aux article</w:t>
      </w:r>
      <w:r w:rsidR="00CE1564">
        <w:t>s</w:t>
      </w:r>
      <w:r w:rsidR="0024074F">
        <w:t xml:space="preserve"> 1049 et suivants </w:t>
      </w:r>
      <w:r w:rsidR="0024074F" w:rsidRPr="00CE1564">
        <w:rPr>
          <w:i/>
          <w:iCs/>
        </w:rPr>
        <w:t>C.c.Q.</w:t>
      </w:r>
      <w:r w:rsidR="00A34A15" w:rsidRPr="00CE1564">
        <w:rPr>
          <w:i/>
          <w:iCs/>
        </w:rPr>
        <w:t xml:space="preserve"> </w:t>
      </w:r>
      <w:r w:rsidR="00A34A15" w:rsidRPr="00DB6411">
        <w:t>créent une incompatibilité avec la possibilité d’acquisition par prescription</w:t>
      </w:r>
      <w:r>
        <w:t xml:space="preserve"> d’une partie divise d’une partie privative</w:t>
      </w:r>
      <w:r w:rsidR="003C3F68">
        <w:t>,</w:t>
      </w:r>
      <w:r>
        <w:t xml:space="preserve"> comme la </w:t>
      </w:r>
      <w:r w:rsidR="00ED3C06">
        <w:t>P</w:t>
      </w:r>
      <w:r>
        <w:t>arcelle</w:t>
      </w:r>
      <w:r w:rsidR="0024074F" w:rsidRPr="00DB6411">
        <w:t>.</w:t>
      </w:r>
    </w:p>
    <w:p w14:paraId="61ED7204" w14:textId="4ADBB073" w:rsidR="0051228B" w:rsidRDefault="003142AE" w:rsidP="005340F4">
      <w:pPr>
        <w:pStyle w:val="Paragraphe"/>
        <w:spacing w:line="280" w:lineRule="exact"/>
      </w:pPr>
      <w:r>
        <w:t xml:space="preserve">C’est </w:t>
      </w:r>
      <w:r w:rsidR="00F5408C">
        <w:t>d’ailleurs</w:t>
      </w:r>
      <w:r w:rsidR="00006AAA">
        <w:t xml:space="preserve"> aussi</w:t>
      </w:r>
      <w:r>
        <w:t xml:space="preserve"> la conclusion à laquelle en arrive l’autrice Christine Gagnon</w:t>
      </w:r>
      <w:r w:rsidR="00E37BDF">
        <w:rPr>
          <w:rStyle w:val="Appelnotedebasdep"/>
        </w:rPr>
        <w:footnoteReference w:id="15"/>
      </w:r>
      <w:r w:rsidR="00CE1564">
        <w:t xml:space="preserve">, </w:t>
      </w:r>
      <w:r w:rsidR="00E37BDF">
        <w:t>en « raison du contexte particulier en copropriété, de la difficulté à démontrer le caractère utile de la possession et, surtout, des dispositions impératives de la loi sur le formalisme nécessaire à l’aliénation d’une partie divise d’une partie privative »</w:t>
      </w:r>
      <w:r w:rsidR="0024074F">
        <w:rPr>
          <w:rStyle w:val="Appelnotedebasdep"/>
        </w:rPr>
        <w:footnoteReference w:id="16"/>
      </w:r>
      <w:r w:rsidR="00E37BDF">
        <w:t>.</w:t>
      </w:r>
      <w:r w:rsidR="005C3E65">
        <w:t xml:space="preserve"> Elle est aussi d’avis que </w:t>
      </w:r>
      <w:r w:rsidR="001B577E">
        <w:t>f</w:t>
      </w:r>
      <w:r w:rsidR="00E37BDF">
        <w:t>aire droit à l’acquisition par prescription d’une parcelle d’une partie privative anéantirait</w:t>
      </w:r>
      <w:r w:rsidR="0024074F">
        <w:t xml:space="preserve"> </w:t>
      </w:r>
      <w:r w:rsidR="00E37BDF">
        <w:t xml:space="preserve">toute la sécurité des titres dans la copropriété qui découle des articles 1049 et 1100 </w:t>
      </w:r>
      <w:r w:rsidR="00E37BDF" w:rsidRPr="00CE1564">
        <w:rPr>
          <w:i/>
          <w:iCs/>
        </w:rPr>
        <w:t>C.c.Q.</w:t>
      </w:r>
      <w:r w:rsidR="00E37BDF" w:rsidRPr="00E37BDF">
        <w:rPr>
          <w:rStyle w:val="Appelnotedebasdep"/>
        </w:rPr>
        <w:footnoteReference w:id="17"/>
      </w:r>
      <w:r w:rsidR="00E37BDF">
        <w:t>.</w:t>
      </w:r>
    </w:p>
    <w:p w14:paraId="3435A938" w14:textId="191E5CCD" w:rsidR="0051228B" w:rsidRDefault="007C0246" w:rsidP="005340F4">
      <w:pPr>
        <w:pStyle w:val="Paragraphe"/>
        <w:spacing w:line="280" w:lineRule="exact"/>
      </w:pPr>
      <w:r>
        <w:t xml:space="preserve">Il va donc sans dire que la Cour ne </w:t>
      </w:r>
      <w:r w:rsidR="00E6318B">
        <w:t>partage pas</w:t>
      </w:r>
      <w:r>
        <w:t xml:space="preserve"> le raisonnement </w:t>
      </w:r>
      <w:r w:rsidR="00CE1564">
        <w:t>adopté par la Cour supérieure</w:t>
      </w:r>
      <w:r>
        <w:t xml:space="preserve"> dans </w:t>
      </w:r>
      <w:r w:rsidRPr="0051228B">
        <w:rPr>
          <w:i/>
          <w:iCs/>
        </w:rPr>
        <w:t>Syndicat des copropriétaires Cond</w:t>
      </w:r>
      <w:r w:rsidR="00000AC4" w:rsidRPr="0051228B">
        <w:rPr>
          <w:i/>
          <w:iCs/>
        </w:rPr>
        <w:t>’</w:t>
      </w:r>
      <w:r w:rsidRPr="0051228B">
        <w:rPr>
          <w:i/>
          <w:iCs/>
        </w:rPr>
        <w:t>Eautels du Manoir Phase II c. Hotel &amp; Suites Le Lincoln inc</w:t>
      </w:r>
      <w:r w:rsidRPr="007C0246">
        <w:t>.</w:t>
      </w:r>
      <w:r>
        <w:rPr>
          <w:rStyle w:val="Appelnotedebasdep"/>
        </w:rPr>
        <w:footnoteReference w:id="18"/>
      </w:r>
      <w:r>
        <w:t>.</w:t>
      </w:r>
    </w:p>
    <w:p w14:paraId="58F4D0B9" w14:textId="4378A0D4" w:rsidR="00D300A9" w:rsidRDefault="008A6881" w:rsidP="005340F4">
      <w:pPr>
        <w:pStyle w:val="Paragraphe"/>
        <w:spacing w:line="280" w:lineRule="exact"/>
      </w:pPr>
      <w:r>
        <w:t>L’analogie</w:t>
      </w:r>
      <w:r w:rsidR="00A34A15">
        <w:t xml:space="preserve"> que les appelants </w:t>
      </w:r>
      <w:r w:rsidR="0024074F">
        <w:t>cherche</w:t>
      </w:r>
      <w:r w:rsidR="00A34A15">
        <w:t xml:space="preserve">nt </w:t>
      </w:r>
      <w:r w:rsidR="0024074F">
        <w:t xml:space="preserve">à </w:t>
      </w:r>
      <w:r w:rsidR="00A34A15">
        <w:t xml:space="preserve">faire avec les motifs de la Cour suprême dans </w:t>
      </w:r>
      <w:r w:rsidRPr="7CBBAE40">
        <w:rPr>
          <w:i/>
          <w:iCs/>
        </w:rPr>
        <w:t>Ostiguy</w:t>
      </w:r>
      <w:r w:rsidR="00A34A15">
        <w:t xml:space="preserve"> </w:t>
      </w:r>
      <w:r w:rsidR="0060053D">
        <w:t>ne tient pas compte d’une distinction importante avec les fa</w:t>
      </w:r>
      <w:r w:rsidR="00000AC4">
        <w:t>i</w:t>
      </w:r>
      <w:r w:rsidR="0060053D">
        <w:t>ts en cause ici, alors que cet arrêt concernait un</w:t>
      </w:r>
      <w:r w:rsidR="00006AAA">
        <w:t xml:space="preserve"> litige entre deux </w:t>
      </w:r>
      <w:r w:rsidR="00CE1564">
        <w:t>voisins</w:t>
      </w:r>
      <w:r w:rsidR="00006AAA">
        <w:t xml:space="preserve"> qui n’étaient pas liés par un</w:t>
      </w:r>
      <w:r w:rsidR="00CE1564">
        <w:t>e</w:t>
      </w:r>
      <w:r w:rsidR="00006AAA">
        <w:t xml:space="preserve"> </w:t>
      </w:r>
      <w:r w:rsidR="00CE1564">
        <w:t>déclaration de copropriété</w:t>
      </w:r>
      <w:r w:rsidR="00006AAA">
        <w:t xml:space="preserve">. </w:t>
      </w:r>
      <w:r w:rsidR="0060053D">
        <w:t xml:space="preserve">Dans </w:t>
      </w:r>
      <w:r w:rsidR="0060053D" w:rsidRPr="0051228B">
        <w:rPr>
          <w:i/>
          <w:iCs/>
        </w:rPr>
        <w:t>Ostiguy,</w:t>
      </w:r>
      <w:r w:rsidR="0060053D">
        <w:t xml:space="preserve"> la Cour suprême reconna</w:t>
      </w:r>
      <w:r w:rsidR="00000AC4">
        <w:t>î</w:t>
      </w:r>
      <w:r w:rsidR="0060053D">
        <w:t xml:space="preserve">t que la prescription acquisitive résultant d’une possession décennale paisible, continue, publique et non équivoque demeure un mode d’acquisition reconnu </w:t>
      </w:r>
      <w:r w:rsidR="00000AC4">
        <w:t>–</w:t>
      </w:r>
      <w:r w:rsidR="00061760">
        <w:t xml:space="preserve"> </w:t>
      </w:r>
      <w:r w:rsidR="0060053D">
        <w:t>sans égard aux droits inscrits au registre foncier. Or, ce raisonnement ne peut être transposé à la situation de deux copropriétaires divis qui sont liés par une déclaration de copropriété, laquelle établit les limites de leur propriété respective</w:t>
      </w:r>
      <w:r w:rsidR="00061760">
        <w:t xml:space="preserve"> et les oblige</w:t>
      </w:r>
      <w:r w:rsidR="0060053D">
        <w:t xml:space="preserve"> </w:t>
      </w:r>
      <w:r w:rsidR="00061760">
        <w:t xml:space="preserve">à respecter les </w:t>
      </w:r>
      <w:r w:rsidR="00256D47">
        <w:t>inscriptions</w:t>
      </w:r>
      <w:r w:rsidR="00061760">
        <w:t xml:space="preserve"> au registre foncier</w:t>
      </w:r>
      <w:r w:rsidR="00256D47">
        <w:t>.</w:t>
      </w:r>
    </w:p>
    <w:p w14:paraId="6DF31FBE" w14:textId="7E588468" w:rsidR="008A6881" w:rsidRDefault="00503882" w:rsidP="005340F4">
      <w:pPr>
        <w:pStyle w:val="Paragraphe"/>
        <w:spacing w:line="280" w:lineRule="exact"/>
      </w:pPr>
      <w:r>
        <w:t xml:space="preserve">Les appelants ont raison de noter que le raisonnement que la Cour adopte a comme effet </w:t>
      </w:r>
      <w:r w:rsidR="00ED3C06">
        <w:t>d’empêcher le</w:t>
      </w:r>
      <w:r w:rsidR="00D300A9">
        <w:t xml:space="preserve"> propriétaire divis </w:t>
      </w:r>
      <w:r w:rsidR="00ED3C06">
        <w:t>d’</w:t>
      </w:r>
      <w:r w:rsidR="00D300A9">
        <w:t xml:space="preserve">acquérir par prescription une parcelle d’une partie privative contigüe, </w:t>
      </w:r>
      <w:r>
        <w:t xml:space="preserve">mais </w:t>
      </w:r>
      <w:r w:rsidR="00ED3C06">
        <w:t>lui permet d’</w:t>
      </w:r>
      <w:r w:rsidR="00D300A9" w:rsidRPr="00450F1E">
        <w:t>acquérir par prescription l’entièreté de cette partie privative</w:t>
      </w:r>
      <w:r w:rsidR="004A7CE9">
        <w:t xml:space="preserve">. Cela ne </w:t>
      </w:r>
      <w:r>
        <w:t>génère</w:t>
      </w:r>
      <w:r w:rsidR="00D300A9">
        <w:t xml:space="preserve"> </w:t>
      </w:r>
      <w:r>
        <w:t xml:space="preserve">pas pour autant de la </w:t>
      </w:r>
      <w:r w:rsidR="00D300A9">
        <w:t xml:space="preserve">confusion. </w:t>
      </w:r>
      <w:r w:rsidR="004A7CE9" w:rsidRPr="0018526F">
        <w:t>L’acquisition de l’entièreté d’une partie privative ne</w:t>
      </w:r>
      <w:r w:rsidR="00D300A9" w:rsidRPr="0018526F">
        <w:t xml:space="preserve"> pose aucun</w:t>
      </w:r>
      <w:r w:rsidR="00ED3C06">
        <w:t>e</w:t>
      </w:r>
      <w:r w:rsidR="00D300A9" w:rsidRPr="0018526F">
        <w:t xml:space="preserve"> des </w:t>
      </w:r>
      <w:r w:rsidR="00256D47">
        <w:t>questions</w:t>
      </w:r>
      <w:r w:rsidR="00256D47" w:rsidRPr="0018526F">
        <w:t xml:space="preserve"> </w:t>
      </w:r>
      <w:r w:rsidR="00D300A9" w:rsidRPr="0018526F">
        <w:t>auxquel</w:t>
      </w:r>
      <w:r w:rsidR="00256D47">
        <w:t>les</w:t>
      </w:r>
      <w:r w:rsidR="00D300A9" w:rsidRPr="0018526F">
        <w:t xml:space="preserve"> </w:t>
      </w:r>
      <w:r w:rsidR="00256D47">
        <w:t>la Cour est</w:t>
      </w:r>
      <w:r w:rsidR="00D300A9" w:rsidRPr="0018526F">
        <w:t xml:space="preserve"> confronté</w:t>
      </w:r>
      <w:r w:rsidR="00500F57">
        <w:t>e</w:t>
      </w:r>
      <w:r w:rsidR="00D300A9" w:rsidRPr="0018526F">
        <w:t xml:space="preserve"> en l’espèce</w:t>
      </w:r>
      <w:r w:rsidR="00E37BDF" w:rsidRPr="00C77CEC">
        <w:rPr>
          <w:rStyle w:val="Appelnotedebasdep"/>
        </w:rPr>
        <w:footnoteReference w:id="19"/>
      </w:r>
      <w:r w:rsidR="00D300A9" w:rsidRPr="00C77CEC">
        <w:t>.</w:t>
      </w:r>
    </w:p>
    <w:p w14:paraId="592450A7" w14:textId="0D9D7374" w:rsidR="00FE2AE9" w:rsidRDefault="00503882" w:rsidP="005340F4">
      <w:pPr>
        <w:pStyle w:val="Paragraphe"/>
        <w:spacing w:line="280" w:lineRule="exact"/>
      </w:pPr>
      <w:r>
        <w:t xml:space="preserve">Finalement, il est vrai que </w:t>
      </w:r>
      <w:r w:rsidR="00D300A9">
        <w:t xml:space="preserve">le jugement </w:t>
      </w:r>
      <w:r>
        <w:t xml:space="preserve">entrepris qui </w:t>
      </w:r>
      <w:r w:rsidR="004A7CE9">
        <w:t>réserv</w:t>
      </w:r>
      <w:r>
        <w:t>e</w:t>
      </w:r>
      <w:r w:rsidR="004A7CE9">
        <w:t xml:space="preserve"> les d</w:t>
      </w:r>
      <w:r w:rsidR="00D300A9">
        <w:t>roits</w:t>
      </w:r>
      <w:r>
        <w:t xml:space="preserve"> des appelants mène à une impasse</w:t>
      </w:r>
      <w:r w:rsidR="00485821">
        <w:t xml:space="preserve">. </w:t>
      </w:r>
      <w:r w:rsidR="00564C16">
        <w:t>La modification du plan cadastral</w:t>
      </w:r>
      <w:r w:rsidR="00485821">
        <w:t xml:space="preserve"> </w:t>
      </w:r>
      <w:r w:rsidR="004A7CE9">
        <w:t>ne pourra se faire qu’avec le</w:t>
      </w:r>
      <w:r w:rsidR="00D300A9">
        <w:t xml:space="preserve"> consentement des parties</w:t>
      </w:r>
      <w:r w:rsidR="00D300A9" w:rsidRPr="00D300A9">
        <w:rPr>
          <w:i/>
          <w:iCs/>
        </w:rPr>
        <w:t>.</w:t>
      </w:r>
      <w:r w:rsidR="00D300A9">
        <w:t xml:space="preserve"> </w:t>
      </w:r>
      <w:r w:rsidR="00485821">
        <w:t>Or, s</w:t>
      </w:r>
      <w:r w:rsidR="004A7CE9">
        <w:t>’il y a tel consentement, la question de prescription acquisitive devient sans objet</w:t>
      </w:r>
      <w:r w:rsidR="00500F57">
        <w:t>,</w:t>
      </w:r>
      <w:r w:rsidR="004A7CE9">
        <w:t xml:space="preserve"> </w:t>
      </w:r>
      <w:r w:rsidR="00564C16">
        <w:t xml:space="preserve">puisque les parties </w:t>
      </w:r>
      <w:r w:rsidR="00C940BD">
        <w:t xml:space="preserve">emprunteront, de manière consensuelle, </w:t>
      </w:r>
      <w:r w:rsidR="00564C16">
        <w:t xml:space="preserve">la procédure prévue à l’article 1100 </w:t>
      </w:r>
      <w:r w:rsidR="00564C16" w:rsidRPr="00503882">
        <w:rPr>
          <w:i/>
          <w:iCs/>
        </w:rPr>
        <w:t>C.c.Q.</w:t>
      </w:r>
      <w:r w:rsidR="00564C16">
        <w:t xml:space="preserve"> </w:t>
      </w:r>
      <w:r>
        <w:t>pour formaliser le transfert de la Parcelle</w:t>
      </w:r>
      <w:r w:rsidR="004A7CE9">
        <w:t xml:space="preserve">. </w:t>
      </w:r>
      <w:r w:rsidR="009A07C4">
        <w:t xml:space="preserve">Il n’était donc pas opportun </w:t>
      </w:r>
      <w:r w:rsidR="00654071">
        <w:t>pour</w:t>
      </w:r>
      <w:r w:rsidR="009A07C4">
        <w:t xml:space="preserve"> le juge </w:t>
      </w:r>
      <w:r w:rsidR="00654071">
        <w:t xml:space="preserve">de </w:t>
      </w:r>
      <w:r w:rsidR="009A07C4">
        <w:t>rejete</w:t>
      </w:r>
      <w:r w:rsidR="00654071">
        <w:t>r</w:t>
      </w:r>
      <w:r w:rsidR="009A07C4">
        <w:t xml:space="preserve"> la demande </w:t>
      </w:r>
      <w:r>
        <w:t>« </w:t>
      </w:r>
      <w:r w:rsidR="009A07C4">
        <w:t>sous réserve de la continuation du recours</w:t>
      </w:r>
      <w:r>
        <w:t> »</w:t>
      </w:r>
      <w:r w:rsidR="009A07C4">
        <w:t xml:space="preserve"> comme il l’a fait. La conclusion [28] du jugement </w:t>
      </w:r>
      <w:r w:rsidR="00485821">
        <w:t>doit</w:t>
      </w:r>
      <w:r w:rsidR="009A07C4">
        <w:t xml:space="preserve"> donc </w:t>
      </w:r>
      <w:r w:rsidR="00485821">
        <w:t xml:space="preserve">être </w:t>
      </w:r>
      <w:r w:rsidR="009A07C4">
        <w:t>modifiée en conséquence.</w:t>
      </w:r>
    </w:p>
    <w:p w14:paraId="2C5F253D" w14:textId="0E9B6155" w:rsidR="00FE2AE9" w:rsidRDefault="00FE2AE9" w:rsidP="005340F4">
      <w:pPr>
        <w:pStyle w:val="Paragraphe"/>
        <w:numPr>
          <w:ilvl w:val="0"/>
          <w:numId w:val="0"/>
        </w:numPr>
        <w:spacing w:line="280" w:lineRule="exact"/>
        <w:jc w:val="center"/>
      </w:pPr>
      <w:r>
        <w:t>* * *</w:t>
      </w:r>
    </w:p>
    <w:p w14:paraId="72C0B7A4" w14:textId="4ADB1EC0" w:rsidR="00FC4CBB" w:rsidRDefault="00FE2AE9" w:rsidP="005340F4">
      <w:pPr>
        <w:pStyle w:val="Paragraphe"/>
        <w:spacing w:line="280" w:lineRule="exact"/>
      </w:pPr>
      <w:r>
        <w:t xml:space="preserve">Les intimés demandent </w:t>
      </w:r>
      <w:r w:rsidR="00D039CF">
        <w:t>à</w:t>
      </w:r>
      <w:r>
        <w:t xml:space="preserve"> la Cour </w:t>
      </w:r>
      <w:r w:rsidR="00D039CF">
        <w:t xml:space="preserve">de </w:t>
      </w:r>
      <w:r>
        <w:t>déclare</w:t>
      </w:r>
      <w:r w:rsidR="00D039CF">
        <w:t>r</w:t>
      </w:r>
      <w:r>
        <w:t xml:space="preserve"> </w:t>
      </w:r>
      <w:r w:rsidR="0024074F">
        <w:t xml:space="preserve">l’appel </w:t>
      </w:r>
      <w:r>
        <w:t xml:space="preserve">abusif. Les motifs qui précèdent montrent bien que la question en litige </w:t>
      </w:r>
      <w:r w:rsidR="00D039CF">
        <w:t>méritait d’être débattue</w:t>
      </w:r>
      <w:r w:rsidR="00D300A9" w:rsidRPr="001C6F80">
        <w:t>.</w:t>
      </w:r>
      <w:r w:rsidR="00D300A9">
        <w:t xml:space="preserve"> </w:t>
      </w:r>
      <w:r w:rsidR="004A7CE9">
        <w:t>L’appel n’est donc pas abusif.</w:t>
      </w:r>
    </w:p>
    <w:p w14:paraId="271FDB48" w14:textId="3E9EB9A1" w:rsidR="00CB3F84" w:rsidRPr="004A7CE9" w:rsidRDefault="00D300A9" w:rsidP="005340F4">
      <w:pPr>
        <w:pStyle w:val="Paragraphe"/>
        <w:numPr>
          <w:ilvl w:val="0"/>
          <w:numId w:val="0"/>
        </w:numPr>
        <w:spacing w:line="280" w:lineRule="exact"/>
        <w:rPr>
          <w:b/>
          <w:bCs/>
        </w:rPr>
      </w:pPr>
      <w:r w:rsidRPr="004A7CE9">
        <w:rPr>
          <w:b/>
          <w:bCs/>
        </w:rPr>
        <w:t>POUR CES MOTIFS, LA COUR :</w:t>
      </w:r>
    </w:p>
    <w:p w14:paraId="1281263B" w14:textId="4E1C360A" w:rsidR="008D320B" w:rsidRDefault="00D300A9" w:rsidP="005340F4">
      <w:pPr>
        <w:pStyle w:val="Paragraphe"/>
        <w:spacing w:line="280" w:lineRule="exact"/>
      </w:pPr>
      <w:r w:rsidRPr="004A7CE9">
        <w:rPr>
          <w:b/>
          <w:bCs/>
        </w:rPr>
        <w:t>REJETTE</w:t>
      </w:r>
      <w:r>
        <w:t xml:space="preserve"> l’appel des appelants, avec frais de justice;</w:t>
      </w:r>
    </w:p>
    <w:p w14:paraId="63AE8EEB" w14:textId="7508DC7F" w:rsidR="002A3B4A" w:rsidRDefault="00D300A9" w:rsidP="005340F4">
      <w:pPr>
        <w:pStyle w:val="Paragraphe"/>
        <w:spacing w:line="280" w:lineRule="exact"/>
      </w:pPr>
      <w:r w:rsidRPr="004A7CE9">
        <w:rPr>
          <w:b/>
          <w:bCs/>
        </w:rPr>
        <w:t>ACCUEILLE</w:t>
      </w:r>
      <w:r>
        <w:t xml:space="preserve"> l’appel incident, sans frais</w:t>
      </w:r>
      <w:r w:rsidR="004A7CE9">
        <w:t xml:space="preserve"> de justice</w:t>
      </w:r>
      <w:r>
        <w:t xml:space="preserve">, </w:t>
      </w:r>
      <w:r w:rsidR="00654071">
        <w:t>à</w:t>
      </w:r>
      <w:r>
        <w:t xml:space="preserve"> seule fin de modifier la conclusion [28] du jugement afin qu’</w:t>
      </w:r>
      <w:r w:rsidR="004A7CE9">
        <w:t>elle</w:t>
      </w:r>
      <w:r>
        <w:t xml:space="preserve"> se lise ainsi :</w:t>
      </w:r>
    </w:p>
    <w:p w14:paraId="193F63F4" w14:textId="7B0AAD7D" w:rsidR="004A7CE9" w:rsidRDefault="00D300A9" w:rsidP="005340F4">
      <w:pPr>
        <w:pStyle w:val="Paragraphe"/>
        <w:numPr>
          <w:ilvl w:val="0"/>
          <w:numId w:val="0"/>
        </w:numPr>
        <w:spacing w:line="280" w:lineRule="exact"/>
        <w:ind w:left="720"/>
      </w:pPr>
      <w:r>
        <w:t>[</w:t>
      </w:r>
      <w:r w:rsidR="004A7CE9">
        <w:t>28]</w:t>
      </w:r>
      <w:r>
        <w:tab/>
      </w:r>
      <w:r w:rsidRPr="3AF0EF6C">
        <w:rPr>
          <w:b/>
          <w:bCs/>
        </w:rPr>
        <w:t>REJETTE</w:t>
      </w:r>
      <w:r>
        <w:t xml:space="preserve"> la demande</w:t>
      </w:r>
      <w:r w:rsidR="00500F57">
        <w:t xml:space="preserve"> </w:t>
      </w:r>
      <w:r w:rsidR="008D320B">
        <w:t>[</w:t>
      </w:r>
      <w:r w:rsidR="004A7CE9">
        <w:t>…</w:t>
      </w:r>
      <w:r w:rsidR="008D320B">
        <w:t>]</w:t>
      </w:r>
    </w:p>
    <w:tbl>
      <w:tblPr>
        <w:tblW w:w="0" w:type="auto"/>
        <w:tblBorders>
          <w:top w:val="single" w:sz="4" w:space="0" w:color="auto"/>
        </w:tblBorders>
        <w:tblLayout w:type="fixed"/>
        <w:tblCellMar>
          <w:left w:w="0" w:type="dxa"/>
          <w:right w:w="0" w:type="dxa"/>
        </w:tblCellMar>
        <w:tblLook w:val="0000" w:firstRow="0" w:lastRow="0" w:firstColumn="0" w:lastColumn="0" w:noHBand="0" w:noVBand="0"/>
      </w:tblPr>
      <w:tblGrid>
        <w:gridCol w:w="1997"/>
        <w:gridCol w:w="2685"/>
        <w:gridCol w:w="4680"/>
      </w:tblGrid>
      <w:tr w:rsidR="008F3D38" w14:paraId="68E4B85C" w14:textId="77777777" w:rsidTr="0098659D">
        <w:trPr>
          <w:trHeight w:val="576"/>
        </w:trPr>
        <w:tc>
          <w:tcPr>
            <w:tcW w:w="9362" w:type="dxa"/>
            <w:gridSpan w:val="3"/>
            <w:tcBorders>
              <w:top w:val="nil"/>
              <w:bottom w:val="nil"/>
            </w:tcBorders>
          </w:tcPr>
          <w:p w14:paraId="3AAF0F24" w14:textId="77777777" w:rsidR="008F3D38" w:rsidRDefault="008F3D38" w:rsidP="0098659D">
            <w:pPr>
              <w:keepNext/>
            </w:pPr>
          </w:p>
        </w:tc>
      </w:tr>
      <w:tr w:rsidR="008F3D38" w14:paraId="51F83EA1" w14:textId="77777777" w:rsidTr="0098659D">
        <w:trPr>
          <w:trHeight w:val="283"/>
        </w:trPr>
        <w:tc>
          <w:tcPr>
            <w:tcW w:w="4682" w:type="dxa"/>
            <w:gridSpan w:val="2"/>
            <w:tcBorders>
              <w:top w:val="nil"/>
              <w:bottom w:val="nil"/>
            </w:tcBorders>
          </w:tcPr>
          <w:p w14:paraId="29818AEC" w14:textId="77777777" w:rsidR="008F3D38" w:rsidRDefault="008F3D38" w:rsidP="0098659D">
            <w:pPr>
              <w:keepNext/>
            </w:pPr>
          </w:p>
        </w:tc>
        <w:tc>
          <w:tcPr>
            <w:tcW w:w="4680" w:type="dxa"/>
            <w:tcBorders>
              <w:top w:val="nil"/>
              <w:bottom w:val="single" w:sz="8" w:space="0" w:color="auto"/>
            </w:tcBorders>
          </w:tcPr>
          <w:p w14:paraId="69BB4FFB" w14:textId="77777777" w:rsidR="008F3D38" w:rsidRDefault="008F3D38" w:rsidP="0098659D">
            <w:pPr>
              <w:keepNext/>
            </w:pPr>
          </w:p>
        </w:tc>
      </w:tr>
      <w:tr w:rsidR="008F3D38" w14:paraId="46C6E57A" w14:textId="77777777" w:rsidTr="0098659D">
        <w:trPr>
          <w:trHeight w:val="283"/>
        </w:trPr>
        <w:tc>
          <w:tcPr>
            <w:tcW w:w="4682" w:type="dxa"/>
            <w:gridSpan w:val="2"/>
            <w:tcBorders>
              <w:top w:val="nil"/>
            </w:tcBorders>
          </w:tcPr>
          <w:p w14:paraId="3B87764A" w14:textId="77777777" w:rsidR="008F3D38" w:rsidRDefault="008F3D38" w:rsidP="0098659D">
            <w:pPr>
              <w:keepNext/>
            </w:pPr>
          </w:p>
        </w:tc>
        <w:tc>
          <w:tcPr>
            <w:tcW w:w="4680" w:type="dxa"/>
            <w:tcBorders>
              <w:top w:val="single" w:sz="8" w:space="0" w:color="auto"/>
            </w:tcBorders>
          </w:tcPr>
          <w:p w14:paraId="56D1B984" w14:textId="1F93C81A" w:rsidR="008F3D38" w:rsidRDefault="00A35678" w:rsidP="0098659D">
            <w:r>
              <w:t>LORI RENÉE WEITZMAN, J.C.A.</w:t>
            </w:r>
          </w:p>
        </w:tc>
      </w:tr>
      <w:tr w:rsidR="008F3D38" w14:paraId="239C6D4F" w14:textId="77777777" w:rsidTr="0098659D">
        <w:trPr>
          <w:trHeight w:val="283"/>
        </w:trPr>
        <w:tc>
          <w:tcPr>
            <w:tcW w:w="4682" w:type="dxa"/>
            <w:gridSpan w:val="2"/>
            <w:tcBorders>
              <w:top w:val="nil"/>
            </w:tcBorders>
          </w:tcPr>
          <w:p w14:paraId="575E6212" w14:textId="77777777" w:rsidR="008F3D38" w:rsidRDefault="008F3D38" w:rsidP="0098659D">
            <w:pPr>
              <w:keepNext/>
            </w:pPr>
            <w:bookmarkStart w:id="11" w:name="Signature2"/>
          </w:p>
        </w:tc>
        <w:tc>
          <w:tcPr>
            <w:tcW w:w="4680" w:type="dxa"/>
            <w:tcBorders>
              <w:top w:val="nil"/>
            </w:tcBorders>
          </w:tcPr>
          <w:p w14:paraId="5AE523D4" w14:textId="77777777" w:rsidR="008F3D38" w:rsidRDefault="008F3D38" w:rsidP="0098659D">
            <w:pPr>
              <w:keepNext/>
            </w:pPr>
          </w:p>
        </w:tc>
      </w:tr>
      <w:tr w:rsidR="008F3D38" w14:paraId="3B1D1058" w14:textId="77777777" w:rsidTr="0098659D">
        <w:trPr>
          <w:trHeight w:val="283"/>
        </w:trPr>
        <w:tc>
          <w:tcPr>
            <w:tcW w:w="4682" w:type="dxa"/>
            <w:gridSpan w:val="2"/>
            <w:tcBorders>
              <w:top w:val="nil"/>
              <w:bottom w:val="nil"/>
            </w:tcBorders>
          </w:tcPr>
          <w:p w14:paraId="431A3BC0" w14:textId="77777777" w:rsidR="008F3D38" w:rsidRDefault="008F3D38" w:rsidP="0098659D">
            <w:pPr>
              <w:keepNext/>
            </w:pPr>
          </w:p>
        </w:tc>
        <w:tc>
          <w:tcPr>
            <w:tcW w:w="4680" w:type="dxa"/>
            <w:tcBorders>
              <w:top w:val="nil"/>
              <w:bottom w:val="single" w:sz="8" w:space="0" w:color="auto"/>
            </w:tcBorders>
          </w:tcPr>
          <w:p w14:paraId="60731C99" w14:textId="77777777" w:rsidR="008F3D38" w:rsidRDefault="008F3D38" w:rsidP="0098659D">
            <w:pPr>
              <w:keepNext/>
            </w:pPr>
          </w:p>
        </w:tc>
      </w:tr>
      <w:tr w:rsidR="008F3D38" w:rsidRPr="003E4D7F" w14:paraId="46FF4AFA" w14:textId="77777777" w:rsidTr="0098659D">
        <w:trPr>
          <w:trHeight w:val="283"/>
        </w:trPr>
        <w:tc>
          <w:tcPr>
            <w:tcW w:w="4682" w:type="dxa"/>
            <w:gridSpan w:val="2"/>
            <w:tcBorders>
              <w:top w:val="nil"/>
            </w:tcBorders>
          </w:tcPr>
          <w:p w14:paraId="6508D5FC" w14:textId="77777777" w:rsidR="008F3D38" w:rsidRDefault="008F3D38" w:rsidP="0098659D">
            <w:pPr>
              <w:keepNext/>
            </w:pPr>
          </w:p>
        </w:tc>
        <w:tc>
          <w:tcPr>
            <w:tcW w:w="4680" w:type="dxa"/>
            <w:tcBorders>
              <w:top w:val="single" w:sz="8" w:space="0" w:color="auto"/>
            </w:tcBorders>
          </w:tcPr>
          <w:p w14:paraId="1F061278" w14:textId="07CA4921" w:rsidR="008F3D38" w:rsidRPr="00421B04" w:rsidRDefault="00A35678" w:rsidP="0098659D">
            <w:pPr>
              <w:keepNext/>
              <w:rPr>
                <w:lang w:val="en-US"/>
              </w:rPr>
            </w:pPr>
            <w:r>
              <w:t>ÉRIC HARDY, J.C.A.</w:t>
            </w:r>
          </w:p>
        </w:tc>
      </w:tr>
      <w:tr w:rsidR="008F3D38" w:rsidRPr="003E4D7F" w14:paraId="13D4496A" w14:textId="77777777" w:rsidTr="0098659D">
        <w:trPr>
          <w:trHeight w:val="283"/>
        </w:trPr>
        <w:tc>
          <w:tcPr>
            <w:tcW w:w="4682" w:type="dxa"/>
            <w:gridSpan w:val="2"/>
            <w:tcBorders>
              <w:top w:val="nil"/>
            </w:tcBorders>
          </w:tcPr>
          <w:p w14:paraId="4AEC3A4D" w14:textId="77777777" w:rsidR="008F3D38" w:rsidRPr="00421B04" w:rsidRDefault="008F3D38" w:rsidP="0098659D">
            <w:pPr>
              <w:keepNext/>
              <w:rPr>
                <w:lang w:val="en-US"/>
              </w:rPr>
            </w:pPr>
            <w:bookmarkStart w:id="12" w:name="Signature3"/>
            <w:bookmarkEnd w:id="11"/>
          </w:p>
        </w:tc>
        <w:tc>
          <w:tcPr>
            <w:tcW w:w="4680" w:type="dxa"/>
            <w:tcBorders>
              <w:top w:val="nil"/>
            </w:tcBorders>
          </w:tcPr>
          <w:p w14:paraId="638581E0" w14:textId="77777777" w:rsidR="008F3D38" w:rsidRPr="00421B04" w:rsidRDefault="008F3D38" w:rsidP="0098659D">
            <w:pPr>
              <w:keepNext/>
              <w:rPr>
                <w:lang w:val="en-US"/>
              </w:rPr>
            </w:pPr>
          </w:p>
        </w:tc>
      </w:tr>
      <w:tr w:rsidR="008F3D38" w:rsidRPr="003E4D7F" w14:paraId="5FD79FEB" w14:textId="77777777" w:rsidTr="0098659D">
        <w:trPr>
          <w:trHeight w:val="283"/>
        </w:trPr>
        <w:tc>
          <w:tcPr>
            <w:tcW w:w="4682" w:type="dxa"/>
            <w:gridSpan w:val="2"/>
            <w:tcBorders>
              <w:top w:val="nil"/>
              <w:bottom w:val="nil"/>
            </w:tcBorders>
          </w:tcPr>
          <w:p w14:paraId="52113595" w14:textId="77777777" w:rsidR="008F3D38" w:rsidRPr="00421B04" w:rsidRDefault="008F3D38" w:rsidP="0098659D">
            <w:pPr>
              <w:keepNext/>
              <w:rPr>
                <w:lang w:val="en-US"/>
              </w:rPr>
            </w:pPr>
          </w:p>
        </w:tc>
        <w:tc>
          <w:tcPr>
            <w:tcW w:w="4680" w:type="dxa"/>
            <w:tcBorders>
              <w:top w:val="nil"/>
              <w:bottom w:val="single" w:sz="8" w:space="0" w:color="auto"/>
            </w:tcBorders>
          </w:tcPr>
          <w:p w14:paraId="7941794E" w14:textId="77777777" w:rsidR="008F3D38" w:rsidRPr="00421B04" w:rsidRDefault="008F3D38" w:rsidP="0098659D">
            <w:pPr>
              <w:keepNext/>
              <w:rPr>
                <w:lang w:val="en-US"/>
              </w:rPr>
            </w:pPr>
          </w:p>
        </w:tc>
      </w:tr>
      <w:tr w:rsidR="008F3D38" w14:paraId="2019C83D" w14:textId="77777777" w:rsidTr="0098659D">
        <w:trPr>
          <w:trHeight w:val="283"/>
        </w:trPr>
        <w:tc>
          <w:tcPr>
            <w:tcW w:w="4682" w:type="dxa"/>
            <w:gridSpan w:val="2"/>
            <w:tcBorders>
              <w:top w:val="nil"/>
            </w:tcBorders>
          </w:tcPr>
          <w:p w14:paraId="6E1EDA80" w14:textId="77777777" w:rsidR="008F3D38" w:rsidRPr="00421B04" w:rsidRDefault="008F3D38" w:rsidP="0098659D">
            <w:pPr>
              <w:keepNext/>
              <w:rPr>
                <w:lang w:val="en-US"/>
              </w:rPr>
            </w:pPr>
          </w:p>
        </w:tc>
        <w:tc>
          <w:tcPr>
            <w:tcW w:w="4680" w:type="dxa"/>
            <w:tcBorders>
              <w:top w:val="single" w:sz="8" w:space="0" w:color="auto"/>
            </w:tcBorders>
          </w:tcPr>
          <w:p w14:paraId="30B1626D" w14:textId="7CD79C3A" w:rsidR="008F3D38" w:rsidRDefault="00A35678" w:rsidP="0098659D">
            <w:pPr>
              <w:keepNext/>
            </w:pPr>
            <w:r>
              <w:t>CHRISTIAN IMMER, J.C.A.</w:t>
            </w:r>
          </w:p>
        </w:tc>
      </w:tr>
      <w:bookmarkEnd w:id="12"/>
      <w:tr w:rsidR="008F3D38" w14:paraId="29F4C790" w14:textId="77777777" w:rsidTr="0098659D">
        <w:tc>
          <w:tcPr>
            <w:tcW w:w="9362" w:type="dxa"/>
            <w:gridSpan w:val="3"/>
          </w:tcPr>
          <w:p w14:paraId="1823A16E" w14:textId="77777777" w:rsidR="008F3D38" w:rsidRDefault="008F3D38" w:rsidP="0098659D">
            <w:pPr>
              <w:rPr>
                <w:lang w:val="en-CA"/>
              </w:rPr>
            </w:pPr>
          </w:p>
        </w:tc>
      </w:tr>
      <w:tr w:rsidR="008F3D38" w14:paraId="31605D3C" w14:textId="77777777" w:rsidTr="0098659D">
        <w:tc>
          <w:tcPr>
            <w:tcW w:w="9362" w:type="dxa"/>
            <w:gridSpan w:val="3"/>
          </w:tcPr>
          <w:p w14:paraId="2E98A78B" w14:textId="278F763D" w:rsidR="008F3D38" w:rsidRDefault="008F3D38" w:rsidP="0098659D">
            <w:pPr>
              <w:pStyle w:val="zSoquijdatNomProcureurDem"/>
              <w:rPr>
                <w:lang w:val="en-CA"/>
              </w:rPr>
            </w:pPr>
            <w:r>
              <w:rPr>
                <w:lang w:val="en-CA"/>
              </w:rPr>
              <w:t>Me Hugo Beaulieu</w:t>
            </w:r>
          </w:p>
        </w:tc>
      </w:tr>
      <w:tr w:rsidR="008F3D38" w14:paraId="77E6B1B5" w14:textId="77777777" w:rsidTr="0098659D">
        <w:tc>
          <w:tcPr>
            <w:tcW w:w="9362" w:type="dxa"/>
            <w:gridSpan w:val="3"/>
          </w:tcPr>
          <w:p w14:paraId="58E58330" w14:textId="0C36F0A8" w:rsidR="008F3D38" w:rsidRDefault="008F3D38" w:rsidP="0098659D">
            <w:pPr>
              <w:pStyle w:val="zSoquijdatNomProcureurDem"/>
            </w:pPr>
            <w:r>
              <w:t>Ève Daigle, stagiaire en droit</w:t>
            </w:r>
          </w:p>
        </w:tc>
      </w:tr>
      <w:tr w:rsidR="008F3D38" w14:paraId="725A9718" w14:textId="77777777" w:rsidTr="0098659D">
        <w:tc>
          <w:tcPr>
            <w:tcW w:w="9362" w:type="dxa"/>
            <w:gridSpan w:val="3"/>
          </w:tcPr>
          <w:p w14:paraId="683C74D2" w14:textId="27CC58EC" w:rsidR="008F3D38" w:rsidRPr="00421B04" w:rsidRDefault="008F3D38" w:rsidP="0098659D">
            <w:pPr>
              <w:pStyle w:val="zSoquijdatCabinetProcureurDem"/>
            </w:pPr>
            <w:r>
              <w:t>MORENCY SOCIÉTÉ D’AVOCATS</w:t>
            </w:r>
          </w:p>
        </w:tc>
      </w:tr>
      <w:tr w:rsidR="008F3D38" w14:paraId="38B6A9D4" w14:textId="77777777" w:rsidTr="0098659D">
        <w:tc>
          <w:tcPr>
            <w:tcW w:w="9362" w:type="dxa"/>
            <w:gridSpan w:val="3"/>
          </w:tcPr>
          <w:p w14:paraId="186368C2" w14:textId="4CD84B08" w:rsidR="008F3D38" w:rsidRPr="00341103" w:rsidRDefault="008F3D38" w:rsidP="0098659D">
            <w:pPr>
              <w:pStyle w:val="zSoquijlblProcureurDem"/>
            </w:pPr>
            <w:r>
              <w:t>Pour les appelants</w:t>
            </w:r>
            <w:r w:rsidR="009947AF">
              <w:t> </w:t>
            </w:r>
            <w:r w:rsidR="00341103">
              <w:t>/</w:t>
            </w:r>
            <w:r w:rsidR="009947AF">
              <w:t> </w:t>
            </w:r>
            <w:r w:rsidR="00341103">
              <w:t>intimés incidents</w:t>
            </w:r>
          </w:p>
        </w:tc>
      </w:tr>
      <w:tr w:rsidR="008F3D38" w14:paraId="0F5504C8" w14:textId="77777777" w:rsidTr="0098659D">
        <w:tc>
          <w:tcPr>
            <w:tcW w:w="9362" w:type="dxa"/>
            <w:gridSpan w:val="3"/>
          </w:tcPr>
          <w:p w14:paraId="529DEB34" w14:textId="77777777" w:rsidR="008F3D38" w:rsidRPr="00341103" w:rsidRDefault="008F3D38" w:rsidP="0098659D"/>
        </w:tc>
      </w:tr>
      <w:tr w:rsidR="008F3D38" w14:paraId="1AB4542C" w14:textId="77777777" w:rsidTr="0098659D">
        <w:tc>
          <w:tcPr>
            <w:tcW w:w="9362" w:type="dxa"/>
            <w:gridSpan w:val="3"/>
          </w:tcPr>
          <w:p w14:paraId="4BA52CCB" w14:textId="2085A35C" w:rsidR="008F3D38" w:rsidRDefault="005340F4" w:rsidP="0098659D">
            <w:pPr>
              <w:pStyle w:val="zSoquijdatNomProcureurDef"/>
              <w:rPr>
                <w:lang w:val="en-CA"/>
              </w:rPr>
            </w:pPr>
            <w:r>
              <w:t>Junlin Shen</w:t>
            </w:r>
          </w:p>
        </w:tc>
      </w:tr>
      <w:tr w:rsidR="008F3D38" w14:paraId="12E85E89" w14:textId="77777777" w:rsidTr="0098659D">
        <w:tc>
          <w:tcPr>
            <w:tcW w:w="9362" w:type="dxa"/>
            <w:gridSpan w:val="3"/>
          </w:tcPr>
          <w:p w14:paraId="130DC918" w14:textId="41D8B53F" w:rsidR="008F3D38" w:rsidRDefault="005340F4" w:rsidP="0098659D">
            <w:pPr>
              <w:pStyle w:val="zSoquijdatCabinetProcureurDef"/>
              <w:rPr>
                <w:lang w:val="en-CA"/>
              </w:rPr>
            </w:pPr>
            <w:r>
              <w:t>Qiang Ye</w:t>
            </w:r>
          </w:p>
        </w:tc>
      </w:tr>
      <w:tr w:rsidR="008F3D38" w14:paraId="1204A72F" w14:textId="77777777" w:rsidTr="0098659D">
        <w:tc>
          <w:tcPr>
            <w:tcW w:w="9362" w:type="dxa"/>
            <w:gridSpan w:val="3"/>
          </w:tcPr>
          <w:p w14:paraId="3D7A25B0" w14:textId="7F1683DA" w:rsidR="008F3D38" w:rsidRDefault="00AA75A8" w:rsidP="0098659D">
            <w:pPr>
              <w:pStyle w:val="zSoquijdatCabinetProcureurDef"/>
            </w:pPr>
            <w:r>
              <w:t>Non représentés</w:t>
            </w:r>
          </w:p>
        </w:tc>
      </w:tr>
      <w:tr w:rsidR="008F3D38" w14:paraId="13C25626" w14:textId="77777777" w:rsidTr="0098659D">
        <w:tc>
          <w:tcPr>
            <w:tcW w:w="9362" w:type="dxa"/>
            <w:gridSpan w:val="3"/>
          </w:tcPr>
          <w:p w14:paraId="436BA5BF" w14:textId="77777777" w:rsidR="008F3D38" w:rsidRDefault="008F3D38" w:rsidP="0098659D">
            <w:pPr>
              <w:rPr>
                <w:lang w:val="en-CA"/>
              </w:rPr>
            </w:pPr>
          </w:p>
        </w:tc>
      </w:tr>
      <w:tr w:rsidR="008F3D38" w14:paraId="6DE0A864" w14:textId="77777777" w:rsidTr="0098659D">
        <w:tc>
          <w:tcPr>
            <w:tcW w:w="1997" w:type="dxa"/>
          </w:tcPr>
          <w:p w14:paraId="216FA767" w14:textId="77777777" w:rsidR="008F3D38" w:rsidRDefault="008F3D38" w:rsidP="0098659D">
            <w:pPr>
              <w:pStyle w:val="zSoquijlblDateAudience"/>
            </w:pPr>
            <w:r>
              <w:t>Date d’audience :</w:t>
            </w:r>
          </w:p>
        </w:tc>
        <w:tc>
          <w:tcPr>
            <w:tcW w:w="7365" w:type="dxa"/>
            <w:gridSpan w:val="2"/>
          </w:tcPr>
          <w:p w14:paraId="5375EBB7" w14:textId="4683AEA0" w:rsidR="008F3D38" w:rsidRDefault="00AA75A8" w:rsidP="0098659D">
            <w:pPr>
              <w:pStyle w:val="zSoquijdatDateAudience"/>
            </w:pPr>
            <w:r>
              <w:t>29</w:t>
            </w:r>
            <w:r w:rsidR="008F3D38">
              <w:t xml:space="preserve"> janvier 2026</w:t>
            </w:r>
          </w:p>
        </w:tc>
      </w:tr>
      <w:bookmarkEnd w:id="8"/>
    </w:tbl>
    <w:p w14:paraId="3642AE61" w14:textId="1823D552" w:rsidR="3AF0EF6C" w:rsidRDefault="3AF0EF6C" w:rsidP="005340F4">
      <w:pPr>
        <w:pStyle w:val="Paragraphe"/>
        <w:numPr>
          <w:ilvl w:val="0"/>
          <w:numId w:val="0"/>
        </w:numPr>
        <w:spacing w:before="0" w:after="0" w:line="240" w:lineRule="auto"/>
      </w:pPr>
    </w:p>
    <w:sectPr w:rsidR="3AF0EF6C" w:rsidSect="00A3349F">
      <w:headerReference w:type="default" r:id="rId9"/>
      <w:pgSz w:w="12242" w:h="15842" w:code="1"/>
      <w:pgMar w:top="1440" w:right="1008" w:bottom="1440" w:left="1872" w:header="1440" w:footer="792"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AA9A4" w14:textId="77777777" w:rsidR="00237CDA" w:rsidRDefault="00237CDA">
      <w:r>
        <w:separator/>
      </w:r>
    </w:p>
  </w:endnote>
  <w:endnote w:type="continuationSeparator" w:id="0">
    <w:p w14:paraId="38927884" w14:textId="77777777" w:rsidR="00237CDA" w:rsidRDefault="00237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F5555" w14:textId="77777777" w:rsidR="00237CDA" w:rsidRDefault="00237CDA">
      <w:r>
        <w:separator/>
      </w:r>
    </w:p>
  </w:footnote>
  <w:footnote w:type="continuationSeparator" w:id="0">
    <w:p w14:paraId="76C7623F" w14:textId="77777777" w:rsidR="00237CDA" w:rsidRDefault="00237CDA">
      <w:r>
        <w:continuationSeparator/>
      </w:r>
    </w:p>
  </w:footnote>
  <w:footnote w:id="1">
    <w:p w14:paraId="6723828D" w14:textId="3A886F35" w:rsidR="00310FF4" w:rsidRPr="00807138" w:rsidRDefault="00310FF4" w:rsidP="00310FF4">
      <w:pPr>
        <w:pStyle w:val="Notedebasdepage"/>
        <w:rPr>
          <w:rFonts w:cs="Arial"/>
        </w:rPr>
      </w:pPr>
      <w:r w:rsidRPr="00807138">
        <w:rPr>
          <w:rStyle w:val="Appelnotedebasdep"/>
          <w:rFonts w:cs="Arial"/>
        </w:rPr>
        <w:footnoteRef/>
      </w:r>
      <w:r w:rsidRPr="00807138">
        <w:rPr>
          <w:rFonts w:cs="Arial"/>
        </w:rPr>
        <w:t xml:space="preserve"> </w:t>
      </w:r>
      <w:r w:rsidR="00074B9D">
        <w:rPr>
          <w:rFonts w:cs="Arial"/>
        </w:rPr>
        <w:tab/>
      </w:r>
      <w:r w:rsidR="00074B9D" w:rsidRPr="00074B9D">
        <w:rPr>
          <w:rFonts w:cs="Arial"/>
          <w:i/>
          <w:iCs/>
        </w:rPr>
        <w:t>Couillard c. Shen</w:t>
      </w:r>
      <w:r w:rsidR="00074B9D" w:rsidRPr="00074B9D">
        <w:rPr>
          <w:rFonts w:cs="Arial"/>
        </w:rPr>
        <w:t>, 2024 QCCS 873</w:t>
      </w:r>
      <w:r w:rsidR="00074B9D">
        <w:rPr>
          <w:rFonts w:cs="Arial"/>
        </w:rPr>
        <w:t xml:space="preserve"> (« j</w:t>
      </w:r>
      <w:r w:rsidRPr="00807138">
        <w:rPr>
          <w:rFonts w:cs="Arial"/>
        </w:rPr>
        <w:t>ugement entrepris</w:t>
      </w:r>
      <w:r w:rsidR="00074B9D">
        <w:rPr>
          <w:rFonts w:cs="Arial"/>
        </w:rPr>
        <w:t> »)</w:t>
      </w:r>
      <w:r w:rsidRPr="00807138">
        <w:rPr>
          <w:rFonts w:cs="Arial"/>
        </w:rPr>
        <w:t>.</w:t>
      </w:r>
    </w:p>
  </w:footnote>
  <w:footnote w:id="2">
    <w:p w14:paraId="3A5498C5" w14:textId="0FFE1A76" w:rsidR="00F01F2A" w:rsidRDefault="00F01F2A">
      <w:pPr>
        <w:pStyle w:val="Notedebasdepage"/>
      </w:pPr>
      <w:r>
        <w:rPr>
          <w:rStyle w:val="Appelnotedebasdep"/>
        </w:rPr>
        <w:footnoteRef/>
      </w:r>
      <w:r>
        <w:t xml:space="preserve"> </w:t>
      </w:r>
      <w:r>
        <w:tab/>
      </w:r>
      <w:r w:rsidRPr="00F01F2A">
        <w:rPr>
          <w:i/>
          <w:iCs/>
        </w:rPr>
        <w:t>Couillard c. Shen</w:t>
      </w:r>
      <w:r w:rsidRPr="00F01F2A">
        <w:t>, 2026 QCCA 103</w:t>
      </w:r>
      <w:r>
        <w:t>.</w:t>
      </w:r>
    </w:p>
  </w:footnote>
  <w:footnote w:id="3">
    <w:p w14:paraId="36917DB3" w14:textId="77777777" w:rsidR="00E95BBD" w:rsidRDefault="00E95BBD" w:rsidP="00E95BBD">
      <w:pPr>
        <w:pStyle w:val="Notedebasdepage"/>
      </w:pPr>
      <w:r w:rsidRPr="001C6F80">
        <w:rPr>
          <w:rStyle w:val="Appelnotedebasdep"/>
        </w:rPr>
        <w:footnoteRef/>
      </w:r>
      <w:r w:rsidRPr="001C6F80">
        <w:t xml:space="preserve"> </w:t>
      </w:r>
      <w:r w:rsidRPr="001C6F80">
        <w:tab/>
      </w:r>
      <w:r>
        <w:t xml:space="preserve">Édith </w:t>
      </w:r>
      <w:r w:rsidRPr="005349EA">
        <w:t xml:space="preserve">Lambert, « Commentaire sur l’article 2918 C.c.Q. », dans </w:t>
      </w:r>
      <w:r w:rsidRPr="005349EA">
        <w:rPr>
          <w:i/>
          <w:iCs/>
        </w:rPr>
        <w:t>Commentaires sur le Code civil du Québec</w:t>
      </w:r>
      <w:r w:rsidRPr="005349EA">
        <w:t xml:space="preserve"> </w:t>
      </w:r>
      <w:r w:rsidRPr="004C2727">
        <w:rPr>
          <w:i/>
          <w:iCs/>
        </w:rPr>
        <w:t>(DCQ)</w:t>
      </w:r>
      <w:r w:rsidRPr="005349EA">
        <w:t>, Cowansville, Yvon Blais, 2013, n</w:t>
      </w:r>
      <w:r w:rsidRPr="004C2727">
        <w:rPr>
          <w:vertAlign w:val="superscript"/>
        </w:rPr>
        <w:t>o</w:t>
      </w:r>
      <w:r w:rsidRPr="005349EA">
        <w:t xml:space="preserve"> 2918 565, EYB-2013DCQ1518 (La référence); </w:t>
      </w:r>
      <w:r>
        <w:t xml:space="preserve">François </w:t>
      </w:r>
      <w:r w:rsidRPr="005349EA">
        <w:t>Brochu, « Prescription acquisitive », dans JurisClasseur Québec, coll. « Droit civil », Preuve et prescription, Montréal, LexisNexis Canada, à jour au 1</w:t>
      </w:r>
      <w:r w:rsidRPr="004C2727">
        <w:rPr>
          <w:vertAlign w:val="superscript"/>
        </w:rPr>
        <w:t>er</w:t>
      </w:r>
      <w:r w:rsidRPr="005349EA">
        <w:t xml:space="preserve"> mai 2021, fasc. 10, par. 18 (LAd/QL).</w:t>
      </w:r>
    </w:p>
  </w:footnote>
  <w:footnote w:id="4">
    <w:p w14:paraId="75452D13" w14:textId="77777777" w:rsidR="00D87202" w:rsidRDefault="00D87202" w:rsidP="00D87202">
      <w:pPr>
        <w:pStyle w:val="Notedebasdepage"/>
      </w:pPr>
      <w:r>
        <w:rPr>
          <w:rStyle w:val="Appelnotedebasdep"/>
        </w:rPr>
        <w:footnoteRef/>
      </w:r>
      <w:r>
        <w:t xml:space="preserve"> </w:t>
      </w:r>
      <w:r>
        <w:tab/>
      </w:r>
      <w:r w:rsidRPr="006B30E6">
        <w:rPr>
          <w:i/>
          <w:iCs/>
        </w:rPr>
        <w:t>Pedneault c. Syndicat des copropriétaires du Domaine du Barrage</w:t>
      </w:r>
      <w:r w:rsidRPr="006B30E6">
        <w:t>, 2019 QCCA 1986</w:t>
      </w:r>
      <w:r>
        <w:t>.</w:t>
      </w:r>
    </w:p>
  </w:footnote>
  <w:footnote w:id="5">
    <w:p w14:paraId="568F7778" w14:textId="4E57CC1C" w:rsidR="00D87202" w:rsidRDefault="00D87202">
      <w:pPr>
        <w:pStyle w:val="Notedebasdepage"/>
      </w:pPr>
      <w:r>
        <w:rPr>
          <w:rStyle w:val="Appelnotedebasdep"/>
        </w:rPr>
        <w:footnoteRef/>
      </w:r>
      <w:r>
        <w:t xml:space="preserve"> </w:t>
      </w:r>
      <w:r>
        <w:tab/>
      </w:r>
      <w:r w:rsidRPr="00813598">
        <w:rPr>
          <w:i/>
          <w:iCs/>
        </w:rPr>
        <w:t>Ostiguy c. Allie</w:t>
      </w:r>
      <w:r w:rsidRPr="00D87202">
        <w:t>, 2017 CSC 22</w:t>
      </w:r>
      <w:r w:rsidR="009A07C4">
        <w:t>.</w:t>
      </w:r>
    </w:p>
  </w:footnote>
  <w:footnote w:id="6">
    <w:p w14:paraId="369BCE9C" w14:textId="392F1BAC" w:rsidR="00816B51" w:rsidRDefault="00816B51">
      <w:pPr>
        <w:pStyle w:val="Notedebasdepage"/>
      </w:pPr>
      <w:r w:rsidRPr="00B3081C">
        <w:rPr>
          <w:rStyle w:val="Appelnotedebasdep"/>
        </w:rPr>
        <w:footnoteRef/>
      </w:r>
      <w:r w:rsidRPr="00B3081C">
        <w:t xml:space="preserve"> </w:t>
      </w:r>
      <w:r w:rsidRPr="00B3081C">
        <w:tab/>
        <w:t xml:space="preserve">Christine Gagnon, </w:t>
      </w:r>
      <w:r w:rsidRPr="00B3081C">
        <w:rPr>
          <w:i/>
          <w:iCs/>
        </w:rPr>
        <w:t>La copropriété divise</w:t>
      </w:r>
      <w:r w:rsidRPr="00B3081C">
        <w:t>, 6</w:t>
      </w:r>
      <w:r w:rsidRPr="00E95BBD">
        <w:rPr>
          <w:vertAlign w:val="superscript"/>
        </w:rPr>
        <w:t>e</w:t>
      </w:r>
      <w:r w:rsidRPr="00B3081C">
        <w:t xml:space="preserve"> éd., Montréal, Yvon Blais, 2025, p. 70, paragr. 68</w:t>
      </w:r>
      <w:r w:rsidR="00CE5D81">
        <w:t xml:space="preserve"> et</w:t>
      </w:r>
      <w:r w:rsidR="001909A5" w:rsidRPr="00B3081C">
        <w:t xml:space="preserve"> p. 104, par. 121.</w:t>
      </w:r>
    </w:p>
  </w:footnote>
  <w:footnote w:id="7">
    <w:p w14:paraId="1F0E5FC3" w14:textId="41EA9E7A" w:rsidR="00280A5E" w:rsidRDefault="00280A5E">
      <w:pPr>
        <w:pStyle w:val="Notedebasdepage"/>
      </w:pPr>
      <w:r>
        <w:rPr>
          <w:rStyle w:val="Appelnotedebasdep"/>
        </w:rPr>
        <w:footnoteRef/>
      </w:r>
      <w:r>
        <w:t xml:space="preserve"> </w:t>
      </w:r>
      <w:r>
        <w:tab/>
        <w:t xml:space="preserve">Il y </w:t>
      </w:r>
      <w:r w:rsidR="00A8111A">
        <w:t xml:space="preserve">est </w:t>
      </w:r>
      <w:r>
        <w:t xml:space="preserve">précisé que </w:t>
      </w:r>
      <w:r w:rsidRPr="00280A5E">
        <w:t>les appelants acceptent «</w:t>
      </w:r>
      <w:r w:rsidR="00507BA1">
        <w:t> </w:t>
      </w:r>
      <w:r w:rsidR="0022544B">
        <w:t>[</w:t>
      </w:r>
      <w:r w:rsidRPr="00280A5E">
        <w:t>l</w:t>
      </w:r>
      <w:r w:rsidR="0022544B">
        <w:t>]</w:t>
      </w:r>
      <w:r w:rsidRPr="00280A5E">
        <w:t>a fraction d’un immeuble assujetti au régime de la copropriété des immeubles suivant la dé</w:t>
      </w:r>
      <w:r w:rsidRPr="005C3E65">
        <w:t>claration de copropriété publiée au bureau de la publicité des droits</w:t>
      </w:r>
      <w:r w:rsidR="00507BA1">
        <w:t> </w:t>
      </w:r>
      <w:r w:rsidRPr="005C3E65">
        <w:t xml:space="preserve">» et </w:t>
      </w:r>
      <w:r w:rsidR="0022544B">
        <w:t>qu’</w:t>
      </w:r>
      <w:r w:rsidRPr="005C3E65">
        <w:t>ils s’engage</w:t>
      </w:r>
      <w:r w:rsidR="00FD02EC" w:rsidRPr="005C3E65">
        <w:t>nt</w:t>
      </w:r>
      <w:r w:rsidRPr="00280A5E">
        <w:t xml:space="preserve"> à remplir et à exécuter fidèlement «</w:t>
      </w:r>
      <w:r w:rsidR="00507BA1">
        <w:t> </w:t>
      </w:r>
      <w:r w:rsidRPr="00280A5E">
        <w:t xml:space="preserve">à l’entière exonération du </w:t>
      </w:r>
      <w:r w:rsidR="00D9251A">
        <w:t>V</w:t>
      </w:r>
      <w:r w:rsidRPr="00280A5E">
        <w:t>endeur tous les termes, clauses, conditions et obligations de la déclaration de copropriété [et] toutes et chacune des dispositions du Code civil (…) concernant la copropriété</w:t>
      </w:r>
      <w:r w:rsidR="00507BA1">
        <w:t> </w:t>
      </w:r>
      <w:r w:rsidRPr="00280A5E">
        <w:t>»</w:t>
      </w:r>
      <w:r w:rsidR="00A9756C">
        <w:t>.</w:t>
      </w:r>
    </w:p>
  </w:footnote>
  <w:footnote w:id="8">
    <w:p w14:paraId="057D194A" w14:textId="7E3D67C4" w:rsidR="00765781" w:rsidRPr="00804C12" w:rsidRDefault="00765781">
      <w:pPr>
        <w:pStyle w:val="Notedebasdepage"/>
        <w:rPr>
          <w:i/>
          <w:iCs/>
          <w:highlight w:val="yellow"/>
        </w:rPr>
      </w:pPr>
      <w:r w:rsidRPr="00C92729">
        <w:rPr>
          <w:rStyle w:val="Appelnotedebasdep"/>
        </w:rPr>
        <w:footnoteRef/>
      </w:r>
      <w:r w:rsidRPr="00804C12">
        <w:t xml:space="preserve"> </w:t>
      </w:r>
      <w:r w:rsidR="00804C12">
        <w:tab/>
      </w:r>
      <w:r w:rsidR="00804C12" w:rsidRPr="00C92729">
        <w:t xml:space="preserve">Christine Gagnon, </w:t>
      </w:r>
      <w:r w:rsidR="00804C12" w:rsidRPr="00C92729">
        <w:rPr>
          <w:i/>
          <w:iCs/>
        </w:rPr>
        <w:t>La copropriété divise</w:t>
      </w:r>
      <w:r w:rsidR="00804C12" w:rsidRPr="00C92729">
        <w:t>, 6</w:t>
      </w:r>
      <w:r w:rsidR="00804C12" w:rsidRPr="00E95BBD">
        <w:rPr>
          <w:vertAlign w:val="superscript"/>
        </w:rPr>
        <w:t>e</w:t>
      </w:r>
      <w:r w:rsidR="00804C12" w:rsidRPr="00C92729">
        <w:t xml:space="preserve"> éd., Montréal, Yvon Blais, 2025, p</w:t>
      </w:r>
      <w:r w:rsidR="00804C12">
        <w:t>. 252, par. 353</w:t>
      </w:r>
      <w:r w:rsidRPr="00804C12">
        <w:rPr>
          <w:i/>
          <w:iCs/>
        </w:rPr>
        <w:t>.</w:t>
      </w:r>
    </w:p>
  </w:footnote>
  <w:footnote w:id="9">
    <w:p w14:paraId="231950A4" w14:textId="43A0CCB1" w:rsidR="00507BA1" w:rsidRPr="00256D47" w:rsidRDefault="00507BA1" w:rsidP="00507BA1">
      <w:pPr>
        <w:pStyle w:val="Notedebasdepage"/>
        <w:rPr>
          <w:lang w:val="en-CA"/>
        </w:rPr>
      </w:pPr>
      <w:r w:rsidRPr="005C3E65">
        <w:rPr>
          <w:rStyle w:val="Appelnotedebasdep"/>
        </w:rPr>
        <w:footnoteRef/>
      </w:r>
      <w:r w:rsidRPr="00256D47">
        <w:rPr>
          <w:lang w:val="en-CA"/>
        </w:rPr>
        <w:t xml:space="preserve"> </w:t>
      </w:r>
      <w:r>
        <w:rPr>
          <w:lang w:val="en-CA"/>
        </w:rPr>
        <w:tab/>
      </w:r>
      <w:r w:rsidRPr="00256D47">
        <w:rPr>
          <w:i/>
          <w:iCs/>
          <w:lang w:val="en-CA"/>
        </w:rPr>
        <w:t>Ibid.</w:t>
      </w:r>
    </w:p>
  </w:footnote>
  <w:footnote w:id="10">
    <w:p w14:paraId="2E149928" w14:textId="14ACE764" w:rsidR="0028559A" w:rsidRPr="005C3E65" w:rsidRDefault="0028559A">
      <w:pPr>
        <w:pStyle w:val="Notedebasdepage"/>
        <w:rPr>
          <w:lang w:val="en-CA"/>
        </w:rPr>
      </w:pPr>
      <w:r w:rsidRPr="005C3E65">
        <w:rPr>
          <w:rStyle w:val="Appelnotedebasdep"/>
        </w:rPr>
        <w:footnoteRef/>
      </w:r>
      <w:r w:rsidRPr="005C3E65">
        <w:rPr>
          <w:lang w:val="en-CA"/>
        </w:rPr>
        <w:t xml:space="preserve"> </w:t>
      </w:r>
      <w:r w:rsidRPr="005C3E65">
        <w:rPr>
          <w:lang w:val="en-CA"/>
        </w:rPr>
        <w:tab/>
      </w:r>
      <w:r w:rsidR="00C92729" w:rsidRPr="005C3E65">
        <w:rPr>
          <w:i/>
          <w:iCs/>
          <w:lang w:val="en-CA"/>
        </w:rPr>
        <w:t>Ibid.</w:t>
      </w:r>
    </w:p>
  </w:footnote>
  <w:footnote w:id="11">
    <w:p w14:paraId="508F0754" w14:textId="77777777" w:rsidR="00A9756C" w:rsidRPr="005C3E65" w:rsidRDefault="00A9756C" w:rsidP="00A9756C">
      <w:pPr>
        <w:pStyle w:val="Notedebasdepage"/>
        <w:rPr>
          <w:lang w:val="en-CA"/>
        </w:rPr>
      </w:pPr>
      <w:r w:rsidRPr="00CA5E76">
        <w:rPr>
          <w:rStyle w:val="Appelnotedebasdep"/>
        </w:rPr>
        <w:footnoteRef/>
      </w:r>
      <w:r w:rsidRPr="005C3E65">
        <w:rPr>
          <w:lang w:val="en-CA"/>
        </w:rPr>
        <w:t xml:space="preserve"> </w:t>
      </w:r>
      <w:r w:rsidRPr="005C3E65">
        <w:rPr>
          <w:lang w:val="en-CA"/>
        </w:rPr>
        <w:tab/>
      </w:r>
      <w:r w:rsidRPr="005C3E65">
        <w:rPr>
          <w:i/>
          <w:iCs/>
          <w:lang w:val="en-CA"/>
        </w:rPr>
        <w:t>Id.</w:t>
      </w:r>
      <w:r w:rsidRPr="005C3E65">
        <w:rPr>
          <w:lang w:val="en-CA"/>
        </w:rPr>
        <w:t>, p. 69, par. 68.</w:t>
      </w:r>
    </w:p>
  </w:footnote>
  <w:footnote w:id="12">
    <w:p w14:paraId="5DD52A6F" w14:textId="21016444" w:rsidR="00A9756C" w:rsidRDefault="00A9756C">
      <w:pPr>
        <w:pStyle w:val="Notedebasdepage"/>
      </w:pPr>
      <w:r>
        <w:rPr>
          <w:rStyle w:val="Appelnotedebasdep"/>
        </w:rPr>
        <w:footnoteRef/>
      </w:r>
      <w:r>
        <w:t xml:space="preserve"> </w:t>
      </w:r>
      <w:r>
        <w:tab/>
        <w:t>En l’espèce, l</w:t>
      </w:r>
      <w:r w:rsidR="001F28C9">
        <w:t>e paragraphe</w:t>
      </w:r>
      <w:r>
        <w:t xml:space="preserve"> 2.1.2 de la déclaration de copropriété.</w:t>
      </w:r>
    </w:p>
  </w:footnote>
  <w:footnote w:id="13">
    <w:p w14:paraId="7288839B" w14:textId="31AE0DE6" w:rsidR="007543C3" w:rsidRPr="00F5408C" w:rsidRDefault="007543C3" w:rsidP="007543C3">
      <w:pPr>
        <w:pStyle w:val="Notedebasdepage"/>
      </w:pPr>
      <w:r w:rsidRPr="005C3E65">
        <w:rPr>
          <w:rStyle w:val="Appelnotedebasdep"/>
        </w:rPr>
        <w:footnoteRef/>
      </w:r>
      <w:r w:rsidRPr="005C3E65">
        <w:t xml:space="preserve">  </w:t>
      </w:r>
      <w:r>
        <w:tab/>
      </w:r>
      <w:r w:rsidRPr="005C3E65">
        <w:t xml:space="preserve">Art. 1009 </w:t>
      </w:r>
      <w:r w:rsidRPr="005C3E65">
        <w:rPr>
          <w:i/>
          <w:iCs/>
        </w:rPr>
        <w:t>C.c.Q.</w:t>
      </w:r>
    </w:p>
  </w:footnote>
  <w:footnote w:id="14">
    <w:p w14:paraId="272D33D4" w14:textId="476F0C67" w:rsidR="00F234D8" w:rsidRDefault="00F234D8">
      <w:pPr>
        <w:pStyle w:val="Notedebasdepage"/>
      </w:pPr>
      <w:r w:rsidRPr="00F234D8">
        <w:rPr>
          <w:rStyle w:val="Appelnotedebasdep"/>
        </w:rPr>
        <w:footnoteRef/>
      </w:r>
      <w:r w:rsidR="00F5408C">
        <w:rPr>
          <w:i/>
          <w:iCs/>
        </w:rPr>
        <w:t xml:space="preserve"> </w:t>
      </w:r>
      <w:r w:rsidR="00F5408C">
        <w:rPr>
          <w:i/>
          <w:iCs/>
        </w:rPr>
        <w:tab/>
      </w:r>
      <w:r w:rsidRPr="00F5408C">
        <w:rPr>
          <w:i/>
          <w:iCs/>
        </w:rPr>
        <w:t>Pedneault c. Syndicat des copropriétaires du Domaine du Barrage</w:t>
      </w:r>
      <w:r w:rsidRPr="00F5408C">
        <w:t xml:space="preserve">, 2019 QCCA 1986, </w:t>
      </w:r>
      <w:r w:rsidRPr="00F5408C">
        <w:rPr>
          <w:rFonts w:cs="Arial"/>
        </w:rPr>
        <w:t>par. 30-36</w:t>
      </w:r>
      <w:r w:rsidRPr="00F5408C">
        <w:t>.</w:t>
      </w:r>
    </w:p>
  </w:footnote>
  <w:footnote w:id="15">
    <w:p w14:paraId="53592D08" w14:textId="6E9D893A" w:rsidR="00E37BDF" w:rsidRPr="00DB6411" w:rsidRDefault="00E37BDF">
      <w:pPr>
        <w:pStyle w:val="Notedebasdepage"/>
      </w:pPr>
      <w:r>
        <w:rPr>
          <w:rStyle w:val="Appelnotedebasdep"/>
        </w:rPr>
        <w:footnoteRef/>
      </w:r>
      <w:r>
        <w:t xml:space="preserve"> </w:t>
      </w:r>
      <w:r>
        <w:tab/>
      </w:r>
      <w:r w:rsidR="0024074F" w:rsidRPr="00DB6411">
        <w:t xml:space="preserve">Christine Gagnon, </w:t>
      </w:r>
      <w:r w:rsidR="0024074F" w:rsidRPr="00DB6411">
        <w:rPr>
          <w:i/>
          <w:iCs/>
        </w:rPr>
        <w:t>Revue de jurisprudence et pratique notariale en copropriété divise</w:t>
      </w:r>
      <w:r w:rsidR="0024074F" w:rsidRPr="00DB6411">
        <w:t xml:space="preserve">, 2026 99ème </w:t>
      </w:r>
      <w:r w:rsidR="0024074F" w:rsidRPr="00E95BBD">
        <w:rPr>
          <w:i/>
          <w:iCs/>
        </w:rPr>
        <w:t>Cours de perfectionnement du notariat</w:t>
      </w:r>
      <w:r w:rsidR="0024074F" w:rsidRPr="00DB6411">
        <w:t xml:space="preserve"> 35, 2026 CanLIIDocs 1423</w:t>
      </w:r>
      <w:r w:rsidRPr="00DB6411">
        <w:t>, p. 49.</w:t>
      </w:r>
    </w:p>
  </w:footnote>
  <w:footnote w:id="16">
    <w:p w14:paraId="4A6823E9" w14:textId="480C45A4" w:rsidR="0024074F" w:rsidRDefault="0024074F">
      <w:pPr>
        <w:pStyle w:val="Notedebasdepage"/>
      </w:pPr>
      <w:r w:rsidRPr="00DB6411">
        <w:rPr>
          <w:rStyle w:val="Appelnotedebasdep"/>
        </w:rPr>
        <w:footnoteRef/>
      </w:r>
      <w:r w:rsidRPr="00DB6411">
        <w:t xml:space="preserve"> </w:t>
      </w:r>
      <w:r w:rsidRPr="00DB6411">
        <w:tab/>
      </w:r>
      <w:r w:rsidRPr="00DB6411">
        <w:rPr>
          <w:i/>
          <w:iCs/>
        </w:rPr>
        <w:t>Id.</w:t>
      </w:r>
      <w:r w:rsidRPr="00DB6411">
        <w:t>, p. 53.</w:t>
      </w:r>
    </w:p>
  </w:footnote>
  <w:footnote w:id="17">
    <w:p w14:paraId="2B9B9266" w14:textId="780C7B02" w:rsidR="00E37BDF" w:rsidRDefault="00E37BDF">
      <w:pPr>
        <w:pStyle w:val="Notedebasdepage"/>
      </w:pPr>
      <w:r w:rsidRPr="007E40C0">
        <w:rPr>
          <w:rStyle w:val="Appelnotedebasdep"/>
        </w:rPr>
        <w:footnoteRef/>
      </w:r>
      <w:r w:rsidRPr="007E40C0">
        <w:t xml:space="preserve"> </w:t>
      </w:r>
      <w:r w:rsidRPr="007E40C0">
        <w:tab/>
      </w:r>
      <w:r w:rsidR="0024074F" w:rsidRPr="007E40C0">
        <w:t xml:space="preserve">Christine Gagnon, </w:t>
      </w:r>
      <w:r w:rsidR="0024074F" w:rsidRPr="007E40C0">
        <w:rPr>
          <w:i/>
          <w:iCs/>
        </w:rPr>
        <w:t>La copropriété divise</w:t>
      </w:r>
      <w:r w:rsidR="0024074F" w:rsidRPr="007E40C0">
        <w:t>, 6</w:t>
      </w:r>
      <w:r w:rsidR="0024074F" w:rsidRPr="00E95BBD">
        <w:rPr>
          <w:vertAlign w:val="superscript"/>
        </w:rPr>
        <w:t>e</w:t>
      </w:r>
      <w:r w:rsidR="0024074F" w:rsidRPr="007E40C0">
        <w:t xml:space="preserve"> éd., Montréal, Yvon Blais, 2025, </w:t>
      </w:r>
      <w:r w:rsidRPr="007E40C0">
        <w:t>p. 429, par. 600.</w:t>
      </w:r>
    </w:p>
  </w:footnote>
  <w:footnote w:id="18">
    <w:p w14:paraId="41FA9C9B" w14:textId="5699AFDD" w:rsidR="007C0246" w:rsidRDefault="007C0246">
      <w:pPr>
        <w:pStyle w:val="Notedebasdepage"/>
      </w:pPr>
      <w:r>
        <w:rPr>
          <w:rStyle w:val="Appelnotedebasdep"/>
        </w:rPr>
        <w:footnoteRef/>
      </w:r>
      <w:r>
        <w:t xml:space="preserve"> </w:t>
      </w:r>
      <w:r>
        <w:tab/>
      </w:r>
      <w:r w:rsidRPr="007C0246">
        <w:rPr>
          <w:i/>
          <w:iCs/>
        </w:rPr>
        <w:t>Syndicat des copropriétaires Cond</w:t>
      </w:r>
      <w:r w:rsidR="00000AC4">
        <w:rPr>
          <w:i/>
          <w:iCs/>
        </w:rPr>
        <w:t>’</w:t>
      </w:r>
      <w:r w:rsidRPr="007C0246">
        <w:rPr>
          <w:i/>
          <w:iCs/>
        </w:rPr>
        <w:t>Eautels du Manoir Phase II c. Hotel &amp; Suites Le Lincoln inc.,</w:t>
      </w:r>
      <w:r w:rsidRPr="007C0246">
        <w:t xml:space="preserve"> 2024 QCCS 2490</w:t>
      </w:r>
      <w:r w:rsidR="00E6318B">
        <w:t>, par. 22-30</w:t>
      </w:r>
      <w:r>
        <w:t xml:space="preserve">; ce jugement a été porté en appel et la Cour a modifié les limites de la portion acquise par prescription, tout en notant à la note de bas de page 1 que « [l]a </w:t>
      </w:r>
      <w:r w:rsidRPr="007C0246">
        <w:t>question de savoir si une partie privative peut être acquise par prescription acquisitive, et ses modalités, n’est pas en litige dans ce pourvoi</w:t>
      </w:r>
      <w:r>
        <w:t> »</w:t>
      </w:r>
      <w:r w:rsidR="00E6318B">
        <w:t xml:space="preserve"> : </w:t>
      </w:r>
      <w:r w:rsidR="00E6318B" w:rsidRPr="00E6318B">
        <w:rPr>
          <w:i/>
          <w:iCs/>
        </w:rPr>
        <w:t>Syndicat des copropriétaires Cond</w:t>
      </w:r>
      <w:r w:rsidR="00000AC4">
        <w:rPr>
          <w:i/>
          <w:iCs/>
        </w:rPr>
        <w:t>’</w:t>
      </w:r>
      <w:r w:rsidR="00E6318B" w:rsidRPr="00E6318B">
        <w:rPr>
          <w:i/>
          <w:iCs/>
        </w:rPr>
        <w:t>Eautels du Manoir Phase II c. Hôtel &amp; Suites Le Lincoln inc.,</w:t>
      </w:r>
      <w:r w:rsidR="00E6318B" w:rsidRPr="00E6318B">
        <w:t xml:space="preserve"> 2026 QCCA 566</w:t>
      </w:r>
      <w:r w:rsidR="00E6318B">
        <w:t>.</w:t>
      </w:r>
    </w:p>
  </w:footnote>
  <w:footnote w:id="19">
    <w:p w14:paraId="3E8B4672" w14:textId="3761C42A" w:rsidR="00E37BDF" w:rsidRDefault="00E37BDF">
      <w:pPr>
        <w:pStyle w:val="Notedebasdepage"/>
      </w:pPr>
      <w:r>
        <w:rPr>
          <w:rStyle w:val="Appelnotedebasdep"/>
        </w:rPr>
        <w:footnoteRef/>
      </w:r>
      <w:r>
        <w:t xml:space="preserve"> </w:t>
      </w:r>
      <w:r>
        <w:tab/>
      </w:r>
      <w:r w:rsidR="0024074F" w:rsidRPr="0024074F">
        <w:t xml:space="preserve">Christine Gagnon, </w:t>
      </w:r>
      <w:r w:rsidR="0024074F" w:rsidRPr="0024074F">
        <w:rPr>
          <w:i/>
          <w:iCs/>
        </w:rPr>
        <w:t>Revue de jurisprudence et pratique notariale en copropriété divise</w:t>
      </w:r>
      <w:r w:rsidR="0024074F" w:rsidRPr="0024074F">
        <w:t xml:space="preserve">, 2026 99ème </w:t>
      </w:r>
      <w:r w:rsidR="0024074F" w:rsidRPr="00E95BBD">
        <w:rPr>
          <w:i/>
          <w:iCs/>
        </w:rPr>
        <w:t xml:space="preserve">Cours de perfectionnement du notariat </w:t>
      </w:r>
      <w:r w:rsidR="0024074F" w:rsidRPr="0024074F">
        <w:t>35, 2026 CanLIIDocs 1423</w:t>
      </w:r>
      <w:r w:rsidR="0024074F">
        <w:t xml:space="preserve">, </w:t>
      </w:r>
      <w:r>
        <w:t>p. 53.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357B5" w14:textId="09E4A567" w:rsidR="007E33E4" w:rsidRDefault="008947E9" w:rsidP="00DB2119">
    <w:pPr>
      <w:tabs>
        <w:tab w:val="center" w:pos="4709"/>
        <w:tab w:val="right" w:pos="9360"/>
      </w:tabs>
      <w:spacing w:line="360" w:lineRule="auto"/>
      <w:ind w:right="524"/>
    </w:pPr>
    <w:bookmarkStart w:id="13" w:name="EntDossier"/>
    <w:r>
      <w:t>500-09-700253-248</w:t>
    </w:r>
    <w:bookmarkEnd w:id="13"/>
    <w:r w:rsidR="007E33E4" w:rsidRPr="007462D6">
      <w:t xml:space="preserve"> </w:t>
    </w:r>
    <w:r w:rsidR="007E33E4">
      <w:tab/>
    </w:r>
    <w:r w:rsidR="007E33E4">
      <w:tab/>
      <w:t xml:space="preserve">PAGE : </w:t>
    </w:r>
    <w:r w:rsidR="007E33E4">
      <w:fldChar w:fldCharType="begin"/>
    </w:r>
    <w:r w:rsidR="007E33E4">
      <w:instrText xml:space="preserve"> PAGE </w:instrText>
    </w:r>
    <w:r w:rsidR="007E33E4">
      <w:fldChar w:fldCharType="separate"/>
    </w:r>
    <w:r w:rsidR="008D18FC">
      <w:rPr>
        <w:noProof/>
      </w:rPr>
      <w:t>2</w:t>
    </w:r>
    <w:r w:rsidR="007E33E4">
      <w:fldChar w:fldCharType="end"/>
    </w:r>
  </w:p>
  <w:p w14:paraId="4DB1A9D5" w14:textId="77777777" w:rsidR="00A3349F" w:rsidRDefault="00A3349F" w:rsidP="00DB2119">
    <w:pPr>
      <w:tabs>
        <w:tab w:val="center" w:pos="4709"/>
        <w:tab w:val="right" w:pos="9360"/>
      </w:tabs>
      <w:spacing w:line="360" w:lineRule="auto"/>
      <w:ind w:right="52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80E1E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F12EA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F2647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1C3B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4EAB82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612195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80708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6436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DCE6E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34AE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8BB52DE"/>
    <w:multiLevelType w:val="multilevel"/>
    <w:tmpl w:val="79E601F0"/>
    <w:lvl w:ilvl="0">
      <w:start w:val="1"/>
      <w:numFmt w:val="decimal"/>
      <w:pStyle w:val="Paragraphe"/>
      <w:lvlText w:val="[%1]"/>
      <w:lvlJc w:val="left"/>
      <w:pPr>
        <w:tabs>
          <w:tab w:val="num" w:pos="720"/>
        </w:tabs>
        <w:ind w:left="0" w:firstLine="0"/>
      </w:pPr>
      <w:rPr>
        <w:rFonts w:hint="default"/>
      </w:rPr>
    </w:lvl>
    <w:lvl w:ilvl="1">
      <w:start w:val="1"/>
      <w:numFmt w:val="decimal"/>
      <w:pStyle w:val="Sous-paragraphe"/>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15:restartNumberingAfterBreak="0">
    <w:nsid w:val="2FCB49DA"/>
    <w:multiLevelType w:val="hybridMultilevel"/>
    <w:tmpl w:val="EB26B47E"/>
    <w:lvl w:ilvl="0" w:tplc="1F2E8488">
      <w:start w:val="3"/>
      <w:numFmt w:val="bullet"/>
      <w:lvlText w:val="-"/>
      <w:lvlJc w:val="left"/>
      <w:pPr>
        <w:ind w:left="1080" w:hanging="360"/>
      </w:pPr>
      <w:rPr>
        <w:rFonts w:ascii="Arial" w:eastAsia="Times New Roman" w:hAnsi="Arial" w:cs="Aria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12" w15:restartNumberingAfterBreak="0">
    <w:nsid w:val="3C4F5E4C"/>
    <w:multiLevelType w:val="hybridMultilevel"/>
    <w:tmpl w:val="8C726B96"/>
    <w:lvl w:ilvl="0" w:tplc="CF0A549E">
      <w:start w:val="1"/>
      <w:numFmt w:val="decimal"/>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3" w15:restartNumberingAfterBreak="0">
    <w:nsid w:val="47EB4A33"/>
    <w:multiLevelType w:val="hybridMultilevel"/>
    <w:tmpl w:val="3684D0A4"/>
    <w:lvl w:ilvl="0" w:tplc="685867B6">
      <w:numFmt w:val="bullet"/>
      <w:lvlText w:val="-"/>
      <w:lvlJc w:val="left"/>
      <w:pPr>
        <w:ind w:left="1080" w:hanging="360"/>
      </w:pPr>
      <w:rPr>
        <w:rFonts w:ascii="Arial" w:eastAsia="Times New Roman" w:hAnsi="Arial" w:cs="Aria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14" w15:restartNumberingAfterBreak="0">
    <w:nsid w:val="4A9D1B84"/>
    <w:multiLevelType w:val="multilevel"/>
    <w:tmpl w:val="2766DEE4"/>
    <w:lvl w:ilvl="0">
      <w:start w:val="1"/>
      <w:numFmt w:val="bullet"/>
      <w:lvlText w:val=""/>
      <w:lvlJc w:val="left"/>
      <w:pPr>
        <w:tabs>
          <w:tab w:val="num" w:pos="792"/>
        </w:tabs>
        <w:ind w:left="792" w:hanging="720"/>
      </w:pPr>
      <w:rPr>
        <w:rFonts w:ascii="Symbol" w:hAnsi="Symbol"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 w15:restartNumberingAfterBreak="0">
    <w:nsid w:val="5E0A684C"/>
    <w:multiLevelType w:val="hybridMultilevel"/>
    <w:tmpl w:val="78E42FE6"/>
    <w:lvl w:ilvl="0" w:tplc="FABEFC10">
      <w:numFmt w:val="bullet"/>
      <w:lvlText w:val=""/>
      <w:lvlJc w:val="left"/>
      <w:pPr>
        <w:ind w:left="720" w:hanging="360"/>
      </w:pPr>
      <w:rPr>
        <w:rFonts w:ascii="Symbol" w:eastAsia="Times New Roman" w:hAnsi="Symbol"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609C0DCC"/>
    <w:multiLevelType w:val="multilevel"/>
    <w:tmpl w:val="F11C8164"/>
    <w:lvl w:ilvl="0">
      <w:start w:val="1"/>
      <w:numFmt w:val="decimal"/>
      <w:lvlText w:val="[%1]"/>
      <w:lvlJc w:val="left"/>
      <w:pPr>
        <w:tabs>
          <w:tab w:val="num" w:pos="360"/>
        </w:tabs>
        <w:ind w:left="0" w:firstLine="0"/>
      </w:pPr>
      <w:rPr>
        <w:rFonts w:ascii="Arial" w:hAnsi="Arial" w:hint="default"/>
        <w:b w:val="0"/>
        <w:i w:val="0"/>
        <w:sz w:val="24"/>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16cid:durableId="1005744867">
    <w:abstractNumId w:val="16"/>
  </w:num>
  <w:num w:numId="2" w16cid:durableId="2126729408">
    <w:abstractNumId w:val="16"/>
  </w:num>
  <w:num w:numId="3" w16cid:durableId="1932200708">
    <w:abstractNumId w:val="16"/>
  </w:num>
  <w:num w:numId="4" w16cid:durableId="1181696905">
    <w:abstractNumId w:val="8"/>
  </w:num>
  <w:num w:numId="5" w16cid:durableId="480579356">
    <w:abstractNumId w:val="3"/>
  </w:num>
  <w:num w:numId="6" w16cid:durableId="827285401">
    <w:abstractNumId w:val="2"/>
  </w:num>
  <w:num w:numId="7" w16cid:durableId="1914662429">
    <w:abstractNumId w:val="1"/>
  </w:num>
  <w:num w:numId="8" w16cid:durableId="2108848720">
    <w:abstractNumId w:val="0"/>
  </w:num>
  <w:num w:numId="9" w16cid:durableId="1457991691">
    <w:abstractNumId w:val="9"/>
  </w:num>
  <w:num w:numId="10" w16cid:durableId="1496067544">
    <w:abstractNumId w:val="7"/>
  </w:num>
  <w:num w:numId="11" w16cid:durableId="1404836006">
    <w:abstractNumId w:val="6"/>
  </w:num>
  <w:num w:numId="12" w16cid:durableId="401564615">
    <w:abstractNumId w:val="5"/>
  </w:num>
  <w:num w:numId="13" w16cid:durableId="1963922308">
    <w:abstractNumId w:val="4"/>
  </w:num>
  <w:num w:numId="14" w16cid:durableId="101456703">
    <w:abstractNumId w:val="16"/>
  </w:num>
  <w:num w:numId="15" w16cid:durableId="1382091185">
    <w:abstractNumId w:val="16"/>
  </w:num>
  <w:num w:numId="16" w16cid:durableId="1993637402">
    <w:abstractNumId w:val="16"/>
  </w:num>
  <w:num w:numId="17" w16cid:durableId="1263806435">
    <w:abstractNumId w:val="14"/>
  </w:num>
  <w:num w:numId="18" w16cid:durableId="43604593">
    <w:abstractNumId w:val="10"/>
  </w:num>
  <w:num w:numId="19" w16cid:durableId="938172651">
    <w:abstractNumId w:val="12"/>
  </w:num>
  <w:num w:numId="20" w16cid:durableId="11077605">
    <w:abstractNumId w:val="15"/>
  </w:num>
  <w:num w:numId="21" w16cid:durableId="1044787696">
    <w:abstractNumId w:val="11"/>
  </w:num>
  <w:num w:numId="22" w16cid:durableId="5833217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nNBChoix" w:val="3"/>
    <w:docVar w:name="MotifJuge1" w:val="MOTIFS DE LA JUGE"/>
    <w:docVar w:name="MotifJuge2" w:val="MOTIFS DU JUGE"/>
    <w:docVar w:name="MotifJuge3" w:val="MOTIFS DU JUGE"/>
    <w:docVar w:name="NomFamJuge1" w:val="WEITZMAN"/>
    <w:docVar w:name="NomFamJuge2" w:val="HARDY"/>
    <w:docVar w:name="NomFamJuge3" w:val="IMMER"/>
    <w:docVar w:name="NomFamJuge4" w:val="MAILHOT"/>
    <w:docVar w:name="NomFamJuge5" w:val="BAUDOUIN"/>
    <w:docVar w:name="QteJuge1" w:val=", J.C.A."/>
    <w:docVar w:name="QteJuge2" w:val=", J.C.A."/>
    <w:docVar w:name="QteJuge3" w:val=", J.C.A."/>
    <w:docVar w:name="stPremiereFois" w:val="Non"/>
  </w:docVars>
  <w:rsids>
    <w:rsidRoot w:val="008947E9"/>
    <w:rsid w:val="00000A4A"/>
    <w:rsid w:val="00000AC4"/>
    <w:rsid w:val="00006AAA"/>
    <w:rsid w:val="000131E1"/>
    <w:rsid w:val="00030A47"/>
    <w:rsid w:val="00034138"/>
    <w:rsid w:val="00041FDA"/>
    <w:rsid w:val="0004394C"/>
    <w:rsid w:val="00053691"/>
    <w:rsid w:val="00061760"/>
    <w:rsid w:val="00071001"/>
    <w:rsid w:val="00073333"/>
    <w:rsid w:val="00074B9D"/>
    <w:rsid w:val="00086588"/>
    <w:rsid w:val="00092195"/>
    <w:rsid w:val="000954A3"/>
    <w:rsid w:val="000A0CDC"/>
    <w:rsid w:val="000A7516"/>
    <w:rsid w:val="000B42AF"/>
    <w:rsid w:val="000C48AB"/>
    <w:rsid w:val="000D2036"/>
    <w:rsid w:val="000E6C94"/>
    <w:rsid w:val="000F5E23"/>
    <w:rsid w:val="0011032E"/>
    <w:rsid w:val="0011099B"/>
    <w:rsid w:val="00110B53"/>
    <w:rsid w:val="00111EB8"/>
    <w:rsid w:val="00112321"/>
    <w:rsid w:val="00117914"/>
    <w:rsid w:val="0013028C"/>
    <w:rsid w:val="001318DD"/>
    <w:rsid w:val="00132FF9"/>
    <w:rsid w:val="00133959"/>
    <w:rsid w:val="00134B09"/>
    <w:rsid w:val="00155CEE"/>
    <w:rsid w:val="0015610F"/>
    <w:rsid w:val="00156AD6"/>
    <w:rsid w:val="00160B31"/>
    <w:rsid w:val="0016107A"/>
    <w:rsid w:val="001657D2"/>
    <w:rsid w:val="001775D1"/>
    <w:rsid w:val="00180FE2"/>
    <w:rsid w:val="00181F56"/>
    <w:rsid w:val="0018526F"/>
    <w:rsid w:val="001909A5"/>
    <w:rsid w:val="00190FA7"/>
    <w:rsid w:val="001972F2"/>
    <w:rsid w:val="00197A89"/>
    <w:rsid w:val="001A2429"/>
    <w:rsid w:val="001B577E"/>
    <w:rsid w:val="001C6F80"/>
    <w:rsid w:val="001D3A9F"/>
    <w:rsid w:val="001D49EF"/>
    <w:rsid w:val="001E1293"/>
    <w:rsid w:val="001E14EA"/>
    <w:rsid w:val="001F01B0"/>
    <w:rsid w:val="001F28C9"/>
    <w:rsid w:val="002007D7"/>
    <w:rsid w:val="00205DC4"/>
    <w:rsid w:val="00206D18"/>
    <w:rsid w:val="0020747B"/>
    <w:rsid w:val="0021548E"/>
    <w:rsid w:val="00215BA9"/>
    <w:rsid w:val="00223722"/>
    <w:rsid w:val="0022544B"/>
    <w:rsid w:val="002273F5"/>
    <w:rsid w:val="00237CDA"/>
    <w:rsid w:val="0024074F"/>
    <w:rsid w:val="002440CF"/>
    <w:rsid w:val="00246B26"/>
    <w:rsid w:val="002511BB"/>
    <w:rsid w:val="00251D50"/>
    <w:rsid w:val="00252D40"/>
    <w:rsid w:val="00256C5F"/>
    <w:rsid w:val="00256D47"/>
    <w:rsid w:val="00257BA1"/>
    <w:rsid w:val="00263938"/>
    <w:rsid w:val="00263D5C"/>
    <w:rsid w:val="0027691E"/>
    <w:rsid w:val="00280A5E"/>
    <w:rsid w:val="0028559A"/>
    <w:rsid w:val="00291A1A"/>
    <w:rsid w:val="00292347"/>
    <w:rsid w:val="0029682B"/>
    <w:rsid w:val="002A3B4A"/>
    <w:rsid w:val="002A52B2"/>
    <w:rsid w:val="002A5D8E"/>
    <w:rsid w:val="002B1F56"/>
    <w:rsid w:val="002B4A07"/>
    <w:rsid w:val="002C298B"/>
    <w:rsid w:val="002C4107"/>
    <w:rsid w:val="002D75BD"/>
    <w:rsid w:val="002E1F0E"/>
    <w:rsid w:val="002E229C"/>
    <w:rsid w:val="002E4FCE"/>
    <w:rsid w:val="002E51F1"/>
    <w:rsid w:val="002E7A1C"/>
    <w:rsid w:val="002F1350"/>
    <w:rsid w:val="002F3DE4"/>
    <w:rsid w:val="002F6136"/>
    <w:rsid w:val="00305501"/>
    <w:rsid w:val="00310FF4"/>
    <w:rsid w:val="00312A3C"/>
    <w:rsid w:val="003142AE"/>
    <w:rsid w:val="00322DE0"/>
    <w:rsid w:val="0032363D"/>
    <w:rsid w:val="00325A68"/>
    <w:rsid w:val="003269BE"/>
    <w:rsid w:val="0033190E"/>
    <w:rsid w:val="00341103"/>
    <w:rsid w:val="0034660C"/>
    <w:rsid w:val="00354FAC"/>
    <w:rsid w:val="00361325"/>
    <w:rsid w:val="0036225A"/>
    <w:rsid w:val="00374888"/>
    <w:rsid w:val="00374E40"/>
    <w:rsid w:val="003817AE"/>
    <w:rsid w:val="003819D2"/>
    <w:rsid w:val="00386FD5"/>
    <w:rsid w:val="00392E75"/>
    <w:rsid w:val="003A72C7"/>
    <w:rsid w:val="003B04EB"/>
    <w:rsid w:val="003C3F68"/>
    <w:rsid w:val="003C625C"/>
    <w:rsid w:val="003D487D"/>
    <w:rsid w:val="003E3239"/>
    <w:rsid w:val="003E3E3C"/>
    <w:rsid w:val="003E4D7F"/>
    <w:rsid w:val="00415DE4"/>
    <w:rsid w:val="00420FEC"/>
    <w:rsid w:val="004237E2"/>
    <w:rsid w:val="00423DF1"/>
    <w:rsid w:val="00430C58"/>
    <w:rsid w:val="004331C4"/>
    <w:rsid w:val="0043564D"/>
    <w:rsid w:val="00436D78"/>
    <w:rsid w:val="00441C25"/>
    <w:rsid w:val="00446452"/>
    <w:rsid w:val="00450F1E"/>
    <w:rsid w:val="00463750"/>
    <w:rsid w:val="00472DC8"/>
    <w:rsid w:val="004750C8"/>
    <w:rsid w:val="004753CC"/>
    <w:rsid w:val="004802EC"/>
    <w:rsid w:val="00485821"/>
    <w:rsid w:val="004A29F1"/>
    <w:rsid w:val="004A2AC2"/>
    <w:rsid w:val="004A6640"/>
    <w:rsid w:val="004A6641"/>
    <w:rsid w:val="004A7285"/>
    <w:rsid w:val="004A7CE9"/>
    <w:rsid w:val="004B1E94"/>
    <w:rsid w:val="004B1F00"/>
    <w:rsid w:val="004B33FF"/>
    <w:rsid w:val="004B6C15"/>
    <w:rsid w:val="004D2F69"/>
    <w:rsid w:val="004E4FBA"/>
    <w:rsid w:val="004F1189"/>
    <w:rsid w:val="004F7D5A"/>
    <w:rsid w:val="005009E7"/>
    <w:rsid w:val="00500F57"/>
    <w:rsid w:val="00503882"/>
    <w:rsid w:val="00503AC8"/>
    <w:rsid w:val="005068F2"/>
    <w:rsid w:val="0050787D"/>
    <w:rsid w:val="00507BA1"/>
    <w:rsid w:val="0051228B"/>
    <w:rsid w:val="005131F1"/>
    <w:rsid w:val="0051484F"/>
    <w:rsid w:val="00516B3E"/>
    <w:rsid w:val="005262C9"/>
    <w:rsid w:val="00531D70"/>
    <w:rsid w:val="005340F4"/>
    <w:rsid w:val="005349EA"/>
    <w:rsid w:val="00553EFE"/>
    <w:rsid w:val="00560A9B"/>
    <w:rsid w:val="00562CB8"/>
    <w:rsid w:val="00564C16"/>
    <w:rsid w:val="00566BF6"/>
    <w:rsid w:val="005712F3"/>
    <w:rsid w:val="00571FDD"/>
    <w:rsid w:val="00583434"/>
    <w:rsid w:val="0058349F"/>
    <w:rsid w:val="00583AC9"/>
    <w:rsid w:val="00593CDE"/>
    <w:rsid w:val="005A354A"/>
    <w:rsid w:val="005A78BF"/>
    <w:rsid w:val="005B6B4C"/>
    <w:rsid w:val="005C3E65"/>
    <w:rsid w:val="005C7516"/>
    <w:rsid w:val="005D1522"/>
    <w:rsid w:val="005E77EF"/>
    <w:rsid w:val="005F5F5F"/>
    <w:rsid w:val="0060053D"/>
    <w:rsid w:val="006125D3"/>
    <w:rsid w:val="00624770"/>
    <w:rsid w:val="006350E7"/>
    <w:rsid w:val="0064250B"/>
    <w:rsid w:val="00644F1F"/>
    <w:rsid w:val="00654071"/>
    <w:rsid w:val="00660F22"/>
    <w:rsid w:val="00675A1A"/>
    <w:rsid w:val="0068250F"/>
    <w:rsid w:val="006826AA"/>
    <w:rsid w:val="0068356A"/>
    <w:rsid w:val="006879F5"/>
    <w:rsid w:val="00693C6D"/>
    <w:rsid w:val="006A0DB0"/>
    <w:rsid w:val="006A0FF2"/>
    <w:rsid w:val="006A411C"/>
    <w:rsid w:val="006A590B"/>
    <w:rsid w:val="006A6629"/>
    <w:rsid w:val="006B005F"/>
    <w:rsid w:val="006B0709"/>
    <w:rsid w:val="006B30E6"/>
    <w:rsid w:val="006B336D"/>
    <w:rsid w:val="006C072D"/>
    <w:rsid w:val="006C3772"/>
    <w:rsid w:val="006D430C"/>
    <w:rsid w:val="00737FE2"/>
    <w:rsid w:val="00740A17"/>
    <w:rsid w:val="007462D6"/>
    <w:rsid w:val="0074738B"/>
    <w:rsid w:val="007543C3"/>
    <w:rsid w:val="0076062E"/>
    <w:rsid w:val="00761967"/>
    <w:rsid w:val="00761F86"/>
    <w:rsid w:val="0076381D"/>
    <w:rsid w:val="00765781"/>
    <w:rsid w:val="007745A5"/>
    <w:rsid w:val="007901CC"/>
    <w:rsid w:val="007953F3"/>
    <w:rsid w:val="007A3396"/>
    <w:rsid w:val="007A7803"/>
    <w:rsid w:val="007B061E"/>
    <w:rsid w:val="007B33AD"/>
    <w:rsid w:val="007B48D5"/>
    <w:rsid w:val="007C0246"/>
    <w:rsid w:val="007C1967"/>
    <w:rsid w:val="007D087C"/>
    <w:rsid w:val="007D5ED6"/>
    <w:rsid w:val="007E33E4"/>
    <w:rsid w:val="007E40C0"/>
    <w:rsid w:val="007E4CC9"/>
    <w:rsid w:val="007F40FD"/>
    <w:rsid w:val="007F6CF2"/>
    <w:rsid w:val="00800D23"/>
    <w:rsid w:val="00804C12"/>
    <w:rsid w:val="00813598"/>
    <w:rsid w:val="00816273"/>
    <w:rsid w:val="00816B51"/>
    <w:rsid w:val="00817F88"/>
    <w:rsid w:val="00817FE0"/>
    <w:rsid w:val="00823258"/>
    <w:rsid w:val="00823E5B"/>
    <w:rsid w:val="0082717B"/>
    <w:rsid w:val="00827B04"/>
    <w:rsid w:val="0083032E"/>
    <w:rsid w:val="00833C8A"/>
    <w:rsid w:val="00841907"/>
    <w:rsid w:val="0086036A"/>
    <w:rsid w:val="008653A3"/>
    <w:rsid w:val="008657A2"/>
    <w:rsid w:val="008663E8"/>
    <w:rsid w:val="00866645"/>
    <w:rsid w:val="0087058A"/>
    <w:rsid w:val="00872464"/>
    <w:rsid w:val="00882210"/>
    <w:rsid w:val="00892F09"/>
    <w:rsid w:val="008947E9"/>
    <w:rsid w:val="008A2136"/>
    <w:rsid w:val="008A6185"/>
    <w:rsid w:val="008A62D1"/>
    <w:rsid w:val="008A6881"/>
    <w:rsid w:val="008B28C6"/>
    <w:rsid w:val="008B3F22"/>
    <w:rsid w:val="008C081F"/>
    <w:rsid w:val="008C1FE9"/>
    <w:rsid w:val="008C7DCE"/>
    <w:rsid w:val="008D18FC"/>
    <w:rsid w:val="008D21C6"/>
    <w:rsid w:val="008D320B"/>
    <w:rsid w:val="008D398B"/>
    <w:rsid w:val="008D7E49"/>
    <w:rsid w:val="008E5E9D"/>
    <w:rsid w:val="008F364A"/>
    <w:rsid w:val="008F3D38"/>
    <w:rsid w:val="008F3F53"/>
    <w:rsid w:val="00911C1E"/>
    <w:rsid w:val="00913E03"/>
    <w:rsid w:val="00920021"/>
    <w:rsid w:val="009211E4"/>
    <w:rsid w:val="009229E9"/>
    <w:rsid w:val="00925AC7"/>
    <w:rsid w:val="00926953"/>
    <w:rsid w:val="00932703"/>
    <w:rsid w:val="00936469"/>
    <w:rsid w:val="009400B7"/>
    <w:rsid w:val="009457BA"/>
    <w:rsid w:val="00945FA6"/>
    <w:rsid w:val="00954DC2"/>
    <w:rsid w:val="00954FF3"/>
    <w:rsid w:val="00957B92"/>
    <w:rsid w:val="009676E8"/>
    <w:rsid w:val="00967C01"/>
    <w:rsid w:val="00970966"/>
    <w:rsid w:val="00974442"/>
    <w:rsid w:val="00974A8E"/>
    <w:rsid w:val="0098329E"/>
    <w:rsid w:val="0098659D"/>
    <w:rsid w:val="009907EB"/>
    <w:rsid w:val="009947AF"/>
    <w:rsid w:val="009A07C4"/>
    <w:rsid w:val="009A0AC6"/>
    <w:rsid w:val="009A1E10"/>
    <w:rsid w:val="009B28FB"/>
    <w:rsid w:val="009C15A1"/>
    <w:rsid w:val="009D613B"/>
    <w:rsid w:val="009F1F69"/>
    <w:rsid w:val="009F3AF7"/>
    <w:rsid w:val="00A12E21"/>
    <w:rsid w:val="00A23BF4"/>
    <w:rsid w:val="00A2593B"/>
    <w:rsid w:val="00A3349F"/>
    <w:rsid w:val="00A34A15"/>
    <w:rsid w:val="00A34E05"/>
    <w:rsid w:val="00A35678"/>
    <w:rsid w:val="00A43D8B"/>
    <w:rsid w:val="00A44A3E"/>
    <w:rsid w:val="00A454F1"/>
    <w:rsid w:val="00A543CC"/>
    <w:rsid w:val="00A61512"/>
    <w:rsid w:val="00A8111A"/>
    <w:rsid w:val="00A8275C"/>
    <w:rsid w:val="00A9342A"/>
    <w:rsid w:val="00A93CFF"/>
    <w:rsid w:val="00A95823"/>
    <w:rsid w:val="00A964C0"/>
    <w:rsid w:val="00A9756C"/>
    <w:rsid w:val="00AA75A8"/>
    <w:rsid w:val="00AB7DD2"/>
    <w:rsid w:val="00AC12E1"/>
    <w:rsid w:val="00AC3C94"/>
    <w:rsid w:val="00AD2CC3"/>
    <w:rsid w:val="00AD6C39"/>
    <w:rsid w:val="00AE1B6D"/>
    <w:rsid w:val="00AE2719"/>
    <w:rsid w:val="00AF0C7C"/>
    <w:rsid w:val="00B01D86"/>
    <w:rsid w:val="00B07E4E"/>
    <w:rsid w:val="00B11420"/>
    <w:rsid w:val="00B11FD1"/>
    <w:rsid w:val="00B137E9"/>
    <w:rsid w:val="00B17920"/>
    <w:rsid w:val="00B26DFA"/>
    <w:rsid w:val="00B3081C"/>
    <w:rsid w:val="00B30AC5"/>
    <w:rsid w:val="00B30EA2"/>
    <w:rsid w:val="00B359C0"/>
    <w:rsid w:val="00B36ED3"/>
    <w:rsid w:val="00B40D86"/>
    <w:rsid w:val="00B513C9"/>
    <w:rsid w:val="00B56EF4"/>
    <w:rsid w:val="00B6074B"/>
    <w:rsid w:val="00B67A79"/>
    <w:rsid w:val="00B70485"/>
    <w:rsid w:val="00B76BEA"/>
    <w:rsid w:val="00B7726B"/>
    <w:rsid w:val="00B82A13"/>
    <w:rsid w:val="00B83EC3"/>
    <w:rsid w:val="00BC4AA3"/>
    <w:rsid w:val="00BD0421"/>
    <w:rsid w:val="00BD0EB1"/>
    <w:rsid w:val="00BD15FA"/>
    <w:rsid w:val="00BF4B0A"/>
    <w:rsid w:val="00C02AF8"/>
    <w:rsid w:val="00C16EC4"/>
    <w:rsid w:val="00C17E01"/>
    <w:rsid w:val="00C31AC4"/>
    <w:rsid w:val="00C33487"/>
    <w:rsid w:val="00C37FB5"/>
    <w:rsid w:val="00C37FD4"/>
    <w:rsid w:val="00C409BE"/>
    <w:rsid w:val="00C409FF"/>
    <w:rsid w:val="00C423CA"/>
    <w:rsid w:val="00C4647E"/>
    <w:rsid w:val="00C64F72"/>
    <w:rsid w:val="00C652ED"/>
    <w:rsid w:val="00C71340"/>
    <w:rsid w:val="00C73B94"/>
    <w:rsid w:val="00C7793C"/>
    <w:rsid w:val="00C77CEC"/>
    <w:rsid w:val="00C77E2E"/>
    <w:rsid w:val="00C845C8"/>
    <w:rsid w:val="00C92729"/>
    <w:rsid w:val="00C939A8"/>
    <w:rsid w:val="00C940BD"/>
    <w:rsid w:val="00C97145"/>
    <w:rsid w:val="00CA42DC"/>
    <w:rsid w:val="00CA5E76"/>
    <w:rsid w:val="00CB0B81"/>
    <w:rsid w:val="00CB3591"/>
    <w:rsid w:val="00CB3F84"/>
    <w:rsid w:val="00CB66AE"/>
    <w:rsid w:val="00CB6CDF"/>
    <w:rsid w:val="00CC2D4E"/>
    <w:rsid w:val="00CC3900"/>
    <w:rsid w:val="00CC6B55"/>
    <w:rsid w:val="00CD0ABB"/>
    <w:rsid w:val="00CD5098"/>
    <w:rsid w:val="00CE1564"/>
    <w:rsid w:val="00CE2394"/>
    <w:rsid w:val="00CE5D81"/>
    <w:rsid w:val="00CF20A7"/>
    <w:rsid w:val="00CF21CA"/>
    <w:rsid w:val="00CF43C4"/>
    <w:rsid w:val="00D010FD"/>
    <w:rsid w:val="00D02812"/>
    <w:rsid w:val="00D039CF"/>
    <w:rsid w:val="00D1225F"/>
    <w:rsid w:val="00D12B71"/>
    <w:rsid w:val="00D20056"/>
    <w:rsid w:val="00D21C7D"/>
    <w:rsid w:val="00D300A9"/>
    <w:rsid w:val="00D519CF"/>
    <w:rsid w:val="00D74B13"/>
    <w:rsid w:val="00D851F7"/>
    <w:rsid w:val="00D87202"/>
    <w:rsid w:val="00D879D6"/>
    <w:rsid w:val="00D9251A"/>
    <w:rsid w:val="00D95C07"/>
    <w:rsid w:val="00DB2119"/>
    <w:rsid w:val="00DB6411"/>
    <w:rsid w:val="00DB75AE"/>
    <w:rsid w:val="00DC05BC"/>
    <w:rsid w:val="00DC2DE2"/>
    <w:rsid w:val="00DD3A24"/>
    <w:rsid w:val="00DE15AC"/>
    <w:rsid w:val="00DE339C"/>
    <w:rsid w:val="00DE4B26"/>
    <w:rsid w:val="00DF3516"/>
    <w:rsid w:val="00E03C07"/>
    <w:rsid w:val="00E1409A"/>
    <w:rsid w:val="00E1709D"/>
    <w:rsid w:val="00E20E3C"/>
    <w:rsid w:val="00E25E49"/>
    <w:rsid w:val="00E358C2"/>
    <w:rsid w:val="00E36290"/>
    <w:rsid w:val="00E37BDF"/>
    <w:rsid w:val="00E55FDB"/>
    <w:rsid w:val="00E6318B"/>
    <w:rsid w:val="00E71D0D"/>
    <w:rsid w:val="00E77672"/>
    <w:rsid w:val="00E81E61"/>
    <w:rsid w:val="00E848B4"/>
    <w:rsid w:val="00E91417"/>
    <w:rsid w:val="00E94329"/>
    <w:rsid w:val="00E95BBD"/>
    <w:rsid w:val="00EA60FE"/>
    <w:rsid w:val="00EB1377"/>
    <w:rsid w:val="00EB7461"/>
    <w:rsid w:val="00EC1E33"/>
    <w:rsid w:val="00ED3BDF"/>
    <w:rsid w:val="00ED3C06"/>
    <w:rsid w:val="00EF5E1C"/>
    <w:rsid w:val="00EF6468"/>
    <w:rsid w:val="00EF6F00"/>
    <w:rsid w:val="00EF7F0C"/>
    <w:rsid w:val="00F01867"/>
    <w:rsid w:val="00F01F2A"/>
    <w:rsid w:val="00F07022"/>
    <w:rsid w:val="00F1119E"/>
    <w:rsid w:val="00F17F36"/>
    <w:rsid w:val="00F2034C"/>
    <w:rsid w:val="00F234D8"/>
    <w:rsid w:val="00F26635"/>
    <w:rsid w:val="00F26707"/>
    <w:rsid w:val="00F2755F"/>
    <w:rsid w:val="00F33E30"/>
    <w:rsid w:val="00F35A34"/>
    <w:rsid w:val="00F40882"/>
    <w:rsid w:val="00F43559"/>
    <w:rsid w:val="00F461B5"/>
    <w:rsid w:val="00F5408C"/>
    <w:rsid w:val="00F570B4"/>
    <w:rsid w:val="00F5789B"/>
    <w:rsid w:val="00F75AAB"/>
    <w:rsid w:val="00F75C76"/>
    <w:rsid w:val="00F77334"/>
    <w:rsid w:val="00F80BA1"/>
    <w:rsid w:val="00FA4098"/>
    <w:rsid w:val="00FA6021"/>
    <w:rsid w:val="00FB04B3"/>
    <w:rsid w:val="00FB6A17"/>
    <w:rsid w:val="00FC4CBB"/>
    <w:rsid w:val="00FC720B"/>
    <w:rsid w:val="00FC7213"/>
    <w:rsid w:val="00FD02EC"/>
    <w:rsid w:val="00FD0B8F"/>
    <w:rsid w:val="00FD78B4"/>
    <w:rsid w:val="00FE2AE9"/>
    <w:rsid w:val="00FE3FE9"/>
    <w:rsid w:val="00FE56C5"/>
    <w:rsid w:val="00FE6A10"/>
    <w:rsid w:val="00FF0A8B"/>
    <w:rsid w:val="00FF5444"/>
    <w:rsid w:val="00FF6D83"/>
    <w:rsid w:val="1B16D5CE"/>
    <w:rsid w:val="1C2BABC7"/>
    <w:rsid w:val="2AE16FD7"/>
    <w:rsid w:val="37D57A30"/>
    <w:rsid w:val="3AF0EF6C"/>
    <w:rsid w:val="4DC642AA"/>
    <w:rsid w:val="4FDD5558"/>
    <w:rsid w:val="5F94FC7D"/>
    <w:rsid w:val="7CBBAE40"/>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3B0705"/>
  <w15:chartTrackingRefBased/>
  <w15:docId w15:val="{32DA4104-41DF-4492-835D-35A6F9EEF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80" w:lineRule="exact"/>
    </w:pPr>
    <w:rPr>
      <w:rFonts w:ascii="Arial" w:hAnsi="Arial"/>
      <w:sz w:val="24"/>
      <w:lang w:eastAsia="fr-FR"/>
    </w:rPr>
  </w:style>
  <w:style w:type="paragraph" w:styleId="Titre1">
    <w:name w:val="heading 1"/>
    <w:basedOn w:val="Normal"/>
    <w:next w:val="Normal"/>
    <w:qFormat/>
    <w:pPr>
      <w:keepNext/>
      <w:spacing w:before="240" w:after="60" w:line="500" w:lineRule="exact"/>
      <w:outlineLvl w:val="0"/>
    </w:pPr>
    <w:rPr>
      <w:b/>
      <w:kern w:val="28"/>
      <w:sz w:val="28"/>
    </w:rPr>
  </w:style>
  <w:style w:type="paragraph" w:styleId="Titre2">
    <w:name w:val="heading 2"/>
    <w:basedOn w:val="Normal"/>
    <w:next w:val="Normal"/>
    <w:qFormat/>
    <w:pPr>
      <w:keepNext/>
      <w:spacing w:before="240" w:after="60"/>
      <w:outlineLvl w:val="1"/>
    </w:pPr>
    <w:rPr>
      <w:b/>
      <w:i/>
    </w:rPr>
  </w:style>
  <w:style w:type="paragraph" w:styleId="Titre3">
    <w:name w:val="heading 3"/>
    <w:basedOn w:val="Normal"/>
    <w:next w:val="Normal"/>
    <w:qFormat/>
    <w:pPr>
      <w:keepNext/>
      <w:spacing w:before="240" w:after="60"/>
      <w:outlineLvl w:val="2"/>
    </w:pPr>
  </w:style>
  <w:style w:type="paragraph" w:styleId="Titre4">
    <w:name w:val="heading 4"/>
    <w:basedOn w:val="Normal"/>
    <w:next w:val="Normal"/>
    <w:qFormat/>
    <w:pPr>
      <w:keepNext/>
      <w:spacing w:before="240" w:after="60"/>
      <w:outlineLvl w:val="3"/>
    </w:pPr>
    <w:rPr>
      <w:b/>
    </w:rPr>
  </w:style>
  <w:style w:type="paragraph" w:styleId="Titre5">
    <w:name w:val="heading 5"/>
    <w:basedOn w:val="Normal"/>
    <w:next w:val="Normal"/>
    <w:qFormat/>
    <w:pPr>
      <w:spacing w:before="240" w:after="60"/>
      <w:outlineLvl w:val="4"/>
    </w:pPr>
    <w:rPr>
      <w:sz w:val="22"/>
    </w:rPr>
  </w:style>
  <w:style w:type="paragraph" w:styleId="Titre6">
    <w:name w:val="heading 6"/>
    <w:basedOn w:val="Normal"/>
    <w:next w:val="Normal"/>
    <w:qFormat/>
    <w:pPr>
      <w:spacing w:before="240" w:after="60"/>
      <w:outlineLvl w:val="5"/>
    </w:pPr>
    <w:rPr>
      <w:i/>
      <w:sz w:val="22"/>
    </w:rPr>
  </w:style>
  <w:style w:type="paragraph" w:styleId="Titre7">
    <w:name w:val="heading 7"/>
    <w:basedOn w:val="Normal"/>
    <w:next w:val="Normal"/>
    <w:qFormat/>
    <w:pPr>
      <w:spacing w:before="240" w:after="60"/>
      <w:outlineLvl w:val="6"/>
    </w:pPr>
    <w:rPr>
      <w:sz w:val="20"/>
    </w:rPr>
  </w:style>
  <w:style w:type="paragraph" w:styleId="Titre8">
    <w:name w:val="heading 8"/>
    <w:basedOn w:val="Normal"/>
    <w:next w:val="Normal"/>
    <w:qFormat/>
    <w:pPr>
      <w:spacing w:before="240" w:after="60"/>
      <w:outlineLvl w:val="7"/>
    </w:pPr>
    <w:rPr>
      <w:i/>
      <w:sz w:val="20"/>
    </w:rPr>
  </w:style>
  <w:style w:type="paragraph" w:styleId="Titre9">
    <w:name w:val="heading 9"/>
    <w:basedOn w:val="Normal"/>
    <w:next w:val="Normal"/>
    <w:qFormat/>
    <w:pPr>
      <w:spacing w:before="240" w:after="60"/>
      <w:outlineLvl w:val="8"/>
    </w:pPr>
    <w:rPr>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e">
    <w:name w:val="Paragraphe"/>
    <w:basedOn w:val="Normal"/>
    <w:link w:val="ParagrapheCar"/>
    <w:pPr>
      <w:numPr>
        <w:numId w:val="18"/>
      </w:numPr>
      <w:spacing w:before="120" w:after="120" w:line="500" w:lineRule="exact"/>
      <w:jc w:val="both"/>
    </w:pPr>
    <w:rPr>
      <w:kern w:val="28"/>
    </w:rPr>
  </w:style>
  <w:style w:type="paragraph" w:customStyle="1" w:styleId="Citationenretrait">
    <w:name w:val="Citation en retrait"/>
    <w:basedOn w:val="Normal"/>
    <w:pPr>
      <w:spacing w:before="120" w:after="120"/>
      <w:ind w:left="720" w:right="720"/>
      <w:jc w:val="both"/>
    </w:pPr>
    <w:rPr>
      <w:kern w:val="24"/>
      <w:sz w:val="22"/>
    </w:rPr>
  </w:style>
  <w:style w:type="character" w:customStyle="1" w:styleId="Citationintgre">
    <w:name w:val="Citation intégrée"/>
    <w:rPr>
      <w:rFonts w:ascii="Arial" w:hAnsi="Arial"/>
      <w:i/>
      <w:noProof w:val="0"/>
      <w:sz w:val="22"/>
      <w:lang w:val="fr-CA"/>
    </w:rPr>
  </w:style>
  <w:style w:type="paragraph" w:styleId="Corpsdetexte">
    <w:name w:val="Body Text"/>
    <w:basedOn w:val="Normal"/>
    <w:semiHidden/>
    <w:pPr>
      <w:spacing w:after="120"/>
    </w:pPr>
  </w:style>
  <w:style w:type="paragraph" w:styleId="Notedebasdepage">
    <w:name w:val="footnote text"/>
    <w:basedOn w:val="Normal"/>
    <w:link w:val="NotedebasdepageCar"/>
    <w:uiPriority w:val="99"/>
    <w:semiHidden/>
    <w:qFormat/>
    <w:pPr>
      <w:spacing w:line="240" w:lineRule="auto"/>
      <w:ind w:left="360" w:hanging="360"/>
      <w:jc w:val="both"/>
    </w:pPr>
    <w:rPr>
      <w:sz w:val="20"/>
    </w:rPr>
  </w:style>
  <w:style w:type="paragraph" w:styleId="Notedefin">
    <w:name w:val="endnote text"/>
    <w:basedOn w:val="Normal"/>
    <w:semiHidden/>
    <w:pPr>
      <w:ind w:left="-360"/>
      <w:jc w:val="both"/>
    </w:pPr>
    <w:rPr>
      <w:sz w:val="20"/>
    </w:rPr>
  </w:style>
  <w:style w:type="paragraph" w:customStyle="1" w:styleId="zSoquijlblCour">
    <w:name w:val="zSoquij_lblCour"/>
    <w:basedOn w:val="Normal"/>
    <w:pPr>
      <w:spacing w:line="500" w:lineRule="exact"/>
      <w:jc w:val="center"/>
    </w:pPr>
    <w:rPr>
      <w:b/>
      <w:sz w:val="36"/>
    </w:rPr>
  </w:style>
  <w:style w:type="paragraph" w:customStyle="1" w:styleId="zSoquijlblPays">
    <w:name w:val="zSoquij_lblPays"/>
    <w:basedOn w:val="Normal"/>
  </w:style>
  <w:style w:type="paragraph" w:customStyle="1" w:styleId="zSoquijlblProvince">
    <w:name w:val="zSoquij_lblProvince"/>
    <w:basedOn w:val="Normal"/>
  </w:style>
  <w:style w:type="paragraph" w:customStyle="1" w:styleId="zSoquijlblGreffe">
    <w:name w:val="zSoquij_lblGreffe"/>
    <w:basedOn w:val="Normal"/>
  </w:style>
  <w:style w:type="paragraph" w:customStyle="1" w:styleId="zSoquijdatGreffe">
    <w:name w:val="zSoquij_datGreffe"/>
    <w:basedOn w:val="Normal"/>
  </w:style>
  <w:style w:type="paragraph" w:customStyle="1" w:styleId="zSoquijdatDivision">
    <w:name w:val="zSoquij_datDivision"/>
    <w:basedOn w:val="Normal"/>
    <w:pPr>
      <w:jc w:val="center"/>
    </w:pPr>
    <w:rPr>
      <w:sz w:val="22"/>
    </w:rPr>
  </w:style>
  <w:style w:type="paragraph" w:customStyle="1" w:styleId="zSoquijlblNoDossier">
    <w:name w:val="zSoquij_lblNoDossier"/>
    <w:basedOn w:val="Normal"/>
  </w:style>
  <w:style w:type="paragraph" w:customStyle="1" w:styleId="zSoquijdatNoDossier">
    <w:name w:val="zSoquij_datNoDossier"/>
    <w:basedOn w:val="Normal"/>
  </w:style>
  <w:style w:type="paragraph" w:customStyle="1" w:styleId="zSoquijdatNoDossierAnt">
    <w:name w:val="zSoquij_datNoDossierAnt"/>
    <w:basedOn w:val="Normal"/>
    <w:pPr>
      <w:ind w:left="950"/>
    </w:pPr>
  </w:style>
  <w:style w:type="paragraph" w:customStyle="1" w:styleId="zSoquijdatDateJugement">
    <w:name w:val="zSoquij_datDateJugement"/>
    <w:basedOn w:val="Normal"/>
  </w:style>
  <w:style w:type="paragraph" w:customStyle="1" w:styleId="zSoquijlblDateJugement">
    <w:name w:val="zSoquij_lblDateJugement"/>
    <w:basedOn w:val="Normal"/>
  </w:style>
  <w:style w:type="paragraph" w:customStyle="1" w:styleId="zSoquijlblJuge">
    <w:name w:val="zSoquij_lblJuge"/>
    <w:basedOn w:val="Normal"/>
    <w:rPr>
      <w:b/>
    </w:rPr>
  </w:style>
  <w:style w:type="paragraph" w:customStyle="1" w:styleId="zSoquijdatQteJuge">
    <w:name w:val="zSoquij_datQteJuge"/>
    <w:basedOn w:val="Normal"/>
    <w:rPr>
      <w:b/>
    </w:rPr>
  </w:style>
  <w:style w:type="paragraph" w:customStyle="1" w:styleId="zSoquijdatJuge">
    <w:name w:val="zSoquij_datJuge"/>
    <w:basedOn w:val="Normal"/>
    <w:rPr>
      <w:b/>
    </w:rPr>
  </w:style>
  <w:style w:type="paragraph" w:customStyle="1" w:styleId="zSoquijdatNomPartieDem">
    <w:name w:val="zSoquij_datNomPartieDem"/>
    <w:basedOn w:val="Normal"/>
    <w:rPr>
      <w:b/>
      <w:bCs/>
    </w:rPr>
  </w:style>
  <w:style w:type="paragraph" w:customStyle="1" w:styleId="zSoquijdatQtePartieDem">
    <w:name w:val="zSoquij_datQtePartieDem"/>
    <w:basedOn w:val="Normal"/>
    <w:pPr>
      <w:ind w:left="708"/>
    </w:pPr>
  </w:style>
  <w:style w:type="paragraph" w:customStyle="1" w:styleId="zSoquijlblLienParties">
    <w:name w:val="zSoquij_lblLienParties"/>
    <w:basedOn w:val="Normal"/>
  </w:style>
  <w:style w:type="paragraph" w:customStyle="1" w:styleId="zSoquijdatNomPartieDef">
    <w:name w:val="zSoquij_datNomPartieDef"/>
    <w:basedOn w:val="Normal"/>
    <w:rPr>
      <w:b/>
      <w:bCs/>
    </w:rPr>
  </w:style>
  <w:style w:type="paragraph" w:customStyle="1" w:styleId="zSoquijdatQtePartieDef">
    <w:name w:val="zSoquij_datQtePartieDef"/>
    <w:basedOn w:val="Normal"/>
    <w:pPr>
      <w:ind w:left="708"/>
    </w:pPr>
  </w:style>
  <w:style w:type="paragraph" w:customStyle="1" w:styleId="zSoquijlblTypeDocument">
    <w:name w:val="zSoquij_lblTypeDocument"/>
    <w:basedOn w:val="Normal"/>
    <w:pPr>
      <w:jc w:val="center"/>
    </w:pPr>
  </w:style>
  <w:style w:type="paragraph" w:customStyle="1" w:styleId="zSoquijlblProcureurDem">
    <w:name w:val="zSoquij_lblProcureurDem"/>
    <w:basedOn w:val="Normal"/>
  </w:style>
  <w:style w:type="paragraph" w:customStyle="1" w:styleId="zSoquijlblProcureurDef">
    <w:name w:val="zSoquij_lblProcureurDef"/>
    <w:basedOn w:val="Normal"/>
  </w:style>
  <w:style w:type="paragraph" w:customStyle="1" w:styleId="zSoquijlblDateAudience">
    <w:name w:val="zSoquij_lblDateAudience"/>
    <w:basedOn w:val="Normal"/>
  </w:style>
  <w:style w:type="paragraph" w:customStyle="1" w:styleId="zSoquijdatDateAudience">
    <w:name w:val="zSoquij_datDateAudience"/>
    <w:basedOn w:val="Normal"/>
  </w:style>
  <w:style w:type="paragraph" w:customStyle="1" w:styleId="zSoquijlblNomChambre">
    <w:name w:val="zSoquij_lblNomChambre"/>
    <w:basedOn w:val="Normal"/>
  </w:style>
  <w:style w:type="paragraph" w:customStyle="1" w:styleId="zSoquijlblOpinionJuge">
    <w:name w:val="zSoquij_lblOpinionJuge"/>
    <w:basedOn w:val="Normal"/>
    <w:pPr>
      <w:jc w:val="center"/>
    </w:pPr>
  </w:style>
  <w:style w:type="character" w:customStyle="1" w:styleId="zSoquijlblEntNoDossier">
    <w:name w:val="zSoquij_lblEntNoDossier"/>
    <w:basedOn w:val="Policepardfaut"/>
    <w:rPr>
      <w:noProof w:val="0"/>
      <w:lang w:val="fr-CA"/>
    </w:rPr>
  </w:style>
  <w:style w:type="paragraph" w:customStyle="1" w:styleId="zSoquijlblTitrePartie">
    <w:name w:val="zSoquij_lblTitrePartie"/>
    <w:basedOn w:val="Normal"/>
  </w:style>
  <w:style w:type="paragraph" w:customStyle="1" w:styleId="zSoquijdatIdJuge">
    <w:name w:val="zSoquij_datIdJuge"/>
    <w:basedOn w:val="Normal"/>
    <w:pPr>
      <w:jc w:val="right"/>
    </w:pPr>
  </w:style>
  <w:style w:type="paragraph" w:customStyle="1" w:styleId="Sous-paragraphe">
    <w:name w:val="Sous-paragraphe"/>
    <w:basedOn w:val="Normal"/>
    <w:pPr>
      <w:widowControl w:val="0"/>
      <w:numPr>
        <w:ilvl w:val="1"/>
        <w:numId w:val="18"/>
      </w:numPr>
      <w:spacing w:after="120"/>
      <w:jc w:val="both"/>
    </w:pPr>
    <w:rPr>
      <w:kern w:val="28"/>
    </w:rPr>
  </w:style>
  <w:style w:type="paragraph" w:customStyle="1" w:styleId="zSoquijdatNomProcureurDem">
    <w:name w:val="zSoquij_datNomProcureurDem"/>
    <w:basedOn w:val="zSoquijlblProcureurDem"/>
    <w:pPr>
      <w:keepNext/>
    </w:pPr>
  </w:style>
  <w:style w:type="paragraph" w:customStyle="1" w:styleId="zSoquijdatNomProcureurDef">
    <w:name w:val="zSoquij_datNomProcureurDef"/>
    <w:basedOn w:val="zSoquijlblProcureurDef"/>
    <w:pPr>
      <w:keepNext/>
    </w:pPr>
  </w:style>
  <w:style w:type="paragraph" w:customStyle="1" w:styleId="zSoquijdatCabinetProcureurDem">
    <w:name w:val="zSoquij_datCabinetProcureurDem"/>
    <w:basedOn w:val="Normal"/>
    <w:pPr>
      <w:keepNext/>
    </w:pPr>
  </w:style>
  <w:style w:type="paragraph" w:customStyle="1" w:styleId="zSoquijdatCabinetProcureurDef">
    <w:name w:val="zSoquij_datCabinetProcureurDef"/>
    <w:basedOn w:val="zSoquijlblProcureurDef"/>
    <w:pPr>
      <w:keepNext/>
    </w:pPr>
  </w:style>
  <w:style w:type="paragraph" w:styleId="En-tte">
    <w:name w:val="header"/>
    <w:basedOn w:val="Normal"/>
    <w:semiHidden/>
    <w:pPr>
      <w:tabs>
        <w:tab w:val="center" w:pos="4320"/>
        <w:tab w:val="right" w:pos="8640"/>
      </w:tabs>
    </w:pPr>
  </w:style>
  <w:style w:type="paragraph" w:styleId="Pieddepage">
    <w:name w:val="footer"/>
    <w:basedOn w:val="Normal"/>
    <w:semiHidden/>
    <w:pPr>
      <w:tabs>
        <w:tab w:val="center" w:pos="4320"/>
        <w:tab w:val="right" w:pos="8640"/>
      </w:tabs>
    </w:pPr>
  </w:style>
  <w:style w:type="paragraph" w:customStyle="1" w:styleId="Tableaudroiteanglais">
    <w:name w:val="Tableau droite anglais"/>
    <w:basedOn w:val="Tableaugauchefranais"/>
    <w:pPr>
      <w:ind w:left="144" w:right="720"/>
      <w:jc w:val="both"/>
    </w:pPr>
    <w:rPr>
      <w:lang w:val="en-CA"/>
    </w:rPr>
  </w:style>
  <w:style w:type="paragraph" w:customStyle="1" w:styleId="Tableaugauchefranais">
    <w:name w:val="Tableau gauche français"/>
    <w:basedOn w:val="Normal"/>
    <w:pPr>
      <w:ind w:left="720" w:right="144"/>
    </w:pPr>
    <w:rPr>
      <w:sz w:val="22"/>
    </w:rPr>
  </w:style>
  <w:style w:type="character" w:styleId="Appelnotedebasdep">
    <w:name w:val="footnote reference"/>
    <w:uiPriority w:val="99"/>
    <w:semiHidden/>
    <w:qFormat/>
    <w:rPr>
      <w:noProof w:val="0"/>
      <w:vertAlign w:val="superscript"/>
      <w:lang w:val="fr-CA"/>
    </w:rPr>
  </w:style>
  <w:style w:type="paragraph" w:styleId="Corpsdetexte3">
    <w:name w:val="Body Text 3"/>
    <w:basedOn w:val="Normal"/>
    <w:semiHidden/>
    <w:pPr>
      <w:spacing w:after="120"/>
    </w:pPr>
    <w:rPr>
      <w:sz w:val="16"/>
    </w:rPr>
  </w:style>
  <w:style w:type="paragraph" w:customStyle="1" w:styleId="zSoquijdatRepertorie">
    <w:name w:val="zSoquij_datRepertorie"/>
    <w:basedOn w:val="zSoquijlblCour"/>
    <w:pPr>
      <w:spacing w:line="240" w:lineRule="auto"/>
      <w:jc w:val="left"/>
    </w:pPr>
    <w:rPr>
      <w:sz w:val="22"/>
    </w:rPr>
  </w:style>
  <w:style w:type="paragraph" w:customStyle="1" w:styleId="zSoquijdatRefNeutre">
    <w:name w:val="zSoquij_datRefNeutre"/>
    <w:basedOn w:val="zSoquijlblCour"/>
    <w:pPr>
      <w:spacing w:line="240" w:lineRule="auto"/>
      <w:jc w:val="left"/>
    </w:pPr>
    <w:rPr>
      <w:sz w:val="22"/>
    </w:rPr>
  </w:style>
  <w:style w:type="table" w:styleId="Grilledutableau">
    <w:name w:val="Table Grid"/>
    <w:basedOn w:val="TableauNormal"/>
    <w:uiPriority w:val="39"/>
    <w:rsid w:val="00E20E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3E3239"/>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E3239"/>
    <w:rPr>
      <w:rFonts w:ascii="Segoe UI" w:hAnsi="Segoe UI" w:cs="Segoe UI"/>
      <w:sz w:val="18"/>
      <w:szCs w:val="18"/>
      <w:lang w:eastAsia="fr-FR"/>
    </w:rPr>
  </w:style>
  <w:style w:type="paragraph" w:styleId="Paragraphedeliste">
    <w:name w:val="List Paragraph"/>
    <w:basedOn w:val="Normal"/>
    <w:uiPriority w:val="34"/>
    <w:qFormat/>
    <w:rsid w:val="00817FE0"/>
    <w:pPr>
      <w:ind w:left="720"/>
      <w:contextualSpacing/>
    </w:pPr>
  </w:style>
  <w:style w:type="character" w:customStyle="1" w:styleId="NotedebasdepageCar">
    <w:name w:val="Note de bas de page Car"/>
    <w:basedOn w:val="Policepardfaut"/>
    <w:link w:val="Notedebasdepage"/>
    <w:uiPriority w:val="99"/>
    <w:semiHidden/>
    <w:rsid w:val="00A44A3E"/>
    <w:rPr>
      <w:rFonts w:ascii="Arial" w:hAnsi="Arial"/>
      <w:lang w:eastAsia="fr-FR"/>
    </w:rPr>
  </w:style>
  <w:style w:type="character" w:customStyle="1" w:styleId="ParagrapheCar">
    <w:name w:val="Paragraphe Car"/>
    <w:link w:val="Paragraphe"/>
    <w:locked/>
    <w:rsid w:val="00A44A3E"/>
    <w:rPr>
      <w:rFonts w:ascii="Arial" w:hAnsi="Arial"/>
      <w:kern w:val="28"/>
      <w:sz w:val="24"/>
      <w:lang w:eastAsia="fr-FR"/>
    </w:rPr>
  </w:style>
  <w:style w:type="paragraph" w:styleId="Rvision">
    <w:name w:val="Revision"/>
    <w:hidden/>
    <w:uiPriority w:val="99"/>
    <w:semiHidden/>
    <w:rsid w:val="006125D3"/>
    <w:rPr>
      <w:rFonts w:ascii="Arial" w:hAnsi="Arial"/>
      <w:sz w:val="24"/>
      <w:lang w:eastAsia="fr-FR"/>
    </w:rPr>
  </w:style>
  <w:style w:type="character" w:styleId="Hyperlien">
    <w:name w:val="Hyperlink"/>
    <w:basedOn w:val="Policepardfaut"/>
    <w:uiPriority w:val="99"/>
    <w:unhideWhenUsed/>
    <w:rsid w:val="00BD15FA"/>
    <w:rPr>
      <w:color w:val="0563C1" w:themeColor="hyperlink"/>
      <w:u w:val="single"/>
    </w:rPr>
  </w:style>
  <w:style w:type="character" w:styleId="Mentionnonrsolue">
    <w:name w:val="Unresolved Mention"/>
    <w:basedOn w:val="Policepardfaut"/>
    <w:uiPriority w:val="99"/>
    <w:semiHidden/>
    <w:unhideWhenUsed/>
    <w:rsid w:val="00BD15FA"/>
    <w:rPr>
      <w:color w:val="605E5C"/>
      <w:shd w:val="clear" w:color="auto" w:fill="E1DFDD"/>
    </w:rPr>
  </w:style>
  <w:style w:type="paragraph" w:styleId="Commentaire">
    <w:name w:val="annotation text"/>
    <w:basedOn w:val="Normal"/>
    <w:link w:val="CommentaireCar"/>
    <w:uiPriority w:val="99"/>
    <w:unhideWhenUsed/>
    <w:pPr>
      <w:spacing w:line="240" w:lineRule="auto"/>
    </w:pPr>
    <w:rPr>
      <w:sz w:val="20"/>
    </w:rPr>
  </w:style>
  <w:style w:type="character" w:customStyle="1" w:styleId="CommentaireCar">
    <w:name w:val="Commentaire Car"/>
    <w:basedOn w:val="Policepardfaut"/>
    <w:link w:val="Commentaire"/>
    <w:uiPriority w:val="99"/>
    <w:rPr>
      <w:rFonts w:ascii="Arial" w:hAnsi="Arial"/>
      <w:lang w:eastAsia="fr-FR"/>
    </w:rPr>
  </w:style>
  <w:style w:type="character" w:styleId="Marquedecommentaire">
    <w:name w:val="annotation reference"/>
    <w:basedOn w:val="Policepardfaut"/>
    <w:uiPriority w:val="99"/>
    <w:semiHidden/>
    <w:unhideWhenUsed/>
    <w:rPr>
      <w:sz w:val="16"/>
      <w:szCs w:val="16"/>
    </w:rPr>
  </w:style>
  <w:style w:type="paragraph" w:styleId="Objetducommentaire">
    <w:name w:val="annotation subject"/>
    <w:basedOn w:val="Commentaire"/>
    <w:next w:val="Commentaire"/>
    <w:link w:val="ObjetducommentaireCar"/>
    <w:uiPriority w:val="99"/>
    <w:semiHidden/>
    <w:unhideWhenUsed/>
    <w:rsid w:val="00C33487"/>
    <w:rPr>
      <w:b/>
      <w:bCs/>
    </w:rPr>
  </w:style>
  <w:style w:type="character" w:customStyle="1" w:styleId="ObjetducommentaireCar">
    <w:name w:val="Objet du commentaire Car"/>
    <w:basedOn w:val="CommentaireCar"/>
    <w:link w:val="Objetducommentaire"/>
    <w:uiPriority w:val="99"/>
    <w:semiHidden/>
    <w:rsid w:val="00C33487"/>
    <w:rPr>
      <w:rFonts w:ascii="Arial" w:hAnsi="Arial"/>
      <w:b/>
      <w:bCs/>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F8A525-8000-4EBF-92DB-64B5AB8AA0D3}">
  <ds:schemaRefs>
    <ds:schemaRef ds:uri="http://schemas.openxmlformats.org/officeDocument/2006/bibliography"/>
  </ds:schemaRefs>
</ds:datastoreItem>
</file>

<file path=docMetadata/LabelInfo.xml><?xml version="1.0" encoding="utf-8"?>
<clbl:labelList xmlns:clbl="http://schemas.microsoft.com/office/2020/mipLabelMetadata">
  <clbl:label id="{3f6dec78-7ded-4395-975c-6edbb7d10b16}" enabled="0" method="" siteId="{3f6dec78-7ded-4395-975c-6edbb7d10b16}"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9</Pages>
  <Words>3616</Words>
  <Characters>19892</Characters>
  <Application>Microsoft Office Word</Application>
  <DocSecurity>0</DocSecurity>
  <Lines>165</Lines>
  <Paragraphs>46</Paragraphs>
  <ScaleCrop>false</ScaleCrop>
  <HeadingPairs>
    <vt:vector size="2" baseType="variant">
      <vt:variant>
        <vt:lpstr>Titre</vt:lpstr>
      </vt:variant>
      <vt:variant>
        <vt:i4>1</vt:i4>
      </vt:variant>
    </vt:vector>
  </HeadingPairs>
  <TitlesOfParts>
    <vt:vector size="1" baseType="lpstr">
      <vt:lpstr>Gabarit de jugement pour la cour d'appel</vt:lpstr>
    </vt:vector>
  </TitlesOfParts>
  <Manager>Patrice Tardif</Manager>
  <Company>MJQ</Company>
  <LinksUpToDate>false</LinksUpToDate>
  <CharactersWithSpaces>23462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Gabarit de jugement pour la cour d'appel</dc:title>
  <dc:subject/>
  <dc:creator>Amel Alia</dc:creator>
  <cp:keywords/>
  <dc:description/>
  <cp:lastModifiedBy>Paillé, Pryscilla</cp:lastModifiedBy>
  <cp:revision>7</cp:revision>
  <cp:lastPrinted>2026-10-27T14:33:00Z</cp:lastPrinted>
  <dcterms:created xsi:type="dcterms:W3CDTF">2026-10-27T19:19:00Z</dcterms:created>
  <dcterms:modified xsi:type="dcterms:W3CDTF">2026-11-02T16:11:00Z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oquij_DateModification">
    <vt:lpwstr>04-26-2001</vt:lpwstr>
  </property>
  <property fmtid="{D5CDD505-2E9C-101B-9397-08002B2CF9AE}" pid="3" name="Soquij_Version">
    <vt:lpwstr>1.6</vt:lpwstr>
  </property>
  <property fmtid="{D5CDD505-2E9C-101B-9397-08002B2CF9AE}" pid="4" name="Soquij_ModifiePar">
    <vt:lpwstr>renste</vt:lpwstr>
  </property>
  <property fmtid="{D5CDD505-2E9C-101B-9397-08002B2CF9AE}" pid="5" name="Soquij_Modele">
    <vt:lpwstr>Edj</vt:lpwstr>
  </property>
  <property fmtid="{D5CDD505-2E9C-101B-9397-08002B2CF9AE}" pid="6" name="Soquij_Cour">
    <vt:lpwstr>CA</vt:lpwstr>
  </property>
  <property fmtid="{D5CDD505-2E9C-101B-9397-08002B2CF9AE}" pid="7" name="Soquij_Langue">
    <vt:lpwstr>Fra</vt:lpwstr>
  </property>
</Properties>
</file>