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CellMar>
          <w:left w:w="0" w:type="dxa"/>
          <w:right w:w="0" w:type="dxa"/>
        </w:tblCellMar>
        <w:tblLook w:val="0000" w:firstRow="0" w:lastRow="0" w:firstColumn="0" w:lastColumn="0" w:noHBand="0" w:noVBand="0"/>
      </w:tblPr>
      <w:tblGrid>
        <w:gridCol w:w="1030"/>
        <w:gridCol w:w="590"/>
        <w:gridCol w:w="2350"/>
        <w:gridCol w:w="3402"/>
        <w:gridCol w:w="1988"/>
      </w:tblGrid>
      <w:tr w:rsidR="00874AF2" w14:paraId="05C70D4B" w14:textId="77777777" w:rsidTr="008D18FC">
        <w:trPr>
          <w:trHeight w:val="248"/>
        </w:trPr>
        <w:tc>
          <w:tcPr>
            <w:tcW w:w="7372" w:type="dxa"/>
            <w:gridSpan w:val="4"/>
          </w:tcPr>
          <w:p w14:paraId="598B8506" w14:textId="3991900A" w:rsidR="008F364A" w:rsidRPr="00854AE3" w:rsidRDefault="00854AE3" w:rsidP="00854AE3">
            <w:pPr>
              <w:pStyle w:val="zSoquijdatRepertorie"/>
              <w:rPr>
                <w:rFonts w:cs="Arial"/>
              </w:rPr>
            </w:pPr>
            <w:r>
              <w:rPr>
                <w:rFonts w:cs="Arial"/>
              </w:rPr>
              <w:t>R. c. Côté-Vachon</w:t>
            </w:r>
          </w:p>
        </w:tc>
        <w:tc>
          <w:tcPr>
            <w:tcW w:w="1988" w:type="dxa"/>
          </w:tcPr>
          <w:p w14:paraId="587B1AFC" w14:textId="15290938" w:rsidR="008F364A" w:rsidRPr="004C549C" w:rsidRDefault="004C549C" w:rsidP="004C549C">
            <w:pPr>
              <w:pStyle w:val="zSoquijdatRefNeutre"/>
              <w:jc w:val="right"/>
              <w:rPr>
                <w:rFonts w:cs="Arial"/>
              </w:rPr>
            </w:pPr>
            <w:r w:rsidRPr="004C549C">
              <w:rPr>
                <w:rFonts w:cs="Arial"/>
              </w:rPr>
              <w:t>2026 QCCA 1472</w:t>
            </w:r>
          </w:p>
        </w:tc>
      </w:tr>
      <w:tr w:rsidR="00874AF2" w14:paraId="2FA523AB" w14:textId="77777777" w:rsidTr="008D18FC">
        <w:trPr>
          <w:trHeight w:val="247"/>
        </w:trPr>
        <w:tc>
          <w:tcPr>
            <w:tcW w:w="9360" w:type="dxa"/>
            <w:gridSpan w:val="5"/>
          </w:tcPr>
          <w:p w14:paraId="40559E42" w14:textId="77777777" w:rsidR="008F364A" w:rsidRDefault="00507CCA">
            <w:pPr>
              <w:pStyle w:val="zSoquijlblCour"/>
            </w:pPr>
            <w:r>
              <w:t>COUR D’APPEL</w:t>
            </w:r>
          </w:p>
        </w:tc>
      </w:tr>
      <w:tr w:rsidR="00874AF2" w14:paraId="1B512531" w14:textId="77777777" w:rsidTr="008D18FC">
        <w:trPr>
          <w:trHeight w:val="540"/>
        </w:trPr>
        <w:tc>
          <w:tcPr>
            <w:tcW w:w="9360" w:type="dxa"/>
            <w:gridSpan w:val="5"/>
          </w:tcPr>
          <w:p w14:paraId="6D561ADB" w14:textId="77777777" w:rsidR="008F364A" w:rsidRDefault="008F364A">
            <w:pPr>
              <w:pStyle w:val="zSoquijdatDivision"/>
            </w:pPr>
          </w:p>
        </w:tc>
      </w:tr>
      <w:tr w:rsidR="00874AF2" w14:paraId="64F0D475" w14:textId="77777777" w:rsidTr="008D18FC">
        <w:tc>
          <w:tcPr>
            <w:tcW w:w="9360" w:type="dxa"/>
            <w:gridSpan w:val="5"/>
          </w:tcPr>
          <w:p w14:paraId="130C965B" w14:textId="77777777" w:rsidR="008F364A" w:rsidRDefault="00507CCA">
            <w:pPr>
              <w:pStyle w:val="zSoquijlblPays"/>
            </w:pPr>
            <w:r>
              <w:t>CANADA</w:t>
            </w:r>
          </w:p>
        </w:tc>
      </w:tr>
      <w:tr w:rsidR="00874AF2" w14:paraId="34C5278D" w14:textId="77777777" w:rsidTr="008D18FC">
        <w:tc>
          <w:tcPr>
            <w:tcW w:w="9360" w:type="dxa"/>
            <w:gridSpan w:val="5"/>
          </w:tcPr>
          <w:p w14:paraId="24A38E67" w14:textId="77777777" w:rsidR="008F364A" w:rsidRDefault="00507CCA">
            <w:pPr>
              <w:pStyle w:val="zSoquijlblProvince"/>
            </w:pPr>
            <w:r>
              <w:t>PROVINCE DE QUÉBEC</w:t>
            </w:r>
          </w:p>
          <w:p w14:paraId="4C2495B0" w14:textId="77777777" w:rsidR="00805BA1" w:rsidRDefault="00507CCA">
            <w:pPr>
              <w:pStyle w:val="zSoquijlblProvince"/>
            </w:pPr>
            <w:r>
              <w:t>SIÈGE DE QUÉBEC</w:t>
            </w:r>
          </w:p>
          <w:p w14:paraId="06137D93" w14:textId="0DDA6100" w:rsidR="00805BA1" w:rsidRDefault="00805BA1">
            <w:pPr>
              <w:pStyle w:val="zSoquijlblProvince"/>
            </w:pPr>
          </w:p>
        </w:tc>
      </w:tr>
      <w:tr w:rsidR="00874AF2" w14:paraId="5BAEA718" w14:textId="77777777" w:rsidTr="008D18FC">
        <w:tc>
          <w:tcPr>
            <w:tcW w:w="1030" w:type="dxa"/>
          </w:tcPr>
          <w:p w14:paraId="5DB836B8" w14:textId="77777777" w:rsidR="008F364A" w:rsidRDefault="00507CCA">
            <w:pPr>
              <w:pStyle w:val="zSoquijlblNoDossier"/>
            </w:pPr>
            <w:r>
              <w:t>N° :</w:t>
            </w:r>
          </w:p>
        </w:tc>
        <w:tc>
          <w:tcPr>
            <w:tcW w:w="8330" w:type="dxa"/>
            <w:gridSpan w:val="4"/>
          </w:tcPr>
          <w:p w14:paraId="7F1820C8" w14:textId="37CA9B38" w:rsidR="008F364A" w:rsidRDefault="00507CCA">
            <w:pPr>
              <w:pStyle w:val="zSoquijdatNoDossier"/>
            </w:pPr>
            <w:bookmarkStart w:id="0" w:name="NoDossier"/>
            <w:r>
              <w:t>200-10-700225-266</w:t>
            </w:r>
            <w:bookmarkEnd w:id="0"/>
          </w:p>
        </w:tc>
      </w:tr>
      <w:tr w:rsidR="00874AF2" w14:paraId="4D4E5098" w14:textId="77777777" w:rsidTr="008D18FC">
        <w:tc>
          <w:tcPr>
            <w:tcW w:w="9360" w:type="dxa"/>
            <w:gridSpan w:val="5"/>
          </w:tcPr>
          <w:p w14:paraId="710E5135" w14:textId="5076B840" w:rsidR="00FD6FBB" w:rsidRDefault="00507CCA" w:rsidP="00FD6FBB">
            <w:pPr>
              <w:pStyle w:val="zSoquijdatNoDossierAnt"/>
            </w:pPr>
            <w:r>
              <w:t>(150-01-072038-236)</w:t>
            </w:r>
          </w:p>
        </w:tc>
      </w:tr>
      <w:tr w:rsidR="00874AF2" w14:paraId="692E74B4" w14:textId="77777777" w:rsidTr="008D18FC">
        <w:tc>
          <w:tcPr>
            <w:tcW w:w="9360" w:type="dxa"/>
            <w:gridSpan w:val="5"/>
          </w:tcPr>
          <w:p w14:paraId="564D2918" w14:textId="77777777" w:rsidR="008F364A" w:rsidRDefault="008F364A"/>
        </w:tc>
      </w:tr>
      <w:tr w:rsidR="00874AF2" w14:paraId="7A4F8844" w14:textId="77777777" w:rsidTr="008D18FC">
        <w:tc>
          <w:tcPr>
            <w:tcW w:w="1030" w:type="dxa"/>
          </w:tcPr>
          <w:p w14:paraId="36400850" w14:textId="77777777" w:rsidR="008F364A" w:rsidRDefault="00507CCA">
            <w:pPr>
              <w:pStyle w:val="zSoquijlblDateJugement"/>
            </w:pPr>
            <w:r>
              <w:t>DATE :</w:t>
            </w:r>
          </w:p>
        </w:tc>
        <w:tc>
          <w:tcPr>
            <w:tcW w:w="8330" w:type="dxa"/>
            <w:gridSpan w:val="4"/>
          </w:tcPr>
          <w:p w14:paraId="518BC69E" w14:textId="07094119" w:rsidR="008F364A" w:rsidRPr="00805BA1" w:rsidRDefault="00507CCA">
            <w:pPr>
              <w:pStyle w:val="zSoquijdatDateJugement"/>
            </w:pPr>
            <w:r>
              <w:t>4 novembre 2026</w:t>
            </w:r>
          </w:p>
        </w:tc>
      </w:tr>
      <w:tr w:rsidR="00874AF2" w14:paraId="1B25B300" w14:textId="77777777" w:rsidTr="008D18FC">
        <w:tc>
          <w:tcPr>
            <w:tcW w:w="9360" w:type="dxa"/>
            <w:gridSpan w:val="5"/>
            <w:tcBorders>
              <w:bottom w:val="single" w:sz="8" w:space="0" w:color="auto"/>
            </w:tcBorders>
          </w:tcPr>
          <w:p w14:paraId="582B95FB" w14:textId="77777777" w:rsidR="008F364A" w:rsidRDefault="008F364A"/>
        </w:tc>
      </w:tr>
      <w:tr w:rsidR="00874AF2" w14:paraId="0514403A" w14:textId="77777777" w:rsidTr="008D18FC">
        <w:tc>
          <w:tcPr>
            <w:tcW w:w="9360" w:type="dxa"/>
            <w:gridSpan w:val="5"/>
            <w:tcBorders>
              <w:top w:val="single" w:sz="8" w:space="0" w:color="auto"/>
            </w:tcBorders>
          </w:tcPr>
          <w:p w14:paraId="1050C14C" w14:textId="77777777" w:rsidR="008F364A" w:rsidRDefault="008F364A"/>
        </w:tc>
      </w:tr>
      <w:tr w:rsidR="00874AF2" w14:paraId="5FFB89C7" w14:textId="77777777" w:rsidTr="008D18FC">
        <w:tc>
          <w:tcPr>
            <w:tcW w:w="1620" w:type="dxa"/>
            <w:gridSpan w:val="2"/>
          </w:tcPr>
          <w:p w14:paraId="74F0ACB6" w14:textId="77777777" w:rsidR="008F364A" w:rsidRDefault="00507CCA" w:rsidP="00423DF1">
            <w:pPr>
              <w:pStyle w:val="zSoquijlblJuge"/>
              <w:ind w:right="-142"/>
            </w:pPr>
            <w:bookmarkStart w:id="1" w:name="FORMATION"/>
            <w:r>
              <w:t>FORMATION</w:t>
            </w:r>
            <w:r w:rsidR="00B513C9">
              <w:t> </w:t>
            </w:r>
            <w:r w:rsidR="00740A17">
              <w:t>:</w:t>
            </w:r>
            <w:bookmarkEnd w:id="1"/>
          </w:p>
        </w:tc>
        <w:tc>
          <w:tcPr>
            <w:tcW w:w="2350" w:type="dxa"/>
          </w:tcPr>
          <w:p w14:paraId="501EB26F" w14:textId="77777777" w:rsidR="008F364A" w:rsidRDefault="00507CCA">
            <w:pPr>
              <w:pStyle w:val="zSoquijdatQteJuge"/>
            </w:pPr>
            <w:bookmarkStart w:id="2" w:name="Honorables"/>
            <w:r>
              <w:t>LES HONORABLES</w:t>
            </w:r>
            <w:bookmarkEnd w:id="2"/>
          </w:p>
        </w:tc>
        <w:tc>
          <w:tcPr>
            <w:tcW w:w="5390" w:type="dxa"/>
            <w:gridSpan w:val="2"/>
          </w:tcPr>
          <w:p w14:paraId="44B030F4" w14:textId="64610052" w:rsidR="008F364A" w:rsidRDefault="00507CCA">
            <w:pPr>
              <w:pStyle w:val="zSoquijdatJuge"/>
            </w:pPr>
            <w:bookmarkStart w:id="3" w:name="NomJuge1"/>
            <w:r>
              <w:t>GUY GAGNON, J.C.A.</w:t>
            </w:r>
            <w:bookmarkEnd w:id="3"/>
          </w:p>
          <w:p w14:paraId="3652D84F" w14:textId="21198A2E" w:rsidR="008F364A" w:rsidRDefault="00507CCA">
            <w:pPr>
              <w:pStyle w:val="zSoquijdatJuge"/>
            </w:pPr>
            <w:bookmarkStart w:id="4" w:name="NomJuge2"/>
            <w:r>
              <w:t>SUZANNE GAGNÉ, J.C.A.</w:t>
            </w:r>
            <w:bookmarkEnd w:id="4"/>
          </w:p>
          <w:p w14:paraId="0786F898" w14:textId="2B94285D" w:rsidR="005A78BF" w:rsidRDefault="00507CCA" w:rsidP="00FD6FBB">
            <w:pPr>
              <w:pStyle w:val="zSoquijdatJuge"/>
              <w:rPr>
                <w:lang w:val="de-DE"/>
              </w:rPr>
            </w:pPr>
            <w:bookmarkStart w:id="5" w:name="_Hlt520513784"/>
            <w:bookmarkStart w:id="6" w:name="NomJuge3"/>
            <w:bookmarkEnd w:id="5"/>
            <w:r>
              <w:t>MYRIAM LACHANCE, J.C.A.</w:t>
            </w:r>
            <w:bookmarkEnd w:id="6"/>
          </w:p>
        </w:tc>
      </w:tr>
      <w:tr w:rsidR="00874AF2" w14:paraId="17BAEBA5" w14:textId="77777777" w:rsidTr="008D18FC">
        <w:tc>
          <w:tcPr>
            <w:tcW w:w="9360" w:type="dxa"/>
            <w:gridSpan w:val="5"/>
            <w:tcBorders>
              <w:bottom w:val="single" w:sz="8" w:space="0" w:color="auto"/>
            </w:tcBorders>
          </w:tcPr>
          <w:p w14:paraId="4FE177BA" w14:textId="77777777" w:rsidR="008F364A" w:rsidRDefault="008F364A">
            <w:pPr>
              <w:rPr>
                <w:lang w:val="de-DE"/>
              </w:rPr>
            </w:pPr>
          </w:p>
        </w:tc>
      </w:tr>
      <w:tr w:rsidR="00874AF2" w14:paraId="7F38931B" w14:textId="77777777" w:rsidTr="008D18FC">
        <w:tc>
          <w:tcPr>
            <w:tcW w:w="9360" w:type="dxa"/>
            <w:gridSpan w:val="5"/>
          </w:tcPr>
          <w:p w14:paraId="78EEE0F2" w14:textId="77777777" w:rsidR="008F364A" w:rsidRDefault="008F364A">
            <w:pPr>
              <w:pStyle w:val="zSoquijlblTitrePartie"/>
              <w:rPr>
                <w:lang w:val="de-DE"/>
              </w:rPr>
            </w:pPr>
          </w:p>
        </w:tc>
      </w:tr>
      <w:tr w:rsidR="00874AF2" w14:paraId="4A69A953" w14:textId="77777777" w:rsidTr="008D18FC">
        <w:tc>
          <w:tcPr>
            <w:tcW w:w="9360" w:type="dxa"/>
            <w:gridSpan w:val="5"/>
          </w:tcPr>
          <w:p w14:paraId="387061EE" w14:textId="61F11AAA" w:rsidR="008F364A" w:rsidRDefault="00507CCA">
            <w:pPr>
              <w:pStyle w:val="zSoquijdatNomPartieDem"/>
              <w:rPr>
                <w:lang w:val="de-DE"/>
              </w:rPr>
            </w:pPr>
            <w:r>
              <w:t>SA MAJESTÉ LE ROI</w:t>
            </w:r>
          </w:p>
        </w:tc>
      </w:tr>
      <w:tr w:rsidR="00874AF2" w14:paraId="3801CE52" w14:textId="77777777" w:rsidTr="008D18FC">
        <w:tc>
          <w:tcPr>
            <w:tcW w:w="9360" w:type="dxa"/>
            <w:gridSpan w:val="5"/>
          </w:tcPr>
          <w:p w14:paraId="5291A207" w14:textId="75E8EA74" w:rsidR="008F364A" w:rsidRDefault="00507CCA">
            <w:pPr>
              <w:pStyle w:val="zSoquijdatQtePartieDem"/>
              <w:rPr>
                <w:lang w:val="de-DE"/>
              </w:rPr>
            </w:pPr>
            <w:r>
              <w:t>REQUÉRANT</w:t>
            </w:r>
            <w:r w:rsidR="00FD6FBB">
              <w:t xml:space="preserve"> – poursuivant</w:t>
            </w:r>
          </w:p>
        </w:tc>
      </w:tr>
      <w:tr w:rsidR="00874AF2" w14:paraId="2C83E37C" w14:textId="77777777" w:rsidTr="008D18FC">
        <w:tc>
          <w:tcPr>
            <w:tcW w:w="9360" w:type="dxa"/>
            <w:gridSpan w:val="5"/>
          </w:tcPr>
          <w:p w14:paraId="3854E938" w14:textId="77777777" w:rsidR="008F364A" w:rsidRDefault="00507CCA">
            <w:pPr>
              <w:pStyle w:val="zSoquijlblLienParties"/>
              <w:rPr>
                <w:lang w:val="en-CA"/>
              </w:rPr>
            </w:pPr>
            <w:r>
              <w:rPr>
                <w:lang w:val="en-CA"/>
              </w:rPr>
              <w:t>c.</w:t>
            </w:r>
          </w:p>
        </w:tc>
      </w:tr>
      <w:tr w:rsidR="00874AF2" w14:paraId="4C464757" w14:textId="77777777" w:rsidTr="008D18FC">
        <w:tc>
          <w:tcPr>
            <w:tcW w:w="9360" w:type="dxa"/>
            <w:gridSpan w:val="5"/>
          </w:tcPr>
          <w:p w14:paraId="5ABAD33A" w14:textId="77777777" w:rsidR="008F364A" w:rsidRDefault="008F364A">
            <w:pPr>
              <w:rPr>
                <w:lang w:val="en-CA"/>
              </w:rPr>
            </w:pPr>
          </w:p>
        </w:tc>
      </w:tr>
      <w:tr w:rsidR="00874AF2" w14:paraId="084C0E8C" w14:textId="77777777" w:rsidTr="008D18FC">
        <w:tc>
          <w:tcPr>
            <w:tcW w:w="9360" w:type="dxa"/>
            <w:gridSpan w:val="5"/>
          </w:tcPr>
          <w:p w14:paraId="3F2BA454" w14:textId="448E0FDA" w:rsidR="008F364A" w:rsidRDefault="00507CCA">
            <w:pPr>
              <w:pStyle w:val="zSoquijdatNomPartieDef"/>
              <w:rPr>
                <w:lang w:val="en-CA"/>
              </w:rPr>
            </w:pPr>
            <w:r>
              <w:t>OLIVIER CÔTÉ-VACHON</w:t>
            </w:r>
          </w:p>
        </w:tc>
      </w:tr>
      <w:tr w:rsidR="00874AF2" w14:paraId="15086875" w14:textId="77777777" w:rsidTr="008D18FC">
        <w:tc>
          <w:tcPr>
            <w:tcW w:w="9360" w:type="dxa"/>
            <w:gridSpan w:val="5"/>
          </w:tcPr>
          <w:p w14:paraId="68D6D724" w14:textId="4EA63894" w:rsidR="008F364A" w:rsidRDefault="00507CCA">
            <w:pPr>
              <w:pStyle w:val="zSoquijdatQtePartieDef"/>
              <w:rPr>
                <w:lang w:val="en-CA"/>
              </w:rPr>
            </w:pPr>
            <w:r>
              <w:t>INTIMÉ – accusé</w:t>
            </w:r>
          </w:p>
        </w:tc>
      </w:tr>
      <w:tr w:rsidR="00874AF2" w14:paraId="4276E42D" w14:textId="77777777" w:rsidTr="008D18FC">
        <w:tc>
          <w:tcPr>
            <w:tcW w:w="9360" w:type="dxa"/>
            <w:gridSpan w:val="5"/>
          </w:tcPr>
          <w:p w14:paraId="7E9C04F3" w14:textId="77777777" w:rsidR="008F364A" w:rsidRDefault="008F364A">
            <w:pPr>
              <w:rPr>
                <w:lang w:val="en-CA"/>
              </w:rPr>
            </w:pPr>
          </w:p>
        </w:tc>
      </w:tr>
      <w:tr w:rsidR="00874AF2" w14:paraId="69195A02" w14:textId="77777777" w:rsidTr="008D18FC">
        <w:tc>
          <w:tcPr>
            <w:tcW w:w="9360" w:type="dxa"/>
            <w:gridSpan w:val="5"/>
            <w:tcBorders>
              <w:top w:val="single" w:sz="8" w:space="0" w:color="auto"/>
            </w:tcBorders>
          </w:tcPr>
          <w:p w14:paraId="661C5C99" w14:textId="77777777" w:rsidR="008F364A" w:rsidRDefault="008F364A">
            <w:pPr>
              <w:rPr>
                <w:lang w:val="en-CA"/>
              </w:rPr>
            </w:pPr>
            <w:bookmarkStart w:id="7" w:name="Arret"/>
          </w:p>
        </w:tc>
      </w:tr>
      <w:tr w:rsidR="00874AF2" w14:paraId="46CFAE5D" w14:textId="77777777" w:rsidTr="008D18FC">
        <w:tc>
          <w:tcPr>
            <w:tcW w:w="9360" w:type="dxa"/>
            <w:gridSpan w:val="5"/>
          </w:tcPr>
          <w:p w14:paraId="0C9EE54F" w14:textId="5D88C4B1" w:rsidR="008F364A" w:rsidRDefault="00507CCA">
            <w:pPr>
              <w:pStyle w:val="zSoquijlblTypeDocument"/>
            </w:pPr>
            <w:bookmarkStart w:id="8" w:name="TitreDocument"/>
            <w:r>
              <w:t>ARRÊT</w:t>
            </w:r>
            <w:bookmarkEnd w:id="8"/>
          </w:p>
        </w:tc>
      </w:tr>
      <w:tr w:rsidR="00874AF2" w14:paraId="2AA900E7" w14:textId="77777777" w:rsidTr="008D18FC">
        <w:tc>
          <w:tcPr>
            <w:tcW w:w="9360" w:type="dxa"/>
            <w:gridSpan w:val="5"/>
            <w:tcBorders>
              <w:bottom w:val="single" w:sz="8" w:space="0" w:color="auto"/>
            </w:tcBorders>
          </w:tcPr>
          <w:p w14:paraId="2860F523" w14:textId="77777777" w:rsidR="008F364A" w:rsidRDefault="008F364A"/>
        </w:tc>
      </w:tr>
      <w:tr w:rsidR="00874AF2" w14:paraId="4AEB5D56" w14:textId="77777777" w:rsidTr="008D18FC">
        <w:tc>
          <w:tcPr>
            <w:tcW w:w="9360" w:type="dxa"/>
            <w:gridSpan w:val="5"/>
            <w:tcBorders>
              <w:top w:val="single" w:sz="8" w:space="0" w:color="auto"/>
            </w:tcBorders>
          </w:tcPr>
          <w:p w14:paraId="309478CF" w14:textId="77777777" w:rsidR="008F364A" w:rsidRDefault="008F364A"/>
        </w:tc>
      </w:tr>
    </w:tbl>
    <w:p w14:paraId="72F59A32" w14:textId="57C8B2E2" w:rsidR="00FD6FBB" w:rsidRDefault="00507CCA" w:rsidP="00ED7BD0">
      <w:pPr>
        <w:spacing w:before="120" w:after="120"/>
        <w:jc w:val="both"/>
      </w:pPr>
      <w:r w:rsidRPr="00FF712D">
        <w:rPr>
          <w:rFonts w:cs="Arial"/>
          <w:b/>
          <w:bCs/>
          <w:color w:val="000000"/>
          <w:szCs w:val="24"/>
          <w:u w:val="single"/>
        </w:rPr>
        <w:t>MISE EN GARDE</w:t>
      </w:r>
      <w:r w:rsidRPr="00FF712D">
        <w:rPr>
          <w:rFonts w:cs="Arial"/>
          <w:b/>
          <w:bCs/>
          <w:color w:val="000000"/>
          <w:szCs w:val="24"/>
        </w:rPr>
        <w:t xml:space="preserve"> : </w:t>
      </w:r>
      <w:r>
        <w:rPr>
          <w:rFonts w:cs="Arial"/>
          <w:b/>
          <w:bCs/>
          <w:color w:val="000000"/>
          <w:szCs w:val="24"/>
        </w:rPr>
        <w:t>U</w:t>
      </w:r>
      <w:r w:rsidRPr="00FF712D">
        <w:rPr>
          <w:rFonts w:cs="Arial"/>
          <w:b/>
          <w:szCs w:val="24"/>
        </w:rPr>
        <w:t>ne</w:t>
      </w:r>
      <w:r>
        <w:rPr>
          <w:rFonts w:cs="Arial"/>
          <w:b/>
          <w:szCs w:val="24"/>
        </w:rPr>
        <w:t xml:space="preserve"> </w:t>
      </w:r>
      <w:r w:rsidRPr="00FF712D">
        <w:rPr>
          <w:rFonts w:cs="Arial"/>
          <w:b/>
          <w:szCs w:val="24"/>
        </w:rPr>
        <w:t xml:space="preserve">ordonnance </w:t>
      </w:r>
      <w:r>
        <w:rPr>
          <w:rFonts w:cs="Arial"/>
          <w:b/>
          <w:szCs w:val="24"/>
        </w:rPr>
        <w:t xml:space="preserve">limitant la </w:t>
      </w:r>
      <w:r w:rsidRPr="00FF712D">
        <w:rPr>
          <w:rFonts w:cs="Arial"/>
          <w:b/>
          <w:szCs w:val="24"/>
        </w:rPr>
        <w:t>publication</w:t>
      </w:r>
      <w:r>
        <w:rPr>
          <w:rFonts w:cs="Arial"/>
          <w:b/>
          <w:szCs w:val="24"/>
        </w:rPr>
        <w:t xml:space="preserve"> a été prononcée en première instance en vertu de </w:t>
      </w:r>
      <w:r w:rsidRPr="00FF712D">
        <w:rPr>
          <w:rFonts w:cs="Arial"/>
          <w:b/>
          <w:szCs w:val="24"/>
        </w:rPr>
        <w:t>l’article</w:t>
      </w:r>
      <w:r>
        <w:rPr>
          <w:rFonts w:cs="Arial"/>
          <w:b/>
          <w:szCs w:val="24"/>
        </w:rPr>
        <w:t> </w:t>
      </w:r>
      <w:r w:rsidRPr="00FF712D">
        <w:rPr>
          <w:rFonts w:cs="Arial"/>
          <w:b/>
          <w:szCs w:val="24"/>
        </w:rPr>
        <w:t>486.4</w:t>
      </w:r>
      <w:r w:rsidRPr="00FF712D">
        <w:rPr>
          <w:rFonts w:cs="Arial"/>
          <w:b/>
          <w:bCs/>
          <w:color w:val="000000"/>
        </w:rPr>
        <w:t> </w:t>
      </w:r>
      <w:r w:rsidRPr="00FF712D">
        <w:rPr>
          <w:rFonts w:cs="Arial"/>
          <w:b/>
          <w:bCs/>
          <w:i/>
          <w:iCs/>
          <w:color w:val="000000"/>
        </w:rPr>
        <w:t>C.cr.</w:t>
      </w:r>
      <w:r w:rsidRPr="00FF712D">
        <w:rPr>
          <w:rFonts w:cs="Arial"/>
          <w:b/>
          <w:szCs w:val="24"/>
        </w:rPr>
        <w:t xml:space="preserve"> </w:t>
      </w:r>
      <w:r>
        <w:rPr>
          <w:rFonts w:cs="Arial"/>
          <w:b/>
          <w:szCs w:val="24"/>
        </w:rPr>
        <w:t>afin d’interdire</w:t>
      </w:r>
      <w:r w:rsidRPr="00FF712D">
        <w:rPr>
          <w:rFonts w:cs="Arial"/>
          <w:b/>
          <w:szCs w:val="24"/>
        </w:rPr>
        <w:t xml:space="preserve"> </w:t>
      </w:r>
      <w:r>
        <w:rPr>
          <w:rFonts w:cs="Arial"/>
          <w:b/>
          <w:szCs w:val="24"/>
        </w:rPr>
        <w:t>la publication</w:t>
      </w:r>
      <w:r w:rsidRPr="00FF712D">
        <w:rPr>
          <w:rFonts w:cs="Arial"/>
          <w:b/>
          <w:szCs w:val="24"/>
        </w:rPr>
        <w:t xml:space="preserve"> ou </w:t>
      </w:r>
      <w:r>
        <w:rPr>
          <w:rFonts w:cs="Arial"/>
          <w:b/>
          <w:szCs w:val="24"/>
        </w:rPr>
        <w:t>la</w:t>
      </w:r>
      <w:r w:rsidRPr="00FF712D">
        <w:rPr>
          <w:rFonts w:cs="Arial"/>
          <w:b/>
          <w:szCs w:val="24"/>
        </w:rPr>
        <w:t xml:space="preserve"> diffus</w:t>
      </w:r>
      <w:r>
        <w:rPr>
          <w:rFonts w:cs="Arial"/>
          <w:b/>
          <w:szCs w:val="24"/>
        </w:rPr>
        <w:t>ion</w:t>
      </w:r>
      <w:r w:rsidRPr="00FF712D">
        <w:rPr>
          <w:rFonts w:cs="Arial"/>
          <w:b/>
          <w:szCs w:val="24"/>
        </w:rPr>
        <w:t xml:space="preserve"> de quelque façon que ce soit </w:t>
      </w:r>
      <w:r>
        <w:rPr>
          <w:rFonts w:cs="Arial"/>
          <w:b/>
          <w:szCs w:val="24"/>
        </w:rPr>
        <w:t xml:space="preserve">de </w:t>
      </w:r>
      <w:r w:rsidRPr="00FF712D">
        <w:rPr>
          <w:rFonts w:cs="Arial"/>
          <w:b/>
          <w:szCs w:val="24"/>
        </w:rPr>
        <w:t>tout renseignement qui permettrait d’établir l’identité de la victime</w:t>
      </w:r>
      <w:r>
        <w:rPr>
          <w:rFonts w:cs="Arial"/>
          <w:b/>
          <w:szCs w:val="24"/>
        </w:rPr>
        <w:t xml:space="preserve"> ou d’un témoin</w:t>
      </w:r>
      <w:r w:rsidRPr="00FF712D">
        <w:rPr>
          <w:rFonts w:cs="Arial"/>
          <w:b/>
          <w:szCs w:val="24"/>
        </w:rPr>
        <w:t>.</w:t>
      </w:r>
    </w:p>
    <w:p w14:paraId="426898AA" w14:textId="67834B6D" w:rsidR="008F364A" w:rsidRDefault="00507CCA" w:rsidP="00ED7BD0">
      <w:pPr>
        <w:pStyle w:val="Paragraphe"/>
        <w:keepNext/>
      </w:pPr>
      <w:r>
        <w:t xml:space="preserve">Le poursuivant demande l’autorisation d’appeler </w:t>
      </w:r>
      <w:r w:rsidR="00C30175">
        <w:t xml:space="preserve">de la sentence rendue </w:t>
      </w:r>
      <w:r>
        <w:t>le 17</w:t>
      </w:r>
      <w:r w:rsidR="00C30175">
        <w:t> </w:t>
      </w:r>
      <w:r>
        <w:t>février</w:t>
      </w:r>
      <w:r w:rsidR="00C30175">
        <w:t> </w:t>
      </w:r>
      <w:r>
        <w:t>2026 par la Cour du Québec, district de Chicoutimi (l’honorable Paul</w:t>
      </w:r>
      <w:r w:rsidR="00533140">
        <w:t> </w:t>
      </w:r>
      <w:r>
        <w:t>Guimond)</w:t>
      </w:r>
      <w:r>
        <w:rPr>
          <w:rStyle w:val="Appelnotedebasdep"/>
        </w:rPr>
        <w:footnoteReference w:id="1"/>
      </w:r>
      <w:r>
        <w:t>. Ce jugement condamne l’intimé à un</w:t>
      </w:r>
      <w:r w:rsidR="000515C6">
        <w:t xml:space="preserve"> </w:t>
      </w:r>
      <w:r>
        <w:t>emprisonnement de deux</w:t>
      </w:r>
      <w:r w:rsidR="00C30175">
        <w:t> </w:t>
      </w:r>
      <w:r>
        <w:t xml:space="preserve">ans moins un jour à purger dans la collectivité, </w:t>
      </w:r>
      <w:r w:rsidR="000515C6">
        <w:t xml:space="preserve">après que celui-ci a plaidé coupable à des accusations d’agression sexuelle </w:t>
      </w:r>
      <w:r w:rsidR="00C522A8">
        <w:t>envers</w:t>
      </w:r>
      <w:r w:rsidR="000515C6">
        <w:t xml:space="preserve"> deux</w:t>
      </w:r>
      <w:r w:rsidR="00C30175">
        <w:t> </w:t>
      </w:r>
      <w:r w:rsidR="000515C6">
        <w:t>victimes.</w:t>
      </w:r>
      <w:r w:rsidR="000E35E9">
        <w:t xml:space="preserve"> </w:t>
      </w:r>
      <w:r w:rsidR="00730F6E">
        <w:t>U</w:t>
      </w:r>
      <w:r w:rsidR="00914F12">
        <w:t xml:space="preserve">ne ordonnance de </w:t>
      </w:r>
      <w:r w:rsidR="000E35E9">
        <w:t xml:space="preserve">probation de </w:t>
      </w:r>
      <w:r w:rsidR="000E35E9">
        <w:lastRenderedPageBreak/>
        <w:t>trois</w:t>
      </w:r>
      <w:r w:rsidR="00C30175">
        <w:t> </w:t>
      </w:r>
      <w:r w:rsidR="000E35E9">
        <w:t xml:space="preserve">ans </w:t>
      </w:r>
      <w:r w:rsidR="00914F12">
        <w:t xml:space="preserve">comprenant </w:t>
      </w:r>
      <w:r w:rsidR="000E35E9">
        <w:t>l’obligation d’effectuer 240</w:t>
      </w:r>
      <w:r w:rsidR="00C30175">
        <w:t> </w:t>
      </w:r>
      <w:r w:rsidR="000E35E9">
        <w:t>heures de travaux communautaires</w:t>
      </w:r>
      <w:r w:rsidR="00730F6E">
        <w:t xml:space="preserve"> s’ajoute à cette peine</w:t>
      </w:r>
      <w:r w:rsidR="000E35E9">
        <w:t>.</w:t>
      </w:r>
    </w:p>
    <w:p w14:paraId="2E259016" w14:textId="06345C2C" w:rsidR="009B0EAE" w:rsidRDefault="00507CCA" w:rsidP="009B0EAE">
      <w:pPr>
        <w:pStyle w:val="Paragraphe"/>
        <w:numPr>
          <w:ilvl w:val="0"/>
          <w:numId w:val="0"/>
        </w:numPr>
        <w:jc w:val="center"/>
      </w:pPr>
      <w:r>
        <w:t>*</w:t>
      </w:r>
    </w:p>
    <w:p w14:paraId="1C17836D" w14:textId="2E1F825E" w:rsidR="00721640" w:rsidRPr="00D90E36" w:rsidRDefault="00507CCA" w:rsidP="00925BE9">
      <w:pPr>
        <w:pStyle w:val="Paragraphe"/>
      </w:pPr>
      <w:r>
        <w:t>L</w:t>
      </w:r>
      <w:r w:rsidR="00787324">
        <w:t>’intimé</w:t>
      </w:r>
      <w:r w:rsidR="0023743E">
        <w:t xml:space="preserve"> avait</w:t>
      </w:r>
      <w:r w:rsidR="003C20A8">
        <w:t xml:space="preserve"> </w:t>
      </w:r>
      <w:r w:rsidR="00787324">
        <w:t>3</w:t>
      </w:r>
      <w:r w:rsidR="002338B0">
        <w:t>4</w:t>
      </w:r>
      <w:r w:rsidR="00C30175">
        <w:t> </w:t>
      </w:r>
      <w:r w:rsidR="00787324">
        <w:t>ans</w:t>
      </w:r>
      <w:r>
        <w:t xml:space="preserve"> </w:t>
      </w:r>
      <w:r w:rsidR="0023743E">
        <w:t>au moment</w:t>
      </w:r>
      <w:r w:rsidR="00526976">
        <w:t xml:space="preserve"> de</w:t>
      </w:r>
      <w:r w:rsidR="0023743E">
        <w:t xml:space="preserve"> la commission des infractions</w:t>
      </w:r>
      <w:r w:rsidR="003C20A8">
        <w:t>. L</w:t>
      </w:r>
      <w:r w:rsidR="0004357E">
        <w:t>es victimes, K.S.</w:t>
      </w:r>
      <w:r w:rsidR="00C522A8">
        <w:t>-</w:t>
      </w:r>
      <w:r w:rsidR="0004357E">
        <w:t>M. et A.L.,</w:t>
      </w:r>
      <w:r>
        <w:t xml:space="preserve"> </w:t>
      </w:r>
      <w:r w:rsidR="003C20A8">
        <w:t xml:space="preserve">avaient respectivement </w:t>
      </w:r>
      <w:r>
        <w:t>27</w:t>
      </w:r>
      <w:r w:rsidR="00D2013C">
        <w:t> </w:t>
      </w:r>
      <w:r>
        <w:t>et</w:t>
      </w:r>
      <w:r w:rsidR="00D2013C">
        <w:t> </w:t>
      </w:r>
      <w:r>
        <w:t>24</w:t>
      </w:r>
      <w:r w:rsidR="00C30175">
        <w:t> </w:t>
      </w:r>
      <w:r>
        <w:t xml:space="preserve">ans. </w:t>
      </w:r>
      <w:r w:rsidR="00C44CAE" w:rsidRPr="00D90E36">
        <w:t>Il convient de reproduire au long l</w:t>
      </w:r>
      <w:r w:rsidR="00FD5EFF">
        <w:t>es faits</w:t>
      </w:r>
      <w:r w:rsidR="00D90E36" w:rsidRPr="00D90E36">
        <w:t xml:space="preserve"> </w:t>
      </w:r>
      <w:r w:rsidR="00730F6E">
        <w:t xml:space="preserve">admis </w:t>
      </w:r>
      <w:r w:rsidR="00D90E36" w:rsidRPr="00D90E36">
        <w:t>sur l</w:t>
      </w:r>
      <w:r w:rsidR="00FD5EFF">
        <w:t>es</w:t>
      </w:r>
      <w:r w:rsidR="00D90E36" w:rsidRPr="00D90E36">
        <w:t>quel</w:t>
      </w:r>
      <w:r w:rsidR="00FD5EFF">
        <w:t>s</w:t>
      </w:r>
      <w:r w:rsidR="00D90E36" w:rsidRPr="00D90E36">
        <w:t xml:space="preserve"> </w:t>
      </w:r>
      <w:r w:rsidR="00526976">
        <w:t xml:space="preserve">repose le </w:t>
      </w:r>
      <w:r w:rsidR="00D90E36" w:rsidRPr="00D90E36">
        <w:t>plaidoyer de culpabilité de l’intimé :</w:t>
      </w:r>
    </w:p>
    <w:p w14:paraId="4D19B3DB" w14:textId="678753C6" w:rsidR="00721640" w:rsidRPr="00D90E36" w:rsidRDefault="00507CCA" w:rsidP="009061FD">
      <w:pPr>
        <w:pStyle w:val="Citationenretrait"/>
        <w:rPr>
          <w:lang w:eastAsia="fr-CA"/>
        </w:rPr>
      </w:pPr>
      <w:r w:rsidRPr="00D90E36">
        <w:rPr>
          <w:lang w:eastAsia="fr-CA"/>
        </w:rPr>
        <w:t xml:space="preserve">Mme </w:t>
      </w:r>
      <w:r w:rsidR="00184BCD" w:rsidRPr="00D90E36">
        <w:rPr>
          <w:lang w:eastAsia="fr-CA"/>
        </w:rPr>
        <w:t>K</w:t>
      </w:r>
      <w:r w:rsidR="00184BCD">
        <w:rPr>
          <w:lang w:eastAsia="fr-CA"/>
        </w:rPr>
        <w:t>…</w:t>
      </w:r>
      <w:r w:rsidR="00184BCD" w:rsidRPr="00D90E36">
        <w:rPr>
          <w:lang w:eastAsia="fr-CA"/>
        </w:rPr>
        <w:t xml:space="preserve"> M</w:t>
      </w:r>
      <w:r w:rsidR="00184BCD">
        <w:rPr>
          <w:lang w:eastAsia="fr-CA"/>
        </w:rPr>
        <w:t>…</w:t>
      </w:r>
      <w:r w:rsidR="00184BCD" w:rsidRPr="00D90E36">
        <w:rPr>
          <w:lang w:eastAsia="fr-CA"/>
        </w:rPr>
        <w:t xml:space="preserve"> </w:t>
      </w:r>
      <w:r w:rsidRPr="00D90E36">
        <w:rPr>
          <w:lang w:eastAsia="fr-CA"/>
        </w:rPr>
        <w:t>et l’accusé se connaissent depuis quelques temps. Ils se sont déjà vus 1 fois avant les faits.</w:t>
      </w:r>
    </w:p>
    <w:p w14:paraId="4FEB75ED" w14:textId="34C66727" w:rsidR="00721640" w:rsidRPr="00D90E36" w:rsidRDefault="00507CCA" w:rsidP="009061FD">
      <w:pPr>
        <w:pStyle w:val="Citationenretrait"/>
        <w:rPr>
          <w:rFonts w:cs="Arial"/>
          <w:szCs w:val="22"/>
          <w:lang w:eastAsia="fr-CA"/>
        </w:rPr>
      </w:pPr>
      <w:r w:rsidRPr="00D90E36">
        <w:rPr>
          <w:rFonts w:cs="Arial"/>
          <w:szCs w:val="22"/>
          <w:lang w:eastAsia="fr-CA"/>
        </w:rPr>
        <w:t xml:space="preserve">Il était prévu que Mme </w:t>
      </w:r>
      <w:r w:rsidR="00184BCD" w:rsidRPr="00D90E36">
        <w:rPr>
          <w:rFonts w:cs="Arial"/>
          <w:szCs w:val="22"/>
          <w:lang w:eastAsia="fr-CA"/>
        </w:rPr>
        <w:t>M</w:t>
      </w:r>
      <w:r w:rsidR="00184BCD">
        <w:rPr>
          <w:rFonts w:cs="Arial"/>
          <w:szCs w:val="22"/>
          <w:lang w:eastAsia="fr-CA"/>
        </w:rPr>
        <w:t>…</w:t>
      </w:r>
      <w:r w:rsidR="00184BCD" w:rsidRPr="00D90E36">
        <w:rPr>
          <w:rFonts w:cs="Arial"/>
          <w:szCs w:val="22"/>
          <w:lang w:eastAsia="fr-CA"/>
        </w:rPr>
        <w:t xml:space="preserve"> </w:t>
      </w:r>
      <w:r w:rsidRPr="00D90E36">
        <w:rPr>
          <w:rFonts w:cs="Arial"/>
          <w:szCs w:val="22"/>
          <w:lang w:eastAsia="fr-CA"/>
        </w:rPr>
        <w:t>et l’accusé se voit au bar le Shaker dans la soirée du 22</w:t>
      </w:r>
      <w:r w:rsidR="009061FD" w:rsidRPr="00D90E36">
        <w:rPr>
          <w:rFonts w:cs="Arial"/>
          <w:szCs w:val="22"/>
          <w:lang w:eastAsia="fr-CA"/>
        </w:rPr>
        <w:t> </w:t>
      </w:r>
      <w:r w:rsidRPr="00D90E36">
        <w:rPr>
          <w:rFonts w:cs="Arial"/>
          <w:szCs w:val="22"/>
          <w:lang w:eastAsia="fr-CA"/>
        </w:rPr>
        <w:t>avril</w:t>
      </w:r>
      <w:r w:rsidR="009061FD" w:rsidRPr="00D90E36">
        <w:rPr>
          <w:rFonts w:cs="Arial"/>
          <w:szCs w:val="22"/>
          <w:lang w:eastAsia="fr-CA"/>
        </w:rPr>
        <w:t> </w:t>
      </w:r>
      <w:r w:rsidRPr="00D90E36">
        <w:rPr>
          <w:rFonts w:cs="Arial"/>
          <w:szCs w:val="22"/>
          <w:lang w:eastAsia="fr-CA"/>
        </w:rPr>
        <w:t>2023. La victime y est en compagnie d’amies dont Mme</w:t>
      </w:r>
      <w:r w:rsidR="009061FD" w:rsidRPr="00D90E36">
        <w:rPr>
          <w:rFonts w:cs="Arial"/>
          <w:szCs w:val="22"/>
          <w:lang w:eastAsia="fr-CA"/>
        </w:rPr>
        <w:t> </w:t>
      </w:r>
      <w:r w:rsidR="00184BCD" w:rsidRPr="00D90E36">
        <w:rPr>
          <w:rFonts w:cs="Arial"/>
          <w:szCs w:val="22"/>
          <w:lang w:eastAsia="fr-CA"/>
        </w:rPr>
        <w:t>A</w:t>
      </w:r>
      <w:r w:rsidR="00184BCD">
        <w:rPr>
          <w:rFonts w:cs="Arial"/>
          <w:szCs w:val="22"/>
          <w:lang w:eastAsia="fr-CA"/>
        </w:rPr>
        <w:t>…</w:t>
      </w:r>
      <w:r w:rsidR="00184BCD" w:rsidRPr="00D90E36">
        <w:rPr>
          <w:rFonts w:cs="Arial"/>
          <w:szCs w:val="22"/>
          <w:lang w:eastAsia="fr-CA"/>
        </w:rPr>
        <w:t xml:space="preserve"> L</w:t>
      </w:r>
      <w:r w:rsidR="00184BCD">
        <w:rPr>
          <w:rFonts w:cs="Arial"/>
          <w:szCs w:val="22"/>
          <w:lang w:eastAsia="fr-CA"/>
        </w:rPr>
        <w:t>…</w:t>
      </w:r>
      <w:r w:rsidRPr="00D90E36">
        <w:rPr>
          <w:rFonts w:cs="Arial"/>
          <w:szCs w:val="22"/>
          <w:lang w:eastAsia="fr-CA"/>
        </w:rPr>
        <w:t>, autre victime au dossier.</w:t>
      </w:r>
    </w:p>
    <w:p w14:paraId="0B689C80" w14:textId="5B11AA9E" w:rsidR="00721640" w:rsidRPr="00D90E36" w:rsidRDefault="00507CCA" w:rsidP="009061FD">
      <w:pPr>
        <w:pStyle w:val="Citationenretrait"/>
        <w:rPr>
          <w:rFonts w:cs="Arial"/>
          <w:szCs w:val="22"/>
          <w:lang w:eastAsia="fr-CA"/>
        </w:rPr>
      </w:pPr>
      <w:r w:rsidRPr="00D90E36">
        <w:rPr>
          <w:rFonts w:cs="Arial"/>
          <w:szCs w:val="22"/>
          <w:lang w:eastAsia="fr-CA"/>
        </w:rPr>
        <w:t>L’accusé ne passera pas la soirée avec les plaignantes. Il sera avec ses amis et sa cousine.</w:t>
      </w:r>
    </w:p>
    <w:p w14:paraId="43F49315" w14:textId="3717EB2C" w:rsidR="00721640" w:rsidRPr="00D90E36" w:rsidRDefault="00507CCA" w:rsidP="009061FD">
      <w:pPr>
        <w:pStyle w:val="Citationenretrait"/>
        <w:rPr>
          <w:rFonts w:cs="Arial"/>
          <w:szCs w:val="22"/>
          <w:lang w:eastAsia="fr-CA"/>
        </w:rPr>
      </w:pPr>
      <w:r w:rsidRPr="00D90E36">
        <w:rPr>
          <w:rFonts w:cs="Arial"/>
          <w:szCs w:val="22"/>
          <w:lang w:eastAsia="fr-CA"/>
        </w:rPr>
        <w:t>En fin de soirée, il demande aux victimes si elles veulent aller au bar le</w:t>
      </w:r>
      <w:r w:rsidR="009061FD" w:rsidRPr="00D90E36">
        <w:rPr>
          <w:rFonts w:cs="Arial"/>
          <w:szCs w:val="22"/>
          <w:lang w:eastAsia="fr-CA"/>
        </w:rPr>
        <w:t> </w:t>
      </w:r>
      <w:r w:rsidRPr="00D90E36">
        <w:rPr>
          <w:rFonts w:cs="Arial"/>
          <w:szCs w:val="22"/>
          <w:lang w:eastAsia="fr-CA"/>
        </w:rPr>
        <w:t>JR. Mmes</w:t>
      </w:r>
      <w:r w:rsidR="009061FD" w:rsidRPr="00D90E36">
        <w:rPr>
          <w:rFonts w:cs="Arial"/>
          <w:szCs w:val="22"/>
          <w:lang w:eastAsia="fr-CA"/>
        </w:rPr>
        <w:t> </w:t>
      </w:r>
      <w:r w:rsidRPr="00D90E36">
        <w:rPr>
          <w:rFonts w:cs="Arial"/>
          <w:szCs w:val="22"/>
          <w:lang w:eastAsia="fr-CA"/>
        </w:rPr>
        <w:t>KM et AL acceptent sous condition qu’elles puissent être ramenées où il était déjà prévu qu’elles couchent. L’accusé est d’accord.</w:t>
      </w:r>
    </w:p>
    <w:p w14:paraId="6606B5E8" w14:textId="0B194AAF" w:rsidR="00721640" w:rsidRPr="00D90E36" w:rsidRDefault="00507CCA" w:rsidP="009061FD">
      <w:pPr>
        <w:pStyle w:val="Citationenretrait"/>
        <w:rPr>
          <w:rFonts w:cs="Arial"/>
          <w:szCs w:val="22"/>
          <w:lang w:eastAsia="fr-CA"/>
        </w:rPr>
      </w:pPr>
      <w:r w:rsidRPr="00D90E36">
        <w:rPr>
          <w:rFonts w:cs="Arial"/>
          <w:szCs w:val="22"/>
          <w:lang w:eastAsia="fr-CA"/>
        </w:rPr>
        <w:t>Ils s’y rendent avec le véhicule de l’accusé. Ce dernier présente quelques symptômes de facultés affaiblies.</w:t>
      </w:r>
    </w:p>
    <w:p w14:paraId="2D1FF0A8" w14:textId="52FD66C3" w:rsidR="00721640" w:rsidRPr="00D90E36" w:rsidRDefault="00507CCA" w:rsidP="009061FD">
      <w:pPr>
        <w:pStyle w:val="Citationenretrait"/>
        <w:rPr>
          <w:rFonts w:cs="Arial"/>
          <w:szCs w:val="22"/>
          <w:lang w:eastAsia="fr-CA"/>
        </w:rPr>
      </w:pPr>
      <w:r w:rsidRPr="00D90E36">
        <w:rPr>
          <w:rFonts w:cs="Arial"/>
          <w:szCs w:val="22"/>
          <w:lang w:eastAsia="fr-CA"/>
        </w:rPr>
        <w:t>Au</w:t>
      </w:r>
      <w:r w:rsidR="009061FD" w:rsidRPr="00D90E36">
        <w:rPr>
          <w:rFonts w:cs="Arial"/>
          <w:szCs w:val="22"/>
          <w:lang w:eastAsia="fr-CA"/>
        </w:rPr>
        <w:t> </w:t>
      </w:r>
      <w:r w:rsidRPr="00D90E36">
        <w:rPr>
          <w:rFonts w:cs="Arial"/>
          <w:szCs w:val="22"/>
          <w:lang w:eastAsia="fr-CA"/>
        </w:rPr>
        <w:t>JR, l’accusé consomme de l’alcool. Les victimes ne consomment pas. Au</w:t>
      </w:r>
      <w:r w:rsidR="009061FD" w:rsidRPr="00D90E36">
        <w:rPr>
          <w:rFonts w:cs="Arial"/>
          <w:szCs w:val="22"/>
          <w:lang w:eastAsia="fr-CA"/>
        </w:rPr>
        <w:t> </w:t>
      </w:r>
      <w:r w:rsidRPr="00D90E36">
        <w:rPr>
          <w:rFonts w:cs="Arial"/>
          <w:szCs w:val="22"/>
          <w:lang w:eastAsia="fr-CA"/>
        </w:rPr>
        <w:t>départ du bar, l’accusé mentionne ne pas pouvoir conduire vu ses facultés affaiblies. Il est alors convenu que le trio quitte à bord d’un taxi pour se rendre chez l’accusé pour y dormir. Il était prévu que les victimes soient couchées ensemble dans une chambre et l’accusé soit couché ailleurs.</w:t>
      </w:r>
    </w:p>
    <w:p w14:paraId="2B06EA26" w14:textId="5E5C1FEE" w:rsidR="00721640" w:rsidRPr="00D90E36" w:rsidRDefault="00507CCA" w:rsidP="009061FD">
      <w:pPr>
        <w:pStyle w:val="Citationenretrait"/>
        <w:rPr>
          <w:rFonts w:cs="Arial"/>
          <w:szCs w:val="22"/>
          <w:lang w:eastAsia="fr-CA"/>
        </w:rPr>
      </w:pPr>
      <w:r w:rsidRPr="00D90E36">
        <w:rPr>
          <w:rFonts w:cs="Arial"/>
          <w:szCs w:val="22"/>
          <w:lang w:eastAsia="fr-CA"/>
        </w:rPr>
        <w:t>À la résidence de l’accusé, ce dernier va consommer encore de l’alcool. Les plaignantes ne consomment pas.</w:t>
      </w:r>
    </w:p>
    <w:p w14:paraId="43517717" w14:textId="3D088AC4" w:rsidR="00721640" w:rsidRPr="00D90E36" w:rsidRDefault="00507CCA" w:rsidP="009061FD">
      <w:pPr>
        <w:pStyle w:val="Citationenretrait"/>
        <w:rPr>
          <w:rFonts w:cs="Arial"/>
          <w:szCs w:val="22"/>
          <w:lang w:eastAsia="fr-CA"/>
        </w:rPr>
      </w:pPr>
      <w:r w:rsidRPr="00D90E36">
        <w:rPr>
          <w:rFonts w:cs="Arial"/>
          <w:szCs w:val="22"/>
          <w:lang w:eastAsia="fr-CA"/>
        </w:rPr>
        <w:t xml:space="preserve">Dans sa déclaration audio-filmée Mme </w:t>
      </w:r>
      <w:r w:rsidR="00184BCD" w:rsidRPr="00D90E36">
        <w:rPr>
          <w:rFonts w:cs="Arial"/>
          <w:szCs w:val="22"/>
          <w:lang w:eastAsia="fr-CA"/>
        </w:rPr>
        <w:t>M</w:t>
      </w:r>
      <w:r w:rsidR="00184BCD">
        <w:rPr>
          <w:rFonts w:cs="Arial"/>
          <w:szCs w:val="22"/>
          <w:lang w:eastAsia="fr-CA"/>
        </w:rPr>
        <w:t>…</w:t>
      </w:r>
      <w:r w:rsidR="00184BCD" w:rsidRPr="00D90E36">
        <w:rPr>
          <w:rFonts w:cs="Arial"/>
          <w:szCs w:val="22"/>
          <w:lang w:eastAsia="fr-CA"/>
        </w:rPr>
        <w:t xml:space="preserve"> </w:t>
      </w:r>
      <w:r w:rsidRPr="00D90E36">
        <w:rPr>
          <w:rFonts w:cs="Arial"/>
          <w:szCs w:val="22"/>
          <w:lang w:eastAsia="fr-CA"/>
        </w:rPr>
        <w:t xml:space="preserve">déclare qu’aux petites heures du matin, </w:t>
      </w:r>
      <w:r w:rsidR="00184BCD" w:rsidRPr="00D90E36">
        <w:rPr>
          <w:rFonts w:cs="Arial"/>
          <w:szCs w:val="22"/>
          <w:lang w:eastAsia="fr-CA"/>
        </w:rPr>
        <w:t>A</w:t>
      </w:r>
      <w:r w:rsidR="00184BCD">
        <w:rPr>
          <w:rFonts w:cs="Arial"/>
          <w:szCs w:val="22"/>
          <w:lang w:eastAsia="fr-CA"/>
        </w:rPr>
        <w:t>…</w:t>
      </w:r>
      <w:r w:rsidR="00184BCD" w:rsidRPr="00D90E36">
        <w:rPr>
          <w:rFonts w:cs="Arial"/>
          <w:szCs w:val="22"/>
          <w:lang w:eastAsia="fr-CA"/>
        </w:rPr>
        <w:t xml:space="preserve"> </w:t>
      </w:r>
      <w:r w:rsidRPr="00D90E36">
        <w:rPr>
          <w:rFonts w:cs="Arial"/>
          <w:szCs w:val="22"/>
          <w:lang w:eastAsia="fr-CA"/>
        </w:rPr>
        <w:t xml:space="preserve">et elle vont se coucher dans le lit de l’accusé. Lui, il n’y est pas et est supposé dormir dans la chambre des invités. </w:t>
      </w:r>
      <w:r w:rsidR="00184BCD" w:rsidRPr="00D90E36">
        <w:rPr>
          <w:rFonts w:cs="Arial"/>
          <w:szCs w:val="22"/>
          <w:lang w:eastAsia="fr-CA"/>
        </w:rPr>
        <w:t>A</w:t>
      </w:r>
      <w:r w:rsidR="00184BCD">
        <w:rPr>
          <w:rFonts w:cs="Arial"/>
          <w:szCs w:val="22"/>
          <w:lang w:eastAsia="fr-CA"/>
        </w:rPr>
        <w:t>…</w:t>
      </w:r>
      <w:r w:rsidR="00184BCD" w:rsidRPr="00D90E36">
        <w:rPr>
          <w:rFonts w:cs="Arial"/>
          <w:szCs w:val="22"/>
          <w:lang w:eastAsia="fr-CA"/>
        </w:rPr>
        <w:t xml:space="preserve"> </w:t>
      </w:r>
      <w:r w:rsidRPr="00D90E36">
        <w:rPr>
          <w:rFonts w:cs="Arial"/>
          <w:szCs w:val="22"/>
          <w:lang w:eastAsia="fr-CA"/>
        </w:rPr>
        <w:t>est très intoxiquée (la preuve révèle que son taux d’alcoolémie était autour de 248</w:t>
      </w:r>
      <w:r w:rsidR="009061FD" w:rsidRPr="00D90E36">
        <w:rPr>
          <w:rFonts w:cs="Arial"/>
          <w:szCs w:val="22"/>
          <w:lang w:eastAsia="fr-CA"/>
        </w:rPr>
        <w:t> </w:t>
      </w:r>
      <w:r w:rsidRPr="00D90E36">
        <w:rPr>
          <w:rFonts w:cs="Arial"/>
          <w:szCs w:val="22"/>
          <w:lang w:eastAsia="fr-CA"/>
        </w:rPr>
        <w:t>mg/100</w:t>
      </w:r>
      <w:r w:rsidR="009061FD" w:rsidRPr="00D90E36">
        <w:rPr>
          <w:rFonts w:cs="Arial"/>
          <w:szCs w:val="22"/>
          <w:lang w:eastAsia="fr-CA"/>
        </w:rPr>
        <w:t> </w:t>
      </w:r>
      <w:r w:rsidRPr="00D90E36">
        <w:rPr>
          <w:rFonts w:cs="Arial"/>
          <w:szCs w:val="22"/>
          <w:lang w:eastAsia="fr-CA"/>
        </w:rPr>
        <w:t xml:space="preserve">ml). Elle ronfle. Après une vingtaine de minutes, l’accusé se couche au côté d’elle. On comprend que c’est entre elle et </w:t>
      </w:r>
      <w:r w:rsidR="00184BCD" w:rsidRPr="00D90E36">
        <w:rPr>
          <w:rFonts w:cs="Arial"/>
          <w:szCs w:val="22"/>
          <w:lang w:eastAsia="fr-CA"/>
        </w:rPr>
        <w:t>A</w:t>
      </w:r>
      <w:r w:rsidR="00184BCD">
        <w:rPr>
          <w:rFonts w:cs="Arial"/>
          <w:szCs w:val="22"/>
          <w:lang w:eastAsia="fr-CA"/>
        </w:rPr>
        <w:t>…</w:t>
      </w:r>
      <w:r w:rsidRPr="00D90E36">
        <w:rPr>
          <w:rFonts w:cs="Arial"/>
          <w:szCs w:val="22"/>
          <w:lang w:eastAsia="fr-CA"/>
        </w:rPr>
        <w:t xml:space="preserve">. Elle se réveille mais n’ouvre pas les yeux. Il lui tasse son chandail mais KM le tient serré entre ses bras. Il essaie d’aller mettre ses mains dans ses pantalons. Il se rend au pubis. Elle a les jambes croisées. Elle fige. Elle </w:t>
      </w:r>
      <w:r w:rsidRPr="00D90E36">
        <w:rPr>
          <w:rFonts w:cs="Arial"/>
          <w:szCs w:val="22"/>
          <w:lang w:eastAsia="fr-CA"/>
        </w:rPr>
        <w:lastRenderedPageBreak/>
        <w:t xml:space="preserve">a peur. Comme il ne peut la toucher plus, il la recache subtilement, comme s’il ne voulait pas qu’elle se réveille. Il se rend du côté </w:t>
      </w:r>
      <w:r w:rsidR="00184BCD">
        <w:rPr>
          <w:rFonts w:cs="Arial"/>
          <w:szCs w:val="22"/>
          <w:lang w:eastAsia="fr-CA"/>
        </w:rPr>
        <w:t>de A…</w:t>
      </w:r>
      <w:r w:rsidRPr="00D90E36">
        <w:rPr>
          <w:rFonts w:cs="Arial"/>
          <w:szCs w:val="22"/>
          <w:lang w:eastAsia="fr-CA"/>
        </w:rPr>
        <w:t>.</w:t>
      </w:r>
    </w:p>
    <w:p w14:paraId="24C01356" w14:textId="6CB3CF33" w:rsidR="00721640" w:rsidRPr="00D90E36" w:rsidRDefault="00507CCA" w:rsidP="009061FD">
      <w:pPr>
        <w:pStyle w:val="Citationenretrait"/>
        <w:rPr>
          <w:rFonts w:cs="Arial"/>
          <w:szCs w:val="22"/>
          <w:lang w:eastAsia="fr-CA"/>
        </w:rPr>
      </w:pPr>
      <w:r w:rsidRPr="00D90E36">
        <w:rPr>
          <w:rFonts w:cs="Arial"/>
          <w:szCs w:val="22"/>
          <w:lang w:eastAsia="fr-CA"/>
        </w:rPr>
        <w:t xml:space="preserve">Il fait le tour du lit. Elle sent qu’il touche AL. Elle entend le bruit des draps. </w:t>
      </w:r>
      <w:r w:rsidR="00184BCD" w:rsidRPr="00D90E36">
        <w:rPr>
          <w:rFonts w:cs="Arial"/>
          <w:szCs w:val="22"/>
          <w:lang w:eastAsia="fr-CA"/>
        </w:rPr>
        <w:t>A</w:t>
      </w:r>
      <w:r w:rsidR="00184BCD">
        <w:rPr>
          <w:rFonts w:cs="Arial"/>
          <w:szCs w:val="22"/>
          <w:lang w:eastAsia="fr-CA"/>
        </w:rPr>
        <w:t>…</w:t>
      </w:r>
      <w:r w:rsidR="00184BCD" w:rsidRPr="00D90E36">
        <w:rPr>
          <w:rFonts w:cs="Arial"/>
          <w:szCs w:val="22"/>
          <w:lang w:eastAsia="fr-CA"/>
        </w:rPr>
        <w:t xml:space="preserve"> </w:t>
      </w:r>
      <w:r w:rsidRPr="00D90E36">
        <w:rPr>
          <w:rFonts w:cs="Arial"/>
          <w:szCs w:val="22"/>
          <w:lang w:eastAsia="fr-CA"/>
        </w:rPr>
        <w:t xml:space="preserve">dort. Elle sent que l’accusé touche le haut du corps d’AL. Elle sent aussi qu’il lui passe le doigt dans le vagin. </w:t>
      </w:r>
      <w:r w:rsidR="00184BCD" w:rsidRPr="00D90E36">
        <w:rPr>
          <w:rFonts w:cs="Arial"/>
          <w:szCs w:val="22"/>
          <w:lang w:eastAsia="fr-CA"/>
        </w:rPr>
        <w:t>A</w:t>
      </w:r>
      <w:r w:rsidR="00184BCD">
        <w:rPr>
          <w:rFonts w:cs="Arial"/>
          <w:szCs w:val="22"/>
          <w:lang w:eastAsia="fr-CA"/>
        </w:rPr>
        <w:t>…</w:t>
      </w:r>
      <w:r w:rsidR="00184BCD" w:rsidRPr="00D90E36">
        <w:rPr>
          <w:rFonts w:cs="Arial"/>
          <w:szCs w:val="22"/>
          <w:lang w:eastAsia="fr-CA"/>
        </w:rPr>
        <w:t xml:space="preserve"> </w:t>
      </w:r>
      <w:r w:rsidRPr="00D90E36">
        <w:rPr>
          <w:rFonts w:cs="Arial"/>
          <w:szCs w:val="22"/>
          <w:lang w:eastAsia="fr-CA"/>
        </w:rPr>
        <w:t>n’a plus ses bobettes (elle les avait pourtant au coucher). Elle entend et sent les draps bouger puisqu’elle est proche d’AL. AL ronfle. L’accusé ne dit aucun mot. Il fait les agressions subtilement.</w:t>
      </w:r>
    </w:p>
    <w:p w14:paraId="19E91B57" w14:textId="67C2C7E5" w:rsidR="00721640" w:rsidRPr="00D90E36" w:rsidRDefault="00507CCA" w:rsidP="009061FD">
      <w:pPr>
        <w:pStyle w:val="Citationenretrait"/>
        <w:rPr>
          <w:rFonts w:cs="Arial"/>
          <w:szCs w:val="22"/>
          <w:lang w:eastAsia="fr-CA"/>
        </w:rPr>
      </w:pPr>
      <w:r w:rsidRPr="00D90E36">
        <w:rPr>
          <w:rFonts w:cs="Arial"/>
          <w:szCs w:val="22"/>
          <w:lang w:eastAsia="fr-CA"/>
        </w:rPr>
        <w:t>Ensuite, il retourne vers elle. Elle est alors couchée sur le dos. Il met sa main sous son chandail et lui touche les seins. Il pogne les 2</w:t>
      </w:r>
      <w:r w:rsidR="00D2013C">
        <w:rPr>
          <w:rFonts w:cs="Arial"/>
          <w:szCs w:val="22"/>
          <w:lang w:eastAsia="fr-CA"/>
        </w:rPr>
        <w:t> </w:t>
      </w:r>
      <w:r w:rsidRPr="00D90E36">
        <w:rPr>
          <w:rFonts w:cs="Arial"/>
          <w:szCs w:val="22"/>
          <w:lang w:eastAsia="fr-CA"/>
        </w:rPr>
        <w:t>seins. Il descend sa main dans ses bobettes et touche (« joue ») avec son clitoris. Il se frotte sur elle. Il frotte son pénis. Elle sent son érection. AL bouge. Il retire alors sa main de ses bobettes. Elle pense que c’est alors fini.</w:t>
      </w:r>
    </w:p>
    <w:p w14:paraId="5D38BE9B" w14:textId="20B2599B" w:rsidR="00721640" w:rsidRPr="00D90E36" w:rsidRDefault="00507CCA" w:rsidP="009061FD">
      <w:pPr>
        <w:pStyle w:val="Citationenretrait"/>
        <w:rPr>
          <w:rFonts w:cs="Arial"/>
          <w:szCs w:val="22"/>
          <w:lang w:eastAsia="fr-CA"/>
        </w:rPr>
      </w:pPr>
      <w:r w:rsidRPr="00D90E36">
        <w:rPr>
          <w:rFonts w:cs="Arial"/>
          <w:szCs w:val="22"/>
          <w:lang w:eastAsia="fr-CA"/>
        </w:rPr>
        <w:t>Il se retourne alors vers AL. KM sent qu’il entre sous les draps. Elle sent la camisole d’AL bouger pcq elles sont collées. AL fait un son de jouissance mais elle dort sans aucun doute. Elle entend et sent les vas-et-viens. Les draps se soulèvent, lèvent dû aux mouvements faits par l’accusé. Cela dure quelques instants. Le lit craque. L’accusé sort par la suite de la chambre.</w:t>
      </w:r>
    </w:p>
    <w:p w14:paraId="2E938074" w14:textId="3E2BE58B" w:rsidR="00721640" w:rsidRPr="00D90E36" w:rsidRDefault="00507CCA" w:rsidP="009061FD">
      <w:pPr>
        <w:pStyle w:val="Citationenretrait"/>
        <w:rPr>
          <w:rFonts w:cs="Arial"/>
          <w:szCs w:val="22"/>
          <w:lang w:eastAsia="fr-CA"/>
        </w:rPr>
      </w:pPr>
      <w:r w:rsidRPr="00D90E36">
        <w:rPr>
          <w:rFonts w:cs="Arial"/>
          <w:szCs w:val="22"/>
          <w:lang w:eastAsia="fr-CA"/>
        </w:rPr>
        <w:t>Il revient après plus ou moins 2 minutes. Il se couche dans les draps. KM est sur le dos. Il lui relève le chandail en haut de ses seins. Il prend son cellulaire. Il lui touche les seins. Il met sa main dans ses pantalons. Il lui touche le clitoris et il entre le doigt dans son vagin. Il semble plus à l’aise. Il fait des vas-et-viens. Il sort son doigt et retouche son clitoris. Il essaie de la stimuler. Il avait baissé ses vêtements et il prend la main de KM pour la mettre sur son pénis. Il se stimule avec sa main alors que sa main à lui est toujours sur le clitoris de KM. AL bouge donc l’accusé se resaisit et retire sa main. KM fait semblant de se réveiller et dit</w:t>
      </w:r>
      <w:r w:rsidR="00B513E9" w:rsidRPr="00D90E36">
        <w:rPr>
          <w:rFonts w:cs="Arial"/>
          <w:szCs w:val="22"/>
          <w:lang w:eastAsia="fr-CA"/>
        </w:rPr>
        <w:t> </w:t>
      </w:r>
      <w:r w:rsidRPr="00D90E36">
        <w:rPr>
          <w:rFonts w:cs="Arial"/>
          <w:szCs w:val="22"/>
          <w:lang w:eastAsia="fr-CA"/>
        </w:rPr>
        <w:t>: «</w:t>
      </w:r>
      <w:r w:rsidR="00B513E9" w:rsidRPr="00D90E36">
        <w:rPr>
          <w:rFonts w:cs="Arial"/>
          <w:szCs w:val="22"/>
          <w:lang w:eastAsia="fr-CA"/>
        </w:rPr>
        <w:t> </w:t>
      </w:r>
      <w:r w:rsidRPr="00D90E36">
        <w:rPr>
          <w:rFonts w:cs="Arial"/>
          <w:szCs w:val="22"/>
          <w:lang w:eastAsia="fr-CA"/>
        </w:rPr>
        <w:t>Voyons, c’qui s’passe!?!</w:t>
      </w:r>
      <w:r w:rsidR="00B513E9" w:rsidRPr="00D90E36">
        <w:rPr>
          <w:rFonts w:cs="Arial"/>
          <w:szCs w:val="22"/>
          <w:lang w:eastAsia="fr-CA"/>
        </w:rPr>
        <w:t> </w:t>
      </w:r>
      <w:r w:rsidRPr="00D90E36">
        <w:rPr>
          <w:rFonts w:cs="Arial"/>
          <w:szCs w:val="22"/>
          <w:lang w:eastAsia="fr-CA"/>
        </w:rPr>
        <w:t>» AL est debout et urine sur le plancher de la chambre. L’accusé va chercher des serviettes. AL n’a aucun vêtement au bas du corps. AL va aux toilettes. L’accusé se recoucher près de KM et veut la coller. Elle ne veut pas. AL ne sait rien [de ce qui s’est passé]. KM shake. AL se recouche. Elle n’a pas eu connaissance. KM est sous le choc. Elle pleure.</w:t>
      </w:r>
    </w:p>
    <w:p w14:paraId="68EEE179" w14:textId="18DEA1B6" w:rsidR="00721640" w:rsidRPr="00D90E36" w:rsidRDefault="00507CCA" w:rsidP="009061FD">
      <w:pPr>
        <w:pStyle w:val="Citationenretrait"/>
        <w:rPr>
          <w:rFonts w:cs="Arial"/>
          <w:szCs w:val="22"/>
          <w:lang w:eastAsia="fr-CA"/>
        </w:rPr>
      </w:pPr>
      <w:r w:rsidRPr="00D90E36">
        <w:rPr>
          <w:rFonts w:cs="Arial"/>
          <w:szCs w:val="22"/>
          <w:lang w:eastAsia="fr-CA"/>
        </w:rPr>
        <w:t>Elles réussissent à s’endormir un peu. L’accusé n’est plus dans la chambre. Quand elles se réveillent, l’accusé n’est plus présent dans son domicile. Elles</w:t>
      </w:r>
      <w:r w:rsidR="00C30175">
        <w:rPr>
          <w:rFonts w:cs="Arial"/>
          <w:szCs w:val="22"/>
          <w:lang w:eastAsia="fr-CA"/>
        </w:rPr>
        <w:t> </w:t>
      </w:r>
      <w:r w:rsidRPr="00D90E36">
        <w:rPr>
          <w:rFonts w:cs="Arial"/>
          <w:szCs w:val="22"/>
          <w:lang w:eastAsia="fr-CA"/>
        </w:rPr>
        <w:t>contactent une amie qui vient les chercher. Elles se rendent au CH et les policiers sont appelés.</w:t>
      </w:r>
    </w:p>
    <w:p w14:paraId="3319F991" w14:textId="0C73ED83" w:rsidR="00721640" w:rsidRDefault="00184BCD" w:rsidP="009061FD">
      <w:pPr>
        <w:pStyle w:val="Citationenretrait"/>
        <w:rPr>
          <w:rFonts w:cs="Arial"/>
          <w:szCs w:val="22"/>
          <w:lang w:eastAsia="fr-CA"/>
        </w:rPr>
      </w:pPr>
      <w:r w:rsidRPr="00D90E36">
        <w:rPr>
          <w:rFonts w:cs="Arial"/>
          <w:szCs w:val="22"/>
          <w:lang w:eastAsia="fr-CA"/>
        </w:rPr>
        <w:t>A</w:t>
      </w:r>
      <w:r>
        <w:rPr>
          <w:rFonts w:cs="Arial"/>
          <w:szCs w:val="22"/>
          <w:lang w:eastAsia="fr-CA"/>
        </w:rPr>
        <w:t>…</w:t>
      </w:r>
      <w:r w:rsidRPr="00D90E36">
        <w:rPr>
          <w:rFonts w:cs="Arial"/>
          <w:szCs w:val="22"/>
          <w:lang w:eastAsia="fr-CA"/>
        </w:rPr>
        <w:t xml:space="preserve"> L</w:t>
      </w:r>
      <w:r>
        <w:rPr>
          <w:rFonts w:cs="Arial"/>
          <w:szCs w:val="22"/>
          <w:lang w:eastAsia="fr-CA"/>
        </w:rPr>
        <w:t>…</w:t>
      </w:r>
      <w:r w:rsidRPr="00D90E36">
        <w:rPr>
          <w:rFonts w:cs="Arial"/>
          <w:szCs w:val="22"/>
          <w:lang w:eastAsia="fr-CA"/>
        </w:rPr>
        <w:t xml:space="preserve"> </w:t>
      </w:r>
      <w:r w:rsidR="00507CCA" w:rsidRPr="00D90E36">
        <w:rPr>
          <w:rFonts w:cs="Arial"/>
          <w:szCs w:val="22"/>
          <w:lang w:eastAsia="fr-CA"/>
        </w:rPr>
        <w:t xml:space="preserve">fournit une déclaration audio-filmée. Elle n’a aucun souvenir concernant les faits au domicile de l’accusé. Elle a quelques souvenirs concernant sa soirée au Shaker et des souvenirs après être allée aux toilettes chez l’accusé. L’accusé, alors qu’il est arrêté pour des infractions d’agressions sexuelles, fournit une </w:t>
      </w:r>
      <w:r w:rsidR="00507CCA" w:rsidRPr="00D90E36">
        <w:rPr>
          <w:rFonts w:cs="Arial"/>
          <w:szCs w:val="22"/>
          <w:lang w:eastAsia="fr-CA"/>
        </w:rPr>
        <w:lastRenderedPageBreak/>
        <w:t>déclaration audio-filmée. Il dit qu’il a eu une relation consensuelle avec AL et qu’il a touché KM aux seins. Il dit aussi que KM lui a touché au pénis. Tous ces faits sont consensuels au dire de l’accusé.</w:t>
      </w:r>
      <w:r w:rsidR="00507CCA">
        <w:rPr>
          <w:rStyle w:val="Appelnotedebasdep"/>
          <w:rFonts w:cs="Arial"/>
          <w:szCs w:val="22"/>
          <w:lang w:eastAsia="fr-CA"/>
        </w:rPr>
        <w:footnoteReference w:id="2"/>
      </w:r>
    </w:p>
    <w:p w14:paraId="31B0D079" w14:textId="78C45BD9" w:rsidR="00B513E9" w:rsidRPr="00D271F5" w:rsidRDefault="00507CCA" w:rsidP="00B513E9">
      <w:pPr>
        <w:pStyle w:val="Citationenretrait"/>
        <w:jc w:val="right"/>
        <w:rPr>
          <w:rFonts w:cs="Arial"/>
          <w:szCs w:val="22"/>
          <w:lang w:eastAsia="fr-CA"/>
        </w:rPr>
      </w:pPr>
      <w:r>
        <w:rPr>
          <w:rFonts w:cs="Arial"/>
          <w:szCs w:val="22"/>
          <w:lang w:eastAsia="fr-CA"/>
        </w:rPr>
        <w:t>[Transcription textuelle]</w:t>
      </w:r>
    </w:p>
    <w:p w14:paraId="2A90F4E2" w14:textId="0227AFE4" w:rsidR="00D4574D" w:rsidRDefault="00507CCA" w:rsidP="00787324">
      <w:pPr>
        <w:pStyle w:val="Paragraphe"/>
      </w:pPr>
      <w:r w:rsidRPr="00D2013C">
        <w:t>La Cour note que</w:t>
      </w:r>
      <w:r w:rsidRPr="004F66B0">
        <w:t xml:space="preserve"> c</w:t>
      </w:r>
      <w:r w:rsidR="00FD5EFF" w:rsidRPr="004F66B0">
        <w:t>ette</w:t>
      </w:r>
      <w:r w:rsidR="00FD5EFF">
        <w:t xml:space="preserve"> trame</w:t>
      </w:r>
      <w:r w:rsidR="00001A2E">
        <w:t xml:space="preserve"> </w:t>
      </w:r>
      <w:r w:rsidR="008645AA">
        <w:t xml:space="preserve">factuelle </w:t>
      </w:r>
      <w:r w:rsidR="00FD5EFF">
        <w:t>laisse dans le flou la</w:t>
      </w:r>
      <w:r w:rsidR="00001A2E">
        <w:t xml:space="preserve"> question de savoir s’il y a eu</w:t>
      </w:r>
      <w:r w:rsidR="00585B0E">
        <w:t xml:space="preserve"> </w:t>
      </w:r>
      <w:r w:rsidR="00001A2E">
        <w:t xml:space="preserve">pénétration pénienne </w:t>
      </w:r>
      <w:r w:rsidRPr="00D2013C">
        <w:t>à l’endroit d</w:t>
      </w:r>
      <w:r>
        <w:t>’</w:t>
      </w:r>
      <w:r w:rsidR="00001A2E">
        <w:t>A</w:t>
      </w:r>
      <w:r>
        <w:t>.</w:t>
      </w:r>
      <w:r w:rsidR="00001A2E">
        <w:t>L.</w:t>
      </w:r>
      <w:r w:rsidR="00FD5EFF">
        <w:t xml:space="preserve"> </w:t>
      </w:r>
      <w:r w:rsidR="00D90E36">
        <w:t>À l’audience, l’avocat de l’intimé a précisé que</w:t>
      </w:r>
      <w:r w:rsidR="008645AA">
        <w:t xml:space="preserve"> </w:t>
      </w:r>
      <w:r w:rsidR="002338B0">
        <w:t xml:space="preserve">ce dernier n’admettait pas </w:t>
      </w:r>
      <w:r w:rsidR="00526976">
        <w:t xml:space="preserve">avoir commis </w:t>
      </w:r>
      <w:r w:rsidR="008645AA">
        <w:t>cet acte</w:t>
      </w:r>
      <w:r w:rsidR="002338B0">
        <w:t xml:space="preserve">. </w:t>
      </w:r>
      <w:r w:rsidR="00526976">
        <w:t>Il s’ensuit que l</w:t>
      </w:r>
      <w:r w:rsidR="003C20A8">
        <w:t xml:space="preserve">a pénétration pénienne </w:t>
      </w:r>
      <w:r w:rsidR="002338B0">
        <w:t xml:space="preserve">sans protection </w:t>
      </w:r>
      <w:r w:rsidR="003C20A8">
        <w:t>à laquelle le poursuivant a fait allusion, tant en première instance qu’en appel, n</w:t>
      </w:r>
      <w:r w:rsidR="00585B0E">
        <w:t>’a</w:t>
      </w:r>
      <w:r w:rsidR="002338B0">
        <w:t xml:space="preserve"> </w:t>
      </w:r>
      <w:r w:rsidR="00585B0E">
        <w:t xml:space="preserve">pas été </w:t>
      </w:r>
      <w:r w:rsidR="003C20A8">
        <w:t>prouvé</w:t>
      </w:r>
      <w:r w:rsidR="002338B0">
        <w:t>e</w:t>
      </w:r>
      <w:r w:rsidR="00585B0E">
        <w:t xml:space="preserve"> hors de tout doute raisonnable.</w:t>
      </w:r>
    </w:p>
    <w:p w14:paraId="780C94D2" w14:textId="5C21F7C5" w:rsidR="009B0EAE" w:rsidRDefault="00507CCA" w:rsidP="009B0EAE">
      <w:pPr>
        <w:pStyle w:val="Paragraphe"/>
        <w:numPr>
          <w:ilvl w:val="0"/>
          <w:numId w:val="0"/>
        </w:numPr>
        <w:jc w:val="center"/>
      </w:pPr>
      <w:r>
        <w:t>* *</w:t>
      </w:r>
    </w:p>
    <w:p w14:paraId="14CD1FD4" w14:textId="6E491EB1" w:rsidR="00526976" w:rsidRDefault="00507CCA" w:rsidP="00526976">
      <w:pPr>
        <w:pStyle w:val="Paragraphe"/>
      </w:pPr>
      <w:r>
        <w:t>Le poursuivant</w:t>
      </w:r>
      <w:r w:rsidR="00C30175">
        <w:t xml:space="preserve">, </w:t>
      </w:r>
      <w:r w:rsidR="00C30175" w:rsidRPr="00D2013C">
        <w:t>qui demandait un emprisonnement de 36 mois</w:t>
      </w:r>
      <w:r w:rsidR="00C30175">
        <w:t xml:space="preserve">, </w:t>
      </w:r>
      <w:r>
        <w:t xml:space="preserve">soutient que le juge a commis des erreurs de principe </w:t>
      </w:r>
      <w:r w:rsidR="00C721FA">
        <w:t xml:space="preserve">en </w:t>
      </w:r>
      <w:r>
        <w:t>considéra</w:t>
      </w:r>
      <w:r w:rsidR="00C721FA">
        <w:t xml:space="preserve">nt </w:t>
      </w:r>
      <w:r>
        <w:t xml:space="preserve">certains facteurs atténuants et en omettant d’accorder suffisamment d’importance aux circonstances, aux </w:t>
      </w:r>
      <w:r w:rsidR="00C22D34">
        <w:t>préjudices</w:t>
      </w:r>
      <w:r>
        <w:t xml:space="preserve"> causés aux victimes et à la culpabilité morale de l’intimé. La peine infligée serait en outre manifestement non indiquée.</w:t>
      </w:r>
    </w:p>
    <w:p w14:paraId="3791122D" w14:textId="034FBDFE" w:rsidR="009B0EAE" w:rsidRDefault="00507CCA" w:rsidP="00526976">
      <w:pPr>
        <w:pStyle w:val="Paragraphe"/>
      </w:pPr>
      <w:r>
        <w:t>Ces moyens ne sont pas fondés.</w:t>
      </w:r>
    </w:p>
    <w:p w14:paraId="034315D0" w14:textId="1D0FC0D2" w:rsidR="009B0EAE" w:rsidRPr="00743BD1" w:rsidRDefault="00507CCA" w:rsidP="00526976">
      <w:pPr>
        <w:pStyle w:val="Paragraphe"/>
      </w:pPr>
      <w:r>
        <w:t xml:space="preserve">Il est vrai que le juge se méprend lorsqu’il considère l’âge de l’intimé comme un facteur atténuant. </w:t>
      </w:r>
      <w:r w:rsidR="0023743E">
        <w:t>C</w:t>
      </w:r>
      <w:r>
        <w:t>e dernier</w:t>
      </w:r>
      <w:r w:rsidR="0023743E">
        <w:t>, rappelons-le,</w:t>
      </w:r>
      <w:r>
        <w:t xml:space="preserve"> </w:t>
      </w:r>
      <w:r w:rsidR="0023743E">
        <w:t xml:space="preserve">avait </w:t>
      </w:r>
      <w:r>
        <w:t>34</w:t>
      </w:r>
      <w:r w:rsidR="00C30175">
        <w:t> </w:t>
      </w:r>
      <w:r>
        <w:t xml:space="preserve">ans </w:t>
      </w:r>
      <w:r w:rsidR="0023743E">
        <w:t xml:space="preserve">au moment </w:t>
      </w:r>
      <w:r>
        <w:t xml:space="preserve">de la commission </w:t>
      </w:r>
      <w:r w:rsidRPr="00743BD1">
        <w:t>des infractions.</w:t>
      </w:r>
      <w:r w:rsidR="00CE7153" w:rsidRPr="00743BD1">
        <w:t xml:space="preserve"> </w:t>
      </w:r>
      <w:r w:rsidR="00EC254F" w:rsidRPr="00743BD1">
        <w:t>Il</w:t>
      </w:r>
      <w:r w:rsidRPr="00743BD1">
        <w:t xml:space="preserve"> avait</w:t>
      </w:r>
      <w:r w:rsidR="0023743E" w:rsidRPr="00743BD1">
        <w:t xml:space="preserve"> </w:t>
      </w:r>
      <w:r w:rsidR="00EC254F" w:rsidRPr="00743BD1">
        <w:t xml:space="preserve">déjà </w:t>
      </w:r>
      <w:r w:rsidR="0023743E" w:rsidRPr="00743BD1">
        <w:t xml:space="preserve">été </w:t>
      </w:r>
      <w:r w:rsidR="00EC254F" w:rsidRPr="00743BD1">
        <w:t xml:space="preserve">condamné, en 2015, </w:t>
      </w:r>
      <w:r w:rsidR="003068C5" w:rsidRPr="00743BD1">
        <w:t xml:space="preserve">pour </w:t>
      </w:r>
      <w:r w:rsidR="00D95480" w:rsidRPr="00743BD1">
        <w:t xml:space="preserve">avoir </w:t>
      </w:r>
      <w:r w:rsidR="003068C5" w:rsidRPr="00743BD1">
        <w:t>conduit</w:t>
      </w:r>
      <w:r w:rsidR="00D95480" w:rsidRPr="00743BD1">
        <w:t xml:space="preserve"> </w:t>
      </w:r>
      <w:r w:rsidR="003068C5" w:rsidRPr="00743BD1">
        <w:t xml:space="preserve">un véhicule à moteur avec les facultés affaiblies et, en 2017, </w:t>
      </w:r>
      <w:r w:rsidR="0023743E" w:rsidRPr="00743BD1">
        <w:t>pour négligence criminelle causant des lésions</w:t>
      </w:r>
      <w:r w:rsidR="003068C5" w:rsidRPr="00743BD1">
        <w:t xml:space="preserve"> </w:t>
      </w:r>
      <w:r w:rsidR="00D95480" w:rsidRPr="00743BD1">
        <w:t xml:space="preserve">corporelles </w:t>
      </w:r>
      <w:r w:rsidR="003068C5" w:rsidRPr="00743BD1">
        <w:t>et</w:t>
      </w:r>
      <w:r w:rsidR="0023743E" w:rsidRPr="00743BD1">
        <w:t xml:space="preserve"> trafic de </w:t>
      </w:r>
      <w:r w:rsidR="003068C5" w:rsidRPr="00743BD1">
        <w:t>stupéfiants commis lors d’un même évènement</w:t>
      </w:r>
      <w:r w:rsidR="00C30175" w:rsidRPr="00D2013C">
        <w:t>, ainsi que pour non-respect des conditions d’un engagement</w:t>
      </w:r>
      <w:r w:rsidR="00C30175">
        <w:t xml:space="preserve">. </w:t>
      </w:r>
      <w:r w:rsidR="00A30E68" w:rsidRPr="00743BD1">
        <w:t xml:space="preserve">Comme </w:t>
      </w:r>
      <w:r w:rsidR="00C30175" w:rsidRPr="00D2013C">
        <w:t>c’était le cas</w:t>
      </w:r>
      <w:r w:rsidR="00C30175">
        <w:t xml:space="preserve"> dans</w:t>
      </w:r>
      <w:r w:rsidR="00A30E68" w:rsidRPr="00743BD1">
        <w:t xml:space="preserve"> </w:t>
      </w:r>
      <w:r w:rsidR="00A30E68" w:rsidRPr="00743BD1">
        <w:rPr>
          <w:i/>
          <w:iCs/>
        </w:rPr>
        <w:t>R.</w:t>
      </w:r>
      <w:r w:rsidR="00C30175">
        <w:rPr>
          <w:i/>
          <w:iCs/>
        </w:rPr>
        <w:t> </w:t>
      </w:r>
      <w:r w:rsidR="00A30E68" w:rsidRPr="00743BD1">
        <w:rPr>
          <w:i/>
          <w:iCs/>
        </w:rPr>
        <w:t>c.</w:t>
      </w:r>
      <w:r w:rsidR="00C30175">
        <w:rPr>
          <w:i/>
          <w:iCs/>
        </w:rPr>
        <w:t> </w:t>
      </w:r>
      <w:r w:rsidR="00A30E68" w:rsidRPr="00743BD1">
        <w:rPr>
          <w:i/>
          <w:iCs/>
        </w:rPr>
        <w:t>Houle</w:t>
      </w:r>
      <w:r w:rsidR="00A30E68" w:rsidRPr="00743BD1">
        <w:t>, l</w:t>
      </w:r>
      <w:r w:rsidR="00C522A8" w:rsidRPr="00743BD1">
        <w:t xml:space="preserve">es gestes commis </w:t>
      </w:r>
      <w:r w:rsidR="00C30175" w:rsidRPr="00D2013C">
        <w:t>en l’espèce</w:t>
      </w:r>
      <w:r w:rsidR="00C30175">
        <w:t xml:space="preserve"> </w:t>
      </w:r>
      <w:r w:rsidR="00C522A8" w:rsidRPr="00743BD1">
        <w:t>envers K.S.-M. et A.L. « ne peuvent être assimilés à une erreur de jeunesse ou à un accident de parcours »</w:t>
      </w:r>
      <w:r>
        <w:rPr>
          <w:rStyle w:val="Appelnotedebasdep"/>
        </w:rPr>
        <w:footnoteReference w:id="3"/>
      </w:r>
      <w:r w:rsidR="00C522A8" w:rsidRPr="00743BD1">
        <w:t>.</w:t>
      </w:r>
    </w:p>
    <w:p w14:paraId="3A8EA0BC" w14:textId="5CACB222" w:rsidR="00C522A8" w:rsidRDefault="00507CCA" w:rsidP="00526976">
      <w:pPr>
        <w:pStyle w:val="Paragraphe"/>
      </w:pPr>
      <w:r w:rsidRPr="00743BD1">
        <w:t>Il appert toutefois du jugement que c</w:t>
      </w:r>
      <w:r w:rsidR="00D9043A" w:rsidRPr="00743BD1">
        <w:t>ette erreur n’a pas eu d</w:t>
      </w:r>
      <w:r w:rsidRPr="00743BD1">
        <w:t xml:space="preserve">’incidence sur la détermination de la peine. En effet, le raisonnement du juge s’appuie </w:t>
      </w:r>
      <w:r w:rsidR="00D079CE" w:rsidRPr="00743BD1">
        <w:t xml:space="preserve">principalement </w:t>
      </w:r>
      <w:r w:rsidRPr="00743BD1">
        <w:t>sur le rapport pré</w:t>
      </w:r>
      <w:r w:rsidR="001E2A6F" w:rsidRPr="00743BD1">
        <w:t>sentenciel</w:t>
      </w:r>
      <w:r w:rsidRPr="00743BD1">
        <w:t xml:space="preserve"> très positif</w:t>
      </w:r>
      <w:r w:rsidR="006E5151" w:rsidRPr="00743BD1">
        <w:t xml:space="preserve">, </w:t>
      </w:r>
      <w:r w:rsidRPr="00743BD1">
        <w:t>sur le fait que l’intimé</w:t>
      </w:r>
      <w:r w:rsidR="007F45B8">
        <w:t xml:space="preserve">, </w:t>
      </w:r>
      <w:r w:rsidR="007F45B8" w:rsidRPr="00D2013C">
        <w:t>malgré la gravité des gestes commis, demeure</w:t>
      </w:r>
      <w:r w:rsidR="007F45B8">
        <w:t xml:space="preserve"> </w:t>
      </w:r>
      <w:r w:rsidRPr="00743BD1">
        <w:t>un « actif pour la société »</w:t>
      </w:r>
      <w:r w:rsidR="006E5151" w:rsidRPr="00743BD1">
        <w:t xml:space="preserve"> et sur le faible risque de récidive</w:t>
      </w:r>
      <w:r w:rsidRPr="00743BD1">
        <w:t xml:space="preserve">. Le juge </w:t>
      </w:r>
      <w:r w:rsidR="00205292" w:rsidRPr="00743BD1">
        <w:t>souligne</w:t>
      </w:r>
      <w:r w:rsidRPr="00743BD1">
        <w:t xml:space="preserve"> ce</w:t>
      </w:r>
      <w:r w:rsidR="006E5151" w:rsidRPr="00743BD1">
        <w:t>s</w:t>
      </w:r>
      <w:r w:rsidRPr="00743BD1">
        <w:t xml:space="preserve"> facteur</w:t>
      </w:r>
      <w:r w:rsidR="006E5151" w:rsidRPr="00743BD1">
        <w:t>s</w:t>
      </w:r>
      <w:r w:rsidRPr="00743BD1">
        <w:t xml:space="preserve"> à plusieurs </w:t>
      </w:r>
      <w:r w:rsidR="00A30E68" w:rsidRPr="00743BD1">
        <w:t>reprises</w:t>
      </w:r>
      <w:r w:rsidRPr="00743BD1">
        <w:t>,</w:t>
      </w:r>
      <w:r>
        <w:t xml:space="preserve"> notamment lorsqu’il conclut « qu’un public</w:t>
      </w:r>
      <w:r w:rsidR="00D079CE">
        <w:t xml:space="preserve"> bien informé reconnaîtrait la justesse d’un emprisonnement en collectivité de façon </w:t>
      </w:r>
      <w:r w:rsidR="007F45B8" w:rsidRPr="004F66B0">
        <w:t>à ce</w:t>
      </w:r>
      <w:r w:rsidR="007F45B8">
        <w:t xml:space="preserve"> </w:t>
      </w:r>
      <w:r w:rsidR="00D079CE">
        <w:t>que la société en général puisse bénéficier des apports que peut amener l’accusé pour lequel les risques de récidive sont […] très amoindris »</w:t>
      </w:r>
      <w:r>
        <w:rPr>
          <w:rStyle w:val="Appelnotedebasdep"/>
        </w:rPr>
        <w:footnoteReference w:id="4"/>
      </w:r>
      <w:r w:rsidR="00D079CE">
        <w:t xml:space="preserve">. </w:t>
      </w:r>
      <w:r w:rsidR="006E5151">
        <w:t xml:space="preserve">Il </w:t>
      </w:r>
      <w:r w:rsidR="00273D96">
        <w:t xml:space="preserve">considère aussi les </w:t>
      </w:r>
      <w:r w:rsidR="00415E54">
        <w:t xml:space="preserve">remords et regrets </w:t>
      </w:r>
      <w:r w:rsidR="00415E54">
        <w:lastRenderedPageBreak/>
        <w:t xml:space="preserve">sincères </w:t>
      </w:r>
      <w:r w:rsidR="00273D96">
        <w:t>de</w:t>
      </w:r>
      <w:r w:rsidR="00415E54">
        <w:t xml:space="preserve"> l’intimé</w:t>
      </w:r>
      <w:r w:rsidR="006E5151">
        <w:t>,</w:t>
      </w:r>
      <w:r w:rsidR="00CB5A1F">
        <w:t xml:space="preserve"> </w:t>
      </w:r>
      <w:r w:rsidR="00415E54">
        <w:t>son empathie envers les victimes</w:t>
      </w:r>
      <w:r w:rsidR="006E5151">
        <w:t xml:space="preserve"> et</w:t>
      </w:r>
      <w:r w:rsidR="00CB5A1F">
        <w:t xml:space="preserve"> </w:t>
      </w:r>
      <w:r w:rsidR="00730F6E">
        <w:t>s</w:t>
      </w:r>
      <w:r w:rsidR="00D079CE">
        <w:t>a stabilité</w:t>
      </w:r>
      <w:r w:rsidR="006E5151">
        <w:t xml:space="preserve">. </w:t>
      </w:r>
      <w:r w:rsidR="00E63631">
        <w:t>Dans l’ensemble, l</w:t>
      </w:r>
      <w:r w:rsidR="00415E54">
        <w:t>’âge de l’intimé n</w:t>
      </w:r>
      <w:r w:rsidR="007F52A4">
        <w:t>e semble</w:t>
      </w:r>
      <w:r w:rsidR="00E63631">
        <w:t xml:space="preserve"> pas </w:t>
      </w:r>
      <w:r w:rsidR="007F52A4">
        <w:t xml:space="preserve">avoir </w:t>
      </w:r>
      <w:r w:rsidR="006E5151">
        <w:t>pesé</w:t>
      </w:r>
      <w:r w:rsidR="007F52A4">
        <w:t xml:space="preserve"> dans la décision</w:t>
      </w:r>
      <w:r w:rsidR="006E5151">
        <w:t>.</w:t>
      </w:r>
    </w:p>
    <w:p w14:paraId="68C86798" w14:textId="06568491" w:rsidR="00273D96" w:rsidRDefault="00507CCA" w:rsidP="00526976">
      <w:pPr>
        <w:pStyle w:val="Paragraphe"/>
      </w:pPr>
      <w:r>
        <w:t>En ce qui concerne les facteurs aggravants, le juge retient la gravité objective et subjective des infractions, les antécédents judic</w:t>
      </w:r>
      <w:r w:rsidR="00783C0E">
        <w:t>i</w:t>
      </w:r>
      <w:r>
        <w:t xml:space="preserve">aires de l’intimé, l’abus de </w:t>
      </w:r>
      <w:r w:rsidR="00783C0E">
        <w:t>confiance et la vulnérabilité des victimes ainsi que les conséquences sur leur vie. Il reconnaît que celles-ci « </w:t>
      </w:r>
      <w:r w:rsidR="00BC7270">
        <w:t xml:space="preserve">s’avèrent </w:t>
      </w:r>
      <w:r w:rsidR="00783C0E">
        <w:t>très affectées, voire dévastées »</w:t>
      </w:r>
      <w:r>
        <w:rPr>
          <w:rStyle w:val="Appelnotedebasdep"/>
        </w:rPr>
        <w:footnoteReference w:id="5"/>
      </w:r>
      <w:r w:rsidR="00783C0E">
        <w:t xml:space="preserve"> et que les séquelles sont nombreuses : « isolement, perte de confiance en soi et les autres, problématiques d’ordre sexuel, peur, anxiété, prise de médicaments, consommation excessive d’alcool, impacts financiers, travail, études, logement »</w:t>
      </w:r>
      <w:r>
        <w:rPr>
          <w:rStyle w:val="Appelnotedebasdep"/>
        </w:rPr>
        <w:footnoteReference w:id="6"/>
      </w:r>
      <w:r w:rsidR="00783C0E">
        <w:t>.</w:t>
      </w:r>
    </w:p>
    <w:p w14:paraId="03E6E4FB" w14:textId="3287DD7E" w:rsidR="00BC7270" w:rsidRDefault="00507CCA" w:rsidP="00526976">
      <w:pPr>
        <w:pStyle w:val="Paragraphe"/>
      </w:pPr>
      <w:r>
        <w:t xml:space="preserve">Le poursuivant reproche au juge de ne pas avoir </w:t>
      </w:r>
      <w:r w:rsidR="008002FD">
        <w:t>accordé une attention particulière aux objectifs de dénonciation et de dissuasion</w:t>
      </w:r>
      <w:r w:rsidR="009D7BE7">
        <w:t xml:space="preserve"> et d’avoir ainsi dérogé</w:t>
      </w:r>
      <w:r w:rsidR="008002FD">
        <w:t xml:space="preserve"> </w:t>
      </w:r>
      <w:r w:rsidR="00DF6DFE">
        <w:t xml:space="preserve">à </w:t>
      </w:r>
      <w:r w:rsidR="008002FD">
        <w:t>l’art. 718.04 </w:t>
      </w:r>
      <w:r w:rsidR="008002FD" w:rsidRPr="008002FD">
        <w:rPr>
          <w:i/>
          <w:iCs/>
        </w:rPr>
        <w:t>C.cr.</w:t>
      </w:r>
      <w:r w:rsidR="008002FD">
        <w:t> :</w:t>
      </w:r>
    </w:p>
    <w:tbl>
      <w:tblPr>
        <w:tblW w:w="0" w:type="auto"/>
        <w:tblLayout w:type="fixed"/>
        <w:tblCellMar>
          <w:left w:w="70" w:type="dxa"/>
          <w:right w:w="70" w:type="dxa"/>
        </w:tblCellMar>
        <w:tblLook w:val="0000" w:firstRow="0" w:lastRow="0" w:firstColumn="0" w:lastColumn="0" w:noHBand="0" w:noVBand="0"/>
      </w:tblPr>
      <w:tblGrid>
        <w:gridCol w:w="4681"/>
        <w:gridCol w:w="4681"/>
      </w:tblGrid>
      <w:tr w:rsidR="00874AF2" w14:paraId="17E37C9A" w14:textId="77777777" w:rsidTr="00075993">
        <w:tc>
          <w:tcPr>
            <w:tcW w:w="4681" w:type="dxa"/>
          </w:tcPr>
          <w:p w14:paraId="51E58E44" w14:textId="04A9E9E3" w:rsidR="00075993" w:rsidRDefault="00507CCA" w:rsidP="00075993">
            <w:pPr>
              <w:pStyle w:val="Tableaugauchefranais"/>
              <w:spacing w:before="120" w:after="120"/>
              <w:jc w:val="both"/>
            </w:pPr>
            <w:r w:rsidRPr="00075993">
              <w:rPr>
                <w:b/>
                <w:bCs/>
                <w:szCs w:val="22"/>
              </w:rPr>
              <w:t>718.04</w:t>
            </w:r>
            <w:r w:rsidRPr="00075993">
              <w:rPr>
                <w:szCs w:val="22"/>
              </w:rPr>
              <w:t> Le tribunal qui impose une peine pour une infraction qui constitue un mauvais traitement à l’égard d’une personne vulnérable en raison de sa situation personnelle, notamment en raison du fait qu’elle est une personne autochtone de sexe féminin, accorde une attention particulière aux objectifs de dénonciation et de dissuasion de l’agissement à l’origine de l’infraction.</w:t>
            </w:r>
          </w:p>
        </w:tc>
        <w:tc>
          <w:tcPr>
            <w:tcW w:w="4681" w:type="dxa"/>
          </w:tcPr>
          <w:p w14:paraId="6E8FA616" w14:textId="31F01A28" w:rsidR="00075993" w:rsidRPr="00075993" w:rsidRDefault="00507CCA" w:rsidP="00075993">
            <w:pPr>
              <w:pStyle w:val="Tableaudroiteanglais"/>
              <w:spacing w:before="120" w:after="120"/>
              <w:rPr>
                <w:szCs w:val="22"/>
              </w:rPr>
            </w:pPr>
            <w:r w:rsidRPr="00075993">
              <w:rPr>
                <w:b/>
                <w:bCs/>
                <w:szCs w:val="22"/>
              </w:rPr>
              <w:t>718.04</w:t>
            </w:r>
            <w:r w:rsidRPr="00075993">
              <w:rPr>
                <w:szCs w:val="22"/>
              </w:rPr>
              <w:t> When a court imposes a sentence for an offence that involved the abuse of a person who is vulnerable because of personal circumstances — including because the person is Aboriginal and female — the court shall give primary consideration to the objectives of denunciation and deterrence of the conduct that forms the basis of the offence.</w:t>
            </w:r>
          </w:p>
        </w:tc>
      </w:tr>
    </w:tbl>
    <w:p w14:paraId="77EC7436" w14:textId="62E66605" w:rsidR="00F90464" w:rsidRDefault="00507CCA" w:rsidP="00526976">
      <w:pPr>
        <w:pStyle w:val="Paragraphe"/>
      </w:pPr>
      <w:r>
        <w:t xml:space="preserve">Cette disposition </w:t>
      </w:r>
      <w:r w:rsidR="00815EF8">
        <w:t xml:space="preserve">a pour objectif de </w:t>
      </w:r>
      <w:r>
        <w:t>contre</w:t>
      </w:r>
      <w:r w:rsidR="00815EF8">
        <w:t>r</w:t>
      </w:r>
      <w:r>
        <w:t xml:space="preserve"> la violence </w:t>
      </w:r>
      <w:r w:rsidR="002A7566">
        <w:t xml:space="preserve">entre partenaires intimes </w:t>
      </w:r>
      <w:r w:rsidR="007C6295">
        <w:t xml:space="preserve">ainsi que </w:t>
      </w:r>
      <w:r w:rsidR="002A7566">
        <w:t xml:space="preserve">la violence </w:t>
      </w:r>
      <w:r w:rsidR="007C6295">
        <w:t xml:space="preserve">faite aux </w:t>
      </w:r>
      <w:r w:rsidR="002A7566">
        <w:t xml:space="preserve">femmes et </w:t>
      </w:r>
      <w:r w:rsidR="007C6295">
        <w:t>aux</w:t>
      </w:r>
      <w:r w:rsidR="002A7566">
        <w:t xml:space="preserve"> filles autochtones</w:t>
      </w:r>
      <w:r>
        <w:rPr>
          <w:rStyle w:val="Appelnotedebasdep"/>
        </w:rPr>
        <w:footnoteReference w:id="7"/>
      </w:r>
      <w:r w:rsidR="009D7BE7">
        <w:t>. Dans l</w:t>
      </w:r>
      <w:r w:rsidR="007C6295">
        <w:t>’</w:t>
      </w:r>
      <w:r>
        <w:t>arrêt</w:t>
      </w:r>
      <w:r w:rsidR="00205292">
        <w:t xml:space="preserve"> récent</w:t>
      </w:r>
      <w:r w:rsidR="00A54DAD">
        <w:t xml:space="preserve"> </w:t>
      </w:r>
      <w:r w:rsidR="00A54DAD" w:rsidRPr="00D2013C">
        <w:t>de la Cour suprême</w:t>
      </w:r>
      <w:r>
        <w:t xml:space="preserve"> </w:t>
      </w:r>
      <w:r w:rsidRPr="00F90464">
        <w:rPr>
          <w:i/>
          <w:iCs/>
        </w:rPr>
        <w:t>R.</w:t>
      </w:r>
      <w:r w:rsidR="00743BD1">
        <w:rPr>
          <w:i/>
          <w:iCs/>
        </w:rPr>
        <w:t> </w:t>
      </w:r>
      <w:r w:rsidRPr="00F90464">
        <w:rPr>
          <w:i/>
          <w:iCs/>
        </w:rPr>
        <w:t>c.</w:t>
      </w:r>
      <w:r w:rsidR="00743BD1">
        <w:rPr>
          <w:i/>
          <w:iCs/>
        </w:rPr>
        <w:t> </w:t>
      </w:r>
      <w:r w:rsidR="009D7BE7" w:rsidRPr="00F90464">
        <w:rPr>
          <w:i/>
          <w:iCs/>
        </w:rPr>
        <w:t>Cope</w:t>
      </w:r>
      <w:r w:rsidR="009D7BE7">
        <w:t>, la juge O’Bonsawin, pour la majorité, écrit que « [l]e champ d’application de l’art. 718.04 ne se limite pas aux mauvais traitements infligés aux femmes et aux filles autochtones; il vise plutôt les mauvais traitements infligés à toute victime vulnérable en raison de sa situation particulière »</w:t>
      </w:r>
      <w:r>
        <w:rPr>
          <w:rStyle w:val="Appelnotedebasdep"/>
        </w:rPr>
        <w:footnoteReference w:id="8"/>
      </w:r>
      <w:r w:rsidR="009D7BE7">
        <w:t>. Elle rappelle que certaines caractéristiques personnelles peuvent engendrer une vulnérabilité, « notamment le jeune âge ou l’âge avancé de la victime, une déficience physique ou intellectuelle</w:t>
      </w:r>
      <w:r>
        <w:t>, ou encore une relation conjugale avec l’accusé »</w:t>
      </w:r>
      <w:r>
        <w:rPr>
          <w:rStyle w:val="Appelnotedebasdep"/>
        </w:rPr>
        <w:footnoteReference w:id="9"/>
      </w:r>
      <w:r>
        <w:t>.</w:t>
      </w:r>
    </w:p>
    <w:p w14:paraId="60B91348" w14:textId="2DF5D432" w:rsidR="00835189" w:rsidRDefault="00507CCA" w:rsidP="00F12A37">
      <w:pPr>
        <w:pStyle w:val="Paragraphe"/>
      </w:pPr>
      <w:r>
        <w:t>Dans le cas présent</w:t>
      </w:r>
      <w:r w:rsidR="007F52A4">
        <w:t>,</w:t>
      </w:r>
      <w:r>
        <w:t xml:space="preserve"> </w:t>
      </w:r>
      <w:r w:rsidR="007F52A4">
        <w:t xml:space="preserve">l’intimé a </w:t>
      </w:r>
      <w:r w:rsidR="00743456">
        <w:t xml:space="preserve">profité </w:t>
      </w:r>
      <w:r w:rsidR="007F52A4">
        <w:t>de la vulnérabilité des victimes</w:t>
      </w:r>
      <w:r>
        <w:t xml:space="preserve">, lesquelles étaient chez lui au beau milieu de la nuit. A.L. était </w:t>
      </w:r>
      <w:r w:rsidR="006D196A">
        <w:t xml:space="preserve">en outre </w:t>
      </w:r>
      <w:r>
        <w:t xml:space="preserve">très intoxiquée et </w:t>
      </w:r>
      <w:r w:rsidR="006D196A">
        <w:t xml:space="preserve">endormie; </w:t>
      </w:r>
      <w:r w:rsidR="006D196A">
        <w:lastRenderedPageBreak/>
        <w:t xml:space="preserve">elle ne pouvait pas se défendre. </w:t>
      </w:r>
      <w:r w:rsidR="00743456">
        <w:t xml:space="preserve">Le juge </w:t>
      </w:r>
      <w:r w:rsidR="00205292">
        <w:t>souligne</w:t>
      </w:r>
      <w:r w:rsidR="00743456">
        <w:t xml:space="preserve"> d’ailleurs</w:t>
      </w:r>
      <w:r w:rsidR="00F64D66">
        <w:t>, à juste titre,</w:t>
      </w:r>
      <w:r w:rsidR="00743456">
        <w:t xml:space="preserve"> l’abus de confiance et la vulnérabilité des victimes</w:t>
      </w:r>
      <w:r w:rsidR="00205292">
        <w:t xml:space="preserve"> parmi l</w:t>
      </w:r>
      <w:r w:rsidR="00743456">
        <w:t xml:space="preserve">es </w:t>
      </w:r>
      <w:r w:rsidR="006D196A">
        <w:t>facteur</w:t>
      </w:r>
      <w:r w:rsidR="00743456">
        <w:t>s</w:t>
      </w:r>
      <w:r w:rsidR="006D196A">
        <w:t xml:space="preserve"> aggravant</w:t>
      </w:r>
      <w:r w:rsidR="00743456">
        <w:t>s</w:t>
      </w:r>
      <w:r>
        <w:rPr>
          <w:rStyle w:val="Appelnotedebasdep"/>
        </w:rPr>
        <w:footnoteReference w:id="10"/>
      </w:r>
      <w:r w:rsidR="00743456">
        <w:t xml:space="preserve">. Mais les faits admis sur lesquels </w:t>
      </w:r>
      <w:r w:rsidR="007C6295">
        <w:t>repose le plaidoyer de culpabilité de l’intimé</w:t>
      </w:r>
      <w:r w:rsidR="00743456">
        <w:t xml:space="preserve"> n’établissent pas que les victimes étaient </w:t>
      </w:r>
      <w:r w:rsidR="00B34531">
        <w:t xml:space="preserve">des </w:t>
      </w:r>
      <w:r w:rsidR="00B34531" w:rsidRPr="003535DF">
        <w:rPr>
          <w:i/>
          <w:iCs/>
        </w:rPr>
        <w:t xml:space="preserve">personnes </w:t>
      </w:r>
      <w:r w:rsidR="00743456" w:rsidRPr="003535DF">
        <w:rPr>
          <w:i/>
          <w:iCs/>
        </w:rPr>
        <w:t>vulnérables</w:t>
      </w:r>
      <w:r w:rsidR="00743456">
        <w:t xml:space="preserve"> en raison de leur situation particulière ou de caractéristiques personne</w:t>
      </w:r>
      <w:r w:rsidR="00B57DFB">
        <w:t>lle</w:t>
      </w:r>
      <w:r w:rsidR="00743456">
        <w:t>s.</w:t>
      </w:r>
    </w:p>
    <w:p w14:paraId="7B87537C" w14:textId="1EC325EF" w:rsidR="00F12A37" w:rsidRDefault="00507CCA" w:rsidP="00F12A37">
      <w:pPr>
        <w:pStyle w:val="Paragraphe"/>
      </w:pPr>
      <w:r>
        <w:t>Une personne</w:t>
      </w:r>
      <w:r w:rsidRPr="00743BD1">
        <w:t xml:space="preserve"> victime d’agression sexuelle</w:t>
      </w:r>
      <w:r w:rsidR="00B34531" w:rsidRPr="00743BD1">
        <w:t>, même si elle se trouve en situation de vulnérabilité au moment de l’agression, n</w:t>
      </w:r>
      <w:r>
        <w:t xml:space="preserve">’est </w:t>
      </w:r>
      <w:r w:rsidR="00B34531" w:rsidRPr="00743BD1">
        <w:t>pas</w:t>
      </w:r>
      <w:r w:rsidR="003535DF" w:rsidRPr="00743BD1">
        <w:t>,</w:t>
      </w:r>
      <w:r w:rsidR="00B34531" w:rsidRPr="00743BD1">
        <w:t xml:space="preserve"> </w:t>
      </w:r>
      <w:r w:rsidR="00835189" w:rsidRPr="00743BD1">
        <w:t>par le fait même</w:t>
      </w:r>
      <w:r w:rsidR="003535DF" w:rsidRPr="00743BD1">
        <w:t>,</w:t>
      </w:r>
      <w:r w:rsidR="00205292" w:rsidRPr="00743BD1">
        <w:t xml:space="preserve"> </w:t>
      </w:r>
      <w:r>
        <w:t>une</w:t>
      </w:r>
      <w:r w:rsidR="00B34531" w:rsidRPr="00743BD1">
        <w:t xml:space="preserve"> personne vulnérable au sens de l’art.</w:t>
      </w:r>
      <w:r w:rsidR="00A54DAD">
        <w:t> </w:t>
      </w:r>
      <w:r w:rsidR="00B34531" w:rsidRPr="00743BD1">
        <w:t>718.04 </w:t>
      </w:r>
      <w:r w:rsidR="00B34531" w:rsidRPr="00743BD1">
        <w:rPr>
          <w:i/>
          <w:iCs/>
        </w:rPr>
        <w:t>C.cr.</w:t>
      </w:r>
      <w:r w:rsidR="00B34531" w:rsidRPr="00743BD1">
        <w:t xml:space="preserve"> </w:t>
      </w:r>
      <w:r w:rsidR="00D95480" w:rsidRPr="00743BD1">
        <w:t>Comme</w:t>
      </w:r>
      <w:r w:rsidR="00835189" w:rsidRPr="00743BD1">
        <w:t xml:space="preserve"> on vient de le voir</w:t>
      </w:r>
      <w:r w:rsidR="00D95480" w:rsidRPr="00743BD1">
        <w:t>, cette disposition vise les mauvais traitements infligés à toute victime vulnérable en raison de sa situation p</w:t>
      </w:r>
      <w:r w:rsidR="00CA1595" w:rsidRPr="00743BD1">
        <w:t xml:space="preserve">ersonnelle (son âge, sa santé physique ou mentale, sa dépendance à la drogue ou financière, </w:t>
      </w:r>
      <w:r w:rsidR="003535DF" w:rsidRPr="00743BD1">
        <w:t>une</w:t>
      </w:r>
      <w:r w:rsidR="00CA1595" w:rsidRPr="00743BD1">
        <w:t xml:space="preserve"> relation </w:t>
      </w:r>
      <w:r w:rsidR="003535DF" w:rsidRPr="00743BD1">
        <w:t xml:space="preserve">conjugale </w:t>
      </w:r>
      <w:r w:rsidR="00CA1595" w:rsidRPr="00743BD1">
        <w:t>avec l’accusé,</w:t>
      </w:r>
      <w:r w:rsidR="003535DF" w:rsidRPr="00743BD1">
        <w:t xml:space="preserve"> </w:t>
      </w:r>
      <w:r w:rsidR="00CA1595" w:rsidRPr="00743BD1">
        <w:t>etc.)</w:t>
      </w:r>
      <w:r w:rsidR="00D95480" w:rsidRPr="00743BD1">
        <w:t>.</w:t>
      </w:r>
      <w:r w:rsidR="00CA1595" w:rsidRPr="00743BD1">
        <w:t xml:space="preserve"> </w:t>
      </w:r>
      <w:r w:rsidR="003535DF" w:rsidRPr="00743BD1">
        <w:t>R</w:t>
      </w:r>
      <w:r w:rsidR="00CA1595" w:rsidRPr="00743BD1">
        <w:t xml:space="preserve">ien de tel </w:t>
      </w:r>
      <w:r w:rsidR="003535DF" w:rsidRPr="00743BD1">
        <w:t>ici</w:t>
      </w:r>
      <w:r w:rsidR="00CA1595" w:rsidRPr="00743BD1">
        <w:t>.</w:t>
      </w:r>
      <w:r w:rsidR="00B57DFB" w:rsidRPr="00743BD1">
        <w:t xml:space="preserve"> </w:t>
      </w:r>
      <w:r w:rsidR="003535DF" w:rsidRPr="00743BD1">
        <w:t>L’art.</w:t>
      </w:r>
      <w:r w:rsidR="00A54DAD">
        <w:t> </w:t>
      </w:r>
      <w:r w:rsidR="003535DF" w:rsidRPr="00743BD1">
        <w:t>718.04</w:t>
      </w:r>
      <w:r w:rsidR="00F64D66" w:rsidRPr="00743BD1">
        <w:t xml:space="preserve"> </w:t>
      </w:r>
      <w:r w:rsidR="00835189" w:rsidRPr="00743BD1">
        <w:t>ne</w:t>
      </w:r>
      <w:r w:rsidR="00A54DAD">
        <w:t> </w:t>
      </w:r>
      <w:r w:rsidR="00A1088C" w:rsidRPr="00743BD1">
        <w:t>trouve donc pas application</w:t>
      </w:r>
      <w:r w:rsidR="00815ED5" w:rsidRPr="00743BD1">
        <w:t>. Il</w:t>
      </w:r>
      <w:r w:rsidR="006B717C" w:rsidRPr="00743BD1">
        <w:t xml:space="preserve"> </w:t>
      </w:r>
      <w:r w:rsidR="001565E6" w:rsidRPr="00743BD1">
        <w:t>n’en demeure pas moins</w:t>
      </w:r>
      <w:r w:rsidR="00815ED5" w:rsidRPr="00743BD1">
        <w:t xml:space="preserve"> qu’en matière d’agression sexuelle, l</w:t>
      </w:r>
      <w:r w:rsidR="006B717C" w:rsidRPr="00743BD1">
        <w:t xml:space="preserve">es </w:t>
      </w:r>
      <w:r w:rsidR="00815ED5" w:rsidRPr="00743BD1">
        <w:t>objectif</w:t>
      </w:r>
      <w:r w:rsidR="006B717C" w:rsidRPr="00743BD1">
        <w:t>s</w:t>
      </w:r>
      <w:r w:rsidR="00815ED5" w:rsidRPr="00743BD1">
        <w:t xml:space="preserve"> de </w:t>
      </w:r>
      <w:r w:rsidR="006B717C" w:rsidRPr="00743BD1">
        <w:t xml:space="preserve">dénonciation et de dissuasion revêtent </w:t>
      </w:r>
      <w:r w:rsidR="00815ED5" w:rsidRPr="00743BD1">
        <w:t>un poids important</w:t>
      </w:r>
      <w:r w:rsidR="006B717C" w:rsidRPr="00743BD1">
        <w:t xml:space="preserve"> en</w:t>
      </w:r>
      <w:r w:rsidR="006B717C">
        <w:t xml:space="preserve"> raison de l’atteinte à l’intégrité physique et émotionnelle des</w:t>
      </w:r>
      <w:r>
        <w:t xml:space="preserve"> personnes</w:t>
      </w:r>
      <w:r w:rsidR="006B717C">
        <w:t xml:space="preserve"> victimes</w:t>
      </w:r>
      <w:r>
        <w:rPr>
          <w:rStyle w:val="Appelnotedebasdep"/>
        </w:rPr>
        <w:footnoteReference w:id="11"/>
      </w:r>
      <w:r w:rsidR="006B717C">
        <w:t>.</w:t>
      </w:r>
    </w:p>
    <w:p w14:paraId="212F2457" w14:textId="414E55A7" w:rsidR="00F12A37" w:rsidRDefault="00507CCA" w:rsidP="00F12A37">
      <w:pPr>
        <w:pStyle w:val="Paragraphe"/>
      </w:pPr>
      <w:r>
        <w:t>Le</w:t>
      </w:r>
      <w:r w:rsidR="00B34531">
        <w:t xml:space="preserve">s motifs du </w:t>
      </w:r>
      <w:r>
        <w:t xml:space="preserve">juge </w:t>
      </w:r>
      <w:r w:rsidR="00B34531">
        <w:t xml:space="preserve">démontrent qu’il soupèse </w:t>
      </w:r>
      <w:r>
        <w:t>tous les objectifs</w:t>
      </w:r>
      <w:r w:rsidR="001565E6">
        <w:t xml:space="preserve"> pertinents</w:t>
      </w:r>
      <w:r>
        <w:t xml:space="preserve"> </w:t>
      </w:r>
      <w:r w:rsidR="00A54DAD" w:rsidRPr="00D2013C">
        <w:t>en matière</w:t>
      </w:r>
      <w:r w:rsidR="00A54DAD">
        <w:t xml:space="preserve"> </w:t>
      </w:r>
      <w:r>
        <w:t xml:space="preserve">de détermination de la peine, </w:t>
      </w:r>
      <w:r w:rsidR="00B34531">
        <w:t>y compris la dénonciation et la dissuasion. Il considère en effet que la peine suggérée par l’intimé</w:t>
      </w:r>
      <w:r w:rsidR="00873B1F">
        <w:t xml:space="preserve"> (</w:t>
      </w:r>
      <w:r w:rsidR="000B61B8">
        <w:t>un emprisonnement dans la collectivité entre 12</w:t>
      </w:r>
      <w:r w:rsidR="00A54DAD">
        <w:t> </w:t>
      </w:r>
      <w:r w:rsidR="000B61B8">
        <w:t>et</w:t>
      </w:r>
      <w:r w:rsidR="00A54DAD">
        <w:t> </w:t>
      </w:r>
      <w:r w:rsidR="000B61B8">
        <w:t>15</w:t>
      </w:r>
      <w:r w:rsidR="00A54DAD">
        <w:t> </w:t>
      </w:r>
      <w:r w:rsidR="000B61B8">
        <w:t>mois)</w:t>
      </w:r>
      <w:r w:rsidR="00B34531">
        <w:t xml:space="preserve"> « s’avère trop clémente et ne tient pas suffisamment compte de la nature des gestes posés et du fait qu’il y ait deux victimes et dans une certaine mesure </w:t>
      </w:r>
      <w:r w:rsidR="00533140">
        <w:t>d’</w:t>
      </w:r>
      <w:r w:rsidR="00B34531">
        <w:t>un degré de préméditation »</w:t>
      </w:r>
      <w:r>
        <w:rPr>
          <w:rStyle w:val="Appelnotedebasdep"/>
        </w:rPr>
        <w:footnoteReference w:id="12"/>
      </w:r>
      <w:r w:rsidR="00B34531">
        <w:t xml:space="preserve">. </w:t>
      </w:r>
      <w:r w:rsidR="00B41C2C">
        <w:t xml:space="preserve">Se référant à l’arrêt </w:t>
      </w:r>
      <w:r w:rsidR="00B41C2C" w:rsidRPr="00B41C2C">
        <w:rPr>
          <w:i/>
          <w:iCs/>
        </w:rPr>
        <w:t>Casavant c. R.</w:t>
      </w:r>
      <w:r>
        <w:rPr>
          <w:rStyle w:val="Appelnotedebasdep"/>
        </w:rPr>
        <w:footnoteReference w:id="13"/>
      </w:r>
      <w:r w:rsidR="00B41C2C">
        <w:t xml:space="preserve">, il </w:t>
      </w:r>
      <w:r w:rsidR="006126BA">
        <w:t>rappelle</w:t>
      </w:r>
      <w:r w:rsidR="00B41C2C">
        <w:t xml:space="preserve"> que le crime d’agression sexuelle est grave et que l’intimé mérite une peine d</w:t>
      </w:r>
      <w:r w:rsidR="00873B1F">
        <w:t>’emprisonnement</w:t>
      </w:r>
      <w:r w:rsidR="006126BA">
        <w:t xml:space="preserve">. Il rappelle également qu’une peine d’emprisonnement dans la collectivité n’est pas, par définition, une peine clémente et légère et qu’elle peut répondre adéquatement aux objectifs de dénonciation et de dissuasion. Il cite à cet égard les motifs du juge Healy dans l’arrêt </w:t>
      </w:r>
      <w:r w:rsidR="006126BA" w:rsidRPr="00A950C0">
        <w:rPr>
          <w:i/>
          <w:iCs/>
        </w:rPr>
        <w:t>R.</w:t>
      </w:r>
      <w:r w:rsidR="00C64239" w:rsidRPr="00A950C0">
        <w:rPr>
          <w:i/>
          <w:iCs/>
        </w:rPr>
        <w:t> </w:t>
      </w:r>
      <w:r w:rsidR="006126BA" w:rsidRPr="00A950C0">
        <w:rPr>
          <w:i/>
          <w:iCs/>
        </w:rPr>
        <w:t>c.</w:t>
      </w:r>
      <w:r w:rsidR="00C64239" w:rsidRPr="00A950C0">
        <w:rPr>
          <w:i/>
          <w:iCs/>
        </w:rPr>
        <w:t> </w:t>
      </w:r>
      <w:r w:rsidR="006126BA" w:rsidRPr="00A950C0">
        <w:rPr>
          <w:i/>
          <w:iCs/>
        </w:rPr>
        <w:t>Aubie</w:t>
      </w:r>
      <w:r>
        <w:rPr>
          <w:rStyle w:val="Appelnotedebasdep"/>
        </w:rPr>
        <w:footnoteReference w:id="14"/>
      </w:r>
      <w:r w:rsidR="006126BA">
        <w:t> :</w:t>
      </w:r>
    </w:p>
    <w:p w14:paraId="12E2618F" w14:textId="05367E18" w:rsidR="00A950C0" w:rsidRPr="00075993" w:rsidRDefault="00507CCA" w:rsidP="00A950C0">
      <w:pPr>
        <w:pStyle w:val="Citationenretrait"/>
        <w:rPr>
          <w:lang w:eastAsia="fr-CA"/>
        </w:rPr>
      </w:pPr>
      <w:r w:rsidRPr="00075993">
        <w:rPr>
          <w:lang w:eastAsia="fr-CA"/>
        </w:rPr>
        <w:t>[73]</w:t>
      </w:r>
      <w:r w:rsidR="00533140">
        <w:rPr>
          <w:lang w:eastAsia="fr-CA"/>
        </w:rPr>
        <w:tab/>
      </w:r>
      <w:r w:rsidRPr="00075993">
        <w:rPr>
          <w:lang w:eastAsia="fr-CA"/>
        </w:rPr>
        <w:t>Un emprisonnement avec sursis est une privation de liberté, susceptible de répondre adéquatement aux objectifs de dénonciation et de dissuasion à l’égard d’une peine par ailleurs proportionnelle. Il ne permet aucune remise de peine et peut être assorti de limites hautement restrictives pour une période de deux ans moins un jour. Il peut constituer une peine sévère et est souvent plus sévère qu’une peine d’emprisonnement dans un établissement carcéral.</w:t>
      </w:r>
      <w:r w:rsidR="00533140">
        <w:rPr>
          <w:lang w:eastAsia="fr-CA"/>
        </w:rPr>
        <w:t xml:space="preserve"> […]</w:t>
      </w:r>
    </w:p>
    <w:p w14:paraId="12AA3148" w14:textId="2B6429E1" w:rsidR="006126BA" w:rsidRDefault="00507CCA" w:rsidP="00F12A37">
      <w:pPr>
        <w:pStyle w:val="Paragraphe"/>
      </w:pPr>
      <w:r>
        <w:t>De fait, la jurisprudence reconnaît</w:t>
      </w:r>
      <w:r w:rsidR="00C64239">
        <w:t xml:space="preserve"> depuis longtemps que l’incarcération n’est pas la seule façon de répondre adéquatement aux objectifs de dénonciation et de </w:t>
      </w:r>
      <w:r w:rsidR="00C64239">
        <w:lastRenderedPageBreak/>
        <w:t>dissuasion</w:t>
      </w:r>
      <w:r>
        <w:rPr>
          <w:rStyle w:val="Appelnotedebasdep"/>
        </w:rPr>
        <w:footnoteReference w:id="15"/>
      </w:r>
      <w:r w:rsidR="00C64239">
        <w:t>. Le juge ici, pour s’assurer de répondre à ces objectifs, inflige une peine d’emprisonnement de deux</w:t>
      </w:r>
      <w:r w:rsidR="00BA3EBC">
        <w:t> </w:t>
      </w:r>
      <w:r w:rsidR="00C64239">
        <w:t>ans</w:t>
      </w:r>
      <w:r w:rsidR="00BA3EBC">
        <w:t> </w:t>
      </w:r>
      <w:r w:rsidR="00C64239">
        <w:t>moins</w:t>
      </w:r>
      <w:r w:rsidR="00BA3EBC">
        <w:t> </w:t>
      </w:r>
      <w:r w:rsidR="00C64239">
        <w:t>un</w:t>
      </w:r>
      <w:r w:rsidR="00BA3EBC">
        <w:t> </w:t>
      </w:r>
      <w:r w:rsidR="00C64239">
        <w:t xml:space="preserve">jour, qui est la durée maximale de l’emprisonnement </w:t>
      </w:r>
      <w:r w:rsidR="00A950C0">
        <w:t>avec sursis</w:t>
      </w:r>
      <w:r w:rsidR="00C64239">
        <w:t>. Il ordonne une probation de trois</w:t>
      </w:r>
      <w:r w:rsidR="00BA3EBC">
        <w:t> </w:t>
      </w:r>
      <w:r w:rsidR="00C64239">
        <w:t>ans, qui est également la durée maximale</w:t>
      </w:r>
      <w:r w:rsidR="00A950C0">
        <w:t>, et il assortit</w:t>
      </w:r>
      <w:r>
        <w:t xml:space="preserve"> </w:t>
      </w:r>
      <w:r w:rsidR="00BA3EBC" w:rsidRPr="00D2013C">
        <w:t>cette</w:t>
      </w:r>
      <w:r w:rsidR="00BA3EBC">
        <w:t xml:space="preserve"> </w:t>
      </w:r>
      <w:r w:rsidR="00873B1F">
        <w:t xml:space="preserve">ordonnance </w:t>
      </w:r>
      <w:r>
        <w:t>de la condition d’effectuer le nombre d’heures maximal de travaux communautaires, soit 240</w:t>
      </w:r>
      <w:r w:rsidR="00BA3EBC">
        <w:t> </w:t>
      </w:r>
      <w:r>
        <w:t xml:space="preserve">heures. </w:t>
      </w:r>
      <w:r w:rsidR="00873B1F">
        <w:t xml:space="preserve">Il clôt son jugement en </w:t>
      </w:r>
      <w:r w:rsidR="000B61B8">
        <w:t>fais</w:t>
      </w:r>
      <w:r w:rsidR="00873B1F">
        <w:t xml:space="preserve">ant </w:t>
      </w:r>
      <w:r w:rsidR="000B61B8">
        <w:t xml:space="preserve">observer </w:t>
      </w:r>
      <w:r w:rsidR="001565E6">
        <w:t>qu’</w:t>
      </w:r>
      <w:r w:rsidR="00873B1F">
        <w:t>« </w:t>
      </w:r>
      <w:r w:rsidR="001565E6">
        <w:t>[u]</w:t>
      </w:r>
      <w:r w:rsidR="00873B1F">
        <w:t>ne fois la peine purgée et la période probatoire terminée, l’accusé aura été sous l’égide du système judiciaire pour une période de plus de sept</w:t>
      </w:r>
      <w:r w:rsidR="00BA3EBC">
        <w:t> </w:t>
      </w:r>
      <w:r w:rsidR="00873B1F">
        <w:t>ans si on tient compte de la date de mise en accusation »</w:t>
      </w:r>
      <w:r>
        <w:rPr>
          <w:rStyle w:val="Appelnotedebasdep"/>
        </w:rPr>
        <w:footnoteReference w:id="16"/>
      </w:r>
      <w:r w:rsidR="00873B1F">
        <w:t>.</w:t>
      </w:r>
    </w:p>
    <w:p w14:paraId="0B441DA5" w14:textId="77777777" w:rsidR="00995C9C" w:rsidRDefault="00507CCA" w:rsidP="00F12A37">
      <w:pPr>
        <w:pStyle w:val="Paragraphe"/>
      </w:pPr>
      <w:r>
        <w:t>En somme, le poursuivant ne démontre pas que le juge a commis une erreur de principe dans la mise en balance des différents objectifs de détermination de la peine.</w:t>
      </w:r>
    </w:p>
    <w:p w14:paraId="3920F900" w14:textId="773D71D0" w:rsidR="000B61B8" w:rsidRDefault="00507CCA" w:rsidP="00F12A37">
      <w:pPr>
        <w:pStyle w:val="Paragraphe"/>
      </w:pPr>
      <w:r>
        <w:t xml:space="preserve">La peine infligée à l’intimé n’est pas non plus manifestement non indiquée eu égard </w:t>
      </w:r>
      <w:r w:rsidR="0074673F">
        <w:t>à la gravité des infractions et au degré de responsabilité du délinquant. Étant donné les facteurs atténuants retenus par le juge et le fait que l’intimé a plaidé coupable aux accusations, la peine ne s’écarte pas de manière déraisonnable du principe fondamental de la proportionnalité</w:t>
      </w:r>
      <w:r>
        <w:rPr>
          <w:rStyle w:val="Appelnotedebasdep"/>
        </w:rPr>
        <w:footnoteReference w:id="17"/>
      </w:r>
      <w:r w:rsidR="0074673F">
        <w:t>.</w:t>
      </w:r>
    </w:p>
    <w:p w14:paraId="699D032C" w14:textId="2557A089" w:rsidR="004D3C83" w:rsidRPr="00995C9C" w:rsidRDefault="00507CCA" w:rsidP="00995C9C">
      <w:pPr>
        <w:pStyle w:val="Paragraphe"/>
      </w:pPr>
      <w:r>
        <w:t>R</w:t>
      </w:r>
      <w:r w:rsidR="00995C9C" w:rsidRPr="00995C9C">
        <w:t xml:space="preserve">appelons </w:t>
      </w:r>
      <w:r>
        <w:t xml:space="preserve">également </w:t>
      </w:r>
      <w:r w:rsidRPr="00995C9C">
        <w:t xml:space="preserve">qu’une déférence accrue est de mise lorsque le </w:t>
      </w:r>
      <w:r w:rsidR="00995C9C">
        <w:rPr>
          <w:rFonts w:cs="Arial"/>
          <w:color w:val="171717"/>
          <w:lang w:eastAsia="fr-CA"/>
        </w:rPr>
        <w:t>poursuivant</w:t>
      </w:r>
      <w:r w:rsidRPr="00995C9C">
        <w:rPr>
          <w:rFonts w:cs="Arial"/>
          <w:color w:val="171717"/>
          <w:lang w:eastAsia="fr-CA"/>
        </w:rPr>
        <w:t xml:space="preserve"> se pourvoit contre une peine à être purgée dans la collectivité :</w:t>
      </w:r>
    </w:p>
    <w:p w14:paraId="478F8FB7" w14:textId="77777777" w:rsidR="004D3C83" w:rsidRPr="00323A91" w:rsidRDefault="00507CCA" w:rsidP="00E35E8A">
      <w:pPr>
        <w:pStyle w:val="Citationenretrait"/>
        <w:rPr>
          <w:lang w:val="en-CA" w:eastAsia="fr-CA"/>
        </w:rPr>
      </w:pPr>
      <w:r w:rsidRPr="00995C9C">
        <w:rPr>
          <w:lang w:val="en-CA" w:eastAsia="fr-CA"/>
        </w:rPr>
        <w:t>[…] I think</w:t>
      </w:r>
      <w:r w:rsidRPr="00995C9C">
        <w:rPr>
          <w:color w:val="575757"/>
          <w:lang w:val="en-CA" w:eastAsia="fr-CA"/>
        </w:rPr>
        <w:t xml:space="preserve">, </w:t>
      </w:r>
      <w:r w:rsidRPr="00995C9C">
        <w:rPr>
          <w:lang w:val="en-CA" w:eastAsia="fr-CA"/>
        </w:rPr>
        <w:t xml:space="preserve">however, that the court should be reluctant to vary a non-custodial sentence to a custodial sentence on a Crown appeal even where it finds error in principle unless it is also satisfied that the sentence </w:t>
      </w:r>
      <w:r w:rsidRPr="00995C9C">
        <w:rPr>
          <w:color w:val="303030"/>
          <w:lang w:val="en-CA" w:eastAsia="fr-CA"/>
        </w:rPr>
        <w:t>i</w:t>
      </w:r>
      <w:r w:rsidRPr="00995C9C">
        <w:rPr>
          <w:lang w:val="en-CA" w:eastAsia="fr-CA"/>
        </w:rPr>
        <w:t>mposed was outside of the acceptable range. This added limitation on appellate intervention recognizes the added hardship brought when a custodial sentence is imposed on appeal several months after an accused has received a non-custodial sentence at trial.</w:t>
      </w:r>
      <w:r>
        <w:rPr>
          <w:rStyle w:val="Appelnotedebasdep"/>
          <w:szCs w:val="22"/>
          <w:lang w:eastAsia="fr-CA"/>
        </w:rPr>
        <w:footnoteReference w:id="18"/>
      </w:r>
    </w:p>
    <w:p w14:paraId="369C4827" w14:textId="434CB93B" w:rsidR="004D3C83" w:rsidRPr="00075993" w:rsidRDefault="00507CCA">
      <w:pPr>
        <w:pStyle w:val="Paragraphe"/>
      </w:pPr>
      <w:r w:rsidRPr="00075993">
        <w:t>En définitive</w:t>
      </w:r>
      <w:r w:rsidR="00205292" w:rsidRPr="00075993">
        <w:t xml:space="preserve">, </w:t>
      </w:r>
      <w:r w:rsidR="000B120D" w:rsidRPr="00075993">
        <w:t>le poursuivant ne convainc pas la Cour qu’il y a lieu d’</w:t>
      </w:r>
      <w:r w:rsidRPr="00075993">
        <w:t xml:space="preserve">intervenir pour substituer </w:t>
      </w:r>
      <w:r w:rsidR="000B120D" w:rsidRPr="00075993">
        <w:t xml:space="preserve">une peine d’incarcération </w:t>
      </w:r>
      <w:r w:rsidRPr="00075993">
        <w:t>à la peine</w:t>
      </w:r>
      <w:r w:rsidR="000B120D" w:rsidRPr="00075993">
        <w:t xml:space="preserve"> infligée par le juge, laquelle demeure une peine proportionnelle dans les circonstances.</w:t>
      </w:r>
    </w:p>
    <w:p w14:paraId="6D4908CD" w14:textId="3BF1A585" w:rsidR="00D4574D" w:rsidRPr="00D4574D" w:rsidRDefault="00507CCA" w:rsidP="00D4574D">
      <w:pPr>
        <w:pStyle w:val="Paragraphe"/>
        <w:numPr>
          <w:ilvl w:val="0"/>
          <w:numId w:val="0"/>
        </w:numPr>
        <w:rPr>
          <w:b/>
          <w:bCs/>
        </w:rPr>
      </w:pPr>
      <w:r w:rsidRPr="00D4574D">
        <w:rPr>
          <w:b/>
          <w:bCs/>
        </w:rPr>
        <w:t>POUR CES MOTIFS, LA COUR :</w:t>
      </w:r>
    </w:p>
    <w:p w14:paraId="6A1FD53F" w14:textId="33651E2A" w:rsidR="00995C9C" w:rsidRPr="00995C9C" w:rsidRDefault="00507CCA">
      <w:pPr>
        <w:pStyle w:val="Paragraphe"/>
      </w:pPr>
      <w:r>
        <w:rPr>
          <w:b/>
          <w:bCs/>
        </w:rPr>
        <w:t xml:space="preserve">ACCUEILLE </w:t>
      </w:r>
      <w:r w:rsidRPr="00995C9C">
        <w:t>la requête en autorisation d’appel</w:t>
      </w:r>
      <w:r w:rsidR="00743BD1">
        <w:t xml:space="preserve"> de la sentence</w:t>
      </w:r>
      <w:r w:rsidRPr="00995C9C">
        <w:t>;</w:t>
      </w:r>
    </w:p>
    <w:p w14:paraId="5CB7B67D" w14:textId="0900433B" w:rsidR="00D4574D" w:rsidRDefault="00507CCA">
      <w:pPr>
        <w:pStyle w:val="Paragraphe"/>
      </w:pPr>
      <w:r w:rsidRPr="00D4574D">
        <w:rPr>
          <w:b/>
          <w:bCs/>
        </w:rPr>
        <w:t>REJETTE</w:t>
      </w:r>
      <w:r>
        <w:t xml:space="preserve"> l’appel;</w:t>
      </w:r>
    </w:p>
    <w:p w14:paraId="2F9E557F" w14:textId="7D66B62E" w:rsidR="00D4574D" w:rsidRDefault="00507CCA" w:rsidP="001F5B66">
      <w:pPr>
        <w:pStyle w:val="Paragraphe"/>
        <w:keepNext/>
      </w:pPr>
      <w:r w:rsidRPr="00D4574D">
        <w:rPr>
          <w:b/>
          <w:bCs/>
        </w:rPr>
        <w:lastRenderedPageBreak/>
        <w:t>ORDONNE</w:t>
      </w:r>
      <w:r w:rsidRPr="00D4574D">
        <w:t> à</w:t>
      </w:r>
      <w:r w:rsidR="001F5B66">
        <w:t> </w:t>
      </w:r>
      <w:r w:rsidRPr="00D4574D">
        <w:t>l’</w:t>
      </w:r>
      <w:r>
        <w:t>intimé</w:t>
      </w:r>
      <w:r w:rsidRPr="00D4574D">
        <w:t xml:space="preserve"> de se rapporter à son agent de surveillance dans les 48 heures du présent arrêt</w:t>
      </w:r>
      <w:r>
        <w:t>.</w:t>
      </w:r>
    </w:p>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1997"/>
        <w:gridCol w:w="2685"/>
        <w:gridCol w:w="4680"/>
      </w:tblGrid>
      <w:tr w:rsidR="00874AF2" w14:paraId="6BC4E93F" w14:textId="77777777" w:rsidTr="003E3239">
        <w:trPr>
          <w:trHeight w:val="576"/>
        </w:trPr>
        <w:tc>
          <w:tcPr>
            <w:tcW w:w="9362" w:type="dxa"/>
            <w:gridSpan w:val="3"/>
            <w:tcBorders>
              <w:top w:val="nil"/>
              <w:bottom w:val="nil"/>
            </w:tcBorders>
          </w:tcPr>
          <w:p w14:paraId="41B5853A" w14:textId="77777777" w:rsidR="008F364A" w:rsidRDefault="008F364A">
            <w:pPr>
              <w:keepNext/>
            </w:pPr>
          </w:p>
        </w:tc>
      </w:tr>
      <w:tr w:rsidR="00874AF2" w14:paraId="34EE5352" w14:textId="77777777" w:rsidTr="00117914">
        <w:trPr>
          <w:trHeight w:val="283"/>
        </w:trPr>
        <w:tc>
          <w:tcPr>
            <w:tcW w:w="4682" w:type="dxa"/>
            <w:gridSpan w:val="2"/>
            <w:tcBorders>
              <w:top w:val="nil"/>
              <w:bottom w:val="nil"/>
            </w:tcBorders>
          </w:tcPr>
          <w:p w14:paraId="7C34F44B" w14:textId="77777777" w:rsidR="008F364A" w:rsidRDefault="008F364A">
            <w:pPr>
              <w:keepNext/>
            </w:pPr>
          </w:p>
        </w:tc>
        <w:tc>
          <w:tcPr>
            <w:tcW w:w="4680" w:type="dxa"/>
            <w:tcBorders>
              <w:top w:val="nil"/>
              <w:bottom w:val="single" w:sz="8" w:space="0" w:color="auto"/>
            </w:tcBorders>
          </w:tcPr>
          <w:p w14:paraId="168CDC5B" w14:textId="77777777" w:rsidR="008F364A" w:rsidRDefault="008F364A">
            <w:pPr>
              <w:keepNext/>
            </w:pPr>
          </w:p>
        </w:tc>
      </w:tr>
      <w:tr w:rsidR="00874AF2" w14:paraId="2880BDB3" w14:textId="77777777" w:rsidTr="00117914">
        <w:trPr>
          <w:trHeight w:val="283"/>
        </w:trPr>
        <w:tc>
          <w:tcPr>
            <w:tcW w:w="4682" w:type="dxa"/>
            <w:gridSpan w:val="2"/>
            <w:tcBorders>
              <w:top w:val="nil"/>
            </w:tcBorders>
          </w:tcPr>
          <w:p w14:paraId="35FF3679" w14:textId="77777777" w:rsidR="008F364A" w:rsidRDefault="008F364A">
            <w:pPr>
              <w:keepNext/>
            </w:pPr>
          </w:p>
        </w:tc>
        <w:tc>
          <w:tcPr>
            <w:tcW w:w="4680" w:type="dxa"/>
            <w:tcBorders>
              <w:top w:val="single" w:sz="8" w:space="0" w:color="auto"/>
            </w:tcBorders>
          </w:tcPr>
          <w:p w14:paraId="1AD996F4" w14:textId="2D8720E5" w:rsidR="008F364A" w:rsidRDefault="00507CCA">
            <w:r>
              <w:t>GUY GAGNON, J.C.A.</w:t>
            </w:r>
          </w:p>
        </w:tc>
      </w:tr>
      <w:tr w:rsidR="00874AF2" w14:paraId="5C7BFA5F" w14:textId="77777777" w:rsidTr="00117914">
        <w:trPr>
          <w:trHeight w:val="283"/>
        </w:trPr>
        <w:tc>
          <w:tcPr>
            <w:tcW w:w="4682" w:type="dxa"/>
            <w:gridSpan w:val="2"/>
            <w:tcBorders>
              <w:top w:val="nil"/>
            </w:tcBorders>
          </w:tcPr>
          <w:p w14:paraId="6DFA3233" w14:textId="77777777" w:rsidR="008F364A" w:rsidRDefault="008F364A">
            <w:pPr>
              <w:keepNext/>
            </w:pPr>
            <w:bookmarkStart w:id="9" w:name="Signature2"/>
          </w:p>
        </w:tc>
        <w:tc>
          <w:tcPr>
            <w:tcW w:w="4680" w:type="dxa"/>
            <w:tcBorders>
              <w:top w:val="nil"/>
            </w:tcBorders>
          </w:tcPr>
          <w:p w14:paraId="3264B4E1" w14:textId="77777777" w:rsidR="008F364A" w:rsidRDefault="008F364A">
            <w:pPr>
              <w:keepNext/>
            </w:pPr>
          </w:p>
        </w:tc>
      </w:tr>
      <w:tr w:rsidR="00874AF2" w14:paraId="2884B478" w14:textId="77777777" w:rsidTr="00117914">
        <w:trPr>
          <w:trHeight w:val="283"/>
        </w:trPr>
        <w:tc>
          <w:tcPr>
            <w:tcW w:w="4682" w:type="dxa"/>
            <w:gridSpan w:val="2"/>
            <w:tcBorders>
              <w:top w:val="nil"/>
              <w:bottom w:val="nil"/>
            </w:tcBorders>
          </w:tcPr>
          <w:p w14:paraId="1B40F82A" w14:textId="77777777" w:rsidR="008F364A" w:rsidRDefault="008F364A">
            <w:pPr>
              <w:keepNext/>
            </w:pPr>
          </w:p>
        </w:tc>
        <w:tc>
          <w:tcPr>
            <w:tcW w:w="4680" w:type="dxa"/>
            <w:tcBorders>
              <w:top w:val="nil"/>
              <w:bottom w:val="single" w:sz="8" w:space="0" w:color="auto"/>
            </w:tcBorders>
          </w:tcPr>
          <w:p w14:paraId="267D1B15" w14:textId="77777777" w:rsidR="008F364A" w:rsidRDefault="008F364A">
            <w:pPr>
              <w:keepNext/>
            </w:pPr>
          </w:p>
        </w:tc>
      </w:tr>
      <w:tr w:rsidR="00874AF2" w14:paraId="368A4D96" w14:textId="77777777" w:rsidTr="00117914">
        <w:trPr>
          <w:trHeight w:val="283"/>
        </w:trPr>
        <w:tc>
          <w:tcPr>
            <w:tcW w:w="4682" w:type="dxa"/>
            <w:gridSpan w:val="2"/>
            <w:tcBorders>
              <w:top w:val="nil"/>
            </w:tcBorders>
          </w:tcPr>
          <w:p w14:paraId="060C3025" w14:textId="77777777" w:rsidR="008F364A" w:rsidRDefault="008F364A">
            <w:pPr>
              <w:keepNext/>
            </w:pPr>
          </w:p>
        </w:tc>
        <w:tc>
          <w:tcPr>
            <w:tcW w:w="4680" w:type="dxa"/>
            <w:tcBorders>
              <w:top w:val="single" w:sz="8" w:space="0" w:color="auto"/>
            </w:tcBorders>
          </w:tcPr>
          <w:p w14:paraId="1C9FB909" w14:textId="18D6E416" w:rsidR="008F364A" w:rsidRDefault="00507CCA">
            <w:pPr>
              <w:keepNext/>
            </w:pPr>
            <w:r>
              <w:t>SUZANNE GAGNÉ, J.C.A.</w:t>
            </w:r>
          </w:p>
        </w:tc>
      </w:tr>
      <w:tr w:rsidR="00874AF2" w14:paraId="17C43C72" w14:textId="77777777" w:rsidTr="00117914">
        <w:trPr>
          <w:trHeight w:val="283"/>
        </w:trPr>
        <w:tc>
          <w:tcPr>
            <w:tcW w:w="4682" w:type="dxa"/>
            <w:gridSpan w:val="2"/>
            <w:tcBorders>
              <w:top w:val="nil"/>
            </w:tcBorders>
          </w:tcPr>
          <w:p w14:paraId="72CF399F" w14:textId="77777777" w:rsidR="008F364A" w:rsidRDefault="008F364A">
            <w:pPr>
              <w:keepNext/>
            </w:pPr>
            <w:bookmarkStart w:id="10" w:name="Signature3"/>
            <w:bookmarkEnd w:id="9"/>
          </w:p>
        </w:tc>
        <w:tc>
          <w:tcPr>
            <w:tcW w:w="4680" w:type="dxa"/>
            <w:tcBorders>
              <w:top w:val="nil"/>
            </w:tcBorders>
          </w:tcPr>
          <w:p w14:paraId="12E28991" w14:textId="77777777" w:rsidR="008F364A" w:rsidRDefault="008F364A">
            <w:pPr>
              <w:keepNext/>
            </w:pPr>
          </w:p>
        </w:tc>
      </w:tr>
      <w:tr w:rsidR="00874AF2" w14:paraId="2B148C82" w14:textId="77777777" w:rsidTr="00117914">
        <w:trPr>
          <w:trHeight w:val="283"/>
        </w:trPr>
        <w:tc>
          <w:tcPr>
            <w:tcW w:w="4682" w:type="dxa"/>
            <w:gridSpan w:val="2"/>
            <w:tcBorders>
              <w:top w:val="nil"/>
              <w:bottom w:val="nil"/>
            </w:tcBorders>
          </w:tcPr>
          <w:p w14:paraId="5E4FA0CD" w14:textId="77777777" w:rsidR="008F364A" w:rsidRDefault="008F364A">
            <w:pPr>
              <w:keepNext/>
            </w:pPr>
          </w:p>
        </w:tc>
        <w:tc>
          <w:tcPr>
            <w:tcW w:w="4680" w:type="dxa"/>
            <w:tcBorders>
              <w:top w:val="nil"/>
              <w:bottom w:val="single" w:sz="8" w:space="0" w:color="auto"/>
            </w:tcBorders>
          </w:tcPr>
          <w:p w14:paraId="2FD8CBF0" w14:textId="77777777" w:rsidR="008F364A" w:rsidRDefault="008F364A">
            <w:pPr>
              <w:keepNext/>
            </w:pPr>
          </w:p>
        </w:tc>
      </w:tr>
      <w:tr w:rsidR="00874AF2" w14:paraId="2CDBCA35" w14:textId="77777777" w:rsidTr="00117914">
        <w:trPr>
          <w:trHeight w:val="283"/>
        </w:trPr>
        <w:tc>
          <w:tcPr>
            <w:tcW w:w="4682" w:type="dxa"/>
            <w:gridSpan w:val="2"/>
            <w:tcBorders>
              <w:top w:val="nil"/>
            </w:tcBorders>
          </w:tcPr>
          <w:p w14:paraId="4E5F144B" w14:textId="77777777" w:rsidR="008F364A" w:rsidRDefault="008F364A">
            <w:pPr>
              <w:keepNext/>
            </w:pPr>
          </w:p>
        </w:tc>
        <w:tc>
          <w:tcPr>
            <w:tcW w:w="4680" w:type="dxa"/>
            <w:tcBorders>
              <w:top w:val="single" w:sz="8" w:space="0" w:color="auto"/>
            </w:tcBorders>
          </w:tcPr>
          <w:p w14:paraId="309A5C83" w14:textId="704F36E5" w:rsidR="008F364A" w:rsidRDefault="00507CCA">
            <w:pPr>
              <w:keepNext/>
            </w:pPr>
            <w:r>
              <w:t>MYRIAM LACHANCE, J.C.A.</w:t>
            </w:r>
          </w:p>
        </w:tc>
      </w:tr>
      <w:bookmarkEnd w:id="10"/>
      <w:tr w:rsidR="00874AF2" w14:paraId="3E4DDAE7" w14:textId="77777777" w:rsidTr="00423DF1">
        <w:tc>
          <w:tcPr>
            <w:tcW w:w="9362" w:type="dxa"/>
            <w:gridSpan w:val="3"/>
          </w:tcPr>
          <w:p w14:paraId="1BFFC5A4" w14:textId="77777777" w:rsidR="005A78BF" w:rsidRPr="00FD6FBB" w:rsidRDefault="005A78BF" w:rsidP="005A78BF"/>
        </w:tc>
      </w:tr>
      <w:tr w:rsidR="00874AF2" w14:paraId="105B3DB7" w14:textId="77777777" w:rsidTr="00423DF1">
        <w:tc>
          <w:tcPr>
            <w:tcW w:w="9362" w:type="dxa"/>
            <w:gridSpan w:val="3"/>
          </w:tcPr>
          <w:p w14:paraId="4BD39DD8" w14:textId="24A2140C" w:rsidR="005A78BF" w:rsidRPr="00FD6FBB" w:rsidRDefault="00507CCA" w:rsidP="005A78BF">
            <w:pPr>
              <w:pStyle w:val="zSoquijdatNomProcureurDem"/>
              <w:rPr>
                <w:lang w:val="en-CA"/>
              </w:rPr>
            </w:pPr>
            <w:r>
              <w:t>M</w:t>
            </w:r>
            <w:r>
              <w:rPr>
                <w:vertAlign w:val="superscript"/>
              </w:rPr>
              <w:t>e</w:t>
            </w:r>
            <w:r>
              <w:t xml:space="preserve"> Sébastien Vallée</w:t>
            </w:r>
          </w:p>
        </w:tc>
      </w:tr>
      <w:tr w:rsidR="00874AF2" w14:paraId="246F4C27" w14:textId="77777777" w:rsidTr="00423DF1">
        <w:tc>
          <w:tcPr>
            <w:tcW w:w="9362" w:type="dxa"/>
            <w:gridSpan w:val="3"/>
          </w:tcPr>
          <w:p w14:paraId="175B4B95" w14:textId="3A01B74C" w:rsidR="005A78BF" w:rsidRPr="00FD6FBB" w:rsidRDefault="00507CCA" w:rsidP="005A78BF">
            <w:pPr>
              <w:pStyle w:val="zSoquijdatCabinetProcureurDem"/>
            </w:pPr>
            <w:r>
              <w:t>DIRECTEUR DES POURSUITES CRIMINELLES ET PÉNALES</w:t>
            </w:r>
          </w:p>
        </w:tc>
      </w:tr>
      <w:tr w:rsidR="00874AF2" w14:paraId="2D53077C" w14:textId="77777777" w:rsidTr="00423DF1">
        <w:tc>
          <w:tcPr>
            <w:tcW w:w="9362" w:type="dxa"/>
            <w:gridSpan w:val="3"/>
          </w:tcPr>
          <w:p w14:paraId="5CC93069" w14:textId="1D516585" w:rsidR="005A78BF" w:rsidRDefault="00507CCA" w:rsidP="005A78BF">
            <w:pPr>
              <w:pStyle w:val="zSoquijlblProcureurDem"/>
              <w:rPr>
                <w:lang w:val="en-CA"/>
              </w:rPr>
            </w:pPr>
            <w:r>
              <w:t>Pour l’appelant</w:t>
            </w:r>
          </w:p>
        </w:tc>
      </w:tr>
      <w:tr w:rsidR="00874AF2" w14:paraId="37F3918C" w14:textId="77777777" w:rsidTr="00423DF1">
        <w:tc>
          <w:tcPr>
            <w:tcW w:w="9362" w:type="dxa"/>
            <w:gridSpan w:val="3"/>
          </w:tcPr>
          <w:p w14:paraId="6552E3A1" w14:textId="77777777" w:rsidR="005A78BF" w:rsidRDefault="005A78BF" w:rsidP="005A78BF">
            <w:pPr>
              <w:rPr>
                <w:lang w:val="en-CA"/>
              </w:rPr>
            </w:pPr>
          </w:p>
        </w:tc>
      </w:tr>
      <w:tr w:rsidR="00874AF2" w14:paraId="6A9568CF" w14:textId="77777777" w:rsidTr="00423DF1">
        <w:tc>
          <w:tcPr>
            <w:tcW w:w="9362" w:type="dxa"/>
            <w:gridSpan w:val="3"/>
          </w:tcPr>
          <w:p w14:paraId="18C699EB" w14:textId="77777777" w:rsidR="005A78BF" w:rsidRDefault="00507CCA" w:rsidP="005A78BF">
            <w:pPr>
              <w:pStyle w:val="zSoquijdatNomProcureurDef"/>
            </w:pPr>
            <w:r>
              <w:t>M</w:t>
            </w:r>
            <w:r>
              <w:rPr>
                <w:vertAlign w:val="superscript"/>
              </w:rPr>
              <w:t>e</w:t>
            </w:r>
            <w:r>
              <w:t xml:space="preserve"> Julien Boulianne</w:t>
            </w:r>
          </w:p>
          <w:p w14:paraId="16237D95" w14:textId="2FE27BD4" w:rsidR="00E90062" w:rsidRPr="00E90062" w:rsidRDefault="00507CCA" w:rsidP="005A78BF">
            <w:pPr>
              <w:pStyle w:val="zSoquijdatNomProcureurDef"/>
            </w:pPr>
            <w:r w:rsidRPr="00E90062">
              <w:t>Mme Dylane Lemay-Staszczyk, stagiaire</w:t>
            </w:r>
            <w:r>
              <w:t xml:space="preserve"> en droit</w:t>
            </w:r>
          </w:p>
        </w:tc>
      </w:tr>
      <w:tr w:rsidR="00874AF2" w14:paraId="175660F2" w14:textId="77777777" w:rsidTr="00423DF1">
        <w:tc>
          <w:tcPr>
            <w:tcW w:w="9362" w:type="dxa"/>
            <w:gridSpan w:val="3"/>
          </w:tcPr>
          <w:p w14:paraId="00E2C96F" w14:textId="22EBD165" w:rsidR="005A78BF" w:rsidRDefault="00507CCA" w:rsidP="005A78BF">
            <w:pPr>
              <w:pStyle w:val="zSoquijdatCabinetProcureurDef"/>
              <w:rPr>
                <w:lang w:val="en-CA"/>
              </w:rPr>
            </w:pPr>
            <w:r>
              <w:t>CANTIN, BOULIANNE</w:t>
            </w:r>
          </w:p>
        </w:tc>
      </w:tr>
      <w:tr w:rsidR="00874AF2" w14:paraId="7C2C275D" w14:textId="77777777" w:rsidTr="00423DF1">
        <w:tc>
          <w:tcPr>
            <w:tcW w:w="9362" w:type="dxa"/>
            <w:gridSpan w:val="3"/>
          </w:tcPr>
          <w:p w14:paraId="67D1F18A" w14:textId="7F23B711" w:rsidR="005A78BF" w:rsidRDefault="00507CCA" w:rsidP="005A78BF">
            <w:pPr>
              <w:pStyle w:val="zSoquijlblProcureurDef"/>
              <w:rPr>
                <w:lang w:val="en-CA"/>
              </w:rPr>
            </w:pPr>
            <w:r>
              <w:t>Pour l’intimé</w:t>
            </w:r>
          </w:p>
        </w:tc>
      </w:tr>
      <w:tr w:rsidR="00874AF2" w14:paraId="233BD59F" w14:textId="77777777" w:rsidTr="00423DF1">
        <w:tc>
          <w:tcPr>
            <w:tcW w:w="9362" w:type="dxa"/>
            <w:gridSpan w:val="3"/>
          </w:tcPr>
          <w:p w14:paraId="44EF166B" w14:textId="77777777" w:rsidR="005A78BF" w:rsidRDefault="005A78BF" w:rsidP="005A78BF">
            <w:pPr>
              <w:rPr>
                <w:lang w:val="en-CA"/>
              </w:rPr>
            </w:pPr>
          </w:p>
        </w:tc>
      </w:tr>
      <w:tr w:rsidR="00874AF2" w14:paraId="23CA7126" w14:textId="77777777" w:rsidTr="00423DF1">
        <w:tc>
          <w:tcPr>
            <w:tcW w:w="1997" w:type="dxa"/>
          </w:tcPr>
          <w:p w14:paraId="497F0AEE" w14:textId="77777777" w:rsidR="005A78BF" w:rsidRDefault="00507CCA" w:rsidP="005A78BF">
            <w:pPr>
              <w:pStyle w:val="zSoquijlblDateAudience"/>
            </w:pPr>
            <w:r>
              <w:t>Date d’audience :</w:t>
            </w:r>
          </w:p>
        </w:tc>
        <w:tc>
          <w:tcPr>
            <w:tcW w:w="7365" w:type="dxa"/>
            <w:gridSpan w:val="2"/>
          </w:tcPr>
          <w:p w14:paraId="29D321F5" w14:textId="76A187A6" w:rsidR="005A78BF" w:rsidRDefault="00507CCA" w:rsidP="005A78BF">
            <w:pPr>
              <w:pStyle w:val="zSoquijdatDateAudience"/>
            </w:pPr>
            <w:r>
              <w:t>23 octobre 2026</w:t>
            </w:r>
          </w:p>
        </w:tc>
      </w:tr>
      <w:bookmarkEnd w:id="7"/>
    </w:tbl>
    <w:p w14:paraId="44407E91" w14:textId="77777777" w:rsidR="00740A17" w:rsidRDefault="00740A17" w:rsidP="00FD6FBB"/>
    <w:sectPr w:rsidR="00740A17" w:rsidSect="00FD6FBB">
      <w:headerReference w:type="default" r:id="rId8"/>
      <w:pgSz w:w="12242" w:h="15842" w:code="1"/>
      <w:pgMar w:top="1440" w:right="1008" w:bottom="1440" w:left="1872" w:header="1440" w:footer="7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80B45" w14:textId="77777777" w:rsidR="005B61D9" w:rsidRDefault="005B61D9">
      <w:pPr>
        <w:spacing w:line="240" w:lineRule="auto"/>
      </w:pPr>
      <w:r>
        <w:separator/>
      </w:r>
    </w:p>
  </w:endnote>
  <w:endnote w:type="continuationSeparator" w:id="0">
    <w:p w14:paraId="1E68E40B" w14:textId="77777777" w:rsidR="005B61D9" w:rsidRDefault="005B61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83BCF" w14:textId="77777777" w:rsidR="005B61D9" w:rsidRDefault="005B61D9">
      <w:r>
        <w:separator/>
      </w:r>
    </w:p>
  </w:footnote>
  <w:footnote w:type="continuationSeparator" w:id="0">
    <w:p w14:paraId="4CFB7FE0" w14:textId="77777777" w:rsidR="005B61D9" w:rsidRDefault="005B61D9">
      <w:r>
        <w:continuationSeparator/>
      </w:r>
    </w:p>
  </w:footnote>
  <w:footnote w:id="1">
    <w:p w14:paraId="4F7DDD8A" w14:textId="5CB6A84A" w:rsidR="000B1A4A" w:rsidRDefault="00507CCA" w:rsidP="000B1A4A">
      <w:pPr>
        <w:pStyle w:val="Notedebasdepage"/>
      </w:pPr>
      <w:r>
        <w:rPr>
          <w:rStyle w:val="Appelnotedebasdep"/>
        </w:rPr>
        <w:footnoteRef/>
      </w:r>
      <w:r>
        <w:t xml:space="preserve"> </w:t>
      </w:r>
      <w:r>
        <w:tab/>
      </w:r>
      <w:r w:rsidRPr="000E77E9">
        <w:rPr>
          <w:i/>
          <w:iCs/>
        </w:rPr>
        <w:t>R. c. Côté-Vachon</w:t>
      </w:r>
      <w:r>
        <w:t>, C.Q. Chicoutimi, n°150-01-072038</w:t>
      </w:r>
      <w:r w:rsidR="00533140">
        <w:t>-</w:t>
      </w:r>
      <w:r>
        <w:t>236, 17 février 2026, Guimond, j.c.q. [Jugement</w:t>
      </w:r>
      <w:r w:rsidR="00C30175">
        <w:t> s</w:t>
      </w:r>
      <w:r>
        <w:t xml:space="preserve">ur la </w:t>
      </w:r>
      <w:r w:rsidR="00C30175" w:rsidRPr="004F66B0">
        <w:t>sentence</w:t>
      </w:r>
      <w:r>
        <w:t>]</w:t>
      </w:r>
      <w:r w:rsidR="00C30175">
        <w:t>.</w:t>
      </w:r>
    </w:p>
  </w:footnote>
  <w:footnote w:id="2">
    <w:p w14:paraId="06880912" w14:textId="04392C24" w:rsidR="00721640" w:rsidRDefault="00507CCA" w:rsidP="00721640">
      <w:pPr>
        <w:pStyle w:val="Notedebasdepage"/>
      </w:pPr>
      <w:r>
        <w:rPr>
          <w:rStyle w:val="Appelnotedebasdep"/>
        </w:rPr>
        <w:footnoteRef/>
      </w:r>
      <w:r>
        <w:tab/>
      </w:r>
      <w:r w:rsidR="00A06958">
        <w:t>T</w:t>
      </w:r>
      <w:r>
        <w:t xml:space="preserve">rame </w:t>
      </w:r>
      <w:r w:rsidR="00A06958">
        <w:t>des faits au</w:t>
      </w:r>
      <w:r w:rsidR="00FD5EFF">
        <w:t>x fins de</w:t>
      </w:r>
      <w:r w:rsidR="00A06958">
        <w:t xml:space="preserve"> plaidoyer de culpabilité</w:t>
      </w:r>
      <w:r>
        <w:t>, 18 décembre 202</w:t>
      </w:r>
      <w:r w:rsidR="00A06958">
        <w:t>4.</w:t>
      </w:r>
    </w:p>
  </w:footnote>
  <w:footnote w:id="3">
    <w:p w14:paraId="3EEB03E0" w14:textId="27E18B80" w:rsidR="00C522A8" w:rsidRDefault="00507CCA">
      <w:pPr>
        <w:pStyle w:val="Notedebasdepage"/>
      </w:pPr>
      <w:r>
        <w:rPr>
          <w:rStyle w:val="Appelnotedebasdep"/>
        </w:rPr>
        <w:footnoteRef/>
      </w:r>
      <w:r>
        <w:tab/>
      </w:r>
      <w:r w:rsidRPr="00C522A8">
        <w:rPr>
          <w:i/>
          <w:iCs/>
        </w:rPr>
        <w:t>R. c. Houle</w:t>
      </w:r>
      <w:r>
        <w:t>, 2023 QCCA 99, par. 41.</w:t>
      </w:r>
    </w:p>
  </w:footnote>
  <w:footnote w:id="4">
    <w:p w14:paraId="635A69D5" w14:textId="69FE52AD" w:rsidR="00205292" w:rsidRDefault="00507CCA">
      <w:pPr>
        <w:pStyle w:val="Notedebasdepage"/>
      </w:pPr>
      <w:r>
        <w:rPr>
          <w:rStyle w:val="Appelnotedebasdep"/>
        </w:rPr>
        <w:footnoteRef/>
      </w:r>
      <w:r>
        <w:tab/>
        <w:t xml:space="preserve">Jugement sur la </w:t>
      </w:r>
      <w:r w:rsidR="00C30175" w:rsidRPr="00C33828">
        <w:t>sentence</w:t>
      </w:r>
      <w:r>
        <w:t>, p. 13.</w:t>
      </w:r>
    </w:p>
  </w:footnote>
  <w:footnote w:id="5">
    <w:p w14:paraId="3FC1683C" w14:textId="54597125" w:rsidR="00205292" w:rsidRDefault="00507CCA">
      <w:pPr>
        <w:pStyle w:val="Notedebasdepage"/>
      </w:pPr>
      <w:r>
        <w:rPr>
          <w:rStyle w:val="Appelnotedebasdep"/>
        </w:rPr>
        <w:footnoteRef/>
      </w:r>
      <w:r>
        <w:tab/>
      </w:r>
      <w:r w:rsidRPr="00205292">
        <w:rPr>
          <w:i/>
          <w:iCs/>
        </w:rPr>
        <w:t>Id</w:t>
      </w:r>
      <w:r>
        <w:t>., p. 9.</w:t>
      </w:r>
    </w:p>
  </w:footnote>
  <w:footnote w:id="6">
    <w:p w14:paraId="40286646" w14:textId="344357DE" w:rsidR="00205292" w:rsidRDefault="00507CCA">
      <w:pPr>
        <w:pStyle w:val="Notedebasdepage"/>
      </w:pPr>
      <w:r>
        <w:rPr>
          <w:rStyle w:val="Appelnotedebasdep"/>
        </w:rPr>
        <w:footnoteRef/>
      </w:r>
      <w:r>
        <w:tab/>
      </w:r>
      <w:r w:rsidRPr="00205292">
        <w:rPr>
          <w:i/>
          <w:iCs/>
        </w:rPr>
        <w:t>Ibid.</w:t>
      </w:r>
    </w:p>
  </w:footnote>
  <w:footnote w:id="7">
    <w:p w14:paraId="1C6928D1" w14:textId="5194DE25" w:rsidR="00F90464" w:rsidRDefault="00507CCA">
      <w:pPr>
        <w:pStyle w:val="Notedebasdepage"/>
      </w:pPr>
      <w:r>
        <w:rPr>
          <w:rStyle w:val="Appelnotedebasdep"/>
        </w:rPr>
        <w:footnoteRef/>
      </w:r>
      <w:r>
        <w:tab/>
      </w:r>
      <w:r w:rsidRPr="00F90464">
        <w:rPr>
          <w:i/>
          <w:iCs/>
        </w:rPr>
        <w:t>R. c. Cope</w:t>
      </w:r>
      <w:r>
        <w:t>, 2026 CSC 32, par. 65.</w:t>
      </w:r>
      <w:r w:rsidR="002A7566">
        <w:t xml:space="preserve"> Voir aussi l’historique législatif tracé par les juges dissidents, par. 219</w:t>
      </w:r>
      <w:r w:rsidR="007C6295">
        <w:t>-223.</w:t>
      </w:r>
    </w:p>
  </w:footnote>
  <w:footnote w:id="8">
    <w:p w14:paraId="2E9093A7" w14:textId="6F3AF45A" w:rsidR="00F90464" w:rsidRDefault="00507CCA">
      <w:pPr>
        <w:pStyle w:val="Notedebasdepage"/>
      </w:pPr>
      <w:r>
        <w:rPr>
          <w:rStyle w:val="Appelnotedebasdep"/>
        </w:rPr>
        <w:footnoteRef/>
      </w:r>
      <w:r>
        <w:tab/>
      </w:r>
      <w:r w:rsidRPr="00F90464">
        <w:rPr>
          <w:i/>
          <w:iCs/>
        </w:rPr>
        <w:t>Id</w:t>
      </w:r>
      <w:r>
        <w:t>., par. 69.</w:t>
      </w:r>
    </w:p>
  </w:footnote>
  <w:footnote w:id="9">
    <w:p w14:paraId="4905D057" w14:textId="5425A345" w:rsidR="00F90464" w:rsidRDefault="00507CCA">
      <w:pPr>
        <w:pStyle w:val="Notedebasdepage"/>
      </w:pPr>
      <w:r>
        <w:rPr>
          <w:rStyle w:val="Appelnotedebasdep"/>
        </w:rPr>
        <w:footnoteRef/>
      </w:r>
      <w:r>
        <w:tab/>
      </w:r>
      <w:r w:rsidRPr="00F90464">
        <w:rPr>
          <w:i/>
          <w:iCs/>
        </w:rPr>
        <w:t>Ibid</w:t>
      </w:r>
      <w:r>
        <w:t>.</w:t>
      </w:r>
    </w:p>
  </w:footnote>
  <w:footnote w:id="10">
    <w:p w14:paraId="660CE195" w14:textId="195A51D7" w:rsidR="006D196A" w:rsidRDefault="00507CCA">
      <w:pPr>
        <w:pStyle w:val="Notedebasdepage"/>
      </w:pPr>
      <w:r>
        <w:rPr>
          <w:rStyle w:val="Appelnotedebasdep"/>
        </w:rPr>
        <w:footnoteRef/>
      </w:r>
      <w:r>
        <w:tab/>
      </w:r>
      <w:r w:rsidR="007C6295">
        <w:t>Voir le sous-al. 718.2a)(iii) </w:t>
      </w:r>
      <w:r w:rsidR="007C6295" w:rsidRPr="0002499A">
        <w:rPr>
          <w:i/>
          <w:iCs/>
        </w:rPr>
        <w:t>C.cr</w:t>
      </w:r>
      <w:r w:rsidR="007C6295">
        <w:rPr>
          <w:i/>
          <w:iCs/>
        </w:rPr>
        <w:t>.</w:t>
      </w:r>
      <w:r w:rsidR="007C6295">
        <w:t> : le fait que l’infraction constitue un abus de la confiance de la victime est considéré comme une circonstance aggravante.</w:t>
      </w:r>
    </w:p>
  </w:footnote>
  <w:footnote w:id="11">
    <w:p w14:paraId="394118ED" w14:textId="3D9FD7B9" w:rsidR="006B717C" w:rsidRDefault="00507CCA">
      <w:pPr>
        <w:pStyle w:val="Notedebasdepage"/>
      </w:pPr>
      <w:r>
        <w:rPr>
          <w:rStyle w:val="Appelnotedebasdep"/>
        </w:rPr>
        <w:footnoteRef/>
      </w:r>
      <w:r>
        <w:tab/>
        <w:t xml:space="preserve">Voir notamment : </w:t>
      </w:r>
      <w:r w:rsidRPr="006B717C">
        <w:rPr>
          <w:i/>
          <w:iCs/>
        </w:rPr>
        <w:t>Lemieux c. R.</w:t>
      </w:r>
      <w:r>
        <w:t xml:space="preserve">, 2023 QCCA 480, par. 68-70; </w:t>
      </w:r>
      <w:r w:rsidRPr="006B717C">
        <w:rPr>
          <w:i/>
          <w:iCs/>
        </w:rPr>
        <w:t>R. c. Houle</w:t>
      </w:r>
      <w:r>
        <w:t>, 2023 QCCA 99, par. 45.</w:t>
      </w:r>
    </w:p>
  </w:footnote>
  <w:footnote w:id="12">
    <w:p w14:paraId="6288B3F8" w14:textId="59A9B0B0" w:rsidR="00B41C2C" w:rsidRDefault="00507CCA">
      <w:pPr>
        <w:pStyle w:val="Notedebasdepage"/>
      </w:pPr>
      <w:r>
        <w:rPr>
          <w:rStyle w:val="Appelnotedebasdep"/>
        </w:rPr>
        <w:footnoteRef/>
      </w:r>
      <w:r>
        <w:tab/>
        <w:t xml:space="preserve">Jugement sur la </w:t>
      </w:r>
      <w:r w:rsidR="00BA3EBC" w:rsidRPr="00C33828">
        <w:t>sentence</w:t>
      </w:r>
      <w:r>
        <w:t>, p. 11.</w:t>
      </w:r>
    </w:p>
  </w:footnote>
  <w:footnote w:id="13">
    <w:p w14:paraId="308C9EAD" w14:textId="239734BD" w:rsidR="00B41C2C" w:rsidRDefault="00507CCA">
      <w:pPr>
        <w:pStyle w:val="Notedebasdepage"/>
      </w:pPr>
      <w:r>
        <w:rPr>
          <w:rStyle w:val="Appelnotedebasdep"/>
        </w:rPr>
        <w:footnoteRef/>
      </w:r>
      <w:r>
        <w:tab/>
      </w:r>
      <w:r w:rsidRPr="00B41C2C">
        <w:rPr>
          <w:i/>
          <w:iCs/>
        </w:rPr>
        <w:t>Casavant c. R.</w:t>
      </w:r>
      <w:r>
        <w:t>, 2025 QCCA 20.</w:t>
      </w:r>
    </w:p>
  </w:footnote>
  <w:footnote w:id="14">
    <w:p w14:paraId="03CFFC17" w14:textId="37DEB41E" w:rsidR="00A950C0" w:rsidRDefault="00507CCA">
      <w:pPr>
        <w:pStyle w:val="Notedebasdepage"/>
      </w:pPr>
      <w:r>
        <w:rPr>
          <w:rStyle w:val="Appelnotedebasdep"/>
        </w:rPr>
        <w:footnoteRef/>
      </w:r>
      <w:r>
        <w:tab/>
      </w:r>
      <w:r w:rsidRPr="00A950C0">
        <w:rPr>
          <w:i/>
          <w:iCs/>
        </w:rPr>
        <w:t>R. c. Aubie</w:t>
      </w:r>
      <w:r>
        <w:t>, 2024 QCCA 1677, par. 73.</w:t>
      </w:r>
    </w:p>
  </w:footnote>
  <w:footnote w:id="15">
    <w:p w14:paraId="4693B48E" w14:textId="5274CCF5" w:rsidR="00A839CA" w:rsidRDefault="00507CCA">
      <w:pPr>
        <w:pStyle w:val="Notedebasdepage"/>
      </w:pPr>
      <w:r>
        <w:rPr>
          <w:rStyle w:val="Appelnotedebasdep"/>
        </w:rPr>
        <w:footnoteRef/>
      </w:r>
      <w:r>
        <w:tab/>
      </w:r>
      <w:r w:rsidRPr="00A839CA">
        <w:rPr>
          <w:i/>
          <w:iCs/>
        </w:rPr>
        <w:t>R. c. Proulx</w:t>
      </w:r>
      <w:r>
        <w:t xml:space="preserve">, 2000 CSC 5, par. 22. Voir aussi : </w:t>
      </w:r>
      <w:r w:rsidR="00A950C0" w:rsidRPr="00A950C0">
        <w:rPr>
          <w:i/>
          <w:iCs/>
        </w:rPr>
        <w:t>E.P. c. R.</w:t>
      </w:r>
      <w:r w:rsidR="00A950C0">
        <w:t xml:space="preserve">, 2025 QCCA 1336, par. 24; </w:t>
      </w:r>
      <w:r w:rsidRPr="00A950C0">
        <w:rPr>
          <w:i/>
          <w:iCs/>
        </w:rPr>
        <w:t>Harbour c. R.</w:t>
      </w:r>
      <w:r w:rsidR="00A950C0">
        <w:t>, 2017 QCCA 204, par. 81</w:t>
      </w:r>
      <w:r w:rsidR="00533140">
        <w:t>.</w:t>
      </w:r>
    </w:p>
  </w:footnote>
  <w:footnote w:id="16">
    <w:p w14:paraId="02E29BF3" w14:textId="2A364F7A" w:rsidR="00873B1F" w:rsidRDefault="00507CCA">
      <w:pPr>
        <w:pStyle w:val="Notedebasdepage"/>
      </w:pPr>
      <w:r>
        <w:rPr>
          <w:rStyle w:val="Appelnotedebasdep"/>
        </w:rPr>
        <w:footnoteRef/>
      </w:r>
      <w:r>
        <w:tab/>
        <w:t xml:space="preserve">Jugement sur la </w:t>
      </w:r>
      <w:r w:rsidR="00BA3EBC" w:rsidRPr="00C33828">
        <w:t>sentence</w:t>
      </w:r>
      <w:r>
        <w:t>, p. 14.</w:t>
      </w:r>
    </w:p>
  </w:footnote>
  <w:footnote w:id="17">
    <w:p w14:paraId="612606FF" w14:textId="06AEEDC4" w:rsidR="0074673F" w:rsidRDefault="00507CCA">
      <w:pPr>
        <w:pStyle w:val="Notedebasdepage"/>
      </w:pPr>
      <w:r>
        <w:rPr>
          <w:rStyle w:val="Appelnotedebasdep"/>
        </w:rPr>
        <w:footnoteRef/>
      </w:r>
      <w:r>
        <w:tab/>
      </w:r>
      <w:r w:rsidRPr="00E01D40">
        <w:rPr>
          <w:i/>
          <w:iCs/>
        </w:rPr>
        <w:t>R. c. Lacasse</w:t>
      </w:r>
      <w:r w:rsidRPr="00E01D40">
        <w:t>,</w:t>
      </w:r>
      <w:r>
        <w:t xml:space="preserve"> 2015 CSC 64</w:t>
      </w:r>
      <w:r w:rsidRPr="00E01D40">
        <w:t>, par. </w:t>
      </w:r>
      <w:r>
        <w:t>53.</w:t>
      </w:r>
    </w:p>
  </w:footnote>
  <w:footnote w:id="18">
    <w:p w14:paraId="470C424E" w14:textId="704497D6" w:rsidR="004D3C83" w:rsidRPr="00554DC7" w:rsidRDefault="00507CCA" w:rsidP="004D3C83">
      <w:pPr>
        <w:pStyle w:val="Notedebasdepage"/>
      </w:pPr>
      <w:r w:rsidRPr="00554DC7">
        <w:rPr>
          <w:rStyle w:val="Appelnotedebasdep"/>
        </w:rPr>
        <w:footnoteRef/>
      </w:r>
      <w:r w:rsidRPr="00554DC7">
        <w:tab/>
      </w:r>
      <w:r w:rsidRPr="00554DC7">
        <w:rPr>
          <w:i/>
          <w:iCs/>
        </w:rPr>
        <w:t>R. v. Russo</w:t>
      </w:r>
      <w:r w:rsidRPr="00554DC7">
        <w:t xml:space="preserve">, </w:t>
      </w:r>
      <w:r w:rsidR="008F03F6">
        <w:t xml:space="preserve">42 O.R. (3d) 120 </w:t>
      </w:r>
      <w:r w:rsidRPr="00554DC7">
        <w:t>(C.A.</w:t>
      </w:r>
      <w:r w:rsidR="008F03F6">
        <w:t> </w:t>
      </w:r>
      <w:r w:rsidRPr="00554DC7">
        <w:t xml:space="preserve">Ont.), cité par </w:t>
      </w:r>
      <w:r w:rsidRPr="00554DC7">
        <w:rPr>
          <w:i/>
          <w:iCs/>
        </w:rPr>
        <w:t>R. c. Cabana</w:t>
      </w:r>
      <w:r w:rsidRPr="00554DC7">
        <w:t>,</w:t>
      </w:r>
      <w:r w:rsidR="008F03F6">
        <w:t xml:space="preserve"> 2026 QCCA 1081</w:t>
      </w:r>
      <w:r w:rsidRPr="00554DC7">
        <w:t xml:space="preserve">, par. 9 et </w:t>
      </w:r>
      <w:r w:rsidRPr="00554DC7">
        <w:rPr>
          <w:i/>
          <w:iCs/>
        </w:rPr>
        <w:t>R. c. Von Gunten</w:t>
      </w:r>
      <w:r w:rsidRPr="00554DC7">
        <w:t xml:space="preserve">, </w:t>
      </w:r>
      <w:r w:rsidR="008F03F6">
        <w:t xml:space="preserve">2006 QCCA 286, </w:t>
      </w:r>
      <w:r w:rsidRPr="00554DC7">
        <w:t>par. 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2938" w14:textId="1EB90A50" w:rsidR="007E33E4" w:rsidRDefault="00507CCA" w:rsidP="00DB2119">
    <w:pPr>
      <w:tabs>
        <w:tab w:val="center" w:pos="4709"/>
        <w:tab w:val="right" w:pos="9360"/>
      </w:tabs>
      <w:spacing w:line="360" w:lineRule="auto"/>
      <w:ind w:right="524"/>
    </w:pPr>
    <w:bookmarkStart w:id="11" w:name="EntDossier"/>
    <w:r>
      <w:t>200-10-700225-266</w:t>
    </w:r>
    <w:bookmarkEnd w:id="11"/>
    <w:r w:rsidRPr="007462D6">
      <w:t xml:space="preserve"> </w:t>
    </w:r>
    <w:r>
      <w:tab/>
    </w:r>
    <w:r>
      <w:tab/>
      <w:t xml:space="preserve">PAGE : </w:t>
    </w:r>
    <w:r>
      <w:fldChar w:fldCharType="begin"/>
    </w:r>
    <w:r>
      <w:instrText xml:space="preserve"> PAGE </w:instrText>
    </w:r>
    <w:r>
      <w:fldChar w:fldCharType="separate"/>
    </w:r>
    <w:r>
      <w:t>8</w:t>
    </w:r>
    <w:r>
      <w:fldChar w:fldCharType="end"/>
    </w:r>
  </w:p>
  <w:p w14:paraId="7AB133D0" w14:textId="77777777" w:rsidR="007E33E4" w:rsidRDefault="007E33E4" w:rsidP="00DB2119">
    <w:pPr>
      <w:tabs>
        <w:tab w:val="center" w:pos="4709"/>
        <w:tab w:val="right" w:pos="9360"/>
      </w:tabs>
      <w:spacing w:line="360" w:lineRule="auto"/>
      <w:ind w:right="5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80E1E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12EA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2647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1C3B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4EAB8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1219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8070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6436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DCE6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34AE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BB52DE"/>
    <w:multiLevelType w:val="multilevel"/>
    <w:tmpl w:val="79E601F0"/>
    <w:lvl w:ilvl="0">
      <w:start w:val="1"/>
      <w:numFmt w:val="decimal"/>
      <w:pStyle w:val="Paragraphe"/>
      <w:lvlText w:val="[%1]"/>
      <w:lvlJc w:val="left"/>
      <w:pPr>
        <w:tabs>
          <w:tab w:val="num" w:pos="720"/>
        </w:tabs>
        <w:ind w:left="0" w:firstLine="0"/>
      </w:pPr>
      <w:rPr>
        <w:rFonts w:hint="default"/>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4A9D1B84"/>
    <w:multiLevelType w:val="multilevel"/>
    <w:tmpl w:val="2766DEE4"/>
    <w:lvl w:ilvl="0">
      <w:start w:val="1"/>
      <w:numFmt w:val="bullet"/>
      <w:lvlText w:val=""/>
      <w:lvlJc w:val="left"/>
      <w:pPr>
        <w:tabs>
          <w:tab w:val="num" w:pos="792"/>
        </w:tabs>
        <w:ind w:left="792" w:hanging="72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09C0DCC"/>
    <w:multiLevelType w:val="multilevel"/>
    <w:tmpl w:val="F11C8164"/>
    <w:lvl w:ilvl="0">
      <w:start w:val="1"/>
      <w:numFmt w:val="decimal"/>
      <w:lvlText w:val="[%1]"/>
      <w:lvlJc w:val="left"/>
      <w:pPr>
        <w:tabs>
          <w:tab w:val="num" w:pos="360"/>
        </w:tabs>
        <w:ind w:left="0" w:firstLine="0"/>
      </w:pPr>
      <w:rPr>
        <w:rFonts w:ascii="Arial" w:hAnsi="Arial" w:hint="default"/>
        <w:b w:val="0"/>
        <w:i w:val="0"/>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361520380">
    <w:abstractNumId w:val="12"/>
  </w:num>
  <w:num w:numId="2" w16cid:durableId="1782383917">
    <w:abstractNumId w:val="12"/>
  </w:num>
  <w:num w:numId="3" w16cid:durableId="1724252702">
    <w:abstractNumId w:val="12"/>
  </w:num>
  <w:num w:numId="4" w16cid:durableId="1593977513">
    <w:abstractNumId w:val="8"/>
  </w:num>
  <w:num w:numId="5" w16cid:durableId="1572156466">
    <w:abstractNumId w:val="3"/>
  </w:num>
  <w:num w:numId="6" w16cid:durableId="347367529">
    <w:abstractNumId w:val="2"/>
  </w:num>
  <w:num w:numId="7" w16cid:durableId="1281649420">
    <w:abstractNumId w:val="1"/>
  </w:num>
  <w:num w:numId="8" w16cid:durableId="2104759532">
    <w:abstractNumId w:val="0"/>
  </w:num>
  <w:num w:numId="9" w16cid:durableId="1405686579">
    <w:abstractNumId w:val="9"/>
  </w:num>
  <w:num w:numId="10" w16cid:durableId="230581029">
    <w:abstractNumId w:val="7"/>
  </w:num>
  <w:num w:numId="11" w16cid:durableId="9140393">
    <w:abstractNumId w:val="6"/>
  </w:num>
  <w:num w:numId="12" w16cid:durableId="1512329591">
    <w:abstractNumId w:val="5"/>
  </w:num>
  <w:num w:numId="13" w16cid:durableId="1688216810">
    <w:abstractNumId w:val="4"/>
  </w:num>
  <w:num w:numId="14" w16cid:durableId="632519846">
    <w:abstractNumId w:val="12"/>
  </w:num>
  <w:num w:numId="15" w16cid:durableId="934631334">
    <w:abstractNumId w:val="12"/>
  </w:num>
  <w:num w:numId="16" w16cid:durableId="1245607460">
    <w:abstractNumId w:val="12"/>
  </w:num>
  <w:num w:numId="17" w16cid:durableId="1590769304">
    <w:abstractNumId w:val="11"/>
  </w:num>
  <w:num w:numId="18" w16cid:durableId="742103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BB"/>
    <w:rsid w:val="00001A2E"/>
    <w:rsid w:val="000131E1"/>
    <w:rsid w:val="0002499A"/>
    <w:rsid w:val="000332FE"/>
    <w:rsid w:val="0003433C"/>
    <w:rsid w:val="0004357E"/>
    <w:rsid w:val="0004394C"/>
    <w:rsid w:val="000515C6"/>
    <w:rsid w:val="00053691"/>
    <w:rsid w:val="00075993"/>
    <w:rsid w:val="000A7516"/>
    <w:rsid w:val="000B120D"/>
    <w:rsid w:val="000B1A4A"/>
    <w:rsid w:val="000B42AF"/>
    <w:rsid w:val="000B61B8"/>
    <w:rsid w:val="000C49A4"/>
    <w:rsid w:val="000C5EC1"/>
    <w:rsid w:val="000D7AE7"/>
    <w:rsid w:val="000E35E9"/>
    <w:rsid w:val="000E77E9"/>
    <w:rsid w:val="000F2F7B"/>
    <w:rsid w:val="000F4259"/>
    <w:rsid w:val="00110B53"/>
    <w:rsid w:val="00112321"/>
    <w:rsid w:val="00115A3B"/>
    <w:rsid w:val="00117914"/>
    <w:rsid w:val="0013028C"/>
    <w:rsid w:val="0015610F"/>
    <w:rsid w:val="001565E6"/>
    <w:rsid w:val="00160B31"/>
    <w:rsid w:val="0017508E"/>
    <w:rsid w:val="00181F56"/>
    <w:rsid w:val="00184A4C"/>
    <w:rsid w:val="00184BCD"/>
    <w:rsid w:val="00190FA7"/>
    <w:rsid w:val="001972F2"/>
    <w:rsid w:val="001B7CEB"/>
    <w:rsid w:val="001C0D4E"/>
    <w:rsid w:val="001E2A6F"/>
    <w:rsid w:val="001F5B66"/>
    <w:rsid w:val="00205292"/>
    <w:rsid w:val="00205DC4"/>
    <w:rsid w:val="0021548E"/>
    <w:rsid w:val="002273F5"/>
    <w:rsid w:val="002338B0"/>
    <w:rsid w:val="002367E8"/>
    <w:rsid w:val="0023743E"/>
    <w:rsid w:val="00273D96"/>
    <w:rsid w:val="00284215"/>
    <w:rsid w:val="00285572"/>
    <w:rsid w:val="002A7566"/>
    <w:rsid w:val="002B4A07"/>
    <w:rsid w:val="002C3EA7"/>
    <w:rsid w:val="002C4107"/>
    <w:rsid w:val="002E1F0E"/>
    <w:rsid w:val="002E229C"/>
    <w:rsid w:val="002E51F1"/>
    <w:rsid w:val="002F1310"/>
    <w:rsid w:val="002F1350"/>
    <w:rsid w:val="002F6136"/>
    <w:rsid w:val="00305C81"/>
    <w:rsid w:val="003068C5"/>
    <w:rsid w:val="00322DE0"/>
    <w:rsid w:val="0032363D"/>
    <w:rsid w:val="00323A91"/>
    <w:rsid w:val="0033190E"/>
    <w:rsid w:val="003535DF"/>
    <w:rsid w:val="00361325"/>
    <w:rsid w:val="00374888"/>
    <w:rsid w:val="00374E40"/>
    <w:rsid w:val="00392E75"/>
    <w:rsid w:val="003A29AC"/>
    <w:rsid w:val="003C20A8"/>
    <w:rsid w:val="003D487D"/>
    <w:rsid w:val="003E3239"/>
    <w:rsid w:val="003E3E3C"/>
    <w:rsid w:val="003F323F"/>
    <w:rsid w:val="00415E54"/>
    <w:rsid w:val="00423DF1"/>
    <w:rsid w:val="00430C58"/>
    <w:rsid w:val="004331C4"/>
    <w:rsid w:val="0043564D"/>
    <w:rsid w:val="00441C25"/>
    <w:rsid w:val="00446452"/>
    <w:rsid w:val="00450CF5"/>
    <w:rsid w:val="00471CBB"/>
    <w:rsid w:val="00472DC8"/>
    <w:rsid w:val="004802EC"/>
    <w:rsid w:val="004A29F1"/>
    <w:rsid w:val="004A6641"/>
    <w:rsid w:val="004B1E94"/>
    <w:rsid w:val="004B33FF"/>
    <w:rsid w:val="004C549C"/>
    <w:rsid w:val="004D2F69"/>
    <w:rsid w:val="004D3C83"/>
    <w:rsid w:val="004E4FBA"/>
    <w:rsid w:val="004F66B0"/>
    <w:rsid w:val="00507CCA"/>
    <w:rsid w:val="005131F1"/>
    <w:rsid w:val="0051360F"/>
    <w:rsid w:val="0051484F"/>
    <w:rsid w:val="00516B3E"/>
    <w:rsid w:val="005262C9"/>
    <w:rsid w:val="005268EF"/>
    <w:rsid w:val="00526976"/>
    <w:rsid w:val="00531D70"/>
    <w:rsid w:val="00533140"/>
    <w:rsid w:val="00547DE4"/>
    <w:rsid w:val="00554DC7"/>
    <w:rsid w:val="00566BF6"/>
    <w:rsid w:val="00570F03"/>
    <w:rsid w:val="00583434"/>
    <w:rsid w:val="0058349F"/>
    <w:rsid w:val="00585B0E"/>
    <w:rsid w:val="00586469"/>
    <w:rsid w:val="005A78BF"/>
    <w:rsid w:val="005B61D9"/>
    <w:rsid w:val="005B6B4C"/>
    <w:rsid w:val="005C2247"/>
    <w:rsid w:val="005C7516"/>
    <w:rsid w:val="005D1522"/>
    <w:rsid w:val="005F5F5F"/>
    <w:rsid w:val="006126BA"/>
    <w:rsid w:val="00624770"/>
    <w:rsid w:val="0064250B"/>
    <w:rsid w:val="00660C31"/>
    <w:rsid w:val="006826AA"/>
    <w:rsid w:val="0068356A"/>
    <w:rsid w:val="006A06B8"/>
    <w:rsid w:val="006A0DB0"/>
    <w:rsid w:val="006A118E"/>
    <w:rsid w:val="006A6629"/>
    <w:rsid w:val="006B717C"/>
    <w:rsid w:val="006D196A"/>
    <w:rsid w:val="006E5151"/>
    <w:rsid w:val="00715D16"/>
    <w:rsid w:val="00721640"/>
    <w:rsid w:val="00722FB5"/>
    <w:rsid w:val="00730F6E"/>
    <w:rsid w:val="00740A17"/>
    <w:rsid w:val="00743456"/>
    <w:rsid w:val="00743BD1"/>
    <w:rsid w:val="007462D6"/>
    <w:rsid w:val="0074673F"/>
    <w:rsid w:val="0074738B"/>
    <w:rsid w:val="0075345C"/>
    <w:rsid w:val="0076062E"/>
    <w:rsid w:val="00783C0E"/>
    <w:rsid w:val="00785E7B"/>
    <w:rsid w:val="00787324"/>
    <w:rsid w:val="007901CC"/>
    <w:rsid w:val="007953F3"/>
    <w:rsid w:val="007A7803"/>
    <w:rsid w:val="007B061E"/>
    <w:rsid w:val="007B48D5"/>
    <w:rsid w:val="007B7226"/>
    <w:rsid w:val="007C3842"/>
    <w:rsid w:val="007C6295"/>
    <w:rsid w:val="007D087C"/>
    <w:rsid w:val="007D1F8B"/>
    <w:rsid w:val="007E33E4"/>
    <w:rsid w:val="007E4CC9"/>
    <w:rsid w:val="007E6F56"/>
    <w:rsid w:val="007F40FD"/>
    <w:rsid w:val="007F45B8"/>
    <w:rsid w:val="007F52A4"/>
    <w:rsid w:val="008002FD"/>
    <w:rsid w:val="00800D23"/>
    <w:rsid w:val="00805BA1"/>
    <w:rsid w:val="00815ED5"/>
    <w:rsid w:val="00815EF8"/>
    <w:rsid w:val="00816273"/>
    <w:rsid w:val="0082717B"/>
    <w:rsid w:val="00827B04"/>
    <w:rsid w:val="0083032E"/>
    <w:rsid w:val="00835189"/>
    <w:rsid w:val="00841907"/>
    <w:rsid w:val="0084569F"/>
    <w:rsid w:val="00846BB5"/>
    <w:rsid w:val="00854AE3"/>
    <w:rsid w:val="0086036A"/>
    <w:rsid w:val="008645AA"/>
    <w:rsid w:val="008653A3"/>
    <w:rsid w:val="008657A2"/>
    <w:rsid w:val="00866645"/>
    <w:rsid w:val="00867A32"/>
    <w:rsid w:val="00873B1F"/>
    <w:rsid w:val="00874AF2"/>
    <w:rsid w:val="00882210"/>
    <w:rsid w:val="008A26D6"/>
    <w:rsid w:val="008A6185"/>
    <w:rsid w:val="008C1FE9"/>
    <w:rsid w:val="008C7DCE"/>
    <w:rsid w:val="008D18FC"/>
    <w:rsid w:val="008D398B"/>
    <w:rsid w:val="008D7E49"/>
    <w:rsid w:val="008E5E9D"/>
    <w:rsid w:val="008F03F6"/>
    <w:rsid w:val="008F364A"/>
    <w:rsid w:val="008F3F53"/>
    <w:rsid w:val="00900298"/>
    <w:rsid w:val="009061FD"/>
    <w:rsid w:val="00913E03"/>
    <w:rsid w:val="00914F12"/>
    <w:rsid w:val="009229E9"/>
    <w:rsid w:val="00925BE9"/>
    <w:rsid w:val="00926953"/>
    <w:rsid w:val="00932703"/>
    <w:rsid w:val="00936469"/>
    <w:rsid w:val="009400B7"/>
    <w:rsid w:val="00954DC2"/>
    <w:rsid w:val="00957B92"/>
    <w:rsid w:val="00970966"/>
    <w:rsid w:val="00974442"/>
    <w:rsid w:val="0098006C"/>
    <w:rsid w:val="00995C9C"/>
    <w:rsid w:val="009B0EAE"/>
    <w:rsid w:val="009C7DCC"/>
    <w:rsid w:val="009D7BE7"/>
    <w:rsid w:val="009F1F69"/>
    <w:rsid w:val="00A04BEE"/>
    <w:rsid w:val="00A06958"/>
    <w:rsid w:val="00A1088C"/>
    <w:rsid w:val="00A23BF4"/>
    <w:rsid w:val="00A2593B"/>
    <w:rsid w:val="00A30E68"/>
    <w:rsid w:val="00A34E05"/>
    <w:rsid w:val="00A43D8B"/>
    <w:rsid w:val="00A454F1"/>
    <w:rsid w:val="00A543CC"/>
    <w:rsid w:val="00A54DAD"/>
    <w:rsid w:val="00A839CA"/>
    <w:rsid w:val="00A93CFF"/>
    <w:rsid w:val="00A950C0"/>
    <w:rsid w:val="00AB7DD2"/>
    <w:rsid w:val="00AD13B7"/>
    <w:rsid w:val="00AE1B6D"/>
    <w:rsid w:val="00AF0C7C"/>
    <w:rsid w:val="00B01D86"/>
    <w:rsid w:val="00B07E4E"/>
    <w:rsid w:val="00B11FD1"/>
    <w:rsid w:val="00B137E9"/>
    <w:rsid w:val="00B304CF"/>
    <w:rsid w:val="00B30EA2"/>
    <w:rsid w:val="00B34531"/>
    <w:rsid w:val="00B36ED3"/>
    <w:rsid w:val="00B41C2C"/>
    <w:rsid w:val="00B513C9"/>
    <w:rsid w:val="00B513E9"/>
    <w:rsid w:val="00B530B8"/>
    <w:rsid w:val="00B56EF4"/>
    <w:rsid w:val="00B57DFB"/>
    <w:rsid w:val="00B70485"/>
    <w:rsid w:val="00B82A13"/>
    <w:rsid w:val="00BA3EBC"/>
    <w:rsid w:val="00BB14AB"/>
    <w:rsid w:val="00BC7270"/>
    <w:rsid w:val="00C02AF8"/>
    <w:rsid w:val="00C17E01"/>
    <w:rsid w:val="00C20A18"/>
    <w:rsid w:val="00C22D34"/>
    <w:rsid w:val="00C30175"/>
    <w:rsid w:val="00C31AC4"/>
    <w:rsid w:val="00C33828"/>
    <w:rsid w:val="00C347C4"/>
    <w:rsid w:val="00C409BE"/>
    <w:rsid w:val="00C423CA"/>
    <w:rsid w:val="00C44CAE"/>
    <w:rsid w:val="00C4601D"/>
    <w:rsid w:val="00C470E7"/>
    <w:rsid w:val="00C522A8"/>
    <w:rsid w:val="00C64239"/>
    <w:rsid w:val="00C652ED"/>
    <w:rsid w:val="00C721FA"/>
    <w:rsid w:val="00C7793C"/>
    <w:rsid w:val="00C86659"/>
    <w:rsid w:val="00C939A8"/>
    <w:rsid w:val="00C9685C"/>
    <w:rsid w:val="00C97145"/>
    <w:rsid w:val="00CA1595"/>
    <w:rsid w:val="00CB5A1F"/>
    <w:rsid w:val="00CD7F80"/>
    <w:rsid w:val="00CE7153"/>
    <w:rsid w:val="00D010FD"/>
    <w:rsid w:val="00D02812"/>
    <w:rsid w:val="00D06020"/>
    <w:rsid w:val="00D079CE"/>
    <w:rsid w:val="00D20056"/>
    <w:rsid w:val="00D2013C"/>
    <w:rsid w:val="00D271F5"/>
    <w:rsid w:val="00D34BDB"/>
    <w:rsid w:val="00D4574D"/>
    <w:rsid w:val="00D55B84"/>
    <w:rsid w:val="00D67B19"/>
    <w:rsid w:val="00D9043A"/>
    <w:rsid w:val="00D90E36"/>
    <w:rsid w:val="00D95480"/>
    <w:rsid w:val="00D96DE5"/>
    <w:rsid w:val="00DB2119"/>
    <w:rsid w:val="00DC05BC"/>
    <w:rsid w:val="00DD3A24"/>
    <w:rsid w:val="00DF3516"/>
    <w:rsid w:val="00DF4EF2"/>
    <w:rsid w:val="00DF6DFE"/>
    <w:rsid w:val="00E01D40"/>
    <w:rsid w:val="00E0263E"/>
    <w:rsid w:val="00E03C07"/>
    <w:rsid w:val="00E20E3C"/>
    <w:rsid w:val="00E25DF3"/>
    <w:rsid w:val="00E35E8A"/>
    <w:rsid w:val="00E36290"/>
    <w:rsid w:val="00E51488"/>
    <w:rsid w:val="00E618A6"/>
    <w:rsid w:val="00E63631"/>
    <w:rsid w:val="00E81E61"/>
    <w:rsid w:val="00E848B4"/>
    <w:rsid w:val="00E90062"/>
    <w:rsid w:val="00E91417"/>
    <w:rsid w:val="00E94329"/>
    <w:rsid w:val="00E962AF"/>
    <w:rsid w:val="00EB1377"/>
    <w:rsid w:val="00EC1E33"/>
    <w:rsid w:val="00EC254F"/>
    <w:rsid w:val="00ED7BD0"/>
    <w:rsid w:val="00EE4443"/>
    <w:rsid w:val="00F07022"/>
    <w:rsid w:val="00F1119E"/>
    <w:rsid w:val="00F12A37"/>
    <w:rsid w:val="00F147EE"/>
    <w:rsid w:val="00F14CFE"/>
    <w:rsid w:val="00F26635"/>
    <w:rsid w:val="00F33E30"/>
    <w:rsid w:val="00F35A34"/>
    <w:rsid w:val="00F40882"/>
    <w:rsid w:val="00F43559"/>
    <w:rsid w:val="00F438C4"/>
    <w:rsid w:val="00F451D4"/>
    <w:rsid w:val="00F5007D"/>
    <w:rsid w:val="00F5789B"/>
    <w:rsid w:val="00F64D66"/>
    <w:rsid w:val="00F6618E"/>
    <w:rsid w:val="00F75AAB"/>
    <w:rsid w:val="00F75C76"/>
    <w:rsid w:val="00F90464"/>
    <w:rsid w:val="00FC720B"/>
    <w:rsid w:val="00FD5EFF"/>
    <w:rsid w:val="00FD6FBB"/>
    <w:rsid w:val="00FE3FE9"/>
    <w:rsid w:val="00FE6A10"/>
    <w:rsid w:val="00FF712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40240"/>
  <w15:chartTrackingRefBased/>
  <w15:docId w15:val="{70E41D08-517C-4F71-95E6-DA351852F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80" w:lineRule="exact"/>
    </w:pPr>
    <w:rPr>
      <w:rFonts w:ascii="Arial" w:hAnsi="Arial"/>
      <w:sz w:val="24"/>
      <w:lang w:eastAsia="fr-FR"/>
    </w:rPr>
  </w:style>
  <w:style w:type="paragraph" w:styleId="Titre1">
    <w:name w:val="heading 1"/>
    <w:basedOn w:val="Paragraphe"/>
    <w:next w:val="Normal"/>
    <w:qFormat/>
    <w:rsid w:val="00721640"/>
    <w:pPr>
      <w:keepNext/>
      <w:numPr>
        <w:numId w:val="0"/>
      </w:numPr>
      <w:outlineLvl w:val="0"/>
    </w:pPr>
    <w:rPr>
      <w:b/>
      <w:bCs/>
    </w:rPr>
  </w:style>
  <w:style w:type="paragraph" w:styleId="Titre2">
    <w:name w:val="heading 2"/>
    <w:basedOn w:val="Normal"/>
    <w:next w:val="Normal"/>
    <w:qFormat/>
    <w:pPr>
      <w:keepNext/>
      <w:spacing w:before="240" w:after="60"/>
      <w:outlineLvl w:val="1"/>
    </w:pPr>
    <w:rPr>
      <w:b/>
      <w:i/>
    </w:rPr>
  </w:style>
  <w:style w:type="paragraph" w:styleId="Titre3">
    <w:name w:val="heading 3"/>
    <w:basedOn w:val="Normal"/>
    <w:next w:val="Normal"/>
    <w:qFormat/>
    <w:pPr>
      <w:keepNext/>
      <w:spacing w:before="240" w:after="60"/>
      <w:outlineLvl w:val="2"/>
    </w:pPr>
  </w:style>
  <w:style w:type="paragraph" w:styleId="Titre4">
    <w:name w:val="heading 4"/>
    <w:basedOn w:val="Normal"/>
    <w:next w:val="Normal"/>
    <w:qFormat/>
    <w:pPr>
      <w:keepNext/>
      <w:spacing w:before="240" w:after="60"/>
      <w:outlineLvl w:val="3"/>
    </w:pPr>
    <w:rPr>
      <w:b/>
    </w:rPr>
  </w:style>
  <w:style w:type="paragraph" w:styleId="Titre5">
    <w:name w:val="heading 5"/>
    <w:basedOn w:val="Normal"/>
    <w:next w:val="Normal"/>
    <w:qFormat/>
    <w:pPr>
      <w:spacing w:before="240" w:after="60"/>
      <w:outlineLvl w:val="4"/>
    </w:pPr>
    <w:rPr>
      <w:sz w:val="22"/>
    </w:rPr>
  </w:style>
  <w:style w:type="paragraph" w:styleId="Titre6">
    <w:name w:val="heading 6"/>
    <w:basedOn w:val="Normal"/>
    <w:next w:val="Normal"/>
    <w:qFormat/>
    <w:pPr>
      <w:spacing w:before="240" w:after="60"/>
      <w:outlineLvl w:val="5"/>
    </w:pPr>
    <w:rPr>
      <w:i/>
      <w:sz w:val="22"/>
    </w:rPr>
  </w:style>
  <w:style w:type="paragraph" w:styleId="Titre7">
    <w:name w:val="heading 7"/>
    <w:basedOn w:val="Normal"/>
    <w:next w:val="Normal"/>
    <w:qFormat/>
    <w:pPr>
      <w:spacing w:before="240" w:after="60"/>
      <w:outlineLvl w:val="6"/>
    </w:pPr>
    <w:rPr>
      <w:sz w:val="20"/>
    </w:rPr>
  </w:style>
  <w:style w:type="paragraph" w:styleId="Titre8">
    <w:name w:val="heading 8"/>
    <w:basedOn w:val="Normal"/>
    <w:next w:val="Normal"/>
    <w:qFormat/>
    <w:pPr>
      <w:spacing w:before="240" w:after="60"/>
      <w:outlineLvl w:val="7"/>
    </w:pPr>
    <w:rPr>
      <w:i/>
      <w:sz w:val="20"/>
    </w:rPr>
  </w:style>
  <w:style w:type="paragraph" w:styleId="Titre9">
    <w:name w:val="heading 9"/>
    <w:basedOn w:val="Normal"/>
    <w:next w:val="Normal"/>
    <w:qFormat/>
    <w:p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
    <w:name w:val="Paragraphe"/>
    <w:basedOn w:val="Normal"/>
    <w:link w:val="ParagrapheCar"/>
    <w:qFormat/>
    <w:rsid w:val="00ED7BD0"/>
    <w:pPr>
      <w:numPr>
        <w:numId w:val="18"/>
      </w:numPr>
      <w:spacing w:before="120" w:after="120"/>
      <w:jc w:val="both"/>
    </w:pPr>
    <w:rPr>
      <w:kern w:val="28"/>
    </w:rPr>
  </w:style>
  <w:style w:type="paragraph" w:customStyle="1" w:styleId="Citationenretrait">
    <w:name w:val="Citation en retrait"/>
    <w:basedOn w:val="Normal"/>
    <w:pPr>
      <w:spacing w:before="120" w:after="120"/>
      <w:ind w:left="720" w:right="720"/>
      <w:jc w:val="both"/>
    </w:pPr>
    <w:rPr>
      <w:kern w:val="24"/>
      <w:sz w:val="22"/>
    </w:rPr>
  </w:style>
  <w:style w:type="character" w:customStyle="1" w:styleId="Citationintgre">
    <w:name w:val="Citation intégrée"/>
    <w:rPr>
      <w:rFonts w:ascii="Arial" w:hAnsi="Arial"/>
      <w:i/>
      <w:noProof w:val="0"/>
      <w:sz w:val="22"/>
      <w:lang w:val="fr-CA"/>
    </w:rPr>
  </w:style>
  <w:style w:type="paragraph" w:styleId="Corpsdetexte">
    <w:name w:val="Body Text"/>
    <w:basedOn w:val="Normal"/>
    <w:semiHidden/>
    <w:pPr>
      <w:spacing w:after="120"/>
    </w:pPr>
  </w:style>
  <w:style w:type="paragraph" w:styleId="Notedebasdepage">
    <w:name w:val="footnote text"/>
    <w:aliases w:val="Char,Char Char,Char Char Char,Char Char Char Char Char,FA Fu,Footnote Text Char Char Char Char,Footnote Text Char Char Char Char Char,Footnote ak,Footnote reference,Footnote text,Footnotes,Nota de rodapé,fn,ft,ft Char Ch,ft2"/>
    <w:basedOn w:val="Normal"/>
    <w:link w:val="NotedebasdepageCar"/>
    <w:qFormat/>
    <w:pPr>
      <w:spacing w:line="240" w:lineRule="auto"/>
      <w:ind w:left="360" w:hanging="360"/>
      <w:jc w:val="both"/>
    </w:pPr>
    <w:rPr>
      <w:sz w:val="20"/>
    </w:rPr>
  </w:style>
  <w:style w:type="paragraph" w:styleId="Notedefin">
    <w:name w:val="endnote text"/>
    <w:basedOn w:val="Normal"/>
    <w:semiHidden/>
    <w:pPr>
      <w:ind w:left="-360"/>
      <w:jc w:val="both"/>
    </w:pPr>
    <w:rPr>
      <w:sz w:val="20"/>
    </w:rPr>
  </w:style>
  <w:style w:type="paragraph" w:customStyle="1" w:styleId="zSoquijlblCour">
    <w:name w:val="zSoquij_lblCour"/>
    <w:basedOn w:val="Normal"/>
    <w:pPr>
      <w:spacing w:line="500" w:lineRule="exact"/>
      <w:jc w:val="center"/>
    </w:pPr>
    <w:rPr>
      <w:b/>
      <w:sz w:val="36"/>
    </w:rPr>
  </w:style>
  <w:style w:type="paragraph" w:customStyle="1" w:styleId="zSoquijlblPays">
    <w:name w:val="zSoquij_lblPays"/>
    <w:basedOn w:val="Normal"/>
  </w:style>
  <w:style w:type="paragraph" w:customStyle="1" w:styleId="zSoquijlblProvince">
    <w:name w:val="zSoquij_lblProvince"/>
    <w:basedOn w:val="Normal"/>
  </w:style>
  <w:style w:type="paragraph" w:customStyle="1" w:styleId="zSoquijlblGreffe">
    <w:name w:val="zSoquij_lblGreffe"/>
    <w:basedOn w:val="Normal"/>
  </w:style>
  <w:style w:type="paragraph" w:customStyle="1" w:styleId="zSoquijdatGreffe">
    <w:name w:val="zSoquij_datGreffe"/>
    <w:basedOn w:val="Normal"/>
  </w:style>
  <w:style w:type="paragraph" w:customStyle="1" w:styleId="zSoquijdatDivision">
    <w:name w:val="zSoquij_datDivision"/>
    <w:basedOn w:val="Normal"/>
    <w:pPr>
      <w:jc w:val="center"/>
    </w:pPr>
    <w:rPr>
      <w:sz w:val="22"/>
    </w:rPr>
  </w:style>
  <w:style w:type="paragraph" w:customStyle="1" w:styleId="zSoquijlblNoDossier">
    <w:name w:val="zSoquij_lblNoDossier"/>
    <w:basedOn w:val="Normal"/>
  </w:style>
  <w:style w:type="paragraph" w:customStyle="1" w:styleId="zSoquijdatNoDossier">
    <w:name w:val="zSoquij_datNoDossier"/>
    <w:basedOn w:val="Normal"/>
  </w:style>
  <w:style w:type="paragraph" w:customStyle="1" w:styleId="zSoquijdatNoDossierAnt">
    <w:name w:val="zSoquij_datNoDossierAnt"/>
    <w:basedOn w:val="Normal"/>
    <w:pPr>
      <w:ind w:left="950"/>
    </w:pPr>
  </w:style>
  <w:style w:type="paragraph" w:customStyle="1" w:styleId="zSoquijdatDateJugement">
    <w:name w:val="zSoquij_datDateJugement"/>
    <w:basedOn w:val="Normal"/>
  </w:style>
  <w:style w:type="paragraph" w:customStyle="1" w:styleId="zSoquijlblDateJugement">
    <w:name w:val="zSoquij_lblDateJugement"/>
    <w:basedOn w:val="Normal"/>
  </w:style>
  <w:style w:type="paragraph" w:customStyle="1" w:styleId="zSoquijlblJuge">
    <w:name w:val="zSoquij_lblJuge"/>
    <w:basedOn w:val="Normal"/>
    <w:rPr>
      <w:b/>
    </w:rPr>
  </w:style>
  <w:style w:type="paragraph" w:customStyle="1" w:styleId="zSoquijdatQteJuge">
    <w:name w:val="zSoquij_datQteJuge"/>
    <w:basedOn w:val="Normal"/>
    <w:rPr>
      <w:b/>
    </w:rPr>
  </w:style>
  <w:style w:type="paragraph" w:customStyle="1" w:styleId="zSoquijdatJuge">
    <w:name w:val="zSoquij_datJuge"/>
    <w:basedOn w:val="Normal"/>
    <w:rPr>
      <w:b/>
    </w:rPr>
  </w:style>
  <w:style w:type="paragraph" w:customStyle="1" w:styleId="zSoquijdatNomPartieDem">
    <w:name w:val="zSoquij_datNomPartieDem"/>
    <w:basedOn w:val="Normal"/>
    <w:rPr>
      <w:b/>
      <w:bCs/>
    </w:rPr>
  </w:style>
  <w:style w:type="paragraph" w:customStyle="1" w:styleId="zSoquijdatQtePartieDem">
    <w:name w:val="zSoquij_datQtePartieDem"/>
    <w:basedOn w:val="Normal"/>
    <w:pPr>
      <w:ind w:left="708"/>
    </w:pPr>
  </w:style>
  <w:style w:type="paragraph" w:customStyle="1" w:styleId="zSoquijlblLienParties">
    <w:name w:val="zSoquij_lblLienParties"/>
    <w:basedOn w:val="Normal"/>
  </w:style>
  <w:style w:type="paragraph" w:customStyle="1" w:styleId="zSoquijdatNomPartieDef">
    <w:name w:val="zSoquij_datNomPartieDef"/>
    <w:basedOn w:val="Normal"/>
    <w:rPr>
      <w:b/>
      <w:bCs/>
    </w:rPr>
  </w:style>
  <w:style w:type="paragraph" w:customStyle="1" w:styleId="zSoquijdatQtePartieDef">
    <w:name w:val="zSoquij_datQtePartieDef"/>
    <w:basedOn w:val="Normal"/>
    <w:pPr>
      <w:ind w:left="708"/>
    </w:pPr>
  </w:style>
  <w:style w:type="paragraph" w:customStyle="1" w:styleId="zSoquijlblTypeDocument">
    <w:name w:val="zSoquij_lblTypeDocument"/>
    <w:basedOn w:val="Normal"/>
    <w:pPr>
      <w:jc w:val="center"/>
    </w:pPr>
  </w:style>
  <w:style w:type="paragraph" w:customStyle="1" w:styleId="zSoquijlblProcureurDem">
    <w:name w:val="zSoquij_lblProcureurDem"/>
    <w:basedOn w:val="Normal"/>
  </w:style>
  <w:style w:type="paragraph" w:customStyle="1" w:styleId="zSoquijlblProcureurDef">
    <w:name w:val="zSoquij_lblProcureurDef"/>
    <w:basedOn w:val="Normal"/>
  </w:style>
  <w:style w:type="paragraph" w:customStyle="1" w:styleId="zSoquijlblDateAudience">
    <w:name w:val="zSoquij_lblDateAudience"/>
    <w:basedOn w:val="Normal"/>
  </w:style>
  <w:style w:type="paragraph" w:customStyle="1" w:styleId="zSoquijdatDateAudience">
    <w:name w:val="zSoquij_datDateAudience"/>
    <w:basedOn w:val="Normal"/>
  </w:style>
  <w:style w:type="paragraph" w:customStyle="1" w:styleId="zSoquijlblNomChambre">
    <w:name w:val="zSoquij_lblNomChambre"/>
    <w:basedOn w:val="Normal"/>
  </w:style>
  <w:style w:type="paragraph" w:customStyle="1" w:styleId="zSoquijlblOpinionJuge">
    <w:name w:val="zSoquij_lblOpinionJuge"/>
    <w:basedOn w:val="Normal"/>
    <w:pPr>
      <w:jc w:val="center"/>
    </w:pPr>
  </w:style>
  <w:style w:type="character" w:customStyle="1" w:styleId="zSoquijlblEntNoDossier">
    <w:name w:val="zSoquij_lblEntNoDossier"/>
    <w:basedOn w:val="Policepardfaut"/>
    <w:rPr>
      <w:noProof w:val="0"/>
      <w:lang w:val="fr-CA"/>
    </w:rPr>
  </w:style>
  <w:style w:type="paragraph" w:customStyle="1" w:styleId="zSoquijlblTitrePartie">
    <w:name w:val="zSoquij_lblTitrePartie"/>
    <w:basedOn w:val="Normal"/>
  </w:style>
  <w:style w:type="paragraph" w:customStyle="1" w:styleId="zSoquijdatIdJuge">
    <w:name w:val="zSoquij_datIdJuge"/>
    <w:basedOn w:val="Normal"/>
    <w:pPr>
      <w:jc w:val="right"/>
    </w:pPr>
  </w:style>
  <w:style w:type="paragraph" w:customStyle="1" w:styleId="Sous-paragraphe">
    <w:name w:val="Sous-paragraphe"/>
    <w:basedOn w:val="Normal"/>
    <w:qFormat/>
    <w:pPr>
      <w:widowControl w:val="0"/>
      <w:numPr>
        <w:ilvl w:val="1"/>
        <w:numId w:val="18"/>
      </w:numPr>
      <w:spacing w:after="120"/>
      <w:jc w:val="both"/>
    </w:pPr>
    <w:rPr>
      <w:kern w:val="28"/>
    </w:rPr>
  </w:style>
  <w:style w:type="paragraph" w:customStyle="1" w:styleId="zSoquijdatNomProcureurDem">
    <w:name w:val="zSoquij_datNomProcureurDem"/>
    <w:basedOn w:val="zSoquijlblProcureurDem"/>
    <w:pPr>
      <w:keepNext/>
    </w:pPr>
  </w:style>
  <w:style w:type="paragraph" w:customStyle="1" w:styleId="zSoquijdatNomProcureurDef">
    <w:name w:val="zSoquij_datNomProcureurDef"/>
    <w:basedOn w:val="zSoquijlblProcureurDef"/>
    <w:pPr>
      <w:keepNext/>
    </w:pPr>
  </w:style>
  <w:style w:type="paragraph" w:customStyle="1" w:styleId="zSoquijdatCabinetProcureurDem">
    <w:name w:val="zSoquij_datCabinetProcureurDem"/>
    <w:basedOn w:val="Normal"/>
    <w:pPr>
      <w:keepNext/>
    </w:pPr>
  </w:style>
  <w:style w:type="paragraph" w:customStyle="1" w:styleId="zSoquijdatCabinetProcureurDef">
    <w:name w:val="zSoquij_datCabinetProcureurDef"/>
    <w:basedOn w:val="zSoquijlblProcureurDef"/>
    <w:pPr>
      <w:keepNext/>
    </w:pPr>
  </w:style>
  <w:style w:type="paragraph" w:styleId="En-tte">
    <w:name w:val="header"/>
    <w:basedOn w:val="Normal"/>
    <w:semiHidden/>
    <w:pPr>
      <w:tabs>
        <w:tab w:val="center" w:pos="4320"/>
        <w:tab w:val="right" w:pos="8640"/>
      </w:tabs>
    </w:pPr>
  </w:style>
  <w:style w:type="paragraph" w:styleId="Pieddepage">
    <w:name w:val="footer"/>
    <w:basedOn w:val="Normal"/>
    <w:semiHidden/>
    <w:pPr>
      <w:tabs>
        <w:tab w:val="center" w:pos="4320"/>
        <w:tab w:val="right" w:pos="8640"/>
      </w:tabs>
    </w:pPr>
  </w:style>
  <w:style w:type="paragraph" w:customStyle="1" w:styleId="Tableaudroiteanglais">
    <w:name w:val="Tableau droite anglais"/>
    <w:basedOn w:val="Tableaugauchefranais"/>
    <w:pPr>
      <w:ind w:left="144" w:right="720"/>
      <w:jc w:val="both"/>
    </w:pPr>
    <w:rPr>
      <w:lang w:val="en-CA"/>
    </w:rPr>
  </w:style>
  <w:style w:type="paragraph" w:customStyle="1" w:styleId="Tableaugauchefranais">
    <w:name w:val="Tableau gauche français"/>
    <w:basedOn w:val="Normal"/>
    <w:pPr>
      <w:ind w:left="720" w:right="144"/>
    </w:pPr>
    <w:rPr>
      <w:sz w:val="22"/>
    </w:rPr>
  </w:style>
  <w:style w:type="character" w:styleId="Appelnotedebasdep">
    <w:name w:val="footnote reference"/>
    <w:aliases w:val="Char Char6 Char Char Char Char Char Char Char Char Char Char Char Char,Char6 Char Char Char Char Char Char Char Char Char Char Char Char Char,Footnote,Ref,de nota al pie,fr"/>
    <w:uiPriority w:val="99"/>
    <w:qFormat/>
    <w:rPr>
      <w:noProof w:val="0"/>
      <w:vertAlign w:val="superscript"/>
      <w:lang w:val="fr-CA"/>
    </w:rPr>
  </w:style>
  <w:style w:type="paragraph" w:styleId="Corpsdetexte3">
    <w:name w:val="Body Text 3"/>
    <w:basedOn w:val="Normal"/>
    <w:semiHidden/>
    <w:pPr>
      <w:spacing w:after="120"/>
    </w:pPr>
    <w:rPr>
      <w:sz w:val="16"/>
    </w:rPr>
  </w:style>
  <w:style w:type="paragraph" w:customStyle="1" w:styleId="zSoquijdatRepertorie">
    <w:name w:val="zSoquij_datRepertorie"/>
    <w:basedOn w:val="zSoquijlblCour"/>
    <w:pPr>
      <w:spacing w:line="240" w:lineRule="auto"/>
      <w:jc w:val="left"/>
    </w:pPr>
    <w:rPr>
      <w:sz w:val="22"/>
    </w:rPr>
  </w:style>
  <w:style w:type="paragraph" w:customStyle="1" w:styleId="zSoquijdatRefNeutre">
    <w:name w:val="zSoquij_datRefNeutre"/>
    <w:basedOn w:val="zSoquijlblCour"/>
    <w:pPr>
      <w:spacing w:line="240" w:lineRule="auto"/>
      <w:jc w:val="left"/>
    </w:pPr>
    <w:rPr>
      <w:sz w:val="22"/>
    </w:rPr>
  </w:style>
  <w:style w:type="table" w:styleId="Grilledutableau">
    <w:name w:val="Table Grid"/>
    <w:basedOn w:val="TableauNormal"/>
    <w:uiPriority w:val="39"/>
    <w:rsid w:val="00E20E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E3239"/>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E3239"/>
    <w:rPr>
      <w:rFonts w:ascii="Segoe UI" w:hAnsi="Segoe UI" w:cs="Segoe UI"/>
      <w:sz w:val="18"/>
      <w:szCs w:val="18"/>
      <w:lang w:eastAsia="fr-FR"/>
    </w:rPr>
  </w:style>
  <w:style w:type="character" w:customStyle="1" w:styleId="ParagrapheCar">
    <w:name w:val="Paragraphe Car"/>
    <w:link w:val="Paragraphe"/>
    <w:qFormat/>
    <w:locked/>
    <w:rsid w:val="00ED7BD0"/>
    <w:rPr>
      <w:rFonts w:ascii="Arial" w:hAnsi="Arial"/>
      <w:kern w:val="28"/>
      <w:sz w:val="24"/>
      <w:lang w:eastAsia="fr-FR"/>
    </w:rPr>
  </w:style>
  <w:style w:type="character" w:customStyle="1" w:styleId="NotedebasdepageCar">
    <w:name w:val="Note de bas de page Car"/>
    <w:aliases w:val="Char Car,Char Char Car,Char Char Char Car,Char Char Char Char Char Car,FA Fu Car,Footnote Text Char Char Char Char Car,Footnote Text Char Char Char Char Char Car,Footnote ak Car,Footnote reference Car,Footnote text Car,fn Car"/>
    <w:basedOn w:val="Policepardfaut"/>
    <w:link w:val="Notedebasdepage"/>
    <w:rsid w:val="00721640"/>
    <w:rPr>
      <w:rFonts w:ascii="Arial" w:hAnsi="Arial"/>
      <w:lang w:eastAsia="fr-FR"/>
    </w:rPr>
  </w:style>
  <w:style w:type="character" w:styleId="Hyperlien">
    <w:name w:val="Hyperlink"/>
    <w:uiPriority w:val="99"/>
    <w:rsid w:val="00D34BDB"/>
    <w:rPr>
      <w:noProof w:val="0"/>
      <w:color w:val="0000FF"/>
      <w:u w:val="single"/>
      <w:lang w:val="fr-CA"/>
    </w:rPr>
  </w:style>
  <w:style w:type="character" w:styleId="Lienvisit">
    <w:name w:val="FollowedHyperlink"/>
    <w:basedOn w:val="Policepardfaut"/>
    <w:uiPriority w:val="99"/>
    <w:semiHidden/>
    <w:unhideWhenUsed/>
    <w:rsid w:val="00E35E8A"/>
    <w:rPr>
      <w:color w:val="954F72" w:themeColor="followedHyperlink"/>
      <w:u w:val="single"/>
    </w:rPr>
  </w:style>
  <w:style w:type="character" w:customStyle="1" w:styleId="Mentionnonrsolue1">
    <w:name w:val="Mention non résolue1"/>
    <w:basedOn w:val="Policepardfaut"/>
    <w:uiPriority w:val="99"/>
    <w:semiHidden/>
    <w:unhideWhenUsed/>
    <w:rsid w:val="00A950C0"/>
    <w:rPr>
      <w:color w:val="605E5C"/>
      <w:shd w:val="clear" w:color="auto" w:fill="E1DFDD"/>
    </w:rPr>
  </w:style>
  <w:style w:type="paragraph" w:styleId="Rvision">
    <w:name w:val="Revision"/>
    <w:hidden/>
    <w:uiPriority w:val="99"/>
    <w:semiHidden/>
    <w:rsid w:val="00184BCD"/>
    <w:rPr>
      <w:rFonts w:ascii="Arial" w:hAnsi="Arial"/>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8A525-8000-4EBF-92DB-64B5AB8AA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2520</Words>
  <Characters>13861</Characters>
  <Application>Microsoft Office Word</Application>
  <DocSecurity>0</DocSecurity>
  <Lines>115</Lines>
  <Paragraphs>32</Paragraphs>
  <ScaleCrop>false</ScaleCrop>
  <Company/>
  <LinksUpToDate>false</LinksUpToDate>
  <CharactersWithSpaces>16349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Paillé, Pryscilla</cp:lastModifiedBy>
  <cp:revision>4</cp:revision>
  <dcterms:created xsi:type="dcterms:W3CDTF">2026-11-05T16:33:00Z</dcterms:created>
  <dcterms:modified xsi:type="dcterms:W3CDTF">2026-11-05T16:43:00Z</dcterms:modified>
</cp:coreProperties>
</file>